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外场普通高速路段数字孪生系统设备采购与建设项目</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2022</w:t>
      </w:r>
      <w:r>
        <w:rPr>
          <w:rFonts w:hint="eastAsia" w:ascii="宋体" w:hAnsi="宋体" w:cs="宋体"/>
          <w:b/>
          <w:sz w:val="28"/>
          <w:szCs w:val="28"/>
        </w:rPr>
        <w:t>年</w:t>
      </w:r>
      <w:r>
        <w:rPr>
          <w:rFonts w:hint="eastAsia" w:ascii="宋体" w:hAnsi="宋体" w:cs="宋体"/>
          <w:b/>
          <w:sz w:val="28"/>
          <w:szCs w:val="28"/>
          <w:u w:val="single"/>
        </w:rPr>
        <w:t xml:space="preserve"> 11 </w:t>
      </w:r>
      <w:r>
        <w:rPr>
          <w:rFonts w:hint="eastAsia" w:ascii="宋体" w:hAnsi="宋体" w:cs="宋体"/>
          <w:b/>
          <w:sz w:val="28"/>
          <w:szCs w:val="28"/>
        </w:rPr>
        <w:t>月</w:t>
      </w:r>
    </w:p>
    <w:p>
      <w:pPr>
        <w:pStyle w:val="27"/>
        <w:jc w:val="center"/>
        <w:rPr>
          <w:rFonts w:ascii="宋体" w:hAnsi="宋体" w:cs="宋体"/>
          <w:szCs w:val="21"/>
        </w:rPr>
      </w:pPr>
      <w:r>
        <w:br w:type="page"/>
      </w:r>
      <w:bookmarkStart w:id="0" w:name="_Toc507319889"/>
      <w:bookmarkStart w:id="1" w:name="_Toc246996898"/>
      <w:bookmarkStart w:id="2" w:name="_Toc296602400"/>
      <w:bookmarkStart w:id="3" w:name="_Toc507428442"/>
      <w:bookmarkStart w:id="4" w:name="_Toc247085669"/>
      <w:r>
        <w:rPr>
          <w:rFonts w:hint="eastAsia" w:ascii="宋体" w:hAnsi="宋体" w:cs="宋体"/>
          <w:b w:val="0"/>
          <w:sz w:val="32"/>
        </w:rPr>
        <w:t>目   录</w:t>
      </w:r>
      <w:bookmarkEnd w:id="0"/>
      <w:bookmarkEnd w:id="1"/>
      <w:bookmarkEnd w:id="2"/>
      <w:bookmarkEnd w:id="3"/>
      <w:bookmarkEnd w:id="4"/>
    </w:p>
    <w:p>
      <w:pPr>
        <w:pStyle w:val="27"/>
        <w:tabs>
          <w:tab w:val="right" w:leader="dot" w:pos="9638"/>
        </w:tabs>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r>
        <w:fldChar w:fldCharType="begin"/>
      </w:r>
      <w:r>
        <w:instrText xml:space="preserve"> HYPERLINK \l "_Toc14955" </w:instrText>
      </w:r>
      <w:r>
        <w:fldChar w:fldCharType="separate"/>
      </w:r>
      <w:r>
        <w:rPr>
          <w:rFonts w:hint="eastAsia"/>
        </w:rPr>
        <w:t xml:space="preserve">第一章 </w:t>
      </w:r>
      <w:r>
        <w:rPr>
          <w:rFonts w:hint="eastAsia" w:ascii="宋体" w:hAnsi="宋体" w:cs="宋体"/>
        </w:rPr>
        <w:t>比选公告</w:t>
      </w:r>
      <w:r>
        <w:tab/>
      </w:r>
      <w:r>
        <w:fldChar w:fldCharType="begin"/>
      </w:r>
      <w:r>
        <w:instrText xml:space="preserve"> PAGEREF _Toc14955 \h </w:instrText>
      </w:r>
      <w:r>
        <w:fldChar w:fldCharType="separate"/>
      </w:r>
      <w:r>
        <w:t>1</w:t>
      </w:r>
      <w:r>
        <w:fldChar w:fldCharType="end"/>
      </w:r>
      <w:r>
        <w:fldChar w:fldCharType="end"/>
      </w:r>
    </w:p>
    <w:p>
      <w:pPr>
        <w:pStyle w:val="27"/>
        <w:tabs>
          <w:tab w:val="right" w:leader="dot" w:pos="9638"/>
        </w:tabs>
      </w:pPr>
      <w:r>
        <w:fldChar w:fldCharType="begin"/>
      </w:r>
      <w:r>
        <w:instrText xml:space="preserve"> HYPERLINK \l "_Toc14958" </w:instrText>
      </w:r>
      <w:r>
        <w:fldChar w:fldCharType="separate"/>
      </w:r>
      <w:r>
        <w:rPr>
          <w:rFonts w:hint="eastAsia" w:ascii="宋体" w:hAnsi="宋体" w:cs="宋体"/>
        </w:rPr>
        <w:t>第二章 报价人须知</w:t>
      </w:r>
      <w:r>
        <w:tab/>
      </w:r>
      <w:r>
        <w:fldChar w:fldCharType="begin"/>
      </w:r>
      <w:r>
        <w:instrText xml:space="preserve"> PAGEREF _Toc14958 \h </w:instrText>
      </w:r>
      <w:r>
        <w:fldChar w:fldCharType="separate"/>
      </w:r>
      <w:r>
        <w:t>4</w:t>
      </w:r>
      <w:r>
        <w:fldChar w:fldCharType="end"/>
      </w:r>
      <w:r>
        <w:fldChar w:fldCharType="end"/>
      </w:r>
    </w:p>
    <w:p>
      <w:pPr>
        <w:pStyle w:val="27"/>
        <w:tabs>
          <w:tab w:val="right" w:leader="dot" w:pos="9638"/>
        </w:tabs>
      </w:pPr>
      <w:r>
        <w:fldChar w:fldCharType="begin"/>
      </w:r>
      <w:r>
        <w:instrText xml:space="preserve"> HYPERLINK \l "_Toc9135" </w:instrText>
      </w:r>
      <w:r>
        <w:fldChar w:fldCharType="separate"/>
      </w:r>
      <w:r>
        <w:rPr>
          <w:rFonts w:hint="eastAsia" w:ascii="宋体" w:hAnsi="宋体" w:cs="宋体"/>
        </w:rPr>
        <w:t>第三章 评标办法（综合评估法）</w:t>
      </w:r>
      <w:r>
        <w:tab/>
      </w:r>
      <w:r>
        <w:fldChar w:fldCharType="begin"/>
      </w:r>
      <w:r>
        <w:instrText xml:space="preserve"> PAGEREF _Toc9135 \h </w:instrText>
      </w:r>
      <w:r>
        <w:fldChar w:fldCharType="separate"/>
      </w:r>
      <w:r>
        <w:t>9</w:t>
      </w:r>
      <w:r>
        <w:fldChar w:fldCharType="end"/>
      </w:r>
      <w:r>
        <w:fldChar w:fldCharType="end"/>
      </w:r>
    </w:p>
    <w:p>
      <w:pPr>
        <w:pStyle w:val="27"/>
        <w:tabs>
          <w:tab w:val="right" w:leader="dot" w:pos="9638"/>
        </w:tabs>
      </w:pPr>
      <w:r>
        <w:fldChar w:fldCharType="begin"/>
      </w:r>
      <w:r>
        <w:instrText xml:space="preserve"> HYPERLINK \l "_Toc363" </w:instrText>
      </w:r>
      <w:r>
        <w:fldChar w:fldCharType="separate"/>
      </w:r>
      <w:r>
        <w:rPr>
          <w:rFonts w:hint="eastAsia"/>
        </w:rPr>
        <w:t>第四章 报价说明</w:t>
      </w:r>
      <w:r>
        <w:tab/>
      </w:r>
      <w:r>
        <w:fldChar w:fldCharType="begin"/>
      </w:r>
      <w:r>
        <w:instrText xml:space="preserve"> PAGEREF _Toc363 \h </w:instrText>
      </w:r>
      <w:r>
        <w:fldChar w:fldCharType="separate"/>
      </w:r>
      <w:r>
        <w:t>13</w:t>
      </w:r>
      <w:r>
        <w:fldChar w:fldCharType="end"/>
      </w:r>
      <w:r>
        <w:fldChar w:fldCharType="end"/>
      </w:r>
    </w:p>
    <w:p>
      <w:pPr>
        <w:pStyle w:val="27"/>
        <w:tabs>
          <w:tab w:val="right" w:leader="dot" w:pos="9638"/>
        </w:tabs>
      </w:pPr>
      <w:r>
        <w:fldChar w:fldCharType="begin"/>
      </w:r>
      <w:r>
        <w:instrText xml:space="preserve"> HYPERLINK \l "_Toc1532" </w:instrText>
      </w:r>
      <w:r>
        <w:fldChar w:fldCharType="separate"/>
      </w:r>
      <w:r>
        <w:rPr>
          <w:rFonts w:hint="eastAsia" w:ascii="宋体" w:hAnsi="宋体" w:cs="宋体"/>
        </w:rPr>
        <w:t>第五章  工程量清单</w:t>
      </w:r>
      <w:r>
        <w:tab/>
      </w:r>
      <w:r>
        <w:fldChar w:fldCharType="begin"/>
      </w:r>
      <w:r>
        <w:instrText xml:space="preserve"> PAGEREF _Toc1532 \h </w:instrText>
      </w:r>
      <w:r>
        <w:fldChar w:fldCharType="separate"/>
      </w:r>
      <w:r>
        <w:t>14</w:t>
      </w:r>
      <w:r>
        <w:fldChar w:fldCharType="end"/>
      </w:r>
      <w:r>
        <w:fldChar w:fldCharType="end"/>
      </w:r>
    </w:p>
    <w:p>
      <w:pPr>
        <w:pStyle w:val="27"/>
        <w:tabs>
          <w:tab w:val="right" w:leader="dot" w:pos="9638"/>
        </w:tabs>
      </w:pPr>
      <w:r>
        <w:fldChar w:fldCharType="begin"/>
      </w:r>
      <w:r>
        <w:instrText xml:space="preserve"> HYPERLINK \l "_Toc18088" </w:instrText>
      </w:r>
      <w:r>
        <w:fldChar w:fldCharType="separate"/>
      </w:r>
      <w:r>
        <w:rPr>
          <w:rFonts w:hint="eastAsia" w:ascii="宋体" w:hAnsi="宋体" w:cs="宋体"/>
        </w:rPr>
        <w:t>第六章  图  纸</w:t>
      </w:r>
      <w:r>
        <w:tab/>
      </w:r>
      <w:r>
        <w:fldChar w:fldCharType="begin"/>
      </w:r>
      <w:r>
        <w:instrText xml:space="preserve"> PAGEREF _Toc18088 \h </w:instrText>
      </w:r>
      <w:r>
        <w:fldChar w:fldCharType="separate"/>
      </w:r>
      <w:r>
        <w:t>15</w:t>
      </w:r>
      <w:r>
        <w:fldChar w:fldCharType="end"/>
      </w:r>
      <w:r>
        <w:fldChar w:fldCharType="end"/>
      </w:r>
    </w:p>
    <w:p>
      <w:pPr>
        <w:pStyle w:val="27"/>
        <w:tabs>
          <w:tab w:val="right" w:leader="dot" w:pos="9638"/>
        </w:tabs>
      </w:pPr>
      <w:r>
        <w:fldChar w:fldCharType="begin"/>
      </w:r>
      <w:r>
        <w:instrText xml:space="preserve"> HYPERLINK \l "_Toc25212" </w:instrText>
      </w:r>
      <w:r>
        <w:fldChar w:fldCharType="separate"/>
      </w:r>
      <w:r>
        <w:rPr>
          <w:rFonts w:hint="eastAsia" w:ascii="宋体" w:hAnsi="宋体" w:cs="宋体"/>
        </w:rPr>
        <w:t>第七章 技术标准和工作要求</w:t>
      </w:r>
      <w:r>
        <w:tab/>
      </w:r>
      <w:r>
        <w:fldChar w:fldCharType="begin"/>
      </w:r>
      <w:r>
        <w:instrText xml:space="preserve"> PAGEREF _Toc25212 \h </w:instrText>
      </w:r>
      <w:r>
        <w:fldChar w:fldCharType="separate"/>
      </w:r>
      <w:r>
        <w:t>16</w:t>
      </w:r>
      <w:r>
        <w:fldChar w:fldCharType="end"/>
      </w:r>
      <w:r>
        <w:fldChar w:fldCharType="end"/>
      </w:r>
    </w:p>
    <w:p>
      <w:pPr>
        <w:pStyle w:val="27"/>
        <w:tabs>
          <w:tab w:val="right" w:leader="dot" w:pos="9638"/>
        </w:tabs>
      </w:pPr>
      <w:r>
        <w:fldChar w:fldCharType="begin"/>
      </w:r>
      <w:r>
        <w:instrText xml:space="preserve"> HYPERLINK \l "_Toc23208" </w:instrText>
      </w:r>
      <w:r>
        <w:fldChar w:fldCharType="separate"/>
      </w:r>
      <w:r>
        <w:rPr>
          <w:rFonts w:hint="eastAsia" w:ascii="宋体" w:hAnsi="宋体" w:cs="宋体"/>
        </w:rPr>
        <w:t>第八章  工程量清单计量规则</w:t>
      </w:r>
      <w:r>
        <w:tab/>
      </w:r>
      <w:r>
        <w:fldChar w:fldCharType="begin"/>
      </w:r>
      <w:r>
        <w:instrText xml:space="preserve"> PAGEREF _Toc23208 \h </w:instrText>
      </w:r>
      <w:r>
        <w:fldChar w:fldCharType="separate"/>
      </w:r>
      <w:r>
        <w:t>19</w:t>
      </w:r>
      <w:r>
        <w:fldChar w:fldCharType="end"/>
      </w:r>
      <w:r>
        <w:fldChar w:fldCharType="end"/>
      </w:r>
    </w:p>
    <w:p>
      <w:pPr>
        <w:pStyle w:val="27"/>
        <w:tabs>
          <w:tab w:val="right" w:leader="dot" w:pos="9638"/>
        </w:tabs>
      </w:pPr>
      <w:r>
        <w:fldChar w:fldCharType="begin"/>
      </w:r>
      <w:r>
        <w:instrText xml:space="preserve"> HYPERLINK \l "_Toc22294" </w:instrText>
      </w:r>
      <w:r>
        <w:fldChar w:fldCharType="separate"/>
      </w:r>
      <w:r>
        <w:rPr>
          <w:rFonts w:hint="eastAsia" w:ascii="宋体" w:hAnsi="宋体" w:cs="宋体"/>
        </w:rPr>
        <w:t>第九章  竞争性比选响应文件格式</w:t>
      </w:r>
      <w:r>
        <w:tab/>
      </w:r>
      <w:r>
        <w:fldChar w:fldCharType="begin"/>
      </w:r>
      <w:r>
        <w:instrText xml:space="preserve"> PAGEREF _Toc22294 \h </w:instrText>
      </w:r>
      <w:r>
        <w:fldChar w:fldCharType="separate"/>
      </w:r>
      <w:r>
        <w:t>20</w:t>
      </w:r>
      <w:r>
        <w:fldChar w:fldCharType="end"/>
      </w:r>
      <w:r>
        <w:fldChar w:fldCharType="end"/>
      </w:r>
    </w:p>
    <w:p>
      <w:pPr>
        <w:pStyle w:val="33"/>
        <w:tabs>
          <w:tab w:val="right" w:leader="dot" w:pos="9628"/>
        </w:tabs>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numPr>
          <w:ilvl w:val="0"/>
          <w:numId w:val="2"/>
        </w:numPr>
        <w:spacing w:before="0" w:after="0" w:line="360" w:lineRule="auto"/>
        <w:jc w:val="center"/>
      </w:pPr>
      <w:bookmarkStart w:id="5" w:name="_Toc14955"/>
      <w:bookmarkStart w:id="6" w:name="_Toc10533"/>
      <w:r>
        <w:rPr>
          <w:rFonts w:hint="eastAsia" w:ascii="宋体" w:hAnsi="宋体" w:cs="宋体"/>
        </w:rPr>
        <w:t>比选公告</w:t>
      </w:r>
      <w:bookmarkEnd w:id="5"/>
      <w:bookmarkEnd w:id="6"/>
    </w:p>
    <w:p>
      <w:pPr>
        <w:spacing w:line="440" w:lineRule="exact"/>
        <w:rPr>
          <w:rFonts w:ascii="宋体" w:hAnsi="宋体" w:cs="宋体"/>
          <w:b/>
          <w:sz w:val="28"/>
          <w:szCs w:val="28"/>
        </w:rPr>
      </w:pPr>
      <w:bookmarkStart w:id="7" w:name="OLE_LINK2"/>
      <w:bookmarkStart w:id="8" w:name="OLE_LINK3"/>
    </w:p>
    <w:p>
      <w:pPr>
        <w:pStyle w:val="4"/>
        <w:spacing w:before="0" w:after="0" w:line="360" w:lineRule="auto"/>
        <w:rPr>
          <w:rFonts w:ascii="宋体" w:hAnsi="宋体" w:eastAsia="宋体" w:cs="宋体"/>
        </w:rPr>
      </w:pPr>
      <w:bookmarkStart w:id="9" w:name="_Toc247085672"/>
      <w:bookmarkStart w:id="10" w:name="_Toc6549"/>
      <w:bookmarkStart w:id="11" w:name="_Toc24874"/>
      <w:bookmarkStart w:id="12" w:name="_Toc11329213"/>
      <w:bookmarkStart w:id="13" w:name="_Toc152042288"/>
      <w:bookmarkStart w:id="14" w:name="_Toc144974480"/>
      <w:bookmarkStart w:id="15" w:name="_Toc246996158"/>
      <w:bookmarkStart w:id="16" w:name="_Toc507319891"/>
      <w:bookmarkStart w:id="17" w:name="_Toc15945"/>
      <w:bookmarkStart w:id="18" w:name="_Toc152045512"/>
      <w:bookmarkStart w:id="19" w:name="_Toc246996901"/>
      <w:bookmarkStart w:id="20" w:name="_Toc179632528"/>
      <w:bookmarkStart w:id="21" w:name="_Toc10076"/>
      <w:bookmarkStart w:id="22" w:name="_Toc19148"/>
      <w:r>
        <w:rPr>
          <w:rFonts w:hint="eastAsia" w:ascii="宋体" w:hAnsi="宋体" w:eastAsia="宋体" w:cs="宋体"/>
        </w:rPr>
        <w:t>1. 比选条件</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400" w:lineRule="exact"/>
        <w:jc w:val="left"/>
        <w:rPr>
          <w:rFonts w:ascii="宋体" w:hAnsi="宋体" w:cs="宋体"/>
          <w:szCs w:val="21"/>
        </w:rPr>
      </w:pPr>
      <w:r>
        <w:rPr>
          <w:rFonts w:hint="eastAsia" w:ascii="宋体" w:hAnsi="宋体" w:cs="宋体"/>
          <w:szCs w:val="21"/>
        </w:rPr>
        <w:t>　　本竞争性比选项目为</w:t>
      </w:r>
      <w:r>
        <w:rPr>
          <w:rFonts w:hint="eastAsia" w:ascii="宋体" w:hAnsi="宋体" w:cs="宋体"/>
          <w:szCs w:val="21"/>
          <w:u w:val="single"/>
          <w:lang w:eastAsia="zh-CN"/>
        </w:rPr>
        <w:t>外场普通高速路段数字孪生系统设备采购与建设项目</w:t>
      </w:r>
      <w:r>
        <w:rPr>
          <w:rFonts w:hint="eastAsia" w:ascii="宋体" w:hAnsi="宋体" w:cs="宋体"/>
          <w:szCs w:val="21"/>
        </w:rPr>
        <w:t>的采购，采购人为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23" w:name="_Toc9168"/>
      <w:bookmarkStart w:id="24" w:name="_Toc152045513"/>
      <w:bookmarkStart w:id="25" w:name="_Toc152042289"/>
      <w:bookmarkStart w:id="26" w:name="_Toc10952"/>
      <w:bookmarkStart w:id="27" w:name="_Toc179632529"/>
      <w:bookmarkStart w:id="28" w:name="_Toc247085673"/>
      <w:bookmarkStart w:id="29" w:name="_Toc18109"/>
      <w:bookmarkStart w:id="30" w:name="_Toc246996159"/>
      <w:bookmarkStart w:id="31" w:name="_Toc246996902"/>
      <w:bookmarkStart w:id="32" w:name="_Toc21343"/>
      <w:bookmarkStart w:id="33" w:name="_Toc144974481"/>
      <w:bookmarkStart w:id="34" w:name="_Toc10321"/>
      <w:bookmarkStart w:id="35" w:name="_Toc507319892"/>
      <w:bookmarkStart w:id="36" w:name="_Toc11329214"/>
      <w:r>
        <w:rPr>
          <w:rFonts w:hint="eastAsia" w:ascii="宋体" w:hAnsi="宋体" w:eastAsia="宋体" w:cs="宋体"/>
        </w:rPr>
        <w:t>2. 项目概况与比选范围</w:t>
      </w:r>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ind w:firstLine="420" w:firstLineChars="200"/>
        <w:rPr>
          <w:rFonts w:ascii="宋体" w:hAnsi="宋体" w:cs="宋体"/>
        </w:rPr>
      </w:pPr>
      <w:bookmarkStart w:id="37" w:name="_Toc446247226"/>
      <w:r>
        <w:rPr>
          <w:rFonts w:hint="eastAsia" w:ascii="宋体" w:hAnsi="宋体" w:cs="宋体"/>
        </w:rPr>
        <w:t>2.1 项目地点：</w:t>
      </w:r>
      <w:bookmarkEnd w:id="37"/>
      <w:r>
        <w:rPr>
          <w:rFonts w:hint="eastAsia" w:ascii="宋体" w:hAnsi="宋体" w:cs="宋体"/>
        </w:rPr>
        <w:t>重庆首讯科技股份有限公司。</w:t>
      </w:r>
    </w:p>
    <w:p>
      <w:pPr>
        <w:keepNext w:val="0"/>
        <w:keepLines w:val="0"/>
        <w:widowControl w:val="0"/>
        <w:suppressLineNumbers w:val="0"/>
        <w:adjustRightInd w:val="0"/>
        <w:spacing w:before="0" w:beforeAutospacing="0" w:after="0" w:afterAutospacing="0" w:line="400" w:lineRule="exact"/>
        <w:ind w:left="0" w:right="0"/>
        <w:jc w:val="both"/>
        <w:rPr>
          <w:rFonts w:hint="default" w:ascii="宋体" w:hAnsi="宋体" w:cs="宋体"/>
          <w:szCs w:val="21"/>
        </w:rPr>
      </w:pPr>
      <w:r>
        <w:rPr>
          <w:rFonts w:hint="default" w:ascii="宋体" w:hAnsi="宋体" w:cs="宋体"/>
          <w:szCs w:val="21"/>
        </w:rPr>
        <w:t xml:space="preserve">    2.2</w:t>
      </w:r>
      <w:r>
        <w:rPr>
          <w:rFonts w:hint="eastAsia" w:ascii="宋体" w:hAnsi="宋体" w:eastAsia="宋体" w:cs="宋体"/>
          <w:kern w:val="2"/>
          <w:sz w:val="21"/>
          <w:szCs w:val="21"/>
          <w:lang w:val="en-US" w:eastAsia="zh-CN" w:bidi="ar"/>
        </w:rPr>
        <w:t>项目概况：为推动智慧高速建设、充分运用大数据、云计算等前沿技术、建设覆盖“人、车、路、环境”的智慧高速公路网，</w:t>
      </w:r>
      <w:r>
        <w:rPr>
          <w:rFonts w:hint="default" w:ascii="宋体" w:hAnsi="宋体" w:eastAsia="宋体" w:cs="宋体"/>
          <w:kern w:val="2"/>
          <w:sz w:val="21"/>
          <w:szCs w:val="21"/>
          <w:lang w:eastAsia="zh-CN" w:bidi="ar"/>
        </w:rPr>
        <w:t>本项目为</w:t>
      </w:r>
      <w:r>
        <w:rPr>
          <w:rFonts w:hint="eastAsia" w:ascii="宋体" w:hAnsi="宋体" w:eastAsia="宋体" w:cs="宋体"/>
          <w:kern w:val="2"/>
          <w:sz w:val="21"/>
          <w:szCs w:val="21"/>
          <w:lang w:val="en-US" w:eastAsia="zh-CN" w:bidi="ar"/>
        </w:rPr>
        <w:t>对G65重庆至武隆段进行智慧高速建设。根据项目</w:t>
      </w:r>
      <w:r>
        <w:rPr>
          <w:rFonts w:hint="eastAsia" w:ascii="宋体" w:hAnsi="宋体" w:cs="宋体"/>
          <w:kern w:val="2"/>
          <w:sz w:val="21"/>
          <w:szCs w:val="21"/>
          <w:lang w:val="en-US" w:eastAsia="zh-CN" w:bidi="ar"/>
        </w:rPr>
        <w:t>进度</w:t>
      </w:r>
      <w:r>
        <w:rPr>
          <w:rFonts w:hint="eastAsia" w:ascii="宋体" w:hAnsi="宋体" w:eastAsia="宋体" w:cs="宋体"/>
          <w:kern w:val="2"/>
          <w:sz w:val="21"/>
          <w:szCs w:val="21"/>
          <w:lang w:val="en-US" w:eastAsia="zh-CN" w:bidi="ar"/>
        </w:rPr>
        <w:t>，需实施10KM示范路段外场普通高速路段数字孪生系统建设。由于外场普通高速路段数字孪生集成涉及路段跨度较长，施工与系统调试界面交叉多，组网复杂，因此拟设置一个包件，完成该系统建设相关的设备供货、联调与集成工作。</w:t>
      </w:r>
    </w:p>
    <w:p>
      <w:pPr>
        <w:pStyle w:val="12"/>
        <w:adjustRightInd w:val="0"/>
        <w:spacing w:line="400" w:lineRule="exact"/>
        <w:rPr>
          <w:rFonts w:ascii="宋体" w:hAnsi="宋体" w:cs="宋体"/>
          <w:szCs w:val="21"/>
          <w:highlight w:val="none"/>
        </w:rPr>
      </w:pPr>
      <w:r>
        <w:rPr>
          <w:rFonts w:hint="eastAsia" w:ascii="宋体" w:hAnsi="宋体" w:cs="宋体"/>
          <w:szCs w:val="21"/>
        </w:rPr>
        <w:t>2.</w:t>
      </w:r>
      <w:r>
        <w:rPr>
          <w:rFonts w:hint="default" w:ascii="宋体" w:hAnsi="宋体" w:cs="宋体"/>
          <w:szCs w:val="21"/>
        </w:rPr>
        <w:t>3</w:t>
      </w:r>
      <w:r>
        <w:rPr>
          <w:rFonts w:hint="eastAsia" w:ascii="宋体" w:hAnsi="宋体" w:cs="宋体"/>
          <w:szCs w:val="21"/>
        </w:rPr>
        <w:t xml:space="preserve"> 比选范围：</w:t>
      </w:r>
      <w:r>
        <w:rPr>
          <w:rFonts w:hint="eastAsia" w:ascii="宋体" w:hAnsi="宋体"/>
          <w:szCs w:val="21"/>
        </w:rPr>
        <w:t>1.外场普通高速路段数字孪生系统所需设备供货及主要设备调试工作；2.软件部署、网络联调以及系统集成工作；3. 实现上级云控平台的数据对接及跨系统联调工作，按照云控平台数据接口规范进行数据对接（含需求确认以及设计）；4. 实现外场普通高速路段数字孪生系统功能并完成与上级云控平台的功能对接（含需求确认以及设计）；5.完成与隧道数字孪生系统的对接，包括全域数据对接以及功能整合。</w:t>
      </w:r>
      <w:r>
        <w:rPr>
          <w:rFonts w:hint="eastAsia" w:ascii="宋体" w:hAnsi="宋体"/>
          <w:szCs w:val="21"/>
          <w:lang w:val="en-US" w:eastAsia="zh-CN"/>
        </w:rPr>
        <w:t>具体要求</w:t>
      </w:r>
      <w:r>
        <w:rPr>
          <w:rFonts w:hint="eastAsia" w:ascii="宋体" w:hAnsi="宋体" w:cs="宋体"/>
          <w:szCs w:val="21"/>
        </w:rPr>
        <w:t>详见本竞争性比选</w:t>
      </w:r>
      <w:r>
        <w:rPr>
          <w:rFonts w:hint="eastAsia" w:ascii="宋体" w:hAnsi="宋体" w:cs="宋体"/>
          <w:szCs w:val="21"/>
          <w:highlight w:val="none"/>
        </w:rPr>
        <w:t>函“第七章  技术标准和工作要求”</w:t>
      </w:r>
      <w:r>
        <w:rPr>
          <w:rFonts w:hint="eastAsia" w:ascii="宋体" w:hAnsi="宋体" w:cs="宋体"/>
          <w:szCs w:val="21"/>
          <w:highlight w:val="none"/>
          <w:lang w:eastAsia="zh-CN"/>
        </w:rPr>
        <w:t>，</w:t>
      </w:r>
      <w:r>
        <w:rPr>
          <w:rFonts w:hint="eastAsia" w:ascii="宋体" w:hAnsi="宋体" w:cs="宋体"/>
          <w:szCs w:val="21"/>
          <w:highlight w:val="none"/>
          <w:lang w:val="en-US" w:eastAsia="zh-CN"/>
        </w:rPr>
        <w:t>工程量清单详见本竞争性比选函“第五章 工程量清单”</w:t>
      </w:r>
      <w:r>
        <w:rPr>
          <w:rFonts w:hint="eastAsia" w:ascii="宋体" w:hAnsi="宋体" w:cs="宋体"/>
          <w:szCs w:val="21"/>
          <w:highlight w:val="none"/>
        </w:rPr>
        <w:t>。</w:t>
      </w:r>
    </w:p>
    <w:p>
      <w:pPr>
        <w:pStyle w:val="12"/>
        <w:adjustRightInd w:val="0"/>
        <w:spacing w:line="400" w:lineRule="exact"/>
        <w:rPr>
          <w:rFonts w:hint="default" w:ascii="宋体" w:hAnsi="宋体" w:eastAsia="宋体" w:cs="宋体"/>
          <w:b w:val="0"/>
          <w:kern w:val="2"/>
          <w:sz w:val="21"/>
          <w:szCs w:val="21"/>
          <w:highlight w:val="none"/>
          <w:lang w:eastAsia="zh-CN" w:bidi="ar"/>
        </w:rPr>
      </w:pPr>
      <w:r>
        <w:rPr>
          <w:rFonts w:hint="eastAsia" w:ascii="宋体" w:hAnsi="宋体" w:cs="宋体"/>
          <w:szCs w:val="21"/>
          <w:highlight w:val="none"/>
        </w:rPr>
        <w:t>2.</w:t>
      </w:r>
      <w:r>
        <w:rPr>
          <w:rFonts w:hint="default" w:ascii="宋体" w:hAnsi="宋体" w:cs="宋体"/>
          <w:szCs w:val="21"/>
          <w:highlight w:val="none"/>
        </w:rPr>
        <w:t>4</w:t>
      </w:r>
      <w:r>
        <w:rPr>
          <w:rFonts w:hint="default" w:ascii="宋体" w:hAnsi="宋体" w:eastAsia="宋体" w:cs="宋体"/>
          <w:szCs w:val="21"/>
          <w:highlight w:val="none"/>
        </w:rPr>
        <w:t>工期</w:t>
      </w:r>
      <w:r>
        <w:rPr>
          <w:rFonts w:hint="eastAsia" w:ascii="宋体" w:hAnsi="宋体" w:eastAsia="宋体" w:cs="宋体"/>
          <w:szCs w:val="21"/>
          <w:highlight w:val="none"/>
        </w:rPr>
        <w:t>：</w:t>
      </w:r>
      <w:r>
        <w:rPr>
          <w:rFonts w:hint="eastAsia" w:ascii="宋体" w:hAnsi="宋体" w:eastAsia="宋体" w:cs="宋体"/>
          <w:b w:val="0"/>
          <w:kern w:val="2"/>
          <w:sz w:val="21"/>
          <w:szCs w:val="21"/>
          <w:highlight w:val="none"/>
          <w:lang w:val="en-US" w:eastAsia="zh-CN" w:bidi="ar"/>
        </w:rPr>
        <w:t>开工日期</w:t>
      </w:r>
      <w:r>
        <w:rPr>
          <w:rFonts w:hint="default" w:ascii="宋体" w:hAnsi="宋体" w:eastAsia="宋体" w:cs="宋体"/>
          <w:b w:val="0"/>
          <w:kern w:val="2"/>
          <w:sz w:val="21"/>
          <w:szCs w:val="21"/>
          <w:highlight w:val="none"/>
          <w:lang w:eastAsia="zh-CN" w:bidi="ar"/>
        </w:rPr>
        <w:t>，</w:t>
      </w:r>
      <w:r>
        <w:rPr>
          <w:rFonts w:hint="eastAsia" w:ascii="宋体" w:hAnsi="宋体" w:eastAsia="宋体" w:cs="宋体"/>
          <w:b w:val="0"/>
          <w:kern w:val="2"/>
          <w:sz w:val="21"/>
          <w:szCs w:val="21"/>
          <w:highlight w:val="none"/>
          <w:lang w:val="en-US" w:eastAsia="zh-CN" w:bidi="ar"/>
        </w:rPr>
        <w:t>收到中标通知书之日起2天内组织人员进场；</w:t>
      </w:r>
      <w:r>
        <w:rPr>
          <w:rFonts w:hint="default" w:ascii="宋体" w:hAnsi="宋体" w:eastAsia="宋体" w:cs="宋体"/>
          <w:b w:val="0"/>
          <w:kern w:val="2"/>
          <w:sz w:val="21"/>
          <w:szCs w:val="21"/>
          <w:highlight w:val="none"/>
          <w:lang w:eastAsia="zh-CN" w:bidi="ar"/>
        </w:rPr>
        <w:t>完工日期，2022年12月31日前。</w:t>
      </w:r>
    </w:p>
    <w:p>
      <w:pPr>
        <w:keepNext w:val="0"/>
        <w:keepLines w:val="0"/>
        <w:widowControl w:val="0"/>
        <w:suppressLineNumbers w:val="0"/>
        <w:spacing w:before="0" w:beforeAutospacing="0" w:after="0" w:afterAutospacing="0" w:line="400" w:lineRule="exact"/>
        <w:ind w:left="0" w:right="0" w:firstLine="420" w:firstLineChars="200"/>
        <w:jc w:val="both"/>
        <w:rPr>
          <w:rFonts w:hint="default" w:ascii="宋体" w:hAnsi="宋体" w:eastAsia="宋体" w:cs="宋体"/>
          <w:b w:val="0"/>
          <w:kern w:val="2"/>
          <w:sz w:val="21"/>
          <w:szCs w:val="21"/>
          <w:lang w:eastAsia="zh-CN" w:bidi="ar"/>
        </w:rPr>
      </w:pPr>
      <w:r>
        <w:rPr>
          <w:rFonts w:hint="eastAsia" w:ascii="宋体" w:hAnsi="宋体" w:eastAsia="宋体" w:cs="宋体"/>
          <w:b w:val="0"/>
          <w:kern w:val="2"/>
          <w:sz w:val="21"/>
          <w:szCs w:val="21"/>
          <w:lang w:val="en-US" w:eastAsia="zh-CN" w:bidi="ar"/>
        </w:rPr>
        <w:t>2.5 标段划分：本项目划分为一个标段</w:t>
      </w:r>
      <w:r>
        <w:rPr>
          <w:rFonts w:hint="eastAsia" w:ascii="宋体" w:hAnsi="宋体" w:cs="宋体"/>
          <w:b w:val="0"/>
          <w:kern w:val="2"/>
          <w:sz w:val="21"/>
          <w:szCs w:val="21"/>
          <w:lang w:val="en-US" w:eastAsia="zh-CN" w:bidi="ar"/>
        </w:rPr>
        <w:t>。</w:t>
      </w:r>
    </w:p>
    <w:p>
      <w:pPr>
        <w:pStyle w:val="4"/>
        <w:spacing w:before="120" w:after="0" w:line="360" w:lineRule="auto"/>
        <w:rPr>
          <w:rFonts w:ascii="宋体" w:hAnsi="宋体" w:eastAsia="宋体" w:cs="宋体"/>
        </w:rPr>
      </w:pPr>
      <w:bookmarkStart w:id="38" w:name="_Toc246996160"/>
      <w:bookmarkStart w:id="39" w:name="_Toc247085674"/>
      <w:bookmarkStart w:id="40" w:name="_Toc8744"/>
      <w:bookmarkStart w:id="41" w:name="_Toc246996903"/>
      <w:bookmarkStart w:id="42" w:name="_Toc507319893"/>
      <w:bookmarkStart w:id="43" w:name="_Toc152045514"/>
      <w:bookmarkStart w:id="44" w:name="_Toc26889"/>
      <w:bookmarkStart w:id="45" w:name="_Toc10171"/>
      <w:bookmarkStart w:id="46" w:name="_Toc11329215"/>
      <w:bookmarkStart w:id="47" w:name="_Toc7065"/>
      <w:bookmarkStart w:id="48" w:name="_Toc152042290"/>
      <w:bookmarkStart w:id="49" w:name="_Toc144974482"/>
      <w:bookmarkStart w:id="50" w:name="_Toc30356"/>
      <w:bookmarkStart w:id="51" w:name="_Toc179632530"/>
      <w:r>
        <w:rPr>
          <w:rFonts w:hint="eastAsia" w:ascii="宋体" w:hAnsi="宋体" w:eastAsia="宋体" w:cs="宋体"/>
        </w:rPr>
        <w:t>3. 报价人资格要求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400" w:lineRule="exact"/>
        <w:ind w:firstLine="420" w:firstLineChars="200"/>
        <w:rPr>
          <w:rFonts w:hint="eastAsia" w:ascii="宋体" w:hAnsi="宋体" w:eastAsia="宋体" w:cs="宋体"/>
          <w:kern w:val="2"/>
          <w:sz w:val="21"/>
          <w:szCs w:val="21"/>
          <w:shd w:val="clear" w:color="auto" w:fill="FFFFFF"/>
          <w:lang w:val="en-US" w:eastAsia="zh-CN" w:bidi="ar-SA"/>
        </w:rPr>
      </w:pPr>
      <w:bookmarkStart w:id="52" w:name="_Toc246996161"/>
      <w:bookmarkStart w:id="53" w:name="_Toc11329216"/>
      <w:bookmarkStart w:id="54" w:name="_Toc152042291"/>
      <w:bookmarkStart w:id="55" w:name="_Toc247085675"/>
      <w:bookmarkStart w:id="56" w:name="_Toc12460"/>
      <w:bookmarkStart w:id="57" w:name="_Toc246996904"/>
      <w:bookmarkStart w:id="58" w:name="_Toc25619"/>
      <w:bookmarkStart w:id="59" w:name="_Toc152045515"/>
      <w:bookmarkStart w:id="60" w:name="_Toc144974483"/>
      <w:bookmarkStart w:id="61" w:name="_Toc7266"/>
      <w:bookmarkStart w:id="62" w:name="_Toc507319894"/>
      <w:bookmarkStart w:id="63" w:name="_Toc20193"/>
      <w:bookmarkStart w:id="64" w:name="_Toc14361"/>
      <w:bookmarkStart w:id="65" w:name="_Toc179632531"/>
      <w:r>
        <w:rPr>
          <w:rFonts w:hint="eastAsia" w:ascii="宋体" w:hAnsi="宋体" w:cs="宋体"/>
          <w:szCs w:val="21"/>
          <w:shd w:val="clear" w:color="auto" w:fill="FFFFFF"/>
        </w:rPr>
        <w:t>3.1 资质要求：</w:t>
      </w:r>
      <w:r>
        <w:rPr>
          <w:rFonts w:hint="eastAsia" w:ascii="宋体" w:hAnsi="宋体" w:cs="宋体"/>
          <w:szCs w:val="21"/>
          <w:highlight w:val="none"/>
          <w:shd w:val="clear" w:color="auto" w:fill="FFFFFF"/>
        </w:rPr>
        <w:t>具有</w:t>
      </w:r>
      <w:r>
        <w:rPr>
          <w:rFonts w:hint="default" w:ascii="宋体" w:hAnsi="宋体" w:cs="宋体"/>
          <w:szCs w:val="21"/>
          <w:highlight w:val="none"/>
          <w:shd w:val="clear" w:color="auto" w:fill="FFFFFF"/>
        </w:rPr>
        <w:t>独立法人资格，</w:t>
      </w:r>
      <w:r>
        <w:rPr>
          <w:rFonts w:hint="eastAsia" w:ascii="宋体" w:hAnsi="宋体" w:cs="宋体"/>
          <w:szCs w:val="21"/>
          <w:highlight w:val="none"/>
          <w:shd w:val="clear" w:color="auto" w:fill="FFFFFF"/>
        </w:rPr>
        <w:t>有效的营业执照（</w:t>
      </w:r>
      <w:r>
        <w:rPr>
          <w:rFonts w:hint="default" w:ascii="宋体" w:hAnsi="宋体" w:cs="宋体"/>
          <w:szCs w:val="21"/>
          <w:highlight w:val="none"/>
          <w:shd w:val="clear" w:color="auto" w:fill="FFFFFF"/>
        </w:rPr>
        <w:t>经营范围</w:t>
      </w:r>
      <w:r>
        <w:rPr>
          <w:rFonts w:hint="eastAsia" w:ascii="宋体" w:hAnsi="宋体" w:cs="宋体"/>
          <w:szCs w:val="21"/>
          <w:highlight w:val="none"/>
          <w:shd w:val="clear" w:color="auto" w:fill="FFFFFF"/>
        </w:rPr>
        <w:t>范围</w:t>
      </w:r>
      <w:r>
        <w:rPr>
          <w:rFonts w:hint="default" w:ascii="宋体" w:hAnsi="宋体" w:cs="宋体"/>
          <w:szCs w:val="21"/>
          <w:highlight w:val="none"/>
          <w:shd w:val="clear" w:color="auto" w:fill="FFFFFF"/>
        </w:rPr>
        <w:t>需</w:t>
      </w:r>
      <w:r>
        <w:rPr>
          <w:rFonts w:hint="eastAsia" w:ascii="宋体" w:hAnsi="宋体" w:cs="宋体"/>
          <w:szCs w:val="21"/>
          <w:highlight w:val="none"/>
          <w:shd w:val="clear" w:color="auto" w:fill="FFFFFF"/>
          <w:lang w:val="en-US" w:eastAsia="zh-CN"/>
        </w:rPr>
        <w:t>含计算机信息技术或交通工程</w:t>
      </w:r>
      <w:r>
        <w:rPr>
          <w:rFonts w:hint="eastAsia" w:ascii="宋体" w:hAnsi="宋体" w:cs="宋体"/>
          <w:szCs w:val="21"/>
          <w:highlight w:val="none"/>
          <w:shd w:val="clear" w:color="auto" w:fill="FFFFFF"/>
        </w:rPr>
        <w:t>等相关内容）</w:t>
      </w:r>
      <w:r>
        <w:rPr>
          <w:rFonts w:hint="eastAsia" w:ascii="宋体" w:hAnsi="宋体" w:cs="宋体"/>
          <w:szCs w:val="21"/>
          <w:highlight w:val="none"/>
          <w:shd w:val="clear" w:color="auto" w:fill="FFFFFF"/>
          <w:lang w:eastAsia="zh-CN"/>
        </w:rPr>
        <w:t>。</w:t>
      </w:r>
    </w:p>
    <w:p>
      <w:pPr>
        <w:spacing w:line="400" w:lineRule="exact"/>
        <w:ind w:firstLine="420" w:firstLineChars="200"/>
        <w:rPr>
          <w:rFonts w:hint="default"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3.2业绩要求：报价人或外场普通高速路段数字孪生系统供应商需具有至少1个2020年1月1日至本竞争性比选函发出之日的系统集成类项目相关业绩（以合同签订时间为准）。</w:t>
      </w:r>
    </w:p>
    <w:p>
      <w:pPr>
        <w:spacing w:line="400" w:lineRule="exact"/>
        <w:ind w:firstLine="420" w:firstLineChars="200"/>
        <w:rPr>
          <w:rFonts w:hint="eastAsia" w:ascii="宋体" w:hAnsi="宋体" w:cs="宋体"/>
          <w:szCs w:val="21"/>
          <w:shd w:val="clear" w:color="auto" w:fill="FFFFFF"/>
        </w:rPr>
      </w:pPr>
      <w:r>
        <w:rPr>
          <w:rFonts w:hint="default" w:ascii="宋体" w:hAnsi="宋体" w:cs="宋体"/>
          <w:szCs w:val="21"/>
          <w:shd w:val="clear" w:color="auto" w:fill="FFFFFF"/>
          <w:lang w:val="en-US" w:eastAsia="zh-CN"/>
        </w:rPr>
        <w:t>3.</w:t>
      </w:r>
      <w:r>
        <w:rPr>
          <w:rFonts w:hint="eastAsia" w:ascii="宋体" w:hAnsi="宋体" w:cs="宋体"/>
          <w:szCs w:val="21"/>
          <w:shd w:val="clear" w:color="auto" w:fill="FFFFFF"/>
          <w:lang w:val="en-US" w:eastAsia="zh-CN"/>
        </w:rPr>
        <w:t>3信誉要求：在国家企业信用信息公示系统（http://www.gsxt.gov.cn/）中未被列入严重违法失信企业名单（黑名单）信息；在“信用中国”网站（http://www.creditchina.gov.cn/）中未被列入失信惩戒执行人名单。</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3.</w:t>
      </w:r>
      <w:r>
        <w:rPr>
          <w:rFonts w:hint="eastAsia" w:ascii="宋体" w:hAnsi="宋体" w:cs="宋体"/>
          <w:kern w:val="2"/>
          <w:sz w:val="21"/>
          <w:szCs w:val="21"/>
          <w:shd w:val="clear" w:fill="FFFFFF"/>
          <w:lang w:val="en-US" w:eastAsia="zh-CN" w:bidi="ar"/>
        </w:rPr>
        <w:t>4</w:t>
      </w:r>
      <w:r>
        <w:rPr>
          <w:rFonts w:hint="eastAsia" w:ascii="宋体" w:hAnsi="宋体" w:eastAsia="宋体" w:cs="宋体"/>
          <w:kern w:val="2"/>
          <w:sz w:val="21"/>
          <w:szCs w:val="21"/>
          <w:shd w:val="clear" w:fill="FFFFFF"/>
          <w:lang w:val="en-US" w:eastAsia="zh-CN" w:bidi="ar"/>
        </w:rPr>
        <w:t xml:space="preserve"> 报价人须提供采购人要求的所有资质要求、业绩要求、信誉要求的复印件并加盖单位鲜公章。</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3.</w:t>
      </w:r>
      <w:r>
        <w:rPr>
          <w:rFonts w:hint="eastAsia" w:ascii="宋体" w:hAnsi="宋体" w:cs="宋体"/>
          <w:kern w:val="2"/>
          <w:sz w:val="21"/>
          <w:szCs w:val="21"/>
          <w:shd w:val="clear" w:fill="FFFFFF"/>
          <w:lang w:val="en-US" w:eastAsia="zh-CN" w:bidi="ar"/>
        </w:rPr>
        <w:t>5</w:t>
      </w:r>
      <w:r>
        <w:rPr>
          <w:rFonts w:hint="eastAsia" w:ascii="宋体" w:hAnsi="宋体" w:eastAsia="宋体" w:cs="宋体"/>
          <w:kern w:val="2"/>
          <w:sz w:val="21"/>
          <w:szCs w:val="21"/>
          <w:shd w:val="clear" w:fill="FFFFFF"/>
          <w:lang w:val="en-US" w:eastAsia="zh-CN" w:bidi="ar"/>
        </w:rPr>
        <w:t xml:space="preserve"> 本次比选不接受联合体报价。</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kern w:val="2"/>
          <w:sz w:val="21"/>
          <w:szCs w:val="21"/>
          <w:shd w:val="clear" w:fill="FFFFFF"/>
        </w:rPr>
      </w:pPr>
      <w:r>
        <w:rPr>
          <w:rFonts w:hint="eastAsia" w:ascii="宋体" w:hAnsi="宋体" w:eastAsia="宋体" w:cs="宋体"/>
          <w:kern w:val="2"/>
          <w:sz w:val="21"/>
          <w:szCs w:val="21"/>
          <w:shd w:val="clear" w:fill="FFFFFF"/>
          <w:lang w:val="en-US" w:eastAsia="zh-CN" w:bidi="ar"/>
        </w:rPr>
        <w:t>3.</w:t>
      </w:r>
      <w:r>
        <w:rPr>
          <w:rFonts w:hint="eastAsia" w:ascii="宋体" w:hAnsi="宋体" w:cs="宋体"/>
          <w:kern w:val="2"/>
          <w:sz w:val="21"/>
          <w:szCs w:val="21"/>
          <w:shd w:val="clear" w:fill="FFFFFF"/>
          <w:lang w:val="en-US" w:eastAsia="zh-CN" w:bidi="ar"/>
        </w:rPr>
        <w:t>6</w:t>
      </w:r>
      <w:r>
        <w:rPr>
          <w:rFonts w:hint="eastAsia" w:ascii="宋体" w:hAnsi="宋体" w:eastAsia="宋体" w:cs="宋体"/>
          <w:kern w:val="2"/>
          <w:sz w:val="21"/>
          <w:szCs w:val="21"/>
          <w:shd w:val="clear" w:fill="FFFFFF"/>
          <w:lang w:val="en-US" w:eastAsia="zh-CN" w:bidi="ar"/>
        </w:rPr>
        <w:t xml:space="preserve">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r>
        <w:rPr>
          <w:rFonts w:hint="eastAsia" w:ascii="宋体" w:hAnsi="宋体" w:eastAsia="宋体" w:cs="宋体"/>
        </w:rPr>
        <w:t>4. 比选文件的获取</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360" w:lineRule="auto"/>
        <w:ind w:firstLine="420" w:firstLineChars="200"/>
        <w:rPr>
          <w:rFonts w:ascii="宋体" w:hAnsi="宋体"/>
          <w:szCs w:val="21"/>
          <w:highlight w:val="none"/>
        </w:rPr>
      </w:pPr>
      <w:bookmarkStart w:id="66" w:name="_Toc507319895"/>
      <w:bookmarkStart w:id="67" w:name="_Toc246996162"/>
      <w:bookmarkStart w:id="68" w:name="_Toc152045516"/>
      <w:bookmarkStart w:id="69" w:name="_Toc247085676"/>
      <w:bookmarkStart w:id="70" w:name="_Toc246996905"/>
      <w:bookmarkStart w:id="71" w:name="_Toc144974484"/>
      <w:bookmarkStart w:id="72" w:name="_Toc11329217"/>
      <w:bookmarkStart w:id="73" w:name="_Toc179632532"/>
      <w:bookmarkStart w:id="74" w:name="_Toc152042292"/>
      <w:r>
        <w:rPr>
          <w:rFonts w:ascii="宋体" w:hAnsi="宋体"/>
          <w:szCs w:val="21"/>
        </w:rPr>
        <w:t>凡</w:t>
      </w:r>
      <w:r>
        <w:rPr>
          <w:rFonts w:ascii="宋体" w:hAnsi="宋体"/>
          <w:szCs w:val="21"/>
          <w:highlight w:val="none"/>
        </w:rPr>
        <w:t>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2022</w:t>
      </w:r>
      <w:r>
        <w:rPr>
          <w:rFonts w:hint="eastAsia"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u w:val="single"/>
        </w:rPr>
        <w:t>1</w:t>
      </w:r>
      <w:r>
        <w:rPr>
          <w:rFonts w:hint="eastAsia" w:ascii="宋体" w:hAnsi="宋体"/>
          <w:szCs w:val="21"/>
          <w:highlight w:val="none"/>
          <w:u w:val="single"/>
          <w:lang w:val="en-US" w:eastAsia="zh-CN"/>
        </w:rPr>
        <w:t>2</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w:t>
      </w:r>
      <w:r>
        <w:rPr>
          <w:rFonts w:ascii="宋体" w:hAnsi="宋体"/>
          <w:szCs w:val="21"/>
          <w:highlight w:val="none"/>
          <w:u w:val="single"/>
        </w:rPr>
        <w:t xml:space="preserve"> </w:t>
      </w:r>
      <w:r>
        <w:rPr>
          <w:rFonts w:hint="eastAsia" w:ascii="宋体" w:hAnsi="宋体"/>
          <w:szCs w:val="21"/>
          <w:highlight w:val="none"/>
        </w:rPr>
        <w:t>日上午</w:t>
      </w:r>
      <w:r>
        <w:rPr>
          <w:rFonts w:hint="eastAsia" w:ascii="宋体" w:hAnsi="宋体"/>
          <w:szCs w:val="21"/>
          <w:highlight w:val="none"/>
          <w:u w:val="single"/>
        </w:rPr>
        <w:t>1</w:t>
      </w:r>
      <w:r>
        <w:rPr>
          <w:rFonts w:hint="eastAsia" w:ascii="宋体" w:hAnsi="宋体"/>
          <w:szCs w:val="21"/>
          <w:highlight w:val="none"/>
          <w:u w:val="single"/>
          <w:lang w:val="en-US" w:eastAsia="zh-CN"/>
        </w:rPr>
        <w:t>2</w:t>
      </w:r>
      <w:r>
        <w:rPr>
          <w:rFonts w:hint="eastAsia" w:ascii="宋体" w:hAnsi="宋体"/>
          <w:szCs w:val="21"/>
          <w:highlight w:val="none"/>
          <w:u w:val="single"/>
        </w:rPr>
        <w:t>:00</w:t>
      </w:r>
      <w:r>
        <w:rPr>
          <w:rFonts w:hint="eastAsia" w:ascii="宋体" w:hAnsi="宋体"/>
          <w:szCs w:val="21"/>
          <w:highlight w:val="none"/>
        </w:rPr>
        <w:t>前在重庆高速集团官网</w:t>
      </w:r>
      <w:r>
        <w:rPr>
          <w:rFonts w:hint="eastAsia" w:ascii="宋体" w:hAnsi="宋体" w:eastAsia="宋体" w:cs="宋体"/>
          <w:kern w:val="2"/>
          <w:sz w:val="21"/>
          <w:szCs w:val="21"/>
          <w:highlight w:val="none"/>
          <w:lang w:val="en-US" w:eastAsia="zh-CN" w:bidi="ar"/>
        </w:rPr>
        <w:t>（</w:t>
      </w:r>
      <w:r>
        <w:rPr>
          <w:rFonts w:hint="eastAsia" w:ascii="宋体" w:hAnsi="宋体" w:eastAsia="宋体" w:cs="Times New Roman"/>
          <w:kern w:val="2"/>
          <w:sz w:val="21"/>
          <w:szCs w:val="21"/>
          <w:highlight w:val="none"/>
          <w:lang w:val="en-US" w:eastAsia="zh-CN" w:bidi="ar"/>
        </w:rPr>
        <w:t>http://www.cegc.com.cn/gw/newsInfoMenu.html?id=42&amp;key=2）</w:t>
      </w:r>
      <w:r>
        <w:rPr>
          <w:rFonts w:hint="eastAsia" w:ascii="宋体" w:hAnsi="宋体"/>
          <w:szCs w:val="21"/>
          <w:highlight w:val="none"/>
        </w:rPr>
        <w:t>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75" w:name="_Toc9131"/>
      <w:bookmarkStart w:id="76" w:name="_Toc17832"/>
      <w:bookmarkStart w:id="77" w:name="_Toc3064"/>
      <w:bookmarkStart w:id="78" w:name="_Toc31493"/>
      <w:bookmarkStart w:id="79" w:name="_Toc16686"/>
      <w:r>
        <w:rPr>
          <w:rFonts w:hint="eastAsia" w:ascii="宋体" w:hAnsi="宋体" w:eastAsia="宋体" w:cs="宋体"/>
          <w:highlight w:val="none"/>
        </w:rPr>
        <w:t>5. 竞争性比选响应文件的递交</w:t>
      </w:r>
      <w:bookmarkEnd w:id="66"/>
      <w:bookmarkEnd w:id="67"/>
      <w:bookmarkEnd w:id="68"/>
      <w:bookmarkEnd w:id="69"/>
      <w:bookmarkEnd w:id="70"/>
      <w:bookmarkEnd w:id="71"/>
      <w:bookmarkEnd w:id="72"/>
      <w:bookmarkEnd w:id="73"/>
      <w:bookmarkEnd w:id="74"/>
      <w:r>
        <w:rPr>
          <w:rFonts w:hint="eastAsia" w:ascii="宋体" w:hAnsi="宋体" w:eastAsia="宋体" w:cs="宋体"/>
          <w:highlight w:val="none"/>
        </w:rPr>
        <w:t>及相关事宜</w:t>
      </w:r>
      <w:bookmarkEnd w:id="75"/>
      <w:bookmarkEnd w:id="76"/>
      <w:bookmarkEnd w:id="77"/>
      <w:bookmarkEnd w:id="78"/>
      <w:bookmarkEnd w:id="79"/>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2022</w:t>
      </w:r>
      <w:r>
        <w:rPr>
          <w:rFonts w:hint="eastAsia"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u w:val="single"/>
        </w:rPr>
        <w:t>1</w:t>
      </w:r>
      <w:r>
        <w:rPr>
          <w:rFonts w:hint="eastAsia" w:ascii="宋体" w:hAnsi="宋体"/>
          <w:szCs w:val="21"/>
          <w:highlight w:val="none"/>
          <w:u w:val="single"/>
          <w:lang w:val="en-US" w:eastAsia="zh-CN"/>
        </w:rPr>
        <w:t>2</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2</w:t>
      </w:r>
      <w:r>
        <w:rPr>
          <w:rFonts w:hint="eastAsia" w:ascii="宋体" w:hAnsi="宋体"/>
          <w:szCs w:val="21"/>
          <w:highlight w:val="none"/>
          <w:u w:val="single"/>
        </w:rPr>
        <w:t xml:space="preserve"> </w:t>
      </w:r>
      <w:r>
        <w:rPr>
          <w:rFonts w:hint="eastAsia" w:ascii="宋体" w:hAnsi="宋体"/>
          <w:szCs w:val="21"/>
          <w:highlight w:val="none"/>
        </w:rPr>
        <w:t>日上午</w:t>
      </w:r>
      <w:r>
        <w:rPr>
          <w:rFonts w:hint="eastAsia" w:ascii="宋体" w:hAnsi="宋体"/>
          <w:szCs w:val="21"/>
          <w:highlight w:val="none"/>
          <w:u w:val="single"/>
        </w:rPr>
        <w:t>1</w:t>
      </w:r>
      <w:r>
        <w:rPr>
          <w:rFonts w:hint="eastAsia" w:ascii="宋体" w:hAnsi="宋体"/>
          <w:szCs w:val="21"/>
          <w:highlight w:val="none"/>
          <w:u w:val="single"/>
          <w:lang w:val="en-US" w:eastAsia="zh-CN"/>
        </w:rPr>
        <w:t>2</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default" w:hAnsi="宋体"/>
          <w:color w:val="FF0000"/>
          <w:szCs w:val="21"/>
          <w:highlight w:val="none"/>
        </w:rPr>
      </w:pPr>
      <w:r>
        <w:rPr>
          <w:rFonts w:hint="eastAsia" w:ascii="宋体" w:hAnsi="宋体" w:cs="宋体"/>
          <w:color w:val="FF0000"/>
          <w:szCs w:val="21"/>
          <w:highlight w:val="none"/>
        </w:rPr>
        <w:t>5.2报价的递交：</w:t>
      </w:r>
      <w:r>
        <w:rPr>
          <w:rFonts w:hint="default" w:ascii="宋体" w:hAnsi="宋体" w:cs="宋体"/>
          <w:color w:val="FF0000"/>
          <w:szCs w:val="21"/>
          <w:highlight w:val="none"/>
        </w:rPr>
        <w:t>因疫情原因，所有报价文件</w:t>
      </w:r>
      <w:r>
        <w:rPr>
          <w:rFonts w:hint="eastAsia" w:ascii="宋体" w:hAnsi="宋体" w:cs="宋体"/>
          <w:color w:val="FF0000"/>
          <w:szCs w:val="21"/>
          <w:highlight w:val="none"/>
          <w:lang w:val="en-US" w:eastAsia="zh-CN"/>
        </w:rPr>
        <w:t>均采用电子投递方式，将响应性文件扫描件通过授权邮箱采用加密电子邮件方式递交。</w:t>
      </w:r>
    </w:p>
    <w:p>
      <w:pPr>
        <w:pStyle w:val="27"/>
        <w:ind w:firstLine="420" w:firstLineChars="200"/>
        <w:rPr>
          <w:rFonts w:hint="eastAsia" w:ascii="宋体" w:hAnsi="宋体" w:cs="宋体"/>
          <w:b w:val="0"/>
          <w:bCs w:val="0"/>
          <w:caps w:val="0"/>
          <w:color w:val="FF0000"/>
          <w:kern w:val="2"/>
          <w:sz w:val="21"/>
          <w:szCs w:val="21"/>
          <w:lang w:val="en-US" w:eastAsia="zh-CN" w:bidi="ar-SA"/>
        </w:rPr>
      </w:pPr>
      <w:r>
        <w:rPr>
          <w:rFonts w:hint="eastAsia" w:ascii="宋体" w:hAnsi="宋体" w:eastAsia="宋体" w:cs="宋体"/>
          <w:b w:val="0"/>
          <w:bCs w:val="0"/>
          <w:caps w:val="0"/>
          <w:color w:val="FF0000"/>
          <w:kern w:val="2"/>
          <w:sz w:val="21"/>
          <w:szCs w:val="21"/>
          <w:lang w:val="en-US" w:eastAsia="zh-CN" w:bidi="ar-SA"/>
        </w:rPr>
        <w:t>5.3</w:t>
      </w:r>
      <w:r>
        <w:rPr>
          <w:rFonts w:hint="eastAsia" w:ascii="宋体" w:hAnsi="宋体" w:cs="宋体"/>
          <w:b w:val="0"/>
          <w:bCs w:val="0"/>
          <w:caps w:val="0"/>
          <w:color w:val="FF0000"/>
          <w:kern w:val="2"/>
          <w:sz w:val="21"/>
          <w:szCs w:val="21"/>
          <w:lang w:val="en-US" w:eastAsia="zh-CN" w:bidi="ar-SA"/>
        </w:rPr>
        <w:t>电子邮件递交要求：</w:t>
      </w:r>
      <w:r>
        <w:rPr>
          <w:rFonts w:hint="eastAsia" w:ascii="宋体" w:hAnsi="宋体" w:cs="宋体"/>
          <w:b w:val="0"/>
          <w:bCs w:val="0"/>
          <w:caps w:val="0"/>
          <w:color w:val="FF0000"/>
          <w:kern w:val="2"/>
          <w:sz w:val="21"/>
          <w:szCs w:val="21"/>
          <w:lang w:val="en-US" w:eastAsia="zh-CN" w:bidi="ar-SA"/>
        </w:rPr>
        <w:fldChar w:fldCharType="begin"/>
      </w:r>
      <w:r>
        <w:rPr>
          <w:rFonts w:hint="eastAsia" w:ascii="宋体" w:hAnsi="宋体" w:cs="宋体"/>
          <w:b w:val="0"/>
          <w:bCs w:val="0"/>
          <w:caps w:val="0"/>
          <w:color w:val="FF0000"/>
          <w:kern w:val="2"/>
          <w:sz w:val="21"/>
          <w:szCs w:val="21"/>
          <w:lang w:val="en-US" w:eastAsia="zh-CN" w:bidi="ar-SA"/>
        </w:rPr>
        <w:instrText xml:space="preserve"> HYPERLINK "mailto:须在2022年11月25日9时30分至10时00分将响应文件通过已授权邮箱发送加密电子邮件至蒋淇jq610831078@163.com邮箱，同时在该时间段内将密码发送至陈晶58484414@qq.com邮箱。" </w:instrText>
      </w:r>
      <w:r>
        <w:rPr>
          <w:rFonts w:hint="eastAsia" w:ascii="宋体" w:hAnsi="宋体" w:cs="宋体"/>
          <w:b w:val="0"/>
          <w:bCs w:val="0"/>
          <w:caps w:val="0"/>
          <w:color w:val="FF0000"/>
          <w:kern w:val="2"/>
          <w:sz w:val="21"/>
          <w:szCs w:val="21"/>
          <w:lang w:val="en-US" w:eastAsia="zh-CN" w:bidi="ar-SA"/>
        </w:rPr>
        <w:fldChar w:fldCharType="separate"/>
      </w:r>
      <w:r>
        <w:rPr>
          <w:rStyle w:val="47"/>
          <w:rFonts w:hint="eastAsia" w:ascii="宋体" w:hAnsi="宋体" w:cs="宋体"/>
          <w:b w:val="0"/>
          <w:bCs w:val="0"/>
          <w:caps w:val="0"/>
          <w:color w:val="FF0000"/>
          <w:kern w:val="2"/>
          <w:sz w:val="21"/>
          <w:szCs w:val="21"/>
          <w:lang w:val="en-US" w:eastAsia="zh-CN" w:bidi="ar-SA"/>
        </w:rPr>
        <w:t>须在2022年12月2日11时30分至12时00分将响应文件通过已授权邮箱发送加密电子邮件至蒋淇jq610831078@163.com邮箱，同时在该时间段内将密码发送至陈晶58484414@qq.com邮箱。</w:t>
      </w:r>
      <w:r>
        <w:rPr>
          <w:rFonts w:hint="eastAsia" w:ascii="宋体" w:hAnsi="宋体" w:cs="宋体"/>
          <w:b w:val="0"/>
          <w:bCs w:val="0"/>
          <w:caps w:val="0"/>
          <w:color w:val="FF0000"/>
          <w:kern w:val="2"/>
          <w:sz w:val="21"/>
          <w:szCs w:val="21"/>
          <w:lang w:val="en-US" w:eastAsia="zh-CN" w:bidi="ar-SA"/>
        </w:rPr>
        <w:fldChar w:fldCharType="end"/>
      </w:r>
    </w:p>
    <w:p>
      <w:pPr>
        <w:rPr>
          <w:rFonts w:hint="default"/>
          <w:color w:val="FF0000"/>
          <w:lang w:val="en-US" w:eastAsia="zh-CN"/>
        </w:rPr>
      </w:pPr>
      <w:r>
        <w:rPr>
          <w:rFonts w:hint="eastAsia"/>
          <w:color w:val="FF0000"/>
          <w:lang w:val="en-US" w:eastAsia="zh-CN"/>
        </w:rPr>
        <w:t xml:space="preserve">    5.4站数字孪生系统DEMO现场演示及讲解：通过钉钉会议或者腾讯会议形式线上进行。</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5</w:t>
      </w:r>
      <w:r>
        <w:rPr>
          <w:rFonts w:ascii="宋体" w:hAnsi="宋体" w:cs="宋体"/>
          <w:szCs w:val="21"/>
        </w:rPr>
        <w:t>采购</w:t>
      </w:r>
      <w:r>
        <w:rPr>
          <w:rFonts w:hint="eastAsia" w:ascii="宋体" w:hAnsi="宋体" w:cs="宋体"/>
          <w:szCs w:val="21"/>
        </w:rPr>
        <w:tab/>
      </w:r>
      <w:r>
        <w:rPr>
          <w:rFonts w:ascii="宋体" w:hAnsi="宋体" w:cs="宋体"/>
          <w:szCs w:val="21"/>
        </w:rPr>
        <w:t>人不召开报价预备会。</w:t>
      </w:r>
    </w:p>
    <w:p>
      <w:pPr>
        <w:pStyle w:val="4"/>
        <w:spacing w:before="120" w:after="0" w:line="400" w:lineRule="exact"/>
        <w:rPr>
          <w:rFonts w:ascii="宋体" w:hAnsi="宋体" w:eastAsia="宋体" w:cs="宋体"/>
        </w:rPr>
      </w:pPr>
      <w:bookmarkStart w:id="80" w:name="_Toc11329219"/>
      <w:bookmarkStart w:id="81" w:name="_Toc507319897"/>
      <w:bookmarkStart w:id="82" w:name="_Toc393"/>
      <w:bookmarkStart w:id="83" w:name="_Toc179632534"/>
      <w:bookmarkStart w:id="84" w:name="_Toc246996164"/>
      <w:bookmarkStart w:id="85" w:name="_Toc18284"/>
      <w:bookmarkStart w:id="86" w:name="_Toc246996907"/>
      <w:bookmarkStart w:id="87" w:name="_Toc152045517"/>
      <w:bookmarkStart w:id="88" w:name="_Toc247085678"/>
      <w:bookmarkStart w:id="89" w:name="_Toc18402"/>
      <w:bookmarkStart w:id="90" w:name="_Toc10307"/>
      <w:bookmarkStart w:id="91" w:name="_Toc152042293"/>
      <w:bookmarkStart w:id="92" w:name="_Toc144974485"/>
      <w:bookmarkStart w:id="93" w:name="_Toc21615"/>
      <w:r>
        <w:rPr>
          <w:rFonts w:hint="eastAsia" w:ascii="宋体" w:hAnsi="宋体" w:eastAsia="宋体" w:cs="宋体"/>
        </w:rPr>
        <w:t>6. 联系方式</w:t>
      </w:r>
      <w:bookmarkEnd w:id="80"/>
      <w:bookmarkEnd w:id="81"/>
      <w:bookmarkEnd w:id="82"/>
      <w:bookmarkEnd w:id="83"/>
      <w:bookmarkEnd w:id="84"/>
      <w:bookmarkEnd w:id="85"/>
      <w:bookmarkEnd w:id="86"/>
      <w:bookmarkEnd w:id="87"/>
      <w:bookmarkEnd w:id="88"/>
      <w:bookmarkEnd w:id="89"/>
      <w:bookmarkEnd w:id="90"/>
      <w:bookmarkEnd w:id="91"/>
      <w:bookmarkEnd w:id="92"/>
      <w:bookmarkEnd w:id="93"/>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keepNext w:val="0"/>
              <w:keepLines w:val="0"/>
              <w:suppressLineNumbers w:val="0"/>
              <w:spacing w:before="0" w:beforeAutospacing="0" w:after="0" w:afterAutospacing="0" w:line="400" w:lineRule="exact"/>
              <w:ind w:left="0" w:right="0" w:firstLine="420" w:firstLineChars="200"/>
              <w:jc w:val="both"/>
              <w:rPr>
                <w:rFonts w:hint="default"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1"/>
              <w:keepNext w:val="0"/>
              <w:keepLines w:val="0"/>
              <w:suppressLineNumbers w:val="0"/>
              <w:spacing w:before="0" w:beforeAutospacing="0" w:after="0" w:afterAutospacing="0" w:line="400" w:lineRule="exact"/>
              <w:ind w:left="0" w:right="0" w:firstLine="420" w:firstLineChars="200"/>
              <w:jc w:val="both"/>
              <w:rPr>
                <w:rFonts w:hint="default"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keepNext w:val="0"/>
              <w:keepLines w:val="0"/>
              <w:suppressLineNumbers w:val="0"/>
              <w:topLinePunct/>
              <w:spacing w:before="0" w:beforeAutospacing="0" w:after="0" w:afterAutospacing="0" w:line="400" w:lineRule="exact"/>
              <w:ind w:left="1050" w:leftChars="200" w:right="0" w:hanging="630" w:hangingChars="300"/>
              <w:rPr>
                <w:rFonts w:hint="default" w:ascii="宋体" w:hAnsi="宋体" w:cs="宋体"/>
                <w:szCs w:val="21"/>
              </w:rPr>
            </w:pPr>
            <w:r>
              <w:rPr>
                <w:rFonts w:hint="eastAsia" w:ascii="宋体" w:hAnsi="宋体" w:cs="宋体"/>
                <w:szCs w:val="21"/>
              </w:rPr>
              <w:t>地址：重庆市渝北区新南路52号东界龙湖三楼</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keepNext w:val="0"/>
              <w:keepLines w:val="0"/>
              <w:suppressLineNumbers w:val="0"/>
              <w:topLinePunct/>
              <w:spacing w:before="0" w:beforeAutospacing="0" w:after="0" w:afterAutospacing="0" w:line="400" w:lineRule="exact"/>
              <w:ind w:left="0" w:leftChars="0" w:right="0" w:rightChars="0" w:firstLine="420" w:firstLineChars="200"/>
              <w:rPr>
                <w:rFonts w:hint="default" w:ascii="宋体" w:hAnsi="宋体" w:cs="宋体"/>
                <w:szCs w:val="21"/>
              </w:rPr>
            </w:pPr>
            <w:r>
              <w:rPr>
                <w:rFonts w:hint="eastAsia" w:ascii="宋体" w:hAnsi="宋体" w:cs="宋体"/>
                <w:szCs w:val="21"/>
              </w:rPr>
              <w:t>联系人：</w:t>
            </w:r>
            <w:r>
              <w:rPr>
                <w:rFonts w:hint="default" w:hAnsi="宋体"/>
                <w:szCs w:val="21"/>
              </w:rPr>
              <w:t>蒋老师</w:t>
            </w:r>
            <w:r>
              <w:rPr>
                <w:rFonts w:hint="eastAsia" w:hAnsi="宋体"/>
                <w:szCs w:val="21"/>
                <w:lang w:eastAsia="zh-CN"/>
              </w:rPr>
              <w:t>，</w:t>
            </w:r>
            <w:r>
              <w:rPr>
                <w:rFonts w:hint="eastAsia" w:hAnsi="宋体"/>
                <w:szCs w:val="21"/>
                <w:lang w:val="en-US" w:eastAsia="zh-CN"/>
              </w:rPr>
              <w:t>陈老师</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keepNext w:val="0"/>
              <w:keepLines w:val="0"/>
              <w:suppressLineNumbers w:val="0"/>
              <w:topLinePunct/>
              <w:spacing w:before="0" w:beforeAutospacing="0" w:after="0" w:afterAutospacing="0" w:line="420" w:lineRule="exact"/>
              <w:ind w:left="0" w:leftChars="0" w:right="0" w:rightChars="0" w:firstLine="420" w:firstLineChars="200"/>
              <w:rPr>
                <w:rFonts w:hint="default"/>
              </w:rPr>
            </w:pPr>
            <w:r>
              <w:rPr>
                <w:rFonts w:hint="eastAsia" w:ascii="宋体" w:hAnsi="宋体" w:cs="宋体"/>
                <w:szCs w:val="21"/>
              </w:rPr>
              <w:t>电 话：</w:t>
            </w:r>
            <w:r>
              <w:rPr>
                <w:rFonts w:hint="default" w:hAnsi="宋体"/>
                <w:szCs w:val="21"/>
              </w:rPr>
              <w:t>17783017837</w:t>
            </w:r>
            <w:r>
              <w:rPr>
                <w:rFonts w:hint="eastAsia" w:hAnsi="宋体"/>
                <w:szCs w:val="21"/>
                <w:lang w:eastAsia="zh-CN"/>
              </w:rPr>
              <w:t>，18716282801</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p>
        </w:tc>
      </w:tr>
    </w:tbl>
    <w:p/>
    <w:p>
      <w:pPr>
        <w:pStyle w:val="27"/>
      </w:pPr>
    </w:p>
    <w:p/>
    <w:p>
      <w:pPr>
        <w:pStyle w:val="27"/>
      </w:pPr>
    </w:p>
    <w:p/>
    <w:p>
      <w:pPr>
        <w:pStyle w:val="27"/>
      </w:pPr>
    </w:p>
    <w:p/>
    <w:p>
      <w:pPr>
        <w:pStyle w:val="27"/>
      </w:pPr>
    </w:p>
    <w:bookmarkEnd w:id="7"/>
    <w:bookmarkEnd w:id="8"/>
    <w:p>
      <w:pPr>
        <w:pStyle w:val="3"/>
        <w:spacing w:before="0" w:after="0" w:line="360" w:lineRule="auto"/>
        <w:jc w:val="center"/>
        <w:rPr>
          <w:rFonts w:ascii="宋体" w:hAnsi="宋体" w:cs="宋体"/>
        </w:rPr>
      </w:pPr>
      <w:bookmarkStart w:id="94" w:name="_Toc247085687"/>
      <w:bookmarkStart w:id="95" w:name="_Toc246996916"/>
      <w:bookmarkStart w:id="96" w:name="_Toc246996173"/>
      <w:bookmarkStart w:id="97" w:name="_Toc21719"/>
      <w:bookmarkStart w:id="98" w:name="_Toc144974495"/>
      <w:bookmarkStart w:id="99" w:name="_Toc507319898"/>
      <w:bookmarkStart w:id="100" w:name="_Toc152045527"/>
      <w:bookmarkStart w:id="101" w:name="_Toc152042303"/>
      <w:bookmarkStart w:id="102" w:name="_Toc179632544"/>
      <w:bookmarkStart w:id="103" w:name="_Toc2000405"/>
      <w:r>
        <w:rPr>
          <w:rFonts w:hint="eastAsia" w:ascii="宋体" w:hAnsi="宋体" w:cs="宋体"/>
        </w:rPr>
        <w:br w:type="page"/>
      </w:r>
      <w:bookmarkStart w:id="104" w:name="_Toc14958"/>
      <w:r>
        <w:rPr>
          <w:rFonts w:hint="eastAsia" w:ascii="宋体" w:hAnsi="宋体" w:cs="宋体"/>
        </w:rPr>
        <w:t>第二章 报价人须知</w:t>
      </w:r>
      <w:bookmarkEnd w:id="94"/>
      <w:bookmarkEnd w:id="95"/>
      <w:bookmarkEnd w:id="96"/>
      <w:bookmarkEnd w:id="97"/>
      <w:bookmarkEnd w:id="98"/>
      <w:bookmarkEnd w:id="99"/>
      <w:bookmarkEnd w:id="100"/>
      <w:bookmarkEnd w:id="101"/>
      <w:bookmarkEnd w:id="102"/>
      <w:bookmarkEnd w:id="103"/>
      <w:bookmarkEnd w:id="104"/>
    </w:p>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rPr>
            </w:pPr>
            <w:bookmarkStart w:id="105" w:name="_Toc326760840"/>
            <w:r>
              <w:rPr>
                <w:rFonts w:hint="eastAsia" w:ascii="宋体" w:hAnsi="宋体" w:cs="宋体"/>
                <w:b/>
                <w:kern w:val="0"/>
                <w:szCs w:val="21"/>
              </w:rPr>
              <w:t>序号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b/>
                <w:kern w:val="0"/>
                <w:szCs w:val="21"/>
              </w:rPr>
            </w:pPr>
            <w:r>
              <w:rPr>
                <w:rFonts w:hint="eastAsia" w:ascii="宋体" w:hAnsi="宋体" w:cs="宋体"/>
                <w:b/>
                <w:kern w:val="0"/>
                <w:szCs w:val="21"/>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default"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地  址：重庆市渝北区新南路52号东界龙湖三楼</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联系人：</w:t>
            </w:r>
            <w:r>
              <w:rPr>
                <w:rFonts w:hint="default" w:ascii="宋体" w:hAnsi="宋体" w:cs="宋体"/>
                <w:szCs w:val="21"/>
              </w:rPr>
              <w:t>蒋老师</w:t>
            </w:r>
          </w:p>
          <w:p>
            <w:pPr>
              <w:keepNext w:val="0"/>
              <w:keepLines w:val="0"/>
              <w:suppressLineNumbers w:val="0"/>
              <w:topLinePunct/>
              <w:spacing w:before="0" w:beforeAutospacing="0" w:after="0" w:afterAutospacing="0" w:line="420" w:lineRule="exact"/>
              <w:ind w:left="0" w:right="0" w:firstLine="420" w:firstLineChars="200"/>
              <w:rPr>
                <w:rFonts w:hint="default"/>
              </w:rPr>
            </w:pPr>
            <w:r>
              <w:rPr>
                <w:rFonts w:hint="eastAsia" w:ascii="宋体" w:hAnsi="宋体" w:cs="宋体"/>
                <w:szCs w:val="21"/>
              </w:rPr>
              <w:t>电  话：</w:t>
            </w:r>
            <w:r>
              <w:rPr>
                <w:rFonts w:hint="default" w:ascii="宋体" w:hAnsi="宋体" w:cs="宋体"/>
                <w:szCs w:val="21"/>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lang w:eastAsia="zh-CN"/>
              </w:rPr>
            </w:pPr>
            <w:r>
              <w:rPr>
                <w:rFonts w:hint="eastAsia" w:ascii="宋体" w:hAnsi="宋体" w:cs="宋体"/>
                <w:szCs w:val="21"/>
                <w:lang w:eastAsia="zh-CN"/>
              </w:rPr>
              <w:t>外场普通高速路段数字孪生系统设备采购与建设项目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资金来源</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出资比例</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资金落实情况</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比选范围</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kern w:val="0"/>
                <w:szCs w:val="21"/>
              </w:rPr>
              <w:t>计划工期</w:t>
            </w:r>
          </w:p>
        </w:tc>
        <w:tc>
          <w:tcPr>
            <w:tcW w:w="7104" w:type="dxa"/>
            <w:vAlign w:val="center"/>
          </w:tcPr>
          <w:p>
            <w:pPr>
              <w:keepNext w:val="0"/>
              <w:keepLines w:val="0"/>
              <w:suppressLineNumbers w:val="0"/>
              <w:autoSpaceDE w:val="0"/>
              <w:autoSpaceDN w:val="0"/>
              <w:adjustRightInd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szCs w:val="21"/>
              </w:rPr>
              <w:t>报价人资质条件、能力与信誉</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（1）资质条件：见附录1</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（2）财务要求：见附录2</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（3）业绩要求：见附录3</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（4）项目主要人员要求：见附录4</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（5）信誉要求：见附录5</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是否接受</w:t>
            </w:r>
          </w:p>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default"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16</w:t>
            </w:r>
          </w:p>
        </w:tc>
        <w:tc>
          <w:tcPr>
            <w:tcW w:w="2106"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cs="宋体"/>
                <w:kern w:val="0"/>
                <w:szCs w:val="21"/>
              </w:rPr>
            </w:pPr>
            <w:r>
              <w:rPr>
                <w:rFonts w:hint="eastAsia" w:ascii="宋体" w:hAnsi="宋体" w:cs="宋体"/>
                <w:bCs/>
                <w:szCs w:val="21"/>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default" w:ascii="宋体" w:hAnsi="宋体" w:cs="宋体"/>
                <w:szCs w:val="21"/>
              </w:rPr>
            </w:pPr>
            <w:r>
              <w:rPr>
                <w:rFonts w:hint="eastAsia" w:ascii="宋体" w:hAnsi="宋体" w:cs="宋体"/>
                <w:szCs w:val="21"/>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bookmarkStart w:id="106" w:name="_Hlt227984024"/>
            <w:bookmarkEnd w:id="106"/>
            <w:r>
              <w:rPr>
                <w:rFonts w:hint="eastAsia" w:ascii="宋体" w:hAnsi="宋体" w:cs="宋体"/>
                <w:kern w:val="0"/>
                <w:szCs w:val="21"/>
              </w:rPr>
              <w:t>17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50"/>
              <w:keepNext w:val="0"/>
              <w:keepLines w:val="0"/>
              <w:suppressLineNumbers w:val="0"/>
              <w:spacing w:before="72" w:beforeAutospacing="0" w:after="0" w:afterAutospacing="0" w:line="400" w:lineRule="exact"/>
              <w:ind w:left="0" w:right="0" w:firstLine="420" w:firstLineChars="200"/>
              <w:jc w:val="both"/>
              <w:rPr>
                <w:rFonts w:hint="default"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default" w:ascii="宋体" w:hAnsi="宋体" w:cs="宋体"/>
                <w:szCs w:val="21"/>
              </w:rPr>
            </w:pPr>
            <w:r>
              <w:rPr>
                <w:rFonts w:hint="eastAsia" w:ascii="宋体" w:hAnsi="宋体" w:cs="宋体"/>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default" w:ascii="宋体" w:hAnsi="宋体" w:cs="宋体"/>
                <w:b/>
                <w:szCs w:val="21"/>
              </w:rPr>
            </w:pPr>
            <w:r>
              <w:rPr>
                <w:rFonts w:hint="eastAsia" w:ascii="宋体" w:hAnsi="宋体" w:cs="宋体"/>
                <w:b/>
                <w:szCs w:val="21"/>
              </w:rPr>
              <w:t>综合单价取小数点后两位，小数点后第三位四舍五入。</w:t>
            </w:r>
          </w:p>
          <w:p>
            <w:pPr>
              <w:keepNext w:val="0"/>
              <w:keepLines w:val="0"/>
              <w:suppressLineNumbers w:val="0"/>
              <w:spacing w:before="0" w:beforeAutospacing="0" w:after="0" w:afterAutospacing="0" w:line="400" w:lineRule="exact"/>
              <w:ind w:left="0" w:right="0" w:firstLine="422" w:firstLineChars="200"/>
              <w:rPr>
                <w:rFonts w:hint="default"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19</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shd w:val="clear" w:color="auto" w:fill="auto"/>
          </w:tcPr>
          <w:p>
            <w:pPr>
              <w:keepNext w:val="0"/>
              <w:keepLines w:val="0"/>
              <w:suppressLineNumbers w:val="0"/>
              <w:spacing w:before="0" w:beforeAutospacing="0" w:after="0" w:afterAutospacing="0" w:line="400" w:lineRule="exact"/>
              <w:ind w:left="0" w:right="0" w:firstLine="422"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本项目最高限价</w:t>
            </w:r>
            <w:r>
              <w:rPr>
                <w:rFonts w:hint="eastAsia" w:asciiTheme="minorEastAsia" w:hAnsiTheme="minorEastAsia" w:eastAsiaTheme="minorEastAsia" w:cstheme="minorEastAsia"/>
                <w:b/>
                <w:bCs/>
                <w:szCs w:val="21"/>
                <w:highlight w:val="none"/>
                <w:u w:val="single"/>
                <w:lang w:val="en-US" w:eastAsia="zh-CN"/>
              </w:rPr>
              <w:t>3129967.47</w:t>
            </w:r>
            <w:r>
              <w:rPr>
                <w:rFonts w:hint="eastAsia" w:asciiTheme="minorEastAsia" w:hAnsiTheme="minorEastAsia" w:eastAsiaTheme="minorEastAsia" w:cstheme="minorEastAsia"/>
                <w:b/>
                <w:bCs/>
                <w:szCs w:val="21"/>
                <w:highlight w:val="none"/>
              </w:rPr>
              <w:t>元。</w:t>
            </w:r>
          </w:p>
          <w:p>
            <w:pPr>
              <w:keepNext w:val="0"/>
              <w:keepLines w:val="0"/>
              <w:suppressLineNumbers w:val="0"/>
              <w:spacing w:before="0" w:beforeAutospacing="0" w:after="0" w:afterAutospacing="0" w:line="400" w:lineRule="exact"/>
              <w:ind w:left="0" w:right="0" w:firstLine="422" w:firstLineChars="200"/>
              <w:rPr>
                <w:rFonts w:hint="eastAsia"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szCs w:val="21"/>
                <w:highlight w:val="none"/>
              </w:rPr>
              <w:t>报价人总价报价均不得高于采购人发布的最高限价，否则其竞争性比选响应文件视为重大偏差，竞争性比选响应文件将按否决报价处理</w:t>
            </w:r>
            <w:r>
              <w:rPr>
                <w:rFonts w:hint="eastAsia" w:asciiTheme="minorEastAsia" w:hAnsiTheme="minorEastAsia" w:eastAsiaTheme="minorEastAsia" w:cstheme="minorEastAsia"/>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20</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shd w:val="clear" w:color="auto" w:fill="auto"/>
          </w:tcPr>
          <w:p>
            <w:pPr>
              <w:keepNext w:val="0"/>
              <w:keepLines w:val="0"/>
              <w:suppressLineNumbers w:val="0"/>
              <w:spacing w:before="0" w:beforeAutospacing="0" w:after="0" w:afterAutospacing="0" w:line="400" w:lineRule="exact"/>
              <w:ind w:left="0" w:right="0"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val="0"/>
                <w:bCs w:val="0"/>
                <w:caps w:val="0"/>
                <w:sz w:val="21"/>
                <w:szCs w:val="24"/>
                <w:highlight w:val="none"/>
              </w:rPr>
              <w:t>1、本合同签订后，设备到货经验收合格支付至到货设备金额的60%，项目调试完成支付至结算金额的95%，剩余5%缺陷责任期2年满</w:t>
            </w:r>
            <w:r>
              <w:rPr>
                <w:rFonts w:hint="eastAsia" w:asciiTheme="minorEastAsia" w:hAnsiTheme="minorEastAsia" w:eastAsiaTheme="minorEastAsia" w:cstheme="minorEastAsia"/>
                <w:b w:val="0"/>
                <w:bCs w:val="0"/>
                <w:caps w:val="0"/>
                <w:sz w:val="21"/>
                <w:szCs w:val="24"/>
                <w:highlight w:val="none"/>
                <w:lang w:eastAsia="zh-CN"/>
              </w:rPr>
              <w:t>，</w:t>
            </w:r>
            <w:r>
              <w:rPr>
                <w:rFonts w:hint="eastAsia" w:asciiTheme="minorEastAsia" w:hAnsiTheme="minorEastAsia" w:eastAsiaTheme="minorEastAsia" w:cstheme="minorEastAsia"/>
                <w:highlight w:val="none"/>
              </w:rPr>
              <w:t>由中标人主动提出书面申请，经业务部门确认后，30个工作日内全额退还（质量保证金不计任何利息），若中标人未提出书面申请，则相应的延迟责任由中标人自行承担。</w:t>
            </w:r>
          </w:p>
          <w:p>
            <w:pPr>
              <w:keepNext w:val="0"/>
              <w:keepLines w:val="0"/>
              <w:suppressLineNumbers w:val="0"/>
              <w:spacing w:before="0" w:beforeAutospacing="0" w:after="0" w:afterAutospacing="0" w:line="400" w:lineRule="exact"/>
              <w:ind w:left="0" w:right="0"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val="0"/>
                <w:bCs w:val="0"/>
                <w:caps w:val="0"/>
                <w:sz w:val="21"/>
                <w:szCs w:val="24"/>
                <w:highlight w:val="none"/>
              </w:rPr>
              <w:t>2、软件及相应系统安装调试(含：软件部署与相关配置；设备调试，数据接入系统；数字孪生功能逻辑及效果展示。)完成,支付至该部分金额的95%，剩余5%系统稳定运行1年后</w:t>
            </w:r>
            <w:r>
              <w:rPr>
                <w:rFonts w:hint="eastAsia" w:asciiTheme="minorEastAsia" w:hAnsiTheme="minorEastAsia" w:eastAsiaTheme="minorEastAsia" w:cstheme="minorEastAsia"/>
                <w:b w:val="0"/>
                <w:bCs w:val="0"/>
                <w:caps w:val="0"/>
                <w:sz w:val="21"/>
                <w:szCs w:val="24"/>
                <w:highlight w:val="none"/>
                <w:lang w:eastAsia="zh-CN"/>
              </w:rPr>
              <w:t>，</w:t>
            </w:r>
            <w:r>
              <w:rPr>
                <w:rFonts w:hint="eastAsia" w:asciiTheme="minorEastAsia" w:hAnsiTheme="minorEastAsia" w:eastAsiaTheme="minorEastAsia" w:cstheme="minorEastAsia"/>
                <w:highlight w:val="none"/>
              </w:rPr>
              <w:t>由中标人主动提出书面申请，经业务部门确认后，30个工作日内全额退还（不计任何利息），若中标人未提出书面申请，则相应的延迟责任由中标人自行承担。</w:t>
            </w:r>
          </w:p>
          <w:p>
            <w:pPr>
              <w:keepNext w:val="0"/>
              <w:keepLines w:val="0"/>
              <w:suppressLineNumbers w:val="0"/>
              <w:spacing w:before="0" w:beforeAutospacing="0" w:after="0" w:afterAutospacing="0" w:line="400" w:lineRule="exact"/>
              <w:ind w:left="0" w:right="0" w:firstLine="42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注：乙方每次办理支付前须开具等额的增值税专用发票给甲方，否则甲方不予支付。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21</w:t>
            </w:r>
          </w:p>
        </w:tc>
        <w:tc>
          <w:tcPr>
            <w:tcW w:w="2106" w:type="dxa"/>
            <w:tcBorders>
              <w:bottom w:val="single" w:color="auto" w:sz="4" w:space="0"/>
            </w:tcBorders>
            <w:vAlign w:val="top"/>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szCs w:val="21"/>
              </w:rPr>
              <w:t>中标候选人的人数</w:t>
            </w:r>
          </w:p>
        </w:tc>
        <w:tc>
          <w:tcPr>
            <w:tcW w:w="7104" w:type="dxa"/>
            <w:tcBorders>
              <w:bottom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rPr>
                <w:rFonts w:hint="default"/>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rPr>
            </w:pPr>
            <w:r>
              <w:rPr>
                <w:rFonts w:hint="eastAsia" w:ascii="宋体" w:hAnsi="宋体" w:cs="宋体"/>
                <w:kern w:val="0"/>
                <w:szCs w:val="21"/>
              </w:rPr>
              <w:t>22</w:t>
            </w:r>
          </w:p>
        </w:tc>
        <w:tc>
          <w:tcPr>
            <w:tcW w:w="2106" w:type="dxa"/>
            <w:tcBorders>
              <w:bottom w:val="single" w:color="auto" w:sz="4" w:space="0"/>
            </w:tcBorders>
            <w:vAlign w:val="center"/>
          </w:tcPr>
          <w:p>
            <w:pPr>
              <w:keepNext w:val="0"/>
              <w:keepLines w:val="0"/>
              <w:widowControl w:val="0"/>
              <w:suppressLineNumbers w:val="0"/>
              <w:spacing w:before="0" w:beforeAutospacing="0" w:after="0" w:afterAutospacing="0"/>
              <w:ind w:left="0" w:right="0"/>
              <w:jc w:val="center"/>
              <w:rPr>
                <w:rFonts w:hint="default" w:ascii="宋体" w:hAnsi="宋体" w:cs="宋体"/>
                <w:kern w:val="0"/>
                <w:szCs w:val="21"/>
              </w:rPr>
            </w:pPr>
            <w:r>
              <w:rPr>
                <w:rFonts w:hint="eastAsia" w:ascii="宋体" w:hAnsi="宋体" w:eastAsia="宋体" w:cs="宋体"/>
                <w:kern w:val="2"/>
                <w:sz w:val="21"/>
                <w:szCs w:val="21"/>
                <w:lang w:val="en-US" w:eastAsia="zh-CN" w:bidi="ar"/>
              </w:rPr>
              <w:t>保证金</w:t>
            </w:r>
          </w:p>
        </w:tc>
        <w:tc>
          <w:tcPr>
            <w:tcW w:w="7104" w:type="dxa"/>
            <w:tcBorders>
              <w:bottom w:val="single" w:color="auto" w:sz="4" w:space="0"/>
            </w:tcBorders>
          </w:tcPr>
          <w:p>
            <w:pPr>
              <w:keepNext w:val="0"/>
              <w:keepLines w:val="0"/>
              <w:widowControl w:val="0"/>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一、投标保证金</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w:t>
            </w:r>
            <w:r>
              <w:rPr>
                <w:rFonts w:hint="eastAsia" w:ascii="宋体" w:hAnsi="宋体" w:eastAsia="宋体" w:cs="宋体"/>
                <w:color w:val="000000"/>
                <w:kern w:val="2"/>
                <w:sz w:val="21"/>
                <w:szCs w:val="21"/>
                <w:highlight w:val="none"/>
                <w:lang w:val="en-US" w:eastAsia="zh-CN" w:bidi="ar"/>
              </w:rPr>
              <w:t>、报价人须缴纳</w:t>
            </w:r>
            <w:r>
              <w:rPr>
                <w:rFonts w:hint="eastAsia" w:cs="宋体"/>
                <w:color w:val="000000"/>
                <w:kern w:val="2"/>
                <w:sz w:val="21"/>
                <w:szCs w:val="21"/>
                <w:highlight w:val="none"/>
                <w:lang w:val="en-US" w:eastAsia="zh-CN" w:bidi="ar"/>
              </w:rPr>
              <w:t>3</w:t>
            </w:r>
            <w:r>
              <w:rPr>
                <w:rFonts w:hint="eastAsia" w:ascii="宋体" w:hAnsi="宋体" w:eastAsia="宋体" w:cs="宋体"/>
                <w:color w:val="FF0000"/>
                <w:kern w:val="2"/>
                <w:sz w:val="21"/>
                <w:szCs w:val="21"/>
                <w:highlight w:val="none"/>
                <w:lang w:val="en-US" w:eastAsia="zh-CN" w:bidi="ar"/>
              </w:rPr>
              <w:t>万元</w:t>
            </w:r>
            <w:r>
              <w:rPr>
                <w:rFonts w:hint="eastAsia" w:ascii="宋体" w:hAnsi="宋体" w:eastAsia="宋体" w:cs="宋体"/>
                <w:color w:val="000000"/>
                <w:kern w:val="2"/>
                <w:sz w:val="21"/>
                <w:szCs w:val="21"/>
                <w:highlight w:val="none"/>
                <w:lang w:val="en-US" w:eastAsia="zh-CN" w:bidi="ar"/>
              </w:rPr>
              <w:t>投标保证</w:t>
            </w:r>
            <w:r>
              <w:rPr>
                <w:rFonts w:hint="eastAsia" w:ascii="宋体" w:hAnsi="宋体" w:eastAsia="宋体" w:cs="宋体"/>
                <w:color w:val="000000"/>
                <w:kern w:val="2"/>
                <w:sz w:val="21"/>
                <w:szCs w:val="21"/>
                <w:lang w:val="en-US" w:eastAsia="zh-CN" w:bidi="ar"/>
              </w:rPr>
              <w:t>金，由报价人从公司基本账户将投标保证金汇至以下指定账户。</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保证金到账截止时间：2022年1</w:t>
            </w:r>
            <w:r>
              <w:rPr>
                <w:rFonts w:hint="eastAsia" w:cs="宋体"/>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月</w:t>
            </w:r>
            <w:r>
              <w:rPr>
                <w:rFonts w:hint="eastAsia" w:cs="宋体"/>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日1</w:t>
            </w:r>
            <w:r>
              <w:rPr>
                <w:rFonts w:hint="eastAsia" w:cs="宋体"/>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时00分前；</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color w:val="FF0000"/>
                <w:kern w:val="2"/>
                <w:sz w:val="21"/>
                <w:szCs w:val="21"/>
              </w:rPr>
            </w:pPr>
            <w:r>
              <w:rPr>
                <w:rFonts w:hint="eastAsia" w:ascii="宋体" w:hAnsi="宋体" w:eastAsia="宋体" w:cs="宋体"/>
                <w:color w:val="FF0000"/>
                <w:kern w:val="2"/>
                <w:sz w:val="21"/>
                <w:szCs w:val="21"/>
                <w:lang w:val="en-US" w:eastAsia="zh-CN" w:bidi="ar"/>
              </w:rPr>
              <w:t>若竞争性比选响应文件附件5内无投标保证金缴纳凭证，采购人有权作废标处理，若投标保证金存在虚假不实情况，采购人有权作废标处理。</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2、投标保证金退还方式</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未中标报价人的投标保证金，于该项目结果公示期结束后15个工作日内无息退还至报价人基本账户。</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中标人的投标保证金，自合同签订后15个工作日内无息退还至中标人基本账户。</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二、履约保证金</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1、履约担保作为本项目合同附件。</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default" w:ascii="宋体" w:hAnsi="宋体" w:eastAsia="宋体" w:cs="宋体"/>
                <w:kern w:val="2"/>
                <w:sz w:val="21"/>
                <w:szCs w:val="21"/>
                <w:lang w:val="en-US"/>
              </w:rPr>
            </w:pPr>
            <w:r>
              <w:rPr>
                <w:rFonts w:hint="eastAsia" w:ascii="宋体" w:hAnsi="宋体" w:eastAsia="宋体" w:cs="宋体"/>
                <w:color w:val="000000"/>
                <w:kern w:val="2"/>
                <w:sz w:val="21"/>
                <w:szCs w:val="21"/>
                <w:lang w:val="en-US" w:eastAsia="zh-CN" w:bidi="ar"/>
              </w:rPr>
              <w:t>2、履约保证金的金额：</w:t>
            </w:r>
            <w:r>
              <w:rPr>
                <w:rFonts w:hint="eastAsia" w:cs="宋体"/>
                <w:color w:val="000000"/>
                <w:kern w:val="2"/>
                <w:sz w:val="21"/>
                <w:szCs w:val="21"/>
                <w:lang w:val="en-US" w:eastAsia="zh-CN" w:bidi="ar"/>
              </w:rPr>
              <w:t>合同金额的10%。</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3、履约保证金有效期：自双方签订的合同文件生效之日起，至合同约定的工程验收完成止。</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4、履约保证金的提交及退还：在甲方发出中标通知书后5个工作日内，中标人向采购人提供履约保证金缴纳凭证。履约保证金在完成合同约定的全部工作内容后28天后无息退还剩余部分。</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转款备注：XX项目XX保证金。</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四、采购人指定的开户银行及账号如下：</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账户名称：重庆首讯科技股份有限公司</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开户银行：兴业银行重庆分行营业部</w:t>
            </w:r>
          </w:p>
          <w:p>
            <w:pPr>
              <w:keepNext w:val="0"/>
              <w:keepLines w:val="0"/>
              <w:widowControl w:val="0"/>
              <w:suppressLineNumbers w:val="0"/>
              <w:spacing w:before="0" w:beforeAutospacing="0" w:after="0" w:afterAutospacing="0"/>
              <w:ind w:left="0" w:right="0" w:firstLine="420" w:firstLineChars="200"/>
              <w:jc w:val="both"/>
              <w:rPr>
                <w:rFonts w:hint="default"/>
              </w:rPr>
            </w:pPr>
            <w:r>
              <w:rPr>
                <w:rFonts w:hint="eastAsia" w:ascii="宋体" w:hAnsi="宋体" w:eastAsia="宋体" w:cs="宋体"/>
                <w:kern w:val="2"/>
                <w:sz w:val="21"/>
                <w:szCs w:val="21"/>
                <w:lang w:val="en-US" w:eastAsia="zh-CN" w:bidi="ar"/>
              </w:rPr>
              <w:t>帐</w:t>
            </w: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号：</w:t>
            </w:r>
            <w:r>
              <w:rPr>
                <w:rFonts w:hint="eastAsia" w:ascii="Times New Roman" w:hAnsi="宋体" w:eastAsia="宋体" w:cs="Times New Roman"/>
                <w:kern w:val="2"/>
                <w:sz w:val="21"/>
                <w:szCs w:val="21"/>
                <w:lang w:val="en-US" w:eastAsia="zh-CN" w:bidi="ar"/>
              </w:rPr>
              <w:t>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22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乙方人员违约的处理</w:t>
            </w:r>
          </w:p>
        </w:tc>
        <w:tc>
          <w:tcPr>
            <w:tcW w:w="7104" w:type="dxa"/>
            <w:vAlign w:val="top"/>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rPr>
            </w:pPr>
            <w:r>
              <w:rPr>
                <w:rFonts w:hint="eastAsia"/>
              </w:rPr>
              <w:t>1.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keepNext w:val="0"/>
              <w:keepLines w:val="0"/>
              <w:suppressLineNumbers w:val="0"/>
              <w:spacing w:before="0" w:beforeAutospacing="0" w:after="0" w:afterAutospacing="0" w:line="400" w:lineRule="exact"/>
              <w:ind w:left="0" w:right="0"/>
              <w:jc w:val="center"/>
              <w:rPr>
                <w:rFonts w:hint="default" w:hAnsi="宋体"/>
                <w:color w:val="auto"/>
                <w:sz w:val="21"/>
                <w:szCs w:val="21"/>
              </w:rPr>
            </w:pPr>
            <w:r>
              <w:rPr>
                <w:rFonts w:hint="eastAsia" w:hAnsi="宋体"/>
                <w:color w:val="auto"/>
                <w:kern w:val="2"/>
                <w:sz w:val="21"/>
                <w:szCs w:val="21"/>
              </w:rPr>
              <w:t>23</w:t>
            </w:r>
          </w:p>
        </w:tc>
        <w:tc>
          <w:tcPr>
            <w:tcW w:w="2106" w:type="dxa"/>
            <w:vAlign w:val="center"/>
          </w:tcPr>
          <w:p>
            <w:pPr>
              <w:pStyle w:val="50"/>
              <w:keepNext w:val="0"/>
              <w:keepLines w:val="0"/>
              <w:suppressLineNumbers w:val="0"/>
              <w:spacing w:before="0" w:beforeAutospacing="0" w:after="0" w:afterAutospacing="0" w:line="400" w:lineRule="exact"/>
              <w:ind w:left="0" w:right="0"/>
              <w:jc w:val="center"/>
              <w:rPr>
                <w:rFonts w:hint="default" w:hAnsi="宋体"/>
                <w:color w:val="auto"/>
                <w:sz w:val="21"/>
                <w:szCs w:val="21"/>
              </w:rPr>
            </w:pPr>
            <w:r>
              <w:rPr>
                <w:rFonts w:hint="eastAsia" w:hAnsi="宋体"/>
                <w:color w:val="auto"/>
                <w:kern w:val="2"/>
                <w:sz w:val="21"/>
                <w:szCs w:val="21"/>
              </w:rPr>
              <w:t>监督部门</w:t>
            </w:r>
          </w:p>
        </w:tc>
        <w:tc>
          <w:tcPr>
            <w:tcW w:w="7104" w:type="dxa"/>
            <w:vAlign w:val="center"/>
          </w:tcPr>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监督部门：重庆首讯科技股份有限公司合规监管部</w:t>
            </w:r>
          </w:p>
          <w:p>
            <w:pPr>
              <w:pStyle w:val="36"/>
              <w:keepNext w:val="0"/>
              <w:keepLines w:val="0"/>
              <w:widowControl w:val="0"/>
              <w:suppressLineNumbers w:val="0"/>
              <w:autoSpaceDE w:val="0"/>
              <w:autoSpaceDN w:val="0"/>
              <w:adjustRightInd w:val="0"/>
              <w:spacing w:before="0" w:beforeAutospacing="0" w:after="0" w:afterAutospacing="0" w:line="400" w:lineRule="exact"/>
              <w:ind w:left="0" w:right="0" w:firstLine="420" w:firstLineChars="200"/>
              <w:jc w:val="left"/>
              <w:rPr>
                <w:rFonts w:hint="eastAsia" w:ascii="宋体" w:hAnsi="宋体" w:eastAsia="宋体" w:cs="宋体"/>
                <w:kern w:val="2"/>
                <w:sz w:val="21"/>
                <w:szCs w:val="21"/>
              </w:rPr>
            </w:pPr>
            <w:r>
              <w:rPr>
                <w:rFonts w:hint="eastAsia" w:ascii="宋体" w:hAnsi="宋体" w:eastAsia="宋体" w:cs="宋体"/>
                <w:color w:val="000000"/>
                <w:kern w:val="2"/>
                <w:sz w:val="21"/>
                <w:szCs w:val="21"/>
                <w:lang w:val="en-US" w:eastAsia="zh-CN" w:bidi="ar"/>
              </w:rPr>
              <w:t>地    址：重庆市渝北区新南路52号东界龙湖三楼</w:t>
            </w:r>
          </w:p>
          <w:p>
            <w:pPr>
              <w:pStyle w:val="50"/>
              <w:keepNext w:val="0"/>
              <w:keepLines w:val="0"/>
              <w:suppressLineNumbers w:val="0"/>
              <w:spacing w:before="0" w:beforeAutospacing="0" w:after="0" w:afterAutospacing="0" w:line="400" w:lineRule="exact"/>
              <w:ind w:left="0" w:right="0" w:firstLine="420" w:firstLineChars="200"/>
              <w:rPr>
                <w:rFonts w:hint="default" w:hAnsi="宋体"/>
                <w:color w:val="auto"/>
                <w:sz w:val="21"/>
                <w:szCs w:val="21"/>
              </w:rPr>
            </w:pPr>
            <w:r>
              <w:rPr>
                <w:rFonts w:hint="eastAsia" w:ascii="宋体" w:hAnsi="宋体" w:eastAsia="宋体" w:cs="宋体"/>
                <w:kern w:val="2"/>
                <w:sz w:val="21"/>
                <w:szCs w:val="21"/>
                <w:lang w:val="en-US" w:eastAsia="zh-CN" w:bidi="ar"/>
              </w:rPr>
              <w:t>电</w:t>
            </w:r>
            <w:r>
              <w:rPr>
                <w:rFonts w:hint="eastAsia" w:ascii="Times New Roman"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话：</w:t>
            </w:r>
            <w:r>
              <w:rPr>
                <w:rFonts w:hint="eastAsia" w:ascii="Times New Roman" w:hAnsi="宋体" w:eastAsia="宋体" w:cs="Times New Roman"/>
                <w:kern w:val="2"/>
                <w:sz w:val="21"/>
                <w:szCs w:val="21"/>
                <w:lang w:val="en-US" w:eastAsia="zh-CN" w:bidi="ar"/>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24</w:t>
            </w:r>
          </w:p>
        </w:tc>
        <w:tc>
          <w:tcPr>
            <w:tcW w:w="2106" w:type="dxa"/>
            <w:vAlign w:val="center"/>
          </w:tcPr>
          <w:p>
            <w:pPr>
              <w:pStyle w:val="50"/>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竞争性比选响应文件的递交</w:t>
            </w:r>
          </w:p>
        </w:tc>
        <w:tc>
          <w:tcPr>
            <w:tcW w:w="7104" w:type="dxa"/>
            <w:vAlign w:val="center"/>
          </w:tcPr>
          <w:p>
            <w:pPr>
              <w:pStyle w:val="50"/>
              <w:keepNext w:val="0"/>
              <w:keepLines w:val="0"/>
              <w:suppressLineNumbers w:val="0"/>
              <w:spacing w:before="0" w:beforeAutospacing="0" w:after="0" w:afterAutospacing="0" w:line="400" w:lineRule="exact"/>
              <w:ind w:left="0" w:right="0" w:firstLine="420" w:firstLineChars="200"/>
              <w:rPr>
                <w:rFonts w:hint="eastAsia" w:hAnsi="宋体" w:eastAsia="宋体"/>
                <w:color w:val="auto"/>
                <w:kern w:val="2"/>
                <w:sz w:val="21"/>
                <w:szCs w:val="21"/>
                <w:lang w:eastAsia="zh-CN"/>
              </w:rPr>
            </w:pPr>
            <w:r>
              <w:rPr>
                <w:rFonts w:hint="eastAsia" w:hAnsi="宋体" w:eastAsia="宋体"/>
                <w:color w:val="auto"/>
                <w:kern w:val="2"/>
                <w:sz w:val="21"/>
                <w:szCs w:val="21"/>
                <w:lang w:eastAsia="zh-CN"/>
              </w:rPr>
              <w:t>逾期送达或未送达指定邮箱，或未加密的竞争性比选响应文件，采购人不予受理。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pStyle w:val="50"/>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25</w:t>
            </w:r>
          </w:p>
        </w:tc>
        <w:tc>
          <w:tcPr>
            <w:tcW w:w="2106" w:type="dxa"/>
            <w:vAlign w:val="center"/>
          </w:tcPr>
          <w:p>
            <w:pPr>
              <w:pStyle w:val="50"/>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本次竞争性比选响应文件的组成</w:t>
            </w:r>
          </w:p>
        </w:tc>
        <w:tc>
          <w:tcPr>
            <w:tcW w:w="7104" w:type="dxa"/>
            <w:vAlign w:val="center"/>
          </w:tcPr>
          <w:p>
            <w:pPr>
              <w:pStyle w:val="50"/>
              <w:keepNext w:val="0"/>
              <w:keepLines w:val="0"/>
              <w:numPr>
                <w:ilvl w:val="0"/>
                <w:numId w:val="3"/>
              </w:numPr>
              <w:suppressLineNumbers w:val="0"/>
              <w:spacing w:before="0" w:beforeAutospacing="0" w:after="0" w:afterAutospacing="0" w:line="400" w:lineRule="exact"/>
              <w:ind w:left="0" w:right="0" w:firstLine="422" w:firstLineChars="200"/>
              <w:rPr>
                <w:rFonts w:hint="default" w:hAnsi="宋体"/>
                <w:color w:val="FF0000"/>
                <w:kern w:val="2"/>
                <w:sz w:val="21"/>
                <w:szCs w:val="21"/>
              </w:rPr>
            </w:pPr>
            <w:r>
              <w:rPr>
                <w:rFonts w:hint="eastAsia" w:hAnsi="宋体"/>
                <w:b/>
                <w:bCs/>
                <w:color w:val="FF0000"/>
                <w:sz w:val="21"/>
                <w:szCs w:val="21"/>
              </w:rPr>
              <w:t>竞争性比选文件需逐页加盖报价人的公章</w:t>
            </w:r>
            <w:r>
              <w:rPr>
                <w:rFonts w:hint="eastAsia" w:hAnsi="宋体"/>
                <w:color w:val="FF0000"/>
                <w:sz w:val="21"/>
                <w:szCs w:val="21"/>
              </w:rPr>
              <w:t>，</w:t>
            </w:r>
            <w:r>
              <w:rPr>
                <w:rFonts w:hint="eastAsia" w:hAnsi="宋体"/>
                <w:color w:val="FF0000"/>
                <w:sz w:val="21"/>
                <w:szCs w:val="21"/>
                <w:lang w:val="en-US" w:eastAsia="zh-CN"/>
              </w:rPr>
              <w:t>并扫描成PDF版本，将扫描件按要求发送</w:t>
            </w:r>
            <w:r>
              <w:rPr>
                <w:rFonts w:hint="eastAsia" w:hAnsi="宋体"/>
                <w:color w:val="FF0000"/>
                <w:kern w:val="2"/>
                <w:sz w:val="21"/>
                <w:szCs w:val="21"/>
              </w:rPr>
              <w:t>。</w:t>
            </w:r>
          </w:p>
          <w:p>
            <w:pPr>
              <w:pStyle w:val="50"/>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FF0000"/>
                <w:kern w:val="2"/>
                <w:sz w:val="21"/>
                <w:szCs w:val="21"/>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keepNext w:val="0"/>
              <w:keepLines w:val="0"/>
              <w:suppressLineNumbers w:val="0"/>
              <w:spacing w:before="0" w:beforeAutospacing="0" w:after="0" w:afterAutospacing="0" w:line="400" w:lineRule="exact"/>
              <w:ind w:left="0" w:right="0"/>
              <w:jc w:val="center"/>
              <w:rPr>
                <w:rFonts w:hint="eastAsia" w:hAnsi="宋体" w:eastAsia="宋体"/>
                <w:color w:val="auto"/>
                <w:kern w:val="2"/>
                <w:sz w:val="21"/>
                <w:szCs w:val="21"/>
                <w:lang w:eastAsia="zh-CN"/>
              </w:rPr>
            </w:pPr>
            <w:r>
              <w:rPr>
                <w:rFonts w:hint="eastAsia" w:hAnsi="宋体"/>
                <w:color w:val="auto"/>
                <w:kern w:val="2"/>
                <w:sz w:val="21"/>
                <w:szCs w:val="21"/>
              </w:rPr>
              <w:t>2</w:t>
            </w:r>
            <w:r>
              <w:rPr>
                <w:rFonts w:hint="eastAsia" w:hAnsi="宋体"/>
                <w:color w:val="auto"/>
                <w:kern w:val="2"/>
                <w:sz w:val="21"/>
                <w:szCs w:val="21"/>
                <w:lang w:val="en-US" w:eastAsia="zh-CN"/>
              </w:rPr>
              <w:t>6</w:t>
            </w:r>
          </w:p>
        </w:tc>
        <w:tc>
          <w:tcPr>
            <w:tcW w:w="9210" w:type="dxa"/>
            <w:gridSpan w:val="2"/>
            <w:vAlign w:val="center"/>
          </w:tcPr>
          <w:p>
            <w:pPr>
              <w:pStyle w:val="50"/>
              <w:keepNext w:val="0"/>
              <w:keepLines w:val="0"/>
              <w:suppressLineNumbers w:val="0"/>
              <w:spacing w:before="0" w:beforeAutospacing="0" w:after="0" w:afterAutospacing="0" w:line="400" w:lineRule="exact"/>
              <w:ind w:left="0" w:right="0" w:firstLine="482" w:firstLineChars="200"/>
              <w:jc w:val="center"/>
              <w:rPr>
                <w:rFonts w:hint="default" w:hAnsi="宋体"/>
                <w:color w:val="auto"/>
                <w:kern w:val="2"/>
                <w:sz w:val="21"/>
                <w:szCs w:val="21"/>
              </w:rPr>
            </w:pPr>
            <w:r>
              <w:rPr>
                <w:rFonts w:hint="default"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keepNext w:val="0"/>
              <w:keepLines w:val="0"/>
              <w:suppressLineNumbers w:val="0"/>
              <w:spacing w:before="0" w:beforeAutospacing="0" w:after="0" w:afterAutospacing="0" w:line="400" w:lineRule="exact"/>
              <w:ind w:left="0" w:right="0"/>
              <w:jc w:val="center"/>
              <w:rPr>
                <w:rFonts w:hint="default"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6</w:t>
            </w:r>
            <w:r>
              <w:rPr>
                <w:rFonts w:hint="eastAsia" w:hAnsi="宋体"/>
                <w:color w:val="auto"/>
                <w:kern w:val="2"/>
                <w:sz w:val="21"/>
                <w:szCs w:val="21"/>
              </w:rPr>
              <w:t>.1</w:t>
            </w:r>
          </w:p>
        </w:tc>
        <w:tc>
          <w:tcPr>
            <w:tcW w:w="9210" w:type="dxa"/>
            <w:gridSpan w:val="2"/>
            <w:vAlign w:val="center"/>
          </w:tcPr>
          <w:p>
            <w:pPr>
              <w:pStyle w:val="50"/>
              <w:keepNext w:val="0"/>
              <w:keepLines w:val="0"/>
              <w:suppressLineNumbers w:val="0"/>
              <w:spacing w:before="0" w:beforeAutospacing="0" w:after="0" w:afterAutospacing="0" w:line="400" w:lineRule="exact"/>
              <w:ind w:left="0" w:right="0" w:firstLine="420" w:firstLineChars="200"/>
              <w:rPr>
                <w:rFonts w:hint="default" w:hAnsi="宋体"/>
                <w:b/>
                <w:bCs/>
                <w:szCs w:val="21"/>
              </w:rPr>
            </w:pPr>
            <w:r>
              <w:rPr>
                <w:rFonts w:hint="eastAsia" w:hAnsi="宋体"/>
                <w:sz w:val="21"/>
                <w:szCs w:val="21"/>
              </w:rPr>
              <w:t>截止竞争性比选响应文件递交时间，递交竞争性比选响应文件不足3家的不得开启竞争性比选文件。</w:t>
            </w:r>
          </w:p>
        </w:tc>
      </w:tr>
      <w:bookmarkEnd w:id="105"/>
    </w:tbl>
    <w:p>
      <w:pPr>
        <w:pStyle w:val="4"/>
        <w:widowControl/>
        <w:spacing w:before="0" w:beforeAutospacing="0" w:after="0" w:afterAutospacing="0" w:line="300" w:lineRule="exact"/>
        <w:rPr>
          <w:rFonts w:hint="eastAsia" w:ascii="黑体" w:hAnsi="宋体" w:eastAsia="黑体" w:cs="黑体"/>
          <w:b/>
          <w:kern w:val="0"/>
          <w:sz w:val="21"/>
          <w:szCs w:val="21"/>
        </w:rPr>
      </w:pPr>
      <w:bookmarkStart w:id="107" w:name="_Toc224103317"/>
      <w:r>
        <w:rPr>
          <w:rFonts w:hint="eastAsia" w:ascii="黑体" w:hAnsi="宋体" w:cs="黑体"/>
          <w:b/>
          <w:kern w:val="0"/>
          <w:sz w:val="21"/>
          <w:szCs w:val="21"/>
          <w:lang w:eastAsia="zh-CN"/>
        </w:rPr>
        <w:t>报价人须知</w:t>
      </w:r>
      <w:r>
        <w:rPr>
          <w:rFonts w:hint="eastAsia" w:ascii="黑体" w:hAnsi="宋体" w:eastAsia="黑体" w:cs="黑体"/>
          <w:b/>
          <w:kern w:val="0"/>
          <w:sz w:val="21"/>
          <w:szCs w:val="21"/>
        </w:rPr>
        <w:t>正文部分：</w:t>
      </w:r>
      <w:bookmarkEnd w:id="107"/>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108" w:name="_Toc9035"/>
      <w:bookmarkEnd w:id="108"/>
      <w:bookmarkStart w:id="109" w:name="_Toc17808"/>
      <w:bookmarkEnd w:id="109"/>
      <w:bookmarkStart w:id="110" w:name="_Toc5673"/>
      <w:bookmarkEnd w:id="110"/>
      <w:bookmarkStart w:id="111" w:name="_Toc28401"/>
      <w:r>
        <w:rPr>
          <w:rFonts w:hint="eastAsia" w:ascii="黑体" w:hAnsi="宋体" w:eastAsia="黑体" w:cs="黑体"/>
          <w:b/>
          <w:kern w:val="0"/>
          <w:sz w:val="21"/>
          <w:szCs w:val="21"/>
        </w:rPr>
        <w:t xml:space="preserve">1.  </w:t>
      </w:r>
      <w:bookmarkEnd w:id="111"/>
      <w:r>
        <w:rPr>
          <w:rFonts w:hint="eastAsia" w:ascii="黑体" w:hAnsi="宋体" w:eastAsia="黑体" w:cs="黑体"/>
          <w:b/>
          <w:kern w:val="0"/>
          <w:sz w:val="21"/>
          <w:szCs w:val="21"/>
        </w:rPr>
        <w:t>总则</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12" w:name="_Toc40455273"/>
      <w:bookmarkEnd w:id="112"/>
      <w:bookmarkStart w:id="113" w:name="_Toc11657"/>
      <w:bookmarkEnd w:id="113"/>
      <w:bookmarkStart w:id="114" w:name="_Toc200513127"/>
      <w:bookmarkEnd w:id="114"/>
      <w:bookmarkStart w:id="115" w:name="_Toc4661907"/>
      <w:bookmarkEnd w:id="115"/>
      <w:bookmarkStart w:id="116" w:name="_Toc40455646"/>
      <w:bookmarkEnd w:id="116"/>
      <w:bookmarkStart w:id="117" w:name="_Toc4662143"/>
      <w:bookmarkEnd w:id="117"/>
      <w:bookmarkStart w:id="118" w:name="_Toc277082553"/>
      <w:bookmarkEnd w:id="118"/>
      <w:bookmarkStart w:id="119" w:name="_Toc4661671"/>
      <w:bookmarkEnd w:id="119"/>
      <w:bookmarkStart w:id="120" w:name="_Toc287607747"/>
      <w:bookmarkEnd w:id="120"/>
      <w:bookmarkStart w:id="121" w:name="_Toc224103318"/>
      <w:bookmarkEnd w:id="121"/>
      <w:bookmarkStart w:id="122" w:name="_Toc4661429"/>
      <w:bookmarkEnd w:id="122"/>
      <w:bookmarkStart w:id="123" w:name="_Toc40780255"/>
      <w:r>
        <w:rPr>
          <w:rFonts w:hint="eastAsia" w:ascii="宋体" w:hAnsi="宋体" w:eastAsia="宋体" w:cs="Times New Roman"/>
          <w:b/>
          <w:kern w:val="2"/>
          <w:sz w:val="21"/>
          <w:szCs w:val="21"/>
        </w:rPr>
        <w:t xml:space="preserve">1.1  </w:t>
      </w:r>
      <w:bookmarkEnd w:id="123"/>
      <w:r>
        <w:rPr>
          <w:rFonts w:hint="eastAsia" w:ascii="宋体" w:hAnsi="宋体" w:eastAsia="宋体" w:cs="宋体"/>
          <w:b/>
          <w:kern w:val="2"/>
          <w:sz w:val="21"/>
          <w:szCs w:val="21"/>
        </w:rPr>
        <w:t>项目概况</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kern w:val="0"/>
          <w:sz w:val="21"/>
          <w:szCs w:val="21"/>
        </w:rPr>
      </w:pPr>
      <w:r>
        <w:rPr>
          <w:rFonts w:hint="eastAsia" w:ascii="宋体" w:hAnsi="宋体" w:eastAsia="宋体" w:cs="Calibri"/>
          <w:kern w:val="0"/>
          <w:sz w:val="21"/>
          <w:szCs w:val="21"/>
          <w:lang w:val="en-US" w:eastAsia="zh-CN" w:bidi="ar"/>
        </w:rPr>
        <w:t xml:space="preserve">1.1.1  </w:t>
      </w:r>
      <w:r>
        <w:rPr>
          <w:rFonts w:hint="eastAsia" w:ascii="宋体" w:hAnsi="宋体" w:eastAsia="宋体" w:cs="宋体"/>
          <w:kern w:val="0"/>
          <w:sz w:val="21"/>
          <w:szCs w:val="21"/>
          <w:lang w:val="en-US" w:eastAsia="zh-CN" w:bidi="ar"/>
        </w:rPr>
        <w:t>根据</w:t>
      </w:r>
      <w:r>
        <w:rPr>
          <w:rFonts w:hint="eastAsia" w:ascii="宋体" w:hAnsi="宋体" w:cs="宋体"/>
          <w:kern w:val="0"/>
          <w:sz w:val="21"/>
          <w:szCs w:val="21"/>
          <w:lang w:val="en-US" w:eastAsia="zh-CN" w:bidi="ar"/>
        </w:rPr>
        <w:t>国家</w:t>
      </w:r>
      <w:r>
        <w:rPr>
          <w:rFonts w:hint="eastAsia" w:ascii="宋体" w:hAnsi="宋体" w:eastAsia="宋体" w:cs="宋体"/>
          <w:kern w:val="0"/>
          <w:sz w:val="21"/>
          <w:szCs w:val="21"/>
          <w:lang w:val="en-US" w:eastAsia="zh-CN" w:bidi="ar"/>
        </w:rPr>
        <w:t>有关法律、法规和规章的规定，本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项目已具备</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条件，现对本项目进行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项目名称：见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1.1.</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本项目建设地点：见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24" w:name="_Toc40455274"/>
      <w:bookmarkEnd w:id="124"/>
      <w:bookmarkStart w:id="125" w:name="_Toc21776"/>
      <w:bookmarkEnd w:id="125"/>
      <w:bookmarkStart w:id="126" w:name="_Toc4661672"/>
      <w:bookmarkEnd w:id="126"/>
      <w:bookmarkStart w:id="127" w:name="_Toc4661430"/>
      <w:bookmarkEnd w:id="127"/>
      <w:bookmarkStart w:id="128" w:name="_Toc4662144"/>
      <w:bookmarkEnd w:id="128"/>
      <w:bookmarkStart w:id="129" w:name="_Toc4661908"/>
      <w:bookmarkEnd w:id="129"/>
      <w:bookmarkStart w:id="130" w:name="_Toc224103319"/>
      <w:bookmarkEnd w:id="130"/>
      <w:bookmarkStart w:id="131" w:name="_Toc287607748"/>
      <w:bookmarkEnd w:id="131"/>
      <w:bookmarkStart w:id="132" w:name="_Toc40455647"/>
      <w:bookmarkEnd w:id="132"/>
      <w:bookmarkStart w:id="133" w:name="_Toc40780256"/>
      <w:bookmarkEnd w:id="133"/>
      <w:bookmarkStart w:id="134" w:name="_Toc200513128"/>
      <w:bookmarkEnd w:id="134"/>
      <w:bookmarkStart w:id="135" w:name="_Toc277082554"/>
      <w:r>
        <w:rPr>
          <w:rFonts w:hint="eastAsia" w:ascii="宋体" w:hAnsi="宋体" w:eastAsia="宋体" w:cs="Times New Roman"/>
          <w:b/>
          <w:kern w:val="2"/>
          <w:sz w:val="21"/>
          <w:szCs w:val="21"/>
        </w:rPr>
        <w:t xml:space="preserve">1.2  </w:t>
      </w:r>
      <w:bookmarkEnd w:id="135"/>
      <w:r>
        <w:rPr>
          <w:rFonts w:hint="eastAsia" w:ascii="宋体" w:hAnsi="宋体" w:eastAsia="宋体" w:cs="宋体"/>
          <w:b/>
          <w:kern w:val="2"/>
          <w:sz w:val="21"/>
          <w:szCs w:val="21"/>
        </w:rPr>
        <w:t>资金来源和落实情况</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1.2.1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项目的资金来源：见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1.2.2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项目的出资比例：见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1.2.3  </w:t>
      </w: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项目的资金落实情况：见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36" w:name="_Toc4661673"/>
      <w:bookmarkEnd w:id="136"/>
      <w:bookmarkStart w:id="137" w:name="_Toc40455648"/>
      <w:bookmarkEnd w:id="137"/>
      <w:bookmarkStart w:id="138" w:name="_Toc224103320"/>
      <w:bookmarkEnd w:id="138"/>
      <w:bookmarkStart w:id="139" w:name="_Toc4661431"/>
      <w:bookmarkEnd w:id="139"/>
      <w:bookmarkStart w:id="140" w:name="_Toc287607749"/>
      <w:bookmarkEnd w:id="140"/>
      <w:bookmarkStart w:id="141" w:name="_Toc40780257"/>
      <w:bookmarkEnd w:id="141"/>
      <w:bookmarkStart w:id="142" w:name="_Toc4661909"/>
      <w:bookmarkEnd w:id="142"/>
      <w:bookmarkStart w:id="143" w:name="_Toc4662145"/>
      <w:bookmarkEnd w:id="143"/>
      <w:bookmarkStart w:id="144" w:name="_Toc200513129"/>
      <w:bookmarkEnd w:id="144"/>
      <w:bookmarkStart w:id="145" w:name="_Toc40455275"/>
      <w:bookmarkEnd w:id="145"/>
      <w:bookmarkStart w:id="146" w:name="_Toc277082555"/>
      <w:bookmarkEnd w:id="146"/>
      <w:bookmarkStart w:id="147" w:name="_Toc11911"/>
      <w:r>
        <w:rPr>
          <w:rFonts w:hint="eastAsia" w:ascii="宋体" w:hAnsi="宋体" w:eastAsia="宋体" w:cs="Times New Roman"/>
          <w:b/>
          <w:kern w:val="2"/>
          <w:sz w:val="21"/>
          <w:szCs w:val="21"/>
        </w:rPr>
        <w:t xml:space="preserve">1.3  </w:t>
      </w:r>
      <w:bookmarkEnd w:id="147"/>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范围、</w:t>
      </w:r>
      <w:r>
        <w:rPr>
          <w:rFonts w:hint="eastAsia" w:ascii="宋体" w:hAnsi="宋体" w:cs="宋体"/>
          <w:b/>
          <w:kern w:val="2"/>
          <w:sz w:val="21"/>
          <w:szCs w:val="21"/>
          <w:lang w:val="en-US" w:eastAsia="zh-CN"/>
        </w:rPr>
        <w:t>工期</w:t>
      </w:r>
      <w:r>
        <w:rPr>
          <w:rFonts w:hint="eastAsia" w:ascii="宋体" w:hAnsi="宋体" w:eastAsia="宋体" w:cs="宋体"/>
          <w:b/>
          <w:kern w:val="2"/>
          <w:sz w:val="21"/>
          <w:szCs w:val="21"/>
        </w:rPr>
        <w:t>和质量要求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1.3.1  </w:t>
      </w:r>
      <w:r>
        <w:rPr>
          <w:rFonts w:hint="eastAsia" w:ascii="宋体" w:hAnsi="宋体" w:eastAsia="宋体" w:cs="宋体"/>
          <w:kern w:val="0"/>
          <w:sz w:val="21"/>
          <w:szCs w:val="21"/>
          <w:lang w:val="en-US" w:eastAsia="zh-CN" w:bidi="ar"/>
        </w:rPr>
        <w:t>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1.3.2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计划工期</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kern w:val="0"/>
          <w:sz w:val="21"/>
          <w:szCs w:val="21"/>
          <w:lang w:val="en-US" w:eastAsia="zh-CN" w:bidi="ar"/>
        </w:rPr>
      </w:pPr>
      <w:r>
        <w:rPr>
          <w:rFonts w:hint="eastAsia" w:ascii="宋体" w:hAnsi="宋体" w:eastAsia="宋体" w:cs="Calibri"/>
          <w:kern w:val="0"/>
          <w:sz w:val="21"/>
          <w:szCs w:val="21"/>
          <w:lang w:val="en-US" w:eastAsia="zh-CN" w:bidi="ar"/>
        </w:rPr>
        <w:t xml:space="preserve">1.3.3  </w:t>
      </w:r>
      <w:r>
        <w:rPr>
          <w:rFonts w:hint="eastAsia" w:ascii="宋体" w:hAnsi="宋体" w:eastAsia="宋体" w:cs="宋体"/>
          <w:kern w:val="0"/>
          <w:sz w:val="21"/>
          <w:szCs w:val="21"/>
          <w:lang w:val="en-US" w:eastAsia="zh-CN" w:bidi="ar"/>
        </w:rPr>
        <w:t>本项目的质量要求：见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lang w:val="en-US"/>
        </w:rPr>
      </w:pPr>
      <w:r>
        <w:rPr>
          <w:rFonts w:hint="eastAsia" w:ascii="宋体" w:hAnsi="宋体" w:eastAsia="宋体" w:cs="Calibri"/>
          <w:kern w:val="0"/>
          <w:sz w:val="21"/>
          <w:szCs w:val="21"/>
          <w:lang w:val="en-US" w:eastAsia="zh-CN" w:bidi="ar"/>
        </w:rPr>
        <w:t>1.3.</w:t>
      </w:r>
      <w:r>
        <w:rPr>
          <w:rFonts w:hint="eastAsia" w:ascii="宋体" w:hAnsi="宋体" w:cs="Calibri"/>
          <w:kern w:val="0"/>
          <w:sz w:val="21"/>
          <w:szCs w:val="21"/>
          <w:lang w:val="en-US" w:eastAsia="zh-CN" w:bidi="ar"/>
        </w:rPr>
        <w:t>4</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本项目的</w:t>
      </w:r>
      <w:r>
        <w:rPr>
          <w:rFonts w:hint="eastAsia" w:ascii="宋体" w:hAnsi="宋体" w:cs="宋体"/>
          <w:kern w:val="0"/>
          <w:sz w:val="21"/>
          <w:szCs w:val="21"/>
          <w:lang w:val="en-US" w:eastAsia="zh-CN" w:bidi="ar"/>
        </w:rPr>
        <w:t>安全目标</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48" w:name="_Toc40780258"/>
      <w:bookmarkEnd w:id="148"/>
      <w:bookmarkStart w:id="149" w:name="_Toc15725"/>
      <w:bookmarkEnd w:id="149"/>
      <w:bookmarkStart w:id="150" w:name="_Toc40455276"/>
      <w:bookmarkEnd w:id="150"/>
      <w:bookmarkStart w:id="151" w:name="_Toc200513131"/>
      <w:bookmarkEnd w:id="151"/>
      <w:bookmarkStart w:id="152" w:name="_Toc287607751"/>
      <w:bookmarkEnd w:id="152"/>
      <w:bookmarkStart w:id="153" w:name="_Toc4661674"/>
      <w:bookmarkEnd w:id="153"/>
      <w:bookmarkStart w:id="154" w:name="_Toc4661432"/>
      <w:bookmarkEnd w:id="154"/>
      <w:bookmarkStart w:id="155" w:name="_Toc224103322"/>
      <w:bookmarkEnd w:id="155"/>
      <w:bookmarkStart w:id="156" w:name="_Toc40455649"/>
      <w:bookmarkEnd w:id="156"/>
      <w:bookmarkStart w:id="157" w:name="_Toc4661910"/>
      <w:bookmarkEnd w:id="157"/>
      <w:bookmarkStart w:id="158" w:name="_Toc4662146"/>
      <w:bookmarkEnd w:id="158"/>
      <w:bookmarkStart w:id="159" w:name="_Toc277082557"/>
      <w:r>
        <w:rPr>
          <w:rFonts w:hint="eastAsia" w:ascii="宋体" w:hAnsi="宋体" w:eastAsia="宋体" w:cs="Times New Roman"/>
          <w:b/>
          <w:kern w:val="2"/>
          <w:sz w:val="21"/>
          <w:szCs w:val="21"/>
        </w:rPr>
        <w:t xml:space="preserve">1.4  </w:t>
      </w:r>
      <w:bookmarkEnd w:id="159"/>
      <w:r>
        <w:rPr>
          <w:rFonts w:hint="eastAsia" w:ascii="宋体" w:hAnsi="宋体" w:cs="宋体"/>
          <w:b/>
          <w:kern w:val="2"/>
          <w:sz w:val="21"/>
          <w:szCs w:val="21"/>
          <w:lang w:eastAsia="zh-CN"/>
        </w:rPr>
        <w:t>报价人</w:t>
      </w:r>
      <w:r>
        <w:rPr>
          <w:rFonts w:hint="eastAsia" w:ascii="宋体" w:hAnsi="宋体" w:eastAsia="宋体" w:cs="宋体"/>
          <w:b/>
          <w:kern w:val="2"/>
          <w:sz w:val="21"/>
          <w:szCs w:val="21"/>
        </w:rPr>
        <w:t>资格要求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应具备承担本项目的资质条件、能力和信誉。</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eastAsia="宋体" w:cs="宋体"/>
          <w:kern w:val="2"/>
          <w:sz w:val="21"/>
          <w:szCs w:val="21"/>
          <w:lang w:val="en-US" w:eastAsia="zh-CN" w:bidi="ar"/>
        </w:rPr>
        <w:t>营业执照、资质要求</w:t>
      </w:r>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）业绩要求：见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）财务要求：见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）项目主要人员要求：见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信誉</w:t>
      </w:r>
      <w:r>
        <w:rPr>
          <w:rFonts w:hint="eastAsia" w:ascii="宋体" w:hAnsi="宋体" w:eastAsia="宋体" w:cs="宋体"/>
          <w:kern w:val="0"/>
          <w:sz w:val="21"/>
          <w:szCs w:val="21"/>
          <w:lang w:val="en-US" w:eastAsia="zh-CN" w:bidi="ar"/>
        </w:rPr>
        <w:t>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rPr>
      </w:pPr>
      <w:r>
        <w:rPr>
          <w:rFonts w:hint="eastAsia" w:ascii="宋体" w:hAnsi="宋体" w:eastAsia="宋体" w:cs="宋体"/>
          <w:kern w:val="0"/>
          <w:sz w:val="21"/>
          <w:szCs w:val="21"/>
          <w:lang w:val="en-US" w:eastAsia="zh-CN" w:bidi="ar"/>
        </w:rPr>
        <w:t>（</w:t>
      </w:r>
      <w:r>
        <w:rPr>
          <w:rFonts w:hint="eastAsia" w:ascii="宋体" w:hAnsi="宋体" w:cs="Calibri"/>
          <w:kern w:val="0"/>
          <w:sz w:val="21"/>
          <w:szCs w:val="21"/>
          <w:lang w:val="en-US" w:eastAsia="zh-CN" w:bidi="ar"/>
        </w:rPr>
        <w:t>6</w:t>
      </w:r>
      <w:r>
        <w:rPr>
          <w:rFonts w:hint="eastAsia" w:ascii="宋体" w:hAnsi="宋体" w:eastAsia="宋体" w:cs="宋体"/>
          <w:kern w:val="0"/>
          <w:sz w:val="21"/>
          <w:szCs w:val="21"/>
          <w:lang w:val="en-US" w:eastAsia="zh-CN" w:bidi="ar"/>
        </w:rPr>
        <w:t>）其他要求：见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1.4.2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前附表规定接受联合体投标的，除应符合本章第</w:t>
      </w:r>
      <w:r>
        <w:rPr>
          <w:rFonts w:hint="eastAsia" w:ascii="宋体" w:hAnsi="宋体" w:eastAsia="宋体" w:cs="Calibri"/>
          <w:kern w:val="0"/>
          <w:sz w:val="21"/>
          <w:szCs w:val="21"/>
          <w:lang w:val="en-US" w:eastAsia="zh-CN" w:bidi="ar"/>
        </w:rPr>
        <w:t>1.4.1</w:t>
      </w:r>
      <w:r>
        <w:rPr>
          <w:rFonts w:hint="eastAsia" w:ascii="宋体" w:hAnsi="宋体" w:eastAsia="宋体" w:cs="宋体"/>
          <w:kern w:val="0"/>
          <w:sz w:val="21"/>
          <w:szCs w:val="21"/>
          <w:lang w:val="en-US" w:eastAsia="zh-CN" w:bidi="ar"/>
        </w:rPr>
        <w:t>项和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前附表的要求外，还应遵守以下规定：</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）联合体各方应按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文件提供的格式签订联合体协议书，明确联合体牵头人和各方权利义务；</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）由同一专业的单位组成的联合体，按照资质等级较低的单位确定资质等级；</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）联合体各方不得再以自己名义单独或参加其他联合体在同一项目中投标。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1.4.3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不得存在下列情形之一：</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bookmarkStart w:id="160" w:name="_Toc224103323"/>
      <w:bookmarkEnd w:id="160"/>
      <w:bookmarkStart w:id="161" w:name="_Toc4661675"/>
      <w:bookmarkEnd w:id="161"/>
      <w:bookmarkStart w:id="162" w:name="_Toc287607752"/>
      <w:bookmarkEnd w:id="162"/>
      <w:bookmarkStart w:id="163" w:name="_Toc4661911"/>
      <w:bookmarkEnd w:id="163"/>
      <w:bookmarkStart w:id="164" w:name="_Toc40455650"/>
      <w:bookmarkEnd w:id="164"/>
      <w:bookmarkStart w:id="165" w:name="_Toc200513132"/>
      <w:bookmarkEnd w:id="165"/>
      <w:bookmarkStart w:id="166" w:name="_Toc40455277"/>
      <w:bookmarkEnd w:id="166"/>
      <w:bookmarkStart w:id="167" w:name="_Toc4662147"/>
      <w:bookmarkEnd w:id="167"/>
      <w:bookmarkStart w:id="168" w:name="_Toc40780259"/>
      <w:bookmarkEnd w:id="168"/>
      <w:bookmarkStart w:id="169" w:name="_Toc277082558"/>
      <w:bookmarkEnd w:id="169"/>
      <w:bookmarkStart w:id="170" w:name="_Toc4661433"/>
      <w:bookmarkEnd w:id="170"/>
      <w:bookmarkStart w:id="171" w:name="_Toc23688"/>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存在利害关系且可能影响</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公正性；</w:t>
      </w:r>
      <w:bookmarkEnd w:id="171"/>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2）与本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为同一个单位负责人；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3）与本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项目的其他</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存在控股、管理关系；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4）被依法暂停或者取消投标资格；</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5）被责令停产停业、暂扣或者吊销许可证、暂扣或者吊销执照；</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6）进入清算程序，或被宣告破产，或其他丧失履约能力的情形；</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7）在最近三年内发生重大产品质量问题；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8）被工商行政管理机关在全国企业信用信息公示系统中列入严重违法失信企业名单；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9）在“信用中国”网站（www.creditchina.gov.cn）中被列入失信惩戒对象名单；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10）在国家企业信用信息公示系统（http://www.gsxt.gov.cn/）中被列入严重违法失信企业名单；</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11）2018年1月1日至投标截止日止</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或其法定代表人有行贿犯罪行为的；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12）有过以他人名义投标或以其他方式弄虚作假，骗取中标行为；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13）财产被重组、接管、查封、扣押或冻结的；</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14）被国家、重庆市（含市或任意区县）有关行政部门处以暂停投标资格行政处罚，且在处罚期限内；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15）法律法规或</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1.5  费用承担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准备和参加</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活动发生的费用自理。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72" w:name="_Toc224103324"/>
      <w:bookmarkEnd w:id="172"/>
      <w:bookmarkStart w:id="173" w:name="_Toc4661434"/>
      <w:bookmarkEnd w:id="173"/>
      <w:bookmarkStart w:id="174" w:name="_Toc4662148"/>
      <w:bookmarkEnd w:id="174"/>
      <w:bookmarkStart w:id="175" w:name="_Toc40455651"/>
      <w:bookmarkEnd w:id="175"/>
      <w:bookmarkStart w:id="176" w:name="_Toc277082559"/>
      <w:bookmarkEnd w:id="176"/>
      <w:bookmarkStart w:id="177" w:name="_Toc706"/>
      <w:bookmarkEnd w:id="177"/>
      <w:bookmarkStart w:id="178" w:name="_Toc200513133"/>
      <w:bookmarkEnd w:id="178"/>
      <w:bookmarkStart w:id="179" w:name="_Toc4661676"/>
      <w:bookmarkEnd w:id="179"/>
      <w:bookmarkStart w:id="180" w:name="_Toc4661912"/>
      <w:bookmarkEnd w:id="180"/>
      <w:bookmarkStart w:id="181" w:name="_Toc40455278"/>
      <w:bookmarkEnd w:id="181"/>
      <w:bookmarkStart w:id="182" w:name="_Toc287607753"/>
      <w:bookmarkEnd w:id="182"/>
      <w:bookmarkStart w:id="183" w:name="_Toc40780260"/>
      <w:r>
        <w:rPr>
          <w:rFonts w:hint="eastAsia" w:ascii="宋体" w:hAnsi="宋体" w:eastAsia="宋体" w:cs="Times New Roman"/>
          <w:b/>
          <w:kern w:val="2"/>
          <w:sz w:val="21"/>
          <w:szCs w:val="21"/>
        </w:rPr>
        <w:t xml:space="preserve">1.6  </w:t>
      </w:r>
      <w:bookmarkEnd w:id="183"/>
      <w:r>
        <w:rPr>
          <w:rFonts w:hint="eastAsia" w:ascii="宋体" w:hAnsi="宋体" w:eastAsia="宋体" w:cs="宋体"/>
          <w:b/>
          <w:kern w:val="2"/>
          <w:sz w:val="21"/>
          <w:szCs w:val="21"/>
        </w:rPr>
        <w:t>保密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参与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投标活动的各方应对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中的商业和技术等秘密保密，违者应对由此造成的后果承担法律责任。</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84" w:name="_Toc277082560"/>
      <w:bookmarkEnd w:id="184"/>
      <w:bookmarkStart w:id="185" w:name="_Toc40455652"/>
      <w:bookmarkEnd w:id="185"/>
      <w:bookmarkStart w:id="186" w:name="_Toc224103325"/>
      <w:bookmarkEnd w:id="186"/>
      <w:bookmarkStart w:id="187" w:name="_Toc40780261"/>
      <w:bookmarkEnd w:id="187"/>
      <w:bookmarkStart w:id="188" w:name="_Toc40455279"/>
      <w:bookmarkEnd w:id="188"/>
      <w:bookmarkStart w:id="189" w:name="_Toc4661913"/>
      <w:bookmarkEnd w:id="189"/>
      <w:bookmarkStart w:id="190" w:name="_Toc287607754"/>
      <w:bookmarkEnd w:id="190"/>
      <w:bookmarkStart w:id="191" w:name="_Toc4661677"/>
      <w:bookmarkEnd w:id="191"/>
      <w:bookmarkStart w:id="192" w:name="_Toc4264"/>
      <w:bookmarkEnd w:id="192"/>
      <w:bookmarkStart w:id="193" w:name="_Toc4661435"/>
      <w:bookmarkEnd w:id="193"/>
      <w:bookmarkStart w:id="194" w:name="_Toc200513134"/>
      <w:bookmarkEnd w:id="194"/>
      <w:bookmarkStart w:id="195" w:name="_Toc4662149"/>
      <w:r>
        <w:rPr>
          <w:rFonts w:hint="eastAsia" w:ascii="宋体" w:hAnsi="宋体" w:eastAsia="宋体" w:cs="Times New Roman"/>
          <w:b/>
          <w:kern w:val="2"/>
          <w:sz w:val="21"/>
          <w:szCs w:val="21"/>
        </w:rPr>
        <w:t xml:space="preserve">1.7  </w:t>
      </w:r>
      <w:bookmarkEnd w:id="195"/>
      <w:r>
        <w:rPr>
          <w:rFonts w:hint="eastAsia" w:ascii="宋体" w:hAnsi="宋体" w:eastAsia="宋体" w:cs="宋体"/>
          <w:b/>
          <w:kern w:val="2"/>
          <w:sz w:val="21"/>
          <w:szCs w:val="21"/>
        </w:rPr>
        <w:t>语言文字</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除专用术语外，与</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投标有关的语言均使用中文。必要时专用术语应附有中文注释。</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196" w:name="_Toc224103326"/>
      <w:bookmarkEnd w:id="196"/>
      <w:bookmarkStart w:id="197" w:name="_Toc40455653"/>
      <w:bookmarkEnd w:id="197"/>
      <w:bookmarkStart w:id="198" w:name="_Toc4661436"/>
      <w:bookmarkEnd w:id="198"/>
      <w:bookmarkStart w:id="199" w:name="_Toc200513135"/>
      <w:bookmarkEnd w:id="199"/>
      <w:bookmarkStart w:id="200" w:name="_Toc4661678"/>
      <w:bookmarkEnd w:id="200"/>
      <w:bookmarkStart w:id="201" w:name="_Toc287607755"/>
      <w:bookmarkEnd w:id="201"/>
      <w:bookmarkStart w:id="202" w:name="_Toc934"/>
      <w:bookmarkEnd w:id="202"/>
      <w:bookmarkStart w:id="203" w:name="_Toc40780262"/>
      <w:bookmarkEnd w:id="203"/>
      <w:bookmarkStart w:id="204" w:name="_Toc40455280"/>
      <w:bookmarkEnd w:id="204"/>
      <w:bookmarkStart w:id="205" w:name="_Toc4662150"/>
      <w:bookmarkEnd w:id="205"/>
      <w:bookmarkStart w:id="206" w:name="_Toc277082561"/>
      <w:bookmarkEnd w:id="206"/>
      <w:bookmarkStart w:id="207" w:name="_Toc4661914"/>
      <w:r>
        <w:rPr>
          <w:rFonts w:hint="eastAsia" w:ascii="宋体" w:hAnsi="宋体" w:eastAsia="宋体" w:cs="Times New Roman"/>
          <w:b/>
          <w:kern w:val="2"/>
          <w:sz w:val="21"/>
          <w:szCs w:val="21"/>
        </w:rPr>
        <w:t xml:space="preserve">1.8  </w:t>
      </w:r>
      <w:bookmarkEnd w:id="207"/>
      <w:r>
        <w:rPr>
          <w:rFonts w:hint="eastAsia" w:ascii="宋体" w:hAnsi="宋体" w:eastAsia="宋体" w:cs="宋体"/>
          <w:b/>
          <w:kern w:val="2"/>
          <w:sz w:val="21"/>
          <w:szCs w:val="21"/>
        </w:rPr>
        <w:t>计量单位</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所有计量均采用中华人民共和国法定计量单位。</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08" w:name="_Toc224103327"/>
      <w:bookmarkEnd w:id="208"/>
      <w:bookmarkStart w:id="209" w:name="_Toc14666"/>
      <w:bookmarkEnd w:id="209"/>
      <w:bookmarkStart w:id="210" w:name="_Toc200513136"/>
      <w:bookmarkEnd w:id="210"/>
      <w:bookmarkStart w:id="211" w:name="_Toc287607756"/>
      <w:bookmarkEnd w:id="211"/>
      <w:bookmarkStart w:id="212" w:name="_Toc4661437"/>
      <w:bookmarkEnd w:id="212"/>
      <w:bookmarkStart w:id="213" w:name="_Toc4661915"/>
      <w:bookmarkEnd w:id="213"/>
      <w:bookmarkStart w:id="214" w:name="_Toc4661679"/>
      <w:bookmarkEnd w:id="214"/>
      <w:bookmarkStart w:id="215" w:name="_Toc4662151"/>
      <w:bookmarkEnd w:id="215"/>
      <w:bookmarkStart w:id="216" w:name="_Toc40455654"/>
      <w:bookmarkEnd w:id="216"/>
      <w:bookmarkStart w:id="217" w:name="_Toc40455281"/>
      <w:bookmarkEnd w:id="217"/>
      <w:bookmarkStart w:id="218" w:name="_Toc277082562"/>
      <w:bookmarkEnd w:id="218"/>
      <w:bookmarkStart w:id="219" w:name="_Toc40780263"/>
      <w:r>
        <w:rPr>
          <w:rFonts w:hint="eastAsia" w:ascii="宋体" w:hAnsi="宋体" w:eastAsia="宋体" w:cs="Times New Roman"/>
          <w:b/>
          <w:kern w:val="2"/>
          <w:sz w:val="21"/>
          <w:szCs w:val="21"/>
        </w:rPr>
        <w:t xml:space="preserve">1.9  </w:t>
      </w:r>
      <w:bookmarkEnd w:id="219"/>
      <w:r>
        <w:rPr>
          <w:rFonts w:hint="eastAsia" w:ascii="宋体" w:hAnsi="宋体" w:eastAsia="宋体" w:cs="宋体"/>
          <w:b/>
          <w:kern w:val="2"/>
          <w:sz w:val="21"/>
          <w:szCs w:val="21"/>
        </w:rPr>
        <w:t>踏勘现场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前附表规定组织踏勘现场的，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w:t>
      </w: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地点组织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踏勘项目现场。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踏勘现场发生的费用自理。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1.9.3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的原因外，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自行负责在踏勘现场中所发生的人员伤亡和财产损失。</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1.9.4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在踏勘现场中介绍的工程场地和相关的周边环境情况，供</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在编制投</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标文件时参考，</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据此做出的判断和决策负责。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20" w:name="_Toc4661916"/>
      <w:bookmarkEnd w:id="220"/>
      <w:bookmarkStart w:id="221" w:name="_Toc32378"/>
      <w:bookmarkEnd w:id="221"/>
      <w:bookmarkStart w:id="222" w:name="_Toc40455282"/>
      <w:bookmarkEnd w:id="222"/>
      <w:bookmarkStart w:id="223" w:name="_Toc224103328"/>
      <w:bookmarkEnd w:id="223"/>
      <w:bookmarkStart w:id="224" w:name="_Toc4661680"/>
      <w:bookmarkEnd w:id="224"/>
      <w:bookmarkStart w:id="225" w:name="_Toc4661438"/>
      <w:bookmarkEnd w:id="225"/>
      <w:bookmarkStart w:id="226" w:name="_Toc277082563"/>
      <w:bookmarkEnd w:id="226"/>
      <w:bookmarkStart w:id="227" w:name="_Toc40780264"/>
      <w:bookmarkEnd w:id="227"/>
      <w:bookmarkStart w:id="228" w:name="_Toc287607757"/>
      <w:bookmarkEnd w:id="228"/>
      <w:bookmarkStart w:id="229" w:name="_Toc200513137"/>
      <w:bookmarkEnd w:id="229"/>
      <w:bookmarkStart w:id="230" w:name="_Toc4662152"/>
      <w:bookmarkEnd w:id="230"/>
      <w:bookmarkStart w:id="231" w:name="_Toc40455655"/>
      <w:r>
        <w:rPr>
          <w:rFonts w:hint="eastAsia" w:ascii="宋体" w:hAnsi="宋体" w:eastAsia="宋体" w:cs="Times New Roman"/>
          <w:b/>
          <w:kern w:val="2"/>
          <w:sz w:val="21"/>
          <w:szCs w:val="21"/>
        </w:rPr>
        <w:t xml:space="preserve">1.10  </w:t>
      </w:r>
      <w:bookmarkEnd w:id="231"/>
      <w:r>
        <w:rPr>
          <w:rFonts w:hint="eastAsia" w:ascii="宋体" w:hAnsi="宋体" w:eastAsia="宋体" w:cs="宋体"/>
          <w:b/>
          <w:kern w:val="2"/>
          <w:sz w:val="21"/>
          <w:szCs w:val="21"/>
        </w:rPr>
        <w:t>投标预备会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1.10.1  </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前附表规定召开投标预备会的，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前附表规定的时间和地点召开投标预备会，澄清</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提出的问题。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前附表规定的时间前，以书面形式将提出的问题送达</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，以便</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在会议期间澄清。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1.10.3  </w:t>
      </w:r>
      <w:r>
        <w:rPr>
          <w:rFonts w:hint="eastAsia" w:ascii="宋体" w:hAnsi="宋体" w:eastAsia="宋体" w:cs="宋体"/>
          <w:kern w:val="0"/>
          <w:sz w:val="21"/>
          <w:szCs w:val="21"/>
          <w:lang w:val="en-US" w:eastAsia="zh-CN" w:bidi="ar"/>
        </w:rPr>
        <w:t>投标预备会后，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前附表规定的时间内，将对</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所提问题</w:t>
      </w:r>
      <w:r>
        <w:rPr>
          <w:rFonts w:hint="eastAsia" w:ascii="宋体" w:hAnsi="宋体" w:eastAsia="宋体" w:cs="宋体"/>
          <w:kern w:val="0"/>
          <w:position w:val="-2"/>
          <w:sz w:val="21"/>
          <w:szCs w:val="21"/>
          <w:lang w:val="en-US" w:eastAsia="zh-CN" w:bidi="ar"/>
        </w:rPr>
        <w:t>的澄清，以书面方式通知所有购买</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。该澄清内容为</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32" w:name="_Toc4661917"/>
      <w:bookmarkEnd w:id="232"/>
      <w:bookmarkStart w:id="233" w:name="_Toc277082564"/>
      <w:bookmarkEnd w:id="233"/>
      <w:bookmarkStart w:id="234" w:name="_Toc287607758"/>
      <w:bookmarkEnd w:id="234"/>
      <w:bookmarkStart w:id="235" w:name="_Toc4661439"/>
      <w:bookmarkEnd w:id="235"/>
      <w:bookmarkStart w:id="236" w:name="_Toc1732"/>
      <w:bookmarkEnd w:id="236"/>
      <w:bookmarkStart w:id="237" w:name="_Toc40455656"/>
      <w:bookmarkEnd w:id="237"/>
      <w:bookmarkStart w:id="238" w:name="_Toc40455283"/>
      <w:bookmarkEnd w:id="238"/>
      <w:bookmarkStart w:id="239" w:name="_Toc4661681"/>
      <w:bookmarkEnd w:id="239"/>
      <w:bookmarkStart w:id="240" w:name="_Toc4662153"/>
      <w:bookmarkEnd w:id="240"/>
      <w:bookmarkStart w:id="241" w:name="_Toc40780265"/>
      <w:bookmarkEnd w:id="241"/>
      <w:bookmarkStart w:id="242" w:name="_Toc224103329"/>
      <w:bookmarkEnd w:id="242"/>
      <w:bookmarkStart w:id="243" w:name="_Toc200513138"/>
      <w:r>
        <w:rPr>
          <w:rFonts w:hint="eastAsia" w:ascii="宋体" w:hAnsi="宋体" w:eastAsia="宋体" w:cs="Times New Roman"/>
          <w:b/>
          <w:kern w:val="2"/>
          <w:sz w:val="21"/>
          <w:szCs w:val="21"/>
        </w:rPr>
        <w:t xml:space="preserve">1.11  </w:t>
      </w:r>
      <w:bookmarkEnd w:id="243"/>
      <w:r>
        <w:rPr>
          <w:rFonts w:hint="eastAsia" w:ascii="宋体" w:hAnsi="宋体" w:eastAsia="宋体" w:cs="宋体"/>
          <w:b/>
          <w:kern w:val="2"/>
          <w:sz w:val="21"/>
          <w:szCs w:val="21"/>
        </w:rPr>
        <w:t>分包</w:t>
      </w:r>
    </w:p>
    <w:p>
      <w:pPr>
        <w:pStyle w:val="5"/>
        <w:widowControl/>
        <w:spacing w:before="0" w:beforeAutospacing="0" w:after="0" w:afterAutospacing="0" w:line="300" w:lineRule="exact"/>
        <w:rPr>
          <w:rFonts w:hint="eastAsia" w:ascii="宋体" w:hAnsi="宋体" w:eastAsia="宋体" w:cs="MingLiU"/>
          <w:b w:val="0"/>
          <w:kern w:val="0"/>
          <w:sz w:val="21"/>
          <w:szCs w:val="21"/>
        </w:rPr>
      </w:pPr>
      <w:bookmarkStart w:id="244" w:name="_Toc40455284"/>
      <w:bookmarkEnd w:id="244"/>
      <w:bookmarkStart w:id="245" w:name="_Toc4661682"/>
      <w:bookmarkEnd w:id="245"/>
      <w:bookmarkStart w:id="246" w:name="_Toc277082565"/>
      <w:bookmarkEnd w:id="246"/>
      <w:bookmarkStart w:id="247" w:name="_Toc4662154"/>
      <w:bookmarkEnd w:id="247"/>
      <w:bookmarkStart w:id="248" w:name="_Toc200513139"/>
      <w:bookmarkEnd w:id="248"/>
      <w:bookmarkStart w:id="249" w:name="_Toc4661918"/>
      <w:bookmarkEnd w:id="249"/>
      <w:bookmarkStart w:id="250" w:name="_Toc4661440"/>
      <w:bookmarkEnd w:id="250"/>
      <w:bookmarkStart w:id="251" w:name="_Toc40455657"/>
      <w:bookmarkEnd w:id="251"/>
      <w:bookmarkStart w:id="252" w:name="_Toc1991"/>
      <w:bookmarkEnd w:id="252"/>
      <w:bookmarkStart w:id="253" w:name="_Toc40780266"/>
      <w:bookmarkEnd w:id="253"/>
      <w:bookmarkStart w:id="254" w:name="_Toc287607759"/>
      <w:bookmarkEnd w:id="254"/>
      <w:bookmarkStart w:id="255" w:name="_Toc224103330"/>
      <w:r>
        <w:rPr>
          <w:rFonts w:hint="eastAsia" w:ascii="宋体" w:hAnsi="宋体" w:eastAsia="宋体" w:cs="MingLiU"/>
          <w:b w:val="0"/>
          <w:kern w:val="0"/>
          <w:sz w:val="21"/>
          <w:szCs w:val="21"/>
        </w:rPr>
        <w:t>1.11.1本项目</w:t>
      </w:r>
      <w:r>
        <w:rPr>
          <w:rFonts w:hint="eastAsia" w:ascii="宋体" w:hAnsi="宋体" w:cs="MingLiU"/>
          <w:b w:val="0"/>
          <w:kern w:val="0"/>
          <w:sz w:val="21"/>
          <w:szCs w:val="21"/>
          <w:lang w:eastAsia="zh-CN"/>
        </w:rPr>
        <w:t>竞争性比选</w:t>
      </w:r>
      <w:r>
        <w:rPr>
          <w:rFonts w:hint="eastAsia" w:ascii="宋体" w:hAnsi="宋体" w:eastAsia="宋体" w:cs="MingLiU"/>
          <w:b w:val="0"/>
          <w:kern w:val="0"/>
          <w:sz w:val="21"/>
          <w:szCs w:val="21"/>
        </w:rPr>
        <w:t>范围内的内容如需分包，分包单位的确定须</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书面批准同意。否则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均有权取消中标人资格。</w:t>
      </w:r>
      <w:bookmarkEnd w:id="255"/>
    </w:p>
    <w:p>
      <w:pPr>
        <w:pStyle w:val="5"/>
        <w:widowControl/>
        <w:spacing w:before="0" w:beforeAutospacing="0" w:after="0" w:afterAutospacing="0" w:line="300" w:lineRule="exact"/>
        <w:rPr>
          <w:rFonts w:hint="eastAsia" w:ascii="宋体" w:hAnsi="宋体" w:eastAsia="宋体" w:cs="MingLiU"/>
          <w:b w:val="0"/>
          <w:kern w:val="0"/>
          <w:sz w:val="21"/>
          <w:szCs w:val="21"/>
        </w:rPr>
      </w:pPr>
      <w:r>
        <w:rPr>
          <w:rFonts w:hint="eastAsia" w:ascii="宋体" w:hAnsi="宋体" w:eastAsia="宋体" w:cs="MingLiU"/>
          <w:b w:val="0"/>
          <w:kern w:val="0"/>
          <w:sz w:val="21"/>
          <w:szCs w:val="21"/>
        </w:rPr>
        <w:t>1.11.2.严禁转包、转让中标项目，也不得将中标项目肢解后分别转包、转让，否则</w:t>
      </w:r>
      <w:r>
        <w:rPr>
          <w:rFonts w:hint="eastAsia" w:ascii="宋体" w:hAnsi="宋体" w:cs="MingLiU"/>
          <w:b w:val="0"/>
          <w:kern w:val="0"/>
          <w:sz w:val="21"/>
          <w:szCs w:val="21"/>
          <w:lang w:eastAsia="zh-CN"/>
        </w:rPr>
        <w:t>采购人</w:t>
      </w:r>
      <w:r>
        <w:rPr>
          <w:rFonts w:hint="eastAsia" w:ascii="宋体" w:hAnsi="宋体" w:eastAsia="宋体" w:cs="MingLiU"/>
          <w:b w:val="0"/>
          <w:kern w:val="0"/>
          <w:sz w:val="21"/>
          <w:szCs w:val="21"/>
        </w:rPr>
        <w:t>有权取消中标人资格。</w:t>
      </w:r>
    </w:p>
    <w:p>
      <w:pPr>
        <w:pStyle w:val="5"/>
        <w:widowControl/>
        <w:spacing w:before="0" w:beforeAutospacing="0" w:after="0" w:afterAutospacing="0" w:line="300" w:lineRule="exact"/>
        <w:rPr>
          <w:rFonts w:hint="eastAsia" w:ascii="宋体" w:hAnsi="宋体" w:eastAsia="宋体" w:cs="MingLiU"/>
          <w:b w:val="0"/>
          <w:kern w:val="0"/>
          <w:sz w:val="21"/>
          <w:szCs w:val="21"/>
        </w:rPr>
      </w:pPr>
      <w:r>
        <w:rPr>
          <w:rFonts w:hint="eastAsia" w:ascii="宋体" w:hAnsi="宋体" w:eastAsia="宋体" w:cs="MingLiU"/>
          <w:b w:val="0"/>
          <w:kern w:val="0"/>
          <w:sz w:val="21"/>
          <w:szCs w:val="21"/>
        </w:rPr>
        <w:t>1.12  偏离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前附表允许</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偏离</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文件某些要求的，偏离应当符合</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的偏离范围和幅度。</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256" w:name="_Toc4661441"/>
      <w:bookmarkEnd w:id="256"/>
      <w:bookmarkStart w:id="257" w:name="_Toc200513140"/>
      <w:bookmarkEnd w:id="257"/>
      <w:bookmarkStart w:id="258" w:name="_Toc287607760"/>
      <w:bookmarkEnd w:id="258"/>
      <w:bookmarkStart w:id="259" w:name="_Toc4661919"/>
      <w:bookmarkEnd w:id="259"/>
      <w:bookmarkStart w:id="260" w:name="_Toc4662155"/>
      <w:bookmarkEnd w:id="260"/>
      <w:bookmarkStart w:id="261" w:name="_Toc143"/>
      <w:bookmarkEnd w:id="261"/>
      <w:bookmarkStart w:id="262" w:name="_Toc27390"/>
      <w:bookmarkEnd w:id="262"/>
      <w:bookmarkStart w:id="263" w:name="_Toc4661683"/>
      <w:bookmarkEnd w:id="263"/>
      <w:bookmarkStart w:id="264" w:name="_Toc277082566"/>
      <w:bookmarkEnd w:id="264"/>
      <w:bookmarkStart w:id="265" w:name="_Toc40455285"/>
      <w:bookmarkEnd w:id="265"/>
      <w:bookmarkStart w:id="266" w:name="_Toc30989"/>
      <w:bookmarkEnd w:id="266"/>
      <w:bookmarkStart w:id="267" w:name="_Toc25763"/>
      <w:bookmarkEnd w:id="267"/>
      <w:bookmarkStart w:id="268" w:name="_Toc40455658"/>
      <w:bookmarkEnd w:id="268"/>
      <w:bookmarkStart w:id="269" w:name="_Toc4806"/>
      <w:bookmarkEnd w:id="269"/>
      <w:bookmarkStart w:id="270" w:name="_Toc224103331"/>
      <w:bookmarkEnd w:id="270"/>
      <w:bookmarkStart w:id="271" w:name="_Toc24734"/>
      <w:r>
        <w:rPr>
          <w:rFonts w:hint="eastAsia" w:ascii="宋体" w:hAnsi="宋体" w:eastAsia="黑体" w:cs="Times New Roman"/>
          <w:b/>
          <w:kern w:val="0"/>
          <w:sz w:val="21"/>
          <w:szCs w:val="21"/>
        </w:rPr>
        <w:t xml:space="preserve">2.  </w:t>
      </w:r>
      <w:bookmarkEnd w:id="271"/>
      <w:r>
        <w:rPr>
          <w:rFonts w:hint="eastAsia" w:ascii="黑体" w:hAnsi="宋体" w:cs="黑体"/>
          <w:b/>
          <w:kern w:val="0"/>
          <w:sz w:val="21"/>
          <w:szCs w:val="21"/>
          <w:lang w:eastAsia="zh-CN"/>
        </w:rPr>
        <w:t>竞争性比选</w:t>
      </w:r>
      <w:r>
        <w:rPr>
          <w:rFonts w:hint="eastAsia" w:ascii="黑体" w:hAnsi="宋体" w:eastAsia="黑体" w:cs="黑体"/>
          <w:b/>
          <w:kern w:val="0"/>
          <w:sz w:val="21"/>
          <w:szCs w:val="21"/>
        </w:rPr>
        <w:t>文件</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72" w:name="_Toc29861"/>
      <w:bookmarkEnd w:id="272"/>
      <w:bookmarkStart w:id="273" w:name="_Toc40455659"/>
      <w:bookmarkEnd w:id="273"/>
      <w:bookmarkStart w:id="274" w:name="_Toc40455286"/>
      <w:bookmarkEnd w:id="274"/>
      <w:bookmarkStart w:id="275" w:name="_Toc277082567"/>
      <w:bookmarkEnd w:id="275"/>
      <w:bookmarkStart w:id="276" w:name="_Toc4662156"/>
      <w:bookmarkEnd w:id="276"/>
      <w:bookmarkStart w:id="277" w:name="_Toc287607761"/>
      <w:bookmarkEnd w:id="277"/>
      <w:bookmarkStart w:id="278" w:name="_Toc224103332"/>
      <w:bookmarkEnd w:id="278"/>
      <w:bookmarkStart w:id="279" w:name="_Toc200513141"/>
      <w:bookmarkEnd w:id="279"/>
      <w:bookmarkStart w:id="280" w:name="_Toc4661684"/>
      <w:bookmarkEnd w:id="280"/>
      <w:bookmarkStart w:id="281" w:name="_Toc4661920"/>
      <w:bookmarkEnd w:id="281"/>
      <w:bookmarkStart w:id="282" w:name="_Toc40780268"/>
      <w:bookmarkEnd w:id="282"/>
      <w:bookmarkStart w:id="283" w:name="_Toc4661442"/>
      <w:r>
        <w:rPr>
          <w:rFonts w:hint="eastAsia" w:ascii="宋体" w:hAnsi="宋体" w:eastAsia="宋体" w:cs="Times New Roman"/>
          <w:b/>
          <w:kern w:val="2"/>
          <w:sz w:val="21"/>
          <w:szCs w:val="21"/>
        </w:rPr>
        <w:t xml:space="preserve">2.1  </w:t>
      </w:r>
      <w:bookmarkEnd w:id="283"/>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文件的组成</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文件包括：</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公告；</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）评标办法；</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）合同条款及格式；</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5</w:t>
      </w:r>
      <w:r>
        <w:rPr>
          <w:rFonts w:hint="eastAsia" w:ascii="宋体" w:hAnsi="宋体" w:eastAsia="宋体" w:cs="宋体"/>
          <w:kern w:val="0"/>
          <w:sz w:val="21"/>
          <w:szCs w:val="21"/>
          <w:lang w:val="en-US" w:eastAsia="zh-CN" w:bidi="ar"/>
        </w:rPr>
        <w:t>）技术标准和要求；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6</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格式；</w:t>
      </w:r>
    </w:p>
    <w:p>
      <w:pPr>
        <w:pStyle w:val="172"/>
        <w:widowControl/>
        <w:spacing w:line="300" w:lineRule="exact"/>
        <w:ind w:left="0" w:firstLine="420"/>
        <w:rPr>
          <w:rFonts w:hint="eastAsia" w:ascii="宋体" w:hAnsi="宋体" w:eastAsia="宋体" w:cs="Calibri"/>
          <w:spacing w:val="11"/>
          <w:kern w:val="0"/>
          <w:sz w:val="24"/>
          <w:szCs w:val="24"/>
        </w:rPr>
      </w:pPr>
      <w:r>
        <w:rPr>
          <w:rFonts w:hint="eastAsia" w:ascii="宋体" w:hAnsi="宋体" w:eastAsia="宋体" w:cs="宋体"/>
          <w:spacing w:val="0"/>
          <w:kern w:val="0"/>
          <w:sz w:val="21"/>
          <w:szCs w:val="21"/>
        </w:rPr>
        <w:t>（</w:t>
      </w:r>
      <w:r>
        <w:rPr>
          <w:rFonts w:hint="eastAsia" w:ascii="宋体" w:hAnsi="宋体" w:eastAsia="宋体" w:cs="MingLiU"/>
          <w:spacing w:val="0"/>
          <w:kern w:val="0"/>
          <w:sz w:val="21"/>
          <w:szCs w:val="21"/>
        </w:rPr>
        <w:t>7）</w:t>
      </w:r>
      <w:r>
        <w:rPr>
          <w:rFonts w:hint="eastAsia" w:cs="MingLiU"/>
          <w:spacing w:val="0"/>
          <w:kern w:val="0"/>
          <w:sz w:val="21"/>
          <w:szCs w:val="21"/>
          <w:lang w:eastAsia="zh-CN"/>
        </w:rPr>
        <w:t>报价人须知</w:t>
      </w:r>
      <w:r>
        <w:rPr>
          <w:rFonts w:hint="eastAsia" w:ascii="宋体" w:hAnsi="宋体" w:eastAsia="宋体" w:cs="MingLiU"/>
          <w:spacing w:val="0"/>
          <w:kern w:val="0"/>
          <w:sz w:val="21"/>
          <w:szCs w:val="21"/>
        </w:rPr>
        <w:t>前附表规定的其他材料。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根据本章第</w:t>
      </w:r>
      <w:r>
        <w:rPr>
          <w:rFonts w:hint="eastAsia" w:ascii="宋体" w:hAnsi="宋体" w:eastAsia="宋体" w:cs="Calibri"/>
          <w:kern w:val="0"/>
          <w:sz w:val="21"/>
          <w:szCs w:val="21"/>
          <w:lang w:val="en-US" w:eastAsia="zh-CN" w:bidi="ar"/>
        </w:rPr>
        <w:t>1.10</w:t>
      </w:r>
      <w:r>
        <w:rPr>
          <w:rFonts w:hint="eastAsia" w:ascii="宋体" w:hAnsi="宋体" w:eastAsia="宋体" w:cs="宋体"/>
          <w:kern w:val="0"/>
          <w:sz w:val="21"/>
          <w:szCs w:val="21"/>
          <w:lang w:val="en-US" w:eastAsia="zh-CN" w:bidi="ar"/>
        </w:rPr>
        <w:t>款、第</w:t>
      </w:r>
      <w:r>
        <w:rPr>
          <w:rFonts w:hint="eastAsia" w:ascii="宋体" w:hAnsi="宋体" w:eastAsia="宋体" w:cs="Calibri"/>
          <w:kern w:val="0"/>
          <w:sz w:val="21"/>
          <w:szCs w:val="21"/>
          <w:lang w:val="en-US" w:eastAsia="zh-CN" w:bidi="ar"/>
        </w:rPr>
        <w:t>2.2</w:t>
      </w:r>
      <w:r>
        <w:rPr>
          <w:rFonts w:hint="eastAsia" w:ascii="宋体" w:hAnsi="宋体" w:eastAsia="宋体" w:cs="宋体"/>
          <w:kern w:val="0"/>
          <w:sz w:val="21"/>
          <w:szCs w:val="21"/>
          <w:lang w:val="en-US" w:eastAsia="zh-CN" w:bidi="ar"/>
        </w:rPr>
        <w:t>款和第</w:t>
      </w:r>
      <w:r>
        <w:rPr>
          <w:rFonts w:hint="eastAsia" w:ascii="宋体" w:hAnsi="宋体" w:eastAsia="宋体" w:cs="Calibri"/>
          <w:kern w:val="0"/>
          <w:sz w:val="21"/>
          <w:szCs w:val="21"/>
          <w:lang w:val="en-US" w:eastAsia="zh-CN" w:bidi="ar"/>
        </w:rPr>
        <w:t>2.3</w:t>
      </w:r>
      <w:r>
        <w:rPr>
          <w:rFonts w:hint="eastAsia" w:ascii="宋体" w:hAnsi="宋体" w:eastAsia="宋体" w:cs="宋体"/>
          <w:kern w:val="0"/>
          <w:sz w:val="21"/>
          <w:szCs w:val="21"/>
          <w:lang w:val="en-US" w:eastAsia="zh-CN" w:bidi="ar"/>
        </w:rPr>
        <w:t>款对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文件所作的澄清、修改，构成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文件的组成部分。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84" w:name="_Toc40455660"/>
      <w:bookmarkEnd w:id="284"/>
      <w:bookmarkStart w:id="285" w:name="_Toc277082568"/>
      <w:bookmarkEnd w:id="285"/>
      <w:bookmarkStart w:id="286" w:name="_Toc4662157"/>
      <w:bookmarkEnd w:id="286"/>
      <w:bookmarkStart w:id="287" w:name="_Toc224103333"/>
      <w:bookmarkEnd w:id="287"/>
      <w:bookmarkStart w:id="288" w:name="_Toc40780269"/>
      <w:bookmarkEnd w:id="288"/>
      <w:bookmarkStart w:id="289" w:name="_Toc32674"/>
      <w:bookmarkEnd w:id="289"/>
      <w:bookmarkStart w:id="290" w:name="_Toc4661921"/>
      <w:bookmarkEnd w:id="290"/>
      <w:bookmarkStart w:id="291" w:name="_Toc200513142"/>
      <w:bookmarkEnd w:id="291"/>
      <w:bookmarkStart w:id="292" w:name="_Toc4661443"/>
      <w:bookmarkEnd w:id="292"/>
      <w:bookmarkStart w:id="293" w:name="_Toc287607762"/>
      <w:bookmarkEnd w:id="293"/>
      <w:bookmarkStart w:id="294" w:name="_Toc40455287"/>
      <w:bookmarkEnd w:id="294"/>
      <w:bookmarkStart w:id="295" w:name="_Toc4661685"/>
      <w:r>
        <w:rPr>
          <w:rFonts w:hint="eastAsia" w:ascii="宋体" w:hAnsi="宋体" w:eastAsia="宋体" w:cs="Times New Roman"/>
          <w:b/>
          <w:kern w:val="2"/>
          <w:sz w:val="21"/>
          <w:szCs w:val="21"/>
        </w:rPr>
        <w:t xml:space="preserve">2.2  </w:t>
      </w:r>
      <w:bookmarkEnd w:id="295"/>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文件的澄清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应仔细阅读和检查</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文件的全部内容。如发现缺页或附件不全，应及时向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提出，以便补齐。如有疑问，应在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前附表规定的时间前在重庆市公共资源交易网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7"/>
          <w:rFonts w:hint="eastAsia" w:ascii="宋体" w:hAnsi="宋体" w:cs="宋体"/>
          <w:kern w:val="0"/>
          <w:sz w:val="21"/>
          <w:szCs w:val="21"/>
          <w:lang w:eastAsia="zh-CN"/>
        </w:rPr>
        <w:t>报价人</w:t>
      </w:r>
      <w:r>
        <w:rPr>
          <w:rStyle w:val="47"/>
          <w:rFonts w:hint="eastAsia" w:ascii="宋体" w:hAnsi="宋体" w:eastAsia="宋体" w:cs="宋体"/>
          <w:kern w:val="0"/>
          <w:sz w:val="21"/>
          <w:szCs w:val="21"/>
        </w:rPr>
        <w:t>质疑区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提交质疑，要求</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文件予以澄清。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2.2.2  </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文件的澄清将在</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前附表规定的投标截止时间</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天前在重庆市公共资源交易网答疑区发布答疑，但不指明澄清问题的来源。如果澄清发出的时间距投标截止时间不足</w:t>
      </w:r>
      <w:r>
        <w:rPr>
          <w:rFonts w:hint="eastAsia" w:ascii="宋体" w:hAnsi="宋体" w:eastAsia="宋体" w:cs="Calibri"/>
          <w:kern w:val="0"/>
          <w:sz w:val="21"/>
          <w:szCs w:val="21"/>
          <w:lang w:val="en-US" w:eastAsia="zh-CN" w:bidi="ar"/>
        </w:rPr>
        <w:t>15</w:t>
      </w:r>
      <w:r>
        <w:rPr>
          <w:rFonts w:hint="eastAsia" w:ascii="宋体" w:hAnsi="宋体" w:eastAsia="宋体" w:cs="宋体"/>
          <w:kern w:val="0"/>
          <w:sz w:val="21"/>
          <w:szCs w:val="21"/>
          <w:lang w:val="en-US" w:eastAsia="zh-CN" w:bidi="ar"/>
        </w:rPr>
        <w:t>天，相应延长投标截止时间。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 xml:space="preserve">2.2.3  </w:t>
      </w:r>
      <w:r>
        <w:rPr>
          <w:rFonts w:hint="eastAsia" w:ascii="宋体" w:hAnsi="宋体" w:eastAsia="宋体" w:cs="宋体"/>
          <w:kern w:val="0"/>
          <w:sz w:val="21"/>
          <w:szCs w:val="21"/>
          <w:lang w:val="en-US" w:eastAsia="zh-CN" w:bidi="ar"/>
        </w:rPr>
        <w:t>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eastAsia="宋体" w:cs="MingLiU"/>
          <w:kern w:val="0"/>
          <w:sz w:val="21"/>
          <w:szCs w:val="21"/>
          <w:lang w:val="en-US" w:eastAsia="zh-CN" w:bidi="ar"/>
        </w:rPr>
        <w:t>15日前发布，发布时间至投标截止时间不足15日的，须相应延后投标截止时间。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2.2.4  </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对</w:t>
      </w:r>
      <w:r>
        <w:rPr>
          <w:rFonts w:hint="eastAsia" w:ascii="宋体" w:hAnsi="宋体" w:cs="宋体"/>
          <w:kern w:val="0"/>
          <w:position w:val="-2"/>
          <w:sz w:val="21"/>
          <w:szCs w:val="21"/>
          <w:lang w:val="en-US" w:eastAsia="zh-CN" w:bidi="ar"/>
        </w:rPr>
        <w:t>竞争性比选</w:t>
      </w:r>
      <w:r>
        <w:rPr>
          <w:rFonts w:hint="eastAsia" w:ascii="宋体" w:hAnsi="宋体" w:eastAsia="宋体" w:cs="宋体"/>
          <w:kern w:val="0"/>
          <w:position w:val="-2"/>
          <w:sz w:val="21"/>
          <w:szCs w:val="21"/>
          <w:lang w:val="en-US" w:eastAsia="zh-CN" w:bidi="ar"/>
        </w:rPr>
        <w:t>文件和答疑补遗有异议的，应当在投标截止时间</w:t>
      </w:r>
      <w:r>
        <w:rPr>
          <w:rFonts w:hint="eastAsia" w:ascii="宋体" w:hAnsi="宋体" w:eastAsia="宋体" w:cs="Calibri"/>
          <w:kern w:val="0"/>
          <w:position w:val="-2"/>
          <w:sz w:val="21"/>
          <w:szCs w:val="21"/>
          <w:lang w:val="en-US" w:eastAsia="zh-CN" w:bidi="ar"/>
        </w:rPr>
        <w:t>10日前，</w:t>
      </w:r>
      <w:r>
        <w:rPr>
          <w:rFonts w:hint="eastAsia" w:ascii="宋体" w:hAnsi="宋体" w:eastAsia="宋体" w:cs="宋体"/>
          <w:kern w:val="0"/>
          <w:position w:val="-2"/>
          <w:sz w:val="21"/>
          <w:szCs w:val="21"/>
          <w:lang w:val="en-US" w:eastAsia="zh-CN" w:bidi="ar"/>
        </w:rPr>
        <w:t>以书面形式通知</w:t>
      </w:r>
      <w:r>
        <w:rPr>
          <w:rFonts w:hint="eastAsia" w:ascii="宋体" w:hAnsi="宋体" w:cs="宋体"/>
          <w:kern w:val="0"/>
          <w:position w:val="-2"/>
          <w:sz w:val="21"/>
          <w:szCs w:val="21"/>
          <w:lang w:val="en-US" w:eastAsia="zh-CN" w:bidi="ar"/>
        </w:rPr>
        <w:t>采购人</w:t>
      </w:r>
      <w:r>
        <w:rPr>
          <w:rFonts w:hint="eastAsia" w:ascii="宋体" w:hAnsi="宋体" w:eastAsia="宋体" w:cs="宋体"/>
          <w:kern w:val="0"/>
          <w:sz w:val="21"/>
          <w:szCs w:val="21"/>
          <w:lang w:val="en-US" w:eastAsia="zh-CN" w:bidi="ar"/>
        </w:rPr>
        <w:t>或</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应当自收到异议之日起</w:t>
      </w:r>
      <w:r>
        <w:rPr>
          <w:rFonts w:hint="eastAsia" w:ascii="宋体" w:hAnsi="宋体" w:eastAsia="宋体" w:cs="MingLiU"/>
          <w:kern w:val="0"/>
          <w:sz w:val="21"/>
          <w:szCs w:val="21"/>
          <w:lang w:val="en-US" w:eastAsia="zh-CN" w:bidi="ar"/>
        </w:rPr>
        <w:t>3日内做出答复，并将答复内容以补遗的形式在</w:t>
      </w:r>
      <w:r>
        <w:rPr>
          <w:rFonts w:hint="eastAsia" w:ascii="宋体" w:hAnsi="宋体" w:eastAsia="宋体" w:cs="宋体"/>
          <w:kern w:val="0"/>
          <w:sz w:val="21"/>
          <w:szCs w:val="21"/>
          <w:lang w:val="en-US" w:eastAsia="zh-CN" w:bidi="ar"/>
        </w:rPr>
        <w:t>重庆市公共资源交易网</w:t>
      </w:r>
      <w:r>
        <w:rPr>
          <w:rFonts w:hint="default" w:ascii="Times New Roman" w:hAnsi="Times New Roman" w:eastAsia="宋体" w:cs="Calibri"/>
          <w:kern w:val="2"/>
          <w:sz w:val="21"/>
          <w:szCs w:val="21"/>
          <w:lang w:val="en-US" w:eastAsia="zh-CN" w:bidi="ar"/>
        </w:rPr>
        <w:fldChar w:fldCharType="begin"/>
      </w:r>
      <w:r>
        <w:rPr>
          <w:rFonts w:hint="default" w:ascii="Times New Roman" w:hAnsi="Times New Roman" w:eastAsia="宋体" w:cs="Calibri"/>
          <w:kern w:val="2"/>
          <w:sz w:val="21"/>
          <w:szCs w:val="21"/>
          <w:lang w:val="en-US" w:eastAsia="zh-CN" w:bidi="ar"/>
        </w:rPr>
        <w:instrText xml:space="preserve"> HYPERLINK "http://www.cpcb.com.cn/Front.aspx/Zydy" </w:instrText>
      </w:r>
      <w:r>
        <w:rPr>
          <w:rFonts w:hint="default" w:ascii="Times New Roman" w:hAnsi="Times New Roman" w:eastAsia="宋体" w:cs="Calibri"/>
          <w:kern w:val="2"/>
          <w:sz w:val="21"/>
          <w:szCs w:val="21"/>
          <w:lang w:val="en-US" w:eastAsia="zh-CN" w:bidi="ar"/>
        </w:rPr>
        <w:fldChar w:fldCharType="separate"/>
      </w:r>
      <w:r>
        <w:rPr>
          <w:rStyle w:val="47"/>
          <w:rFonts w:hint="eastAsia" w:ascii="宋体" w:hAnsi="宋体" w:eastAsia="宋体" w:cs="宋体"/>
          <w:kern w:val="0"/>
          <w:sz w:val="21"/>
          <w:szCs w:val="21"/>
        </w:rPr>
        <w:t>答疑补遗区</w:t>
      </w:r>
      <w:r>
        <w:rPr>
          <w:rFonts w:hint="default" w:ascii="Times New Roman" w:hAnsi="Times New Roman" w:eastAsia="宋体" w:cs="Calibri"/>
          <w:kern w:val="2"/>
          <w:sz w:val="21"/>
          <w:szCs w:val="21"/>
          <w:lang w:val="en-US" w:eastAsia="zh-CN" w:bidi="ar"/>
        </w:rPr>
        <w:fldChar w:fldCharType="end"/>
      </w:r>
      <w:r>
        <w:rPr>
          <w:rFonts w:hint="eastAsia" w:ascii="宋体" w:hAnsi="宋体" w:eastAsia="宋体" w:cs="宋体"/>
          <w:kern w:val="0"/>
          <w:sz w:val="21"/>
          <w:szCs w:val="21"/>
          <w:lang w:val="en-US" w:eastAsia="zh-CN" w:bidi="ar"/>
        </w:rPr>
        <w:t>发布。补遗内容可能影响</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编制的，须在投标截止时间</w:t>
      </w:r>
      <w:r>
        <w:rPr>
          <w:rFonts w:hint="eastAsia" w:ascii="宋体" w:hAnsi="宋体" w:eastAsia="宋体" w:cs="MingLiU"/>
          <w:kern w:val="0"/>
          <w:sz w:val="21"/>
          <w:szCs w:val="21"/>
          <w:lang w:val="en-US" w:eastAsia="zh-CN" w:bidi="ar"/>
        </w:rPr>
        <w:t>15日前发布，发布时间至投标截止时间不足15日的，须相应延后投标截止时间。</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296" w:name="_Toc40780270"/>
      <w:bookmarkEnd w:id="296"/>
      <w:bookmarkStart w:id="297" w:name="_Toc287607763"/>
      <w:bookmarkEnd w:id="297"/>
      <w:bookmarkStart w:id="298" w:name="_Toc4661686"/>
      <w:bookmarkEnd w:id="298"/>
      <w:bookmarkStart w:id="299" w:name="_Toc200513143"/>
      <w:bookmarkEnd w:id="299"/>
      <w:bookmarkStart w:id="300" w:name="_Toc4661444"/>
      <w:bookmarkEnd w:id="300"/>
      <w:bookmarkStart w:id="301" w:name="_Toc40455288"/>
      <w:bookmarkEnd w:id="301"/>
      <w:bookmarkStart w:id="302" w:name="_Toc4662158"/>
      <w:bookmarkEnd w:id="302"/>
      <w:bookmarkStart w:id="303" w:name="_Toc277082569"/>
      <w:bookmarkEnd w:id="303"/>
      <w:bookmarkStart w:id="304" w:name="_Toc4661922"/>
      <w:bookmarkEnd w:id="304"/>
      <w:bookmarkStart w:id="305" w:name="_Toc224103334"/>
      <w:bookmarkEnd w:id="305"/>
      <w:bookmarkStart w:id="306" w:name="_Toc24909"/>
      <w:bookmarkEnd w:id="306"/>
      <w:bookmarkStart w:id="307" w:name="_Toc40455661"/>
      <w:r>
        <w:rPr>
          <w:rFonts w:hint="eastAsia" w:ascii="宋体" w:hAnsi="宋体" w:eastAsia="宋体" w:cs="Times New Roman"/>
          <w:b/>
          <w:kern w:val="2"/>
          <w:sz w:val="21"/>
          <w:szCs w:val="21"/>
        </w:rPr>
        <w:t xml:space="preserve">2.3  </w:t>
      </w:r>
      <w:bookmarkEnd w:id="307"/>
      <w:r>
        <w:rPr>
          <w:rFonts w:hint="eastAsia" w:ascii="宋体" w:hAnsi="宋体" w:eastAsia="宋体" w:cs="宋体"/>
          <w:b/>
          <w:kern w:val="2"/>
          <w:sz w:val="21"/>
          <w:szCs w:val="21"/>
        </w:rPr>
        <w:t>投标截止时间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lang w:eastAsia="zh-CN"/>
        </w:rPr>
      </w:pPr>
      <w:bookmarkStart w:id="308" w:name="_Toc4661687"/>
      <w:bookmarkEnd w:id="308"/>
      <w:bookmarkStart w:id="309" w:name="_Toc6118"/>
      <w:bookmarkEnd w:id="309"/>
      <w:bookmarkStart w:id="310" w:name="_Toc6279"/>
      <w:bookmarkEnd w:id="310"/>
      <w:bookmarkStart w:id="311" w:name="_Toc40455662"/>
      <w:bookmarkEnd w:id="311"/>
      <w:bookmarkStart w:id="312" w:name="_Toc287607764"/>
      <w:bookmarkEnd w:id="312"/>
      <w:bookmarkStart w:id="313" w:name="_Toc40455289"/>
      <w:bookmarkEnd w:id="313"/>
      <w:bookmarkStart w:id="314" w:name="_Toc4661445"/>
      <w:bookmarkEnd w:id="314"/>
      <w:bookmarkStart w:id="315" w:name="_Toc224103335"/>
      <w:bookmarkEnd w:id="315"/>
      <w:bookmarkStart w:id="316" w:name="_Toc277082570"/>
      <w:bookmarkEnd w:id="316"/>
      <w:bookmarkStart w:id="317" w:name="_Toc22553"/>
      <w:bookmarkEnd w:id="317"/>
      <w:bookmarkStart w:id="318" w:name="_Toc200513144"/>
      <w:bookmarkEnd w:id="318"/>
      <w:bookmarkStart w:id="319" w:name="_Toc4661923"/>
      <w:bookmarkEnd w:id="319"/>
      <w:bookmarkStart w:id="320" w:name="_Toc14104"/>
      <w:bookmarkEnd w:id="320"/>
      <w:bookmarkStart w:id="321" w:name="_Toc4662159"/>
      <w:bookmarkEnd w:id="321"/>
      <w:bookmarkStart w:id="322" w:name="_Toc9348"/>
      <w:bookmarkEnd w:id="322"/>
      <w:bookmarkStart w:id="323" w:name="_Toc26853"/>
      <w:r>
        <w:rPr>
          <w:rFonts w:hint="eastAsia" w:ascii="宋体" w:hAnsi="宋体" w:eastAsia="黑体" w:cs="Times New Roman"/>
          <w:b/>
          <w:kern w:val="0"/>
          <w:sz w:val="21"/>
          <w:szCs w:val="21"/>
        </w:rPr>
        <w:t xml:space="preserve">3.  </w:t>
      </w:r>
      <w:bookmarkEnd w:id="323"/>
      <w:r>
        <w:rPr>
          <w:rFonts w:hint="eastAsia" w:ascii="黑体" w:hAnsi="宋体" w:cs="黑体"/>
          <w:b/>
          <w:kern w:val="0"/>
          <w:sz w:val="21"/>
          <w:szCs w:val="21"/>
          <w:lang w:eastAsia="zh-CN"/>
        </w:rPr>
        <w:t>比选响应文件</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24" w:name="_Toc40455663"/>
      <w:bookmarkEnd w:id="324"/>
      <w:bookmarkStart w:id="325" w:name="_Toc40455290"/>
      <w:bookmarkEnd w:id="325"/>
      <w:bookmarkStart w:id="326" w:name="_Toc200513145"/>
      <w:bookmarkEnd w:id="326"/>
      <w:bookmarkStart w:id="327" w:name="_Toc287607765"/>
      <w:bookmarkEnd w:id="327"/>
      <w:bookmarkStart w:id="328" w:name="_Toc4662160"/>
      <w:bookmarkEnd w:id="328"/>
      <w:bookmarkStart w:id="329" w:name="_Toc4661688"/>
      <w:bookmarkEnd w:id="329"/>
      <w:bookmarkStart w:id="330" w:name="_Toc40780272"/>
      <w:bookmarkEnd w:id="330"/>
      <w:bookmarkStart w:id="331" w:name="_Toc277082571"/>
      <w:bookmarkEnd w:id="331"/>
      <w:bookmarkStart w:id="332" w:name="_Toc4661446"/>
      <w:bookmarkEnd w:id="332"/>
      <w:bookmarkStart w:id="333" w:name="_Toc224103336"/>
      <w:bookmarkEnd w:id="333"/>
      <w:bookmarkStart w:id="334" w:name="_Toc32064"/>
      <w:bookmarkEnd w:id="334"/>
      <w:bookmarkStart w:id="335" w:name="_Toc4661924"/>
      <w:r>
        <w:rPr>
          <w:rFonts w:hint="eastAsia" w:ascii="宋体" w:hAnsi="宋体" w:eastAsia="宋体" w:cs="Times New Roman"/>
          <w:b/>
          <w:kern w:val="2"/>
          <w:sz w:val="21"/>
          <w:szCs w:val="21"/>
        </w:rPr>
        <w:t xml:space="preserve">3.1  </w:t>
      </w:r>
      <w:bookmarkEnd w:id="335"/>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3.1.1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应包括下列内容：</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 xml:space="preserve">3.1.1.1 </w:t>
      </w:r>
      <w:r>
        <w:rPr>
          <w:rFonts w:hint="eastAsia" w:ascii="宋体" w:hAnsi="宋体" w:cs="宋体"/>
          <w:kern w:val="2"/>
          <w:sz w:val="21"/>
          <w:szCs w:val="21"/>
          <w:lang w:val="en-US" w:eastAsia="zh-CN" w:bidi="ar"/>
        </w:rPr>
        <w:t>比选响应文件</w:t>
      </w:r>
      <w:r>
        <w:rPr>
          <w:rFonts w:hint="eastAsia" w:ascii="宋体" w:hAnsi="宋体" w:eastAsia="宋体" w:cs="宋体"/>
          <w:kern w:val="2"/>
          <w:sz w:val="21"/>
          <w:szCs w:val="21"/>
          <w:lang w:val="en-US" w:eastAsia="zh-CN" w:bidi="ar"/>
        </w:rPr>
        <w:t>及</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之间与投标有关的来往通知、函件和文件均应使用中文。</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3.1.1.2</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由以下内容组成：</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详见第</w:t>
      </w:r>
      <w:r>
        <w:rPr>
          <w:rFonts w:hint="eastAsia" w:ascii="宋体" w:hAnsi="宋体" w:cs="宋体"/>
          <w:kern w:val="2"/>
          <w:sz w:val="21"/>
          <w:szCs w:val="21"/>
          <w:lang w:val="en-US" w:eastAsia="zh-CN" w:bidi="ar"/>
        </w:rPr>
        <w:t>九</w:t>
      </w:r>
      <w:r>
        <w:rPr>
          <w:rFonts w:hint="eastAsia" w:ascii="宋体" w:hAnsi="宋体" w:eastAsia="宋体" w:cs="宋体"/>
          <w:kern w:val="2"/>
          <w:sz w:val="21"/>
          <w:szCs w:val="21"/>
          <w:lang w:val="en-US" w:eastAsia="zh-CN" w:bidi="ar"/>
        </w:rPr>
        <w:t>章</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36" w:name="_Toc40780273"/>
      <w:bookmarkEnd w:id="336"/>
      <w:bookmarkStart w:id="337" w:name="_Toc224103337"/>
      <w:bookmarkEnd w:id="337"/>
      <w:bookmarkStart w:id="338" w:name="_Toc287607766"/>
      <w:bookmarkEnd w:id="338"/>
      <w:bookmarkStart w:id="339" w:name="_Toc4661689"/>
      <w:bookmarkEnd w:id="339"/>
      <w:bookmarkStart w:id="340" w:name="_Toc277082572"/>
      <w:bookmarkEnd w:id="340"/>
      <w:bookmarkStart w:id="341" w:name="_Toc4661925"/>
      <w:bookmarkEnd w:id="341"/>
      <w:bookmarkStart w:id="342" w:name="_Toc4661447"/>
      <w:bookmarkEnd w:id="342"/>
      <w:bookmarkStart w:id="343" w:name="_Toc200513146"/>
      <w:bookmarkEnd w:id="343"/>
      <w:bookmarkStart w:id="344" w:name="_Toc40455664"/>
      <w:bookmarkEnd w:id="344"/>
      <w:bookmarkStart w:id="345" w:name="_Toc40455291"/>
      <w:bookmarkEnd w:id="345"/>
      <w:bookmarkStart w:id="346" w:name="_Toc27743"/>
      <w:bookmarkEnd w:id="346"/>
      <w:bookmarkStart w:id="347" w:name="_Toc4662161"/>
      <w:r>
        <w:rPr>
          <w:rFonts w:hint="eastAsia" w:ascii="宋体" w:hAnsi="宋体" w:eastAsia="宋体" w:cs="Times New Roman"/>
          <w:b/>
          <w:kern w:val="2"/>
          <w:sz w:val="21"/>
          <w:szCs w:val="21"/>
        </w:rPr>
        <w:t xml:space="preserve">3.2  </w:t>
      </w:r>
      <w:bookmarkEnd w:id="347"/>
      <w:r>
        <w:rPr>
          <w:rFonts w:hint="eastAsia" w:ascii="宋体" w:hAnsi="宋体" w:eastAsia="宋体" w:cs="宋体"/>
          <w:b/>
          <w:kern w:val="2"/>
          <w:sz w:val="21"/>
          <w:szCs w:val="21"/>
        </w:rPr>
        <w:t>投标报价</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见本章</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Start w:id="348" w:name="_Toc40455665"/>
      <w:bookmarkEnd w:id="348"/>
      <w:bookmarkStart w:id="349" w:name="_Toc20908"/>
      <w:bookmarkEnd w:id="349"/>
      <w:bookmarkStart w:id="350" w:name="_Toc40780274"/>
      <w:bookmarkEnd w:id="350"/>
      <w:bookmarkStart w:id="351" w:name="_Toc4662162"/>
      <w:bookmarkEnd w:id="351"/>
      <w:bookmarkStart w:id="352" w:name="_Toc4661448"/>
      <w:bookmarkEnd w:id="352"/>
      <w:bookmarkStart w:id="353" w:name="_Toc224103338"/>
      <w:bookmarkEnd w:id="353"/>
      <w:bookmarkStart w:id="354" w:name="_Toc200513147"/>
      <w:bookmarkEnd w:id="354"/>
      <w:bookmarkStart w:id="355" w:name="_Toc4661690"/>
      <w:bookmarkEnd w:id="355"/>
      <w:bookmarkStart w:id="356" w:name="_Toc4661926"/>
      <w:bookmarkEnd w:id="356"/>
      <w:bookmarkStart w:id="357" w:name="_Toc287607767"/>
      <w:bookmarkEnd w:id="357"/>
      <w:bookmarkStart w:id="358" w:name="_Toc277082573"/>
      <w:bookmarkEnd w:id="358"/>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59" w:name="_Toc4661927"/>
      <w:bookmarkEnd w:id="359"/>
      <w:bookmarkStart w:id="360" w:name="_Toc224103339"/>
      <w:bookmarkEnd w:id="360"/>
      <w:bookmarkStart w:id="361" w:name="_Toc200513148"/>
      <w:bookmarkEnd w:id="361"/>
      <w:bookmarkStart w:id="362" w:name="_Toc40455666"/>
      <w:bookmarkEnd w:id="362"/>
      <w:bookmarkStart w:id="363" w:name="_Toc4661691"/>
      <w:bookmarkEnd w:id="363"/>
      <w:bookmarkStart w:id="364" w:name="_Toc4662163"/>
      <w:bookmarkEnd w:id="364"/>
      <w:bookmarkStart w:id="365" w:name="_Toc287607768"/>
      <w:bookmarkEnd w:id="365"/>
      <w:bookmarkStart w:id="366" w:name="_Toc4661449"/>
      <w:bookmarkEnd w:id="366"/>
      <w:bookmarkStart w:id="367" w:name="_Toc40780275"/>
      <w:bookmarkEnd w:id="367"/>
      <w:bookmarkStart w:id="368" w:name="_Toc40455293"/>
      <w:bookmarkEnd w:id="368"/>
      <w:bookmarkStart w:id="369" w:name="_Toc277082574"/>
      <w:bookmarkEnd w:id="369"/>
      <w:bookmarkStart w:id="370" w:name="_Toc25463"/>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3</w:t>
      </w:r>
      <w:r>
        <w:rPr>
          <w:rFonts w:hint="eastAsia" w:ascii="宋体" w:hAnsi="宋体" w:eastAsia="宋体" w:cs="Times New Roman"/>
          <w:b/>
          <w:kern w:val="2"/>
          <w:sz w:val="21"/>
          <w:szCs w:val="21"/>
        </w:rPr>
        <w:t xml:space="preserve">  </w:t>
      </w:r>
      <w:bookmarkEnd w:id="370"/>
      <w:r>
        <w:rPr>
          <w:rFonts w:hint="eastAsia" w:ascii="宋体" w:hAnsi="宋体" w:eastAsia="宋体" w:cs="宋体"/>
          <w:b/>
          <w:kern w:val="2"/>
          <w:sz w:val="21"/>
          <w:szCs w:val="21"/>
        </w:rPr>
        <w:t>保证金</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的同时，应按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前附表规定的金额、担保形式递交投标保证金，并作为其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的组成部分。联合体投标的，其投标保证金由牵头人递交，并应符合</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前附表的规定。</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不按本章第</w:t>
      </w:r>
      <w:r>
        <w:rPr>
          <w:rFonts w:hint="eastAsia" w:ascii="宋体" w:hAnsi="宋体" w:eastAsia="宋体" w:cs="Calibri"/>
          <w:kern w:val="0"/>
          <w:sz w:val="21"/>
          <w:szCs w:val="21"/>
          <w:lang w:val="en-US" w:eastAsia="zh-CN" w:bidi="ar"/>
        </w:rPr>
        <w:t xml:space="preserve"> 3.4.1 </w:t>
      </w:r>
      <w:r>
        <w:rPr>
          <w:rFonts w:hint="eastAsia" w:ascii="宋体" w:hAnsi="宋体" w:eastAsia="宋体" w:cs="宋体"/>
          <w:kern w:val="0"/>
          <w:sz w:val="21"/>
          <w:szCs w:val="21"/>
          <w:lang w:val="en-US" w:eastAsia="zh-CN" w:bidi="ar"/>
        </w:rPr>
        <w:t>项要求提交投标保证金的，其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作否决投标处理。</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.3  </w:t>
      </w:r>
      <w:r>
        <w:rPr>
          <w:rFonts w:hint="eastAsia" w:ascii="宋体" w:hAnsi="宋体" w:eastAsia="宋体" w:cs="宋体"/>
          <w:kern w:val="0"/>
          <w:sz w:val="21"/>
          <w:szCs w:val="21"/>
          <w:lang w:val="en-US" w:eastAsia="zh-CN" w:bidi="ar"/>
        </w:rPr>
        <w:t>投标</w:t>
      </w:r>
      <w:r>
        <w:rPr>
          <w:rFonts w:hint="eastAsia" w:ascii="宋体" w:hAnsi="宋体" w:eastAsia="宋体" w:cs="宋体"/>
          <w:kern w:val="0"/>
          <w:position w:val="-2"/>
          <w:sz w:val="21"/>
          <w:szCs w:val="21"/>
          <w:lang w:val="en-US" w:eastAsia="zh-CN" w:bidi="ar"/>
        </w:rPr>
        <w:t>保证金</w:t>
      </w:r>
      <w:r>
        <w:rPr>
          <w:rFonts w:hint="eastAsia" w:ascii="宋体" w:hAnsi="宋体" w:eastAsia="宋体" w:cs="宋体"/>
          <w:kern w:val="0"/>
          <w:sz w:val="21"/>
          <w:szCs w:val="21"/>
          <w:lang w:val="en-US" w:eastAsia="zh-CN" w:bidi="ar"/>
        </w:rPr>
        <w:t>退还：见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r>
        <w:rPr>
          <w:rFonts w:hint="eastAsia" w:ascii="宋体" w:hAnsi="宋体" w:eastAsia="宋体" w:cs="宋体"/>
          <w:kern w:val="0"/>
          <w:positio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3</w:t>
      </w:r>
      <w:r>
        <w:rPr>
          <w:rFonts w:hint="eastAsia" w:ascii="宋体" w:hAnsi="宋体" w:eastAsia="宋体" w:cs="Calibri"/>
          <w:kern w:val="0"/>
          <w:sz w:val="21"/>
          <w:szCs w:val="21"/>
          <w:lang w:val="en-US" w:eastAsia="zh-CN" w:bidi="ar"/>
        </w:rPr>
        <w:t xml:space="preserve">.4  </w:t>
      </w:r>
      <w:r>
        <w:rPr>
          <w:rFonts w:hint="eastAsia" w:ascii="宋体" w:hAnsi="宋体" w:eastAsia="宋体" w:cs="宋体"/>
          <w:kern w:val="0"/>
          <w:sz w:val="21"/>
          <w:szCs w:val="21"/>
          <w:lang w:val="en-US" w:eastAsia="zh-CN" w:bidi="ar"/>
        </w:rPr>
        <w:t>有下列情形之一的，投标保证金将不予退还：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1</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在规定的投标有效期内撤销或修改其</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Calibri"/>
          <w:kern w:val="0"/>
          <w:sz w:val="21"/>
          <w:szCs w:val="21"/>
          <w:lang w:val="en-US" w:eastAsia="zh-CN" w:bidi="ar"/>
        </w:rPr>
        <w:t>2</w:t>
      </w:r>
      <w:r>
        <w:rPr>
          <w:rFonts w:hint="eastAsia" w:ascii="宋体" w:hAnsi="宋体" w:eastAsia="宋体" w:cs="宋体"/>
          <w:kern w:val="0"/>
          <w:sz w:val="21"/>
          <w:szCs w:val="21"/>
          <w:lang w:val="en-US" w:eastAsia="zh-CN" w:bidi="ar"/>
        </w:rPr>
        <w:t>）中标人在收到中标通知书后，无正当理由拒签合同协议书或未按</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文件规定提交履约担保；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eastAsia="宋体" w:cs="MingLiU"/>
          <w:kern w:val="0"/>
          <w:sz w:val="21"/>
          <w:szCs w:val="21"/>
          <w:lang w:val="en-US" w:eastAsia="zh-CN" w:bidi="ar"/>
        </w:rPr>
        <w:t>3）法律法规和本</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文件规定的其他情形。</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71" w:name="_Toc4661692"/>
      <w:bookmarkEnd w:id="371"/>
      <w:bookmarkStart w:id="372" w:name="_Toc40455667"/>
      <w:bookmarkEnd w:id="372"/>
      <w:bookmarkStart w:id="373" w:name="_Toc287607770"/>
      <w:bookmarkEnd w:id="373"/>
      <w:bookmarkStart w:id="374" w:name="_Toc277082576"/>
      <w:bookmarkEnd w:id="374"/>
      <w:bookmarkStart w:id="375" w:name="_Toc40455294"/>
      <w:bookmarkEnd w:id="375"/>
      <w:bookmarkStart w:id="376" w:name="_Toc7158"/>
      <w:bookmarkEnd w:id="376"/>
      <w:bookmarkStart w:id="377" w:name="_Toc200513150"/>
      <w:bookmarkEnd w:id="377"/>
      <w:bookmarkStart w:id="378" w:name="_Toc40780276"/>
      <w:bookmarkEnd w:id="378"/>
      <w:bookmarkStart w:id="379" w:name="_Toc224103341"/>
      <w:bookmarkEnd w:id="379"/>
      <w:bookmarkStart w:id="380" w:name="_Toc4661928"/>
      <w:bookmarkEnd w:id="380"/>
      <w:bookmarkStart w:id="381" w:name="_Toc4662164"/>
      <w:bookmarkEnd w:id="381"/>
      <w:bookmarkStart w:id="382" w:name="_Toc4661450"/>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4</w:t>
      </w:r>
      <w:r>
        <w:rPr>
          <w:rFonts w:hint="eastAsia" w:ascii="宋体" w:hAnsi="宋体" w:eastAsia="宋体" w:cs="Times New Roman"/>
          <w:b/>
          <w:kern w:val="2"/>
          <w:sz w:val="21"/>
          <w:szCs w:val="21"/>
        </w:rPr>
        <w:t xml:space="preserve">  </w:t>
      </w:r>
      <w:bookmarkEnd w:id="382"/>
      <w:r>
        <w:rPr>
          <w:rFonts w:hint="eastAsia" w:ascii="宋体" w:hAnsi="宋体" w:eastAsia="宋体" w:cs="宋体"/>
          <w:b/>
          <w:kern w:val="2"/>
          <w:sz w:val="21"/>
          <w:szCs w:val="21"/>
        </w:rPr>
        <w:t>资格审查资料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详见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383" w:name="_Toc200513151"/>
      <w:bookmarkEnd w:id="383"/>
      <w:bookmarkStart w:id="384" w:name="_Toc4661451"/>
      <w:bookmarkEnd w:id="384"/>
      <w:bookmarkStart w:id="385" w:name="_Toc40455295"/>
      <w:bookmarkEnd w:id="385"/>
      <w:bookmarkStart w:id="386" w:name="_Toc4661693"/>
      <w:bookmarkEnd w:id="386"/>
      <w:bookmarkStart w:id="387" w:name="_Toc20488"/>
      <w:bookmarkEnd w:id="387"/>
      <w:bookmarkStart w:id="388" w:name="_Toc224103342"/>
      <w:bookmarkEnd w:id="388"/>
      <w:bookmarkStart w:id="389" w:name="_Toc40455668"/>
      <w:bookmarkEnd w:id="389"/>
      <w:bookmarkStart w:id="390" w:name="_Toc40780277"/>
      <w:bookmarkEnd w:id="390"/>
      <w:bookmarkStart w:id="391" w:name="_Toc287607771"/>
      <w:bookmarkEnd w:id="391"/>
      <w:bookmarkStart w:id="392" w:name="_Toc4662165"/>
      <w:bookmarkEnd w:id="392"/>
      <w:bookmarkStart w:id="393" w:name="_Toc277082577"/>
      <w:bookmarkEnd w:id="393"/>
      <w:bookmarkStart w:id="394" w:name="_Toc4661929"/>
      <w:r>
        <w:rPr>
          <w:rFonts w:hint="eastAsia" w:ascii="宋体" w:hAnsi="宋体" w:eastAsia="宋体" w:cs="Times New Roman"/>
          <w:b/>
          <w:kern w:val="2"/>
          <w:sz w:val="21"/>
          <w:szCs w:val="21"/>
        </w:rPr>
        <w:t>3.</w:t>
      </w:r>
      <w:r>
        <w:rPr>
          <w:rFonts w:hint="eastAsia" w:ascii="宋体" w:hAnsi="宋体" w:cs="Times New Roman"/>
          <w:b/>
          <w:kern w:val="2"/>
          <w:sz w:val="21"/>
          <w:szCs w:val="21"/>
          <w:lang w:val="en-US" w:eastAsia="zh-CN"/>
        </w:rPr>
        <w:t>5</w:t>
      </w:r>
      <w:r>
        <w:rPr>
          <w:rFonts w:hint="eastAsia" w:ascii="宋体" w:hAnsi="宋体" w:eastAsia="宋体" w:cs="Times New Roman"/>
          <w:b/>
          <w:kern w:val="2"/>
          <w:sz w:val="21"/>
          <w:szCs w:val="21"/>
        </w:rPr>
        <w:t xml:space="preserve"> </w:t>
      </w:r>
      <w:bookmarkEnd w:id="394"/>
      <w:r>
        <w:rPr>
          <w:rFonts w:hint="eastAsia" w:ascii="宋体" w:hAnsi="宋体" w:eastAsia="宋体" w:cs="宋体"/>
          <w:b/>
          <w:kern w:val="2"/>
          <w:sz w:val="21"/>
          <w:szCs w:val="21"/>
        </w:rPr>
        <w:t>备选投标方案</w:t>
      </w:r>
    </w:p>
    <w:p>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kern w:val="0"/>
          <w:sz w:val="21"/>
          <w:szCs w:val="21"/>
        </w:rPr>
      </w:pPr>
      <w:bookmarkStart w:id="395" w:name="_Toc200513152"/>
      <w:bookmarkEnd w:id="395"/>
      <w:bookmarkStart w:id="396" w:name="_Toc4661930"/>
      <w:bookmarkEnd w:id="396"/>
      <w:bookmarkStart w:id="397" w:name="_Toc224103343"/>
      <w:bookmarkEnd w:id="397"/>
      <w:bookmarkStart w:id="398" w:name="_Toc287607772"/>
      <w:bookmarkEnd w:id="398"/>
      <w:bookmarkStart w:id="399" w:name="_Toc4661694"/>
      <w:bookmarkEnd w:id="399"/>
      <w:bookmarkStart w:id="400" w:name="_Toc277082578"/>
      <w:bookmarkEnd w:id="400"/>
      <w:bookmarkStart w:id="401" w:name="_Toc4661452"/>
      <w:bookmarkEnd w:id="401"/>
      <w:bookmarkStart w:id="402" w:name="_Toc4662166"/>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不接受</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的备选投标方案。</w:t>
      </w:r>
      <w:bookmarkEnd w:id="402"/>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03" w:name="_Toc40455669"/>
      <w:bookmarkEnd w:id="403"/>
      <w:bookmarkStart w:id="404" w:name="_Toc40780278"/>
      <w:bookmarkEnd w:id="404"/>
      <w:bookmarkStart w:id="405" w:name="_Toc26001"/>
      <w:bookmarkEnd w:id="405"/>
      <w:bookmarkStart w:id="406" w:name="_Toc40455296"/>
      <w:r>
        <w:rPr>
          <w:rFonts w:hint="eastAsia" w:ascii="宋体" w:hAnsi="宋体" w:eastAsia="宋体" w:cs="Times New Roman"/>
          <w:b/>
          <w:kern w:val="2"/>
          <w:sz w:val="21"/>
          <w:szCs w:val="21"/>
        </w:rPr>
        <w:t>3</w:t>
      </w:r>
      <w:bookmarkEnd w:id="406"/>
      <w:r>
        <w:rPr>
          <w:rFonts w:hint="eastAsia" w:ascii="宋体" w:hAnsi="宋体" w:eastAsia="宋体" w:cs="Times New Roman"/>
          <w:b/>
          <w:kern w:val="2"/>
          <w:sz w:val="21"/>
          <w:szCs w:val="21"/>
        </w:rPr>
        <w:t>.</w:t>
      </w:r>
      <w:r>
        <w:rPr>
          <w:rFonts w:hint="eastAsia" w:ascii="宋体" w:hAnsi="宋体" w:cs="Times New Roman"/>
          <w:b/>
          <w:kern w:val="2"/>
          <w:sz w:val="21"/>
          <w:szCs w:val="21"/>
          <w:lang w:val="en-US" w:eastAsia="zh-CN"/>
        </w:rPr>
        <w:t>6</w:t>
      </w:r>
      <w:r>
        <w:rPr>
          <w:rFonts w:hint="eastAsia" w:ascii="宋体" w:hAnsi="宋体" w:eastAsia="宋体" w:cs="Times New Roman"/>
          <w:b/>
          <w:kern w:val="2"/>
          <w:sz w:val="21"/>
          <w:szCs w:val="21"/>
        </w:rPr>
        <w:t xml:space="preserve">  </w:t>
      </w:r>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.1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应按第</w:t>
      </w:r>
      <w:r>
        <w:rPr>
          <w:rFonts w:hint="eastAsia" w:ascii="宋体" w:hAnsi="宋体" w:cs="宋体"/>
          <w:kern w:val="0"/>
          <w:sz w:val="21"/>
          <w:szCs w:val="21"/>
          <w:lang w:val="en-US" w:eastAsia="zh-CN" w:bidi="ar"/>
        </w:rPr>
        <w:t>九</w:t>
      </w:r>
      <w:r>
        <w:rPr>
          <w:rFonts w:hint="eastAsia" w:ascii="宋体" w:hAnsi="宋体" w:eastAsia="宋体" w:cs="宋体"/>
          <w:kern w:val="0"/>
          <w:sz w:val="21"/>
          <w:szCs w:val="21"/>
          <w:lang w:val="en-US" w:eastAsia="zh-CN" w:bidi="ar"/>
        </w:rPr>
        <w:t>章</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格式”进行编写，如有必要，可以增加附页，作为</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的组成部分。其中，投标函附录在满足</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文件实质性要求的基础上，可以提出比</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文件要求更有利于</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的承诺。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.2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应当对</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文件有关工期、投标有效期、质量要求、技术标准和要求、服务要求、</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范围等实质性内容做出响应。</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rPr>
      </w:pPr>
      <w:r>
        <w:rPr>
          <w:rFonts w:hint="eastAsia" w:ascii="宋体" w:hAnsi="宋体" w:eastAsia="宋体" w:cs="Calibri"/>
          <w:kern w:val="0"/>
          <w:position w:val="-2"/>
          <w:sz w:val="21"/>
          <w:szCs w:val="21"/>
          <w:lang w:val="en-US" w:eastAsia="zh-CN" w:bidi="ar"/>
        </w:rPr>
        <w:t>3.</w:t>
      </w:r>
      <w:r>
        <w:rPr>
          <w:rFonts w:hint="eastAsia" w:ascii="宋体" w:hAnsi="宋体" w:cs="Calibri"/>
          <w:kern w:val="0"/>
          <w:position w:val="-2"/>
          <w:sz w:val="21"/>
          <w:szCs w:val="21"/>
          <w:lang w:val="en-US" w:eastAsia="zh-CN" w:bidi="ar"/>
        </w:rPr>
        <w:t>6</w:t>
      </w:r>
      <w:r>
        <w:rPr>
          <w:rFonts w:hint="eastAsia" w:ascii="宋体" w:hAnsi="宋体" w:eastAsia="宋体" w:cs="Calibri"/>
          <w:kern w:val="0"/>
          <w:position w:val="-2"/>
          <w:sz w:val="21"/>
          <w:szCs w:val="21"/>
          <w:lang w:val="en-US" w:eastAsia="zh-CN" w:bidi="ar"/>
        </w:rPr>
        <w:t xml:space="preserve">.3  </w:t>
      </w:r>
      <w:r>
        <w:rPr>
          <w:rFonts w:hint="eastAsia" w:ascii="宋体" w:hAnsi="宋体" w:cs="宋体"/>
          <w:kern w:val="0"/>
          <w:position w:val="-2"/>
          <w:sz w:val="21"/>
          <w:szCs w:val="21"/>
          <w:lang w:val="en-US" w:eastAsia="zh-CN" w:bidi="ar"/>
        </w:rPr>
        <w:t>比选响应文件</w:t>
      </w:r>
      <w:r>
        <w:rPr>
          <w:rFonts w:hint="eastAsia" w:ascii="宋体" w:hAnsi="宋体" w:eastAsia="宋体" w:cs="宋体"/>
          <w:kern w:val="0"/>
          <w:position w:val="-2"/>
          <w:sz w:val="21"/>
          <w:szCs w:val="21"/>
          <w:lang w:val="en-US" w:eastAsia="zh-CN" w:bidi="ar"/>
        </w:rPr>
        <w:t>应用不褪色的材料书写或打印，并由</w:t>
      </w:r>
      <w:r>
        <w:rPr>
          <w:rFonts w:hint="eastAsia" w:ascii="宋体" w:hAnsi="宋体" w:cs="宋体"/>
          <w:kern w:val="0"/>
          <w:position w:val="-2"/>
          <w:sz w:val="21"/>
          <w:szCs w:val="21"/>
          <w:lang w:val="en-US" w:eastAsia="zh-CN" w:bidi="ar"/>
        </w:rPr>
        <w:t>报价人</w:t>
      </w:r>
      <w:r>
        <w:rPr>
          <w:rFonts w:hint="eastAsia" w:ascii="宋体" w:hAnsi="宋体" w:eastAsia="宋体" w:cs="宋体"/>
          <w:kern w:val="0"/>
          <w:position w:val="-2"/>
          <w:sz w:val="21"/>
          <w:szCs w:val="21"/>
          <w:lang w:val="en-US" w:eastAsia="zh-CN" w:bidi="ar"/>
        </w:rPr>
        <w:t>的法定代表人或其委托代理</w:t>
      </w:r>
      <w:r>
        <w:rPr>
          <w:rFonts w:hint="eastAsia" w:ascii="宋体" w:hAnsi="宋体" w:eastAsia="宋体" w:cs="宋体"/>
          <w:kern w:val="0"/>
          <w:sz w:val="21"/>
          <w:szCs w:val="21"/>
          <w:lang w:val="en-US" w:eastAsia="zh-CN" w:bidi="ar"/>
        </w:rPr>
        <w:t>人签字、盖单位公章。委托代理人签字的，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应附法定代表人签署的授权委托书。</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应尽量避免涂改、行间插字或删除。如果出现上述情况，改动之处应加盖单位公章或由</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的法定代表人或其授权的代理人签字确认。签字或盖章的具体要求见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.4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正本一份，副本份数见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前附表。正本和副本的封面上应清楚地标记</w:t>
      </w:r>
      <w:r>
        <w:rPr>
          <w:rFonts w:hint="eastAsia" w:ascii="宋体" w:hAnsi="宋体" w:eastAsia="宋体" w:cs="MingLiU"/>
          <w:kern w:val="0"/>
          <w:sz w:val="21"/>
          <w:szCs w:val="21"/>
          <w:lang w:val="en-US" w:eastAsia="zh-CN" w:bidi="ar"/>
        </w:rPr>
        <w:t>“正本”或“副本”的字样，正本和副本封面均须加盖单位公章（鲜章）。当副本和正本不一致时，以正本为准。</w:t>
      </w:r>
    </w:p>
    <w:p>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3.</w:t>
      </w:r>
      <w:r>
        <w:rPr>
          <w:rFonts w:hint="eastAsia" w:ascii="宋体" w:hAnsi="宋体" w:cs="Calibri"/>
          <w:kern w:val="0"/>
          <w:sz w:val="21"/>
          <w:szCs w:val="21"/>
          <w:lang w:val="en-US" w:eastAsia="zh-CN" w:bidi="ar"/>
        </w:rPr>
        <w:t>6</w:t>
      </w:r>
      <w:r>
        <w:rPr>
          <w:rFonts w:hint="eastAsia" w:ascii="宋体" w:hAnsi="宋体" w:eastAsia="宋体" w:cs="Calibri"/>
          <w:kern w:val="0"/>
          <w:sz w:val="21"/>
          <w:szCs w:val="21"/>
          <w:lang w:val="en-US" w:eastAsia="zh-CN" w:bidi="ar"/>
        </w:rPr>
        <w:t xml:space="preserve">.5  </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的正本与副本应分别装订成册，并编制目录，具体装订要求见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07" w:name="_Toc200513153"/>
      <w:bookmarkEnd w:id="407"/>
      <w:bookmarkStart w:id="408" w:name="_Toc287607773"/>
      <w:bookmarkEnd w:id="408"/>
      <w:bookmarkStart w:id="409" w:name="_Toc40455670"/>
      <w:bookmarkEnd w:id="409"/>
      <w:bookmarkStart w:id="410" w:name="_Toc224103344"/>
      <w:bookmarkEnd w:id="410"/>
      <w:bookmarkStart w:id="411" w:name="_Toc40455297"/>
      <w:bookmarkEnd w:id="411"/>
      <w:bookmarkStart w:id="412" w:name="_Toc778"/>
      <w:bookmarkEnd w:id="412"/>
      <w:bookmarkStart w:id="413" w:name="_Toc4661931"/>
      <w:bookmarkEnd w:id="413"/>
      <w:bookmarkStart w:id="414" w:name="_Toc28775"/>
      <w:bookmarkEnd w:id="414"/>
      <w:bookmarkStart w:id="415" w:name="_Toc30351"/>
      <w:bookmarkEnd w:id="415"/>
      <w:bookmarkStart w:id="416" w:name="_Toc277082579"/>
      <w:bookmarkEnd w:id="416"/>
      <w:bookmarkStart w:id="417" w:name="_Toc4662167"/>
      <w:bookmarkEnd w:id="417"/>
      <w:bookmarkStart w:id="418" w:name="_Toc7095"/>
      <w:bookmarkEnd w:id="418"/>
      <w:bookmarkStart w:id="419" w:name="_Toc4661695"/>
      <w:bookmarkEnd w:id="419"/>
      <w:bookmarkStart w:id="420" w:name="_Toc16777"/>
      <w:bookmarkEnd w:id="420"/>
      <w:bookmarkStart w:id="421" w:name="_Toc4661453"/>
      <w:bookmarkEnd w:id="421"/>
      <w:bookmarkStart w:id="422" w:name="_Toc4633"/>
      <w:r>
        <w:rPr>
          <w:rFonts w:hint="eastAsia" w:ascii="宋体" w:hAnsi="宋体" w:eastAsia="黑体" w:cs="Times New Roman"/>
          <w:b/>
          <w:kern w:val="0"/>
          <w:sz w:val="21"/>
          <w:szCs w:val="21"/>
        </w:rPr>
        <w:t xml:space="preserve">4.  </w:t>
      </w:r>
      <w:bookmarkEnd w:id="422"/>
      <w:r>
        <w:rPr>
          <w:rFonts w:hint="eastAsia" w:ascii="黑体" w:hAnsi="宋体" w:eastAsia="黑体" w:cs="黑体"/>
          <w:b/>
          <w:kern w:val="0"/>
          <w:sz w:val="21"/>
          <w:szCs w:val="21"/>
        </w:rPr>
        <w:t>投标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23" w:name="_Toc277082580"/>
      <w:bookmarkEnd w:id="423"/>
      <w:bookmarkStart w:id="424" w:name="_Toc40455298"/>
      <w:bookmarkEnd w:id="424"/>
      <w:bookmarkStart w:id="425" w:name="_Toc287607774"/>
      <w:bookmarkEnd w:id="425"/>
      <w:bookmarkStart w:id="426" w:name="_Toc4661932"/>
      <w:bookmarkEnd w:id="426"/>
      <w:bookmarkStart w:id="427" w:name="_Toc40455671"/>
      <w:bookmarkEnd w:id="427"/>
      <w:bookmarkStart w:id="428" w:name="_Toc4661454"/>
      <w:bookmarkEnd w:id="428"/>
      <w:bookmarkStart w:id="429" w:name="_Toc40780280"/>
      <w:bookmarkEnd w:id="429"/>
      <w:bookmarkStart w:id="430" w:name="_Toc2952"/>
      <w:bookmarkEnd w:id="430"/>
      <w:bookmarkStart w:id="431" w:name="_Toc4661696"/>
      <w:bookmarkEnd w:id="431"/>
      <w:bookmarkStart w:id="432" w:name="_Toc200513154"/>
      <w:bookmarkEnd w:id="432"/>
      <w:bookmarkStart w:id="433" w:name="_Toc4662168"/>
      <w:bookmarkEnd w:id="433"/>
      <w:bookmarkStart w:id="434" w:name="_Toc224103345"/>
      <w:r>
        <w:rPr>
          <w:rFonts w:hint="eastAsia" w:ascii="宋体" w:hAnsi="宋体" w:eastAsia="宋体" w:cs="Times New Roman"/>
          <w:b/>
          <w:kern w:val="2"/>
          <w:sz w:val="21"/>
          <w:szCs w:val="21"/>
        </w:rPr>
        <w:t xml:space="preserve">4.1  </w:t>
      </w:r>
      <w:bookmarkEnd w:id="434"/>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的密封和标记</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bookmarkStart w:id="435" w:name="_Toc200513155"/>
      <w:bookmarkEnd w:id="435"/>
      <w:r>
        <w:rPr>
          <w:rFonts w:hint="eastAsia" w:ascii="宋体" w:hAnsi="宋体" w:eastAsia="宋体" w:cs="MingLiU"/>
          <w:kern w:val="0"/>
          <w:sz w:val="21"/>
          <w:szCs w:val="21"/>
          <w:lang w:val="en-US" w:eastAsia="zh-CN" w:bidi="ar"/>
        </w:rPr>
        <w:t xml:space="preserve">4.1.1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的正本与副本密封见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4.1.2  </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的封套上应写明的内容见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36" w:name="_Toc224103346"/>
      <w:bookmarkEnd w:id="436"/>
      <w:bookmarkStart w:id="437" w:name="_Toc4662169"/>
      <w:bookmarkEnd w:id="437"/>
      <w:bookmarkStart w:id="438" w:name="_Toc4661455"/>
      <w:bookmarkEnd w:id="438"/>
      <w:bookmarkStart w:id="439" w:name="_Toc28009"/>
      <w:bookmarkEnd w:id="439"/>
      <w:bookmarkStart w:id="440" w:name="_Toc40455299"/>
      <w:bookmarkEnd w:id="440"/>
      <w:bookmarkStart w:id="441" w:name="_Toc277082581"/>
      <w:bookmarkEnd w:id="441"/>
      <w:bookmarkStart w:id="442" w:name="_Toc40455672"/>
      <w:bookmarkEnd w:id="442"/>
      <w:bookmarkStart w:id="443" w:name="_Toc4661697"/>
      <w:bookmarkEnd w:id="443"/>
      <w:bookmarkStart w:id="444" w:name="_Toc40780281"/>
      <w:bookmarkEnd w:id="444"/>
      <w:bookmarkStart w:id="445" w:name="_Toc4661933"/>
      <w:bookmarkEnd w:id="445"/>
      <w:bookmarkStart w:id="446" w:name="_Toc287607775"/>
      <w:r>
        <w:rPr>
          <w:rFonts w:hint="eastAsia" w:ascii="宋体" w:hAnsi="宋体" w:eastAsia="宋体" w:cs="Times New Roman"/>
          <w:b/>
          <w:kern w:val="2"/>
          <w:sz w:val="21"/>
          <w:szCs w:val="21"/>
        </w:rPr>
        <w:t xml:space="preserve">4.2  </w:t>
      </w:r>
      <w:bookmarkEnd w:id="446"/>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的递交</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4.2.1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应在本章第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项规定的投标截止时间前递交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的地点：见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4.2.3  </w:t>
      </w: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前附表另有规定外，</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所递交的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不予退还。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4.2.4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4.2.5  </w:t>
      </w:r>
      <w:r>
        <w:rPr>
          <w:rFonts w:hint="eastAsia" w:ascii="宋体" w:hAnsi="宋体" w:eastAsia="宋体" w:cs="宋体"/>
          <w:kern w:val="0"/>
          <w:sz w:val="21"/>
          <w:szCs w:val="21"/>
          <w:lang w:val="en-US" w:eastAsia="zh-CN" w:bidi="ar"/>
        </w:rPr>
        <w:t>逾期送达的或者未送达指定地点的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不予受理。</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47" w:name="_Toc287607776"/>
      <w:bookmarkEnd w:id="447"/>
      <w:bookmarkStart w:id="448" w:name="_Toc4661934"/>
      <w:bookmarkEnd w:id="448"/>
      <w:bookmarkStart w:id="449" w:name="_Toc40780282"/>
      <w:bookmarkEnd w:id="449"/>
      <w:bookmarkStart w:id="450" w:name="_Toc224103347"/>
      <w:bookmarkEnd w:id="450"/>
      <w:bookmarkStart w:id="451" w:name="_Toc15210"/>
      <w:bookmarkEnd w:id="451"/>
      <w:bookmarkStart w:id="452" w:name="_Toc4661698"/>
      <w:bookmarkEnd w:id="452"/>
      <w:bookmarkStart w:id="453" w:name="_Toc200513156"/>
      <w:bookmarkEnd w:id="453"/>
      <w:bookmarkStart w:id="454" w:name="_Toc40455300"/>
      <w:bookmarkEnd w:id="454"/>
      <w:bookmarkStart w:id="455" w:name="_Toc277082582"/>
      <w:bookmarkEnd w:id="455"/>
      <w:bookmarkStart w:id="456" w:name="_Toc4661456"/>
      <w:bookmarkEnd w:id="456"/>
      <w:bookmarkStart w:id="457" w:name="_Toc40455673"/>
      <w:bookmarkEnd w:id="457"/>
      <w:bookmarkStart w:id="458" w:name="_Toc4662170"/>
      <w:r>
        <w:rPr>
          <w:rFonts w:hint="eastAsia" w:ascii="宋体" w:hAnsi="宋体" w:eastAsia="宋体" w:cs="Times New Roman"/>
          <w:b/>
          <w:kern w:val="2"/>
          <w:sz w:val="21"/>
          <w:szCs w:val="21"/>
        </w:rPr>
        <w:t xml:space="preserve">4.3  </w:t>
      </w:r>
      <w:bookmarkEnd w:id="458"/>
      <w:r>
        <w:rPr>
          <w:rFonts w:hint="eastAsia" w:ascii="宋体" w:hAnsi="宋体" w:cs="宋体"/>
          <w:b/>
          <w:kern w:val="2"/>
          <w:sz w:val="21"/>
          <w:szCs w:val="21"/>
          <w:lang w:eastAsia="zh-CN"/>
        </w:rPr>
        <w:t>比选响应文件</w:t>
      </w:r>
      <w:r>
        <w:rPr>
          <w:rFonts w:hint="eastAsia" w:ascii="宋体" w:hAnsi="宋体" w:eastAsia="宋体" w:cs="宋体"/>
          <w:b/>
          <w:kern w:val="2"/>
          <w:sz w:val="21"/>
          <w:szCs w:val="21"/>
        </w:rPr>
        <w:t>的修改与撤回</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4.3.1  </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2.2.2</w:t>
      </w:r>
      <w:r>
        <w:rPr>
          <w:rFonts w:hint="eastAsia" w:ascii="宋体" w:hAnsi="宋体" w:eastAsia="宋体" w:cs="宋体"/>
          <w:kern w:val="0"/>
          <w:sz w:val="21"/>
          <w:szCs w:val="21"/>
          <w:lang w:val="en-US" w:eastAsia="zh-CN" w:bidi="ar"/>
        </w:rPr>
        <w:t>项规定的投标截止时间前，</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可以修改或撤回已递交的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，但应以书面形式通知</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4.3.2  </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修改或撤回已递交</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的书面通知应按照本章第</w:t>
      </w:r>
      <w:r>
        <w:rPr>
          <w:rFonts w:hint="eastAsia" w:ascii="宋体" w:hAnsi="宋体" w:eastAsia="宋体" w:cs="Calibri"/>
          <w:kern w:val="0"/>
          <w:sz w:val="21"/>
          <w:szCs w:val="21"/>
          <w:lang w:val="en-US" w:eastAsia="zh-CN" w:bidi="ar"/>
        </w:rPr>
        <w:t>3.7.3</w:t>
      </w:r>
      <w:r>
        <w:rPr>
          <w:rFonts w:hint="eastAsia" w:ascii="宋体" w:hAnsi="宋体" w:eastAsia="宋体" w:cs="宋体"/>
          <w:kern w:val="0"/>
          <w:sz w:val="21"/>
          <w:szCs w:val="21"/>
          <w:lang w:val="en-US" w:eastAsia="zh-CN" w:bidi="ar"/>
        </w:rPr>
        <w:t>项的要求签字或盖章。</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收到书面通知后，向</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4.3.3  </w:t>
      </w:r>
      <w:r>
        <w:rPr>
          <w:rFonts w:hint="eastAsia" w:ascii="宋体" w:hAnsi="宋体" w:eastAsia="宋体" w:cs="宋体"/>
          <w:kern w:val="0"/>
          <w:sz w:val="21"/>
          <w:szCs w:val="21"/>
          <w:lang w:val="en-US" w:eastAsia="zh-CN" w:bidi="ar"/>
        </w:rPr>
        <w:t>修改的内容为</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的组成部分。修改的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应按照本章第</w:t>
      </w:r>
      <w:r>
        <w:rPr>
          <w:rFonts w:hint="eastAsia" w:ascii="宋体" w:hAnsi="宋体" w:eastAsia="宋体" w:cs="Calibri"/>
          <w:kern w:val="0"/>
          <w:sz w:val="21"/>
          <w:szCs w:val="21"/>
          <w:lang w:val="en-US" w:eastAsia="zh-CN" w:bidi="ar"/>
        </w:rPr>
        <w:t>3</w:t>
      </w:r>
      <w:r>
        <w:rPr>
          <w:rFonts w:hint="eastAsia" w:ascii="宋体" w:hAnsi="宋体" w:eastAsia="宋体" w:cs="宋体"/>
          <w:kern w:val="0"/>
          <w:sz w:val="21"/>
          <w:szCs w:val="21"/>
          <w:lang w:val="en-US" w:eastAsia="zh-CN" w:bidi="ar"/>
        </w:rPr>
        <w:t>条、第</w:t>
      </w:r>
      <w:r>
        <w:rPr>
          <w:rFonts w:hint="eastAsia" w:ascii="宋体" w:hAnsi="宋体" w:eastAsia="宋体" w:cs="Calibri"/>
          <w:kern w:val="0"/>
          <w:sz w:val="21"/>
          <w:szCs w:val="21"/>
          <w:lang w:val="en-US" w:eastAsia="zh-CN" w:bidi="ar"/>
        </w:rPr>
        <w:t>4</w:t>
      </w:r>
      <w:r>
        <w:rPr>
          <w:rFonts w:hint="eastAsia" w:ascii="宋体" w:hAnsi="宋体" w:eastAsia="宋体" w:cs="宋体"/>
          <w:kern w:val="0"/>
          <w:sz w:val="21"/>
          <w:szCs w:val="21"/>
          <w:lang w:val="en-US" w:eastAsia="zh-CN" w:bidi="ar"/>
        </w:rPr>
        <w:t>条规定进行编制、密封、标记和递交，并标明</w:t>
      </w:r>
      <w:r>
        <w:rPr>
          <w:rFonts w:hint="eastAsia" w:ascii="宋体" w:hAnsi="宋体" w:eastAsia="宋体" w:cs="MingLiU"/>
          <w:kern w:val="0"/>
          <w:sz w:val="21"/>
          <w:szCs w:val="21"/>
          <w:lang w:val="en-US" w:eastAsia="zh-CN" w:bidi="ar"/>
        </w:rPr>
        <w:t>“修改”字样。</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459" w:name="_Toc4661935"/>
      <w:bookmarkEnd w:id="459"/>
      <w:bookmarkStart w:id="460" w:name="_Toc4661457"/>
      <w:bookmarkEnd w:id="460"/>
      <w:bookmarkStart w:id="461" w:name="_Toc287607777"/>
      <w:bookmarkEnd w:id="461"/>
      <w:bookmarkStart w:id="462" w:name="_Toc2667"/>
      <w:bookmarkEnd w:id="462"/>
      <w:bookmarkStart w:id="463" w:name="_Toc277082583"/>
      <w:bookmarkEnd w:id="463"/>
      <w:bookmarkStart w:id="464" w:name="_Toc26569"/>
      <w:bookmarkEnd w:id="464"/>
      <w:bookmarkStart w:id="465" w:name="_Toc13110"/>
      <w:bookmarkEnd w:id="465"/>
      <w:bookmarkStart w:id="466" w:name="_Toc4661699"/>
      <w:bookmarkEnd w:id="466"/>
      <w:bookmarkStart w:id="467" w:name="_Toc200513157"/>
      <w:bookmarkEnd w:id="467"/>
      <w:bookmarkStart w:id="468" w:name="_Toc4662171"/>
      <w:bookmarkEnd w:id="468"/>
      <w:bookmarkStart w:id="469" w:name="_Toc27819"/>
      <w:bookmarkEnd w:id="469"/>
      <w:bookmarkStart w:id="470" w:name="_Toc40455301"/>
      <w:bookmarkEnd w:id="470"/>
      <w:bookmarkStart w:id="471" w:name="_Toc40455674"/>
      <w:bookmarkEnd w:id="471"/>
      <w:bookmarkStart w:id="472" w:name="_Toc3631"/>
      <w:bookmarkEnd w:id="472"/>
      <w:bookmarkStart w:id="473" w:name="_Toc224103348"/>
      <w:bookmarkEnd w:id="473"/>
      <w:bookmarkStart w:id="474" w:name="_Toc665"/>
      <w:r>
        <w:rPr>
          <w:rFonts w:hint="eastAsia" w:ascii="宋体" w:hAnsi="宋体" w:eastAsia="黑体" w:cs="Times New Roman"/>
          <w:b/>
          <w:kern w:val="0"/>
          <w:sz w:val="21"/>
          <w:szCs w:val="21"/>
        </w:rPr>
        <w:t xml:space="preserve">5.  </w:t>
      </w:r>
      <w:bookmarkEnd w:id="474"/>
      <w:r>
        <w:rPr>
          <w:rFonts w:hint="eastAsia" w:ascii="黑体" w:hAnsi="宋体" w:eastAsia="黑体" w:cs="黑体"/>
          <w:b/>
          <w:kern w:val="0"/>
          <w:sz w:val="21"/>
          <w:szCs w:val="21"/>
        </w:rPr>
        <w:t>开标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75" w:name="_Toc277082584"/>
      <w:bookmarkEnd w:id="475"/>
      <w:bookmarkStart w:id="476" w:name="_Toc287607778"/>
      <w:bookmarkEnd w:id="476"/>
      <w:bookmarkStart w:id="477" w:name="_Toc40455675"/>
      <w:bookmarkEnd w:id="477"/>
      <w:bookmarkStart w:id="478" w:name="_Toc40455302"/>
      <w:bookmarkEnd w:id="478"/>
      <w:bookmarkStart w:id="479" w:name="_Toc22642"/>
      <w:bookmarkEnd w:id="479"/>
      <w:bookmarkStart w:id="480" w:name="_Toc4661700"/>
      <w:bookmarkEnd w:id="480"/>
      <w:bookmarkStart w:id="481" w:name="_Toc224103349"/>
      <w:bookmarkEnd w:id="481"/>
      <w:bookmarkStart w:id="482" w:name="_Toc4662172"/>
      <w:bookmarkEnd w:id="482"/>
      <w:bookmarkStart w:id="483" w:name="_Toc200513158"/>
      <w:bookmarkEnd w:id="483"/>
      <w:bookmarkStart w:id="484" w:name="_Toc4661458"/>
      <w:bookmarkEnd w:id="484"/>
      <w:bookmarkStart w:id="485" w:name="_Toc40780284"/>
      <w:bookmarkEnd w:id="485"/>
      <w:bookmarkStart w:id="486" w:name="_Toc4661936"/>
      <w:r>
        <w:rPr>
          <w:rFonts w:hint="eastAsia" w:ascii="宋体" w:hAnsi="宋体" w:eastAsia="宋体" w:cs="Times New Roman"/>
          <w:b/>
          <w:kern w:val="2"/>
          <w:sz w:val="21"/>
          <w:szCs w:val="21"/>
        </w:rPr>
        <w:t>5.1  开标时间和地点</w:t>
      </w:r>
      <w:bookmarkEnd w:id="486"/>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2.2.2 </w:t>
      </w:r>
      <w:r>
        <w:rPr>
          <w:rFonts w:hint="eastAsia" w:ascii="宋体" w:hAnsi="宋体" w:eastAsia="宋体" w:cs="宋体"/>
          <w:kern w:val="0"/>
          <w:sz w:val="21"/>
          <w:szCs w:val="21"/>
          <w:lang w:val="en-US" w:eastAsia="zh-CN" w:bidi="ar"/>
        </w:rPr>
        <w:t>项规定的投标截止时间（开标时间）和</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w:t>
      </w:r>
      <w:r>
        <w:rPr>
          <w:rFonts w:hint="eastAsia" w:ascii="宋体" w:hAnsi="宋体" w:cs="宋体"/>
          <w:kern w:val="0"/>
          <w:sz w:val="21"/>
          <w:szCs w:val="21"/>
          <w:lang w:val="en-US" w:eastAsia="zh-CN" w:bidi="ar"/>
        </w:rPr>
        <w:t>情况进行开标</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487" w:name="_Toc40455676"/>
      <w:bookmarkEnd w:id="487"/>
      <w:bookmarkStart w:id="488" w:name="_Toc287607779"/>
      <w:bookmarkEnd w:id="488"/>
      <w:bookmarkStart w:id="489" w:name="_Toc4661459"/>
      <w:bookmarkEnd w:id="489"/>
      <w:bookmarkStart w:id="490" w:name="_Toc4661701"/>
      <w:bookmarkEnd w:id="490"/>
      <w:bookmarkStart w:id="491" w:name="_Toc224103350"/>
      <w:bookmarkEnd w:id="491"/>
      <w:bookmarkStart w:id="492" w:name="_Toc4661937"/>
      <w:bookmarkEnd w:id="492"/>
      <w:bookmarkStart w:id="493" w:name="_Toc4662173"/>
      <w:bookmarkEnd w:id="493"/>
      <w:bookmarkStart w:id="494" w:name="_Toc40455303"/>
      <w:bookmarkEnd w:id="494"/>
      <w:bookmarkStart w:id="495" w:name="_Toc277082585"/>
      <w:bookmarkEnd w:id="495"/>
      <w:bookmarkStart w:id="496" w:name="_Toc1823"/>
      <w:bookmarkEnd w:id="496"/>
      <w:bookmarkStart w:id="497" w:name="_Toc40780285"/>
      <w:bookmarkEnd w:id="497"/>
      <w:bookmarkStart w:id="498" w:name="_Toc200513159"/>
      <w:r>
        <w:rPr>
          <w:rFonts w:hint="eastAsia" w:ascii="宋体" w:hAnsi="宋体" w:eastAsia="宋体" w:cs="Times New Roman"/>
          <w:b/>
          <w:kern w:val="2"/>
          <w:sz w:val="21"/>
          <w:szCs w:val="21"/>
        </w:rPr>
        <w:t xml:space="preserve">5.2  </w:t>
      </w:r>
      <w:bookmarkEnd w:id="498"/>
      <w:r>
        <w:rPr>
          <w:rFonts w:hint="eastAsia" w:ascii="宋体" w:hAnsi="宋体" w:eastAsia="宋体" w:cs="宋体"/>
          <w:b/>
          <w:kern w:val="2"/>
          <w:sz w:val="21"/>
          <w:szCs w:val="21"/>
        </w:rPr>
        <w:t>开标程序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bookmarkStart w:id="499" w:name="_Toc277082586"/>
      <w:bookmarkEnd w:id="499"/>
      <w:bookmarkStart w:id="500" w:name="_Toc200513160"/>
      <w:bookmarkEnd w:id="500"/>
      <w:bookmarkStart w:id="501" w:name="_Toc287607780"/>
      <w:bookmarkEnd w:id="501"/>
      <w:bookmarkStart w:id="502" w:name="_Toc224103351"/>
      <w:r>
        <w:rPr>
          <w:rFonts w:hint="eastAsia" w:ascii="宋体" w:hAnsi="宋体" w:eastAsia="宋体" w:cs="宋体"/>
          <w:kern w:val="0"/>
          <w:sz w:val="21"/>
          <w:szCs w:val="21"/>
          <w:lang w:val="en-US" w:eastAsia="zh-CN" w:bidi="ar"/>
        </w:rPr>
        <w:t>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bookmarkEnd w:id="502"/>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03" w:name="_Toc4661702"/>
      <w:bookmarkEnd w:id="503"/>
      <w:bookmarkStart w:id="504" w:name="_Toc4662174"/>
      <w:bookmarkEnd w:id="504"/>
      <w:bookmarkStart w:id="505" w:name="_Toc4661938"/>
      <w:bookmarkEnd w:id="505"/>
      <w:bookmarkStart w:id="506" w:name="_Toc40455304"/>
      <w:bookmarkEnd w:id="506"/>
      <w:bookmarkStart w:id="507" w:name="_Toc40455677"/>
      <w:bookmarkEnd w:id="507"/>
      <w:bookmarkStart w:id="508" w:name="_Toc4904"/>
      <w:bookmarkEnd w:id="508"/>
      <w:bookmarkStart w:id="509" w:name="_Toc29816"/>
      <w:bookmarkEnd w:id="509"/>
      <w:bookmarkStart w:id="510" w:name="_Toc6592"/>
      <w:bookmarkEnd w:id="510"/>
      <w:bookmarkStart w:id="511" w:name="_Toc4661460"/>
      <w:bookmarkEnd w:id="511"/>
      <w:bookmarkStart w:id="512" w:name="_Toc5895"/>
      <w:bookmarkEnd w:id="512"/>
      <w:bookmarkStart w:id="513" w:name="_Toc26714"/>
      <w:bookmarkEnd w:id="513"/>
      <w:bookmarkStart w:id="514" w:name="_Toc5685"/>
      <w:r>
        <w:rPr>
          <w:rFonts w:hint="eastAsia" w:ascii="宋体" w:hAnsi="宋体" w:eastAsia="黑体" w:cs="Times New Roman"/>
          <w:b/>
          <w:kern w:val="0"/>
          <w:sz w:val="21"/>
          <w:szCs w:val="21"/>
        </w:rPr>
        <w:t xml:space="preserve">6.  </w:t>
      </w:r>
      <w:bookmarkEnd w:id="514"/>
      <w:r>
        <w:rPr>
          <w:rFonts w:hint="eastAsia" w:ascii="黑体" w:hAnsi="宋体" w:eastAsia="黑体" w:cs="黑体"/>
          <w:b/>
          <w:kern w:val="0"/>
          <w:sz w:val="21"/>
          <w:szCs w:val="21"/>
        </w:rPr>
        <w:t>评标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15" w:name="_Toc40455678"/>
      <w:bookmarkEnd w:id="515"/>
      <w:bookmarkStart w:id="516" w:name="_Toc4661703"/>
      <w:bookmarkEnd w:id="516"/>
      <w:bookmarkStart w:id="517" w:name="_Toc40780287"/>
      <w:bookmarkEnd w:id="517"/>
      <w:bookmarkStart w:id="518" w:name="_Toc4662175"/>
      <w:bookmarkEnd w:id="518"/>
      <w:bookmarkStart w:id="519" w:name="_Toc40455305"/>
      <w:bookmarkEnd w:id="519"/>
      <w:bookmarkStart w:id="520" w:name="_Toc200513161"/>
      <w:bookmarkEnd w:id="520"/>
      <w:bookmarkStart w:id="521" w:name="_Toc224103352"/>
      <w:bookmarkEnd w:id="521"/>
      <w:bookmarkStart w:id="522" w:name="_Toc287607781"/>
      <w:bookmarkEnd w:id="522"/>
      <w:bookmarkStart w:id="523" w:name="_Toc9614"/>
      <w:bookmarkEnd w:id="523"/>
      <w:bookmarkStart w:id="524" w:name="_Toc277082587"/>
      <w:bookmarkEnd w:id="524"/>
      <w:bookmarkStart w:id="525" w:name="_Toc4661461"/>
      <w:bookmarkEnd w:id="525"/>
      <w:bookmarkStart w:id="526" w:name="_Toc4661939"/>
      <w:r>
        <w:rPr>
          <w:rFonts w:hint="eastAsia" w:ascii="宋体" w:hAnsi="宋体" w:eastAsia="宋体" w:cs="Times New Roman"/>
          <w:b/>
          <w:kern w:val="2"/>
          <w:sz w:val="21"/>
          <w:szCs w:val="21"/>
        </w:rPr>
        <w:t xml:space="preserve">6.1  </w:t>
      </w:r>
      <w:bookmarkEnd w:id="526"/>
      <w:r>
        <w:rPr>
          <w:rFonts w:hint="eastAsia" w:ascii="宋体" w:hAnsi="宋体" w:eastAsia="宋体" w:cs="宋体"/>
          <w:b/>
          <w:kern w:val="2"/>
          <w:sz w:val="21"/>
          <w:szCs w:val="21"/>
        </w:rPr>
        <w:t>评标委员会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6.1.1  </w:t>
      </w:r>
      <w:r>
        <w:rPr>
          <w:rFonts w:hint="eastAsia" w:ascii="宋体" w:hAnsi="宋体" w:eastAsia="宋体" w:cs="宋体"/>
          <w:kern w:val="0"/>
          <w:sz w:val="21"/>
          <w:szCs w:val="21"/>
          <w:lang w:val="en-US" w:eastAsia="zh-CN" w:bidi="ar"/>
        </w:rPr>
        <w:t>评标由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依法组建的评标委员会负责。评标委员会由</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或其委托的</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代理机构熟悉相关业务的代表，以及有关技术、经济等方面的专家组成。评标委员会成员人数以及技术、经济等方面专家的确定方式见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6.1.2  </w:t>
      </w:r>
      <w:r>
        <w:rPr>
          <w:rFonts w:hint="eastAsia" w:ascii="宋体" w:hAnsi="宋体" w:eastAsia="宋体" w:cs="宋体"/>
          <w:kern w:val="0"/>
          <w:sz w:val="21"/>
          <w:szCs w:val="21"/>
          <w:lang w:val="en-US" w:eastAsia="zh-CN" w:bidi="ar"/>
        </w:rPr>
        <w:t>评标委员会成员有下列情形之一的，应当回避：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1</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代理机构主要负责人的近亲属，或与</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法定代表人或其委托代理人有近亲属关系；</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2</w:t>
      </w:r>
      <w:r>
        <w:rPr>
          <w:rFonts w:hint="eastAsia" w:ascii="宋体" w:hAnsi="宋体" w:eastAsia="宋体" w:cs="宋体"/>
          <w:kern w:val="0"/>
          <w:sz w:val="21"/>
          <w:szCs w:val="21"/>
          <w:lang w:val="en-US" w:eastAsia="zh-CN" w:bidi="ar"/>
        </w:rPr>
        <w:t>）为</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的工作人员或退休人员；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3</w:t>
      </w:r>
      <w:r>
        <w:rPr>
          <w:rFonts w:hint="eastAsia" w:ascii="宋体" w:hAnsi="宋体" w:eastAsia="宋体" w:cs="宋体"/>
          <w:kern w:val="0"/>
          <w:sz w:val="21"/>
          <w:szCs w:val="21"/>
          <w:lang w:val="en-US" w:eastAsia="zh-CN" w:bidi="ar"/>
        </w:rPr>
        <w:t>）与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有其他利害关系，可能影响评标活动公正性；</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4</w:t>
      </w:r>
      <w:r>
        <w:rPr>
          <w:rFonts w:hint="eastAsia" w:ascii="宋体" w:hAnsi="宋体" w:eastAsia="宋体" w:cs="MingLiU"/>
          <w:kern w:val="0"/>
          <w:sz w:val="21"/>
          <w:szCs w:val="21"/>
          <w:lang w:val="en-US" w:eastAsia="zh-CN" w:bidi="ar"/>
        </w:rPr>
        <w:t>）在与</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投标有关的活动中有过违法违规行为、曾受过行政处罚或刑事处罚；</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5</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及其子公司、</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的上级主管部门或者控股公司、</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代理机构的工作人员或者退休人员；</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w:t>
      </w:r>
      <w:r>
        <w:rPr>
          <w:rFonts w:hint="eastAsia" w:ascii="宋体" w:hAnsi="宋体" w:cs="MingLiU"/>
          <w:kern w:val="0"/>
          <w:sz w:val="21"/>
          <w:szCs w:val="21"/>
          <w:lang w:val="en-US" w:eastAsia="zh-CN" w:bidi="ar"/>
        </w:rPr>
        <w:t>6</w:t>
      </w:r>
      <w:r>
        <w:rPr>
          <w:rFonts w:hint="eastAsia" w:ascii="宋体" w:hAnsi="宋体" w:eastAsia="宋体" w:cs="MingLiU"/>
          <w:kern w:val="0"/>
          <w:sz w:val="21"/>
          <w:szCs w:val="21"/>
          <w:lang w:val="en-US" w:eastAsia="zh-CN" w:bidi="ar"/>
        </w:rPr>
        <w:t>）近3年在</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w:t>
      </w:r>
      <w:r>
        <w:rPr>
          <w:rFonts w:hint="eastAsia" w:ascii="宋体" w:hAnsi="宋体" w:cs="MingLiU"/>
          <w:kern w:val="0"/>
          <w:sz w:val="21"/>
          <w:szCs w:val="21"/>
          <w:lang w:val="en-US" w:eastAsia="zh-CN" w:bidi="ar"/>
        </w:rPr>
        <w:t>报价人</w:t>
      </w:r>
      <w:r>
        <w:rPr>
          <w:rFonts w:hint="eastAsia" w:ascii="宋体" w:hAnsi="宋体" w:eastAsia="宋体" w:cs="MingLiU"/>
          <w:kern w:val="0"/>
          <w:sz w:val="21"/>
          <w:szCs w:val="21"/>
          <w:lang w:val="en-US" w:eastAsia="zh-CN" w:bidi="ar"/>
        </w:rPr>
        <w:t>或</w:t>
      </w:r>
      <w:r>
        <w:rPr>
          <w:rFonts w:hint="eastAsia" w:ascii="宋体" w:hAnsi="宋体" w:cs="MingLiU"/>
          <w:kern w:val="0"/>
          <w:sz w:val="21"/>
          <w:szCs w:val="21"/>
          <w:lang w:val="en-US" w:eastAsia="zh-CN" w:bidi="ar"/>
        </w:rPr>
        <w:t>竞争性比选</w:t>
      </w:r>
      <w:r>
        <w:rPr>
          <w:rFonts w:hint="eastAsia" w:ascii="宋体" w:hAnsi="宋体" w:eastAsia="宋体" w:cs="MingLiU"/>
          <w:kern w:val="0"/>
          <w:sz w:val="21"/>
          <w:szCs w:val="21"/>
          <w:lang w:val="en-US" w:eastAsia="zh-CN" w:bidi="ar"/>
        </w:rPr>
        <w:t>代理机构工作过的人员。</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27" w:name="_Toc200513162"/>
      <w:bookmarkEnd w:id="527"/>
      <w:bookmarkStart w:id="528" w:name="_Toc4662176"/>
      <w:bookmarkEnd w:id="528"/>
      <w:bookmarkStart w:id="529" w:name="_Toc40780288"/>
      <w:bookmarkEnd w:id="529"/>
      <w:bookmarkStart w:id="530" w:name="_Toc4661704"/>
      <w:bookmarkEnd w:id="530"/>
      <w:bookmarkStart w:id="531" w:name="_Toc40455679"/>
      <w:bookmarkEnd w:id="531"/>
      <w:bookmarkStart w:id="532" w:name="_Toc287607782"/>
      <w:bookmarkEnd w:id="532"/>
      <w:bookmarkStart w:id="533" w:name="_Toc277082588"/>
      <w:bookmarkEnd w:id="533"/>
      <w:bookmarkStart w:id="534" w:name="_Toc4661462"/>
      <w:bookmarkEnd w:id="534"/>
      <w:bookmarkStart w:id="535" w:name="_Toc40455306"/>
      <w:bookmarkEnd w:id="535"/>
      <w:bookmarkStart w:id="536" w:name="_Toc224103353"/>
      <w:bookmarkEnd w:id="536"/>
      <w:bookmarkStart w:id="537" w:name="_Toc4661940"/>
      <w:bookmarkEnd w:id="537"/>
      <w:bookmarkStart w:id="538" w:name="_Toc3788"/>
      <w:r>
        <w:rPr>
          <w:rFonts w:hint="eastAsia" w:ascii="宋体" w:hAnsi="宋体" w:eastAsia="宋体" w:cs="Times New Roman"/>
          <w:b/>
          <w:kern w:val="2"/>
          <w:sz w:val="21"/>
          <w:szCs w:val="21"/>
        </w:rPr>
        <w:t xml:space="preserve">6.2  </w:t>
      </w:r>
      <w:bookmarkEnd w:id="538"/>
      <w:r>
        <w:rPr>
          <w:rFonts w:hint="eastAsia" w:ascii="宋体" w:hAnsi="宋体" w:eastAsia="宋体" w:cs="宋体"/>
          <w:b/>
          <w:kern w:val="2"/>
          <w:sz w:val="21"/>
          <w:szCs w:val="21"/>
        </w:rPr>
        <w:t>评标原则</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 xml:space="preserve">    </w:t>
      </w:r>
      <w:r>
        <w:rPr>
          <w:rFonts w:hint="eastAsia" w:ascii="宋体" w:hAnsi="宋体" w:eastAsia="宋体" w:cs="宋体"/>
          <w:kern w:val="0"/>
          <w:sz w:val="21"/>
          <w:szCs w:val="21"/>
          <w:lang w:val="en-US" w:eastAsia="zh-CN" w:bidi="ar"/>
        </w:rPr>
        <w:t>评标活动遵循公平、公正、科学和择优的原则。</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39" w:name="_Toc4661941"/>
      <w:bookmarkEnd w:id="539"/>
      <w:bookmarkStart w:id="540" w:name="_Toc277082589"/>
      <w:bookmarkEnd w:id="540"/>
      <w:bookmarkStart w:id="541" w:name="_Toc40455307"/>
      <w:bookmarkEnd w:id="541"/>
      <w:bookmarkStart w:id="542" w:name="_Toc287607783"/>
      <w:bookmarkEnd w:id="542"/>
      <w:bookmarkStart w:id="543" w:name="_Toc40455680"/>
      <w:bookmarkEnd w:id="543"/>
      <w:bookmarkStart w:id="544" w:name="_Toc40780289"/>
      <w:bookmarkEnd w:id="544"/>
      <w:bookmarkStart w:id="545" w:name="_Toc200513163"/>
      <w:bookmarkEnd w:id="545"/>
      <w:bookmarkStart w:id="546" w:name="_Toc4661463"/>
      <w:bookmarkEnd w:id="546"/>
      <w:bookmarkStart w:id="547" w:name="_Toc26101"/>
      <w:bookmarkEnd w:id="547"/>
      <w:bookmarkStart w:id="548" w:name="_Toc4661705"/>
      <w:bookmarkEnd w:id="548"/>
      <w:bookmarkStart w:id="549" w:name="_Toc224103354"/>
      <w:bookmarkEnd w:id="549"/>
      <w:bookmarkStart w:id="550" w:name="_Toc4662177"/>
      <w:r>
        <w:rPr>
          <w:rFonts w:hint="eastAsia" w:ascii="宋体" w:hAnsi="宋体" w:eastAsia="宋体" w:cs="Times New Roman"/>
          <w:b/>
          <w:kern w:val="2"/>
          <w:sz w:val="21"/>
          <w:szCs w:val="21"/>
        </w:rPr>
        <w:t xml:space="preserve">6.3  </w:t>
      </w:r>
      <w:bookmarkEnd w:id="550"/>
      <w:r>
        <w:rPr>
          <w:rFonts w:hint="eastAsia" w:ascii="宋体" w:hAnsi="宋体" w:eastAsia="宋体" w:cs="宋体"/>
          <w:b/>
          <w:kern w:val="2"/>
          <w:sz w:val="21"/>
          <w:szCs w:val="21"/>
        </w:rPr>
        <w:t>评标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6.3.1评标委员会按照第三章“评标办法”规定的方法、评审因素、标准和程序对</w:t>
      </w:r>
      <w:r>
        <w:rPr>
          <w:rFonts w:hint="eastAsia" w:ascii="宋体" w:hAnsi="宋体" w:cs="MingLiU"/>
          <w:kern w:val="0"/>
          <w:sz w:val="21"/>
          <w:szCs w:val="21"/>
          <w:lang w:val="en-US" w:eastAsia="zh-CN" w:bidi="ar"/>
        </w:rPr>
        <w:t>比选响应文件</w:t>
      </w:r>
      <w:r>
        <w:rPr>
          <w:rFonts w:hint="eastAsia" w:ascii="宋体" w:hAnsi="宋体" w:eastAsia="宋体" w:cs="MingLiU"/>
          <w:kern w:val="0"/>
          <w:sz w:val="21"/>
          <w:szCs w:val="21"/>
          <w:lang w:val="en-US" w:eastAsia="zh-CN" w:bidi="ar"/>
        </w:rPr>
        <w:t>进行评审。第三章“评标办法”没有规定的方法、评审因素和标准，不得作为评标依据。</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MingLiU"/>
          <w:kern w:val="0"/>
          <w:sz w:val="21"/>
          <w:szCs w:val="21"/>
          <w:lang w:val="en-US" w:eastAsia="zh-CN" w:bidi="ar"/>
        </w:rPr>
        <w:t>6.3.2评标完成后，评标委员会应向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提交书面评标报告和中标候选人名单。评标委员会推荐中标候选人的人数见</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w:t>
      </w:r>
    </w:p>
    <w:p>
      <w:pPr>
        <w:pStyle w:val="4"/>
        <w:widowControl/>
        <w:spacing w:before="0" w:beforeAutospacing="0" w:after="0" w:afterAutospacing="0" w:line="300" w:lineRule="exact"/>
        <w:rPr>
          <w:rFonts w:hint="eastAsia" w:ascii="宋体" w:hAnsi="宋体" w:eastAsia="黑体" w:cs="Times New Roman"/>
          <w:b/>
          <w:kern w:val="0"/>
          <w:sz w:val="21"/>
          <w:szCs w:val="21"/>
        </w:rPr>
      </w:pPr>
      <w:bookmarkStart w:id="551" w:name="_Toc4661942"/>
      <w:bookmarkEnd w:id="551"/>
      <w:bookmarkStart w:id="552" w:name="_Toc4661464"/>
      <w:bookmarkEnd w:id="552"/>
      <w:bookmarkStart w:id="553" w:name="_Toc20858"/>
      <w:bookmarkEnd w:id="553"/>
      <w:bookmarkStart w:id="554" w:name="_Toc200513164"/>
      <w:bookmarkEnd w:id="554"/>
      <w:bookmarkStart w:id="555" w:name="_Toc224103355"/>
      <w:bookmarkEnd w:id="555"/>
      <w:bookmarkStart w:id="556" w:name="_Toc2883"/>
      <w:bookmarkEnd w:id="556"/>
      <w:bookmarkStart w:id="557" w:name="_Toc40455681"/>
      <w:bookmarkEnd w:id="557"/>
      <w:bookmarkStart w:id="558" w:name="_Toc13060"/>
      <w:bookmarkEnd w:id="558"/>
      <w:bookmarkStart w:id="559" w:name="_Toc4662178"/>
      <w:bookmarkEnd w:id="559"/>
      <w:bookmarkStart w:id="560" w:name="_Toc4661706"/>
      <w:bookmarkEnd w:id="560"/>
      <w:bookmarkStart w:id="561" w:name="_Toc6853"/>
      <w:bookmarkEnd w:id="561"/>
      <w:bookmarkStart w:id="562" w:name="_Toc287607784"/>
      <w:bookmarkEnd w:id="562"/>
      <w:bookmarkStart w:id="563" w:name="_Toc28253"/>
      <w:bookmarkEnd w:id="563"/>
      <w:bookmarkStart w:id="564" w:name="_Toc277082590"/>
      <w:bookmarkEnd w:id="564"/>
      <w:bookmarkStart w:id="565" w:name="_Toc40455308"/>
      <w:bookmarkEnd w:id="565"/>
      <w:bookmarkStart w:id="566" w:name="_Toc28602"/>
      <w:r>
        <w:rPr>
          <w:rFonts w:hint="eastAsia" w:ascii="宋体" w:hAnsi="宋体" w:eastAsia="黑体" w:cs="Times New Roman"/>
          <w:b/>
          <w:kern w:val="0"/>
          <w:sz w:val="21"/>
          <w:szCs w:val="21"/>
        </w:rPr>
        <w:t xml:space="preserve">7.  </w:t>
      </w:r>
      <w:bookmarkEnd w:id="566"/>
      <w:r>
        <w:rPr>
          <w:rFonts w:hint="eastAsia" w:ascii="宋体" w:hAnsi="宋体" w:eastAsia="宋体" w:cs="宋体"/>
          <w:b/>
          <w:kern w:val="2"/>
          <w:sz w:val="21"/>
          <w:szCs w:val="21"/>
        </w:rPr>
        <w:t>合同授予</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67" w:name="_Toc40455682"/>
      <w:bookmarkEnd w:id="567"/>
      <w:bookmarkStart w:id="568" w:name="_Toc277082591"/>
      <w:bookmarkEnd w:id="568"/>
      <w:bookmarkStart w:id="569" w:name="_Toc224103356"/>
      <w:bookmarkEnd w:id="569"/>
      <w:bookmarkStart w:id="570" w:name="_Toc4661707"/>
      <w:bookmarkEnd w:id="570"/>
      <w:bookmarkStart w:id="571" w:name="_Toc200513165"/>
      <w:bookmarkEnd w:id="571"/>
      <w:bookmarkStart w:id="572" w:name="_Toc4662179"/>
      <w:bookmarkEnd w:id="572"/>
      <w:bookmarkStart w:id="573" w:name="_Toc287607785"/>
      <w:bookmarkEnd w:id="573"/>
      <w:bookmarkStart w:id="574" w:name="_Toc4661465"/>
      <w:bookmarkEnd w:id="574"/>
      <w:bookmarkStart w:id="575" w:name="_Toc40455309"/>
      <w:bookmarkEnd w:id="575"/>
      <w:bookmarkStart w:id="576" w:name="_Toc12458"/>
      <w:bookmarkEnd w:id="576"/>
      <w:bookmarkStart w:id="577" w:name="_Toc4661943"/>
      <w:bookmarkEnd w:id="577"/>
      <w:bookmarkStart w:id="578" w:name="_Toc40780291"/>
      <w:r>
        <w:rPr>
          <w:rFonts w:hint="eastAsia" w:ascii="宋体" w:hAnsi="宋体" w:eastAsia="宋体" w:cs="Times New Roman"/>
          <w:b/>
          <w:kern w:val="2"/>
          <w:sz w:val="21"/>
          <w:szCs w:val="21"/>
        </w:rPr>
        <w:t xml:space="preserve">7.1  </w:t>
      </w:r>
      <w:bookmarkEnd w:id="578"/>
      <w:r>
        <w:rPr>
          <w:rFonts w:hint="eastAsia" w:ascii="宋体" w:hAnsi="宋体" w:eastAsia="宋体" w:cs="宋体"/>
          <w:b/>
          <w:kern w:val="2"/>
          <w:sz w:val="21"/>
          <w:szCs w:val="21"/>
        </w:rPr>
        <w:t>定标方式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除</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前附表规定评标委员会直接确定中标人外，</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依据评标委员会推荐的中标候选人中的第一名综合得分者为中标人，评标委员会推荐中标候选人的人数见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79" w:name="_Toc32622"/>
      <w:bookmarkEnd w:id="579"/>
      <w:bookmarkStart w:id="580" w:name="_Toc40780292"/>
      <w:bookmarkEnd w:id="580"/>
      <w:bookmarkStart w:id="581" w:name="_Toc4661944"/>
      <w:bookmarkEnd w:id="581"/>
      <w:bookmarkStart w:id="582" w:name="_Toc40455683"/>
      <w:bookmarkEnd w:id="582"/>
      <w:bookmarkStart w:id="583" w:name="_Toc277082592"/>
      <w:bookmarkEnd w:id="583"/>
      <w:bookmarkStart w:id="584" w:name="_Toc4661708"/>
      <w:bookmarkEnd w:id="584"/>
      <w:bookmarkStart w:id="585" w:name="_Toc200513166"/>
      <w:bookmarkEnd w:id="585"/>
      <w:bookmarkStart w:id="586" w:name="_Toc40455310"/>
      <w:bookmarkEnd w:id="586"/>
      <w:bookmarkStart w:id="587" w:name="_Toc4662180"/>
      <w:bookmarkEnd w:id="587"/>
      <w:bookmarkStart w:id="588" w:name="_Toc287607786"/>
      <w:bookmarkEnd w:id="588"/>
      <w:bookmarkStart w:id="589" w:name="_Toc4661466"/>
      <w:bookmarkEnd w:id="589"/>
      <w:bookmarkStart w:id="590" w:name="_Toc224103357"/>
      <w:r>
        <w:rPr>
          <w:rFonts w:hint="eastAsia" w:ascii="宋体" w:hAnsi="宋体" w:eastAsia="宋体" w:cs="Times New Roman"/>
          <w:b/>
          <w:kern w:val="2"/>
          <w:sz w:val="21"/>
          <w:szCs w:val="21"/>
        </w:rPr>
        <w:t xml:space="preserve">7.2  </w:t>
      </w:r>
      <w:bookmarkEnd w:id="590"/>
      <w:r>
        <w:rPr>
          <w:rFonts w:hint="eastAsia" w:ascii="宋体" w:hAnsi="宋体" w:eastAsia="宋体" w:cs="宋体"/>
          <w:b/>
          <w:kern w:val="2"/>
          <w:sz w:val="21"/>
          <w:szCs w:val="21"/>
        </w:rPr>
        <w:t>中标通知</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在本章第</w:t>
      </w:r>
      <w:r>
        <w:rPr>
          <w:rFonts w:hint="eastAsia" w:ascii="宋体" w:hAnsi="宋体" w:eastAsia="宋体" w:cs="Calibri"/>
          <w:kern w:val="0"/>
          <w:sz w:val="21"/>
          <w:szCs w:val="21"/>
          <w:lang w:val="en-US" w:eastAsia="zh-CN" w:bidi="ar"/>
        </w:rPr>
        <w:t xml:space="preserve"> 3.3 </w:t>
      </w:r>
      <w:r>
        <w:rPr>
          <w:rFonts w:hint="eastAsia" w:ascii="宋体" w:hAnsi="宋体" w:eastAsia="宋体" w:cs="宋体"/>
          <w:kern w:val="0"/>
          <w:sz w:val="21"/>
          <w:szCs w:val="21"/>
          <w:lang w:val="en-US" w:eastAsia="zh-CN" w:bidi="ar"/>
        </w:rPr>
        <w:t>款规定的投标有效期内，</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以书面形式向中标人发出中标通知书，同时将中标结果通知未中标的</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591" w:name="_Toc224103358"/>
      <w:bookmarkEnd w:id="591"/>
      <w:bookmarkStart w:id="592" w:name="_Toc40455684"/>
      <w:bookmarkEnd w:id="592"/>
      <w:bookmarkStart w:id="593" w:name="_Toc6509"/>
      <w:bookmarkEnd w:id="593"/>
      <w:bookmarkStart w:id="594" w:name="_Toc40780293"/>
      <w:bookmarkEnd w:id="594"/>
      <w:bookmarkStart w:id="595" w:name="_Toc4661467"/>
      <w:bookmarkEnd w:id="595"/>
      <w:bookmarkStart w:id="596" w:name="_Toc287607787"/>
      <w:bookmarkEnd w:id="596"/>
      <w:bookmarkStart w:id="597" w:name="_Toc4661945"/>
      <w:bookmarkEnd w:id="597"/>
      <w:bookmarkStart w:id="598" w:name="_Toc200513167"/>
      <w:bookmarkEnd w:id="598"/>
      <w:bookmarkStart w:id="599" w:name="_Toc277082593"/>
      <w:bookmarkEnd w:id="599"/>
      <w:bookmarkStart w:id="600" w:name="_Toc40455311"/>
      <w:bookmarkEnd w:id="600"/>
      <w:bookmarkStart w:id="601" w:name="_Toc4661709"/>
      <w:bookmarkEnd w:id="601"/>
      <w:bookmarkStart w:id="602" w:name="_Toc4662181"/>
      <w:r>
        <w:rPr>
          <w:rFonts w:hint="eastAsia" w:ascii="宋体" w:hAnsi="宋体" w:eastAsia="宋体" w:cs="Times New Roman"/>
          <w:b/>
          <w:kern w:val="2"/>
          <w:sz w:val="21"/>
          <w:szCs w:val="21"/>
        </w:rPr>
        <w:t xml:space="preserve">7.3  </w:t>
      </w:r>
      <w:bookmarkEnd w:id="602"/>
      <w:r>
        <w:rPr>
          <w:rFonts w:hint="eastAsia" w:ascii="宋体" w:hAnsi="宋体" w:eastAsia="宋体" w:cs="宋体"/>
          <w:b/>
          <w:kern w:val="2"/>
          <w:sz w:val="21"/>
          <w:szCs w:val="21"/>
        </w:rPr>
        <w:t>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7.3.1  </w:t>
      </w:r>
      <w:r>
        <w:rPr>
          <w:rFonts w:hint="eastAsia" w:ascii="宋体" w:hAnsi="宋体" w:eastAsia="宋体" w:cs="宋体"/>
          <w:kern w:val="0"/>
          <w:sz w:val="21"/>
          <w:szCs w:val="21"/>
          <w:lang w:val="en-US" w:eastAsia="zh-CN" w:bidi="ar"/>
        </w:rPr>
        <w:t>在签订合同前，中标人应按</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前附表规定的金额、担保形式和</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w:t>
      </w:r>
      <w:r>
        <w:rPr>
          <w:rFonts w:hint="eastAsia" w:ascii="宋体" w:hAnsi="宋体" w:eastAsia="宋体" w:cs="Calibri"/>
          <w:kern w:val="0"/>
          <w:sz w:val="21"/>
          <w:szCs w:val="21"/>
          <w:lang w:val="en-US" w:eastAsia="zh-CN" w:bidi="ar"/>
        </w:rPr>
        <w:t xml:space="preserve"> </w:t>
      </w:r>
      <w:r>
        <w:rPr>
          <w:rFonts w:hint="eastAsia" w:ascii="宋体" w:hAnsi="宋体" w:eastAsia="宋体" w:cs="宋体"/>
          <w:kern w:val="0"/>
          <w:sz w:val="21"/>
          <w:szCs w:val="21"/>
          <w:lang w:val="en-US" w:eastAsia="zh-CN" w:bidi="ar"/>
        </w:rPr>
        <w:t>第四章</w:t>
      </w:r>
      <w:r>
        <w:rPr>
          <w:rFonts w:hint="eastAsia" w:ascii="宋体" w:hAnsi="宋体" w:eastAsia="宋体" w:cs="MingLiU"/>
          <w:kern w:val="0"/>
          <w:sz w:val="21"/>
          <w:szCs w:val="21"/>
          <w:lang w:val="en-US" w:eastAsia="zh-CN" w:bidi="ar"/>
        </w:rPr>
        <w:t>“合同条款及格式”规定的履约担保格式向</w:t>
      </w:r>
      <w:r>
        <w:rPr>
          <w:rFonts w:hint="eastAsia" w:ascii="宋体" w:hAnsi="宋体" w:cs="MingLiU"/>
          <w:kern w:val="0"/>
          <w:sz w:val="21"/>
          <w:szCs w:val="21"/>
          <w:lang w:val="en-US" w:eastAsia="zh-CN" w:bidi="ar"/>
        </w:rPr>
        <w:t>采购人</w:t>
      </w:r>
      <w:r>
        <w:rPr>
          <w:rFonts w:hint="eastAsia" w:ascii="宋体" w:hAnsi="宋体" w:eastAsia="宋体" w:cs="MingLiU"/>
          <w:kern w:val="0"/>
          <w:sz w:val="21"/>
          <w:szCs w:val="21"/>
          <w:lang w:val="en-US" w:eastAsia="zh-CN" w:bidi="ar"/>
        </w:rPr>
        <w:t>提交履约担保。联合体中标的，其履约担保由牵头人递交，并应符合</w:t>
      </w:r>
      <w:r>
        <w:rPr>
          <w:rFonts w:hint="eastAsia" w:ascii="宋体" w:hAnsi="宋体" w:cs="MingLiU"/>
          <w:kern w:val="0"/>
          <w:sz w:val="21"/>
          <w:szCs w:val="21"/>
          <w:lang w:val="en-US" w:eastAsia="zh-CN" w:bidi="ar"/>
        </w:rPr>
        <w:t>报价人须知</w:t>
      </w:r>
      <w:r>
        <w:rPr>
          <w:rFonts w:hint="eastAsia" w:ascii="宋体" w:hAnsi="宋体" w:eastAsia="宋体" w:cs="MingLiU"/>
          <w:kern w:val="0"/>
          <w:sz w:val="21"/>
          <w:szCs w:val="21"/>
          <w:lang w:val="en-US" w:eastAsia="zh-CN" w:bidi="ar"/>
        </w:rPr>
        <w:t>前附表规定的金额、担保形式</w:t>
      </w:r>
      <w:r>
        <w:rPr>
          <w:rFonts w:hint="eastAsia" w:ascii="宋体" w:hAnsi="宋体" w:cs="MingLiU"/>
          <w:kern w:val="0"/>
          <w:sz w:val="21"/>
          <w:szCs w:val="21"/>
          <w:lang w:val="en-US" w:eastAsia="zh-CN" w:bidi="ar"/>
        </w:rPr>
        <w:t>等缴纳履约保证金</w:t>
      </w:r>
      <w:r>
        <w:rPr>
          <w:rFonts w:hint="eastAsia" w:ascii="宋体" w:hAnsi="宋体" w:eastAsia="宋体" w:cs="MingLiU"/>
          <w:kern w:val="0"/>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7.3.2  </w:t>
      </w:r>
      <w:r>
        <w:rPr>
          <w:rFonts w:hint="eastAsia" w:ascii="宋体" w:hAnsi="宋体" w:eastAsia="宋体" w:cs="宋体"/>
          <w:kern w:val="0"/>
          <w:sz w:val="21"/>
          <w:szCs w:val="21"/>
          <w:lang w:val="en-US" w:eastAsia="zh-CN" w:bidi="ar"/>
        </w:rPr>
        <w:t>中标人不能按本章第</w:t>
      </w:r>
      <w:r>
        <w:rPr>
          <w:rFonts w:hint="eastAsia" w:ascii="宋体" w:hAnsi="宋体" w:eastAsia="宋体" w:cs="Calibri"/>
          <w:kern w:val="0"/>
          <w:sz w:val="21"/>
          <w:szCs w:val="21"/>
          <w:lang w:val="en-US" w:eastAsia="zh-CN" w:bidi="ar"/>
        </w:rPr>
        <w:t xml:space="preserve"> 7.3.1 </w:t>
      </w:r>
      <w:r>
        <w:rPr>
          <w:rFonts w:hint="eastAsia" w:ascii="宋体" w:hAnsi="宋体" w:eastAsia="宋体" w:cs="宋体"/>
          <w:kern w:val="0"/>
          <w:sz w:val="21"/>
          <w:szCs w:val="21"/>
          <w:lang w:val="en-US" w:eastAsia="zh-CN" w:bidi="ar"/>
        </w:rPr>
        <w:t>项要求提交履约担保的，视为放弃中标，其投标保证金不予退还，给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03" w:name="_Toc224103359"/>
      <w:bookmarkEnd w:id="603"/>
      <w:bookmarkStart w:id="604" w:name="_Toc40780294"/>
      <w:bookmarkEnd w:id="604"/>
      <w:bookmarkStart w:id="605" w:name="_Toc40455685"/>
      <w:bookmarkEnd w:id="605"/>
      <w:bookmarkStart w:id="606" w:name="_Toc4661468"/>
      <w:bookmarkEnd w:id="606"/>
      <w:bookmarkStart w:id="607" w:name="_Toc40455312"/>
      <w:bookmarkEnd w:id="607"/>
      <w:bookmarkStart w:id="608" w:name="_Toc4662182"/>
      <w:bookmarkEnd w:id="608"/>
      <w:bookmarkStart w:id="609" w:name="_Toc4661946"/>
      <w:bookmarkEnd w:id="609"/>
      <w:bookmarkStart w:id="610" w:name="_Toc200513168"/>
      <w:bookmarkEnd w:id="610"/>
      <w:bookmarkStart w:id="611" w:name="_Toc4661710"/>
      <w:bookmarkEnd w:id="611"/>
      <w:bookmarkStart w:id="612" w:name="_Toc277082594"/>
      <w:bookmarkEnd w:id="612"/>
      <w:bookmarkStart w:id="613" w:name="_Toc12031"/>
      <w:bookmarkEnd w:id="613"/>
      <w:bookmarkStart w:id="614" w:name="_Toc287607788"/>
      <w:r>
        <w:rPr>
          <w:rFonts w:hint="eastAsia" w:ascii="宋体" w:hAnsi="宋体" w:eastAsia="宋体" w:cs="Times New Roman"/>
          <w:b/>
          <w:kern w:val="2"/>
          <w:sz w:val="21"/>
          <w:szCs w:val="21"/>
        </w:rPr>
        <w:t xml:space="preserve">7.4  </w:t>
      </w:r>
      <w:bookmarkEnd w:id="614"/>
      <w:r>
        <w:rPr>
          <w:rFonts w:hint="eastAsia" w:ascii="宋体" w:hAnsi="宋体" w:eastAsia="宋体" w:cs="宋体"/>
          <w:b/>
          <w:kern w:val="2"/>
          <w:sz w:val="21"/>
          <w:szCs w:val="21"/>
        </w:rPr>
        <w:t>签订合同</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7.4.1 </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和中标人应当自中标通知书发出之日起</w:t>
      </w:r>
      <w:r>
        <w:rPr>
          <w:rFonts w:hint="eastAsia" w:ascii="宋体" w:hAnsi="宋体" w:eastAsia="宋体" w:cs="Calibri"/>
          <w:kern w:val="0"/>
          <w:sz w:val="21"/>
          <w:szCs w:val="21"/>
          <w:lang w:val="en-US" w:eastAsia="zh-CN" w:bidi="ar"/>
        </w:rPr>
        <w:t xml:space="preserve"> 30 </w:t>
      </w:r>
      <w:r>
        <w:rPr>
          <w:rFonts w:hint="eastAsia" w:ascii="宋体" w:hAnsi="宋体" w:eastAsia="宋体" w:cs="宋体"/>
          <w:kern w:val="0"/>
          <w:sz w:val="21"/>
          <w:szCs w:val="21"/>
          <w:lang w:val="en-US" w:eastAsia="zh-CN" w:bidi="ar"/>
        </w:rPr>
        <w:t>天内，根据</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文件和中标人的</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订立书面合同。中标人无正当理由拒签合同的，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取消其中标资格，其投标保证金不予退还；给</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造成的损失超过投标保证金数额的，中标人还应当对超过部分予以赔偿。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Calibri"/>
          <w:kern w:val="0"/>
          <w:sz w:val="21"/>
          <w:szCs w:val="21"/>
          <w:lang w:val="en-US" w:eastAsia="zh-CN" w:bidi="ar"/>
        </w:rPr>
        <w:t xml:space="preserve">7.4.2  </w:t>
      </w:r>
      <w:r>
        <w:rPr>
          <w:rFonts w:hint="eastAsia" w:ascii="宋体" w:hAnsi="宋体" w:eastAsia="宋体" w:cs="宋体"/>
          <w:kern w:val="0"/>
          <w:sz w:val="21"/>
          <w:szCs w:val="21"/>
          <w:lang w:val="en-US" w:eastAsia="zh-CN" w:bidi="ar"/>
        </w:rPr>
        <w:t>发出中标通知书后，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无正当理由拒签合同的，</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向中标人退还投标保证金；给中标人造成损失的，还应当赔偿损失。</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kern w:val="2"/>
          <w:sz w:val="21"/>
          <w:szCs w:val="21"/>
        </w:rPr>
      </w:pPr>
      <w:bookmarkStart w:id="615" w:name="_Toc4661711"/>
      <w:bookmarkEnd w:id="615"/>
      <w:bookmarkStart w:id="616" w:name="_Toc4661947"/>
      <w:bookmarkEnd w:id="616"/>
      <w:bookmarkStart w:id="617" w:name="_Toc40455313"/>
      <w:bookmarkEnd w:id="617"/>
      <w:bookmarkStart w:id="618" w:name="_Toc4661469"/>
      <w:bookmarkEnd w:id="618"/>
      <w:bookmarkStart w:id="619" w:name="_Toc4662183"/>
      <w:bookmarkEnd w:id="619"/>
      <w:bookmarkStart w:id="620" w:name="_Toc8265"/>
      <w:bookmarkEnd w:id="620"/>
      <w:bookmarkStart w:id="621" w:name="_Toc200513169"/>
      <w:bookmarkEnd w:id="621"/>
      <w:bookmarkStart w:id="622" w:name="_Toc40455686"/>
      <w:bookmarkEnd w:id="622"/>
      <w:bookmarkStart w:id="623" w:name="_Toc287607789"/>
      <w:bookmarkEnd w:id="623"/>
      <w:bookmarkStart w:id="624" w:name="_Toc277082595"/>
      <w:bookmarkEnd w:id="624"/>
      <w:bookmarkStart w:id="625" w:name="_Toc224103360"/>
      <w:bookmarkEnd w:id="625"/>
      <w:bookmarkStart w:id="626" w:name="_Toc14976"/>
      <w:r>
        <w:rPr>
          <w:rFonts w:hint="eastAsia" w:ascii="宋体" w:hAnsi="宋体" w:eastAsia="宋体" w:cs="Times New Roman"/>
          <w:b/>
          <w:kern w:val="2"/>
          <w:sz w:val="21"/>
          <w:szCs w:val="21"/>
          <w:lang w:val="en-US" w:eastAsia="zh-CN" w:bidi="ar"/>
        </w:rPr>
        <w:t xml:space="preserve">8.  </w:t>
      </w:r>
      <w:bookmarkEnd w:id="626"/>
      <w:bookmarkStart w:id="627" w:name="_Toc277082598"/>
      <w:bookmarkEnd w:id="627"/>
      <w:bookmarkStart w:id="628" w:name="_Toc287607792"/>
      <w:bookmarkEnd w:id="628"/>
      <w:bookmarkStart w:id="629" w:name="_Toc40455689"/>
      <w:bookmarkEnd w:id="629"/>
      <w:bookmarkStart w:id="630" w:name="_Toc31835"/>
      <w:bookmarkEnd w:id="630"/>
      <w:bookmarkStart w:id="631" w:name="_Toc4661714"/>
      <w:bookmarkEnd w:id="631"/>
      <w:bookmarkStart w:id="632" w:name="_Toc200513172"/>
      <w:bookmarkEnd w:id="632"/>
      <w:bookmarkStart w:id="633" w:name="_Toc14831"/>
      <w:bookmarkEnd w:id="633"/>
      <w:bookmarkStart w:id="634" w:name="_Toc40455316"/>
      <w:bookmarkEnd w:id="634"/>
      <w:bookmarkStart w:id="635" w:name="_Toc4661950"/>
      <w:bookmarkEnd w:id="635"/>
      <w:bookmarkStart w:id="636" w:name="_Toc224103363"/>
      <w:bookmarkEnd w:id="636"/>
      <w:bookmarkStart w:id="637" w:name="_Toc4662186"/>
      <w:bookmarkEnd w:id="637"/>
      <w:bookmarkStart w:id="638" w:name="_Toc4661472"/>
      <w:bookmarkEnd w:id="638"/>
      <w:r>
        <w:rPr>
          <w:rFonts w:hint="eastAsia" w:ascii="宋体" w:hAnsi="宋体" w:eastAsia="宋体" w:cs="Times New Roman"/>
          <w:b/>
          <w:kern w:val="2"/>
          <w:sz w:val="21"/>
          <w:szCs w:val="21"/>
          <w:lang w:val="en-US" w:eastAsia="zh-CN" w:bidi="ar"/>
        </w:rPr>
        <w:t xml:space="preserve"> </w:t>
      </w:r>
      <w:r>
        <w:rPr>
          <w:rFonts w:hint="eastAsia" w:ascii="宋体" w:hAnsi="宋体" w:eastAsia="宋体" w:cs="宋体"/>
          <w:b/>
          <w:kern w:val="2"/>
          <w:sz w:val="21"/>
          <w:szCs w:val="21"/>
          <w:lang w:val="en-US" w:eastAsia="zh-CN" w:bidi="ar"/>
        </w:rPr>
        <w:t>纪律和监督</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39" w:name="_Toc8515"/>
      <w:bookmarkEnd w:id="639"/>
      <w:bookmarkStart w:id="640" w:name="_Toc4661473"/>
      <w:bookmarkEnd w:id="640"/>
      <w:bookmarkStart w:id="641" w:name="_Toc40455690"/>
      <w:bookmarkEnd w:id="641"/>
      <w:bookmarkStart w:id="642" w:name="_Toc4661715"/>
      <w:bookmarkEnd w:id="642"/>
      <w:bookmarkStart w:id="643" w:name="_Toc4662187"/>
      <w:bookmarkEnd w:id="643"/>
      <w:bookmarkStart w:id="644" w:name="_Toc287607793"/>
      <w:bookmarkEnd w:id="644"/>
      <w:bookmarkStart w:id="645" w:name="_Toc40455317"/>
      <w:bookmarkEnd w:id="645"/>
      <w:bookmarkStart w:id="646" w:name="_Toc277082599"/>
      <w:bookmarkEnd w:id="646"/>
      <w:bookmarkStart w:id="647" w:name="_Toc40780299"/>
      <w:bookmarkEnd w:id="647"/>
      <w:bookmarkStart w:id="648" w:name="_Toc224103364"/>
      <w:bookmarkEnd w:id="648"/>
      <w:bookmarkStart w:id="649" w:name="_Toc200513173"/>
      <w:bookmarkEnd w:id="649"/>
      <w:bookmarkStart w:id="650" w:name="_Toc4661951"/>
      <w:r>
        <w:rPr>
          <w:rFonts w:hint="eastAsia" w:ascii="宋体" w:hAnsi="宋体" w:eastAsia="宋体" w:cs="Times New Roman"/>
          <w:b/>
          <w:kern w:val="2"/>
          <w:sz w:val="21"/>
          <w:szCs w:val="21"/>
        </w:rPr>
        <w:t>8</w:t>
      </w:r>
      <w:bookmarkEnd w:id="650"/>
      <w:r>
        <w:rPr>
          <w:rFonts w:hint="eastAsia" w:ascii="宋体" w:hAnsi="宋体" w:eastAsia="宋体" w:cs="Times New Roman"/>
          <w:b/>
          <w:kern w:val="2"/>
          <w:sz w:val="21"/>
          <w:szCs w:val="21"/>
        </w:rPr>
        <w:t xml:space="preserve">.1  </w:t>
      </w:r>
      <w:r>
        <w:rPr>
          <w:rFonts w:hint="eastAsia" w:ascii="宋体" w:hAnsi="宋体" w:eastAsia="宋体" w:cs="宋体"/>
          <w:b/>
          <w:kern w:val="2"/>
          <w:sz w:val="21"/>
          <w:szCs w:val="21"/>
        </w:rPr>
        <w:t>对</w:t>
      </w:r>
      <w:r>
        <w:rPr>
          <w:rFonts w:hint="eastAsia" w:ascii="宋体" w:hAnsi="宋体" w:cs="宋体"/>
          <w:b/>
          <w:kern w:val="2"/>
          <w:sz w:val="21"/>
          <w:szCs w:val="21"/>
          <w:lang w:eastAsia="zh-CN"/>
        </w:rPr>
        <w:t>采购人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不得泄漏</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投标活动中应当保密的情况和资料，不得与</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串通损害国家利益、社会公共利益或者他人合法权益，</w:t>
      </w:r>
      <w:r>
        <w:rPr>
          <w:rFonts w:hint="eastAsia" w:ascii="宋体" w:hAnsi="宋体" w:eastAsia="宋体" w:cs="宋体"/>
          <w:kern w:val="2"/>
          <w:sz w:val="21"/>
          <w:szCs w:val="21"/>
          <w:lang w:val="en-US" w:eastAsia="zh-CN" w:bidi="ar"/>
        </w:rPr>
        <w:t>禁止</w:t>
      </w:r>
      <w:r>
        <w:rPr>
          <w:rFonts w:hint="eastAsia" w:ascii="宋体" w:hAnsi="宋体" w:cs="宋体"/>
          <w:kern w:val="2"/>
          <w:sz w:val="21"/>
          <w:szCs w:val="21"/>
          <w:lang w:val="en-US" w:eastAsia="zh-CN" w:bidi="ar"/>
        </w:rPr>
        <w:t>采购人</w:t>
      </w:r>
      <w:r>
        <w:rPr>
          <w:rFonts w:hint="eastAsia" w:ascii="宋体" w:hAnsi="宋体" w:eastAsia="宋体" w:cs="宋体"/>
          <w:kern w:val="2"/>
          <w:sz w:val="21"/>
          <w:szCs w:val="21"/>
          <w:lang w:val="en-US" w:eastAsia="zh-CN" w:bidi="ar"/>
        </w:rPr>
        <w:t>与</w:t>
      </w:r>
      <w:r>
        <w:rPr>
          <w:rFonts w:hint="eastAsia" w:ascii="宋体" w:hAnsi="宋体" w:cs="宋体"/>
          <w:kern w:val="2"/>
          <w:sz w:val="21"/>
          <w:szCs w:val="21"/>
          <w:lang w:val="en-US" w:eastAsia="zh-CN" w:bidi="ar"/>
        </w:rPr>
        <w:t>报价人</w:t>
      </w:r>
      <w:r>
        <w:rPr>
          <w:rFonts w:hint="eastAsia" w:ascii="宋体" w:hAnsi="宋体" w:eastAsia="宋体" w:cs="宋体"/>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有下列情形之一的，属于</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串通投标：</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（1）</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在开标前开启</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并将有关信息泄露给其他</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（2）</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直接或者间接向</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泄露标底、评标委员会成员等信息；</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（3）</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压低或者抬高投标报价；</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（4）</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授意</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撤换、修改</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（5）</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明示或者暗示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中标提供方便；</w:t>
      </w:r>
      <w:r>
        <w:rPr>
          <w:rFonts w:hint="eastAsia" w:ascii="宋体" w:hAnsi="宋体" w:eastAsia="宋体" w:cs="Calibri"/>
          <w:kern w:val="2"/>
          <w:sz w:val="21"/>
          <w:szCs w:val="21"/>
          <w:lang w:val="en-US" w:eastAsia="zh-CN" w:bidi="ar"/>
        </w:rPr>
        <w:br w:type="textWrapping"/>
      </w:r>
      <w:r>
        <w:rPr>
          <w:rFonts w:hint="eastAsia" w:ascii="宋体" w:hAnsi="宋体" w:eastAsia="宋体" w:cs="Calibri"/>
          <w:kern w:val="2"/>
          <w:sz w:val="21"/>
          <w:szCs w:val="21"/>
          <w:lang w:val="en-US" w:eastAsia="zh-CN" w:bidi="ar"/>
        </w:rPr>
        <w:t xml:space="preserve">  （6）</w:t>
      </w:r>
      <w:r>
        <w:rPr>
          <w:rFonts w:hint="eastAsia" w:ascii="宋体" w:hAnsi="宋体" w:cs="Calibri"/>
          <w:kern w:val="2"/>
          <w:sz w:val="21"/>
          <w:szCs w:val="21"/>
          <w:lang w:val="en-US" w:eastAsia="zh-CN" w:bidi="ar"/>
        </w:rPr>
        <w:t>采购人</w:t>
      </w:r>
      <w:r>
        <w:rPr>
          <w:rFonts w:hint="eastAsia" w:ascii="宋体" w:hAnsi="宋体" w:eastAsia="宋体" w:cs="Calibri"/>
          <w:kern w:val="2"/>
          <w:sz w:val="21"/>
          <w:szCs w:val="21"/>
          <w:lang w:val="en-US" w:eastAsia="zh-CN" w:bidi="ar"/>
        </w:rPr>
        <w:t>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为谋求特定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中标而采取的其他串通行为。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51" w:name="_Toc200513174"/>
      <w:bookmarkEnd w:id="651"/>
      <w:bookmarkStart w:id="652" w:name="_Toc4661716"/>
      <w:bookmarkEnd w:id="652"/>
      <w:bookmarkStart w:id="653" w:name="_Toc40780300"/>
      <w:bookmarkEnd w:id="653"/>
      <w:bookmarkStart w:id="654" w:name="_Toc4661474"/>
      <w:bookmarkEnd w:id="654"/>
      <w:bookmarkStart w:id="655" w:name="_Toc19536"/>
      <w:bookmarkEnd w:id="655"/>
      <w:bookmarkStart w:id="656" w:name="_Toc287607794"/>
      <w:bookmarkEnd w:id="656"/>
      <w:bookmarkStart w:id="657" w:name="_Toc40455691"/>
      <w:bookmarkEnd w:id="657"/>
      <w:bookmarkStart w:id="658" w:name="_Toc40455318"/>
      <w:bookmarkEnd w:id="658"/>
      <w:bookmarkStart w:id="659" w:name="_Toc224103365"/>
      <w:bookmarkEnd w:id="659"/>
      <w:bookmarkStart w:id="660" w:name="_Toc4662188"/>
      <w:bookmarkEnd w:id="660"/>
      <w:bookmarkStart w:id="661" w:name="_Toc4661952"/>
      <w:bookmarkEnd w:id="661"/>
      <w:bookmarkStart w:id="662" w:name="_Toc277082600"/>
      <w:r>
        <w:rPr>
          <w:rFonts w:hint="eastAsia" w:ascii="宋体" w:hAnsi="宋体" w:eastAsia="宋体" w:cs="Times New Roman"/>
          <w:b/>
          <w:kern w:val="2"/>
          <w:sz w:val="21"/>
          <w:szCs w:val="21"/>
        </w:rPr>
        <w:t>8</w:t>
      </w:r>
      <w:bookmarkEnd w:id="662"/>
      <w:r>
        <w:rPr>
          <w:rFonts w:hint="eastAsia" w:ascii="宋体" w:hAnsi="宋体" w:eastAsia="宋体" w:cs="Times New Roman"/>
          <w:b/>
          <w:kern w:val="2"/>
          <w:sz w:val="21"/>
          <w:szCs w:val="21"/>
        </w:rPr>
        <w:t xml:space="preserve">.2  </w:t>
      </w:r>
      <w:r>
        <w:rPr>
          <w:rFonts w:hint="eastAsia" w:ascii="宋体" w:hAnsi="宋体" w:eastAsia="宋体" w:cs="宋体"/>
          <w:b/>
          <w:kern w:val="2"/>
          <w:sz w:val="21"/>
          <w:szCs w:val="21"/>
        </w:rPr>
        <w:t>对</w:t>
      </w:r>
      <w:r>
        <w:rPr>
          <w:rFonts w:hint="eastAsia" w:ascii="宋体" w:hAnsi="宋体" w:cs="宋体"/>
          <w:b/>
          <w:kern w:val="2"/>
          <w:sz w:val="21"/>
          <w:szCs w:val="21"/>
          <w:lang w:eastAsia="zh-CN"/>
        </w:rPr>
        <w:t>报价人</w:t>
      </w:r>
      <w:r>
        <w:rPr>
          <w:rFonts w:hint="eastAsia" w:ascii="宋体" w:hAnsi="宋体" w:eastAsia="宋体" w:cs="宋体"/>
          <w:b/>
          <w:kern w:val="2"/>
          <w:sz w:val="21"/>
          <w:szCs w:val="21"/>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不得相互串通投标或者与</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串通投标，不得向</w:t>
      </w:r>
      <w:r>
        <w:rPr>
          <w:rFonts w:hint="eastAsia" w:ascii="宋体" w:hAnsi="宋体" w:cs="宋体"/>
          <w:kern w:val="0"/>
          <w:sz w:val="21"/>
          <w:szCs w:val="21"/>
          <w:lang w:val="en-US" w:eastAsia="zh-CN" w:bidi="ar"/>
        </w:rPr>
        <w:t>采购人</w:t>
      </w:r>
      <w:r>
        <w:rPr>
          <w:rFonts w:hint="eastAsia" w:ascii="宋体" w:hAnsi="宋体" w:eastAsia="宋体" w:cs="宋体"/>
          <w:kern w:val="0"/>
          <w:sz w:val="21"/>
          <w:szCs w:val="21"/>
          <w:lang w:val="en-US" w:eastAsia="zh-CN" w:bidi="ar"/>
        </w:rPr>
        <w:t>或者评标委员会成员行贿谋取中标，不得以他人名义投标或者以其他方式弄虚作假骗取中标；</w:t>
      </w: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不得以任何方式干扰、影响评标工作。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8.2.1有下列情形之一的，属于</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之间协商投标报价等</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的实质性内容；</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之间约定中标人；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之间约定部分</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放弃投标或者中标；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4）属于同一集团、协会、商会等组织成员的</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按照该组织要求协同投标；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之间为谋取中标或者排斥特定</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而采取的其他联合行动。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8.2.2有下列情形之一的，视为</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由同一单位或者个人编制；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委托同一单位或者个人办理投标事宜；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载明的项目管理成员为同一人；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异常一致或者投标报价呈规律性差异；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w:t>
      </w:r>
      <w:r>
        <w:rPr>
          <w:rFonts w:hint="eastAsia" w:ascii="宋体" w:hAnsi="宋体" w:cs="Calibri"/>
          <w:kern w:val="2"/>
          <w:sz w:val="21"/>
          <w:szCs w:val="21"/>
          <w:lang w:val="en-US" w:eastAsia="zh-CN" w:bidi="ar"/>
        </w:rPr>
        <w:t>比选响应文件</w:t>
      </w:r>
      <w:r>
        <w:rPr>
          <w:rFonts w:hint="eastAsia" w:ascii="宋体" w:hAnsi="宋体" w:eastAsia="宋体" w:cs="Calibri"/>
          <w:kern w:val="2"/>
          <w:sz w:val="21"/>
          <w:szCs w:val="21"/>
          <w:lang w:val="en-US" w:eastAsia="zh-CN" w:bidi="ar"/>
        </w:rPr>
        <w:t>相互混装；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6）不同</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的投标保证金从同一单位或者个人的账户转出。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8.2.3使用通过受让或者租借等方式获取的资格、资质证书投标的，属于以他人名义投标。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Calibri"/>
          <w:kern w:val="2"/>
          <w:sz w:val="21"/>
          <w:szCs w:val="21"/>
          <w:lang w:val="en-US" w:eastAsia="zh-CN" w:bidi="ar"/>
        </w:rPr>
        <w:t>8.2.4</w:t>
      </w:r>
      <w:r>
        <w:rPr>
          <w:rFonts w:hint="eastAsia" w:ascii="宋体" w:hAnsi="宋体" w:cs="Calibri"/>
          <w:kern w:val="2"/>
          <w:sz w:val="21"/>
          <w:szCs w:val="21"/>
          <w:lang w:val="en-US" w:eastAsia="zh-CN" w:bidi="ar"/>
        </w:rPr>
        <w:t>报价人</w:t>
      </w:r>
      <w:r>
        <w:rPr>
          <w:rFonts w:hint="eastAsia" w:ascii="宋体" w:hAnsi="宋体" w:eastAsia="宋体" w:cs="Calibri"/>
          <w:kern w:val="2"/>
          <w:sz w:val="21"/>
          <w:szCs w:val="21"/>
          <w:lang w:val="en-US" w:eastAsia="zh-CN" w:bidi="ar"/>
        </w:rPr>
        <w:t>有下列情形之一的，属于以其他方式弄虚作假的行为：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1）使用伪造、变造的许可证件；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2）提供虚假的财务状况或者业绩；</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3）提供虚假的项目负责人或者主要技术人员简历、劳动关系证明；</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4）提供虚假的信用状况；</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2"/>
          <w:sz w:val="21"/>
          <w:szCs w:val="21"/>
          <w:lang w:val="en-US" w:eastAsia="zh-CN" w:bidi="ar"/>
        </w:rPr>
        <w:t>（</w:t>
      </w:r>
      <w:r>
        <w:rPr>
          <w:rFonts w:hint="eastAsia" w:ascii="宋体" w:hAnsi="宋体" w:eastAsia="宋体" w:cs="Calibri"/>
          <w:kern w:val="2"/>
          <w:sz w:val="21"/>
          <w:szCs w:val="21"/>
          <w:lang w:val="en-US" w:eastAsia="zh-CN" w:bidi="ar"/>
        </w:rPr>
        <w:t>5）其他弄虚作假的行为。</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63" w:name="_Toc4662189"/>
      <w:bookmarkEnd w:id="663"/>
      <w:bookmarkStart w:id="664" w:name="_Toc40780301"/>
      <w:bookmarkEnd w:id="664"/>
      <w:bookmarkStart w:id="665" w:name="_Toc4661475"/>
      <w:bookmarkEnd w:id="665"/>
      <w:bookmarkStart w:id="666" w:name="_Toc287607795"/>
      <w:bookmarkEnd w:id="666"/>
      <w:bookmarkStart w:id="667" w:name="_Toc200513175"/>
      <w:bookmarkEnd w:id="667"/>
      <w:bookmarkStart w:id="668" w:name="_Toc40455319"/>
      <w:bookmarkEnd w:id="668"/>
      <w:bookmarkStart w:id="669" w:name="_Toc40455692"/>
      <w:bookmarkEnd w:id="669"/>
      <w:bookmarkStart w:id="670" w:name="_Toc224103366"/>
      <w:bookmarkEnd w:id="670"/>
      <w:bookmarkStart w:id="671" w:name="_Toc6459"/>
      <w:bookmarkEnd w:id="671"/>
      <w:bookmarkStart w:id="672" w:name="_Toc277082601"/>
      <w:bookmarkEnd w:id="672"/>
      <w:bookmarkStart w:id="673" w:name="_Toc4661717"/>
      <w:bookmarkEnd w:id="673"/>
      <w:bookmarkStart w:id="674" w:name="_Toc4661953"/>
      <w:r>
        <w:rPr>
          <w:rFonts w:hint="eastAsia" w:ascii="宋体" w:hAnsi="宋体" w:eastAsia="宋体" w:cs="Times New Roman"/>
          <w:b/>
          <w:kern w:val="2"/>
          <w:sz w:val="21"/>
          <w:szCs w:val="21"/>
        </w:rPr>
        <w:t>8</w:t>
      </w:r>
      <w:bookmarkEnd w:id="674"/>
      <w:r>
        <w:rPr>
          <w:rFonts w:hint="eastAsia" w:ascii="宋体" w:hAnsi="宋体" w:eastAsia="宋体" w:cs="Times New Roman"/>
          <w:b/>
          <w:kern w:val="2"/>
          <w:sz w:val="21"/>
          <w:szCs w:val="21"/>
        </w:rPr>
        <w:t xml:space="preserve">.3  </w:t>
      </w:r>
      <w:r>
        <w:rPr>
          <w:rFonts w:hint="eastAsia" w:ascii="宋体" w:hAnsi="宋体" w:eastAsia="宋体" w:cs="宋体"/>
          <w:b/>
          <w:kern w:val="2"/>
          <w:sz w:val="21"/>
          <w:szCs w:val="21"/>
        </w:rPr>
        <w:t>对评标委员会成员的纪律要求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评标委员会成员不得收受他人的财物或者其他好处，不得向他人透漏对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kern w:val="0"/>
          <w:sz w:val="21"/>
          <w:szCs w:val="21"/>
          <w:lang w:val="en-US" w:eastAsia="zh-CN" w:bidi="ar"/>
        </w:rPr>
        <w:t>“评标办法”没有规定的评审因素和标准进行评标。</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75" w:name="_Toc4662190"/>
      <w:bookmarkEnd w:id="675"/>
      <w:bookmarkStart w:id="676" w:name="_Toc40780302"/>
      <w:bookmarkEnd w:id="676"/>
      <w:bookmarkStart w:id="677" w:name="_Toc277082602"/>
      <w:bookmarkEnd w:id="677"/>
      <w:bookmarkStart w:id="678" w:name="_Toc200513176"/>
      <w:bookmarkEnd w:id="678"/>
      <w:bookmarkStart w:id="679" w:name="_Toc4661476"/>
      <w:bookmarkEnd w:id="679"/>
      <w:bookmarkStart w:id="680" w:name="_Toc13495"/>
      <w:bookmarkEnd w:id="680"/>
      <w:bookmarkStart w:id="681" w:name="_Toc287607796"/>
      <w:bookmarkEnd w:id="681"/>
      <w:bookmarkStart w:id="682" w:name="_Toc40455693"/>
      <w:bookmarkEnd w:id="682"/>
      <w:bookmarkStart w:id="683" w:name="_Toc224103367"/>
      <w:bookmarkEnd w:id="683"/>
      <w:bookmarkStart w:id="684" w:name="_Toc40455320"/>
      <w:bookmarkEnd w:id="684"/>
      <w:bookmarkStart w:id="685" w:name="_Toc4661954"/>
      <w:bookmarkEnd w:id="685"/>
      <w:bookmarkStart w:id="686" w:name="_Toc4661718"/>
      <w:r>
        <w:rPr>
          <w:rFonts w:hint="eastAsia" w:ascii="宋体" w:hAnsi="宋体" w:eastAsia="宋体" w:cs="Times New Roman"/>
          <w:b/>
          <w:kern w:val="2"/>
          <w:sz w:val="21"/>
          <w:szCs w:val="21"/>
        </w:rPr>
        <w:t>8</w:t>
      </w:r>
      <w:bookmarkEnd w:id="686"/>
      <w:r>
        <w:rPr>
          <w:rFonts w:hint="eastAsia" w:ascii="宋体" w:hAnsi="宋体" w:eastAsia="宋体" w:cs="Times New Roman"/>
          <w:b/>
          <w:kern w:val="2"/>
          <w:sz w:val="21"/>
          <w:szCs w:val="21"/>
        </w:rPr>
        <w:t xml:space="preserve">.4  </w:t>
      </w:r>
      <w:r>
        <w:rPr>
          <w:rFonts w:hint="eastAsia" w:ascii="宋体" w:hAnsi="宋体" w:eastAsia="宋体" w:cs="宋体"/>
          <w:b/>
          <w:kern w:val="2"/>
          <w:sz w:val="21"/>
          <w:szCs w:val="21"/>
        </w:rPr>
        <w:t>对与评标活动有关的工作人员的纪律要求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与评标活动有关的工作人员不得收受他人的财物或者其他好处，不得向他人透漏对</w:t>
      </w:r>
      <w:r>
        <w:rPr>
          <w:rFonts w:hint="eastAsia" w:ascii="宋体" w:hAnsi="宋体" w:cs="宋体"/>
          <w:kern w:val="0"/>
          <w:sz w:val="21"/>
          <w:szCs w:val="21"/>
          <w:lang w:val="en-US" w:eastAsia="zh-CN" w:bidi="ar"/>
        </w:rPr>
        <w:t>比选响应文件</w:t>
      </w:r>
      <w:r>
        <w:rPr>
          <w:rFonts w:hint="eastAsia" w:ascii="宋体" w:hAnsi="宋体" w:eastAsia="宋体" w:cs="宋体"/>
          <w:kern w:val="0"/>
          <w:sz w:val="21"/>
          <w:szCs w:val="21"/>
          <w:lang w:val="en-US" w:eastAsia="zh-CN" w:bidi="ar"/>
        </w:rPr>
        <w:t>的评审和比较、中标候选人的推荐情况以及与评标有关的其他情况。在评标活动中，与评标活动有关的工作人员不得擅离职守，影响评标程序正常进行。</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87" w:name="_Toc287607797"/>
      <w:bookmarkEnd w:id="687"/>
      <w:bookmarkStart w:id="688" w:name="_Toc4661477"/>
      <w:bookmarkEnd w:id="688"/>
      <w:bookmarkStart w:id="689" w:name="_Toc4662191"/>
      <w:bookmarkEnd w:id="689"/>
      <w:bookmarkStart w:id="690" w:name="_Toc224103368"/>
      <w:bookmarkEnd w:id="690"/>
      <w:bookmarkStart w:id="691" w:name="_Toc40455694"/>
      <w:bookmarkEnd w:id="691"/>
      <w:bookmarkStart w:id="692" w:name="_Toc277082603"/>
      <w:bookmarkEnd w:id="692"/>
      <w:bookmarkStart w:id="693" w:name="_Toc40780303"/>
      <w:bookmarkEnd w:id="693"/>
      <w:bookmarkStart w:id="694" w:name="_Toc200513177"/>
      <w:bookmarkEnd w:id="694"/>
      <w:bookmarkStart w:id="695" w:name="_Toc22072"/>
      <w:bookmarkEnd w:id="695"/>
      <w:bookmarkStart w:id="696" w:name="_Toc4661719"/>
      <w:bookmarkEnd w:id="696"/>
      <w:bookmarkStart w:id="697" w:name="_Toc40455321"/>
      <w:bookmarkEnd w:id="697"/>
      <w:bookmarkStart w:id="698" w:name="_Toc4661955"/>
      <w:r>
        <w:rPr>
          <w:rFonts w:hint="eastAsia" w:ascii="宋体" w:hAnsi="宋体" w:eastAsia="宋体" w:cs="Times New Roman"/>
          <w:b/>
          <w:kern w:val="2"/>
          <w:sz w:val="21"/>
          <w:szCs w:val="21"/>
        </w:rPr>
        <w:t>8</w:t>
      </w:r>
      <w:bookmarkEnd w:id="698"/>
      <w:r>
        <w:rPr>
          <w:rFonts w:hint="eastAsia" w:ascii="宋体" w:hAnsi="宋体" w:eastAsia="宋体" w:cs="Times New Roman"/>
          <w:b/>
          <w:kern w:val="2"/>
          <w:sz w:val="21"/>
          <w:szCs w:val="21"/>
        </w:rPr>
        <w:t xml:space="preserve">.5  </w:t>
      </w:r>
      <w:r>
        <w:rPr>
          <w:rFonts w:hint="eastAsia" w:ascii="宋体" w:hAnsi="宋体" w:eastAsia="宋体" w:cs="宋体"/>
          <w:b/>
          <w:kern w:val="2"/>
          <w:sz w:val="21"/>
          <w:szCs w:val="21"/>
        </w:rPr>
        <w:t>投诉</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cs="宋体"/>
          <w:kern w:val="0"/>
          <w:sz w:val="21"/>
          <w:szCs w:val="21"/>
          <w:lang w:val="en-US" w:eastAsia="zh-CN" w:bidi="ar"/>
        </w:rPr>
        <w:t>报价人</w:t>
      </w:r>
      <w:r>
        <w:rPr>
          <w:rFonts w:hint="eastAsia" w:ascii="宋体" w:hAnsi="宋体" w:eastAsia="宋体" w:cs="宋体"/>
          <w:kern w:val="0"/>
          <w:sz w:val="21"/>
          <w:szCs w:val="21"/>
          <w:lang w:val="en-US" w:eastAsia="zh-CN" w:bidi="ar"/>
        </w:rPr>
        <w:t>和其他利害关系人认为本次</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活动违反法律、法规和规章规定的，有权向有关监督部门投诉。具体见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bookmarkStart w:id="699" w:name="_Toc4662192"/>
      <w:bookmarkEnd w:id="699"/>
      <w:bookmarkStart w:id="700" w:name="_Toc277082604"/>
      <w:bookmarkEnd w:id="700"/>
      <w:bookmarkStart w:id="701" w:name="_Toc40455695"/>
      <w:bookmarkEnd w:id="701"/>
      <w:bookmarkStart w:id="702" w:name="_Toc4661720"/>
      <w:bookmarkEnd w:id="702"/>
      <w:bookmarkStart w:id="703" w:name="_Toc26060"/>
      <w:bookmarkEnd w:id="703"/>
      <w:bookmarkStart w:id="704" w:name="_Toc224103369"/>
      <w:bookmarkEnd w:id="704"/>
      <w:bookmarkStart w:id="705" w:name="_Toc4661478"/>
      <w:bookmarkEnd w:id="705"/>
      <w:bookmarkStart w:id="706" w:name="_Toc4661956"/>
      <w:bookmarkEnd w:id="706"/>
      <w:bookmarkStart w:id="707" w:name="_Toc287620737"/>
      <w:bookmarkEnd w:id="707"/>
      <w:bookmarkStart w:id="708" w:name="_Toc40455322"/>
      <w:bookmarkEnd w:id="708"/>
      <w:bookmarkStart w:id="709" w:name="_Toc287607798"/>
      <w:bookmarkEnd w:id="709"/>
      <w:bookmarkStart w:id="710" w:name="_Toc200513178"/>
      <w:r>
        <w:rPr>
          <w:rFonts w:hint="eastAsia" w:ascii="宋体" w:hAnsi="宋体" w:eastAsia="宋体" w:cs="Times New Roman"/>
          <w:b/>
          <w:kern w:val="2"/>
          <w:sz w:val="21"/>
          <w:szCs w:val="21"/>
        </w:rPr>
        <w:t>9</w:t>
      </w:r>
      <w:bookmarkEnd w:id="710"/>
      <w:r>
        <w:rPr>
          <w:rFonts w:hint="eastAsia" w:ascii="宋体" w:hAnsi="宋体" w:eastAsia="宋体" w:cs="Times New Roman"/>
          <w:b/>
          <w:kern w:val="2"/>
          <w:sz w:val="21"/>
          <w:szCs w:val="21"/>
        </w:rPr>
        <w:t>.</w:t>
      </w:r>
      <w:r>
        <w:rPr>
          <w:rFonts w:hint="eastAsia" w:ascii="宋体" w:hAnsi="宋体" w:eastAsia="宋体" w:cs="宋体"/>
          <w:b/>
          <w:kern w:val="2"/>
          <w:sz w:val="21"/>
          <w:szCs w:val="21"/>
        </w:rPr>
        <w:t>是否采用电子</w:t>
      </w:r>
      <w:r>
        <w:rPr>
          <w:rFonts w:hint="eastAsia" w:ascii="宋体" w:hAnsi="宋体" w:cs="宋体"/>
          <w:b/>
          <w:kern w:val="2"/>
          <w:sz w:val="21"/>
          <w:szCs w:val="21"/>
          <w:lang w:eastAsia="zh-CN"/>
        </w:rPr>
        <w:t>竞争性比选</w:t>
      </w:r>
      <w:r>
        <w:rPr>
          <w:rFonts w:hint="eastAsia" w:ascii="宋体" w:hAnsi="宋体" w:eastAsia="宋体" w:cs="宋体"/>
          <w:b/>
          <w:kern w:val="2"/>
          <w:sz w:val="21"/>
          <w:szCs w:val="21"/>
        </w:rPr>
        <w:t>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rPr>
      </w:pPr>
      <w:r>
        <w:rPr>
          <w:rFonts w:hint="eastAsia" w:ascii="宋体" w:hAnsi="宋体" w:eastAsia="宋体" w:cs="宋体"/>
          <w:kern w:val="0"/>
          <w:sz w:val="21"/>
          <w:szCs w:val="21"/>
          <w:lang w:val="en-US" w:eastAsia="zh-CN" w:bidi="ar"/>
        </w:rPr>
        <w:t>本</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项目是否采用电子</w:t>
      </w:r>
      <w:r>
        <w:rPr>
          <w:rFonts w:hint="eastAsia" w:ascii="宋体" w:hAnsi="宋体" w:cs="宋体"/>
          <w:kern w:val="0"/>
          <w:sz w:val="21"/>
          <w:szCs w:val="21"/>
          <w:lang w:val="en-US" w:eastAsia="zh-CN" w:bidi="ar"/>
        </w:rPr>
        <w:t>竞争性比选</w:t>
      </w:r>
      <w:r>
        <w:rPr>
          <w:rFonts w:hint="eastAsia" w:ascii="宋体" w:hAnsi="宋体" w:eastAsia="宋体" w:cs="宋体"/>
          <w:kern w:val="0"/>
          <w:sz w:val="21"/>
          <w:szCs w:val="21"/>
          <w:lang w:val="en-US" w:eastAsia="zh-CN" w:bidi="ar"/>
        </w:rPr>
        <w:t>投标方式：见</w:t>
      </w:r>
      <w:r>
        <w:rPr>
          <w:rFonts w:hint="eastAsia" w:ascii="宋体" w:hAnsi="宋体" w:cs="宋体"/>
          <w:kern w:val="0"/>
          <w:sz w:val="21"/>
          <w:szCs w:val="21"/>
          <w:lang w:val="en-US" w:eastAsia="zh-CN" w:bidi="ar"/>
        </w:rPr>
        <w:t>报价人须知</w:t>
      </w:r>
      <w:r>
        <w:rPr>
          <w:rFonts w:hint="eastAsia" w:ascii="宋体" w:hAnsi="宋体" w:eastAsia="宋体" w:cs="宋体"/>
          <w:kern w:val="0"/>
          <w:sz w:val="21"/>
          <w:szCs w:val="21"/>
          <w:lang w:val="en-US" w:eastAsia="zh-CN" w:bidi="ar"/>
        </w:rPr>
        <w:t>前附表。</w:t>
      </w:r>
    </w:p>
    <w:p>
      <w:pPr>
        <w:pStyle w:val="5"/>
        <w:widowControl/>
        <w:spacing w:before="0" w:beforeAutospacing="0" w:after="0" w:afterAutospacing="0" w:line="300" w:lineRule="exact"/>
        <w:rPr>
          <w:rFonts w:hint="eastAsia" w:ascii="宋体" w:hAnsi="宋体" w:eastAsia="宋体" w:cs="Times New Roman"/>
          <w:b/>
          <w:kern w:val="2"/>
          <w:sz w:val="21"/>
          <w:szCs w:val="21"/>
        </w:rPr>
      </w:pPr>
      <w:r>
        <w:rPr>
          <w:rFonts w:hint="eastAsia" w:ascii="宋体" w:hAnsi="宋体" w:eastAsia="宋体" w:cs="Times New Roman"/>
          <w:b/>
          <w:kern w:val="2"/>
          <w:sz w:val="21"/>
          <w:szCs w:val="21"/>
        </w:rPr>
        <w:t>10.需要补充的其他内容</w:t>
      </w:r>
    </w:p>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rPr>
      </w:pPr>
      <w:bookmarkStart w:id="711" w:name="_Toc17532"/>
      <w:bookmarkStart w:id="712" w:name="_Toc17399"/>
      <w:bookmarkStart w:id="713" w:name="_Toc5691"/>
      <w:bookmarkStart w:id="714" w:name="_Toc30198"/>
      <w:bookmarkStart w:id="715" w:name="_Toc11329222"/>
      <w:bookmarkStart w:id="716" w:name="_Toc11284"/>
      <w:r>
        <w:rPr>
          <w:rFonts w:hint="eastAsia" w:ascii="宋体" w:hAnsi="宋体" w:eastAsia="宋体" w:cs="宋体"/>
          <w:sz w:val="28"/>
          <w:szCs w:val="28"/>
        </w:rPr>
        <w:t>附录1  资格审查条件（资质最低要求）</w:t>
      </w:r>
      <w:bookmarkEnd w:id="711"/>
      <w:bookmarkEnd w:id="712"/>
      <w:bookmarkEnd w:id="713"/>
      <w:bookmarkEnd w:id="714"/>
      <w:bookmarkEnd w:id="715"/>
      <w:bookmarkEnd w:id="716"/>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08" w:type="dxa"/>
          </w:tcPr>
          <w:p>
            <w:pPr>
              <w:keepNext w:val="0"/>
              <w:keepLines w:val="0"/>
              <w:numPr>
                <w:ilvl w:val="0"/>
                <w:numId w:val="0"/>
              </w:numPr>
              <w:suppressLineNumbers w:val="0"/>
              <w:spacing w:before="0" w:beforeAutospacing="0" w:after="0" w:afterAutospacing="0" w:line="400" w:lineRule="exact"/>
              <w:ind w:left="0" w:right="0" w:firstLine="420" w:firstLineChars="200"/>
              <w:rPr>
                <w:rFonts w:hint="eastAsia" w:eastAsia="宋体"/>
                <w:lang w:val="en-US" w:eastAsia="zh-CN"/>
              </w:rPr>
            </w:pPr>
            <w:r>
              <w:rPr>
                <w:rFonts w:hint="eastAsia"/>
              </w:rPr>
              <w:t>具有</w:t>
            </w:r>
            <w:r>
              <w:rPr>
                <w:rFonts w:hint="default"/>
              </w:rPr>
              <w:t>独立法人资格，</w:t>
            </w:r>
            <w:r>
              <w:rPr>
                <w:rFonts w:hint="eastAsia"/>
              </w:rPr>
              <w:t>有效的营业执照（</w:t>
            </w:r>
            <w:r>
              <w:rPr>
                <w:rFonts w:hint="default" w:ascii="宋体" w:hAnsi="宋体" w:cs="宋体"/>
                <w:szCs w:val="21"/>
                <w:highlight w:val="none"/>
                <w:shd w:val="clear" w:color="auto" w:fill="FFFFFF"/>
              </w:rPr>
              <w:t>经营范围</w:t>
            </w:r>
            <w:r>
              <w:rPr>
                <w:rFonts w:hint="eastAsia" w:ascii="宋体" w:hAnsi="宋体" w:cs="宋体"/>
                <w:szCs w:val="21"/>
                <w:highlight w:val="none"/>
                <w:shd w:val="clear" w:color="auto" w:fill="FFFFFF"/>
              </w:rPr>
              <w:t>范围</w:t>
            </w:r>
            <w:r>
              <w:rPr>
                <w:rFonts w:hint="default" w:ascii="宋体" w:hAnsi="宋体" w:cs="宋体"/>
                <w:szCs w:val="21"/>
                <w:highlight w:val="none"/>
                <w:shd w:val="clear" w:color="auto" w:fill="FFFFFF"/>
              </w:rPr>
              <w:t>需</w:t>
            </w:r>
            <w:r>
              <w:rPr>
                <w:rFonts w:hint="eastAsia" w:ascii="宋体" w:hAnsi="宋体" w:cs="宋体"/>
                <w:szCs w:val="21"/>
                <w:highlight w:val="none"/>
                <w:shd w:val="clear" w:color="auto" w:fill="FFFFFF"/>
                <w:lang w:val="en-US" w:eastAsia="zh-CN"/>
              </w:rPr>
              <w:t>含计算机信息技术或交通工程</w:t>
            </w:r>
            <w:r>
              <w:rPr>
                <w:rFonts w:hint="eastAsia" w:ascii="宋体" w:hAnsi="宋体" w:cs="宋体"/>
                <w:szCs w:val="21"/>
                <w:highlight w:val="none"/>
                <w:shd w:val="clear" w:color="auto" w:fill="FFFFFF"/>
              </w:rPr>
              <w:t>等相关内容</w:t>
            </w:r>
            <w:r>
              <w:rPr>
                <w:rFonts w:hint="eastAsia"/>
              </w:rPr>
              <w:t>）</w:t>
            </w:r>
            <w:r>
              <w:rPr>
                <w:rFonts w:hint="eastAsia"/>
                <w:lang w:eastAsia="zh-CN"/>
              </w:rPr>
              <w:t>。</w:t>
            </w:r>
          </w:p>
        </w:tc>
      </w:tr>
    </w:tbl>
    <w:p>
      <w:pPr>
        <w:spacing w:line="440" w:lineRule="exact"/>
        <w:ind w:firstLine="420" w:firstLineChars="200"/>
        <w:rPr>
          <w:rFonts w:ascii="宋体" w:hAnsi="宋体" w:cs="宋体"/>
          <w:b/>
          <w:sz w:val="28"/>
          <w:szCs w:val="28"/>
        </w:rPr>
      </w:pPr>
      <w:r>
        <w:rPr>
          <w:rFonts w:hint="eastAsia" w:ascii="宋体" w:hAnsi="宋体" w:cs="宋体"/>
        </w:rPr>
        <w:t>注：须提供报价人营业执照复印件,并加盖单位鲜公章。</w:t>
      </w:r>
    </w:p>
    <w:p>
      <w:pPr>
        <w:pStyle w:val="4"/>
        <w:jc w:val="center"/>
        <w:rPr>
          <w:rFonts w:ascii="宋体" w:hAnsi="宋体" w:eastAsia="宋体" w:cs="宋体"/>
          <w:bCs w:val="0"/>
        </w:rPr>
      </w:pPr>
      <w:bookmarkStart w:id="717" w:name="_Toc13719"/>
      <w:bookmarkStart w:id="718" w:name="_Toc30995"/>
      <w:bookmarkStart w:id="719" w:name="_Toc1778"/>
      <w:bookmarkStart w:id="720" w:name="_Toc11329223"/>
      <w:bookmarkStart w:id="721" w:name="_Toc17235"/>
      <w:bookmarkStart w:id="722" w:name="_Toc30363"/>
      <w:r>
        <w:rPr>
          <w:rFonts w:hint="eastAsia" w:ascii="宋体" w:hAnsi="宋体" w:eastAsia="宋体" w:cs="宋体"/>
          <w:bCs w:val="0"/>
          <w:sz w:val="28"/>
          <w:szCs w:val="28"/>
        </w:rPr>
        <w:t>附录2  资格审查条件（财务最低要求）</w:t>
      </w:r>
      <w:bookmarkEnd w:id="717"/>
      <w:bookmarkEnd w:id="718"/>
      <w:bookmarkEnd w:id="719"/>
      <w:bookmarkEnd w:id="720"/>
      <w:bookmarkEnd w:id="721"/>
      <w:bookmarkEnd w:id="722"/>
    </w:p>
    <w:tbl>
      <w:tblPr>
        <w:tblStyle w:val="4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130"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30" w:type="dxa"/>
          </w:tcPr>
          <w:p>
            <w:pPr>
              <w:keepNext w:val="0"/>
              <w:keepLines w:val="0"/>
              <w:suppressLineNumbers w:val="0"/>
              <w:spacing w:before="0" w:beforeAutospacing="0" w:after="0" w:afterAutospacing="0" w:line="400" w:lineRule="exact"/>
              <w:ind w:left="0" w:right="0" w:firstLine="420" w:firstLineChars="200"/>
              <w:rPr>
                <w:rFonts w:hint="default"/>
              </w:rPr>
            </w:pPr>
            <w:r>
              <w:rPr>
                <w:rFonts w:hint="eastAsia"/>
              </w:rPr>
              <w:t>无要求</w:t>
            </w:r>
          </w:p>
        </w:tc>
      </w:tr>
    </w:tbl>
    <w:p>
      <w:pPr>
        <w:pStyle w:val="170"/>
        <w:ind w:firstLine="480"/>
      </w:pPr>
      <w:bookmarkStart w:id="723" w:name="_Toc11329224"/>
    </w:p>
    <w:p>
      <w:pPr>
        <w:pStyle w:val="4"/>
        <w:jc w:val="center"/>
        <w:rPr>
          <w:rFonts w:ascii="宋体" w:hAnsi="宋体" w:eastAsia="宋体" w:cs="宋体"/>
          <w:bCs w:val="0"/>
          <w:sz w:val="28"/>
          <w:szCs w:val="28"/>
        </w:rPr>
      </w:pPr>
      <w:bookmarkStart w:id="724" w:name="_Toc16937"/>
      <w:bookmarkStart w:id="725" w:name="_Toc28315"/>
      <w:bookmarkStart w:id="726" w:name="_Toc6263"/>
      <w:bookmarkStart w:id="727" w:name="_Toc19507"/>
      <w:bookmarkStart w:id="728" w:name="_Toc16638"/>
      <w:r>
        <w:rPr>
          <w:rFonts w:hint="eastAsia" w:ascii="宋体" w:hAnsi="宋体" w:eastAsia="宋体" w:cs="宋体"/>
          <w:bCs w:val="0"/>
          <w:sz w:val="28"/>
          <w:szCs w:val="28"/>
        </w:rPr>
        <w:t>附录3  资格审查条件（业绩最低要求）</w:t>
      </w:r>
      <w:bookmarkEnd w:id="723"/>
      <w:bookmarkEnd w:id="724"/>
      <w:bookmarkEnd w:id="725"/>
      <w:bookmarkEnd w:id="726"/>
      <w:bookmarkEnd w:id="727"/>
      <w:bookmarkEnd w:id="728"/>
    </w:p>
    <w:tbl>
      <w:tblPr>
        <w:tblStyle w:val="41"/>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42"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42"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yellow"/>
                <w:shd w:val="clear" w:color="auto" w:fill="FFFFFF"/>
                <w:lang w:eastAsia="zh-CN"/>
              </w:rPr>
            </w:pPr>
            <w:r>
              <w:rPr>
                <w:rFonts w:hint="eastAsia" w:ascii="宋体" w:hAnsi="宋体" w:cs="宋体"/>
                <w:szCs w:val="21"/>
                <w:highlight w:val="none"/>
                <w:shd w:val="clear" w:color="auto" w:fill="FFFFFF"/>
                <w:lang w:val="en-US" w:eastAsia="zh-CN"/>
              </w:rPr>
              <w:t>报</w:t>
            </w:r>
            <w:r>
              <w:rPr>
                <w:rFonts w:hint="eastAsia" w:ascii="宋体" w:hAnsi="宋体" w:eastAsia="宋体" w:cs="宋体"/>
                <w:szCs w:val="21"/>
                <w:highlight w:val="none"/>
                <w:shd w:val="clear" w:color="auto" w:fill="FFFFFF"/>
              </w:rPr>
              <w:t>价人或数字孪生系统</w:t>
            </w:r>
            <w:r>
              <w:rPr>
                <w:rFonts w:hint="eastAsia" w:ascii="宋体" w:hAnsi="宋体" w:cs="宋体"/>
                <w:szCs w:val="21"/>
                <w:highlight w:val="none"/>
                <w:shd w:val="clear" w:color="auto" w:fill="FFFFFF"/>
                <w:lang w:val="en-US" w:eastAsia="zh-CN"/>
              </w:rPr>
              <w:t>供应商</w:t>
            </w:r>
            <w:r>
              <w:rPr>
                <w:rFonts w:hint="eastAsia" w:ascii="宋体" w:hAnsi="宋体" w:eastAsia="宋体" w:cs="宋体"/>
                <w:szCs w:val="21"/>
                <w:highlight w:val="none"/>
                <w:shd w:val="clear" w:color="auto" w:fill="FFFFFF"/>
              </w:rPr>
              <w:t>需具有至少1个2020年1月1日至本竞争性比选函发出之日的系统集成类项目相关业绩（以合同签订时间为准）</w:t>
            </w:r>
            <w:r>
              <w:rPr>
                <w:rFonts w:hint="eastAsia" w:ascii="宋体" w:hAnsi="宋体" w:cs="宋体"/>
                <w:szCs w:val="21"/>
                <w:highlight w:val="none"/>
                <w:shd w:val="clear" w:color="auto" w:fill="FFFFFF"/>
                <w:lang w:eastAsia="zh-CN"/>
              </w:rPr>
              <w:t>。</w:t>
            </w:r>
          </w:p>
        </w:tc>
      </w:tr>
    </w:tbl>
    <w:p>
      <w:pPr>
        <w:spacing w:line="440" w:lineRule="exact"/>
        <w:ind w:firstLine="420" w:firstLineChars="200"/>
      </w:pPr>
      <w:bookmarkStart w:id="729" w:name="_Toc11329225"/>
      <w:r>
        <w:rPr>
          <w:rFonts w:hint="eastAsia" w:ascii="宋体" w:hAnsi="宋体" w:eastAsia="宋体" w:cs="宋体"/>
        </w:rPr>
        <w:t>注：须提供报价人或数字孪生系统供应商业绩合同复印件，并加盖</w:t>
      </w:r>
      <w:r>
        <w:rPr>
          <w:rFonts w:hint="eastAsia" w:ascii="宋体" w:hAnsi="宋体" w:cs="宋体"/>
          <w:lang w:val="en-US" w:eastAsia="zh-CN"/>
        </w:rPr>
        <w:t>报价人</w:t>
      </w:r>
      <w:r>
        <w:rPr>
          <w:rFonts w:hint="eastAsia" w:ascii="宋体" w:hAnsi="宋体" w:eastAsia="宋体" w:cs="宋体"/>
        </w:rPr>
        <w:t>鲜章；合同同复印件需体现合同额、清单、合同签订时间。</w:t>
      </w:r>
    </w:p>
    <w:p>
      <w:pPr>
        <w:spacing w:line="440" w:lineRule="exact"/>
        <w:ind w:firstLine="420" w:firstLineChars="200"/>
      </w:pPr>
    </w:p>
    <w:p>
      <w:pPr>
        <w:pStyle w:val="4"/>
        <w:jc w:val="center"/>
        <w:rPr>
          <w:rFonts w:hint="eastAsia" w:ascii="宋体" w:hAnsi="宋体" w:eastAsia="宋体" w:cs="宋体"/>
          <w:bCs w:val="0"/>
          <w:sz w:val="28"/>
          <w:szCs w:val="28"/>
        </w:rPr>
      </w:pPr>
      <w:bookmarkStart w:id="730" w:name="_Toc26749"/>
      <w:bookmarkStart w:id="731" w:name="_Toc10083"/>
      <w:bookmarkStart w:id="732" w:name="_Toc5047"/>
      <w:bookmarkStart w:id="733" w:name="_Toc2830"/>
      <w:bookmarkStart w:id="734" w:name="_Toc12296"/>
      <w:r>
        <w:rPr>
          <w:rFonts w:hint="eastAsia" w:ascii="宋体" w:hAnsi="宋体" w:eastAsia="宋体" w:cs="宋体"/>
          <w:bCs w:val="0"/>
          <w:sz w:val="28"/>
          <w:szCs w:val="28"/>
        </w:rPr>
        <w:t>附录4 资格审查条件（项目主要管理人员最低要求）</w:t>
      </w:r>
    </w:p>
    <w:tbl>
      <w:tblPr>
        <w:tblStyle w:val="41"/>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人  员</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数量</w:t>
            </w:r>
          </w:p>
        </w:tc>
        <w:tc>
          <w:tcPr>
            <w:tcW w:w="57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58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无</w:t>
            </w:r>
          </w:p>
        </w:tc>
      </w:tr>
    </w:tbl>
    <w:p>
      <w:pPr>
        <w:rPr>
          <w:rFonts w:hint="eastAsia"/>
        </w:rPr>
      </w:pPr>
    </w:p>
    <w:p>
      <w:pPr>
        <w:spacing w:line="400" w:lineRule="exact"/>
        <w:jc w:val="both"/>
        <w:rPr>
          <w:rFonts w:ascii="宋体" w:hAnsi="宋体" w:cs="宋体"/>
          <w:szCs w:val="21"/>
        </w:rPr>
      </w:pPr>
      <w:r>
        <w:rPr>
          <w:rFonts w:hint="eastAsia" w:ascii="宋体" w:hAnsi="宋体" w:cs="宋体"/>
          <w:szCs w:val="21"/>
          <w:highlight w:val="none"/>
        </w:rPr>
        <w:t xml:space="preserve"> </w:t>
      </w:r>
      <w:r>
        <w:rPr>
          <w:rFonts w:hint="eastAsia" w:ascii="宋体" w:hAnsi="宋体" w:eastAsia="宋体" w:cs="宋体"/>
          <w:highlight w:val="none"/>
        </w:rPr>
        <w:t xml:space="preserve">  注：以上</w:t>
      </w:r>
      <w:r>
        <w:rPr>
          <w:rFonts w:hint="eastAsia" w:ascii="宋体" w:hAnsi="宋体" w:eastAsia="宋体" w:cs="宋体"/>
        </w:rPr>
        <w:t>人员不得重复任职。报价人需提供证书复印件、社保证明等相关证明材料，并加盖单位鲜公章。</w:t>
      </w:r>
    </w:p>
    <w:p/>
    <w:bookmarkEnd w:id="729"/>
    <w:bookmarkEnd w:id="730"/>
    <w:bookmarkEnd w:id="731"/>
    <w:bookmarkEnd w:id="732"/>
    <w:bookmarkEnd w:id="733"/>
    <w:bookmarkEnd w:id="734"/>
    <w:p>
      <w:pPr>
        <w:pStyle w:val="4"/>
        <w:jc w:val="center"/>
        <w:rPr>
          <w:rFonts w:hint="eastAsia" w:ascii="宋体" w:hAnsi="宋体" w:eastAsia="宋体" w:cs="宋体"/>
          <w:bCs w:val="0"/>
          <w:sz w:val="28"/>
          <w:szCs w:val="28"/>
        </w:rPr>
      </w:pPr>
      <w:bookmarkStart w:id="735" w:name="_Toc12773"/>
      <w:bookmarkStart w:id="736" w:name="_Toc14083"/>
      <w:bookmarkStart w:id="737" w:name="_Toc25591"/>
      <w:bookmarkStart w:id="738" w:name="_Toc11329226"/>
      <w:bookmarkStart w:id="739" w:name="_Toc27096"/>
      <w:bookmarkStart w:id="740" w:name="_Toc21425"/>
      <w:r>
        <w:rPr>
          <w:rFonts w:hint="eastAsia" w:ascii="宋体" w:hAnsi="宋体" w:eastAsia="宋体" w:cs="宋体"/>
          <w:bCs w:val="0"/>
          <w:sz w:val="28"/>
          <w:szCs w:val="28"/>
        </w:rPr>
        <w:t>附录5 资格审查文件</w:t>
      </w:r>
      <w:bookmarkEnd w:id="735"/>
      <w:bookmarkEnd w:id="736"/>
      <w:bookmarkEnd w:id="737"/>
      <w:bookmarkEnd w:id="738"/>
      <w:bookmarkEnd w:id="739"/>
      <w:bookmarkEnd w:id="740"/>
      <w:r>
        <w:rPr>
          <w:rFonts w:hint="eastAsia" w:ascii="宋体" w:hAnsi="宋体" w:eastAsia="宋体" w:cs="宋体"/>
          <w:bCs w:val="0"/>
          <w:sz w:val="28"/>
          <w:szCs w:val="28"/>
        </w:rPr>
        <w:t>（信誉最低要求）</w:t>
      </w:r>
    </w:p>
    <w:tbl>
      <w:tblPr>
        <w:tblStyle w:val="41"/>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38" w:type="dxa"/>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 w:hRule="atLeast"/>
          <w:jc w:val="center"/>
        </w:trPr>
        <w:tc>
          <w:tcPr>
            <w:tcW w:w="9138" w:type="dxa"/>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shd w:val="clear" w:color="auto" w:fill="FFFFFF"/>
              </w:rPr>
            </w:pPr>
            <w:r>
              <w:rPr>
                <w:rFonts w:hint="eastAsia" w:ascii="宋体" w:hAnsi="宋体" w:cs="宋体"/>
                <w:szCs w:val="21"/>
              </w:rPr>
              <w:t>信誉良好：在国家企业信用信息公示系统（http://www.gsxt.gov.cn/）中未被列入严重违法失信企业名单（黑名单）信息；在“信用中国”网站（http://www.creditchina.gov.cn/）中未被列入失信惩戒执行人名单。</w:t>
            </w:r>
          </w:p>
        </w:tc>
      </w:tr>
    </w:tbl>
    <w:p>
      <w:pPr>
        <w:pStyle w:val="27"/>
        <w:ind w:firstLine="420" w:firstLineChars="200"/>
        <w:rPr>
          <w:rFonts w:ascii="Times New Roman" w:hAnsi="宋体"/>
          <w:sz w:val="21"/>
          <w:szCs w:val="21"/>
        </w:rPr>
      </w:pPr>
      <w:bookmarkStart w:id="741" w:name="_Toc387234996"/>
      <w:bookmarkStart w:id="742" w:name="_Toc388534043"/>
      <w:r>
        <w:rPr>
          <w:rFonts w:hint="eastAsia" w:ascii="宋体" w:hAnsi="宋体" w:eastAsia="宋体" w:cs="宋体"/>
          <w:b w:val="0"/>
          <w:bCs w:val="0"/>
          <w:caps w:val="0"/>
          <w:kern w:val="2"/>
          <w:sz w:val="21"/>
          <w:szCs w:val="21"/>
          <w:highlight w:val="none"/>
          <w:lang w:val="en-US" w:eastAsia="zh-CN" w:bidi="ar-SA"/>
        </w:rPr>
        <w:t>注：须提供信誉网站查询结果截图,并加盖单位鲜公章</w:t>
      </w:r>
      <w:r>
        <w:rPr>
          <w:rFonts w:hint="eastAsia" w:ascii="Times New Roman" w:hAnsi="宋体"/>
          <w:sz w:val="21"/>
          <w:szCs w:val="21"/>
        </w:rPr>
        <w:t>。</w:t>
      </w:r>
    </w:p>
    <w:p>
      <w:pPr>
        <w:pStyle w:val="27"/>
      </w:pPr>
    </w:p>
    <w:p>
      <w:pPr>
        <w:pStyle w:val="4"/>
        <w:jc w:val="center"/>
        <w:rPr>
          <w:rFonts w:ascii="宋体" w:hAnsi="宋体" w:eastAsia="宋体" w:cs="宋体"/>
          <w:bCs w:val="0"/>
          <w:sz w:val="28"/>
          <w:szCs w:val="28"/>
        </w:rPr>
      </w:pPr>
      <w:bookmarkStart w:id="743" w:name="_Toc17384"/>
      <w:bookmarkStart w:id="744" w:name="_Toc26246"/>
      <w:bookmarkStart w:id="745" w:name="_Toc17216"/>
      <w:bookmarkStart w:id="746" w:name="_Toc6096"/>
      <w:bookmarkStart w:id="747" w:name="_Toc4169"/>
      <w:r>
        <w:rPr>
          <w:rFonts w:hint="eastAsia" w:ascii="宋体" w:hAnsi="宋体" w:eastAsia="宋体" w:cs="宋体"/>
          <w:bCs w:val="0"/>
          <w:sz w:val="28"/>
          <w:szCs w:val="28"/>
        </w:rPr>
        <w:t>附录6 资格审查文件（</w:t>
      </w:r>
      <w:r>
        <w:rPr>
          <w:rFonts w:hint="eastAsia" w:ascii="宋体" w:hAnsi="宋体" w:eastAsia="宋体" w:cs="宋体"/>
          <w:bCs w:val="0"/>
          <w:sz w:val="28"/>
          <w:szCs w:val="28"/>
          <w:lang w:val="en-US" w:eastAsia="zh-CN"/>
        </w:rPr>
        <w:t>其他</w:t>
      </w:r>
      <w:r>
        <w:rPr>
          <w:rFonts w:hint="eastAsia" w:ascii="宋体" w:hAnsi="宋体" w:eastAsia="宋体" w:cs="宋体"/>
          <w:bCs w:val="0"/>
          <w:sz w:val="28"/>
          <w:szCs w:val="28"/>
        </w:rPr>
        <w:t>）</w:t>
      </w:r>
      <w:bookmarkEnd w:id="743"/>
      <w:bookmarkEnd w:id="744"/>
      <w:bookmarkEnd w:id="745"/>
      <w:bookmarkEnd w:id="746"/>
      <w:bookmarkEnd w:id="747"/>
    </w:p>
    <w:tbl>
      <w:tblPr>
        <w:tblStyle w:val="41"/>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25"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lang w:eastAsia="zh-CN"/>
              </w:rPr>
            </w:pPr>
            <w:r>
              <w:rPr>
                <w:rFonts w:hint="eastAsia" w:ascii="宋体" w:hAnsi="宋体" w:cs="宋体"/>
                <w:szCs w:val="21"/>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625" w:type="dxa"/>
          </w:tcPr>
          <w:p>
            <w:pPr>
              <w:keepNext w:val="0"/>
              <w:keepLines w:val="0"/>
              <w:suppressLineNumbers w:val="0"/>
              <w:spacing w:before="0" w:beforeAutospacing="0" w:after="0" w:afterAutospacing="0"/>
              <w:ind w:left="0" w:right="0" w:firstLine="420" w:firstLineChars="200"/>
              <w:rPr>
                <w:rFonts w:hint="default"/>
              </w:rPr>
            </w:pPr>
            <w:r>
              <w:rPr>
                <w:rFonts w:hint="eastAsia" w:ascii="宋体" w:hAnsi="宋体" w:cs="宋体"/>
                <w:caps/>
                <w:szCs w:val="21"/>
              </w:rPr>
              <w:t xml:space="preserve">无。 </w:t>
            </w:r>
          </w:p>
        </w:tc>
      </w:tr>
    </w:tbl>
    <w:p>
      <w:pPr>
        <w:spacing w:line="400" w:lineRule="exact"/>
        <w:ind w:firstLine="420"/>
        <w:rPr>
          <w:rFonts w:ascii="宋体" w:hAnsi="宋体" w:cs="宋体"/>
          <w:kern w:val="0"/>
          <w:szCs w:val="21"/>
        </w:rPr>
      </w:pPr>
    </w:p>
    <w:p>
      <w:pPr>
        <w:pStyle w:val="50"/>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以上（附录1-附录6中的资格审查）的要求均为强制性条件，其中任何一条不满足要求，则按否决报价处理。</w:t>
      </w:r>
    </w:p>
    <w:p>
      <w:pPr>
        <w:pStyle w:val="50"/>
        <w:adjustRightInd/>
        <w:spacing w:line="360" w:lineRule="auto"/>
        <w:jc w:val="both"/>
        <w:rPr>
          <w:rFonts w:hAnsi="宋体"/>
          <w:bCs/>
          <w:color w:val="auto"/>
          <w:sz w:val="21"/>
          <w:szCs w:val="21"/>
        </w:rPr>
      </w:pPr>
    </w:p>
    <w:p>
      <w:pPr>
        <w:pStyle w:val="50"/>
        <w:adjustRightInd/>
        <w:spacing w:line="360" w:lineRule="auto"/>
        <w:jc w:val="both"/>
        <w:rPr>
          <w:rFonts w:hAnsi="宋体"/>
          <w:bCs/>
          <w:color w:val="auto"/>
          <w:sz w:val="21"/>
          <w:szCs w:val="21"/>
        </w:rPr>
      </w:pPr>
    </w:p>
    <w:bookmarkEnd w:id="741"/>
    <w:bookmarkEnd w:id="742"/>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pStyle w:val="3"/>
        <w:numPr>
          <w:ilvl w:val="0"/>
          <w:numId w:val="4"/>
        </w:numPr>
        <w:spacing w:before="0" w:after="0" w:line="360" w:lineRule="auto"/>
        <w:jc w:val="center"/>
        <w:rPr>
          <w:rFonts w:ascii="宋体" w:hAnsi="宋体" w:cs="宋体"/>
        </w:rPr>
      </w:pPr>
      <w:bookmarkStart w:id="748" w:name="_Toc2000406"/>
      <w:bookmarkStart w:id="749" w:name="_Toc247085745"/>
      <w:bookmarkStart w:id="750" w:name="_Toc144974554"/>
      <w:bookmarkStart w:id="751" w:name="_Toc9135"/>
      <w:bookmarkStart w:id="752" w:name="_Toc179632605"/>
      <w:bookmarkStart w:id="753" w:name="_Toc246996230"/>
      <w:bookmarkStart w:id="754" w:name="_Toc152042364"/>
      <w:bookmarkStart w:id="755" w:name="_Toc246996973"/>
      <w:bookmarkStart w:id="756" w:name="_Toc507319957"/>
      <w:bookmarkStart w:id="757" w:name="_Toc7682"/>
      <w:bookmarkStart w:id="758" w:name="_Toc152045587"/>
      <w:r>
        <w:rPr>
          <w:rFonts w:hint="eastAsia" w:ascii="宋体" w:hAnsi="宋体" w:cs="宋体"/>
        </w:rPr>
        <w:t>评标办法（综合评估法）</w:t>
      </w:r>
      <w:bookmarkEnd w:id="748"/>
      <w:bookmarkEnd w:id="749"/>
      <w:bookmarkEnd w:id="750"/>
      <w:bookmarkEnd w:id="751"/>
      <w:bookmarkEnd w:id="752"/>
      <w:bookmarkEnd w:id="753"/>
      <w:bookmarkEnd w:id="754"/>
      <w:bookmarkEnd w:id="755"/>
      <w:bookmarkEnd w:id="756"/>
      <w:bookmarkEnd w:id="757"/>
      <w:bookmarkEnd w:id="758"/>
    </w:p>
    <w:p/>
    <w:tbl>
      <w:tblPr>
        <w:tblStyle w:val="41"/>
        <w:tblW w:w="94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7"/>
        <w:gridCol w:w="715"/>
        <w:gridCol w:w="805"/>
        <w:gridCol w:w="2129"/>
        <w:gridCol w:w="4027"/>
        <w:gridCol w:w="1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blHeader/>
          <w:jc w:val="center"/>
        </w:trPr>
        <w:tc>
          <w:tcPr>
            <w:tcW w:w="2247" w:type="dxa"/>
            <w:gridSpan w:val="3"/>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条款号</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评审因素</w:t>
            </w:r>
          </w:p>
        </w:tc>
        <w:tc>
          <w:tcPr>
            <w:tcW w:w="5048"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7"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520"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评标方法</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中标候选人排序方法</w:t>
            </w:r>
          </w:p>
        </w:tc>
        <w:tc>
          <w:tcPr>
            <w:tcW w:w="5048" w:type="dxa"/>
            <w:gridSpan w:val="2"/>
            <w:tcBorders>
              <w:top w:val="single" w:color="auto" w:sz="4" w:space="0"/>
              <w:left w:val="single" w:color="auto" w:sz="4" w:space="0"/>
              <w:bottom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报价人得分=A+B+C，对通过初步评审的报价人按照投标总得分（商务+技术+报价）由从高到低的先后顺序。如出现得分(精确到小数点后两位)相等时，按以下原则确定第一中标候选人：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（1）以评标价低的报价人优先；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（2）如评标价也相同时，以技术得分较高的报价人优先；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（3）如技术得分也相同时，以商务得分高的优先；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（4）如商务得分也相同时，由评标委员会投票决定。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520"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形式评审标准</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报价人名称</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报价函签字盖章</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竞争性比选响应文件格式</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符合第九章“竞争性比选响应文件格式”的要求，字迹清晰可辨。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1.报价函的所有数据均符合比选文件的规定；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已标价工程量清单</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报价其它要求</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27"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竞争性比选响应文件正本中法定代表人或其授权代理人签署</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8" w:hRule="atLeast"/>
          <w:jc w:val="center"/>
        </w:trPr>
        <w:tc>
          <w:tcPr>
            <w:tcW w:w="727"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其它材料</w:t>
            </w:r>
          </w:p>
        </w:tc>
        <w:tc>
          <w:tcPr>
            <w:tcW w:w="5048" w:type="dxa"/>
            <w:gridSpan w:val="2"/>
            <w:tcBorders>
              <w:top w:val="single" w:color="auto" w:sz="4" w:space="0"/>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52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资格评审标准</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营业执照</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符合第二章“报价人须知”第11项规定，具备有效的营业执照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5"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资质要求</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财务要求</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业绩要求</w:t>
            </w:r>
          </w:p>
        </w:tc>
        <w:tc>
          <w:tcPr>
            <w:tcW w:w="5048" w:type="dxa"/>
            <w:gridSpan w:val="2"/>
            <w:tcBorders>
              <w:top w:val="single" w:color="auto" w:sz="4" w:space="0"/>
              <w:left w:val="single" w:color="auto" w:sz="4" w:space="0"/>
              <w:bottom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信誉要求</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项目主要管理人员最低要求</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1"/>
                <w:sz w:val="21"/>
                <w:szCs w:val="21"/>
                <w:lang w:val="en-US" w:eastAsia="zh-CN"/>
              </w:rPr>
              <w:t>其他</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jc w:val="center"/>
        </w:trPr>
        <w:tc>
          <w:tcPr>
            <w:tcW w:w="727"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52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响应性评审标准</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投标内容</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27"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3"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工期</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2"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质量标准</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符合第二章“报价人须知”第9项规定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152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安全目标</w:t>
            </w:r>
          </w:p>
        </w:tc>
        <w:tc>
          <w:tcPr>
            <w:tcW w:w="5048" w:type="dxa"/>
            <w:gridSpan w:val="2"/>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符合第二章“报价人须知”第10项规定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1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分值构成</w:t>
            </w:r>
          </w:p>
          <w:p>
            <w:pPr>
              <w:keepNext w:val="0"/>
              <w:keepLines w:val="0"/>
              <w:suppressLineNumbers w:val="0"/>
              <w:tabs>
                <w:tab w:val="left" w:pos="1875"/>
              </w:tabs>
              <w:spacing w:before="0" w:beforeAutospacing="0" w:after="0" w:afterAutospacing="0" w:line="400" w:lineRule="exact"/>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(总分1O0分)</w:t>
            </w:r>
          </w:p>
        </w:tc>
        <w:tc>
          <w:tcPr>
            <w:tcW w:w="7177" w:type="dxa"/>
            <w:gridSpan w:val="3"/>
            <w:tcBorders>
              <w:top w:val="single" w:color="auto" w:sz="4" w:space="0"/>
              <w:left w:val="single" w:color="auto" w:sz="4" w:space="0"/>
              <w:bottom w:val="single" w:color="auto" w:sz="4"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A：投标报价50分；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B：商务部分</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42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C：技术部分</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42" w:hRule="atLeast"/>
          <w:jc w:val="center"/>
        </w:trPr>
        <w:tc>
          <w:tcPr>
            <w:tcW w:w="727"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6</w:t>
            </w:r>
          </w:p>
        </w:tc>
        <w:tc>
          <w:tcPr>
            <w:tcW w:w="1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bidi="ar"/>
              </w:rPr>
              <w:t>评标基准价计算方法</w:t>
            </w:r>
          </w:p>
        </w:tc>
        <w:tc>
          <w:tcPr>
            <w:tcW w:w="7177" w:type="dxa"/>
            <w:gridSpan w:val="3"/>
            <w:tcBorders>
              <w:top w:val="single" w:color="auto" w:sz="4" w:space="0"/>
              <w:left w:val="single" w:color="auto" w:sz="4" w:space="0"/>
              <w:bottom w:val="single" w:color="auto"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由评标委员会计算评标基准价：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（1）评标价的确定：评标价＝投标函文字报价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（2）评标基准价的确定：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在通过初步评审后且不高于最高限价的投标报价中去掉六分之一（不能整除的按小数前整数取整，不足六家报价则不去掉）的最低价和相同家数的最高价后的算术平均值K1即为评标基准价。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评标基准价=K1</w:t>
            </w:r>
          </w:p>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0" w:firstLineChars="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27"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7</w:t>
            </w:r>
          </w:p>
        </w:tc>
        <w:tc>
          <w:tcPr>
            <w:tcW w:w="1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2"/>
                <w:sz w:val="21"/>
                <w:szCs w:val="21"/>
                <w:lang w:val="en-US" w:eastAsia="zh-CN" w:bidi="ar"/>
              </w:rPr>
              <w:t>评标价的偏差率计算公式</w:t>
            </w:r>
          </w:p>
        </w:tc>
        <w:tc>
          <w:tcPr>
            <w:tcW w:w="7177"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2"/>
                <w:sz w:val="21"/>
                <w:szCs w:val="21"/>
                <w:lang w:val="en-US" w:eastAsia="zh-CN" w:bidi="ar"/>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0" w:hRule="atLeast"/>
          <w:jc w:val="center"/>
        </w:trPr>
        <w:tc>
          <w:tcPr>
            <w:tcW w:w="727"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2"/>
                <w:sz w:val="21"/>
                <w:szCs w:val="21"/>
                <w:lang w:val="en-US" w:eastAsia="zh-CN" w:bidi="ar"/>
              </w:rPr>
              <w:t>条款号</w:t>
            </w:r>
          </w:p>
        </w:tc>
        <w:tc>
          <w:tcPr>
            <w:tcW w:w="15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kern w:val="2"/>
                <w:sz w:val="21"/>
                <w:szCs w:val="21"/>
                <w:lang w:val="en-US" w:eastAsia="zh-CN" w:bidi="ar"/>
              </w:rPr>
              <w:t>评分因素权重分值</w:t>
            </w:r>
          </w:p>
        </w:tc>
        <w:tc>
          <w:tcPr>
            <w:tcW w:w="6156" w:type="dxa"/>
            <w:gridSpan w:val="2"/>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2"/>
                <w:sz w:val="21"/>
                <w:szCs w:val="21"/>
                <w:lang w:val="en-US" w:eastAsia="zh-CN" w:bidi="ar"/>
              </w:rPr>
              <w:t>各评分因素细分项</w:t>
            </w:r>
          </w:p>
        </w:tc>
        <w:tc>
          <w:tcPr>
            <w:tcW w:w="1021" w:type="dxa"/>
            <w:tcBorders>
              <w:top w:val="single" w:color="auto" w:sz="4" w:space="0"/>
              <w:left w:val="single" w:color="auto" w:sz="4" w:space="0"/>
              <w:bottom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restart"/>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8</w:t>
            </w:r>
          </w:p>
        </w:tc>
        <w:tc>
          <w:tcPr>
            <w:tcW w:w="71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highlight w:val="none"/>
                <w:lang w:val="en-US" w:eastAsia="zh-CN" w:bidi="ar"/>
              </w:rPr>
              <w:t>商务评分标准（10分）</w:t>
            </w: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napToGrid w:val="0"/>
              <w:spacing w:before="0" w:beforeAutospacing="0" w:after="0" w:afterAutospacing="0" w:line="360" w:lineRule="exact"/>
              <w:ind w:left="0" w:right="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sz w:val="21"/>
                <w:szCs w:val="21"/>
              </w:rPr>
              <w:t>项目团队</w:t>
            </w:r>
            <w:r>
              <w:rPr>
                <w:rFonts w:hint="eastAsia" w:asciiTheme="minorEastAsia" w:hAnsiTheme="minorEastAsia" w:eastAsiaTheme="minorEastAsia" w:cstheme="minorEastAsia"/>
                <w:sz w:val="21"/>
                <w:szCs w:val="21"/>
                <w:shd w:val="clear" w:color="FFFFFF" w:fill="auto"/>
              </w:rPr>
              <w:t>（6分）</w:t>
            </w:r>
          </w:p>
        </w:tc>
        <w:tc>
          <w:tcPr>
            <w:tcW w:w="6156" w:type="dxa"/>
            <w:gridSpan w:val="2"/>
            <w:tcBorders>
              <w:top w:val="single" w:color="auto" w:sz="4" w:space="0"/>
              <w:left w:val="single" w:color="auto" w:sz="4" w:space="0"/>
              <w:bottom w:val="single" w:color="auto" w:sz="4" w:space="0"/>
            </w:tcBorders>
            <w:vAlign w:val="center"/>
          </w:tcPr>
          <w:p>
            <w:pPr>
              <w:pStyle w:val="40"/>
              <w:keepNext w:val="0"/>
              <w:keepLines w:val="0"/>
              <w:pageBreakBefore w:val="0"/>
              <w:suppressLineNumbers w:val="0"/>
              <w:kinsoku/>
              <w:wordWrap/>
              <w:overflowPunct/>
              <w:topLinePunct w:val="0"/>
              <w:autoSpaceDE/>
              <w:autoSpaceDN/>
              <w:bidi w:val="0"/>
              <w:snapToGrid/>
              <w:spacing w:before="0" w:beforeAutospacing="0" w:after="0" w:afterAutospacing="0" w:line="360" w:lineRule="exact"/>
              <w:ind w:left="0" w:leftChars="0" w:right="0"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项目团队具有一个信息系统项目管理师或系统分析师证书的技术人员得2分，满分6分。</w:t>
            </w:r>
          </w:p>
          <w:p>
            <w:pPr>
              <w:pStyle w:val="166"/>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exact"/>
              <w:ind w:left="0" w:leftChars="0" w:right="0" w:firstLine="420" w:firstLineChars="200"/>
              <w:jc w:val="left"/>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sz w:val="21"/>
                <w:szCs w:val="21"/>
              </w:rPr>
              <w:t>注：</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项目团队可以由报价人或外场普通高速路段数字孪生系统供应商人员共同组成。</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提供以上证书复印件或扫描件。</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系统分析师证书及信息系统项目管理师证书发证机关为中华人民共和国人力资源和社会保障部和中华人民共和国工业和信息化部或省级（或直辖市）专业技术评审委员会。</w:t>
            </w:r>
          </w:p>
        </w:tc>
        <w:tc>
          <w:tcPr>
            <w:tcW w:w="1021" w:type="dxa"/>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p>
        </w:tc>
        <w:tc>
          <w:tcPr>
            <w:tcW w:w="71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asciiTheme="minorEastAsia" w:hAnsiTheme="minorEastAsia" w:eastAsiaTheme="minorEastAsia" w:cstheme="minorEastAsia"/>
                <w:b w:val="0"/>
                <w:bCs/>
                <w:kern w:val="2"/>
                <w:sz w:val="21"/>
                <w:szCs w:val="21"/>
                <w:lang w:val="en-US" w:eastAsia="zh-CN" w:bidi="ar"/>
              </w:rPr>
            </w:pP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sz w:val="21"/>
                <w:szCs w:val="21"/>
              </w:rPr>
              <w:t>报价人业绩（4分）</w:t>
            </w:r>
          </w:p>
        </w:tc>
        <w:tc>
          <w:tcPr>
            <w:tcW w:w="6156" w:type="dxa"/>
            <w:gridSpan w:val="2"/>
            <w:tcBorders>
              <w:top w:val="single" w:color="auto" w:sz="4" w:space="0"/>
              <w:left w:val="single" w:color="auto" w:sz="4" w:space="0"/>
              <w:bottom w:val="single" w:color="auto" w:sz="4" w:space="0"/>
            </w:tcBorders>
            <w:vAlign w:val="center"/>
          </w:tcPr>
          <w:p>
            <w:pPr>
              <w:pStyle w:val="166"/>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firstLine="44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 2020年1月1日至报价截止日（以合同签订时间为准）报价人或外场普通高速路段数字孪生系统供应商提供一个车路协同、数字孪生或智慧高速项目业绩得2分，满分4分。 </w:t>
            </w:r>
          </w:p>
          <w:p>
            <w:pPr>
              <w:pStyle w:val="166"/>
              <w:keepNext w:val="0"/>
              <w:keepLines w:val="0"/>
              <w:pageBreakBefore w:val="0"/>
              <w:widowControl/>
              <w:suppressLineNumbers w:val="0"/>
              <w:kinsoku/>
              <w:wordWrap/>
              <w:overflowPunct/>
              <w:topLinePunct w:val="0"/>
              <w:autoSpaceDE/>
              <w:autoSpaceDN/>
              <w:bidi w:val="0"/>
              <w:adjustRightInd/>
              <w:spacing w:before="0" w:beforeAutospacing="0" w:after="0" w:afterAutospacing="0" w:line="360" w:lineRule="exact"/>
              <w:ind w:left="0" w:right="0" w:firstLine="420" w:firstLineChars="200"/>
              <w:jc w:val="left"/>
              <w:textAlignment w:val="auto"/>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sz w:val="21"/>
                <w:szCs w:val="21"/>
              </w:rPr>
              <w:t>注：提供合同（合同需清晰反映上述业绩要求的主要内容，包括但不限于合同签订时间、合同金额及工作内容）复印件或扫描件。若合同中无法体现上述内容的，则还需提供业主出具的业绩证明材料（加盖业主单位鲜公章）。</w:t>
            </w:r>
          </w:p>
        </w:tc>
        <w:tc>
          <w:tcPr>
            <w:tcW w:w="1021" w:type="dxa"/>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4" w:hRule="atLeast"/>
          <w:jc w:val="center"/>
        </w:trPr>
        <w:tc>
          <w:tcPr>
            <w:tcW w:w="727" w:type="dxa"/>
            <w:vMerge w:val="restart"/>
            <w:tcBorders>
              <w:top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9</w:t>
            </w:r>
          </w:p>
        </w:tc>
        <w:tc>
          <w:tcPr>
            <w:tcW w:w="7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技术评分标准（40分）</w:t>
            </w: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乙供设备品质（6）</w:t>
            </w:r>
          </w:p>
        </w:tc>
        <w:tc>
          <w:tcPr>
            <w:tcW w:w="6156" w:type="dxa"/>
            <w:gridSpan w:val="2"/>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1.所投边缘计算单元 MEC、毫米波雷达、车路视频感知、黑光球机设备品牌为市场主流品牌得4~3.2分；所投激光雷达、毫米波雷达、车路视频感知设备、黑光球机设备品牌为其他满足技术参数要求的品牌得3.2~2.4分；不满足要求得0分；满分4分。</w:t>
            </w:r>
          </w:p>
          <w:p>
            <w:pPr>
              <w:pStyle w:val="166"/>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所投摄像机、NVR、收费门架RSU天线及激光车检器设备品牌为路网常用运行可靠的设备品牌或同档次品牌的得2~1.6分；所投车牌识别摄像机、收费门架RSU天线及激光车检器设备非路网常用运行可靠品牌但满足技术参数要求的得1.6~1.2分；不满足要求的得0分；满分2分。</w:t>
            </w:r>
          </w:p>
          <w:p>
            <w:pPr>
              <w:pStyle w:val="166"/>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 xml:space="preserve"> 注：（1）所投设备需保证在合同工期内接入路网现有的系统；（2）所投设备需通过业主联合设计审查后方可实施（3）如果所投设备不是路网运行可靠品牌型号的，需要在5个工作日内通过测试，否则需无条件换成路网运行可靠的设备品牌型号。 </w:t>
            </w:r>
          </w:p>
        </w:tc>
        <w:tc>
          <w:tcPr>
            <w:tcW w:w="1021" w:type="dxa"/>
            <w:vMerge w:val="restart"/>
            <w:tcBorders>
              <w:top w:val="single" w:color="auto" w:sz="4" w:space="0"/>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lang w:val="en-US" w:eastAsia="zh-CN" w:bidi="ar"/>
              </w:rPr>
              <w:t>技术得分由评标委员会各成员打分后的算术平均值作为投标人的技术得分。评标委员打分时保留两位小数。</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p>
        </w:tc>
        <w:tc>
          <w:tcPr>
            <w:tcW w:w="71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asciiTheme="minorEastAsia" w:hAnsiTheme="minorEastAsia" w:eastAsiaTheme="minorEastAsia" w:cstheme="minorEastAsia"/>
                <w:b w:val="0"/>
                <w:bCs/>
                <w:kern w:val="2"/>
                <w:sz w:val="21"/>
                <w:szCs w:val="21"/>
                <w:lang w:val="en-US" w:eastAsia="zh-CN" w:bidi="ar"/>
              </w:rPr>
            </w:pP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技术认证、知识产权及核心产品指标</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Theme="minorEastAsia" w:hAnsiTheme="minorEastAsia" w:eastAsiaTheme="minorEastAsia" w:cstheme="minorEastAsia"/>
                <w:b/>
                <w:kern w:val="2"/>
                <w:sz w:val="21"/>
                <w:szCs w:val="21"/>
                <w:highlight w:val="none"/>
                <w:lang w:val="en-US" w:eastAsia="zh-CN" w:bidi="ar"/>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分）</w:t>
            </w:r>
          </w:p>
        </w:tc>
        <w:tc>
          <w:tcPr>
            <w:tcW w:w="6156" w:type="dxa"/>
            <w:gridSpan w:val="2"/>
            <w:tcBorders>
              <w:top w:val="single" w:color="auto" w:sz="4" w:space="0"/>
              <w:left w:val="single" w:color="auto" w:sz="4" w:space="0"/>
              <w:bottom w:val="single" w:color="auto" w:sz="4" w:space="0"/>
            </w:tcBorders>
            <w:vAlign w:val="center"/>
          </w:tcPr>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.报价人或外场普通高速路段数字孪生系统供应商每提供有一个“融合感知”或“多源融合”</w:t>
            </w:r>
            <w:r>
              <w:rPr>
                <w:rFonts w:hint="eastAsia" w:asciiTheme="minorEastAsia" w:hAnsiTheme="minorEastAsia" w:eastAsiaTheme="minorEastAsia" w:cstheme="minorEastAsia"/>
                <w:sz w:val="21"/>
                <w:szCs w:val="21"/>
                <w:lang w:val="en-US" w:eastAsia="zh-CN"/>
              </w:rPr>
              <w:t>或</w:t>
            </w:r>
            <w:r>
              <w:rPr>
                <w:rFonts w:hint="eastAsia" w:asciiTheme="minorEastAsia" w:hAnsiTheme="minorEastAsia" w:eastAsiaTheme="minorEastAsia" w:cstheme="minorEastAsia"/>
                <w:sz w:val="21"/>
                <w:szCs w:val="21"/>
              </w:rPr>
              <w:t>“高精度地图”或“地理信息”或“数字孪生”或“云控平台”相关软件著作权的得1分，满分</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p>
          <w:p>
            <w:pPr>
              <w:pStyle w:val="166"/>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工程量清单中的毫米波雷达：具备检测器检测区域可达700米，能同时检测10个车道；检测器检测交通目标，支持雷达坐标系坐标与大地坐标系坐标之间的转换，支持全球坐标（GPS的位置参数导入），得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不满足</w:t>
            </w:r>
            <w:r>
              <w:rPr>
                <w:rFonts w:hint="eastAsia" w:asciiTheme="minorEastAsia" w:hAnsiTheme="minorEastAsia" w:eastAsiaTheme="minorEastAsia" w:cstheme="minorEastAsia"/>
                <w:sz w:val="21"/>
                <w:szCs w:val="21"/>
                <w:lang w:val="en-US" w:eastAsia="zh-CN"/>
              </w:rPr>
              <w:t>得0分</w:t>
            </w:r>
            <w:r>
              <w:rPr>
                <w:rFonts w:hint="eastAsia" w:asciiTheme="minorEastAsia" w:hAnsiTheme="minorEastAsia" w:eastAsiaTheme="minorEastAsia" w:cstheme="minorEastAsia"/>
                <w:sz w:val="21"/>
                <w:szCs w:val="21"/>
              </w:rPr>
              <w:t>；设备可输出目标GPS信息，目标航向角，目标速度（速度、加速度），目标属性（长度、宽度、类型），目标RCS值和目标置信度，定位精度半径0.2米</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不满足</w:t>
            </w:r>
            <w:r>
              <w:rPr>
                <w:rFonts w:hint="eastAsia" w:asciiTheme="minorEastAsia" w:hAnsiTheme="minorEastAsia" w:eastAsiaTheme="minorEastAsia" w:cstheme="minorEastAsia"/>
                <w:sz w:val="21"/>
                <w:szCs w:val="21"/>
                <w:lang w:val="en-US" w:eastAsia="zh-CN"/>
              </w:rPr>
              <w:t>得0分，满分2分。</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sz w:val="21"/>
                <w:szCs w:val="21"/>
              </w:rPr>
              <w:t>注：</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提供证书复印件并加盖公章。</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须提供第三方检测机构出具的检测报告复印件加盖制造商公章作为证明材料</w:t>
            </w:r>
            <w:r>
              <w:rPr>
                <w:rFonts w:hint="eastAsia" w:asciiTheme="minorEastAsia" w:hAnsiTheme="minorEastAsia" w:eastAsiaTheme="minorEastAsia" w:cstheme="minorEastAsia"/>
                <w:sz w:val="21"/>
                <w:szCs w:val="21"/>
                <w:lang w:eastAsia="zh-CN"/>
              </w:rPr>
              <w:t>。</w:t>
            </w:r>
          </w:p>
        </w:tc>
        <w:tc>
          <w:tcPr>
            <w:tcW w:w="1021" w:type="dxa"/>
            <w:vMerge w:val="continue"/>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715" w:type="dxa"/>
            <w:vMerge w:val="continue"/>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asciiTheme="minorEastAsia" w:hAnsiTheme="minorEastAsia" w:eastAsiaTheme="minorEastAsia" w:cstheme="minorEastAsia"/>
                <w:b/>
                <w:kern w:val="2"/>
                <w:sz w:val="21"/>
                <w:szCs w:val="21"/>
                <w:lang w:val="en-US" w:eastAsia="zh-CN" w:bidi="ar"/>
              </w:rPr>
            </w:pP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技术方案（</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分）</w:t>
            </w:r>
          </w:p>
        </w:tc>
        <w:tc>
          <w:tcPr>
            <w:tcW w:w="6156" w:type="dxa"/>
            <w:gridSpan w:val="2"/>
            <w:tcBorders>
              <w:top w:val="single" w:color="auto" w:sz="4" w:space="0"/>
              <w:left w:val="single" w:color="auto" w:sz="4" w:space="0"/>
              <w:bottom w:val="single" w:color="auto" w:sz="4" w:space="0"/>
            </w:tcBorders>
            <w:vAlign w:val="top"/>
          </w:tcPr>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报价人或</w:t>
            </w:r>
            <w:r>
              <w:rPr>
                <w:rFonts w:hint="eastAsia" w:asciiTheme="minorEastAsia" w:hAnsiTheme="minorEastAsia" w:eastAsiaTheme="minorEastAsia" w:cstheme="minorEastAsia"/>
                <w:sz w:val="21"/>
                <w:szCs w:val="21"/>
                <w:lang w:val="en-US" w:eastAsia="zh-CN"/>
              </w:rPr>
              <w:t>外场普通高速路段</w:t>
            </w:r>
            <w:r>
              <w:rPr>
                <w:rFonts w:hint="eastAsia" w:asciiTheme="minorEastAsia" w:hAnsiTheme="minorEastAsia" w:eastAsiaTheme="minorEastAsia" w:cstheme="minorEastAsia"/>
                <w:sz w:val="21"/>
                <w:szCs w:val="21"/>
              </w:rPr>
              <w:t>供应商所提供的技术方案应当从需求理解、技术内容、功能应用理解、目标理解、可拓展性等方面进行阐述，评委根据技术方案进行综合评审。</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技术方案内容应包括：</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总体系统设计（2分）</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系统总体设计包含对项目需求的理解，系统架构描述，系统实现的技术路线与实现方式（数据融合的方式或基本算法描述），主要功能逻辑以及展示效果等。内容齐全，结构完整，项目理解描述清晰准确，技术路线具有先进性，系统可扩展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分；内容较齐全，结构完整，项目理解描述基本准确，得</w:t>
            </w: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分；内容较齐全，结构完整，得1.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~0分</w:t>
            </w:r>
            <w:r>
              <w:rPr>
                <w:rFonts w:hint="eastAsia" w:asciiTheme="minorEastAsia" w:hAnsiTheme="minorEastAsia" w:eastAsiaTheme="minorEastAsia" w:cstheme="minorEastAsia"/>
                <w:sz w:val="21"/>
                <w:szCs w:val="21"/>
                <w:lang w:eastAsia="zh-CN"/>
              </w:rPr>
              <w:t>。</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软件部署与功能实现（2分）</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软件部署与功能实现方案包含软件架构，系统需求描述，软件实现的技术路线，数据流向描述以及与上层云控平台对接得基本方式等。内容齐全，结构完整，数据流向描述清晰准确，软件架构具有先进性，系统可扩展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分；内容较齐全，结构完整，项目理解描述基本准确，得</w:t>
            </w: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分；内容较齐全，结构完整，得1.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~0分</w:t>
            </w:r>
            <w:r>
              <w:rPr>
                <w:rFonts w:hint="eastAsia" w:asciiTheme="minorEastAsia" w:hAnsiTheme="minorEastAsia" w:eastAsiaTheme="minorEastAsia" w:cstheme="minorEastAsia"/>
                <w:sz w:val="21"/>
                <w:szCs w:val="21"/>
                <w:lang w:eastAsia="zh-CN"/>
              </w:rPr>
              <w:t>。</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设备安装与调试（2分）</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rPr>
              <w:t>设备安装与调试方案包含数字孪生系统外场设备部署方案，含系统组网方案，设备间连接方案，供电方案，设备安装方案等。具备拓扑与设备安装点位描述清晰，外场工况描述准确，系统功能齐全，技术方案具有先进性，系统可扩展得2~1.6分；内容较齐全，结构完整，项目理解描述基本准确，得1.6~1.2分；内容较齐全，结构完整，得1.2~0分</w:t>
            </w:r>
            <w:r>
              <w:rPr>
                <w:rFonts w:hint="eastAsia" w:asciiTheme="minorEastAsia" w:hAnsiTheme="minorEastAsia" w:eastAsiaTheme="minorEastAsia" w:cstheme="minorEastAsia"/>
                <w:sz w:val="21"/>
                <w:szCs w:val="21"/>
                <w:lang w:eastAsia="zh-CN"/>
              </w:rPr>
              <w:t>。</w:t>
            </w:r>
          </w:p>
        </w:tc>
        <w:tc>
          <w:tcPr>
            <w:tcW w:w="1021" w:type="dxa"/>
            <w:vMerge w:val="continue"/>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vMerge w:val="continue"/>
            <w:tcBorders>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kern w:val="2"/>
                <w:sz w:val="21"/>
                <w:szCs w:val="21"/>
                <w:lang w:val="en-US" w:eastAsia="zh-CN" w:bidi="ar"/>
              </w:rPr>
            </w:pPr>
          </w:p>
        </w:tc>
        <w:tc>
          <w:tcPr>
            <w:tcW w:w="715"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asciiTheme="minorEastAsia" w:hAnsiTheme="minorEastAsia" w:eastAsiaTheme="minorEastAsia" w:cstheme="minorEastAsia"/>
                <w:b/>
                <w:kern w:val="2"/>
                <w:sz w:val="21"/>
                <w:szCs w:val="21"/>
                <w:lang w:val="en-US" w:eastAsia="zh-CN" w:bidi="ar"/>
              </w:rPr>
            </w:pPr>
          </w:p>
        </w:tc>
        <w:tc>
          <w:tcPr>
            <w:tcW w:w="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外场普通高速路段数字孪生系统DEMO现场演示及讲解</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0"/>
              <w:jc w:val="center"/>
              <w:textAlignment w:val="auto"/>
              <w:rPr>
                <w:rFonts w:hint="eastAsia" w:asciiTheme="minorEastAsia" w:hAnsiTheme="minorEastAsia" w:eastAsiaTheme="minorEastAsia" w:cstheme="minorEastAsia"/>
                <w:b/>
                <w:kern w:val="2"/>
                <w:sz w:val="21"/>
                <w:szCs w:val="21"/>
                <w:highlight w:val="none"/>
                <w:lang w:val="en-US" w:eastAsia="zh-CN" w:bidi="ar"/>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tc>
        <w:tc>
          <w:tcPr>
            <w:tcW w:w="6156" w:type="dxa"/>
            <w:gridSpan w:val="2"/>
            <w:tcBorders>
              <w:top w:val="single" w:color="auto" w:sz="4" w:space="0"/>
              <w:left w:val="single" w:color="auto" w:sz="4" w:space="0"/>
              <w:bottom w:val="single" w:color="auto" w:sz="4" w:space="0"/>
            </w:tcBorders>
            <w:vAlign w:val="center"/>
          </w:tcPr>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1、基础平台演示（</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现场演示项目对应软件的功能，包括高速公路数字孪生应用、车辆特征识别、交通事件、车辆实时追踪等。全部功能完成演示，UI设计美观，平台配置灵活、集成度高的得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~4分；UI设计不太美观，平台配置及集成度较低的得4~3分；UI设计差或功能演示不全的3~0分。</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2、数字孪生应用演示（</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现场演示项目对应软件的功能，包括路面车辆实时孪生、门架孪生、设备孪生、气候场景孪生、近景远景巡游等模式孪生等。全部功能完成演示，UI设计美观，平台配置灵活、集成度高的得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~4分；UI设计不太美观，平台配置及集成度较低的得4~</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分；UI设计差或功能演示不全的得3~0分。</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3、车辆特征识别演示（4分）</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演示项目对应软件的功能，包括车牌识别、车型识别、车辆颜色等特征识别功能。全部功能完成演示，UI设计美观，平台配置灵活、集成度高的得4~3.2分；UI设计不太美观，平台配置及集成度较低的得3.2~2.4分；UI设计差或功能演示不全的得2.4~0分。</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4、交通事件演示（4分）</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现场演示项目对应软件的功能，包括拥堵、异常停车、占用应急车道等预警功能。全部功能完成演示，UI设计美观，平台配置灵活、集成度高的得4~3.2分；UI设计不太美观，平台配置及集成度较低的得3.2~2.4分；UI设计差或功能演示不全的得2.4~0分。</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5、车辆实时追踪演示（4分）</w:t>
            </w:r>
          </w:p>
          <w:p>
            <w:pPr>
              <w:pStyle w:val="167"/>
              <w:keepNext w:val="0"/>
              <w:keepLines w:val="0"/>
              <w:pageBreakBefore w:val="0"/>
              <w:suppressLineNumbers w:val="0"/>
              <w:kinsoku/>
              <w:wordWrap/>
              <w:overflowPunct/>
              <w:topLinePunct w:val="0"/>
              <w:autoSpaceDE/>
              <w:autoSpaceDN/>
              <w:bidi w:val="0"/>
              <w:adjustRightInd/>
              <w:spacing w:before="0" w:beforeAutospacing="0" w:after="0" w:afterAutospacing="0" w:line="360" w:lineRule="exact"/>
              <w:ind w:left="0" w:right="0" w:firstLine="420" w:firstLineChars="200"/>
              <w:textAlignment w:val="auto"/>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sz w:val="21"/>
                <w:szCs w:val="21"/>
              </w:rPr>
              <w:t>现场演示项目对应软件的功能，包括输入车牌可以进行模糊查询匹配，并完成车辆连续跟踪；数字孪生画面联动球机，实现孪生大屏与球机共同完成跟踪车辆等功能。全部功能完成演示，UI设计美观，平台配置灵活、集成度高的得4~3.2分；UI设计不太美观，平台配置及集成度较低的得3.2~2.4分；UI设计差或功能演示不全的得2.4~0分。</w:t>
            </w:r>
          </w:p>
        </w:tc>
        <w:tc>
          <w:tcPr>
            <w:tcW w:w="1021" w:type="dxa"/>
            <w:vMerge w:val="continue"/>
            <w:tcBorders>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4" w:hRule="atLeast"/>
          <w:jc w:val="center"/>
        </w:trPr>
        <w:tc>
          <w:tcPr>
            <w:tcW w:w="727"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10</w:t>
            </w:r>
          </w:p>
        </w:tc>
        <w:tc>
          <w:tcPr>
            <w:tcW w:w="1520" w:type="dxa"/>
            <w:gridSpan w:val="2"/>
            <w:tcBorders>
              <w:top w:val="single" w:color="auto" w:sz="4" w:space="0"/>
              <w:left w:val="single" w:color="auto" w:sz="4" w:space="0"/>
              <w:bottom w:val="single" w:color="auto" w:sz="4" w:space="0"/>
              <w:right w:val="single" w:color="auto" w:sz="4" w:space="0"/>
            </w:tcBorders>
            <w:vAlign w:val="center"/>
          </w:tcPr>
          <w:p>
            <w:pPr>
              <w:pStyle w:val="36"/>
              <w:keepNext w:val="0"/>
              <w:keepLines w:val="0"/>
              <w:pageBreakBefore w:val="0"/>
              <w:widowControl w:val="0"/>
              <w:suppressLineNumbers w:val="0"/>
              <w:kinsoku/>
              <w:wordWrap/>
              <w:overflowPunct/>
              <w:topLinePunct w:val="0"/>
              <w:autoSpaceDE/>
              <w:autoSpaceDN/>
              <w:bidi w:val="0"/>
              <w:adjustRightInd/>
              <w:spacing w:before="0" w:beforeAutospacing="1" w:after="0" w:afterLines="0" w:afterAutospacing="0" w:line="360" w:lineRule="exact"/>
              <w:ind w:left="0" w:leftChars="0" w:right="0" w:rightChars="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kern w:val="2"/>
                <w:sz w:val="21"/>
                <w:szCs w:val="21"/>
                <w:lang w:val="en-US" w:eastAsia="zh-CN" w:bidi="ar"/>
              </w:rPr>
              <w:t>评标价（50分）</w:t>
            </w:r>
          </w:p>
        </w:tc>
        <w:tc>
          <w:tcPr>
            <w:tcW w:w="6156" w:type="dxa"/>
            <w:gridSpan w:val="2"/>
            <w:tcBorders>
              <w:top w:val="single" w:color="auto" w:sz="4" w:space="0"/>
              <w:left w:val="single" w:color="auto" w:sz="4" w:space="0"/>
              <w:bottom w:val="single" w:color="auto" w:sz="4" w:space="0"/>
            </w:tcBorders>
            <w:vAlign w:val="center"/>
          </w:tcPr>
          <w:p>
            <w:pPr>
              <w:pStyle w:val="36"/>
              <w:keepNext w:val="0"/>
              <w:keepLines w:val="0"/>
              <w:pageBreakBefore w:val="0"/>
              <w:widowControl w:val="0"/>
              <w:suppressLineNumbers w:val="0"/>
              <w:kinsoku/>
              <w:wordWrap/>
              <w:overflowPunct/>
              <w:topLinePunct w:val="0"/>
              <w:autoSpaceDE/>
              <w:autoSpaceDN/>
              <w:bidi w:val="0"/>
              <w:adjustRightInd/>
              <w:spacing w:before="0" w:beforeAutospacing="1" w:after="0" w:afterLines="0" w:afterAutospacing="0" w:line="360" w:lineRule="exact"/>
              <w:ind w:left="0" w:leftChars="0" w:right="0" w:rightChars="0" w:firstLine="0" w:firstLineChars="0"/>
              <w:jc w:val="both"/>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kern w:val="2"/>
                <w:sz w:val="21"/>
                <w:szCs w:val="21"/>
                <w:lang w:val="en-US" w:eastAsia="zh-CN" w:bidi="ar"/>
              </w:rPr>
              <w:t>1.报价总报价50分，各有效报价分别与评标基准价相比较，等于基准价得50分，每增加1%扣0.2分；每减少1%扣0.1分，最多扣5分。以上计算取小数点后两位，第三位四舍五入。</w:t>
            </w:r>
          </w:p>
        </w:tc>
        <w:tc>
          <w:tcPr>
            <w:tcW w:w="1021" w:type="dxa"/>
            <w:tcBorders>
              <w:top w:val="single" w:color="auto" w:sz="4" w:space="0"/>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center"/>
              <w:textAlignment w:val="auto"/>
              <w:rPr>
                <w:rFonts w:hint="eastAsia" w:asciiTheme="minorEastAsia" w:hAnsiTheme="minorEastAsia" w:eastAsiaTheme="minorEastAsia" w:cstheme="minorEastAsia"/>
                <w:b/>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27" w:type="dxa"/>
            <w:tcBorders>
              <w:top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320" w:lineRule="exact"/>
              <w:ind w:left="0" w:leftChars="0" w:right="0" w:rightChars="0"/>
              <w:jc w:val="center"/>
              <w:rPr>
                <w:rFonts w:hint="eastAsia" w:asciiTheme="minorEastAsia" w:hAnsiTheme="minorEastAsia" w:eastAsiaTheme="minorEastAsia" w:cstheme="minorEastAsia"/>
                <w:b w:val="0"/>
                <w:bCs/>
                <w:kern w:val="2"/>
                <w:sz w:val="21"/>
                <w:szCs w:val="21"/>
                <w:lang w:val="en-US" w:eastAsia="zh-CN" w:bidi="ar"/>
              </w:rPr>
            </w:pPr>
            <w:r>
              <w:rPr>
                <w:rFonts w:hint="eastAsia" w:asciiTheme="minorEastAsia" w:hAnsiTheme="minorEastAsia" w:eastAsiaTheme="minorEastAsia" w:cstheme="minorEastAsia"/>
                <w:b w:val="0"/>
                <w:bCs/>
                <w:kern w:val="2"/>
                <w:sz w:val="21"/>
                <w:szCs w:val="21"/>
                <w:lang w:val="en-US" w:eastAsia="zh-CN" w:bidi="ar"/>
              </w:rPr>
              <w:t>11</w:t>
            </w:r>
          </w:p>
        </w:tc>
        <w:tc>
          <w:tcPr>
            <w:tcW w:w="8697" w:type="dxa"/>
            <w:gridSpan w:val="5"/>
            <w:tcBorders>
              <w:top w:val="single" w:color="auto" w:sz="4" w:space="0"/>
              <w:left w:val="single" w:color="auto" w:sz="4" w:space="0"/>
              <w:bottom w:val="single" w:color="auto" w:sz="4" w:space="0"/>
            </w:tcBorders>
            <w:vAlign w:val="center"/>
          </w:tcPr>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补充正文：</w:t>
            </w:r>
          </w:p>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中标候选人推荐办法：</w:t>
            </w:r>
          </w:p>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lang w:val="en-US" w:eastAsia="zh-CN" w:bidi="ar"/>
              </w:rPr>
              <w:t>1.对通过评审的投标人按照综合得分（商务得分+技术得分+报价得分）由高到低排序。</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rightChars="0"/>
              <w:jc w:val="left"/>
              <w:textAlignment w:val="auto"/>
              <w:rPr>
                <w:rFonts w:hint="eastAsia" w:asciiTheme="minorEastAsia" w:hAnsiTheme="minorEastAsia" w:eastAsiaTheme="minorEastAsia" w:cstheme="minorEastAsia"/>
                <w:b/>
                <w:kern w:val="2"/>
                <w:sz w:val="21"/>
                <w:szCs w:val="21"/>
                <w:lang w:val="en-US" w:eastAsia="zh-CN" w:bidi="ar"/>
              </w:rPr>
            </w:pPr>
            <w:r>
              <w:rPr>
                <w:rFonts w:hint="eastAsia" w:asciiTheme="minorEastAsia" w:hAnsiTheme="minorEastAsia" w:eastAsiaTheme="minorEastAsia" w:cstheme="minorEastAsia"/>
                <w:kern w:val="2"/>
                <w:sz w:val="21"/>
                <w:szCs w:val="21"/>
                <w:lang w:val="en-US" w:eastAsia="zh-CN" w:bidi="ar"/>
              </w:rPr>
              <w:t>2.按评标综合得分由高到低排序推荐2名中标候选人。</w:t>
            </w:r>
          </w:p>
        </w:tc>
      </w:tr>
    </w:tbl>
    <w:p>
      <w:pPr>
        <w:jc w:val="left"/>
        <w:rPr>
          <w:rFonts w:hint="eastAsia" w:ascii="宋体" w:hAnsi="宋体" w:cs="宋体"/>
          <w:b/>
          <w:bCs/>
          <w:kern w:val="2"/>
          <w:sz w:val="21"/>
          <w:szCs w:val="21"/>
          <w:highlight w:val="none"/>
          <w:lang w:val="en-US" w:eastAsia="zh-CN" w:bidi="ar"/>
        </w:rPr>
      </w:pPr>
    </w:p>
    <w:p>
      <w:pPr>
        <w:jc w:val="left"/>
        <w:rPr>
          <w:rFonts w:hint="eastAsia" w:ascii="宋体" w:hAnsi="宋体" w:eastAsia="宋体" w:cs="宋体"/>
          <w:b/>
          <w:bCs/>
          <w:kern w:val="2"/>
          <w:sz w:val="21"/>
          <w:szCs w:val="21"/>
          <w:highlight w:val="none"/>
          <w:lang w:val="en-US" w:eastAsia="zh-CN" w:bidi="ar"/>
        </w:rPr>
      </w:pPr>
      <w:r>
        <w:rPr>
          <w:rFonts w:hint="eastAsia" w:ascii="宋体" w:hAnsi="宋体" w:cs="宋体"/>
          <w:b/>
          <w:bCs/>
          <w:kern w:val="2"/>
          <w:sz w:val="21"/>
          <w:szCs w:val="21"/>
          <w:highlight w:val="none"/>
          <w:lang w:val="en-US" w:eastAsia="zh-CN" w:bidi="ar"/>
        </w:rPr>
        <w:t>市场主流设备</w:t>
      </w:r>
      <w:r>
        <w:rPr>
          <w:rFonts w:hint="eastAsia" w:ascii="宋体" w:hAnsi="宋体" w:eastAsia="宋体" w:cs="宋体"/>
          <w:b/>
          <w:bCs/>
          <w:kern w:val="2"/>
          <w:sz w:val="21"/>
          <w:szCs w:val="21"/>
          <w:highlight w:val="none"/>
          <w:lang w:val="en-US" w:eastAsia="zh-CN" w:bidi="ar"/>
        </w:rPr>
        <w:t>品牌</w:t>
      </w:r>
      <w:r>
        <w:rPr>
          <w:rFonts w:hint="eastAsia" w:ascii="宋体" w:hAnsi="宋体" w:cs="宋体"/>
          <w:b/>
          <w:bCs/>
          <w:kern w:val="2"/>
          <w:sz w:val="21"/>
          <w:szCs w:val="21"/>
          <w:highlight w:val="none"/>
          <w:lang w:val="en-US" w:eastAsia="zh-CN" w:bidi="ar"/>
        </w:rPr>
        <w:t>列</w:t>
      </w:r>
      <w:r>
        <w:rPr>
          <w:rFonts w:hint="eastAsia" w:ascii="宋体" w:hAnsi="宋体" w:eastAsia="宋体" w:cs="宋体"/>
          <w:b/>
          <w:bCs/>
          <w:kern w:val="2"/>
          <w:sz w:val="21"/>
          <w:szCs w:val="21"/>
          <w:highlight w:val="none"/>
          <w:lang w:val="en-US" w:eastAsia="zh-CN" w:bidi="ar"/>
        </w:rPr>
        <w:t>表</w:t>
      </w:r>
    </w:p>
    <w:tbl>
      <w:tblPr>
        <w:tblStyle w:val="41"/>
        <w:tblW w:w="9730" w:type="dxa"/>
        <w:tblInd w:w="-6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3"/>
        <w:gridCol w:w="3287"/>
        <w:gridCol w:w="5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FFFFFF" w:fill="FFFFFF"/>
            <w:noWrap w:val="0"/>
            <w:tcMar>
              <w:top w:w="30" w:type="dxa"/>
              <w:left w:w="45" w:type="dxa"/>
              <w:bottom w:w="30" w:type="dxa"/>
              <w:right w:w="45"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序号</w:t>
            </w:r>
          </w:p>
        </w:tc>
        <w:tc>
          <w:tcPr>
            <w:tcW w:w="3287"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产品系列</w:t>
            </w:r>
          </w:p>
        </w:tc>
        <w:tc>
          <w:tcPr>
            <w:tcW w:w="5530"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13" w:type="dxa"/>
            <w:tcBorders>
              <w:top w:val="single" w:color="000000" w:sz="4" w:space="0"/>
              <w:left w:val="single" w:color="000000" w:sz="4" w:space="0"/>
              <w:bottom w:val="single" w:color="000000" w:sz="4" w:space="0"/>
              <w:right w:val="single" w:color="000000" w:sz="4" w:space="0"/>
            </w:tcBorders>
            <w:shd w:val="clear" w:color="FFFFFF" w:fill="FFFFFF"/>
            <w:noWrap w:val="0"/>
            <w:tcMar>
              <w:top w:w="30" w:type="dxa"/>
              <w:left w:w="45" w:type="dxa"/>
              <w:bottom w:w="30" w:type="dxa"/>
              <w:right w:w="45"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3287"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边缘计算单元 MEC</w:t>
            </w:r>
          </w:p>
        </w:tc>
        <w:tc>
          <w:tcPr>
            <w:tcW w:w="5530"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百度、紫光、联想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13" w:type="dxa"/>
            <w:tcBorders>
              <w:top w:val="single" w:color="000000" w:sz="4" w:space="0"/>
              <w:left w:val="single" w:color="000000" w:sz="4" w:space="0"/>
              <w:bottom w:val="single" w:color="000000" w:sz="4" w:space="0"/>
              <w:right w:val="single" w:color="000000" w:sz="4" w:space="0"/>
            </w:tcBorders>
            <w:shd w:val="clear" w:color="FFFFFF" w:fill="FFFFFF"/>
            <w:noWrap w:val="0"/>
            <w:tcMar>
              <w:top w:w="30" w:type="dxa"/>
              <w:left w:w="45" w:type="dxa"/>
              <w:bottom w:w="30" w:type="dxa"/>
              <w:right w:w="45"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3287"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毫米波雷达</w:t>
            </w:r>
          </w:p>
        </w:tc>
        <w:tc>
          <w:tcPr>
            <w:tcW w:w="5530"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慧尔视、象德、迈锐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13" w:type="dxa"/>
            <w:tcBorders>
              <w:top w:val="single" w:color="000000" w:sz="4" w:space="0"/>
              <w:left w:val="single" w:color="000000" w:sz="4" w:space="0"/>
              <w:bottom w:val="single" w:color="000000" w:sz="4" w:space="0"/>
              <w:right w:val="single" w:color="000000" w:sz="4" w:space="0"/>
            </w:tcBorders>
            <w:shd w:val="clear" w:color="FFFFFF" w:fill="FFFFFF"/>
            <w:noWrap w:val="0"/>
            <w:tcMar>
              <w:top w:w="30" w:type="dxa"/>
              <w:left w:w="45" w:type="dxa"/>
              <w:bottom w:w="30" w:type="dxa"/>
              <w:right w:w="45" w:type="dxa"/>
            </w:tcMar>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w:t>
            </w:r>
          </w:p>
        </w:tc>
        <w:tc>
          <w:tcPr>
            <w:tcW w:w="3287"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车路视频感知</w:t>
            </w:r>
          </w:p>
        </w:tc>
        <w:tc>
          <w:tcPr>
            <w:tcW w:w="5530"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海康、大华、宇视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13" w:type="dxa"/>
            <w:tcBorders>
              <w:top w:val="single" w:color="000000" w:sz="4" w:space="0"/>
              <w:left w:val="single" w:color="000000" w:sz="4" w:space="0"/>
              <w:bottom w:val="single" w:color="000000" w:sz="4" w:space="0"/>
              <w:right w:val="single" w:color="000000" w:sz="4" w:space="0"/>
            </w:tcBorders>
            <w:shd w:val="clear" w:color="FFFFFF" w:fill="FFFFFF"/>
            <w:noWrap w:val="0"/>
            <w:tcMar>
              <w:top w:w="30" w:type="dxa"/>
              <w:left w:w="45" w:type="dxa"/>
              <w:bottom w:w="30" w:type="dxa"/>
              <w:right w:w="45" w:type="dxa"/>
            </w:tcMar>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5</w:t>
            </w:r>
          </w:p>
        </w:tc>
        <w:tc>
          <w:tcPr>
            <w:tcW w:w="3287"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黑光球机</w:t>
            </w:r>
          </w:p>
        </w:tc>
        <w:tc>
          <w:tcPr>
            <w:tcW w:w="5530"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海康、大华、宇视</w:t>
            </w:r>
          </w:p>
        </w:tc>
      </w:tr>
    </w:tbl>
    <w:p>
      <w:pPr>
        <w:jc w:val="left"/>
        <w:rPr>
          <w:rFonts w:hint="eastAsia" w:ascii="宋体" w:hAnsi="宋体" w:eastAsia="宋体" w:cs="宋体"/>
          <w:b/>
          <w:bCs/>
          <w:kern w:val="2"/>
          <w:sz w:val="21"/>
          <w:szCs w:val="21"/>
          <w:highlight w:val="none"/>
          <w:lang w:val="en-US" w:eastAsia="zh-CN" w:bidi="ar"/>
        </w:rPr>
      </w:pPr>
    </w:p>
    <w:p>
      <w:pPr>
        <w:jc w:val="left"/>
        <w:rPr>
          <w:rFonts w:hint="eastAsia" w:ascii="宋体" w:hAnsi="宋体" w:eastAsia="宋体" w:cs="宋体"/>
          <w:b/>
          <w:bCs/>
          <w:kern w:val="2"/>
          <w:sz w:val="21"/>
          <w:szCs w:val="21"/>
          <w:highlight w:val="none"/>
          <w:lang w:val="en-US" w:eastAsia="zh-CN" w:bidi="ar"/>
        </w:rPr>
      </w:pPr>
      <w:r>
        <w:rPr>
          <w:rFonts w:hint="eastAsia" w:ascii="宋体" w:hAnsi="宋体" w:eastAsia="宋体" w:cs="宋体"/>
          <w:b/>
          <w:bCs/>
          <w:kern w:val="2"/>
          <w:sz w:val="21"/>
          <w:szCs w:val="21"/>
          <w:highlight w:val="none"/>
          <w:lang w:val="en-US" w:eastAsia="zh-CN" w:bidi="ar"/>
        </w:rPr>
        <w:t>网运行可靠品牌列表</w:t>
      </w:r>
    </w:p>
    <w:tbl>
      <w:tblPr>
        <w:tblStyle w:val="41"/>
        <w:tblW w:w="9730" w:type="dxa"/>
        <w:tblInd w:w="-6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3"/>
        <w:gridCol w:w="3287"/>
        <w:gridCol w:w="5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FFFFFF" w:fill="FFFFFF"/>
            <w:noWrap w:val="0"/>
            <w:tcMar>
              <w:top w:w="30" w:type="dxa"/>
              <w:left w:w="45" w:type="dxa"/>
              <w:bottom w:w="30" w:type="dxa"/>
              <w:right w:w="45"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序号</w:t>
            </w:r>
          </w:p>
        </w:tc>
        <w:tc>
          <w:tcPr>
            <w:tcW w:w="3287"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产品系列</w:t>
            </w:r>
          </w:p>
        </w:tc>
        <w:tc>
          <w:tcPr>
            <w:tcW w:w="5530"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bottom"/>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913" w:type="dxa"/>
            <w:tcBorders>
              <w:top w:val="single" w:color="000000" w:sz="4" w:space="0"/>
              <w:left w:val="single" w:color="000000" w:sz="4" w:space="0"/>
              <w:bottom w:val="single" w:color="000000" w:sz="4" w:space="0"/>
              <w:right w:val="single" w:color="000000" w:sz="4" w:space="0"/>
            </w:tcBorders>
            <w:shd w:val="clear" w:color="FFFFFF" w:fill="FFFFFF"/>
            <w:noWrap w:val="0"/>
            <w:tcMar>
              <w:top w:w="30" w:type="dxa"/>
              <w:left w:w="45" w:type="dxa"/>
              <w:bottom w:w="30" w:type="dxa"/>
              <w:right w:w="45"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w:t>
            </w:r>
          </w:p>
        </w:tc>
        <w:tc>
          <w:tcPr>
            <w:tcW w:w="3287"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摄像机</w:t>
            </w:r>
          </w:p>
        </w:tc>
        <w:tc>
          <w:tcPr>
            <w:tcW w:w="5530"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color w:val="000000"/>
                <w:kern w:val="0"/>
                <w:sz w:val="21"/>
                <w:szCs w:val="21"/>
                <w:u w:val="none"/>
                <w:lang w:val="en-US" w:eastAsia="zh-CN" w:bidi="ar"/>
              </w:rPr>
              <w:t>海康、大华、宇视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13" w:type="dxa"/>
            <w:tcBorders>
              <w:top w:val="single" w:color="000000" w:sz="4" w:space="0"/>
              <w:left w:val="single" w:color="000000" w:sz="4" w:space="0"/>
              <w:bottom w:val="single" w:color="000000" w:sz="4" w:space="0"/>
              <w:right w:val="single" w:color="000000" w:sz="4" w:space="0"/>
            </w:tcBorders>
            <w:shd w:val="clear" w:color="FFFFFF" w:fill="FFFFFF"/>
            <w:noWrap w:val="0"/>
            <w:tcMar>
              <w:top w:w="30" w:type="dxa"/>
              <w:left w:w="45" w:type="dxa"/>
              <w:bottom w:w="30" w:type="dxa"/>
              <w:right w:w="45"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3287"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车路协同RSU</w:t>
            </w:r>
          </w:p>
        </w:tc>
        <w:tc>
          <w:tcPr>
            <w:tcW w:w="5530"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万集、聚力、埃斯特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913" w:type="dxa"/>
            <w:tcBorders>
              <w:top w:val="single" w:color="000000" w:sz="4" w:space="0"/>
              <w:left w:val="single" w:color="000000" w:sz="4" w:space="0"/>
              <w:bottom w:val="single" w:color="000000" w:sz="4" w:space="0"/>
              <w:right w:val="single" w:color="000000" w:sz="4" w:space="0"/>
            </w:tcBorders>
            <w:shd w:val="clear" w:color="FFFFFF" w:fill="FFFFFF"/>
            <w:noWrap w:val="0"/>
            <w:tcMar>
              <w:top w:w="30" w:type="dxa"/>
              <w:left w:w="45" w:type="dxa"/>
              <w:bottom w:w="30" w:type="dxa"/>
              <w:right w:w="45" w:type="dxa"/>
            </w:tcMar>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3</w:t>
            </w:r>
          </w:p>
        </w:tc>
        <w:tc>
          <w:tcPr>
            <w:tcW w:w="3287"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NVR</w:t>
            </w:r>
          </w:p>
        </w:tc>
        <w:tc>
          <w:tcPr>
            <w:tcW w:w="5530" w:type="dxa"/>
            <w:tcBorders>
              <w:top w:val="single" w:color="000000" w:sz="4" w:space="0"/>
              <w:left w:val="single" w:color="000000" w:sz="4" w:space="0"/>
              <w:bottom w:val="single" w:color="000000" w:sz="4" w:space="0"/>
              <w:right w:val="single" w:color="000000" w:sz="4" w:space="0"/>
            </w:tcBorders>
            <w:shd w:val="clear" w:color="FFFFFF" w:fill="FFFFFF"/>
            <w:noWrap/>
            <w:tcMar>
              <w:top w:w="30" w:type="dxa"/>
              <w:left w:w="45" w:type="dxa"/>
              <w:bottom w:w="30" w:type="dxa"/>
              <w:right w:w="4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海康</w:t>
            </w:r>
          </w:p>
        </w:tc>
      </w:tr>
    </w:tbl>
    <w:p>
      <w:pPr>
        <w:spacing w:line="400" w:lineRule="exact"/>
      </w:pP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一、</w:t>
      </w:r>
      <w:r>
        <w:rPr>
          <w:rFonts w:hint="eastAsia" w:asciiTheme="minorEastAsia" w:hAnsiTheme="minorEastAsia" w:eastAsiaTheme="minorEastAsia" w:cstheme="minorEastAsia"/>
          <w:szCs w:val="21"/>
        </w:rPr>
        <w:t>综合评</w:t>
      </w:r>
      <w:r>
        <w:rPr>
          <w:rFonts w:hint="eastAsia" w:asciiTheme="minorEastAsia" w:hAnsiTheme="minorEastAsia" w:eastAsiaTheme="minorEastAsia" w:cstheme="minorEastAsia"/>
          <w:szCs w:val="21"/>
          <w:lang w:val="en-US" w:eastAsia="zh-CN"/>
        </w:rPr>
        <w:t>估</w:t>
      </w:r>
      <w:r>
        <w:rPr>
          <w:rFonts w:hint="eastAsia" w:asciiTheme="minorEastAsia" w:hAnsiTheme="minorEastAsia" w:eastAsiaTheme="minorEastAsia" w:cstheme="minorEastAsia"/>
          <w:szCs w:val="21"/>
        </w:rPr>
        <w:t>法，是指</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满足</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全部实质性要求且按照评审因素的量化指标评审得分最高的报价人为中标候选人的评标方法。报价人总得分为价格、商务、技术等评定因素分别按照相应权重值计算分项得分后相加，满分为100分。</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（一）符合性审查</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评标委员会应当对符合资格的报价人的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进行符合性审查，以确定其是否满足</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的实质性要求。</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（二）澄清有关问题。对</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的范围或者改变</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的实质性内容。</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（三）比较与评价。按</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中规定的评标方法和标准，对资格审查和符合性审查合格的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进行商务和技术评估。</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评标委员会各成员独立对每个有效报价人（通过资格审查、符合性审查的报价人）的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进行评价、打分，然后由评标委员会对各成员打分情况进行核查及复核，个别成员对同一报价人同一评分项的打分偏离较大的，应对报价人的</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进行再次核对，确属打分有误的，应及时进行修正。</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复核后，评标委员会汇总每个报价人每项评分因素的得分。</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（四）推荐中标候选人名单。</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按评审后得分由高到低的排列顺序推荐综合得分前</w:t>
      </w:r>
      <w:r>
        <w:rPr>
          <w:rFonts w:hint="eastAsia" w:asciiTheme="minorEastAsia" w:hAnsiTheme="minorEastAsia" w:eastAsiaTheme="minorEastAsia" w:cstheme="minorEastAsia"/>
        </w:rPr>
        <w:t>2名中标候选人</w:t>
      </w:r>
      <w:r>
        <w:rPr>
          <w:rFonts w:hint="eastAsia" w:asciiTheme="minorEastAsia" w:hAnsiTheme="minorEastAsia" w:eastAsiaTheme="minorEastAsia" w:cstheme="minorEastAsia"/>
          <w:szCs w:val="21"/>
        </w:rPr>
        <w:t>为本项目中标候选人。</w:t>
      </w:r>
    </w:p>
    <w:p>
      <w:pPr>
        <w:tabs>
          <w:tab w:val="left" w:pos="360"/>
        </w:tabs>
        <w:spacing w:line="40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二</w:t>
      </w:r>
      <w:r>
        <w:rPr>
          <w:rFonts w:hint="eastAsia" w:asciiTheme="minorEastAsia" w:hAnsiTheme="minorEastAsia" w:eastAsiaTheme="minorEastAsia" w:cstheme="minorEastAsia"/>
          <w:szCs w:val="21"/>
        </w:rPr>
        <w:t>、无效条款</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报价人或其</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出现下列情况之一者，应为无效投标：</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未按</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要求签署、盖章的；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（2）不具备</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中规定的资格要求的；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（3）报价超过</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中规定的预算金额或者最高限价的；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lang w:eastAsia="zh-CN"/>
        </w:rPr>
        <w:t>比选响应文件</w:t>
      </w:r>
      <w:r>
        <w:rPr>
          <w:rFonts w:hint="eastAsia" w:asciiTheme="minorEastAsia" w:hAnsiTheme="minorEastAsia" w:eastAsiaTheme="minorEastAsia" w:cstheme="minorEastAsia"/>
          <w:szCs w:val="21"/>
        </w:rPr>
        <w:t>含有采购人不能接受的附加条件的；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（5）报价人串通投标的；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（6）报价人组成联合体投标的；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（7）法律、法规和</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规定的其他无效情形。</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、废标条款</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评标委员会评审时出现以下情况之一的，应予废标：</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（1）符合专业条件的报价人或者对</w:t>
      </w:r>
      <w:r>
        <w:rPr>
          <w:rFonts w:hint="eastAsia" w:asciiTheme="minorEastAsia" w:hAnsiTheme="minorEastAsia" w:eastAsiaTheme="minorEastAsia" w:cstheme="minorEastAsia"/>
          <w:szCs w:val="21"/>
          <w:lang w:eastAsia="zh-CN"/>
        </w:rPr>
        <w:t>竞争性比选函</w:t>
      </w:r>
      <w:r>
        <w:rPr>
          <w:rFonts w:hint="eastAsia" w:asciiTheme="minorEastAsia" w:hAnsiTheme="minorEastAsia" w:eastAsiaTheme="minorEastAsia" w:cstheme="minorEastAsia"/>
          <w:szCs w:val="21"/>
        </w:rPr>
        <w:t>作实质响应的报价人不足三家的；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（2）报价人的报价均超过了采购预算，采购人不能支付的；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（3）出现影响采购公正的违法、违规行为的；</w:t>
      </w:r>
    </w:p>
    <w:p>
      <w:pPr>
        <w:tabs>
          <w:tab w:val="left" w:pos="360"/>
        </w:tabs>
        <w:spacing w:line="40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（4）因重大变故，采购任务取消的。</w:t>
      </w:r>
    </w:p>
    <w:p>
      <w:pPr>
        <w:pStyle w:val="27"/>
        <w:jc w:val="center"/>
      </w:pPr>
      <w:r>
        <w:rPr>
          <w:rFonts w:hint="eastAsia"/>
        </w:rPr>
        <w:br w:type="page"/>
      </w:r>
      <w:bookmarkStart w:id="759" w:name="_Toc363"/>
      <w:bookmarkStart w:id="760" w:name="_Toc13787"/>
      <w:r>
        <w:rPr>
          <w:rStyle w:val="81"/>
          <w:rFonts w:hint="eastAsia"/>
          <w:b/>
          <w:bCs/>
        </w:rPr>
        <w:t>第四章 报价说明</w:t>
      </w:r>
      <w:bookmarkEnd w:id="759"/>
      <w:bookmarkEnd w:id="760"/>
    </w:p>
    <w:p>
      <w:pPr>
        <w:tabs>
          <w:tab w:val="left" w:pos="360"/>
        </w:tabs>
        <w:spacing w:line="400" w:lineRule="exact"/>
        <w:ind w:firstLine="420" w:firstLineChars="200"/>
        <w:rPr>
          <w:rFonts w:ascii="宋体" w:hAnsi="宋体" w:cs="宋体"/>
          <w:szCs w:val="21"/>
        </w:rPr>
      </w:pPr>
      <w:r>
        <w:rPr>
          <w:rFonts w:hint="eastAsia" w:ascii="宋体" w:hAnsi="宋体" w:cs="宋体"/>
          <w:szCs w:val="21"/>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（2）报价人在分项报价表中填报的综合单价承包到现场所产生的路费、差旅费等。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（3）报价有算术错误的，评审小组按以下原则对报价进行修正，修正的价格经报价人书面确认后具有约束力。报价人不接受修正价格的，其报价应当予以否决。</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①竞争性比选响应文件中的大写金额与小写金额不一致的，以大写金额为准。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②总价金额与依据单价计算出的结果不一致的，以单价金额为准修正总价，但单价金额小数点有明显错误的除外。</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（4）实际采购数量以采购人最终需求数量为准，报价清单中单价在合同执行过程中保持固定不变，报价人不得以实际采购数量的变化提出调整合同单价。</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（5）报价清单中各项金额均以人民币（元）结算。</w:t>
      </w:r>
    </w:p>
    <w:p>
      <w:pPr>
        <w:tabs>
          <w:tab w:val="left" w:pos="360"/>
        </w:tabs>
        <w:spacing w:line="400" w:lineRule="exact"/>
        <w:ind w:firstLine="420" w:firstLineChars="200"/>
        <w:rPr>
          <w:rFonts w:ascii="宋体" w:hAnsi="宋体" w:cs="宋体"/>
          <w:szCs w:val="21"/>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szCs w:val="21"/>
        </w:rPr>
        <w:t>（6）需缴纳的一切税费均由报价单位承担，所有税费均由服务单位自行缴纳。</w:t>
      </w:r>
    </w:p>
    <w:p>
      <w:pPr>
        <w:pStyle w:val="3"/>
        <w:spacing w:before="0" w:after="0" w:line="360" w:lineRule="auto"/>
        <w:jc w:val="center"/>
        <w:rPr>
          <w:rFonts w:ascii="宋体" w:hAnsi="宋体" w:cs="宋体"/>
        </w:rPr>
      </w:pPr>
      <w:bookmarkStart w:id="761" w:name="_Toc1532"/>
      <w:bookmarkStart w:id="762" w:name="_Toc144974834"/>
      <w:bookmarkStart w:id="763" w:name="_Toc152045772"/>
      <w:bookmarkStart w:id="764" w:name="_Toc246996340"/>
      <w:bookmarkStart w:id="765" w:name="_Toc24503"/>
      <w:bookmarkStart w:id="766" w:name="_Toc179632789"/>
      <w:bookmarkStart w:id="767" w:name="_Toc514858705"/>
      <w:bookmarkStart w:id="768" w:name="_Toc246997083"/>
      <w:bookmarkStart w:id="769" w:name="_Toc152042554"/>
      <w:bookmarkStart w:id="770" w:name="_Toc2000409"/>
      <w:bookmarkStart w:id="771" w:name="_Toc247085855"/>
      <w:bookmarkStart w:id="772" w:name="_Toc152042575"/>
      <w:bookmarkStart w:id="773" w:name="_Toc247085872"/>
      <w:bookmarkStart w:id="774" w:name="_Toc246996354"/>
      <w:bookmarkStart w:id="775" w:name="_Toc144974855"/>
      <w:bookmarkStart w:id="776" w:name="_Toc152045786"/>
      <w:bookmarkStart w:id="777" w:name="_Toc246997097"/>
      <w:bookmarkStart w:id="778" w:name="_Toc179632806"/>
      <w:r>
        <w:rPr>
          <w:rFonts w:hint="eastAsia" w:ascii="宋体" w:hAnsi="宋体" w:cs="宋体"/>
        </w:rPr>
        <w:t>第五章  工程量清单</w:t>
      </w:r>
      <w:bookmarkEnd w:id="761"/>
      <w:bookmarkEnd w:id="762"/>
      <w:bookmarkEnd w:id="763"/>
      <w:bookmarkEnd w:id="764"/>
      <w:bookmarkEnd w:id="765"/>
      <w:bookmarkEnd w:id="766"/>
      <w:bookmarkEnd w:id="767"/>
      <w:bookmarkEnd w:id="768"/>
      <w:bookmarkEnd w:id="769"/>
      <w:bookmarkEnd w:id="770"/>
      <w:bookmarkEnd w:id="771"/>
    </w:p>
    <w:p>
      <w:pPr>
        <w:jc w:val="center"/>
        <w:rPr>
          <w:rFonts w:ascii="宋体" w:hAnsi="宋体" w:cs="宋体"/>
          <w:b/>
        </w:rPr>
      </w:pPr>
      <w:bookmarkStart w:id="779" w:name="_Toc246997093"/>
      <w:bookmarkStart w:id="780" w:name="_Toc152042571"/>
      <w:bookmarkStart w:id="781" w:name="_Toc246996350"/>
      <w:bookmarkStart w:id="782" w:name="_Toc144974851"/>
      <w:bookmarkStart w:id="783" w:name="_Toc247085866"/>
      <w:bookmarkStart w:id="784" w:name="_Toc179632800"/>
      <w:bookmarkStart w:id="785" w:name="_Toc247096438"/>
      <w:bookmarkStart w:id="786" w:name="_Toc152045782"/>
    </w:p>
    <w:tbl>
      <w:tblPr>
        <w:tblStyle w:val="41"/>
        <w:tblpPr w:leftFromText="180" w:rightFromText="180" w:vertAnchor="text" w:horzAnchor="page" w:tblpXSpec="center" w:tblpY="182"/>
        <w:tblOverlap w:val="never"/>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482"/>
        <w:gridCol w:w="1432"/>
        <w:gridCol w:w="651"/>
        <w:gridCol w:w="917"/>
        <w:gridCol w:w="1355"/>
        <w:gridCol w:w="1234"/>
        <w:gridCol w:w="763"/>
        <w:gridCol w:w="908"/>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48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项目名称</w:t>
            </w:r>
          </w:p>
        </w:tc>
        <w:tc>
          <w:tcPr>
            <w:tcW w:w="143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工作内容</w:t>
            </w:r>
          </w:p>
        </w:tc>
        <w:tc>
          <w:tcPr>
            <w:tcW w:w="65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单位</w:t>
            </w:r>
          </w:p>
        </w:tc>
        <w:tc>
          <w:tcPr>
            <w:tcW w:w="9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135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含税单价（元）</w:t>
            </w:r>
          </w:p>
        </w:tc>
        <w:tc>
          <w:tcPr>
            <w:tcW w:w="123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总价（元）</w:t>
            </w:r>
          </w:p>
        </w:tc>
        <w:tc>
          <w:tcPr>
            <w:tcW w:w="7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税率（%）</w:t>
            </w:r>
          </w:p>
        </w:tc>
        <w:tc>
          <w:tcPr>
            <w:tcW w:w="90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品牌</w:t>
            </w:r>
          </w:p>
        </w:tc>
        <w:tc>
          <w:tcPr>
            <w:tcW w:w="90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0"/>
                <w:kern w:val="0"/>
                <w:sz w:val="20"/>
                <w:szCs w:val="20"/>
                <w:lang w:val="en-US" w:eastAsia="zh-CN" w:bidi="ar"/>
              </w:rPr>
              <w:t>1</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毫米波雷达</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套</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28</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0"/>
                <w:kern w:val="0"/>
                <w:sz w:val="20"/>
                <w:szCs w:val="20"/>
                <w:lang w:val="en-US" w:eastAsia="zh-CN" w:bidi="ar"/>
              </w:rPr>
              <w:t>2</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车路视频感知</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套</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28</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0"/>
                <w:kern w:val="0"/>
                <w:sz w:val="20"/>
                <w:szCs w:val="20"/>
                <w:lang w:val="en-US" w:eastAsia="zh-CN" w:bidi="ar"/>
              </w:rPr>
              <w:t>3</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边缘计算单元 MEC</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套</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10</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4</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激光球机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套</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12</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5</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外场普通道路数字孪生系统</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项</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6</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工业以太网交换机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套</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88</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7</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车路协同RSU</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套</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31</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8</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交通监控智能摄像机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台</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13</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9</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视频监控球机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台</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13</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10</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设备亭监控摄像机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台</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9</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11</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枪球联动一体机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套</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19</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12</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NVR硬盘录像机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台</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4</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13</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NVR硬盘录像机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台</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13</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14</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系统集成与调试</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项</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w:t>
            </w: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15</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安全生产费</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不可竞争性报价，按实结算</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项</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w:t>
            </w:r>
          </w:p>
        </w:tc>
        <w:tc>
          <w:tcPr>
            <w:tcW w:w="135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60946</w:t>
            </w: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60946</w:t>
            </w: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97" w:type="dxa"/>
            <w:gridSpan w:val="6"/>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总价（元）</w:t>
            </w: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r>
    </w:tbl>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both"/>
        <w:rPr>
          <w:rFonts w:ascii="宋体" w:hAnsi="宋体" w:cs="宋体"/>
          <w:b/>
        </w:rPr>
        <w:sectPr>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rPr>
      </w:pPr>
      <w:bookmarkStart w:id="787" w:name="_Toc12440"/>
      <w:bookmarkStart w:id="788" w:name="_Toc18088"/>
      <w:bookmarkStart w:id="789" w:name="_Toc514858706"/>
      <w:bookmarkStart w:id="790" w:name="_Toc503951042"/>
      <w:bookmarkStart w:id="791" w:name="_Toc447827048"/>
      <w:bookmarkStart w:id="792" w:name="_Toc513633963"/>
      <w:bookmarkStart w:id="793" w:name="_Toc2000410"/>
      <w:r>
        <w:rPr>
          <w:rFonts w:hint="eastAsia" w:ascii="宋体" w:hAnsi="宋体" w:cs="宋体"/>
        </w:rPr>
        <w:t>第六章  图  纸</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794" w:name="_Toc144974854"/>
      <w:bookmarkStart w:id="795" w:name="_Toc152042574"/>
      <w:bookmarkStart w:id="796" w:name="_Toc152045785"/>
    </w:p>
    <w:p>
      <w:pPr>
        <w:pStyle w:val="3"/>
        <w:numPr>
          <w:ilvl w:val="0"/>
          <w:numId w:val="5"/>
        </w:numPr>
        <w:spacing w:before="0" w:after="0" w:line="360" w:lineRule="auto"/>
        <w:jc w:val="center"/>
      </w:pPr>
      <w:bookmarkStart w:id="797" w:name="_Toc247085870"/>
      <w:bookmarkStart w:id="798" w:name="_Toc2000411"/>
      <w:bookmarkStart w:id="799" w:name="_Toc179632804"/>
      <w:bookmarkStart w:id="800" w:name="_Toc513633964"/>
      <w:bookmarkStart w:id="801" w:name="_Toc514858707"/>
      <w:bookmarkStart w:id="802" w:name="_Toc503951043"/>
      <w:bookmarkStart w:id="803" w:name="_Toc10887"/>
      <w:bookmarkStart w:id="804" w:name="_Toc447827049"/>
      <w:bookmarkStart w:id="805" w:name="_Toc246996353"/>
      <w:bookmarkStart w:id="806" w:name="_Toc246997096"/>
      <w:r>
        <w:rPr>
          <w:rFonts w:hint="eastAsia" w:ascii="宋体" w:hAnsi="宋体" w:cs="宋体"/>
        </w:rPr>
        <w:t xml:space="preserve"> </w:t>
      </w:r>
      <w:bookmarkStart w:id="807" w:name="_Toc25212"/>
      <w:r>
        <w:rPr>
          <w:rFonts w:hint="eastAsia" w:ascii="宋体" w:hAnsi="宋体" w:cs="宋体"/>
        </w:rPr>
        <w:t>技术标准和工作要求</w:t>
      </w:r>
      <w:bookmarkEnd w:id="772"/>
      <w:bookmarkEnd w:id="773"/>
      <w:bookmarkEnd w:id="774"/>
      <w:bookmarkEnd w:id="775"/>
      <w:bookmarkEnd w:id="776"/>
      <w:bookmarkEnd w:id="777"/>
      <w:bookmarkEnd w:id="778"/>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Start w:id="808" w:name="_Toc12089"/>
      <w:bookmarkStart w:id="809" w:name="_Toc13280"/>
      <w:bookmarkStart w:id="810" w:name="_Toc2000412"/>
      <w:bookmarkStart w:id="811" w:name="_Toc514430114"/>
      <w:bookmarkStart w:id="812" w:name="_Toc514858708"/>
      <w:bookmarkStart w:id="813" w:name="_Toc179632807"/>
      <w:bookmarkStart w:id="814" w:name="_Toc246996355"/>
      <w:bookmarkStart w:id="815" w:name="_Toc246997098"/>
      <w:bookmarkStart w:id="816" w:name="_Toc152042576"/>
      <w:bookmarkStart w:id="817" w:name="_Toc247085873"/>
      <w:bookmarkStart w:id="818" w:name="_Toc507320039"/>
      <w:bookmarkStart w:id="819" w:name="_Toc144974856"/>
      <w:bookmarkStart w:id="820" w:name="_Toc152045787"/>
    </w:p>
    <w:p>
      <w:pPr>
        <w:pStyle w:val="5"/>
        <w:snapToGrid w:val="0"/>
        <w:spacing w:before="156" w:beforeLines="50" w:after="156" w:afterLines="50" w:line="360" w:lineRule="exact"/>
        <w:rPr>
          <w:rFonts w:ascii="宋体" w:hAnsi="宋体" w:cs="宋体"/>
          <w:sz w:val="21"/>
          <w:szCs w:val="21"/>
        </w:rPr>
      </w:pPr>
      <w:bookmarkStart w:id="821" w:name="_Toc273351616"/>
      <w:bookmarkStart w:id="822" w:name="_Toc23208"/>
      <w:r>
        <w:rPr>
          <w:rFonts w:hint="eastAsia" w:ascii="宋体" w:hAnsi="宋体" w:cs="宋体"/>
          <w:sz w:val="21"/>
          <w:szCs w:val="21"/>
        </w:rPr>
        <w:t>1．外场普通高速公路路段数字孪生技术方案</w:t>
      </w:r>
    </w:p>
    <w:p>
      <w:pPr>
        <w:pStyle w:val="5"/>
        <w:snapToGrid w:val="0"/>
        <w:spacing w:before="50" w:after="156" w:afterLines="50" w:line="360" w:lineRule="exact"/>
        <w:rPr>
          <w:rFonts w:ascii="宋体" w:hAnsi="宋体" w:cs="宋体"/>
          <w:sz w:val="21"/>
          <w:szCs w:val="21"/>
        </w:rPr>
      </w:pPr>
      <w:r>
        <w:rPr>
          <w:rFonts w:hint="eastAsia" w:ascii="宋体" w:hAnsi="宋体" w:cs="宋体"/>
          <w:sz w:val="21"/>
          <w:szCs w:val="21"/>
        </w:rPr>
        <w:t>1</w:t>
      </w:r>
      <w:r>
        <w:rPr>
          <w:rFonts w:ascii="宋体" w:hAnsi="宋体" w:cs="宋体"/>
          <w:sz w:val="21"/>
          <w:szCs w:val="21"/>
        </w:rPr>
        <w:t xml:space="preserve">.1 </w:t>
      </w:r>
      <w:r>
        <w:rPr>
          <w:rFonts w:hint="eastAsia" w:ascii="宋体" w:hAnsi="宋体" w:cs="宋体"/>
          <w:sz w:val="21"/>
          <w:szCs w:val="21"/>
        </w:rPr>
        <w:t>外场数字孪生实现方式</w:t>
      </w:r>
    </w:p>
    <w:p>
      <w:r>
        <w:drawing>
          <wp:inline distT="0" distB="0" distL="114300" distR="114300">
            <wp:extent cx="5275580" cy="2827020"/>
            <wp:effectExtent l="0" t="0" r="3175" b="1270"/>
            <wp:docPr id="3" name="图片 1" descr="C:\Users\huangkui03\Documents\Baidu\Baidu Hi\感性的huangkui\My Images\F2\F2828A58F5A7A741319F9ACE582171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huangkui03\Documents\Baidu\Baidu Hi\感性的huangkui\My Images\F2\F2828A58F5A7A741319F9ACE582171E4.jpg"/>
                    <pic:cNvPicPr>
                      <a:picLocks noChangeAspect="1"/>
                    </pic:cNvPicPr>
                  </pic:nvPicPr>
                  <pic:blipFill>
                    <a:blip r:embed="rId13"/>
                    <a:stretch>
                      <a:fillRect/>
                    </a:stretch>
                  </pic:blipFill>
                  <pic:spPr>
                    <a:xfrm>
                      <a:off x="0" y="0"/>
                      <a:ext cx="5275580" cy="2827020"/>
                    </a:xfrm>
                    <a:prstGeom prst="rect">
                      <a:avLst/>
                    </a:prstGeom>
                    <a:noFill/>
                    <a:ln>
                      <a:noFill/>
                    </a:ln>
                  </pic:spPr>
                </pic:pic>
              </a:graphicData>
            </a:graphic>
          </wp:inline>
        </w:drawing>
      </w:r>
    </w:p>
    <w:p>
      <w:pPr>
        <w:spacing w:line="360" w:lineRule="exact"/>
        <w:ind w:firstLine="420" w:firstLineChars="200"/>
        <w:rPr>
          <w:rFonts w:ascii="宋体" w:hAnsi="宋体" w:cs="宋体"/>
          <w:color w:val="000000"/>
        </w:rPr>
      </w:pPr>
      <w:r>
        <w:rPr>
          <w:rFonts w:hint="eastAsia" w:ascii="宋体" w:hAnsi="宋体" w:cs="宋体"/>
          <w:color w:val="000000"/>
        </w:rPr>
        <w:t>本项目规划的车路协同建设路段为太平隧道出城方向进洞口至接龙收费站，起止桩号为K1603+000~K1613+000，全长约10km，途经太平隧道、渝筑高速枢纽、接龙隧道至接龙收费站。全路段建设车路协同示范示范路段，太平隧道建设数字孪生隧道。</w:t>
      </w:r>
    </w:p>
    <w:p>
      <w:pPr>
        <w:spacing w:line="360" w:lineRule="exact"/>
        <w:ind w:firstLine="420" w:firstLineChars="200"/>
        <w:rPr>
          <w:rFonts w:hint="eastAsia" w:ascii="宋体" w:hAnsi="宋体" w:cs="宋体"/>
          <w:color w:val="000000"/>
        </w:rPr>
      </w:pPr>
      <w:r>
        <w:rPr>
          <w:rFonts w:ascii="宋体" w:hAnsi="宋体" w:cs="宋体"/>
          <w:color w:val="000000"/>
        </w:rPr>
        <w:t>新立L型杆件安装枪球联动一体机、毫米波雷达，杆件立柱高度约为6.5m，每个点位配置MEC，进行前端数据融合处理；部分点位附着于全程监控杆件，毫米波雷达，每个点位配置MEC，将已建的高清视频流接入，进行前端数据融合处理。建设点位距离在200m—300m区间内，RSU布为单向布设。</w:t>
      </w:r>
    </w:p>
    <w:p>
      <w:pPr>
        <w:pStyle w:val="5"/>
        <w:snapToGrid w:val="0"/>
        <w:spacing w:before="156" w:beforeLines="50" w:after="156" w:afterLines="50" w:line="360" w:lineRule="exact"/>
        <w:rPr>
          <w:rFonts w:hint="default" w:ascii="宋体" w:hAnsi="宋体" w:eastAsia="宋体" w:cs="宋体"/>
          <w:sz w:val="21"/>
          <w:szCs w:val="21"/>
          <w:lang w:val="en-US" w:eastAsia="zh-CN"/>
        </w:rPr>
      </w:pPr>
      <w:r>
        <w:rPr>
          <w:rFonts w:hint="eastAsia" w:ascii="宋体" w:hAnsi="宋体" w:cs="宋体"/>
          <w:sz w:val="21"/>
          <w:szCs w:val="21"/>
        </w:rPr>
        <w:t>2</w:t>
      </w:r>
      <w:r>
        <w:rPr>
          <w:rFonts w:ascii="宋体" w:hAnsi="宋体" w:cs="宋体"/>
          <w:sz w:val="21"/>
          <w:szCs w:val="21"/>
        </w:rPr>
        <w:t>.</w:t>
      </w:r>
      <w:r>
        <w:rPr>
          <w:rFonts w:hint="eastAsia" w:ascii="宋体" w:hAnsi="宋体" w:cs="宋体"/>
          <w:sz w:val="21"/>
          <w:szCs w:val="21"/>
        </w:rPr>
        <w:t>工程量各项清单</w:t>
      </w:r>
      <w:r>
        <w:rPr>
          <w:rFonts w:hint="eastAsia" w:ascii="宋体" w:hAnsi="宋体" w:cs="宋体"/>
          <w:sz w:val="21"/>
          <w:szCs w:val="21"/>
          <w:lang w:val="en-US" w:eastAsia="zh-CN"/>
        </w:rPr>
        <w:t>技术要求</w:t>
      </w:r>
    </w:p>
    <w:p>
      <w:pPr>
        <w:pStyle w:val="5"/>
        <w:snapToGrid w:val="0"/>
        <w:spacing w:before="50" w:after="156" w:afterLines="50" w:line="360" w:lineRule="exact"/>
        <w:rPr>
          <w:rFonts w:hint="default" w:eastAsia="宋体"/>
          <w:lang w:val="en-US" w:eastAsia="zh-CN"/>
        </w:rPr>
      </w:pPr>
      <w:r>
        <w:rPr>
          <w:rFonts w:ascii="宋体" w:hAnsi="宋体" w:cs="宋体"/>
          <w:sz w:val="21"/>
          <w:szCs w:val="21"/>
        </w:rPr>
        <w:t xml:space="preserve">2.1 </w:t>
      </w:r>
      <w:r>
        <w:rPr>
          <w:rFonts w:hint="eastAsia" w:ascii="宋体" w:hAnsi="宋体" w:cs="宋体"/>
          <w:sz w:val="21"/>
          <w:szCs w:val="21"/>
        </w:rPr>
        <w:t>外场设施设备</w:t>
      </w:r>
      <w:r>
        <w:rPr>
          <w:rFonts w:hint="eastAsia" w:ascii="宋体" w:hAnsi="宋体" w:cs="宋体"/>
          <w:sz w:val="21"/>
          <w:szCs w:val="21"/>
          <w:lang w:val="en-US" w:eastAsia="zh-CN"/>
        </w:rPr>
        <w:t>参数要求</w:t>
      </w:r>
    </w:p>
    <w:p>
      <w:pPr>
        <w:pStyle w:val="5"/>
        <w:snapToGrid w:val="0"/>
        <w:spacing w:before="50" w:after="156" w:afterLines="50" w:line="360" w:lineRule="exact"/>
        <w:rPr>
          <w:rFonts w:hint="eastAsia" w:ascii="宋体" w:hAnsi="宋体" w:cs="宋体"/>
          <w:sz w:val="21"/>
          <w:szCs w:val="21"/>
        </w:rPr>
      </w:pPr>
      <w:r>
        <w:rPr>
          <w:rFonts w:ascii="宋体" w:hAnsi="宋体" w:cs="宋体"/>
          <w:sz w:val="21"/>
          <w:szCs w:val="21"/>
        </w:rPr>
        <w:t>2.1.1</w:t>
      </w:r>
      <w:r>
        <w:rPr>
          <w:rFonts w:hint="eastAsia" w:ascii="宋体" w:hAnsi="宋体" w:cs="宋体"/>
          <w:sz w:val="21"/>
          <w:szCs w:val="21"/>
        </w:rPr>
        <w:t>毫米波雷达：</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工作温度：-40℃~+70℃；</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工作湿度：5%~95%；</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防尘防水：IP 67</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电源：24V DC；</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功率：≤28W；</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重量：≤3.2 kg；</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尺寸：252mm×200mm×78mm</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检测器采用4D雷达成像技术，最大输出原始点数20000点/秒</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检测器工作中心频率80GHz</w:t>
      </w:r>
    </w:p>
    <w:p>
      <w:pPr>
        <w:numPr>
          <w:ilvl w:val="0"/>
          <w:numId w:val="6"/>
        </w:numPr>
        <w:spacing w:line="360" w:lineRule="exact"/>
        <w:ind w:left="0" w:firstLine="420" w:firstLineChars="200"/>
        <w:rPr>
          <w:rFonts w:hint="eastAsia" w:ascii="宋体" w:hAnsi="宋体" w:cs="宋体"/>
          <w:color w:val="000000"/>
          <w:highlight w:val="none"/>
        </w:rPr>
      </w:pPr>
      <w:r>
        <w:rPr>
          <w:rFonts w:hint="eastAsia" w:ascii="宋体" w:hAnsi="宋体" w:cs="宋体"/>
          <w:color w:val="000000"/>
          <w:highlight w:val="none"/>
        </w:rPr>
        <w:t>车道检测器检测区域可达600米，能同时检测8个车道</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可同时跟踪检测512个目标；</w:t>
      </w:r>
    </w:p>
    <w:p>
      <w:pPr>
        <w:numPr>
          <w:ilvl w:val="0"/>
          <w:numId w:val="6"/>
        </w:numPr>
        <w:spacing w:line="360" w:lineRule="exact"/>
        <w:ind w:left="0" w:firstLine="420" w:firstLineChars="200"/>
        <w:rPr>
          <w:rFonts w:hint="eastAsia" w:ascii="宋体" w:hAnsi="宋体" w:cs="宋体"/>
          <w:color w:val="000000"/>
          <w:highlight w:val="none"/>
        </w:rPr>
      </w:pPr>
      <w:r>
        <w:rPr>
          <w:rFonts w:hint="eastAsia" w:ascii="宋体" w:hAnsi="宋体" w:cs="宋体"/>
          <w:color w:val="000000"/>
          <w:highlight w:val="none"/>
        </w:rPr>
        <w:t>检测器检测交通目标，支持雷达坐标系坐标与大地坐标系坐标之间的转换，支持全球坐标（GPS的位置参数导入），可输出目标GPS信息，目标航向角，目标速度（速度、加速度），目标属性（长度、宽度、类型），目标RCS值和目标置信度，定位精度半径0.3米</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检测器跟踪检测每个目标的位置坐标（x,y）、速度（Vx, Vy）、目标类型，包括大车、中车、小车、行人，具有图形化操作软件，实时显示每个目标在检测区域内被跟踪情况以及目标ID、目标速度、目标位置、目标尺寸等实时信息，并能输出即时轨迹数据；</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多功能的数据检测功能，可替代多组其他类型检测器，检测每车道多个断面的流量、平均速度、时间占有率、车头时距、车身时距等交通数据；</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检测器可对交通异常事件进行检测，包括拥堵、违规变道、停车、逆行、超高速、超低速、占用应急车道等，并可输出报警信息；</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车流量精度≥99%</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事件监测精度≥95%</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停车事件监测捕获率≥99%</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数据统计周期：1～3600秒范围，可由用户自行设定；</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接口： 1个RJ-45网口，10M/100M/1000M自适应；</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时钟同步功能：支持NTP、GNSS、PTP 手动校时功能服务，自动同步系统时间；</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检测器采用前向检测方式，支持正装和侧装，可方便地利用既有杆件</w:t>
      </w:r>
    </w:p>
    <w:p>
      <w:pPr>
        <w:numPr>
          <w:ilvl w:val="0"/>
          <w:numId w:val="6"/>
        </w:numPr>
        <w:spacing w:line="360" w:lineRule="exact"/>
        <w:ind w:left="0" w:firstLine="420" w:firstLineChars="200"/>
        <w:rPr>
          <w:rFonts w:ascii="宋体" w:hAnsi="宋体" w:cs="宋体"/>
          <w:color w:val="000000"/>
        </w:rPr>
      </w:pPr>
      <w:r>
        <w:rPr>
          <w:rFonts w:hint="eastAsia" w:ascii="宋体" w:hAnsi="宋体" w:cs="宋体"/>
          <w:color w:val="000000"/>
        </w:rPr>
        <w:t>可在全气候环境下稳定工作，包括雨、雪、雾、霾、大风、冰冻、冰雹、沙尘等恶劣天气，并具有自校准以及故障自诊断功能；</w:t>
      </w:r>
    </w:p>
    <w:p>
      <w:pPr>
        <w:pStyle w:val="5"/>
        <w:snapToGrid w:val="0"/>
        <w:spacing w:before="50" w:after="156" w:afterLines="50" w:line="360" w:lineRule="exact"/>
        <w:rPr>
          <w:rFonts w:ascii="宋体" w:hAnsi="宋体" w:cs="宋体"/>
          <w:sz w:val="21"/>
          <w:szCs w:val="21"/>
        </w:rPr>
      </w:pPr>
      <w:r>
        <w:rPr>
          <w:rFonts w:ascii="宋体" w:hAnsi="宋体" w:cs="宋体"/>
          <w:sz w:val="21"/>
          <w:szCs w:val="21"/>
        </w:rPr>
        <w:t>2.1.2</w:t>
      </w:r>
      <w:r>
        <w:rPr>
          <w:rFonts w:hint="eastAsia" w:ascii="宋体" w:hAnsi="宋体" w:cs="宋体"/>
          <w:sz w:val="21"/>
          <w:szCs w:val="21"/>
        </w:rPr>
        <w:t>车路视频感知：</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高像质：1/1.8英寸CMOS图像传感器，高感光度，高信噪比，高宽动态，呈现逼真场景图像</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低时延：:端到端延时≤90ms(不含接收端解码显示)</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更精准：支持高精度PTP校时，支持图像曝光时间戳输出</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检测认证：GB/T28281、GB35114</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镜头焦距：10-50mm 变焦</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快门方式：单快门</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电子快门：1/50s~1/100000s( 可手动或自动调节)</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曝光模式：支持全自动；自定义区间自动；自定义</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视频分辨率：4M(2688×1520)/1080P(1920×1080)/UXGA(1600×1200)/720P(1280×720)/D1</w:t>
      </w:r>
    </w:p>
    <w:p>
      <w:pPr>
        <w:numPr>
          <w:ilvl w:val="0"/>
          <w:numId w:val="6"/>
        </w:numPr>
        <w:spacing w:line="360" w:lineRule="exact"/>
        <w:ind w:left="0" w:firstLine="420" w:firstLineChars="200"/>
        <w:rPr>
          <w:rFonts w:ascii="宋体" w:hAnsi="宋体" w:cs="宋体"/>
          <w:color w:val="000000"/>
        </w:rPr>
      </w:pPr>
      <w:r>
        <w:rPr>
          <w:rFonts w:ascii="宋体" w:hAnsi="宋体" w:cs="宋体"/>
          <w:color w:val="000000"/>
        </w:rPr>
        <w:t>(704×576)/CIF(352×288)</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视频帧率：最大支持50fps；默认主码流(2688×1520@50fps)，辅码流(704×576@50fps)</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视频码率：最大支持50fps；默认主码流(2688×1520@50fps)，辅码流(704×576@50fps)</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视频压缩标准：H.265/H.264/MJPEG</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图片编码格式：JPEG</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视场角：H: 40.8° (W)–9.4 ° (T)、V: 22.9 ° (W)–5.4° (T)、D:46.9 ° (W)–10.7 ° (T)</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宽动态：96dB</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存储功能：FTP;TF 卡( 最大支持256GB@Class10); 推荐使用 颗粒MLC 及以上</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定位功能：支持GPS/ 北斗( 天线需单独下单)</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校时功能：支持，NTP 校时; 卫星校时;PTP 校时</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供电方式：AC100V~AC240V(50HZ)</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功耗：≤18W</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工作温度：-40°C~+65°C</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工作湿度：10%~90%</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防护等级：IP66</w:t>
      </w:r>
    </w:p>
    <w:p>
      <w:pPr>
        <w:numPr>
          <w:ilvl w:val="0"/>
          <w:numId w:val="6"/>
        </w:numPr>
        <w:spacing w:line="360" w:lineRule="exact"/>
        <w:ind w:left="0" w:firstLine="420" w:firstLineChars="200"/>
        <w:rPr>
          <w:rFonts w:ascii="宋体" w:hAnsi="宋体" w:cs="宋体"/>
          <w:color w:val="000000"/>
        </w:rPr>
      </w:pPr>
      <w:r>
        <w:rPr>
          <w:rFonts w:hint="eastAsia" w:ascii="宋体" w:hAnsi="宋体" w:cs="宋体"/>
          <w:color w:val="000000"/>
        </w:rPr>
        <w:t>产品尺寸：512.0mm×144.0mm×165.5mm( 长× 宽× 高)</w:t>
      </w:r>
    </w:p>
    <w:p>
      <w:pPr>
        <w:pStyle w:val="5"/>
        <w:snapToGrid w:val="0"/>
        <w:spacing w:before="50" w:after="156" w:afterLines="50" w:line="360" w:lineRule="exact"/>
        <w:rPr>
          <w:rFonts w:ascii="宋体" w:hAnsi="宋体" w:cs="宋体"/>
          <w:sz w:val="21"/>
          <w:szCs w:val="21"/>
        </w:rPr>
      </w:pPr>
      <w:r>
        <w:rPr>
          <w:rFonts w:ascii="宋体" w:hAnsi="宋体" w:cs="宋体"/>
          <w:sz w:val="21"/>
          <w:szCs w:val="21"/>
        </w:rPr>
        <w:t>2.1.3</w:t>
      </w:r>
      <w:r>
        <w:rPr>
          <w:rFonts w:hint="eastAsia" w:ascii="宋体" w:hAnsi="宋体" w:cs="宋体"/>
          <w:sz w:val="21"/>
          <w:szCs w:val="21"/>
        </w:rPr>
        <w:t>边缘计算单元 MEC：</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GPU：512-Core NVIDIA Volta GPU with 64 Tensor Cores</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运存：32GB 256-Bit LPDDR4x</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存储：32GB eMMC 5.1</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AI算力：32TOPS</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存储扩展：具备卡槽，SSD 支持512G、1T 等选配</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电源：DC-in 12-36V</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功耗：65W</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工作温度：-20°C ~ 60°C CPU/GPU 满载运行 ; -20°C ~ 75°C 降频运行</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工作湿度：5~95% @ 40°C, 无冷凝</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防护等级：IP50</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支持多方向4路雷达、4路视频帧级拟合</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支持拓展多种传感器、RSU通信设备的接入</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支持端边云算法、数据协同</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采用嵌入式Linux 操作系统，不易受病毒攻击</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接入视频格式：H.264、H.265、MJPEG</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车道级目标与事件位置输出，支持球机联动追踪</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融合雷达和视频数据，实时采集全量交通目标结构化信息数据，实现高速、匝道、隧道等多场景事件检测、连续跟踪、轨迹还原</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利用3D目标检测算法，支持人、机、非、锥筒等全量目标的全结构化智能识别，给出目标物的3D Box</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精准判断物体的形状、位置等信息，检测车辆属性，包括：车身颜色、车型、车牌颜色、车牌号码等</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支持交通流量、排队长度、瞬时速度、平均速度、时间占有率、空间占有率等交通参数的实时计算、统计、输出</w:t>
      </w:r>
    </w:p>
    <w:p>
      <w:pPr>
        <w:numPr>
          <w:ilvl w:val="0"/>
          <w:numId w:val="6"/>
        </w:numPr>
        <w:spacing w:line="360" w:lineRule="exact"/>
        <w:ind w:left="0" w:firstLine="420" w:firstLineChars="200"/>
        <w:rPr>
          <w:rFonts w:ascii="宋体" w:hAnsi="宋体" w:cs="宋体"/>
          <w:color w:val="000000"/>
        </w:rPr>
      </w:pPr>
      <w:r>
        <w:rPr>
          <w:rFonts w:hint="eastAsia" w:ascii="宋体" w:hAnsi="宋体" w:cs="宋体"/>
          <w:color w:val="000000"/>
        </w:rPr>
        <w:t>支持异常停车、行人闯入、占用应急车道、非机动车闯入、逆行、施工区检测、拥堵事件、遗撒物、超速低速、穿越导流区等多种事件检测</w:t>
      </w:r>
    </w:p>
    <w:p>
      <w:pPr>
        <w:pStyle w:val="5"/>
        <w:snapToGrid w:val="0"/>
        <w:spacing w:before="50" w:after="156" w:afterLines="50" w:line="360" w:lineRule="exact"/>
        <w:rPr>
          <w:rFonts w:ascii="宋体" w:hAnsi="宋体" w:cs="宋体"/>
          <w:sz w:val="21"/>
          <w:szCs w:val="21"/>
        </w:rPr>
      </w:pPr>
      <w:r>
        <w:rPr>
          <w:rFonts w:ascii="宋体" w:hAnsi="宋体" w:cs="宋体"/>
          <w:sz w:val="21"/>
          <w:szCs w:val="21"/>
        </w:rPr>
        <w:t>2.1.4</w:t>
      </w:r>
      <w:r>
        <w:rPr>
          <w:rFonts w:hint="eastAsia" w:ascii="宋体" w:hAnsi="宋体" w:cs="宋体"/>
          <w:sz w:val="21"/>
          <w:szCs w:val="21"/>
        </w:rPr>
        <w:t>激光球机：</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内置GPU芯片，支持深度学习算法，有效提升检测准确率</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支持人脸检测；支持优选；支持抓拍；支持上报最优的人脸抓图；支持人脸增强；支持人脸属性提取，6种属性8种表情</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支持绊线入侵、区域入侵、穿越围栏、徘徊、物品遗留、物品搬移、快速移动、停车、人员聚集检测；支持人车分类报警；</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支持联动跟踪</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支持56倍光学变倍</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支持H.265编码，实现超低码流传输</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支持隐私遮挡，最多24块区域,同时最多有8块区域在同一个画面</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宽动态效果，加上图像降噪功能，完美的白天/夜晚图像展现</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内置600米激光补光</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室外球达到IP67防护等级，8000V防雷、防浪涌和防突波保护</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支持软件集成的开放式API，支持标准协议(Onvif、CGI、GB/T28181)、支持大华SDK 和第三方管理平台接入</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支持三码流技术</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水平方向360°连续旋转，垂直方向-20°～90°自动翻转180°后连续监视，无监视盲区</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支持300个预置位</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可以按照所设置的预置位完成8条巡航路径</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可设置5条巡迹路径，每条路径的记录时间大于15分钟</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支持DC36V±25%宽电压输入</w:t>
      </w:r>
    </w:p>
    <w:p>
      <w:pPr>
        <w:numPr>
          <w:ilvl w:val="0"/>
          <w:numId w:val="6"/>
        </w:numPr>
        <w:spacing w:line="360" w:lineRule="exact"/>
        <w:ind w:left="0" w:firstLine="420" w:firstLineChars="200"/>
        <w:rPr>
          <w:rFonts w:ascii="宋体" w:hAnsi="宋体" w:cs="宋体"/>
          <w:color w:val="000000"/>
        </w:rPr>
      </w:pPr>
      <w:r>
        <w:rPr>
          <w:rFonts w:hint="eastAsia" w:ascii="宋体" w:hAnsi="宋体" w:cs="宋体"/>
          <w:color w:val="000000"/>
        </w:rPr>
        <w:t>支持国密算法 SM1、SM2、SM3、SM4，支持GB35114 A级</w:t>
      </w:r>
    </w:p>
    <w:p>
      <w:pPr>
        <w:pStyle w:val="5"/>
        <w:snapToGrid w:val="0"/>
        <w:spacing w:before="50" w:after="156" w:afterLines="50" w:line="360" w:lineRule="exact"/>
        <w:rPr>
          <w:rFonts w:ascii="宋体" w:hAnsi="宋体" w:cs="宋体"/>
          <w:sz w:val="21"/>
          <w:szCs w:val="21"/>
        </w:rPr>
      </w:pPr>
      <w:r>
        <w:rPr>
          <w:rFonts w:ascii="宋体" w:hAnsi="宋体" w:cs="宋体"/>
          <w:sz w:val="21"/>
          <w:szCs w:val="21"/>
        </w:rPr>
        <w:t>2.1.5</w:t>
      </w:r>
      <w:r>
        <w:rPr>
          <w:rFonts w:hint="eastAsia" w:ascii="宋体" w:hAnsi="宋体" w:cs="宋体"/>
          <w:sz w:val="21"/>
          <w:szCs w:val="21"/>
        </w:rPr>
        <w:t>工业以太网交换机：</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4千兆光口8千兆电口（均含满配光模块）；支持DRP/DHP，自愈时间＜20ms</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802.3af/at PoE端口 可为负载提供最大30W的功率；</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支持宽温度范围-40℃～+75℃</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IP30防护等级</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IP30防护等级符合工业三级电磁兼容性要求</w:t>
      </w:r>
    </w:p>
    <w:p>
      <w:pPr>
        <w:pStyle w:val="5"/>
        <w:spacing w:before="0" w:after="0" w:line="360" w:lineRule="exact"/>
        <w:rPr>
          <w:rFonts w:ascii="宋体" w:hAnsi="宋体" w:cs="宋体"/>
          <w:sz w:val="21"/>
          <w:szCs w:val="21"/>
        </w:rPr>
      </w:pPr>
      <w:r>
        <w:rPr>
          <w:rFonts w:ascii="宋体" w:hAnsi="宋体" w:cs="宋体"/>
          <w:sz w:val="21"/>
          <w:szCs w:val="21"/>
        </w:rPr>
        <w:t>2.1.6</w:t>
      </w:r>
      <w:r>
        <w:rPr>
          <w:rFonts w:hint="eastAsia" w:ascii="宋体" w:hAnsi="宋体" w:cs="宋体"/>
          <w:sz w:val="21"/>
          <w:szCs w:val="21"/>
        </w:rPr>
        <w:t>工业以太网交换机：</w:t>
      </w:r>
    </w:p>
    <w:p>
      <w:pPr>
        <w:numPr>
          <w:ilvl w:val="0"/>
          <w:numId w:val="6"/>
        </w:numPr>
        <w:spacing w:line="360" w:lineRule="exact"/>
        <w:ind w:left="0" w:firstLine="420" w:firstLineChars="200"/>
        <w:rPr>
          <w:rFonts w:ascii="宋体" w:hAnsi="宋体" w:cs="宋体"/>
          <w:color w:val="000000"/>
        </w:rPr>
      </w:pPr>
      <w:r>
        <w:rPr>
          <w:rFonts w:hint="eastAsia" w:ascii="宋体" w:hAnsi="宋体" w:cs="宋体"/>
          <w:color w:val="000000"/>
        </w:rPr>
        <w:t>通信机制：V2X：LTE-V2X PC5（Mode 4）直通式通信；</w:t>
      </w:r>
    </w:p>
    <w:p>
      <w:pPr>
        <w:numPr>
          <w:ilvl w:val="0"/>
          <w:numId w:val="6"/>
        </w:numPr>
        <w:spacing w:line="360" w:lineRule="exact"/>
        <w:ind w:left="0" w:firstLine="420" w:firstLineChars="200"/>
        <w:rPr>
          <w:rFonts w:ascii="宋体" w:hAnsi="宋体" w:cs="宋体"/>
          <w:color w:val="000000"/>
        </w:rPr>
      </w:pPr>
      <w:r>
        <w:rPr>
          <w:rFonts w:hint="eastAsia" w:ascii="宋体" w:hAnsi="宋体" w:cs="宋体"/>
          <w:color w:val="000000"/>
        </w:rPr>
        <w:t>移动通信：5G NR SA/NSA、LTE-FDD、LTE-TDD、DC-HSDPA、HSPA+、HSDPA、HSUPA、WCDMA；射频指标：工作频段：5.905-5.925GHz；工作带宽：</w:t>
      </w:r>
    </w:p>
    <w:p>
      <w:pPr>
        <w:numPr>
          <w:ilvl w:val="0"/>
          <w:numId w:val="6"/>
        </w:numPr>
        <w:spacing w:line="360" w:lineRule="exact"/>
        <w:ind w:left="0" w:firstLine="420" w:firstLineChars="200"/>
        <w:rPr>
          <w:rFonts w:ascii="宋体" w:hAnsi="宋体" w:cs="宋体"/>
          <w:color w:val="000000"/>
        </w:rPr>
      </w:pPr>
      <w:r>
        <w:rPr>
          <w:rFonts w:hint="eastAsia" w:ascii="宋体" w:hAnsi="宋体" w:cs="宋体"/>
          <w:color w:val="000000"/>
        </w:rPr>
        <w:t>20MHz；发射功率：23dBm（最大）；收发通道：单发双收；接收灵敏度：-97dBm；</w:t>
      </w:r>
    </w:p>
    <w:p>
      <w:pPr>
        <w:numPr>
          <w:ilvl w:val="0"/>
          <w:numId w:val="6"/>
        </w:numPr>
        <w:spacing w:line="360" w:lineRule="exact"/>
        <w:ind w:left="0" w:firstLine="420" w:firstLineChars="200"/>
        <w:rPr>
          <w:rFonts w:ascii="宋体" w:hAnsi="宋体" w:cs="宋体"/>
          <w:color w:val="000000"/>
        </w:rPr>
      </w:pPr>
      <w:r>
        <w:rPr>
          <w:rFonts w:hint="eastAsia" w:ascii="宋体" w:hAnsi="宋体" w:cs="宋体"/>
          <w:color w:val="000000"/>
        </w:rPr>
        <w:t>通信指标：通信时延≤20ms；传输带宽≥300Kbps；</w:t>
      </w:r>
    </w:p>
    <w:p>
      <w:pPr>
        <w:numPr>
          <w:ilvl w:val="0"/>
          <w:numId w:val="6"/>
        </w:numPr>
        <w:spacing w:line="360" w:lineRule="exact"/>
        <w:ind w:left="0" w:firstLine="420" w:firstLineChars="200"/>
        <w:rPr>
          <w:rFonts w:ascii="宋体" w:hAnsi="宋体" w:cs="宋体"/>
          <w:color w:val="000000"/>
        </w:rPr>
      </w:pPr>
      <w:r>
        <w:rPr>
          <w:rFonts w:hint="eastAsia" w:ascii="宋体" w:hAnsi="宋体" w:cs="宋体"/>
          <w:color w:val="000000"/>
        </w:rPr>
        <w:t>覆盖范围≥800m(理想条件)；覆</w:t>
      </w:r>
    </w:p>
    <w:p>
      <w:pPr>
        <w:numPr>
          <w:ilvl w:val="0"/>
          <w:numId w:val="6"/>
        </w:numPr>
        <w:spacing w:line="360" w:lineRule="exact"/>
        <w:ind w:left="0" w:firstLine="420" w:firstLineChars="200"/>
        <w:rPr>
          <w:rFonts w:ascii="宋体" w:hAnsi="宋体" w:cs="宋体"/>
          <w:color w:val="000000"/>
        </w:rPr>
      </w:pPr>
      <w:r>
        <w:rPr>
          <w:rFonts w:hint="eastAsia" w:ascii="宋体" w:hAnsi="宋体" w:cs="宋体"/>
          <w:color w:val="000000"/>
        </w:rPr>
        <w:t>盖范围内收包率≥99%</w:t>
      </w:r>
    </w:p>
    <w:p>
      <w:pPr>
        <w:pStyle w:val="5"/>
        <w:snapToGrid w:val="0"/>
        <w:spacing w:before="50" w:after="156" w:afterLines="50" w:line="360" w:lineRule="exact"/>
        <w:rPr>
          <w:rFonts w:ascii="宋体" w:hAnsi="宋体" w:cs="宋体"/>
          <w:sz w:val="21"/>
          <w:szCs w:val="21"/>
        </w:rPr>
      </w:pPr>
      <w:r>
        <w:rPr>
          <w:rFonts w:ascii="宋体" w:hAnsi="宋体" w:cs="宋体"/>
          <w:sz w:val="21"/>
          <w:szCs w:val="21"/>
        </w:rPr>
        <w:t>2.1.7</w:t>
      </w:r>
      <w:r>
        <w:rPr>
          <w:rFonts w:hint="eastAsia" w:ascii="宋体" w:hAnsi="宋体" w:cs="宋体"/>
          <w:sz w:val="21"/>
          <w:szCs w:val="21"/>
        </w:rPr>
        <w:t>工业以太网交换机：</w:t>
      </w:r>
    </w:p>
    <w:p>
      <w:pPr>
        <w:numPr>
          <w:ilvl w:val="0"/>
          <w:numId w:val="6"/>
        </w:numPr>
        <w:spacing w:line="360" w:lineRule="exact"/>
        <w:ind w:left="0" w:firstLine="420" w:firstLineChars="200"/>
        <w:rPr>
          <w:rFonts w:ascii="宋体" w:hAnsi="宋体" w:cs="宋体"/>
          <w:color w:val="000000"/>
        </w:rPr>
      </w:pPr>
      <w:r>
        <w:rPr>
          <w:rFonts w:hint="eastAsia" w:ascii="宋体" w:hAnsi="宋体" w:cs="宋体"/>
          <w:color w:val="000000"/>
        </w:rPr>
        <w:t>枪机，不低于300万像素，可输出车流量、车速等结构化数据</w:t>
      </w:r>
    </w:p>
    <w:p>
      <w:pPr>
        <w:pStyle w:val="5"/>
        <w:snapToGrid w:val="0"/>
        <w:spacing w:before="50" w:after="156" w:afterLines="50" w:line="360" w:lineRule="exact"/>
        <w:rPr>
          <w:rFonts w:ascii="宋体" w:hAnsi="宋体" w:cs="宋体"/>
          <w:sz w:val="21"/>
          <w:szCs w:val="21"/>
        </w:rPr>
      </w:pPr>
      <w:r>
        <w:rPr>
          <w:rFonts w:ascii="宋体" w:hAnsi="宋体" w:cs="宋体"/>
          <w:sz w:val="21"/>
          <w:szCs w:val="21"/>
        </w:rPr>
        <w:t>2.1.8</w:t>
      </w:r>
      <w:r>
        <w:rPr>
          <w:rFonts w:hint="eastAsia" w:ascii="宋体" w:hAnsi="宋体" w:cs="宋体"/>
          <w:sz w:val="21"/>
          <w:szCs w:val="21"/>
        </w:rPr>
        <w:t>视频监控球机：</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不低于200万像素，4.3-129mm, 30倍光学变焦</w:t>
      </w:r>
    </w:p>
    <w:p>
      <w:pPr>
        <w:pStyle w:val="5"/>
        <w:snapToGrid w:val="0"/>
        <w:spacing w:before="50" w:after="156" w:afterLines="50" w:line="360" w:lineRule="exact"/>
        <w:rPr>
          <w:rFonts w:ascii="宋体" w:hAnsi="宋体" w:cs="宋体"/>
          <w:sz w:val="21"/>
          <w:szCs w:val="21"/>
        </w:rPr>
      </w:pPr>
      <w:r>
        <w:rPr>
          <w:rFonts w:ascii="宋体" w:hAnsi="宋体" w:cs="宋体"/>
          <w:sz w:val="21"/>
          <w:szCs w:val="21"/>
        </w:rPr>
        <w:t>2.1.9</w:t>
      </w:r>
      <w:r>
        <w:rPr>
          <w:rFonts w:hint="eastAsia" w:ascii="宋体" w:hAnsi="宋体" w:cs="宋体"/>
          <w:sz w:val="21"/>
          <w:szCs w:val="21"/>
        </w:rPr>
        <w:t>设备亭监控摄像机</w:t>
      </w:r>
    </w:p>
    <w:p>
      <w:pPr>
        <w:numPr>
          <w:ilvl w:val="0"/>
          <w:numId w:val="6"/>
        </w:numPr>
        <w:spacing w:line="360" w:lineRule="exact"/>
        <w:ind w:left="0" w:firstLine="420" w:firstLineChars="200"/>
        <w:rPr>
          <w:rFonts w:hint="eastAsia" w:ascii="宋体" w:hAnsi="宋体" w:cs="宋体"/>
          <w:color w:val="000000"/>
        </w:rPr>
      </w:pPr>
      <w:r>
        <w:rPr>
          <w:rFonts w:hint="eastAsia"/>
        </w:rPr>
        <w:t>200万像素，带红外，监控户外设备亭</w:t>
      </w:r>
    </w:p>
    <w:p>
      <w:pPr>
        <w:pStyle w:val="5"/>
        <w:snapToGrid w:val="0"/>
        <w:spacing w:before="50" w:after="156" w:afterLines="50" w:line="360" w:lineRule="exact"/>
        <w:rPr>
          <w:rFonts w:ascii="宋体" w:hAnsi="宋体" w:cs="宋体"/>
          <w:sz w:val="21"/>
          <w:szCs w:val="21"/>
        </w:rPr>
      </w:pPr>
      <w:r>
        <w:rPr>
          <w:rFonts w:ascii="宋体" w:hAnsi="宋体" w:cs="宋体"/>
          <w:sz w:val="21"/>
          <w:szCs w:val="21"/>
        </w:rPr>
        <w:t>2.1.10</w:t>
      </w:r>
      <w:r>
        <w:rPr>
          <w:rFonts w:hint="eastAsia" w:ascii="宋体" w:hAnsi="宋体" w:cs="宋体"/>
          <w:sz w:val="21"/>
          <w:szCs w:val="21"/>
        </w:rPr>
        <w:t>枪球联动一体机</w:t>
      </w:r>
    </w:p>
    <w:p>
      <w:pPr>
        <w:numPr>
          <w:ilvl w:val="0"/>
          <w:numId w:val="6"/>
        </w:numPr>
        <w:spacing w:line="360" w:lineRule="exact"/>
        <w:ind w:left="0" w:firstLine="420" w:firstLineChars="200"/>
        <w:rPr>
          <w:rFonts w:hint="eastAsia"/>
        </w:rPr>
      </w:pPr>
      <w:r>
        <w:rPr>
          <w:rFonts w:hint="eastAsia"/>
        </w:rPr>
        <w:t>图像视频延时：&lt;90ms；宽动态：120dB；8~32mm @ F1.8+4 mm @F1.0双通道摄像机</w:t>
      </w:r>
    </w:p>
    <w:p>
      <w:pPr>
        <w:pStyle w:val="5"/>
        <w:snapToGrid w:val="0"/>
        <w:spacing w:before="50" w:after="156" w:afterLines="50" w:line="360" w:lineRule="exact"/>
        <w:rPr>
          <w:rFonts w:ascii="宋体" w:hAnsi="宋体" w:cs="宋体"/>
          <w:sz w:val="21"/>
          <w:szCs w:val="21"/>
        </w:rPr>
      </w:pPr>
      <w:r>
        <w:rPr>
          <w:rFonts w:ascii="宋体" w:hAnsi="宋体" w:cs="宋体"/>
          <w:sz w:val="21"/>
          <w:szCs w:val="21"/>
        </w:rPr>
        <w:t>2.1.11 NVR</w:t>
      </w:r>
      <w:r>
        <w:rPr>
          <w:rFonts w:hint="eastAsia" w:ascii="宋体" w:hAnsi="宋体" w:cs="宋体"/>
          <w:sz w:val="21"/>
          <w:szCs w:val="21"/>
        </w:rPr>
        <w:t>_</w:t>
      </w:r>
      <w:r>
        <w:rPr>
          <w:rFonts w:ascii="宋体" w:hAnsi="宋体" w:cs="宋体"/>
          <w:sz w:val="21"/>
          <w:szCs w:val="21"/>
        </w:rPr>
        <w:t>1</w:t>
      </w:r>
    </w:p>
    <w:p>
      <w:pPr>
        <w:numPr>
          <w:ilvl w:val="0"/>
          <w:numId w:val="6"/>
        </w:numPr>
        <w:spacing w:line="360" w:lineRule="exact"/>
        <w:ind w:left="0" w:firstLine="420" w:firstLineChars="200"/>
        <w:rPr>
          <w:rFonts w:hint="eastAsia"/>
        </w:rPr>
      </w:pPr>
      <w:r>
        <w:rPr>
          <w:rFonts w:hint="eastAsia"/>
        </w:rPr>
        <w:t>存储容量 24T，最大支持 96T</w:t>
      </w:r>
    </w:p>
    <w:p>
      <w:pPr>
        <w:pStyle w:val="5"/>
        <w:snapToGrid w:val="0"/>
        <w:spacing w:before="50" w:after="156" w:afterLines="50" w:line="360" w:lineRule="exact"/>
        <w:rPr>
          <w:rFonts w:hint="eastAsia" w:ascii="宋体" w:hAnsi="宋体" w:cs="宋体"/>
          <w:sz w:val="21"/>
          <w:szCs w:val="21"/>
        </w:rPr>
      </w:pPr>
      <w:r>
        <w:rPr>
          <w:rFonts w:ascii="宋体" w:hAnsi="宋体" w:cs="宋体"/>
          <w:sz w:val="21"/>
          <w:szCs w:val="21"/>
        </w:rPr>
        <w:t>2.1.12 NVR</w:t>
      </w:r>
      <w:r>
        <w:rPr>
          <w:rFonts w:hint="eastAsia" w:ascii="宋体" w:hAnsi="宋体" w:cs="宋体"/>
          <w:sz w:val="21"/>
          <w:szCs w:val="21"/>
        </w:rPr>
        <w:t>_</w:t>
      </w:r>
      <w:r>
        <w:rPr>
          <w:rFonts w:ascii="宋体" w:hAnsi="宋体" w:cs="宋体"/>
          <w:sz w:val="21"/>
          <w:szCs w:val="21"/>
        </w:rPr>
        <w:t>2</w:t>
      </w:r>
    </w:p>
    <w:p>
      <w:pPr>
        <w:numPr>
          <w:ilvl w:val="0"/>
          <w:numId w:val="6"/>
        </w:numPr>
        <w:spacing w:line="360" w:lineRule="exact"/>
        <w:ind w:left="0" w:firstLine="420" w:firstLineChars="200"/>
        <w:rPr>
          <w:rFonts w:hint="eastAsia"/>
        </w:rPr>
      </w:pPr>
      <w:r>
        <w:rPr>
          <w:rFonts w:hint="eastAsia"/>
        </w:rPr>
        <w:t>存储容量 48T，最大支持 96T</w:t>
      </w:r>
    </w:p>
    <w:p>
      <w:pPr>
        <w:pStyle w:val="5"/>
        <w:snapToGrid w:val="0"/>
        <w:spacing w:before="156" w:beforeLines="50" w:after="156" w:afterLines="50" w:line="360" w:lineRule="exact"/>
        <w:rPr>
          <w:rFonts w:ascii="宋体" w:hAnsi="宋体" w:cs="宋体"/>
          <w:sz w:val="21"/>
          <w:szCs w:val="21"/>
        </w:rPr>
      </w:pPr>
      <w:r>
        <w:rPr>
          <w:rFonts w:ascii="宋体" w:hAnsi="宋体" w:cs="宋体"/>
          <w:sz w:val="21"/>
          <w:szCs w:val="21"/>
        </w:rPr>
        <w:t>2.2.</w:t>
      </w:r>
      <w:r>
        <w:rPr>
          <w:rFonts w:hint="eastAsia" w:ascii="宋体" w:hAnsi="宋体" w:cs="宋体"/>
          <w:sz w:val="21"/>
          <w:szCs w:val="21"/>
        </w:rPr>
        <w:t>系统软件：</w:t>
      </w:r>
    </w:p>
    <w:p>
      <w:pPr>
        <w:pStyle w:val="5"/>
        <w:snapToGrid w:val="0"/>
        <w:spacing w:before="156" w:beforeLines="50" w:after="156" w:afterLines="50" w:line="360" w:lineRule="exact"/>
        <w:rPr>
          <w:rFonts w:ascii="宋体" w:hAnsi="宋体" w:cs="宋体"/>
          <w:sz w:val="21"/>
          <w:szCs w:val="21"/>
        </w:rPr>
      </w:pPr>
      <w:r>
        <w:rPr>
          <w:rFonts w:ascii="宋体" w:hAnsi="宋体" w:cs="宋体"/>
          <w:sz w:val="21"/>
          <w:szCs w:val="21"/>
        </w:rPr>
        <w:t>2.2.1</w:t>
      </w:r>
      <w:r>
        <w:rPr>
          <w:rFonts w:hint="eastAsia" w:ascii="宋体" w:hAnsi="宋体" w:cs="宋体"/>
          <w:sz w:val="21"/>
          <w:szCs w:val="21"/>
        </w:rPr>
        <w:t>外场普通道路数字孪生系统：</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实现设备的数据整合、记录、管理、统计，并具象化呈现信息</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对MEC设备远程管理</w:t>
      </w:r>
    </w:p>
    <w:p>
      <w:pPr>
        <w:pStyle w:val="5"/>
        <w:snapToGrid w:val="0"/>
        <w:spacing w:before="156" w:beforeLines="50" w:after="156" w:afterLines="50" w:line="360" w:lineRule="exact"/>
        <w:rPr>
          <w:rFonts w:ascii="宋体" w:hAnsi="宋体" w:cs="宋体"/>
          <w:sz w:val="21"/>
          <w:szCs w:val="21"/>
        </w:rPr>
      </w:pPr>
      <w:r>
        <w:rPr>
          <w:rFonts w:ascii="宋体" w:hAnsi="宋体" w:cs="宋体"/>
          <w:sz w:val="21"/>
          <w:szCs w:val="21"/>
        </w:rPr>
        <w:t>3</w:t>
      </w:r>
      <w:r>
        <w:rPr>
          <w:rFonts w:hint="eastAsia" w:ascii="宋体" w:hAnsi="宋体" w:cs="宋体"/>
          <w:sz w:val="21"/>
          <w:szCs w:val="21"/>
        </w:rPr>
        <w:t>.数字孪生集成实施要求</w:t>
      </w:r>
    </w:p>
    <w:p>
      <w:pPr>
        <w:pStyle w:val="5"/>
        <w:snapToGrid w:val="0"/>
        <w:spacing w:before="156" w:beforeLines="50" w:after="156" w:afterLines="50" w:line="360" w:lineRule="exact"/>
        <w:rPr>
          <w:rFonts w:ascii="宋体" w:hAnsi="宋体" w:cs="宋体"/>
          <w:sz w:val="21"/>
          <w:szCs w:val="21"/>
        </w:rPr>
      </w:pPr>
      <w:r>
        <w:rPr>
          <w:rFonts w:ascii="宋体" w:hAnsi="宋体" w:cs="宋体"/>
          <w:sz w:val="21"/>
          <w:szCs w:val="21"/>
        </w:rPr>
        <w:t>3</w:t>
      </w:r>
      <w:r>
        <w:rPr>
          <w:rFonts w:hint="eastAsia" w:ascii="宋体" w:hAnsi="宋体" w:cs="宋体"/>
          <w:sz w:val="21"/>
          <w:szCs w:val="21"/>
        </w:rPr>
        <w:t>.1硬件设备交付实施</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按照智慧高速外场普通高速路段数字孪生系统设计文件要求完成项目安装部署工作，包括设备调试，硬件标定，网络组网，系统配置，操作系统安装（含各类设备驱动），系统参数调整等基础环境准备工作。</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负责设备验收前的设备看护工作。</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完成现场施工交付物（含设备杆件基础以及设备安装点位供电通网）验收与交接。</w:t>
      </w:r>
    </w:p>
    <w:p>
      <w:pPr>
        <w:pStyle w:val="5"/>
        <w:snapToGrid w:val="0"/>
        <w:spacing w:before="156" w:beforeLines="50" w:after="156" w:afterLines="50" w:line="360" w:lineRule="exact"/>
        <w:rPr>
          <w:rFonts w:ascii="宋体" w:hAnsi="宋体" w:cs="宋体"/>
          <w:sz w:val="21"/>
          <w:szCs w:val="21"/>
        </w:rPr>
      </w:pPr>
      <w:r>
        <w:rPr>
          <w:rFonts w:ascii="宋体" w:hAnsi="宋体" w:cs="宋体"/>
          <w:sz w:val="21"/>
          <w:szCs w:val="21"/>
        </w:rPr>
        <w:t>3</w:t>
      </w:r>
      <w:r>
        <w:rPr>
          <w:rFonts w:hint="eastAsia" w:ascii="宋体" w:hAnsi="宋体" w:cs="宋体"/>
          <w:sz w:val="21"/>
          <w:szCs w:val="21"/>
        </w:rPr>
        <w:t>.2平台软件交付实施</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按照智慧高速外场普通高速路段数字孪生系统设计文件要求完成所有软件的部署工作。</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完成数字孪生系统各软件模块的单机调试和联调工作。</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完成数字孪生系统之间和上级云控平台适配以及数据对接工作。</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根据业务需求完成数字孪生系统功能的定制开发，包括前端功能、后台管理功能等。</w:t>
      </w:r>
    </w:p>
    <w:p>
      <w:pPr>
        <w:pStyle w:val="5"/>
        <w:snapToGrid w:val="0"/>
        <w:spacing w:before="156" w:beforeLines="50" w:after="156" w:afterLines="50" w:line="360" w:lineRule="exact"/>
        <w:rPr>
          <w:rFonts w:ascii="宋体" w:hAnsi="宋体" w:cs="宋体"/>
          <w:sz w:val="21"/>
          <w:szCs w:val="21"/>
        </w:rPr>
      </w:pPr>
      <w:r>
        <w:rPr>
          <w:rFonts w:ascii="宋体" w:hAnsi="宋体" w:cs="宋体"/>
          <w:sz w:val="21"/>
          <w:szCs w:val="21"/>
        </w:rPr>
        <w:t>3</w:t>
      </w:r>
      <w:r>
        <w:rPr>
          <w:rFonts w:hint="eastAsia" w:ascii="宋体" w:hAnsi="宋体" w:cs="宋体"/>
          <w:sz w:val="21"/>
          <w:szCs w:val="21"/>
        </w:rPr>
        <w:t>.3交付实施完成标志</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完成硬件安装工作，标示标记规范完整。</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按照设计文件里面的规范要求完成竣工文件编制，内容齐全，数据准确，符合归档要求。</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数字孪生系统软件各功能使用和软件之间的适配都正常，使用手册和调试报告等文档完整，符合归档要求。</w:t>
      </w:r>
    </w:p>
    <w:p>
      <w:pPr>
        <w:numPr>
          <w:ilvl w:val="0"/>
          <w:numId w:val="6"/>
        </w:numPr>
        <w:spacing w:line="360" w:lineRule="exact"/>
        <w:ind w:left="0" w:firstLine="420" w:firstLineChars="200"/>
        <w:rPr>
          <w:rFonts w:hint="eastAsia" w:ascii="宋体" w:hAnsi="宋体" w:cs="宋体"/>
          <w:color w:val="000000"/>
        </w:rPr>
      </w:pPr>
      <w:r>
        <w:rPr>
          <w:rFonts w:hint="eastAsia" w:ascii="宋体" w:hAnsi="宋体" w:cs="宋体"/>
          <w:color w:val="000000"/>
        </w:rPr>
        <w:t>通过甲方组织的相关测试。</w:t>
      </w:r>
    </w:p>
    <w:p>
      <w:pPr>
        <w:pStyle w:val="5"/>
        <w:snapToGrid w:val="0"/>
        <w:spacing w:before="156" w:beforeLines="50" w:after="156" w:afterLines="50" w:line="360" w:lineRule="exact"/>
        <w:rPr>
          <w:rFonts w:ascii="宋体" w:hAnsi="宋体" w:cs="宋体"/>
          <w:sz w:val="21"/>
          <w:szCs w:val="21"/>
        </w:rPr>
      </w:pPr>
      <w:r>
        <w:rPr>
          <w:rFonts w:ascii="宋体" w:hAnsi="宋体" w:cs="宋体"/>
          <w:sz w:val="21"/>
          <w:szCs w:val="21"/>
        </w:rPr>
        <w:t>4</w:t>
      </w:r>
      <w:r>
        <w:rPr>
          <w:rFonts w:hint="eastAsia" w:ascii="宋体" w:hAnsi="宋体" w:cs="宋体"/>
          <w:sz w:val="21"/>
          <w:szCs w:val="21"/>
        </w:rPr>
        <w:t>. 数字孪生系统运维要求</w:t>
      </w:r>
    </w:p>
    <w:p>
      <w:pPr>
        <w:pStyle w:val="5"/>
        <w:snapToGrid w:val="0"/>
        <w:spacing w:before="156" w:beforeLines="50" w:after="156" w:afterLines="50" w:line="360" w:lineRule="exact"/>
        <w:rPr>
          <w:rFonts w:ascii="宋体" w:hAnsi="宋体" w:cs="宋体"/>
          <w:sz w:val="21"/>
          <w:szCs w:val="21"/>
        </w:rPr>
      </w:pPr>
      <w:r>
        <w:rPr>
          <w:rFonts w:ascii="宋体" w:hAnsi="宋体" w:cs="宋体"/>
          <w:sz w:val="21"/>
          <w:szCs w:val="21"/>
        </w:rPr>
        <w:t>4</w:t>
      </w:r>
      <w:r>
        <w:rPr>
          <w:rFonts w:hint="eastAsia" w:ascii="宋体" w:hAnsi="宋体" w:cs="宋体"/>
          <w:sz w:val="21"/>
          <w:szCs w:val="21"/>
        </w:rPr>
        <w:t>.1运维要求</w:t>
      </w:r>
    </w:p>
    <w:p>
      <w:pPr>
        <w:spacing w:line="360" w:lineRule="exact"/>
        <w:ind w:firstLine="420" w:firstLineChars="200"/>
        <w:rPr>
          <w:rFonts w:ascii="宋体" w:hAnsi="宋体" w:cs="宋体"/>
          <w:color w:val="000000"/>
        </w:rPr>
      </w:pPr>
      <w:r>
        <w:rPr>
          <w:rFonts w:hint="eastAsia" w:ascii="宋体" w:hAnsi="宋体" w:cs="宋体"/>
          <w:color w:val="000000"/>
        </w:rPr>
        <w:t>中标方需按招标文件要求安排符合本项目专业技术的工程师对</w:t>
      </w:r>
      <w:r>
        <w:rPr>
          <w:rFonts w:hint="eastAsia" w:ascii="宋体" w:hAnsi="宋体" w:cs="宋体"/>
          <w:szCs w:val="21"/>
        </w:rPr>
        <w:t>数字孪生系统提供</w:t>
      </w:r>
      <w:r>
        <w:rPr>
          <w:rFonts w:hint="eastAsia" w:ascii="宋体" w:hAnsi="宋体" w:cs="宋体"/>
          <w:color w:val="000000"/>
        </w:rPr>
        <w:t>的运维工作，保障缺陷责任期内系统的稳定和安全运行。</w:t>
      </w:r>
    </w:p>
    <w:p>
      <w:pPr>
        <w:pStyle w:val="5"/>
        <w:spacing w:before="0" w:after="0" w:line="360" w:lineRule="exact"/>
        <w:rPr>
          <w:rFonts w:ascii="宋体" w:hAnsi="宋体" w:cs="宋体"/>
          <w:sz w:val="21"/>
          <w:szCs w:val="21"/>
        </w:rPr>
      </w:pPr>
      <w:r>
        <w:rPr>
          <w:rFonts w:ascii="宋体" w:hAnsi="宋体" w:cs="宋体"/>
          <w:sz w:val="21"/>
          <w:szCs w:val="21"/>
        </w:rPr>
        <w:t>4</w:t>
      </w:r>
      <w:r>
        <w:rPr>
          <w:rFonts w:hint="eastAsia" w:ascii="宋体" w:hAnsi="宋体" w:cs="宋体"/>
          <w:sz w:val="21"/>
          <w:szCs w:val="21"/>
        </w:rPr>
        <w:t>.2工作范围</w:t>
      </w:r>
    </w:p>
    <w:p>
      <w:pPr>
        <w:numPr>
          <w:ilvl w:val="0"/>
          <w:numId w:val="7"/>
        </w:numPr>
        <w:spacing w:line="360" w:lineRule="exact"/>
        <w:ind w:left="0" w:firstLine="420" w:firstLineChars="200"/>
        <w:rPr>
          <w:rFonts w:ascii="宋体" w:hAnsi="宋体" w:cs="宋体"/>
          <w:color w:val="000000"/>
        </w:rPr>
      </w:pPr>
      <w:r>
        <w:rPr>
          <w:rFonts w:hint="eastAsia" w:ascii="宋体" w:hAnsi="宋体" w:cs="宋体"/>
          <w:szCs w:val="21"/>
        </w:rPr>
        <w:t>数字孪生系统</w:t>
      </w:r>
      <w:r>
        <w:rPr>
          <w:rFonts w:hint="eastAsia" w:ascii="宋体" w:hAnsi="宋体" w:cs="宋体"/>
          <w:color w:val="000000"/>
        </w:rPr>
        <w:t>硬件运维：包括但不限于外场设备、网络节点与组网连接。</w:t>
      </w:r>
    </w:p>
    <w:p>
      <w:pPr>
        <w:numPr>
          <w:ilvl w:val="0"/>
          <w:numId w:val="7"/>
        </w:numPr>
        <w:spacing w:line="360" w:lineRule="exact"/>
        <w:ind w:left="0" w:firstLine="420" w:firstLineChars="200"/>
        <w:rPr>
          <w:rFonts w:ascii="宋体" w:hAnsi="宋体" w:cs="宋体"/>
          <w:color w:val="000000"/>
        </w:rPr>
      </w:pPr>
      <w:r>
        <w:rPr>
          <w:rFonts w:hint="eastAsia" w:ascii="宋体" w:hAnsi="宋体" w:cs="宋体"/>
          <w:szCs w:val="21"/>
        </w:rPr>
        <w:t>数字孪生系统</w:t>
      </w:r>
      <w:r>
        <w:rPr>
          <w:rFonts w:hint="eastAsia" w:ascii="宋体" w:hAnsi="宋体" w:cs="宋体"/>
          <w:color w:val="000000"/>
        </w:rPr>
        <w:t>软件运维：包括但不限于</w:t>
      </w:r>
      <w:r>
        <w:rPr>
          <w:rFonts w:hint="eastAsia" w:ascii="宋体" w:hAnsi="宋体" w:cs="宋体"/>
          <w:szCs w:val="21"/>
        </w:rPr>
        <w:t>数字孪生系统外场设备与后台应用涉及的</w:t>
      </w:r>
      <w:r>
        <w:rPr>
          <w:rFonts w:hint="eastAsia" w:ascii="宋体" w:hAnsi="宋体" w:cs="宋体"/>
          <w:color w:val="000000"/>
        </w:rPr>
        <w:t>基础运行环境（runtime）、网络环境、应用功能以及业务数据质量。</w:t>
      </w:r>
    </w:p>
    <w:p>
      <w:pPr>
        <w:numPr>
          <w:ilvl w:val="0"/>
          <w:numId w:val="7"/>
        </w:numPr>
        <w:spacing w:line="360" w:lineRule="exact"/>
        <w:ind w:left="0" w:firstLine="420" w:firstLineChars="200"/>
        <w:rPr>
          <w:rFonts w:ascii="宋体" w:hAnsi="宋体" w:cs="宋体"/>
          <w:color w:val="000000"/>
        </w:rPr>
      </w:pPr>
      <w:r>
        <w:rPr>
          <w:rFonts w:hint="eastAsia" w:ascii="宋体" w:hAnsi="宋体" w:cs="宋体"/>
          <w:szCs w:val="21"/>
        </w:rPr>
        <w:t>数字孪生系统建设</w:t>
      </w:r>
      <w:r>
        <w:rPr>
          <w:rFonts w:hint="eastAsia" w:ascii="宋体" w:hAnsi="宋体" w:cs="宋体"/>
          <w:color w:val="000000"/>
        </w:rPr>
        <w:t>项目范围内的其它工作。</w:t>
      </w:r>
    </w:p>
    <w:p>
      <w:pPr>
        <w:pStyle w:val="5"/>
        <w:snapToGrid w:val="0"/>
        <w:spacing w:before="156" w:beforeLines="50" w:after="156" w:afterLines="50" w:line="360" w:lineRule="exact"/>
        <w:rPr>
          <w:rFonts w:ascii="宋体" w:hAnsi="宋体" w:cs="宋体"/>
          <w:sz w:val="21"/>
          <w:szCs w:val="21"/>
        </w:rPr>
      </w:pPr>
      <w:r>
        <w:rPr>
          <w:rFonts w:ascii="宋体" w:hAnsi="宋体" w:cs="宋体"/>
          <w:sz w:val="21"/>
          <w:szCs w:val="21"/>
        </w:rPr>
        <w:t>4</w:t>
      </w:r>
      <w:r>
        <w:rPr>
          <w:rFonts w:hint="eastAsia" w:ascii="宋体" w:hAnsi="宋体" w:cs="宋体"/>
          <w:sz w:val="21"/>
          <w:szCs w:val="21"/>
        </w:rPr>
        <w:t>.3数字孪生系统运维服务清单</w:t>
      </w:r>
    </w:p>
    <w:p>
      <w:pPr>
        <w:pStyle w:val="5"/>
        <w:snapToGrid w:val="0"/>
        <w:spacing w:before="156" w:beforeLines="50" w:after="156" w:afterLines="50" w:line="360" w:lineRule="exact"/>
        <w:rPr>
          <w:rFonts w:ascii="宋体" w:hAnsi="宋体" w:cs="宋体"/>
          <w:sz w:val="21"/>
          <w:szCs w:val="21"/>
        </w:rPr>
      </w:pPr>
      <w:r>
        <w:rPr>
          <w:rFonts w:ascii="宋体" w:hAnsi="宋体" w:cs="宋体"/>
          <w:sz w:val="21"/>
          <w:szCs w:val="21"/>
        </w:rPr>
        <w:t>4</w:t>
      </w:r>
      <w:r>
        <w:rPr>
          <w:rFonts w:hint="eastAsia" w:ascii="宋体" w:hAnsi="宋体" w:cs="宋体"/>
          <w:sz w:val="21"/>
          <w:szCs w:val="21"/>
        </w:rPr>
        <w:t>.3.1日常巡检和监控</w:t>
      </w:r>
    </w:p>
    <w:p>
      <w:pPr>
        <w:spacing w:line="360" w:lineRule="exact"/>
        <w:ind w:firstLine="420" w:firstLineChars="200"/>
        <w:rPr>
          <w:rFonts w:ascii="宋体" w:hAnsi="宋体" w:cs="宋体"/>
          <w:color w:val="000000"/>
        </w:rPr>
      </w:pPr>
      <w:r>
        <w:rPr>
          <w:rFonts w:hint="eastAsia" w:ascii="宋体" w:hAnsi="宋体" w:cs="宋体"/>
          <w:color w:val="000000"/>
        </w:rPr>
        <w:t>缺陷责任期内提供整个</w:t>
      </w:r>
      <w:r>
        <w:rPr>
          <w:rFonts w:hint="eastAsia" w:ascii="宋体" w:hAnsi="宋体" w:cs="宋体"/>
          <w:szCs w:val="21"/>
        </w:rPr>
        <w:t>数字孪生系统</w:t>
      </w:r>
      <w:r>
        <w:rPr>
          <w:rFonts w:hint="eastAsia" w:ascii="宋体" w:hAnsi="宋体" w:cs="宋体"/>
          <w:color w:val="000000"/>
        </w:rPr>
        <w:t>的日常巡检和监控服务，定期开展对</w:t>
      </w:r>
      <w:r>
        <w:rPr>
          <w:rFonts w:hint="eastAsia" w:ascii="宋体" w:hAnsi="宋体" w:cs="宋体"/>
          <w:szCs w:val="21"/>
        </w:rPr>
        <w:t>数字孪生系统外场设施</w:t>
      </w:r>
      <w:r>
        <w:rPr>
          <w:rFonts w:hint="eastAsia" w:ascii="宋体" w:hAnsi="宋体" w:cs="宋体"/>
          <w:color w:val="000000"/>
        </w:rPr>
        <w:t>设备及软件的健康状态的巡检，并形成巡检记录；</w:t>
      </w:r>
      <w:r>
        <w:rPr>
          <w:rFonts w:ascii="宋体" w:hAnsi="宋体" w:cs="宋体"/>
          <w:color w:val="000000"/>
        </w:rPr>
        <w:t xml:space="preserve"> </w:t>
      </w:r>
    </w:p>
    <w:p>
      <w:pPr>
        <w:pStyle w:val="5"/>
        <w:snapToGrid w:val="0"/>
        <w:spacing w:before="156" w:beforeLines="50" w:after="156" w:afterLines="50" w:line="360" w:lineRule="exact"/>
        <w:rPr>
          <w:rFonts w:ascii="宋体" w:hAnsi="宋体" w:cs="宋体"/>
          <w:sz w:val="21"/>
          <w:szCs w:val="21"/>
        </w:rPr>
      </w:pPr>
      <w:r>
        <w:rPr>
          <w:rFonts w:ascii="宋体" w:hAnsi="宋体" w:cs="宋体"/>
          <w:sz w:val="21"/>
          <w:szCs w:val="21"/>
        </w:rPr>
        <w:t>4</w:t>
      </w:r>
      <w:r>
        <w:rPr>
          <w:rFonts w:hint="eastAsia" w:ascii="宋体" w:hAnsi="宋体" w:cs="宋体"/>
          <w:sz w:val="21"/>
          <w:szCs w:val="21"/>
        </w:rPr>
        <w:t>.3.</w:t>
      </w:r>
      <w:r>
        <w:rPr>
          <w:rFonts w:ascii="宋体" w:hAnsi="宋体" w:cs="宋体"/>
          <w:sz w:val="21"/>
          <w:szCs w:val="21"/>
        </w:rPr>
        <w:t>2</w:t>
      </w:r>
      <w:r>
        <w:rPr>
          <w:rFonts w:hint="eastAsia" w:ascii="宋体" w:hAnsi="宋体" w:cs="宋体"/>
          <w:sz w:val="21"/>
          <w:szCs w:val="21"/>
        </w:rPr>
        <w:t>专项巡检</w:t>
      </w:r>
    </w:p>
    <w:p>
      <w:pPr>
        <w:spacing w:line="360" w:lineRule="exact"/>
        <w:ind w:firstLine="420" w:firstLineChars="200"/>
        <w:rPr>
          <w:rFonts w:ascii="宋体" w:hAnsi="宋体" w:cs="宋体"/>
          <w:color w:val="000000"/>
        </w:rPr>
      </w:pPr>
      <w:r>
        <w:rPr>
          <w:rFonts w:hint="eastAsia" w:ascii="宋体" w:hAnsi="宋体" w:cs="宋体"/>
          <w:color w:val="000000"/>
        </w:rPr>
        <w:t>缺陷责任期内定期开展专项巡检工作，并形成巡检报告；在特殊情况下，根据业主的要求，安排值守工作。</w:t>
      </w:r>
    </w:p>
    <w:p>
      <w:pPr>
        <w:pStyle w:val="5"/>
        <w:snapToGrid w:val="0"/>
        <w:spacing w:before="156" w:beforeLines="50" w:after="156" w:afterLines="50" w:line="360" w:lineRule="exact"/>
        <w:rPr>
          <w:rFonts w:ascii="宋体" w:hAnsi="宋体" w:cs="宋体"/>
          <w:sz w:val="21"/>
          <w:szCs w:val="21"/>
        </w:rPr>
      </w:pPr>
      <w:r>
        <w:rPr>
          <w:rFonts w:ascii="宋体" w:hAnsi="宋体" w:cs="宋体"/>
          <w:sz w:val="21"/>
          <w:szCs w:val="21"/>
        </w:rPr>
        <w:t>4</w:t>
      </w:r>
      <w:r>
        <w:rPr>
          <w:rFonts w:hint="eastAsia" w:ascii="宋体" w:hAnsi="宋体" w:cs="宋体"/>
          <w:sz w:val="21"/>
          <w:szCs w:val="21"/>
        </w:rPr>
        <w:t>.3.4故障处理服务</w:t>
      </w:r>
    </w:p>
    <w:p>
      <w:pPr>
        <w:spacing w:line="360" w:lineRule="exact"/>
        <w:ind w:firstLine="420" w:firstLineChars="200"/>
        <w:rPr>
          <w:rFonts w:ascii="宋体" w:hAnsi="宋体" w:cs="宋体"/>
          <w:color w:val="000000"/>
        </w:rPr>
      </w:pPr>
      <w:r>
        <w:rPr>
          <w:rFonts w:hint="eastAsia" w:ascii="宋体" w:hAnsi="宋体" w:cs="宋体"/>
          <w:color w:val="000000"/>
        </w:rPr>
        <w:t>提供</w:t>
      </w:r>
      <w:r>
        <w:rPr>
          <w:rFonts w:hint="eastAsia" w:ascii="宋体" w:hAnsi="宋体" w:cs="宋体"/>
          <w:szCs w:val="21"/>
        </w:rPr>
        <w:t>数字孪生系统</w:t>
      </w:r>
      <w:r>
        <w:rPr>
          <w:rFonts w:hint="eastAsia" w:ascii="宋体" w:hAnsi="宋体" w:cs="宋体"/>
          <w:color w:val="000000"/>
        </w:rPr>
        <w:t>软硬件产生的故障处理服务，对于业主反映的紧急情况，应该在半小时内响应，包括但不限于</w:t>
      </w:r>
      <w:r>
        <w:rPr>
          <w:rFonts w:hint="eastAsia" w:ascii="宋体" w:hAnsi="宋体" w:cs="宋体"/>
          <w:szCs w:val="21"/>
        </w:rPr>
        <w:t>数字孪生系统</w:t>
      </w:r>
      <w:r>
        <w:rPr>
          <w:rFonts w:hint="eastAsia" w:ascii="宋体" w:hAnsi="宋体" w:cs="宋体"/>
          <w:color w:val="000000"/>
        </w:rPr>
        <w:t>产生的重大告警、影响业务运行的重大事件、重大故障和紧急安全事件等。协助业主做好故障处理和问题解决，完善处理记录和报告。</w:t>
      </w:r>
    </w:p>
    <w:p>
      <w:pPr>
        <w:pStyle w:val="5"/>
        <w:snapToGrid w:val="0"/>
        <w:spacing w:before="156" w:beforeLines="50" w:after="156" w:afterLines="50" w:line="360" w:lineRule="exact"/>
        <w:rPr>
          <w:rFonts w:ascii="宋体" w:hAnsi="宋体" w:cs="宋体"/>
          <w:sz w:val="21"/>
          <w:szCs w:val="21"/>
        </w:rPr>
      </w:pPr>
      <w:r>
        <w:rPr>
          <w:rFonts w:ascii="宋体" w:hAnsi="宋体" w:cs="宋体"/>
          <w:sz w:val="21"/>
          <w:szCs w:val="21"/>
        </w:rPr>
        <w:t>4</w:t>
      </w:r>
      <w:r>
        <w:rPr>
          <w:rFonts w:hint="eastAsia" w:ascii="宋体" w:hAnsi="宋体" w:cs="宋体"/>
          <w:sz w:val="21"/>
          <w:szCs w:val="21"/>
        </w:rPr>
        <w:t>.3.</w:t>
      </w:r>
      <w:r>
        <w:rPr>
          <w:rFonts w:ascii="宋体" w:hAnsi="宋体" w:cs="宋体"/>
          <w:sz w:val="21"/>
          <w:szCs w:val="21"/>
        </w:rPr>
        <w:t>5</w:t>
      </w:r>
      <w:r>
        <w:rPr>
          <w:rFonts w:hint="eastAsia" w:ascii="宋体" w:hAnsi="宋体" w:cs="宋体"/>
          <w:sz w:val="21"/>
          <w:szCs w:val="21"/>
        </w:rPr>
        <w:t>应急响应服务</w:t>
      </w:r>
    </w:p>
    <w:p>
      <w:pPr>
        <w:spacing w:line="360" w:lineRule="exact"/>
        <w:ind w:firstLine="420" w:firstLineChars="200"/>
        <w:rPr>
          <w:rFonts w:ascii="宋体" w:hAnsi="宋体" w:cs="宋体"/>
          <w:color w:val="000000"/>
        </w:rPr>
      </w:pPr>
      <w:r>
        <w:rPr>
          <w:rFonts w:hint="eastAsia" w:ascii="宋体" w:hAnsi="宋体" w:cs="宋体"/>
          <w:color w:val="000000"/>
        </w:rPr>
        <w:t>当业主单位发生应急事件预警时，需要立即响应，并根据情况派出专家团队协助业主开展事件处理工作，制订应急处置方案，现场排查处理事件，保障</w:t>
      </w:r>
      <w:r>
        <w:rPr>
          <w:rFonts w:hint="eastAsia" w:ascii="宋体" w:hAnsi="宋体" w:cs="宋体"/>
          <w:szCs w:val="21"/>
        </w:rPr>
        <w:t>数字孪生系统</w:t>
      </w:r>
      <w:r>
        <w:rPr>
          <w:rFonts w:hint="eastAsia" w:ascii="宋体" w:hAnsi="宋体" w:cs="宋体"/>
          <w:color w:val="000000"/>
        </w:rPr>
        <w:t>运行的连续性。</w:t>
      </w:r>
    </w:p>
    <w:p>
      <w:pPr>
        <w:pStyle w:val="5"/>
        <w:snapToGrid w:val="0"/>
        <w:spacing w:before="156" w:beforeLines="50" w:after="156" w:afterLines="50" w:line="360" w:lineRule="exact"/>
        <w:rPr>
          <w:rFonts w:ascii="宋体" w:hAnsi="宋体" w:cs="宋体"/>
          <w:sz w:val="21"/>
          <w:szCs w:val="21"/>
        </w:rPr>
      </w:pPr>
      <w:r>
        <w:rPr>
          <w:rFonts w:ascii="宋体" w:hAnsi="宋体" w:cs="宋体"/>
          <w:sz w:val="21"/>
          <w:szCs w:val="21"/>
        </w:rPr>
        <w:t>4</w:t>
      </w:r>
      <w:r>
        <w:rPr>
          <w:rFonts w:hint="eastAsia" w:ascii="宋体" w:hAnsi="宋体" w:cs="宋体"/>
          <w:sz w:val="21"/>
          <w:szCs w:val="21"/>
        </w:rPr>
        <w:t>.3.</w:t>
      </w:r>
      <w:r>
        <w:rPr>
          <w:rFonts w:ascii="宋体" w:hAnsi="宋体" w:cs="宋体"/>
          <w:sz w:val="21"/>
          <w:szCs w:val="21"/>
        </w:rPr>
        <w:t>6</w:t>
      </w:r>
      <w:r>
        <w:rPr>
          <w:rFonts w:hint="eastAsia" w:ascii="宋体" w:hAnsi="宋体" w:cs="宋体"/>
          <w:sz w:val="21"/>
          <w:szCs w:val="21"/>
        </w:rPr>
        <w:t>运维文档</w:t>
      </w:r>
    </w:p>
    <w:p>
      <w:pPr>
        <w:spacing w:line="360" w:lineRule="exact"/>
        <w:ind w:firstLine="420" w:firstLineChars="200"/>
        <w:rPr>
          <w:rFonts w:ascii="宋体" w:hAnsi="宋体" w:cs="宋体"/>
          <w:color w:val="000000"/>
        </w:rPr>
      </w:pPr>
      <w:r>
        <w:rPr>
          <w:rFonts w:hint="eastAsia" w:ascii="宋体" w:hAnsi="宋体" w:cs="宋体"/>
          <w:color w:val="000000"/>
        </w:rPr>
        <w:t>按业主单位的规范和制度要求，将日常工作文档化，包括但不限于故障处理、应急响应、资源管理、性能报告、监控报告和SOP文档等，按季度提交。</w:t>
      </w:r>
    </w:p>
    <w:p>
      <w:pPr>
        <w:rPr>
          <w:rFonts w:hint="eastAsia"/>
        </w:rPr>
      </w:pPr>
    </w:p>
    <w:p>
      <w:pPr>
        <w:rPr>
          <w:rFonts w:hint="eastAsia"/>
        </w:rPr>
      </w:pPr>
    </w:p>
    <w:p>
      <w:pPr>
        <w:rPr>
          <w:rFonts w:hint="eastAsia"/>
          <w:lang w:val="en-US" w:eastAsia="zh-CN"/>
        </w:rPr>
      </w:pPr>
    </w:p>
    <w:p>
      <w:pPr>
        <w:pStyle w:val="170"/>
        <w:ind w:firstLine="480"/>
        <w:rPr>
          <w:rFonts w:hint="eastAsia" w:ascii="等线" w:hAnsi="等线" w:eastAsia="等线" w:cs="等线"/>
          <w:i w:val="0"/>
          <w:color w:val="000000"/>
          <w:kern w:val="0"/>
          <w:sz w:val="20"/>
          <w:szCs w:val="20"/>
          <w:u w:val="none"/>
          <w:lang w:val="en-US" w:eastAsia="zh-CN" w:bidi="ar"/>
        </w:rPr>
      </w:pPr>
    </w:p>
    <w:p>
      <w:pPr>
        <w:pStyle w:val="170"/>
        <w:ind w:firstLine="480"/>
        <w:rPr>
          <w:rFonts w:hint="eastAsia" w:ascii="等线" w:hAnsi="等线" w:eastAsia="等线" w:cs="等线"/>
          <w:i w:val="0"/>
          <w:color w:val="000000"/>
          <w:kern w:val="0"/>
          <w:sz w:val="20"/>
          <w:szCs w:val="20"/>
          <w:u w:val="none"/>
          <w:lang w:val="en-US" w:eastAsia="zh-CN" w:bidi="ar"/>
        </w:rPr>
      </w:pPr>
    </w:p>
    <w:bookmarkEnd w:id="821"/>
    <w:p>
      <w:pPr>
        <w:rPr>
          <w:rFonts w:hint="eastAsia" w:ascii="宋体" w:hAnsi="宋体" w:eastAsia="宋体" w:cs="宋体"/>
          <w:b/>
          <w:bCs/>
          <w:szCs w:val="21"/>
          <w:highlight w:val="none"/>
          <w:lang w:eastAsia="zh-CN"/>
        </w:rPr>
      </w:pPr>
    </w:p>
    <w:p>
      <w:pPr>
        <w:rPr>
          <w:rFonts w:hint="eastAsia" w:ascii="宋体" w:hAnsi="宋体" w:cs="宋体"/>
        </w:rPr>
      </w:pPr>
      <w:r>
        <w:rPr>
          <w:rFonts w:hint="eastAsia" w:ascii="宋体" w:hAnsi="宋体" w:cs="宋体"/>
        </w:rPr>
        <w:br w:type="page"/>
      </w:r>
    </w:p>
    <w:p>
      <w:pPr>
        <w:pStyle w:val="3"/>
        <w:spacing w:before="0" w:after="0" w:line="360" w:lineRule="auto"/>
        <w:jc w:val="center"/>
        <w:rPr>
          <w:rFonts w:ascii="宋体" w:hAnsi="宋体" w:cs="宋体"/>
        </w:rPr>
      </w:pPr>
      <w:r>
        <w:rPr>
          <w:rFonts w:hint="eastAsia" w:ascii="宋体" w:hAnsi="宋体" w:cs="宋体"/>
        </w:rPr>
        <w:t>第八章  工程量清单计量规则</w:t>
      </w:r>
      <w:bookmarkEnd w:id="808"/>
      <w:bookmarkEnd w:id="809"/>
      <w:bookmarkEnd w:id="810"/>
      <w:bookmarkEnd w:id="811"/>
      <w:bookmarkEnd w:id="812"/>
      <w:bookmarkEnd w:id="822"/>
    </w:p>
    <w:p>
      <w:pPr>
        <w:jc w:val="center"/>
        <w:rPr>
          <w:rFonts w:hint="eastAsia" w:ascii="宋体" w:hAnsi="宋体" w:cs="宋体"/>
          <w:lang w:val="en-US" w:eastAsia="zh-CN"/>
        </w:rPr>
      </w:pPr>
    </w:p>
    <w:p>
      <w:pPr>
        <w:jc w:val="center"/>
        <w:rPr>
          <w:rFonts w:hint="default" w:ascii="宋体" w:hAnsi="宋体" w:eastAsia="宋体" w:cs="宋体"/>
          <w:lang w:val="en-US" w:eastAsia="zh-CN"/>
        </w:rPr>
      </w:pPr>
      <w:r>
        <w:rPr>
          <w:rFonts w:hint="eastAsia" w:ascii="宋体" w:hAnsi="宋体" w:cs="宋体"/>
          <w:lang w:val="en-US" w:eastAsia="zh-CN"/>
        </w:rPr>
        <w:t>均按工程量清单中标明的计量单位计量。</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823" w:name="_Toc513633965"/>
    </w:p>
    <w:p>
      <w:pPr>
        <w:rPr>
          <w:rFonts w:ascii="宋体" w:hAnsi="宋体" w:cs="宋体"/>
        </w:rPr>
      </w:pPr>
    </w:p>
    <w:p>
      <w:pPr>
        <w:pStyle w:val="3"/>
        <w:spacing w:before="0" w:after="0" w:line="360" w:lineRule="auto"/>
        <w:jc w:val="center"/>
        <w:rPr>
          <w:rFonts w:ascii="宋体" w:hAnsi="宋体" w:cs="宋体"/>
        </w:rPr>
      </w:pPr>
      <w:bookmarkStart w:id="824" w:name="_Toc2000413"/>
      <w:bookmarkStart w:id="825" w:name="_Toc24853"/>
      <w:bookmarkStart w:id="826" w:name="_Toc514858709"/>
      <w:bookmarkStart w:id="827" w:name="_Toc22294"/>
      <w:r>
        <w:rPr>
          <w:rFonts w:hint="eastAsia" w:ascii="宋体" w:hAnsi="宋体" w:cs="宋体"/>
        </w:rPr>
        <w:t>第九章  竞争性比选响应文件格式</w:t>
      </w:r>
      <w:bookmarkEnd w:id="823"/>
      <w:bookmarkEnd w:id="824"/>
      <w:bookmarkEnd w:id="825"/>
      <w:bookmarkEnd w:id="826"/>
      <w:bookmarkEnd w:id="827"/>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hint="eastAsia" w:ascii="宋体" w:hAnsi="宋体" w:eastAsia="宋体" w:cs="宋体"/>
          <w:sz w:val="20"/>
          <w:szCs w:val="20"/>
          <w:lang w:eastAsia="zh-CN"/>
        </w:rPr>
      </w:pPr>
      <w:r>
        <w:rPr>
          <w:rFonts w:hint="eastAsia" w:ascii="宋体" w:hAnsi="宋体" w:cs="宋体"/>
          <w:b/>
          <w:bCs/>
          <w:sz w:val="48"/>
          <w:szCs w:val="56"/>
          <w:u w:val="single"/>
          <w:lang w:eastAsia="zh-CN"/>
        </w:rPr>
        <w:t>外场普通高速路段数字孪生系统设备采购与建设项目</w:t>
      </w: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7"/>
      </w:pPr>
    </w:p>
    <w:p/>
    <w:p>
      <w:pPr>
        <w:pStyle w:val="27"/>
      </w:pPr>
    </w:p>
    <w:p/>
    <w:p>
      <w:pPr>
        <w:pStyle w:val="27"/>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828" w:name="_Toc11078"/>
      <w:bookmarkStart w:id="829" w:name="_Toc5459"/>
      <w:bookmarkStart w:id="830" w:name="_Toc28780"/>
      <w:bookmarkStart w:id="831" w:name="_Toc12693"/>
      <w:bookmarkStart w:id="832" w:name="_Toc1368"/>
      <w:bookmarkStart w:id="833" w:name="_Toc11329273"/>
      <w:r>
        <w:rPr>
          <w:rFonts w:hint="eastAsia" w:ascii="宋体" w:hAnsi="宋体" w:eastAsia="宋体" w:cs="宋体"/>
        </w:rPr>
        <w:t>目    录</w:t>
      </w:r>
      <w:bookmarkEnd w:id="813"/>
      <w:bookmarkEnd w:id="814"/>
      <w:bookmarkEnd w:id="815"/>
      <w:bookmarkEnd w:id="816"/>
      <w:bookmarkEnd w:id="817"/>
      <w:bookmarkEnd w:id="818"/>
      <w:bookmarkEnd w:id="819"/>
      <w:bookmarkEnd w:id="820"/>
      <w:bookmarkEnd w:id="828"/>
      <w:bookmarkEnd w:id="829"/>
      <w:bookmarkEnd w:id="830"/>
      <w:bookmarkEnd w:id="831"/>
      <w:bookmarkEnd w:id="832"/>
      <w:bookmarkEnd w:id="833"/>
    </w:p>
    <w:p>
      <w:pPr>
        <w:spacing w:line="400" w:lineRule="exact"/>
        <w:rPr>
          <w:rFonts w:ascii="宋体" w:hAnsi="宋体" w:cs="宋体"/>
        </w:rPr>
      </w:pPr>
      <w:r>
        <w:rPr>
          <w:rFonts w:hint="eastAsia" w:ascii="宋体" w:hAnsi="宋体" w:cs="宋体"/>
        </w:rPr>
        <w:t>一、竞争性响应声明书</w:t>
      </w:r>
    </w:p>
    <w:p>
      <w:pPr>
        <w:spacing w:line="400" w:lineRule="exact"/>
        <w:rPr>
          <w:rFonts w:ascii="宋体" w:hAnsi="宋体" w:cs="宋体"/>
        </w:rPr>
      </w:pPr>
      <w:r>
        <w:rPr>
          <w:rFonts w:hint="eastAsia" w:ascii="宋体" w:hAnsi="宋体" w:cs="宋体"/>
        </w:rPr>
        <w:t>二、报价一览表</w:t>
      </w:r>
    </w:p>
    <w:p>
      <w:pPr>
        <w:spacing w:line="400" w:lineRule="exact"/>
        <w:rPr>
          <w:rFonts w:ascii="宋体" w:hAnsi="宋体" w:cs="宋体"/>
        </w:rPr>
      </w:pPr>
      <w:r>
        <w:rPr>
          <w:rFonts w:hint="eastAsia" w:ascii="宋体" w:hAnsi="宋体" w:cs="宋体"/>
        </w:rPr>
        <w:t>三、资格审查资料</w:t>
      </w:r>
    </w:p>
    <w:p>
      <w:pPr>
        <w:spacing w:line="400" w:lineRule="exact"/>
        <w:rPr>
          <w:rFonts w:ascii="宋体" w:hAnsi="宋体" w:cs="宋体"/>
        </w:rPr>
      </w:pPr>
      <w:r>
        <w:rPr>
          <w:rFonts w:hint="eastAsia" w:ascii="宋体" w:hAnsi="宋体" w:cs="宋体"/>
        </w:rPr>
        <w:t>四、</w:t>
      </w:r>
      <w:r>
        <w:rPr>
          <w:rFonts w:hint="eastAsia" w:ascii="宋体" w:hAnsi="宋体" w:cs="宋体"/>
          <w:szCs w:val="21"/>
        </w:rPr>
        <w:t>报价人须知前附表规定的其他材料</w:t>
      </w: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834" w:name="_Toc8870"/>
      <w:bookmarkStart w:id="835" w:name="_Toc11329274"/>
      <w:bookmarkStart w:id="836" w:name="_Toc25874"/>
      <w:bookmarkStart w:id="837" w:name="_Toc15863"/>
      <w:bookmarkStart w:id="838" w:name="_Toc9071"/>
      <w:bookmarkStart w:id="839" w:name="_Toc29547"/>
      <w:bookmarkStart w:id="840" w:name="_Toc4828"/>
      <w:bookmarkStart w:id="841" w:name="_Toc503951048"/>
      <w:bookmarkStart w:id="842" w:name="_Toc513633969"/>
      <w:bookmarkStart w:id="843" w:name="_Toc447827053"/>
      <w:r>
        <w:rPr>
          <w:rFonts w:hint="eastAsia" w:ascii="宋体" w:hAnsi="宋体" w:eastAsia="宋体" w:cs="宋体"/>
          <w:sz w:val="28"/>
        </w:rPr>
        <w:t>一、</w:t>
      </w:r>
      <w:bookmarkEnd w:id="834"/>
      <w:bookmarkEnd w:id="835"/>
      <w:r>
        <w:rPr>
          <w:rFonts w:hint="eastAsia" w:ascii="宋体" w:hAnsi="宋体" w:eastAsia="宋体" w:cs="宋体"/>
          <w:sz w:val="28"/>
        </w:rPr>
        <w:t>竞争比选响应声明书</w:t>
      </w:r>
      <w:bookmarkEnd w:id="836"/>
      <w:bookmarkEnd w:id="837"/>
      <w:bookmarkEnd w:id="838"/>
      <w:bookmarkEnd w:id="839"/>
      <w:bookmarkEnd w:id="840"/>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rPr>
        <w:t xml:space="preserve"> </w:t>
      </w:r>
      <w:r>
        <w:rPr>
          <w:rFonts w:hint="eastAsia" w:ascii="Arial" w:hAnsi="Arial" w:cs="Arial"/>
          <w:sz w:val="24"/>
          <w:u w:val="single"/>
          <w:lang w:eastAsia="zh-CN"/>
        </w:rPr>
        <w:t>外场普通高速路段数字孪生系统设备采购与建设项目</w:t>
      </w:r>
      <w:r>
        <w:rPr>
          <w:rFonts w:hint="eastAsia" w:ascii="Arial" w:hAnsi="Arial" w:cs="Arial"/>
          <w:color w:val="000000"/>
          <w:sz w:val="24"/>
          <w:u w:val="single"/>
        </w:rPr>
        <w:t xml:space="preserve"> </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元）的报价总价，按照竞争比选文件的要求，承担本次竞争比选文件要求的供货任务。</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pStyle w:val="170"/>
        <w:ind w:firstLine="480"/>
      </w:pPr>
    </w:p>
    <w:p>
      <w:pPr>
        <w:pStyle w:val="170"/>
        <w:ind w:firstLine="480"/>
      </w:pPr>
    </w:p>
    <w:p>
      <w:pPr>
        <w:pStyle w:val="170"/>
        <w:ind w:firstLine="480"/>
      </w:pPr>
    </w:p>
    <w:p>
      <w:pPr>
        <w:pStyle w:val="170"/>
        <w:ind w:firstLine="480"/>
      </w:pPr>
    </w:p>
    <w:p>
      <w:pPr>
        <w:pStyle w:val="170"/>
        <w:ind w:firstLine="482"/>
        <w:rPr>
          <w:b/>
        </w:rPr>
      </w:pPr>
    </w:p>
    <w:p>
      <w:pPr>
        <w:pStyle w:val="170"/>
        <w:ind w:firstLine="480"/>
        <w:rPr>
          <w:rFonts w:ascii="宋体" w:hAnsi="宋体" w:cs="宋体"/>
          <w:snapToGrid w:val="0"/>
          <w:kern w:val="0"/>
          <w:szCs w:val="21"/>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pStyle w:val="4"/>
        <w:widowControl/>
        <w:jc w:val="center"/>
        <w:rPr>
          <w:rFonts w:hint="eastAsia" w:ascii="宋体" w:hAnsi="宋体" w:eastAsia="宋体" w:cs="宋体"/>
          <w:b/>
          <w:kern w:val="0"/>
          <w:sz w:val="28"/>
          <w:szCs w:val="28"/>
        </w:rPr>
      </w:pPr>
      <w:bookmarkStart w:id="844" w:name="_Toc11329275"/>
      <w:r>
        <w:rPr>
          <w:rFonts w:hint="eastAsia" w:ascii="宋体" w:hAnsi="宋体" w:eastAsia="宋体" w:cs="宋体"/>
          <w:b/>
          <w:kern w:val="0"/>
          <w:sz w:val="28"/>
          <w:szCs w:val="28"/>
        </w:rPr>
        <w:t>二、法定代表人身份证明或法定代表人授权委托书</w:t>
      </w:r>
    </w:p>
    <w:p>
      <w:pPr>
        <w:pStyle w:val="4"/>
        <w:keepNext w:val="0"/>
        <w:keepLines w:val="0"/>
        <w:widowControl w:val="0"/>
        <w:suppressLineNumbers w:val="0"/>
        <w:autoSpaceDE w:val="0"/>
        <w:autoSpaceDN/>
        <w:spacing w:line="48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（一）法定代表人身份证明</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报价人名称：</w:t>
      </w:r>
      <w:r>
        <w:rPr>
          <w:rFonts w:hint="eastAsia" w:ascii="宋体" w:hAnsi="宋体" w:eastAsia="宋体" w:cs="Times New Roman"/>
          <w:kern w:val="2"/>
          <w:sz w:val="21"/>
          <w:szCs w:val="21"/>
          <w:u w:val="single"/>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姓名：</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性别：</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年龄：</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职务：</w:t>
      </w:r>
      <w:r>
        <w:rPr>
          <w:rFonts w:hint="eastAsia" w:ascii="宋体" w:hAnsi="宋体" w:eastAsia="宋体" w:cs="Times New Roman"/>
          <w:kern w:val="2"/>
          <w:sz w:val="21"/>
          <w:szCs w:val="21"/>
          <w:u w:val="single"/>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系</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（报价人名称）的法定代表人。</w:t>
      </w:r>
    </w:p>
    <w:p>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特此证明。</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附：法定代表人身份证复印件（正、反面）。</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报价人：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（盖单位公章）</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620" w:firstLineChars="2200"/>
        <w:jc w:val="both"/>
        <w:rPr>
          <w:rFonts w:hint="eastAsia" w:ascii="宋体" w:hAnsi="宋体" w:eastAsia="宋体" w:cs="Times New Roman"/>
          <w:kern w:val="2"/>
          <w:sz w:val="21"/>
          <w:szCs w:val="21"/>
        </w:rPr>
      </w:pP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注：本身份证明需由报价人加盖单位公章。</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0"/>
          <w:szCs w:val="20"/>
        </w:rPr>
      </w:pPr>
      <w:r>
        <w:rPr>
          <w:rFonts w:hint="eastAsia" w:ascii="宋体" w:hAnsi="宋体" w:eastAsia="宋体" w:cs="Times New Roman"/>
          <w:kern w:val="2"/>
          <w:sz w:val="20"/>
          <w:szCs w:val="20"/>
          <w:lang w:val="en-US" w:eastAsia="zh-CN" w:bidi="ar"/>
        </w:rPr>
        <w:t xml:space="preserve"> </w:t>
      </w:r>
    </w:p>
    <w:p>
      <w:pPr>
        <w:keepNext w:val="0"/>
        <w:keepLines w:val="0"/>
        <w:widowControl w:val="0"/>
        <w:suppressLineNumbers w:val="0"/>
        <w:spacing w:before="0" w:beforeAutospacing="0" w:after="0" w:afterAutospacing="0" w:line="20" w:lineRule="exact"/>
        <w:ind w:left="0" w:right="0"/>
        <w:jc w:val="center"/>
        <w:rPr>
          <w:rFonts w:hint="eastAsia" w:ascii="宋体" w:hAnsi="宋体" w:eastAsia="宋体" w:cs="Times New Roman"/>
          <w:kern w:val="2"/>
          <w:sz w:val="20"/>
          <w:szCs w:val="20"/>
        </w:rPr>
      </w:pPr>
      <w:r>
        <w:rPr>
          <w:rFonts w:hint="eastAsia" w:ascii="宋体" w:hAnsi="宋体" w:eastAsia="宋体" w:cs="Times New Roman"/>
          <w:kern w:val="2"/>
          <w:sz w:val="20"/>
          <w:szCs w:val="20"/>
          <w:lang w:val="en-US" w:eastAsia="zh-CN" w:bidi="ar"/>
        </w:rPr>
        <w:br w:type="page"/>
      </w:r>
    </w:p>
    <w:p>
      <w:pPr>
        <w:pStyle w:val="4"/>
        <w:keepNext w:val="0"/>
        <w:keepLines w:val="0"/>
        <w:widowControl w:val="0"/>
        <w:suppressLineNumbers w:val="0"/>
        <w:autoSpaceDE w:val="0"/>
        <w:autoSpaceDN/>
        <w:spacing w:line="480" w:lineRule="auto"/>
        <w:jc w:val="center"/>
        <w:rPr>
          <w:rFonts w:hint="eastAsia" w:ascii="宋体" w:hAnsi="宋体" w:eastAsia="黑体" w:cs="Times New Roman"/>
          <w:b/>
          <w:kern w:val="0"/>
          <w:sz w:val="28"/>
          <w:szCs w:val="28"/>
        </w:rPr>
      </w:pPr>
      <w:r>
        <w:rPr>
          <w:rFonts w:hint="eastAsia" w:ascii="宋体" w:hAnsi="宋体" w:eastAsia="宋体" w:cs="宋体"/>
          <w:b/>
          <w:kern w:val="0"/>
          <w:sz w:val="24"/>
          <w:szCs w:val="24"/>
        </w:rPr>
        <w:t>（二）法定代表人授权委托书</w:t>
      </w:r>
    </w:p>
    <w:p>
      <w:pPr>
        <w:keepNext w:val="0"/>
        <w:keepLines w:val="0"/>
        <w:widowControl w:val="0"/>
        <w:suppressLineNumbers w:val="0"/>
        <w:topLinePunct/>
        <w:autoSpaceDE w:val="0"/>
        <w:autoSpaceDN/>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本人</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（姓名）系</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（报价人名称）的法定代表人，现委托</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（姓名）为我方代理人。代理人根据授权，以我方名义签署、澄清确认、递交、撤回、修改招标项目比选文件、签订合同和处理有关事宜，其法律后果由我方承担。</w:t>
      </w:r>
      <w:r>
        <w:rPr>
          <w:rFonts w:hint="eastAsia" w:ascii="宋体" w:hAnsi="宋体" w:cs="宋体"/>
          <w:kern w:val="2"/>
          <w:sz w:val="21"/>
          <w:szCs w:val="21"/>
          <w:lang w:val="en-US" w:eastAsia="zh-CN" w:bidi="ar"/>
        </w:rPr>
        <w:t>授权</w:t>
      </w:r>
      <w:r>
        <w:rPr>
          <w:rFonts w:hint="eastAsia" w:ascii="宋体" w:hAnsi="宋体" w:cs="宋体"/>
          <w:kern w:val="2"/>
          <w:sz w:val="21"/>
          <w:szCs w:val="21"/>
          <w:u w:val="single"/>
          <w:lang w:val="en-US" w:eastAsia="zh-CN" w:bidi="ar"/>
        </w:rPr>
        <w:t xml:space="preserve">           XXX@.COM    </w:t>
      </w:r>
      <w:r>
        <w:rPr>
          <w:rFonts w:hint="eastAsia" w:ascii="宋体" w:hAnsi="宋体" w:cs="宋体"/>
          <w:kern w:val="2"/>
          <w:sz w:val="21"/>
          <w:szCs w:val="21"/>
          <w:u w:val="none"/>
          <w:lang w:val="en-US" w:eastAsia="zh-CN" w:bidi="ar"/>
        </w:rPr>
        <w:t>此邮箱为本次竞争性比选响应文件投递邮箱。</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委托期限：</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代理人无转委托权。</w:t>
      </w:r>
    </w:p>
    <w:p>
      <w:pPr>
        <w:keepNext w:val="0"/>
        <w:keepLines w:val="0"/>
        <w:widowControl w:val="0"/>
        <w:suppressLineNumbers w:val="0"/>
        <w:autoSpaceDE w:val="0"/>
        <w:autoSpaceDN/>
        <w:spacing w:before="0" w:beforeAutospacing="0" w:after="0" w:afterAutospacing="0" w:line="480" w:lineRule="auto"/>
        <w:ind w:left="0" w:right="0" w:firstLine="420" w:firstLineChars="20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480" w:lineRule="auto"/>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附：法定代表人身份证复印件及委托代理人身份证复印件（正、反面）</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报</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价</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人：</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（盖单位公章）</w:t>
      </w:r>
    </w:p>
    <w:p>
      <w:pPr>
        <w:keepNext w:val="0"/>
        <w:keepLines w:val="0"/>
        <w:widowControl w:val="0"/>
        <w:suppressLineNumbers w:val="0"/>
        <w:spacing w:before="0" w:beforeAutospacing="0" w:after="0" w:afterAutospacing="0" w:line="440" w:lineRule="exact"/>
        <w:ind w:left="0" w:right="0" w:firstLine="2690" w:firstLineChars="1281"/>
        <w:jc w:val="left"/>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法定代表人：</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（签字</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w:t>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身份证号码：</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委托代理人：</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r>
        <w:rPr>
          <w:rFonts w:hint="eastAsia" w:ascii="宋体" w:hAnsi="宋体" w:eastAsia="宋体" w:cs="宋体"/>
          <w:kern w:val="2"/>
          <w:sz w:val="21"/>
          <w:szCs w:val="21"/>
          <w:lang w:val="en-US" w:eastAsia="zh-CN" w:bidi="ar"/>
        </w:rPr>
        <w:t>（签字）</w:t>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身份证号码：</w:t>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ab/>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Times New Roman"/>
          <w:kern w:val="2"/>
          <w:sz w:val="21"/>
          <w:szCs w:val="21"/>
          <w:u w:val="single"/>
          <w:lang w:val="en-US" w:eastAsia="zh-CN" w:bidi="ar"/>
        </w:rPr>
        <w:tab/>
      </w:r>
    </w:p>
    <w:p>
      <w:pPr>
        <w:keepNext w:val="0"/>
        <w:keepLines w:val="0"/>
        <w:widowControl w:val="0"/>
        <w:suppressLineNumbers w:val="0"/>
        <w:spacing w:before="0" w:beforeAutospacing="0" w:after="0" w:afterAutospacing="0" w:line="440" w:lineRule="exact"/>
        <w:ind w:left="0" w:right="0" w:firstLine="2692" w:firstLineChars="1282"/>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057" w:firstLineChars="1932"/>
        <w:jc w:val="right"/>
        <w:rPr>
          <w:rFonts w:hint="eastAsia" w:ascii="宋体" w:hAnsi="宋体" w:eastAsia="宋体" w:cs="Times New Roman"/>
          <w:kern w:val="2"/>
          <w:sz w:val="21"/>
          <w:szCs w:val="21"/>
        </w:rPr>
      </w:pP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年</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Times New Roman"/>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pPr>
      <w:r>
        <w:rPr>
          <w:rFonts w:hint="eastAsia" w:ascii="宋体" w:hAnsi="宋体" w:eastAsia="宋体" w:cs="宋体"/>
          <w:kern w:val="2"/>
          <w:sz w:val="21"/>
          <w:szCs w:val="21"/>
          <w:lang w:val="en-US" w:eastAsia="zh-CN" w:bidi="ar"/>
        </w:rPr>
        <w:t>注：本授权委托书需由报价人加盖单位公章并由其法定代表人和委托代理人签字</w:t>
      </w:r>
    </w:p>
    <w:p>
      <w:pPr>
        <w:spacing w:line="440" w:lineRule="exact"/>
        <w:rPr>
          <w:rFonts w:hint="eastAsia" w:ascii="Times New Roman" w:hAnsi="Times New Roman" w:eastAsia="宋体" w:cs="Times New Roman"/>
          <w:kern w:val="2"/>
          <w:sz w:val="21"/>
          <w:szCs w:val="21"/>
        </w:rPr>
        <w:sectPr>
          <w:footerReference r:id="rId11" w:type="first"/>
          <w:footerReference r:id="rId10" w:type="default"/>
          <w:pgSz w:w="12242" w:h="15842"/>
          <w:pgMar w:top="1440" w:right="1800" w:bottom="1440" w:left="1800" w:header="851" w:footer="992" w:gutter="0"/>
          <w:cols w:space="720" w:num="1"/>
          <w:titlePg/>
          <w:docGrid w:type="lines" w:linePitch="312" w:charSpace="0"/>
        </w:sectPr>
      </w:pPr>
    </w:p>
    <w:p>
      <w:pPr>
        <w:pStyle w:val="4"/>
        <w:spacing w:before="0" w:after="0" w:line="360" w:lineRule="auto"/>
        <w:jc w:val="center"/>
        <w:rPr>
          <w:rFonts w:ascii="宋体" w:hAnsi="宋体" w:eastAsia="宋体" w:cs="宋体"/>
          <w:sz w:val="28"/>
        </w:rPr>
      </w:pPr>
      <w:r>
        <w:rPr>
          <w:rFonts w:hint="eastAsia" w:ascii="宋体" w:hAnsi="宋体" w:eastAsia="宋体" w:cs="宋体"/>
          <w:sz w:val="28"/>
          <w:lang w:val="en-US" w:eastAsia="zh-CN"/>
        </w:rPr>
        <w:t>三</w:t>
      </w:r>
      <w:r>
        <w:rPr>
          <w:rFonts w:hint="eastAsia" w:ascii="宋体" w:hAnsi="宋体" w:eastAsia="宋体" w:cs="宋体"/>
          <w:sz w:val="28"/>
        </w:rPr>
        <w:t>、</w:t>
      </w:r>
      <w:bookmarkEnd w:id="841"/>
      <w:bookmarkEnd w:id="842"/>
      <w:bookmarkEnd w:id="843"/>
      <w:bookmarkEnd w:id="844"/>
      <w:r>
        <w:rPr>
          <w:rFonts w:hint="eastAsia" w:ascii="宋体" w:hAnsi="宋体" w:eastAsia="宋体" w:cs="宋体"/>
          <w:sz w:val="28"/>
        </w:rPr>
        <w:t>报价一览表</w:t>
      </w:r>
    </w:p>
    <w:p>
      <w:pPr>
        <w:ind w:left="765"/>
        <w:jc w:val="center"/>
        <w:rPr>
          <w:rFonts w:ascii="宋体" w:hAnsi="宋体" w:cs="宋体"/>
          <w:szCs w:val="21"/>
        </w:rPr>
      </w:pPr>
    </w:p>
    <w:p>
      <w:pPr>
        <w:pStyle w:val="37"/>
        <w:jc w:val="both"/>
        <w:rPr>
          <w:rFonts w:hAnsi="宋体"/>
        </w:rPr>
      </w:pPr>
      <w:r>
        <w:rPr>
          <w:rFonts w:hint="eastAsia" w:hAnsi="宋体"/>
        </w:rPr>
        <w:t>重庆首讯科技股份有限公司：</w:t>
      </w:r>
    </w:p>
    <w:p>
      <w:pPr>
        <w:spacing w:line="360" w:lineRule="auto"/>
        <w:ind w:firstLine="480" w:firstLineChars="200"/>
        <w:jc w:val="left"/>
        <w:rPr>
          <w:rFonts w:hint="eastAsia"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rPr>
        <w:t xml:space="preserve"> </w:t>
      </w:r>
      <w:r>
        <w:rPr>
          <w:rFonts w:hint="eastAsia" w:ascii="宋体" w:hAnsi="宋体"/>
          <w:color w:val="000000"/>
          <w:sz w:val="24"/>
          <w:u w:val="single"/>
          <w:lang w:eastAsia="zh-CN"/>
        </w:rPr>
        <w:t>外场普通高速路段数字孪生系统设备采购与建设项目</w:t>
      </w:r>
      <w:r>
        <w:rPr>
          <w:rFonts w:hint="eastAsia" w:ascii="宋体" w:hAnsi="宋体"/>
          <w:color w:val="000000"/>
          <w:sz w:val="24"/>
          <w:u w:val="single"/>
        </w:rPr>
        <w:t xml:space="preserve"> </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bookmarkStart w:id="845" w:name="_Hlk47603113"/>
    </w:p>
    <w:tbl>
      <w:tblPr>
        <w:tblStyle w:val="41"/>
        <w:tblpPr w:leftFromText="180" w:rightFromText="180" w:vertAnchor="text" w:horzAnchor="page" w:tblpXSpec="center" w:tblpY="182"/>
        <w:tblOverlap w:val="never"/>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482"/>
        <w:gridCol w:w="1432"/>
        <w:gridCol w:w="651"/>
        <w:gridCol w:w="917"/>
        <w:gridCol w:w="1355"/>
        <w:gridCol w:w="1234"/>
        <w:gridCol w:w="763"/>
        <w:gridCol w:w="908"/>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60"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48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项目名称</w:t>
            </w:r>
          </w:p>
        </w:tc>
        <w:tc>
          <w:tcPr>
            <w:tcW w:w="1432"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工作内容</w:t>
            </w:r>
          </w:p>
        </w:tc>
        <w:tc>
          <w:tcPr>
            <w:tcW w:w="65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单位</w:t>
            </w:r>
          </w:p>
        </w:tc>
        <w:tc>
          <w:tcPr>
            <w:tcW w:w="917"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135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含税单价（元）</w:t>
            </w:r>
          </w:p>
        </w:tc>
        <w:tc>
          <w:tcPr>
            <w:tcW w:w="123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总价（元）</w:t>
            </w:r>
          </w:p>
        </w:tc>
        <w:tc>
          <w:tcPr>
            <w:tcW w:w="763"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税率（%）</w:t>
            </w:r>
          </w:p>
        </w:tc>
        <w:tc>
          <w:tcPr>
            <w:tcW w:w="908"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品牌</w:t>
            </w:r>
          </w:p>
        </w:tc>
        <w:tc>
          <w:tcPr>
            <w:tcW w:w="908"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0"/>
                <w:kern w:val="0"/>
                <w:sz w:val="20"/>
                <w:szCs w:val="20"/>
                <w:lang w:val="en-US" w:eastAsia="zh-CN" w:bidi="ar"/>
              </w:rPr>
              <w:t>1</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毫米波雷达</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套</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28</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0"/>
                <w:kern w:val="0"/>
                <w:sz w:val="20"/>
                <w:szCs w:val="20"/>
                <w:lang w:val="en-US" w:eastAsia="zh-CN" w:bidi="ar"/>
              </w:rPr>
              <w:t>2</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车路视频感知</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套</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28</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color w:val="000000"/>
                <w:kern w:val="0"/>
                <w:sz w:val="20"/>
                <w:szCs w:val="20"/>
                <w:lang w:val="en-US" w:eastAsia="zh-CN" w:bidi="ar"/>
              </w:rPr>
              <w:t>3</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边缘计算单元 MEC</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套</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10</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4</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激光球机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套</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12</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5</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外场普通道路数字孪生系统</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项</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6</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工业以太网交换机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套</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88</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7</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车路协同RSU</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套</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31</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8</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交通监控智能摄像机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台</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13</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9</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视频监控球机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台</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13</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10</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设备亭监控摄像机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台</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9</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11</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枪球联动一体机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套</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19</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12</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NVR硬盘录像机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台</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4</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13</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NVR硬盘录像机</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台</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13</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14</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系统集成与调试</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详见技术标准与工作要求</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项</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w:t>
            </w:r>
          </w:p>
        </w:tc>
        <w:tc>
          <w:tcPr>
            <w:tcW w:w="1355"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w:t>
            </w: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60"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color w:val="000000"/>
                <w:kern w:val="0"/>
                <w:sz w:val="20"/>
                <w:szCs w:val="20"/>
                <w:lang w:val="en-US" w:eastAsia="zh-CN" w:bidi="ar"/>
              </w:rPr>
              <w:t>15</w:t>
            </w:r>
          </w:p>
        </w:tc>
        <w:tc>
          <w:tcPr>
            <w:tcW w:w="1482"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安全生产费</w:t>
            </w:r>
          </w:p>
        </w:tc>
        <w:tc>
          <w:tcPr>
            <w:tcW w:w="1432"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不可竞争性报价，按</w:t>
            </w:r>
            <w:bookmarkStart w:id="876" w:name="_GoBack"/>
            <w:bookmarkEnd w:id="876"/>
            <w:r>
              <w:rPr>
                <w:rFonts w:hint="eastAsia" w:asciiTheme="minorEastAsia" w:hAnsiTheme="minorEastAsia" w:eastAsiaTheme="minorEastAsia" w:cstheme="minorEastAsia"/>
                <w:sz w:val="20"/>
                <w:szCs w:val="20"/>
              </w:rPr>
              <w:t>实结算</w:t>
            </w:r>
          </w:p>
        </w:tc>
        <w:tc>
          <w:tcPr>
            <w:tcW w:w="651"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项</w:t>
            </w:r>
          </w:p>
        </w:tc>
        <w:tc>
          <w:tcPr>
            <w:tcW w:w="917"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1</w:t>
            </w:r>
          </w:p>
        </w:tc>
        <w:tc>
          <w:tcPr>
            <w:tcW w:w="1355"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60946</w:t>
            </w: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60946</w:t>
            </w: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97" w:type="dxa"/>
            <w:gridSpan w:val="6"/>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总价（元）</w:t>
            </w:r>
          </w:p>
        </w:tc>
        <w:tc>
          <w:tcPr>
            <w:tcW w:w="1234"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763"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c>
          <w:tcPr>
            <w:tcW w:w="908" w:type="dxa"/>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rPr>
            </w:pPr>
          </w:p>
        </w:tc>
      </w:tr>
      <w:bookmarkEnd w:id="845"/>
    </w:tbl>
    <w:p>
      <w:pPr>
        <w:tabs>
          <w:tab w:val="left" w:pos="900"/>
        </w:tabs>
        <w:spacing w:line="360" w:lineRule="auto"/>
        <w:ind w:firstLine="482" w:firstLineChars="200"/>
        <w:rPr>
          <w:rFonts w:hint="eastAsia" w:ascii="Arial" w:hAnsi="Arial" w:cs="Arial"/>
          <w:b/>
          <w:color w:val="000000" w:themeColor="text1"/>
          <w:sz w:val="24"/>
          <w14:textFill>
            <w14:solidFill>
              <w14:schemeClr w14:val="tx1"/>
            </w14:solidFill>
          </w14:textFill>
        </w:rPr>
      </w:pPr>
    </w:p>
    <w:p>
      <w:pPr>
        <w:tabs>
          <w:tab w:val="left" w:pos="900"/>
        </w:tabs>
        <w:spacing w:line="360" w:lineRule="auto"/>
        <w:ind w:firstLine="482" w:firstLineChars="200"/>
        <w:rPr>
          <w:rFonts w:hint="eastAsia" w:ascii="Arial" w:hAnsi="Arial" w:cs="Arial"/>
          <w:b/>
          <w:color w:val="000000" w:themeColor="text1"/>
          <w:sz w:val="24"/>
          <w14:textFill>
            <w14:solidFill>
              <w14:schemeClr w14:val="tx1"/>
            </w14:solidFill>
          </w14:textFill>
        </w:rPr>
      </w:pPr>
    </w:p>
    <w:p>
      <w:pPr>
        <w:tabs>
          <w:tab w:val="left" w:pos="900"/>
        </w:tabs>
        <w:spacing w:line="360" w:lineRule="auto"/>
        <w:ind w:firstLine="482"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0" w:firstLineChars="200"/>
        <w:rPr>
          <w:rFonts w:ascii="宋体" w:hAnsi="宋体" w:cs="宋体"/>
          <w:kern w:val="0"/>
          <w:szCs w:val="21"/>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pStyle w:val="27"/>
        <w:rPr>
          <w:rFonts w:ascii="宋体" w:hAnsi="宋体" w:cs="宋体"/>
          <w:kern w:val="0"/>
          <w:szCs w:val="21"/>
        </w:rPr>
      </w:pPr>
    </w:p>
    <w:p/>
    <w:p>
      <w:pPr>
        <w:widowControl/>
        <w:jc w:val="left"/>
        <w:rPr>
          <w:rFonts w:ascii="Calibri" w:hAnsi="Calibri"/>
          <w:b/>
          <w:bCs/>
          <w:caps/>
          <w:sz w:val="20"/>
          <w:szCs w:val="20"/>
        </w:rPr>
      </w:pPr>
      <w:bookmarkStart w:id="846" w:name="_Toc18757"/>
      <w:bookmarkStart w:id="847" w:name="_Toc12910"/>
      <w:bookmarkStart w:id="848" w:name="_Toc503951050"/>
      <w:bookmarkStart w:id="849" w:name="_Toc19207"/>
      <w:bookmarkStart w:id="850" w:name="_Toc513633971"/>
      <w:bookmarkStart w:id="851" w:name="_Toc11961"/>
      <w:bookmarkStart w:id="852" w:name="_Toc29310"/>
      <w:bookmarkStart w:id="853" w:name="_Toc11329278"/>
      <w:bookmarkStart w:id="854" w:name="_Toc247085887"/>
      <w:bookmarkStart w:id="855" w:name="_Toc246996369"/>
      <w:bookmarkStart w:id="856" w:name="_Toc144974871"/>
      <w:bookmarkStart w:id="857" w:name="_Toc447827058"/>
      <w:bookmarkStart w:id="858" w:name="_Toc246997112"/>
      <w:bookmarkStart w:id="859" w:name="_Toc179632823"/>
      <w:bookmarkStart w:id="860" w:name="_Toc152042592"/>
      <w:bookmarkStart w:id="861" w:name="_Toc152045803"/>
      <w:r>
        <w:rPr>
          <w:rFonts w:ascii="Calibri" w:hAnsi="Calibri"/>
          <w:caps/>
          <w:sz w:val="20"/>
          <w:szCs w:val="20"/>
        </w:rPr>
        <w:br w:type="page"/>
      </w:r>
    </w:p>
    <w:p>
      <w:pPr>
        <w:pStyle w:val="4"/>
        <w:spacing w:before="0" w:after="0" w:line="360" w:lineRule="auto"/>
        <w:jc w:val="center"/>
        <w:rPr>
          <w:rFonts w:ascii="宋体" w:hAnsi="宋体" w:eastAsia="宋体" w:cs="宋体"/>
          <w:sz w:val="28"/>
        </w:rPr>
      </w:pPr>
      <w:r>
        <w:rPr>
          <w:rFonts w:hint="eastAsia" w:ascii="宋体" w:hAnsi="宋体" w:eastAsia="宋体" w:cs="宋体"/>
          <w:sz w:val="28"/>
          <w:lang w:val="en-US" w:eastAsia="zh-CN"/>
        </w:rPr>
        <w:t>四</w:t>
      </w:r>
      <w:r>
        <w:rPr>
          <w:rFonts w:hint="eastAsia" w:ascii="宋体" w:hAnsi="宋体" w:eastAsia="宋体" w:cs="宋体"/>
          <w:sz w:val="28"/>
        </w:rPr>
        <w:t>、审查资料</w:t>
      </w:r>
      <w:bookmarkEnd w:id="846"/>
      <w:bookmarkEnd w:id="847"/>
      <w:bookmarkEnd w:id="848"/>
      <w:bookmarkEnd w:id="849"/>
      <w:bookmarkEnd w:id="850"/>
      <w:bookmarkEnd w:id="851"/>
      <w:bookmarkEnd w:id="852"/>
      <w:bookmarkEnd w:id="853"/>
    </w:p>
    <w:p>
      <w:pPr>
        <w:spacing w:line="360" w:lineRule="auto"/>
        <w:jc w:val="center"/>
        <w:outlineLvl w:val="1"/>
        <w:rPr>
          <w:rFonts w:ascii="宋体" w:hAnsi="宋体" w:cs="宋体"/>
          <w:b/>
          <w:bCs/>
          <w:kern w:val="0"/>
          <w:sz w:val="28"/>
          <w:szCs w:val="32"/>
        </w:rPr>
      </w:pPr>
      <w:bookmarkStart w:id="862" w:name="_Toc26946"/>
      <w:r>
        <w:rPr>
          <w:rFonts w:hint="eastAsia" w:ascii="宋体" w:hAnsi="宋体" w:cs="宋体"/>
          <w:b/>
          <w:bCs/>
          <w:kern w:val="0"/>
          <w:sz w:val="28"/>
          <w:szCs w:val="32"/>
        </w:rPr>
        <w:t>（一）资格</w:t>
      </w:r>
      <w:r>
        <w:rPr>
          <w:rFonts w:hint="eastAsia" w:ascii="宋体" w:hAnsi="宋体" w:cs="宋体"/>
          <w:b/>
          <w:bCs/>
          <w:kern w:val="0"/>
          <w:sz w:val="28"/>
          <w:szCs w:val="32"/>
          <w:lang w:val="en-US" w:eastAsia="zh-CN"/>
        </w:rPr>
        <w:t>审查</w:t>
      </w:r>
      <w:r>
        <w:rPr>
          <w:rFonts w:hint="eastAsia" w:ascii="宋体" w:hAnsi="宋体" w:cs="宋体"/>
          <w:b/>
          <w:bCs/>
          <w:kern w:val="0"/>
          <w:sz w:val="28"/>
          <w:szCs w:val="32"/>
        </w:rPr>
        <w:t>条件</w:t>
      </w:r>
      <w:bookmarkEnd w:id="862"/>
    </w:p>
    <w:p/>
    <w:bookmarkEnd w:id="854"/>
    <w:bookmarkEnd w:id="855"/>
    <w:bookmarkEnd w:id="856"/>
    <w:bookmarkEnd w:id="857"/>
    <w:bookmarkEnd w:id="858"/>
    <w:bookmarkEnd w:id="859"/>
    <w:bookmarkEnd w:id="860"/>
    <w:bookmarkEnd w:id="861"/>
    <w:p>
      <w:bookmarkStart w:id="863" w:name="_Toc503951055"/>
      <w:bookmarkStart w:id="864" w:name="_Toc513633973"/>
      <w:bookmarkStart w:id="865" w:name="_Toc447827068"/>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866" w:name="_Toc11672"/>
      <w:bookmarkStart w:id="867" w:name="_Toc11329281"/>
      <w:r>
        <w:rPr>
          <w:rFonts w:hint="eastAsia" w:ascii="宋体" w:hAnsi="宋体" w:cs="宋体"/>
          <w:sz w:val="28"/>
        </w:rPr>
        <w:br w:type="page"/>
      </w:r>
      <w:bookmarkStart w:id="868" w:name="_Toc8299"/>
      <w:bookmarkStart w:id="869" w:name="_Toc29559"/>
      <w:bookmarkStart w:id="870" w:name="_Toc4378"/>
      <w:bookmarkStart w:id="871" w:name="_Toc11243"/>
      <w:r>
        <w:rPr>
          <w:rFonts w:hint="eastAsia" w:ascii="宋体" w:hAnsi="宋体" w:cs="宋体"/>
          <w:b/>
          <w:bCs/>
          <w:kern w:val="0"/>
          <w:sz w:val="28"/>
          <w:szCs w:val="32"/>
        </w:rPr>
        <w:t>（二）商务及技术评分资料</w:t>
      </w:r>
      <w:bookmarkEnd w:id="868"/>
    </w:p>
    <w:p>
      <w:pPr>
        <w:pStyle w:val="170"/>
        <w:ind w:firstLine="480"/>
        <w:jc w:val="center"/>
        <w:rPr>
          <w:b/>
        </w:rPr>
      </w:pPr>
      <w:bookmarkStart w:id="872" w:name="OLE_LINK34"/>
      <w:r>
        <w:rPr>
          <w:rFonts w:hint="eastAsia"/>
        </w:rPr>
        <w:t>商务及技术部分</w:t>
      </w:r>
      <w:bookmarkEnd w:id="872"/>
      <w:r>
        <w:rPr>
          <w:rFonts w:hint="eastAsia"/>
        </w:rPr>
        <w:t>资料目录</w:t>
      </w:r>
    </w:p>
    <w:tbl>
      <w:tblPr>
        <w:tblStyle w:val="41"/>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435"/>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88"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435"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应加分数</w:t>
            </w:r>
          </w:p>
        </w:tc>
        <w:tc>
          <w:tcPr>
            <w:tcW w:w="1052" w:type="dxa"/>
            <w:vAlign w:val="center"/>
          </w:tcPr>
          <w:p>
            <w:pPr>
              <w:pStyle w:val="169"/>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169"/>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lang w:val="en-US" w:eastAsia="zh-CN"/>
              </w:rPr>
            </w:pPr>
            <w:r>
              <w:rPr>
                <w:rFonts w:hint="eastAsia" w:asciiTheme="minorEastAsia" w:hAnsiTheme="minorEastAsia" w:eastAsiaTheme="minorEastAsia" w:cstheme="minorEastAsia"/>
                <w:b w:val="0"/>
                <w:kern w:val="0"/>
                <w:sz w:val="18"/>
                <w:szCs w:val="18"/>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88" w:type="dxa"/>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43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249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736"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395"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1052"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c>
          <w:tcPr>
            <w:tcW w:w="998"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43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b/>
                <w:sz w:val="18"/>
                <w:szCs w:val="18"/>
              </w:rPr>
            </w:pPr>
            <w:r>
              <w:rPr>
                <w:rFonts w:hint="eastAsia" w:asciiTheme="minorEastAsia" w:hAnsiTheme="minorEastAsia" w:eastAsiaTheme="minorEastAsia" w:cstheme="minorEastAsia"/>
                <w:sz w:val="18"/>
                <w:szCs w:val="18"/>
              </w:rPr>
              <w:t>项目团队</w:t>
            </w:r>
          </w:p>
        </w:tc>
        <w:tc>
          <w:tcPr>
            <w:tcW w:w="249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团队成员均为本科及以上学历</w:t>
            </w:r>
          </w:p>
        </w:tc>
        <w:tc>
          <w:tcPr>
            <w:tcW w:w="1736"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证书复印件</w:t>
            </w:r>
          </w:p>
        </w:tc>
        <w:tc>
          <w:tcPr>
            <w:tcW w:w="139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1分</w:t>
            </w:r>
          </w:p>
        </w:tc>
        <w:tc>
          <w:tcPr>
            <w:tcW w:w="1052"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证明材料1</w:t>
            </w:r>
          </w:p>
        </w:tc>
        <w:tc>
          <w:tcPr>
            <w:tcW w:w="998"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43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rPr>
            </w:pPr>
          </w:p>
        </w:tc>
      </w:tr>
    </w:tbl>
    <w:p/>
    <w:p/>
    <w:p>
      <w:pPr>
        <w:widowControl/>
        <w:jc w:val="left"/>
      </w:pPr>
      <w:r>
        <w:br w:type="page"/>
      </w:r>
    </w:p>
    <w:p>
      <w:pPr>
        <w:spacing w:line="360" w:lineRule="auto"/>
        <w:jc w:val="center"/>
        <w:outlineLvl w:val="1"/>
        <w:rPr>
          <w:rFonts w:ascii="宋体" w:hAnsi="宋体" w:cs="宋体"/>
          <w:b/>
          <w:bCs/>
          <w:kern w:val="0"/>
          <w:sz w:val="28"/>
          <w:szCs w:val="32"/>
        </w:rPr>
      </w:pPr>
      <w:r>
        <w:rPr>
          <w:rFonts w:hint="eastAsia" w:ascii="宋体" w:hAnsi="宋体" w:cs="宋体"/>
          <w:b/>
          <w:bCs/>
          <w:kern w:val="0"/>
          <w:sz w:val="28"/>
          <w:szCs w:val="32"/>
        </w:rPr>
        <w:t>（三）技术方案</w:t>
      </w:r>
    </w:p>
    <w:p>
      <w:pPr>
        <w:pStyle w:val="27"/>
        <w:rPr>
          <w:rFonts w:ascii="宋体" w:hAnsi="宋体" w:cs="宋体"/>
          <w:sz w:val="28"/>
        </w:rPr>
      </w:pPr>
    </w:p>
    <w:p>
      <w:pPr>
        <w:rPr>
          <w:rFonts w:ascii="宋体" w:hAnsi="宋体" w:cs="宋体"/>
          <w:sz w:val="28"/>
        </w:rPr>
      </w:pPr>
    </w:p>
    <w:p>
      <w:pPr>
        <w:pStyle w:val="27"/>
        <w:rPr>
          <w:rFonts w:ascii="宋体" w:hAnsi="宋体" w:cs="宋体"/>
          <w:sz w:val="28"/>
        </w:rPr>
      </w:pPr>
    </w:p>
    <w:p>
      <w:pPr>
        <w:rPr>
          <w:rFonts w:ascii="宋体" w:hAnsi="宋体" w:cs="宋体"/>
          <w:sz w:val="28"/>
        </w:rPr>
      </w:pPr>
    </w:p>
    <w:p>
      <w:pPr>
        <w:pStyle w:val="27"/>
        <w:rPr>
          <w:rFonts w:ascii="宋体" w:hAnsi="宋体" w:cs="宋体"/>
          <w:sz w:val="28"/>
        </w:rPr>
      </w:pPr>
    </w:p>
    <w:p>
      <w:pPr>
        <w:rPr>
          <w:rFonts w:ascii="宋体" w:hAnsi="宋体" w:cs="宋体"/>
          <w:sz w:val="28"/>
        </w:rPr>
      </w:pPr>
    </w:p>
    <w:p>
      <w:pPr>
        <w:widowControl/>
        <w:jc w:val="left"/>
        <w:rPr>
          <w:rFonts w:ascii="宋体" w:hAnsi="宋体" w:cs="宋体"/>
          <w:b/>
          <w:bCs/>
          <w:caps/>
          <w:sz w:val="28"/>
          <w:szCs w:val="20"/>
        </w:rPr>
      </w:pPr>
      <w:bookmarkStart w:id="873" w:name="_Toc5446"/>
      <w:r>
        <w:rPr>
          <w:rFonts w:ascii="宋体" w:hAnsi="宋体" w:cs="宋体"/>
          <w:caps/>
          <w:sz w:val="28"/>
          <w:szCs w:val="20"/>
        </w:rPr>
        <w:br w:type="page"/>
      </w:r>
    </w:p>
    <w:bookmarkEnd w:id="863"/>
    <w:bookmarkEnd w:id="864"/>
    <w:bookmarkEnd w:id="865"/>
    <w:bookmarkEnd w:id="866"/>
    <w:bookmarkEnd w:id="867"/>
    <w:bookmarkEnd w:id="869"/>
    <w:bookmarkEnd w:id="870"/>
    <w:bookmarkEnd w:id="871"/>
    <w:bookmarkEnd w:id="873"/>
    <w:p>
      <w:pPr>
        <w:pStyle w:val="4"/>
        <w:widowControl/>
        <w:spacing w:before="0" w:beforeAutospacing="0" w:after="0" w:afterAutospacing="0" w:line="360" w:lineRule="auto"/>
        <w:jc w:val="center"/>
        <w:rPr>
          <w:rFonts w:hint="eastAsia" w:ascii="宋体" w:hAnsi="宋体" w:eastAsia="宋体" w:cs="宋体"/>
          <w:b/>
          <w:kern w:val="0"/>
          <w:sz w:val="28"/>
          <w:szCs w:val="28"/>
        </w:rPr>
      </w:pPr>
      <w:bookmarkStart w:id="874" w:name="_Toc503951058"/>
      <w:bookmarkStart w:id="875" w:name="_Toc513633974"/>
      <w:r>
        <w:rPr>
          <w:rFonts w:hint="eastAsia" w:ascii="宋体" w:hAnsi="宋体" w:eastAsia="宋体" w:cs="宋体"/>
          <w:b/>
          <w:kern w:val="0"/>
          <w:sz w:val="28"/>
          <w:szCs w:val="28"/>
        </w:rPr>
        <w:t>五、报价人承诺</w:t>
      </w:r>
    </w:p>
    <w:p>
      <w:pPr>
        <w:pStyle w:val="36"/>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6"/>
        <w:keepNext w:val="0"/>
        <w:keepLines w:val="0"/>
        <w:widowControl w:val="0"/>
        <w:suppressLineNumbers w:val="0"/>
        <w:spacing w:before="0" w:beforeAutospacing="0" w:after="0" w:afterAutospacing="0" w:line="480" w:lineRule="auto"/>
        <w:ind w:left="0" w:right="0"/>
        <w:jc w:val="both"/>
        <w:rPr>
          <w:rFonts w:hint="eastAsia" w:ascii="宋体" w:hAnsi="宋体" w:eastAsia="宋体" w:cs="Arial"/>
          <w:b/>
          <w:color w:val="000000"/>
          <w:kern w:val="2"/>
          <w:sz w:val="24"/>
          <w:szCs w:val="24"/>
        </w:rPr>
      </w:pPr>
      <w:r>
        <w:rPr>
          <w:rFonts w:hint="eastAsia" w:ascii="宋体" w:hAnsi="宋体" w:eastAsia="宋体" w:cs="宋体"/>
          <w:b/>
          <w:color w:val="000000"/>
          <w:kern w:val="2"/>
          <w:sz w:val="24"/>
          <w:szCs w:val="24"/>
          <w:lang w:val="en-US" w:eastAsia="zh-CN" w:bidi="ar"/>
        </w:rPr>
        <w:t>致：</w:t>
      </w:r>
      <w:r>
        <w:rPr>
          <w:rFonts w:hint="eastAsia" w:ascii="宋体" w:hAnsi="宋体" w:eastAsia="宋体" w:cs="宋体"/>
          <w:b/>
          <w:color w:val="000000"/>
          <w:kern w:val="2"/>
          <w:sz w:val="24"/>
          <w:szCs w:val="24"/>
          <w:u w:val="single"/>
          <w:lang w:val="en-US" w:eastAsia="zh-CN" w:bidi="ar"/>
        </w:rPr>
        <w:t>重庆首讯科技股份有限公司</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在研究</w:t>
      </w:r>
      <w:r>
        <w:rPr>
          <w:rFonts w:hint="eastAsia" w:ascii="宋体" w:hAnsi="宋体" w:eastAsia="宋体" w:cs="Times New Roman"/>
          <w:color w:val="000000"/>
          <w:kern w:val="2"/>
          <w:sz w:val="24"/>
          <w:szCs w:val="24"/>
          <w:u w:val="single"/>
          <w:lang w:val="en-US" w:eastAsia="zh-CN" w:bidi="ar"/>
        </w:rPr>
        <w:t>XXXX   项目</w:t>
      </w:r>
      <w:r>
        <w:rPr>
          <w:rFonts w:hint="eastAsia" w:ascii="宋体" w:hAnsi="宋体" w:eastAsia="宋体" w:cs="宋体"/>
          <w:color w:val="000000"/>
          <w:kern w:val="2"/>
          <w:sz w:val="24"/>
          <w:szCs w:val="24"/>
          <w:lang w:val="en-US" w:eastAsia="zh-CN" w:bidi="ar"/>
        </w:rPr>
        <w:t>竞争比选文件后，在此郑重承诺我司</w:t>
      </w:r>
      <w:r>
        <w:rPr>
          <w:rFonts w:hint="eastAsia" w:ascii="宋体" w:hAnsi="宋体" w:cs="宋体"/>
          <w:color w:val="000000"/>
          <w:kern w:val="2"/>
          <w:sz w:val="24"/>
          <w:szCs w:val="24"/>
          <w:lang w:val="en-US" w:eastAsia="zh-CN" w:bidi="ar"/>
        </w:rPr>
        <w:t>满足本项目一切工期、质量及安全等相关要求，响应比选函的一切内容</w:t>
      </w:r>
      <w:r>
        <w:rPr>
          <w:rFonts w:hint="eastAsia" w:ascii="宋体" w:hAnsi="宋体" w:eastAsia="宋体" w:cs="宋体"/>
          <w:color w:val="000000"/>
          <w:kern w:val="2"/>
          <w:sz w:val="24"/>
          <w:szCs w:val="24"/>
          <w:lang w:val="en-US" w:eastAsia="zh-CN" w:bidi="ar"/>
        </w:rPr>
        <w:t>，</w:t>
      </w:r>
      <w:r>
        <w:rPr>
          <w:rFonts w:hint="eastAsia" w:ascii="宋体" w:hAnsi="宋体" w:cs="宋体"/>
          <w:color w:val="000000"/>
          <w:kern w:val="2"/>
          <w:sz w:val="24"/>
          <w:szCs w:val="24"/>
          <w:lang w:val="en-US" w:eastAsia="zh-CN" w:bidi="ar"/>
        </w:rPr>
        <w:t>同时申明将按照业主要求组建项目团队。</w:t>
      </w:r>
      <w:r>
        <w:rPr>
          <w:rFonts w:hint="eastAsia" w:ascii="宋体" w:hAnsi="宋体" w:eastAsia="宋体" w:cs="宋体"/>
          <w:color w:val="000000"/>
          <w:kern w:val="2"/>
          <w:sz w:val="24"/>
          <w:szCs w:val="24"/>
          <w:lang w:val="en-US" w:eastAsia="zh-CN" w:bidi="ar"/>
        </w:rPr>
        <w:t>若我司中标本项目且</w:t>
      </w:r>
      <w:r>
        <w:rPr>
          <w:rFonts w:hint="eastAsia" w:ascii="宋体" w:hAnsi="宋体" w:cs="宋体"/>
          <w:color w:val="000000"/>
          <w:kern w:val="2"/>
          <w:sz w:val="24"/>
          <w:szCs w:val="24"/>
          <w:lang w:val="en-US" w:eastAsia="zh-CN" w:bidi="ar"/>
        </w:rPr>
        <w:t>无法满足业主相关需求</w:t>
      </w:r>
      <w:r>
        <w:rPr>
          <w:rFonts w:hint="eastAsia" w:ascii="宋体" w:hAnsi="宋体" w:eastAsia="宋体" w:cs="宋体"/>
          <w:color w:val="000000"/>
          <w:kern w:val="2"/>
          <w:sz w:val="24"/>
          <w:szCs w:val="24"/>
          <w:lang w:val="en-US" w:eastAsia="zh-CN" w:bidi="ar"/>
        </w:rPr>
        <w:t>，我司愿承担由此给采购人造成的一切损失。</w:t>
      </w: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报价人：</w:t>
      </w:r>
      <w:r>
        <w:rPr>
          <w:rFonts w:hint="eastAsia" w:ascii="宋体" w:hAnsi="宋体" w:eastAsia="宋体" w:cs="Times New Roman"/>
          <w:color w:val="000000"/>
          <w:kern w:val="2"/>
          <w:sz w:val="24"/>
          <w:szCs w:val="24"/>
          <w:lang w:val="en-US" w:eastAsia="zh-CN" w:bidi="ar"/>
        </w:rPr>
        <w:t>XX公司</w:t>
      </w: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r>
        <w:rPr>
          <w:rFonts w:hint="eastAsia" w:ascii="宋体" w:hAnsi="宋体"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日期：</w:t>
      </w: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36"/>
        <w:keepNext w:val="0"/>
        <w:keepLines w:val="0"/>
        <w:widowControl w:val="0"/>
        <w:suppressLineNumbers w:val="0"/>
        <w:spacing w:before="0" w:beforeAutospacing="1" w:after="120" w:afterAutospacing="0" w:line="480" w:lineRule="auto"/>
        <w:ind w:left="0" w:right="0"/>
        <w:jc w:val="both"/>
        <w:rPr>
          <w:rFonts w:hint="eastAsia" w:ascii="宋体" w:hAnsi="宋体" w:eastAsia="宋体" w:cs="宋体"/>
          <w:color w:val="000000"/>
          <w:kern w:val="0"/>
          <w:sz w:val="24"/>
          <w:szCs w:val="24"/>
          <w:lang w:val="en-US" w:eastAsia="zh-CN" w:bidi="ar"/>
        </w:rPr>
      </w:pPr>
    </w:p>
    <w:p>
      <w:pPr>
        <w:pStyle w:val="4"/>
        <w:widowControl/>
        <w:spacing w:before="0" w:beforeAutospacing="0" w:after="0" w:afterAutospacing="0" w:line="360" w:lineRule="auto"/>
        <w:jc w:val="center"/>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六、其他</w:t>
      </w:r>
    </w:p>
    <w:p>
      <w:pPr>
        <w:pStyle w:val="36"/>
        <w:keepNext w:val="0"/>
        <w:keepLines w:val="0"/>
        <w:widowControl w:val="0"/>
        <w:suppressLineNumbers w:val="0"/>
        <w:spacing w:before="0" w:beforeAutospacing="1" w:after="120" w:afterAutospacing="0"/>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bidi="ar"/>
        </w:rPr>
        <w:t xml:space="preserve"> </w:t>
      </w:r>
    </w:p>
    <w:p>
      <w:pPr>
        <w:pStyle w:val="36"/>
        <w:keepNext w:val="0"/>
        <w:keepLines w:val="0"/>
        <w:widowControl w:val="0"/>
        <w:suppressLineNumbers w:val="0"/>
        <w:spacing w:before="0" w:beforeAutospacing="1" w:after="120" w:afterAutospacing="0"/>
        <w:ind w:left="0" w:right="0"/>
        <w:jc w:val="both"/>
        <w:rPr>
          <w:rFonts w:hint="eastAsia" w:ascii="宋体" w:hAnsi="宋体" w:eastAsia="宋体" w:cs="Times New Roman"/>
          <w:color w:val="000000"/>
          <w:kern w:val="0"/>
          <w:sz w:val="24"/>
          <w:szCs w:val="24"/>
        </w:rPr>
      </w:pPr>
      <w:r>
        <w:rPr>
          <w:rFonts w:hint="eastAsia" w:ascii="宋体" w:hAnsi="宋体" w:eastAsia="宋体" w:cs="Times New Roman"/>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color w:val="000000"/>
          <w:kern w:val="2"/>
          <w:sz w:val="24"/>
          <w:szCs w:val="24"/>
        </w:rPr>
      </w:pPr>
    </w:p>
    <w:p>
      <w:pPr>
        <w:pStyle w:val="27"/>
      </w:pPr>
    </w:p>
    <w:p>
      <w:pPr>
        <w:pStyle w:val="27"/>
      </w:pPr>
    </w:p>
    <w:p>
      <w:pPr>
        <w:pStyle w:val="27"/>
      </w:pPr>
    </w:p>
    <w:p>
      <w:pPr>
        <w:pStyle w:val="27"/>
      </w:pPr>
    </w:p>
    <w:bookmarkEnd w:id="874"/>
    <w:bookmarkEnd w:id="875"/>
    <w:p>
      <w:pPr>
        <w:pStyle w:val="27"/>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C8CF1C6-5351-4000-9E6C-A801B07793D6}"/>
  </w:font>
  <w:font w:name="黑体">
    <w:panose1 w:val="02010609060101010101"/>
    <w:charset w:val="86"/>
    <w:family w:val="auto"/>
    <w:pitch w:val="default"/>
    <w:sig w:usb0="800002BF" w:usb1="38CF7CFA" w:usb2="00000016" w:usb3="00000000" w:csb0="00040001" w:csb1="00000000"/>
    <w:embedRegular r:id="rId2" w:fontKey="{52DDC2BB-5F4A-454D-8782-4F1A7C1DE7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E92B7C4-B7E8-4B27-BD21-2391AF984112}"/>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4" w:fontKey="{D59E3BF2-444E-486B-A189-2C9CF389CFAC}"/>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auto"/>
    <w:pitch w:val="default"/>
    <w:sig w:usb0="E00002FF" w:usb1="6AC7FDFB" w:usb2="08000012" w:usb3="00000000" w:csb0="4002009F" w:csb1="DFD70000"/>
  </w:font>
  <w:font w:name="smartSimSun">
    <w:panose1 w:val="02010600030101010101"/>
    <w:charset w:val="86"/>
    <w:family w:val="auto"/>
    <w:pitch w:val="default"/>
    <w:sig w:usb0="00000003" w:usb1="080E0000" w:usb2="00000000" w:usb3="00000000" w:csb0="00040001" w:csb1="00000000"/>
  </w:font>
  <w:font w:name="等线">
    <w:panose1 w:val="02010600030101010101"/>
    <w:charset w:val="86"/>
    <w:family w:val="auto"/>
    <w:pitch w:val="default"/>
    <w:sig w:usb0="A00002BF" w:usb1="38CF7CFA" w:usb2="00000016" w:usb3="00000000" w:csb0="0004000F" w:csb1="00000000"/>
    <w:embedRegular r:id="rId5" w:fontKey="{128246F1-21F8-4D37-89E6-98F28E8A55A5}"/>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5"/>
      </w:rPr>
    </w:pPr>
    <w:r>
      <w:fldChar w:fldCharType="begin"/>
    </w:r>
    <w:r>
      <w:rPr>
        <w:rStyle w:val="45"/>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17</w:t>
    </w:r>
    <w: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6</w:t>
    </w:r>
    <w: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5"/>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19</w:t>
    </w:r>
    <w:r>
      <w:fldChar w:fldCharType="end"/>
    </w:r>
  </w:p>
  <w:p>
    <w:pPr>
      <w:pStyle w:val="25"/>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rPr>
                              <w:rStyle w:val="45"/>
                            </w:rPr>
                          </w:pPr>
                          <w:r>
                            <w:fldChar w:fldCharType="begin"/>
                          </w:r>
                          <w:r>
                            <w:rPr>
                              <w:rStyle w:val="45"/>
                            </w:rPr>
                            <w:instrText xml:space="preserve">PAGE  </w:instrText>
                          </w:r>
                          <w:r>
                            <w:fldChar w:fldCharType="separate"/>
                          </w:r>
                          <w:r>
                            <w:rPr>
                              <w:rStyle w:val="45"/>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5"/>
                      <w:rPr>
                        <w:rStyle w:val="45"/>
                      </w:rPr>
                    </w:pPr>
                    <w:r>
                      <w:fldChar w:fldCharType="begin"/>
                    </w:r>
                    <w:r>
                      <w:rPr>
                        <w:rStyle w:val="45"/>
                      </w:rPr>
                      <w:instrText xml:space="preserve">PAGE  </w:instrText>
                    </w:r>
                    <w:r>
                      <w:fldChar w:fldCharType="separate"/>
                    </w:r>
                    <w:r>
                      <w:rPr>
                        <w:rStyle w:val="45"/>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533F7"/>
    <w:multiLevelType w:val="singleLevel"/>
    <w:tmpl w:val="B85533F7"/>
    <w:lvl w:ilvl="0" w:tentative="0">
      <w:start w:val="1"/>
      <w:numFmt w:val="bullet"/>
      <w:lvlText w:val=""/>
      <w:lvlJc w:val="left"/>
      <w:pPr>
        <w:ind w:left="420" w:hanging="420"/>
      </w:pPr>
      <w:rPr>
        <w:rFonts w:hint="default" w:ascii="Wingdings" w:hAnsi="Wingdings"/>
      </w:rPr>
    </w:lvl>
  </w:abstractNum>
  <w:abstractNum w:abstractNumId="1">
    <w:nsid w:val="BCC1655C"/>
    <w:multiLevelType w:val="singleLevel"/>
    <w:tmpl w:val="BCC1655C"/>
    <w:lvl w:ilvl="0" w:tentative="0">
      <w:start w:val="7"/>
      <w:numFmt w:val="chineseCounting"/>
      <w:suff w:val="space"/>
      <w:lvlText w:val="第%1章"/>
      <w:lvlJc w:val="left"/>
      <w:rPr>
        <w:rFonts w:hint="eastAsia"/>
      </w:rPr>
    </w:lvl>
  </w:abstractNum>
  <w:abstractNum w:abstractNumId="2">
    <w:nsid w:val="DE1CB082"/>
    <w:multiLevelType w:val="singleLevel"/>
    <w:tmpl w:val="DE1CB082"/>
    <w:lvl w:ilvl="0" w:tentative="0">
      <w:start w:val="1"/>
      <w:numFmt w:val="chineseCounting"/>
      <w:suff w:val="space"/>
      <w:lvlText w:val="第%1章"/>
      <w:lvlJc w:val="left"/>
      <w:rPr>
        <w:rFonts w:hint="eastAsia"/>
      </w:rPr>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46A08BB8"/>
    <w:multiLevelType w:val="singleLevel"/>
    <w:tmpl w:val="46A08BB8"/>
    <w:lvl w:ilvl="0" w:tentative="0">
      <w:start w:val="1"/>
      <w:numFmt w:val="bullet"/>
      <w:lvlText w:val=""/>
      <w:lvlJc w:val="left"/>
      <w:pPr>
        <w:ind w:left="420" w:hanging="420"/>
      </w:pPr>
      <w:rPr>
        <w:rFonts w:hint="default" w:ascii="Wingdings" w:hAnsi="Wingdings" w:eastAsia="Wingdings"/>
        <w:bCs/>
      </w:rPr>
    </w:lvl>
  </w:abstractNum>
  <w:abstractNum w:abstractNumId="5">
    <w:nsid w:val="72B64926"/>
    <w:multiLevelType w:val="singleLevel"/>
    <w:tmpl w:val="72B64926"/>
    <w:lvl w:ilvl="0" w:tentative="0">
      <w:start w:val="3"/>
      <w:numFmt w:val="chineseCounting"/>
      <w:suff w:val="space"/>
      <w:lvlText w:val="第%1章"/>
      <w:lvlJc w:val="left"/>
      <w:rPr>
        <w:rFonts w:hint="eastAsia"/>
      </w:rPr>
    </w:lvl>
  </w:abstractNum>
  <w:abstractNum w:abstractNumId="6">
    <w:nsid w:val="78BA0F68"/>
    <w:multiLevelType w:val="singleLevel"/>
    <w:tmpl w:val="78BA0F68"/>
    <w:lvl w:ilvl="0" w:tentative="0">
      <w:start w:val="1"/>
      <w:numFmt w:val="decimal"/>
      <w:lvlText w:val="%1."/>
      <w:lvlJc w:val="left"/>
      <w:pPr>
        <w:tabs>
          <w:tab w:val="left" w:pos="312"/>
        </w:tabs>
      </w:pPr>
    </w:lvl>
  </w:abstractNum>
  <w:num w:numId="1">
    <w:abstractNumId w:val="3"/>
  </w:num>
  <w:num w:numId="2">
    <w:abstractNumId w:val="2"/>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YWE5MGFmNjkxNGU0YjRjMzU3MzlhYjM0NmY5Mjc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493"/>
    <w:rsid w:val="000349C1"/>
    <w:rsid w:val="00035D65"/>
    <w:rsid w:val="00035FD9"/>
    <w:rsid w:val="00037178"/>
    <w:rsid w:val="0004371B"/>
    <w:rsid w:val="000439F3"/>
    <w:rsid w:val="00046EC8"/>
    <w:rsid w:val="0005109B"/>
    <w:rsid w:val="00051872"/>
    <w:rsid w:val="00055B95"/>
    <w:rsid w:val="000563B8"/>
    <w:rsid w:val="000572DF"/>
    <w:rsid w:val="00057B74"/>
    <w:rsid w:val="0006209E"/>
    <w:rsid w:val="000620D8"/>
    <w:rsid w:val="00066BA0"/>
    <w:rsid w:val="00067251"/>
    <w:rsid w:val="00071566"/>
    <w:rsid w:val="00074AEB"/>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04FA"/>
    <w:rsid w:val="000C153A"/>
    <w:rsid w:val="000C3C36"/>
    <w:rsid w:val="000C4170"/>
    <w:rsid w:val="000C42B0"/>
    <w:rsid w:val="000C4955"/>
    <w:rsid w:val="000C5DB1"/>
    <w:rsid w:val="000C6C80"/>
    <w:rsid w:val="000C6EF3"/>
    <w:rsid w:val="000D0FF5"/>
    <w:rsid w:val="000D5331"/>
    <w:rsid w:val="000D6003"/>
    <w:rsid w:val="000E2A4B"/>
    <w:rsid w:val="000E30E3"/>
    <w:rsid w:val="000E313E"/>
    <w:rsid w:val="000E59C6"/>
    <w:rsid w:val="000E6D32"/>
    <w:rsid w:val="000F2842"/>
    <w:rsid w:val="000F5EE9"/>
    <w:rsid w:val="000F623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4DA6"/>
    <w:rsid w:val="00147ECF"/>
    <w:rsid w:val="001509A5"/>
    <w:rsid w:val="00151358"/>
    <w:rsid w:val="001528F7"/>
    <w:rsid w:val="00157E7E"/>
    <w:rsid w:val="00160A9D"/>
    <w:rsid w:val="00161FBA"/>
    <w:rsid w:val="0016324C"/>
    <w:rsid w:val="001637E6"/>
    <w:rsid w:val="001646C7"/>
    <w:rsid w:val="001661DF"/>
    <w:rsid w:val="00166289"/>
    <w:rsid w:val="00167BC0"/>
    <w:rsid w:val="00170C04"/>
    <w:rsid w:val="00170C4F"/>
    <w:rsid w:val="001743B9"/>
    <w:rsid w:val="00177E99"/>
    <w:rsid w:val="00180EFE"/>
    <w:rsid w:val="00183BEA"/>
    <w:rsid w:val="00184A5E"/>
    <w:rsid w:val="0018579A"/>
    <w:rsid w:val="0019148A"/>
    <w:rsid w:val="00195880"/>
    <w:rsid w:val="001A0539"/>
    <w:rsid w:val="001A09DE"/>
    <w:rsid w:val="001A09E1"/>
    <w:rsid w:val="001A5CDC"/>
    <w:rsid w:val="001A7336"/>
    <w:rsid w:val="001B37EE"/>
    <w:rsid w:val="001B455F"/>
    <w:rsid w:val="001B7789"/>
    <w:rsid w:val="001C0BBE"/>
    <w:rsid w:val="001C47B4"/>
    <w:rsid w:val="001C7A81"/>
    <w:rsid w:val="001D0E4A"/>
    <w:rsid w:val="001D4A30"/>
    <w:rsid w:val="001D5992"/>
    <w:rsid w:val="001D620B"/>
    <w:rsid w:val="001D7266"/>
    <w:rsid w:val="001D748A"/>
    <w:rsid w:val="001E2FBC"/>
    <w:rsid w:val="001E35E5"/>
    <w:rsid w:val="001E3AE0"/>
    <w:rsid w:val="001E4ED8"/>
    <w:rsid w:val="001F20E8"/>
    <w:rsid w:val="001F5D0C"/>
    <w:rsid w:val="001F6241"/>
    <w:rsid w:val="001F746A"/>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110"/>
    <w:rsid w:val="002258E9"/>
    <w:rsid w:val="00226226"/>
    <w:rsid w:val="00230295"/>
    <w:rsid w:val="00230813"/>
    <w:rsid w:val="00231314"/>
    <w:rsid w:val="00231845"/>
    <w:rsid w:val="002339FF"/>
    <w:rsid w:val="0023584D"/>
    <w:rsid w:val="00235CEC"/>
    <w:rsid w:val="002460EA"/>
    <w:rsid w:val="00246DBB"/>
    <w:rsid w:val="002537F9"/>
    <w:rsid w:val="00253875"/>
    <w:rsid w:val="0025448C"/>
    <w:rsid w:val="002560F2"/>
    <w:rsid w:val="00265169"/>
    <w:rsid w:val="002660DD"/>
    <w:rsid w:val="00272FC8"/>
    <w:rsid w:val="00277351"/>
    <w:rsid w:val="00277BB5"/>
    <w:rsid w:val="002826F6"/>
    <w:rsid w:val="002878E9"/>
    <w:rsid w:val="00287A1A"/>
    <w:rsid w:val="00295BEA"/>
    <w:rsid w:val="0029648C"/>
    <w:rsid w:val="002966A3"/>
    <w:rsid w:val="00296F6F"/>
    <w:rsid w:val="00297D35"/>
    <w:rsid w:val="002A0370"/>
    <w:rsid w:val="002A055F"/>
    <w:rsid w:val="002A2803"/>
    <w:rsid w:val="002A4245"/>
    <w:rsid w:val="002A57D5"/>
    <w:rsid w:val="002B19F4"/>
    <w:rsid w:val="002B4E72"/>
    <w:rsid w:val="002B52E8"/>
    <w:rsid w:val="002B6790"/>
    <w:rsid w:val="002B6B13"/>
    <w:rsid w:val="002B6E57"/>
    <w:rsid w:val="002B72CF"/>
    <w:rsid w:val="002C2E51"/>
    <w:rsid w:val="002C471B"/>
    <w:rsid w:val="002C5A0E"/>
    <w:rsid w:val="002C7AB6"/>
    <w:rsid w:val="002D54DB"/>
    <w:rsid w:val="002E1D11"/>
    <w:rsid w:val="002E2EFA"/>
    <w:rsid w:val="002E695F"/>
    <w:rsid w:val="002F308B"/>
    <w:rsid w:val="002F59DF"/>
    <w:rsid w:val="002F6094"/>
    <w:rsid w:val="002F6545"/>
    <w:rsid w:val="002F737A"/>
    <w:rsid w:val="002F73BF"/>
    <w:rsid w:val="002F7968"/>
    <w:rsid w:val="00300BA8"/>
    <w:rsid w:val="0030183E"/>
    <w:rsid w:val="00305027"/>
    <w:rsid w:val="00306B45"/>
    <w:rsid w:val="003111A2"/>
    <w:rsid w:val="0031451A"/>
    <w:rsid w:val="0031530B"/>
    <w:rsid w:val="00316E74"/>
    <w:rsid w:val="00320620"/>
    <w:rsid w:val="00321B30"/>
    <w:rsid w:val="00322C4B"/>
    <w:rsid w:val="00323A00"/>
    <w:rsid w:val="0032479B"/>
    <w:rsid w:val="00325CDF"/>
    <w:rsid w:val="00326D75"/>
    <w:rsid w:val="00327CC2"/>
    <w:rsid w:val="003331DE"/>
    <w:rsid w:val="003332D7"/>
    <w:rsid w:val="003332EB"/>
    <w:rsid w:val="003349A6"/>
    <w:rsid w:val="00336D14"/>
    <w:rsid w:val="00340515"/>
    <w:rsid w:val="003413B4"/>
    <w:rsid w:val="00343B59"/>
    <w:rsid w:val="00343D31"/>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15C3"/>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139F"/>
    <w:rsid w:val="003E3829"/>
    <w:rsid w:val="003E38BD"/>
    <w:rsid w:val="003E65DC"/>
    <w:rsid w:val="003E68AB"/>
    <w:rsid w:val="003F098D"/>
    <w:rsid w:val="003F1C45"/>
    <w:rsid w:val="003F1F45"/>
    <w:rsid w:val="003F34F8"/>
    <w:rsid w:val="003F5C64"/>
    <w:rsid w:val="003F6AEE"/>
    <w:rsid w:val="003F6B5B"/>
    <w:rsid w:val="003F7927"/>
    <w:rsid w:val="003F7A0C"/>
    <w:rsid w:val="00402F66"/>
    <w:rsid w:val="00403314"/>
    <w:rsid w:val="00404848"/>
    <w:rsid w:val="00406BDF"/>
    <w:rsid w:val="00411545"/>
    <w:rsid w:val="00412072"/>
    <w:rsid w:val="00415B93"/>
    <w:rsid w:val="00420586"/>
    <w:rsid w:val="00420FC3"/>
    <w:rsid w:val="00421DFA"/>
    <w:rsid w:val="00423CEA"/>
    <w:rsid w:val="00426621"/>
    <w:rsid w:val="0043226B"/>
    <w:rsid w:val="0043326B"/>
    <w:rsid w:val="00434144"/>
    <w:rsid w:val="00435119"/>
    <w:rsid w:val="00435BC6"/>
    <w:rsid w:val="00435D65"/>
    <w:rsid w:val="004409EE"/>
    <w:rsid w:val="0044320E"/>
    <w:rsid w:val="00443CBF"/>
    <w:rsid w:val="00443D8E"/>
    <w:rsid w:val="00444730"/>
    <w:rsid w:val="00447181"/>
    <w:rsid w:val="00452F25"/>
    <w:rsid w:val="00453BE6"/>
    <w:rsid w:val="00454E6B"/>
    <w:rsid w:val="0045502B"/>
    <w:rsid w:val="004566D2"/>
    <w:rsid w:val="0045695D"/>
    <w:rsid w:val="00461AD0"/>
    <w:rsid w:val="004634AB"/>
    <w:rsid w:val="00465BDD"/>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1B55"/>
    <w:rsid w:val="004A1C98"/>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0F10"/>
    <w:rsid w:val="004D1ADF"/>
    <w:rsid w:val="004D4A97"/>
    <w:rsid w:val="004D5467"/>
    <w:rsid w:val="004D6EA5"/>
    <w:rsid w:val="004E4F7E"/>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13BF"/>
    <w:rsid w:val="0053576A"/>
    <w:rsid w:val="0053749E"/>
    <w:rsid w:val="0053783C"/>
    <w:rsid w:val="00540A63"/>
    <w:rsid w:val="00541EAD"/>
    <w:rsid w:val="00543B84"/>
    <w:rsid w:val="00551444"/>
    <w:rsid w:val="005516BA"/>
    <w:rsid w:val="00554CE3"/>
    <w:rsid w:val="00563C1F"/>
    <w:rsid w:val="00565E3C"/>
    <w:rsid w:val="0056641F"/>
    <w:rsid w:val="005668C7"/>
    <w:rsid w:val="00571660"/>
    <w:rsid w:val="0057233D"/>
    <w:rsid w:val="00573321"/>
    <w:rsid w:val="005758E3"/>
    <w:rsid w:val="00586303"/>
    <w:rsid w:val="005914DA"/>
    <w:rsid w:val="00591F3F"/>
    <w:rsid w:val="00594228"/>
    <w:rsid w:val="005946A1"/>
    <w:rsid w:val="00594DBC"/>
    <w:rsid w:val="0059501D"/>
    <w:rsid w:val="005A0E5B"/>
    <w:rsid w:val="005A1707"/>
    <w:rsid w:val="005A1EE3"/>
    <w:rsid w:val="005A390C"/>
    <w:rsid w:val="005A3A26"/>
    <w:rsid w:val="005A6CF0"/>
    <w:rsid w:val="005B0870"/>
    <w:rsid w:val="005B2C7F"/>
    <w:rsid w:val="005B409E"/>
    <w:rsid w:val="005B635A"/>
    <w:rsid w:val="005C1367"/>
    <w:rsid w:val="005C137A"/>
    <w:rsid w:val="005C3C93"/>
    <w:rsid w:val="005C7304"/>
    <w:rsid w:val="005D1938"/>
    <w:rsid w:val="005D1C59"/>
    <w:rsid w:val="005D3202"/>
    <w:rsid w:val="005D48DB"/>
    <w:rsid w:val="005E25FB"/>
    <w:rsid w:val="005E3BFB"/>
    <w:rsid w:val="005E3EBE"/>
    <w:rsid w:val="005E3F38"/>
    <w:rsid w:val="005E782A"/>
    <w:rsid w:val="005F2C77"/>
    <w:rsid w:val="005F4D02"/>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02A3"/>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640"/>
    <w:rsid w:val="00705864"/>
    <w:rsid w:val="0071015C"/>
    <w:rsid w:val="0071261D"/>
    <w:rsid w:val="007147CE"/>
    <w:rsid w:val="0071777A"/>
    <w:rsid w:val="007210BA"/>
    <w:rsid w:val="00721925"/>
    <w:rsid w:val="00722FD3"/>
    <w:rsid w:val="00723562"/>
    <w:rsid w:val="00724D14"/>
    <w:rsid w:val="00727D4B"/>
    <w:rsid w:val="00736D71"/>
    <w:rsid w:val="007372DF"/>
    <w:rsid w:val="00737EEA"/>
    <w:rsid w:val="00741B7A"/>
    <w:rsid w:val="00747B86"/>
    <w:rsid w:val="007504EC"/>
    <w:rsid w:val="007508E2"/>
    <w:rsid w:val="00753765"/>
    <w:rsid w:val="007560DB"/>
    <w:rsid w:val="00756FB5"/>
    <w:rsid w:val="00756FFD"/>
    <w:rsid w:val="00761FD8"/>
    <w:rsid w:val="00762E3B"/>
    <w:rsid w:val="00766052"/>
    <w:rsid w:val="00767E72"/>
    <w:rsid w:val="00770B52"/>
    <w:rsid w:val="00771915"/>
    <w:rsid w:val="00775C9B"/>
    <w:rsid w:val="00776703"/>
    <w:rsid w:val="007857ED"/>
    <w:rsid w:val="00785C73"/>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4D96"/>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5C9"/>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47D7B"/>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F07"/>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22ED"/>
    <w:rsid w:val="008B3FC7"/>
    <w:rsid w:val="008B4326"/>
    <w:rsid w:val="008B4FD2"/>
    <w:rsid w:val="008B5DEA"/>
    <w:rsid w:val="008B6331"/>
    <w:rsid w:val="008B67BA"/>
    <w:rsid w:val="008B7405"/>
    <w:rsid w:val="008C301B"/>
    <w:rsid w:val="008C5B46"/>
    <w:rsid w:val="008C725C"/>
    <w:rsid w:val="008D00FA"/>
    <w:rsid w:val="008D63E7"/>
    <w:rsid w:val="008D67F9"/>
    <w:rsid w:val="008D73C7"/>
    <w:rsid w:val="008E0572"/>
    <w:rsid w:val="008E1519"/>
    <w:rsid w:val="008E287D"/>
    <w:rsid w:val="008E45A7"/>
    <w:rsid w:val="008F6DD4"/>
    <w:rsid w:val="00900693"/>
    <w:rsid w:val="009006A6"/>
    <w:rsid w:val="00903037"/>
    <w:rsid w:val="009046B3"/>
    <w:rsid w:val="00905B3A"/>
    <w:rsid w:val="00916B64"/>
    <w:rsid w:val="00920C99"/>
    <w:rsid w:val="00925EBF"/>
    <w:rsid w:val="00926273"/>
    <w:rsid w:val="00927097"/>
    <w:rsid w:val="009275AE"/>
    <w:rsid w:val="009279C7"/>
    <w:rsid w:val="00931886"/>
    <w:rsid w:val="009332B4"/>
    <w:rsid w:val="0093372E"/>
    <w:rsid w:val="00933E5E"/>
    <w:rsid w:val="00940847"/>
    <w:rsid w:val="00940FA6"/>
    <w:rsid w:val="0094101C"/>
    <w:rsid w:val="00941237"/>
    <w:rsid w:val="009421B0"/>
    <w:rsid w:val="0094715F"/>
    <w:rsid w:val="009514A5"/>
    <w:rsid w:val="00953549"/>
    <w:rsid w:val="00954247"/>
    <w:rsid w:val="009564C7"/>
    <w:rsid w:val="00956F8D"/>
    <w:rsid w:val="009572C8"/>
    <w:rsid w:val="00962870"/>
    <w:rsid w:val="00962ACC"/>
    <w:rsid w:val="00964B02"/>
    <w:rsid w:val="009661C5"/>
    <w:rsid w:val="00967972"/>
    <w:rsid w:val="00972900"/>
    <w:rsid w:val="00972BE1"/>
    <w:rsid w:val="00974712"/>
    <w:rsid w:val="00974ED2"/>
    <w:rsid w:val="009756CC"/>
    <w:rsid w:val="00984865"/>
    <w:rsid w:val="00985FDF"/>
    <w:rsid w:val="00993114"/>
    <w:rsid w:val="009933AA"/>
    <w:rsid w:val="009967E9"/>
    <w:rsid w:val="00997538"/>
    <w:rsid w:val="009A2809"/>
    <w:rsid w:val="009A2EF8"/>
    <w:rsid w:val="009A4256"/>
    <w:rsid w:val="009B2BC0"/>
    <w:rsid w:val="009C1CE2"/>
    <w:rsid w:val="009C33B6"/>
    <w:rsid w:val="009C5D1A"/>
    <w:rsid w:val="009C628A"/>
    <w:rsid w:val="009C64B8"/>
    <w:rsid w:val="009C672B"/>
    <w:rsid w:val="009C6EA7"/>
    <w:rsid w:val="009D1627"/>
    <w:rsid w:val="009D3A4F"/>
    <w:rsid w:val="009D412F"/>
    <w:rsid w:val="009D797B"/>
    <w:rsid w:val="009D7B9F"/>
    <w:rsid w:val="009E0777"/>
    <w:rsid w:val="009E1498"/>
    <w:rsid w:val="009E1C34"/>
    <w:rsid w:val="009E2FCF"/>
    <w:rsid w:val="009E3D1F"/>
    <w:rsid w:val="009E7C5F"/>
    <w:rsid w:val="009E7FE7"/>
    <w:rsid w:val="009F2D22"/>
    <w:rsid w:val="009F503C"/>
    <w:rsid w:val="009F5199"/>
    <w:rsid w:val="009F6408"/>
    <w:rsid w:val="00A00E02"/>
    <w:rsid w:val="00A047ED"/>
    <w:rsid w:val="00A05452"/>
    <w:rsid w:val="00A077AC"/>
    <w:rsid w:val="00A07D0B"/>
    <w:rsid w:val="00A123BA"/>
    <w:rsid w:val="00A14408"/>
    <w:rsid w:val="00A179F7"/>
    <w:rsid w:val="00A21CCE"/>
    <w:rsid w:val="00A2254A"/>
    <w:rsid w:val="00A23A4F"/>
    <w:rsid w:val="00A23CC4"/>
    <w:rsid w:val="00A2552A"/>
    <w:rsid w:val="00A260BF"/>
    <w:rsid w:val="00A268ED"/>
    <w:rsid w:val="00A27BFC"/>
    <w:rsid w:val="00A3283D"/>
    <w:rsid w:val="00A32BD8"/>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8631D"/>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46C5"/>
    <w:rsid w:val="00B151A8"/>
    <w:rsid w:val="00B20392"/>
    <w:rsid w:val="00B235BC"/>
    <w:rsid w:val="00B24221"/>
    <w:rsid w:val="00B2626C"/>
    <w:rsid w:val="00B275AF"/>
    <w:rsid w:val="00B307F7"/>
    <w:rsid w:val="00B32CAE"/>
    <w:rsid w:val="00B3421D"/>
    <w:rsid w:val="00B35641"/>
    <w:rsid w:val="00B36173"/>
    <w:rsid w:val="00B41020"/>
    <w:rsid w:val="00B42F9A"/>
    <w:rsid w:val="00B459DA"/>
    <w:rsid w:val="00B46FA2"/>
    <w:rsid w:val="00B4774B"/>
    <w:rsid w:val="00B52622"/>
    <w:rsid w:val="00B529B8"/>
    <w:rsid w:val="00B53543"/>
    <w:rsid w:val="00B53EAE"/>
    <w:rsid w:val="00B554E2"/>
    <w:rsid w:val="00B61E48"/>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6ACA"/>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1A76"/>
    <w:rsid w:val="00BC203B"/>
    <w:rsid w:val="00BC258F"/>
    <w:rsid w:val="00BC33A9"/>
    <w:rsid w:val="00BC35A9"/>
    <w:rsid w:val="00BC585D"/>
    <w:rsid w:val="00BD6DC6"/>
    <w:rsid w:val="00BE1BEC"/>
    <w:rsid w:val="00BE4A86"/>
    <w:rsid w:val="00BE4A91"/>
    <w:rsid w:val="00BE60A7"/>
    <w:rsid w:val="00BF28B3"/>
    <w:rsid w:val="00BF6FA8"/>
    <w:rsid w:val="00BF76B0"/>
    <w:rsid w:val="00C013D8"/>
    <w:rsid w:val="00C02712"/>
    <w:rsid w:val="00C02737"/>
    <w:rsid w:val="00C04F23"/>
    <w:rsid w:val="00C07B2A"/>
    <w:rsid w:val="00C11F6E"/>
    <w:rsid w:val="00C13F63"/>
    <w:rsid w:val="00C15831"/>
    <w:rsid w:val="00C168B7"/>
    <w:rsid w:val="00C21595"/>
    <w:rsid w:val="00C22F13"/>
    <w:rsid w:val="00C22FCC"/>
    <w:rsid w:val="00C23456"/>
    <w:rsid w:val="00C24264"/>
    <w:rsid w:val="00C2444F"/>
    <w:rsid w:val="00C26D6F"/>
    <w:rsid w:val="00C30D22"/>
    <w:rsid w:val="00C31744"/>
    <w:rsid w:val="00C33666"/>
    <w:rsid w:val="00C364DD"/>
    <w:rsid w:val="00C37792"/>
    <w:rsid w:val="00C415BC"/>
    <w:rsid w:val="00C43393"/>
    <w:rsid w:val="00C44E2D"/>
    <w:rsid w:val="00C46B60"/>
    <w:rsid w:val="00C474B2"/>
    <w:rsid w:val="00C551EF"/>
    <w:rsid w:val="00C563B6"/>
    <w:rsid w:val="00C624A2"/>
    <w:rsid w:val="00C65656"/>
    <w:rsid w:val="00C66A53"/>
    <w:rsid w:val="00C66FB7"/>
    <w:rsid w:val="00C70886"/>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C15"/>
    <w:rsid w:val="00CE2D7F"/>
    <w:rsid w:val="00CE32CD"/>
    <w:rsid w:val="00CE44DD"/>
    <w:rsid w:val="00CF2931"/>
    <w:rsid w:val="00CF3754"/>
    <w:rsid w:val="00CF3D31"/>
    <w:rsid w:val="00CF3FE8"/>
    <w:rsid w:val="00D01065"/>
    <w:rsid w:val="00D0353D"/>
    <w:rsid w:val="00D0363A"/>
    <w:rsid w:val="00D05843"/>
    <w:rsid w:val="00D065C5"/>
    <w:rsid w:val="00D0782A"/>
    <w:rsid w:val="00D1077A"/>
    <w:rsid w:val="00D1446B"/>
    <w:rsid w:val="00D1546F"/>
    <w:rsid w:val="00D16529"/>
    <w:rsid w:val="00D22D85"/>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62B1"/>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3328"/>
    <w:rsid w:val="00DF5B31"/>
    <w:rsid w:val="00E02114"/>
    <w:rsid w:val="00E03783"/>
    <w:rsid w:val="00E06502"/>
    <w:rsid w:val="00E06CC2"/>
    <w:rsid w:val="00E0716D"/>
    <w:rsid w:val="00E10E7C"/>
    <w:rsid w:val="00E15007"/>
    <w:rsid w:val="00E1763E"/>
    <w:rsid w:val="00E17769"/>
    <w:rsid w:val="00E20ABC"/>
    <w:rsid w:val="00E23505"/>
    <w:rsid w:val="00E24890"/>
    <w:rsid w:val="00E2527C"/>
    <w:rsid w:val="00E26737"/>
    <w:rsid w:val="00E30BDB"/>
    <w:rsid w:val="00E33096"/>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1055"/>
    <w:rsid w:val="00E74117"/>
    <w:rsid w:val="00E75085"/>
    <w:rsid w:val="00E84AD3"/>
    <w:rsid w:val="00E8555A"/>
    <w:rsid w:val="00E87E92"/>
    <w:rsid w:val="00E907D3"/>
    <w:rsid w:val="00E9117E"/>
    <w:rsid w:val="00E91C2B"/>
    <w:rsid w:val="00E9267B"/>
    <w:rsid w:val="00E9477F"/>
    <w:rsid w:val="00EA168E"/>
    <w:rsid w:val="00EA2585"/>
    <w:rsid w:val="00EA416E"/>
    <w:rsid w:val="00EA6533"/>
    <w:rsid w:val="00EA7196"/>
    <w:rsid w:val="00EB209E"/>
    <w:rsid w:val="00EB6899"/>
    <w:rsid w:val="00EB7B4D"/>
    <w:rsid w:val="00EC0FB9"/>
    <w:rsid w:val="00EC1329"/>
    <w:rsid w:val="00EC1698"/>
    <w:rsid w:val="00EC21B3"/>
    <w:rsid w:val="00EC26B2"/>
    <w:rsid w:val="00EC4BAC"/>
    <w:rsid w:val="00EC58D0"/>
    <w:rsid w:val="00EC6200"/>
    <w:rsid w:val="00ED29DF"/>
    <w:rsid w:val="00ED2A3C"/>
    <w:rsid w:val="00ED4CB7"/>
    <w:rsid w:val="00ED7740"/>
    <w:rsid w:val="00EE220D"/>
    <w:rsid w:val="00EE35D5"/>
    <w:rsid w:val="00EE440D"/>
    <w:rsid w:val="00EE4955"/>
    <w:rsid w:val="00EE5143"/>
    <w:rsid w:val="00EE75C1"/>
    <w:rsid w:val="00EF4112"/>
    <w:rsid w:val="00EF7399"/>
    <w:rsid w:val="00F02127"/>
    <w:rsid w:val="00F03096"/>
    <w:rsid w:val="00F04171"/>
    <w:rsid w:val="00F04CFE"/>
    <w:rsid w:val="00F04E3D"/>
    <w:rsid w:val="00F10690"/>
    <w:rsid w:val="00F10C8A"/>
    <w:rsid w:val="00F14AAD"/>
    <w:rsid w:val="00F15A03"/>
    <w:rsid w:val="00F1614E"/>
    <w:rsid w:val="00F1787C"/>
    <w:rsid w:val="00F23B12"/>
    <w:rsid w:val="00F3551B"/>
    <w:rsid w:val="00F43948"/>
    <w:rsid w:val="00F4432F"/>
    <w:rsid w:val="00F44D2C"/>
    <w:rsid w:val="00F47300"/>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ACB"/>
    <w:rsid w:val="00F72FBB"/>
    <w:rsid w:val="00F73BC2"/>
    <w:rsid w:val="00F73F3B"/>
    <w:rsid w:val="00F74775"/>
    <w:rsid w:val="00F75143"/>
    <w:rsid w:val="00F807D7"/>
    <w:rsid w:val="00F8218B"/>
    <w:rsid w:val="00F8241E"/>
    <w:rsid w:val="00F83C2D"/>
    <w:rsid w:val="00F84595"/>
    <w:rsid w:val="00F848FF"/>
    <w:rsid w:val="00F8662C"/>
    <w:rsid w:val="00F90AD7"/>
    <w:rsid w:val="00F92857"/>
    <w:rsid w:val="00F941F8"/>
    <w:rsid w:val="00F95FA0"/>
    <w:rsid w:val="00F97718"/>
    <w:rsid w:val="00F97C4A"/>
    <w:rsid w:val="00FA1207"/>
    <w:rsid w:val="00FA6C80"/>
    <w:rsid w:val="00FA6D96"/>
    <w:rsid w:val="00FA7E59"/>
    <w:rsid w:val="00FB438B"/>
    <w:rsid w:val="00FB5E2B"/>
    <w:rsid w:val="00FB671E"/>
    <w:rsid w:val="00FC070A"/>
    <w:rsid w:val="00FC0E31"/>
    <w:rsid w:val="00FC3792"/>
    <w:rsid w:val="00FC6389"/>
    <w:rsid w:val="00FD2B70"/>
    <w:rsid w:val="00FD480A"/>
    <w:rsid w:val="00FD4E1C"/>
    <w:rsid w:val="00FD57FA"/>
    <w:rsid w:val="00FD5A4F"/>
    <w:rsid w:val="00FE041C"/>
    <w:rsid w:val="00FE3166"/>
    <w:rsid w:val="00FE3EEF"/>
    <w:rsid w:val="00FE5EBF"/>
    <w:rsid w:val="00FE7AEA"/>
    <w:rsid w:val="00FF3180"/>
    <w:rsid w:val="00FF4C28"/>
    <w:rsid w:val="00FF569F"/>
    <w:rsid w:val="00FF7182"/>
    <w:rsid w:val="015D18DC"/>
    <w:rsid w:val="01852BD3"/>
    <w:rsid w:val="02623294"/>
    <w:rsid w:val="02684A38"/>
    <w:rsid w:val="029E0ABC"/>
    <w:rsid w:val="02A800C5"/>
    <w:rsid w:val="02C540E4"/>
    <w:rsid w:val="03792F0B"/>
    <w:rsid w:val="037D0CD2"/>
    <w:rsid w:val="038B3366"/>
    <w:rsid w:val="03981B5E"/>
    <w:rsid w:val="03996EAD"/>
    <w:rsid w:val="03F60BFA"/>
    <w:rsid w:val="04023CC8"/>
    <w:rsid w:val="042674F4"/>
    <w:rsid w:val="04C12ED8"/>
    <w:rsid w:val="04DC5749"/>
    <w:rsid w:val="04E26FED"/>
    <w:rsid w:val="04FD6633"/>
    <w:rsid w:val="05327E0D"/>
    <w:rsid w:val="054A15F9"/>
    <w:rsid w:val="0559083E"/>
    <w:rsid w:val="057D5C2F"/>
    <w:rsid w:val="05871A0A"/>
    <w:rsid w:val="05A70EA9"/>
    <w:rsid w:val="05B220F5"/>
    <w:rsid w:val="05CA7C08"/>
    <w:rsid w:val="05D55D36"/>
    <w:rsid w:val="060C2525"/>
    <w:rsid w:val="060F7A1B"/>
    <w:rsid w:val="062756FD"/>
    <w:rsid w:val="067C53E7"/>
    <w:rsid w:val="06820F5E"/>
    <w:rsid w:val="06AE2ABA"/>
    <w:rsid w:val="06DD02BB"/>
    <w:rsid w:val="06E71F51"/>
    <w:rsid w:val="07050666"/>
    <w:rsid w:val="07362674"/>
    <w:rsid w:val="073B54B2"/>
    <w:rsid w:val="077B3234"/>
    <w:rsid w:val="081748AE"/>
    <w:rsid w:val="084B2E50"/>
    <w:rsid w:val="08635851"/>
    <w:rsid w:val="08C2359B"/>
    <w:rsid w:val="09041814"/>
    <w:rsid w:val="090F576C"/>
    <w:rsid w:val="092D7BDC"/>
    <w:rsid w:val="09332D2B"/>
    <w:rsid w:val="093E2D64"/>
    <w:rsid w:val="098B1DA7"/>
    <w:rsid w:val="09A31A61"/>
    <w:rsid w:val="09DE1094"/>
    <w:rsid w:val="09E2475B"/>
    <w:rsid w:val="0A062E2F"/>
    <w:rsid w:val="0A3F34B7"/>
    <w:rsid w:val="0A4B11BE"/>
    <w:rsid w:val="0A8E5B8D"/>
    <w:rsid w:val="0AA240FA"/>
    <w:rsid w:val="0AAC0CBB"/>
    <w:rsid w:val="0AC479C8"/>
    <w:rsid w:val="0AD828C3"/>
    <w:rsid w:val="0AD84BD3"/>
    <w:rsid w:val="0B0443BA"/>
    <w:rsid w:val="0B1061C6"/>
    <w:rsid w:val="0B2B08D5"/>
    <w:rsid w:val="0B616E15"/>
    <w:rsid w:val="0BB73761"/>
    <w:rsid w:val="0BB825ED"/>
    <w:rsid w:val="0BC0647C"/>
    <w:rsid w:val="0BF26817"/>
    <w:rsid w:val="0BF60EA6"/>
    <w:rsid w:val="0C22464A"/>
    <w:rsid w:val="0C623EAC"/>
    <w:rsid w:val="0CAD24AF"/>
    <w:rsid w:val="0D3473EC"/>
    <w:rsid w:val="0D662EE5"/>
    <w:rsid w:val="0D9339BE"/>
    <w:rsid w:val="0D9F0DC4"/>
    <w:rsid w:val="0DDE695A"/>
    <w:rsid w:val="0E2D072E"/>
    <w:rsid w:val="0E3B295D"/>
    <w:rsid w:val="0E47249B"/>
    <w:rsid w:val="0E551882"/>
    <w:rsid w:val="0E803BA2"/>
    <w:rsid w:val="0E9E2292"/>
    <w:rsid w:val="0ECE05C2"/>
    <w:rsid w:val="0F4C19DA"/>
    <w:rsid w:val="0F4C7D05"/>
    <w:rsid w:val="0F5F17BD"/>
    <w:rsid w:val="0F707EAE"/>
    <w:rsid w:val="0F90531D"/>
    <w:rsid w:val="0FAD64B5"/>
    <w:rsid w:val="0FEB1B4B"/>
    <w:rsid w:val="0FFF5930"/>
    <w:rsid w:val="10421816"/>
    <w:rsid w:val="10667503"/>
    <w:rsid w:val="10A265EF"/>
    <w:rsid w:val="11485B0D"/>
    <w:rsid w:val="117076B2"/>
    <w:rsid w:val="11D56D08"/>
    <w:rsid w:val="11E03C6E"/>
    <w:rsid w:val="125E1A9C"/>
    <w:rsid w:val="126C604E"/>
    <w:rsid w:val="1276289F"/>
    <w:rsid w:val="127D3F3D"/>
    <w:rsid w:val="1288522D"/>
    <w:rsid w:val="129D6A95"/>
    <w:rsid w:val="12AF4046"/>
    <w:rsid w:val="12CE506D"/>
    <w:rsid w:val="12F65490"/>
    <w:rsid w:val="12F73D2A"/>
    <w:rsid w:val="13084B91"/>
    <w:rsid w:val="13112273"/>
    <w:rsid w:val="13253D6C"/>
    <w:rsid w:val="1347361C"/>
    <w:rsid w:val="13511DF6"/>
    <w:rsid w:val="138B4634"/>
    <w:rsid w:val="138F1214"/>
    <w:rsid w:val="13D101C7"/>
    <w:rsid w:val="13D65F2A"/>
    <w:rsid w:val="1400440E"/>
    <w:rsid w:val="142D0E0E"/>
    <w:rsid w:val="144729D8"/>
    <w:rsid w:val="14894722"/>
    <w:rsid w:val="14AB614D"/>
    <w:rsid w:val="15507C7E"/>
    <w:rsid w:val="15664AEF"/>
    <w:rsid w:val="158E23E1"/>
    <w:rsid w:val="159D7EA6"/>
    <w:rsid w:val="159E5049"/>
    <w:rsid w:val="159F1BF9"/>
    <w:rsid w:val="160B0227"/>
    <w:rsid w:val="16CF02A2"/>
    <w:rsid w:val="16F512D4"/>
    <w:rsid w:val="1705300C"/>
    <w:rsid w:val="17081A7A"/>
    <w:rsid w:val="1726178F"/>
    <w:rsid w:val="17292C0C"/>
    <w:rsid w:val="176F50FE"/>
    <w:rsid w:val="1777655D"/>
    <w:rsid w:val="17DD0B49"/>
    <w:rsid w:val="17EE2591"/>
    <w:rsid w:val="181C1400"/>
    <w:rsid w:val="18223BBF"/>
    <w:rsid w:val="18654C8D"/>
    <w:rsid w:val="18B5269F"/>
    <w:rsid w:val="18D435BC"/>
    <w:rsid w:val="19BA69A5"/>
    <w:rsid w:val="19DF6D3F"/>
    <w:rsid w:val="19E24459"/>
    <w:rsid w:val="19FB72C6"/>
    <w:rsid w:val="1A3D7EBE"/>
    <w:rsid w:val="1A4353A0"/>
    <w:rsid w:val="1A9C5527"/>
    <w:rsid w:val="1B075A0C"/>
    <w:rsid w:val="1B5D08E8"/>
    <w:rsid w:val="1B67066F"/>
    <w:rsid w:val="1B7229E4"/>
    <w:rsid w:val="1B7A5EC7"/>
    <w:rsid w:val="1BA35EDC"/>
    <w:rsid w:val="1BE70A37"/>
    <w:rsid w:val="1C0E4624"/>
    <w:rsid w:val="1C681EF6"/>
    <w:rsid w:val="1CB30939"/>
    <w:rsid w:val="1CE1678B"/>
    <w:rsid w:val="1CF6260F"/>
    <w:rsid w:val="1CF83AEA"/>
    <w:rsid w:val="1D286401"/>
    <w:rsid w:val="1D6914D5"/>
    <w:rsid w:val="1D7E09CF"/>
    <w:rsid w:val="1E7F32B0"/>
    <w:rsid w:val="1EBB622E"/>
    <w:rsid w:val="1EEA13A6"/>
    <w:rsid w:val="1EEA44DB"/>
    <w:rsid w:val="1EFE64E9"/>
    <w:rsid w:val="1F6207D0"/>
    <w:rsid w:val="1FAF4CBE"/>
    <w:rsid w:val="1FE1627D"/>
    <w:rsid w:val="1FEA603B"/>
    <w:rsid w:val="20293E2F"/>
    <w:rsid w:val="204E3180"/>
    <w:rsid w:val="206E3E8E"/>
    <w:rsid w:val="20817D3B"/>
    <w:rsid w:val="208247DE"/>
    <w:rsid w:val="2093114F"/>
    <w:rsid w:val="209B57AA"/>
    <w:rsid w:val="20A87B06"/>
    <w:rsid w:val="20D83D6E"/>
    <w:rsid w:val="20E2427C"/>
    <w:rsid w:val="20EA6084"/>
    <w:rsid w:val="20F01139"/>
    <w:rsid w:val="20F1461D"/>
    <w:rsid w:val="212B522B"/>
    <w:rsid w:val="21736537"/>
    <w:rsid w:val="21977807"/>
    <w:rsid w:val="219D77BC"/>
    <w:rsid w:val="21AC5735"/>
    <w:rsid w:val="2210107D"/>
    <w:rsid w:val="226827C0"/>
    <w:rsid w:val="227C6EFF"/>
    <w:rsid w:val="22942795"/>
    <w:rsid w:val="22A10D06"/>
    <w:rsid w:val="22CE3412"/>
    <w:rsid w:val="22E46F4A"/>
    <w:rsid w:val="22F20159"/>
    <w:rsid w:val="23486890"/>
    <w:rsid w:val="23580AD3"/>
    <w:rsid w:val="23AB4CDF"/>
    <w:rsid w:val="23C37A75"/>
    <w:rsid w:val="23D964C1"/>
    <w:rsid w:val="23EB6BB8"/>
    <w:rsid w:val="240F3CB0"/>
    <w:rsid w:val="24436391"/>
    <w:rsid w:val="24AD6D9A"/>
    <w:rsid w:val="254A5C25"/>
    <w:rsid w:val="259E376E"/>
    <w:rsid w:val="25E82995"/>
    <w:rsid w:val="26154215"/>
    <w:rsid w:val="26666FDC"/>
    <w:rsid w:val="26952B74"/>
    <w:rsid w:val="26B267E7"/>
    <w:rsid w:val="26C80CCF"/>
    <w:rsid w:val="26F65310"/>
    <w:rsid w:val="26F7248F"/>
    <w:rsid w:val="27020634"/>
    <w:rsid w:val="27352534"/>
    <w:rsid w:val="27357F9F"/>
    <w:rsid w:val="27EF1935"/>
    <w:rsid w:val="280A1B75"/>
    <w:rsid w:val="28125B4F"/>
    <w:rsid w:val="283962F8"/>
    <w:rsid w:val="286745BE"/>
    <w:rsid w:val="290212C1"/>
    <w:rsid w:val="29403128"/>
    <w:rsid w:val="29656DCE"/>
    <w:rsid w:val="298B4B23"/>
    <w:rsid w:val="298C3CA4"/>
    <w:rsid w:val="29B570DA"/>
    <w:rsid w:val="29C037B7"/>
    <w:rsid w:val="29D875FE"/>
    <w:rsid w:val="29E4578E"/>
    <w:rsid w:val="2A194E5D"/>
    <w:rsid w:val="2A594BC2"/>
    <w:rsid w:val="2AA90FA0"/>
    <w:rsid w:val="2AB53836"/>
    <w:rsid w:val="2AF12101"/>
    <w:rsid w:val="2B0C402E"/>
    <w:rsid w:val="2B552F60"/>
    <w:rsid w:val="2BB367B9"/>
    <w:rsid w:val="2C184D47"/>
    <w:rsid w:val="2C300C99"/>
    <w:rsid w:val="2C796A89"/>
    <w:rsid w:val="2CBD3A96"/>
    <w:rsid w:val="2CC74339"/>
    <w:rsid w:val="2CCE1414"/>
    <w:rsid w:val="2CD47877"/>
    <w:rsid w:val="2CF93ABF"/>
    <w:rsid w:val="2D1E27A3"/>
    <w:rsid w:val="2D48F31F"/>
    <w:rsid w:val="2D766528"/>
    <w:rsid w:val="2DC94DE9"/>
    <w:rsid w:val="2DD5633D"/>
    <w:rsid w:val="2E6A704D"/>
    <w:rsid w:val="2E8A6255"/>
    <w:rsid w:val="2F0B1048"/>
    <w:rsid w:val="2F141AAA"/>
    <w:rsid w:val="2F3D2B31"/>
    <w:rsid w:val="2FF23F99"/>
    <w:rsid w:val="30236367"/>
    <w:rsid w:val="30331BC6"/>
    <w:rsid w:val="303D7D5E"/>
    <w:rsid w:val="303E7E03"/>
    <w:rsid w:val="304A182B"/>
    <w:rsid w:val="30757C00"/>
    <w:rsid w:val="307D5D65"/>
    <w:rsid w:val="30B34CE3"/>
    <w:rsid w:val="30CB1C83"/>
    <w:rsid w:val="313223C2"/>
    <w:rsid w:val="31832D29"/>
    <w:rsid w:val="31AE3364"/>
    <w:rsid w:val="31D20CDE"/>
    <w:rsid w:val="31F37E23"/>
    <w:rsid w:val="32223DC6"/>
    <w:rsid w:val="32584127"/>
    <w:rsid w:val="329032EF"/>
    <w:rsid w:val="329970EF"/>
    <w:rsid w:val="32B35AAA"/>
    <w:rsid w:val="32F33FEC"/>
    <w:rsid w:val="334459AC"/>
    <w:rsid w:val="33705A64"/>
    <w:rsid w:val="33BA7670"/>
    <w:rsid w:val="33F44ABC"/>
    <w:rsid w:val="342645AD"/>
    <w:rsid w:val="34335C8F"/>
    <w:rsid w:val="34617CD8"/>
    <w:rsid w:val="34731A2E"/>
    <w:rsid w:val="34A61339"/>
    <w:rsid w:val="34F3793E"/>
    <w:rsid w:val="35185DCE"/>
    <w:rsid w:val="35574E9C"/>
    <w:rsid w:val="35712E34"/>
    <w:rsid w:val="35866ED8"/>
    <w:rsid w:val="35ED793B"/>
    <w:rsid w:val="35F25212"/>
    <w:rsid w:val="366C082D"/>
    <w:rsid w:val="36C90DD1"/>
    <w:rsid w:val="37000E1E"/>
    <w:rsid w:val="3703397C"/>
    <w:rsid w:val="37704489"/>
    <w:rsid w:val="37925427"/>
    <w:rsid w:val="37A55DCC"/>
    <w:rsid w:val="37CA04FF"/>
    <w:rsid w:val="37EE7ED1"/>
    <w:rsid w:val="38AD49B0"/>
    <w:rsid w:val="394C68A5"/>
    <w:rsid w:val="395E479A"/>
    <w:rsid w:val="398C10E2"/>
    <w:rsid w:val="39A36C2D"/>
    <w:rsid w:val="39AA29B9"/>
    <w:rsid w:val="39C9079C"/>
    <w:rsid w:val="39E71AEC"/>
    <w:rsid w:val="39ED7C07"/>
    <w:rsid w:val="39F60058"/>
    <w:rsid w:val="3A0649F5"/>
    <w:rsid w:val="3A104089"/>
    <w:rsid w:val="3AA14ABB"/>
    <w:rsid w:val="3AB8426E"/>
    <w:rsid w:val="3ACF765C"/>
    <w:rsid w:val="3AD278CD"/>
    <w:rsid w:val="3AEC4EB5"/>
    <w:rsid w:val="3AFA4BE5"/>
    <w:rsid w:val="3B144639"/>
    <w:rsid w:val="3B2A44B8"/>
    <w:rsid w:val="3B2B6476"/>
    <w:rsid w:val="3BBC038E"/>
    <w:rsid w:val="3C852047"/>
    <w:rsid w:val="3CA13116"/>
    <w:rsid w:val="3CA925AE"/>
    <w:rsid w:val="3CF877AB"/>
    <w:rsid w:val="3D306CB2"/>
    <w:rsid w:val="3D667959"/>
    <w:rsid w:val="3D8230F2"/>
    <w:rsid w:val="3D886E2C"/>
    <w:rsid w:val="3DA15114"/>
    <w:rsid w:val="3DB342D5"/>
    <w:rsid w:val="3DC95709"/>
    <w:rsid w:val="3DD83D60"/>
    <w:rsid w:val="3DDB70D3"/>
    <w:rsid w:val="3E044CAE"/>
    <w:rsid w:val="3E0F13AA"/>
    <w:rsid w:val="3E760A01"/>
    <w:rsid w:val="3E7E078C"/>
    <w:rsid w:val="3EAD4174"/>
    <w:rsid w:val="3EAD7F9C"/>
    <w:rsid w:val="3EB32892"/>
    <w:rsid w:val="3EBC3336"/>
    <w:rsid w:val="3F064AE9"/>
    <w:rsid w:val="3F3B0C43"/>
    <w:rsid w:val="3F3B708A"/>
    <w:rsid w:val="3F4C62B0"/>
    <w:rsid w:val="3F5160C2"/>
    <w:rsid w:val="3FB1022D"/>
    <w:rsid w:val="3FE828DE"/>
    <w:rsid w:val="402A34B8"/>
    <w:rsid w:val="40360CD1"/>
    <w:rsid w:val="40613E30"/>
    <w:rsid w:val="40736573"/>
    <w:rsid w:val="409B4A07"/>
    <w:rsid w:val="40F66678"/>
    <w:rsid w:val="4120577A"/>
    <w:rsid w:val="412F7C04"/>
    <w:rsid w:val="4167053C"/>
    <w:rsid w:val="416C3831"/>
    <w:rsid w:val="41B40D21"/>
    <w:rsid w:val="41FD121E"/>
    <w:rsid w:val="421A7627"/>
    <w:rsid w:val="4233112B"/>
    <w:rsid w:val="432F7565"/>
    <w:rsid w:val="43346FD1"/>
    <w:rsid w:val="43352B14"/>
    <w:rsid w:val="43620F18"/>
    <w:rsid w:val="43702851"/>
    <w:rsid w:val="4424604A"/>
    <w:rsid w:val="445014AB"/>
    <w:rsid w:val="449D168B"/>
    <w:rsid w:val="44FE409C"/>
    <w:rsid w:val="454F0B76"/>
    <w:rsid w:val="457E2BBE"/>
    <w:rsid w:val="45AA6F2D"/>
    <w:rsid w:val="45D43F84"/>
    <w:rsid w:val="45E076C0"/>
    <w:rsid w:val="4662498C"/>
    <w:rsid w:val="46A022D9"/>
    <w:rsid w:val="46A9554B"/>
    <w:rsid w:val="46BE1A6C"/>
    <w:rsid w:val="46D7175B"/>
    <w:rsid w:val="471B3499"/>
    <w:rsid w:val="474451A1"/>
    <w:rsid w:val="47615D53"/>
    <w:rsid w:val="4797E45F"/>
    <w:rsid w:val="48037A8A"/>
    <w:rsid w:val="48377D23"/>
    <w:rsid w:val="485748F0"/>
    <w:rsid w:val="486634EE"/>
    <w:rsid w:val="48807890"/>
    <w:rsid w:val="48861A82"/>
    <w:rsid w:val="48921F35"/>
    <w:rsid w:val="48A64B98"/>
    <w:rsid w:val="48BC156D"/>
    <w:rsid w:val="48E578A7"/>
    <w:rsid w:val="48F765BE"/>
    <w:rsid w:val="49320F23"/>
    <w:rsid w:val="493B1333"/>
    <w:rsid w:val="49DD73AE"/>
    <w:rsid w:val="49F95BD6"/>
    <w:rsid w:val="4A2D058F"/>
    <w:rsid w:val="4A6718D3"/>
    <w:rsid w:val="4AD703A4"/>
    <w:rsid w:val="4B6D0620"/>
    <w:rsid w:val="4B6D5DC5"/>
    <w:rsid w:val="4B6F7F5B"/>
    <w:rsid w:val="4B86504E"/>
    <w:rsid w:val="4BBA3C84"/>
    <w:rsid w:val="4BD07B58"/>
    <w:rsid w:val="4BF97BFE"/>
    <w:rsid w:val="4C3176AB"/>
    <w:rsid w:val="4C6B5B4D"/>
    <w:rsid w:val="4C6E278E"/>
    <w:rsid w:val="4C8A754E"/>
    <w:rsid w:val="4CF73C3A"/>
    <w:rsid w:val="4CFB27A6"/>
    <w:rsid w:val="4D7251FF"/>
    <w:rsid w:val="4DF47921"/>
    <w:rsid w:val="4E472C92"/>
    <w:rsid w:val="4E9D5C2D"/>
    <w:rsid w:val="4EBA57C1"/>
    <w:rsid w:val="4F0E39D4"/>
    <w:rsid w:val="4FA91AAC"/>
    <w:rsid w:val="4FAC7AF2"/>
    <w:rsid w:val="4FBD0FF5"/>
    <w:rsid w:val="4FC854D7"/>
    <w:rsid w:val="4FF1344E"/>
    <w:rsid w:val="50142DE1"/>
    <w:rsid w:val="5015687B"/>
    <w:rsid w:val="501926CA"/>
    <w:rsid w:val="505E3D68"/>
    <w:rsid w:val="50864577"/>
    <w:rsid w:val="5094143C"/>
    <w:rsid w:val="509C7E88"/>
    <w:rsid w:val="50CF34F8"/>
    <w:rsid w:val="50DE1D6F"/>
    <w:rsid w:val="515C507C"/>
    <w:rsid w:val="516A440A"/>
    <w:rsid w:val="51791341"/>
    <w:rsid w:val="51976F41"/>
    <w:rsid w:val="51C42E16"/>
    <w:rsid w:val="525351F4"/>
    <w:rsid w:val="525A6FBC"/>
    <w:rsid w:val="526C0997"/>
    <w:rsid w:val="533D33D1"/>
    <w:rsid w:val="53670B33"/>
    <w:rsid w:val="53775B6A"/>
    <w:rsid w:val="53D43855"/>
    <w:rsid w:val="53EE1101"/>
    <w:rsid w:val="53FC4E8E"/>
    <w:rsid w:val="541717DC"/>
    <w:rsid w:val="54446DEC"/>
    <w:rsid w:val="553C46BA"/>
    <w:rsid w:val="55494082"/>
    <w:rsid w:val="556C45FD"/>
    <w:rsid w:val="557D5B60"/>
    <w:rsid w:val="55834A19"/>
    <w:rsid w:val="55D81CB7"/>
    <w:rsid w:val="55F526C6"/>
    <w:rsid w:val="56044479"/>
    <w:rsid w:val="56066DC9"/>
    <w:rsid w:val="564031D9"/>
    <w:rsid w:val="564E1228"/>
    <w:rsid w:val="56A6131D"/>
    <w:rsid w:val="56A82B00"/>
    <w:rsid w:val="56BC5AD0"/>
    <w:rsid w:val="56D00C68"/>
    <w:rsid w:val="57895A45"/>
    <w:rsid w:val="578B5A58"/>
    <w:rsid w:val="57C5313B"/>
    <w:rsid w:val="57D807D4"/>
    <w:rsid w:val="57EA7969"/>
    <w:rsid w:val="58750691"/>
    <w:rsid w:val="58AB575D"/>
    <w:rsid w:val="592A07FF"/>
    <w:rsid w:val="59445F91"/>
    <w:rsid w:val="59815208"/>
    <w:rsid w:val="59F001A4"/>
    <w:rsid w:val="5A1E2DE7"/>
    <w:rsid w:val="5B123FA7"/>
    <w:rsid w:val="5B264EAA"/>
    <w:rsid w:val="5B613C0E"/>
    <w:rsid w:val="5B913B2C"/>
    <w:rsid w:val="5BCA6564"/>
    <w:rsid w:val="5BF84565"/>
    <w:rsid w:val="5C1E3775"/>
    <w:rsid w:val="5C381264"/>
    <w:rsid w:val="5C672644"/>
    <w:rsid w:val="5C8132C7"/>
    <w:rsid w:val="5CA23A25"/>
    <w:rsid w:val="5CC26330"/>
    <w:rsid w:val="5CD67F41"/>
    <w:rsid w:val="5D017C51"/>
    <w:rsid w:val="5D463591"/>
    <w:rsid w:val="5D4F2A78"/>
    <w:rsid w:val="5D792AE4"/>
    <w:rsid w:val="5DA82A96"/>
    <w:rsid w:val="5DAC3635"/>
    <w:rsid w:val="5DF91E52"/>
    <w:rsid w:val="5E2B215A"/>
    <w:rsid w:val="5E2F58D3"/>
    <w:rsid w:val="5E4222CF"/>
    <w:rsid w:val="5E5A06FD"/>
    <w:rsid w:val="5E6D3270"/>
    <w:rsid w:val="5E9342EC"/>
    <w:rsid w:val="5EDB0D1E"/>
    <w:rsid w:val="5F1E4EC5"/>
    <w:rsid w:val="5F3815EE"/>
    <w:rsid w:val="5F5C32D6"/>
    <w:rsid w:val="5FB44F9D"/>
    <w:rsid w:val="600E788A"/>
    <w:rsid w:val="602C0F1F"/>
    <w:rsid w:val="60375D41"/>
    <w:rsid w:val="604130CF"/>
    <w:rsid w:val="60794FD4"/>
    <w:rsid w:val="60814FEF"/>
    <w:rsid w:val="60D32F5A"/>
    <w:rsid w:val="610B6A9A"/>
    <w:rsid w:val="610E2B4C"/>
    <w:rsid w:val="6169484B"/>
    <w:rsid w:val="61DE43D4"/>
    <w:rsid w:val="61E06967"/>
    <w:rsid w:val="62362340"/>
    <w:rsid w:val="624216A0"/>
    <w:rsid w:val="626736F9"/>
    <w:rsid w:val="628E1BE9"/>
    <w:rsid w:val="62D06FF9"/>
    <w:rsid w:val="62D765EB"/>
    <w:rsid w:val="636B22CC"/>
    <w:rsid w:val="637B1D2E"/>
    <w:rsid w:val="637D22EE"/>
    <w:rsid w:val="637F4381"/>
    <w:rsid w:val="63B65AC7"/>
    <w:rsid w:val="63D7428B"/>
    <w:rsid w:val="640C4C0D"/>
    <w:rsid w:val="645830D7"/>
    <w:rsid w:val="647258C3"/>
    <w:rsid w:val="64990ADA"/>
    <w:rsid w:val="64AA2E73"/>
    <w:rsid w:val="64BB489D"/>
    <w:rsid w:val="64E8446E"/>
    <w:rsid w:val="65376B47"/>
    <w:rsid w:val="654042F5"/>
    <w:rsid w:val="657F399F"/>
    <w:rsid w:val="660447CA"/>
    <w:rsid w:val="665622BC"/>
    <w:rsid w:val="665A5F76"/>
    <w:rsid w:val="665E5759"/>
    <w:rsid w:val="666C4EE6"/>
    <w:rsid w:val="66EF6BCB"/>
    <w:rsid w:val="66FB0FDC"/>
    <w:rsid w:val="66FC5AFF"/>
    <w:rsid w:val="67315FE5"/>
    <w:rsid w:val="67BA7741"/>
    <w:rsid w:val="67E804B6"/>
    <w:rsid w:val="67F4293F"/>
    <w:rsid w:val="680D0CA5"/>
    <w:rsid w:val="684539A1"/>
    <w:rsid w:val="685770C0"/>
    <w:rsid w:val="68A45648"/>
    <w:rsid w:val="68A5668C"/>
    <w:rsid w:val="6911241F"/>
    <w:rsid w:val="69145B6D"/>
    <w:rsid w:val="691722BE"/>
    <w:rsid w:val="6918360E"/>
    <w:rsid w:val="69B67115"/>
    <w:rsid w:val="69EF53B4"/>
    <w:rsid w:val="6A126DD2"/>
    <w:rsid w:val="6A2451B3"/>
    <w:rsid w:val="6A254DE4"/>
    <w:rsid w:val="6A420E56"/>
    <w:rsid w:val="6A924E32"/>
    <w:rsid w:val="6A94008C"/>
    <w:rsid w:val="6AC954A6"/>
    <w:rsid w:val="6AE60947"/>
    <w:rsid w:val="6B0B374F"/>
    <w:rsid w:val="6B1F0CCB"/>
    <w:rsid w:val="6B3A32A1"/>
    <w:rsid w:val="6B6234E5"/>
    <w:rsid w:val="6BBD11F5"/>
    <w:rsid w:val="6BD12800"/>
    <w:rsid w:val="6C5E02FC"/>
    <w:rsid w:val="6C721812"/>
    <w:rsid w:val="6C7E29F3"/>
    <w:rsid w:val="6C8B0F52"/>
    <w:rsid w:val="6C967106"/>
    <w:rsid w:val="6CDD0DD0"/>
    <w:rsid w:val="6D0127E4"/>
    <w:rsid w:val="6D19028F"/>
    <w:rsid w:val="6D1C168A"/>
    <w:rsid w:val="6D3668DD"/>
    <w:rsid w:val="6D8E6393"/>
    <w:rsid w:val="6DA5778E"/>
    <w:rsid w:val="6DB941BD"/>
    <w:rsid w:val="6E0365A1"/>
    <w:rsid w:val="6E5F1098"/>
    <w:rsid w:val="6EA41FA2"/>
    <w:rsid w:val="6EBA725F"/>
    <w:rsid w:val="6F381CAC"/>
    <w:rsid w:val="6F9C6902"/>
    <w:rsid w:val="6FA0729C"/>
    <w:rsid w:val="6FA751DD"/>
    <w:rsid w:val="7006010A"/>
    <w:rsid w:val="70100CA2"/>
    <w:rsid w:val="70393572"/>
    <w:rsid w:val="70A24D48"/>
    <w:rsid w:val="70BA64EF"/>
    <w:rsid w:val="70C900DF"/>
    <w:rsid w:val="71326D32"/>
    <w:rsid w:val="713623DF"/>
    <w:rsid w:val="715A596A"/>
    <w:rsid w:val="717C247D"/>
    <w:rsid w:val="71816B8E"/>
    <w:rsid w:val="71832D29"/>
    <w:rsid w:val="71907818"/>
    <w:rsid w:val="71971329"/>
    <w:rsid w:val="71A650E3"/>
    <w:rsid w:val="71C85D8D"/>
    <w:rsid w:val="71E95916"/>
    <w:rsid w:val="72206AAD"/>
    <w:rsid w:val="722D5A32"/>
    <w:rsid w:val="7250588C"/>
    <w:rsid w:val="725C25AC"/>
    <w:rsid w:val="726F5278"/>
    <w:rsid w:val="727E786A"/>
    <w:rsid w:val="72837BDD"/>
    <w:rsid w:val="72BD0544"/>
    <w:rsid w:val="72C0472D"/>
    <w:rsid w:val="72D11D5C"/>
    <w:rsid w:val="72E85DAD"/>
    <w:rsid w:val="730B14BE"/>
    <w:rsid w:val="732303D9"/>
    <w:rsid w:val="733A6A18"/>
    <w:rsid w:val="73532CC9"/>
    <w:rsid w:val="73725820"/>
    <w:rsid w:val="73965A70"/>
    <w:rsid w:val="73DF6A6F"/>
    <w:rsid w:val="744975DD"/>
    <w:rsid w:val="746920A5"/>
    <w:rsid w:val="748527D2"/>
    <w:rsid w:val="74991992"/>
    <w:rsid w:val="74C52CCA"/>
    <w:rsid w:val="74DE73F5"/>
    <w:rsid w:val="752A7E05"/>
    <w:rsid w:val="755169C7"/>
    <w:rsid w:val="75D07F8B"/>
    <w:rsid w:val="75EE5669"/>
    <w:rsid w:val="768F7938"/>
    <w:rsid w:val="76957051"/>
    <w:rsid w:val="76BF34B5"/>
    <w:rsid w:val="76C5739D"/>
    <w:rsid w:val="773E064E"/>
    <w:rsid w:val="774E1211"/>
    <w:rsid w:val="777B71D8"/>
    <w:rsid w:val="779C67B0"/>
    <w:rsid w:val="77A54D53"/>
    <w:rsid w:val="77FC6767"/>
    <w:rsid w:val="781A0BEC"/>
    <w:rsid w:val="78202415"/>
    <w:rsid w:val="78213FC9"/>
    <w:rsid w:val="782B0341"/>
    <w:rsid w:val="78301E2D"/>
    <w:rsid w:val="783B1525"/>
    <w:rsid w:val="78701D9C"/>
    <w:rsid w:val="787A36EA"/>
    <w:rsid w:val="78FC163D"/>
    <w:rsid w:val="798E3ED6"/>
    <w:rsid w:val="79BA4CCB"/>
    <w:rsid w:val="7A0C1011"/>
    <w:rsid w:val="7A0E7A81"/>
    <w:rsid w:val="7A321CDB"/>
    <w:rsid w:val="7A6E32C8"/>
    <w:rsid w:val="7AC900CF"/>
    <w:rsid w:val="7B052FBD"/>
    <w:rsid w:val="7B5A5A6C"/>
    <w:rsid w:val="7B5C250E"/>
    <w:rsid w:val="7B5D162F"/>
    <w:rsid w:val="7B6D0F87"/>
    <w:rsid w:val="7B783FD8"/>
    <w:rsid w:val="7B78619A"/>
    <w:rsid w:val="7B89595B"/>
    <w:rsid w:val="7B9A3DB8"/>
    <w:rsid w:val="7BEC720D"/>
    <w:rsid w:val="7BF20E1E"/>
    <w:rsid w:val="7C9408F4"/>
    <w:rsid w:val="7CB90CC2"/>
    <w:rsid w:val="7CD20C3B"/>
    <w:rsid w:val="7CFB2CE9"/>
    <w:rsid w:val="7D212CA5"/>
    <w:rsid w:val="7D255EE2"/>
    <w:rsid w:val="7D293184"/>
    <w:rsid w:val="7D69777E"/>
    <w:rsid w:val="7DB34706"/>
    <w:rsid w:val="7DDB3462"/>
    <w:rsid w:val="7E1A0A9F"/>
    <w:rsid w:val="7E3C401A"/>
    <w:rsid w:val="7E641213"/>
    <w:rsid w:val="7E64269E"/>
    <w:rsid w:val="7E8D0C00"/>
    <w:rsid w:val="7ED14499"/>
    <w:rsid w:val="7EDA6FE0"/>
    <w:rsid w:val="7EF34773"/>
    <w:rsid w:val="7F0D08DC"/>
    <w:rsid w:val="7F4029E3"/>
    <w:rsid w:val="7F714EE5"/>
    <w:rsid w:val="7F7970C4"/>
    <w:rsid w:val="7F7D01BE"/>
    <w:rsid w:val="7F7F2734"/>
    <w:rsid w:val="7FA1528A"/>
    <w:rsid w:val="7FA63F96"/>
    <w:rsid w:val="7FB9287C"/>
    <w:rsid w:val="7FCC47FD"/>
    <w:rsid w:val="7FE85FD3"/>
    <w:rsid w:val="7FFB1B6E"/>
    <w:rsid w:val="AB9F3B19"/>
    <w:rsid w:val="D535889B"/>
    <w:rsid w:val="F9FF5E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63"/>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7"/>
    <w:qFormat/>
    <w:uiPriority w:val="0"/>
    <w:pPr>
      <w:ind w:firstLine="420" w:firstLineChars="200"/>
    </w:pPr>
  </w:style>
  <w:style w:type="paragraph" w:styleId="13">
    <w:name w:val="Document Map"/>
    <w:basedOn w:val="1"/>
    <w:link w:val="74"/>
    <w:qFormat/>
    <w:uiPriority w:val="0"/>
    <w:pPr>
      <w:shd w:val="clear" w:color="auto" w:fill="000080"/>
    </w:pPr>
    <w:rPr>
      <w:kern w:val="0"/>
      <w:sz w:val="20"/>
    </w:rPr>
  </w:style>
  <w:style w:type="paragraph" w:styleId="14">
    <w:name w:val="annotation text"/>
    <w:basedOn w:val="1"/>
    <w:link w:val="56"/>
    <w:unhideWhenUsed/>
    <w:qFormat/>
    <w:uiPriority w:val="99"/>
    <w:pPr>
      <w:jc w:val="left"/>
    </w:pPr>
    <w:rPr>
      <w:kern w:val="0"/>
      <w:sz w:val="20"/>
    </w:rPr>
  </w:style>
  <w:style w:type="paragraph" w:styleId="15">
    <w:name w:val="Body Text 3"/>
    <w:basedOn w:val="1"/>
    <w:link w:val="60"/>
    <w:qFormat/>
    <w:uiPriority w:val="0"/>
    <w:rPr>
      <w:rFonts w:ascii="宋体"/>
      <w:kern w:val="0"/>
      <w:sz w:val="24"/>
      <w:szCs w:val="20"/>
    </w:rPr>
  </w:style>
  <w:style w:type="paragraph" w:styleId="16">
    <w:name w:val="Body Text Indent"/>
    <w:basedOn w:val="1"/>
    <w:link w:val="73"/>
    <w:qFormat/>
    <w:uiPriority w:val="0"/>
    <w:pPr>
      <w:spacing w:after="120"/>
      <w:ind w:left="420" w:leftChars="200"/>
    </w:pPr>
    <w:rPr>
      <w:kern w:val="0"/>
      <w:sz w:val="20"/>
    </w:rPr>
  </w:style>
  <w:style w:type="paragraph" w:styleId="1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8">
    <w:name w:val="toc 5"/>
    <w:basedOn w:val="1"/>
    <w:next w:val="1"/>
    <w:qFormat/>
    <w:uiPriority w:val="39"/>
    <w:pPr>
      <w:ind w:left="840"/>
      <w:jc w:val="left"/>
    </w:pPr>
    <w:rPr>
      <w:rFonts w:ascii="Calibri" w:hAnsi="Calibri"/>
      <w:sz w:val="18"/>
      <w:szCs w:val="18"/>
    </w:rPr>
  </w:style>
  <w:style w:type="paragraph" w:styleId="19">
    <w:name w:val="toc 3"/>
    <w:basedOn w:val="1"/>
    <w:next w:val="1"/>
    <w:qFormat/>
    <w:uiPriority w:val="39"/>
    <w:pPr>
      <w:ind w:left="420"/>
      <w:jc w:val="left"/>
    </w:pPr>
    <w:rPr>
      <w:rFonts w:ascii="Calibri" w:hAnsi="Calibri"/>
      <w:i/>
      <w:iCs/>
      <w:sz w:val="20"/>
      <w:szCs w:val="20"/>
    </w:rPr>
  </w:style>
  <w:style w:type="paragraph" w:styleId="20">
    <w:name w:val="Plain Text"/>
    <w:basedOn w:val="1"/>
    <w:link w:val="96"/>
    <w:qFormat/>
    <w:uiPriority w:val="99"/>
    <w:rPr>
      <w:rFonts w:ascii="Courier New" w:hAnsi="Courier New"/>
      <w:kern w:val="0"/>
      <w:sz w:val="20"/>
      <w:szCs w:val="20"/>
    </w:rPr>
  </w:style>
  <w:style w:type="paragraph" w:styleId="21">
    <w:name w:val="toc 8"/>
    <w:basedOn w:val="1"/>
    <w:next w:val="1"/>
    <w:qFormat/>
    <w:uiPriority w:val="39"/>
    <w:pPr>
      <w:ind w:left="1470"/>
      <w:jc w:val="left"/>
    </w:pPr>
    <w:rPr>
      <w:rFonts w:ascii="Calibri" w:hAnsi="Calibri"/>
      <w:sz w:val="18"/>
      <w:szCs w:val="18"/>
    </w:rPr>
  </w:style>
  <w:style w:type="paragraph" w:styleId="22">
    <w:name w:val="Date"/>
    <w:basedOn w:val="1"/>
    <w:next w:val="1"/>
    <w:link w:val="80"/>
    <w:qFormat/>
    <w:uiPriority w:val="0"/>
    <w:rPr>
      <w:kern w:val="0"/>
      <w:sz w:val="24"/>
      <w:szCs w:val="20"/>
    </w:r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78"/>
    <w:qFormat/>
    <w:uiPriority w:val="0"/>
    <w:rPr>
      <w:kern w:val="0"/>
      <w:sz w:val="18"/>
      <w:szCs w:val="18"/>
    </w:rPr>
  </w:style>
  <w:style w:type="paragraph" w:styleId="25">
    <w:name w:val="footer"/>
    <w:basedOn w:val="1"/>
    <w:link w:val="92"/>
    <w:qFormat/>
    <w:uiPriority w:val="99"/>
    <w:pPr>
      <w:tabs>
        <w:tab w:val="center" w:pos="4153"/>
        <w:tab w:val="right" w:pos="8306"/>
      </w:tabs>
      <w:snapToGrid w:val="0"/>
      <w:jc w:val="left"/>
    </w:pPr>
    <w:rPr>
      <w:kern w:val="0"/>
      <w:sz w:val="18"/>
      <w:szCs w:val="18"/>
    </w:rPr>
  </w:style>
  <w:style w:type="paragraph" w:styleId="26">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pPr>
      <w:spacing w:before="120" w:after="120"/>
      <w:jc w:val="left"/>
    </w:pPr>
    <w:rPr>
      <w:rFonts w:ascii="Calibri" w:hAnsi="Calibri"/>
      <w:b/>
      <w:bCs/>
      <w:caps/>
      <w:sz w:val="20"/>
      <w:szCs w:val="20"/>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4"/>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4"/>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6"/>
    <w:qFormat/>
    <w:uiPriority w:val="0"/>
    <w:rPr>
      <w:b/>
      <w:bCs/>
    </w:rPr>
  </w:style>
  <w:style w:type="paragraph" w:styleId="40">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rFonts w:hint="default" w:ascii="Arial" w:hAnsi="Arial" w:eastAsia="Arial" w:cs="Arial"/>
      <w:color w:val="333333"/>
      <w:sz w:val="21"/>
      <w:szCs w:val="21"/>
      <w:u w:val="none"/>
    </w:rPr>
  </w:style>
  <w:style w:type="character" w:styleId="47">
    <w:name w:val="Hyperlink"/>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paragraph" w:customStyle="1" w:styleId="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字符"/>
    <w:link w:val="5"/>
    <w:qFormat/>
    <w:uiPriority w:val="0"/>
    <w:rPr>
      <w:rFonts w:ascii="Times New Roman" w:hAnsi="Times New Roman" w:eastAsia="宋体" w:cs="Times New Roman"/>
      <w:b/>
      <w:bCs/>
      <w:sz w:val="32"/>
      <w:szCs w:val="32"/>
    </w:rPr>
  </w:style>
  <w:style w:type="character" w:customStyle="1" w:styleId="56">
    <w:name w:val="批注文字 字符"/>
    <w:link w:val="14"/>
    <w:semiHidden/>
    <w:qFormat/>
    <w:uiPriority w:val="99"/>
    <w:rPr>
      <w:rFonts w:ascii="Times New Roman" w:hAnsi="Times New Roman" w:eastAsia="宋体" w:cs="Times New Roman"/>
      <w:szCs w:val="24"/>
    </w:rPr>
  </w:style>
  <w:style w:type="character" w:customStyle="1" w:styleId="57">
    <w:name w:val="标题 6 字符"/>
    <w:link w:val="7"/>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5"/>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2"/>
    <w:qFormat/>
    <w:uiPriority w:val="0"/>
    <w:rPr>
      <w:rFonts w:eastAsia="宋体"/>
      <w:szCs w:val="24"/>
    </w:rPr>
  </w:style>
  <w:style w:type="character" w:customStyle="1" w:styleId="64">
    <w:name w:val="脚注文本 字符"/>
    <w:link w:val="29"/>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39"/>
    <w:qFormat/>
    <w:uiPriority w:val="0"/>
    <w:rPr>
      <w:rFonts w:ascii="Times New Roman" w:hAnsi="Times New Roman" w:eastAsia="宋体" w:cs="Times New Roman"/>
      <w:b/>
      <w:bCs/>
      <w:szCs w:val="24"/>
    </w:rPr>
  </w:style>
  <w:style w:type="character" w:customStyle="1" w:styleId="67">
    <w:name w:val="正文缩进 字符"/>
    <w:link w:val="12"/>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6"/>
    <w:qFormat/>
    <w:uiPriority w:val="0"/>
    <w:rPr>
      <w:rFonts w:ascii="Times New Roman" w:hAnsi="Times New Roman" w:eastAsia="宋体" w:cs="Times New Roman"/>
      <w:sz w:val="18"/>
      <w:szCs w:val="18"/>
    </w:rPr>
  </w:style>
  <w:style w:type="character" w:customStyle="1" w:styleId="71">
    <w:name w:val="标题 9 字符"/>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16"/>
    <w:qFormat/>
    <w:uiPriority w:val="0"/>
    <w:rPr>
      <w:szCs w:val="24"/>
    </w:rPr>
  </w:style>
  <w:style w:type="character" w:customStyle="1" w:styleId="74">
    <w:name w:val="文档结构图 字符"/>
    <w:link w:val="13"/>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4"/>
    <w:qFormat/>
    <w:uiPriority w:val="0"/>
    <w:rPr>
      <w:rFonts w:ascii="Arial" w:hAnsi="Arial" w:eastAsia="黑体" w:cs="Times New Roman"/>
      <w:b/>
      <w:bCs/>
      <w:sz w:val="32"/>
      <w:szCs w:val="32"/>
    </w:rPr>
  </w:style>
  <w:style w:type="character" w:customStyle="1" w:styleId="77">
    <w:name w:val="标题 字符"/>
    <w:link w:val="38"/>
    <w:qFormat/>
    <w:uiPriority w:val="0"/>
    <w:rPr>
      <w:rFonts w:ascii="Arial" w:hAnsi="Arial"/>
      <w:b/>
      <w:sz w:val="32"/>
    </w:rPr>
  </w:style>
  <w:style w:type="character" w:customStyle="1" w:styleId="78">
    <w:name w:val="批注框文本 字符"/>
    <w:link w:val="24"/>
    <w:qFormat/>
    <w:uiPriority w:val="0"/>
    <w:rPr>
      <w:rFonts w:ascii="Times New Roman" w:hAnsi="Times New Roman" w:eastAsia="宋体" w:cs="Times New Roman"/>
      <w:sz w:val="18"/>
      <w:szCs w:val="18"/>
    </w:rPr>
  </w:style>
  <w:style w:type="character" w:customStyle="1" w:styleId="79">
    <w:name w:val="标题 8 字符"/>
    <w:link w:val="9"/>
    <w:qFormat/>
    <w:uiPriority w:val="0"/>
    <w:rPr>
      <w:rFonts w:ascii="Arial" w:hAnsi="Arial" w:eastAsia="黑体" w:cs="Times New Roman"/>
      <w:kern w:val="0"/>
      <w:sz w:val="24"/>
      <w:szCs w:val="24"/>
    </w:rPr>
  </w:style>
  <w:style w:type="character" w:customStyle="1" w:styleId="80">
    <w:name w:val="日期 字符"/>
    <w:link w:val="22"/>
    <w:qFormat/>
    <w:uiPriority w:val="0"/>
    <w:rPr>
      <w:rFonts w:ascii="Times New Roman" w:hAnsi="Times New Roman" w:eastAsia="宋体" w:cs="Times New Roman"/>
      <w:sz w:val="24"/>
      <w:szCs w:val="20"/>
    </w:rPr>
  </w:style>
  <w:style w:type="character" w:customStyle="1" w:styleId="81">
    <w:name w:val="标题 1 字符"/>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1"/>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5"/>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5"/>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0"/>
    <w:qFormat/>
    <w:uiPriority w:val="99"/>
    <w:rPr>
      <w:rFonts w:ascii="Courier New" w:hAnsi="Courier New"/>
    </w:rPr>
  </w:style>
  <w:style w:type="character" w:customStyle="1" w:styleId="97">
    <w:name w:val="标题 7 字符"/>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出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0"/>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0"/>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qFormat/>
    <w:uiPriority w:val="0"/>
    <w:rPr>
      <w:bdr w:val="dashed" w:color="auto" w:sz="48" w:space="0"/>
    </w:rPr>
  </w:style>
  <w:style w:type="character" w:customStyle="1" w:styleId="158">
    <w:name w:val="before"/>
    <w:qFormat/>
    <w:uiPriority w:val="0"/>
    <w:rPr>
      <w:bdr w:val="single" w:color="auto" w:sz="48" w:space="0"/>
    </w:rPr>
  </w:style>
  <w:style w:type="character" w:customStyle="1" w:styleId="159">
    <w:name w:val="hover48"/>
    <w:qFormat/>
    <w:uiPriority w:val="0"/>
    <w:rPr>
      <w:shd w:val="clear" w:color="auto" w:fill="346AC3"/>
    </w:rPr>
  </w:style>
  <w:style w:type="character" w:customStyle="1" w:styleId="160">
    <w:name w:val="hover49"/>
    <w:basedOn w:val="43"/>
    <w:qFormat/>
    <w:uiPriority w:val="0"/>
  </w:style>
  <w:style w:type="character" w:customStyle="1" w:styleId="161">
    <w:name w:val="hover50"/>
    <w:qFormat/>
    <w:uiPriority w:val="0"/>
    <w:rPr>
      <w:color w:val="4285F4"/>
      <w:u w:val="none"/>
    </w:rPr>
  </w:style>
  <w:style w:type="character" w:customStyle="1" w:styleId="162">
    <w:name w:val="hover51"/>
    <w:qFormat/>
    <w:uiPriority w:val="0"/>
    <w:rPr>
      <w:color w:val="4285F4"/>
    </w:rPr>
  </w:style>
  <w:style w:type="character" w:customStyle="1" w:styleId="163">
    <w:name w:val="hover52"/>
    <w:qFormat/>
    <w:uiPriority w:val="0"/>
    <w:rPr>
      <w:color w:val="1A85D7"/>
    </w:rPr>
  </w:style>
  <w:style w:type="character" w:customStyle="1" w:styleId="164">
    <w:name w:val="credit"/>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34"/>
    <w:pPr>
      <w:ind w:firstLine="420" w:firstLineChars="200"/>
    </w:pPr>
  </w:style>
  <w:style w:type="paragraph" w:customStyle="1" w:styleId="167">
    <w:name w:val="表格内正文，无编号"/>
    <w:basedOn w:val="1"/>
    <w:qFormat/>
    <w:uiPriority w:val="0"/>
    <w:pPr>
      <w:spacing w:line="400" w:lineRule="exact"/>
      <w:ind w:firstLine="643" w:firstLineChars="200"/>
    </w:pPr>
  </w:style>
  <w:style w:type="paragraph" w:customStyle="1" w:styleId="168">
    <w:name w:val="符号列表"/>
    <w:basedOn w:val="1"/>
    <w:next w:val="119"/>
    <w:qFormat/>
    <w:uiPriority w:val="34"/>
    <w:pPr>
      <w:spacing w:beforeLines="50"/>
      <w:ind w:firstLine="420" w:firstLineChars="200"/>
    </w:pPr>
    <w:rPr>
      <w:rFonts w:ascii="Calibri" w:hAnsi="Calibri"/>
      <w:sz w:val="24"/>
      <w:szCs w:val="22"/>
      <w:lang w:val="zh-CN"/>
    </w:rPr>
  </w:style>
  <w:style w:type="paragraph" w:customStyle="1" w:styleId="169">
    <w:name w:val="表体"/>
    <w:basedOn w:val="1"/>
    <w:next w:val="1"/>
    <w:qFormat/>
    <w:uiPriority w:val="0"/>
    <w:pPr>
      <w:snapToGrid w:val="0"/>
      <w:spacing w:line="0" w:lineRule="atLeast"/>
    </w:pPr>
    <w:rPr>
      <w:b/>
      <w:szCs w:val="20"/>
    </w:rPr>
  </w:style>
  <w:style w:type="paragraph" w:customStyle="1" w:styleId="170">
    <w:name w:val="*正文"/>
    <w:basedOn w:val="1"/>
    <w:qFormat/>
    <w:uiPriority w:val="0"/>
    <w:pPr>
      <w:widowControl/>
      <w:ind w:firstLine="200" w:firstLineChars="200"/>
    </w:pPr>
    <w:rPr>
      <w:rFonts w:ascii="仿宋_GB2312" w:eastAsia="仿宋_GB2312" w:cstheme="minorBidi"/>
      <w:sz w:val="24"/>
      <w:szCs w:val="28"/>
    </w:rPr>
  </w:style>
  <w:style w:type="paragraph" w:customStyle="1" w:styleId="171">
    <w:name w:val="图例"/>
    <w:basedOn w:val="1"/>
    <w:qFormat/>
    <w:uiPriority w:val="0"/>
    <w:pPr>
      <w:spacing w:before="120" w:after="120" w:line="360" w:lineRule="auto"/>
      <w:jc w:val="center"/>
    </w:pPr>
    <w:rPr>
      <w:rFonts w:eastAsia="仿宋_GB2312"/>
      <w:b/>
      <w:sz w:val="24"/>
    </w:rPr>
  </w:style>
  <w:style w:type="paragraph" w:customStyle="1" w:styleId="172">
    <w:name w:val="样式 + 首行缩进: 2 字符"/>
    <w:basedOn w:val="1"/>
    <w:qFormat/>
    <w:uiPriority w:val="0"/>
    <w:pPr>
      <w:keepNext w:val="0"/>
      <w:keepLines w:val="0"/>
      <w:widowControl w:val="0"/>
      <w:suppressLineNumbers w:val="0"/>
      <w:adjustRightInd w:val="0"/>
      <w:spacing w:before="0" w:beforeAutospacing="0" w:after="0" w:afterAutospacing="0" w:line="360" w:lineRule="auto"/>
      <w:ind w:left="0" w:right="0" w:firstLine="524" w:firstLineChars="200"/>
      <w:jc w:val="both"/>
    </w:pPr>
    <w:rPr>
      <w:rFonts w:hint="eastAsia" w:ascii="宋体" w:hAnsi="宋体" w:eastAsia="宋体" w:cs="Calibri"/>
      <w:spacing w:val="11"/>
      <w:kern w:val="0"/>
      <w:sz w:val="24"/>
      <w:szCs w:val="24"/>
      <w:lang w:val="en-US" w:eastAsia="zh-CN" w:bidi="ar"/>
    </w:rPr>
  </w:style>
  <w:style w:type="character" w:customStyle="1" w:styleId="173">
    <w:name w:val="font51"/>
    <w:basedOn w:val="43"/>
    <w:qFormat/>
    <w:uiPriority w:val="0"/>
    <w:rPr>
      <w:rFonts w:hint="eastAsia" w:ascii="宋体" w:hAnsi="宋体" w:eastAsia="宋体" w:cs="宋体"/>
      <w:color w:val="000000"/>
      <w:sz w:val="20"/>
      <w:szCs w:val="20"/>
      <w:u w:val="none"/>
    </w:rPr>
  </w:style>
  <w:style w:type="character" w:customStyle="1" w:styleId="174">
    <w:name w:val="font61"/>
    <w:basedOn w:val="43"/>
    <w:qFormat/>
    <w:uiPriority w:val="0"/>
    <w:rPr>
      <w:rFonts w:ascii="MS Gothic" w:hAnsi="MS Gothic" w:eastAsia="MS Gothic" w:cs="MS Gothic"/>
      <w:color w:val="000000"/>
      <w:sz w:val="20"/>
      <w:szCs w:val="20"/>
      <w:u w:val="none"/>
    </w:rPr>
  </w:style>
  <w:style w:type="character" w:customStyle="1" w:styleId="175">
    <w:name w:val="font71"/>
    <w:basedOn w:val="43"/>
    <w:qFormat/>
    <w:uiPriority w:val="0"/>
    <w:rPr>
      <w:rFonts w:ascii="smartSimSun" w:hAnsi="smartSimSun" w:eastAsia="smartSimSun" w:cs="smartSimSun"/>
      <w:color w:val="000000"/>
      <w:sz w:val="18"/>
      <w:szCs w:val="18"/>
      <w:u w:val="none"/>
    </w:rPr>
  </w:style>
  <w:style w:type="character" w:customStyle="1" w:styleId="176">
    <w:name w:val="font81"/>
    <w:basedOn w:val="43"/>
    <w:qFormat/>
    <w:uiPriority w:val="0"/>
    <w:rPr>
      <w:rFonts w:hint="eastAsia" w:ascii="宋体" w:hAnsi="宋体" w:eastAsia="宋体" w:cs="宋体"/>
      <w:color w:val="000000"/>
      <w:sz w:val="18"/>
      <w:szCs w:val="18"/>
      <w:u w:val="none"/>
    </w:rPr>
  </w:style>
  <w:style w:type="character" w:customStyle="1" w:styleId="177">
    <w:name w:val="font41"/>
    <w:basedOn w:val="43"/>
    <w:qFormat/>
    <w:uiPriority w:val="0"/>
    <w:rPr>
      <w:rFonts w:ascii="smartSimSun" w:hAnsi="smartSimSun" w:eastAsia="smartSimSun" w:cs="smartSimSu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12943</Words>
  <Characters>13939</Characters>
  <Lines>1</Lines>
  <Paragraphs>1</Paragraphs>
  <TotalTime>3</TotalTime>
  <ScaleCrop>false</ScaleCrop>
  <LinksUpToDate>false</LinksUpToDate>
  <CharactersWithSpaces>14920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2020-05-01T16:16:00Z</dcterms:created>
  <dc:creator>陈桂兰</dc:creator>
  <cp:lastModifiedBy>李锐</cp:lastModifiedBy>
  <cp:lastPrinted>2020-05-13T15:11:00Z</cp:lastPrinted>
  <dcterms:modified xsi:type="dcterms:W3CDTF">2022-11-28T02:13:07Z</dcterms:modified>
  <dc:title>项目名称：2019年重庆市取消高速公路省界收费站项目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2A9A7D8B47224DF38B5BD0A2E46B16A0</vt:lpwstr>
  </property>
</Properties>
</file>