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  <w:r>
        <w:rPr>
          <w:rFonts w:hint="eastAsia" w:ascii="微软雅黑" w:hAnsi="微软雅黑" w:eastAsia="微软雅黑"/>
          <w:b/>
          <w:bCs/>
          <w:sz w:val="52"/>
          <w:szCs w:val="52"/>
        </w:rPr>
        <w:t>20</w:t>
      </w:r>
      <w:r>
        <w:rPr>
          <w:rFonts w:hint="eastAsia" w:ascii="微软雅黑" w:hAnsi="微软雅黑" w:eastAsia="微软雅黑"/>
          <w:b/>
          <w:bCs/>
          <w:sz w:val="52"/>
          <w:szCs w:val="52"/>
          <w:lang w:val="en-US" w:eastAsia="zh-CN"/>
        </w:rPr>
        <w:t>21</w:t>
      </w:r>
      <w:r>
        <w:rPr>
          <w:rFonts w:hint="eastAsia" w:ascii="微软雅黑" w:hAnsi="微软雅黑" w:eastAsia="微软雅黑"/>
          <w:b/>
          <w:bCs/>
          <w:sz w:val="52"/>
          <w:szCs w:val="52"/>
        </w:rPr>
        <w:t>年专项工程</w:t>
      </w:r>
      <w:r>
        <w:rPr>
          <w:rFonts w:hint="eastAsia" w:ascii="微软雅黑" w:hAnsi="微软雅黑" w:eastAsia="微软雅黑"/>
          <w:b/>
          <w:bCs/>
          <w:sz w:val="52"/>
          <w:szCs w:val="52"/>
          <w:lang w:val="en-US" w:eastAsia="zh-CN"/>
        </w:rPr>
        <w:t>东北</w:t>
      </w:r>
      <w:r>
        <w:rPr>
          <w:rFonts w:hint="eastAsia" w:ascii="微软雅黑" w:hAnsi="微软雅黑" w:eastAsia="微软雅黑"/>
          <w:b/>
          <w:bCs/>
          <w:sz w:val="52"/>
          <w:szCs w:val="52"/>
        </w:rPr>
        <w:t>公司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  <w:r>
        <w:rPr>
          <w:rFonts w:hint="eastAsia" w:ascii="微软雅黑" w:hAnsi="微软雅黑" w:eastAsia="微软雅黑"/>
          <w:b/>
          <w:sz w:val="52"/>
          <w:szCs w:val="52"/>
        </w:rPr>
        <w:t>EPS主机及电池更换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  <w:r>
        <w:rPr>
          <w:rFonts w:hint="eastAsia" w:ascii="微软雅黑" w:hAnsi="微软雅黑" w:eastAsia="微软雅黑"/>
          <w:b/>
          <w:sz w:val="52"/>
          <w:szCs w:val="52"/>
        </w:rPr>
        <w:t>设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  <w:r>
        <w:rPr>
          <w:rFonts w:hint="eastAsia" w:ascii="微软雅黑" w:hAnsi="微软雅黑" w:eastAsia="微软雅黑"/>
          <w:b/>
          <w:sz w:val="52"/>
          <w:szCs w:val="52"/>
        </w:rPr>
        <w:t>计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  <w:r>
        <w:rPr>
          <w:rFonts w:hint="eastAsia" w:ascii="微软雅黑" w:hAnsi="微软雅黑" w:eastAsia="微软雅黑"/>
          <w:b/>
          <w:sz w:val="52"/>
          <w:szCs w:val="52"/>
        </w:rPr>
        <w:t>方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  <w:r>
        <w:rPr>
          <w:rFonts w:hint="eastAsia" w:ascii="微软雅黑" w:hAnsi="微软雅黑" w:eastAsia="微软雅黑"/>
          <w:b/>
          <w:sz w:val="52"/>
          <w:szCs w:val="52"/>
        </w:rPr>
        <w:t>案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</w:p>
    <w:p>
      <w:pPr>
        <w:spacing w:line="360" w:lineRule="auto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重庆首讯科技股份有限公司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ascii="微软雅黑" w:hAnsi="微软雅黑" w:eastAsia="微软雅黑"/>
          <w:b/>
          <w:sz w:val="32"/>
          <w:szCs w:val="32"/>
        </w:rPr>
        <w:t>20</w:t>
      </w: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>21</w:t>
      </w:r>
      <w:r>
        <w:rPr>
          <w:rFonts w:hint="eastAsia" w:ascii="微软雅黑" w:hAnsi="微软雅黑" w:eastAsia="微软雅黑"/>
          <w:b/>
          <w:sz w:val="32"/>
          <w:szCs w:val="32"/>
        </w:rPr>
        <w:t>年</w:t>
      </w: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>3</w:t>
      </w:r>
      <w:r>
        <w:rPr>
          <w:rFonts w:hint="eastAsia" w:ascii="微软雅黑" w:hAnsi="微软雅黑" w:eastAsia="微软雅黑"/>
          <w:b/>
          <w:sz w:val="32"/>
          <w:szCs w:val="32"/>
        </w:rPr>
        <w:t>月</w:t>
      </w:r>
    </w:p>
    <w:p>
      <w:pPr>
        <w:adjustRightInd w:val="0"/>
        <w:snapToGrid w:val="0"/>
        <w:spacing w:line="360" w:lineRule="auto"/>
        <w:jc w:val="center"/>
        <w:rPr>
          <w:rFonts w:ascii="微软雅黑" w:hAnsi="微软雅黑" w:eastAsia="微软雅黑"/>
          <w:b/>
          <w:bCs/>
          <w:sz w:val="44"/>
          <w:szCs w:val="44"/>
        </w:rPr>
      </w:pPr>
      <w:r>
        <w:rPr>
          <w:rFonts w:hint="eastAsia" w:ascii="微软雅黑" w:hAnsi="微软雅黑" w:eastAsia="微软雅黑"/>
          <w:b/>
          <w:bCs/>
          <w:sz w:val="44"/>
          <w:szCs w:val="44"/>
        </w:rPr>
        <w:t>EPS主机</w:t>
      </w:r>
      <w:r>
        <w:rPr>
          <w:rFonts w:hint="eastAsia" w:ascii="微软雅黑" w:hAnsi="微软雅黑" w:eastAsia="微软雅黑"/>
          <w:b/>
          <w:bCs/>
          <w:sz w:val="44"/>
          <w:szCs w:val="44"/>
          <w:lang w:val="en-US" w:eastAsia="zh-CN"/>
        </w:rPr>
        <w:t>及电池</w:t>
      </w:r>
      <w:r>
        <w:rPr>
          <w:rFonts w:hint="eastAsia" w:ascii="微软雅黑" w:hAnsi="微软雅黑" w:eastAsia="微软雅黑"/>
          <w:b/>
          <w:bCs/>
          <w:sz w:val="44"/>
          <w:szCs w:val="44"/>
        </w:rPr>
        <w:t>更换设计方案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1项目背景与设计依据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1.1 项目背景</w:t>
      </w:r>
    </w:p>
    <w:p>
      <w:pPr>
        <w:ind w:firstLine="44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东北公司</w:t>
      </w:r>
      <w:r>
        <w:rPr>
          <w:rFonts w:hint="eastAsia" w:ascii="微软雅黑" w:hAnsi="微软雅黑" w:eastAsia="微软雅黑" w:cs="微软雅黑"/>
          <w:sz w:val="22"/>
          <w:szCs w:val="22"/>
        </w:rPr>
        <w:t>路段部分UPS\EPS电池在使用中出现卤化、漏液、断路等现象，充放电能力减弱，严重影响营运安全。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万云、云奉</w:t>
      </w:r>
      <w:r>
        <w:rPr>
          <w:rFonts w:hint="eastAsia" w:ascii="微软雅黑" w:hAnsi="微软雅黑" w:eastAsia="微软雅黑" w:cs="微软雅黑"/>
          <w:sz w:val="22"/>
          <w:szCs w:val="22"/>
        </w:rPr>
        <w:t>路部分UPS/EPS主机已达到使用年限，维修配件已经停产，已经无法维修。</w:t>
      </w:r>
    </w:p>
    <w:p>
      <w:pPr>
        <w:ind w:firstLine="440"/>
        <w:rPr>
          <w:rFonts w:hint="eastAsia" w:ascii="微软雅黑" w:hAnsi="微软雅黑" w:eastAsia="微软雅黑" w:cs="微软雅黑"/>
          <w:sz w:val="22"/>
          <w:szCs w:val="22"/>
        </w:rPr>
      </w:pP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b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sz w:val="22"/>
          <w:szCs w:val="22"/>
        </w:rPr>
        <w:t>1.2 设计依据</w:t>
      </w:r>
    </w:p>
    <w:p>
      <w:pPr>
        <w:pStyle w:val="5"/>
        <w:numPr>
          <w:ilvl w:val="1"/>
          <w:numId w:val="0"/>
        </w:numPr>
        <w:tabs>
          <w:tab w:val="left" w:pos="360"/>
          <w:tab w:val="left" w:pos="900"/>
          <w:tab w:val="left" w:pos="5382"/>
          <w:tab w:val="clear" w:pos="630"/>
        </w:tabs>
        <w:adjustRightInd w:val="0"/>
        <w:snapToGrid w:val="0"/>
        <w:spacing w:before="0" w:after="0" w:line="360" w:lineRule="auto"/>
        <w:rPr>
          <w:rFonts w:ascii="微软雅黑" w:hAnsi="微软雅黑" w:eastAsia="微软雅黑"/>
          <w:b w:val="0"/>
          <w:kern w:val="0"/>
          <w:sz w:val="22"/>
          <w:szCs w:val="22"/>
        </w:rPr>
      </w:pPr>
      <w:r>
        <w:rPr>
          <w:rFonts w:ascii="Times New Roman" w:hAnsi="Times New Roman" w:eastAsia="微软雅黑"/>
          <w:b w:val="0"/>
          <w:kern w:val="0"/>
          <w:sz w:val="22"/>
          <w:szCs w:val="22"/>
        </w:rPr>
        <w:t>►</w:t>
      </w:r>
      <w:r>
        <w:rPr>
          <w:rFonts w:hint="eastAsia" w:ascii="微软雅黑" w:hAnsi="微软雅黑" w:eastAsia="微软雅黑"/>
          <w:b w:val="0"/>
          <w:kern w:val="0"/>
          <w:sz w:val="22"/>
          <w:szCs w:val="22"/>
        </w:rPr>
        <w:t>信息产业部、电力部、建设部颁布的有关标准和规范；</w:t>
      </w:r>
    </w:p>
    <w:p>
      <w:pPr>
        <w:pStyle w:val="5"/>
        <w:numPr>
          <w:ilvl w:val="1"/>
          <w:numId w:val="0"/>
        </w:numPr>
        <w:tabs>
          <w:tab w:val="left" w:pos="360"/>
          <w:tab w:val="left" w:pos="900"/>
          <w:tab w:val="left" w:pos="5382"/>
          <w:tab w:val="clear" w:pos="630"/>
        </w:tabs>
        <w:adjustRightInd w:val="0"/>
        <w:snapToGrid w:val="0"/>
        <w:spacing w:before="0" w:after="0" w:line="360" w:lineRule="auto"/>
        <w:rPr>
          <w:rFonts w:ascii="微软雅黑" w:hAnsi="微软雅黑" w:eastAsia="微软雅黑"/>
          <w:b w:val="0"/>
          <w:kern w:val="0"/>
          <w:sz w:val="22"/>
          <w:szCs w:val="22"/>
        </w:rPr>
      </w:pPr>
      <w:r>
        <w:rPr>
          <w:rFonts w:ascii="Times New Roman" w:hAnsi="Times New Roman" w:eastAsia="微软雅黑"/>
          <w:b w:val="0"/>
          <w:kern w:val="0"/>
          <w:sz w:val="22"/>
          <w:szCs w:val="22"/>
        </w:rPr>
        <w:t>►</w:t>
      </w:r>
      <w:r>
        <w:rPr>
          <w:rFonts w:hint="eastAsia" w:ascii="微软雅黑" w:hAnsi="微软雅黑" w:eastAsia="微软雅黑"/>
          <w:b w:val="0"/>
          <w:kern w:val="0"/>
          <w:sz w:val="22"/>
          <w:szCs w:val="22"/>
        </w:rPr>
        <w:t>交通部颁发的有关技术标准、规范、规程及强制性条文；</w:t>
      </w:r>
    </w:p>
    <w:p>
      <w:pPr>
        <w:pStyle w:val="5"/>
        <w:numPr>
          <w:ilvl w:val="1"/>
          <w:numId w:val="0"/>
        </w:numPr>
        <w:tabs>
          <w:tab w:val="left" w:pos="360"/>
          <w:tab w:val="left" w:pos="900"/>
          <w:tab w:val="left" w:pos="5382"/>
          <w:tab w:val="clear" w:pos="630"/>
        </w:tabs>
        <w:adjustRightInd w:val="0"/>
        <w:snapToGrid w:val="0"/>
        <w:spacing w:before="0" w:after="0" w:line="360" w:lineRule="auto"/>
        <w:rPr>
          <w:rFonts w:ascii="微软雅黑" w:hAnsi="微软雅黑" w:eastAsia="微软雅黑"/>
          <w:b w:val="0"/>
          <w:kern w:val="0"/>
          <w:sz w:val="22"/>
          <w:szCs w:val="22"/>
        </w:rPr>
      </w:pPr>
      <w:r>
        <w:rPr>
          <w:rFonts w:ascii="Times New Roman" w:hAnsi="Times New Roman" w:eastAsia="微软雅黑"/>
          <w:b w:val="0"/>
          <w:kern w:val="0"/>
          <w:sz w:val="22"/>
          <w:szCs w:val="22"/>
        </w:rPr>
        <w:t>►</w:t>
      </w:r>
      <w:r>
        <w:rPr>
          <w:rFonts w:hint="eastAsia" w:ascii="微软雅黑" w:hAnsi="微软雅黑" w:eastAsia="微软雅黑"/>
          <w:b w:val="0"/>
          <w:kern w:val="0"/>
          <w:sz w:val="22"/>
          <w:szCs w:val="22"/>
        </w:rPr>
        <w:t xml:space="preserve">  其他有关法律、法规、国家标准、规范、规程；</w:t>
      </w:r>
    </w:p>
    <w:p>
      <w:pPr>
        <w:pStyle w:val="5"/>
        <w:numPr>
          <w:ilvl w:val="1"/>
          <w:numId w:val="0"/>
        </w:numPr>
        <w:tabs>
          <w:tab w:val="left" w:pos="360"/>
          <w:tab w:val="left" w:pos="900"/>
          <w:tab w:val="left" w:pos="5382"/>
        </w:tabs>
        <w:adjustRightInd w:val="0"/>
        <w:snapToGrid w:val="0"/>
        <w:spacing w:before="0" w:after="0" w:line="360" w:lineRule="auto"/>
        <w:rPr>
          <w:rFonts w:ascii="微软雅黑" w:hAnsi="微软雅黑" w:eastAsia="微软雅黑"/>
          <w:b w:val="0"/>
          <w:kern w:val="0"/>
          <w:sz w:val="22"/>
          <w:szCs w:val="22"/>
        </w:rPr>
      </w:pPr>
      <w:r>
        <w:rPr>
          <w:rFonts w:ascii="Times New Roman" w:hAnsi="Times New Roman" w:eastAsia="微软雅黑"/>
          <w:b w:val="0"/>
          <w:kern w:val="0"/>
          <w:sz w:val="22"/>
          <w:szCs w:val="22"/>
        </w:rPr>
        <w:t>►</w:t>
      </w:r>
      <w:r>
        <w:rPr>
          <w:rFonts w:hint="eastAsia" w:ascii="微软雅黑" w:hAnsi="微软雅黑" w:eastAsia="微软雅黑"/>
          <w:b w:val="0"/>
          <w:kern w:val="0"/>
          <w:sz w:val="22"/>
          <w:szCs w:val="22"/>
        </w:rPr>
        <w:t>《重庆“三环十射多联线”高速公路交通工程总体方案设计》 （庆市交通委员会 2013年 1 月） 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►《公路隧道设计规范》第二册 交通工程与附属设施（JTG D70/2-2014）；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►《高速公路交通工程及沿线设施设计通用规范》（JTG D80-2006）；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ascii="Times New Roman" w:hAnsi="Times New Roman" w:cs="Times New Roman"/>
        </w:rPr>
        <w:t>►</w:t>
      </w:r>
      <w:r>
        <w:rPr>
          <w:rFonts w:hint="eastAsia" w:ascii="微软雅黑" w:hAnsi="微软雅黑" w:eastAsia="微软雅黑" w:cs="微软雅黑"/>
          <w:sz w:val="22"/>
          <w:szCs w:val="22"/>
        </w:rPr>
        <w:t>中华人民共和国国家标准《高速公路隧道监控系统模式》（GB-T 18567-2010）；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►《高速公路监控技术要求》（交通运输部2012年第3号公告）；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►《视频安防监控系统工程设计规范》GB50395-2007；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►《电子信息系统机房设计规范》（GB50174-2008）；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/>
          <w:sz w:val="22"/>
          <w:szCs w:val="22"/>
        </w:rPr>
      </w:pPr>
      <w:r>
        <w:rPr>
          <w:rFonts w:ascii="Times New Roman" w:hAnsi="Times New Roman" w:eastAsia="微软雅黑" w:cs="Times New Roman"/>
          <w:sz w:val="22"/>
          <w:szCs w:val="22"/>
        </w:rPr>
        <w:t>►</w:t>
      </w:r>
      <w:r>
        <w:rPr>
          <w:rFonts w:hint="eastAsia" w:ascii="微软雅黑" w:hAnsi="微软雅黑" w:eastAsia="微软雅黑"/>
          <w:sz w:val="22"/>
          <w:szCs w:val="22"/>
        </w:rPr>
        <w:t>施工安全交通组织，重庆市营运高速公路施工标准化管理办法(重庆市交通委员会分布)。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/>
          <w:sz w:val="22"/>
          <w:szCs w:val="22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2 设计调查过程</w:t>
      </w:r>
    </w:p>
    <w:p>
      <w:pPr>
        <w:pStyle w:val="6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20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20</w:t>
      </w:r>
      <w:r>
        <w:rPr>
          <w:rFonts w:hint="eastAsia" w:ascii="微软雅黑" w:hAnsi="微软雅黑" w:eastAsia="微软雅黑" w:cs="微软雅黑"/>
          <w:sz w:val="22"/>
          <w:szCs w:val="22"/>
        </w:rPr>
        <w:t>年9月受业主单位委托，由我公司负责重庆高速公路股份有限公司20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20</w:t>
      </w:r>
      <w:r>
        <w:rPr>
          <w:rFonts w:hint="eastAsia" w:ascii="微软雅黑" w:hAnsi="微软雅黑" w:eastAsia="微软雅黑" w:cs="微软雅黑"/>
          <w:sz w:val="22"/>
          <w:szCs w:val="22"/>
        </w:rPr>
        <w:t>年机电专项工程施工,20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20</w:t>
      </w:r>
      <w:r>
        <w:rPr>
          <w:rFonts w:hint="eastAsia" w:ascii="微软雅黑" w:hAnsi="微软雅黑" w:eastAsia="微软雅黑" w:cs="微软雅黑"/>
          <w:sz w:val="22"/>
          <w:szCs w:val="22"/>
        </w:rPr>
        <w:t>年10月至20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20</w:t>
      </w:r>
      <w:r>
        <w:rPr>
          <w:rFonts w:hint="eastAsia" w:ascii="微软雅黑" w:hAnsi="微软雅黑" w:eastAsia="微软雅黑" w:cs="微软雅黑"/>
          <w:sz w:val="22"/>
          <w:szCs w:val="22"/>
        </w:rPr>
        <w:t>年12月，我公司维护人员对股份公司需要更换的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EPS/</w:t>
      </w:r>
      <w:r>
        <w:rPr>
          <w:rFonts w:hint="eastAsia" w:ascii="微软雅黑" w:hAnsi="微软雅黑" w:eastAsia="微软雅黑" w:cs="微软雅黑"/>
          <w:sz w:val="22"/>
          <w:szCs w:val="22"/>
        </w:rPr>
        <w:t>UPS主机进行统计并确认，在此基础上做出了相应的施工方案。</w:t>
      </w:r>
    </w:p>
    <w:p>
      <w:pPr>
        <w:pStyle w:val="6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</w:p>
    <w:p>
      <w:pPr>
        <w:pStyle w:val="6"/>
        <w:adjustRightInd w:val="0"/>
        <w:snapToGrid w:val="0"/>
        <w:spacing w:line="360" w:lineRule="auto"/>
        <w:ind w:firstLine="0" w:firstLineChars="0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3 设计方案</w:t>
      </w:r>
    </w:p>
    <w:p>
      <w:pPr>
        <w:pStyle w:val="6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本项目将指定的UPS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/EPS</w:t>
      </w:r>
      <w:r>
        <w:rPr>
          <w:rFonts w:hint="eastAsia" w:ascii="微软雅黑" w:hAnsi="微软雅黑" w:eastAsia="微软雅黑" w:cs="微软雅黑"/>
          <w:sz w:val="22"/>
          <w:szCs w:val="22"/>
        </w:rPr>
        <w:t>电池拆除，更换为新电池；拆除的电池，将运输至各隧道所在营运路段指定的位置。本次提供的电池原则上与原规格匹配；若提供的电池与原规格不匹配时，其规格指标不低于且最接近原规格型号。若配置的电池较原电池尺寸大，将测算原电池柜是否满足安装要求；若不满足，则对电池柜进行更换。</w:t>
      </w:r>
    </w:p>
    <w:p>
      <w:pPr>
        <w:pStyle w:val="6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本项目将指定的EPS/UPS主机拆除，更换为新的主机；拆除的主机，将运输至各隧道所在营运路段指定的位置。</w:t>
      </w:r>
    </w:p>
    <w:p>
      <w:pPr>
        <w:pStyle w:val="6"/>
        <w:spacing w:line="360" w:lineRule="auto"/>
        <w:ind w:firstLine="480"/>
        <w:rPr>
          <w:rFonts w:ascii="微软雅黑" w:hAnsi="微软雅黑" w:eastAsia="微软雅黑" w:cs="微软雅黑"/>
          <w:b/>
          <w:bCs/>
        </w:rPr>
      </w:pPr>
    </w:p>
    <w:p>
      <w:pPr>
        <w:adjustRightInd w:val="0"/>
        <w:snapToGrid w:val="0"/>
        <w:spacing w:beforeLines="50" w:afterLines="50" w:line="360" w:lineRule="auto"/>
        <w:rPr>
          <w:rFonts w:ascii="宋体" w:hAnsi="宋体"/>
          <w:b/>
          <w:bCs/>
          <w:sz w:val="28"/>
          <w:szCs w:val="28"/>
        </w:rPr>
      </w:pPr>
      <w:bookmarkStart w:id="0" w:name="_Toc413401626"/>
      <w:bookmarkStart w:id="1" w:name="_Toc360192277"/>
      <w:bookmarkStart w:id="2" w:name="_Toc418520082"/>
      <w:bookmarkStart w:id="3" w:name="_Toc435645305"/>
      <w:bookmarkStart w:id="4" w:name="_Toc435645386"/>
      <w:r>
        <w:rPr>
          <w:rFonts w:hint="eastAsia" w:asciiTheme="minorEastAsia" w:hAnsiTheme="minorEastAsia"/>
          <w:b/>
          <w:sz w:val="28"/>
          <w:szCs w:val="28"/>
        </w:rPr>
        <w:t>4 工程量清单及点位情况说明</w:t>
      </w:r>
    </w:p>
    <w:p>
      <w:pPr>
        <w:pStyle w:val="6"/>
        <w:adjustRightInd w:val="0"/>
        <w:snapToGrid w:val="0"/>
        <w:spacing w:line="360" w:lineRule="auto"/>
        <w:ind w:firstLine="0" w:firstLineChars="0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4.1具体点位</w:t>
      </w:r>
    </w:p>
    <w:tbl>
      <w:tblPr>
        <w:tblStyle w:val="3"/>
        <w:tblpPr w:leftFromText="180" w:rightFromText="180" w:vertAnchor="text" w:horzAnchor="page" w:tblpX="1177" w:tblpY="518"/>
        <w:tblOverlap w:val="never"/>
        <w:tblW w:w="9775" w:type="dxa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945"/>
        <w:gridCol w:w="1460"/>
        <w:gridCol w:w="1080"/>
        <w:gridCol w:w="1195"/>
        <w:gridCol w:w="1245"/>
        <w:gridCol w:w="825"/>
        <w:gridCol w:w="750"/>
        <w:gridCol w:w="147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方正楷体_GBK" w:hAnsi="方正楷体_GBK" w:eastAsia="方正楷体_GBK" w:cs="方正楷体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序号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路段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点位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电池规格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</w:tbl>
    <w:tbl>
      <w:tblPr>
        <w:tblStyle w:val="3"/>
        <w:tblpPr w:leftFromText="180" w:rightFromText="180" w:vertAnchor="text" w:horzAnchor="page" w:tblpX="1192" w:tblpY="526"/>
        <w:tblOverlap w:val="never"/>
        <w:tblW w:w="9760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935"/>
        <w:gridCol w:w="1475"/>
        <w:gridCol w:w="1065"/>
        <w:gridCol w:w="1200"/>
        <w:gridCol w:w="1260"/>
        <w:gridCol w:w="810"/>
        <w:gridCol w:w="765"/>
        <w:gridCol w:w="1455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楷体_GBK" w:hAnsi="方正楷体_GBK" w:eastAsia="方正楷体_GBK" w:cs="方正楷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万云路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张家山万州端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40KVA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23*17*21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更换UPS主机及电池、机柜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万云路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观音庙隧道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30KVA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23*17*21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更换UPS主机及电池、机柜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adjustRightInd w:val="0"/>
        <w:snapToGrid w:val="0"/>
        <w:spacing w:line="360" w:lineRule="auto"/>
        <w:jc w:val="left"/>
        <w:rPr>
          <w:rFonts w:ascii="宋体" w:hAnsi="宋体"/>
          <w:b/>
          <w:bCs/>
        </w:rPr>
      </w:pPr>
    </w:p>
    <w:tbl>
      <w:tblPr>
        <w:tblpPr w:leftFromText="180" w:rightFromText="180" w:vertAnchor="text" w:horzAnchor="page" w:tblpX="747" w:tblpY="2867"/>
        <w:tblOverlap w:val="never"/>
        <w:tblW w:w="10579" w:type="dxa"/>
        <w:tblInd w:w="0" w:type="dxa"/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1834"/>
        <w:gridCol w:w="1151"/>
        <w:gridCol w:w="855"/>
        <w:gridCol w:w="900"/>
        <w:gridCol w:w="780"/>
        <w:gridCol w:w="690"/>
        <w:gridCol w:w="818"/>
        <w:gridCol w:w="27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5" w:name="_GoBack"/>
            <w:bookmarkEnd w:id="5"/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序号</w:t>
            </w:r>
          </w:p>
        </w:tc>
        <w:tc>
          <w:tcPr>
            <w:tcW w:w="1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设备名称</w:t>
            </w:r>
          </w:p>
        </w:tc>
        <w:tc>
          <w:tcPr>
            <w:tcW w:w="11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规格型号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单价</w:t>
            </w:r>
          </w:p>
        </w:tc>
        <w:tc>
          <w:tcPr>
            <w:tcW w:w="8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</w:t>
            </w:r>
          </w:p>
        </w:tc>
        <w:tc>
          <w:tcPr>
            <w:tcW w:w="2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万云路</w:t>
            </w:r>
          </w:p>
        </w:tc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UPS主机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40KVA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含120AH电池32块和电池柜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UPS主机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30KVA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含100AH电池64块和电池柜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UPS主机拆除转运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40KVA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转运到业主指定地方各路段约60公里</w:t>
            </w:r>
          </w:p>
        </w:tc>
      </w:tr>
      <w:tr>
        <w:tblPrEx>
          <w:shd w:val="clear"/>
        </w:tblPrEx>
        <w:trPr>
          <w:trHeight w:val="379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UPS主机拆除转运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30KVA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转运到业主指定地方各路段约60公里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55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总计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ascii="宋体" w:hAnsi="宋体"/>
          <w:b/>
          <w:bCs/>
        </w:rPr>
      </w:pPr>
    </w:p>
    <w:p>
      <w:pPr>
        <w:adjustRightInd w:val="0"/>
        <w:snapToGrid w:val="0"/>
        <w:spacing w:line="360" w:lineRule="auto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5 主要技术参数</w:t>
      </w:r>
      <w:bookmarkEnd w:id="0"/>
      <w:bookmarkEnd w:id="1"/>
      <w:bookmarkEnd w:id="2"/>
      <w:bookmarkEnd w:id="3"/>
      <w:bookmarkEnd w:id="4"/>
    </w:p>
    <w:p>
      <w:pPr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1、电池</w:t>
      </w:r>
    </w:p>
    <w:p>
      <w:pPr>
        <w:pStyle w:val="6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电池容量不低于国家标准要求，蓄电池组采用铅酸免维护电池。</w:t>
      </w:r>
    </w:p>
    <w:p>
      <w:pPr>
        <w:pStyle w:val="6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UPS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/EPS</w:t>
      </w:r>
      <w:r>
        <w:rPr>
          <w:rFonts w:hint="eastAsia" w:ascii="微软雅黑" w:hAnsi="微软雅黑" w:eastAsia="微软雅黑" w:cs="微软雅黑"/>
          <w:sz w:val="22"/>
          <w:szCs w:val="22"/>
        </w:rPr>
        <w:t>蓄电池满足YD/T 799-2002《通信用阀控式密封铅酸蓄电池》，具体要求如下：</w:t>
      </w:r>
    </w:p>
    <w:p>
      <w:pPr>
        <w:pStyle w:val="6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（1）蓄电池装于电池柜内，蓄电池之间连接可靠，接触良好，无须补液，内阻小；</w:t>
      </w:r>
    </w:p>
    <w:p>
      <w:pPr>
        <w:pStyle w:val="6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（2）大电流放电性能好；</w:t>
      </w:r>
    </w:p>
    <w:p>
      <w:pPr>
        <w:pStyle w:val="6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（3）适应温度：-10℃～45℃；</w:t>
      </w:r>
    </w:p>
    <w:p>
      <w:pPr>
        <w:pStyle w:val="6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（4）使用寿命：≥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sz w:val="22"/>
          <w:szCs w:val="22"/>
        </w:rPr>
        <w:t>年；</w:t>
      </w:r>
    </w:p>
    <w:p>
      <w:pPr>
        <w:pStyle w:val="6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（5）荷电出厂，安全防爆，深放电恢复性能好；</w:t>
      </w:r>
    </w:p>
    <w:p>
      <w:pPr>
        <w:pStyle w:val="6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（6）无游离电解液，侧倒90度仍能正常使用。</w:t>
      </w:r>
    </w:p>
    <w:p>
      <w:pPr>
        <w:pStyle w:val="6"/>
        <w:spacing w:line="360" w:lineRule="auto"/>
        <w:ind w:firstLine="0" w:firstLineChars="0"/>
        <w:jc w:val="left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2、主机</w:t>
      </w:r>
    </w:p>
    <w:p>
      <w:pPr>
        <w:pStyle w:val="6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U</w:t>
      </w:r>
      <w:r>
        <w:rPr>
          <w:rFonts w:ascii="微软雅黑" w:hAnsi="微软雅黑" w:eastAsia="微软雅黑" w:cs="微软雅黑"/>
          <w:sz w:val="22"/>
          <w:szCs w:val="22"/>
        </w:rPr>
        <w:t>PS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/EPS</w:t>
      </w:r>
      <w:r>
        <w:rPr>
          <w:rFonts w:ascii="微软雅黑" w:hAnsi="微软雅黑" w:eastAsia="微软雅黑" w:cs="微软雅黑"/>
          <w:sz w:val="22"/>
          <w:szCs w:val="22"/>
        </w:rPr>
        <w:t xml:space="preserve"> 系统的设计和施工应符合国家及部颁标准的有关规定。</w:t>
      </w:r>
      <w:r>
        <w:rPr>
          <w:rFonts w:hint="eastAsia" w:ascii="微软雅黑" w:hAnsi="微软雅黑" w:eastAsia="微软雅黑" w:cs="微软雅黑"/>
          <w:sz w:val="22"/>
          <w:szCs w:val="22"/>
        </w:rPr>
        <w:t>U</w:t>
      </w:r>
      <w:r>
        <w:rPr>
          <w:rFonts w:ascii="微软雅黑" w:hAnsi="微软雅黑" w:eastAsia="微软雅黑" w:cs="微软雅黑"/>
          <w:sz w:val="22"/>
          <w:szCs w:val="22"/>
        </w:rPr>
        <w:t>PS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/EPS</w:t>
      </w:r>
      <w:r>
        <w:rPr>
          <w:rFonts w:ascii="微软雅黑" w:hAnsi="微软雅黑" w:eastAsia="微软雅黑" w:cs="微软雅黑"/>
          <w:sz w:val="22"/>
          <w:szCs w:val="22"/>
        </w:rPr>
        <w:t xml:space="preserve"> 须取得公安部消防产品</w:t>
      </w:r>
      <w:r>
        <w:rPr>
          <w:rFonts w:hint="eastAsia" w:ascii="微软雅黑" w:hAnsi="微软雅黑" w:eastAsia="微软雅黑" w:cs="微软雅黑"/>
          <w:sz w:val="22"/>
          <w:szCs w:val="22"/>
        </w:rPr>
        <w:t>合格评定中心的产品型式认可证书或中国国家强制性产品认证证书。</w:t>
      </w:r>
      <w:r>
        <w:rPr>
          <w:rFonts w:ascii="微软雅黑" w:hAnsi="微软雅黑" w:eastAsia="微软雅黑" w:cs="微软雅黑"/>
          <w:sz w:val="22"/>
          <w:szCs w:val="22"/>
        </w:rPr>
        <w:t xml:space="preserve"> </w:t>
      </w:r>
    </w:p>
    <w:p>
      <w:pPr>
        <w:pStyle w:val="6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U</w:t>
      </w:r>
      <w:r>
        <w:rPr>
          <w:rFonts w:ascii="微软雅黑" w:hAnsi="微软雅黑" w:eastAsia="微软雅黑" w:cs="微软雅黑"/>
          <w:sz w:val="22"/>
          <w:szCs w:val="22"/>
        </w:rPr>
        <w:t>PS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/EPS</w:t>
      </w:r>
      <w:r>
        <w:rPr>
          <w:rFonts w:ascii="微软雅黑" w:hAnsi="微软雅黑" w:eastAsia="微软雅黑" w:cs="微软雅黑"/>
          <w:sz w:val="22"/>
          <w:szCs w:val="22"/>
        </w:rPr>
        <w:t xml:space="preserve"> 性能参数： </w:t>
      </w:r>
    </w:p>
    <w:p>
      <w:pPr>
        <w:pStyle w:val="6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</w:t>
      </w:r>
      <w:r>
        <w:rPr>
          <w:rFonts w:ascii="微软雅黑" w:hAnsi="微软雅黑" w:eastAsia="微软雅黑" w:cs="微软雅黑"/>
          <w:sz w:val="22"/>
          <w:szCs w:val="22"/>
        </w:rPr>
        <w:t>1）</w:t>
      </w:r>
      <w:r>
        <w:rPr>
          <w:rFonts w:hint="eastAsia" w:ascii="微软雅黑" w:hAnsi="微软雅黑" w:eastAsia="微软雅黑" w:cs="微软雅黑"/>
          <w:sz w:val="22"/>
          <w:szCs w:val="22"/>
        </w:rPr>
        <w:t>稳定精度：±1%。</w:t>
      </w:r>
      <w:r>
        <w:rPr>
          <w:rFonts w:ascii="微软雅黑" w:hAnsi="微软雅黑" w:eastAsia="微软雅黑" w:cs="微软雅黑"/>
          <w:sz w:val="22"/>
          <w:szCs w:val="22"/>
        </w:rPr>
        <w:t xml:space="preserve"> </w:t>
      </w:r>
    </w:p>
    <w:p>
      <w:pPr>
        <w:pStyle w:val="6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</w:t>
      </w:r>
      <w:r>
        <w:rPr>
          <w:rFonts w:ascii="微软雅黑" w:hAnsi="微软雅黑" w:eastAsia="微软雅黑" w:cs="微软雅黑"/>
          <w:sz w:val="22"/>
          <w:szCs w:val="22"/>
        </w:rPr>
        <w:t>2）</w:t>
      </w:r>
      <w:r>
        <w:rPr>
          <w:rFonts w:hint="eastAsia" w:ascii="微软雅黑" w:hAnsi="微软雅黑" w:eastAsia="微软雅黑" w:cs="微软雅黑"/>
          <w:sz w:val="22"/>
          <w:szCs w:val="22"/>
        </w:rPr>
        <w:t>电压允许变动范围：-15%~+15%。</w:t>
      </w:r>
      <w:r>
        <w:rPr>
          <w:rFonts w:ascii="微软雅黑" w:hAnsi="微软雅黑" w:eastAsia="微软雅黑" w:cs="微软雅黑"/>
          <w:sz w:val="22"/>
          <w:szCs w:val="22"/>
        </w:rPr>
        <w:t xml:space="preserve"> </w:t>
      </w:r>
    </w:p>
    <w:p>
      <w:pPr>
        <w:pStyle w:val="6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</w:t>
      </w:r>
      <w:r>
        <w:rPr>
          <w:rFonts w:ascii="微软雅黑" w:hAnsi="微软雅黑" w:eastAsia="微软雅黑" w:cs="微软雅黑"/>
          <w:sz w:val="22"/>
          <w:szCs w:val="22"/>
        </w:rPr>
        <w:t>3）</w:t>
      </w:r>
      <w:r>
        <w:rPr>
          <w:rFonts w:hint="eastAsia" w:ascii="微软雅黑" w:hAnsi="微软雅黑" w:eastAsia="微软雅黑" w:cs="微软雅黑"/>
          <w:sz w:val="22"/>
          <w:szCs w:val="22"/>
        </w:rPr>
        <w:t>功率因数：≥</w:t>
      </w:r>
      <w:r>
        <w:rPr>
          <w:rFonts w:ascii="微软雅黑" w:hAnsi="微软雅黑" w:eastAsia="微软雅黑" w:cs="微软雅黑"/>
          <w:sz w:val="22"/>
          <w:szCs w:val="22"/>
        </w:rPr>
        <w:t>0.95</w:t>
      </w:r>
      <w:r>
        <w:rPr>
          <w:rFonts w:hint="eastAsia" w:ascii="微软雅黑" w:hAnsi="微软雅黑" w:eastAsia="微软雅黑" w:cs="微软雅黑"/>
          <w:sz w:val="22"/>
          <w:szCs w:val="22"/>
        </w:rPr>
        <w:t>。</w:t>
      </w:r>
      <w:r>
        <w:rPr>
          <w:rFonts w:ascii="微软雅黑" w:hAnsi="微软雅黑" w:eastAsia="微软雅黑" w:cs="微软雅黑"/>
          <w:sz w:val="22"/>
          <w:szCs w:val="22"/>
        </w:rPr>
        <w:t xml:space="preserve"> </w:t>
      </w:r>
    </w:p>
    <w:p>
      <w:pPr>
        <w:pStyle w:val="6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</w:t>
      </w:r>
      <w:r>
        <w:rPr>
          <w:rFonts w:ascii="微软雅黑" w:hAnsi="微软雅黑" w:eastAsia="微软雅黑" w:cs="微软雅黑"/>
          <w:sz w:val="22"/>
          <w:szCs w:val="22"/>
        </w:rPr>
        <w:t>4）</w:t>
      </w:r>
      <w:r>
        <w:rPr>
          <w:rFonts w:hint="eastAsia" w:ascii="微软雅黑" w:hAnsi="微软雅黑" w:eastAsia="微软雅黑" w:cs="微软雅黑"/>
          <w:sz w:val="22"/>
          <w:szCs w:val="22"/>
        </w:rPr>
        <w:t>电磁干扰：符合GB9254或GISPR22标准要求。</w:t>
      </w:r>
      <w:r>
        <w:rPr>
          <w:rFonts w:ascii="微软雅黑" w:hAnsi="微软雅黑" w:eastAsia="微软雅黑" w:cs="微软雅黑"/>
          <w:sz w:val="22"/>
          <w:szCs w:val="22"/>
        </w:rPr>
        <w:t xml:space="preserve"> </w:t>
      </w:r>
    </w:p>
    <w:p>
      <w:pPr>
        <w:pStyle w:val="6"/>
        <w:spacing w:line="360" w:lineRule="auto"/>
        <w:ind w:firstLine="440"/>
        <w:rPr>
          <w:rFonts w:hint="default" w:ascii="微软雅黑" w:hAnsi="微软雅黑" w:eastAsia="微软雅黑" w:cs="微软雅黑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</w:t>
      </w:r>
      <w:r>
        <w:rPr>
          <w:rFonts w:ascii="微软雅黑" w:hAnsi="微软雅黑" w:eastAsia="微软雅黑" w:cs="微软雅黑"/>
          <w:sz w:val="22"/>
          <w:szCs w:val="22"/>
        </w:rPr>
        <w:t>5）</w:t>
      </w:r>
      <w:r>
        <w:rPr>
          <w:rFonts w:hint="eastAsia" w:ascii="微软雅黑" w:hAnsi="微软雅黑" w:eastAsia="微软雅黑" w:cs="微软雅黑"/>
          <w:sz w:val="22"/>
          <w:szCs w:val="22"/>
        </w:rPr>
        <w:t>UPS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/EPS</w:t>
      </w:r>
      <w:r>
        <w:rPr>
          <w:rFonts w:hint="eastAsia" w:ascii="微软雅黑" w:hAnsi="微软雅黑" w:eastAsia="微软雅黑" w:cs="微软雅黑"/>
          <w:sz w:val="22"/>
          <w:szCs w:val="22"/>
        </w:rPr>
        <w:t>输入端应提供可靠的雷击浪涌保护装置，在下列摸拟雷电波发生时，保护装置应起保护作用，设备不应损坏：电压脉冲</w:t>
      </w:r>
      <w:r>
        <w:rPr>
          <w:rFonts w:ascii="微软雅黑" w:hAnsi="微软雅黑" w:eastAsia="微软雅黑" w:cs="微软雅黑"/>
          <w:sz w:val="22"/>
          <w:szCs w:val="22"/>
        </w:rPr>
        <w:t>10/700µ </w:t>
      </w:r>
      <w:r>
        <w:rPr>
          <w:rFonts w:hint="eastAsia" w:ascii="微软雅黑" w:hAnsi="微软雅黑" w:eastAsia="微软雅黑" w:cs="微软雅黑"/>
          <w:sz w:val="22"/>
          <w:szCs w:val="22"/>
        </w:rPr>
        <w:t>s，</w:t>
      </w:r>
      <w:r>
        <w:rPr>
          <w:rFonts w:ascii="微软雅黑" w:hAnsi="微软雅黑" w:eastAsia="微软雅黑" w:cs="微软雅黑"/>
          <w:sz w:val="22"/>
          <w:szCs w:val="22"/>
        </w:rPr>
        <w:t>5KV</w:t>
      </w:r>
      <w:r>
        <w:rPr>
          <w:rFonts w:hint="eastAsia" w:ascii="微软雅黑" w:hAnsi="微软雅黑" w:eastAsia="微软雅黑" w:cs="微软雅黑"/>
          <w:sz w:val="22"/>
          <w:szCs w:val="22"/>
        </w:rPr>
        <w:t>：电流脉冲：</w:t>
      </w:r>
      <w:r>
        <w:rPr>
          <w:rFonts w:ascii="微软雅黑" w:hAnsi="微软雅黑" w:eastAsia="微软雅黑" w:cs="微软雅黑"/>
          <w:sz w:val="22"/>
          <w:szCs w:val="22"/>
        </w:rPr>
        <w:t>8/20µ </w:t>
      </w:r>
      <w:r>
        <w:rPr>
          <w:rFonts w:hint="eastAsia" w:ascii="微软雅黑" w:hAnsi="微软雅黑" w:eastAsia="微软雅黑" w:cs="微软雅黑"/>
          <w:sz w:val="22"/>
          <w:szCs w:val="22"/>
        </w:rPr>
        <w:t>s，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4</w:t>
      </w:r>
      <w:r>
        <w:rPr>
          <w:rFonts w:ascii="微软雅黑" w:hAnsi="微软雅黑" w:eastAsia="微软雅黑" w:cs="微软雅黑"/>
          <w:sz w:val="22"/>
          <w:szCs w:val="22"/>
        </w:rPr>
        <w:t>0KA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30KA、16KA。</w:t>
      </w:r>
    </w:p>
    <w:p>
      <w:pPr>
        <w:pStyle w:val="6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</w:t>
      </w:r>
      <w:r>
        <w:rPr>
          <w:rFonts w:ascii="微软雅黑" w:hAnsi="微软雅黑" w:eastAsia="微软雅黑" w:cs="微软雅黑"/>
          <w:sz w:val="22"/>
          <w:szCs w:val="22"/>
        </w:rPr>
        <w:t xml:space="preserve">6）具有故障记录和报警记录，通过此历史记录可快速知道故障部位，可迅速排除 </w:t>
      </w:r>
      <w:r>
        <w:rPr>
          <w:rFonts w:hint="eastAsia" w:ascii="微软雅黑" w:hAnsi="微软雅黑" w:eastAsia="微软雅黑" w:cs="微软雅黑"/>
          <w:sz w:val="22"/>
          <w:szCs w:val="22"/>
        </w:rPr>
        <w:t>U</w:t>
      </w:r>
      <w:r>
        <w:rPr>
          <w:rFonts w:ascii="微软雅黑" w:hAnsi="微软雅黑" w:eastAsia="微软雅黑" w:cs="微软雅黑"/>
          <w:sz w:val="22"/>
          <w:szCs w:val="22"/>
        </w:rPr>
        <w:t>PS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/EPS</w:t>
      </w:r>
      <w:r>
        <w:rPr>
          <w:rFonts w:ascii="微软雅黑" w:hAnsi="微软雅黑" w:eastAsia="微软雅黑" w:cs="微软雅黑"/>
          <w:sz w:val="22"/>
          <w:szCs w:val="22"/>
        </w:rPr>
        <w:t xml:space="preserve"> 故</w:t>
      </w:r>
      <w:r>
        <w:rPr>
          <w:rFonts w:hint="eastAsia" w:ascii="微软雅黑" w:hAnsi="微软雅黑" w:eastAsia="微软雅黑" w:cs="微软雅黑"/>
          <w:sz w:val="22"/>
          <w:szCs w:val="22"/>
        </w:rPr>
        <w:t>障。</w:t>
      </w:r>
      <w:r>
        <w:rPr>
          <w:rFonts w:ascii="微软雅黑" w:hAnsi="微软雅黑" w:eastAsia="微软雅黑" w:cs="微软雅黑"/>
          <w:sz w:val="22"/>
          <w:szCs w:val="22"/>
        </w:rPr>
        <w:t xml:space="preserve"> </w:t>
      </w:r>
    </w:p>
    <w:p>
      <w:pPr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（7</w:t>
      </w:r>
      <w:r>
        <w:rPr>
          <w:rFonts w:ascii="微软雅黑" w:hAnsi="微软雅黑" w:eastAsia="微软雅黑" w:cs="微软雅黑"/>
          <w:sz w:val="22"/>
          <w:szCs w:val="22"/>
        </w:rPr>
        <w:t>）</w:t>
      </w:r>
      <w:r>
        <w:rPr>
          <w:rFonts w:hint="eastAsia" w:ascii="微软雅黑" w:hAnsi="微软雅黑" w:eastAsia="微软雅黑" w:cs="微软雅黑"/>
          <w:sz w:val="22"/>
          <w:szCs w:val="22"/>
        </w:rPr>
        <w:t>具备</w:t>
      </w:r>
      <w:r>
        <w:rPr>
          <w:rFonts w:ascii="微软雅黑" w:hAnsi="微软雅黑" w:eastAsia="微软雅黑" w:cs="微软雅黑"/>
          <w:sz w:val="22"/>
          <w:szCs w:val="22"/>
        </w:rPr>
        <w:t>多种通信接口，满足 TCP/IP 协议，适应 LAN、WAN</w:t>
      </w:r>
      <w:r>
        <w:rPr>
          <w:rFonts w:hint="eastAsia" w:ascii="微软雅黑" w:hAnsi="微软雅黑" w:eastAsia="微软雅黑" w:cs="微软雅黑"/>
          <w:sz w:val="22"/>
          <w:szCs w:val="22"/>
        </w:rPr>
        <w:t>和</w:t>
      </w:r>
      <w:r>
        <w:rPr>
          <w:rFonts w:ascii="微软雅黑" w:hAnsi="微软雅黑" w:eastAsia="微软雅黑" w:cs="微软雅黑"/>
          <w:sz w:val="22"/>
          <w:szCs w:val="22"/>
        </w:rPr>
        <w:t xml:space="preserve"> INTERNET 网络监控，还具有消防联动接口，可实行远程和消防中心控制。</w:t>
      </w:r>
    </w:p>
    <w:p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6 施工组织及注意事项</w:t>
      </w:r>
    </w:p>
    <w:p>
      <w:pPr>
        <w:spacing w:line="360" w:lineRule="auto"/>
        <w:jc w:val="left"/>
        <w:rPr>
          <w:rFonts w:ascii="宋体" w:hAnsi="宋体"/>
          <w:sz w:val="22"/>
          <w:szCs w:val="22"/>
        </w:rPr>
      </w:pPr>
      <w:r>
        <w:rPr>
          <w:rFonts w:hint="eastAsia" w:ascii="Times New Roman" w:hAnsi="Times New Roman" w:cs="Times New Roman"/>
        </w:rPr>
        <w:t xml:space="preserve"> 6.1</w:t>
      </w:r>
      <w:r>
        <w:rPr>
          <w:rFonts w:hint="eastAsia" w:ascii="宋体" w:hAnsi="宋体"/>
        </w:rPr>
        <w:t> </w:t>
      </w:r>
      <w:r>
        <w:rPr>
          <w:rFonts w:hint="eastAsia" w:ascii="宋体" w:hAnsi="宋体"/>
          <w:b/>
          <w:bCs/>
        </w:rPr>
        <w:t>实施前准备</w:t>
      </w:r>
      <w:r>
        <w:rPr>
          <w:rFonts w:hint="eastAsia" w:ascii="宋体" w:hAnsi="宋体"/>
        </w:rPr>
        <w:t> </w:t>
      </w:r>
      <w:r>
        <w:rPr>
          <w:rFonts w:hint="eastAsia" w:ascii="宋体" w:hAnsi="宋体"/>
          <w:sz w:val="22"/>
          <w:szCs w:val="22"/>
        </w:rPr>
        <w:t xml:space="preserve"> </w:t>
      </w:r>
    </w:p>
    <w:p>
      <w:pPr>
        <w:spacing w:line="360" w:lineRule="auto"/>
        <w:jc w:val="left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1、实施电池更换的技术人员应提前到机房现场勘查，和用户方的管理人员进行相关工作的沟通：电池到货、验收情况、电池摆放位置等相关情况。 </w:t>
      </w:r>
    </w:p>
    <w:p>
      <w:pPr>
        <w:spacing w:line="360" w:lineRule="auto"/>
        <w:jc w:val="left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 xml:space="preserve">2、对机房内EPS/UPS主机和电池组的位置进行勘察，对EPS/UPS不间断电源主机、电池组配电系统等进行技术性的数据登记。了解EPS/UPS不间断电源系统的相关技术数据情况，有助于电池更换工作。  </w:t>
      </w:r>
    </w:p>
    <w:p>
      <w:pPr>
        <w:spacing w:line="360" w:lineRule="auto"/>
        <w:jc w:val="left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3、根据勘查的现场情况，安排好电池更换实施工程师和协助人员的工作，同时准备施工需要的工具如螺丝套批、活动扳手、快速扳手、电工绝缘胶布、搬运小拖车、万用表等相关的工具。 </w:t>
      </w:r>
    </w:p>
    <w:p>
      <w:pPr>
        <w:spacing w:line="360" w:lineRule="auto"/>
        <w:jc w:val="left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 xml:space="preserve"> 4、得到用户的许可后，准备对电池组实施更换。 </w:t>
      </w:r>
    </w:p>
    <w:p>
      <w:pPr>
        <w:spacing w:line="360" w:lineRule="auto"/>
        <w:jc w:val="left"/>
        <w:rPr>
          <w:rFonts w:ascii="宋体" w:hAnsi="宋体"/>
          <w:b/>
          <w:bCs/>
          <w:sz w:val="22"/>
          <w:szCs w:val="22"/>
        </w:rPr>
      </w:pPr>
      <w:r>
        <w:rPr>
          <w:rFonts w:hint="eastAsia" w:ascii="Times New Roman" w:hAnsi="Times New Roman" w:cs="Times New Roman"/>
        </w:rPr>
        <w:t xml:space="preserve">6.2 </w:t>
      </w:r>
      <w:r>
        <w:rPr>
          <w:rFonts w:hint="eastAsia" w:ascii="宋体" w:hAnsi="宋体"/>
          <w:b/>
          <w:bCs/>
        </w:rPr>
        <w:t>实施电池更换 </w:t>
      </w:r>
      <w:r>
        <w:rPr>
          <w:rFonts w:hint="eastAsia" w:ascii="宋体" w:hAnsi="宋体"/>
          <w:b/>
          <w:bCs/>
          <w:sz w:val="22"/>
          <w:szCs w:val="22"/>
        </w:rPr>
        <w:t xml:space="preserve"> </w:t>
      </w:r>
    </w:p>
    <w:p>
      <w:pPr>
        <w:spacing w:line="360" w:lineRule="auto"/>
        <w:jc w:val="left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 xml:space="preserve">1、接到可对电池进行更换工作的通知后，电池更换实施工程师到现场进行准备工作：确保EPS/UPS主机的输入供电、新旧蓄电池的登记检查、机房内消防系统烟雾探头的密封、准备二氧化碳灭火器等相关工作。  </w:t>
      </w:r>
    </w:p>
    <w:p>
      <w:pPr>
        <w:spacing w:line="360" w:lineRule="auto"/>
        <w:jc w:val="left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2、更换电池前对EPS/UPS主机、旧电池组、电池监测仪等设备做好相关的登记记录，特别是每层电池的摆放、电池监测仪的接线，要做好标记，画好联接图。保证电池组更换后的效果和原有的情况保持一致。 </w:t>
      </w:r>
    </w:p>
    <w:p>
      <w:pPr>
        <w:spacing w:line="360" w:lineRule="auto"/>
        <w:jc w:val="left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 xml:space="preserve">3、一切准备就绪后， UPS主机的电池进行更换处理工作，断开UPS主机和电池组之间的连接开关，使UPS主机和电池组断开联接，确保更换电池时工作人员的安全。  </w:t>
      </w:r>
    </w:p>
    <w:p>
      <w:pPr>
        <w:spacing w:line="360" w:lineRule="auto"/>
        <w:jc w:val="left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 xml:space="preserve">4、对原有电池组的电池进行拆卸，电池更换实施工程师负责电池拆卸工作，相关辅助技术人员进行新旧电池的搬运工作。在拆旧电池时，将拆卸下来的电池连接线和电池端子的螺丝用盒子整齐的摆放好，保证机房内的整洁和清洁。  </w:t>
      </w:r>
    </w:p>
    <w:p>
      <w:pPr>
        <w:spacing w:line="360" w:lineRule="auto"/>
        <w:jc w:val="left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5、旧电池拆完后，将旧电池和旧电池架整齐的摆放在甲方规定的位置。</w:t>
      </w:r>
    </w:p>
    <w:p>
      <w:pPr>
        <w:spacing w:line="360" w:lineRule="auto"/>
        <w:jc w:val="left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6、将新电池架组装件安放在制定位置，同时开始安装新电池，将新电池摆放在电池架上，使新电池在电池架上的摆放位置、方向调整的最好。在安装新电池时要将原来的电池监控连接线再接上。在连接好一组电池后检查电池端子的连接线是否牢固；检查电池组的总电压是否正常等情况，电池的正负极要连接正确。 </w:t>
      </w:r>
    </w:p>
    <w:p>
      <w:pPr>
        <w:spacing w:line="360" w:lineRule="auto"/>
        <w:jc w:val="left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 xml:space="preserve"> 7、更换电池工作完毕后，用万用表检查电池组的总电压情况、电池组的正负极和中性线的接线情况。确保电池组和UPS主机都正常后，合闭电池组的开关，使UPS不间断电源系统恢复正常工作。 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 xml:space="preserve">     8、然后检测EPS/UPS的工作电压、电流、充电电压、工作状态等情况并做好记录。</w:t>
      </w:r>
    </w:p>
    <w:p>
      <w:pPr>
        <w:adjustRightInd w:val="0"/>
        <w:snapToGrid w:val="0"/>
        <w:spacing w:line="360" w:lineRule="auto"/>
        <w:rPr>
          <w:rFonts w:ascii="宋体" w:hAnsi="宋体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 xml:space="preserve">     9、电池组安装完成后，按规定标准进行放电性能测试、现场实验，提供实验内容并作好相应数据记录，由业主方签字确认</w:t>
      </w:r>
      <w:r>
        <w:rPr>
          <w:rFonts w:hint="eastAsia" w:ascii="宋体" w:hAnsi="宋体"/>
          <w:sz w:val="22"/>
          <w:szCs w:val="22"/>
        </w:rPr>
        <w:t>。</w:t>
      </w:r>
    </w:p>
    <w:p>
      <w:pPr>
        <w:pStyle w:val="6"/>
        <w:spacing w:line="360" w:lineRule="auto"/>
        <w:ind w:firstLine="0" w:firstLineChars="0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7 交通组织措施</w:t>
      </w:r>
    </w:p>
    <w:p>
      <w:pPr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Theme="minorEastAsia" w:hAnsiTheme="minorEastAsia"/>
          <w:sz w:val="22"/>
          <w:szCs w:val="22"/>
        </w:rPr>
        <w:t xml:space="preserve">  </w:t>
      </w:r>
      <w:r>
        <w:rPr>
          <w:rFonts w:hint="eastAsia" w:ascii="微软雅黑" w:hAnsi="微软雅黑" w:eastAsia="微软雅黑" w:cs="微软雅黑"/>
          <w:sz w:val="22"/>
          <w:szCs w:val="22"/>
        </w:rPr>
        <w:t>本次改造是在已通车道路上进行，良好的实施组织计划和保畅方案是工程得以顺利实施的保障。施工组织计划应遵循以下原则：</w:t>
      </w:r>
    </w:p>
    <w:p>
      <w:pPr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（1）施工组织应最大限度减小对交通影响。</w:t>
      </w:r>
    </w:p>
    <w:p>
      <w:pPr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（2）保障施工人员和设备安全。</w:t>
      </w:r>
    </w:p>
    <w:p>
      <w:pPr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（3）需满足重庆市营运高速公路施工标准化管理办法(重庆市交通委员会公布)。</w:t>
      </w:r>
    </w:p>
    <w:p>
      <w:pPr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（4）在施工过程中，需封闭施工区域的，应采用封闭施工隧道、车道作业。</w:t>
      </w:r>
    </w:p>
    <w:p>
      <w:pPr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（5）施工单位在施工前，应结合本单位自身情况，编写详细施工组织计划，待相关各方批准后方可进行施工。</w:t>
      </w:r>
    </w:p>
    <w:p>
      <w:pPr>
        <w:adjustRightInd w:val="0"/>
        <w:snapToGrid w:val="0"/>
        <w:spacing w:line="360" w:lineRule="auto"/>
        <w:rPr>
          <w:rFonts w:ascii="宋体" w:hAnsi="宋体"/>
          <w:b/>
          <w:bCs/>
          <w:sz w:val="22"/>
          <w:szCs w:val="22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2"/>
          <w:szCs w:val="22"/>
        </w:rPr>
      </w:pPr>
    </w:p>
    <w:p>
      <w:pPr>
        <w:pStyle w:val="6"/>
        <w:spacing w:line="360" w:lineRule="auto"/>
        <w:ind w:firstLine="0" w:firstLineChars="0"/>
        <w:rPr>
          <w:rFonts w:ascii="宋体" w:hAnsi="宋体"/>
        </w:rPr>
      </w:pPr>
    </w:p>
    <w:p>
      <w:pPr>
        <w:pStyle w:val="6"/>
        <w:spacing w:line="360" w:lineRule="auto"/>
        <w:ind w:firstLine="480"/>
        <w:rPr>
          <w:rFonts w:ascii="宋体" w:hAnsi="宋体"/>
        </w:rPr>
      </w:pP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bCs/>
          <w:sz w:val="22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D"/>
    <w:multiLevelType w:val="multilevel"/>
    <w:tmpl w:val="0000000D"/>
    <w:lvl w:ilvl="0" w:tentative="0">
      <w:start w:val="1"/>
      <w:numFmt w:val="bullet"/>
      <w:lvlText w:val="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pStyle w:val="5"/>
      <w:lvlText w:val="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abstractNum w:abstractNumId="1">
    <w:nsid w:val="0A760F1C"/>
    <w:multiLevelType w:val="multilevel"/>
    <w:tmpl w:val="0A760F1C"/>
    <w:lvl w:ilvl="0" w:tentative="0">
      <w:start w:val="1"/>
      <w:numFmt w:val="decimal"/>
      <w:pStyle w:val="12"/>
      <w:suff w:val="space"/>
      <w:lvlText w:val="第%1章"/>
      <w:lvlJc w:val="center"/>
      <w:pPr>
        <w:ind w:left="2689" w:firstLine="288"/>
      </w:pPr>
      <w:rPr>
        <w:rFonts w:hint="eastAsia" w:ascii="黑体" w:hAnsi="黑体" w:eastAsia="黑体"/>
        <w:sz w:val="36"/>
      </w:rPr>
    </w:lvl>
    <w:lvl w:ilvl="1" w:tentative="0">
      <w:start w:val="1"/>
      <w:numFmt w:val="decimal"/>
      <w:pStyle w:val="10"/>
      <w:suff w:val="space"/>
      <w:lvlText w:val="%1.%2"/>
      <w:lvlJc w:val="left"/>
      <w:pPr>
        <w:ind w:left="0" w:firstLine="0"/>
      </w:pPr>
      <w:rPr>
        <w:rFonts w:hint="eastAsia" w:ascii="黑体" w:hAnsi="黑体" w:eastAsia="黑体"/>
        <w:sz w:val="30"/>
      </w:rPr>
    </w:lvl>
    <w:lvl w:ilvl="2" w:tentative="0">
      <w:start w:val="1"/>
      <w:numFmt w:val="decimal"/>
      <w:pStyle w:val="11"/>
      <w:suff w:val="space"/>
      <w:lvlText w:val="%1.%2.%3"/>
      <w:lvlJc w:val="left"/>
      <w:pPr>
        <w:ind w:left="0" w:firstLine="0"/>
      </w:pPr>
      <w:rPr>
        <w:rFonts w:hint="eastAsia" w:ascii="黑体" w:hAnsi="黑体" w:eastAsia="黑体"/>
        <w:sz w:val="28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eastAsia" w:ascii="黑体" w:hAnsi="黑体" w:eastAsia="黑体"/>
        <w:sz w:val="24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627DF"/>
    <w:rsid w:val="000C0FE3"/>
    <w:rsid w:val="00162862"/>
    <w:rsid w:val="00172A27"/>
    <w:rsid w:val="001A7194"/>
    <w:rsid w:val="001B6704"/>
    <w:rsid w:val="001D0551"/>
    <w:rsid w:val="00212C47"/>
    <w:rsid w:val="00327213"/>
    <w:rsid w:val="00355926"/>
    <w:rsid w:val="00375F38"/>
    <w:rsid w:val="004B4E02"/>
    <w:rsid w:val="00622267"/>
    <w:rsid w:val="00654D03"/>
    <w:rsid w:val="00704AC5"/>
    <w:rsid w:val="007C005D"/>
    <w:rsid w:val="008E4975"/>
    <w:rsid w:val="0090756D"/>
    <w:rsid w:val="00A34BB2"/>
    <w:rsid w:val="00A92EDC"/>
    <w:rsid w:val="00B01516"/>
    <w:rsid w:val="00BC0DAA"/>
    <w:rsid w:val="00C17871"/>
    <w:rsid w:val="00C30B00"/>
    <w:rsid w:val="00C80899"/>
    <w:rsid w:val="00C92E0E"/>
    <w:rsid w:val="00CC6312"/>
    <w:rsid w:val="00D50F17"/>
    <w:rsid w:val="00E3725E"/>
    <w:rsid w:val="00E53202"/>
    <w:rsid w:val="00ED5F5F"/>
    <w:rsid w:val="01DF2ED8"/>
    <w:rsid w:val="03E81A8E"/>
    <w:rsid w:val="10D17BBE"/>
    <w:rsid w:val="10DA2A7C"/>
    <w:rsid w:val="118A2528"/>
    <w:rsid w:val="15114852"/>
    <w:rsid w:val="17DD6D76"/>
    <w:rsid w:val="1AC93139"/>
    <w:rsid w:val="22692FED"/>
    <w:rsid w:val="25795BC2"/>
    <w:rsid w:val="281D3C2A"/>
    <w:rsid w:val="2E23194C"/>
    <w:rsid w:val="367A3D06"/>
    <w:rsid w:val="3BA44648"/>
    <w:rsid w:val="3BB152DF"/>
    <w:rsid w:val="41A616E8"/>
    <w:rsid w:val="41E97D7E"/>
    <w:rsid w:val="424B5797"/>
    <w:rsid w:val="4EC9395B"/>
    <w:rsid w:val="4FA55161"/>
    <w:rsid w:val="5A1D4A73"/>
    <w:rsid w:val="5B2C47BC"/>
    <w:rsid w:val="623F41FE"/>
    <w:rsid w:val="62F0460F"/>
    <w:rsid w:val="65BC3524"/>
    <w:rsid w:val="664B54E0"/>
    <w:rsid w:val="66933B8F"/>
    <w:rsid w:val="680162BC"/>
    <w:rsid w:val="6D336CD5"/>
    <w:rsid w:val="6FA36FD8"/>
    <w:rsid w:val="70056DFD"/>
    <w:rsid w:val="711B172C"/>
    <w:rsid w:val="738A1D7F"/>
    <w:rsid w:val="73935A4A"/>
    <w:rsid w:val="75F85EA4"/>
    <w:rsid w:val="7EB3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qFormat/>
    <w:uiPriority w:val="0"/>
    <w:pPr>
      <w:ind w:left="100" w:leftChars="2500"/>
    </w:pPr>
  </w:style>
  <w:style w:type="paragraph" w:customStyle="1" w:styleId="5">
    <w:name w:val="设计说明2"/>
    <w:basedOn w:val="1"/>
    <w:qFormat/>
    <w:uiPriority w:val="0"/>
    <w:pPr>
      <w:numPr>
        <w:ilvl w:val="1"/>
        <w:numId w:val="1"/>
      </w:numPr>
      <w:tabs>
        <w:tab w:val="left" w:pos="630"/>
      </w:tabs>
      <w:spacing w:before="120" w:after="120" w:line="400" w:lineRule="exact"/>
      <w:outlineLvl w:val="1"/>
    </w:pPr>
    <w:rPr>
      <w:rFonts w:ascii="新宋体" w:hAnsi="新宋体" w:eastAsia="宋体" w:cs="Times New Roman"/>
      <w:b/>
      <w:kern w:val="2"/>
      <w:sz w:val="28"/>
      <w:szCs w:val="20"/>
    </w:rPr>
  </w:style>
  <w:style w:type="paragraph" w:customStyle="1" w:styleId="6">
    <w:name w:val="内容"/>
    <w:basedOn w:val="1"/>
    <w:qFormat/>
    <w:uiPriority w:val="0"/>
    <w:pPr>
      <w:spacing w:line="480" w:lineRule="exact"/>
      <w:ind w:firstLine="200" w:firstLineChars="200"/>
    </w:pPr>
  </w:style>
  <w:style w:type="paragraph" w:customStyle="1" w:styleId="7">
    <w:name w:val="内容文本"/>
    <w:basedOn w:val="8"/>
    <w:qFormat/>
    <w:uiPriority w:val="0"/>
    <w:pPr>
      <w:ind w:left="0" w:firstLine="200" w:firstLineChars="200"/>
      <w:jc w:val="left"/>
    </w:pPr>
    <w:rPr>
      <w:rFonts w:ascii="宋体" w:hAnsi="宋体"/>
      <w:lang w:eastAsia="en-US" w:bidi="en-US"/>
    </w:rPr>
  </w:style>
  <w:style w:type="paragraph" w:customStyle="1" w:styleId="8">
    <w:name w:val="_Style 4"/>
    <w:basedOn w:val="1"/>
    <w:qFormat/>
    <w:uiPriority w:val="34"/>
    <w:pPr>
      <w:ind w:left="720"/>
      <w:contextualSpacing/>
    </w:pPr>
    <w:rPr>
      <w:rFonts w:ascii="Calibri" w:hAnsi="Calibri"/>
    </w:rPr>
  </w:style>
  <w:style w:type="paragraph" w:customStyle="1" w:styleId="9">
    <w:name w:val="图表批注"/>
    <w:basedOn w:val="7"/>
    <w:qFormat/>
    <w:uiPriority w:val="0"/>
    <w:pPr>
      <w:ind w:firstLine="0" w:firstLineChars="0"/>
      <w:jc w:val="center"/>
    </w:pPr>
    <w:rPr>
      <w:sz w:val="21"/>
    </w:rPr>
  </w:style>
  <w:style w:type="paragraph" w:customStyle="1" w:styleId="10">
    <w:name w:val="2级标题"/>
    <w:basedOn w:val="8"/>
    <w:qFormat/>
    <w:uiPriority w:val="0"/>
    <w:pPr>
      <w:keepLines/>
      <w:numPr>
        <w:ilvl w:val="1"/>
        <w:numId w:val="2"/>
      </w:numPr>
      <w:spacing w:before="240" w:after="120"/>
      <w:jc w:val="left"/>
      <w:outlineLvl w:val="1"/>
    </w:pPr>
    <w:rPr>
      <w:rFonts w:ascii="黑体" w:hAnsi="黑体" w:eastAsia="黑体"/>
      <w:sz w:val="32"/>
      <w:szCs w:val="36"/>
      <w:lang w:eastAsia="en-US" w:bidi="en-US"/>
    </w:rPr>
  </w:style>
  <w:style w:type="paragraph" w:customStyle="1" w:styleId="11">
    <w:name w:val="3级标题"/>
    <w:basedOn w:val="8"/>
    <w:qFormat/>
    <w:uiPriority w:val="0"/>
    <w:pPr>
      <w:keepLines/>
      <w:numPr>
        <w:ilvl w:val="2"/>
        <w:numId w:val="2"/>
      </w:numPr>
      <w:spacing w:before="120" w:after="120"/>
      <w:jc w:val="left"/>
      <w:outlineLvl w:val="2"/>
    </w:pPr>
    <w:rPr>
      <w:rFonts w:ascii="黑体" w:hAnsi="黑体" w:eastAsia="黑体"/>
      <w:sz w:val="28"/>
      <w:szCs w:val="36"/>
      <w:lang w:eastAsia="en-US" w:bidi="en-US"/>
    </w:rPr>
  </w:style>
  <w:style w:type="paragraph" w:customStyle="1" w:styleId="12">
    <w:name w:val="1级标题"/>
    <w:basedOn w:val="8"/>
    <w:qFormat/>
    <w:uiPriority w:val="0"/>
    <w:pPr>
      <w:keepLines/>
      <w:pageBreakBefore/>
      <w:numPr>
        <w:ilvl w:val="0"/>
        <w:numId w:val="2"/>
      </w:numPr>
      <w:spacing w:before="240" w:after="240"/>
      <w:jc w:val="center"/>
      <w:outlineLvl w:val="0"/>
    </w:pPr>
    <w:rPr>
      <w:rFonts w:ascii="黑体" w:hAnsi="黑体" w:eastAsia="黑体"/>
      <w:sz w:val="36"/>
      <w:szCs w:val="36"/>
      <w:lang w:eastAsia="en-US" w:bidi="en-US"/>
    </w:rPr>
  </w:style>
  <w:style w:type="character" w:customStyle="1" w:styleId="13">
    <w:name w:val="font2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01"/>
    <w:basedOn w:val="4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5">
    <w:name w:val="日期 Char"/>
    <w:basedOn w:val="4"/>
    <w:link w:val="2"/>
    <w:qFormat/>
    <w:uiPriority w:val="0"/>
    <w:rPr>
      <w:rFonts w:cs="宋体" w:asciiTheme="minorHAnsi" w:hAnsiTheme="minorHAnsi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1</Pages>
  <Words>519</Words>
  <Characters>2961</Characters>
  <Lines>24</Lines>
  <Paragraphs>6</Paragraphs>
  <TotalTime>2</TotalTime>
  <ScaleCrop>false</ScaleCrop>
  <LinksUpToDate>false</LinksUpToDate>
  <CharactersWithSpaces>3474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三水</cp:lastModifiedBy>
  <dcterms:modified xsi:type="dcterms:W3CDTF">2021-06-25T01:49:18Z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7F08B3E408194BC7A705AF1D897FE586</vt:lpwstr>
  </property>
</Properties>
</file>