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bCs/>
          <w:sz w:val="52"/>
          <w:szCs w:val="52"/>
        </w:rPr>
        <w:t>20</w:t>
      </w:r>
      <w:r>
        <w:rPr>
          <w:rFonts w:hint="eastAsia" w:ascii="微软雅黑" w:hAnsi="微软雅黑" w:eastAsia="微软雅黑"/>
          <w:b/>
          <w:bCs/>
          <w:sz w:val="52"/>
          <w:szCs w:val="52"/>
          <w:lang w:val="en-US" w:eastAsia="zh-CN"/>
        </w:rPr>
        <w:t>21</w:t>
      </w:r>
      <w:r>
        <w:rPr>
          <w:rFonts w:hint="eastAsia" w:ascii="微软雅黑" w:hAnsi="微软雅黑" w:eastAsia="微软雅黑"/>
          <w:b/>
          <w:bCs/>
          <w:sz w:val="52"/>
          <w:szCs w:val="52"/>
        </w:rPr>
        <w:t>年专项工程东北公司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sz w:val="52"/>
          <w:szCs w:val="52"/>
        </w:rPr>
        <w:t>EPS、UPS</w:t>
      </w:r>
      <w:r>
        <w:rPr>
          <w:rFonts w:hint="eastAsia" w:ascii="微软雅黑" w:hAnsi="微软雅黑" w:eastAsia="微软雅黑"/>
          <w:b/>
          <w:sz w:val="52"/>
          <w:szCs w:val="52"/>
          <w:lang w:eastAsia="zh-CN"/>
        </w:rPr>
        <w:t>、</w:t>
      </w:r>
      <w:r>
        <w:rPr>
          <w:rFonts w:hint="eastAsia" w:ascii="微软雅黑" w:hAnsi="微软雅黑" w:eastAsia="微软雅黑"/>
          <w:b/>
          <w:sz w:val="52"/>
          <w:szCs w:val="52"/>
          <w:lang w:val="en-US" w:eastAsia="zh-CN"/>
        </w:rPr>
        <w:t>直流屏</w:t>
      </w:r>
      <w:r>
        <w:rPr>
          <w:rFonts w:hint="eastAsia" w:ascii="微软雅黑" w:hAnsi="微软雅黑" w:eastAsia="微软雅黑"/>
          <w:b/>
          <w:sz w:val="52"/>
          <w:szCs w:val="52"/>
        </w:rPr>
        <w:t>电池更换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sz w:val="52"/>
          <w:szCs w:val="52"/>
        </w:rPr>
        <w:t>设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sz w:val="52"/>
          <w:szCs w:val="52"/>
        </w:rPr>
        <w:t>计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sz w:val="52"/>
          <w:szCs w:val="52"/>
        </w:rPr>
        <w:t>方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sz w:val="52"/>
          <w:szCs w:val="52"/>
        </w:rPr>
        <w:t>案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</w:p>
    <w:p>
      <w:pPr>
        <w:spacing w:line="360" w:lineRule="auto"/>
        <w:jc w:val="center"/>
        <w:rPr>
          <w:rFonts w:hint="eastAsia" w:ascii="微软雅黑" w:hAnsi="微软雅黑" w:eastAsia="微软雅黑"/>
          <w:b/>
          <w:sz w:val="52"/>
          <w:szCs w:val="52"/>
        </w:rPr>
      </w:pPr>
    </w:p>
    <w:p>
      <w:pPr>
        <w:spacing w:line="360" w:lineRule="auto"/>
        <w:jc w:val="center"/>
        <w:rPr>
          <w:rFonts w:hint="eastAsia" w:ascii="微软雅黑" w:hAnsi="微软雅黑" w:eastAsia="微软雅黑"/>
          <w:b/>
          <w:sz w:val="52"/>
          <w:szCs w:val="52"/>
        </w:rPr>
      </w:pPr>
    </w:p>
    <w:p>
      <w:pPr>
        <w:spacing w:line="360" w:lineRule="auto"/>
        <w:jc w:val="center"/>
        <w:rPr>
          <w:rFonts w:hint="eastAsia" w:ascii="微软雅黑" w:hAnsi="微软雅黑" w:eastAsia="微软雅黑"/>
          <w:b/>
          <w:sz w:val="52"/>
          <w:szCs w:val="52"/>
        </w:rPr>
      </w:pPr>
    </w:p>
    <w:p>
      <w:pPr>
        <w:spacing w:line="360" w:lineRule="auto"/>
        <w:jc w:val="center"/>
        <w:rPr>
          <w:rFonts w:ascii="微软雅黑" w:hAnsi="微软雅黑" w:eastAsia="微软雅黑"/>
          <w:b/>
          <w:sz w:val="52"/>
          <w:szCs w:val="52"/>
        </w:rPr>
      </w:pPr>
    </w:p>
    <w:p>
      <w:pPr>
        <w:spacing w:line="360" w:lineRule="auto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重庆首讯科技股份有限公司</w:t>
      </w:r>
    </w:p>
    <w:p>
      <w:pPr>
        <w:spacing w:line="360" w:lineRule="auto"/>
        <w:jc w:val="center"/>
        <w:rPr>
          <w:rFonts w:hint="eastAsia" w:ascii="微软雅黑" w:hAnsi="微软雅黑" w:eastAsia="微软雅黑"/>
          <w:b/>
          <w:sz w:val="32"/>
          <w:szCs w:val="32"/>
        </w:rPr>
      </w:pPr>
      <w:r>
        <w:rPr>
          <w:rFonts w:ascii="微软雅黑" w:hAnsi="微软雅黑" w:eastAsia="微软雅黑"/>
          <w:b/>
          <w:sz w:val="32"/>
          <w:szCs w:val="32"/>
        </w:rPr>
        <w:t>20</w:t>
      </w: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>21</w:t>
      </w:r>
      <w:r>
        <w:rPr>
          <w:rFonts w:hint="eastAsia" w:ascii="微软雅黑" w:hAnsi="微软雅黑" w:eastAsia="微软雅黑"/>
          <w:b/>
          <w:sz w:val="32"/>
          <w:szCs w:val="32"/>
        </w:rPr>
        <w:t>年</w:t>
      </w: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>3</w:t>
      </w:r>
      <w:r>
        <w:rPr>
          <w:rFonts w:hint="eastAsia" w:ascii="微软雅黑" w:hAnsi="微软雅黑" w:eastAsia="微软雅黑"/>
          <w:b/>
          <w:sz w:val="32"/>
          <w:szCs w:val="32"/>
        </w:rPr>
        <w:t>月</w:t>
      </w:r>
    </w:p>
    <w:p>
      <w:pPr>
        <w:adjustRightInd w:val="0"/>
        <w:snapToGrid w:val="0"/>
        <w:spacing w:line="360" w:lineRule="auto"/>
        <w:jc w:val="center"/>
        <w:rPr>
          <w:rFonts w:ascii="微软雅黑" w:hAnsi="微软雅黑" w:eastAsia="微软雅黑"/>
          <w:b/>
          <w:bCs/>
          <w:sz w:val="44"/>
          <w:szCs w:val="44"/>
        </w:rPr>
      </w:pPr>
      <w:r>
        <w:rPr>
          <w:rFonts w:hint="eastAsia" w:ascii="微软雅黑" w:hAnsi="微软雅黑" w:eastAsia="微软雅黑"/>
          <w:b/>
          <w:bCs/>
          <w:sz w:val="44"/>
          <w:szCs w:val="44"/>
          <w:lang w:eastAsia="zh-CN"/>
        </w:rPr>
        <w:t>东北公司</w:t>
      </w:r>
      <w:r>
        <w:rPr>
          <w:rFonts w:hint="eastAsia" w:ascii="微软雅黑" w:hAnsi="微软雅黑" w:eastAsia="微软雅黑"/>
          <w:b/>
          <w:bCs/>
          <w:sz w:val="44"/>
          <w:szCs w:val="44"/>
        </w:rPr>
        <w:t>EPS、UPS</w:t>
      </w:r>
      <w:r>
        <w:rPr>
          <w:rFonts w:hint="eastAsia" w:ascii="微软雅黑" w:hAnsi="微软雅黑" w:eastAsia="微软雅黑"/>
          <w:b/>
          <w:bCs/>
          <w:sz w:val="44"/>
          <w:szCs w:val="44"/>
          <w:lang w:eastAsia="zh-CN"/>
        </w:rPr>
        <w:t>、</w:t>
      </w:r>
      <w:r>
        <w:rPr>
          <w:rFonts w:hint="eastAsia" w:ascii="微软雅黑" w:hAnsi="微软雅黑" w:eastAsia="微软雅黑"/>
          <w:b/>
          <w:bCs/>
          <w:sz w:val="44"/>
          <w:szCs w:val="44"/>
          <w:lang w:val="en-US" w:eastAsia="zh-CN"/>
        </w:rPr>
        <w:t>直流屏</w:t>
      </w:r>
      <w:r>
        <w:rPr>
          <w:rFonts w:hint="eastAsia" w:ascii="微软雅黑" w:hAnsi="微软雅黑" w:eastAsia="微软雅黑"/>
          <w:b/>
          <w:bCs/>
          <w:sz w:val="44"/>
          <w:szCs w:val="44"/>
        </w:rPr>
        <w:t>电池更换设计方案</w:t>
      </w:r>
    </w:p>
    <w:p>
      <w:pPr>
        <w:spacing w:line="360" w:lineRule="auto"/>
        <w:jc w:val="center"/>
        <w:rPr>
          <w:rFonts w:ascii="微软雅黑" w:hAnsi="微软雅黑" w:eastAsia="微软雅黑"/>
          <w:b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1项目背景与设计依据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1.1 项目背景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 xml:space="preserve">    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东北公司路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段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万云、云奉、奉溪、奉巫</w:t>
      </w:r>
      <w:r>
        <w:rPr>
          <w:rFonts w:hint="eastAsia" w:ascii="微软雅黑" w:hAnsi="微软雅黑" w:eastAsia="微软雅黑" w:cs="微软雅黑"/>
          <w:sz w:val="22"/>
          <w:szCs w:val="22"/>
        </w:rPr>
        <w:t>段隧道UPS\EPS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\直流屏</w:t>
      </w:r>
      <w:r>
        <w:rPr>
          <w:rFonts w:hint="eastAsia" w:ascii="微软雅黑" w:hAnsi="微软雅黑" w:eastAsia="微软雅黑" w:cs="微软雅黑"/>
          <w:sz w:val="22"/>
          <w:szCs w:val="22"/>
        </w:rPr>
        <w:t>电池在使用中出现卤化、漏液、断路等现象，充放电能力减弱，严重影响营运安全。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b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sz w:val="22"/>
          <w:szCs w:val="22"/>
        </w:rPr>
        <w:t>1.2 设计依据</w:t>
      </w:r>
    </w:p>
    <w:p>
      <w:pPr>
        <w:pStyle w:val="4"/>
        <w:numPr>
          <w:ilvl w:val="1"/>
          <w:numId w:val="0"/>
        </w:numPr>
        <w:tabs>
          <w:tab w:val="left" w:pos="360"/>
          <w:tab w:val="left" w:pos="900"/>
          <w:tab w:val="left" w:pos="5382"/>
          <w:tab w:val="clear" w:pos="630"/>
        </w:tabs>
        <w:adjustRightInd w:val="0"/>
        <w:snapToGrid w:val="0"/>
        <w:spacing w:before="0" w:after="0" w:line="360" w:lineRule="auto"/>
        <w:rPr>
          <w:rFonts w:ascii="微软雅黑" w:hAnsi="微软雅黑" w:eastAsia="微软雅黑"/>
          <w:b w:val="0"/>
          <w:kern w:val="0"/>
          <w:sz w:val="22"/>
          <w:szCs w:val="22"/>
        </w:rPr>
      </w:pPr>
      <w:r>
        <w:rPr>
          <w:rFonts w:ascii="Times New Roman" w:hAnsi="Times New Roman" w:eastAsia="微软雅黑"/>
          <w:b w:val="0"/>
          <w:kern w:val="0"/>
          <w:sz w:val="22"/>
          <w:szCs w:val="22"/>
        </w:rPr>
        <w:t>►</w:t>
      </w:r>
      <w:r>
        <w:rPr>
          <w:rFonts w:hint="eastAsia" w:ascii="微软雅黑" w:hAnsi="微软雅黑" w:eastAsia="微软雅黑"/>
          <w:b w:val="0"/>
          <w:kern w:val="0"/>
          <w:sz w:val="22"/>
          <w:szCs w:val="22"/>
        </w:rPr>
        <w:t>信息产业部、电力部、建设部颁布的有关标准和规范；</w:t>
      </w:r>
    </w:p>
    <w:p>
      <w:pPr>
        <w:pStyle w:val="4"/>
        <w:numPr>
          <w:ilvl w:val="1"/>
          <w:numId w:val="0"/>
        </w:numPr>
        <w:tabs>
          <w:tab w:val="left" w:pos="360"/>
          <w:tab w:val="left" w:pos="900"/>
          <w:tab w:val="left" w:pos="5382"/>
          <w:tab w:val="clear" w:pos="630"/>
        </w:tabs>
        <w:adjustRightInd w:val="0"/>
        <w:snapToGrid w:val="0"/>
        <w:spacing w:before="0" w:after="0" w:line="360" w:lineRule="auto"/>
        <w:rPr>
          <w:rFonts w:ascii="微软雅黑" w:hAnsi="微软雅黑" w:eastAsia="微软雅黑"/>
          <w:b w:val="0"/>
          <w:kern w:val="0"/>
          <w:sz w:val="22"/>
          <w:szCs w:val="22"/>
        </w:rPr>
      </w:pPr>
      <w:r>
        <w:rPr>
          <w:rFonts w:ascii="Times New Roman" w:hAnsi="Times New Roman" w:eastAsia="微软雅黑"/>
          <w:b w:val="0"/>
          <w:kern w:val="0"/>
          <w:sz w:val="22"/>
          <w:szCs w:val="22"/>
        </w:rPr>
        <w:t>►</w:t>
      </w:r>
      <w:r>
        <w:rPr>
          <w:rFonts w:hint="eastAsia" w:ascii="微软雅黑" w:hAnsi="微软雅黑" w:eastAsia="微软雅黑"/>
          <w:b w:val="0"/>
          <w:kern w:val="0"/>
          <w:sz w:val="22"/>
          <w:szCs w:val="22"/>
        </w:rPr>
        <w:t>交通部颁发的有关技术标准、规范、规程及强制性条文；</w:t>
      </w:r>
    </w:p>
    <w:p>
      <w:pPr>
        <w:pStyle w:val="4"/>
        <w:numPr>
          <w:ilvl w:val="1"/>
          <w:numId w:val="0"/>
        </w:numPr>
        <w:tabs>
          <w:tab w:val="left" w:pos="360"/>
          <w:tab w:val="left" w:pos="900"/>
          <w:tab w:val="left" w:pos="5382"/>
          <w:tab w:val="clear" w:pos="630"/>
        </w:tabs>
        <w:adjustRightInd w:val="0"/>
        <w:snapToGrid w:val="0"/>
        <w:spacing w:before="0" w:after="0" w:line="360" w:lineRule="auto"/>
        <w:rPr>
          <w:rFonts w:ascii="微软雅黑" w:hAnsi="微软雅黑" w:eastAsia="微软雅黑"/>
          <w:b w:val="0"/>
          <w:kern w:val="0"/>
          <w:sz w:val="22"/>
          <w:szCs w:val="22"/>
        </w:rPr>
      </w:pPr>
      <w:r>
        <w:rPr>
          <w:rFonts w:ascii="Times New Roman" w:hAnsi="Times New Roman" w:eastAsia="微软雅黑"/>
          <w:b w:val="0"/>
          <w:kern w:val="0"/>
          <w:sz w:val="22"/>
          <w:szCs w:val="22"/>
        </w:rPr>
        <w:t>►</w:t>
      </w:r>
      <w:r>
        <w:rPr>
          <w:rFonts w:hint="eastAsia" w:ascii="微软雅黑" w:hAnsi="微软雅黑" w:eastAsia="微软雅黑"/>
          <w:b w:val="0"/>
          <w:kern w:val="0"/>
          <w:sz w:val="22"/>
          <w:szCs w:val="22"/>
        </w:rPr>
        <w:t xml:space="preserve">  其他有关法律、法规、国家标准、规范、规程；</w:t>
      </w:r>
    </w:p>
    <w:p>
      <w:pPr>
        <w:pStyle w:val="4"/>
        <w:numPr>
          <w:ilvl w:val="1"/>
          <w:numId w:val="0"/>
        </w:numPr>
        <w:tabs>
          <w:tab w:val="left" w:pos="360"/>
          <w:tab w:val="left" w:pos="900"/>
          <w:tab w:val="left" w:pos="5382"/>
        </w:tabs>
        <w:adjustRightInd w:val="0"/>
        <w:snapToGrid w:val="0"/>
        <w:spacing w:before="0" w:after="0" w:line="360" w:lineRule="auto"/>
        <w:rPr>
          <w:rFonts w:ascii="微软雅黑" w:hAnsi="微软雅黑" w:eastAsia="微软雅黑"/>
          <w:b w:val="0"/>
          <w:kern w:val="0"/>
          <w:sz w:val="22"/>
          <w:szCs w:val="22"/>
        </w:rPr>
      </w:pPr>
      <w:r>
        <w:rPr>
          <w:rFonts w:ascii="Times New Roman" w:hAnsi="Times New Roman" w:eastAsia="微软雅黑"/>
          <w:b w:val="0"/>
          <w:kern w:val="0"/>
          <w:sz w:val="22"/>
          <w:szCs w:val="22"/>
        </w:rPr>
        <w:t>►</w:t>
      </w:r>
      <w:r>
        <w:rPr>
          <w:rFonts w:hint="eastAsia" w:ascii="微软雅黑" w:hAnsi="微软雅黑" w:eastAsia="微软雅黑"/>
          <w:b w:val="0"/>
          <w:kern w:val="0"/>
          <w:sz w:val="22"/>
          <w:szCs w:val="22"/>
        </w:rPr>
        <w:t>《重庆“三环十射多联线”高速公路交通工程总体方案设计》 （庆市交通委员会 2013年 1 月） 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►《公路隧道设计规范》第二册 交通工程与附属设施（JTG D70/2-2014）；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►《高速公路交通工程及沿线设施设计通用规范》（JTG D80-2006）；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Times New Roman" w:hAnsi="Times New Roman" w:cs="Times New Roman"/>
        </w:rPr>
        <w:t>►</w:t>
      </w:r>
      <w:r>
        <w:rPr>
          <w:rFonts w:hint="eastAsia" w:ascii="微软雅黑" w:hAnsi="微软雅黑" w:eastAsia="微软雅黑" w:cs="微软雅黑"/>
          <w:sz w:val="22"/>
          <w:szCs w:val="22"/>
        </w:rPr>
        <w:t>中华人民共和国国家标准《高速公路隧道监控系统模式》（GB-T 18567-2010）；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►《高速公路监控技术要求》（交通运输部2012年第3号公告）；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►《视频安防监控系统工程设计规范》GB50395-2007；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►《电子信息系统机房设计规范》（GB50174-2008）；</w:t>
      </w:r>
    </w:p>
    <w:p>
      <w:pPr>
        <w:adjustRightInd w:val="0"/>
        <w:snapToGrid w:val="0"/>
        <w:spacing w:line="360" w:lineRule="auto"/>
        <w:rPr>
          <w:rFonts w:hint="eastAsia" w:ascii="微软雅黑" w:hAnsi="微软雅黑" w:eastAsia="微软雅黑"/>
          <w:sz w:val="22"/>
          <w:szCs w:val="22"/>
        </w:rPr>
      </w:pPr>
      <w:r>
        <w:rPr>
          <w:rFonts w:ascii="Times New Roman" w:hAnsi="Times New Roman" w:eastAsia="微软雅黑" w:cs="Times New Roman"/>
          <w:sz w:val="22"/>
          <w:szCs w:val="22"/>
        </w:rPr>
        <w:t>►</w:t>
      </w:r>
      <w:r>
        <w:rPr>
          <w:rFonts w:hint="eastAsia" w:ascii="微软雅黑" w:hAnsi="微软雅黑" w:eastAsia="微软雅黑"/>
          <w:sz w:val="22"/>
          <w:szCs w:val="22"/>
        </w:rPr>
        <w:t>施工安全交通组织，重庆市营运高速公路施工标准化管理办法(重庆市交通委员会分布)。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sz w:val="22"/>
          <w:szCs w:val="22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2 设计调查过程</w:t>
      </w:r>
    </w:p>
    <w:p>
      <w:pPr>
        <w:pStyle w:val="5"/>
        <w:spacing w:line="360" w:lineRule="auto"/>
        <w:ind w:firstLine="44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20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20</w:t>
      </w:r>
      <w:r>
        <w:rPr>
          <w:rFonts w:hint="eastAsia" w:ascii="微软雅黑" w:hAnsi="微软雅黑" w:eastAsia="微软雅黑" w:cs="微软雅黑"/>
          <w:sz w:val="22"/>
          <w:szCs w:val="22"/>
        </w:rPr>
        <w:t>年9月受业主单位委托，由我公司负责重庆高速公路东北公司20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21</w:t>
      </w:r>
      <w:r>
        <w:rPr>
          <w:rFonts w:hint="eastAsia" w:ascii="微软雅黑" w:hAnsi="微软雅黑" w:eastAsia="微软雅黑" w:cs="微软雅黑"/>
          <w:sz w:val="22"/>
          <w:szCs w:val="22"/>
        </w:rPr>
        <w:t>年机电专项工程施工,20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20</w:t>
      </w:r>
      <w:r>
        <w:rPr>
          <w:rFonts w:hint="eastAsia" w:ascii="微软雅黑" w:hAnsi="微软雅黑" w:eastAsia="微软雅黑" w:cs="微软雅黑"/>
          <w:sz w:val="22"/>
          <w:szCs w:val="22"/>
        </w:rPr>
        <w:t>年10月至20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20</w:t>
      </w:r>
      <w:r>
        <w:rPr>
          <w:rFonts w:hint="eastAsia" w:ascii="微软雅黑" w:hAnsi="微软雅黑" w:eastAsia="微软雅黑" w:cs="微软雅黑"/>
          <w:sz w:val="22"/>
          <w:szCs w:val="22"/>
        </w:rPr>
        <w:t>年12月，我公司维护人员对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东北公司万云、云奉、奉溪、奉巫</w:t>
      </w:r>
      <w:r>
        <w:rPr>
          <w:rFonts w:hint="eastAsia" w:ascii="微软雅黑" w:hAnsi="微软雅黑" w:eastAsia="微软雅黑" w:cs="微软雅黑"/>
          <w:sz w:val="22"/>
          <w:szCs w:val="22"/>
        </w:rPr>
        <w:t>高速需要更换的UPS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EPS、直流屏电池</w:t>
      </w:r>
      <w:r>
        <w:rPr>
          <w:rFonts w:hint="eastAsia" w:ascii="微软雅黑" w:hAnsi="微软雅黑" w:eastAsia="微软雅黑" w:cs="微软雅黑"/>
          <w:sz w:val="22"/>
          <w:szCs w:val="22"/>
        </w:rPr>
        <w:t>进行统计并确认，在此基础上做出了相应的施工方案。</w:t>
      </w:r>
    </w:p>
    <w:p>
      <w:pPr>
        <w:pStyle w:val="5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</w:p>
    <w:p>
      <w:pPr>
        <w:pStyle w:val="5"/>
        <w:adjustRightInd w:val="0"/>
        <w:snapToGrid w:val="0"/>
        <w:spacing w:line="360" w:lineRule="auto"/>
        <w:ind w:firstLine="0" w:firstLineChars="0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3 设计方案</w:t>
      </w:r>
    </w:p>
    <w:p>
      <w:pPr>
        <w:pStyle w:val="5"/>
        <w:spacing w:line="360" w:lineRule="auto"/>
        <w:ind w:firstLine="44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本项目将指定的UPS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EPS、直流屏</w:t>
      </w:r>
      <w:r>
        <w:rPr>
          <w:rFonts w:hint="eastAsia" w:ascii="微软雅黑" w:hAnsi="微软雅黑" w:eastAsia="微软雅黑" w:cs="微软雅黑"/>
          <w:sz w:val="22"/>
          <w:szCs w:val="22"/>
        </w:rPr>
        <w:t>电池拆除，更换为新的电池；拆除的电池，将运输至各隧道所在营运路段指定的位置。本次提供的电池原则上与原规格匹配；若提供的电池与原规格不匹配时，其规格指标不低于且最接近原规格型号。若配置的电池较原电池尺寸大，将测算原电池柜是否满足安装要求；若不满足，则对电池柜进行更换。</w:t>
      </w:r>
    </w:p>
    <w:p>
      <w:pPr>
        <w:pStyle w:val="5"/>
        <w:spacing w:line="360" w:lineRule="auto"/>
        <w:ind w:firstLine="480"/>
        <w:rPr>
          <w:rFonts w:ascii="微软雅黑" w:hAnsi="微软雅黑" w:eastAsia="微软雅黑" w:cs="微软雅黑"/>
          <w:b/>
          <w:bCs/>
        </w:rPr>
      </w:pPr>
    </w:p>
    <w:p>
      <w:pPr>
        <w:adjustRightInd w:val="0"/>
        <w:snapToGrid w:val="0"/>
        <w:spacing w:beforeLines="50" w:afterLines="50" w:line="360" w:lineRule="auto"/>
        <w:rPr>
          <w:rFonts w:hint="eastAsia" w:asciiTheme="minorEastAsia" w:hAnsiTheme="minorEastAsia"/>
          <w:b/>
          <w:sz w:val="28"/>
          <w:szCs w:val="28"/>
        </w:rPr>
      </w:pPr>
      <w:bookmarkStart w:id="0" w:name="_Toc360192277"/>
      <w:bookmarkStart w:id="1" w:name="_Toc418520082"/>
      <w:bookmarkStart w:id="2" w:name="_Toc413401626"/>
      <w:bookmarkStart w:id="3" w:name="_Toc435645386"/>
      <w:bookmarkStart w:id="4" w:name="_Toc435645305"/>
      <w:r>
        <w:rPr>
          <w:rFonts w:hint="eastAsia" w:asciiTheme="minorEastAsia" w:hAnsiTheme="minorEastAsia"/>
          <w:b/>
          <w:sz w:val="28"/>
          <w:szCs w:val="28"/>
        </w:rPr>
        <w:t>4 工程量清单及点位情况说明</w:t>
      </w:r>
    </w:p>
    <w:p>
      <w:pPr>
        <w:pStyle w:val="5"/>
        <w:adjustRightInd w:val="0"/>
        <w:snapToGrid w:val="0"/>
        <w:spacing w:line="360" w:lineRule="auto"/>
        <w:ind w:firstLine="0" w:firstLineChars="0"/>
        <w:rPr>
          <w:rFonts w:hint="eastAsia" w:asciiTheme="minorEastAsia" w:hAnsiTheme="minorEastAsia"/>
          <w:b/>
          <w:sz w:val="28"/>
          <w:szCs w:val="28"/>
        </w:rPr>
      </w:pPr>
      <w:r>
        <w:rPr>
          <w:rFonts w:hint="eastAsia" w:ascii="宋体" w:hAnsi="宋体"/>
          <w:b/>
          <w:bCs/>
        </w:rPr>
        <w:t xml:space="preserve">4.1具体点位 </w:t>
      </w:r>
    </w:p>
    <w:tbl>
      <w:tblPr>
        <w:tblStyle w:val="2"/>
        <w:tblpPr w:leftFromText="180" w:rightFromText="180" w:vertAnchor="text" w:horzAnchor="page" w:tblpX="1187" w:tblpY="105"/>
        <w:tblOverlap w:val="never"/>
        <w:tblW w:w="10290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90"/>
        <w:gridCol w:w="1530"/>
        <w:gridCol w:w="1020"/>
        <w:gridCol w:w="1485"/>
        <w:gridCol w:w="1380"/>
        <w:gridCol w:w="680"/>
        <w:gridCol w:w="735"/>
        <w:gridCol w:w="181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序号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路段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点位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电池规格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万云路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人和隧道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 80AH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16*25*20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更换UPS蓄电池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万云路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张家山隧道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 120AH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23*17*21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更换UPS蓄电池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万云路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庙粱隧道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 120AH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23*17*21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万州端更换UPS蓄电池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tbl>
      <w:tblPr>
        <w:tblStyle w:val="2"/>
        <w:tblpPr w:leftFromText="180" w:rightFromText="180" w:vertAnchor="text" w:horzAnchor="page" w:tblpX="1217" w:tblpY="457"/>
        <w:tblOverlap w:val="never"/>
        <w:tblW w:w="10290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840"/>
        <w:gridCol w:w="1530"/>
        <w:gridCol w:w="975"/>
        <w:gridCol w:w="1485"/>
        <w:gridCol w:w="1425"/>
        <w:gridCol w:w="615"/>
        <w:gridCol w:w="750"/>
        <w:gridCol w:w="186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云奉路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红狮坝奉节端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 38CH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19.5*16*17.5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更换直流屏蓄电池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云奉路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土地垭云阳端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 38CH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19.5*16*17.5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更换直流屏蓄电池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云奉路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土地垭奉节端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 38CH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19.5*16*17.5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更换直流屏蓄电池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云奉路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庙垭口奉节端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 38CH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19.5*16*17.5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更换直流屏蓄电池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云奉路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金桥2#云阳端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 38CH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19.5*16*17.5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更换直流屏蓄电池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云奉路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金桥2#奉节端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 38CH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19.5*16*17.5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更换直流屏蓄电池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云奉路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分界梁云阳端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 38CH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19.5*16*17.5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更换直流屏蓄电池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云奉路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分界梁奉节端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 38CH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19.5*16*17.5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更换直流屏蓄电池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云奉路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凤凰梁云阳端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 38CH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19.5*16*17.5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更换直流屏蓄电池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云奉路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凤凰梁巫山端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 38CH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19.5*16*17.5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更换直流屏蓄电池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云奉路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财神梁云阳端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 38CH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19.5*16*17.5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更换直流屏蓄电池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云奉路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财神梁巫山端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 38CH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19.5*16*17.5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更换直流屏蓄电池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云奉路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大垭合巫山端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 38CH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19.5*16*17.5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更换直流屏蓄电池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tbl>
      <w:tblPr>
        <w:tblStyle w:val="2"/>
        <w:tblpPr w:leftFromText="180" w:rightFromText="180" w:vertAnchor="text" w:horzAnchor="page" w:tblpX="1192" w:tblpY="522"/>
        <w:tblOverlap w:val="never"/>
        <w:tblW w:w="10300" w:type="dxa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40"/>
        <w:gridCol w:w="1485"/>
        <w:gridCol w:w="1020"/>
        <w:gridCol w:w="1470"/>
        <w:gridCol w:w="1440"/>
        <w:gridCol w:w="630"/>
        <w:gridCol w:w="765"/>
        <w:gridCol w:w="18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奉巫路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摩天岭隧道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SN-12V-38AH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20*17*17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更换直流屏蓄电池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岳家岭隧道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SN-12V38CH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20*17*17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更换直流屏蓄电池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申家坡隧道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SN-12V38CH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20*17*17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更换直流屏蓄电池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楚阳隧道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SN-12V38CH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20*17*17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更换直流屏蓄电池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合计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</w:tbl>
    <w:tbl>
      <w:tblPr>
        <w:tblStyle w:val="2"/>
        <w:tblpPr w:leftFromText="180" w:rightFromText="180" w:vertAnchor="text" w:horzAnchor="page" w:tblpX="1187" w:tblpY="484"/>
        <w:tblOverlap w:val="never"/>
        <w:tblW w:w="10305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840"/>
        <w:gridCol w:w="1485"/>
        <w:gridCol w:w="990"/>
        <w:gridCol w:w="1470"/>
        <w:gridCol w:w="1470"/>
        <w:gridCol w:w="645"/>
        <w:gridCol w:w="750"/>
        <w:gridCol w:w="18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奉溪路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孙家崖隧道巫溪端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12V；100Ah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40*17*21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更换UPS电池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奉溪路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上古隧道奉节端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12V;120Ah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40*17*21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更换UPS电池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奉溪路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上古隧道巫溪端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12V;100Ah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40*17*21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更换UPS电池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奉溪路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羊桥坝收费站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12V 38Ah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19.5*16*17.5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更换UPS电池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奉溪路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羊桥坝监控中心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12V;100Ah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33*17*21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更换UPS电池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奉溪路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巫溪收费站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12V 38Ah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19.5*16*17.5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更换UPS电池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奉溪路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曲龙坡变电所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12V;100Ah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40*17*21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更换UPS电池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pStyle w:val="5"/>
        <w:adjustRightInd w:val="0"/>
        <w:snapToGrid w:val="0"/>
        <w:spacing w:line="360" w:lineRule="auto"/>
        <w:ind w:firstLine="0" w:firstLineChars="0"/>
        <w:rPr>
          <w:rFonts w:ascii="宋体" w:hAnsi="宋体"/>
          <w:b/>
          <w:bCs/>
        </w:rPr>
      </w:pPr>
    </w:p>
    <w:p>
      <w:pPr>
        <w:adjustRightInd w:val="0"/>
        <w:snapToGrid w:val="0"/>
        <w:spacing w:line="360" w:lineRule="auto"/>
        <w:jc w:val="left"/>
        <w:rPr>
          <w:rFonts w:ascii="宋体" w:hAnsi="宋体"/>
          <w:b/>
          <w:bCs/>
        </w:rPr>
      </w:pP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/>
          <w:b/>
          <w:bCs/>
          <w:sz w:val="22"/>
          <w:szCs w:val="22"/>
        </w:rPr>
        <w:t>4.2 工程量清单：</w:t>
      </w:r>
    </w:p>
    <w:tbl>
      <w:tblPr>
        <w:tblStyle w:val="2"/>
        <w:tblW w:w="9403" w:type="dxa"/>
        <w:tblInd w:w="93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063"/>
        <w:gridCol w:w="1530"/>
        <w:gridCol w:w="690"/>
        <w:gridCol w:w="795"/>
        <w:gridCol w:w="810"/>
        <w:gridCol w:w="795"/>
        <w:gridCol w:w="840"/>
        <w:gridCol w:w="750"/>
        <w:gridCol w:w="1425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序号</w:t>
            </w:r>
          </w:p>
        </w:tc>
        <w:tc>
          <w:tcPr>
            <w:tcW w:w="10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32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1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万云路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云奉路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奉巫路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奉溪路</w:t>
            </w:r>
          </w:p>
        </w:tc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 38AH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436</w:t>
            </w:r>
          </w:p>
        </w:tc>
        <w:tc>
          <w:tcPr>
            <w:tcW w:w="1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参照原电池尺寸及电池柜尺寸配置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 80AH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4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 100AH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14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SN-12V 120AH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1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蓄电池拆除转运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蓄电池拆除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778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转运到业主指定地方各路段约60公里</w:t>
            </w:r>
          </w:p>
        </w:tc>
      </w:tr>
    </w:tbl>
    <w:p>
      <w:pPr>
        <w:adjustRightInd w:val="0"/>
        <w:snapToGrid w:val="0"/>
        <w:spacing w:line="360" w:lineRule="auto"/>
        <w:jc w:val="left"/>
        <w:rPr>
          <w:rFonts w:hint="eastAsia" w:ascii="宋体" w:hAnsi="宋体" w:eastAsia="宋体"/>
          <w:b/>
          <w:sz w:val="28"/>
          <w:szCs w:val="28"/>
        </w:rPr>
      </w:pPr>
    </w:p>
    <w:p>
      <w:pPr>
        <w:adjustRightInd w:val="0"/>
        <w:snapToGrid w:val="0"/>
        <w:spacing w:line="360" w:lineRule="auto"/>
        <w:jc w:val="left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sz w:val="28"/>
          <w:szCs w:val="28"/>
        </w:rPr>
        <w:t>5 主要技术参数</w:t>
      </w:r>
      <w:bookmarkEnd w:id="0"/>
      <w:bookmarkEnd w:id="1"/>
      <w:bookmarkEnd w:id="2"/>
      <w:bookmarkEnd w:id="3"/>
      <w:bookmarkEnd w:id="4"/>
      <w:bookmarkStart w:id="5" w:name="_GoBack"/>
      <w:bookmarkEnd w:id="5"/>
    </w:p>
    <w:p>
      <w:pPr>
        <w:pStyle w:val="5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电池容量不低于国家标准要求，蓄电池组采用铅酸免维护电池。</w:t>
      </w:r>
    </w:p>
    <w:p>
      <w:pPr>
        <w:pStyle w:val="5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UPS</w:t>
      </w:r>
      <w:r>
        <w:rPr>
          <w:rFonts w:hint="eastAsia" w:ascii="微软雅黑" w:hAnsi="微软雅黑" w:eastAsia="微软雅黑" w:cs="微软雅黑"/>
          <w:sz w:val="22"/>
          <w:szCs w:val="22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EPS、直流屏</w:t>
      </w:r>
      <w:r>
        <w:rPr>
          <w:rFonts w:hint="eastAsia" w:ascii="微软雅黑" w:hAnsi="微软雅黑" w:eastAsia="微软雅黑" w:cs="微软雅黑"/>
          <w:sz w:val="22"/>
          <w:szCs w:val="22"/>
        </w:rPr>
        <w:t>蓄电池满足YD/T 799-2002《通信用阀控式密封铅酸蓄电池》，具体要求如下：</w:t>
      </w:r>
    </w:p>
    <w:p>
      <w:pPr>
        <w:pStyle w:val="5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（1）蓄电池装于电池柜内，蓄电池之间连接可靠，接触良好，无须补液，内阻小；</w:t>
      </w:r>
    </w:p>
    <w:p>
      <w:pPr>
        <w:pStyle w:val="5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（2）大电流放电性能好；</w:t>
      </w:r>
    </w:p>
    <w:p>
      <w:pPr>
        <w:pStyle w:val="5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（3）适应温度：-10℃～45℃；</w:t>
      </w:r>
    </w:p>
    <w:p>
      <w:pPr>
        <w:pStyle w:val="5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（4）使用寿命：≥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22"/>
          <w:szCs w:val="22"/>
        </w:rPr>
        <w:t>年；</w:t>
      </w:r>
    </w:p>
    <w:p>
      <w:pPr>
        <w:pStyle w:val="5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（5）荷电出厂，安全防爆，深放电恢复性能好；</w:t>
      </w:r>
    </w:p>
    <w:p>
      <w:pPr>
        <w:pStyle w:val="5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（6）无游离电解液，侧倒90度仍能正常使用。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施工组织及注意事项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/>
          <w:sz w:val="22"/>
          <w:szCs w:val="22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6.1</w:t>
      </w:r>
      <w:r>
        <w:rPr>
          <w:rFonts w:hint="eastAsia" w:ascii="宋体" w:hAnsi="宋体"/>
          <w:sz w:val="24"/>
          <w:szCs w:val="24"/>
        </w:rPr>
        <w:t> </w:t>
      </w:r>
      <w:r>
        <w:rPr>
          <w:rFonts w:hint="eastAsia" w:ascii="宋体" w:hAnsi="宋体"/>
          <w:b/>
          <w:bCs/>
          <w:sz w:val="24"/>
          <w:szCs w:val="24"/>
        </w:rPr>
        <w:t>实施前准备</w:t>
      </w:r>
      <w:r>
        <w:rPr>
          <w:rFonts w:hint="eastAsia" w:ascii="宋体" w:hAnsi="宋体"/>
          <w:sz w:val="24"/>
          <w:szCs w:val="24"/>
        </w:rPr>
        <w:t> </w:t>
      </w:r>
      <w:r>
        <w:rPr>
          <w:rFonts w:hint="eastAsia" w:ascii="宋体" w:hAnsi="宋体"/>
          <w:sz w:val="22"/>
          <w:szCs w:val="22"/>
        </w:rPr>
        <w:t xml:space="preserve"> </w:t>
      </w:r>
    </w:p>
    <w:p>
      <w:pPr>
        <w:spacing w:line="360" w:lineRule="auto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1、实施电池更换的技术人员应提前到机房现场勘查，和用户方的管理人员进行相关工作的沟通：电池到货、验收情况、电池摆放位置等相关情况。 </w:t>
      </w:r>
    </w:p>
    <w:p>
      <w:pPr>
        <w:spacing w:line="360" w:lineRule="auto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2、对机房内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EPS/</w:t>
      </w:r>
      <w:r>
        <w:rPr>
          <w:rFonts w:hint="eastAsia" w:ascii="微软雅黑" w:hAnsi="微软雅黑" w:eastAsia="微软雅黑" w:cs="微软雅黑"/>
          <w:sz w:val="22"/>
          <w:szCs w:val="22"/>
        </w:rPr>
        <w:t>UPS主机和电池组的位置进行勘察，对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EPS/</w:t>
      </w:r>
      <w:r>
        <w:rPr>
          <w:rFonts w:hint="eastAsia" w:ascii="微软雅黑" w:hAnsi="微软雅黑" w:eastAsia="微软雅黑" w:cs="微软雅黑"/>
          <w:sz w:val="22"/>
          <w:szCs w:val="22"/>
        </w:rPr>
        <w:t>UPS不间断电源主机、电池组配电系统等进行技术性的数据登记。了解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EPS/</w:t>
      </w:r>
      <w:r>
        <w:rPr>
          <w:rFonts w:hint="eastAsia" w:ascii="微软雅黑" w:hAnsi="微软雅黑" w:eastAsia="微软雅黑" w:cs="微软雅黑"/>
          <w:sz w:val="22"/>
          <w:szCs w:val="22"/>
        </w:rPr>
        <w:t xml:space="preserve">UPS不间断电源系统的相关技术数据情况，有助于电池更换工作。  </w:t>
      </w:r>
    </w:p>
    <w:p>
      <w:pPr>
        <w:spacing w:line="360" w:lineRule="auto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3、根据勘查的现场情况，安排好电池更换实施工程师和协助人员的工作，同时准备施工需要的工具如螺丝套批、活动扳手、快速扳手、电工绝缘胶布、搬运小拖车、万用表等相关的工具。 </w:t>
      </w:r>
    </w:p>
    <w:p>
      <w:pPr>
        <w:spacing w:line="360" w:lineRule="auto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 xml:space="preserve"> 4、得到用户的许可后，准备对电池组实施更换。 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/>
          <w:b/>
          <w:bCs/>
          <w:sz w:val="22"/>
          <w:szCs w:val="22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6.2 </w:t>
      </w:r>
      <w:r>
        <w:rPr>
          <w:rFonts w:hint="eastAsia" w:ascii="宋体" w:hAnsi="宋体"/>
          <w:b/>
          <w:bCs/>
          <w:sz w:val="24"/>
          <w:szCs w:val="24"/>
        </w:rPr>
        <w:t>实施电池更换 </w:t>
      </w:r>
      <w:r>
        <w:rPr>
          <w:rFonts w:hint="eastAsia" w:ascii="宋体" w:hAnsi="宋体"/>
          <w:b/>
          <w:bCs/>
          <w:sz w:val="22"/>
          <w:szCs w:val="22"/>
        </w:rPr>
        <w:t xml:space="preserve"> </w:t>
      </w:r>
    </w:p>
    <w:p>
      <w:pPr>
        <w:spacing w:line="360" w:lineRule="auto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1、接到可对电池进行更换工作的通知后，电池更换实施工程师到现场进行准备工作：确保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EPS/</w:t>
      </w:r>
      <w:r>
        <w:rPr>
          <w:rFonts w:hint="eastAsia" w:ascii="微软雅黑" w:hAnsi="微软雅黑" w:eastAsia="微软雅黑" w:cs="微软雅黑"/>
          <w:sz w:val="22"/>
          <w:szCs w:val="22"/>
        </w:rPr>
        <w:t xml:space="preserve">UPS主机的输入供电、新旧蓄电池的登记检查、机房内消防系统烟雾探头的密封、准备二氧化碳灭火器等相关工作。  </w:t>
      </w:r>
    </w:p>
    <w:p>
      <w:pPr>
        <w:spacing w:line="360" w:lineRule="auto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2、更换电池前对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EPS/</w:t>
      </w:r>
      <w:r>
        <w:rPr>
          <w:rFonts w:hint="eastAsia" w:ascii="微软雅黑" w:hAnsi="微软雅黑" w:eastAsia="微软雅黑" w:cs="微软雅黑"/>
          <w:sz w:val="22"/>
          <w:szCs w:val="22"/>
        </w:rPr>
        <w:t>UPS主机、旧电池组、电池监测仪等设备做好相关的登记记录，特别是每层电池的摆放、电池监测仪的接线，要做好标记，画好联接图。保证电池组更换后的效果和原有的情况保持一致。 </w:t>
      </w:r>
    </w:p>
    <w:p>
      <w:pPr>
        <w:spacing w:line="360" w:lineRule="auto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 xml:space="preserve">3、一切准备就绪后，UPS主机的电池进行更换处理工作，断开UPS主机和电池组之间的连接开关，使UPS主机和电池组断开联接，确保更换电池时工作人员的安全。  </w:t>
      </w:r>
    </w:p>
    <w:p>
      <w:pPr>
        <w:spacing w:line="360" w:lineRule="auto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 xml:space="preserve">4、对原有电池组的电池进行拆卸，电池更换实施工程师负责电池拆卸工作，相关辅助技术人员进行新旧电池的搬运工作。在拆旧电池时，将拆卸下来的电池连接线和电池端子的螺丝用盒子整齐的摆放好，保证机房内的整洁和清洁。  </w:t>
      </w:r>
    </w:p>
    <w:p>
      <w:pPr>
        <w:spacing w:line="360" w:lineRule="auto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5、旧电池拆完后，将旧电池和旧电池架整齐的摆放在甲方规定的位置。</w:t>
      </w:r>
    </w:p>
    <w:p>
      <w:pPr>
        <w:spacing w:line="360" w:lineRule="auto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6、将新电池架组装件安放在制定位置，同时开始安装新电池，将新电池摆放在电池架上，使新电池在电池架上的摆放位置、方向调整的最好。在安装新电池时要将原来的电池监控连接线再接上。在连接好一组电池后检查电池端子的连接线是否牢固；检查电池组的总电压是否正常等情况，电池的正负极要连接正确。 </w:t>
      </w:r>
    </w:p>
    <w:p>
      <w:pPr>
        <w:spacing w:line="360" w:lineRule="auto"/>
        <w:jc w:val="left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 xml:space="preserve"> 7、更换电池工作完毕后，用万用表检查电池组的总电压情况、电池组的正负极和中性线的接线情况。确保电池组和UPS主机都正常后，合闭电池组的开关，使UPS不间断电源系统恢复正常工作。 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 xml:space="preserve"> 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2"/>
          <w:szCs w:val="22"/>
        </w:rPr>
        <w:t>8、然后检测</w:t>
      </w: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>EPS/</w:t>
      </w:r>
      <w:r>
        <w:rPr>
          <w:rFonts w:hint="eastAsia" w:ascii="微软雅黑" w:hAnsi="微软雅黑" w:eastAsia="微软雅黑" w:cs="微软雅黑"/>
          <w:sz w:val="22"/>
          <w:szCs w:val="22"/>
        </w:rPr>
        <w:t>UPS的工作电压、电流、充电电压、工作状态等情况并做好记录。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宋体" w:hAnsi="宋体"/>
          <w:sz w:val="22"/>
          <w:szCs w:val="22"/>
          <w:lang w:val="en-US" w:eastAsia="zh-CN"/>
        </w:rPr>
      </w:pPr>
      <w:r>
        <w:rPr>
          <w:rFonts w:hint="eastAsia" w:ascii="微软雅黑" w:hAnsi="微软雅黑" w:eastAsia="微软雅黑" w:cs="微软雅黑"/>
          <w:sz w:val="22"/>
          <w:szCs w:val="22"/>
          <w:lang w:val="en-US" w:eastAsia="zh-CN"/>
        </w:rPr>
        <w:t xml:space="preserve">     9、电池组安装完成后，按规定标准进行放电性能测试、现场实验，提供实验内容并作好相应数据记录，由业主方签字确认</w:t>
      </w:r>
      <w:r>
        <w:rPr>
          <w:rFonts w:hint="eastAsia" w:ascii="宋体" w:hAnsi="宋体"/>
          <w:sz w:val="22"/>
          <w:szCs w:val="22"/>
          <w:lang w:val="en-US" w:eastAsia="zh-CN"/>
        </w:rPr>
        <w:t>。</w:t>
      </w:r>
    </w:p>
    <w:p>
      <w:pPr>
        <w:pStyle w:val="5"/>
        <w:spacing w:line="360" w:lineRule="auto"/>
        <w:ind w:firstLine="0" w:firstLineChars="0"/>
        <w:rPr>
          <w:rFonts w:asciiTheme="minorEastAsia" w:hAnsiTheme="minorEastAsia" w:eastAsiaTheme="minorEastAsia"/>
          <w:b/>
          <w:kern w:val="0"/>
          <w:sz w:val="28"/>
          <w:szCs w:val="28"/>
        </w:rPr>
      </w:pPr>
      <w:r>
        <w:rPr>
          <w:rFonts w:hint="eastAsia" w:asciiTheme="minorEastAsia" w:hAnsiTheme="minorEastAsia"/>
          <w:b/>
          <w:kern w:val="0"/>
          <w:sz w:val="28"/>
          <w:szCs w:val="28"/>
          <w:lang w:val="en-US" w:eastAsia="zh-CN"/>
        </w:rPr>
        <w:t xml:space="preserve">7 </w:t>
      </w:r>
      <w:r>
        <w:rPr>
          <w:rFonts w:hint="eastAsia" w:asciiTheme="minorEastAsia" w:hAnsiTheme="minorEastAsia" w:eastAsiaTheme="minorEastAsia"/>
          <w:b/>
          <w:kern w:val="0"/>
          <w:sz w:val="28"/>
          <w:szCs w:val="28"/>
        </w:rPr>
        <w:t>交通组织措施</w:t>
      </w:r>
    </w:p>
    <w:p>
      <w:pPr>
        <w:spacing w:after="0" w:line="360" w:lineRule="auto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Theme="minorEastAsia" w:hAnsiTheme="minorEastAsia" w:eastAsiaTheme="minorEastAsia"/>
          <w:sz w:val="22"/>
          <w:szCs w:val="22"/>
        </w:rPr>
        <w:t xml:space="preserve">  </w:t>
      </w:r>
      <w:r>
        <w:rPr>
          <w:rFonts w:hint="eastAsia" w:ascii="微软雅黑" w:hAnsi="微软雅黑" w:eastAsia="微软雅黑" w:cs="微软雅黑"/>
          <w:sz w:val="22"/>
          <w:szCs w:val="22"/>
        </w:rPr>
        <w:t>本次改造是在已通车道路上进行，良好的实施组织计划和保畅方案是工程得以顺利实施的保障。施工组织计划应遵循以下原则：</w:t>
      </w:r>
    </w:p>
    <w:p>
      <w:pPr>
        <w:spacing w:after="0" w:line="360" w:lineRule="auto"/>
        <w:ind w:firstLine="48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（1）施工组织应最大限度减小对交通影响。</w:t>
      </w:r>
    </w:p>
    <w:p>
      <w:pPr>
        <w:spacing w:after="0" w:line="360" w:lineRule="auto"/>
        <w:ind w:firstLine="48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（2）保障施工人员和设备安全。</w:t>
      </w:r>
    </w:p>
    <w:p>
      <w:pPr>
        <w:spacing w:after="0" w:line="360" w:lineRule="auto"/>
        <w:ind w:firstLine="48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（3）需满足重庆市营运高速公路施工标准化管理办法(重庆市交通委员会公布)。</w:t>
      </w:r>
    </w:p>
    <w:p>
      <w:pPr>
        <w:spacing w:after="0" w:line="360" w:lineRule="auto"/>
        <w:ind w:firstLine="480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（4）在施工过程中，需封闭施工区域的，应采用封闭施工隧道、车道作业。</w:t>
      </w:r>
    </w:p>
    <w:p>
      <w:pPr>
        <w:spacing w:after="0" w:line="360" w:lineRule="auto"/>
        <w:rPr>
          <w:rFonts w:hint="eastAsia"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（5）施工单位在施工前，应结合本单位自身情况，编写详细施工组织计划，待相关各方批准后方可进行施工。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D"/>
    <w:multiLevelType w:val="multilevel"/>
    <w:tmpl w:val="0000000D"/>
    <w:lvl w:ilvl="0" w:tentative="0">
      <w:start w:val="1"/>
      <w:numFmt w:val="bullet"/>
      <w:lvlText w:val="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pStyle w:val="4"/>
      <w:lvlText w:val="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D29B6"/>
    <w:rsid w:val="03457664"/>
    <w:rsid w:val="06CA2A5D"/>
    <w:rsid w:val="06CB16A0"/>
    <w:rsid w:val="071E27AD"/>
    <w:rsid w:val="0DBD7499"/>
    <w:rsid w:val="123C4C2C"/>
    <w:rsid w:val="13F67B78"/>
    <w:rsid w:val="14B33843"/>
    <w:rsid w:val="157F377D"/>
    <w:rsid w:val="1B791FDC"/>
    <w:rsid w:val="205E2813"/>
    <w:rsid w:val="23AA4761"/>
    <w:rsid w:val="2803690D"/>
    <w:rsid w:val="28142024"/>
    <w:rsid w:val="2DC64DC2"/>
    <w:rsid w:val="2F3D5C09"/>
    <w:rsid w:val="3707337C"/>
    <w:rsid w:val="3808487B"/>
    <w:rsid w:val="39630576"/>
    <w:rsid w:val="3F8762F5"/>
    <w:rsid w:val="403B3070"/>
    <w:rsid w:val="420A6503"/>
    <w:rsid w:val="431800B6"/>
    <w:rsid w:val="439A422E"/>
    <w:rsid w:val="47C02A54"/>
    <w:rsid w:val="49C77321"/>
    <w:rsid w:val="4A5E5469"/>
    <w:rsid w:val="4B6569F0"/>
    <w:rsid w:val="4DA326FA"/>
    <w:rsid w:val="4DA56C1E"/>
    <w:rsid w:val="4F6848A6"/>
    <w:rsid w:val="51045E56"/>
    <w:rsid w:val="551116F7"/>
    <w:rsid w:val="55931A8C"/>
    <w:rsid w:val="5B724308"/>
    <w:rsid w:val="5E2E68F6"/>
    <w:rsid w:val="616A28FC"/>
    <w:rsid w:val="681A44C6"/>
    <w:rsid w:val="73DB7D41"/>
    <w:rsid w:val="748F3A08"/>
    <w:rsid w:val="786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设计说明2"/>
    <w:basedOn w:val="1"/>
    <w:qFormat/>
    <w:uiPriority w:val="0"/>
    <w:pPr>
      <w:numPr>
        <w:ilvl w:val="1"/>
        <w:numId w:val="1"/>
      </w:numPr>
      <w:tabs>
        <w:tab w:val="left" w:pos="630"/>
      </w:tabs>
      <w:spacing w:before="120" w:after="120" w:line="400" w:lineRule="exact"/>
      <w:outlineLvl w:val="1"/>
    </w:pPr>
    <w:rPr>
      <w:rFonts w:ascii="新宋体" w:hAnsi="新宋体" w:eastAsia="宋体" w:cs="Times New Roman"/>
      <w:b/>
      <w:kern w:val="2"/>
      <w:sz w:val="28"/>
      <w:szCs w:val="20"/>
    </w:rPr>
  </w:style>
  <w:style w:type="paragraph" w:customStyle="1" w:styleId="5">
    <w:name w:val="内容"/>
    <w:basedOn w:val="1"/>
    <w:qFormat/>
    <w:uiPriority w:val="0"/>
    <w:pPr>
      <w:spacing w:line="480" w:lineRule="exact"/>
      <w:ind w:firstLine="200" w:firstLineChars="200"/>
    </w:pPr>
  </w:style>
  <w:style w:type="character" w:customStyle="1" w:styleId="6">
    <w:name w:val="font0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82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三水</cp:lastModifiedBy>
  <dcterms:modified xsi:type="dcterms:W3CDTF">2021-06-25T01:43:34Z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D813A59FD6334565AA27F7CE16B50ED3</vt:lpwstr>
  </property>
</Properties>
</file>