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重庆高速公路集团有限公司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关于征集高速公路停车移动扫码支付设备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物资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采购非必须招标项目临时合格供方库单位的公告</w:t>
      </w:r>
    </w:p>
    <w:p>
      <w:pPr>
        <w:spacing w:line="56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</w:p>
    <w:p>
      <w:pPr>
        <w:spacing w:line="56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重庆高速集团拟建立部分业务临时非必须招标项目合格供方库，现诚邀满足条件的单位申请入库。现将有关事项公告如下：</w:t>
      </w:r>
    </w:p>
    <w:p>
      <w:pPr>
        <w:numPr>
          <w:ilvl w:val="0"/>
          <w:numId w:val="1"/>
        </w:numPr>
        <w:spacing w:line="560" w:lineRule="exact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合格供方库内容</w:t>
      </w:r>
    </w:p>
    <w:tbl>
      <w:tblPr>
        <w:tblStyle w:val="5"/>
        <w:tblW w:w="885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032"/>
        <w:gridCol w:w="3032"/>
        <w:gridCol w:w="19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序号</w:t>
            </w:r>
          </w:p>
        </w:tc>
        <w:tc>
          <w:tcPr>
            <w:tcW w:w="303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合格供方库方向（一级）</w:t>
            </w:r>
          </w:p>
        </w:tc>
        <w:tc>
          <w:tcPr>
            <w:tcW w:w="303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合格供方库类别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（二级）</w:t>
            </w:r>
          </w:p>
        </w:tc>
        <w:tc>
          <w:tcPr>
            <w:tcW w:w="1934" w:type="dxa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in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入库单位数量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01</w:t>
            </w:r>
          </w:p>
        </w:tc>
        <w:tc>
          <w:tcPr>
            <w:tcW w:w="303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物资采购</w:t>
            </w:r>
          </w:p>
        </w:tc>
        <w:tc>
          <w:tcPr>
            <w:tcW w:w="303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高速公路停车移动扫码支付设备</w:t>
            </w:r>
          </w:p>
        </w:tc>
        <w:tc>
          <w:tcPr>
            <w:tcW w:w="1934" w:type="dxa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inset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≥4家</w:t>
            </w:r>
          </w:p>
        </w:tc>
      </w:tr>
    </w:tbl>
    <w:p>
      <w:pPr>
        <w:spacing w:line="560" w:lineRule="exact"/>
        <w:ind w:firstLine="560" w:firstLineChars="200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二、申请入库资格要求</w:t>
      </w:r>
    </w:p>
    <w:p>
      <w:pPr>
        <w:spacing w:line="56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（一）具有独立法人资格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；具有有效的营业执照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（二）必须提供交通运输通信信息工程质量的相关测试报告（提供相关检测报告复印件并加盖公章）。  </w:t>
      </w:r>
    </w:p>
    <w:p>
      <w:p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（三）</w:t>
      </w:r>
      <w:r>
        <w:rPr>
          <w:rFonts w:ascii="方正仿宋_GBK" w:hAnsi="方正仿宋_GBK" w:eastAsia="方正仿宋_GBK" w:cs="方正仿宋_GBK"/>
          <w:sz w:val="28"/>
          <w:szCs w:val="28"/>
        </w:rPr>
        <w:t>近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三</w:t>
      </w:r>
      <w:r>
        <w:rPr>
          <w:rFonts w:ascii="方正仿宋_GBK" w:hAnsi="方正仿宋_GBK" w:eastAsia="方正仿宋_GBK" w:cs="方正仿宋_GBK"/>
          <w:sz w:val="28"/>
          <w:szCs w:val="28"/>
        </w:rPr>
        <w:t>年（20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17</w:t>
      </w:r>
      <w:r>
        <w:rPr>
          <w:rFonts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9</w:t>
      </w:r>
      <w:r>
        <w:rPr>
          <w:rFonts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  <w:szCs w:val="28"/>
        </w:rPr>
        <w:t>日至今）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独立已完成过供货台数累计不得低于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1000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台的高速公路移动扫码支付设备（并提供合同扫描件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或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</w:rPr>
        <w:t>相应的业绩证明）。</w:t>
      </w:r>
    </w:p>
    <w:p>
      <w:pPr>
        <w:spacing w:line="56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）未被“信用中国”网站(www.creditchina.gov.cn/)中列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</w:rPr>
        <w:t>入失信被执行人名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单。</w:t>
      </w:r>
    </w:p>
    <w:p>
      <w:pPr>
        <w:spacing w:line="560" w:lineRule="exact"/>
        <w:ind w:firstLine="560" w:firstLineChars="200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三、申请入库材料要求</w:t>
      </w:r>
    </w:p>
    <w:p>
      <w:pPr>
        <w:spacing w:line="56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（一）企业营业执照</w:t>
      </w:r>
    </w:p>
    <w:p>
      <w:pPr>
        <w:spacing w:line="56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（二）法定代表人身份证及法定代表人授权委托书</w:t>
      </w:r>
    </w:p>
    <w:p>
      <w:p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（三）企业资质证明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：持有交通运输通信信息工程质量检测中心的检测报告；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ISO9001认证证书</w:t>
      </w:r>
    </w:p>
    <w:p>
      <w:pPr>
        <w:spacing w:line="56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（四）业绩证明（提供合同扫描件）</w:t>
      </w:r>
    </w:p>
    <w:p>
      <w:pPr>
        <w:spacing w:line="5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（五）企业征信证明（提供“信用中国”查询截图）</w:t>
      </w:r>
    </w:p>
    <w:p>
      <w:pPr>
        <w:spacing w:line="56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）企业联系人身份证及社保缴纳证明（截图）</w:t>
      </w:r>
    </w:p>
    <w:p>
      <w:pPr>
        <w:spacing w:line="560" w:lineRule="exact"/>
        <w:ind w:firstLine="560" w:firstLineChars="200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四、申请入库注意事项</w:t>
      </w:r>
    </w:p>
    <w:p>
      <w:pPr>
        <w:spacing w:line="56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（一）申请入库单位符合资格条件可进行申请；对存在不良行为被联合惩戒的单位申请将被拒绝。</w:t>
      </w:r>
    </w:p>
    <w:p>
      <w:pPr>
        <w:spacing w:line="560" w:lineRule="exact"/>
        <w:ind w:firstLine="560" w:firstLineChars="200"/>
        <w:rPr>
          <w:rFonts w:ascii="方正仿宋_GBK" w:hAnsi="方正仿宋_GBK" w:eastAsia="方正仿宋_GBK" w:cs="方正仿宋_GBK"/>
          <w:color w:val="FF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（二）申请入库单位登陆重庆高速公路集团招投标系统（http://43.240.249.109:8081）注册并按要求上传相关材料扫描件。</w:t>
      </w:r>
    </w:p>
    <w:p>
      <w:pPr>
        <w:spacing w:line="56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（三）业绩时间以合同签订时间为准。</w:t>
      </w:r>
    </w:p>
    <w:p>
      <w:pPr>
        <w:snapToGrid w:val="0"/>
        <w:spacing w:line="56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（四）入库申请单位须于202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12时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之前提交申请，逾期不再受理（另行通知除外）。</w:t>
      </w:r>
    </w:p>
    <w:p>
      <w:pPr>
        <w:spacing w:line="560" w:lineRule="exact"/>
        <w:ind w:firstLine="700" w:firstLineChars="250"/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五、其他事项</w:t>
      </w:r>
    </w:p>
    <w:p>
      <w:pPr>
        <w:snapToGrid w:val="0"/>
        <w:spacing w:line="560" w:lineRule="exact"/>
        <w:ind w:firstLine="700" w:firstLineChars="25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入库申请单位提供的资质、业绩、人员等资料存在弄虚作假情况的，将取消其入选资格，并禁止其参与重庆高速公路集团有限公司其它业务。</w:t>
      </w:r>
    </w:p>
    <w:p>
      <w:pPr>
        <w:spacing w:line="560" w:lineRule="exact"/>
        <w:ind w:firstLine="4480" w:firstLineChars="1600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spacing w:line="560" w:lineRule="exact"/>
        <w:ind w:firstLine="4480" w:firstLineChars="1600"/>
        <w:jc w:val="right"/>
        <w:rPr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9CFC"/>
    <w:multiLevelType w:val="multilevel"/>
    <w:tmpl w:val="107E9CFC"/>
    <w:lvl w:ilvl="0" w:tentative="0">
      <w:start w:val="1"/>
      <w:numFmt w:val="japaneseCounting"/>
      <w:lvlText w:val="%1、"/>
      <w:lvlJc w:val="left"/>
      <w:pPr>
        <w:ind w:left="1380" w:hanging="720"/>
      </w:pPr>
    </w:lvl>
    <w:lvl w:ilvl="1" w:tentative="0">
      <w:start w:val="1"/>
      <w:numFmt w:val="lowerLetter"/>
      <w:lvlText w:val="%2)"/>
      <w:lvlJc w:val="left"/>
      <w:pPr>
        <w:ind w:left="1500" w:hanging="420"/>
      </w:pPr>
    </w:lvl>
    <w:lvl w:ilvl="2" w:tentative="0">
      <w:start w:val="1"/>
      <w:numFmt w:val="lowerRoman"/>
      <w:lvlText w:val="%3."/>
      <w:lvlJc w:val="right"/>
      <w:pPr>
        <w:ind w:left="1920" w:hanging="420"/>
      </w:pPr>
    </w:lvl>
    <w:lvl w:ilvl="3" w:tentative="0">
      <w:start w:val="1"/>
      <w:numFmt w:val="decimal"/>
      <w:lvlText w:val="%4."/>
      <w:lvlJc w:val="left"/>
      <w:pPr>
        <w:ind w:left="2340" w:hanging="420"/>
      </w:pPr>
    </w:lvl>
    <w:lvl w:ilvl="4" w:tentative="0">
      <w:start w:val="1"/>
      <w:numFmt w:val="lowerLetter"/>
      <w:lvlText w:val="%5)"/>
      <w:lvlJc w:val="left"/>
      <w:pPr>
        <w:ind w:left="2760" w:hanging="420"/>
      </w:pPr>
    </w:lvl>
    <w:lvl w:ilvl="5" w:tentative="0">
      <w:start w:val="1"/>
      <w:numFmt w:val="lowerRoman"/>
      <w:lvlText w:val="%6."/>
      <w:lvlJc w:val="right"/>
      <w:pPr>
        <w:ind w:left="3180" w:hanging="420"/>
      </w:pPr>
    </w:lvl>
    <w:lvl w:ilvl="6" w:tentative="0">
      <w:start w:val="1"/>
      <w:numFmt w:val="decimal"/>
      <w:lvlText w:val="%7."/>
      <w:lvlJc w:val="left"/>
      <w:pPr>
        <w:ind w:left="3600" w:hanging="420"/>
      </w:pPr>
    </w:lvl>
    <w:lvl w:ilvl="7" w:tentative="0">
      <w:start w:val="1"/>
      <w:numFmt w:val="lowerLetter"/>
      <w:lvlText w:val="%8)"/>
      <w:lvlJc w:val="left"/>
      <w:pPr>
        <w:ind w:left="4020" w:hanging="420"/>
      </w:pPr>
    </w:lvl>
    <w:lvl w:ilvl="8" w:tentative="0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30B1BAE"/>
    <w:rsid w:val="0002251A"/>
    <w:rsid w:val="00033750"/>
    <w:rsid w:val="00145EC3"/>
    <w:rsid w:val="00182AD2"/>
    <w:rsid w:val="00184D07"/>
    <w:rsid w:val="001A0EF7"/>
    <w:rsid w:val="001F020D"/>
    <w:rsid w:val="00235157"/>
    <w:rsid w:val="002D4D0F"/>
    <w:rsid w:val="002E22AD"/>
    <w:rsid w:val="003B486F"/>
    <w:rsid w:val="00414D3C"/>
    <w:rsid w:val="00444D44"/>
    <w:rsid w:val="004E526F"/>
    <w:rsid w:val="0059461A"/>
    <w:rsid w:val="006766E9"/>
    <w:rsid w:val="006B7EAB"/>
    <w:rsid w:val="00741D28"/>
    <w:rsid w:val="00782C09"/>
    <w:rsid w:val="00844A6F"/>
    <w:rsid w:val="009022BC"/>
    <w:rsid w:val="009544BD"/>
    <w:rsid w:val="00971013"/>
    <w:rsid w:val="00981998"/>
    <w:rsid w:val="00A30E5B"/>
    <w:rsid w:val="00AC1B39"/>
    <w:rsid w:val="00B96A02"/>
    <w:rsid w:val="00BD27F2"/>
    <w:rsid w:val="00C26A12"/>
    <w:rsid w:val="00D42798"/>
    <w:rsid w:val="00DC7799"/>
    <w:rsid w:val="00E54086"/>
    <w:rsid w:val="00E74C88"/>
    <w:rsid w:val="030B1BAE"/>
    <w:rsid w:val="049A2FB8"/>
    <w:rsid w:val="05410AD9"/>
    <w:rsid w:val="0B2E1042"/>
    <w:rsid w:val="0B733DA7"/>
    <w:rsid w:val="0C7A5CC0"/>
    <w:rsid w:val="0E3B6A17"/>
    <w:rsid w:val="10812E3A"/>
    <w:rsid w:val="14DF03A9"/>
    <w:rsid w:val="15B87BC9"/>
    <w:rsid w:val="18964631"/>
    <w:rsid w:val="18EC329E"/>
    <w:rsid w:val="1E5B1D06"/>
    <w:rsid w:val="1F741F57"/>
    <w:rsid w:val="1F7F0195"/>
    <w:rsid w:val="20F665CE"/>
    <w:rsid w:val="27C52D3E"/>
    <w:rsid w:val="2AFC4398"/>
    <w:rsid w:val="2E1F6E37"/>
    <w:rsid w:val="2ECB1BD5"/>
    <w:rsid w:val="30BB28F3"/>
    <w:rsid w:val="31FE0457"/>
    <w:rsid w:val="34D6086B"/>
    <w:rsid w:val="354A7F02"/>
    <w:rsid w:val="38B55ECA"/>
    <w:rsid w:val="3B7D76E2"/>
    <w:rsid w:val="3B83693A"/>
    <w:rsid w:val="3E36339A"/>
    <w:rsid w:val="417B151A"/>
    <w:rsid w:val="451B522B"/>
    <w:rsid w:val="45DA23A2"/>
    <w:rsid w:val="48292FB2"/>
    <w:rsid w:val="493C3A78"/>
    <w:rsid w:val="4C263E3A"/>
    <w:rsid w:val="4D3F1624"/>
    <w:rsid w:val="4E375E6B"/>
    <w:rsid w:val="4F8C791C"/>
    <w:rsid w:val="500125F6"/>
    <w:rsid w:val="51CD59E0"/>
    <w:rsid w:val="52573949"/>
    <w:rsid w:val="55EE0E97"/>
    <w:rsid w:val="56347D41"/>
    <w:rsid w:val="578D02D0"/>
    <w:rsid w:val="582D0D7A"/>
    <w:rsid w:val="5A854EBA"/>
    <w:rsid w:val="5D5A0088"/>
    <w:rsid w:val="5F3D289A"/>
    <w:rsid w:val="60E606EC"/>
    <w:rsid w:val="62453B46"/>
    <w:rsid w:val="632F0D22"/>
    <w:rsid w:val="646B41E1"/>
    <w:rsid w:val="65021EE6"/>
    <w:rsid w:val="683777E6"/>
    <w:rsid w:val="69846C60"/>
    <w:rsid w:val="6A444C6E"/>
    <w:rsid w:val="6C7256DB"/>
    <w:rsid w:val="6F8C17C7"/>
    <w:rsid w:val="716F5483"/>
    <w:rsid w:val="724103F4"/>
    <w:rsid w:val="731A6111"/>
    <w:rsid w:val="742E53E0"/>
    <w:rsid w:val="76E24B77"/>
    <w:rsid w:val="77520ABA"/>
    <w:rsid w:val="77945A66"/>
    <w:rsid w:val="7CF805F0"/>
    <w:rsid w:val="7F17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2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line="450" w:lineRule="atLeast"/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rFonts w:hint="default" w:ascii="Arial" w:hAnsi="Arial" w:eastAsia="Arial" w:cs="Arial"/>
      <w:color w:val="333333"/>
      <w:sz w:val="21"/>
      <w:szCs w:val="21"/>
      <w:u w:val="none"/>
    </w:rPr>
  </w:style>
  <w:style w:type="character" w:styleId="8">
    <w:name w:val="Hyperlink"/>
    <w:basedOn w:val="6"/>
    <w:qFormat/>
    <w:uiPriority w:val="0"/>
    <w:rPr>
      <w:rFonts w:ascii="Arial" w:hAnsi="Arial" w:eastAsia="Arial" w:cs="Arial"/>
      <w:color w:val="333333"/>
      <w:sz w:val="21"/>
      <w:szCs w:val="21"/>
      <w:u w:val="none"/>
    </w:rPr>
  </w:style>
  <w:style w:type="character" w:customStyle="1" w:styleId="9">
    <w:name w:val="hover48"/>
    <w:basedOn w:val="6"/>
    <w:qFormat/>
    <w:uiPriority w:val="0"/>
    <w:rPr>
      <w:shd w:val="clear" w:color="auto" w:fill="346AC3"/>
    </w:rPr>
  </w:style>
  <w:style w:type="character" w:customStyle="1" w:styleId="10">
    <w:name w:val="hover49"/>
    <w:basedOn w:val="6"/>
    <w:qFormat/>
    <w:uiPriority w:val="0"/>
    <w:rPr>
      <w:color w:val="4285F4"/>
      <w:u w:val="none"/>
    </w:rPr>
  </w:style>
  <w:style w:type="character" w:customStyle="1" w:styleId="11">
    <w:name w:val="hover50"/>
    <w:basedOn w:val="6"/>
    <w:qFormat/>
    <w:uiPriority w:val="0"/>
    <w:rPr>
      <w:color w:val="4285F4"/>
    </w:rPr>
  </w:style>
  <w:style w:type="character" w:customStyle="1" w:styleId="12">
    <w:name w:val="hover51"/>
    <w:basedOn w:val="6"/>
    <w:qFormat/>
    <w:uiPriority w:val="0"/>
    <w:rPr>
      <w:color w:val="1A85D7"/>
    </w:rPr>
  </w:style>
  <w:style w:type="character" w:customStyle="1" w:styleId="13">
    <w:name w:val="hover52"/>
    <w:basedOn w:val="6"/>
    <w:qFormat/>
    <w:uiPriority w:val="0"/>
  </w:style>
  <w:style w:type="character" w:customStyle="1" w:styleId="14">
    <w:name w:val="credit"/>
    <w:basedOn w:val="6"/>
    <w:qFormat/>
    <w:uiPriority w:val="0"/>
    <w:rPr>
      <w:sz w:val="18"/>
      <w:szCs w:val="18"/>
    </w:rPr>
  </w:style>
  <w:style w:type="character" w:customStyle="1" w:styleId="15">
    <w:name w:val="after"/>
    <w:basedOn w:val="6"/>
    <w:qFormat/>
    <w:uiPriority w:val="0"/>
    <w:rPr>
      <w:bdr w:val="dashed" w:color="auto" w:sz="48" w:space="0"/>
    </w:rPr>
  </w:style>
  <w:style w:type="character" w:customStyle="1" w:styleId="16">
    <w:name w:val="before"/>
    <w:basedOn w:val="6"/>
    <w:qFormat/>
    <w:uiPriority w:val="0"/>
    <w:rPr>
      <w:bdr w:val="single" w:color="auto" w:sz="48" w:space="0"/>
    </w:rPr>
  </w:style>
  <w:style w:type="character" w:customStyle="1" w:styleId="17">
    <w:name w:val="first-child"/>
    <w:basedOn w:val="6"/>
    <w:qFormat/>
    <w:uiPriority w:val="0"/>
  </w:style>
  <w:style w:type="character" w:customStyle="1" w:styleId="18">
    <w:name w:val="hover"/>
    <w:basedOn w:val="6"/>
    <w:qFormat/>
    <w:uiPriority w:val="0"/>
    <w:rPr>
      <w:shd w:val="clear" w:color="auto" w:fill="346AC3"/>
    </w:rPr>
  </w:style>
  <w:style w:type="character" w:customStyle="1" w:styleId="19">
    <w:name w:val="hover1"/>
    <w:basedOn w:val="6"/>
    <w:qFormat/>
    <w:uiPriority w:val="0"/>
    <w:rPr>
      <w:color w:val="1A85D7"/>
    </w:rPr>
  </w:style>
  <w:style w:type="character" w:customStyle="1" w:styleId="20">
    <w:name w:val="hover2"/>
    <w:basedOn w:val="6"/>
    <w:qFormat/>
    <w:uiPriority w:val="0"/>
    <w:rPr>
      <w:color w:val="4285F4"/>
    </w:rPr>
  </w:style>
  <w:style w:type="character" w:customStyle="1" w:styleId="21">
    <w:name w:val="hover3"/>
    <w:basedOn w:val="6"/>
    <w:qFormat/>
    <w:uiPriority w:val="0"/>
    <w:rPr>
      <w:color w:val="4285F4"/>
      <w:u w:val="none"/>
    </w:rPr>
  </w:style>
  <w:style w:type="character" w:customStyle="1" w:styleId="22">
    <w:name w:val="hover4"/>
    <w:basedOn w:val="6"/>
    <w:qFormat/>
    <w:uiPriority w:val="0"/>
  </w:style>
  <w:style w:type="character" w:customStyle="1" w:styleId="23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24">
    <w:name w:val="页眉 Char1"/>
    <w:basedOn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114</Words>
  <Characters>655</Characters>
  <Lines>5</Lines>
  <Paragraphs>1</Paragraphs>
  <TotalTime>0</TotalTime>
  <ScaleCrop>false</ScaleCrop>
  <LinksUpToDate>false</LinksUpToDate>
  <CharactersWithSpaces>768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2020-03-25T03:27:00Z</dcterms:created>
  <dc:creator>陈艳</dc:creator>
  <cp:lastModifiedBy>素虎礼也</cp:lastModifiedBy>
  <cp:lastPrinted>2020-03-09T01:37:00Z</cp:lastPrinted>
  <dcterms:modified xsi:type="dcterms:W3CDTF">2020-09-29T02:47:21Z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