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jc w:val="center"/>
        <w:rPr>
          <w:rFonts w:hint="eastAsia" w:ascii="方正小标宋_GBK" w:hAnsi="Calibri" w:eastAsia="方正小标宋_GBK" w:cs="Times New Roman"/>
          <w:b w:val="0"/>
          <w:bCs w:val="0"/>
          <w:color w:val="000000"/>
          <w:sz w:val="36"/>
          <w:szCs w:val="36"/>
          <w:lang w:val="en-US" w:eastAsia="zh-CN"/>
        </w:rPr>
      </w:pPr>
      <w:r>
        <w:rPr>
          <w:rFonts w:hint="eastAsia" w:ascii="方正小标宋_GBK" w:hAnsi="Calibri" w:eastAsia="方正小标宋_GBK" w:cs="Times New Roman"/>
          <w:b w:val="0"/>
          <w:bCs w:val="0"/>
          <w:color w:val="000000"/>
          <w:sz w:val="36"/>
          <w:szCs w:val="36"/>
          <w:lang w:val="en-US" w:eastAsia="zh-CN"/>
        </w:rPr>
        <w:t>重庆高速公路集团有限公司关于征集电力工程监理</w:t>
      </w:r>
    </w:p>
    <w:p>
      <w:pPr>
        <w:spacing w:line="620" w:lineRule="exact"/>
        <w:jc w:val="center"/>
        <w:rPr>
          <w:rFonts w:hint="default" w:ascii="方正小标宋_GBK" w:hAnsi="Calibri" w:eastAsia="方正小标宋_GBK" w:cs="Times New Roman"/>
          <w:b w:val="0"/>
          <w:bCs w:val="0"/>
          <w:color w:val="000000"/>
          <w:sz w:val="36"/>
          <w:szCs w:val="36"/>
          <w:lang w:val="en-US" w:eastAsia="zh-CN"/>
        </w:rPr>
      </w:pPr>
      <w:r>
        <w:rPr>
          <w:rFonts w:hint="eastAsia" w:ascii="方正小标宋_GBK" w:hAnsi="Calibri" w:eastAsia="方正小标宋_GBK" w:cs="Times New Roman"/>
          <w:b w:val="0"/>
          <w:bCs w:val="0"/>
          <w:color w:val="000000"/>
          <w:sz w:val="36"/>
          <w:szCs w:val="36"/>
          <w:lang w:val="en-US" w:eastAsia="zh-CN"/>
        </w:rPr>
        <w:t>咨询类非必须招标项目临时合格供方库单位的公告</w:t>
      </w:r>
    </w:p>
    <w:p>
      <w:pPr>
        <w:rPr>
          <w:rFonts w:hint="eastAsia" w:cs="Times New Roman"/>
          <w:b w:val="0"/>
          <w:bCs w:val="0"/>
          <w:sz w:val="30"/>
          <w:szCs w:val="30"/>
          <w:lang w:val="en-US" w:eastAsia="zh-CN"/>
        </w:rPr>
      </w:pPr>
    </w:p>
    <w:p>
      <w:pPr>
        <w:numPr>
          <w:ilvl w:val="0"/>
          <w:numId w:val="1"/>
        </w:numPr>
        <w:rPr>
          <w:rFonts w:hint="eastAsia" w:ascii="Times New Roman" w:hAnsi="Times New Roman" w:cs="Times New Roman"/>
          <w:b/>
          <w:bCs/>
          <w:sz w:val="30"/>
          <w:szCs w:val="30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30"/>
          <w:szCs w:val="30"/>
          <w:lang w:val="en-US" w:eastAsia="zh-CN"/>
        </w:rPr>
        <w:t>合格供方库内容</w:t>
      </w:r>
    </w:p>
    <w:tbl>
      <w:tblPr>
        <w:tblStyle w:val="9"/>
        <w:tblW w:w="92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9"/>
        <w:gridCol w:w="2430"/>
        <w:gridCol w:w="2925"/>
        <w:gridCol w:w="2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9" w:type="dxa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30"/>
                <w:szCs w:val="30"/>
                <w:lang w:val="en-US" w:eastAsia="zh-CN" w:bidi="ar-SA"/>
              </w:rPr>
              <w:t>序号</w:t>
            </w:r>
          </w:p>
        </w:tc>
        <w:tc>
          <w:tcPr>
            <w:tcW w:w="2430" w:type="dxa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30"/>
                <w:szCs w:val="30"/>
                <w:lang w:val="en-US" w:eastAsia="zh-CN" w:bidi="ar-SA"/>
              </w:rPr>
              <w:t>合格供方库方向</w:t>
            </w:r>
          </w:p>
        </w:tc>
        <w:tc>
          <w:tcPr>
            <w:tcW w:w="2925" w:type="dxa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30"/>
                <w:szCs w:val="30"/>
                <w:lang w:val="en-US" w:eastAsia="zh-CN" w:bidi="ar-SA"/>
              </w:rPr>
              <w:t>合格供方库类别</w:t>
            </w:r>
          </w:p>
        </w:tc>
        <w:tc>
          <w:tcPr>
            <w:tcW w:w="2280" w:type="dxa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30"/>
                <w:szCs w:val="30"/>
                <w:lang w:val="en-US" w:eastAsia="zh-CN" w:bidi="ar-SA"/>
              </w:rPr>
              <w:t>入库单位数量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9" w:type="dxa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30"/>
                <w:szCs w:val="30"/>
                <w:lang w:val="en-US" w:eastAsia="zh-CN" w:bidi="ar-SA"/>
              </w:rPr>
              <w:t>01</w:t>
            </w:r>
          </w:p>
        </w:tc>
        <w:tc>
          <w:tcPr>
            <w:tcW w:w="2430" w:type="dxa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30"/>
                <w:szCs w:val="30"/>
                <w:lang w:val="en-US" w:eastAsia="zh-CN" w:bidi="ar-SA"/>
              </w:rPr>
              <w:t>咨询服务方向</w:t>
            </w:r>
          </w:p>
        </w:tc>
        <w:tc>
          <w:tcPr>
            <w:tcW w:w="2925" w:type="dxa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30"/>
                <w:szCs w:val="30"/>
                <w:lang w:val="en-US" w:eastAsia="zh-CN"/>
              </w:rPr>
              <w:t>电力工程监理咨询类</w:t>
            </w:r>
          </w:p>
        </w:tc>
        <w:tc>
          <w:tcPr>
            <w:tcW w:w="2280" w:type="dxa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30"/>
                <w:szCs w:val="30"/>
                <w:lang w:val="en-US" w:eastAsia="zh-CN"/>
              </w:rPr>
              <w:t>≥4</w:t>
            </w:r>
          </w:p>
        </w:tc>
      </w:tr>
    </w:tbl>
    <w:p>
      <w:pPr>
        <w:rPr>
          <w:rFonts w:hint="eastAsia" w:ascii="Times New Roman" w:hAnsi="Times New Roman" w:cs="Times New Roman"/>
          <w:b/>
          <w:bCs/>
          <w:sz w:val="30"/>
          <w:szCs w:val="30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30"/>
          <w:szCs w:val="30"/>
          <w:lang w:val="en-US" w:eastAsia="zh-CN"/>
        </w:rPr>
        <w:t>二、申请入库资格要求</w:t>
      </w:r>
    </w:p>
    <w:p>
      <w:pPr>
        <w:ind w:firstLine="600" w:firstLineChars="200"/>
        <w:rPr>
          <w:rFonts w:hint="eastAsia" w:ascii="Times New Roman" w:hAnsi="Times New Roman" w:cs="Times New Roman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30"/>
          <w:szCs w:val="30"/>
          <w:lang w:val="en-US" w:eastAsia="zh-CN"/>
        </w:rPr>
        <w:t>1、具备独立法人资格，具备有效营业执照；</w:t>
      </w:r>
    </w:p>
    <w:p>
      <w:pPr>
        <w:ind w:firstLine="600" w:firstLineChars="200"/>
        <w:rPr>
          <w:rFonts w:hint="eastAsia" w:ascii="Times New Roman" w:hAnsi="Times New Roman" w:cs="Times New Roman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30"/>
          <w:szCs w:val="30"/>
          <w:lang w:val="en-US" w:eastAsia="zh-CN"/>
        </w:rPr>
        <w:t>2、具备建设行政主管部门颁发的电力工程监理乙级及以上资质；</w:t>
      </w:r>
    </w:p>
    <w:p>
      <w:pPr>
        <w:ind w:firstLine="600" w:firstLineChars="200"/>
        <w:rPr>
          <w:rFonts w:hint="eastAsia" w:ascii="Times New Roman" w:hAnsi="Times New Roman" w:cs="Times New Roman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30"/>
          <w:szCs w:val="30"/>
          <w:lang w:val="en-US" w:eastAsia="zh-CN"/>
        </w:rPr>
        <w:t>3、项目负责人要求：具备电力专业全国注册监理工程师资格；</w:t>
      </w:r>
    </w:p>
    <w:p>
      <w:pPr>
        <w:pStyle w:val="12"/>
        <w:ind w:firstLine="600" w:firstLineChars="200"/>
        <w:rPr>
          <w:rFonts w:hint="eastAsia" w:ascii="Times New Roman" w:hAnsi="Times New Roman" w:cs="Times New Roman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Times New Roman" w:eastAsia="宋体" w:cs="Times New Roman"/>
          <w:b w:val="0"/>
          <w:bCs w:val="0"/>
          <w:color w:val="auto"/>
          <w:kern w:val="2"/>
          <w:sz w:val="30"/>
          <w:szCs w:val="30"/>
          <w:lang w:val="en-US" w:eastAsia="zh-CN" w:bidi="ar-SA"/>
        </w:rPr>
        <w:t>4</w:t>
      </w:r>
      <w:r>
        <w:rPr>
          <w:rFonts w:hint="eastAsia" w:ascii="Times New Roman" w:eastAsia="宋体" w:cs="Times New Roman"/>
          <w:b w:val="0"/>
          <w:bCs w:val="0"/>
          <w:color w:val="auto"/>
          <w:kern w:val="2"/>
          <w:sz w:val="30"/>
          <w:szCs w:val="30"/>
          <w:highlight w:val="none"/>
          <w:lang w:val="en-US" w:eastAsia="zh-CN" w:bidi="ar-SA"/>
        </w:rPr>
        <w:t>、在近五年内（2016年1月1日至今），至少独立承担一个合同金额不低于50万元的35千伏电压及以上等级送变电施工监理项目或EPC(设计施工总承包）监理项目。</w:t>
      </w:r>
    </w:p>
    <w:p>
      <w:pPr>
        <w:rPr>
          <w:rFonts w:hint="eastAsia" w:ascii="Times New Roman" w:hAnsi="Times New Roman" w:cs="Times New Roman"/>
          <w:b/>
          <w:bCs/>
          <w:sz w:val="30"/>
          <w:szCs w:val="30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30"/>
          <w:szCs w:val="30"/>
          <w:lang w:val="en-US" w:eastAsia="zh-CN"/>
        </w:rPr>
        <w:t>三、申请入库材料要求</w:t>
      </w:r>
    </w:p>
    <w:p>
      <w:pPr>
        <w:ind w:firstLine="600" w:firstLineChars="200"/>
        <w:rPr>
          <w:rFonts w:hint="eastAsia" w:ascii="Times New Roman" w:hAnsi="Times New Roman" w:cs="Times New Roman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30"/>
          <w:szCs w:val="30"/>
          <w:lang w:val="en-US" w:eastAsia="zh-CN"/>
        </w:rPr>
        <w:t>1、企业营业执照</w:t>
      </w:r>
    </w:p>
    <w:p>
      <w:pPr>
        <w:ind w:firstLine="600" w:firstLineChars="200"/>
        <w:rPr>
          <w:rFonts w:hint="eastAsia" w:ascii="Times New Roman" w:hAnsi="Times New Roman" w:cs="Times New Roman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30"/>
          <w:szCs w:val="30"/>
          <w:lang w:val="en-US" w:eastAsia="zh-CN"/>
        </w:rPr>
        <w:t>2、企业资质证明</w:t>
      </w:r>
    </w:p>
    <w:p>
      <w:pPr>
        <w:ind w:firstLine="600" w:firstLineChars="200"/>
        <w:rPr>
          <w:rFonts w:hint="eastAsia" w:ascii="Times New Roman" w:hAnsi="Times New Roman" w:cs="Times New Roman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30"/>
          <w:szCs w:val="30"/>
          <w:lang w:val="en-US" w:eastAsia="zh-CN"/>
        </w:rPr>
        <w:t>3、法定代表人身份证及法定代表人授权委托书</w:t>
      </w:r>
    </w:p>
    <w:p>
      <w:pPr>
        <w:pStyle w:val="12"/>
        <w:rPr>
          <w:rFonts w:hint="default"/>
          <w:lang w:val="en-US" w:eastAsia="zh-CN"/>
        </w:rPr>
      </w:pPr>
      <w:r>
        <w:rPr>
          <w:rFonts w:hint="eastAsia" w:ascii="Times New Roman" w:cs="Times New Roman"/>
          <w:b w:val="0"/>
          <w:bCs w:val="0"/>
          <w:sz w:val="30"/>
          <w:szCs w:val="30"/>
          <w:lang w:val="en-US" w:eastAsia="zh-CN"/>
        </w:rPr>
        <w:t xml:space="preserve">   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kern w:val="2"/>
          <w:sz w:val="30"/>
          <w:szCs w:val="30"/>
          <w:lang w:val="en-US" w:eastAsia="zh-CN" w:bidi="ar-SA"/>
        </w:rPr>
        <w:t xml:space="preserve"> 4、业绩证明（提供</w:t>
      </w:r>
      <w:r>
        <w:rPr>
          <w:rFonts w:hint="eastAsia" w:ascii="Times New Roman" w:cs="Times New Roman"/>
          <w:b w:val="0"/>
          <w:bCs w:val="0"/>
          <w:sz w:val="30"/>
          <w:szCs w:val="30"/>
          <w:highlight w:val="none"/>
          <w:lang w:val="en-US" w:eastAsia="zh-CN"/>
        </w:rPr>
        <w:t>合同扫描件；2016年1月1日至今）</w:t>
      </w:r>
    </w:p>
    <w:p>
      <w:pPr>
        <w:ind w:firstLine="600" w:firstLineChars="200"/>
        <w:rPr>
          <w:rFonts w:hint="default" w:ascii="Times New Roman" w:hAnsi="Times New Roman" w:cs="Times New Roman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30"/>
          <w:szCs w:val="30"/>
          <w:lang w:val="en-US" w:eastAsia="zh-CN"/>
        </w:rPr>
        <w:t>5、需提供项目负责人证书、身份证、社保缴纳证明（社保缴纳证明需近3个月，证明材料提供扫描件或社保缴纳网上截图）</w:t>
      </w:r>
    </w:p>
    <w:p>
      <w:pPr>
        <w:ind w:firstLine="600" w:firstLineChars="200"/>
        <w:rPr>
          <w:rFonts w:hint="eastAsia" w:ascii="Times New Roman" w:hAnsi="Times New Roman" w:cs="Times New Roman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30"/>
          <w:szCs w:val="30"/>
          <w:lang w:val="en-US" w:eastAsia="zh-CN"/>
        </w:rPr>
        <w:t>6、企业征信证明（提供“信用中国”查询截图或征信查询报告）</w:t>
      </w:r>
    </w:p>
    <w:p>
      <w:pPr>
        <w:ind w:firstLine="600" w:firstLineChars="200"/>
        <w:rPr>
          <w:rFonts w:hint="default" w:ascii="Times New Roman" w:hAnsi="Times New Roman" w:cs="Times New Roman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30"/>
          <w:szCs w:val="30"/>
          <w:lang w:val="en-US" w:eastAsia="zh-CN"/>
        </w:rPr>
        <w:t>7、企业联系人身份证及社保缴纳证明（近3个月）</w:t>
      </w:r>
    </w:p>
    <w:p>
      <w:pPr>
        <w:rPr>
          <w:rFonts w:hint="eastAsia" w:ascii="Times New Roman" w:hAnsi="Times New Roman" w:cs="Times New Roman"/>
          <w:b/>
          <w:bCs/>
          <w:sz w:val="30"/>
          <w:szCs w:val="30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30"/>
          <w:szCs w:val="30"/>
          <w:lang w:val="en-US" w:eastAsia="zh-CN"/>
        </w:rPr>
        <w:t>四、申请入库注意事项</w:t>
      </w:r>
    </w:p>
    <w:p>
      <w:pPr>
        <w:ind w:firstLine="600" w:firstLineChars="200"/>
        <w:rPr>
          <w:rFonts w:hint="eastAsia" w:ascii="Times New Roman" w:hAnsi="Times New Roman" w:cs="Times New Roman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30"/>
          <w:szCs w:val="30"/>
          <w:lang w:val="en-US" w:eastAsia="zh-CN"/>
        </w:rPr>
        <w:t>1、申请入库单位符合资格条件可进行申请；对存在不良行为被联合惩戒的单位申请将被拒绝。</w:t>
      </w:r>
    </w:p>
    <w:p>
      <w:pPr>
        <w:ind w:firstLine="600" w:firstLineChars="200"/>
        <w:rPr>
          <w:rFonts w:hint="eastAsia" w:ascii="Times New Roman" w:hAnsi="Times New Roman" w:cs="Times New Roman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30"/>
          <w:szCs w:val="30"/>
          <w:lang w:val="en-US" w:eastAsia="zh-CN"/>
        </w:rPr>
        <w:t>2、申请入库单位登陆重庆高速公路集团招投标系统（http://43.240.249.109:8081）注册并按要求上传相关材料扫描件。</w:t>
      </w:r>
    </w:p>
    <w:p>
      <w:pPr>
        <w:ind w:firstLine="600" w:firstLineChars="200"/>
        <w:rPr>
          <w:rFonts w:hint="eastAsia" w:ascii="Times New Roman" w:hAnsi="Times New Roman" w:cs="Times New Roman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30"/>
          <w:szCs w:val="30"/>
          <w:lang w:val="en-US" w:eastAsia="zh-CN"/>
        </w:rPr>
        <w:t>3、业绩时间以委托或合同签订时间为准。</w:t>
      </w:r>
    </w:p>
    <w:p>
      <w:pPr>
        <w:ind w:firstLine="600" w:firstLineChars="200"/>
        <w:rPr>
          <w:rFonts w:hint="eastAsia" w:ascii="Times New Roman" w:hAnsi="Times New Roman" w:cs="Times New Roman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30"/>
          <w:szCs w:val="30"/>
          <w:lang w:val="en-US" w:eastAsia="zh-CN"/>
        </w:rPr>
        <w:t>4、入库申请单位须于202</w:t>
      </w:r>
      <w:r>
        <w:rPr>
          <w:rFonts w:hint="eastAsia" w:cs="Times New Roman"/>
          <w:b w:val="0"/>
          <w:bCs w:val="0"/>
          <w:sz w:val="30"/>
          <w:szCs w:val="30"/>
          <w:lang w:val="en-US" w:eastAsia="zh-CN"/>
        </w:rPr>
        <w:t>1</w:t>
      </w:r>
      <w:r>
        <w:rPr>
          <w:rFonts w:hint="eastAsia" w:ascii="Times New Roman" w:hAnsi="Times New Roman" w:cs="Times New Roman"/>
          <w:b w:val="0"/>
          <w:bCs w:val="0"/>
          <w:sz w:val="30"/>
          <w:szCs w:val="30"/>
          <w:lang w:val="en-US" w:eastAsia="zh-CN"/>
        </w:rPr>
        <w:t>年1月26日之前提交申请，逾期不再受理（另行通知除外）。</w:t>
      </w:r>
    </w:p>
    <w:p>
      <w:pPr>
        <w:rPr>
          <w:rFonts w:hint="eastAsia" w:ascii="Times New Roman" w:hAnsi="Times New Roman" w:cs="Times New Roman"/>
          <w:b/>
          <w:bCs/>
          <w:sz w:val="30"/>
          <w:szCs w:val="30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30"/>
          <w:szCs w:val="30"/>
          <w:lang w:val="en-US" w:eastAsia="zh-CN"/>
        </w:rPr>
        <w:t>五、其他事项</w:t>
      </w:r>
    </w:p>
    <w:p>
      <w:pPr>
        <w:ind w:firstLine="600" w:firstLineChars="200"/>
        <w:rPr>
          <w:rFonts w:hint="eastAsia" w:cs="Times New Roman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30"/>
          <w:szCs w:val="30"/>
          <w:lang w:val="en-US" w:eastAsia="zh-CN"/>
        </w:rPr>
        <w:t>入库申请单位提供的资质、业绩、人员等资料存在弄虚作假情况的，将取消其入选资格，并禁止其参与重庆高速公路集团有限公司其它业务</w:t>
      </w:r>
      <w:r>
        <w:rPr>
          <w:rFonts w:hint="eastAsia" w:cs="Times New Roman"/>
          <w:b w:val="0"/>
          <w:bCs w:val="0"/>
          <w:sz w:val="30"/>
          <w:szCs w:val="30"/>
          <w:lang w:val="en-US" w:eastAsia="zh-CN"/>
        </w:rPr>
        <w:t>。</w:t>
      </w:r>
    </w:p>
    <w:p>
      <w:pPr>
        <w:pStyle w:val="2"/>
        <w:numPr>
          <w:ilvl w:val="0"/>
          <w:numId w:val="0"/>
        </w:numPr>
        <w:jc w:val="right"/>
        <w:rPr>
          <w:rFonts w:hint="default"/>
          <w:lang w:val="en-US" w:eastAsia="zh-CN"/>
        </w:rPr>
      </w:pPr>
      <w:r>
        <w:rPr>
          <w:rFonts w:hint="eastAsia" w:cs="Times New Roman"/>
          <w:b w:val="0"/>
          <w:bCs w:val="0"/>
          <w:sz w:val="30"/>
          <w:szCs w:val="30"/>
          <w:lang w:val="en-US" w:eastAsia="zh-CN"/>
        </w:rPr>
        <w:t>2021年1月21</w:t>
      </w:r>
      <w:bookmarkStart w:id="0" w:name="_GoBack"/>
      <w:bookmarkEnd w:id="0"/>
      <w:r>
        <w:rPr>
          <w:rFonts w:hint="eastAsia" w:cs="Times New Roman"/>
          <w:b w:val="0"/>
          <w:bCs w:val="0"/>
          <w:sz w:val="30"/>
          <w:szCs w:val="30"/>
          <w:lang w:val="en-US" w:eastAsia="zh-CN"/>
        </w:rPr>
        <w:t>日</w:t>
      </w:r>
    </w:p>
    <w:p>
      <w:pPr>
        <w:rPr>
          <w:rFonts w:hint="default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rap="around" w:vAnchor="text" w:hAnchor="margin" w:xAlign="center" w:y="1"/>
      <w:widowControl w:val="0"/>
      <w:snapToGrid w:val="0"/>
      <w:jc w:val="left"/>
      <w:rPr>
        <w:rFonts w:hint="eastAsia" w:ascii="Times New Roman" w:hAnsi="Times New Roman" w:eastAsia="宋体" w:cs="Times New Roman"/>
        <w:kern w:val="0"/>
        <w:sz w:val="18"/>
        <w:lang w:val="en-US" w:eastAsia="zh-CN" w:bidi="ar-SA"/>
      </w:rPr>
    </w:pPr>
    <w:r>
      <w:rPr>
        <w:rFonts w:ascii="Times New Roman" w:hAnsi="Times New Roman" w:eastAsia="宋体" w:cs="Times New Roman"/>
        <w:kern w:val="0"/>
        <w:sz w:val="18"/>
        <w:lang w:val="en-US" w:eastAsia="zh-CN" w:bidi="ar-SA"/>
      </w:rPr>
      <w:fldChar w:fldCharType="begin"/>
    </w:r>
    <w:r>
      <w:rPr>
        <w:rStyle w:val="11"/>
        <w:rFonts w:ascii="Times New Roman" w:hAnsi="Times New Roman" w:eastAsia="宋体" w:cs="Times New Roman"/>
        <w:kern w:val="0"/>
        <w:sz w:val="18"/>
        <w:lang w:val="en-US" w:eastAsia="zh-CN" w:bidi="ar-SA"/>
      </w:rPr>
      <w:instrText xml:space="preserve">PAGE  </w:instrText>
    </w:r>
    <w:r>
      <w:rPr>
        <w:rFonts w:ascii="Times New Roman" w:hAnsi="Times New Roman" w:eastAsia="宋体" w:cs="Times New Roman"/>
        <w:kern w:val="0"/>
        <w:sz w:val="18"/>
        <w:lang w:val="en-US" w:eastAsia="zh-CN" w:bidi="ar-SA"/>
      </w:rPr>
      <w:fldChar w:fldCharType="separate"/>
    </w:r>
    <w:r>
      <w:rPr>
        <w:rStyle w:val="11"/>
        <w:rFonts w:ascii="Times New Roman" w:hAnsi="Times New Roman" w:eastAsia="宋体" w:cs="Times New Roman"/>
        <w:kern w:val="0"/>
        <w:sz w:val="18"/>
        <w:lang w:val="en-US" w:eastAsia="zh-CN" w:bidi="ar-SA"/>
      </w:rPr>
      <w:t>2</w:t>
    </w:r>
    <w:r>
      <w:rPr>
        <w:rFonts w:ascii="Times New Roman" w:hAnsi="Times New Roman" w:eastAsia="宋体" w:cs="Times New Roman"/>
        <w:kern w:val="0"/>
        <w:sz w:val="18"/>
        <w:lang w:val="en-US" w:eastAsia="zh-CN" w:bidi="ar-SA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jc w:val="right"/>
      <w:rPr>
        <w:rFonts w:hint="eastAsia" w:ascii="宋体" w:hAnsi="宋体" w:eastAsia="宋体" w:cs="Times New Roman"/>
        <w:color w:val="000000"/>
        <w:sz w:val="21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0AD90"/>
    <w:multiLevelType w:val="singleLevel"/>
    <w:tmpl w:val="0230AD9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DE71A5"/>
    <w:rsid w:val="014B38F0"/>
    <w:rsid w:val="0298290A"/>
    <w:rsid w:val="02C16384"/>
    <w:rsid w:val="03442441"/>
    <w:rsid w:val="053414C4"/>
    <w:rsid w:val="0596127E"/>
    <w:rsid w:val="064142FA"/>
    <w:rsid w:val="072B5156"/>
    <w:rsid w:val="08A258CE"/>
    <w:rsid w:val="096941CE"/>
    <w:rsid w:val="09ED3762"/>
    <w:rsid w:val="0A2A030A"/>
    <w:rsid w:val="0AC25AB3"/>
    <w:rsid w:val="0B8E22A5"/>
    <w:rsid w:val="0BF901F6"/>
    <w:rsid w:val="0C970805"/>
    <w:rsid w:val="0E3B5381"/>
    <w:rsid w:val="0F7C7BCE"/>
    <w:rsid w:val="10874F24"/>
    <w:rsid w:val="116060F3"/>
    <w:rsid w:val="12415DE1"/>
    <w:rsid w:val="12C74F18"/>
    <w:rsid w:val="13DB7E6B"/>
    <w:rsid w:val="16973768"/>
    <w:rsid w:val="17304255"/>
    <w:rsid w:val="1C516449"/>
    <w:rsid w:val="1EB71750"/>
    <w:rsid w:val="21431B2A"/>
    <w:rsid w:val="21A918ED"/>
    <w:rsid w:val="221B33E7"/>
    <w:rsid w:val="24A2658C"/>
    <w:rsid w:val="24E02D16"/>
    <w:rsid w:val="25665CA6"/>
    <w:rsid w:val="272718BC"/>
    <w:rsid w:val="27317218"/>
    <w:rsid w:val="27F36F4A"/>
    <w:rsid w:val="288F0BBA"/>
    <w:rsid w:val="28D853A6"/>
    <w:rsid w:val="291B4AE4"/>
    <w:rsid w:val="2A44762B"/>
    <w:rsid w:val="2A4522BB"/>
    <w:rsid w:val="2ADB556C"/>
    <w:rsid w:val="2C3046FD"/>
    <w:rsid w:val="2D103E5F"/>
    <w:rsid w:val="2FBA1600"/>
    <w:rsid w:val="30611781"/>
    <w:rsid w:val="33B41520"/>
    <w:rsid w:val="354977D7"/>
    <w:rsid w:val="37FA52E8"/>
    <w:rsid w:val="39CA29C6"/>
    <w:rsid w:val="3B922AF7"/>
    <w:rsid w:val="3DAA0ABE"/>
    <w:rsid w:val="3E1771D4"/>
    <w:rsid w:val="446D6DDA"/>
    <w:rsid w:val="45A05F17"/>
    <w:rsid w:val="46C14657"/>
    <w:rsid w:val="470C1FA0"/>
    <w:rsid w:val="47A90A34"/>
    <w:rsid w:val="489852B3"/>
    <w:rsid w:val="491126A4"/>
    <w:rsid w:val="4BD8133D"/>
    <w:rsid w:val="4D6C6EF0"/>
    <w:rsid w:val="4F01461F"/>
    <w:rsid w:val="4F787E69"/>
    <w:rsid w:val="5093144E"/>
    <w:rsid w:val="54965EF4"/>
    <w:rsid w:val="57994D83"/>
    <w:rsid w:val="57A351EE"/>
    <w:rsid w:val="58D506F4"/>
    <w:rsid w:val="5C1B0D59"/>
    <w:rsid w:val="5E6B37D6"/>
    <w:rsid w:val="613D3683"/>
    <w:rsid w:val="63C634D3"/>
    <w:rsid w:val="65535793"/>
    <w:rsid w:val="66A20306"/>
    <w:rsid w:val="66A23519"/>
    <w:rsid w:val="66D55DAF"/>
    <w:rsid w:val="679C5B9E"/>
    <w:rsid w:val="691A1F32"/>
    <w:rsid w:val="6A1467B4"/>
    <w:rsid w:val="6A9F5849"/>
    <w:rsid w:val="6B2B6C82"/>
    <w:rsid w:val="6B9B30CC"/>
    <w:rsid w:val="6BCF48BC"/>
    <w:rsid w:val="6D3D6059"/>
    <w:rsid w:val="6D855760"/>
    <w:rsid w:val="6D92702A"/>
    <w:rsid w:val="6E3D4115"/>
    <w:rsid w:val="6E534E03"/>
    <w:rsid w:val="70CC14E8"/>
    <w:rsid w:val="71CE6A04"/>
    <w:rsid w:val="72B40F17"/>
    <w:rsid w:val="78244B9C"/>
    <w:rsid w:val="78F15AFB"/>
    <w:rsid w:val="7B6D4B49"/>
    <w:rsid w:val="7CB94623"/>
    <w:rsid w:val="7F250536"/>
    <w:rsid w:val="7FE06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widowControl w:val="0"/>
      <w:tabs>
        <w:tab w:val="left" w:pos="360"/>
      </w:tabs>
      <w:spacing w:before="340" w:after="330" w:line="576" w:lineRule="auto"/>
      <w:jc w:val="both"/>
      <w:outlineLvl w:val="0"/>
    </w:pPr>
    <w:rPr>
      <w:rFonts w:ascii="方正仿宋_GBK" w:hAnsi="方正仿宋_GBK" w:eastAsia="方正仿宋_GBK" w:cs="Times New Roman"/>
      <w:b/>
      <w:kern w:val="44"/>
      <w:sz w:val="4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5">
    <w:name w:val="toc 1"/>
    <w:next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6">
    <w:name w:val="Normal (Web)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 w:eastAsia="宋体" w:cs="Times New Roman"/>
      <w:kern w:val="0"/>
      <w:sz w:val="24"/>
      <w:lang w:val="en-US" w:eastAsia="zh-CN" w:bidi="ar-SA"/>
    </w:rPr>
  </w:style>
  <w:style w:type="paragraph" w:styleId="7">
    <w:name w:val="Title"/>
    <w:basedOn w:val="1"/>
    <w:qFormat/>
    <w:uiPriority w:val="0"/>
    <w:pPr>
      <w:adjustRightInd w:val="0"/>
      <w:spacing w:before="600" w:after="360" w:line="0" w:lineRule="atLeast"/>
      <w:jc w:val="center"/>
    </w:pPr>
    <w:rPr>
      <w:b/>
      <w:kern w:val="0"/>
      <w:sz w:val="28"/>
      <w:szCs w:val="20"/>
      <w:lang w:val="zh-CN"/>
    </w:rPr>
  </w:style>
  <w:style w:type="table" w:styleId="9">
    <w:name w:val="Table Grid"/>
    <w:basedOn w:val="8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qFormat/>
    <w:uiPriority w:val="0"/>
  </w:style>
  <w:style w:type="paragraph" w:customStyle="1" w:styleId="1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黑体_GBK" w:hAnsi="方正黑体_GBK" w:eastAsia="方正黑体_GBK" w:cs="Times New Roman"/>
      <w:color w:val="000000"/>
      <w:sz w:val="24"/>
      <w:szCs w:val="22"/>
      <w:lang w:val="en-US" w:eastAsia="zh-CN" w:bidi="ar-SA"/>
    </w:rPr>
  </w:style>
  <w:style w:type="paragraph" w:customStyle="1" w:styleId="13">
    <w:name w:val="p0"/>
    <w:qFormat/>
    <w:uiPriority w:val="0"/>
    <w:pPr>
      <w:widowControl/>
      <w:jc w:val="both"/>
    </w:pPr>
    <w:rPr>
      <w:rFonts w:ascii="Calibri" w:hAnsi="Calibri" w:eastAsia="宋体" w:cs="Times New Roman"/>
      <w:kern w:val="0"/>
      <w:sz w:val="21"/>
      <w:lang w:val="en-US" w:eastAsia="zh-CN" w:bidi="ar-SA"/>
    </w:rPr>
  </w:style>
  <w:style w:type="paragraph" w:customStyle="1" w:styleId="14">
    <w:name w:val="p15"/>
    <w:qFormat/>
    <w:uiPriority w:val="0"/>
    <w:pPr>
      <w:widowControl/>
      <w:jc w:val="both"/>
    </w:pPr>
    <w:rPr>
      <w:rFonts w:ascii="Times New Roman" w:hAnsi="Times New Roman" w:eastAsia="宋体" w:cs="Times New Roman"/>
      <w:kern w:val="0"/>
      <w:sz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2020-09-14T00:47:00Z</dcterms:created>
  <dc:creator>86185</dc:creator>
  <cp:lastModifiedBy>龙嘉霖</cp:lastModifiedBy>
  <cp:lastPrinted>2021-01-18T04:00:00Z</cp:lastPrinted>
  <dcterms:modified xsi:type="dcterms:W3CDTF">2021-01-21T01:21:14Z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432450904_cloud</vt:lpwstr>
  </property>
</Properties>
</file>