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t>嘉陵江梯级渠化利泽航运枢纽工程</w:t>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蓄水安全鉴定（含初期和终期）技术服务</w:t>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（第二次）</w:t>
      </w:r>
    </w:p>
    <w:p>
      <w:pPr>
        <w:autoSpaceDE w:val="0"/>
        <w:autoSpaceDN w:val="0"/>
        <w:adjustRightInd w:val="0"/>
        <w:spacing w:line="360" w:lineRule="auto"/>
        <w:jc w:val="center"/>
        <w:rPr>
          <w:rFonts w:ascii="Times New Roman" w:hAnsi="Times New Roman" w:eastAsia="方正小标宋_GBK" w:cs="Times New Roman"/>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ascii="Times New Roman" w:hAnsi="Times New Roman" w:eastAsia="方正小标宋_GBK" w:cs="Times New Roman"/>
          <w:bCs/>
          <w:color w:val="auto"/>
          <w:sz w:val="72"/>
          <w:szCs w:val="72"/>
          <w:highlight w:val="none"/>
          <w:lang w:eastAsia="zh-CN"/>
        </w:rPr>
      </w:pPr>
      <w:r>
        <w:rPr>
          <w:rFonts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highlight w:val="none"/>
                <w:lang w:val="zh-CN" w:eastAsia="zh-CN"/>
              </w:rPr>
            </w:pPr>
            <w:r>
              <w:rPr>
                <w:rFonts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highlight w:val="none"/>
                <w:lang w:val="zh-CN" w:eastAsia="zh-CN"/>
              </w:rPr>
            </w:pPr>
            <w:r>
              <w:rPr>
                <w:rFonts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color w:val="auto"/>
          <w:sz w:val="32"/>
          <w:szCs w:val="32"/>
          <w:highlight w:val="none"/>
          <w:lang w:eastAsia="zh-CN"/>
        </w:rPr>
        <w:t>202</w:t>
      </w:r>
      <w:r>
        <w:rPr>
          <w:rFonts w:hint="eastAsia" w:ascii="Times New Roman" w:hAnsi="Times New Roman" w:eastAsia="方正小标宋_GBK" w:cs="Times New Roman"/>
          <w:bCs/>
          <w:color w:val="auto"/>
          <w:sz w:val="32"/>
          <w:szCs w:val="32"/>
          <w:highlight w:val="none"/>
          <w:lang w:eastAsia="zh-CN"/>
        </w:rPr>
        <w:t>2</w:t>
      </w:r>
      <w:r>
        <w:rPr>
          <w:rFonts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ascii="Times New Roman" w:hAnsi="Times New Roman" w:eastAsia="方正小标宋_GBK" w:cs="Times New Roman"/>
          <w:bCs/>
          <w:color w:val="auto"/>
          <w:sz w:val="32"/>
          <w:szCs w:val="32"/>
          <w:highlight w:val="none"/>
          <w:lang w:val="zh-CN" w:eastAsia="zh-CN"/>
        </w:rPr>
        <w:t>月</w:t>
      </w:r>
    </w:p>
    <w:sdt>
      <w:sdtPr>
        <w:rPr>
          <w:rFonts w:ascii="Times New Roman" w:hAnsi="Times New Roman" w:eastAsia="宋体" w:cs="Times New Roman"/>
          <w:b w:val="0"/>
          <w:bCs w:val="0"/>
          <w:color w:val="auto"/>
          <w:sz w:val="22"/>
          <w:szCs w:val="22"/>
          <w:highlight w:val="none"/>
          <w:lang w:val="zh-CN" w:eastAsia="en-US"/>
        </w:rPr>
        <w:id w:val="-1379861479"/>
      </w:sdtPr>
      <w:sdtEndPr>
        <w:rPr>
          <w:rFonts w:ascii="Times New Roman" w:hAnsi="Times New Roman" w:eastAsia="宋体" w:cs="Times New Roman"/>
          <w:b w:val="0"/>
          <w:bCs w:val="0"/>
          <w:color w:val="auto"/>
          <w:sz w:val="22"/>
          <w:szCs w:val="22"/>
          <w:highlight w:val="none"/>
          <w:lang w:val="zh-CN" w:eastAsia="en-US"/>
        </w:rPr>
      </w:sdtEndPr>
      <w:sdtContent>
        <w:p>
          <w:pPr>
            <w:pStyle w:val="81"/>
            <w:jc w:val="center"/>
            <w:rPr>
              <w:rFonts w:ascii="Times New Roman" w:hAnsi="Times New Roman" w:eastAsia="宋体" w:cs="Times New Roman"/>
              <w:b w:val="0"/>
              <w:bCs w:val="0"/>
              <w:color w:val="auto"/>
              <w:sz w:val="22"/>
              <w:szCs w:val="22"/>
              <w:highlight w:val="none"/>
              <w:lang w:val="zh-CN"/>
            </w:rPr>
          </w:pPr>
          <w:r>
            <w:rPr>
              <w:rFonts w:ascii="Times New Roman" w:hAnsi="Times New Roman" w:cs="Times New Roman"/>
              <w:color w:val="auto"/>
              <w:highlight w:val="none"/>
              <w:lang w:val="zh-CN"/>
            </w:rPr>
            <w:t>目录</w:t>
          </w:r>
        </w:p>
        <w:p>
          <w:pPr>
            <w:pStyle w:val="29"/>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color w:val="auto"/>
              <w:sz w:val="32"/>
              <w:highlight w:val="none"/>
            </w:rPr>
            <w:fldChar w:fldCharType="begin"/>
          </w:r>
          <w:r>
            <w:rPr>
              <w:rFonts w:ascii="Times New Roman" w:hAnsi="Times New Roman" w:eastAsia="方正小标宋_GBK" w:cs="Times New Roman"/>
              <w:color w:val="auto"/>
              <w:sz w:val="32"/>
              <w:highlight w:val="none"/>
            </w:rPr>
            <w:instrText xml:space="preserve"> TOC \o "1-3" \h \z \u </w:instrText>
          </w:r>
          <w:r>
            <w:rPr>
              <w:rFonts w:ascii="Times New Roman" w:hAnsi="Times New Roman" w:eastAsia="方正小标宋_GBK" w:cs="Times New Roman"/>
              <w:color w:val="auto"/>
              <w:sz w:val="32"/>
              <w:highlight w:val="none"/>
            </w:rPr>
            <w:fldChar w:fldCharType="separate"/>
          </w: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_Toc1754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bCs/>
              <w:color w:val="auto"/>
              <w:szCs w:val="44"/>
              <w:highlight w:val="none"/>
              <w:lang w:val="zh-CN" w:eastAsia="zh-CN" w:bidi="ar-SA"/>
            </w:rPr>
            <w:t>第一章 询价公告</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_Toc1754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_Toc1168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1.询价条件</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_Toc1168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_Toc11099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2.项目概况与询价工作范围</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_Toc11099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_Toc11236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3.报价人资格要求</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_Toc11236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5</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_Toc3457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4. 报价文件的递交</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_Toc3457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5</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_Toc14638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5.发布公告的媒介</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_Toc14638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6</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_Toc5640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6.联系方式</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_Toc5640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6</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_Toc11147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7.监督电话：</w:t>
          </w:r>
          <w:r>
            <w:rPr>
              <w:rFonts w:hint="default" w:ascii="Times New Roman" w:hAnsi="Times New Roman" w:eastAsia="黑体" w:cs="Times New Roman"/>
              <w:color w:val="auto"/>
              <w:szCs w:val="22"/>
              <w:highlight w:val="none"/>
              <w:lang w:val="en-US" w:eastAsia="zh-CN" w:bidi="ar-SA"/>
            </w:rPr>
            <w:t>023-42576662</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_Toc11147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6</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29"/>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_Toc17339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bCs/>
              <w:color w:val="auto"/>
              <w:szCs w:val="44"/>
              <w:highlight w:val="none"/>
              <w:lang w:val="zh-CN" w:eastAsia="zh-CN" w:bidi="ar-SA"/>
            </w:rPr>
            <w:t>第二章 报价文件要求与评审办法</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_Toc17339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7</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_Toc6706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1.报价文件要求</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_Toc6706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7</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_Toc32299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黑体" w:cs="Times New Roman"/>
              <w:color w:val="auto"/>
              <w:szCs w:val="22"/>
              <w:highlight w:val="none"/>
              <w:lang w:val="en-US" w:eastAsia="zh-CN" w:bidi="ar-SA"/>
            </w:rPr>
            <w:t>2.评审办法</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_Toc32299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7</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29"/>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_Toc3800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bCs/>
              <w:color w:val="auto"/>
              <w:szCs w:val="44"/>
              <w:highlight w:val="none"/>
              <w:lang w:val="zh-CN" w:eastAsia="zh-CN" w:bidi="ar-SA"/>
            </w:rPr>
            <w:t>第三章 合同条款</w:t>
          </w:r>
          <w:r>
            <w:rPr>
              <w:rFonts w:hint="eastAsia" w:ascii="Times New Roman" w:hAnsi="Times New Roman" w:eastAsia="方正小标宋_GBK" w:cs="Times New Roman"/>
              <w:bCs/>
              <w:color w:val="auto"/>
              <w:szCs w:val="44"/>
              <w:highlight w:val="none"/>
              <w:lang w:val="en-US" w:eastAsia="zh-CN" w:bidi="ar-SA"/>
            </w:rPr>
            <w:t>与格式</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_Toc3800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8</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_Toc3830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第一条 项目的基本情况</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_Toc3830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8</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_Toc95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第二条 工作范围和内容</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_Toc95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8</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_Toc32330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第三条 工作依据</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_Toc32330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13</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_Toc22468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第四条 工作经费及其支付方式</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_Toc22468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14</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_Toc13458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第五条 甲方的权利和义务</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_Toc13458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14</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_Toc31141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第六条 乙方的权利和义务</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_Toc31141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15</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_Toc4712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第七条 合同的变更与终止</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_Toc4712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16</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_Toc24794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第八条 违约责任</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_Toc24794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17</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_Toc31045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第九条 不可抗力</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_Toc31045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17</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_Toc31475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第十条 争议解决条款</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_Toc31475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18</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_Toc21126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bCs w:val="0"/>
              <w:color w:val="auto"/>
              <w:szCs w:val="22"/>
              <w:highlight w:val="none"/>
              <w:lang w:val="en-US" w:eastAsia="zh-CN" w:bidi="ar-SA"/>
            </w:rPr>
            <w:t>第十一条 合同份数及时效</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_Toc21126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18</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_Toc15779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color w:val="auto"/>
              <w:szCs w:val="32"/>
              <w:highlight w:val="none"/>
              <w:lang w:val="en-US" w:eastAsia="zh-CN" w:bidi="ar-SA"/>
            </w:rPr>
            <w:t>附件1：安全生产合同</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_Toc15779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19</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_Toc20414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黑体" w:cs="Times New Roman"/>
              <w:color w:val="auto"/>
              <w:szCs w:val="32"/>
              <w:highlight w:val="none"/>
              <w:lang w:val="en-US" w:eastAsia="zh-CN" w:bidi="ar-SA"/>
            </w:rPr>
            <w:t>附件2：廉政合同格式</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_Toc20414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22</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29"/>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_Toc25678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方正小标宋_GBK" w:cs="Times New Roman"/>
              <w:bCs/>
              <w:color w:val="auto"/>
              <w:szCs w:val="44"/>
              <w:highlight w:val="none"/>
              <w:lang w:val="en-US" w:eastAsia="zh-CN" w:bidi="ar-SA"/>
            </w:rPr>
            <w:t xml:space="preserve">第四章 </w:t>
          </w:r>
          <w:r>
            <w:rPr>
              <w:rFonts w:ascii="Times New Roman" w:hAnsi="Times New Roman" w:eastAsia="方正小标宋_GBK" w:cs="Times New Roman"/>
              <w:bCs/>
              <w:color w:val="auto"/>
              <w:szCs w:val="44"/>
              <w:highlight w:val="none"/>
              <w:lang w:val="zh-CN" w:eastAsia="zh-CN" w:bidi="ar-SA"/>
            </w:rPr>
            <w:t>报价文件格式</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_Toc25678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25</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_Toc13930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color w:val="auto"/>
              <w:szCs w:val="44"/>
              <w:highlight w:val="none"/>
              <w:lang w:val="en-US" w:eastAsia="en-US" w:bidi="ar-SA"/>
            </w:rPr>
            <w:t>一、法定代表人身份证明或授权委托书</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_Toc13930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28</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_Toc32609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color w:val="auto"/>
              <w:szCs w:val="44"/>
              <w:highlight w:val="none"/>
              <w:lang w:val="en-US" w:eastAsia="en-US" w:bidi="ar-SA"/>
            </w:rPr>
            <w:t>二、报价函</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_Toc32609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29</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_Toc23176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color w:val="auto"/>
              <w:szCs w:val="44"/>
              <w:highlight w:val="none"/>
              <w:lang w:val="en-US" w:eastAsia="en-US" w:bidi="ar-SA"/>
            </w:rPr>
            <w:t>三、报价表</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_Toc23176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31</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_Toc2848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color w:val="auto"/>
              <w:szCs w:val="44"/>
              <w:highlight w:val="none"/>
              <w:lang w:val="en-US" w:eastAsia="en-US" w:bidi="ar-SA"/>
            </w:rPr>
            <w:t>四、资格审查资料</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_Toc2848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33</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_Toc18079 </w:instrText>
          </w:r>
          <w:r>
            <w:rPr>
              <w:rFonts w:ascii="Times New Roman" w:hAnsi="Times New Roman" w:eastAsia="方正小标宋_GBK" w:cs="Times New Roman"/>
              <w:bCs/>
              <w:color w:val="auto"/>
              <w:szCs w:val="22"/>
              <w:highlight w:val="none"/>
              <w:lang w:val="zh-CN" w:eastAsia="en-US" w:bidi="ar-SA"/>
            </w:rPr>
            <w:fldChar w:fldCharType="separate"/>
          </w:r>
          <w:r>
            <w:rPr>
              <w:rFonts w:hint="eastAsia" w:ascii="Times New Roman" w:hAnsi="Times New Roman" w:eastAsia="方正小标宋_GBK" w:cs="Times New Roman"/>
              <w:color w:val="auto"/>
              <w:szCs w:val="44"/>
              <w:highlight w:val="none"/>
              <w:lang w:val="en-US" w:eastAsia="en-US" w:bidi="ar-SA"/>
            </w:rPr>
            <w:t>五、</w:t>
          </w:r>
          <w:r>
            <w:rPr>
              <w:rFonts w:ascii="Times New Roman" w:hAnsi="Times New Roman" w:eastAsia="方正小标宋_GBK" w:cs="Times New Roman"/>
              <w:color w:val="auto"/>
              <w:szCs w:val="44"/>
              <w:highlight w:val="none"/>
              <w:lang w:val="en-US" w:eastAsia="en-US" w:bidi="ar-SA"/>
            </w:rPr>
            <w:t>项目方案及进度安排</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_Toc18079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36</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rPr>
              <w:rFonts w:ascii="宋体" w:hAnsi="宋体" w:eastAsia="宋体" w:cs="宋体"/>
              <w:color w:val="auto"/>
              <w:szCs w:val="22"/>
              <w:highlight w:val="none"/>
              <w:lang w:val="en-US" w:eastAsia="en-US" w:bidi="ar-SA"/>
            </w:rPr>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color w:val="auto"/>
              <w:szCs w:val="22"/>
              <w:highlight w:val="none"/>
              <w:lang w:val="zh-CN" w:eastAsia="en-US" w:bidi="ar-SA"/>
            </w:rPr>
            <w:instrText xml:space="preserve"> HYPERLINK \l _Toc12799 </w:instrText>
          </w:r>
          <w:r>
            <w:rPr>
              <w:rFonts w:ascii="Times New Roman" w:hAnsi="Times New Roman" w:eastAsia="方正小标宋_GBK" w:cs="Times New Roman"/>
              <w:bCs/>
              <w:color w:val="auto"/>
              <w:szCs w:val="22"/>
              <w:highlight w:val="none"/>
              <w:lang w:val="zh-CN" w:eastAsia="en-US" w:bidi="ar-SA"/>
            </w:rPr>
            <w:fldChar w:fldCharType="separate"/>
          </w:r>
          <w:r>
            <w:rPr>
              <w:rFonts w:ascii="Times New Roman" w:hAnsi="Times New Roman" w:eastAsia="方正小标宋_GBK" w:cs="Times New Roman"/>
              <w:color w:val="auto"/>
              <w:szCs w:val="44"/>
              <w:highlight w:val="none"/>
              <w:lang w:val="en-US" w:eastAsia="en-US" w:bidi="ar-SA"/>
            </w:rPr>
            <w:t>六、其他资料</w:t>
          </w:r>
          <w:r>
            <w:rPr>
              <w:rFonts w:ascii="宋体" w:hAnsi="宋体" w:eastAsia="宋体" w:cs="宋体"/>
              <w:color w:val="auto"/>
              <w:szCs w:val="22"/>
              <w:highlight w:val="none"/>
              <w:lang w:val="en-US" w:eastAsia="en-US" w:bidi="ar-SA"/>
            </w:rPr>
            <w:tab/>
          </w:r>
          <w:r>
            <w:rPr>
              <w:rFonts w:ascii="宋体" w:hAnsi="宋体" w:eastAsia="宋体" w:cs="宋体"/>
              <w:color w:val="auto"/>
              <w:szCs w:val="22"/>
              <w:highlight w:val="none"/>
              <w:lang w:val="en-US" w:eastAsia="en-US" w:bidi="ar-SA"/>
            </w:rPr>
            <w:fldChar w:fldCharType="begin"/>
          </w:r>
          <w:r>
            <w:rPr>
              <w:rFonts w:ascii="宋体" w:hAnsi="宋体" w:eastAsia="宋体" w:cs="宋体"/>
              <w:color w:val="auto"/>
              <w:szCs w:val="22"/>
              <w:highlight w:val="none"/>
              <w:lang w:val="en-US" w:eastAsia="en-US" w:bidi="ar-SA"/>
            </w:rPr>
            <w:instrText xml:space="preserve"> PAGEREF _Toc12799 </w:instrText>
          </w:r>
          <w:r>
            <w:rPr>
              <w:rFonts w:ascii="宋体" w:hAnsi="宋体" w:eastAsia="宋体" w:cs="宋体"/>
              <w:color w:val="auto"/>
              <w:szCs w:val="22"/>
              <w:highlight w:val="none"/>
              <w:lang w:val="en-US" w:eastAsia="en-US" w:bidi="ar-SA"/>
            </w:rPr>
            <w:fldChar w:fldCharType="separate"/>
          </w:r>
          <w:r>
            <w:rPr>
              <w:rFonts w:ascii="宋体" w:hAnsi="宋体" w:eastAsia="宋体" w:cs="宋体"/>
              <w:color w:val="auto"/>
              <w:szCs w:val="22"/>
              <w:highlight w:val="none"/>
              <w:lang w:val="en-US" w:eastAsia="en-US" w:bidi="ar-SA"/>
            </w:rPr>
            <w:t>37</w:t>
          </w:r>
          <w:r>
            <w:rPr>
              <w:rFonts w:ascii="宋体" w:hAnsi="宋体" w:eastAsia="宋体" w:cs="宋体"/>
              <w:color w:val="auto"/>
              <w:szCs w:val="22"/>
              <w:highlight w:val="none"/>
              <w:lang w:val="en-US" w:eastAsia="en-US" w:bidi="ar-SA"/>
            </w:rPr>
            <w:fldChar w:fldCharType="end"/>
          </w:r>
          <w:r>
            <w:rPr>
              <w:rFonts w:ascii="Times New Roman" w:hAnsi="Times New Roman" w:eastAsia="方正小标宋_GBK" w:cs="Times New Roman"/>
              <w:bCs/>
              <w:color w:val="auto"/>
              <w:szCs w:val="22"/>
              <w:highlight w:val="none"/>
              <w:lang w:val="zh-CN" w:eastAsia="en-US" w:bidi="ar-SA"/>
            </w:rPr>
            <w:fldChar w:fldCharType="end"/>
          </w:r>
        </w:p>
        <w:p>
          <w:pPr>
            <w:rPr>
              <w:rFonts w:ascii="Times New Roman" w:hAnsi="Times New Roman" w:cs="Times New Roman"/>
              <w:color w:val="auto"/>
              <w:highlight w:val="none"/>
            </w:rPr>
          </w:pPr>
          <w:r>
            <w:rPr>
              <w:rFonts w:ascii="Times New Roman" w:hAnsi="Times New Roman" w:eastAsia="方正小标宋_GBK" w:cs="Times New Roman"/>
              <w:bCs/>
              <w:color w:val="auto"/>
              <w:szCs w:val="22"/>
              <w:highlight w:val="none"/>
              <w:lang w:val="zh-CN" w:eastAsia="en-US" w:bidi="ar-SA"/>
            </w:rPr>
            <w:fldChar w:fldCharType="end"/>
          </w:r>
        </w:p>
      </w:sdtContent>
    </w:sdt>
    <w:p>
      <w:pPr>
        <w:widowControl/>
        <w:rPr>
          <w:rFonts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NumType w:start="1"/>
          <w:cols w:space="720" w:num="1"/>
          <w:titlePg/>
          <w:docGrid w:linePitch="299" w:charSpace="0"/>
        </w:sect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0" w:name="_Toc7683"/>
      <w:bookmarkStart w:id="1" w:name="_Toc29194680"/>
      <w:bookmarkStart w:id="2" w:name="_Toc1754"/>
      <w:r>
        <w:rPr>
          <w:rFonts w:ascii="Times New Roman" w:hAnsi="Times New Roman" w:eastAsia="方正小标宋_GBK" w:cs="Times New Roman"/>
          <w:bCs/>
          <w:color w:val="auto"/>
          <w:sz w:val="44"/>
          <w:szCs w:val="44"/>
          <w:highlight w:val="none"/>
          <w:lang w:val="zh-CN" w:eastAsia="zh-CN"/>
        </w:rPr>
        <w:t>第一章 询价公告</w:t>
      </w:r>
      <w:bookmarkEnd w:id="0"/>
      <w:bookmarkEnd w:id="1"/>
      <w:bookmarkEnd w:id="2"/>
    </w:p>
    <w:p>
      <w:pPr>
        <w:spacing w:line="510" w:lineRule="exact"/>
        <w:jc w:val="center"/>
        <w:rPr>
          <w:rFonts w:ascii="Times New Roman" w:hAnsi="Times New Roman" w:eastAsia="方正小标宋_GBK" w:cs="Times New Roman"/>
          <w:color w:val="auto"/>
          <w:sz w:val="36"/>
          <w:szCs w:val="36"/>
          <w:highlight w:val="none"/>
          <w:lang w:eastAsia="zh-CN"/>
        </w:rPr>
      </w:pPr>
    </w:p>
    <w:p>
      <w:pPr>
        <w:spacing w:line="510" w:lineRule="exact"/>
        <w:jc w:val="center"/>
        <w:rPr>
          <w:rFonts w:ascii="Times New Roman" w:hAnsi="Times New Roman" w:eastAsia="方正小标宋_GBK" w:cs="Times New Roman"/>
          <w:color w:val="auto"/>
          <w:sz w:val="36"/>
          <w:szCs w:val="36"/>
          <w:highlight w:val="none"/>
          <w:lang w:eastAsia="zh-CN"/>
        </w:rPr>
      </w:pPr>
      <w:r>
        <w:rPr>
          <w:rFonts w:ascii="Times New Roman" w:hAnsi="Times New Roman" w:eastAsia="方正小标宋_GBK" w:cs="Times New Roman"/>
          <w:color w:val="auto"/>
          <w:sz w:val="36"/>
          <w:szCs w:val="36"/>
          <w:highlight w:val="none"/>
          <w:lang w:eastAsia="zh-CN"/>
        </w:rPr>
        <w:t>嘉陵江梯级渠化利泽航运枢纽工程</w:t>
      </w:r>
      <w:r>
        <w:rPr>
          <w:rFonts w:hint="eastAsia" w:ascii="Times New Roman" w:hAnsi="Times New Roman" w:eastAsia="方正小标宋_GBK" w:cs="Times New Roman"/>
          <w:color w:val="auto"/>
          <w:sz w:val="36"/>
          <w:szCs w:val="36"/>
          <w:highlight w:val="none"/>
          <w:lang w:val="en-US" w:eastAsia="zh-CN"/>
        </w:rPr>
        <w:t>蓄水安全鉴定（含初期和终期）技术服务（第二次）</w:t>
      </w:r>
      <w:r>
        <w:rPr>
          <w:rFonts w:ascii="Times New Roman" w:hAnsi="Times New Roman" w:eastAsia="方正小标宋_GBK" w:cs="Times New Roman"/>
          <w:color w:val="auto"/>
          <w:sz w:val="36"/>
          <w:szCs w:val="36"/>
          <w:highlight w:val="none"/>
          <w:lang w:eastAsia="zh-CN"/>
        </w:rPr>
        <w:t>询价公告</w:t>
      </w:r>
    </w:p>
    <w:p>
      <w:pPr>
        <w:spacing w:line="510" w:lineRule="exact"/>
        <w:jc w:val="center"/>
        <w:rPr>
          <w:rFonts w:ascii="Times New Roman" w:hAnsi="Times New Roman" w:cs="Times New Roman" w:eastAsiaTheme="minorEastAsia"/>
          <w:color w:val="auto"/>
          <w:sz w:val="30"/>
          <w:szCs w:val="30"/>
          <w:highlight w:val="none"/>
          <w:lang w:eastAsia="zh-CN"/>
        </w:rPr>
      </w:pPr>
    </w:p>
    <w:p>
      <w:pPr>
        <w:pStyle w:val="3"/>
        <w:spacing w:line="500" w:lineRule="exact"/>
        <w:rPr>
          <w:rFonts w:ascii="Times New Roman" w:hAnsi="Times New Roman" w:eastAsia="黑体" w:cs="Times New Roman"/>
          <w:b w:val="0"/>
          <w:color w:val="auto"/>
          <w:highlight w:val="none"/>
          <w:lang w:eastAsia="zh-CN"/>
        </w:rPr>
      </w:pPr>
      <w:bookmarkStart w:id="3" w:name="_Toc29194681"/>
      <w:bookmarkStart w:id="4" w:name="_Toc1168"/>
      <w:bookmarkStart w:id="5" w:name="_Toc6230450"/>
      <w:bookmarkStart w:id="6" w:name="_Toc370126361"/>
      <w:bookmarkStart w:id="7" w:name="_Toc23087"/>
      <w:bookmarkStart w:id="8" w:name="_Toc375641571"/>
      <w:r>
        <w:rPr>
          <w:rFonts w:ascii="Times New Roman" w:hAnsi="Times New Roman" w:eastAsia="黑体" w:cs="Times New Roman"/>
          <w:b w:val="0"/>
          <w:color w:val="auto"/>
          <w:highlight w:val="none"/>
          <w:lang w:eastAsia="zh-CN"/>
        </w:rPr>
        <w:t>1.询价条件</w:t>
      </w:r>
      <w:bookmarkEnd w:id="3"/>
      <w:bookmarkEnd w:id="4"/>
      <w:bookmarkEnd w:id="5"/>
      <w:bookmarkEnd w:id="6"/>
      <w:bookmarkEnd w:id="7"/>
      <w:bookmarkEnd w:id="8"/>
    </w:p>
    <w:p>
      <w:pPr>
        <w:spacing w:line="500" w:lineRule="exact"/>
        <w:ind w:firstLine="640" w:firstLineChars="200"/>
        <w:jc w:val="both"/>
        <w:rPr>
          <w:rFonts w:asciiTheme="minorEastAsia" w:hAnsiTheme="minorEastAsia" w:eastAsiaTheme="minorEastAsia" w:cstheme="minorEastAsia"/>
          <w:bCs/>
          <w:color w:val="auto"/>
          <w:sz w:val="24"/>
          <w:szCs w:val="24"/>
          <w:highlight w:val="none"/>
          <w:lang w:eastAsia="zh-CN"/>
        </w:rPr>
      </w:pPr>
      <w:r>
        <w:rPr>
          <w:rFonts w:hint="eastAsia" w:ascii="Times New Roman" w:hAnsi="Times New Roman" w:eastAsia="方正仿宋_GBK" w:cs="Times New Roman"/>
          <w:bCs/>
          <w:color w:val="auto"/>
          <w:sz w:val="32"/>
          <w:szCs w:val="32"/>
          <w:highlight w:val="none"/>
          <w:lang w:eastAsia="zh-CN"/>
        </w:rPr>
        <w:t>本项目《</w:t>
      </w:r>
      <w:r>
        <w:rPr>
          <w:rFonts w:ascii="Times New Roman" w:hAnsi="Times New Roman" w:eastAsia="方正仿宋_GBK" w:cs="Times New Roman"/>
          <w:bCs/>
          <w:color w:val="auto"/>
          <w:sz w:val="32"/>
          <w:szCs w:val="32"/>
          <w:highlight w:val="none"/>
          <w:lang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蓄水安全鉴定（含初期和终期）技术服务（第二次）</w:t>
      </w:r>
      <w:r>
        <w:rPr>
          <w:rFonts w:hint="eastAsia" w:ascii="Times New Roman" w:hAnsi="Times New Roman" w:eastAsia="方正仿宋_GBK" w:cs="Times New Roman"/>
          <w:bCs/>
          <w:color w:val="auto"/>
          <w:sz w:val="32"/>
          <w:szCs w:val="32"/>
          <w:highlight w:val="none"/>
          <w:lang w:eastAsia="zh-CN"/>
        </w:rPr>
        <w:t>》已具备发包条件，询价人为重庆嘉陵江利泽航电开发有限公司，发包人为重庆嘉陵江利泽航电开发有限公司。根据实际工作需要，现计划对该项目《</w:t>
      </w:r>
      <w:r>
        <w:rPr>
          <w:rFonts w:ascii="Times New Roman" w:hAnsi="Times New Roman" w:eastAsia="方正仿宋_GBK" w:cs="Times New Roman"/>
          <w:bCs/>
          <w:color w:val="auto"/>
          <w:sz w:val="32"/>
          <w:szCs w:val="32"/>
          <w:highlight w:val="none"/>
          <w:lang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蓄水安全鉴定（含初期和终期）技术服务（第二次）</w:t>
      </w:r>
      <w:r>
        <w:rPr>
          <w:rFonts w:hint="eastAsia" w:ascii="Times New Roman" w:hAnsi="Times New Roman" w:eastAsia="方正仿宋_GBK" w:cs="Times New Roman"/>
          <w:bCs/>
          <w:color w:val="auto"/>
          <w:sz w:val="32"/>
          <w:szCs w:val="32"/>
          <w:highlight w:val="none"/>
          <w:lang w:eastAsia="zh-CN"/>
        </w:rPr>
        <w:t>》采取公开询价方式确定服务单位。</w:t>
      </w:r>
    </w:p>
    <w:p>
      <w:pPr>
        <w:pStyle w:val="3"/>
        <w:spacing w:line="500" w:lineRule="exact"/>
        <w:rPr>
          <w:rFonts w:ascii="Times New Roman" w:hAnsi="Times New Roman" w:eastAsia="黑体" w:cs="Times New Roman"/>
          <w:b w:val="0"/>
          <w:color w:val="auto"/>
          <w:highlight w:val="none"/>
          <w:lang w:eastAsia="zh-CN"/>
        </w:rPr>
      </w:pPr>
      <w:bookmarkStart w:id="9" w:name="_Toc22021"/>
      <w:bookmarkStart w:id="10" w:name="_Toc29194682"/>
      <w:bookmarkStart w:id="11" w:name="_Toc11099"/>
      <w:bookmarkStart w:id="12" w:name="_Toc6230451"/>
      <w:r>
        <w:rPr>
          <w:rFonts w:ascii="Times New Roman" w:hAnsi="Times New Roman" w:eastAsia="黑体" w:cs="Times New Roman"/>
          <w:b w:val="0"/>
          <w:color w:val="auto"/>
          <w:highlight w:val="none"/>
          <w:lang w:eastAsia="zh-CN"/>
        </w:rPr>
        <w:t>2.项目概况与询价工作范围</w:t>
      </w:r>
      <w:bookmarkEnd w:id="9"/>
      <w:bookmarkEnd w:id="10"/>
      <w:bookmarkEnd w:id="11"/>
      <w:bookmarkEnd w:id="12"/>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bookmarkStart w:id="13" w:name="_Toc323734100"/>
      <w:bookmarkStart w:id="14" w:name="_Toc324429695"/>
      <w:bookmarkStart w:id="15" w:name="_Toc21092"/>
      <w:r>
        <w:rPr>
          <w:rFonts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eastAsia="zh-CN"/>
        </w:rPr>
        <w:t>地址</w:t>
      </w:r>
    </w:p>
    <w:p>
      <w:pPr>
        <w:spacing w:line="500" w:lineRule="exact"/>
        <w:ind w:firstLine="640" w:firstLineChars="200"/>
        <w:jc w:val="both"/>
        <w:rPr>
          <w:rFonts w:asciiTheme="minorEastAsia" w:hAnsiTheme="minorEastAsia" w:eastAsiaTheme="minorEastAsia" w:cstheme="minorEastAsia"/>
          <w:bCs/>
          <w:color w:val="auto"/>
          <w:sz w:val="24"/>
          <w:szCs w:val="24"/>
          <w:highlight w:val="none"/>
          <w:lang w:eastAsia="zh-CN"/>
        </w:rPr>
      </w:pPr>
      <w:r>
        <w:rPr>
          <w:rFonts w:hint="eastAsia" w:ascii="Times New Roman" w:hAnsi="Times New Roman" w:eastAsia="方正仿宋_GBK" w:cs="Times New Roman"/>
          <w:bCs/>
          <w:color w:val="auto"/>
          <w:sz w:val="32"/>
          <w:szCs w:val="32"/>
          <w:highlight w:val="none"/>
          <w:lang w:eastAsia="zh-CN"/>
        </w:rPr>
        <w:t>重庆市合川区大石街道利泽码头嘉陵江干流上游约3.5km处。</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eastAsia="zh-CN"/>
        </w:rPr>
        <w:t>项目概况</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eastAsia="zh-CN"/>
        </w:rPr>
        <w:t>3</w:t>
      </w:r>
      <w:r>
        <w:rPr>
          <w:rFonts w:hint="eastAsia" w:ascii="Times New Roman" w:hAnsi="Times New Roman" w:eastAsia="方正仿宋_GBK" w:cs="Times New Roman"/>
          <w:bCs/>
          <w:color w:val="auto"/>
          <w:sz w:val="32"/>
          <w:szCs w:val="32"/>
          <w:highlight w:val="none"/>
          <w:lang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eastAsia="zh-CN"/>
        </w:rPr>
        <w:t>3</w:t>
      </w:r>
      <w:r>
        <w:rPr>
          <w:rFonts w:hint="eastAsia" w:ascii="Times New Roman" w:hAnsi="Times New Roman" w:eastAsia="方正仿宋_GBK" w:cs="Times New Roman"/>
          <w:bCs/>
          <w:color w:val="auto"/>
          <w:sz w:val="32"/>
          <w:szCs w:val="32"/>
          <w:highlight w:val="none"/>
          <w:lang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利泽航运枢纽工程枢纽布置采用左船闸右厂房布置方案。枢纽坝顶全长569.63m，船闸布置在左岸，电站厂房布置在右岸，中间布置泄洪冲沙闸。枢纽总体布置沿坝轴线从左到右依次为：左岸重力坝段长65m；船闸门库段长28m；船闸上闸首长43.4m；泄洪冲沙闸门库段长17.6m；泄洪冲沙闸长242.4m；电站厂房长143.23m；右岸连接坝段长30.0m；鱼道布置在枢纽右岸边坡，从右岸连接坝段穿过。坝顶上游侧布置一条贯穿整个枢纽的坝顶交通公路，公路桥宽8.45m。坝顶高程为238.50m。管理区布置在距枢纽右岸公路外侧。</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利泽枢纽工程分两期进行建设，</w:t>
      </w:r>
      <w:r>
        <w:rPr>
          <w:rFonts w:hint="eastAsia" w:ascii="Times New Roman" w:hAnsi="Times New Roman" w:eastAsia="方正仿宋_GBK" w:cs="Times New Roman"/>
          <w:bCs/>
          <w:color w:val="auto"/>
          <w:sz w:val="32"/>
          <w:szCs w:val="32"/>
          <w:highlight w:val="none"/>
          <w:lang w:eastAsia="zh-CN"/>
        </w:rPr>
        <w:t>一期</w:t>
      </w:r>
      <w:r>
        <w:rPr>
          <w:rFonts w:hint="eastAsia" w:ascii="Times New Roman" w:hAnsi="Times New Roman" w:eastAsia="方正仿宋_GBK" w:cs="Times New Roman"/>
          <w:bCs/>
          <w:color w:val="auto"/>
          <w:sz w:val="32"/>
          <w:szCs w:val="32"/>
          <w:highlight w:val="none"/>
          <w:lang w:val="en-US" w:eastAsia="zh-CN"/>
        </w:rPr>
        <w:t>工程</w:t>
      </w:r>
      <w:r>
        <w:rPr>
          <w:rFonts w:hint="eastAsia" w:ascii="Times New Roman" w:hAnsi="Times New Roman" w:eastAsia="方正仿宋_GBK" w:cs="Times New Roman"/>
          <w:bCs/>
          <w:color w:val="auto"/>
          <w:sz w:val="32"/>
          <w:szCs w:val="32"/>
          <w:highlight w:val="none"/>
          <w:lang w:eastAsia="zh-CN"/>
        </w:rPr>
        <w:t>包括船闸工程、船闸门库坝段工程、左岸6.5孔泄洪冲沙闸工程、左岸泄洪冲沙闸门库坝段工程、左岸连接坝段工程等永久工程，以及为完成</w:t>
      </w:r>
      <w:r>
        <w:rPr>
          <w:rFonts w:hint="eastAsia" w:ascii="Times New Roman" w:hAnsi="Times New Roman" w:eastAsia="方正仿宋_GBK" w:cs="Times New Roman"/>
          <w:bCs/>
          <w:color w:val="auto"/>
          <w:sz w:val="32"/>
          <w:szCs w:val="32"/>
          <w:highlight w:val="none"/>
          <w:lang w:val="en-US" w:eastAsia="zh-CN"/>
        </w:rPr>
        <w:t>一</w:t>
      </w:r>
      <w:r>
        <w:rPr>
          <w:rFonts w:hint="eastAsia" w:ascii="Times New Roman" w:hAnsi="Times New Roman" w:eastAsia="方正仿宋_GBK" w:cs="Times New Roman"/>
          <w:bCs/>
          <w:color w:val="auto"/>
          <w:sz w:val="32"/>
          <w:szCs w:val="32"/>
          <w:highlight w:val="none"/>
          <w:lang w:eastAsia="zh-CN"/>
        </w:rPr>
        <w:t>期工程需要建设的</w:t>
      </w:r>
      <w:r>
        <w:rPr>
          <w:rFonts w:hint="eastAsia" w:ascii="Times New Roman" w:hAnsi="Times New Roman" w:eastAsia="方正仿宋_GBK" w:cs="Times New Roman"/>
          <w:bCs/>
          <w:color w:val="auto"/>
          <w:sz w:val="32"/>
          <w:szCs w:val="32"/>
          <w:highlight w:val="none"/>
          <w:lang w:val="en-US" w:eastAsia="zh-CN"/>
        </w:rPr>
        <w:t>船闸</w:t>
      </w:r>
      <w:r>
        <w:rPr>
          <w:rFonts w:hint="eastAsia" w:ascii="Times New Roman" w:hAnsi="Times New Roman" w:eastAsia="方正仿宋_GBK" w:cs="Times New Roman"/>
          <w:bCs/>
          <w:color w:val="auto"/>
          <w:sz w:val="32"/>
          <w:szCs w:val="32"/>
          <w:highlight w:val="none"/>
          <w:lang w:eastAsia="zh-CN"/>
        </w:rPr>
        <w:t>上、下游全年</w:t>
      </w:r>
      <w:r>
        <w:rPr>
          <w:rFonts w:hint="eastAsia" w:ascii="Times New Roman" w:hAnsi="Times New Roman" w:eastAsia="方正仿宋_GBK" w:cs="Times New Roman"/>
          <w:bCs/>
          <w:color w:val="auto"/>
          <w:sz w:val="32"/>
          <w:szCs w:val="32"/>
          <w:highlight w:val="none"/>
          <w:lang w:val="en-US" w:eastAsia="zh-CN"/>
        </w:rPr>
        <w:t>土石</w:t>
      </w:r>
      <w:r>
        <w:rPr>
          <w:rFonts w:hint="eastAsia" w:ascii="Times New Roman" w:hAnsi="Times New Roman" w:eastAsia="方正仿宋_GBK" w:cs="Times New Roman"/>
          <w:bCs/>
          <w:color w:val="auto"/>
          <w:sz w:val="32"/>
          <w:szCs w:val="32"/>
          <w:highlight w:val="none"/>
          <w:lang w:eastAsia="zh-CN"/>
        </w:rPr>
        <w:t>围堰工程、</w:t>
      </w:r>
      <w:r>
        <w:rPr>
          <w:rFonts w:hint="eastAsia" w:ascii="Times New Roman" w:hAnsi="Times New Roman" w:eastAsia="方正仿宋_GBK" w:cs="Times New Roman"/>
          <w:bCs/>
          <w:color w:val="auto"/>
          <w:sz w:val="32"/>
          <w:szCs w:val="32"/>
          <w:highlight w:val="none"/>
          <w:lang w:val="en-US" w:eastAsia="zh-CN"/>
        </w:rPr>
        <w:t>船闸</w:t>
      </w:r>
      <w:r>
        <w:rPr>
          <w:rFonts w:hint="eastAsia" w:ascii="Times New Roman" w:hAnsi="Times New Roman" w:eastAsia="方正仿宋_GBK" w:cs="Times New Roman"/>
          <w:bCs/>
          <w:color w:val="auto"/>
          <w:sz w:val="32"/>
          <w:szCs w:val="32"/>
          <w:highlight w:val="none"/>
          <w:lang w:eastAsia="zh-CN"/>
        </w:rPr>
        <w:t>全年纵向混凝土围堰工程、</w:t>
      </w:r>
      <w:r>
        <w:rPr>
          <w:rFonts w:hint="eastAsia" w:ascii="Times New Roman" w:hAnsi="Times New Roman" w:eastAsia="方正仿宋_GBK" w:cs="Times New Roman"/>
          <w:bCs/>
          <w:color w:val="auto"/>
          <w:sz w:val="32"/>
          <w:szCs w:val="32"/>
          <w:highlight w:val="none"/>
          <w:lang w:val="en-US" w:eastAsia="zh-CN"/>
        </w:rPr>
        <w:t>三期枯水纵向混凝土围堰工程</w:t>
      </w:r>
      <w:r>
        <w:rPr>
          <w:rFonts w:hint="eastAsia" w:ascii="Times New Roman" w:hAnsi="Times New Roman" w:eastAsia="方正仿宋_GBK" w:cs="Times New Roman"/>
          <w:bCs/>
          <w:color w:val="auto"/>
          <w:sz w:val="32"/>
          <w:szCs w:val="32"/>
          <w:highlight w:val="none"/>
          <w:lang w:eastAsia="zh-CN"/>
        </w:rPr>
        <w:t>以及其他围堰等临时工程。</w:t>
      </w:r>
      <w:r>
        <w:rPr>
          <w:rFonts w:hint="eastAsia" w:ascii="Times New Roman" w:hAnsi="Times New Roman" w:eastAsia="方正仿宋_GBK" w:cs="Times New Roman"/>
          <w:bCs/>
          <w:color w:val="auto"/>
          <w:sz w:val="32"/>
          <w:szCs w:val="32"/>
          <w:highlight w:val="none"/>
          <w:lang w:val="en-US" w:eastAsia="zh-CN"/>
        </w:rPr>
        <w:t>截止目前，船闸和左岸</w:t>
      </w:r>
      <w:r>
        <w:rPr>
          <w:rFonts w:hint="eastAsia" w:ascii="Times New Roman" w:hAnsi="Times New Roman" w:eastAsia="方正仿宋_GBK" w:cs="Times New Roman"/>
          <w:bCs/>
          <w:color w:val="auto"/>
          <w:sz w:val="32"/>
          <w:szCs w:val="32"/>
          <w:highlight w:val="none"/>
          <w:lang w:eastAsia="zh-CN"/>
        </w:rPr>
        <w:t>6.5孔泄洪冲沙闸工程</w:t>
      </w:r>
      <w:r>
        <w:rPr>
          <w:rFonts w:hint="eastAsia" w:ascii="Times New Roman" w:hAnsi="Times New Roman" w:eastAsia="方正仿宋_GBK" w:cs="Times New Roman"/>
          <w:bCs/>
          <w:color w:val="auto"/>
          <w:sz w:val="32"/>
          <w:szCs w:val="32"/>
          <w:highlight w:val="none"/>
          <w:lang w:val="en-US" w:eastAsia="zh-CN"/>
        </w:rPr>
        <w:t>等永久</w:t>
      </w:r>
      <w:r>
        <w:rPr>
          <w:rFonts w:hint="eastAsia" w:ascii="Times New Roman" w:hAnsi="Times New Roman" w:eastAsia="方正仿宋_GBK" w:cs="Times New Roman"/>
          <w:bCs/>
          <w:color w:val="auto"/>
          <w:sz w:val="32"/>
          <w:szCs w:val="32"/>
          <w:highlight w:val="none"/>
          <w:lang w:eastAsia="zh-CN"/>
        </w:rPr>
        <w:t>工程已</w:t>
      </w:r>
      <w:r>
        <w:rPr>
          <w:rFonts w:hint="eastAsia" w:ascii="Times New Roman" w:hAnsi="Times New Roman" w:eastAsia="方正仿宋_GBK" w:cs="Times New Roman"/>
          <w:bCs/>
          <w:color w:val="auto"/>
          <w:sz w:val="32"/>
          <w:szCs w:val="32"/>
          <w:highlight w:val="none"/>
          <w:lang w:val="en-US" w:eastAsia="zh-CN"/>
        </w:rPr>
        <w:t>基本</w:t>
      </w:r>
      <w:r>
        <w:rPr>
          <w:rFonts w:hint="eastAsia" w:ascii="Times New Roman" w:hAnsi="Times New Roman" w:eastAsia="方正仿宋_GBK" w:cs="Times New Roman"/>
          <w:bCs/>
          <w:color w:val="auto"/>
          <w:sz w:val="32"/>
          <w:szCs w:val="32"/>
          <w:highlight w:val="none"/>
          <w:lang w:eastAsia="zh-CN"/>
        </w:rPr>
        <w:t>建设完成，</w:t>
      </w:r>
      <w:r>
        <w:rPr>
          <w:rFonts w:hint="eastAsia" w:ascii="Times New Roman" w:hAnsi="Times New Roman" w:eastAsia="方正仿宋_GBK" w:cs="Times New Roman"/>
          <w:bCs/>
          <w:color w:val="auto"/>
          <w:sz w:val="32"/>
          <w:szCs w:val="32"/>
          <w:highlight w:val="none"/>
          <w:lang w:val="en-US" w:eastAsia="zh-CN"/>
        </w:rPr>
        <w:t>已</w:t>
      </w:r>
      <w:r>
        <w:rPr>
          <w:rFonts w:hint="eastAsia" w:ascii="Times New Roman" w:hAnsi="Times New Roman" w:eastAsia="方正仿宋_GBK" w:cs="Times New Roman"/>
          <w:bCs/>
          <w:color w:val="auto"/>
          <w:sz w:val="32"/>
          <w:szCs w:val="32"/>
          <w:highlight w:val="none"/>
          <w:lang w:eastAsia="zh-CN"/>
        </w:rPr>
        <w:t>具备蓄水通航条件；</w:t>
      </w:r>
      <w:r>
        <w:rPr>
          <w:rFonts w:hint="eastAsia" w:ascii="Times New Roman" w:hAnsi="Times New Roman" w:eastAsia="方正仿宋_GBK" w:cs="Times New Roman"/>
          <w:bCs/>
          <w:color w:val="auto"/>
          <w:sz w:val="32"/>
          <w:szCs w:val="32"/>
          <w:highlight w:val="none"/>
          <w:lang w:val="en-US" w:eastAsia="zh-CN"/>
        </w:rPr>
        <w:t>除一、二期共用的三期枯水纵向混凝土围堰工程未除拆外，其余围堰等临时工程均已经拆除</w:t>
      </w:r>
      <w:r>
        <w:rPr>
          <w:rFonts w:hint="eastAsia"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二</w:t>
      </w:r>
      <w:r>
        <w:rPr>
          <w:rFonts w:hint="eastAsia" w:ascii="Times New Roman" w:hAnsi="Times New Roman" w:eastAsia="方正仿宋_GBK" w:cs="Times New Roman"/>
          <w:bCs/>
          <w:color w:val="auto"/>
          <w:sz w:val="32"/>
          <w:szCs w:val="32"/>
          <w:highlight w:val="none"/>
          <w:lang w:eastAsia="zh-CN"/>
        </w:rPr>
        <w:t>期工程包括电站厂房工程、开关站工程、右岸7.5孔泄洪冲沙闸工程、右岸连接坝段工程、鱼道工程等永久工程，以及为完成二期工程需要建设的厂房上、下游全年</w:t>
      </w:r>
      <w:r>
        <w:rPr>
          <w:rFonts w:hint="eastAsia" w:ascii="Times New Roman" w:hAnsi="Times New Roman" w:eastAsia="方正仿宋_GBK" w:cs="Times New Roman"/>
          <w:bCs/>
          <w:color w:val="auto"/>
          <w:sz w:val="32"/>
          <w:szCs w:val="32"/>
          <w:highlight w:val="none"/>
          <w:lang w:val="en-US" w:eastAsia="zh-CN"/>
        </w:rPr>
        <w:t>土石</w:t>
      </w:r>
      <w:r>
        <w:rPr>
          <w:rFonts w:hint="eastAsia" w:ascii="Times New Roman" w:hAnsi="Times New Roman" w:eastAsia="方正仿宋_GBK" w:cs="Times New Roman"/>
          <w:bCs/>
          <w:color w:val="auto"/>
          <w:sz w:val="32"/>
          <w:szCs w:val="32"/>
          <w:highlight w:val="none"/>
          <w:lang w:eastAsia="zh-CN"/>
        </w:rPr>
        <w:t>围堰工程、厂房全年纵向混凝土围堰工程以及其他围堰等临时工程。</w:t>
      </w:r>
      <w:r>
        <w:rPr>
          <w:rFonts w:hint="eastAsia" w:ascii="Times New Roman" w:hAnsi="Times New Roman" w:eastAsia="方正仿宋_GBK" w:cs="Times New Roman"/>
          <w:bCs/>
          <w:color w:val="auto"/>
          <w:sz w:val="32"/>
          <w:szCs w:val="32"/>
          <w:highlight w:val="none"/>
          <w:lang w:val="en-US" w:eastAsia="zh-CN"/>
        </w:rPr>
        <w:t>截止目前，三枯上、下游土石围堰已基本建设完成；正在进行基坑开挖和右岸7.5孔泄洪冲沙闸底板混凝土浇筑施工</w:t>
      </w:r>
      <w:r>
        <w:rPr>
          <w:rFonts w:hint="eastAsia"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eastAsia="zh-CN"/>
        </w:rPr>
        <w:t>询价</w:t>
      </w:r>
      <w:r>
        <w:rPr>
          <w:rFonts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eastAsia="zh-CN"/>
        </w:rPr>
        <w:t>最高限价</w:t>
      </w:r>
      <w:r>
        <w:rPr>
          <w:rFonts w:hint="eastAsia" w:ascii="Times New Roman" w:hAnsi="Times New Roman" w:eastAsia="方正仿宋_GBK" w:cs="Times New Roman"/>
          <w:b/>
          <w:color w:val="auto"/>
          <w:sz w:val="32"/>
          <w:szCs w:val="32"/>
          <w:highlight w:val="none"/>
          <w:lang w:eastAsia="zh-CN"/>
        </w:rPr>
        <w:t>金额</w:t>
      </w:r>
      <w:r>
        <w:rPr>
          <w:rFonts w:ascii="Times New Roman" w:hAnsi="Times New Roman" w:eastAsia="方正仿宋_GBK" w:cs="Times New Roman"/>
          <w:b/>
          <w:color w:val="auto"/>
          <w:sz w:val="32"/>
          <w:szCs w:val="32"/>
          <w:highlight w:val="none"/>
          <w:lang w:eastAsia="zh-CN"/>
        </w:rPr>
        <w:t>：</w:t>
      </w:r>
      <w:r>
        <w:rPr>
          <w:rFonts w:hint="eastAsia" w:ascii="Times New Roman" w:hAnsi="Times New Roman" w:eastAsia="方正仿宋_GBK" w:cs="Times New Roman"/>
          <w:b/>
          <w:color w:val="auto"/>
          <w:sz w:val="32"/>
          <w:szCs w:val="32"/>
          <w:highlight w:val="none"/>
          <w:lang w:val="en-US" w:eastAsia="zh-CN"/>
        </w:rPr>
        <w:t>96</w:t>
      </w:r>
      <w:r>
        <w:rPr>
          <w:rFonts w:hint="eastAsia" w:ascii="Times New Roman" w:hAnsi="Times New Roman" w:eastAsia="方正仿宋_GBK" w:cs="Times New Roman"/>
          <w:b/>
          <w:color w:val="auto"/>
          <w:sz w:val="32"/>
          <w:szCs w:val="32"/>
          <w:highlight w:val="none"/>
          <w:lang w:eastAsia="zh-CN"/>
        </w:rPr>
        <w:t>万</w:t>
      </w:r>
      <w:r>
        <w:rPr>
          <w:rFonts w:ascii="Times New Roman" w:hAnsi="Times New Roman" w:eastAsia="方正仿宋_GBK" w:cs="Times New Roman"/>
          <w:b/>
          <w:color w:val="auto"/>
          <w:sz w:val="32"/>
          <w:szCs w:val="32"/>
          <w:highlight w:val="none"/>
          <w:lang w:eastAsia="zh-CN"/>
        </w:rPr>
        <w:t>元</w:t>
      </w:r>
      <w:r>
        <w:rPr>
          <w:rFonts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2.4</w:t>
      </w:r>
      <w:r>
        <w:rPr>
          <w:rFonts w:ascii="Times New Roman" w:hAnsi="Times New Roman" w:eastAsia="方正仿宋_GBK" w:cs="Times New Roman"/>
          <w:bCs/>
          <w:color w:val="auto"/>
          <w:sz w:val="32"/>
          <w:szCs w:val="32"/>
          <w:highlight w:val="none"/>
          <w:lang w:eastAsia="zh-CN"/>
        </w:rPr>
        <w:t>询价范围：</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依据《</w:t>
      </w:r>
      <w:r>
        <w:rPr>
          <w:rFonts w:hint="eastAsia" w:ascii="Times New Roman" w:hAnsi="Times New Roman" w:eastAsia="方正仿宋_GBK" w:cs="Times New Roman"/>
          <w:bCs/>
          <w:color w:val="auto"/>
          <w:sz w:val="32"/>
          <w:szCs w:val="32"/>
          <w:highlight w:val="none"/>
          <w:lang w:val="en-US" w:eastAsia="zh-CN"/>
        </w:rPr>
        <w:t>水利水电建设工程蓄水安全鉴定暂行办法</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2017年修正本</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水利部令第149号</w:t>
      </w:r>
      <w:r>
        <w:rPr>
          <w:rFonts w:hint="eastAsia" w:ascii="Times New Roman" w:hAnsi="Times New Roman" w:eastAsia="方正仿宋_GBK" w:cs="Times New Roman"/>
          <w:bCs/>
          <w:color w:val="auto"/>
          <w:sz w:val="32"/>
          <w:szCs w:val="32"/>
          <w:highlight w:val="none"/>
          <w:lang w:eastAsia="zh-CN"/>
        </w:rPr>
        <w:t>）、《水库大坝安全评价导则》（SL 258—2017）、《水利水电建设工程验收规程》（SL223-2008）以及相关法律、法规、行业部门管理办法，现行的技术规范、规程、标准等开展</w:t>
      </w:r>
      <w:r>
        <w:rPr>
          <w:rFonts w:hint="eastAsia" w:ascii="Times New Roman" w:hAnsi="Times New Roman" w:eastAsia="方正仿宋_GBK" w:cs="Times New Roman"/>
          <w:bCs/>
          <w:color w:val="auto"/>
          <w:sz w:val="32"/>
          <w:szCs w:val="32"/>
          <w:highlight w:val="none"/>
          <w:lang w:val="en-US" w:eastAsia="zh-CN"/>
        </w:rPr>
        <w:t>利泽航运枢纽工程初期蓄水（含两阶段）和终期蓄水</w:t>
      </w:r>
      <w:r>
        <w:rPr>
          <w:rFonts w:hint="eastAsia" w:ascii="Times New Roman" w:hAnsi="Times New Roman" w:eastAsia="方正仿宋_GBK" w:cs="Times New Roman"/>
          <w:bCs/>
          <w:color w:val="auto"/>
          <w:sz w:val="32"/>
          <w:szCs w:val="32"/>
          <w:highlight w:val="none"/>
          <w:lang w:eastAsia="zh-CN"/>
        </w:rPr>
        <w:t>安全鉴定工作，满足</w:t>
      </w:r>
      <w:r>
        <w:rPr>
          <w:rFonts w:hint="eastAsia"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eastAsia="zh-CN"/>
        </w:rPr>
        <w:t>相应阶段</w:t>
      </w:r>
      <w:r>
        <w:rPr>
          <w:rFonts w:hint="eastAsia" w:ascii="Times New Roman" w:hAnsi="Times New Roman" w:eastAsia="方正仿宋_GBK" w:cs="Times New Roman"/>
          <w:bCs/>
          <w:color w:val="auto"/>
          <w:sz w:val="32"/>
          <w:szCs w:val="32"/>
          <w:highlight w:val="none"/>
          <w:lang w:val="en-US" w:eastAsia="zh-CN"/>
        </w:rPr>
        <w:t>工程蓄水和工程</w:t>
      </w:r>
      <w:r>
        <w:rPr>
          <w:rFonts w:hint="eastAsia" w:ascii="Times New Roman" w:hAnsi="Times New Roman" w:eastAsia="方正仿宋_GBK" w:cs="Times New Roman"/>
          <w:bCs/>
          <w:color w:val="auto"/>
          <w:sz w:val="32"/>
          <w:szCs w:val="32"/>
          <w:highlight w:val="none"/>
          <w:lang w:eastAsia="zh-CN"/>
        </w:rPr>
        <w:t>验收要求。</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初期蓄水第一阶段安全鉴定的工程范围包括但不限于：左岸</w:t>
      </w:r>
      <w:r>
        <w:rPr>
          <w:rFonts w:hint="eastAsia" w:ascii="Times New Roman" w:hAnsi="Times New Roman" w:eastAsia="方正仿宋_GBK" w:cs="Times New Roman"/>
          <w:bCs/>
          <w:color w:val="auto"/>
          <w:sz w:val="32"/>
          <w:szCs w:val="32"/>
          <w:highlight w:val="none"/>
          <w:lang w:eastAsia="zh-CN"/>
        </w:rPr>
        <w:t>一期</w:t>
      </w:r>
      <w:r>
        <w:rPr>
          <w:rFonts w:hint="eastAsia" w:ascii="Times New Roman" w:hAnsi="Times New Roman" w:eastAsia="方正仿宋_GBK" w:cs="Times New Roman"/>
          <w:bCs/>
          <w:color w:val="auto"/>
          <w:sz w:val="32"/>
          <w:szCs w:val="32"/>
          <w:highlight w:val="none"/>
          <w:lang w:val="en-US" w:eastAsia="zh-CN"/>
        </w:rPr>
        <w:t>工程的</w:t>
      </w:r>
      <w:r>
        <w:rPr>
          <w:rFonts w:hint="eastAsia" w:ascii="Times New Roman" w:hAnsi="Times New Roman" w:eastAsia="方正仿宋_GBK" w:cs="Times New Roman"/>
          <w:bCs/>
          <w:color w:val="auto"/>
          <w:sz w:val="32"/>
          <w:szCs w:val="32"/>
          <w:highlight w:val="none"/>
          <w:lang w:eastAsia="zh-CN"/>
        </w:rPr>
        <w:t>船闸工程、船闸门库坝段工程、左岸6.5孔泄洪冲沙闸工程、左岸泄洪冲沙闸门库坝段工程、左岸连接坝段工程、</w:t>
      </w:r>
      <w:r>
        <w:rPr>
          <w:rFonts w:hint="eastAsia" w:ascii="Times New Roman" w:hAnsi="Times New Roman" w:eastAsia="方正仿宋_GBK" w:cs="Times New Roman"/>
          <w:bCs/>
          <w:color w:val="auto"/>
          <w:sz w:val="32"/>
          <w:szCs w:val="32"/>
          <w:highlight w:val="none"/>
          <w:lang w:val="en-US" w:eastAsia="zh-CN"/>
        </w:rPr>
        <w:t>上下游库岸和边坡</w:t>
      </w:r>
      <w:r>
        <w:rPr>
          <w:rFonts w:hint="eastAsia" w:ascii="Times New Roman" w:hAnsi="Times New Roman" w:eastAsia="方正仿宋_GBK" w:cs="Times New Roman"/>
          <w:bCs/>
          <w:color w:val="auto"/>
          <w:sz w:val="32"/>
          <w:szCs w:val="32"/>
          <w:highlight w:val="none"/>
          <w:lang w:eastAsia="zh-CN"/>
        </w:rPr>
        <w:t>等永久工程</w:t>
      </w:r>
      <w:r>
        <w:rPr>
          <w:rFonts w:hint="eastAsia" w:ascii="Times New Roman" w:hAnsi="Times New Roman" w:eastAsia="方正仿宋_GBK" w:cs="Times New Roman"/>
          <w:bCs/>
          <w:color w:val="auto"/>
          <w:sz w:val="32"/>
          <w:szCs w:val="32"/>
          <w:highlight w:val="none"/>
          <w:lang w:val="en-US" w:eastAsia="zh-CN"/>
        </w:rPr>
        <w:t>的土建工程、金属结构工程，以及三期枯水纵向混凝土围堰工程；右岸二期工程三期枯水上、下游土石围堰工程</w:t>
      </w:r>
      <w:r>
        <w:rPr>
          <w:rFonts w:hint="eastAsia"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初期蓄水第二阶段安全鉴定的工程范围包括但不限于：利泽枢纽右岸二期工程的5.5孔泄洪冲沙闸工程</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上下游库岸和边坡等永久工程的土建工程和金属结构工程以及</w:t>
      </w:r>
      <w:r>
        <w:rPr>
          <w:rFonts w:hint="eastAsia" w:ascii="Times New Roman" w:hAnsi="Times New Roman" w:eastAsia="方正仿宋_GBK" w:cs="Times New Roman"/>
          <w:bCs/>
          <w:color w:val="auto"/>
          <w:sz w:val="32"/>
          <w:szCs w:val="32"/>
          <w:highlight w:val="none"/>
          <w:lang w:eastAsia="zh-CN"/>
        </w:rPr>
        <w:t>厂房上、下游全年</w:t>
      </w:r>
      <w:r>
        <w:rPr>
          <w:rFonts w:hint="eastAsia" w:ascii="Times New Roman" w:hAnsi="Times New Roman" w:eastAsia="方正仿宋_GBK" w:cs="Times New Roman"/>
          <w:bCs/>
          <w:color w:val="auto"/>
          <w:sz w:val="32"/>
          <w:szCs w:val="32"/>
          <w:highlight w:val="none"/>
          <w:lang w:val="en-US" w:eastAsia="zh-CN"/>
        </w:rPr>
        <w:t>土石</w:t>
      </w:r>
      <w:r>
        <w:rPr>
          <w:rFonts w:hint="eastAsia" w:ascii="Times New Roman" w:hAnsi="Times New Roman" w:eastAsia="方正仿宋_GBK" w:cs="Times New Roman"/>
          <w:bCs/>
          <w:color w:val="auto"/>
          <w:sz w:val="32"/>
          <w:szCs w:val="32"/>
          <w:highlight w:val="none"/>
          <w:lang w:eastAsia="zh-CN"/>
        </w:rPr>
        <w:t>围堰工程、厂房全年纵向混凝土围堰工程，以及其他围堰等临时工程。</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终期蓄水安全鉴定的工程范围包括但不限于：利泽枢纽右岸二期工程的电站厂房工程、开关站工程、右岸2孔泄洪冲沙闸工程、右岸连接坝段工程、鱼道工程</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上下游库岸和边坡等永久工程的土建工程、金属结构安装工程。</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2.5工</w:t>
      </w:r>
      <w:r>
        <w:rPr>
          <w:rFonts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eastAsia="zh-CN"/>
        </w:rPr>
        <w:t>(交货期/服务期）</w:t>
      </w:r>
      <w:r>
        <w:rPr>
          <w:rFonts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计划工期为</w:t>
      </w:r>
      <w:r>
        <w:rPr>
          <w:rFonts w:hint="eastAsia" w:ascii="Times New Roman" w:hAnsi="Times New Roman" w:eastAsia="方正仿宋_GBK" w:cs="Times New Roman"/>
          <w:bCs/>
          <w:color w:val="auto"/>
          <w:sz w:val="32"/>
          <w:szCs w:val="32"/>
          <w:highlight w:val="none"/>
          <w:lang w:val="en-US" w:eastAsia="zh-CN"/>
        </w:rPr>
        <w:t>90</w:t>
      </w:r>
      <w:r>
        <w:rPr>
          <w:rFonts w:hint="eastAsia" w:ascii="Times New Roman" w:hAnsi="Times New Roman" w:eastAsia="方正仿宋_GBK" w:cs="Times New Roman"/>
          <w:bCs/>
          <w:color w:val="auto"/>
          <w:sz w:val="32"/>
          <w:szCs w:val="32"/>
          <w:highlight w:val="none"/>
          <w:lang w:eastAsia="zh-CN"/>
        </w:rPr>
        <w:t>日历天（</w:t>
      </w:r>
      <w:r>
        <w:rPr>
          <w:rFonts w:hint="eastAsia" w:ascii="Times New Roman" w:hAnsi="Times New Roman" w:eastAsia="方正仿宋_GBK" w:cs="Times New Roman"/>
          <w:bCs/>
          <w:color w:val="auto"/>
          <w:sz w:val="32"/>
          <w:szCs w:val="32"/>
          <w:highlight w:val="none"/>
          <w:lang w:val="en-US" w:eastAsia="zh-CN"/>
        </w:rPr>
        <w:t>各阶段</w:t>
      </w:r>
      <w:r>
        <w:rPr>
          <w:rFonts w:hint="eastAsia" w:ascii="Times New Roman" w:hAnsi="Times New Roman" w:eastAsia="方正仿宋_GBK" w:cs="Times New Roman"/>
          <w:bCs/>
          <w:color w:val="auto"/>
          <w:sz w:val="32"/>
          <w:szCs w:val="32"/>
          <w:highlight w:val="none"/>
          <w:lang w:eastAsia="zh-CN"/>
        </w:rPr>
        <w:t>各</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0天）。</w:t>
      </w:r>
    </w:p>
    <w:p>
      <w:pPr>
        <w:spacing w:line="500" w:lineRule="exact"/>
        <w:ind w:firstLine="640" w:firstLineChars="200"/>
        <w:jc w:val="both"/>
        <w:rPr>
          <w:rFonts w:hint="eastAsia" w:ascii="Times New Roman" w:hAnsi="Times New Roman" w:eastAsia="方正仿宋_GBK" w:cs="Times New Roman"/>
          <w:bCs/>
          <w:color w:val="auto"/>
          <w:sz w:val="32"/>
          <w:szCs w:val="32"/>
          <w:highlight w:val="yellow"/>
          <w:lang w:eastAsia="zh-CN"/>
        </w:rPr>
      </w:pPr>
      <w:r>
        <w:rPr>
          <w:rFonts w:hint="eastAsia" w:ascii="Times New Roman" w:hAnsi="Times New Roman" w:eastAsia="方正仿宋_GBK" w:cs="Times New Roman"/>
          <w:bCs/>
          <w:color w:val="auto"/>
          <w:sz w:val="32"/>
          <w:szCs w:val="32"/>
          <w:highlight w:val="none"/>
          <w:lang w:val="en-US" w:eastAsia="zh-CN"/>
        </w:rPr>
        <w:t>初期蓄水第一阶段安全鉴定：</w:t>
      </w:r>
      <w:r>
        <w:rPr>
          <w:rFonts w:hint="eastAsia" w:ascii="Times New Roman" w:hAnsi="Times New Roman" w:eastAsia="方正仿宋_GBK" w:cs="Times New Roman"/>
          <w:bCs/>
          <w:color w:val="auto"/>
          <w:sz w:val="32"/>
          <w:szCs w:val="32"/>
          <w:highlight w:val="none"/>
          <w:lang w:eastAsia="zh-CN"/>
        </w:rPr>
        <w:t>计划开工日期：2022年</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日，计划</w:t>
      </w:r>
      <w:r>
        <w:rPr>
          <w:rFonts w:hint="eastAsia" w:ascii="Times New Roman" w:hAnsi="Times New Roman" w:eastAsia="方正仿宋_GBK" w:cs="Times New Roman"/>
          <w:bCs/>
          <w:color w:val="auto"/>
          <w:sz w:val="32"/>
          <w:szCs w:val="32"/>
          <w:highlight w:val="none"/>
          <w:lang w:val="en-US" w:eastAsia="zh-CN"/>
        </w:rPr>
        <w:t>完</w:t>
      </w:r>
      <w:r>
        <w:rPr>
          <w:rFonts w:hint="eastAsia" w:ascii="Times New Roman" w:hAnsi="Times New Roman" w:eastAsia="方正仿宋_GBK" w:cs="Times New Roman"/>
          <w:bCs/>
          <w:color w:val="auto"/>
          <w:sz w:val="32"/>
          <w:szCs w:val="32"/>
          <w:highlight w:val="none"/>
          <w:lang w:eastAsia="zh-CN"/>
        </w:rPr>
        <w:t>工日期为2022年</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30</w:t>
      </w:r>
      <w:r>
        <w:rPr>
          <w:rFonts w:hint="eastAsia" w:ascii="Times New Roman" w:hAnsi="Times New Roman" w:eastAsia="方正仿宋_GBK" w:cs="Times New Roman"/>
          <w:bCs/>
          <w:color w:val="auto"/>
          <w:sz w:val="32"/>
          <w:szCs w:val="32"/>
          <w:highlight w:val="none"/>
          <w:lang w:eastAsia="zh-CN"/>
        </w:rPr>
        <w:t>日。</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初期蓄水第二阶段安全鉴定：</w:t>
      </w:r>
      <w:r>
        <w:rPr>
          <w:rFonts w:hint="eastAsia" w:ascii="Times New Roman" w:hAnsi="Times New Roman" w:eastAsia="方正仿宋_GBK" w:cs="Times New Roman"/>
          <w:bCs/>
          <w:color w:val="auto"/>
          <w:sz w:val="32"/>
          <w:szCs w:val="32"/>
          <w:highlight w:val="none"/>
          <w:lang w:eastAsia="zh-CN"/>
        </w:rPr>
        <w:t>计划开工日期：2022年</w:t>
      </w:r>
      <w:r>
        <w:rPr>
          <w:rFonts w:hint="eastAsia" w:ascii="Times New Roman" w:hAnsi="Times New Roman" w:eastAsia="方正仿宋_GBK" w:cs="Times New Roman"/>
          <w:bCs/>
          <w:color w:val="auto"/>
          <w:sz w:val="32"/>
          <w:szCs w:val="32"/>
          <w:highlight w:val="none"/>
          <w:lang w:val="en-US" w:eastAsia="zh-CN"/>
        </w:rPr>
        <w:t>6</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日，计划</w:t>
      </w:r>
      <w:r>
        <w:rPr>
          <w:rFonts w:hint="eastAsia" w:ascii="Times New Roman" w:hAnsi="Times New Roman" w:eastAsia="方正仿宋_GBK" w:cs="Times New Roman"/>
          <w:bCs/>
          <w:color w:val="auto"/>
          <w:sz w:val="32"/>
          <w:szCs w:val="32"/>
          <w:highlight w:val="none"/>
          <w:lang w:val="en-US" w:eastAsia="zh-CN"/>
        </w:rPr>
        <w:t>完</w:t>
      </w:r>
      <w:r>
        <w:rPr>
          <w:rFonts w:hint="eastAsia" w:ascii="Times New Roman" w:hAnsi="Times New Roman" w:eastAsia="方正仿宋_GBK" w:cs="Times New Roman"/>
          <w:bCs/>
          <w:color w:val="auto"/>
          <w:sz w:val="32"/>
          <w:szCs w:val="32"/>
          <w:highlight w:val="none"/>
          <w:lang w:eastAsia="zh-CN"/>
        </w:rPr>
        <w:t>工日期为2022年</w:t>
      </w:r>
      <w:r>
        <w:rPr>
          <w:rFonts w:hint="eastAsia" w:ascii="Times New Roman" w:hAnsi="Times New Roman" w:eastAsia="方正仿宋_GBK" w:cs="Times New Roman"/>
          <w:bCs/>
          <w:color w:val="auto"/>
          <w:sz w:val="32"/>
          <w:szCs w:val="32"/>
          <w:highlight w:val="none"/>
          <w:lang w:val="en-US" w:eastAsia="zh-CN"/>
        </w:rPr>
        <w:t>6</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30</w:t>
      </w:r>
      <w:r>
        <w:rPr>
          <w:rFonts w:hint="eastAsia" w:ascii="Times New Roman" w:hAnsi="Times New Roman" w:eastAsia="方正仿宋_GBK" w:cs="Times New Roman"/>
          <w:bCs/>
          <w:color w:val="auto"/>
          <w:sz w:val="32"/>
          <w:szCs w:val="32"/>
          <w:highlight w:val="none"/>
          <w:lang w:eastAsia="zh-CN"/>
        </w:rPr>
        <w:t>日。</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终期蓄水安全鉴定：</w:t>
      </w:r>
      <w:r>
        <w:rPr>
          <w:rFonts w:hint="eastAsia" w:ascii="Times New Roman" w:hAnsi="Times New Roman" w:eastAsia="方正仿宋_GBK" w:cs="Times New Roman"/>
          <w:bCs/>
          <w:color w:val="auto"/>
          <w:sz w:val="32"/>
          <w:szCs w:val="32"/>
          <w:highlight w:val="none"/>
          <w:lang w:eastAsia="zh-CN"/>
        </w:rPr>
        <w:t>计划开工日期：202</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11</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eastAsia" w:ascii="Times New Roman" w:hAnsi="Times New Roman" w:eastAsia="方正仿宋_GBK" w:cs="Times New Roman"/>
          <w:bCs/>
          <w:color w:val="auto"/>
          <w:sz w:val="32"/>
          <w:szCs w:val="32"/>
          <w:highlight w:val="none"/>
          <w:lang w:eastAsia="zh-CN"/>
        </w:rPr>
        <w:t>日，计划</w:t>
      </w:r>
      <w:r>
        <w:rPr>
          <w:rFonts w:hint="eastAsia" w:ascii="Times New Roman" w:hAnsi="Times New Roman" w:eastAsia="方正仿宋_GBK" w:cs="Times New Roman"/>
          <w:bCs/>
          <w:color w:val="auto"/>
          <w:sz w:val="32"/>
          <w:szCs w:val="32"/>
          <w:highlight w:val="none"/>
          <w:lang w:val="en-US" w:eastAsia="zh-CN"/>
        </w:rPr>
        <w:t>完</w:t>
      </w:r>
      <w:r>
        <w:rPr>
          <w:rFonts w:hint="eastAsia" w:ascii="Times New Roman" w:hAnsi="Times New Roman" w:eastAsia="方正仿宋_GBK" w:cs="Times New Roman"/>
          <w:bCs/>
          <w:color w:val="auto"/>
          <w:sz w:val="32"/>
          <w:szCs w:val="32"/>
          <w:highlight w:val="none"/>
          <w:lang w:eastAsia="zh-CN"/>
        </w:rPr>
        <w:t>工日期为202</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12</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eastAsia" w:ascii="Times New Roman" w:hAnsi="Times New Roman" w:eastAsia="方正仿宋_GBK" w:cs="Times New Roman"/>
          <w:bCs/>
          <w:color w:val="auto"/>
          <w:sz w:val="32"/>
          <w:szCs w:val="32"/>
          <w:highlight w:val="none"/>
          <w:lang w:eastAsia="zh-CN"/>
        </w:rPr>
        <w:t>日。</w:t>
      </w:r>
    </w:p>
    <w:p>
      <w:pPr>
        <w:pStyle w:val="3"/>
        <w:spacing w:line="500" w:lineRule="exact"/>
        <w:rPr>
          <w:rFonts w:ascii="Times New Roman" w:hAnsi="Times New Roman" w:eastAsia="黑体" w:cs="Times New Roman"/>
          <w:b w:val="0"/>
          <w:color w:val="auto"/>
          <w:highlight w:val="none"/>
          <w:lang w:eastAsia="zh-CN"/>
        </w:rPr>
      </w:pPr>
      <w:bookmarkStart w:id="16" w:name="_Toc11236"/>
      <w:bookmarkStart w:id="17" w:name="_Toc29194683"/>
      <w:bookmarkStart w:id="18" w:name="_Toc29413"/>
      <w:bookmarkStart w:id="19" w:name="_Toc6230452"/>
      <w:r>
        <w:rPr>
          <w:rFonts w:ascii="Times New Roman" w:hAnsi="Times New Roman" w:eastAsia="黑体" w:cs="Times New Roman"/>
          <w:b w:val="0"/>
          <w:color w:val="auto"/>
          <w:highlight w:val="none"/>
          <w:lang w:eastAsia="zh-CN"/>
        </w:rPr>
        <w:t>3.报价人资格要求</w:t>
      </w:r>
      <w:bookmarkEnd w:id="13"/>
      <w:bookmarkEnd w:id="14"/>
      <w:bookmarkEnd w:id="15"/>
      <w:bookmarkEnd w:id="16"/>
      <w:bookmarkEnd w:id="17"/>
      <w:bookmarkEnd w:id="18"/>
      <w:bookmarkEnd w:id="19"/>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（1）报价人为中国境内注册的独立法人企业。</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（2）报价人具有以下全部资质：</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①具有有效营业执照/事业单位法人证书、税务登记证、组织机构代码证的单位，多证合一的需备注；</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②具有水利行业工程设计</w:t>
      </w:r>
      <w:r>
        <w:rPr>
          <w:rFonts w:hint="eastAsia" w:ascii="Times New Roman" w:hAnsi="Times New Roman" w:eastAsia="方正仿宋_GBK" w:cs="Times New Roman"/>
          <w:bCs/>
          <w:color w:val="auto"/>
          <w:sz w:val="32"/>
          <w:szCs w:val="32"/>
          <w:highlight w:val="none"/>
          <w:lang w:val="en-US" w:eastAsia="zh-CN"/>
        </w:rPr>
        <w:t>甲</w:t>
      </w:r>
      <w:r>
        <w:rPr>
          <w:rFonts w:hint="eastAsia" w:ascii="Times New Roman" w:hAnsi="Times New Roman" w:eastAsia="方正仿宋_GBK" w:cs="Times New Roman"/>
          <w:bCs/>
          <w:color w:val="auto"/>
          <w:sz w:val="32"/>
          <w:szCs w:val="32"/>
          <w:highlight w:val="none"/>
          <w:lang w:eastAsia="zh-CN"/>
        </w:rPr>
        <w:t>级及</w:t>
      </w:r>
      <w:bookmarkStart w:id="20" w:name="OLE_LINK1"/>
      <w:bookmarkStart w:id="21" w:name="OLE_LINK2"/>
      <w:r>
        <w:rPr>
          <w:rFonts w:hint="eastAsia" w:ascii="Times New Roman" w:hAnsi="Times New Roman" w:eastAsia="方正仿宋_GBK" w:cs="Times New Roman"/>
          <w:bCs/>
          <w:color w:val="auto"/>
          <w:sz w:val="32"/>
          <w:szCs w:val="32"/>
          <w:highlight w:val="none"/>
          <w:lang w:eastAsia="zh-CN"/>
        </w:rPr>
        <w:t>以上资质</w:t>
      </w:r>
      <w:bookmarkEnd w:id="20"/>
      <w:bookmarkEnd w:id="21"/>
      <w:r>
        <w:rPr>
          <w:rFonts w:hint="eastAsia" w:ascii="Times New Roman" w:hAnsi="Times New Roman" w:eastAsia="方正仿宋_GBK" w:cs="Times New Roman"/>
          <w:bCs/>
          <w:color w:val="auto"/>
          <w:sz w:val="32"/>
          <w:szCs w:val="32"/>
          <w:highlight w:val="none"/>
          <w:lang w:eastAsia="zh-CN"/>
        </w:rPr>
        <w:t>或工程设计综合甲级资质。</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（3）报价人自201</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年1月1日至报价截止日（以合同签订时间为准），独立承担过1个</w:t>
      </w:r>
      <w:r>
        <w:rPr>
          <w:rFonts w:hint="eastAsia" w:ascii="Times New Roman" w:hAnsi="Times New Roman" w:eastAsia="方正仿宋_GBK" w:cs="Times New Roman"/>
          <w:bCs/>
          <w:color w:val="auto"/>
          <w:sz w:val="32"/>
          <w:szCs w:val="32"/>
          <w:highlight w:val="none"/>
          <w:lang w:val="en-US" w:eastAsia="zh-CN"/>
        </w:rPr>
        <w:t>中型及以上的航运枢纽或航电枢纽或电航枢纽或水利枢纽或水电工程水库</w:t>
      </w:r>
      <w:r>
        <w:rPr>
          <w:rFonts w:hint="eastAsia" w:ascii="Times New Roman" w:hAnsi="Times New Roman" w:eastAsia="方正仿宋_GBK" w:cs="Times New Roman"/>
          <w:bCs/>
          <w:color w:val="auto"/>
          <w:sz w:val="32"/>
          <w:szCs w:val="32"/>
          <w:highlight w:val="none"/>
          <w:lang w:eastAsia="zh-CN"/>
        </w:rPr>
        <w:t>蓄水安全鉴定或竣工验收技术鉴定业绩。</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eastAsia="zh-CN"/>
        </w:rPr>
        <w:t>报价人没有被列入黑名单。</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3.3</w:t>
      </w:r>
      <w:r>
        <w:rPr>
          <w:rFonts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eastAsia="zh-CN"/>
        </w:rPr>
        <w:t>不</w:t>
      </w:r>
      <w:r>
        <w:rPr>
          <w:rFonts w:ascii="Times New Roman" w:hAnsi="Times New Roman" w:eastAsia="方正仿宋_GBK" w:cs="Times New Roman"/>
          <w:bCs/>
          <w:color w:val="auto"/>
          <w:sz w:val="32"/>
          <w:szCs w:val="32"/>
          <w:highlight w:val="none"/>
          <w:lang w:eastAsia="zh-CN"/>
        </w:rPr>
        <w:t>接受联合体询价。</w:t>
      </w:r>
    </w:p>
    <w:p>
      <w:pPr>
        <w:pStyle w:val="3"/>
        <w:spacing w:line="500" w:lineRule="exact"/>
        <w:rPr>
          <w:rFonts w:ascii="Times New Roman" w:hAnsi="Times New Roman" w:eastAsia="黑体" w:cs="Times New Roman"/>
          <w:b w:val="0"/>
          <w:color w:val="auto"/>
          <w:highlight w:val="none"/>
          <w:lang w:eastAsia="zh-CN"/>
        </w:rPr>
      </w:pPr>
      <w:bookmarkStart w:id="22" w:name="_Toc3457"/>
      <w:bookmarkStart w:id="23" w:name="_Toc18124"/>
      <w:bookmarkStart w:id="24" w:name="_Toc29194684"/>
      <w:bookmarkStart w:id="25" w:name="_Toc323734101"/>
      <w:bookmarkStart w:id="26" w:name="_Toc6230453"/>
      <w:bookmarkStart w:id="27" w:name="_Toc13014"/>
      <w:bookmarkStart w:id="28" w:name="_Toc324429696"/>
      <w:r>
        <w:rPr>
          <w:rFonts w:ascii="Times New Roman" w:hAnsi="Times New Roman" w:eastAsia="黑体" w:cs="Times New Roman"/>
          <w:b w:val="0"/>
          <w:color w:val="auto"/>
          <w:highlight w:val="none"/>
          <w:lang w:eastAsia="zh-CN"/>
        </w:rPr>
        <w:t>4. 报价文件的递交</w:t>
      </w:r>
      <w:bookmarkEnd w:id="22"/>
      <w:bookmarkEnd w:id="23"/>
    </w:p>
    <w:p>
      <w:pPr>
        <w:spacing w:line="50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color w:val="auto"/>
          <w:sz w:val="32"/>
          <w:szCs w:val="32"/>
          <w:highlight w:val="none"/>
          <w:lang w:eastAsia="zh-CN"/>
        </w:rPr>
        <w:t>4.1报价文件递交地点：</w:t>
      </w:r>
      <w:r>
        <w:rPr>
          <w:rFonts w:ascii="Times New Roman" w:hAnsi="Times New Roman" w:eastAsia="方正仿宋_GBK" w:cs="Times New Roman"/>
          <w:bCs/>
          <w:color w:val="auto"/>
          <w:sz w:val="32"/>
          <w:szCs w:val="32"/>
          <w:highlight w:val="none"/>
          <w:u w:val="single"/>
          <w:lang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ascii="Times New Roman" w:hAnsi="Times New Roman" w:eastAsia="方正仿宋_GBK" w:cs="Times New Roman"/>
          <w:bCs/>
          <w:color w:val="auto"/>
          <w:sz w:val="32"/>
          <w:szCs w:val="32"/>
          <w:highlight w:val="none"/>
          <w:u w:val="single"/>
          <w:lang w:eastAsia="zh-CN"/>
        </w:rPr>
        <w:t>利泽公司</w:t>
      </w:r>
      <w:r>
        <w:rPr>
          <w:rFonts w:hint="eastAsia" w:ascii="Times New Roman" w:hAnsi="Times New Roman" w:eastAsia="方正仿宋_GBK" w:cs="Times New Roman"/>
          <w:bCs/>
          <w:color w:val="auto"/>
          <w:sz w:val="32"/>
          <w:szCs w:val="32"/>
          <w:highlight w:val="none"/>
          <w:u w:val="single"/>
          <w:lang w:eastAsia="zh-CN"/>
        </w:rPr>
        <w:t>合同管理部（可邮寄，邮寄地址：</w:t>
      </w:r>
      <w:r>
        <w:rPr>
          <w:rFonts w:ascii="Times New Roman" w:hAnsi="Times New Roman" w:eastAsia="方正仿宋_GBK" w:cs="Times New Roman"/>
          <w:bCs/>
          <w:color w:val="auto"/>
          <w:sz w:val="32"/>
          <w:szCs w:val="32"/>
          <w:highlight w:val="none"/>
          <w:u w:val="single"/>
          <w:lang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ascii="Times New Roman" w:hAnsi="Times New Roman" w:eastAsia="方正仿宋_GBK" w:cs="Times New Roman"/>
          <w:bCs/>
          <w:color w:val="auto"/>
          <w:sz w:val="32"/>
          <w:szCs w:val="32"/>
          <w:highlight w:val="none"/>
          <w:u w:val="single"/>
          <w:lang w:eastAsia="zh-CN"/>
        </w:rPr>
        <w:t>利泽公司</w:t>
      </w:r>
      <w:r>
        <w:rPr>
          <w:rFonts w:hint="eastAsia" w:ascii="Times New Roman" w:hAnsi="Times New Roman" w:eastAsia="方正仿宋_GBK" w:cs="Times New Roman"/>
          <w:bCs/>
          <w:color w:val="auto"/>
          <w:sz w:val="32"/>
          <w:szCs w:val="32"/>
          <w:highlight w:val="none"/>
          <w:u w:val="single"/>
          <w:lang w:eastAsia="zh-CN"/>
        </w:rPr>
        <w:t>，收件人：安老师，</w:t>
      </w:r>
      <w:r>
        <w:rPr>
          <w:rFonts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eastAsia="zh-CN"/>
        </w:rPr>
        <w:t>13627664605）</w:t>
      </w:r>
      <w:r>
        <w:rPr>
          <w:rFonts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sz w:val="32"/>
          <w:szCs w:val="32"/>
          <w:lang w:eastAsia="zh-CN"/>
        </w:rPr>
        <w:t>公告发布之日起第五个工作日（含发布当日）18:00截止</w:t>
      </w:r>
      <w:r>
        <w:rPr>
          <w:rFonts w:ascii="Times New Roman" w:hAnsi="Times New Roman" w:eastAsia="方正仿宋_GBK" w:cs="Times New Roman"/>
          <w:bCs/>
          <w:sz w:val="32"/>
          <w:szCs w:val="32"/>
          <w:lang w:eastAsia="zh-CN"/>
        </w:rPr>
        <w:t>（北京时间）。</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00" w:lineRule="exact"/>
        <w:jc w:val="both"/>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highlight w:val="none"/>
          <w:lang w:eastAsia="zh-CN"/>
        </w:rPr>
      </w:pPr>
      <w:bookmarkStart w:id="29" w:name="_Toc14638"/>
      <w:bookmarkStart w:id="30" w:name="_Toc30834"/>
      <w:r>
        <w:rPr>
          <w:rFonts w:ascii="Times New Roman" w:hAnsi="Times New Roman" w:eastAsia="黑体" w:cs="Times New Roman"/>
          <w:b w:val="0"/>
          <w:highlight w:val="none"/>
          <w:lang w:eastAsia="zh-CN"/>
        </w:rPr>
        <w:t>5.发布公告的媒介</w:t>
      </w:r>
      <w:bookmarkEnd w:id="29"/>
      <w:bookmarkEnd w:id="30"/>
    </w:p>
    <w:p>
      <w:pPr>
        <w:wordWrap w:val="0"/>
        <w:spacing w:line="500" w:lineRule="exact"/>
        <w:ind w:firstLine="640" w:firstLineChars="200"/>
        <w:rPr>
          <w:rFonts w:ascii="Times New Roman" w:hAnsi="Times New Roman" w:eastAsia="方正仿宋_GBK" w:cs="Times New Roman"/>
          <w:bCs/>
          <w:sz w:val="32"/>
          <w:szCs w:val="32"/>
          <w:highlight w:val="none"/>
          <w:lang w:eastAsia="zh-CN"/>
        </w:rPr>
      </w:pPr>
      <w:r>
        <w:rPr>
          <w:rFonts w:ascii="Times New Roman" w:hAnsi="Times New Roman" w:eastAsia="方正仿宋_GBK" w:cs="Times New Roman"/>
          <w:bCs/>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spacing w:line="500" w:lineRule="exact"/>
        <w:ind w:firstLine="640" w:firstLineChars="200"/>
        <w:jc w:val="both"/>
        <w:rPr>
          <w:rFonts w:ascii="Times New Roman" w:hAnsi="Times New Roman" w:eastAsia="方正仿宋_GBK" w:cs="Times New Roman"/>
          <w:bCs/>
          <w:sz w:val="32"/>
          <w:szCs w:val="32"/>
          <w:highlight w:val="none"/>
          <w:lang w:eastAsia="zh-CN"/>
        </w:rPr>
      </w:pPr>
      <w:r>
        <w:rPr>
          <w:rFonts w:ascii="Times New Roman" w:hAnsi="Times New Roman" w:eastAsia="方正仿宋_GBK" w:cs="Times New Roman"/>
          <w:bCs/>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2"/>
        <w:rPr>
          <w:lang w:eastAsia="zh-CN"/>
        </w:rPr>
      </w:pPr>
    </w:p>
    <w:p>
      <w:pPr>
        <w:pStyle w:val="3"/>
        <w:spacing w:line="500" w:lineRule="exact"/>
        <w:rPr>
          <w:rFonts w:ascii="Times New Roman" w:hAnsi="Times New Roman" w:eastAsia="黑体" w:cs="Times New Roman"/>
          <w:b w:val="0"/>
          <w:color w:val="auto"/>
          <w:highlight w:val="none"/>
          <w:lang w:eastAsia="zh-CN"/>
        </w:rPr>
      </w:pPr>
      <w:bookmarkStart w:id="31" w:name="_Toc5640"/>
      <w:bookmarkStart w:id="32" w:name="_Toc5276"/>
      <w:r>
        <w:rPr>
          <w:rFonts w:hint="eastAsia" w:ascii="Times New Roman" w:hAnsi="Times New Roman" w:eastAsia="黑体" w:cs="Times New Roman"/>
          <w:b w:val="0"/>
          <w:color w:val="auto"/>
          <w:highlight w:val="none"/>
          <w:lang w:val="en-US" w:eastAsia="zh-CN"/>
        </w:rPr>
        <w:t>6</w:t>
      </w:r>
      <w:r>
        <w:rPr>
          <w:rFonts w:ascii="Times New Roman" w:hAnsi="Times New Roman" w:eastAsia="黑体" w:cs="Times New Roman"/>
          <w:b w:val="0"/>
          <w:color w:val="auto"/>
          <w:highlight w:val="none"/>
          <w:lang w:eastAsia="zh-CN"/>
        </w:rPr>
        <w:t>.联系方式</w:t>
      </w:r>
      <w:bookmarkEnd w:id="31"/>
      <w:bookmarkEnd w:id="32"/>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eastAsia="zh-CN"/>
        </w:rPr>
        <w:t>重庆嘉陵江利泽航电开发有限</w:t>
      </w:r>
      <w:r>
        <w:rPr>
          <w:rFonts w:ascii="Times New Roman" w:hAnsi="Times New Roman" w:eastAsia="方正仿宋_GBK" w:cs="Times New Roman"/>
          <w:bCs/>
          <w:color w:val="auto"/>
          <w:sz w:val="32"/>
          <w:szCs w:val="32"/>
          <w:highlight w:val="none"/>
          <w:lang w:eastAsia="zh-CN"/>
        </w:rPr>
        <w:t>公司</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eastAsia="zh-CN"/>
        </w:rPr>
        <w:t>重庆市合川区大石街道水口庙利泽公司</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安老师</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13627664605</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color w:val="auto"/>
          <w:highlight w:val="none"/>
          <w:lang w:eastAsia="zh-CN"/>
        </w:rPr>
      </w:pPr>
      <w:bookmarkStart w:id="33" w:name="_Toc11147"/>
      <w:bookmarkStart w:id="34" w:name="_Toc16703"/>
      <w:r>
        <w:rPr>
          <w:rFonts w:hint="eastAsia" w:ascii="Times New Roman" w:hAnsi="Times New Roman" w:eastAsia="黑体" w:cs="Times New Roman"/>
          <w:b w:val="0"/>
          <w:color w:val="auto"/>
          <w:highlight w:val="none"/>
          <w:lang w:val="en-US" w:eastAsia="zh-CN"/>
        </w:rPr>
        <w:t>7</w:t>
      </w:r>
      <w:r>
        <w:rPr>
          <w:rFonts w:ascii="Times New Roman" w:hAnsi="Times New Roman" w:eastAsia="黑体" w:cs="Times New Roman"/>
          <w:b w:val="0"/>
          <w:color w:val="auto"/>
          <w:highlight w:val="none"/>
          <w:lang w:eastAsia="zh-CN"/>
        </w:rPr>
        <w:t>.</w:t>
      </w:r>
      <w:bookmarkStart w:id="35" w:name="_Toc19495"/>
      <w:bookmarkStart w:id="36" w:name="_Toc8719"/>
      <w:r>
        <w:rPr>
          <w:rFonts w:ascii="Times New Roman" w:hAnsi="Times New Roman" w:eastAsia="黑体" w:cs="Times New Roman"/>
          <w:b w:val="0"/>
          <w:color w:val="auto"/>
          <w:highlight w:val="none"/>
          <w:lang w:eastAsia="zh-CN"/>
        </w:rPr>
        <w:t>监督电话：</w:t>
      </w:r>
      <w:bookmarkEnd w:id="35"/>
      <w:bookmarkEnd w:id="36"/>
      <w:r>
        <w:rPr>
          <w:rFonts w:hint="default" w:ascii="Times New Roman" w:hAnsi="Times New Roman" w:eastAsia="黑体" w:cs="Times New Roman"/>
          <w:b w:val="0"/>
          <w:color w:val="auto"/>
          <w:highlight w:val="none"/>
          <w:lang w:val="en-US" w:eastAsia="zh-CN"/>
        </w:rPr>
        <w:t>023-42576662</w:t>
      </w:r>
      <w:bookmarkEnd w:id="33"/>
      <w:bookmarkEnd w:id="34"/>
    </w:p>
    <w:p>
      <w:pPr>
        <w:widowControl/>
        <w:spacing w:line="500" w:lineRule="exact"/>
        <w:rPr>
          <w:rFonts w:ascii="Times New Roman" w:hAnsi="Times New Roman" w:eastAsia="黑体" w:cs="Times New Roman"/>
          <w:color w:val="auto"/>
          <w:highlight w:val="none"/>
          <w:lang w:eastAsia="zh-CN"/>
        </w:rPr>
      </w:pPr>
    </w:p>
    <w:p>
      <w:pPr>
        <w:spacing w:line="510" w:lineRule="exact"/>
        <w:ind w:left="100" w:right="113"/>
        <w:rPr>
          <w:rFonts w:ascii="Times New Roman" w:hAnsi="Times New Roman" w:cs="Times New Roman" w:eastAsiaTheme="minorEastAsia"/>
          <w:b/>
          <w:bCs/>
          <w:color w:val="auto"/>
          <w:sz w:val="24"/>
          <w:szCs w:val="21"/>
          <w:highlight w:val="none"/>
          <w:lang w:eastAsia="zh-CN"/>
        </w:rPr>
      </w:pPr>
      <w:r>
        <w:rPr>
          <w:rFonts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37" w:name="_Toc17339"/>
      <w:bookmarkStart w:id="38" w:name="_Toc15012"/>
      <w:r>
        <w:rPr>
          <w:rFonts w:ascii="Times New Roman" w:hAnsi="Times New Roman" w:eastAsia="方正小标宋_GBK" w:cs="Times New Roman"/>
          <w:bCs/>
          <w:color w:val="auto"/>
          <w:sz w:val="44"/>
          <w:szCs w:val="44"/>
          <w:highlight w:val="none"/>
          <w:lang w:val="zh-CN" w:eastAsia="zh-CN"/>
        </w:rPr>
        <w:t>第二章 报价文件要求与评审办法</w:t>
      </w:r>
      <w:bookmarkEnd w:id="37"/>
      <w:bookmarkEnd w:id="38"/>
    </w:p>
    <w:p>
      <w:pPr>
        <w:spacing w:line="500" w:lineRule="exact"/>
        <w:ind w:left="100" w:right="113"/>
        <w:rPr>
          <w:rFonts w:ascii="Times New Roman" w:hAnsi="Times New Roman" w:eastAsia="黑体" w:cs="Times New Roman"/>
          <w:color w:val="auto"/>
          <w:highlight w:val="none"/>
          <w:lang w:eastAsia="zh-CN"/>
        </w:rPr>
      </w:pPr>
    </w:p>
    <w:p>
      <w:pPr>
        <w:pStyle w:val="3"/>
        <w:spacing w:line="500" w:lineRule="exact"/>
        <w:rPr>
          <w:rFonts w:ascii="Times New Roman" w:hAnsi="Times New Roman" w:eastAsia="黑体" w:cs="Times New Roman"/>
          <w:b w:val="0"/>
          <w:color w:val="auto"/>
          <w:highlight w:val="none"/>
          <w:lang w:eastAsia="zh-CN"/>
        </w:rPr>
      </w:pPr>
      <w:bookmarkStart w:id="39" w:name="_Toc2172"/>
      <w:bookmarkStart w:id="40" w:name="_Toc6706"/>
      <w:r>
        <w:rPr>
          <w:rFonts w:ascii="Times New Roman" w:hAnsi="Times New Roman" w:eastAsia="黑体" w:cs="Times New Roman"/>
          <w:b w:val="0"/>
          <w:color w:val="auto"/>
          <w:highlight w:val="none"/>
          <w:lang w:eastAsia="zh-CN"/>
        </w:rPr>
        <w:t>1.报价文件要求</w:t>
      </w:r>
      <w:bookmarkEnd w:id="39"/>
      <w:bookmarkEnd w:id="40"/>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96</w:t>
      </w:r>
      <w:r>
        <w:rPr>
          <w:rFonts w:ascii="Times New Roman" w:hAnsi="Times New Roman" w:eastAsia="方正仿宋_GBK" w:cs="Times New Roman"/>
          <w:bCs/>
          <w:color w:val="auto"/>
          <w:sz w:val="32"/>
          <w:szCs w:val="32"/>
          <w:highlight w:val="none"/>
          <w:u w:val="single"/>
          <w:lang w:eastAsia="zh-CN"/>
        </w:rPr>
        <w:t>0,000</w:t>
      </w:r>
      <w:r>
        <w:rPr>
          <w:rFonts w:hint="eastAsia"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玖</w:t>
      </w:r>
      <w:r>
        <w:rPr>
          <w:rFonts w:hint="eastAsia" w:ascii="Times New Roman" w:hAnsi="Times New Roman" w:eastAsia="方正仿宋_GBK" w:cs="Times New Roman"/>
          <w:bCs/>
          <w:color w:val="auto"/>
          <w:sz w:val="32"/>
          <w:szCs w:val="32"/>
          <w:highlight w:val="none"/>
          <w:u w:val="single"/>
          <w:lang w:eastAsia="zh-CN"/>
        </w:rPr>
        <w:t>拾</w:t>
      </w:r>
      <w:r>
        <w:rPr>
          <w:rFonts w:hint="eastAsia" w:ascii="Times New Roman" w:hAnsi="Times New Roman" w:eastAsia="方正仿宋_GBK" w:cs="Times New Roman"/>
          <w:bCs/>
          <w:color w:val="auto"/>
          <w:sz w:val="32"/>
          <w:szCs w:val="32"/>
          <w:highlight w:val="none"/>
          <w:u w:val="single"/>
          <w:lang w:val="en-US" w:eastAsia="zh-CN"/>
        </w:rPr>
        <w:t>陆</w:t>
      </w:r>
      <w:r>
        <w:rPr>
          <w:rFonts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eastAsia="zh-CN"/>
        </w:rPr>
        <w:t>1</w:t>
      </w:r>
      <w:r>
        <w:rPr>
          <w:rFonts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ascii="Times New Roman" w:hAnsi="Times New Roman" w:eastAsia="方正仿宋_GBK" w:cs="Times New Roman"/>
          <w:bCs/>
          <w:color w:val="auto"/>
          <w:sz w:val="32"/>
          <w:szCs w:val="32"/>
          <w:highlight w:val="none"/>
          <w:u w:val="single"/>
          <w:lang w:eastAsia="zh-CN"/>
        </w:rPr>
        <w:t>嘉陵江梯级渠化利泽航运枢纽工程</w:t>
      </w:r>
      <w:r>
        <w:rPr>
          <w:rFonts w:hint="eastAsia" w:ascii="Times New Roman" w:hAnsi="Times New Roman" w:eastAsia="方正仿宋_GBK" w:cs="Times New Roman"/>
          <w:bCs/>
          <w:color w:val="auto"/>
          <w:sz w:val="32"/>
          <w:szCs w:val="32"/>
          <w:highlight w:val="none"/>
          <w:u w:val="single"/>
          <w:lang w:val="en-US" w:eastAsia="zh-CN"/>
        </w:rPr>
        <w:t>蓄水安全鉴定（含初期和终期）技术服务（第二次）</w:t>
      </w:r>
      <w:r>
        <w:rPr>
          <w:rFonts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ascii="Times New Roman" w:hAnsi="Times New Roman" w:eastAsia="方正仿宋_GBK" w:cs="Times New Roman"/>
          <w:bCs/>
          <w:color w:val="auto"/>
          <w:sz w:val="32"/>
          <w:szCs w:val="32"/>
          <w:highlight w:val="none"/>
          <w:u w:val="single"/>
          <w:lang w:eastAsia="zh-CN"/>
        </w:rPr>
        <w:t>。</w:t>
      </w:r>
    </w:p>
    <w:p>
      <w:pPr>
        <w:pStyle w:val="3"/>
        <w:spacing w:line="500" w:lineRule="exact"/>
        <w:rPr>
          <w:rFonts w:ascii="Times New Roman" w:hAnsi="Times New Roman" w:eastAsia="黑体" w:cs="Times New Roman"/>
          <w:b w:val="0"/>
          <w:color w:val="auto"/>
          <w:highlight w:val="none"/>
          <w:lang w:eastAsia="zh-CN"/>
        </w:rPr>
      </w:pPr>
      <w:bookmarkStart w:id="41" w:name="_Toc2315"/>
      <w:bookmarkStart w:id="42" w:name="_Toc32299"/>
      <w:r>
        <w:rPr>
          <w:rFonts w:ascii="Times New Roman" w:hAnsi="Times New Roman" w:eastAsia="黑体" w:cs="Times New Roman"/>
          <w:b w:val="0"/>
          <w:color w:val="auto"/>
          <w:highlight w:val="none"/>
          <w:lang w:eastAsia="zh-CN"/>
        </w:rPr>
        <w:t>2.评审办法</w:t>
      </w:r>
      <w:bookmarkEnd w:id="41"/>
      <w:bookmarkEnd w:id="42"/>
    </w:p>
    <w:p>
      <w:pPr>
        <w:spacing w:line="500" w:lineRule="exact"/>
        <w:ind w:firstLine="643"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
          <w:color w:val="auto"/>
          <w:sz w:val="32"/>
          <w:szCs w:val="32"/>
          <w:highlight w:val="none"/>
          <w:lang w:eastAsia="zh-CN"/>
        </w:rPr>
        <w:t>本项目采用经评审的</w:t>
      </w:r>
      <w:r>
        <w:rPr>
          <w:rFonts w:hint="eastAsia" w:ascii="Times New Roman" w:hAnsi="Times New Roman" w:eastAsia="方正仿宋_GBK" w:cs="Times New Roman"/>
          <w:b/>
          <w:color w:val="auto"/>
          <w:sz w:val="32"/>
          <w:szCs w:val="32"/>
          <w:highlight w:val="none"/>
          <w:lang w:eastAsia="zh-CN"/>
        </w:rPr>
        <w:t>最低价法</w:t>
      </w:r>
      <w:r>
        <w:rPr>
          <w:rFonts w:ascii="Times New Roman" w:hAnsi="Times New Roman" w:eastAsia="方正仿宋_GBK" w:cs="Times New Roman"/>
          <w:b/>
          <w:color w:val="auto"/>
          <w:sz w:val="32"/>
          <w:szCs w:val="32"/>
          <w:highlight w:val="none"/>
          <w:lang w:eastAsia="zh-CN"/>
        </w:rPr>
        <w:t>。</w:t>
      </w:r>
      <w:r>
        <w:rPr>
          <w:rFonts w:ascii="Times New Roman" w:hAnsi="Times New Roman" w:eastAsia="方正仿宋_GBK" w:cs="Times New Roman"/>
          <w:bCs/>
          <w:color w:val="auto"/>
          <w:sz w:val="32"/>
          <w:szCs w:val="32"/>
          <w:highlight w:val="none"/>
          <w:lang w:eastAsia="zh-CN"/>
        </w:rPr>
        <w:t>评审小组对通过初步评审的报价人，按报价由低至高的顺序推荐中标候选人。若最低投标价相同的，由评审小组自行决定中标候选人。</w:t>
      </w:r>
    </w:p>
    <w:bookmarkEnd w:id="24"/>
    <w:bookmarkEnd w:id="25"/>
    <w:bookmarkEnd w:id="26"/>
    <w:bookmarkEnd w:id="27"/>
    <w:bookmarkEnd w:id="28"/>
    <w:p>
      <w:pPr>
        <w:jc w:val="right"/>
        <w:rPr>
          <w:rFonts w:ascii="Times New Roman" w:hAnsi="Times New Roman" w:cs="Times New Roman" w:eastAsiaTheme="minorEastAsia"/>
          <w:b/>
          <w:bCs/>
          <w:color w:val="auto"/>
          <w:sz w:val="44"/>
          <w:szCs w:val="44"/>
          <w:highlight w:val="none"/>
          <w:lang w:val="zh-CN" w:eastAsia="zh-CN"/>
        </w:rPr>
      </w:pPr>
      <w:r>
        <w:rPr>
          <w:rFonts w:ascii="Times New Roman" w:hAnsi="Times New Roman" w:cs="Times New Roman" w:eastAsiaTheme="minorEastAsia"/>
          <w:color w:val="auto"/>
          <w:szCs w:val="21"/>
          <w:highlight w:val="none"/>
          <w:lang w:eastAsia="zh-CN"/>
        </w:rPr>
        <w:br w:type="page"/>
      </w:r>
      <w:bookmarkStart w:id="43" w:name="_Toc29194756"/>
    </w:p>
    <w:bookmarkEnd w:id="43"/>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44" w:name="_Toc52097542"/>
      <w:bookmarkStart w:id="45" w:name="_Toc29194791"/>
      <w:bookmarkStart w:id="46" w:name="_Toc16521"/>
      <w:bookmarkStart w:id="47" w:name="_Toc3800"/>
      <w:r>
        <w:rPr>
          <w:rFonts w:ascii="Times New Roman" w:hAnsi="Times New Roman" w:eastAsia="方正小标宋_GBK" w:cs="Times New Roman"/>
          <w:bCs/>
          <w:color w:val="auto"/>
          <w:sz w:val="44"/>
          <w:szCs w:val="44"/>
          <w:highlight w:val="none"/>
          <w:lang w:val="zh-CN" w:eastAsia="zh-CN"/>
        </w:rPr>
        <w:t>第三章</w:t>
      </w:r>
      <w:bookmarkEnd w:id="44"/>
      <w:bookmarkEnd w:id="45"/>
      <w:r>
        <w:rPr>
          <w:rFonts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eastAsia="zh-CN"/>
        </w:rPr>
        <w:t>与格式</w:t>
      </w:r>
      <w:bookmarkEnd w:id="46"/>
      <w:bookmarkEnd w:id="47"/>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委托人</w:t>
      </w:r>
      <w:r>
        <w:rPr>
          <w:rFonts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lang w:eastAsia="zh-CN"/>
        </w:rPr>
        <w:t>(以下简称“甲方”)与受托人</w:t>
      </w:r>
      <w:r>
        <w:rPr>
          <w:rFonts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lang w:eastAsia="zh-CN"/>
        </w:rPr>
        <w:t>(以下简称“乙方”)依照《中华人民共和国</w:t>
      </w:r>
      <w:r>
        <w:rPr>
          <w:rFonts w:hint="eastAsia" w:ascii="Times New Roman" w:hAnsi="Times New Roman" w:eastAsia="方正仿宋_GBK" w:cs="Times New Roman"/>
          <w:bCs/>
          <w:color w:val="auto"/>
          <w:sz w:val="32"/>
          <w:szCs w:val="32"/>
          <w:highlight w:val="none"/>
          <w:lang w:eastAsia="zh-CN"/>
        </w:rPr>
        <w:t>民法典</w:t>
      </w:r>
      <w:r>
        <w:rPr>
          <w:rFonts w:ascii="Times New Roman" w:hAnsi="Times New Roman" w:eastAsia="方正仿宋_GBK" w:cs="Times New Roman"/>
          <w:bCs/>
          <w:color w:val="auto"/>
          <w:sz w:val="32"/>
          <w:szCs w:val="32"/>
          <w:highlight w:val="none"/>
          <w:lang w:eastAsia="zh-CN"/>
        </w:rPr>
        <w:t>》及其他有关法律、行政法规、部门规章、地方性法规和规章，主管部门相关要求、</w:t>
      </w:r>
      <w:r>
        <w:rPr>
          <w:rFonts w:hint="eastAsia" w:ascii="Times New Roman" w:hAnsi="Times New Roman" w:eastAsia="方正仿宋_GBK" w:cs="Times New Roman"/>
          <w:bCs/>
          <w:color w:val="auto"/>
          <w:sz w:val="32"/>
          <w:szCs w:val="32"/>
          <w:highlight w:val="none"/>
          <w:lang w:eastAsia="zh-CN"/>
        </w:rPr>
        <w:t>利泽</w:t>
      </w:r>
      <w:r>
        <w:rPr>
          <w:rFonts w:ascii="Times New Roman" w:hAnsi="Times New Roman" w:eastAsia="方正仿宋_GBK" w:cs="Times New Roman"/>
          <w:bCs/>
          <w:color w:val="auto"/>
          <w:sz w:val="32"/>
          <w:szCs w:val="32"/>
          <w:highlight w:val="none"/>
          <w:lang w:eastAsia="zh-CN"/>
        </w:rPr>
        <w:t>航电枢纽工程项目的有关文件，遵循平等、自愿、公平和诚实信用的原则，经协商一致，双方就嘉陵江梯级渠化利泽航运枢纽工程</w:t>
      </w:r>
      <w:r>
        <w:rPr>
          <w:rFonts w:hint="eastAsia" w:ascii="Times New Roman" w:hAnsi="Times New Roman" w:eastAsia="方正仿宋_GBK" w:cs="Times New Roman"/>
          <w:bCs/>
          <w:color w:val="auto"/>
          <w:sz w:val="32"/>
          <w:szCs w:val="32"/>
          <w:highlight w:val="none"/>
          <w:lang w:val="en-US" w:eastAsia="zh-CN"/>
        </w:rPr>
        <w:t>蓄水安全鉴定（含初期和终期）技术服务（第二次）</w:t>
      </w:r>
      <w:r>
        <w:rPr>
          <w:rFonts w:ascii="Times New Roman" w:hAnsi="Times New Roman" w:eastAsia="方正仿宋_GBK" w:cs="Times New Roman"/>
          <w:bCs/>
          <w:color w:val="auto"/>
          <w:sz w:val="32"/>
          <w:szCs w:val="32"/>
          <w:highlight w:val="none"/>
          <w:lang w:eastAsia="zh-CN"/>
        </w:rPr>
        <w:t>事宜，订立本合同。</w:t>
      </w:r>
    </w:p>
    <w:p>
      <w:pPr>
        <w:tabs>
          <w:tab w:val="left" w:pos="480"/>
        </w:tabs>
        <w:adjustRightInd w:val="0"/>
        <w:snapToGrid w:val="0"/>
        <w:spacing w:line="500" w:lineRule="exact"/>
        <w:ind w:firstLine="440" w:firstLineChars="200"/>
        <w:rPr>
          <w:color w:val="auto"/>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48" w:name="_Toc18496"/>
      <w:bookmarkStart w:id="49" w:name="_Toc32420"/>
      <w:bookmarkStart w:id="50" w:name="_Toc3830"/>
      <w:bookmarkStart w:id="51" w:name="_Toc11058213"/>
      <w:r>
        <w:rPr>
          <w:rFonts w:hint="eastAsia" w:ascii="Times New Roman" w:hAnsi="Times New Roman" w:eastAsia="黑体" w:cs="Times New Roman"/>
          <w:b w:val="0"/>
          <w:bCs w:val="0"/>
          <w:color w:val="auto"/>
          <w:highlight w:val="none"/>
          <w:lang w:eastAsia="zh-CN"/>
        </w:rPr>
        <w:t>第一条 项目的基本情况</w:t>
      </w:r>
      <w:bookmarkEnd w:id="48"/>
      <w:bookmarkEnd w:id="49"/>
      <w:bookmarkEnd w:id="50"/>
      <w:bookmarkEnd w:id="51"/>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（一）工程名称：嘉陵江梯级渠化利泽航运枢纽工程</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（二）工程地点：</w:t>
      </w:r>
      <w:r>
        <w:rPr>
          <w:rFonts w:hint="eastAsia" w:ascii="Times New Roman" w:hAnsi="Times New Roman" w:eastAsia="方正仿宋_GBK" w:cs="Times New Roman"/>
          <w:bCs/>
          <w:color w:val="auto"/>
          <w:sz w:val="32"/>
          <w:szCs w:val="32"/>
          <w:highlight w:val="none"/>
          <w:lang w:eastAsia="zh-CN"/>
        </w:rPr>
        <w:t>重庆市合川区利泽公司</w:t>
      </w:r>
      <w:r>
        <w:rPr>
          <w:rFonts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（三）工程规模：装机</w:t>
      </w:r>
      <w:r>
        <w:rPr>
          <w:rFonts w:hint="eastAsia" w:ascii="Times New Roman" w:hAnsi="Times New Roman" w:eastAsia="方正仿宋_GBK" w:cs="Times New Roman"/>
          <w:bCs/>
          <w:color w:val="auto"/>
          <w:sz w:val="32"/>
          <w:szCs w:val="32"/>
          <w:highlight w:val="none"/>
          <w:lang w:eastAsia="zh-CN"/>
        </w:rPr>
        <w:t>74</w:t>
      </w:r>
      <w:r>
        <w:rPr>
          <w:rFonts w:ascii="Times New Roman" w:hAnsi="Times New Roman" w:eastAsia="方正仿宋_GBK" w:cs="Times New Roman"/>
          <w:bCs/>
          <w:color w:val="auto"/>
          <w:sz w:val="32"/>
          <w:szCs w:val="32"/>
          <w:highlight w:val="none"/>
          <w:lang w:eastAsia="zh-CN"/>
        </w:rPr>
        <w:t>MW、船闸IV级。</w:t>
      </w:r>
    </w:p>
    <w:p>
      <w:pPr>
        <w:tabs>
          <w:tab w:val="left" w:pos="480"/>
        </w:tabs>
        <w:adjustRightInd w:val="0"/>
        <w:snapToGrid w:val="0"/>
        <w:spacing w:line="500" w:lineRule="exact"/>
        <w:ind w:firstLine="440" w:firstLineChars="200"/>
        <w:rPr>
          <w:color w:val="auto"/>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52" w:name="_Toc11058214"/>
      <w:bookmarkStart w:id="53" w:name="_Toc22905"/>
      <w:bookmarkStart w:id="54" w:name="_Toc4689"/>
      <w:bookmarkStart w:id="55" w:name="_Toc95"/>
      <w:r>
        <w:rPr>
          <w:rFonts w:hint="eastAsia" w:ascii="Times New Roman" w:hAnsi="Times New Roman" w:eastAsia="黑体" w:cs="Times New Roman"/>
          <w:b w:val="0"/>
          <w:bCs w:val="0"/>
          <w:color w:val="auto"/>
          <w:highlight w:val="none"/>
          <w:lang w:eastAsia="zh-CN"/>
        </w:rPr>
        <w:t>第二条 工作范围和内容</w:t>
      </w:r>
      <w:bookmarkEnd w:id="52"/>
      <w:bookmarkEnd w:id="53"/>
      <w:bookmarkEnd w:id="54"/>
      <w:bookmarkEnd w:id="55"/>
    </w:p>
    <w:p>
      <w:pPr>
        <w:tabs>
          <w:tab w:val="left" w:pos="480"/>
        </w:tabs>
        <w:adjustRightInd w:val="0"/>
        <w:snapToGrid w:val="0"/>
        <w:spacing w:line="500" w:lineRule="exact"/>
        <w:ind w:firstLine="643"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bidi="ar-SA"/>
        </w:rPr>
        <w:t>（一）工作任务</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eastAsia="zh-CN"/>
        </w:rPr>
        <w:t>蓄水安全鉴定工作任务是对与</w:t>
      </w:r>
      <w:r>
        <w:rPr>
          <w:rFonts w:hint="eastAsia" w:ascii="Times New Roman" w:hAnsi="Times New Roman" w:eastAsia="方正仿宋_GBK" w:cs="Times New Roman"/>
          <w:bCs/>
          <w:color w:val="auto"/>
          <w:sz w:val="32"/>
          <w:szCs w:val="32"/>
          <w:highlight w:val="none"/>
          <w:lang w:val="en-US" w:eastAsia="zh-CN"/>
        </w:rPr>
        <w:t>工程</w:t>
      </w:r>
      <w:r>
        <w:rPr>
          <w:rFonts w:hint="eastAsia" w:ascii="Times New Roman" w:hAnsi="Times New Roman" w:eastAsia="方正仿宋_GBK" w:cs="Times New Roman"/>
          <w:bCs/>
          <w:color w:val="auto"/>
          <w:sz w:val="32"/>
          <w:szCs w:val="32"/>
          <w:highlight w:val="none"/>
          <w:lang w:eastAsia="zh-CN"/>
        </w:rPr>
        <w:t>蓄水安全有关的工程设计、施工、设备制造与安装的质量进行检查，对突破规范的设计、施工项目以及涉及工程安全的质量缺陷或问题进行分析，评价对工程安全的影响程度，提出蓄水安全鉴定意见和建议，明确是否具备</w:t>
      </w:r>
      <w:r>
        <w:rPr>
          <w:rFonts w:hint="eastAsia" w:ascii="Times New Roman" w:hAnsi="Times New Roman" w:eastAsia="方正仿宋_GBK" w:cs="Times New Roman"/>
          <w:bCs/>
          <w:color w:val="auto"/>
          <w:sz w:val="32"/>
          <w:szCs w:val="32"/>
          <w:highlight w:val="none"/>
          <w:lang w:val="en-US" w:eastAsia="zh-CN"/>
        </w:rPr>
        <w:t>工程</w:t>
      </w:r>
      <w:r>
        <w:rPr>
          <w:rFonts w:hint="eastAsia" w:ascii="Times New Roman" w:hAnsi="Times New Roman" w:eastAsia="方正仿宋_GBK" w:cs="Times New Roman"/>
          <w:bCs/>
          <w:color w:val="auto"/>
          <w:sz w:val="32"/>
          <w:szCs w:val="32"/>
          <w:highlight w:val="none"/>
          <w:lang w:eastAsia="zh-CN"/>
        </w:rPr>
        <w:t>蓄水验收的条件。</w:t>
      </w:r>
    </w:p>
    <w:p>
      <w:pPr>
        <w:tabs>
          <w:tab w:val="left" w:pos="480"/>
        </w:tabs>
        <w:adjustRightInd w:val="0"/>
        <w:snapToGrid w:val="0"/>
        <w:spacing w:line="500" w:lineRule="exact"/>
        <w:ind w:firstLine="643"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bidi="ar-SA"/>
        </w:rPr>
        <w:t>（二）工作范围</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依据《</w:t>
      </w:r>
      <w:r>
        <w:rPr>
          <w:rFonts w:hint="eastAsia" w:ascii="Times New Roman" w:hAnsi="Times New Roman" w:eastAsia="方正仿宋_GBK" w:cs="Times New Roman"/>
          <w:bCs/>
          <w:color w:val="auto"/>
          <w:sz w:val="32"/>
          <w:szCs w:val="32"/>
          <w:highlight w:val="none"/>
          <w:lang w:val="en-US" w:eastAsia="zh-CN"/>
        </w:rPr>
        <w:t>水利水电建设工程蓄水安全鉴定暂行办法</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2017年修正本</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水利部令第149号</w:t>
      </w:r>
      <w:r>
        <w:rPr>
          <w:rFonts w:hint="eastAsia" w:ascii="Times New Roman" w:hAnsi="Times New Roman" w:eastAsia="方正仿宋_GBK" w:cs="Times New Roman"/>
          <w:bCs/>
          <w:color w:val="auto"/>
          <w:sz w:val="32"/>
          <w:szCs w:val="32"/>
          <w:highlight w:val="none"/>
          <w:lang w:eastAsia="zh-CN"/>
        </w:rPr>
        <w:t>）、《水库大坝安全评价导则》（SL 258—2017）、《水利水电建设工程验收规程》（SL223-2008）以及相关法律、法规、行业部门管理办法，现行的技术规范、规程、标准等开展</w:t>
      </w:r>
      <w:r>
        <w:rPr>
          <w:rFonts w:hint="eastAsia" w:ascii="Times New Roman" w:hAnsi="Times New Roman" w:eastAsia="方正仿宋_GBK" w:cs="Times New Roman"/>
          <w:bCs/>
          <w:color w:val="auto"/>
          <w:sz w:val="32"/>
          <w:szCs w:val="32"/>
          <w:highlight w:val="none"/>
          <w:lang w:val="en-US" w:eastAsia="zh-CN"/>
        </w:rPr>
        <w:t>利泽航运枢纽工程初期蓄水（含两阶段）和终期蓄水</w:t>
      </w:r>
      <w:r>
        <w:rPr>
          <w:rFonts w:hint="eastAsia" w:ascii="Times New Roman" w:hAnsi="Times New Roman" w:eastAsia="方正仿宋_GBK" w:cs="Times New Roman"/>
          <w:bCs/>
          <w:color w:val="auto"/>
          <w:sz w:val="32"/>
          <w:szCs w:val="32"/>
          <w:highlight w:val="none"/>
          <w:lang w:eastAsia="zh-CN"/>
        </w:rPr>
        <w:t>安全鉴定工作，满足</w:t>
      </w:r>
      <w:r>
        <w:rPr>
          <w:rFonts w:hint="eastAsia"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eastAsia="zh-CN"/>
        </w:rPr>
        <w:t>相应阶段</w:t>
      </w:r>
      <w:r>
        <w:rPr>
          <w:rFonts w:hint="eastAsia" w:ascii="Times New Roman" w:hAnsi="Times New Roman" w:eastAsia="方正仿宋_GBK" w:cs="Times New Roman"/>
          <w:bCs/>
          <w:color w:val="auto"/>
          <w:sz w:val="32"/>
          <w:szCs w:val="32"/>
          <w:highlight w:val="none"/>
          <w:lang w:val="en-US" w:eastAsia="zh-CN"/>
        </w:rPr>
        <w:t>工程蓄水和工程</w:t>
      </w:r>
      <w:r>
        <w:rPr>
          <w:rFonts w:hint="eastAsia" w:ascii="Times New Roman" w:hAnsi="Times New Roman" w:eastAsia="方正仿宋_GBK" w:cs="Times New Roman"/>
          <w:bCs/>
          <w:color w:val="auto"/>
          <w:sz w:val="32"/>
          <w:szCs w:val="32"/>
          <w:highlight w:val="none"/>
          <w:lang w:eastAsia="zh-CN"/>
        </w:rPr>
        <w:t>验收要求。</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利泽航运枢纽工程</w:t>
      </w:r>
      <w:r>
        <w:rPr>
          <w:rFonts w:hint="eastAsia" w:ascii="Times New Roman" w:hAnsi="Times New Roman" w:eastAsia="方正仿宋_GBK" w:cs="Times New Roman"/>
          <w:bCs/>
          <w:color w:val="auto"/>
          <w:sz w:val="32"/>
          <w:szCs w:val="32"/>
          <w:highlight w:val="none"/>
          <w:lang w:eastAsia="zh-CN"/>
        </w:rPr>
        <w:t>蓄水安全鉴定的范围包括</w:t>
      </w:r>
      <w:r>
        <w:rPr>
          <w:rFonts w:hint="eastAsia" w:ascii="Times New Roman" w:hAnsi="Times New Roman" w:eastAsia="方正仿宋_GBK" w:cs="Times New Roman"/>
          <w:bCs/>
          <w:color w:val="auto"/>
          <w:sz w:val="32"/>
          <w:szCs w:val="32"/>
          <w:highlight w:val="none"/>
          <w:lang w:val="en-US" w:eastAsia="zh-CN"/>
        </w:rPr>
        <w:t>但不限于：</w:t>
      </w:r>
      <w:r>
        <w:rPr>
          <w:rFonts w:hint="eastAsia" w:ascii="Times New Roman" w:hAnsi="Times New Roman" w:eastAsia="方正仿宋_GBK" w:cs="Times New Roman"/>
          <w:bCs/>
          <w:color w:val="auto"/>
          <w:sz w:val="32"/>
          <w:szCs w:val="32"/>
          <w:highlight w:val="none"/>
          <w:lang w:eastAsia="zh-CN"/>
        </w:rPr>
        <w:t>挡水建筑物、泄水建筑物、通航建筑物、电站建筑物、过鱼建筑物</w:t>
      </w:r>
      <w:r>
        <w:rPr>
          <w:rFonts w:hint="eastAsia" w:ascii="Times New Roman" w:hAnsi="Times New Roman" w:eastAsia="方正仿宋_GBK" w:cs="Times New Roman"/>
          <w:bCs/>
          <w:color w:val="auto"/>
          <w:sz w:val="32"/>
          <w:szCs w:val="32"/>
          <w:highlight w:val="none"/>
          <w:lang w:val="en-US" w:eastAsia="zh-CN"/>
        </w:rPr>
        <w:t>以及</w:t>
      </w:r>
      <w:r>
        <w:rPr>
          <w:rFonts w:hint="eastAsia" w:ascii="Times New Roman" w:hAnsi="Times New Roman" w:eastAsia="方正仿宋_GBK" w:cs="Times New Roman"/>
          <w:bCs/>
          <w:color w:val="auto"/>
          <w:sz w:val="32"/>
          <w:szCs w:val="32"/>
          <w:highlight w:val="none"/>
          <w:lang w:eastAsia="zh-CN"/>
        </w:rPr>
        <w:t>基础处理、安全监测设施及涉及蓄水安全的库岸和边坡等有关工程项目。</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初期蓄水第一阶段安全鉴定的工程范围包括但不限于：左岸</w:t>
      </w:r>
      <w:r>
        <w:rPr>
          <w:rFonts w:hint="eastAsia" w:ascii="Times New Roman" w:hAnsi="Times New Roman" w:eastAsia="方正仿宋_GBK" w:cs="Times New Roman"/>
          <w:bCs/>
          <w:color w:val="auto"/>
          <w:sz w:val="32"/>
          <w:szCs w:val="32"/>
          <w:highlight w:val="none"/>
          <w:lang w:eastAsia="zh-CN"/>
        </w:rPr>
        <w:t>一期</w:t>
      </w:r>
      <w:r>
        <w:rPr>
          <w:rFonts w:hint="eastAsia" w:ascii="Times New Roman" w:hAnsi="Times New Roman" w:eastAsia="方正仿宋_GBK" w:cs="Times New Roman"/>
          <w:bCs/>
          <w:color w:val="auto"/>
          <w:sz w:val="32"/>
          <w:szCs w:val="32"/>
          <w:highlight w:val="none"/>
          <w:lang w:val="en-US" w:eastAsia="zh-CN"/>
        </w:rPr>
        <w:t>工程的</w:t>
      </w:r>
      <w:r>
        <w:rPr>
          <w:rFonts w:hint="eastAsia" w:ascii="Times New Roman" w:hAnsi="Times New Roman" w:eastAsia="方正仿宋_GBK" w:cs="Times New Roman"/>
          <w:bCs/>
          <w:color w:val="auto"/>
          <w:sz w:val="32"/>
          <w:szCs w:val="32"/>
          <w:highlight w:val="none"/>
          <w:lang w:eastAsia="zh-CN"/>
        </w:rPr>
        <w:t>船闸工程、船闸门库坝段工程、左岸6.5孔泄洪冲沙闸工程、左岸泄洪冲沙闸门库坝段工程、左岸连接坝段工程、</w:t>
      </w:r>
      <w:r>
        <w:rPr>
          <w:rFonts w:hint="eastAsia" w:ascii="Times New Roman" w:hAnsi="Times New Roman" w:eastAsia="方正仿宋_GBK" w:cs="Times New Roman"/>
          <w:bCs/>
          <w:color w:val="auto"/>
          <w:sz w:val="32"/>
          <w:szCs w:val="32"/>
          <w:highlight w:val="none"/>
          <w:lang w:val="en-US" w:eastAsia="zh-CN"/>
        </w:rPr>
        <w:t>上下游库岸和边坡</w:t>
      </w:r>
      <w:r>
        <w:rPr>
          <w:rFonts w:hint="eastAsia" w:ascii="Times New Roman" w:hAnsi="Times New Roman" w:eastAsia="方正仿宋_GBK" w:cs="Times New Roman"/>
          <w:bCs/>
          <w:color w:val="auto"/>
          <w:sz w:val="32"/>
          <w:szCs w:val="32"/>
          <w:highlight w:val="none"/>
          <w:lang w:eastAsia="zh-CN"/>
        </w:rPr>
        <w:t>等永久工程</w:t>
      </w:r>
      <w:r>
        <w:rPr>
          <w:rFonts w:hint="eastAsia" w:ascii="Times New Roman" w:hAnsi="Times New Roman" w:eastAsia="方正仿宋_GBK" w:cs="Times New Roman"/>
          <w:bCs/>
          <w:color w:val="auto"/>
          <w:sz w:val="32"/>
          <w:szCs w:val="32"/>
          <w:highlight w:val="none"/>
          <w:lang w:val="en-US" w:eastAsia="zh-CN"/>
        </w:rPr>
        <w:t>的土建工程、金属结构工程，以及三期枯水纵向混凝土围堰工程；右岸二期工程三期枯水上、下游土石围堰工程</w:t>
      </w:r>
      <w:r>
        <w:rPr>
          <w:rFonts w:hint="eastAsia"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初期蓄水第二阶段安全鉴定的工程范围包括但不限于：利泽枢纽右岸二期工程的5.5孔泄洪冲沙闸工程</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上下游库岸和边坡等永久工程的土建工程和金属结构工程以及</w:t>
      </w:r>
      <w:r>
        <w:rPr>
          <w:rFonts w:hint="eastAsia" w:ascii="Times New Roman" w:hAnsi="Times New Roman" w:eastAsia="方正仿宋_GBK" w:cs="Times New Roman"/>
          <w:bCs/>
          <w:color w:val="auto"/>
          <w:sz w:val="32"/>
          <w:szCs w:val="32"/>
          <w:highlight w:val="none"/>
          <w:lang w:eastAsia="zh-CN"/>
        </w:rPr>
        <w:t>厂房上、下游全年</w:t>
      </w:r>
      <w:r>
        <w:rPr>
          <w:rFonts w:hint="eastAsia" w:ascii="Times New Roman" w:hAnsi="Times New Roman" w:eastAsia="方正仿宋_GBK" w:cs="Times New Roman"/>
          <w:bCs/>
          <w:color w:val="auto"/>
          <w:sz w:val="32"/>
          <w:szCs w:val="32"/>
          <w:highlight w:val="none"/>
          <w:lang w:val="en-US" w:eastAsia="zh-CN"/>
        </w:rPr>
        <w:t>土石</w:t>
      </w:r>
      <w:r>
        <w:rPr>
          <w:rFonts w:hint="eastAsia" w:ascii="Times New Roman" w:hAnsi="Times New Roman" w:eastAsia="方正仿宋_GBK" w:cs="Times New Roman"/>
          <w:bCs/>
          <w:color w:val="auto"/>
          <w:sz w:val="32"/>
          <w:szCs w:val="32"/>
          <w:highlight w:val="none"/>
          <w:lang w:eastAsia="zh-CN"/>
        </w:rPr>
        <w:t>围堰工程、厂房全年纵向混凝土围堰工程，以及其他围堰等临时工程。</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终期蓄水安全鉴定的工程范围包括但不限于：利泽枢纽右岸二期工程的电站厂房工程、开关站工程、右岸2孔泄洪冲沙闸工程、右岸连接坝段工程、鱼道工程</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上下游库岸和边坡等永久工程的土建工程、金属结构安装工程。</w:t>
      </w:r>
    </w:p>
    <w:p>
      <w:pPr>
        <w:tabs>
          <w:tab w:val="left" w:pos="480"/>
        </w:tabs>
        <w:adjustRightInd w:val="0"/>
        <w:snapToGrid w:val="0"/>
        <w:spacing w:line="500" w:lineRule="exact"/>
        <w:ind w:firstLine="643"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bCs w:val="0"/>
          <w:color w:val="auto"/>
          <w:sz w:val="32"/>
          <w:szCs w:val="32"/>
          <w:highlight w:val="none"/>
          <w:lang w:val="en-US" w:eastAsia="zh-CN" w:bidi="ar-SA"/>
        </w:rPr>
        <w:t>（三）主要工作内容</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根据国家（行业）规程规范和国家有关部门批准的设计文件等，对工程设计质量进行评价；对不满足规范要求的或尚无规范可循的设计内容将根据专门论证报告进行评价。根据国家（行业）规程规范和已批准的本工程合同文件规定的质量和安全标准，对己完工程土建和观测施工以及金属结构制作、安装质量进行评价；对工程、设备的缺陷和质量事故检查报告以及工程处理报告作出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主要项目包括但不限于以下方面：</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（1）工程形象面貌评价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应根据设计要求检查评价工程形象面貌。</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（2）工程防洪度汛与蓄水方案</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1）对设计洪水成果进行复核。</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2）评价蓄水方案的合理性及蓄水期满足下游供水要求措施的可行性。</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3）根据工程建设情况、泄水建筑物泄流能力，评价防洪度汛方案的合理性及防洪安全性。</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4）检查评价工程初期调度运行方式的合理性。</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（3）工程地质</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1）检查了解工程建设期地震动参数变化情况。</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2）根据施工地质成果，对库区及各水工建筑物工程地质、水文地质条件和变化情况进行检查评价。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3）对主要工程地质问题进行分析与评价。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4）对料场、库区堆渣、库内边坡等地质问题进行检查和分析评价。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5）对施工实际采用的各类天然建筑材料的质量、与初步设计的变化情况进行检查分析。</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（4）枢纽建筑物设计评价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包括挡水建筑物、泄水建筑物、发电建筑物、通航建筑物、过鱼建筑物、渗控工程、边坡工程等建筑物工程设计评价。建筑物工程设计评价均应符合以下规定：</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1）应根据水文、气象、地质等基本资料复核成果，评价主要设计参数取值的合理性，重点评价因实际工程地质条件及地质参数较可行性研究阶段发生了较大变化时，所采用的相应设计参数的合理性。</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2）应评价施工过程中出现的质量缺陷、质量事故等处理方案和设计处理标准；必要时应根据实际处理效果，评价采用的相应设计参数的合理性。</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（5）土建工程施工质量评价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1）根据批复的初步设计报告和设计变更，检查施工图设计情况；对初步设计审查审批遗留问题处理情况进行检查评价。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2）检查设计变更情况、变更程序是否符合有关规定。</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3）根据工程地质和水文地质条件变化设计采用地质参数的调整情况，对设计成果进行相应检查评价；对不良地质问题的处理措施进行评价。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4）依据参建单位相关报告，对工程施工采用的各类原材料现场检测试验成果、中间产品检测试验成果是否满足规程规范要求进行检查与评价。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5）对土建工程（包括土石方挖填、地基处理、混凝土浇筑等）的主要施工方法、施工质量、质量缺陷处理情况进行检查和评价。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（6）金属结构评价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1）对照批复的初步设计报告，检查金属结构设计变更情况，评价设计变更的程序是否符合相关规定。</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2）对闸门、拦污栅及启闭机等金属结构设备的设计及制造、安装质量、调试及运行情况进行检查评价。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3）根据工程建设进展，对启闭设备的供电、控制、通信、照明等情况及运行安全可靠性进行评价。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4）对金属结构设备制造、安装质量缺陷处理情况进行检查评价。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5）对工程初期运用期间出现的其他相关问题进行分析评价。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（7）安全监测评价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1）对照工程初步设计报告，检查评价工程安全监测项目与布置、仪器选型、观测技术要求。</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2）对工程安全监测仪器安装埋设、设备率定、观测、完好率等进行检查评价。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3）对监测初始值和监测数据的可靠性、完整性及观测资料整编分析情况进行评价。</w:t>
      </w:r>
    </w:p>
    <w:p>
      <w:pPr>
        <w:pStyle w:val="193"/>
        <w:ind w:firstLine="56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4）对安全监测自动化系统建设和监测效果进行检查评价。</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val="0"/>
          <w:bCs/>
          <w:color w:val="auto"/>
          <w:sz w:val="32"/>
          <w:szCs w:val="32"/>
          <w:highlight w:val="none"/>
          <w:lang w:val="en-US" w:eastAsia="zh-CN" w:bidi="ar-SA"/>
        </w:rPr>
        <w:t>5）对水工建筑物施工期和运行期的安全监测成果进行分析，对照工程初步设计成果，对各建筑物的安全性状进行分析和评价。</w:t>
      </w:r>
    </w:p>
    <w:p>
      <w:pPr>
        <w:tabs>
          <w:tab w:val="left" w:pos="480"/>
        </w:tabs>
        <w:adjustRightInd w:val="0"/>
        <w:snapToGrid w:val="0"/>
        <w:spacing w:line="500" w:lineRule="exact"/>
        <w:ind w:firstLine="643" w:firstLineChars="200"/>
        <w:rPr>
          <w:rFonts w:hint="eastAsia" w:ascii="Times New Roman" w:hAnsi="Times New Roman" w:eastAsia="方正仿宋_GBK" w:cs="Times New Roman"/>
          <w:b/>
          <w:bCs w:val="0"/>
          <w:color w:val="auto"/>
          <w:sz w:val="32"/>
          <w:szCs w:val="32"/>
          <w:highlight w:val="none"/>
          <w:lang w:val="en-US" w:eastAsia="zh-CN" w:bidi="ar-SA"/>
        </w:rPr>
      </w:pPr>
      <w:r>
        <w:rPr>
          <w:rFonts w:hint="eastAsia" w:ascii="Times New Roman" w:hAnsi="Times New Roman" w:eastAsia="方正仿宋_GBK" w:cs="Times New Roman"/>
          <w:b/>
          <w:bCs w:val="0"/>
          <w:color w:val="auto"/>
          <w:sz w:val="32"/>
          <w:szCs w:val="32"/>
          <w:highlight w:val="none"/>
          <w:lang w:val="en-US" w:eastAsia="zh-CN" w:bidi="ar-SA"/>
        </w:rPr>
        <w:t>（四）工作成果</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eastAsia="zh-CN"/>
        </w:rPr>
        <w:t>2022年</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30</w:t>
      </w:r>
      <w:r>
        <w:rPr>
          <w:rFonts w:hint="eastAsia"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前提交</w:t>
      </w:r>
      <w:r>
        <w:rPr>
          <w:rFonts w:hint="eastAsia" w:ascii="Times New Roman" w:hAnsi="Times New Roman" w:eastAsia="方正仿宋_GBK" w:cs="Times New Roman"/>
          <w:b w:val="0"/>
          <w:bCs/>
          <w:color w:val="auto"/>
          <w:sz w:val="32"/>
          <w:szCs w:val="32"/>
          <w:highlight w:val="none"/>
          <w:lang w:val="en-US" w:eastAsia="zh-CN" w:bidi="ar-SA"/>
        </w:rPr>
        <w:t>初期蓄水第一阶段安全鉴定成果报告及专家审查。</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eastAsia="zh-CN"/>
        </w:rPr>
        <w:t>2022年</w:t>
      </w:r>
      <w:r>
        <w:rPr>
          <w:rFonts w:hint="eastAsia" w:ascii="Times New Roman" w:hAnsi="Times New Roman" w:eastAsia="方正仿宋_GBK" w:cs="Times New Roman"/>
          <w:bCs/>
          <w:color w:val="auto"/>
          <w:sz w:val="32"/>
          <w:szCs w:val="32"/>
          <w:highlight w:val="none"/>
          <w:lang w:val="en-US" w:eastAsia="zh-CN"/>
        </w:rPr>
        <w:t>6</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30</w:t>
      </w:r>
      <w:r>
        <w:rPr>
          <w:rFonts w:hint="eastAsia"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前提交</w:t>
      </w:r>
      <w:r>
        <w:rPr>
          <w:rFonts w:hint="eastAsia" w:ascii="Times New Roman" w:hAnsi="Times New Roman" w:eastAsia="方正仿宋_GBK" w:cs="Times New Roman"/>
          <w:b w:val="0"/>
          <w:bCs/>
          <w:color w:val="auto"/>
          <w:sz w:val="32"/>
          <w:szCs w:val="32"/>
          <w:highlight w:val="none"/>
          <w:lang w:val="en-US" w:eastAsia="zh-CN" w:bidi="ar-SA"/>
        </w:rPr>
        <w:t>初期蓄水第二阶段安全鉴定成果报告及专家审查。</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12</w:t>
      </w:r>
      <w:r>
        <w:rPr>
          <w:rFonts w:hint="eastAsia"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20</w:t>
      </w:r>
      <w:r>
        <w:rPr>
          <w:rFonts w:hint="eastAsia"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val="en-US" w:eastAsia="zh-CN"/>
        </w:rPr>
        <w:t>前提交</w:t>
      </w:r>
      <w:r>
        <w:rPr>
          <w:rFonts w:hint="eastAsia" w:ascii="Times New Roman" w:hAnsi="Times New Roman" w:eastAsia="方正仿宋_GBK" w:cs="Times New Roman"/>
          <w:b w:val="0"/>
          <w:bCs/>
          <w:color w:val="auto"/>
          <w:sz w:val="32"/>
          <w:szCs w:val="32"/>
          <w:highlight w:val="none"/>
          <w:lang w:val="en-US" w:eastAsia="zh-CN" w:bidi="ar-SA"/>
        </w:rPr>
        <w:t>终期蓄水安全鉴定成果报告及专家审查。</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3"/>
        <w:spacing w:line="500" w:lineRule="exact"/>
        <w:rPr>
          <w:rFonts w:ascii="Times New Roman" w:hAnsi="Times New Roman" w:eastAsia="黑体" w:cs="Times New Roman"/>
          <w:b w:val="0"/>
          <w:bCs w:val="0"/>
          <w:color w:val="auto"/>
          <w:highlight w:val="none"/>
          <w:lang w:eastAsia="zh-CN"/>
        </w:rPr>
      </w:pPr>
      <w:bookmarkStart w:id="56" w:name="_Toc21470"/>
      <w:bookmarkStart w:id="57" w:name="_Toc32330"/>
      <w:bookmarkStart w:id="58" w:name="_Toc12219"/>
      <w:bookmarkStart w:id="59" w:name="_Toc11058215"/>
      <w:r>
        <w:rPr>
          <w:rFonts w:hint="eastAsia" w:ascii="Times New Roman" w:hAnsi="Times New Roman" w:eastAsia="黑体" w:cs="Times New Roman"/>
          <w:b w:val="0"/>
          <w:bCs w:val="0"/>
          <w:color w:val="auto"/>
          <w:highlight w:val="none"/>
          <w:lang w:eastAsia="zh-CN"/>
        </w:rPr>
        <w:t>第三条 工作依据</w:t>
      </w:r>
      <w:bookmarkEnd w:id="56"/>
      <w:bookmarkEnd w:id="57"/>
      <w:bookmarkEnd w:id="58"/>
      <w:bookmarkEnd w:id="59"/>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（1）</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水利水电建设工程蓄水安全鉴定暂行办法</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2017年修正本</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水利部令第149号</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bidi="ar-SA"/>
        </w:rPr>
        <w:t>；</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）《水库大坝安全评价导则》（SL 258—2017）；</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（3）《水利水电建设工程蓄水安全鉴定报告编写大纲》（建管治[2000]11号文；</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（4）《水利水电建设工程验收技术鉴定导则》（SL670-2015）；</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（5）《水利水电建设工程验收规程》（SL223-2008）；</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（6）《水利工程项目验收管理规定》（水利部2006年第30号令）；</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（7）《水电工程安全鉴定规程》（NB/T35064-2015）；</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（8）国家和行业现行的规范、规程、技术标准；</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（9）政府有关部门批准的项目可行性研究报告和专题报告、初步设计报告以及项目审查、评估意见；</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（10）合同文件规定的工作范围、质量安全标准；</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（11）勘测设计、土建工程施工、监理、金属结构、安全监测和建设管理等参建单位的自检报告等。</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bidi="ar-SA"/>
        </w:rPr>
      </w:pP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bidi="ar-SA"/>
        </w:rPr>
      </w:pPr>
    </w:p>
    <w:p>
      <w:pPr>
        <w:pStyle w:val="3"/>
        <w:spacing w:line="500" w:lineRule="exact"/>
        <w:rPr>
          <w:rFonts w:ascii="Times New Roman" w:hAnsi="Times New Roman" w:eastAsia="黑体" w:cs="Times New Roman"/>
          <w:b w:val="0"/>
          <w:bCs w:val="0"/>
          <w:color w:val="auto"/>
          <w:highlight w:val="none"/>
          <w:lang w:eastAsia="zh-CN"/>
        </w:rPr>
      </w:pPr>
      <w:bookmarkStart w:id="60" w:name="_Toc28379"/>
      <w:bookmarkStart w:id="61" w:name="_Toc9457"/>
      <w:bookmarkStart w:id="62" w:name="_Toc22468"/>
      <w:bookmarkStart w:id="63" w:name="_Toc11058216"/>
      <w:r>
        <w:rPr>
          <w:rFonts w:hint="eastAsia" w:ascii="Times New Roman" w:hAnsi="Times New Roman" w:eastAsia="黑体" w:cs="Times New Roman"/>
          <w:b w:val="0"/>
          <w:bCs w:val="0"/>
          <w:color w:val="auto"/>
          <w:highlight w:val="none"/>
          <w:lang w:eastAsia="zh-CN"/>
        </w:rPr>
        <w:t>第四条 工作经费及其支付方式</w:t>
      </w:r>
      <w:bookmarkEnd w:id="60"/>
      <w:bookmarkEnd w:id="61"/>
      <w:bookmarkEnd w:id="62"/>
      <w:bookmarkEnd w:id="63"/>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（一）合同金额</w:t>
      </w:r>
    </w:p>
    <w:p>
      <w:pPr>
        <w:tabs>
          <w:tab w:val="left" w:pos="480"/>
        </w:tabs>
        <w:adjustRightInd w:val="0"/>
        <w:snapToGrid w:val="0"/>
        <w:spacing w:line="500" w:lineRule="exact"/>
        <w:ind w:firstLine="640" w:firstLineChars="200"/>
        <w:rPr>
          <w:color w:val="auto"/>
          <w:highlight w:val="none"/>
          <w:lang w:eastAsia="zh-CN"/>
        </w:rPr>
      </w:pPr>
      <w:r>
        <w:rPr>
          <w:rFonts w:hint="eastAsia" w:ascii="Times New Roman" w:hAnsi="Times New Roman" w:eastAsia="方正仿宋_GBK" w:cs="Times New Roman"/>
          <w:bCs/>
          <w:color w:val="auto"/>
          <w:sz w:val="32"/>
          <w:szCs w:val="32"/>
          <w:highlight w:val="none"/>
          <w:lang w:eastAsia="zh-CN"/>
        </w:rPr>
        <w:t>1、合同总价为人民币</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lang w:eastAsia="zh-CN"/>
        </w:rPr>
        <w:t>元（大写：     ），合同费用为总价包干使用，费用包括但不限于人工费、材料费、试验费、试验报告编制及审查费、会务费、交通费、差旅费、保险费、检测费、培训费、后续服务费、管理费、税费、合理利润等一切费用。</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（二）付款方式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00"/>
        <w:gridCol w:w="2713"/>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序号</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项目名称</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支付比例和金额</w:t>
            </w:r>
          </w:p>
        </w:tc>
        <w:tc>
          <w:tcPr>
            <w:tcW w:w="352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第一次支付（预付款）</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支付合同总金额的</w:t>
            </w:r>
            <w:r>
              <w:rPr>
                <w:rFonts w:hint="eastAsia" w:ascii="Times New Roman" w:hAnsi="Times New Roman" w:eastAsia="方正仿宋_GBK" w:cs="Times New Roman"/>
                <w:color w:val="auto"/>
                <w:highlight w:val="none"/>
                <w:lang w:val="en-US" w:eastAsia="zh-CN"/>
              </w:rPr>
              <w:t>1</w:t>
            </w:r>
            <w:r>
              <w:rPr>
                <w:rFonts w:hint="eastAsia" w:ascii="Times New Roman" w:hAnsi="Times New Roman" w:eastAsia="方正仿宋_GBK" w:cs="Times New Roman"/>
                <w:color w:val="auto"/>
                <w:highlight w:val="none"/>
                <w:lang w:eastAsia="zh-CN"/>
              </w:rPr>
              <w:t>0%</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eastAsia="zh-CN"/>
              </w:rPr>
              <w:t>合同签订10个工作日后。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w:t>
            </w:r>
          </w:p>
        </w:tc>
        <w:tc>
          <w:tcPr>
            <w:tcW w:w="1600"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w:t>
            </w:r>
            <w:r>
              <w:rPr>
                <w:rFonts w:hint="eastAsia" w:ascii="Times New Roman" w:hAnsi="Times New Roman" w:eastAsia="方正仿宋_GBK" w:cs="Times New Roman"/>
                <w:color w:val="auto"/>
                <w:highlight w:val="none"/>
                <w:lang w:val="en-US" w:eastAsia="zh-CN"/>
              </w:rPr>
              <w:t>二</w:t>
            </w:r>
            <w:r>
              <w:rPr>
                <w:rFonts w:hint="eastAsia" w:ascii="Times New Roman" w:hAnsi="Times New Roman" w:eastAsia="方正仿宋_GBK" w:cs="Times New Roman"/>
                <w:color w:val="auto"/>
                <w:highlight w:val="none"/>
                <w:lang w:eastAsia="zh-CN"/>
              </w:rPr>
              <w:t>次支付（中间款）</w:t>
            </w:r>
          </w:p>
        </w:tc>
        <w:tc>
          <w:tcPr>
            <w:tcW w:w="2713"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支付合同总金额的</w:t>
            </w:r>
            <w:r>
              <w:rPr>
                <w:rFonts w:hint="eastAsia" w:ascii="Times New Roman" w:hAnsi="Times New Roman" w:eastAsia="方正仿宋_GBK" w:cs="Times New Roman"/>
                <w:color w:val="auto"/>
                <w:highlight w:val="none"/>
                <w:lang w:val="en-US" w:eastAsia="zh-CN"/>
              </w:rPr>
              <w:t>3</w:t>
            </w:r>
            <w:r>
              <w:rPr>
                <w:rFonts w:hint="eastAsia" w:ascii="Times New Roman" w:hAnsi="Times New Roman" w:eastAsia="方正仿宋_GBK" w:cs="Times New Roman"/>
                <w:color w:val="auto"/>
                <w:highlight w:val="none"/>
                <w:lang w:eastAsia="zh-CN"/>
              </w:rPr>
              <w:t>0%</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完成初期蓄水第一阶段安全鉴定报告编制及审查。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2</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w:t>
            </w:r>
            <w:r>
              <w:rPr>
                <w:rFonts w:hint="eastAsia" w:ascii="Times New Roman" w:hAnsi="Times New Roman" w:eastAsia="方正仿宋_GBK" w:cs="Times New Roman"/>
                <w:color w:val="auto"/>
                <w:highlight w:val="none"/>
                <w:lang w:val="en-US" w:eastAsia="zh-CN"/>
              </w:rPr>
              <w:t>三</w:t>
            </w:r>
            <w:r>
              <w:rPr>
                <w:rFonts w:hint="eastAsia" w:ascii="Times New Roman" w:hAnsi="Times New Roman" w:eastAsia="方正仿宋_GBK" w:cs="Times New Roman"/>
                <w:color w:val="auto"/>
                <w:highlight w:val="none"/>
                <w:lang w:eastAsia="zh-CN"/>
              </w:rPr>
              <w:t>次支付（中间款）</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支付合同剩余金额</w:t>
            </w:r>
            <w:r>
              <w:rPr>
                <w:rFonts w:hint="eastAsia" w:ascii="Times New Roman" w:hAnsi="Times New Roman" w:eastAsia="方正仿宋_GBK" w:cs="Times New Roman"/>
                <w:color w:val="auto"/>
                <w:highlight w:val="none"/>
                <w:lang w:val="en-US" w:eastAsia="zh-CN"/>
              </w:rPr>
              <w:t>30</w:t>
            </w:r>
            <w:r>
              <w:rPr>
                <w:rFonts w:hint="eastAsia" w:ascii="Times New Roman" w:hAnsi="Times New Roman" w:eastAsia="方正仿宋_GBK" w:cs="Times New Roman"/>
                <w:color w:val="auto"/>
                <w:highlight w:val="none"/>
                <w:lang w:eastAsia="zh-CN"/>
              </w:rPr>
              <w:t>%</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完成初期蓄水第二阶段安全鉴定报告编制及审查。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3</w:t>
            </w:r>
          </w:p>
        </w:tc>
        <w:tc>
          <w:tcPr>
            <w:tcW w:w="1600"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w:t>
            </w:r>
            <w:r>
              <w:rPr>
                <w:rFonts w:hint="eastAsia" w:ascii="Times New Roman" w:hAnsi="Times New Roman" w:eastAsia="方正仿宋_GBK" w:cs="Times New Roman"/>
                <w:color w:val="auto"/>
                <w:highlight w:val="none"/>
                <w:lang w:val="en-US" w:eastAsia="zh-CN"/>
              </w:rPr>
              <w:t>四</w:t>
            </w:r>
            <w:r>
              <w:rPr>
                <w:rFonts w:hint="eastAsia" w:ascii="Times New Roman" w:hAnsi="Times New Roman" w:eastAsia="方正仿宋_GBK" w:cs="Times New Roman"/>
                <w:color w:val="auto"/>
                <w:highlight w:val="none"/>
                <w:lang w:eastAsia="zh-CN"/>
              </w:rPr>
              <w:t>次支付（结清款）</w:t>
            </w:r>
          </w:p>
        </w:tc>
        <w:tc>
          <w:tcPr>
            <w:tcW w:w="2713"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支付合同剩余金额</w:t>
            </w:r>
            <w:r>
              <w:rPr>
                <w:rFonts w:hint="eastAsia" w:ascii="Times New Roman" w:hAnsi="Times New Roman" w:eastAsia="方正仿宋_GBK" w:cs="Times New Roman"/>
                <w:color w:val="auto"/>
                <w:highlight w:val="none"/>
                <w:lang w:val="en-US" w:eastAsia="zh-CN"/>
              </w:rPr>
              <w:t>30</w:t>
            </w:r>
            <w:r>
              <w:rPr>
                <w:rFonts w:hint="eastAsia" w:ascii="Times New Roman" w:hAnsi="Times New Roman" w:eastAsia="方正仿宋_GBK" w:cs="Times New Roman"/>
                <w:color w:val="auto"/>
                <w:highlight w:val="none"/>
                <w:lang w:eastAsia="zh-CN"/>
              </w:rPr>
              <w:t>%</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完成终期蓄水安全鉴定报告编制及审查。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505" w:type="dxa"/>
            <w:gridSpan w:val="4"/>
            <w:vAlign w:val="center"/>
          </w:tcPr>
          <w:p>
            <w:pPr>
              <w:tabs>
                <w:tab w:val="left" w:leader="underscore" w:pos="7582"/>
              </w:tabs>
              <w:spacing w:line="360" w:lineRule="exact"/>
              <w:jc w:val="both"/>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备注：</w:t>
            </w:r>
          </w:p>
          <w:p>
            <w:pPr>
              <w:tabs>
                <w:tab w:val="left" w:leader="underscore" w:pos="7582"/>
              </w:tabs>
              <w:spacing w:line="360" w:lineRule="exac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（1）乙方提交各阶段的成果报告纸质版不少于10份，PDF及可编辑word格式电子档文件2份（U盘），甲方根据实际情况需要增加报告份数，乙方应无条件提供；</w:t>
            </w:r>
          </w:p>
          <w:p>
            <w:pPr>
              <w:tabs>
                <w:tab w:val="left" w:leader="underscore" w:pos="7582"/>
              </w:tabs>
              <w:spacing w:line="360" w:lineRule="exac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（2）每次付款前，乙方应提供符合现行税务规定的等额增值税专用发票、付款申请等相关资料，甲方在收到乙方提交完整付款申请资料并经审核无误后30日历天内支付。</w:t>
            </w:r>
          </w:p>
        </w:tc>
      </w:tr>
    </w:tbl>
    <w:p>
      <w:pPr>
        <w:tabs>
          <w:tab w:val="left" w:pos="480"/>
        </w:tabs>
        <w:adjustRightInd w:val="0"/>
        <w:snapToGrid w:val="0"/>
        <w:spacing w:line="500" w:lineRule="exact"/>
        <w:ind w:firstLine="480" w:firstLineChars="200"/>
        <w:rPr>
          <w:color w:val="auto"/>
          <w:sz w:val="24"/>
          <w:highlight w:val="none"/>
          <w:lang w:eastAsia="zh-CN"/>
        </w:rPr>
      </w:pPr>
      <w:bookmarkStart w:id="64" w:name="_Toc11058217"/>
      <w:bookmarkStart w:id="65" w:name="_Toc18768"/>
    </w:p>
    <w:p>
      <w:pPr>
        <w:pStyle w:val="3"/>
        <w:spacing w:line="500" w:lineRule="exact"/>
        <w:rPr>
          <w:rFonts w:ascii="Times New Roman" w:hAnsi="Times New Roman" w:eastAsia="黑体" w:cs="Times New Roman"/>
          <w:b w:val="0"/>
          <w:bCs w:val="0"/>
          <w:color w:val="auto"/>
          <w:highlight w:val="none"/>
          <w:lang w:eastAsia="zh-CN"/>
        </w:rPr>
      </w:pPr>
      <w:bookmarkStart w:id="66" w:name="_Toc20902"/>
      <w:bookmarkStart w:id="67" w:name="_Toc13458"/>
      <w:r>
        <w:rPr>
          <w:rFonts w:hint="eastAsia" w:ascii="Times New Roman" w:hAnsi="Times New Roman" w:eastAsia="黑体" w:cs="Times New Roman"/>
          <w:b w:val="0"/>
          <w:bCs w:val="0"/>
          <w:color w:val="auto"/>
          <w:highlight w:val="none"/>
          <w:lang w:eastAsia="zh-CN"/>
        </w:rPr>
        <w:t>第五条 甲方的权利和义务</w:t>
      </w:r>
      <w:bookmarkEnd w:id="64"/>
      <w:bookmarkEnd w:id="65"/>
      <w:bookmarkEnd w:id="66"/>
      <w:bookmarkEnd w:id="67"/>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（一）甲方的权利</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1、甲方有对</w:t>
      </w:r>
      <w:r>
        <w:rPr>
          <w:rFonts w:hint="eastAsia" w:ascii="Times New Roman" w:hAnsi="Times New Roman" w:eastAsia="方正仿宋_GBK" w:cs="Times New Roman"/>
          <w:bCs/>
          <w:color w:val="auto"/>
          <w:sz w:val="32"/>
          <w:szCs w:val="32"/>
          <w:highlight w:val="none"/>
          <w:lang w:val="en-US" w:eastAsia="zh-CN"/>
        </w:rPr>
        <w:t>蓄水安全鉴定（含初期和终期）成果报告</w:t>
      </w:r>
      <w:r>
        <w:rPr>
          <w:rFonts w:hint="eastAsia" w:ascii="Times New Roman" w:hAnsi="Times New Roman" w:eastAsia="方正仿宋_GBK" w:cs="Times New Roman"/>
          <w:bCs/>
          <w:color w:val="auto"/>
          <w:sz w:val="32"/>
          <w:szCs w:val="32"/>
          <w:highlight w:val="none"/>
          <w:lang w:eastAsia="zh-CN"/>
        </w:rPr>
        <w:t>的认定权，以及对</w:t>
      </w:r>
      <w:r>
        <w:rPr>
          <w:rFonts w:hint="eastAsia" w:ascii="Times New Roman" w:hAnsi="Times New Roman" w:eastAsia="方正仿宋_GBK" w:cs="Times New Roman"/>
          <w:bCs/>
          <w:color w:val="auto"/>
          <w:sz w:val="32"/>
          <w:szCs w:val="32"/>
          <w:highlight w:val="none"/>
          <w:lang w:val="en-US" w:eastAsia="zh-CN"/>
        </w:rPr>
        <w:t>蓄水安全鉴定（含初期和终期）成果报告</w:t>
      </w:r>
      <w:r>
        <w:rPr>
          <w:rFonts w:hint="eastAsia" w:ascii="Times New Roman" w:hAnsi="Times New Roman" w:eastAsia="方正仿宋_GBK" w:cs="Times New Roman"/>
          <w:bCs/>
          <w:color w:val="auto"/>
          <w:sz w:val="32"/>
          <w:szCs w:val="32"/>
          <w:highlight w:val="none"/>
          <w:lang w:eastAsia="zh-CN"/>
        </w:rPr>
        <w:t>的相关项目变更的审批权。</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2、乙方调换本项目的项目负责人须事先经甲方同意。</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3、甲方有权要求乙方提交</w:t>
      </w:r>
      <w:r>
        <w:rPr>
          <w:rFonts w:hint="eastAsia" w:ascii="Times New Roman" w:hAnsi="Times New Roman" w:eastAsia="方正仿宋_GBK" w:cs="Times New Roman"/>
          <w:bCs/>
          <w:color w:val="auto"/>
          <w:sz w:val="32"/>
          <w:szCs w:val="32"/>
          <w:highlight w:val="none"/>
          <w:lang w:val="en-US" w:eastAsia="zh-CN"/>
        </w:rPr>
        <w:t>蓄水安全鉴定（含初期和终期）</w:t>
      </w:r>
      <w:r>
        <w:rPr>
          <w:rFonts w:hint="eastAsia" w:ascii="Times New Roman" w:hAnsi="Times New Roman" w:eastAsia="方正仿宋_GBK" w:cs="Times New Roman"/>
          <w:bCs/>
          <w:color w:val="auto"/>
          <w:sz w:val="32"/>
          <w:szCs w:val="32"/>
          <w:highlight w:val="none"/>
          <w:lang w:eastAsia="zh-CN"/>
        </w:rPr>
        <w:t>成果报告。</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4、当甲方发现乙方人员不按合同履行职责时，甲方有权要求乙方更换人员。</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5、本合同工作成果的知识产权属双方共有。</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（二）甲方的义务</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1、向乙方提供本项目的相关资料。</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2、甲方应在7日内对乙方书面提交并要求作出决定的事宜作出书面答复。</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3、甲方应按合同约定支付相应报酬。</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4、本合同有关条款规定的或补充协议中约定的甲方应负的其它责任。</w:t>
      </w:r>
    </w:p>
    <w:p>
      <w:pPr>
        <w:tabs>
          <w:tab w:val="left" w:pos="480"/>
        </w:tabs>
        <w:adjustRightInd w:val="0"/>
        <w:snapToGrid w:val="0"/>
        <w:spacing w:line="500" w:lineRule="exact"/>
        <w:ind w:firstLine="480" w:firstLineChars="200"/>
        <w:rPr>
          <w:color w:val="auto"/>
          <w:sz w:val="24"/>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68" w:name="_Toc11058218"/>
      <w:bookmarkStart w:id="69" w:name="_Toc2475"/>
      <w:bookmarkStart w:id="70" w:name="_Toc6308"/>
      <w:bookmarkStart w:id="71" w:name="_Toc31141"/>
      <w:r>
        <w:rPr>
          <w:rFonts w:hint="eastAsia" w:ascii="Times New Roman" w:hAnsi="Times New Roman" w:eastAsia="黑体" w:cs="Times New Roman"/>
          <w:b w:val="0"/>
          <w:bCs w:val="0"/>
          <w:color w:val="auto"/>
          <w:highlight w:val="none"/>
          <w:lang w:eastAsia="zh-CN"/>
        </w:rPr>
        <w:t>第六条 乙方的权利和义务</w:t>
      </w:r>
      <w:bookmarkEnd w:id="68"/>
      <w:bookmarkEnd w:id="69"/>
      <w:bookmarkEnd w:id="70"/>
      <w:bookmarkEnd w:id="71"/>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（一）乙方的权利</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1、当发现工程不符合国家颁布的建设工程质量标准或合同约定的质量标准时，乙方应当书面报告甲方。</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2、向甲方提供切实可行的</w:t>
      </w:r>
      <w:r>
        <w:rPr>
          <w:rFonts w:hint="eastAsia" w:ascii="Times New Roman" w:hAnsi="Times New Roman" w:eastAsia="方正仿宋_GBK" w:cs="Times New Roman"/>
          <w:bCs/>
          <w:color w:val="auto"/>
          <w:sz w:val="32"/>
          <w:szCs w:val="32"/>
          <w:highlight w:val="none"/>
          <w:lang w:val="en-US" w:eastAsia="zh-CN"/>
        </w:rPr>
        <w:t>蓄水安全鉴定（含初期和终期）成果报告</w:t>
      </w:r>
      <w:r>
        <w:rPr>
          <w:rFonts w:hint="eastAsia" w:ascii="Times New Roman" w:hAnsi="Times New Roman" w:eastAsia="方正仿宋_GBK" w:cs="Times New Roman"/>
          <w:bCs/>
          <w:color w:val="auto"/>
          <w:sz w:val="32"/>
          <w:szCs w:val="32"/>
          <w:highlight w:val="none"/>
          <w:lang w:eastAsia="zh-CN"/>
        </w:rPr>
        <w:t>。</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3、主持相关协作单位的业务协调工作，重要协调事项应当事先向甲方报告。</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4、甲方授权乙方行使的其他职权。</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5、本合同中约定的乙方的权利应当理解为甲方赋予乙方的职权，乙方必须履行。</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（二）乙方的义务</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1、按有关规定组织</w:t>
      </w:r>
      <w:r>
        <w:rPr>
          <w:rFonts w:hint="eastAsia" w:ascii="Times New Roman" w:hAnsi="Times New Roman" w:eastAsia="方正仿宋_GBK" w:cs="Times New Roman"/>
          <w:bCs/>
          <w:color w:val="auto"/>
          <w:sz w:val="32"/>
          <w:szCs w:val="32"/>
          <w:highlight w:val="none"/>
          <w:lang w:val="en-US" w:eastAsia="zh-CN"/>
        </w:rPr>
        <w:t>蓄水安全鉴定（含初期和终期）成果报告</w:t>
      </w:r>
      <w:r>
        <w:rPr>
          <w:rFonts w:hint="eastAsia" w:ascii="Times New Roman" w:hAnsi="Times New Roman" w:eastAsia="方正仿宋_GBK" w:cs="Times New Roman"/>
          <w:bCs/>
          <w:color w:val="auto"/>
          <w:sz w:val="32"/>
          <w:szCs w:val="32"/>
          <w:highlight w:val="none"/>
          <w:lang w:eastAsia="zh-CN"/>
        </w:rPr>
        <w:t>的编制，负责</w:t>
      </w:r>
      <w:r>
        <w:rPr>
          <w:rFonts w:hint="eastAsia" w:ascii="Times New Roman" w:hAnsi="Times New Roman" w:eastAsia="方正仿宋_GBK" w:cs="Times New Roman"/>
          <w:bCs/>
          <w:color w:val="auto"/>
          <w:sz w:val="32"/>
          <w:szCs w:val="32"/>
          <w:highlight w:val="none"/>
          <w:lang w:val="en-US" w:eastAsia="zh-CN"/>
        </w:rPr>
        <w:t>蓄水安全鉴定（含初期和终期）成果报告的</w:t>
      </w:r>
      <w:r>
        <w:rPr>
          <w:rFonts w:hint="eastAsia" w:ascii="Times New Roman" w:hAnsi="Times New Roman" w:eastAsia="方正仿宋_GBK" w:cs="Times New Roman"/>
          <w:bCs/>
          <w:color w:val="auto"/>
          <w:sz w:val="32"/>
          <w:szCs w:val="32"/>
          <w:highlight w:val="none"/>
          <w:lang w:eastAsia="zh-CN"/>
        </w:rPr>
        <w:t>审查。</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2、乙方应根据业务性质及内容，配备相应专业的技术人员，主要技术负责人应具有高工或以上的技术职称，并具备丰富的工作经验，未经甲方同意不得调换。</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乙方在合同执行期间，接受甲方的安全监督和管理，自觉遵守现场的有关规定，做好现场的安全防护措施，保证现场人员人身及设备财产安全，承担现场的全部安全、环保责任，对现场安全事故、环保事故以及造成的经济损失承担全部责任。</w:t>
      </w:r>
    </w:p>
    <w:p>
      <w:pPr>
        <w:tabs>
          <w:tab w:val="left" w:pos="480"/>
        </w:tabs>
        <w:adjustRightInd w:val="0"/>
        <w:snapToGrid w:val="0"/>
        <w:spacing w:line="500" w:lineRule="exact"/>
        <w:ind w:firstLine="480" w:firstLineChars="200"/>
        <w:rPr>
          <w:color w:val="auto"/>
          <w:sz w:val="24"/>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72" w:name="_Toc23547"/>
      <w:bookmarkStart w:id="73" w:name="_Toc11058219"/>
      <w:bookmarkStart w:id="74" w:name="_Toc3423"/>
      <w:bookmarkStart w:id="75" w:name="_Toc4712"/>
      <w:r>
        <w:rPr>
          <w:rFonts w:hint="eastAsia" w:ascii="Times New Roman" w:hAnsi="Times New Roman" w:eastAsia="黑体" w:cs="Times New Roman"/>
          <w:b w:val="0"/>
          <w:bCs w:val="0"/>
          <w:color w:val="auto"/>
          <w:highlight w:val="none"/>
          <w:lang w:eastAsia="zh-CN"/>
        </w:rPr>
        <w:t>第七条 合同的变更与终止</w:t>
      </w:r>
      <w:bookmarkEnd w:id="72"/>
      <w:bookmarkEnd w:id="73"/>
      <w:bookmarkEnd w:id="74"/>
      <w:bookmarkEnd w:id="75"/>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（一）合同签订后，因甲方原因，使得服务工作不能如期开展的，甲方可通知乙方进行工期延长，乙方不得要求增加费用。</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（二）没有甲方的同意，乙方不得减少或者省略任何工作。</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（三）乙方向甲方办理完成果移交手续，乙方收到服务费结清款，本合同即终止。</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四）当事人一方要求变更或解除合同时，应当在30日前通知对方，因解除合同使一方遭受损失的，除依法可以免除责任的外，应由责任方负责赔偿。变更或解除合同的通知或协议必须采取书面形式，协议未达成之前，原合同仍然有效。</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五）乙方未按合同约定严格履行合同义务的，甲方有权向乙方发出通知要求乙方限期纠正违约行为。若甲方发出通知后10日内没收到乙方答复，可在通知发出后10日后发出终止本合同的声明，合同即行终止。乙方承担违约责任。</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76" w:name="_Toc24794"/>
      <w:bookmarkStart w:id="77" w:name="_Toc11058220"/>
      <w:bookmarkStart w:id="78" w:name="_Toc21937"/>
      <w:bookmarkStart w:id="79" w:name="_Toc3174"/>
      <w:r>
        <w:rPr>
          <w:rFonts w:hint="eastAsia" w:ascii="Times New Roman" w:hAnsi="Times New Roman" w:eastAsia="黑体" w:cs="Times New Roman"/>
          <w:b w:val="0"/>
          <w:bCs w:val="0"/>
          <w:color w:val="auto"/>
          <w:highlight w:val="none"/>
          <w:lang w:eastAsia="zh-CN"/>
        </w:rPr>
        <w:t>第八条 违约责任</w:t>
      </w:r>
      <w:bookmarkEnd w:id="76"/>
      <w:bookmarkEnd w:id="77"/>
      <w:bookmarkEnd w:id="78"/>
      <w:bookmarkEnd w:id="79"/>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bookmarkStart w:id="80" w:name="_Toc11058221"/>
      <w:bookmarkStart w:id="81" w:name="_Toc445363454"/>
      <w:r>
        <w:rPr>
          <w:rFonts w:hint="eastAsia" w:ascii="Times New Roman" w:hAnsi="Times New Roman" w:eastAsia="方正仿宋_GBK" w:cs="Times New Roman"/>
          <w:bCs/>
          <w:color w:val="auto"/>
          <w:sz w:val="32"/>
          <w:szCs w:val="32"/>
          <w:highlight w:val="none"/>
          <w:lang w:eastAsia="zh-CN"/>
        </w:rPr>
        <w:t>（一）甲方违约的情形及承担违约责任的方式</w:t>
      </w:r>
      <w:bookmarkEnd w:id="80"/>
      <w:bookmarkEnd w:id="81"/>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甲方不按时支付工作费的，除支付本合同约定的前期工作费外，未按期支付部分的款项还应按同期银行存款利率给乙方计讨利息，造成乙方停工的工期顺延。</w:t>
      </w:r>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bookmarkStart w:id="82" w:name="_Toc445363455"/>
      <w:bookmarkStart w:id="83" w:name="_Toc11058222"/>
      <w:r>
        <w:rPr>
          <w:rFonts w:hint="eastAsia" w:ascii="Times New Roman" w:hAnsi="Times New Roman" w:eastAsia="方正仿宋_GBK" w:cs="Times New Roman"/>
          <w:bCs/>
          <w:color w:val="auto"/>
          <w:sz w:val="32"/>
          <w:szCs w:val="32"/>
          <w:highlight w:val="none"/>
          <w:lang w:eastAsia="zh-CN"/>
        </w:rPr>
        <w:t>（二）乙方违约的情形及承担违约责任的方式</w:t>
      </w:r>
      <w:bookmarkEnd w:id="82"/>
      <w:bookmarkEnd w:id="83"/>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1、当乙方无正当理由履行或没有充分履行其相关承诺义务时，甲方有权书面通知乙方，指明其未能履约内容和甲方要求其承担的违约责任。</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乙方未按照合同约定和各项工作计划的承诺组织建立组织架构、配备技术人员和投入设备，乙方必须按甲方要求期限整改；如果乙方拒不配合，未在甲方提出限期改正的期限内进行整改的，甲方有权要求乙方承担双倍前期工作费的违约金和承担由此造成的甲方损失。</w:t>
      </w:r>
    </w:p>
    <w:p>
      <w:pPr>
        <w:tabs>
          <w:tab w:val="left" w:pos="225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4、因乙方原因给甲方造成损失的，甲方有权要求乙方进行赔偿，但累计赔偿总额不应超过合同金额。</w:t>
      </w:r>
    </w:p>
    <w:p>
      <w:pPr>
        <w:tabs>
          <w:tab w:val="left" w:pos="225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84" w:name="_Toc31045"/>
      <w:bookmarkStart w:id="85" w:name="_Toc11058223"/>
      <w:bookmarkStart w:id="86" w:name="_Toc2204"/>
      <w:bookmarkStart w:id="87" w:name="_Toc22097"/>
      <w:r>
        <w:rPr>
          <w:rFonts w:hint="eastAsia" w:ascii="Times New Roman" w:hAnsi="Times New Roman" w:eastAsia="黑体" w:cs="Times New Roman"/>
          <w:b w:val="0"/>
          <w:bCs w:val="0"/>
          <w:color w:val="auto"/>
          <w:highlight w:val="none"/>
          <w:lang w:eastAsia="zh-CN"/>
        </w:rPr>
        <w:t>第九条 不可抗力</w:t>
      </w:r>
      <w:bookmarkEnd w:id="84"/>
      <w:bookmarkEnd w:id="85"/>
      <w:bookmarkEnd w:id="86"/>
      <w:bookmarkEnd w:id="87"/>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（一）不可抗力，是指不能预见、不能避免且不能克服，对本合同的船闸原型观测与调试造成实质性影响的自然灾害和战争、动乱（不包括甲乙方内部的任何纠纷和纷争）等社会事件。</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（二）政府关于本工程的重大调整或规划方案重大功能性调整，也属不可抗力。</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88" w:name="_Toc31475"/>
      <w:bookmarkStart w:id="89" w:name="_Toc11058224"/>
      <w:bookmarkStart w:id="90" w:name="_Toc8461"/>
      <w:bookmarkStart w:id="91" w:name="_Toc8279"/>
      <w:r>
        <w:rPr>
          <w:rFonts w:hint="eastAsia" w:ascii="Times New Roman" w:hAnsi="Times New Roman" w:eastAsia="黑体" w:cs="Times New Roman"/>
          <w:b w:val="0"/>
          <w:bCs w:val="0"/>
          <w:color w:val="auto"/>
          <w:highlight w:val="none"/>
          <w:lang w:eastAsia="zh-CN"/>
        </w:rPr>
        <w:t>第十条 争议解决条款</w:t>
      </w:r>
      <w:bookmarkEnd w:id="88"/>
      <w:bookmarkEnd w:id="89"/>
      <w:bookmarkEnd w:id="90"/>
      <w:bookmarkEnd w:id="91"/>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因本合同或履行本合同发生争议，双方当事人应友好协商解决或由有关主管单位进行调解，协商或调解不成，任何一方均应向甲方所在地的人民法院提起诉讼。</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92" w:name="_Toc1455"/>
      <w:bookmarkStart w:id="93" w:name="_Toc2926"/>
      <w:bookmarkStart w:id="94" w:name="_Toc21126"/>
      <w:bookmarkStart w:id="95" w:name="_Toc11058227"/>
      <w:r>
        <w:rPr>
          <w:rFonts w:hint="eastAsia" w:ascii="Times New Roman" w:hAnsi="Times New Roman" w:eastAsia="黑体" w:cs="Times New Roman"/>
          <w:b w:val="0"/>
          <w:bCs w:val="0"/>
          <w:color w:val="auto"/>
          <w:highlight w:val="none"/>
          <w:lang w:eastAsia="zh-CN"/>
        </w:rPr>
        <w:t>第十一条 合同份数及时效</w:t>
      </w:r>
      <w:bookmarkEnd w:id="92"/>
      <w:bookmarkEnd w:id="93"/>
      <w:bookmarkEnd w:id="94"/>
      <w:bookmarkEnd w:id="95"/>
    </w:p>
    <w:p>
      <w:pPr>
        <w:spacing w:line="500" w:lineRule="exact"/>
        <w:ind w:left="100" w:right="113" w:firstLine="640" w:firstLineChars="200"/>
        <w:rPr>
          <w:rFonts w:ascii="Times New Roman" w:hAnsi="Times New Roman" w:eastAsia="方正仿宋_GBK" w:cs="Times New Roman"/>
          <w:bCs/>
          <w:color w:val="auto"/>
          <w:sz w:val="32"/>
          <w:szCs w:val="32"/>
          <w:highlight w:val="none"/>
          <w:lang w:eastAsia="zh-CN"/>
        </w:rPr>
      </w:pPr>
      <w:bookmarkStart w:id="96" w:name="_Toc5808"/>
      <w:r>
        <w:rPr>
          <w:rFonts w:hint="eastAsia" w:ascii="Times New Roman" w:hAnsi="Times New Roman" w:eastAsia="方正仿宋_GBK" w:cs="Times New Roman"/>
          <w:bCs/>
          <w:color w:val="auto"/>
          <w:sz w:val="32"/>
          <w:szCs w:val="32"/>
          <w:highlight w:val="none"/>
          <w:lang w:eastAsia="zh-CN"/>
        </w:rPr>
        <w:t>本合同一式 6 份，其中甲方 4 份，乙方 2 份。本合同自合同双方签字盖章之日起生效，合同双方权利义务完成之后自然失效。</w:t>
      </w:r>
      <w:bookmarkEnd w:id="96"/>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spacing w:line="500" w:lineRule="exact"/>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甲方</w:t>
      </w:r>
      <w:r>
        <w:rPr>
          <w:rFonts w:ascii="Times New Roman" w:hAnsi="Times New Roman" w:eastAsia="方正仿宋_GBK" w:cs="Times New Roman"/>
          <w:bCs/>
          <w:color w:val="auto"/>
          <w:sz w:val="32"/>
          <w:szCs w:val="32"/>
          <w:highlight w:val="none"/>
          <w:lang w:eastAsia="zh-CN"/>
        </w:rPr>
        <w:t xml:space="preserve">：                     </w:t>
      </w:r>
      <w:r>
        <w:rPr>
          <w:rFonts w:hint="eastAsia" w:ascii="Times New Roman" w:hAnsi="Times New Roman" w:eastAsia="方正仿宋_GBK" w:cs="Times New Roman"/>
          <w:bCs/>
          <w:color w:val="auto"/>
          <w:sz w:val="32"/>
          <w:szCs w:val="32"/>
          <w:highlight w:val="none"/>
          <w:lang w:eastAsia="zh-CN"/>
        </w:rPr>
        <w:t>乙方</w:t>
      </w:r>
      <w:r>
        <w:rPr>
          <w:rFonts w:ascii="Times New Roman" w:hAnsi="Times New Roman" w:eastAsia="方正仿宋_GBK" w:cs="Times New Roman"/>
          <w:bCs/>
          <w:color w:val="auto"/>
          <w:sz w:val="32"/>
          <w:szCs w:val="32"/>
          <w:highlight w:val="none"/>
          <w:lang w:eastAsia="zh-CN"/>
        </w:rPr>
        <w:t xml:space="preserve">：             </w:t>
      </w:r>
    </w:p>
    <w:p>
      <w:pPr>
        <w:spacing w:line="500" w:lineRule="exact"/>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val="zh-CN" w:eastAsia="zh-CN"/>
        </w:rPr>
        <w:t>法定代表人</w:t>
      </w:r>
      <w:r>
        <w:rPr>
          <w:rFonts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法定代表人</w:t>
      </w:r>
      <w:r>
        <w:rPr>
          <w:rFonts w:ascii="Times New Roman" w:hAnsi="Times New Roman" w:eastAsia="方正仿宋_GBK" w:cs="Times New Roman"/>
          <w:bCs/>
          <w:color w:val="auto"/>
          <w:sz w:val="32"/>
          <w:szCs w:val="32"/>
          <w:highlight w:val="none"/>
          <w:lang w:eastAsia="zh-CN"/>
        </w:rPr>
        <w:t>：</w:t>
      </w:r>
    </w:p>
    <w:p>
      <w:pPr>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或其授权的代理人：         或其授权的代理人：</w:t>
      </w:r>
    </w:p>
    <w:p>
      <w:pPr>
        <w:tabs>
          <w:tab w:val="left" w:pos="48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spacing w:line="500" w:lineRule="exact"/>
        <w:ind w:firstLine="640" w:firstLineChars="200"/>
        <w:jc w:val="both"/>
        <w:rPr>
          <w:rFonts w:ascii="Times New Roman" w:hAnsi="Times New Roman" w:eastAsia="方正仿宋_GBK" w:cs="Times New Roman"/>
          <w:bCs/>
          <w:color w:val="auto"/>
          <w:sz w:val="32"/>
          <w:szCs w:val="32"/>
          <w:highlight w:val="none"/>
          <w:lang w:val="zh-CN" w:eastAsia="zh-CN"/>
        </w:rPr>
      </w:pPr>
    </w:p>
    <w:p>
      <w:pPr>
        <w:spacing w:line="590" w:lineRule="exact"/>
        <w:ind w:left="3"/>
        <w:jc w:val="center"/>
        <w:rPr>
          <w:rFonts w:ascii="Times New Roman" w:hAnsi="Times New Roman" w:eastAsia="方正仿宋_GBK" w:cs="Times New Roman"/>
          <w:bCs/>
          <w:color w:val="auto"/>
          <w:sz w:val="32"/>
          <w:szCs w:val="32"/>
          <w:highlight w:val="none"/>
          <w:lang w:val="zh-CN" w:eastAsia="zh-CN"/>
        </w:rPr>
      </w:pPr>
    </w:p>
    <w:p>
      <w:pPr>
        <w:rPr>
          <w:color w:val="auto"/>
          <w:highlight w:val="none"/>
          <w:lang w:val="zh-CN" w:eastAsia="zh-CN"/>
        </w:rPr>
        <w:sectPr>
          <w:footerReference r:id="rId6" w:type="first"/>
          <w:headerReference r:id="rId5" w:type="default"/>
          <w:pgSz w:w="11907" w:h="16840"/>
          <w:pgMar w:top="1440" w:right="1797" w:bottom="1440" w:left="1797" w:header="851" w:footer="964" w:gutter="0"/>
          <w:cols w:space="720" w:num="1"/>
          <w:titlePg/>
          <w:docGrid w:linePitch="326" w:charSpace="0"/>
        </w:sectPr>
      </w:pPr>
    </w:p>
    <w:p>
      <w:pPr>
        <w:keepNext/>
        <w:keepLines/>
        <w:shd w:val="clear" w:color="auto" w:fill="FFFFFF"/>
        <w:adjustRightInd w:val="0"/>
        <w:snapToGrid w:val="0"/>
        <w:spacing w:line="360" w:lineRule="auto"/>
        <w:outlineLvl w:val="1"/>
        <w:rPr>
          <w:rFonts w:ascii="Times New Roman" w:hAnsi="Times New Roman" w:eastAsia="黑体" w:cs="Times New Roman"/>
          <w:color w:val="auto"/>
          <w:sz w:val="32"/>
          <w:szCs w:val="32"/>
          <w:highlight w:val="none"/>
          <w:lang w:eastAsia="zh-CN"/>
        </w:rPr>
      </w:pPr>
      <w:bookmarkStart w:id="97" w:name="_Toc15779"/>
      <w:bookmarkStart w:id="98" w:name="_Toc3671"/>
      <w:r>
        <w:rPr>
          <w:rFonts w:hint="eastAsia" w:ascii="Times New Roman" w:hAnsi="Times New Roman" w:eastAsia="黑体" w:cs="Times New Roman"/>
          <w:color w:val="auto"/>
          <w:sz w:val="32"/>
          <w:szCs w:val="32"/>
          <w:highlight w:val="none"/>
          <w:lang w:eastAsia="zh-CN"/>
        </w:rPr>
        <w:t>附件1：安全生产合同</w:t>
      </w:r>
      <w:bookmarkEnd w:id="97"/>
      <w:bookmarkEnd w:id="98"/>
    </w:p>
    <w:p>
      <w:pPr>
        <w:snapToGrid w:val="0"/>
        <w:spacing w:line="500" w:lineRule="exact"/>
        <w:rPr>
          <w:color w:val="auto"/>
          <w:szCs w:val="21"/>
          <w:highlight w:val="none"/>
          <w:lang w:eastAsia="zh-CN"/>
        </w:rPr>
      </w:pPr>
    </w:p>
    <w:p>
      <w:pPr>
        <w:tabs>
          <w:tab w:val="left" w:pos="1080"/>
          <w:tab w:val="left" w:pos="1260"/>
          <w:tab w:val="left" w:pos="2100"/>
        </w:tabs>
        <w:adjustRightInd w:val="0"/>
        <w:snapToGrid w:val="0"/>
        <w:spacing w:line="500" w:lineRule="exact"/>
        <w:jc w:val="center"/>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安全生产合同</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为在</w:t>
      </w:r>
      <w:r>
        <w:rPr>
          <w:rFonts w:hint="eastAsia" w:ascii="Times New Roman" w:hAnsi="Times New Roman" w:eastAsia="方正仿宋_GBK" w:cs="Times New Roman"/>
          <w:bCs/>
          <w:color w:val="auto"/>
          <w:sz w:val="32"/>
          <w:szCs w:val="32"/>
          <w:highlight w:val="none"/>
          <w:u w:val="single"/>
          <w:lang w:val="zh-CN" w:eastAsia="zh-CN"/>
        </w:rPr>
        <w:t xml:space="preserve">             </w:t>
      </w:r>
      <w:r>
        <w:rPr>
          <w:rFonts w:hint="eastAsia" w:ascii="Times New Roman" w:hAnsi="Times New Roman" w:eastAsia="方正仿宋_GBK" w:cs="Times New Roman"/>
          <w:bCs/>
          <w:color w:val="auto"/>
          <w:sz w:val="32"/>
          <w:szCs w:val="32"/>
          <w:highlight w:val="none"/>
          <w:lang w:val="zh-CN" w:eastAsia="zh-CN"/>
        </w:rPr>
        <w:t>合同的实施过程中创造安全、高效的施工环境，切实搞好本项目的安全管理工作，本项目发包人</w:t>
      </w:r>
      <w:r>
        <w:rPr>
          <w:rFonts w:hint="eastAsia" w:ascii="Times New Roman" w:hAnsi="Times New Roman" w:eastAsia="方正仿宋_GBK" w:cs="Times New Roman"/>
          <w:bCs/>
          <w:color w:val="auto"/>
          <w:sz w:val="32"/>
          <w:szCs w:val="32"/>
          <w:highlight w:val="none"/>
          <w:u w:val="single"/>
          <w:lang w:val="zh-CN" w:eastAsia="zh-CN"/>
        </w:rPr>
        <w:t xml:space="preserve">      </w:t>
      </w:r>
      <w:r>
        <w:rPr>
          <w:rFonts w:hint="eastAsia" w:ascii="Times New Roman" w:hAnsi="Times New Roman" w:eastAsia="方正仿宋_GBK" w:cs="Times New Roman"/>
          <w:bCs/>
          <w:color w:val="auto"/>
          <w:sz w:val="32"/>
          <w:szCs w:val="32"/>
          <w:highlight w:val="none"/>
          <w:lang w:val="zh-CN" w:eastAsia="zh-CN"/>
        </w:rPr>
        <w:t>（以下简称“发包人”）与承包人</w:t>
      </w:r>
      <w:r>
        <w:rPr>
          <w:rFonts w:hint="eastAsia" w:ascii="Times New Roman" w:hAnsi="Times New Roman" w:eastAsia="方正仿宋_GBK" w:cs="Times New Roman"/>
          <w:bCs/>
          <w:color w:val="auto"/>
          <w:sz w:val="32"/>
          <w:szCs w:val="32"/>
          <w:highlight w:val="none"/>
          <w:u w:val="single"/>
          <w:lang w:val="zh-CN" w:eastAsia="zh-CN"/>
        </w:rPr>
        <w:t xml:space="preserve">      </w:t>
      </w:r>
      <w:r>
        <w:rPr>
          <w:rFonts w:hint="eastAsia" w:ascii="Times New Roman" w:hAnsi="Times New Roman" w:eastAsia="方正仿宋_GBK" w:cs="Times New Roman"/>
          <w:bCs/>
          <w:color w:val="auto"/>
          <w:sz w:val="32"/>
          <w:szCs w:val="32"/>
          <w:highlight w:val="none"/>
          <w:lang w:val="zh-CN" w:eastAsia="zh-CN"/>
        </w:rPr>
        <w:t>（以下简称“承包人”）特此签订安全生产合同：</w:t>
      </w:r>
    </w:p>
    <w:p>
      <w:pPr>
        <w:tabs>
          <w:tab w:val="left" w:pos="1080"/>
          <w:tab w:val="left" w:pos="1260"/>
          <w:tab w:val="left" w:pos="2100"/>
        </w:tabs>
        <w:adjustRightInd w:val="0"/>
        <w:snapToGrid w:val="0"/>
        <w:spacing w:line="500" w:lineRule="exact"/>
        <w:rPr>
          <w:rFonts w:ascii="Times New Roman" w:hAnsi="Times New Roman" w:eastAsia="方正仿宋_GBK" w:cs="Times New Roman"/>
          <w:b/>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一.发包人职责</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1.严格遵守国家有关安全生产的法律法规，认真执行工程承包合同中的有关安全要求。</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2.按照“安全第一、预防为主”和坚持“管生产必须关安全”的原则进行安全生产管理，做到生产与安全工作同时计划、布置、检查、总决和评比。</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3.重要的安全设施必须坚持与主体工程“三同时”的原则，即：同时设计、审批，同时施工，同时验收，投入使用。</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4.定期召开安全生产调度会，及时传达中央及地方有关安全生产的精神。</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5.组织对承包人施工现场安全生产检查，监督承包人及时处理发现的各种安全隐患。</w:t>
      </w:r>
    </w:p>
    <w:p>
      <w:pPr>
        <w:tabs>
          <w:tab w:val="left" w:pos="1080"/>
          <w:tab w:val="left" w:pos="1260"/>
          <w:tab w:val="left" w:pos="2100"/>
        </w:tabs>
        <w:adjustRightInd w:val="0"/>
        <w:snapToGrid w:val="0"/>
        <w:spacing w:line="500" w:lineRule="exact"/>
        <w:rPr>
          <w:rFonts w:ascii="Times New Roman" w:hAnsi="Times New Roman" w:eastAsia="方正仿宋_GBK" w:cs="Times New Roman"/>
          <w:b/>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二.承包人职责</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1.严格遵守国家、行业、地方有关安全生产的法律法规、安全生产的规定，认真执行工程承包合同中的有关安全要求。</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4.承包人在任何时候都应采取各种合理的预防措施，防止其员工发生任何违法、违禁、暴力或妨碍治安的行为。</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7.操作人员上岗，必须按规定穿戴防护用品。施工负责人和安全检查员应随时检查劳动防护用品的穿戴情况，不按规定穿戴防护用品的人员不得上岗。</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8.所有施工机具设备和高空作业的设备均应定期检查，并有安全远的签字记录，保证其经常处于完好状态；不合格的工具、设备和劳动保护用品严禁使用。</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9.施工中采用新技术、新工艺、新设备、新材料时，必须指定相应的安全技术措施，施工现场必须具有相关的安全标志牌。</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tabs>
          <w:tab w:val="left" w:pos="1080"/>
          <w:tab w:val="left" w:pos="1260"/>
          <w:tab w:val="left" w:pos="2100"/>
        </w:tabs>
        <w:adjustRightInd w:val="0"/>
        <w:snapToGrid w:val="0"/>
        <w:spacing w:line="500" w:lineRule="exact"/>
        <w:rPr>
          <w:rFonts w:ascii="Times New Roman" w:hAnsi="Times New Roman" w:eastAsia="方正仿宋_GBK" w:cs="Times New Roman"/>
          <w:b/>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三.违约责任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如因发包人或承包人违约造成安全事故，将依法追究责任。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本合同</w:t>
      </w:r>
      <w:r>
        <w:rPr>
          <w:rFonts w:hint="eastAsia" w:ascii="Times New Roman" w:hAnsi="Times New Roman" w:eastAsia="方正仿宋_GBK" w:cs="Times New Roman"/>
          <w:bCs/>
          <w:color w:val="auto"/>
          <w:sz w:val="32"/>
          <w:szCs w:val="32"/>
          <w:highlight w:val="none"/>
          <w:lang w:eastAsia="zh-CN"/>
        </w:rPr>
        <w:t>与主合同份数一致。</w:t>
      </w:r>
      <w:r>
        <w:rPr>
          <w:rFonts w:hint="eastAsia" w:ascii="Times New Roman" w:hAnsi="Times New Roman" w:eastAsia="方正仿宋_GBK" w:cs="Times New Roman"/>
          <w:bCs/>
          <w:color w:val="auto"/>
          <w:sz w:val="32"/>
          <w:szCs w:val="32"/>
          <w:highlight w:val="none"/>
          <w:lang w:val="zh-CN" w:eastAsia="zh-CN"/>
        </w:rPr>
        <w:t>由双方法定代表人或其授权的代理人签署与加盖鲜公章后生效，全部工程竣工验收后失效。</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eastAsia="zh-CN"/>
        </w:rPr>
        <w:t>甲方</w:t>
      </w:r>
      <w:r>
        <w:rPr>
          <w:rFonts w:hint="eastAsia"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eastAsia="zh-CN"/>
        </w:rPr>
        <w:t xml:space="preserve">   乙方</w:t>
      </w:r>
      <w:r>
        <w:rPr>
          <w:rFonts w:hint="eastAsia" w:ascii="Times New Roman" w:hAnsi="Times New Roman" w:eastAsia="方正仿宋_GBK" w:cs="Times New Roman"/>
          <w:bCs/>
          <w:color w:val="auto"/>
          <w:sz w:val="32"/>
          <w:szCs w:val="32"/>
          <w:highlight w:val="none"/>
          <w:lang w:val="zh-CN" w:eastAsia="zh-CN"/>
        </w:rPr>
        <w:t>：</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法定代表人：             法定代表人：</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其授权的代理人：         其授权的代理人：</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地址：                   地址：</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电话：                   电话：</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日期：                   日期：</w:t>
      </w:r>
    </w:p>
    <w:p>
      <w:pPr>
        <w:tabs>
          <w:tab w:val="left" w:pos="1080"/>
          <w:tab w:val="left" w:pos="1260"/>
          <w:tab w:val="left" w:pos="2100"/>
        </w:tabs>
        <w:adjustRightInd w:val="0"/>
        <w:snapToGrid w:val="0"/>
        <w:spacing w:line="500" w:lineRule="exact"/>
        <w:ind w:firstLine="550" w:firstLineChars="250"/>
        <w:rPr>
          <w:color w:val="auto"/>
          <w:highlight w:val="none"/>
          <w:lang w:val="zh-CN" w:eastAsia="zh-CN"/>
        </w:rPr>
      </w:pPr>
    </w:p>
    <w:p>
      <w:pPr>
        <w:keepNext/>
        <w:keepLines/>
        <w:shd w:val="clear" w:color="auto" w:fill="FFFFFF"/>
        <w:adjustRightInd w:val="0"/>
        <w:snapToGrid w:val="0"/>
        <w:spacing w:line="360" w:lineRule="auto"/>
        <w:outlineLvl w:val="1"/>
        <w:rPr>
          <w:rFonts w:ascii="Times New Roman" w:hAnsi="Times New Roman" w:cs="Times New Roman"/>
          <w:color w:val="auto"/>
          <w:szCs w:val="21"/>
          <w:highlight w:val="none"/>
          <w:lang w:eastAsia="zh-CN"/>
        </w:rPr>
      </w:pPr>
      <w:r>
        <w:rPr>
          <w:rFonts w:hint="eastAsia"/>
          <w:color w:val="auto"/>
          <w:szCs w:val="21"/>
          <w:highlight w:val="none"/>
          <w:lang w:eastAsia="zh-CN"/>
        </w:rPr>
        <w:br w:type="page"/>
      </w:r>
      <w:bookmarkStart w:id="99" w:name="_Toc20320"/>
      <w:bookmarkStart w:id="100" w:name="_Toc80627904"/>
      <w:bookmarkStart w:id="101" w:name="_Toc20414"/>
      <w:r>
        <w:rPr>
          <w:rFonts w:hint="eastAsia" w:ascii="Times New Roman" w:hAnsi="Times New Roman" w:eastAsia="黑体" w:cs="Times New Roman"/>
          <w:color w:val="auto"/>
          <w:sz w:val="32"/>
          <w:szCs w:val="32"/>
          <w:highlight w:val="none"/>
          <w:lang w:eastAsia="zh-CN"/>
        </w:rPr>
        <w:t>附件2：廉政合同格式</w:t>
      </w:r>
      <w:bookmarkEnd w:id="99"/>
      <w:bookmarkEnd w:id="100"/>
      <w:bookmarkEnd w:id="101"/>
    </w:p>
    <w:p>
      <w:pPr>
        <w:tabs>
          <w:tab w:val="left" w:pos="1213"/>
        </w:tabs>
        <w:adjustRightInd w:val="0"/>
        <w:snapToGrid w:val="0"/>
        <w:spacing w:line="500" w:lineRule="exact"/>
        <w:ind w:firstLine="643" w:firstLineChars="200"/>
        <w:jc w:val="center"/>
        <w:rPr>
          <w:rFonts w:ascii="Times New Roman" w:hAnsi="Times New Roman" w:eastAsia="方正仿宋_GBK" w:cs="Times New Roman"/>
          <w:bCs/>
          <w:color w:val="auto"/>
          <w:sz w:val="32"/>
          <w:szCs w:val="32"/>
          <w:highlight w:val="none"/>
          <w:lang w:val="zh-CN" w:eastAsia="zh-CN"/>
        </w:rPr>
      </w:pPr>
      <w:bookmarkStart w:id="102" w:name="_Toc420995178"/>
      <w:bookmarkStart w:id="103" w:name="_Toc418517429"/>
      <w:bookmarkStart w:id="104" w:name="_Toc416788188"/>
      <w:bookmarkStart w:id="105" w:name="_Toc421798219"/>
      <w:bookmarkStart w:id="106" w:name="_Toc420995074"/>
      <w:bookmarkStart w:id="107" w:name="_Toc24117"/>
      <w:r>
        <w:rPr>
          <w:rFonts w:ascii="Times New Roman" w:hAnsi="Times New Roman" w:eastAsia="方正仿宋_GBK" w:cs="Times New Roman"/>
          <w:b/>
          <w:color w:val="auto"/>
          <w:sz w:val="32"/>
          <w:szCs w:val="32"/>
          <w:highlight w:val="none"/>
          <w:lang w:val="zh-CN" w:eastAsia="zh-CN"/>
        </w:rPr>
        <w:t>廉政合同</w:t>
      </w:r>
      <w:bookmarkEnd w:id="102"/>
      <w:bookmarkEnd w:id="103"/>
      <w:bookmarkEnd w:id="104"/>
      <w:bookmarkEnd w:id="105"/>
      <w:bookmarkEnd w:id="106"/>
      <w:bookmarkEnd w:id="107"/>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1.一般约定</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（1）严格遵守党的政策规定和国家有关法律法规及行业部门的有关规定。</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（2）严格执行合同文件，自觉按合同办事。</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（4）建立健全廉政制度，开展廉政教育，设立廉政告示牌，公布举报电话，监督并认真查处违法违纪行为。</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（5）发现对方在业务活动中有违反廉政规定的行为，有及时提醒对方纠正的权利和义务。</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2.发包人的义务</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（4）发包人工作人员及其配偶、子女不得从事与发包人工程有关的材料设备供应、工程分包、劳务等经济活动。</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（6）发包人工作人员要秉公办事，不准营私舞弊，不准利用职权从事各种个人有偿中介活动和安排个人施工队伍。</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3.承包人义务</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（1）承包人不得以任何理由向发包人及其工作人员行贿或馈赠礼金、有价证券、贵重礼品。</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（2）承包人不得以任何名义为发包人及其工作人员报销应由发包人单位或个人支付的任何费用。</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（3）承包人不得以任何理由安排发包人工作人员参加超标准宴请及娱乐活动。</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（4）承包人不得为发包人单位和个人购置或提供通讯工具、交通工具和高档办公用品等。</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4.违约责任</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6.本合同有效期为甲乙双方签署之日起至该工程项目竣工验收后止。</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7.本合同作为承包合同的附件，与承包合同具有同等的法律效力，经合同双方签署立即生效。</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8.本合同</w:t>
      </w:r>
      <w:r>
        <w:rPr>
          <w:rFonts w:hint="eastAsia" w:ascii="Times New Roman" w:hAnsi="Times New Roman" w:eastAsia="方正仿宋_GBK" w:cs="Times New Roman"/>
          <w:bCs/>
          <w:color w:val="auto"/>
          <w:sz w:val="32"/>
          <w:szCs w:val="32"/>
          <w:highlight w:val="none"/>
          <w:lang w:eastAsia="zh-CN"/>
        </w:rPr>
        <w:t>份数与主合同一致。</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p>
    <w:p>
      <w:pPr>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eastAsia="zh-CN"/>
        </w:rPr>
        <w:t>甲方</w:t>
      </w:r>
      <w:r>
        <w:rPr>
          <w:rFonts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eastAsia="zh-CN"/>
        </w:rPr>
        <w:t>乙方</w:t>
      </w:r>
      <w:r>
        <w:rPr>
          <w:rFonts w:ascii="Times New Roman" w:hAnsi="Times New Roman" w:eastAsia="方正仿宋_GBK" w:cs="Times New Roman"/>
          <w:bCs/>
          <w:color w:val="auto"/>
          <w:sz w:val="32"/>
          <w:szCs w:val="32"/>
          <w:highlight w:val="none"/>
          <w:lang w:val="zh-CN" w:eastAsia="zh-CN"/>
        </w:rPr>
        <w:t xml:space="preserve">： </w:t>
      </w:r>
    </w:p>
    <w:p>
      <w:pPr>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法定代表人：               法定代表人：</w:t>
      </w:r>
    </w:p>
    <w:p>
      <w:pPr>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或其授权的代理人：         或其授权的代理人：</w:t>
      </w:r>
    </w:p>
    <w:p>
      <w:pPr>
        <w:tabs>
          <w:tab w:val="left" w:pos="1213"/>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p>
    <w:p>
      <w:pPr>
        <w:spacing w:line="510" w:lineRule="exact"/>
        <w:ind w:firstLine="636" w:firstLineChars="199"/>
        <w:rPr>
          <w:rFonts w:ascii="Times New Roman" w:hAnsi="Times New Roman" w:eastAsia="方正仿宋_GBK" w:cs="Times New Roman"/>
          <w:color w:val="auto"/>
          <w:sz w:val="32"/>
          <w:szCs w:val="32"/>
          <w:highlight w:val="none"/>
          <w:lang w:eastAsia="zh-CN"/>
        </w:rPr>
      </w:pPr>
    </w:p>
    <w:p>
      <w:pPr>
        <w:pStyle w:val="43"/>
        <w:ind w:left="440"/>
        <w:rPr>
          <w:color w:val="auto"/>
          <w:highlight w:val="none"/>
        </w:rPr>
        <w:sectPr>
          <w:pgSz w:w="11907" w:h="16840"/>
          <w:pgMar w:top="1440" w:right="1797" w:bottom="1440" w:left="1797" w:header="851" w:footer="964" w:gutter="0"/>
          <w:cols w:space="720" w:num="1"/>
          <w:titlePg/>
          <w:docGrid w:linePitch="326" w:charSpace="0"/>
        </w:sect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108" w:name="_Toc25678"/>
      <w:bookmarkStart w:id="109" w:name="_Toc16182"/>
      <w:r>
        <w:rPr>
          <w:rFonts w:hint="eastAsia" w:ascii="Times New Roman" w:hAnsi="Times New Roman" w:eastAsia="方正小标宋_GBK" w:cs="Times New Roman"/>
          <w:bCs/>
          <w:color w:val="auto"/>
          <w:sz w:val="44"/>
          <w:szCs w:val="44"/>
          <w:highlight w:val="none"/>
          <w:lang w:eastAsia="zh-CN"/>
        </w:rPr>
        <w:t xml:space="preserve">第四章 </w:t>
      </w:r>
      <w:r>
        <w:rPr>
          <w:rFonts w:ascii="Times New Roman" w:hAnsi="Times New Roman" w:eastAsia="方正小标宋_GBK" w:cs="Times New Roman"/>
          <w:bCs/>
          <w:color w:val="auto"/>
          <w:sz w:val="44"/>
          <w:szCs w:val="44"/>
          <w:highlight w:val="none"/>
          <w:lang w:val="zh-CN" w:eastAsia="zh-CN"/>
        </w:rPr>
        <w:t>报价文件格式</w:t>
      </w:r>
      <w:bookmarkEnd w:id="108"/>
      <w:bookmarkEnd w:id="109"/>
    </w:p>
    <w:p>
      <w:pPr>
        <w:pStyle w:val="43"/>
        <w:ind w:left="440"/>
        <w:rPr>
          <w:color w:val="auto"/>
          <w:highlight w:val="none"/>
          <w:lang w:val="zh-CN"/>
        </w:rPr>
      </w:pPr>
    </w:p>
    <w:p>
      <w:pPr>
        <w:pStyle w:val="43"/>
        <w:ind w:left="440"/>
        <w:rPr>
          <w:color w:val="auto"/>
          <w:highlight w:val="none"/>
          <w:lang w:val="zh-CN"/>
        </w:rPr>
      </w:pPr>
    </w:p>
    <w:p>
      <w:pPr>
        <w:pStyle w:val="43"/>
        <w:ind w:left="440"/>
        <w:rPr>
          <w:color w:val="auto"/>
          <w:highlight w:val="none"/>
          <w:lang w:val="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br w:type="page"/>
      </w:r>
    </w:p>
    <w:p>
      <w:pPr>
        <w:autoSpaceDE w:val="0"/>
        <w:autoSpaceDN w:val="0"/>
        <w:adjustRightInd w:val="0"/>
        <w:spacing w:line="360" w:lineRule="auto"/>
        <w:jc w:val="center"/>
        <w:rPr>
          <w:rFonts w:ascii="Times New Roman" w:hAnsi="Times New Roman" w:eastAsia="方正小标宋_GBK" w:cs="Times New Roman"/>
          <w:color w:val="auto"/>
          <w:sz w:val="20"/>
          <w:szCs w:val="20"/>
          <w:highlight w:val="none"/>
          <w:lang w:eastAsia="zh-CN"/>
        </w:rPr>
      </w:pPr>
      <w:r>
        <w:rPr>
          <w:rFonts w:ascii="Times New Roman" w:hAnsi="Times New Roman" w:eastAsia="方正小标宋_GBK" w:cs="Times New Roman"/>
          <w:bCs/>
          <w:color w:val="auto"/>
          <w:sz w:val="48"/>
          <w:szCs w:val="48"/>
          <w:highlight w:val="none"/>
          <w:lang w:eastAsia="zh-CN"/>
        </w:rPr>
        <w:t>XXXX项目</w:t>
      </w: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eastAsia="方正小标宋_GBK" w:cs="Times New Roman"/>
          <w:color w:val="auto"/>
          <w:highlight w:val="none"/>
          <w:lang w:eastAsia="zh-CN"/>
        </w:rPr>
      </w:pPr>
    </w:p>
    <w:p>
      <w:pPr>
        <w:jc w:val="center"/>
        <w:rPr>
          <w:rFonts w:ascii="Times New Roman" w:hAnsi="Times New Roman" w:eastAsia="方正小标宋_GBK" w:cs="Times New Roman"/>
          <w:color w:val="auto"/>
          <w:sz w:val="44"/>
          <w:szCs w:val="44"/>
          <w:highlight w:val="none"/>
          <w:lang w:eastAsia="zh-CN"/>
        </w:rPr>
      </w:pPr>
      <w:r>
        <w:rPr>
          <w:rFonts w:ascii="Times New Roman" w:hAnsi="Times New Roman" w:eastAsia="方正小标宋_GBK" w:cs="Times New Roman"/>
          <w:color w:val="auto"/>
          <w:sz w:val="72"/>
          <w:szCs w:val="72"/>
          <w:highlight w:val="none"/>
          <w:lang w:eastAsia="zh-CN"/>
        </w:rPr>
        <w:t>报价文件</w:t>
      </w: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eastAsia="方正仿宋_GBK" w:cs="Times New Roman"/>
          <w:color w:val="auto"/>
          <w:sz w:val="32"/>
          <w:szCs w:val="32"/>
          <w:highlight w:val="none"/>
          <w:lang w:eastAsia="zh-CN"/>
        </w:rPr>
      </w:pPr>
    </w:p>
    <w:p>
      <w:pPr>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w:t>
      </w:r>
      <w:r>
        <w:rPr>
          <w:rFonts w:ascii="Times New Roman" w:hAnsi="Times New Roman" w:eastAsia="方正仿宋_GBK" w:cs="Times New Roman"/>
          <w:color w:val="auto"/>
          <w:sz w:val="32"/>
          <w:szCs w:val="32"/>
          <w:highlight w:val="none"/>
          <w:u w:val="single"/>
          <w:lang w:eastAsia="zh-CN"/>
        </w:rPr>
        <w:t xml:space="preserve">                     </w:t>
      </w:r>
      <w:r>
        <w:rPr>
          <w:rFonts w:ascii="Times New Roman" w:hAnsi="Times New Roman" w:eastAsia="方正仿宋_GBK" w:cs="Times New Roman"/>
          <w:color w:val="auto"/>
          <w:sz w:val="32"/>
          <w:szCs w:val="32"/>
          <w:highlight w:val="none"/>
          <w:lang w:eastAsia="zh-CN"/>
        </w:rPr>
        <w:t>（盖单位章）</w:t>
      </w:r>
    </w:p>
    <w:p>
      <w:pPr>
        <w:pStyle w:val="43"/>
        <w:ind w:left="440"/>
        <w:rPr>
          <w:color w:val="auto"/>
          <w:highlight w:val="none"/>
        </w:rPr>
      </w:pPr>
    </w:p>
    <w:p>
      <w:pPr>
        <w:jc w:val="center"/>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u w:val="single"/>
          <w:lang w:eastAsia="zh-CN"/>
        </w:rPr>
        <w:t xml:space="preserve">       </w:t>
      </w:r>
      <w:r>
        <w:rPr>
          <w:rFonts w:ascii="Times New Roman" w:hAnsi="Times New Roman" w:eastAsia="方正仿宋_GBK" w:cs="Times New Roman"/>
          <w:color w:val="auto"/>
          <w:sz w:val="32"/>
          <w:szCs w:val="32"/>
          <w:highlight w:val="none"/>
          <w:lang w:eastAsia="zh-CN"/>
        </w:rPr>
        <w:t>（签字）</w:t>
      </w:r>
    </w:p>
    <w:p>
      <w:pPr>
        <w:jc w:val="center"/>
        <w:rPr>
          <w:rFonts w:ascii="Times New Roman" w:hAnsi="Times New Roman" w:eastAsia="方正仿宋_GBK" w:cs="Times New Roman"/>
          <w:color w:val="auto"/>
          <w:sz w:val="32"/>
          <w:szCs w:val="32"/>
          <w:highlight w:val="none"/>
          <w:lang w:eastAsia="zh-CN"/>
        </w:rPr>
      </w:pPr>
    </w:p>
    <w:p>
      <w:pPr>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eastAsia="zh-CN"/>
        </w:rPr>
        <w:t>2</w:t>
      </w:r>
      <w:r>
        <w:rPr>
          <w:rFonts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eastAsia="zh-CN"/>
        </w:rPr>
        <w:t xml:space="preserve">   </w:t>
      </w:r>
      <w:r>
        <w:rPr>
          <w:rFonts w:ascii="Times New Roman" w:hAnsi="Times New Roman" w:eastAsia="方正仿宋_GBK" w:cs="Times New Roman"/>
          <w:color w:val="auto"/>
          <w:sz w:val="32"/>
          <w:szCs w:val="32"/>
          <w:highlight w:val="none"/>
          <w:lang w:eastAsia="zh-CN"/>
        </w:rPr>
        <w:t>月   日</w:t>
      </w:r>
    </w:p>
    <w:p>
      <w:pPr>
        <w:pStyle w:val="99"/>
        <w:ind w:firstLine="420"/>
        <w:jc w:val="center"/>
        <w:rPr>
          <w:rFonts w:ascii="Times New Roman" w:hAnsi="Times New Roman" w:eastAsia="方正小标宋_GBK" w:cs="Times New Roman"/>
          <w:color w:val="auto"/>
          <w:sz w:val="44"/>
          <w:szCs w:val="44"/>
          <w:highlight w:val="none"/>
        </w:rPr>
      </w:pPr>
      <w:r>
        <w:rPr>
          <w:rFonts w:ascii="Times New Roman" w:hAnsi="Times New Roman" w:eastAsia="宋体" w:cs="Times New Roman"/>
          <w:color w:val="auto"/>
          <w:sz w:val="21"/>
          <w:szCs w:val="21"/>
          <w:highlight w:val="none"/>
        </w:rPr>
        <w:br w:type="page"/>
      </w:r>
      <w:r>
        <w:rPr>
          <w:rFonts w:ascii="Times New Roman" w:hAnsi="Times New Roman" w:eastAsia="方正小标宋_GBK" w:cs="Times New Roman"/>
          <w:color w:val="auto"/>
          <w:sz w:val="44"/>
          <w:szCs w:val="44"/>
          <w:highlight w:val="none"/>
        </w:rPr>
        <w:t>目  录</w:t>
      </w:r>
    </w:p>
    <w:p>
      <w:pPr>
        <w:tabs>
          <w:tab w:val="left" w:pos="469"/>
        </w:tabs>
        <w:spacing w:line="538" w:lineRule="exact"/>
        <w:rPr>
          <w:rFonts w:ascii="Times New Roman" w:hAnsi="Times New Roman" w:eastAsia="方正仿宋_GBK" w:cs="Times New Roman"/>
          <w:color w:val="auto"/>
          <w:sz w:val="32"/>
          <w:szCs w:val="32"/>
          <w:highlight w:val="none"/>
          <w:lang w:eastAsia="zh-CN"/>
        </w:rPr>
      </w:pPr>
      <w:bookmarkStart w:id="110" w:name="bookmark291"/>
      <w:r>
        <w:rPr>
          <w:rFonts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三、报价表</w:t>
      </w:r>
    </w:p>
    <w:bookmarkEnd w:id="110"/>
    <w:p>
      <w:pPr>
        <w:tabs>
          <w:tab w:val="left" w:pos="474"/>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color w:val="auto"/>
          <w:sz w:val="44"/>
          <w:szCs w:val="44"/>
          <w:highlight w:val="none"/>
        </w:rPr>
      </w:pPr>
      <w:r>
        <w:rPr>
          <w:rFonts w:ascii="Times New Roman" w:hAnsi="Times New Roman" w:cs="Times New Roman"/>
          <w:color w:val="auto"/>
          <w:highlight w:val="none"/>
        </w:rPr>
        <w:br w:type="page"/>
      </w:r>
      <w:bookmarkStart w:id="111" w:name="_Toc13930"/>
      <w:bookmarkStart w:id="112" w:name="_Toc19222"/>
      <w:bookmarkStart w:id="113" w:name="_Toc29194793"/>
      <w:bookmarkStart w:id="114" w:name="bookmark292"/>
      <w:bookmarkStart w:id="115" w:name="_Toc10710824"/>
      <w:r>
        <w:rPr>
          <w:rFonts w:ascii="Times New Roman" w:hAnsi="Times New Roman" w:eastAsia="方正小标宋_GBK" w:cs="Times New Roman"/>
          <w:color w:val="auto"/>
          <w:sz w:val="44"/>
          <w:szCs w:val="44"/>
          <w:highlight w:val="none"/>
        </w:rPr>
        <w:t>一、法定代表人身份证明或授权委托书</w:t>
      </w:r>
      <w:bookmarkEnd w:id="111"/>
      <w:bookmarkEnd w:id="112"/>
    </w:p>
    <w:p>
      <w:pPr>
        <w:widowControl/>
        <w:rPr>
          <w:rFonts w:ascii="Times New Roman" w:hAnsi="Times New Roman" w:cs="Times New Roman" w:eastAsiaTheme="minorEastAsia"/>
          <w:color w:val="auto"/>
          <w:kern w:val="2"/>
          <w:sz w:val="32"/>
          <w:szCs w:val="32"/>
          <w:highlight w:val="none"/>
          <w:lang w:eastAsia="zh-CN"/>
        </w:rPr>
      </w:pPr>
      <w:r>
        <w:rPr>
          <w:rFonts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bookmarkStart w:id="116" w:name="_Toc32609"/>
      <w:bookmarkStart w:id="117" w:name="_Toc30910"/>
      <w:r>
        <w:rPr>
          <w:rFonts w:ascii="Times New Roman" w:hAnsi="Times New Roman" w:eastAsia="方正小标宋_GBK" w:cs="Times New Roman"/>
          <w:color w:val="auto"/>
          <w:sz w:val="44"/>
          <w:szCs w:val="44"/>
          <w:highlight w:val="none"/>
        </w:rPr>
        <w:t>二、报价函</w:t>
      </w:r>
      <w:bookmarkEnd w:id="113"/>
      <w:bookmarkEnd w:id="114"/>
      <w:bookmarkEnd w:id="115"/>
      <w:bookmarkEnd w:id="116"/>
      <w:bookmarkEnd w:id="117"/>
    </w:p>
    <w:p>
      <w:pPr>
        <w:tabs>
          <w:tab w:val="left" w:leader="underscore" w:pos="2036"/>
        </w:tabs>
        <w:spacing w:line="510" w:lineRule="exact"/>
        <w:ind w:left="140"/>
        <w:rPr>
          <w:rFonts w:ascii="Times New Roman" w:hAnsi="Times New Roman" w:eastAsia="方正仿宋_GBK" w:cs="Times New Roman"/>
          <w:color w:val="auto"/>
          <w:sz w:val="32"/>
          <w:szCs w:val="32"/>
          <w:highlight w:val="none"/>
          <w:lang w:eastAsia="zh-CN"/>
        </w:rPr>
      </w:pPr>
      <w:bookmarkStart w:id="118" w:name="bookmark293"/>
      <w:r>
        <w:rPr>
          <w:rFonts w:ascii="Times New Roman" w:hAnsi="Times New Roman" w:eastAsia="方正仿宋_GBK" w:cs="Times New Roman"/>
          <w:color w:val="auto"/>
          <w:sz w:val="32"/>
          <w:szCs w:val="32"/>
          <w:highlight w:val="none"/>
          <w:lang w:eastAsia="zh-CN"/>
        </w:rPr>
        <w:t>____________(询价人名称</w:t>
      </w:r>
      <w:r>
        <w:rPr>
          <w:rFonts w:ascii="Times New Roman" w:hAnsi="Times New Roman" w:eastAsia="方正仿宋_GBK" w:cs="Times New Roman"/>
          <w:color w:val="auto"/>
          <w:sz w:val="32"/>
          <w:szCs w:val="32"/>
          <w:highlight w:val="none"/>
          <w:lang w:eastAsia="zh-CN" w:bidi="en-US"/>
        </w:rPr>
        <w:t>）：</w:t>
      </w:r>
      <w:bookmarkEnd w:id="118"/>
    </w:p>
    <w:p>
      <w:pPr>
        <w:tabs>
          <w:tab w:val="left" w:pos="939"/>
        </w:tabs>
        <w:adjustRightInd w:val="0"/>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bidi="en-US"/>
        </w:rPr>
        <w:t>1.</w:t>
      </w:r>
      <w:r>
        <w:rPr>
          <w:rFonts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eastAsia="zh-CN"/>
        </w:rPr>
        <w:t>_______项目</w:t>
      </w:r>
      <w:r>
        <w:rPr>
          <w:rFonts w:ascii="Times New Roman" w:hAnsi="Times New Roman" w:eastAsia="方正仿宋_GBK" w:cs="Times New Roman"/>
          <w:color w:val="auto"/>
          <w:sz w:val="32"/>
          <w:szCs w:val="32"/>
          <w:highlight w:val="none"/>
          <w:lang w:eastAsia="zh-CN"/>
        </w:rPr>
        <w:t>询价文件的全部内容，愿意以人民币（大写</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u w:val="single"/>
          <w:lang w:eastAsia="zh-CN" w:bidi="en-US"/>
        </w:rPr>
        <w:t xml:space="preserve">       </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u w:val="single"/>
          <w:lang w:eastAsia="zh-CN" w:bidi="en-US"/>
        </w:rPr>
        <w:t xml:space="preserve">       </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firstLine="320" w:firstLineChars="1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bidi="en-US"/>
        </w:rPr>
        <w:t>7.(</w:t>
      </w:r>
      <w:r>
        <w:rPr>
          <w:rFonts w:ascii="Times New Roman" w:hAnsi="Times New Roman" w:eastAsia="方正仿宋_GBK" w:cs="Times New Roman"/>
          <w:color w:val="auto"/>
          <w:sz w:val="32"/>
          <w:szCs w:val="32"/>
          <w:highlight w:val="none"/>
          <w:lang w:eastAsia="zh-CN"/>
        </w:rPr>
        <w:t>其他补充说明）。</w:t>
      </w:r>
    </w:p>
    <w:p>
      <w:pPr>
        <w:spacing w:line="510" w:lineRule="exact"/>
        <w:ind w:left="2660"/>
        <w:rPr>
          <w:rFonts w:ascii="Times New Roman" w:hAnsi="Times New Roman" w:eastAsia="方正仿宋_GBK" w:cs="Times New Roman"/>
          <w:color w:val="auto"/>
          <w:sz w:val="32"/>
          <w:szCs w:val="32"/>
          <w:highlight w:val="none"/>
          <w:lang w:eastAsia="zh-CN"/>
        </w:rPr>
      </w:pPr>
      <w:r>
        <w:rPr>
          <w:rStyle w:val="180"/>
          <w:rFonts w:ascii="Times New Roman" w:hAnsi="Times New Roman" w:eastAsia="方正仿宋_GBK" w:cs="Times New Roman"/>
          <w:color w:val="auto"/>
          <w:sz w:val="32"/>
          <w:szCs w:val="32"/>
          <w:highlight w:val="none"/>
        </w:rPr>
        <w:t>报价人：</w:t>
      </w:r>
      <w:r>
        <w:rPr>
          <w:rStyle w:val="182"/>
          <w:rFonts w:ascii="Times New Roman" w:hAnsi="Times New Roman" w:eastAsia="方正仿宋_GBK" w:cs="Times New Roman"/>
          <w:color w:val="auto"/>
          <w:sz w:val="32"/>
          <w:szCs w:val="32"/>
          <w:highlight w:val="none"/>
          <w:lang w:eastAsia="zh-CN"/>
        </w:rPr>
        <w:t>(盖单位章）</w:t>
      </w:r>
    </w:p>
    <w:p>
      <w:pPr>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法定代表人或其委托代理人：</w:t>
      </w:r>
      <w:r>
        <w:rPr>
          <w:rStyle w:val="182"/>
          <w:rFonts w:ascii="Times New Roman" w:hAnsi="Times New Roman" w:eastAsia="方正仿宋_GBK" w:cs="Times New Roman"/>
          <w:color w:val="auto"/>
          <w:sz w:val="32"/>
          <w:szCs w:val="32"/>
          <w:highlight w:val="none"/>
          <w:lang w:eastAsia="zh-CN"/>
        </w:rPr>
        <w:t>(签字</w:t>
      </w:r>
      <w:r>
        <w:rPr>
          <w:rStyle w:val="182"/>
          <w:rFonts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highlight w:val="none"/>
        </w:rPr>
      </w:pPr>
      <w:r>
        <w:rPr>
          <w:rFonts w:ascii="Times New Roman" w:hAnsi="Times New Roman" w:cs="Times New Roman"/>
          <w:color w:val="auto"/>
          <w:szCs w:val="21"/>
          <w:highlight w:val="none"/>
          <w:u w:val="single"/>
        </w:rPr>
        <w:br w:type="page"/>
      </w:r>
      <w:bookmarkStart w:id="119" w:name="_Toc10710825"/>
      <w:bookmarkStart w:id="120" w:name="_Toc29194794"/>
      <w:bookmarkStart w:id="121" w:name="_Toc23176"/>
      <w:bookmarkStart w:id="122" w:name="_Toc4505"/>
      <w:r>
        <w:rPr>
          <w:rFonts w:ascii="Times New Roman" w:hAnsi="Times New Roman" w:eastAsia="方正小标宋_GBK" w:cs="Times New Roman"/>
          <w:color w:val="auto"/>
          <w:sz w:val="44"/>
          <w:szCs w:val="44"/>
          <w:highlight w:val="none"/>
        </w:rPr>
        <w:t>三</w:t>
      </w:r>
      <w:r>
        <w:rPr>
          <w:rStyle w:val="181"/>
          <w:rFonts w:ascii="Times New Roman" w:hAnsi="Times New Roman" w:eastAsia="方正小标宋_GBK" w:cs="Times New Roman"/>
          <w:color w:val="auto"/>
          <w:sz w:val="44"/>
          <w:szCs w:val="44"/>
          <w:highlight w:val="none"/>
        </w:rPr>
        <w:t>、报价表</w:t>
      </w:r>
      <w:bookmarkEnd w:id="119"/>
      <w:bookmarkEnd w:id="120"/>
      <w:bookmarkEnd w:id="121"/>
      <w:bookmarkEnd w:id="122"/>
    </w:p>
    <w:p>
      <w:pPr>
        <w:tabs>
          <w:tab w:val="left" w:leader="underscore" w:pos="7582"/>
        </w:tabs>
        <w:spacing w:line="510" w:lineRule="exact"/>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（2）报价表中的价格，</w:t>
      </w:r>
      <w:r>
        <w:rPr>
          <w:rFonts w:hint="eastAsia" w:ascii="Times New Roman" w:hAnsi="Times New Roman" w:eastAsia="方正仿宋_GBK" w:cs="Times New Roman"/>
          <w:color w:val="auto"/>
          <w:sz w:val="32"/>
          <w:szCs w:val="32"/>
          <w:highlight w:val="none"/>
          <w:lang w:eastAsia="zh-CN"/>
        </w:rPr>
        <w:t>复询</w:t>
      </w:r>
      <w:r>
        <w:rPr>
          <w:rFonts w:ascii="Times New Roman" w:hAnsi="Times New Roman" w:eastAsia="方正仿宋_GBK" w:cs="Times New Roman"/>
          <w:color w:val="auto"/>
          <w:sz w:val="32"/>
          <w:szCs w:val="32"/>
          <w:highlight w:val="none"/>
          <w:lang w:eastAsia="zh-CN"/>
        </w:rPr>
        <w:t>人应按</w:t>
      </w:r>
      <w:r>
        <w:rPr>
          <w:rFonts w:hint="eastAsia" w:ascii="Times New Roman" w:hAnsi="Times New Roman" w:eastAsia="方正仿宋_GBK" w:cs="Times New Roman"/>
          <w:color w:val="auto"/>
          <w:sz w:val="32"/>
          <w:szCs w:val="32"/>
          <w:highlight w:val="none"/>
          <w:lang w:eastAsia="zh-CN"/>
        </w:rPr>
        <w:t>询价</w:t>
      </w:r>
      <w:r>
        <w:rPr>
          <w:rFonts w:ascii="Times New Roman" w:hAnsi="Times New Roman" w:eastAsia="方正仿宋_GBK" w:cs="Times New Roman"/>
          <w:color w:val="auto"/>
          <w:sz w:val="32"/>
          <w:szCs w:val="32"/>
          <w:highlight w:val="none"/>
          <w:lang w:eastAsia="zh-CN"/>
        </w:rPr>
        <w:t>文件</w:t>
      </w:r>
      <w:r>
        <w:rPr>
          <w:rFonts w:hint="eastAsia" w:ascii="Times New Roman" w:hAnsi="Times New Roman" w:eastAsia="方正仿宋_GBK" w:cs="Times New Roman"/>
          <w:color w:val="auto"/>
          <w:sz w:val="32"/>
          <w:szCs w:val="32"/>
          <w:highlight w:val="none"/>
          <w:lang w:eastAsia="zh-CN"/>
        </w:rPr>
        <w:t>的</w:t>
      </w:r>
      <w:r>
        <w:rPr>
          <w:rFonts w:ascii="Times New Roman" w:hAnsi="Times New Roman" w:eastAsia="方正仿宋_GBK" w:cs="Times New Roman"/>
          <w:color w:val="auto"/>
          <w:sz w:val="32"/>
          <w:szCs w:val="32"/>
          <w:highlight w:val="none"/>
          <w:lang w:eastAsia="zh-CN"/>
        </w:rPr>
        <w:t>要求对嘉陵江梯级渠化利泽航运枢纽工程</w:t>
      </w:r>
      <w:r>
        <w:rPr>
          <w:rFonts w:hint="eastAsia" w:ascii="Times New Roman" w:hAnsi="Times New Roman" w:eastAsia="方正仿宋_GBK" w:cs="Times New Roman"/>
          <w:bCs/>
          <w:color w:val="auto"/>
          <w:sz w:val="32"/>
          <w:szCs w:val="32"/>
          <w:highlight w:val="none"/>
          <w:lang w:val="en-US" w:eastAsia="zh-CN"/>
        </w:rPr>
        <w:t>蓄水安全鉴定（含初期和终期）技术服务（第二次）</w:t>
      </w:r>
      <w:r>
        <w:rPr>
          <w:rFonts w:ascii="Times New Roman" w:hAnsi="Times New Roman" w:eastAsia="方正仿宋_GBK" w:cs="Times New Roman"/>
          <w:color w:val="auto"/>
          <w:sz w:val="32"/>
          <w:szCs w:val="32"/>
          <w:highlight w:val="none"/>
          <w:lang w:eastAsia="zh-CN"/>
        </w:rPr>
        <w:t>的全部内容进行报价，本合同的直接费、间接费、保险费、税金、风险费和其他有关费用以及为完成本合同所规定的全部责任和义务可能产生的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eastAsia="zh-CN"/>
        </w:rPr>
        <w:t>费用</w:t>
      </w:r>
      <w:r>
        <w:rPr>
          <w:rFonts w:ascii="Times New Roman" w:hAnsi="Times New Roman" w:eastAsia="方正仿宋_GBK" w:cs="Times New Roman"/>
          <w:color w:val="auto"/>
          <w:sz w:val="32"/>
          <w:szCs w:val="32"/>
          <w:highlight w:val="none"/>
          <w:lang w:eastAsia="zh-CN"/>
        </w:rPr>
        <w:t>，而</w:t>
      </w:r>
      <w:r>
        <w:rPr>
          <w:rFonts w:hint="eastAsia" w:ascii="Times New Roman" w:hAnsi="Times New Roman" w:eastAsia="方正仿宋_GBK" w:cs="Times New Roman"/>
          <w:color w:val="auto"/>
          <w:sz w:val="32"/>
          <w:szCs w:val="32"/>
          <w:highlight w:val="none"/>
          <w:lang w:eastAsia="zh-CN"/>
        </w:rPr>
        <w:t>询价</w:t>
      </w:r>
      <w:r>
        <w:rPr>
          <w:rFonts w:ascii="Times New Roman" w:hAnsi="Times New Roman" w:eastAsia="方正仿宋_GBK" w:cs="Times New Roman"/>
          <w:color w:val="auto"/>
          <w:sz w:val="32"/>
          <w:szCs w:val="32"/>
          <w:highlight w:val="none"/>
          <w:lang w:eastAsia="zh-CN"/>
        </w:rPr>
        <w:t>文件又未明示或者</w:t>
      </w:r>
      <w:r>
        <w:rPr>
          <w:rFonts w:hint="eastAsia" w:ascii="Times New Roman" w:hAnsi="Times New Roman" w:eastAsia="方正仿宋_GBK" w:cs="Times New Roman"/>
          <w:color w:val="auto"/>
          <w:sz w:val="32"/>
          <w:szCs w:val="32"/>
          <w:highlight w:val="none"/>
          <w:lang w:eastAsia="zh-CN"/>
        </w:rPr>
        <w:t>复询</w:t>
      </w:r>
      <w:r>
        <w:rPr>
          <w:rFonts w:ascii="Times New Roman" w:hAnsi="Times New Roman" w:eastAsia="方正仿宋_GBK" w:cs="Times New Roman"/>
          <w:color w:val="auto"/>
          <w:sz w:val="32"/>
          <w:szCs w:val="32"/>
          <w:highlight w:val="none"/>
          <w:lang w:eastAsia="zh-CN"/>
        </w:rPr>
        <w:t>人认为应由甲方支付的费用，均计入投标总报价中。报价表中未列出项目的费用（如</w:t>
      </w:r>
      <w:r>
        <w:rPr>
          <w:rFonts w:hint="eastAsia" w:ascii="Times New Roman" w:hAnsi="Times New Roman" w:eastAsia="方正仿宋_GBK" w:cs="Times New Roman"/>
          <w:color w:val="auto"/>
          <w:sz w:val="32"/>
          <w:szCs w:val="32"/>
          <w:highlight w:val="none"/>
          <w:lang w:eastAsia="zh-CN"/>
        </w:rPr>
        <w:t>复询人</w:t>
      </w:r>
      <w:r>
        <w:rPr>
          <w:rFonts w:ascii="Times New Roman" w:hAnsi="Times New Roman" w:eastAsia="方正仿宋_GBK" w:cs="Times New Roman"/>
          <w:color w:val="auto"/>
          <w:sz w:val="32"/>
          <w:szCs w:val="32"/>
          <w:highlight w:val="none"/>
          <w:lang w:eastAsia="zh-CN"/>
        </w:rPr>
        <w:t>的设备租赁、办公费、差旅费、食宿费、试验材料费、</w:t>
      </w:r>
      <w:r>
        <w:rPr>
          <w:rFonts w:hint="eastAsia" w:ascii="Times New Roman" w:hAnsi="Times New Roman" w:eastAsia="方正仿宋_GBK" w:cs="Times New Roman"/>
          <w:color w:val="auto"/>
          <w:sz w:val="32"/>
          <w:szCs w:val="32"/>
          <w:highlight w:val="none"/>
          <w:lang w:eastAsia="zh-CN"/>
        </w:rPr>
        <w:t>安全费</w:t>
      </w:r>
      <w:r>
        <w:rPr>
          <w:rFonts w:ascii="Times New Roman" w:hAnsi="Times New Roman" w:eastAsia="方正仿宋_GBK" w:cs="Times New Roman"/>
          <w:color w:val="auto"/>
          <w:sz w:val="32"/>
          <w:szCs w:val="32"/>
          <w:highlight w:val="none"/>
          <w:lang w:eastAsia="zh-CN"/>
        </w:rPr>
        <w:t>、报告印刷出版费等）均包含于投标总报价中。</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4</w:t>
      </w:r>
      <w:r>
        <w:rPr>
          <w:rFonts w:ascii="Times New Roman" w:hAnsi="Times New Roman" w:eastAsia="方正仿宋_GBK" w:cs="Times New Roman"/>
          <w:color w:val="auto"/>
          <w:sz w:val="32"/>
          <w:szCs w:val="32"/>
          <w:highlight w:val="none"/>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br w:type="page"/>
      </w:r>
    </w:p>
    <w:p>
      <w:pPr>
        <w:numPr>
          <w:ilvl w:val="0"/>
          <w:numId w:val="1"/>
        </w:numPr>
        <w:tabs>
          <w:tab w:val="left" w:leader="underscore" w:pos="7582"/>
        </w:tabs>
        <w:spacing w:line="510" w:lineRule="exact"/>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报价表</w:t>
      </w:r>
    </w:p>
    <w:p>
      <w:pPr>
        <w:spacing w:line="500" w:lineRule="exact"/>
        <w:jc w:val="center"/>
        <w:rPr>
          <w:rFonts w:ascii="Times New Roman" w:hAnsi="Times New Roman" w:eastAsia="方正小标宋_GBK" w:cs="Times New Roman"/>
          <w:bCs/>
          <w:color w:val="auto"/>
          <w:sz w:val="32"/>
          <w:szCs w:val="32"/>
          <w:highlight w:val="none"/>
          <w:lang w:eastAsia="zh-CN"/>
        </w:rPr>
      </w:pPr>
      <w:r>
        <w:rPr>
          <w:rFonts w:ascii="Times New Roman" w:hAnsi="Times New Roman" w:eastAsia="方正小标宋_GBK" w:cs="Times New Roman"/>
          <w:bCs/>
          <w:color w:val="auto"/>
          <w:sz w:val="32"/>
          <w:szCs w:val="32"/>
          <w:highlight w:val="none"/>
          <w:lang w:eastAsia="zh-CN"/>
        </w:rPr>
        <w:t>嘉陵江梯级渠化利泽航运枢纽工程</w:t>
      </w:r>
    </w:p>
    <w:p>
      <w:pPr>
        <w:spacing w:line="500" w:lineRule="exact"/>
        <w:jc w:val="center"/>
        <w:rPr>
          <w:rFonts w:ascii="Times New Roman" w:hAnsi="Times New Roman" w:eastAsia="方正小标宋_GBK" w:cs="Times New Roman"/>
          <w:bCs/>
          <w:color w:val="auto"/>
          <w:sz w:val="32"/>
          <w:szCs w:val="32"/>
          <w:highlight w:val="none"/>
          <w:lang w:eastAsia="zh-CN"/>
        </w:rPr>
      </w:pPr>
      <w:r>
        <w:rPr>
          <w:rFonts w:hint="eastAsia" w:ascii="Times New Roman" w:hAnsi="Times New Roman" w:eastAsia="方正小标宋_GBK" w:cs="Times New Roman"/>
          <w:bCs/>
          <w:color w:val="auto"/>
          <w:sz w:val="32"/>
          <w:szCs w:val="32"/>
          <w:highlight w:val="none"/>
          <w:lang w:val="en-US" w:eastAsia="zh-CN"/>
        </w:rPr>
        <w:t>蓄水安全鉴定（含初期和终期）技术服务（第二次）</w:t>
      </w:r>
      <w:r>
        <w:rPr>
          <w:rFonts w:ascii="Times New Roman" w:hAnsi="Times New Roman" w:eastAsia="方正小标宋_GBK" w:cs="Times New Roman"/>
          <w:bCs/>
          <w:color w:val="auto"/>
          <w:sz w:val="32"/>
          <w:szCs w:val="32"/>
          <w:highlight w:val="none"/>
          <w:lang w:eastAsia="zh-CN"/>
        </w:rPr>
        <w:t>报价表</w:t>
      </w:r>
    </w:p>
    <w:p>
      <w:pPr>
        <w:spacing w:line="590" w:lineRule="exact"/>
        <w:ind w:left="3"/>
        <w:jc w:val="center"/>
        <w:rPr>
          <w:color w:val="auto"/>
          <w:highlight w:val="none"/>
          <w:lang w:eastAsia="zh-CN"/>
        </w:rPr>
      </w:pPr>
    </w:p>
    <w:tbl>
      <w:tblPr>
        <w:tblStyle w:val="4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157"/>
        <w:gridCol w:w="4637"/>
        <w:gridCol w:w="86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序号</w:t>
            </w:r>
          </w:p>
        </w:tc>
        <w:tc>
          <w:tcPr>
            <w:tcW w:w="1157"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项目</w:t>
            </w:r>
          </w:p>
        </w:tc>
        <w:tc>
          <w:tcPr>
            <w:tcW w:w="4637"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工作内容</w:t>
            </w:r>
          </w:p>
        </w:tc>
        <w:tc>
          <w:tcPr>
            <w:tcW w:w="863"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报价（元）</w:t>
            </w:r>
          </w:p>
        </w:tc>
        <w:tc>
          <w:tcPr>
            <w:tcW w:w="1410"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w:t>
            </w:r>
          </w:p>
        </w:tc>
        <w:tc>
          <w:tcPr>
            <w:tcW w:w="115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初期蓄水第一阶段安全鉴定报告</w:t>
            </w:r>
            <w:r>
              <w:rPr>
                <w:rFonts w:hint="eastAsia" w:ascii="Times New Roman" w:hAnsi="Times New Roman" w:eastAsia="方正仿宋_GBK" w:cs="Times New Roman"/>
                <w:color w:val="auto"/>
                <w:highlight w:val="none"/>
                <w:lang w:eastAsia="zh-CN"/>
              </w:rPr>
              <w:t>编制及审查</w:t>
            </w:r>
          </w:p>
        </w:tc>
        <w:tc>
          <w:tcPr>
            <w:tcW w:w="4637"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包括</w:t>
            </w:r>
            <w:r>
              <w:rPr>
                <w:rFonts w:hint="eastAsia" w:ascii="Times New Roman" w:hAnsi="Times New Roman" w:eastAsia="方正仿宋_GBK" w:cs="Times New Roman"/>
                <w:color w:val="auto"/>
                <w:highlight w:val="none"/>
                <w:lang w:val="en-US" w:eastAsia="zh-CN"/>
              </w:rPr>
              <w:t>但不限于对左岸一期工程的船闸工程、船闸门库坝段工程、左岸6.5孔泄洪冲沙闸工程、左岸泄洪冲沙闸门库坝段工程、左岸连</w:t>
            </w:r>
            <w:bookmarkStart w:id="129" w:name="_GoBack"/>
            <w:bookmarkEnd w:id="129"/>
            <w:r>
              <w:rPr>
                <w:rFonts w:hint="eastAsia" w:ascii="Times New Roman" w:hAnsi="Times New Roman" w:eastAsia="方正仿宋_GBK" w:cs="Times New Roman"/>
                <w:color w:val="auto"/>
                <w:highlight w:val="none"/>
                <w:lang w:val="en-US" w:eastAsia="zh-CN"/>
              </w:rPr>
              <w:t>接坝段工程、上下游库岸和边坡等永久工程的土建工程、金属结构工程，以及三期枯水纵向混凝土围堰工程；右岸二期工程三期枯水上、下游土石围堰工程进行蓄水安全鉴定和相应报告编制</w:t>
            </w:r>
            <w:r>
              <w:rPr>
                <w:rFonts w:hint="eastAsia" w:ascii="Times New Roman" w:hAnsi="Times New Roman" w:eastAsia="方正仿宋_GBK" w:cs="Times New Roman"/>
                <w:color w:val="auto"/>
                <w:highlight w:val="none"/>
                <w:lang w:eastAsia="zh-CN"/>
              </w:rPr>
              <w:t>及审查。</w:t>
            </w:r>
          </w:p>
        </w:tc>
        <w:tc>
          <w:tcPr>
            <w:tcW w:w="86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410"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lang w:eastAsia="zh-CN"/>
              </w:rPr>
              <w:t>2</w:t>
            </w:r>
          </w:p>
        </w:tc>
        <w:tc>
          <w:tcPr>
            <w:tcW w:w="115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初期蓄水第二阶段安全鉴定报告</w:t>
            </w:r>
            <w:r>
              <w:rPr>
                <w:rFonts w:hint="eastAsia" w:ascii="Times New Roman" w:hAnsi="Times New Roman" w:eastAsia="方正仿宋_GBK" w:cs="Times New Roman"/>
                <w:color w:val="auto"/>
                <w:highlight w:val="none"/>
                <w:lang w:eastAsia="zh-CN"/>
              </w:rPr>
              <w:t>编制及审查</w:t>
            </w:r>
          </w:p>
        </w:tc>
        <w:tc>
          <w:tcPr>
            <w:tcW w:w="4637"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包括但不限于对利泽枢纽右岸二期工程的5.5孔泄洪冲沙闸工程、上下游库岸和边坡等永久工程的土建工程和金属结构工程以及厂房上、下游全年土石围堰工程、厂房全年纵向混凝土围堰工程，以及其他围堰等临时工程进行蓄水安全鉴定和相应报告编制及审查。</w:t>
            </w:r>
          </w:p>
        </w:tc>
        <w:tc>
          <w:tcPr>
            <w:tcW w:w="86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410"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lang w:eastAsia="zh-CN"/>
              </w:rPr>
              <w:t>3</w:t>
            </w:r>
          </w:p>
        </w:tc>
        <w:tc>
          <w:tcPr>
            <w:tcW w:w="115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终期蓄水安全鉴定报告</w:t>
            </w:r>
            <w:r>
              <w:rPr>
                <w:rFonts w:hint="eastAsia" w:ascii="Times New Roman" w:hAnsi="Times New Roman" w:eastAsia="方正仿宋_GBK" w:cs="Times New Roman"/>
                <w:color w:val="auto"/>
                <w:highlight w:val="none"/>
                <w:lang w:eastAsia="zh-CN"/>
              </w:rPr>
              <w:t>编制及审查</w:t>
            </w:r>
          </w:p>
        </w:tc>
        <w:tc>
          <w:tcPr>
            <w:tcW w:w="4637"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包括但不限于对利泽枢纽右岸二期工程的电站厂房工程、开关站工程、右岸2孔泄洪冲沙闸工程、右岸连接坝段工程、鱼道工程、上下游库岸和边坡等永久工程的土建工程、金属结构安装工程进行蓄水安全鉴定和相应报告编制及审查。</w:t>
            </w:r>
          </w:p>
        </w:tc>
        <w:tc>
          <w:tcPr>
            <w:tcW w:w="86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410"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含报告印刷费、文献资料查阅、专家审查费、管理费及税金等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lang w:eastAsia="zh-CN"/>
              </w:rPr>
              <w:t>4</w:t>
            </w:r>
          </w:p>
        </w:tc>
        <w:tc>
          <w:tcPr>
            <w:tcW w:w="115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合价（元）</w:t>
            </w:r>
          </w:p>
        </w:tc>
        <w:tc>
          <w:tcPr>
            <w:tcW w:w="4637"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p>
        </w:tc>
        <w:tc>
          <w:tcPr>
            <w:tcW w:w="86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410"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p>
        </w:tc>
      </w:tr>
    </w:tbl>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报价</w:t>
      </w:r>
      <w:r>
        <w:rPr>
          <w:rFonts w:ascii="Times New Roman" w:hAnsi="Times New Roman" w:eastAsia="方正仿宋_GBK" w:cs="Times New Roman"/>
          <w:color w:val="auto"/>
          <w:sz w:val="32"/>
          <w:szCs w:val="32"/>
          <w:highlight w:val="none"/>
          <w:lang w:eastAsia="zh-CN"/>
        </w:rPr>
        <w:t>说明：</w:t>
      </w:r>
      <w:r>
        <w:rPr>
          <w:rFonts w:hint="eastAsia" w:ascii="Times New Roman" w:hAnsi="Times New Roman" w:eastAsia="方正仿宋_GBK" w:cs="Times New Roman"/>
          <w:color w:val="auto"/>
          <w:sz w:val="32"/>
          <w:szCs w:val="32"/>
          <w:highlight w:val="none"/>
          <w:lang w:eastAsia="zh-CN"/>
        </w:rPr>
        <w:t>报价</w:t>
      </w:r>
      <w:r>
        <w:rPr>
          <w:rFonts w:hint="eastAsia" w:ascii="Times New Roman" w:hAnsi="Times New Roman" w:eastAsia="方正仿宋_GBK" w:cs="Times New Roman"/>
          <w:bCs/>
          <w:color w:val="auto"/>
          <w:sz w:val="32"/>
          <w:szCs w:val="32"/>
          <w:highlight w:val="none"/>
          <w:lang w:eastAsia="zh-CN"/>
        </w:rPr>
        <w:t>费用为总价包干使用，费用包括但不限于人工费、材料费、试验费、试验报告编制及审查费、会务费、交通费、差旅费、保险费、检测费、培训费、后续服务费、管理费、税费、合理利润等一切费用。</w:t>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r>
        <w:rPr>
          <w:rFonts w:ascii="Times New Roman" w:hAnsi="Times New Roman" w:cs="Times New Roman"/>
          <w:color w:val="auto"/>
          <w:highlight w:val="none"/>
        </w:rPr>
        <w:br w:type="page"/>
      </w:r>
      <w:bookmarkStart w:id="123" w:name="_Toc2848"/>
      <w:bookmarkStart w:id="124" w:name="_Toc24703"/>
      <w:r>
        <w:rPr>
          <w:rFonts w:ascii="Times New Roman" w:hAnsi="Times New Roman" w:eastAsia="方正小标宋_GBK" w:cs="Times New Roman"/>
          <w:color w:val="auto"/>
          <w:sz w:val="44"/>
          <w:szCs w:val="44"/>
          <w:highlight w:val="none"/>
        </w:rPr>
        <w:t>四、资格审查资料</w:t>
      </w:r>
      <w:bookmarkEnd w:id="123"/>
      <w:bookmarkEnd w:id="124"/>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3.业绩证明</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4.</w:t>
      </w:r>
      <w:r>
        <w:rPr>
          <w:rFonts w:ascii="Times New Roman" w:hAnsi="Times New Roman" w:eastAsia="方正仿宋_GBK" w:cs="Times New Roman"/>
          <w:color w:val="auto"/>
          <w:sz w:val="32"/>
          <w:szCs w:val="32"/>
          <w:highlight w:val="none"/>
          <w:lang w:eastAsia="zh-CN"/>
        </w:rPr>
        <w:t>人力资源配备</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5.其他</w:t>
      </w:r>
      <w:r>
        <w:rPr>
          <w:rFonts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6</w:t>
      </w:r>
      <w:r>
        <w:rPr>
          <w:rFonts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ascii="Times New Roman" w:hAnsi="Times New Roman" w:cs="Times New Roman" w:eastAsiaTheme="minorEastAsia"/>
          <w:color w:val="auto"/>
          <w:sz w:val="32"/>
          <w:szCs w:val="32"/>
          <w:highlight w:val="none"/>
          <w:lang w:eastAsia="zh-CN"/>
        </w:rPr>
      </w:pPr>
      <w:r>
        <w:rPr>
          <w:rFonts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ascii="Times New Roman" w:hAnsi="Times New Roman" w:eastAsia="方正小标宋_GBK" w:cs="Times New Roman"/>
          <w:color w:val="auto"/>
          <w:sz w:val="44"/>
          <w:szCs w:val="44"/>
          <w:highlight w:val="none"/>
          <w:lang w:eastAsia="zh-CN"/>
        </w:rPr>
      </w:pPr>
      <w:r>
        <w:rPr>
          <w:rFonts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eastAsia="zh-CN"/>
        </w:rPr>
        <w:t>嘉陵江利泽航电开发有限公司</w:t>
      </w:r>
      <w:r>
        <w:rPr>
          <w:rFonts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eastAsia="zh-CN"/>
        </w:rPr>
        <w:t>_______</w:t>
      </w:r>
      <w:r>
        <w:rPr>
          <w:rFonts w:ascii="Times New Roman" w:hAnsi="Times New Roman" w:eastAsia="方正仿宋_GBK" w:cs="Times New Roman"/>
          <w:color w:val="auto"/>
          <w:sz w:val="32"/>
          <w:szCs w:val="32"/>
          <w:highlight w:val="none"/>
          <w:lang w:eastAsia="zh-CN"/>
        </w:rPr>
        <w:t>项目的询价，自愿作出以下承诺：</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1、询价截止日投标资格情况不存在下列情形之一：</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eastAsia="zh-CN"/>
        </w:rPr>
        <w:t>与</w:t>
      </w:r>
      <w:r>
        <w:rPr>
          <w:rFonts w:ascii="Times New Roman" w:hAnsi="Times New Roman" w:eastAsia="方正仿宋_GBK" w:cs="Times New Roman"/>
          <w:color w:val="auto"/>
          <w:sz w:val="32"/>
          <w:szCs w:val="32"/>
          <w:highlight w:val="none"/>
          <w:lang w:eastAsia="zh-CN"/>
        </w:rPr>
        <w:t>格式”规定，询价文件中没有询价人不能接受的条件。</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5、询价文件符合 “技术标准和要求”规定。</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color w:val="auto"/>
          <w:sz w:val="32"/>
          <w:szCs w:val="32"/>
          <w:highlight w:val="none"/>
          <w:lang w:eastAsia="zh-CN"/>
        </w:rPr>
        <w:t>其他</w:t>
      </w:r>
      <w:r>
        <w:rPr>
          <w:rFonts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特此承诺。</w:t>
      </w:r>
    </w:p>
    <w:p>
      <w:pPr>
        <w:tabs>
          <w:tab w:val="left" w:leader="underscore" w:pos="7582"/>
        </w:tabs>
        <w:spacing w:line="510" w:lineRule="exact"/>
        <w:ind w:firstLine="2560" w:firstLineChars="8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         （盖单位法人章）</w:t>
      </w:r>
    </w:p>
    <w:p>
      <w:pPr>
        <w:tabs>
          <w:tab w:val="left" w:leader="underscore" w:pos="7582"/>
        </w:tabs>
        <w:spacing w:line="510" w:lineRule="exact"/>
        <w:ind w:firstLine="2560" w:firstLineChars="8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       （签字或盖章）</w:t>
      </w:r>
    </w:p>
    <w:p>
      <w:pPr>
        <w:tabs>
          <w:tab w:val="left" w:leader="underscore" w:pos="7582"/>
        </w:tabs>
        <w:spacing w:line="510" w:lineRule="exact"/>
        <w:ind w:firstLine="2560" w:firstLineChars="8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年    月    日</w:t>
      </w:r>
    </w:p>
    <w:p>
      <w:pPr>
        <w:pStyle w:val="43"/>
        <w:ind w:left="4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bookmarkStart w:id="125" w:name="_Toc27288"/>
      <w:bookmarkStart w:id="126" w:name="_Toc18079"/>
      <w:r>
        <w:rPr>
          <w:rFonts w:hint="eastAsia" w:ascii="Times New Roman" w:hAnsi="Times New Roman" w:eastAsia="方正小标宋_GBK" w:cs="Times New Roman"/>
          <w:color w:val="auto"/>
          <w:sz w:val="44"/>
          <w:szCs w:val="44"/>
          <w:highlight w:val="none"/>
        </w:rPr>
        <w:t>五、</w:t>
      </w:r>
      <w:r>
        <w:rPr>
          <w:rFonts w:ascii="Times New Roman" w:hAnsi="Times New Roman" w:eastAsia="方正小标宋_GBK" w:cs="Times New Roman"/>
          <w:color w:val="auto"/>
          <w:sz w:val="44"/>
          <w:szCs w:val="44"/>
          <w:highlight w:val="none"/>
        </w:rPr>
        <w:t>项目方案及进度安排</w:t>
      </w:r>
      <w:bookmarkEnd w:id="125"/>
      <w:bookmarkEnd w:id="126"/>
    </w:p>
    <w:p>
      <w:pPr>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包含但不限于对项目的认识（结合项目背景、区域概况、</w:t>
      </w:r>
      <w:r>
        <w:rPr>
          <w:rFonts w:hint="eastAsia" w:ascii="Times New Roman" w:hAnsi="Times New Roman" w:eastAsia="方正仿宋_GBK" w:cs="Times New Roman"/>
          <w:color w:val="auto"/>
          <w:sz w:val="32"/>
          <w:szCs w:val="32"/>
          <w:highlight w:val="none"/>
          <w:lang w:eastAsia="zh-CN"/>
        </w:rPr>
        <w:t>等</w:t>
      </w:r>
      <w:r>
        <w:rPr>
          <w:rFonts w:ascii="Times New Roman" w:hAnsi="Times New Roman" w:eastAsia="方正仿宋_GBK" w:cs="Times New Roman"/>
          <w:color w:val="auto"/>
          <w:sz w:val="32"/>
          <w:szCs w:val="32"/>
          <w:highlight w:val="none"/>
          <w:lang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，拟投入的</w:t>
      </w:r>
      <w:r>
        <w:rPr>
          <w:rFonts w:ascii="Times New Roman" w:hAnsi="Times New Roman" w:eastAsia="方正仿宋_GBK" w:cs="Times New Roman"/>
          <w:color w:val="auto"/>
          <w:sz w:val="32"/>
          <w:szCs w:val="32"/>
          <w:highlight w:val="none"/>
          <w:lang w:eastAsia="zh-CN"/>
        </w:rPr>
        <w:t>试验设备</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eastAsia="zh-CN"/>
        </w:rPr>
        <w:t>等。</w:t>
      </w:r>
    </w:p>
    <w:p>
      <w:pPr>
        <w:adjustRightInd w:val="0"/>
        <w:snapToGrid w:val="0"/>
        <w:spacing w:after="120" w:line="360" w:lineRule="auto"/>
        <w:ind w:firstLine="435"/>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bookmarkStart w:id="127" w:name="_Toc24158"/>
      <w:bookmarkStart w:id="128" w:name="_Toc12799"/>
      <w:r>
        <w:rPr>
          <w:rFonts w:ascii="Times New Roman" w:hAnsi="Times New Roman" w:eastAsia="方正小标宋_GBK" w:cs="Times New Roman"/>
          <w:color w:val="auto"/>
          <w:sz w:val="44"/>
          <w:szCs w:val="44"/>
          <w:highlight w:val="none"/>
        </w:rPr>
        <w:t>六、其他资料</w:t>
      </w:r>
      <w:bookmarkEnd w:id="127"/>
      <w:bookmarkEnd w:id="128"/>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02534BF-D8D5-4F93-AB40-98925610ED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20E1D24-5681-40F4-B9EE-9CA01A4B7FA5}"/>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700D5CBA-0601-45DC-AF4D-10AC97F19665}"/>
  </w:font>
  <w:font w:name="方正仿宋_GBK">
    <w:panose1 w:val="03000509000000000000"/>
    <w:charset w:val="86"/>
    <w:family w:val="script"/>
    <w:pitch w:val="default"/>
    <w:sig w:usb0="00000001" w:usb1="080E0000" w:usb2="00000000" w:usb3="00000000" w:csb0="00040000" w:csb1="00000000"/>
    <w:embedRegular r:id="rId4" w:fontKey="{5F90F62B-D871-4B50-A35B-4BFBC9742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B84E"/>
    <w:multiLevelType w:val="singleLevel"/>
    <w:tmpl w:val="6141B8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35B4"/>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017B"/>
    <w:rsid w:val="003D31A3"/>
    <w:rsid w:val="003D654C"/>
    <w:rsid w:val="003D6A6E"/>
    <w:rsid w:val="003F25E7"/>
    <w:rsid w:val="003F6525"/>
    <w:rsid w:val="00433D93"/>
    <w:rsid w:val="004366EC"/>
    <w:rsid w:val="004368D7"/>
    <w:rsid w:val="0044139A"/>
    <w:rsid w:val="004438A7"/>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55B3"/>
    <w:rsid w:val="00526A92"/>
    <w:rsid w:val="00577A8A"/>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3FAE"/>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02E9"/>
    <w:rsid w:val="00B73480"/>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423D"/>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6725"/>
    <w:rsid w:val="00F609B8"/>
    <w:rsid w:val="00F634BE"/>
    <w:rsid w:val="00F6566A"/>
    <w:rsid w:val="00F73F70"/>
    <w:rsid w:val="00F85154"/>
    <w:rsid w:val="00F853BC"/>
    <w:rsid w:val="00F931A6"/>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2F1662"/>
    <w:rsid w:val="0537002F"/>
    <w:rsid w:val="0636605F"/>
    <w:rsid w:val="067A2C61"/>
    <w:rsid w:val="07A25D28"/>
    <w:rsid w:val="08651193"/>
    <w:rsid w:val="08F93D5B"/>
    <w:rsid w:val="09CD7F8F"/>
    <w:rsid w:val="0BB95CD2"/>
    <w:rsid w:val="0BFE4292"/>
    <w:rsid w:val="0CD07E15"/>
    <w:rsid w:val="0CFA4A65"/>
    <w:rsid w:val="0FB66909"/>
    <w:rsid w:val="10A81391"/>
    <w:rsid w:val="117A6EEF"/>
    <w:rsid w:val="13B86C2F"/>
    <w:rsid w:val="14295DAF"/>
    <w:rsid w:val="142A7E51"/>
    <w:rsid w:val="14840E85"/>
    <w:rsid w:val="1491177B"/>
    <w:rsid w:val="14E84C4F"/>
    <w:rsid w:val="159E24E8"/>
    <w:rsid w:val="15DB6778"/>
    <w:rsid w:val="162417DF"/>
    <w:rsid w:val="16A76DEE"/>
    <w:rsid w:val="17AC5B95"/>
    <w:rsid w:val="198130EF"/>
    <w:rsid w:val="19AE416C"/>
    <w:rsid w:val="19DD43BA"/>
    <w:rsid w:val="1A4B45F5"/>
    <w:rsid w:val="1AEB3291"/>
    <w:rsid w:val="1CD8468B"/>
    <w:rsid w:val="1CEB3111"/>
    <w:rsid w:val="1D1E25DF"/>
    <w:rsid w:val="1D652848"/>
    <w:rsid w:val="1DA3081E"/>
    <w:rsid w:val="1DD736C3"/>
    <w:rsid w:val="1ED764BA"/>
    <w:rsid w:val="1F880291"/>
    <w:rsid w:val="214F77BD"/>
    <w:rsid w:val="21CC3BA7"/>
    <w:rsid w:val="22102401"/>
    <w:rsid w:val="228765EB"/>
    <w:rsid w:val="228C0C6A"/>
    <w:rsid w:val="241174C5"/>
    <w:rsid w:val="24304B96"/>
    <w:rsid w:val="24430E72"/>
    <w:rsid w:val="24B738C2"/>
    <w:rsid w:val="24E95961"/>
    <w:rsid w:val="255178E6"/>
    <w:rsid w:val="255E1927"/>
    <w:rsid w:val="26710645"/>
    <w:rsid w:val="26A91696"/>
    <w:rsid w:val="272F2851"/>
    <w:rsid w:val="275D345E"/>
    <w:rsid w:val="279C6923"/>
    <w:rsid w:val="27BD1AEB"/>
    <w:rsid w:val="27FE7369"/>
    <w:rsid w:val="28FC289D"/>
    <w:rsid w:val="2914405B"/>
    <w:rsid w:val="29156EF2"/>
    <w:rsid w:val="29AD3BFC"/>
    <w:rsid w:val="2BC53552"/>
    <w:rsid w:val="2BF539B5"/>
    <w:rsid w:val="2C61237F"/>
    <w:rsid w:val="2D280A7E"/>
    <w:rsid w:val="2E0326AE"/>
    <w:rsid w:val="2F3F177A"/>
    <w:rsid w:val="304C71E7"/>
    <w:rsid w:val="31900874"/>
    <w:rsid w:val="319A23E2"/>
    <w:rsid w:val="328937F3"/>
    <w:rsid w:val="33C83BC3"/>
    <w:rsid w:val="35153592"/>
    <w:rsid w:val="35996867"/>
    <w:rsid w:val="36CA2FA0"/>
    <w:rsid w:val="37910835"/>
    <w:rsid w:val="38025098"/>
    <w:rsid w:val="38500738"/>
    <w:rsid w:val="387B5356"/>
    <w:rsid w:val="389F0583"/>
    <w:rsid w:val="3B3B1938"/>
    <w:rsid w:val="3B536115"/>
    <w:rsid w:val="3B896557"/>
    <w:rsid w:val="3D12686E"/>
    <w:rsid w:val="3DA446E9"/>
    <w:rsid w:val="3E0A4684"/>
    <w:rsid w:val="3E415AC4"/>
    <w:rsid w:val="3EC066EC"/>
    <w:rsid w:val="3ED20001"/>
    <w:rsid w:val="3EE322BE"/>
    <w:rsid w:val="3EED6A2E"/>
    <w:rsid w:val="3EF25A32"/>
    <w:rsid w:val="408814E1"/>
    <w:rsid w:val="418D49B0"/>
    <w:rsid w:val="41B25D59"/>
    <w:rsid w:val="42615AA3"/>
    <w:rsid w:val="426A5D19"/>
    <w:rsid w:val="42A713D5"/>
    <w:rsid w:val="42EE0B57"/>
    <w:rsid w:val="42FC2B26"/>
    <w:rsid w:val="453756CC"/>
    <w:rsid w:val="46B20E2E"/>
    <w:rsid w:val="46E4318C"/>
    <w:rsid w:val="471A1D56"/>
    <w:rsid w:val="471F4D88"/>
    <w:rsid w:val="479E3A47"/>
    <w:rsid w:val="47D87266"/>
    <w:rsid w:val="48324764"/>
    <w:rsid w:val="49A2577D"/>
    <w:rsid w:val="49AB41E7"/>
    <w:rsid w:val="4A321E22"/>
    <w:rsid w:val="4A3546F1"/>
    <w:rsid w:val="4B106456"/>
    <w:rsid w:val="4C6F2EDA"/>
    <w:rsid w:val="4E03626B"/>
    <w:rsid w:val="4F382927"/>
    <w:rsid w:val="4F7B2533"/>
    <w:rsid w:val="508711A9"/>
    <w:rsid w:val="51085D90"/>
    <w:rsid w:val="510E35CE"/>
    <w:rsid w:val="517B4EC0"/>
    <w:rsid w:val="51B322DA"/>
    <w:rsid w:val="51CC3CA7"/>
    <w:rsid w:val="52013D13"/>
    <w:rsid w:val="523B2724"/>
    <w:rsid w:val="53366EE7"/>
    <w:rsid w:val="54271112"/>
    <w:rsid w:val="54523A5C"/>
    <w:rsid w:val="555C3065"/>
    <w:rsid w:val="55987088"/>
    <w:rsid w:val="55D43B94"/>
    <w:rsid w:val="563F0B60"/>
    <w:rsid w:val="565372A1"/>
    <w:rsid w:val="56A32E66"/>
    <w:rsid w:val="56EF6751"/>
    <w:rsid w:val="577747A6"/>
    <w:rsid w:val="577A27D6"/>
    <w:rsid w:val="58264191"/>
    <w:rsid w:val="593C56D0"/>
    <w:rsid w:val="593F171A"/>
    <w:rsid w:val="59995821"/>
    <w:rsid w:val="59E454CF"/>
    <w:rsid w:val="59F726F3"/>
    <w:rsid w:val="5B052582"/>
    <w:rsid w:val="5B297B8D"/>
    <w:rsid w:val="5B57543C"/>
    <w:rsid w:val="5B953C9A"/>
    <w:rsid w:val="5BE066C1"/>
    <w:rsid w:val="5C1726A7"/>
    <w:rsid w:val="5C1B578B"/>
    <w:rsid w:val="5C2351CD"/>
    <w:rsid w:val="5C925448"/>
    <w:rsid w:val="5CA00DF1"/>
    <w:rsid w:val="5CB7352A"/>
    <w:rsid w:val="5CFD0956"/>
    <w:rsid w:val="5D313A8F"/>
    <w:rsid w:val="5DA1040B"/>
    <w:rsid w:val="5DBD4136"/>
    <w:rsid w:val="5E7D7B12"/>
    <w:rsid w:val="5F9B768E"/>
    <w:rsid w:val="5FA74DF5"/>
    <w:rsid w:val="60895210"/>
    <w:rsid w:val="60DC0379"/>
    <w:rsid w:val="60F91A9B"/>
    <w:rsid w:val="61681DAA"/>
    <w:rsid w:val="61B47A3F"/>
    <w:rsid w:val="62137647"/>
    <w:rsid w:val="64761A1E"/>
    <w:rsid w:val="65585085"/>
    <w:rsid w:val="67015D83"/>
    <w:rsid w:val="676C3643"/>
    <w:rsid w:val="67B30A70"/>
    <w:rsid w:val="68562C5D"/>
    <w:rsid w:val="693A72E7"/>
    <w:rsid w:val="69BE3E7E"/>
    <w:rsid w:val="69C66163"/>
    <w:rsid w:val="69E81028"/>
    <w:rsid w:val="6AD53C58"/>
    <w:rsid w:val="6B460AB6"/>
    <w:rsid w:val="6B72120D"/>
    <w:rsid w:val="6DE06576"/>
    <w:rsid w:val="70656815"/>
    <w:rsid w:val="7094702E"/>
    <w:rsid w:val="709655A9"/>
    <w:rsid w:val="710D7515"/>
    <w:rsid w:val="7139605B"/>
    <w:rsid w:val="71D20946"/>
    <w:rsid w:val="72B14FD5"/>
    <w:rsid w:val="74181201"/>
    <w:rsid w:val="743D400A"/>
    <w:rsid w:val="74590E55"/>
    <w:rsid w:val="74EA6803"/>
    <w:rsid w:val="75042B2F"/>
    <w:rsid w:val="755A6876"/>
    <w:rsid w:val="755F3CFE"/>
    <w:rsid w:val="756555F5"/>
    <w:rsid w:val="760D0BC5"/>
    <w:rsid w:val="762D6621"/>
    <w:rsid w:val="76575395"/>
    <w:rsid w:val="77AD20AE"/>
    <w:rsid w:val="78286988"/>
    <w:rsid w:val="7861167A"/>
    <w:rsid w:val="78E04108"/>
    <w:rsid w:val="795D5748"/>
    <w:rsid w:val="7A3E4002"/>
    <w:rsid w:val="7AAF6562"/>
    <w:rsid w:val="7B9E42A9"/>
    <w:rsid w:val="7C4D729D"/>
    <w:rsid w:val="7D7F7D09"/>
    <w:rsid w:val="7DCC7838"/>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样式 正文W + 首行缩进:  2 字符 行距: 固定值 27 磅"/>
    <w:basedOn w:val="1"/>
    <w:qFormat/>
    <w:uiPriority w:val="0"/>
    <w:pPr>
      <w:spacing w:line="560" w:lineRule="exact"/>
      <w:ind w:firstLine="200" w:firstLineChars="200"/>
    </w:pPr>
    <w:rPr>
      <w:rFonts w:ascii="仿宋_GB2312" w:hAnsi="仿宋_GB2312"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2F2F5-212F-49DD-8098-752E372D4B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2017</Words>
  <Characters>11502</Characters>
  <Lines>95</Lines>
  <Paragraphs>26</Paragraphs>
  <TotalTime>0</TotalTime>
  <ScaleCrop>false</ScaleCrop>
  <LinksUpToDate>false</LinksUpToDate>
  <CharactersWithSpaces>13493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八仔</cp:lastModifiedBy>
  <dcterms:modified xsi:type="dcterms:W3CDTF">2022-03-24T03:11:21Z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86A55673F8234E3CB7504B3CD26F4915</vt:lpwstr>
  </property>
</Properties>
</file>