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30"/>
          <w:szCs w:val="30"/>
          <w:highlight w:val="none"/>
          <w:lang w:val="en-US" w:eastAsia="zh-CN"/>
        </w:rPr>
      </w:pPr>
      <w:r>
        <w:rPr>
          <w:rFonts w:hint="eastAsia" w:ascii="宋体" w:hAnsi="宋体" w:cs="宋体"/>
          <w:b/>
          <w:color w:val="auto"/>
          <w:sz w:val="30"/>
          <w:szCs w:val="30"/>
          <w:highlight w:val="none"/>
        </w:rPr>
        <w:t>重庆高速文化传媒股份有限公司</w:t>
      </w:r>
      <w:r>
        <w:rPr>
          <w:rFonts w:hint="eastAsia" w:ascii="宋体" w:hAnsi="宋体" w:cs="宋体"/>
          <w:b/>
          <w:color w:val="auto"/>
          <w:sz w:val="30"/>
          <w:szCs w:val="30"/>
          <w:highlight w:val="none"/>
          <w:lang w:val="en-US" w:eastAsia="zh-CN"/>
        </w:rPr>
        <w:t>渝广路</w:t>
      </w:r>
    </w:p>
    <w:p>
      <w:pPr>
        <w:jc w:val="center"/>
        <w:rPr>
          <w:rFonts w:ascii="宋体" w:hAnsi="宋体" w:cs="宋体"/>
          <w:b/>
          <w:color w:val="auto"/>
          <w:sz w:val="30"/>
          <w:szCs w:val="30"/>
          <w:highlight w:val="none"/>
        </w:rPr>
      </w:pPr>
      <w:r>
        <w:rPr>
          <w:rFonts w:hint="eastAsia" w:ascii="宋体" w:hAnsi="宋体" w:cs="宋体"/>
          <w:b/>
          <w:color w:val="auto"/>
          <w:sz w:val="30"/>
          <w:szCs w:val="30"/>
          <w:highlight w:val="none"/>
        </w:rPr>
        <w:t>广告牌建设工程竞争性比选公告</w:t>
      </w:r>
    </w:p>
    <w:p>
      <w:pPr>
        <w:spacing w:line="400" w:lineRule="exact"/>
        <w:ind w:firstLine="120" w:firstLineChars="50"/>
        <w:rPr>
          <w:rFonts w:ascii="宋体" w:hAnsi="宋体" w:cs="宋体"/>
          <w:color w:val="auto"/>
          <w:sz w:val="24"/>
          <w:szCs w:val="24"/>
          <w:highlight w:val="none"/>
          <w:u w:val="single"/>
        </w:rPr>
      </w:pPr>
      <w:bookmarkStart w:id="0" w:name="_Toc246996166"/>
      <w:bookmarkStart w:id="1" w:name="_Toc246996909"/>
      <w:bookmarkStart w:id="2" w:name="_Toc152042295"/>
      <w:bookmarkStart w:id="3" w:name="_Toc152045519"/>
      <w:bookmarkStart w:id="4" w:name="_Toc296602410"/>
      <w:bookmarkStart w:id="5" w:name="_Toc144974487"/>
      <w:bookmarkStart w:id="6" w:name="_Toc179632536"/>
      <w:bookmarkStart w:id="7" w:name="_Toc247085680"/>
    </w:p>
    <w:bookmarkEnd w:id="0"/>
    <w:bookmarkEnd w:id="1"/>
    <w:bookmarkEnd w:id="2"/>
    <w:bookmarkEnd w:id="3"/>
    <w:bookmarkEnd w:id="4"/>
    <w:bookmarkEnd w:id="5"/>
    <w:bookmarkEnd w:id="6"/>
    <w:bookmarkEnd w:id="7"/>
    <w:p>
      <w:pPr>
        <w:wordWrap w:val="0"/>
        <w:spacing w:line="400" w:lineRule="exact"/>
        <w:ind w:firstLine="420" w:firstLineChars="200"/>
        <w:jc w:val="left"/>
        <w:rPr>
          <w:color w:val="auto"/>
          <w:szCs w:val="21"/>
          <w:highlight w:val="none"/>
        </w:rPr>
      </w:pPr>
      <w:bookmarkStart w:id="8" w:name="_Toc152042297"/>
      <w:bookmarkStart w:id="9" w:name="_Toc247085682"/>
      <w:bookmarkStart w:id="10" w:name="_Toc246996168"/>
      <w:bookmarkStart w:id="11" w:name="_Toc152045521"/>
      <w:bookmarkStart w:id="12" w:name="_Toc246996911"/>
      <w:bookmarkStart w:id="13" w:name="_Toc179632538"/>
      <w:bookmarkStart w:id="14" w:name="_Toc296602412"/>
      <w:bookmarkStart w:id="15" w:name="_Toc144974489"/>
      <w:r>
        <w:rPr>
          <w:color w:val="auto"/>
          <w:szCs w:val="21"/>
          <w:highlight w:val="none"/>
        </w:rPr>
        <w:t>本项目</w:t>
      </w:r>
      <w:r>
        <w:rPr>
          <w:rFonts w:hint="eastAsia"/>
          <w:b/>
          <w:bCs/>
          <w:color w:val="auto"/>
          <w:szCs w:val="21"/>
          <w:highlight w:val="none"/>
        </w:rPr>
        <w:t>重庆高速文化传媒股份有限公司</w:t>
      </w:r>
      <w:r>
        <w:rPr>
          <w:rFonts w:hint="eastAsia"/>
          <w:b/>
          <w:bCs/>
          <w:color w:val="auto"/>
          <w:szCs w:val="21"/>
          <w:highlight w:val="none"/>
          <w:lang w:val="en-US" w:eastAsia="zh-CN"/>
        </w:rPr>
        <w:t>渝广路</w:t>
      </w:r>
      <w:r>
        <w:rPr>
          <w:rFonts w:hint="eastAsia"/>
          <w:b/>
          <w:bCs/>
          <w:color w:val="auto"/>
          <w:szCs w:val="21"/>
          <w:highlight w:val="none"/>
        </w:rPr>
        <w:t>广告牌建设工程</w:t>
      </w:r>
      <w:r>
        <w:rPr>
          <w:color w:val="auto"/>
          <w:szCs w:val="21"/>
          <w:highlight w:val="none"/>
        </w:rPr>
        <w:t>准备组织实施，重庆高速文化传媒股份有限公司计划以</w:t>
      </w:r>
      <w:r>
        <w:rPr>
          <w:rFonts w:hint="eastAsia"/>
          <w:color w:val="auto"/>
          <w:szCs w:val="21"/>
          <w:highlight w:val="none"/>
        </w:rPr>
        <w:t>公开竞争性比选</w:t>
      </w:r>
      <w:r>
        <w:rPr>
          <w:color w:val="auto"/>
          <w:szCs w:val="21"/>
          <w:highlight w:val="none"/>
        </w:rPr>
        <w:t>方式确定</w:t>
      </w:r>
      <w:r>
        <w:rPr>
          <w:rFonts w:hint="eastAsia"/>
          <w:color w:val="auto"/>
          <w:szCs w:val="21"/>
          <w:highlight w:val="none"/>
        </w:rPr>
        <w:t>成交</w:t>
      </w:r>
      <w:r>
        <w:rPr>
          <w:color w:val="auto"/>
          <w:szCs w:val="21"/>
          <w:highlight w:val="none"/>
        </w:rPr>
        <w:t>单位，具体情况如下：</w:t>
      </w:r>
    </w:p>
    <w:p>
      <w:pPr>
        <w:spacing w:line="400" w:lineRule="exact"/>
        <w:rPr>
          <w:b/>
          <w:color w:val="auto"/>
          <w:szCs w:val="21"/>
          <w:highlight w:val="none"/>
        </w:rPr>
      </w:pPr>
      <w:bookmarkStart w:id="16" w:name="_Toc246996167"/>
      <w:bookmarkStart w:id="17" w:name="_Toc152045520"/>
      <w:bookmarkStart w:id="18" w:name="_Toc179632537"/>
      <w:bookmarkStart w:id="19" w:name="_Toc246996910"/>
      <w:bookmarkStart w:id="20" w:name="_Toc152042296"/>
      <w:bookmarkStart w:id="21" w:name="_Toc247085681"/>
      <w:bookmarkStart w:id="22" w:name="_Toc144974488"/>
      <w:bookmarkStart w:id="23" w:name="_Toc296602411"/>
      <w:r>
        <w:rPr>
          <w:b/>
          <w:color w:val="auto"/>
          <w:szCs w:val="21"/>
          <w:highlight w:val="none"/>
        </w:rPr>
        <w:t>一、项目概况与</w:t>
      </w:r>
      <w:r>
        <w:rPr>
          <w:rFonts w:hint="eastAsia"/>
          <w:b/>
          <w:color w:val="auto"/>
          <w:szCs w:val="21"/>
          <w:highlight w:val="none"/>
        </w:rPr>
        <w:t>比选</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color w:val="auto"/>
          <w:szCs w:val="21"/>
          <w:highlight w:val="none"/>
        </w:rPr>
      </w:pPr>
      <w:r>
        <w:rPr>
          <w:color w:val="auto"/>
          <w:szCs w:val="21"/>
          <w:highlight w:val="none"/>
        </w:rPr>
        <w:t>本项目为</w:t>
      </w:r>
      <w:r>
        <w:rPr>
          <w:rFonts w:hint="eastAsia"/>
          <w:color w:val="auto"/>
          <w:szCs w:val="21"/>
          <w:highlight w:val="none"/>
        </w:rPr>
        <w:t>重庆高速文化传媒股份有限公司</w:t>
      </w:r>
      <w:r>
        <w:rPr>
          <w:rFonts w:hint="eastAsia"/>
          <w:color w:val="auto"/>
          <w:szCs w:val="21"/>
          <w:highlight w:val="none"/>
          <w:lang w:val="en-US" w:eastAsia="zh-CN"/>
        </w:rPr>
        <w:t>渝广路</w:t>
      </w:r>
      <w:r>
        <w:rPr>
          <w:rFonts w:hint="eastAsia"/>
          <w:color w:val="auto"/>
          <w:szCs w:val="21"/>
          <w:highlight w:val="none"/>
        </w:rPr>
        <w:t>广告牌建设工程</w:t>
      </w:r>
      <w:r>
        <w:rPr>
          <w:color w:val="auto"/>
          <w:szCs w:val="21"/>
          <w:highlight w:val="none"/>
        </w:rPr>
        <w:t>。本项目为一个</w:t>
      </w:r>
      <w:r>
        <w:rPr>
          <w:rFonts w:hint="eastAsia"/>
          <w:color w:val="auto"/>
          <w:szCs w:val="21"/>
          <w:highlight w:val="none"/>
        </w:rPr>
        <w:t>标段实施，具体实施</w:t>
      </w:r>
      <w:r>
        <w:rPr>
          <w:rFonts w:hint="eastAsia"/>
          <w:color w:val="auto"/>
          <w:szCs w:val="21"/>
          <w:highlight w:val="none"/>
          <w:lang w:val="en-US" w:eastAsia="zh-CN"/>
        </w:rPr>
        <w:t>点位</w:t>
      </w:r>
      <w:r>
        <w:rPr>
          <w:rFonts w:hint="eastAsia"/>
          <w:color w:val="auto"/>
          <w:szCs w:val="21"/>
          <w:highlight w:val="none"/>
        </w:rPr>
        <w:t>由业主下发清单确定</w:t>
      </w:r>
      <w:r>
        <w:rPr>
          <w:color w:val="auto"/>
          <w:szCs w:val="21"/>
          <w:highlight w:val="none"/>
        </w:rPr>
        <w:t>。</w:t>
      </w:r>
    </w:p>
    <w:p>
      <w:pPr>
        <w:widowControl/>
        <w:spacing w:line="400" w:lineRule="exact"/>
        <w:ind w:firstLine="422" w:firstLineChars="200"/>
        <w:rPr>
          <w:b/>
          <w:bCs/>
          <w:color w:val="auto"/>
          <w:szCs w:val="21"/>
          <w:highlight w:val="none"/>
        </w:rPr>
      </w:pPr>
      <w:r>
        <w:rPr>
          <w:b/>
          <w:bCs/>
          <w:color w:val="auto"/>
          <w:szCs w:val="21"/>
          <w:highlight w:val="none"/>
        </w:rPr>
        <w:t>1、工程内容：</w:t>
      </w:r>
    </w:p>
    <w:p>
      <w:pPr>
        <w:spacing w:line="400" w:lineRule="exact"/>
        <w:ind w:firstLine="420" w:firstLineChars="200"/>
        <w:rPr>
          <w:color w:val="auto"/>
          <w:kern w:val="0"/>
          <w:szCs w:val="21"/>
          <w:highlight w:val="none"/>
        </w:rPr>
      </w:pPr>
      <w:r>
        <w:rPr>
          <w:color w:val="auto"/>
          <w:kern w:val="0"/>
          <w:szCs w:val="21"/>
          <w:highlight w:val="none"/>
        </w:rPr>
        <w:t>（1）</w:t>
      </w:r>
      <w:r>
        <w:rPr>
          <w:rFonts w:hint="eastAsia"/>
          <w:snapToGrid w:val="0"/>
          <w:color w:val="auto"/>
          <w:kern w:val="0"/>
          <w:szCs w:val="21"/>
          <w:highlight w:val="none"/>
        </w:rPr>
        <w:t>建设</w:t>
      </w:r>
      <w:r>
        <w:rPr>
          <w:snapToGrid w:val="0"/>
          <w:color w:val="auto"/>
          <w:kern w:val="0"/>
          <w:szCs w:val="21"/>
          <w:highlight w:val="none"/>
        </w:rPr>
        <w:t>地点：</w:t>
      </w:r>
      <w:r>
        <w:rPr>
          <w:rFonts w:hint="eastAsia"/>
          <w:snapToGrid w:val="0"/>
          <w:color w:val="auto"/>
          <w:kern w:val="0"/>
          <w:szCs w:val="21"/>
          <w:highlight w:val="none"/>
        </w:rPr>
        <w:t>重庆</w:t>
      </w:r>
      <w:r>
        <w:rPr>
          <w:rFonts w:hint="eastAsia"/>
          <w:snapToGrid w:val="0"/>
          <w:color w:val="auto"/>
          <w:kern w:val="0"/>
          <w:szCs w:val="21"/>
          <w:highlight w:val="none"/>
          <w:lang w:val="en-US" w:eastAsia="zh-CN"/>
        </w:rPr>
        <w:t>渝广</w:t>
      </w:r>
      <w:r>
        <w:rPr>
          <w:rFonts w:hint="eastAsia"/>
          <w:snapToGrid w:val="0"/>
          <w:color w:val="auto"/>
          <w:kern w:val="0"/>
          <w:szCs w:val="21"/>
          <w:highlight w:val="none"/>
        </w:rPr>
        <w:t>高速</w:t>
      </w:r>
      <w:r>
        <w:rPr>
          <w:rFonts w:hint="eastAsia"/>
          <w:snapToGrid w:val="0"/>
          <w:color w:val="auto"/>
          <w:kern w:val="0"/>
          <w:szCs w:val="21"/>
          <w:highlight w:val="none"/>
          <w:lang w:val="en-US" w:eastAsia="zh-CN"/>
        </w:rPr>
        <w:t>前端3公里内</w:t>
      </w:r>
      <w:r>
        <w:rPr>
          <w:rFonts w:hint="eastAsia"/>
          <w:color w:val="auto"/>
          <w:kern w:val="0"/>
          <w:szCs w:val="21"/>
          <w:highlight w:val="none"/>
        </w:rPr>
        <w:t>。</w:t>
      </w:r>
    </w:p>
    <w:p>
      <w:pPr>
        <w:spacing w:line="400" w:lineRule="exact"/>
        <w:ind w:firstLine="420" w:firstLineChars="200"/>
        <w:rPr>
          <w:rFonts w:hint="eastAsia"/>
          <w:snapToGrid w:val="0"/>
          <w:color w:val="auto"/>
          <w:kern w:val="0"/>
          <w:szCs w:val="21"/>
          <w:highlight w:val="none"/>
          <w:lang w:val="en-US" w:eastAsia="zh-CN"/>
        </w:rPr>
      </w:pPr>
      <w:r>
        <w:rPr>
          <w:rFonts w:hint="eastAsia"/>
          <w:color w:val="auto"/>
          <w:kern w:val="0"/>
          <w:szCs w:val="21"/>
          <w:highlight w:val="none"/>
        </w:rPr>
        <w:t>（</w:t>
      </w:r>
      <w:r>
        <w:rPr>
          <w:rFonts w:hint="eastAsia"/>
          <w:color w:val="auto"/>
          <w:kern w:val="0"/>
          <w:szCs w:val="21"/>
          <w:highlight w:val="none"/>
        </w:rPr>
        <w:t>2）</w:t>
      </w:r>
      <w:r>
        <w:rPr>
          <w:rFonts w:hint="eastAsia"/>
          <w:snapToGrid w:val="0"/>
          <w:color w:val="auto"/>
          <w:kern w:val="0"/>
          <w:szCs w:val="21"/>
          <w:highlight w:val="none"/>
        </w:rPr>
        <w:t>建设</w:t>
      </w:r>
      <w:r>
        <w:rPr>
          <w:snapToGrid w:val="0"/>
          <w:color w:val="auto"/>
          <w:kern w:val="0"/>
          <w:szCs w:val="21"/>
          <w:highlight w:val="none"/>
        </w:rPr>
        <w:t>规模：</w:t>
      </w:r>
      <w:r>
        <w:rPr>
          <w:rFonts w:hint="eastAsia"/>
          <w:snapToGrid w:val="0"/>
          <w:color w:val="auto"/>
          <w:kern w:val="0"/>
          <w:szCs w:val="21"/>
          <w:highlight w:val="none"/>
        </w:rPr>
        <w:t>共</w:t>
      </w:r>
      <w:r>
        <w:rPr>
          <w:rFonts w:hint="eastAsia"/>
          <w:snapToGrid w:val="0"/>
          <w:color w:val="auto"/>
          <w:kern w:val="0"/>
          <w:szCs w:val="21"/>
          <w:highlight w:val="none"/>
          <w:lang w:val="en-US" w:eastAsia="zh-CN"/>
        </w:rPr>
        <w:t>3</w:t>
      </w:r>
      <w:r>
        <w:rPr>
          <w:rFonts w:hint="eastAsia"/>
          <w:snapToGrid w:val="0"/>
          <w:color w:val="auto"/>
          <w:kern w:val="0"/>
          <w:szCs w:val="21"/>
          <w:highlight w:val="none"/>
        </w:rPr>
        <w:t>块</w:t>
      </w:r>
      <w:r>
        <w:rPr>
          <w:rFonts w:hint="eastAsia"/>
          <w:snapToGrid w:val="0"/>
          <w:color w:val="auto"/>
          <w:kern w:val="0"/>
          <w:szCs w:val="21"/>
          <w:highlight w:val="none"/>
          <w:lang w:val="en-US" w:eastAsia="zh-CN"/>
        </w:rPr>
        <w:t>27米热浸锌</w:t>
      </w:r>
      <w:r>
        <w:rPr>
          <w:rFonts w:hint="eastAsia"/>
          <w:snapToGrid w:val="0"/>
          <w:color w:val="auto"/>
          <w:kern w:val="0"/>
          <w:szCs w:val="21"/>
          <w:highlight w:val="none"/>
        </w:rPr>
        <w:t>广告牌</w:t>
      </w:r>
      <w:r>
        <w:rPr>
          <w:rFonts w:hint="eastAsia"/>
          <w:snapToGrid w:val="0"/>
          <w:color w:val="auto"/>
          <w:kern w:val="0"/>
          <w:szCs w:val="21"/>
          <w:highlight w:val="none"/>
          <w:lang w:eastAsia="zh-CN"/>
        </w:rPr>
        <w:t>，</w:t>
      </w:r>
      <w:r>
        <w:rPr>
          <w:rFonts w:hint="eastAsia"/>
          <w:snapToGrid w:val="0"/>
          <w:color w:val="auto"/>
          <w:kern w:val="0"/>
          <w:szCs w:val="21"/>
          <w:highlight w:val="none"/>
          <w:lang w:val="en-US" w:eastAsia="zh-CN"/>
        </w:rPr>
        <w:t>其中三面体1块，两面体2块</w:t>
      </w:r>
      <w:r>
        <w:rPr>
          <w:rFonts w:hint="eastAsia"/>
          <w:snapToGrid w:val="0"/>
          <w:color w:val="auto"/>
          <w:kern w:val="0"/>
          <w:szCs w:val="21"/>
          <w:highlight w:val="none"/>
          <w:lang w:eastAsia="zh-CN"/>
        </w:rPr>
        <w:t>（</w:t>
      </w:r>
      <w:r>
        <w:rPr>
          <w:rFonts w:hint="eastAsia"/>
          <w:snapToGrid w:val="0"/>
          <w:color w:val="auto"/>
          <w:kern w:val="0"/>
          <w:szCs w:val="21"/>
          <w:highlight w:val="none"/>
        </w:rPr>
        <w:t>其中</w:t>
      </w:r>
      <w:r>
        <w:rPr>
          <w:rFonts w:hint="eastAsia"/>
          <w:snapToGrid w:val="0"/>
          <w:color w:val="auto"/>
          <w:kern w:val="0"/>
          <w:szCs w:val="21"/>
          <w:highlight w:val="none"/>
          <w:lang w:val="en-US" w:eastAsia="zh-CN"/>
        </w:rPr>
        <w:t>一块两面体广告牌只修建上部结构，另一块两面体广告牌为机动点位，在获得市交通局批复后修建</w:t>
      </w:r>
      <w:r>
        <w:rPr>
          <w:rFonts w:hint="eastAsia"/>
          <w:snapToGrid w:val="0"/>
          <w:color w:val="auto"/>
          <w:kern w:val="0"/>
          <w:szCs w:val="21"/>
          <w:highlight w:val="none"/>
          <w:lang w:eastAsia="zh-CN"/>
        </w:rPr>
        <w:t>）。</w:t>
      </w:r>
    </w:p>
    <w:p>
      <w:pPr>
        <w:spacing w:line="400" w:lineRule="exact"/>
        <w:ind w:firstLine="420" w:firstLineChars="200"/>
        <w:rPr>
          <w:color w:val="auto"/>
          <w:kern w:val="0"/>
          <w:szCs w:val="21"/>
          <w:highlight w:val="none"/>
        </w:rPr>
      </w:pPr>
      <w:r>
        <w:rPr>
          <w:rFonts w:hint="eastAsia"/>
          <w:color w:val="auto"/>
          <w:kern w:val="0"/>
          <w:szCs w:val="21"/>
          <w:highlight w:val="none"/>
        </w:rPr>
        <w:t>（3）计划工期：</w:t>
      </w:r>
      <w:r>
        <w:rPr>
          <w:rFonts w:hint="eastAsia"/>
          <w:color w:val="auto"/>
          <w:kern w:val="0"/>
          <w:szCs w:val="21"/>
          <w:highlight w:val="none"/>
          <w:lang w:val="en-US" w:eastAsia="zh-CN"/>
        </w:rPr>
        <w:t>40</w:t>
      </w:r>
      <w:r>
        <w:rPr>
          <w:rFonts w:hint="eastAsia"/>
          <w:color w:val="auto"/>
          <w:kern w:val="0"/>
          <w:szCs w:val="21"/>
          <w:highlight w:val="none"/>
        </w:rPr>
        <w:t>日历天（计划开工日期：202</w:t>
      </w:r>
      <w:r>
        <w:rPr>
          <w:rFonts w:hint="eastAsia"/>
          <w:color w:val="auto"/>
          <w:kern w:val="0"/>
          <w:szCs w:val="21"/>
          <w:highlight w:val="none"/>
          <w:lang w:val="en-US" w:eastAsia="zh-CN"/>
        </w:rPr>
        <w:t>1</w:t>
      </w:r>
      <w:r>
        <w:rPr>
          <w:rFonts w:hint="eastAsia"/>
          <w:color w:val="auto"/>
          <w:kern w:val="0"/>
          <w:szCs w:val="21"/>
          <w:highlight w:val="none"/>
        </w:rPr>
        <w:t>年</w:t>
      </w:r>
      <w:r>
        <w:rPr>
          <w:rFonts w:hint="eastAsia"/>
          <w:color w:val="auto"/>
          <w:kern w:val="0"/>
          <w:szCs w:val="21"/>
          <w:highlight w:val="none"/>
          <w:lang w:val="en-US" w:eastAsia="zh-CN"/>
        </w:rPr>
        <w:t>10</w:t>
      </w:r>
      <w:r>
        <w:rPr>
          <w:rFonts w:hint="eastAsia"/>
          <w:color w:val="auto"/>
          <w:kern w:val="0"/>
          <w:szCs w:val="21"/>
          <w:highlight w:val="none"/>
        </w:rPr>
        <w:t>月，计划完工日期：202</w:t>
      </w:r>
      <w:r>
        <w:rPr>
          <w:rFonts w:hint="eastAsia"/>
          <w:color w:val="auto"/>
          <w:kern w:val="0"/>
          <w:szCs w:val="21"/>
          <w:highlight w:val="none"/>
          <w:lang w:val="en-US" w:eastAsia="zh-CN"/>
        </w:rPr>
        <w:t>1</w:t>
      </w:r>
      <w:r>
        <w:rPr>
          <w:rFonts w:hint="eastAsia"/>
          <w:color w:val="auto"/>
          <w:kern w:val="0"/>
          <w:szCs w:val="21"/>
          <w:highlight w:val="none"/>
        </w:rPr>
        <w:t>年</w:t>
      </w:r>
      <w:r>
        <w:rPr>
          <w:rFonts w:hint="eastAsia"/>
          <w:color w:val="auto"/>
          <w:kern w:val="0"/>
          <w:szCs w:val="21"/>
          <w:highlight w:val="none"/>
          <w:lang w:val="en-US" w:eastAsia="zh-CN"/>
        </w:rPr>
        <w:t>11</w:t>
      </w:r>
      <w:r>
        <w:rPr>
          <w:rFonts w:hint="eastAsia"/>
          <w:color w:val="auto"/>
          <w:kern w:val="0"/>
          <w:szCs w:val="21"/>
          <w:highlight w:val="none"/>
        </w:rPr>
        <w:t>月）。</w:t>
      </w:r>
    </w:p>
    <w:p>
      <w:pPr>
        <w:spacing w:line="400" w:lineRule="exact"/>
        <w:ind w:firstLine="420" w:firstLineChars="200"/>
        <w:rPr>
          <w:rFonts w:hint="eastAsia"/>
          <w:color w:val="auto"/>
          <w:kern w:val="0"/>
          <w:szCs w:val="21"/>
          <w:highlight w:val="none"/>
        </w:rPr>
      </w:pPr>
      <w:r>
        <w:rPr>
          <w:rFonts w:hint="eastAsia"/>
          <w:color w:val="auto"/>
          <w:kern w:val="0"/>
          <w:szCs w:val="21"/>
          <w:highlight w:val="none"/>
        </w:rPr>
        <w:t>（4）工程范围：包括以上广告牌的钢筋混凝土基础、钢结构、板架、走道、爬梯、广告板面及包边、挂画面钢筋、防腐等所有施工设计图包含内容的制作、安装，和按照本合同中户外广告发布要求完善施工图未标明的内容制作及施工，以及保修等内容。价格采用综合单价，每块广告牌的价格包干，包括手续办理，交通组织，土地平整、占用，青苗补偿以及保修等所有内容。</w:t>
      </w:r>
    </w:p>
    <w:p>
      <w:pPr>
        <w:widowControl/>
        <w:spacing w:line="400" w:lineRule="exact"/>
        <w:ind w:firstLine="422" w:firstLineChars="200"/>
        <w:rPr>
          <w:b/>
          <w:bCs/>
          <w:color w:val="auto"/>
          <w:szCs w:val="21"/>
          <w:highlight w:val="none"/>
        </w:rPr>
      </w:pPr>
      <w:r>
        <w:rPr>
          <w:b/>
          <w:bCs/>
          <w:color w:val="auto"/>
          <w:szCs w:val="21"/>
          <w:highlight w:val="none"/>
        </w:rPr>
        <w:t>2、支付条款：</w:t>
      </w:r>
    </w:p>
    <w:p>
      <w:pPr>
        <w:spacing w:line="400" w:lineRule="exact"/>
        <w:ind w:firstLine="420" w:firstLineChars="200"/>
        <w:rPr>
          <w:color w:val="auto"/>
          <w:kern w:val="0"/>
          <w:szCs w:val="21"/>
          <w:highlight w:val="none"/>
        </w:rPr>
      </w:pPr>
      <w:r>
        <w:rPr>
          <w:rFonts w:hint="eastAsia"/>
          <w:color w:val="auto"/>
          <w:szCs w:val="21"/>
          <w:highlight w:val="none"/>
        </w:rPr>
        <w:t>工程进度完成100%并经甲方验收合格后支付合同金额的</w:t>
      </w:r>
      <w:r>
        <w:rPr>
          <w:rFonts w:hint="eastAsia"/>
          <w:color w:val="auto"/>
          <w:szCs w:val="21"/>
          <w:highlight w:val="none"/>
          <w:lang w:val="en-US" w:eastAsia="zh-CN"/>
        </w:rPr>
        <w:t>7</w:t>
      </w:r>
      <w:r>
        <w:rPr>
          <w:rFonts w:hint="eastAsia"/>
          <w:color w:val="auto"/>
          <w:szCs w:val="21"/>
          <w:highlight w:val="none"/>
        </w:rPr>
        <w:t>0%；通过外业验收、竣工验收、提交通过审核的竣工资料后10个工作日内由业主向施工单位支付合同金额的2</w:t>
      </w:r>
      <w:r>
        <w:rPr>
          <w:rFonts w:hint="eastAsia"/>
          <w:color w:val="auto"/>
          <w:szCs w:val="21"/>
          <w:highlight w:val="none"/>
          <w:lang w:val="en-US" w:eastAsia="zh-CN"/>
        </w:rPr>
        <w:t>5</w:t>
      </w:r>
      <w:r>
        <w:rPr>
          <w:rFonts w:hint="eastAsia"/>
          <w:color w:val="auto"/>
          <w:szCs w:val="21"/>
          <w:highlight w:val="none"/>
        </w:rPr>
        <w:t>%，剩余</w:t>
      </w:r>
      <w:r>
        <w:rPr>
          <w:rFonts w:hint="eastAsia"/>
          <w:color w:val="auto"/>
          <w:szCs w:val="21"/>
          <w:highlight w:val="none"/>
          <w:lang w:val="en-US" w:eastAsia="zh-CN"/>
        </w:rPr>
        <w:t>5</w:t>
      </w:r>
      <w:r>
        <w:rPr>
          <w:rFonts w:hint="eastAsia"/>
          <w:color w:val="auto"/>
          <w:szCs w:val="21"/>
          <w:highlight w:val="none"/>
        </w:rPr>
        <w:t>%为工程质量缺陷保证金，待缺陷责任期满后10个工作日内进行支付（不计利息）。</w:t>
      </w:r>
      <w:r>
        <w:rPr>
          <w:rFonts w:hint="eastAsia"/>
          <w:color w:val="auto"/>
          <w:szCs w:val="21"/>
          <w:highlight w:val="none"/>
          <w:lang w:val="en-US" w:eastAsia="zh-CN"/>
        </w:rPr>
        <w:t>质保期为1年。</w:t>
      </w:r>
    </w:p>
    <w:p>
      <w:pPr>
        <w:spacing w:line="400" w:lineRule="exact"/>
        <w:rPr>
          <w:b/>
          <w:color w:val="auto"/>
          <w:szCs w:val="21"/>
          <w:highlight w:val="none"/>
        </w:rPr>
      </w:pPr>
      <w:r>
        <w:rPr>
          <w:b/>
          <w:color w:val="auto"/>
          <w:szCs w:val="21"/>
          <w:highlight w:val="none"/>
        </w:rPr>
        <w:t>二、</w:t>
      </w:r>
      <w:r>
        <w:rPr>
          <w:rFonts w:hint="eastAsia"/>
          <w:b/>
          <w:color w:val="auto"/>
          <w:szCs w:val="21"/>
          <w:highlight w:val="none"/>
        </w:rPr>
        <w:t>比选申请</w:t>
      </w:r>
      <w:r>
        <w:rPr>
          <w:b/>
          <w:color w:val="auto"/>
          <w:szCs w:val="21"/>
          <w:highlight w:val="none"/>
        </w:rPr>
        <w:t>要求（</w:t>
      </w:r>
      <w:r>
        <w:rPr>
          <w:rFonts w:hint="eastAsia"/>
          <w:b/>
          <w:color w:val="auto"/>
          <w:szCs w:val="21"/>
          <w:highlight w:val="none"/>
        </w:rPr>
        <w:t>须同时满足以下资格要求）：</w:t>
      </w:r>
    </w:p>
    <w:p>
      <w:pPr>
        <w:spacing w:line="400" w:lineRule="exact"/>
        <w:ind w:firstLine="420" w:firstLineChars="200"/>
        <w:rPr>
          <w:color w:val="auto"/>
          <w:szCs w:val="21"/>
          <w:highlight w:val="none"/>
        </w:rPr>
      </w:pPr>
      <w:r>
        <w:rPr>
          <w:rFonts w:hint="eastAsia"/>
          <w:color w:val="auto"/>
          <w:szCs w:val="21"/>
          <w:highlight w:val="none"/>
          <w:lang w:val="en-US" w:eastAsia="zh-CN"/>
        </w:rPr>
        <w:t>1、</w:t>
      </w:r>
      <w:r>
        <w:rPr>
          <w:rFonts w:hint="eastAsia"/>
          <w:color w:val="auto"/>
          <w:szCs w:val="21"/>
          <w:highlight w:val="none"/>
        </w:rPr>
        <w:t>资质要求：具有独立法人资格，具有有效的营业执照，并在人员、设备、资金等方面具有相应的施工能力；具备有效的安全生产许可证，具备建设行政主管部门颁发钢结构工程专业承包三级及以上资质。</w:t>
      </w:r>
    </w:p>
    <w:p>
      <w:pPr>
        <w:pStyle w:val="19"/>
        <w:rPr>
          <w:rFonts w:hint="eastAsia" w:asciiTheme="minorHAnsi" w:hAnsiTheme="minorHAnsi" w:eastAsiaTheme="minorEastAsia" w:cstheme="minorBidi"/>
          <w:b/>
          <w:bCs/>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（注：比选申请单位须提供须提供营业执照、安全生产许可证、资质证书的复印件或扫描件，并加盖比选申请单位公章。）</w:t>
      </w:r>
    </w:p>
    <w:p>
      <w:pPr>
        <w:spacing w:line="400" w:lineRule="exact"/>
        <w:ind w:firstLine="420" w:firstLineChars="200"/>
        <w:rPr>
          <w:color w:val="auto"/>
          <w:szCs w:val="21"/>
          <w:highlight w:val="none"/>
        </w:rPr>
      </w:pPr>
      <w:r>
        <w:rPr>
          <w:rFonts w:hint="eastAsia"/>
          <w:color w:val="auto"/>
          <w:szCs w:val="21"/>
          <w:highlight w:val="none"/>
          <w:lang w:val="en-US" w:eastAsia="zh-CN"/>
        </w:rPr>
        <w:t>2、</w:t>
      </w:r>
      <w:r>
        <w:rPr>
          <w:rFonts w:hint="eastAsia"/>
          <w:color w:val="auto"/>
          <w:szCs w:val="21"/>
          <w:highlight w:val="none"/>
        </w:rPr>
        <w:t>信誉要求：</w:t>
      </w:r>
    </w:p>
    <w:p>
      <w:pPr>
        <w:spacing w:line="400" w:lineRule="exact"/>
        <w:ind w:firstLine="420" w:firstLineChars="200"/>
        <w:rPr>
          <w:rFonts w:hint="eastAsia"/>
          <w:color w:val="auto"/>
          <w:szCs w:val="21"/>
          <w:highlight w:val="none"/>
        </w:rPr>
      </w:pPr>
      <w:bookmarkStart w:id="24" w:name="_Hlk36217333"/>
      <w:r>
        <w:rPr>
          <w:rFonts w:hint="eastAsia"/>
          <w:color w:val="auto"/>
          <w:szCs w:val="21"/>
          <w:highlight w:val="none"/>
        </w:rPr>
        <w:t>（1）企业存续期在半年年以上（含半年），在行业内无不良信誉记录和重大安全责任事故记录。</w:t>
      </w:r>
    </w:p>
    <w:p>
      <w:pPr>
        <w:spacing w:line="400" w:lineRule="exact"/>
        <w:ind w:firstLine="420" w:firstLineChars="200"/>
        <w:rPr>
          <w:color w:val="auto"/>
          <w:szCs w:val="21"/>
          <w:highlight w:val="none"/>
        </w:rPr>
      </w:pPr>
      <w:r>
        <w:rPr>
          <w:rFonts w:hint="eastAsia"/>
          <w:color w:val="auto"/>
          <w:szCs w:val="21"/>
          <w:highlight w:val="none"/>
        </w:rPr>
        <w:t>（2）在交通运输部和重庆市交通局发布的最新一期公路工程施工企业综合信用评价结果未被评为D级。</w:t>
      </w:r>
      <w:bookmarkEnd w:id="24"/>
    </w:p>
    <w:p>
      <w:pPr>
        <w:pStyle w:val="19"/>
        <w:rPr>
          <w:rFonts w:hint="eastAsia" w:asciiTheme="minorHAnsi" w:hAnsiTheme="minorHAnsi" w:eastAsiaTheme="minorEastAsia" w:cstheme="minorBidi"/>
          <w:b/>
          <w:bCs/>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（注：须由比选申请单位对上述信誉要求作出承诺即可，承诺书格式自拟，并加盖比选申请单位公章。）</w:t>
      </w:r>
    </w:p>
    <w:bookmarkEnd w:id="8"/>
    <w:bookmarkEnd w:id="9"/>
    <w:bookmarkEnd w:id="10"/>
    <w:bookmarkEnd w:id="11"/>
    <w:bookmarkEnd w:id="12"/>
    <w:bookmarkEnd w:id="13"/>
    <w:bookmarkEnd w:id="14"/>
    <w:bookmarkEnd w:id="15"/>
    <w:p>
      <w:pPr>
        <w:spacing w:line="400" w:lineRule="exact"/>
        <w:ind w:firstLine="420" w:firstLineChars="200"/>
        <w:rPr>
          <w:color w:val="auto"/>
          <w:szCs w:val="21"/>
          <w:highlight w:val="none"/>
        </w:rPr>
      </w:pPr>
      <w:bookmarkStart w:id="25" w:name="_Toc179632539"/>
      <w:bookmarkStart w:id="26" w:name="_Toc246996912"/>
      <w:bookmarkStart w:id="27" w:name="_Toc296602413"/>
      <w:bookmarkStart w:id="28" w:name="_Toc144974490"/>
      <w:bookmarkStart w:id="29" w:name="_Toc152042298"/>
      <w:bookmarkStart w:id="30" w:name="_Toc152045522"/>
      <w:bookmarkStart w:id="31" w:name="_Toc246996169"/>
      <w:bookmarkStart w:id="32" w:name="_Toc247085683"/>
      <w:r>
        <w:rPr>
          <w:rFonts w:hint="eastAsia"/>
          <w:color w:val="auto"/>
          <w:szCs w:val="21"/>
          <w:highlight w:val="none"/>
          <w:lang w:val="en-US" w:eastAsia="zh-CN"/>
        </w:rPr>
        <w:t>3、</w:t>
      </w:r>
      <w:r>
        <w:rPr>
          <w:rFonts w:hint="eastAsia"/>
          <w:color w:val="auto"/>
          <w:szCs w:val="21"/>
          <w:highlight w:val="none"/>
        </w:rPr>
        <w:t>投入本项目主要管理人员要求：项目经理不低于1名，技术负责人不低于1名。</w:t>
      </w:r>
    </w:p>
    <w:p>
      <w:pPr>
        <w:pStyle w:val="19"/>
        <w:rPr>
          <w:rFonts w:hint="eastAsia" w:asciiTheme="minorHAnsi" w:hAnsiTheme="minorHAnsi" w:eastAsiaTheme="minorEastAsia" w:cstheme="minorBidi"/>
          <w:b/>
          <w:bCs/>
          <w:color w:val="auto"/>
          <w:kern w:val="2"/>
          <w:sz w:val="21"/>
          <w:szCs w:val="21"/>
          <w:highlight w:val="none"/>
        </w:rPr>
      </w:pPr>
      <w:r>
        <w:rPr>
          <w:rFonts w:hint="eastAsia" w:asciiTheme="minorHAnsi" w:hAnsiTheme="minorHAnsi" w:eastAsiaTheme="minorEastAsia" w:cstheme="minorBidi"/>
          <w:b/>
          <w:bCs/>
          <w:color w:val="auto"/>
          <w:kern w:val="2"/>
          <w:sz w:val="21"/>
          <w:szCs w:val="21"/>
          <w:highlight w:val="none"/>
        </w:rPr>
        <w:t>（注：须由比选申请单位对上述人员要求作出承诺即可，承诺书格式自拟，并加盖比选申请单位公章。）</w:t>
      </w:r>
    </w:p>
    <w:p>
      <w:pPr>
        <w:rPr>
          <w:rFonts w:hint="eastAsia"/>
          <w:color w:val="auto"/>
          <w:highlight w:val="none"/>
        </w:rPr>
      </w:pPr>
    </w:p>
    <w:p>
      <w:pPr>
        <w:spacing w:line="400" w:lineRule="exact"/>
        <w:rPr>
          <w:b/>
          <w:color w:val="auto"/>
          <w:szCs w:val="21"/>
          <w:highlight w:val="none"/>
        </w:rPr>
      </w:pPr>
      <w:r>
        <w:rPr>
          <w:b/>
          <w:color w:val="auto"/>
          <w:szCs w:val="21"/>
          <w:highlight w:val="none"/>
        </w:rPr>
        <w:t>三、竞争性比选申请文件的相关要求：</w:t>
      </w:r>
    </w:p>
    <w:bookmarkEnd w:id="25"/>
    <w:bookmarkEnd w:id="26"/>
    <w:bookmarkEnd w:id="27"/>
    <w:bookmarkEnd w:id="28"/>
    <w:bookmarkEnd w:id="29"/>
    <w:bookmarkEnd w:id="30"/>
    <w:bookmarkEnd w:id="31"/>
    <w:bookmarkEnd w:id="32"/>
    <w:p>
      <w:pPr>
        <w:spacing w:line="400" w:lineRule="exact"/>
        <w:ind w:firstLine="420" w:firstLineChars="200"/>
        <w:outlineLvl w:val="0"/>
        <w:rPr>
          <w:color w:val="auto"/>
          <w:szCs w:val="21"/>
          <w:highlight w:val="none"/>
        </w:rPr>
      </w:pPr>
      <w:r>
        <w:rPr>
          <w:rFonts w:hint="eastAsia"/>
          <w:color w:val="auto"/>
          <w:szCs w:val="21"/>
          <w:highlight w:val="none"/>
        </w:rPr>
        <w:t>1、</w:t>
      </w:r>
      <w:r>
        <w:rPr>
          <w:color w:val="auto"/>
          <w:szCs w:val="21"/>
          <w:highlight w:val="none"/>
        </w:rPr>
        <w:t>报价说明</w:t>
      </w:r>
    </w:p>
    <w:p>
      <w:pPr>
        <w:spacing w:line="400" w:lineRule="exact"/>
        <w:ind w:firstLine="420" w:firstLineChars="200"/>
        <w:outlineLvl w:val="0"/>
        <w:rPr>
          <w:color w:val="auto"/>
          <w:szCs w:val="21"/>
          <w:highlight w:val="none"/>
        </w:rPr>
      </w:pPr>
      <w:r>
        <w:rPr>
          <w:rFonts w:hint="eastAsia"/>
          <w:color w:val="auto"/>
          <w:szCs w:val="21"/>
          <w:highlight w:val="none"/>
        </w:rPr>
        <w:t>（1）报价书按规定格式填写，</w:t>
      </w:r>
      <w:r>
        <w:rPr>
          <w:color w:val="auto"/>
          <w:szCs w:val="21"/>
          <w:highlight w:val="none"/>
        </w:rPr>
        <w:t>需盖单位鲜章。</w:t>
      </w:r>
    </w:p>
    <w:p>
      <w:pPr>
        <w:spacing w:line="400" w:lineRule="exact"/>
        <w:ind w:firstLine="420" w:firstLineChars="200"/>
        <w:outlineLvl w:val="0"/>
        <w:rPr>
          <w:color w:val="auto"/>
          <w:szCs w:val="21"/>
          <w:highlight w:val="none"/>
        </w:rPr>
      </w:pPr>
      <w:r>
        <w:rPr>
          <w:rFonts w:hint="eastAsia"/>
          <w:color w:val="auto"/>
          <w:szCs w:val="21"/>
          <w:highlight w:val="none"/>
        </w:rPr>
        <w:t>（2）</w:t>
      </w:r>
      <w:r>
        <w:rPr>
          <w:color w:val="auto"/>
          <w:szCs w:val="21"/>
          <w:highlight w:val="none"/>
        </w:rPr>
        <w:t>如所有单位的报价经比选人组织的评</w:t>
      </w:r>
      <w:r>
        <w:rPr>
          <w:rFonts w:hint="eastAsia"/>
          <w:color w:val="auto"/>
          <w:szCs w:val="21"/>
          <w:highlight w:val="none"/>
        </w:rPr>
        <w:t>价</w:t>
      </w:r>
      <w:r>
        <w:rPr>
          <w:color w:val="auto"/>
          <w:szCs w:val="21"/>
          <w:highlight w:val="none"/>
        </w:rPr>
        <w:t>小组评审认定为明显高于市场价时，比选人有权拒绝所有单位报价，可重新组织</w:t>
      </w:r>
      <w:r>
        <w:rPr>
          <w:rFonts w:hint="eastAsia"/>
          <w:color w:val="auto"/>
          <w:szCs w:val="21"/>
          <w:highlight w:val="none"/>
        </w:rPr>
        <w:t>竞争性比选</w:t>
      </w:r>
      <w:r>
        <w:rPr>
          <w:color w:val="auto"/>
          <w:szCs w:val="21"/>
          <w:highlight w:val="none"/>
        </w:rPr>
        <w:t>。</w:t>
      </w:r>
    </w:p>
    <w:p>
      <w:pPr>
        <w:spacing w:line="400" w:lineRule="exact"/>
        <w:ind w:firstLine="420" w:firstLineChars="200"/>
        <w:outlineLvl w:val="0"/>
        <w:rPr>
          <w:color w:val="auto"/>
          <w:szCs w:val="21"/>
          <w:highlight w:val="none"/>
        </w:rPr>
      </w:pPr>
      <w:r>
        <w:rPr>
          <w:rFonts w:hint="eastAsia"/>
          <w:color w:val="auto"/>
          <w:szCs w:val="21"/>
          <w:highlight w:val="none"/>
        </w:rPr>
        <w:t>（3）本项目竞争最高总限价为：</w:t>
      </w:r>
      <w:r>
        <w:rPr>
          <w:rFonts w:hint="eastAsia" w:ascii="宋体" w:hAnsi="宋体" w:cs="宋体"/>
          <w:color w:val="auto"/>
          <w:kern w:val="0"/>
          <w:sz w:val="22"/>
          <w:szCs w:val="22"/>
          <w:highlight w:val="none"/>
          <w:lang w:val="en-US" w:eastAsia="zh-CN"/>
        </w:rPr>
        <w:t>909566</w:t>
      </w:r>
      <w:r>
        <w:rPr>
          <w:rFonts w:hint="eastAsia"/>
          <w:color w:val="auto"/>
          <w:szCs w:val="21"/>
          <w:highlight w:val="none"/>
        </w:rPr>
        <w:t>元（大写：</w:t>
      </w:r>
      <w:r>
        <w:rPr>
          <w:rFonts w:hint="eastAsia"/>
          <w:color w:val="auto"/>
          <w:szCs w:val="21"/>
          <w:highlight w:val="none"/>
          <w:lang w:val="en-US" w:eastAsia="zh-CN"/>
        </w:rPr>
        <w:t>玖拾万玖仟伍佰陆拾捌元整</w:t>
      </w:r>
      <w:r>
        <w:rPr>
          <w:rFonts w:hint="eastAsia"/>
          <w:color w:val="auto"/>
          <w:szCs w:val="21"/>
          <w:highlight w:val="none"/>
        </w:rPr>
        <w:t>）</w:t>
      </w:r>
      <w:r>
        <w:rPr>
          <w:rFonts w:hint="eastAsia"/>
          <w:color w:val="auto"/>
          <w:szCs w:val="21"/>
          <w:highlight w:val="none"/>
        </w:rPr>
        <w:t>，</w:t>
      </w:r>
      <w:r>
        <w:rPr>
          <w:rFonts w:hint="eastAsia"/>
          <w:color w:val="auto"/>
          <w:szCs w:val="21"/>
          <w:highlight w:val="none"/>
          <w:lang w:val="en-US" w:eastAsia="zh-CN"/>
        </w:rPr>
        <w:t>其中三面体上限价370525元，两面体上限价305325元，两面体上部结构上限价233716元。</w:t>
      </w:r>
      <w:r>
        <w:rPr>
          <w:rFonts w:hint="eastAsia"/>
          <w:color w:val="auto"/>
          <w:szCs w:val="21"/>
          <w:highlight w:val="none"/>
        </w:rPr>
        <w:t>比选申请人的竞标总报价及单价报价均不得</w:t>
      </w:r>
      <w:r>
        <w:rPr>
          <w:color w:val="auto"/>
          <w:szCs w:val="21"/>
          <w:highlight w:val="none"/>
        </w:rPr>
        <w:t>超过</w:t>
      </w:r>
      <w:r>
        <w:rPr>
          <w:rFonts w:hint="eastAsia"/>
          <w:color w:val="auto"/>
          <w:szCs w:val="21"/>
          <w:highlight w:val="none"/>
        </w:rPr>
        <w:t>竞标</w:t>
      </w:r>
      <w:r>
        <w:rPr>
          <w:color w:val="auto"/>
          <w:szCs w:val="21"/>
          <w:highlight w:val="none"/>
        </w:rPr>
        <w:t>总</w:t>
      </w:r>
      <w:r>
        <w:rPr>
          <w:rFonts w:hint="eastAsia"/>
          <w:color w:val="auto"/>
          <w:szCs w:val="21"/>
          <w:highlight w:val="none"/>
        </w:rPr>
        <w:t>限</w:t>
      </w:r>
      <w:r>
        <w:rPr>
          <w:color w:val="auto"/>
          <w:szCs w:val="21"/>
          <w:highlight w:val="none"/>
        </w:rPr>
        <w:t>价及</w:t>
      </w:r>
      <w:r>
        <w:rPr>
          <w:rFonts w:hint="eastAsia"/>
          <w:color w:val="auto"/>
          <w:szCs w:val="21"/>
          <w:highlight w:val="none"/>
        </w:rPr>
        <w:t>单价</w:t>
      </w:r>
      <w:r>
        <w:rPr>
          <w:color w:val="auto"/>
          <w:szCs w:val="21"/>
          <w:highlight w:val="none"/>
        </w:rPr>
        <w:t>限价（</w:t>
      </w:r>
      <w:r>
        <w:rPr>
          <w:rFonts w:hint="eastAsia"/>
          <w:color w:val="auto"/>
          <w:szCs w:val="21"/>
          <w:highlight w:val="none"/>
        </w:rPr>
        <w:t>单价限价详见比选格式中“一、报价书”）</w:t>
      </w:r>
      <w:r>
        <w:rPr>
          <w:color w:val="auto"/>
          <w:szCs w:val="21"/>
          <w:highlight w:val="none"/>
        </w:rPr>
        <w:t>，</w:t>
      </w:r>
      <w:r>
        <w:rPr>
          <w:rFonts w:hint="eastAsia"/>
          <w:color w:val="auto"/>
          <w:szCs w:val="21"/>
          <w:highlight w:val="none"/>
        </w:rPr>
        <w:t>否则将视</w:t>
      </w:r>
      <w:r>
        <w:rPr>
          <w:color w:val="auto"/>
          <w:szCs w:val="21"/>
          <w:highlight w:val="none"/>
        </w:rPr>
        <w:t>为无效</w:t>
      </w:r>
      <w:r>
        <w:rPr>
          <w:rFonts w:hint="eastAsia"/>
          <w:color w:val="auto"/>
          <w:szCs w:val="21"/>
          <w:highlight w:val="none"/>
        </w:rPr>
        <w:t>竞标</w:t>
      </w:r>
      <w:r>
        <w:rPr>
          <w:color w:val="auto"/>
          <w:szCs w:val="21"/>
          <w:highlight w:val="none"/>
        </w:rPr>
        <w:t>。</w:t>
      </w:r>
    </w:p>
    <w:p>
      <w:pPr>
        <w:spacing w:line="400" w:lineRule="exact"/>
        <w:ind w:firstLine="420" w:firstLineChars="200"/>
        <w:rPr>
          <w:color w:val="auto"/>
          <w:szCs w:val="21"/>
          <w:highlight w:val="none"/>
        </w:rPr>
      </w:pPr>
      <w:r>
        <w:rPr>
          <w:rFonts w:hint="eastAsia"/>
          <w:color w:val="auto"/>
          <w:szCs w:val="21"/>
          <w:highlight w:val="none"/>
        </w:rPr>
        <w:t>2、</w:t>
      </w:r>
      <w:r>
        <w:rPr>
          <w:color w:val="auto"/>
          <w:szCs w:val="21"/>
          <w:highlight w:val="none"/>
        </w:rPr>
        <w:t>本次竞争性比选申请文件的组成：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33" w:name="_Hlk36216534"/>
      <w:r>
        <w:rPr>
          <w:rFonts w:hint="eastAsia"/>
          <w:color w:val="auto"/>
          <w:szCs w:val="21"/>
          <w:highlight w:val="none"/>
        </w:rPr>
        <w:t>比选申请</w:t>
      </w:r>
      <w:r>
        <w:rPr>
          <w:color w:val="auto"/>
          <w:szCs w:val="21"/>
          <w:highlight w:val="none"/>
        </w:rPr>
        <w:t>单位有效的营业执照</w:t>
      </w:r>
      <w:r>
        <w:rPr>
          <w:rFonts w:hint="eastAsia"/>
          <w:color w:val="auto"/>
          <w:szCs w:val="21"/>
          <w:highlight w:val="none"/>
        </w:rPr>
        <w:t>资料</w:t>
      </w:r>
      <w:bookmarkEnd w:id="33"/>
      <w:r>
        <w:rPr>
          <w:color w:val="auto"/>
          <w:szCs w:val="21"/>
          <w:highlight w:val="none"/>
        </w:rPr>
        <w:t>；</w:t>
      </w:r>
    </w:p>
    <w:p>
      <w:pPr>
        <w:spacing w:line="400" w:lineRule="exact"/>
        <w:ind w:firstLine="735" w:firstLineChars="350"/>
        <w:rPr>
          <w:color w:val="auto"/>
          <w:szCs w:val="21"/>
          <w:highlight w:val="none"/>
        </w:rPr>
      </w:pPr>
      <w:r>
        <w:rPr>
          <w:rFonts w:hint="eastAsia"/>
          <w:color w:val="auto"/>
          <w:szCs w:val="21"/>
          <w:highlight w:val="none"/>
        </w:rPr>
        <w:t>④</w:t>
      </w:r>
      <w:bookmarkStart w:id="34" w:name="_Hlk36214680"/>
      <w:bookmarkStart w:id="35" w:name="_Hlk36216541"/>
      <w:r>
        <w:rPr>
          <w:rFonts w:hint="eastAsia"/>
          <w:color w:val="auto"/>
          <w:szCs w:val="21"/>
          <w:highlight w:val="none"/>
        </w:rPr>
        <w:t>比选申请</w:t>
      </w:r>
      <w:r>
        <w:rPr>
          <w:color w:val="auto"/>
          <w:szCs w:val="21"/>
          <w:highlight w:val="none"/>
        </w:rPr>
        <w:t>单位有效的</w:t>
      </w:r>
      <w:r>
        <w:rPr>
          <w:rFonts w:hint="eastAsia"/>
          <w:color w:val="auto"/>
          <w:szCs w:val="21"/>
          <w:highlight w:val="none"/>
        </w:rPr>
        <w:t>安全生产许可证、资质证书</w:t>
      </w:r>
      <w:bookmarkEnd w:id="34"/>
      <w:r>
        <w:rPr>
          <w:rFonts w:hint="eastAsia"/>
          <w:color w:val="auto"/>
          <w:szCs w:val="21"/>
          <w:highlight w:val="none"/>
        </w:rPr>
        <w:t>资料</w:t>
      </w:r>
      <w:bookmarkEnd w:id="35"/>
      <w:r>
        <w:rPr>
          <w:color w:val="auto"/>
          <w:szCs w:val="21"/>
          <w:highlight w:val="none"/>
        </w:rPr>
        <w:t>；</w:t>
      </w:r>
    </w:p>
    <w:p>
      <w:pPr>
        <w:spacing w:line="400" w:lineRule="exact"/>
        <w:ind w:firstLine="735" w:firstLineChars="350"/>
        <w:rPr>
          <w:rFonts w:hint="eastAsia"/>
          <w:color w:val="auto"/>
          <w:szCs w:val="21"/>
          <w:highlight w:val="none"/>
        </w:rPr>
      </w:pPr>
      <w:r>
        <w:rPr>
          <w:rFonts w:hint="eastAsia"/>
          <w:color w:val="auto"/>
          <w:szCs w:val="21"/>
          <w:highlight w:val="none"/>
        </w:rPr>
        <w:t>⑤</w:t>
      </w:r>
      <w:bookmarkStart w:id="36" w:name="_Hlk36216547"/>
      <w:r>
        <w:rPr>
          <w:rFonts w:hint="eastAsia"/>
          <w:color w:val="auto"/>
          <w:szCs w:val="21"/>
          <w:highlight w:val="none"/>
        </w:rPr>
        <w:t>比选申请单位的业绩证明资料</w:t>
      </w:r>
      <w:bookmarkEnd w:id="36"/>
      <w:r>
        <w:rPr>
          <w:rFonts w:hint="eastAsia"/>
          <w:color w:val="auto"/>
          <w:szCs w:val="21"/>
          <w:highlight w:val="none"/>
        </w:rPr>
        <w:t>；</w:t>
      </w:r>
      <w:r>
        <w:rPr>
          <w:rFonts w:hint="eastAsia"/>
          <w:color w:val="auto"/>
          <w:szCs w:val="21"/>
          <w:highlight w:val="none"/>
          <w:lang w:eastAsia="zh-CN"/>
        </w:rPr>
        <w:t>（</w:t>
      </w:r>
      <w:r>
        <w:rPr>
          <w:rFonts w:hint="eastAsia"/>
          <w:color w:val="auto"/>
          <w:szCs w:val="21"/>
          <w:highlight w:val="none"/>
          <w:lang w:val="en-US" w:eastAsia="zh-CN"/>
        </w:rPr>
        <w:t>若有</w:t>
      </w:r>
      <w:r>
        <w:rPr>
          <w:rFonts w:hint="eastAsia"/>
          <w:color w:val="auto"/>
          <w:szCs w:val="21"/>
          <w:highlight w:val="none"/>
          <w:lang w:eastAsia="zh-CN"/>
        </w:rPr>
        <w:t>）</w:t>
      </w:r>
    </w:p>
    <w:p>
      <w:pPr>
        <w:spacing w:line="400" w:lineRule="exact"/>
        <w:ind w:firstLine="735" w:firstLineChars="350"/>
        <w:rPr>
          <w:color w:val="auto"/>
          <w:szCs w:val="21"/>
          <w:highlight w:val="none"/>
        </w:rPr>
      </w:pPr>
      <w:r>
        <w:rPr>
          <w:rFonts w:hint="eastAsia"/>
          <w:color w:val="auto"/>
          <w:szCs w:val="21"/>
          <w:highlight w:val="none"/>
        </w:rPr>
        <w:t>⑥</w:t>
      </w:r>
      <w:bookmarkStart w:id="37" w:name="_Hlk36216554"/>
      <w:r>
        <w:rPr>
          <w:rFonts w:hint="eastAsia"/>
          <w:color w:val="auto"/>
          <w:szCs w:val="21"/>
          <w:highlight w:val="none"/>
        </w:rPr>
        <w:t>比选申请单位的信誉承诺书</w:t>
      </w:r>
      <w:bookmarkEnd w:id="37"/>
      <w:r>
        <w:rPr>
          <w:rFonts w:hint="eastAsia"/>
          <w:color w:val="auto"/>
          <w:szCs w:val="21"/>
          <w:highlight w:val="none"/>
        </w:rPr>
        <w:t>；</w:t>
      </w:r>
    </w:p>
    <w:p>
      <w:pPr>
        <w:spacing w:line="400" w:lineRule="exact"/>
        <w:ind w:firstLine="735" w:firstLineChars="350"/>
        <w:rPr>
          <w:color w:val="auto"/>
          <w:szCs w:val="21"/>
          <w:highlight w:val="none"/>
        </w:rPr>
      </w:pPr>
      <w:r>
        <w:rPr>
          <w:rFonts w:hint="eastAsia"/>
          <w:color w:val="auto"/>
          <w:szCs w:val="21"/>
          <w:highlight w:val="none"/>
        </w:rPr>
        <w:t>⑦比选申请单位的投入本项目主要管理人员承诺书；</w:t>
      </w:r>
      <w:r>
        <w:rPr>
          <w:color w:val="auto"/>
          <w:szCs w:val="21"/>
          <w:highlight w:val="none"/>
        </w:rPr>
        <w:t xml:space="preserve"> </w:t>
      </w:r>
    </w:p>
    <w:p>
      <w:pPr>
        <w:spacing w:line="400" w:lineRule="exact"/>
        <w:ind w:firstLine="735" w:firstLineChars="350"/>
        <w:rPr>
          <w:color w:val="auto"/>
          <w:szCs w:val="21"/>
          <w:highlight w:val="none"/>
        </w:rPr>
      </w:pPr>
      <w:r>
        <w:rPr>
          <w:rFonts w:hint="eastAsia"/>
          <w:color w:val="auto"/>
          <w:szCs w:val="21"/>
          <w:highlight w:val="none"/>
        </w:rPr>
        <w:t>⑧</w:t>
      </w:r>
      <w:r>
        <w:rPr>
          <w:color w:val="auto"/>
          <w:szCs w:val="21"/>
          <w:highlight w:val="none"/>
        </w:rPr>
        <w:t>技术部分；</w:t>
      </w:r>
    </w:p>
    <w:p>
      <w:pPr>
        <w:spacing w:line="400" w:lineRule="exact"/>
        <w:ind w:firstLine="735" w:firstLineChars="350"/>
        <w:rPr>
          <w:color w:val="auto"/>
          <w:szCs w:val="21"/>
          <w:highlight w:val="none"/>
        </w:rPr>
      </w:pPr>
      <w:r>
        <w:rPr>
          <w:rFonts w:hint="eastAsia"/>
          <w:color w:val="auto"/>
          <w:szCs w:val="21"/>
          <w:highlight w:val="none"/>
        </w:rPr>
        <w:t>⑨其他相关资料。</w:t>
      </w:r>
    </w:p>
    <w:p>
      <w:pPr>
        <w:spacing w:line="400" w:lineRule="exact"/>
        <w:ind w:firstLine="420" w:firstLineChars="200"/>
        <w:rPr>
          <w:color w:val="auto"/>
          <w:szCs w:val="21"/>
          <w:highlight w:val="none"/>
        </w:rPr>
      </w:pPr>
      <w:r>
        <w:rPr>
          <w:rFonts w:hint="eastAsia"/>
          <w:color w:val="auto"/>
          <w:szCs w:val="21"/>
          <w:highlight w:val="none"/>
        </w:rPr>
        <w:t>3、</w:t>
      </w:r>
      <w:r>
        <w:rPr>
          <w:color w:val="auto"/>
          <w:szCs w:val="21"/>
          <w:highlight w:val="none"/>
        </w:rPr>
        <w:t>竞争性比选申请文件的份数及编制要求</w:t>
      </w:r>
    </w:p>
    <w:p>
      <w:pPr>
        <w:autoSpaceDE w:val="0"/>
        <w:autoSpaceDN w:val="0"/>
        <w:spacing w:line="400" w:lineRule="exact"/>
        <w:ind w:firstLine="420" w:firstLineChars="200"/>
        <w:jc w:val="left"/>
        <w:rPr>
          <w:color w:val="auto"/>
          <w:szCs w:val="21"/>
          <w:highlight w:val="none"/>
        </w:rPr>
      </w:pPr>
      <w:r>
        <w:rPr>
          <w:color w:val="auto"/>
          <w:szCs w:val="21"/>
          <w:highlight w:val="none"/>
        </w:rPr>
        <w:t>竞争性比选申请文件正本1份，副本1份，竞争性比选申请文件按竞争性比选文件中规定格式排版，并应编制目录，逐页标注页码。</w:t>
      </w:r>
    </w:p>
    <w:p>
      <w:pPr>
        <w:spacing w:line="400" w:lineRule="exact"/>
        <w:rPr>
          <w:b/>
          <w:color w:val="auto"/>
          <w:szCs w:val="21"/>
          <w:highlight w:val="none"/>
        </w:rPr>
      </w:pPr>
      <w:r>
        <w:rPr>
          <w:b/>
          <w:color w:val="auto"/>
          <w:szCs w:val="21"/>
          <w:highlight w:val="none"/>
        </w:rPr>
        <w:t>四、评标办法（本项目采用综合评估法）：</w:t>
      </w:r>
    </w:p>
    <w:tbl>
      <w:tblPr>
        <w:tblStyle w:val="17"/>
        <w:tblW w:w="917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2"/>
        <w:gridCol w:w="1134"/>
        <w:gridCol w:w="1276"/>
        <w:gridCol w:w="311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89" w:type="dxa"/>
            <w:gridSpan w:val="3"/>
            <w:vAlign w:val="center"/>
          </w:tcPr>
          <w:p>
            <w:pPr>
              <w:jc w:val="center"/>
              <w:rPr>
                <w:rFonts w:ascii="宋体" w:hAnsi="宋体" w:cs="宋体"/>
                <w:b/>
                <w:color w:val="auto"/>
                <w:kern w:val="0"/>
                <w:highlight w:val="none"/>
              </w:rPr>
            </w:pPr>
            <w:r>
              <w:rPr>
                <w:rFonts w:hint="eastAsia" w:ascii="宋体" w:hAnsi="宋体" w:cs="宋体"/>
                <w:b/>
                <w:color w:val="auto"/>
                <w:kern w:val="0"/>
                <w:highlight w:val="none"/>
              </w:rPr>
              <w:t>条款号</w:t>
            </w:r>
          </w:p>
        </w:tc>
        <w:tc>
          <w:tcPr>
            <w:tcW w:w="1276" w:type="dxa"/>
            <w:vAlign w:val="center"/>
          </w:tcPr>
          <w:p>
            <w:pPr>
              <w:jc w:val="center"/>
              <w:rPr>
                <w:rFonts w:ascii="宋体" w:hAnsi="宋体" w:cs="宋体"/>
                <w:b/>
                <w:color w:val="auto"/>
                <w:kern w:val="0"/>
                <w:highlight w:val="none"/>
              </w:rPr>
            </w:pPr>
            <w:r>
              <w:rPr>
                <w:rFonts w:hint="eastAsia" w:ascii="宋体" w:hAnsi="宋体" w:cs="宋体"/>
                <w:b/>
                <w:color w:val="auto"/>
                <w:kern w:val="0"/>
                <w:highlight w:val="none"/>
              </w:rPr>
              <w:t>评审因素</w:t>
            </w:r>
          </w:p>
        </w:tc>
        <w:tc>
          <w:tcPr>
            <w:tcW w:w="5812" w:type="dxa"/>
            <w:gridSpan w:val="2"/>
            <w:vAlign w:val="center"/>
          </w:tcPr>
          <w:p>
            <w:pPr>
              <w:jc w:val="center"/>
              <w:rPr>
                <w:rFonts w:ascii="宋体" w:hAnsi="宋体" w:cs="宋体"/>
                <w:b/>
                <w:color w:val="auto"/>
                <w:kern w:val="0"/>
                <w:highlight w:val="none"/>
              </w:rPr>
            </w:pPr>
            <w:r>
              <w:rPr>
                <w:rFonts w:hint="eastAsia" w:ascii="宋体" w:hAnsi="宋体" w:cs="宋体"/>
                <w:b/>
                <w:color w:val="auto"/>
                <w:kern w:val="0"/>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3" w:type="dxa"/>
            <w:vMerge w:val="restart"/>
            <w:vAlign w:val="center"/>
          </w:tcPr>
          <w:p>
            <w:pPr>
              <w:rPr>
                <w:rFonts w:ascii="宋体" w:hAnsi="宋体"/>
                <w:color w:val="auto"/>
                <w:kern w:val="0"/>
                <w:highlight w:val="none"/>
              </w:rPr>
            </w:pPr>
            <w:r>
              <w:rPr>
                <w:rFonts w:hint="eastAsia" w:ascii="宋体" w:hAnsi="宋体" w:cs="宋体"/>
                <w:color w:val="auto"/>
                <w:kern w:val="0"/>
                <w:highlight w:val="none"/>
              </w:rPr>
              <w:t>2.1.1</w:t>
            </w:r>
          </w:p>
        </w:tc>
        <w:tc>
          <w:tcPr>
            <w:tcW w:w="1276" w:type="dxa"/>
            <w:gridSpan w:val="2"/>
            <w:vMerge w:val="restart"/>
            <w:vAlign w:val="center"/>
          </w:tcPr>
          <w:p>
            <w:pPr>
              <w:jc w:val="center"/>
              <w:rPr>
                <w:rFonts w:ascii="宋体" w:hAnsi="宋体"/>
                <w:color w:val="auto"/>
                <w:kern w:val="0"/>
                <w:highlight w:val="none"/>
              </w:rPr>
            </w:pPr>
            <w:r>
              <w:rPr>
                <w:rFonts w:hint="eastAsia" w:ascii="宋体" w:hAnsi="宋体" w:cs="宋体"/>
                <w:color w:val="auto"/>
                <w:kern w:val="0"/>
                <w:highlight w:val="none"/>
              </w:rPr>
              <w:t>形式评审标准</w:t>
            </w:r>
          </w:p>
        </w:tc>
        <w:tc>
          <w:tcPr>
            <w:tcW w:w="1276" w:type="dxa"/>
            <w:vAlign w:val="center"/>
          </w:tcPr>
          <w:p>
            <w:pPr>
              <w:jc w:val="center"/>
              <w:rPr>
                <w:rFonts w:ascii="宋体" w:hAnsi="宋体" w:cs="宋体"/>
                <w:color w:val="auto"/>
                <w:kern w:val="0"/>
                <w:highlight w:val="none"/>
              </w:rPr>
            </w:pPr>
            <w:r>
              <w:rPr>
                <w:rFonts w:hint="eastAsia" w:ascii="宋体" w:hAnsi="宋体" w:cs="宋体"/>
                <w:color w:val="auto"/>
                <w:kern w:val="0"/>
                <w:highlight w:val="none"/>
              </w:rPr>
              <w:t>比选申请人名称</w:t>
            </w:r>
          </w:p>
        </w:tc>
        <w:tc>
          <w:tcPr>
            <w:tcW w:w="5812" w:type="dxa"/>
            <w:gridSpan w:val="2"/>
            <w:vAlign w:val="center"/>
          </w:tcPr>
          <w:p>
            <w:pPr>
              <w:snapToGrid w:val="0"/>
              <w:jc w:val="left"/>
              <w:rPr>
                <w:rFonts w:ascii="宋体" w:hAnsi="宋体" w:cs="宋体"/>
                <w:color w:val="auto"/>
                <w:kern w:val="0"/>
                <w:highlight w:val="none"/>
              </w:rPr>
            </w:pPr>
            <w:r>
              <w:rPr>
                <w:rFonts w:hint="eastAsia" w:ascii="宋体" w:hAnsi="宋体" w:cs="宋体"/>
                <w:color w:val="auto"/>
                <w:kern w:val="0"/>
                <w:highlight w:val="none"/>
              </w:rPr>
              <w:t>与营业执照、</w:t>
            </w:r>
            <w:r>
              <w:rPr>
                <w:rFonts w:hint="eastAsia"/>
                <w:color w:val="auto"/>
                <w:szCs w:val="21"/>
                <w:highlight w:val="none"/>
              </w:rPr>
              <w:t>安全生产许可证、</w:t>
            </w:r>
            <w:r>
              <w:rPr>
                <w:rFonts w:hint="eastAsia" w:ascii="宋体" w:hAnsi="宋体" w:cs="宋体"/>
                <w:color w:val="auto"/>
                <w:kern w:val="0"/>
                <w:highlight w:val="none"/>
              </w:rPr>
              <w:t>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3" w:type="dxa"/>
            <w:vMerge w:val="continue"/>
          </w:tcPr>
          <w:p>
            <w:pPr>
              <w:rPr>
                <w:rFonts w:ascii="宋体" w:hAnsi="宋体"/>
                <w:color w:val="auto"/>
                <w:highlight w:val="none"/>
              </w:rPr>
            </w:pPr>
          </w:p>
        </w:tc>
        <w:tc>
          <w:tcPr>
            <w:tcW w:w="1276" w:type="dxa"/>
            <w:gridSpan w:val="2"/>
            <w:vMerge w:val="continue"/>
          </w:tcPr>
          <w:p>
            <w:pPr>
              <w:rPr>
                <w:rFonts w:ascii="宋体" w:hAnsi="宋体"/>
                <w:color w:val="auto"/>
                <w:highlight w:val="none"/>
              </w:rPr>
            </w:pPr>
          </w:p>
        </w:tc>
        <w:tc>
          <w:tcPr>
            <w:tcW w:w="1276" w:type="dxa"/>
            <w:vAlign w:val="center"/>
          </w:tcPr>
          <w:p>
            <w:pPr>
              <w:jc w:val="center"/>
              <w:rPr>
                <w:rFonts w:ascii="宋体" w:hAnsi="宋体" w:cs="宋体"/>
                <w:color w:val="auto"/>
                <w:kern w:val="0"/>
                <w:highlight w:val="none"/>
              </w:rPr>
            </w:pPr>
            <w:r>
              <w:rPr>
                <w:rFonts w:hint="eastAsia" w:ascii="宋体" w:hAnsi="宋体" w:cs="宋体"/>
                <w:color w:val="auto"/>
                <w:kern w:val="0"/>
                <w:highlight w:val="none"/>
              </w:rPr>
              <w:t>比选申请文件签字盖章</w:t>
            </w:r>
          </w:p>
        </w:tc>
        <w:tc>
          <w:tcPr>
            <w:tcW w:w="5812" w:type="dxa"/>
            <w:gridSpan w:val="2"/>
            <w:vAlign w:val="center"/>
          </w:tcPr>
          <w:p>
            <w:pPr>
              <w:snapToGrid w:val="0"/>
              <w:jc w:val="left"/>
              <w:rPr>
                <w:rFonts w:ascii="宋体" w:hAnsi="宋体" w:cs="宋体"/>
                <w:color w:val="auto"/>
                <w:kern w:val="0"/>
                <w:highlight w:val="none"/>
              </w:rPr>
            </w:pPr>
            <w:r>
              <w:rPr>
                <w:rFonts w:hint="eastAsia" w:ascii="宋体" w:hAnsi="宋体" w:cs="宋体"/>
                <w:color w:val="auto"/>
                <w:kern w:val="0"/>
                <w:highlight w:val="none"/>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3" w:type="dxa"/>
            <w:vMerge w:val="continue"/>
          </w:tcPr>
          <w:p>
            <w:pPr>
              <w:rPr>
                <w:rFonts w:ascii="宋体" w:hAnsi="宋体"/>
                <w:color w:val="auto"/>
                <w:highlight w:val="none"/>
              </w:rPr>
            </w:pPr>
          </w:p>
        </w:tc>
        <w:tc>
          <w:tcPr>
            <w:tcW w:w="1276" w:type="dxa"/>
            <w:gridSpan w:val="2"/>
            <w:vMerge w:val="continue"/>
          </w:tcPr>
          <w:p>
            <w:pPr>
              <w:rPr>
                <w:rFonts w:ascii="宋体" w:hAnsi="宋体"/>
                <w:color w:val="auto"/>
                <w:highlight w:val="none"/>
              </w:rPr>
            </w:pPr>
          </w:p>
        </w:tc>
        <w:tc>
          <w:tcPr>
            <w:tcW w:w="1276" w:type="dxa"/>
            <w:vAlign w:val="center"/>
          </w:tcPr>
          <w:p>
            <w:pPr>
              <w:jc w:val="center"/>
              <w:rPr>
                <w:rFonts w:ascii="宋体" w:hAnsi="宋体" w:cs="宋体"/>
                <w:color w:val="auto"/>
                <w:kern w:val="0"/>
                <w:highlight w:val="none"/>
              </w:rPr>
            </w:pPr>
            <w:r>
              <w:rPr>
                <w:rFonts w:hint="eastAsia" w:ascii="宋体" w:hAnsi="宋体" w:cs="宋体"/>
                <w:color w:val="auto"/>
                <w:kern w:val="0"/>
                <w:highlight w:val="none"/>
              </w:rPr>
              <w:t>比选申请文件格式</w:t>
            </w:r>
          </w:p>
        </w:tc>
        <w:tc>
          <w:tcPr>
            <w:tcW w:w="5812" w:type="dxa"/>
            <w:gridSpan w:val="2"/>
            <w:vAlign w:val="center"/>
          </w:tcPr>
          <w:p>
            <w:pPr>
              <w:snapToGrid w:val="0"/>
              <w:jc w:val="left"/>
              <w:rPr>
                <w:rFonts w:ascii="宋体" w:hAnsi="宋体" w:cs="宋体"/>
                <w:color w:val="auto"/>
                <w:kern w:val="0"/>
                <w:highlight w:val="none"/>
              </w:rPr>
            </w:pPr>
            <w:r>
              <w:rPr>
                <w:rFonts w:hint="eastAsia" w:ascii="宋体" w:hAnsi="宋体" w:cs="宋体"/>
                <w:color w:val="auto"/>
                <w:kern w:val="0"/>
                <w:highlight w:val="none"/>
              </w:rPr>
              <w:t>符合“比选申请文件格式”的要求，字迹清晰可辨。</w:t>
            </w:r>
          </w:p>
          <w:p>
            <w:pPr>
              <w:snapToGrid w:val="0"/>
              <w:jc w:val="left"/>
              <w:rPr>
                <w:rFonts w:ascii="宋体" w:hAnsi="宋体" w:cs="宋体"/>
                <w:color w:val="auto"/>
                <w:kern w:val="0"/>
                <w:highlight w:val="none"/>
              </w:rPr>
            </w:pPr>
            <w:r>
              <w:rPr>
                <w:rFonts w:hint="eastAsia" w:ascii="宋体" w:hAnsi="宋体" w:cs="宋体"/>
                <w:color w:val="auto"/>
                <w:kern w:val="0"/>
                <w:highlight w:val="none"/>
              </w:rPr>
              <w:t>1.报价书的所有数据均符合比选文件的规定；</w:t>
            </w:r>
          </w:p>
          <w:p>
            <w:pPr>
              <w:snapToGrid w:val="0"/>
              <w:jc w:val="left"/>
              <w:rPr>
                <w:rFonts w:ascii="宋体" w:hAnsi="宋体" w:cs="宋体"/>
                <w:color w:val="auto"/>
                <w:kern w:val="0"/>
                <w:highlight w:val="none"/>
              </w:rPr>
            </w:pPr>
            <w:r>
              <w:rPr>
                <w:rFonts w:hint="eastAsia" w:ascii="宋体" w:hAnsi="宋体" w:cs="宋体"/>
                <w:color w:val="auto"/>
                <w:kern w:val="0"/>
                <w:highlight w:val="none"/>
              </w:rPr>
              <w:t>2.比选申请文件附表齐全完整，内容均按规定填写；</w:t>
            </w:r>
          </w:p>
          <w:p>
            <w:pPr>
              <w:snapToGrid w:val="0"/>
              <w:jc w:val="left"/>
              <w:rPr>
                <w:rFonts w:ascii="宋体" w:hAnsi="宋体" w:cs="宋体"/>
                <w:color w:val="auto"/>
                <w:kern w:val="0"/>
                <w:highlight w:val="none"/>
              </w:rPr>
            </w:pPr>
            <w:r>
              <w:rPr>
                <w:rFonts w:hint="eastAsia" w:ascii="宋体" w:hAnsi="宋体" w:cs="宋体"/>
                <w:color w:val="auto"/>
                <w:kern w:val="0"/>
                <w:highlight w:val="none"/>
              </w:rPr>
              <w:t>3.比选申请文件</w:t>
            </w:r>
            <w:r>
              <w:rPr>
                <w:rFonts w:hint="eastAsia" w:ascii="宋体" w:hAnsi="宋体" w:cs="宋体"/>
                <w:color w:val="auto"/>
                <w:highlight w:val="none"/>
              </w:rPr>
              <w:t>正、副本份数符合比选文件规定</w:t>
            </w:r>
            <w:r>
              <w:rPr>
                <w:rFonts w:hint="eastAsia" w:ascii="宋体" w:hAnsi="宋体" w:cs="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3" w:type="dxa"/>
            <w:vMerge w:val="continue"/>
          </w:tcPr>
          <w:p>
            <w:pPr>
              <w:rPr>
                <w:rFonts w:ascii="宋体" w:hAnsi="宋体"/>
                <w:color w:val="auto"/>
                <w:highlight w:val="none"/>
              </w:rPr>
            </w:pPr>
          </w:p>
        </w:tc>
        <w:tc>
          <w:tcPr>
            <w:tcW w:w="1276" w:type="dxa"/>
            <w:gridSpan w:val="2"/>
            <w:vMerge w:val="continue"/>
          </w:tcPr>
          <w:p>
            <w:pPr>
              <w:rPr>
                <w:rFonts w:ascii="宋体" w:hAnsi="宋体"/>
                <w:color w:val="auto"/>
                <w:highlight w:val="none"/>
              </w:rPr>
            </w:pPr>
          </w:p>
        </w:tc>
        <w:tc>
          <w:tcPr>
            <w:tcW w:w="1276" w:type="dxa"/>
            <w:vAlign w:val="center"/>
          </w:tcPr>
          <w:p>
            <w:pPr>
              <w:jc w:val="center"/>
              <w:rPr>
                <w:rFonts w:ascii="宋体" w:hAnsi="宋体" w:cs="宋体"/>
                <w:color w:val="auto"/>
                <w:kern w:val="0"/>
                <w:highlight w:val="none"/>
              </w:rPr>
            </w:pPr>
            <w:r>
              <w:rPr>
                <w:rFonts w:hint="eastAsia" w:ascii="宋体" w:hAnsi="宋体" w:cs="宋体"/>
                <w:color w:val="auto"/>
                <w:kern w:val="0"/>
                <w:highlight w:val="none"/>
              </w:rPr>
              <w:t>比选申请文件的签署</w:t>
            </w:r>
          </w:p>
        </w:tc>
        <w:tc>
          <w:tcPr>
            <w:tcW w:w="5812" w:type="dxa"/>
            <w:gridSpan w:val="2"/>
            <w:vAlign w:val="center"/>
          </w:tcPr>
          <w:p>
            <w:pPr>
              <w:snapToGrid w:val="0"/>
              <w:jc w:val="left"/>
              <w:rPr>
                <w:rFonts w:ascii="宋体" w:hAnsi="宋体" w:cs="宋体"/>
                <w:color w:val="auto"/>
                <w:kern w:val="0"/>
                <w:highlight w:val="none"/>
              </w:rPr>
            </w:pPr>
            <w:r>
              <w:rPr>
                <w:rFonts w:hint="eastAsia" w:ascii="宋体" w:hAnsi="宋体" w:cs="宋体"/>
                <w:color w:val="auto"/>
                <w:kern w:val="0"/>
                <w:highlight w:val="none"/>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3" w:type="dxa"/>
            <w:vMerge w:val="continue"/>
          </w:tcPr>
          <w:p>
            <w:pPr>
              <w:rPr>
                <w:rFonts w:ascii="宋体" w:hAnsi="宋体"/>
                <w:color w:val="auto"/>
                <w:highlight w:val="none"/>
              </w:rPr>
            </w:pPr>
          </w:p>
        </w:tc>
        <w:tc>
          <w:tcPr>
            <w:tcW w:w="1276" w:type="dxa"/>
            <w:gridSpan w:val="2"/>
            <w:vMerge w:val="continue"/>
          </w:tcPr>
          <w:p>
            <w:pPr>
              <w:rPr>
                <w:rFonts w:ascii="宋体" w:hAnsi="宋体"/>
                <w:color w:val="auto"/>
                <w:highlight w:val="none"/>
              </w:rPr>
            </w:pPr>
          </w:p>
        </w:tc>
        <w:tc>
          <w:tcPr>
            <w:tcW w:w="1276" w:type="dxa"/>
            <w:vAlign w:val="center"/>
          </w:tcPr>
          <w:p>
            <w:pPr>
              <w:jc w:val="center"/>
              <w:rPr>
                <w:rFonts w:ascii="宋体" w:hAnsi="宋体" w:cs="宋体"/>
                <w:color w:val="auto"/>
                <w:kern w:val="0"/>
                <w:highlight w:val="none"/>
              </w:rPr>
            </w:pPr>
            <w:r>
              <w:rPr>
                <w:rFonts w:hint="eastAsia" w:ascii="宋体" w:hAnsi="宋体"/>
                <w:color w:val="auto"/>
                <w:kern w:val="0"/>
                <w:highlight w:val="none"/>
              </w:rPr>
              <w:t>委托代理人</w:t>
            </w:r>
          </w:p>
        </w:tc>
        <w:tc>
          <w:tcPr>
            <w:tcW w:w="5812" w:type="dxa"/>
            <w:gridSpan w:val="2"/>
            <w:vAlign w:val="center"/>
          </w:tcPr>
          <w:p>
            <w:pPr>
              <w:snapToGrid w:val="0"/>
              <w:jc w:val="left"/>
              <w:rPr>
                <w:rFonts w:ascii="宋体" w:hAnsi="宋体" w:cs="宋体"/>
                <w:color w:val="auto"/>
                <w:kern w:val="0"/>
                <w:highlight w:val="none"/>
              </w:rPr>
            </w:pPr>
            <w:r>
              <w:rPr>
                <w:rFonts w:hint="eastAsia" w:ascii="宋体" w:hAnsi="宋体" w:cs="宋体"/>
                <w:color w:val="auto"/>
                <w:kern w:val="0"/>
                <w:highlight w:val="none"/>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813" w:type="dxa"/>
            <w:vAlign w:val="center"/>
          </w:tcPr>
          <w:p>
            <w:pPr>
              <w:jc w:val="center"/>
              <w:rPr>
                <w:rFonts w:ascii="宋体" w:hAnsi="宋体" w:cs="宋体"/>
                <w:color w:val="auto"/>
                <w:kern w:val="0"/>
                <w:highlight w:val="none"/>
              </w:rPr>
            </w:pPr>
            <w:r>
              <w:rPr>
                <w:rFonts w:hint="eastAsia" w:ascii="宋体" w:hAnsi="宋体" w:cs="宋体"/>
                <w:color w:val="auto"/>
                <w:kern w:val="0"/>
                <w:highlight w:val="none"/>
              </w:rPr>
              <w:t>2.1.2</w:t>
            </w:r>
          </w:p>
        </w:tc>
        <w:tc>
          <w:tcPr>
            <w:tcW w:w="1276" w:type="dxa"/>
            <w:gridSpan w:val="2"/>
            <w:vMerge w:val="restart"/>
            <w:vAlign w:val="center"/>
          </w:tcPr>
          <w:p>
            <w:pPr>
              <w:jc w:val="center"/>
              <w:rPr>
                <w:rFonts w:ascii="宋体" w:hAnsi="宋体"/>
                <w:color w:val="auto"/>
                <w:kern w:val="0"/>
                <w:highlight w:val="none"/>
              </w:rPr>
            </w:pPr>
            <w:r>
              <w:rPr>
                <w:rFonts w:hint="eastAsia" w:ascii="宋体" w:hAnsi="宋体" w:cs="宋体"/>
                <w:color w:val="auto"/>
                <w:kern w:val="0"/>
                <w:highlight w:val="none"/>
              </w:rPr>
              <w:t>资格评审标准</w:t>
            </w:r>
          </w:p>
        </w:tc>
        <w:tc>
          <w:tcPr>
            <w:tcW w:w="1276" w:type="dxa"/>
            <w:vAlign w:val="center"/>
          </w:tcPr>
          <w:p>
            <w:pPr>
              <w:snapToGrid w:val="0"/>
              <w:jc w:val="center"/>
              <w:rPr>
                <w:rFonts w:ascii="宋体" w:hAnsi="宋体" w:cs="宋体"/>
                <w:color w:val="auto"/>
                <w:kern w:val="0"/>
                <w:highlight w:val="none"/>
              </w:rPr>
            </w:pPr>
            <w:r>
              <w:rPr>
                <w:rFonts w:hint="eastAsia" w:ascii="宋体" w:hAnsi="宋体" w:cs="宋体"/>
                <w:color w:val="auto"/>
                <w:kern w:val="0"/>
                <w:highlight w:val="none"/>
              </w:rPr>
              <w:t>资质要求</w:t>
            </w:r>
          </w:p>
        </w:tc>
        <w:tc>
          <w:tcPr>
            <w:tcW w:w="5812" w:type="dxa"/>
            <w:gridSpan w:val="2"/>
            <w:vAlign w:val="center"/>
          </w:tcPr>
          <w:p>
            <w:pPr>
              <w:snapToGrid w:val="0"/>
              <w:jc w:val="left"/>
              <w:rPr>
                <w:rFonts w:ascii="宋体" w:hAnsi="宋体" w:cs="宋体"/>
                <w:color w:val="auto"/>
                <w:kern w:val="0"/>
                <w:highlight w:val="none"/>
              </w:rPr>
            </w:pPr>
            <w:r>
              <w:rPr>
                <w:rFonts w:hint="eastAsia" w:ascii="宋体" w:hAnsi="宋体" w:cs="宋体"/>
                <w:color w:val="auto"/>
                <w:kern w:val="0"/>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813" w:type="dxa"/>
            <w:vMerge w:val="restart"/>
            <w:vAlign w:val="center"/>
          </w:tcPr>
          <w:p>
            <w:pPr>
              <w:jc w:val="center"/>
              <w:rPr>
                <w:rFonts w:hint="eastAsia" w:ascii="宋体" w:hAnsi="宋体" w:cs="宋体"/>
                <w:color w:val="auto"/>
                <w:kern w:val="0"/>
                <w:highlight w:val="none"/>
              </w:rPr>
            </w:pPr>
          </w:p>
        </w:tc>
        <w:tc>
          <w:tcPr>
            <w:tcW w:w="1276" w:type="dxa"/>
            <w:gridSpan w:val="2"/>
            <w:vMerge w:val="continue"/>
            <w:vAlign w:val="center"/>
          </w:tcPr>
          <w:p>
            <w:pPr>
              <w:jc w:val="center"/>
              <w:rPr>
                <w:rFonts w:hint="eastAsia" w:ascii="宋体" w:hAnsi="宋体" w:cs="宋体"/>
                <w:color w:val="auto"/>
                <w:kern w:val="0"/>
                <w:highlight w:val="none"/>
              </w:rPr>
            </w:pPr>
          </w:p>
        </w:tc>
        <w:tc>
          <w:tcPr>
            <w:tcW w:w="1276" w:type="dxa"/>
            <w:vAlign w:val="center"/>
          </w:tcPr>
          <w:p>
            <w:pPr>
              <w:snapToGrid w:val="0"/>
              <w:jc w:val="center"/>
              <w:rPr>
                <w:rFonts w:hint="eastAsia" w:ascii="宋体" w:hAnsi="宋体" w:cs="宋体"/>
                <w:color w:val="auto"/>
                <w:kern w:val="0"/>
                <w:highlight w:val="none"/>
              </w:rPr>
            </w:pPr>
            <w:r>
              <w:rPr>
                <w:rFonts w:hint="eastAsia"/>
                <w:snapToGrid w:val="0"/>
                <w:color w:val="auto"/>
                <w:kern w:val="0"/>
                <w:szCs w:val="21"/>
                <w:highlight w:val="none"/>
              </w:rPr>
              <w:t>业绩要求</w:t>
            </w:r>
          </w:p>
        </w:tc>
        <w:tc>
          <w:tcPr>
            <w:tcW w:w="5812" w:type="dxa"/>
            <w:gridSpan w:val="2"/>
            <w:vAlign w:val="center"/>
          </w:tcPr>
          <w:p>
            <w:pPr>
              <w:snapToGrid w:val="0"/>
              <w:jc w:val="left"/>
              <w:rPr>
                <w:rFonts w:hint="eastAsia" w:ascii="宋体" w:hAnsi="宋体" w:cs="宋体"/>
                <w:color w:val="auto"/>
                <w:kern w:val="0"/>
                <w:highlight w:val="none"/>
              </w:rPr>
            </w:pPr>
            <w:r>
              <w:rPr>
                <w:rFonts w:hint="eastAsia" w:ascii="宋体" w:hAnsi="宋体" w:cs="宋体"/>
                <w:color w:val="auto"/>
                <w:kern w:val="0"/>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813" w:type="dxa"/>
            <w:vMerge w:val="continue"/>
            <w:vAlign w:val="center"/>
          </w:tcPr>
          <w:p>
            <w:pPr>
              <w:jc w:val="center"/>
              <w:rPr>
                <w:rFonts w:hint="eastAsia" w:ascii="宋体" w:hAnsi="宋体" w:cs="宋体"/>
                <w:color w:val="auto"/>
                <w:kern w:val="0"/>
                <w:highlight w:val="none"/>
              </w:rPr>
            </w:pPr>
          </w:p>
        </w:tc>
        <w:tc>
          <w:tcPr>
            <w:tcW w:w="1276" w:type="dxa"/>
            <w:gridSpan w:val="2"/>
            <w:vMerge w:val="continue"/>
            <w:vAlign w:val="center"/>
          </w:tcPr>
          <w:p>
            <w:pPr>
              <w:jc w:val="center"/>
              <w:rPr>
                <w:rFonts w:hint="eastAsia" w:ascii="宋体" w:hAnsi="宋体" w:cs="宋体"/>
                <w:color w:val="auto"/>
                <w:kern w:val="0"/>
                <w:highlight w:val="none"/>
              </w:rPr>
            </w:pPr>
          </w:p>
        </w:tc>
        <w:tc>
          <w:tcPr>
            <w:tcW w:w="1276" w:type="dxa"/>
            <w:vAlign w:val="center"/>
          </w:tcPr>
          <w:p>
            <w:pPr>
              <w:snapToGrid w:val="0"/>
              <w:jc w:val="center"/>
              <w:rPr>
                <w:rFonts w:hint="eastAsia"/>
                <w:snapToGrid w:val="0"/>
                <w:color w:val="auto"/>
                <w:kern w:val="0"/>
                <w:szCs w:val="21"/>
                <w:highlight w:val="none"/>
              </w:rPr>
            </w:pPr>
            <w:r>
              <w:rPr>
                <w:rFonts w:hint="eastAsia"/>
                <w:color w:val="auto"/>
                <w:szCs w:val="21"/>
                <w:highlight w:val="none"/>
              </w:rPr>
              <w:t>信誉要求</w:t>
            </w:r>
          </w:p>
        </w:tc>
        <w:tc>
          <w:tcPr>
            <w:tcW w:w="5812" w:type="dxa"/>
            <w:gridSpan w:val="2"/>
            <w:vAlign w:val="center"/>
          </w:tcPr>
          <w:p>
            <w:pPr>
              <w:snapToGrid w:val="0"/>
              <w:jc w:val="left"/>
              <w:rPr>
                <w:rFonts w:hint="eastAsia" w:ascii="宋体" w:hAnsi="宋体" w:cs="宋体"/>
                <w:color w:val="auto"/>
                <w:kern w:val="0"/>
                <w:highlight w:val="none"/>
              </w:rPr>
            </w:pPr>
            <w:r>
              <w:rPr>
                <w:rFonts w:hint="eastAsia" w:ascii="宋体" w:hAnsi="宋体" w:cs="宋体"/>
                <w:color w:val="auto"/>
                <w:kern w:val="0"/>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813" w:type="dxa"/>
            <w:vMerge w:val="continue"/>
            <w:vAlign w:val="center"/>
          </w:tcPr>
          <w:p>
            <w:pPr>
              <w:jc w:val="center"/>
              <w:rPr>
                <w:rFonts w:hint="eastAsia" w:ascii="宋体" w:hAnsi="宋体" w:cs="宋体"/>
                <w:color w:val="auto"/>
                <w:kern w:val="0"/>
                <w:highlight w:val="none"/>
              </w:rPr>
            </w:pPr>
          </w:p>
        </w:tc>
        <w:tc>
          <w:tcPr>
            <w:tcW w:w="1276" w:type="dxa"/>
            <w:gridSpan w:val="2"/>
            <w:vMerge w:val="continue"/>
            <w:vAlign w:val="center"/>
          </w:tcPr>
          <w:p>
            <w:pPr>
              <w:jc w:val="center"/>
              <w:rPr>
                <w:rFonts w:hint="eastAsia" w:ascii="宋体" w:hAnsi="宋体" w:cs="宋体"/>
                <w:color w:val="auto"/>
                <w:kern w:val="0"/>
                <w:highlight w:val="none"/>
              </w:rPr>
            </w:pPr>
          </w:p>
        </w:tc>
        <w:tc>
          <w:tcPr>
            <w:tcW w:w="1276" w:type="dxa"/>
            <w:vAlign w:val="center"/>
          </w:tcPr>
          <w:p>
            <w:pPr>
              <w:snapToGrid w:val="0"/>
              <w:jc w:val="center"/>
              <w:rPr>
                <w:rFonts w:hint="eastAsia"/>
                <w:color w:val="auto"/>
                <w:szCs w:val="21"/>
                <w:highlight w:val="none"/>
              </w:rPr>
            </w:pPr>
            <w:r>
              <w:rPr>
                <w:rFonts w:hint="eastAsia"/>
                <w:color w:val="auto"/>
                <w:szCs w:val="21"/>
                <w:highlight w:val="none"/>
              </w:rPr>
              <w:t>投入本项目主要管理人员要求</w:t>
            </w:r>
          </w:p>
        </w:tc>
        <w:tc>
          <w:tcPr>
            <w:tcW w:w="5812" w:type="dxa"/>
            <w:gridSpan w:val="2"/>
            <w:vAlign w:val="center"/>
          </w:tcPr>
          <w:p>
            <w:pPr>
              <w:snapToGrid w:val="0"/>
              <w:jc w:val="left"/>
              <w:rPr>
                <w:rFonts w:hint="eastAsia" w:ascii="宋体" w:hAnsi="宋体" w:cs="宋体"/>
                <w:color w:val="auto"/>
                <w:kern w:val="0"/>
                <w:highlight w:val="none"/>
              </w:rPr>
            </w:pPr>
            <w:r>
              <w:rPr>
                <w:rFonts w:hint="eastAsia" w:ascii="宋体" w:hAnsi="宋体" w:cs="宋体"/>
                <w:color w:val="auto"/>
                <w:kern w:val="0"/>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3" w:type="dxa"/>
            <w:vMerge w:val="restart"/>
            <w:vAlign w:val="center"/>
          </w:tcPr>
          <w:p>
            <w:pPr>
              <w:jc w:val="center"/>
              <w:rPr>
                <w:rFonts w:ascii="宋体" w:hAnsi="宋体" w:cs="宋体"/>
                <w:color w:val="auto"/>
                <w:highlight w:val="none"/>
              </w:rPr>
            </w:pPr>
            <w:r>
              <w:rPr>
                <w:rFonts w:hint="eastAsia" w:ascii="宋体" w:hAnsi="宋体" w:cs="宋体"/>
                <w:color w:val="auto"/>
                <w:kern w:val="0"/>
                <w:highlight w:val="none"/>
              </w:rPr>
              <w:t>2.1.3</w:t>
            </w:r>
          </w:p>
        </w:tc>
        <w:tc>
          <w:tcPr>
            <w:tcW w:w="1276" w:type="dxa"/>
            <w:gridSpan w:val="2"/>
            <w:vMerge w:val="restart"/>
            <w:vAlign w:val="center"/>
          </w:tcPr>
          <w:p>
            <w:pPr>
              <w:snapToGrid w:val="0"/>
              <w:jc w:val="center"/>
              <w:rPr>
                <w:rFonts w:ascii="宋体" w:hAnsi="宋体" w:cs="宋体"/>
                <w:color w:val="auto"/>
                <w:highlight w:val="none"/>
              </w:rPr>
            </w:pPr>
            <w:r>
              <w:rPr>
                <w:rFonts w:hint="eastAsia" w:ascii="宋体" w:hAnsi="宋体" w:cs="宋体"/>
                <w:color w:val="auto"/>
                <w:kern w:val="0"/>
                <w:highlight w:val="none"/>
              </w:rPr>
              <w:t>响应性评审标准</w:t>
            </w:r>
          </w:p>
        </w:tc>
        <w:tc>
          <w:tcPr>
            <w:tcW w:w="1276" w:type="dxa"/>
            <w:vAlign w:val="center"/>
          </w:tcPr>
          <w:p>
            <w:pPr>
              <w:snapToGrid w:val="0"/>
              <w:jc w:val="center"/>
              <w:rPr>
                <w:rFonts w:ascii="宋体" w:hAnsi="宋体" w:cs="宋体"/>
                <w:color w:val="auto"/>
                <w:kern w:val="0"/>
                <w:highlight w:val="none"/>
              </w:rPr>
            </w:pPr>
            <w:r>
              <w:rPr>
                <w:rFonts w:hint="eastAsia" w:ascii="宋体" w:hAnsi="宋体" w:cs="宋体"/>
                <w:color w:val="auto"/>
                <w:kern w:val="0"/>
                <w:highlight w:val="none"/>
              </w:rPr>
              <w:t>比选内容</w:t>
            </w:r>
          </w:p>
        </w:tc>
        <w:tc>
          <w:tcPr>
            <w:tcW w:w="5812" w:type="dxa"/>
            <w:gridSpan w:val="2"/>
            <w:vAlign w:val="center"/>
          </w:tcPr>
          <w:p>
            <w:pPr>
              <w:snapToGrid w:val="0"/>
              <w:rPr>
                <w:rFonts w:ascii="宋体" w:hAnsi="宋体" w:cs="宋体"/>
                <w:color w:val="auto"/>
                <w:kern w:val="0"/>
                <w:highlight w:val="none"/>
              </w:rPr>
            </w:pPr>
            <w:r>
              <w:rPr>
                <w:rFonts w:hint="eastAsia" w:ascii="宋体" w:hAnsi="宋体" w:cs="宋体"/>
                <w:color w:val="auto"/>
                <w:kern w:val="0"/>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3" w:type="dxa"/>
            <w:vMerge w:val="continue"/>
          </w:tcPr>
          <w:p>
            <w:pPr>
              <w:snapToGrid w:val="0"/>
              <w:jc w:val="center"/>
              <w:rPr>
                <w:rFonts w:ascii="宋体" w:hAnsi="宋体"/>
                <w:color w:val="auto"/>
                <w:highlight w:val="none"/>
              </w:rPr>
            </w:pPr>
          </w:p>
        </w:tc>
        <w:tc>
          <w:tcPr>
            <w:tcW w:w="1276" w:type="dxa"/>
            <w:gridSpan w:val="2"/>
            <w:vMerge w:val="continue"/>
          </w:tcPr>
          <w:p>
            <w:pPr>
              <w:snapToGrid w:val="0"/>
              <w:jc w:val="center"/>
              <w:rPr>
                <w:rFonts w:ascii="宋体" w:hAnsi="宋体"/>
                <w:color w:val="auto"/>
                <w:highlight w:val="none"/>
              </w:rPr>
            </w:pPr>
          </w:p>
        </w:tc>
        <w:tc>
          <w:tcPr>
            <w:tcW w:w="1276" w:type="dxa"/>
            <w:vAlign w:val="center"/>
          </w:tcPr>
          <w:p>
            <w:pPr>
              <w:snapToGrid w:val="0"/>
              <w:jc w:val="center"/>
              <w:rPr>
                <w:rFonts w:ascii="宋体" w:hAnsi="宋体" w:cs="宋体"/>
                <w:color w:val="auto"/>
                <w:kern w:val="0"/>
                <w:highlight w:val="none"/>
              </w:rPr>
            </w:pPr>
            <w:r>
              <w:rPr>
                <w:rFonts w:hint="eastAsia" w:ascii="宋体" w:hAnsi="宋体" w:cs="宋体"/>
                <w:color w:val="auto"/>
                <w:kern w:val="0"/>
                <w:highlight w:val="none"/>
              </w:rPr>
              <w:t>工期</w:t>
            </w:r>
          </w:p>
        </w:tc>
        <w:tc>
          <w:tcPr>
            <w:tcW w:w="5812" w:type="dxa"/>
            <w:gridSpan w:val="2"/>
            <w:vAlign w:val="center"/>
          </w:tcPr>
          <w:p>
            <w:pPr>
              <w:snapToGrid w:val="0"/>
              <w:rPr>
                <w:rFonts w:ascii="宋体" w:hAnsi="宋体" w:cs="宋体"/>
                <w:color w:val="auto"/>
                <w:kern w:val="0"/>
                <w:highlight w:val="none"/>
              </w:rPr>
            </w:pPr>
            <w:r>
              <w:rPr>
                <w:rFonts w:hint="eastAsia" w:ascii="宋体" w:hAnsi="宋体" w:cs="宋体"/>
                <w:color w:val="auto"/>
                <w:kern w:val="0"/>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3" w:type="dxa"/>
            <w:vMerge w:val="continue"/>
          </w:tcPr>
          <w:p>
            <w:pPr>
              <w:snapToGrid w:val="0"/>
              <w:jc w:val="center"/>
              <w:rPr>
                <w:rFonts w:ascii="宋体" w:hAnsi="宋体"/>
                <w:color w:val="auto"/>
                <w:highlight w:val="none"/>
              </w:rPr>
            </w:pPr>
          </w:p>
        </w:tc>
        <w:tc>
          <w:tcPr>
            <w:tcW w:w="1276" w:type="dxa"/>
            <w:gridSpan w:val="2"/>
            <w:vMerge w:val="continue"/>
          </w:tcPr>
          <w:p>
            <w:pPr>
              <w:snapToGrid w:val="0"/>
              <w:jc w:val="center"/>
              <w:rPr>
                <w:rFonts w:ascii="宋体" w:hAnsi="宋体"/>
                <w:color w:val="auto"/>
                <w:highlight w:val="none"/>
              </w:rPr>
            </w:pPr>
          </w:p>
        </w:tc>
        <w:tc>
          <w:tcPr>
            <w:tcW w:w="1276" w:type="dxa"/>
            <w:vAlign w:val="center"/>
          </w:tcPr>
          <w:p>
            <w:pPr>
              <w:snapToGrid w:val="0"/>
              <w:jc w:val="center"/>
              <w:rPr>
                <w:rFonts w:ascii="宋体" w:hAnsi="宋体" w:cs="宋体"/>
                <w:color w:val="auto"/>
                <w:kern w:val="0"/>
                <w:highlight w:val="none"/>
              </w:rPr>
            </w:pPr>
            <w:r>
              <w:rPr>
                <w:rFonts w:hint="eastAsia" w:ascii="宋体" w:hAnsi="宋体" w:cs="宋体"/>
                <w:color w:val="auto"/>
                <w:kern w:val="0"/>
                <w:highlight w:val="none"/>
              </w:rPr>
              <w:t>竞标</w:t>
            </w:r>
            <w:r>
              <w:rPr>
                <w:rFonts w:ascii="宋体" w:hAnsi="宋体" w:cs="宋体"/>
                <w:color w:val="auto"/>
                <w:kern w:val="0"/>
                <w:highlight w:val="none"/>
              </w:rPr>
              <w:t>保证金</w:t>
            </w:r>
          </w:p>
        </w:tc>
        <w:tc>
          <w:tcPr>
            <w:tcW w:w="5812" w:type="dxa"/>
            <w:gridSpan w:val="2"/>
          </w:tcPr>
          <w:p>
            <w:pPr>
              <w:snapToGrid w:val="0"/>
              <w:rPr>
                <w:rFonts w:ascii="宋体" w:hAnsi="宋体" w:cs="宋体"/>
                <w:color w:val="auto"/>
                <w:kern w:val="0"/>
                <w:highlight w:val="none"/>
              </w:rPr>
            </w:pPr>
            <w:r>
              <w:rPr>
                <w:rFonts w:hint="eastAsia" w:ascii="宋体" w:hAnsi="宋体" w:cs="宋体"/>
                <w:color w:val="auto"/>
                <w:kern w:val="0"/>
                <w:highlight w:val="none"/>
              </w:rPr>
              <w:t>按竞争性比选文件的</w:t>
            </w:r>
            <w:r>
              <w:rPr>
                <w:rFonts w:ascii="宋体" w:hAnsi="宋体" w:cs="宋体"/>
                <w:color w:val="auto"/>
                <w:kern w:val="0"/>
                <w:highlight w:val="none"/>
              </w:rPr>
              <w:t>规定</w:t>
            </w:r>
            <w:r>
              <w:rPr>
                <w:rFonts w:hint="eastAsia" w:ascii="宋体" w:hAnsi="宋体" w:cs="宋体"/>
                <w:color w:val="auto"/>
                <w:kern w:val="0"/>
                <w:highlight w:val="none"/>
              </w:rPr>
              <w:t>递交竞标保证金</w:t>
            </w:r>
            <w:r>
              <w:rPr>
                <w:rFonts w:ascii="宋体" w:hAnsi="宋体" w:cs="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13" w:type="dxa"/>
            <w:vMerge w:val="continue"/>
          </w:tcPr>
          <w:p>
            <w:pPr>
              <w:snapToGrid w:val="0"/>
              <w:jc w:val="center"/>
              <w:rPr>
                <w:rFonts w:ascii="宋体" w:hAnsi="宋体"/>
                <w:color w:val="auto"/>
                <w:highlight w:val="none"/>
              </w:rPr>
            </w:pPr>
          </w:p>
        </w:tc>
        <w:tc>
          <w:tcPr>
            <w:tcW w:w="1276" w:type="dxa"/>
            <w:gridSpan w:val="2"/>
            <w:vMerge w:val="continue"/>
          </w:tcPr>
          <w:p>
            <w:pPr>
              <w:snapToGrid w:val="0"/>
              <w:jc w:val="center"/>
              <w:rPr>
                <w:rFonts w:ascii="宋体" w:hAnsi="宋体"/>
                <w:color w:val="auto"/>
                <w:highlight w:val="none"/>
              </w:rPr>
            </w:pPr>
          </w:p>
        </w:tc>
        <w:tc>
          <w:tcPr>
            <w:tcW w:w="1276" w:type="dxa"/>
            <w:vAlign w:val="center"/>
          </w:tcPr>
          <w:p>
            <w:pPr>
              <w:jc w:val="center"/>
              <w:rPr>
                <w:rFonts w:ascii="宋体" w:hAnsi="宋体"/>
                <w:color w:val="auto"/>
                <w:kern w:val="0"/>
                <w:highlight w:val="none"/>
              </w:rPr>
            </w:pPr>
            <w:r>
              <w:rPr>
                <w:rFonts w:hint="eastAsia" w:ascii="宋体" w:hAnsi="宋体"/>
                <w:color w:val="auto"/>
                <w:kern w:val="0"/>
                <w:highlight w:val="none"/>
              </w:rPr>
              <w:t>竞标报价</w:t>
            </w:r>
          </w:p>
        </w:tc>
        <w:tc>
          <w:tcPr>
            <w:tcW w:w="5812" w:type="dxa"/>
            <w:gridSpan w:val="2"/>
            <w:vAlign w:val="center"/>
          </w:tcPr>
          <w:p>
            <w:pPr>
              <w:snapToGrid w:val="0"/>
              <w:jc w:val="left"/>
              <w:rPr>
                <w:rFonts w:ascii="宋体" w:hAnsi="宋体" w:cs="宋体"/>
                <w:color w:val="auto"/>
                <w:kern w:val="0"/>
                <w:highlight w:val="none"/>
              </w:rPr>
            </w:pPr>
            <w:r>
              <w:rPr>
                <w:rFonts w:hint="eastAsia" w:ascii="宋体" w:hAnsi="宋体" w:cs="宋体"/>
                <w:color w:val="auto"/>
                <w:kern w:val="0"/>
                <w:highlight w:val="none"/>
              </w:rPr>
              <w:t>在报价函上填写了竞标总报价（包括大写金额和小写金额），且报价唯一，</w:t>
            </w:r>
            <w:r>
              <w:rPr>
                <w:rFonts w:hint="eastAsia"/>
                <w:color w:val="auto"/>
                <w:szCs w:val="21"/>
                <w:highlight w:val="none"/>
              </w:rPr>
              <w:t>比选申请人的竞标总报价及单价报价均不得</w:t>
            </w:r>
            <w:r>
              <w:rPr>
                <w:color w:val="auto"/>
                <w:szCs w:val="21"/>
                <w:highlight w:val="none"/>
              </w:rPr>
              <w:t>超过</w:t>
            </w:r>
            <w:r>
              <w:rPr>
                <w:rFonts w:hint="eastAsia"/>
                <w:color w:val="auto"/>
                <w:szCs w:val="21"/>
                <w:highlight w:val="none"/>
              </w:rPr>
              <w:t>相应竞标</w:t>
            </w:r>
            <w:r>
              <w:rPr>
                <w:color w:val="auto"/>
                <w:szCs w:val="21"/>
                <w:highlight w:val="none"/>
              </w:rPr>
              <w:t>总</w:t>
            </w:r>
            <w:r>
              <w:rPr>
                <w:rFonts w:hint="eastAsia"/>
                <w:color w:val="auto"/>
                <w:szCs w:val="21"/>
                <w:highlight w:val="none"/>
              </w:rPr>
              <w:t>限</w:t>
            </w:r>
            <w:r>
              <w:rPr>
                <w:color w:val="auto"/>
                <w:szCs w:val="21"/>
                <w:highlight w:val="none"/>
              </w:rPr>
              <w:t>价及</w:t>
            </w:r>
            <w:r>
              <w:rPr>
                <w:rFonts w:hint="eastAsia"/>
                <w:color w:val="auto"/>
                <w:szCs w:val="21"/>
                <w:highlight w:val="none"/>
              </w:rPr>
              <w:t>单价</w:t>
            </w:r>
            <w:r>
              <w:rPr>
                <w:color w:val="auto"/>
                <w:szCs w:val="21"/>
                <w:highlight w:val="none"/>
              </w:rPr>
              <w:t>限价</w:t>
            </w:r>
            <w:r>
              <w:rPr>
                <w:rFonts w:hint="eastAsia" w:ascii="宋体" w:hAnsi="宋体" w:cs="宋体"/>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 w:hRule="atLeast"/>
        </w:trPr>
        <w:tc>
          <w:tcPr>
            <w:tcW w:w="813" w:type="dxa"/>
            <w:vMerge w:val="continue"/>
          </w:tcPr>
          <w:p>
            <w:pPr>
              <w:snapToGrid w:val="0"/>
              <w:rPr>
                <w:rFonts w:ascii="宋体" w:hAnsi="宋体"/>
                <w:color w:val="auto"/>
                <w:highlight w:val="none"/>
              </w:rPr>
            </w:pPr>
          </w:p>
        </w:tc>
        <w:tc>
          <w:tcPr>
            <w:tcW w:w="1276" w:type="dxa"/>
            <w:gridSpan w:val="2"/>
            <w:vMerge w:val="continue"/>
          </w:tcPr>
          <w:p>
            <w:pPr>
              <w:snapToGrid w:val="0"/>
              <w:rPr>
                <w:rFonts w:ascii="宋体" w:hAnsi="宋体"/>
                <w:color w:val="auto"/>
                <w:highlight w:val="none"/>
              </w:rPr>
            </w:pPr>
          </w:p>
        </w:tc>
        <w:tc>
          <w:tcPr>
            <w:tcW w:w="1276" w:type="dxa"/>
            <w:vAlign w:val="center"/>
          </w:tcPr>
          <w:p>
            <w:pPr>
              <w:snapToGrid w:val="0"/>
              <w:jc w:val="center"/>
              <w:rPr>
                <w:rFonts w:ascii="宋体" w:hAnsi="宋体"/>
                <w:color w:val="auto"/>
                <w:kern w:val="0"/>
                <w:highlight w:val="none"/>
              </w:rPr>
            </w:pPr>
            <w:r>
              <w:rPr>
                <w:rFonts w:hint="eastAsia" w:ascii="宋体" w:hAnsi="宋体"/>
                <w:color w:val="auto"/>
                <w:kern w:val="0"/>
                <w:highlight w:val="none"/>
              </w:rPr>
              <w:t>实质性要求</w:t>
            </w:r>
          </w:p>
        </w:tc>
        <w:tc>
          <w:tcPr>
            <w:tcW w:w="5812" w:type="dxa"/>
            <w:gridSpan w:val="2"/>
            <w:vAlign w:val="center"/>
          </w:tcPr>
          <w:p>
            <w:pPr>
              <w:snapToGrid w:val="0"/>
              <w:rPr>
                <w:rFonts w:ascii="宋体" w:hAnsi="宋体" w:cs="宋体"/>
                <w:color w:val="auto"/>
                <w:kern w:val="0"/>
                <w:highlight w:val="none"/>
              </w:rPr>
            </w:pPr>
            <w:r>
              <w:rPr>
                <w:rFonts w:hint="eastAsia" w:ascii="宋体" w:hAnsi="宋体" w:cs="宋体"/>
                <w:color w:val="auto"/>
                <w:kern w:val="0"/>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 w:hRule="atLeast"/>
        </w:trPr>
        <w:tc>
          <w:tcPr>
            <w:tcW w:w="813" w:type="dxa"/>
            <w:vMerge w:val="continue"/>
          </w:tcPr>
          <w:p>
            <w:pPr>
              <w:snapToGrid w:val="0"/>
              <w:rPr>
                <w:rFonts w:ascii="宋体" w:hAnsi="宋体"/>
                <w:color w:val="auto"/>
                <w:highlight w:val="none"/>
              </w:rPr>
            </w:pPr>
          </w:p>
        </w:tc>
        <w:tc>
          <w:tcPr>
            <w:tcW w:w="1276" w:type="dxa"/>
            <w:gridSpan w:val="2"/>
            <w:vMerge w:val="continue"/>
          </w:tcPr>
          <w:p>
            <w:pPr>
              <w:snapToGrid w:val="0"/>
              <w:rPr>
                <w:rFonts w:ascii="宋体" w:hAnsi="宋体"/>
                <w:color w:val="auto"/>
                <w:highlight w:val="none"/>
              </w:rPr>
            </w:pPr>
          </w:p>
        </w:tc>
        <w:tc>
          <w:tcPr>
            <w:tcW w:w="1276" w:type="dxa"/>
            <w:vAlign w:val="center"/>
          </w:tcPr>
          <w:p>
            <w:pPr>
              <w:snapToGrid w:val="0"/>
              <w:jc w:val="center"/>
              <w:rPr>
                <w:rFonts w:ascii="宋体" w:hAnsi="宋体"/>
                <w:color w:val="auto"/>
                <w:kern w:val="0"/>
                <w:highlight w:val="none"/>
              </w:rPr>
            </w:pPr>
            <w:r>
              <w:rPr>
                <w:rFonts w:hint="eastAsia" w:ascii="宋体" w:hAnsi="宋体"/>
                <w:color w:val="auto"/>
                <w:kern w:val="0"/>
                <w:highlight w:val="none"/>
              </w:rPr>
              <w:t>其他要求</w:t>
            </w:r>
          </w:p>
        </w:tc>
        <w:tc>
          <w:tcPr>
            <w:tcW w:w="5812" w:type="dxa"/>
            <w:gridSpan w:val="2"/>
            <w:vAlign w:val="center"/>
          </w:tcPr>
          <w:p>
            <w:pPr>
              <w:snapToGrid w:val="0"/>
              <w:rPr>
                <w:rFonts w:ascii="宋体" w:hAnsi="宋体" w:cs="宋体"/>
                <w:color w:val="auto"/>
                <w:kern w:val="0"/>
                <w:highlight w:val="none"/>
              </w:rPr>
            </w:pPr>
            <w:r>
              <w:rPr>
                <w:rFonts w:hint="eastAsia"/>
                <w:color w:val="auto"/>
                <w:szCs w:val="21"/>
                <w:highlight w:val="none"/>
              </w:rPr>
              <w:t>比选申请人</w:t>
            </w:r>
            <w:r>
              <w:rPr>
                <w:color w:val="auto"/>
                <w:szCs w:val="21"/>
                <w:highlight w:val="none"/>
              </w:rPr>
              <w:t>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813" w:type="dxa"/>
            <w:vAlign w:val="center"/>
          </w:tcPr>
          <w:p>
            <w:pPr>
              <w:snapToGrid w:val="0"/>
              <w:jc w:val="center"/>
              <w:rPr>
                <w:rFonts w:ascii="宋体" w:hAnsi="宋体"/>
                <w:color w:val="auto"/>
                <w:highlight w:val="none"/>
              </w:rPr>
            </w:pPr>
            <w:r>
              <w:rPr>
                <w:rFonts w:hint="eastAsia" w:ascii="宋体" w:hAnsi="宋体"/>
                <w:color w:val="auto"/>
                <w:highlight w:val="none"/>
              </w:rPr>
              <w:t>2.2</w:t>
            </w:r>
          </w:p>
        </w:tc>
        <w:tc>
          <w:tcPr>
            <w:tcW w:w="1276" w:type="dxa"/>
            <w:gridSpan w:val="2"/>
            <w:vAlign w:val="center"/>
          </w:tcPr>
          <w:p>
            <w:pPr>
              <w:jc w:val="center"/>
              <w:rPr>
                <w:rFonts w:ascii="宋体" w:hAnsi="宋体"/>
                <w:color w:val="auto"/>
                <w:highlight w:val="none"/>
              </w:rPr>
            </w:pPr>
            <w:r>
              <w:rPr>
                <w:rFonts w:hint="eastAsia" w:ascii="宋体" w:hAnsi="宋体"/>
                <w:color w:val="auto"/>
                <w:highlight w:val="none"/>
              </w:rPr>
              <w:t>详细评审标准</w:t>
            </w:r>
          </w:p>
        </w:tc>
        <w:tc>
          <w:tcPr>
            <w:tcW w:w="1276" w:type="dxa"/>
            <w:vAlign w:val="center"/>
          </w:tcPr>
          <w:p>
            <w:pPr>
              <w:snapToGrid w:val="0"/>
              <w:jc w:val="center"/>
              <w:rPr>
                <w:rFonts w:ascii="宋体" w:hAnsi="宋体" w:cs="宋体"/>
                <w:color w:val="auto"/>
                <w:kern w:val="0"/>
                <w:highlight w:val="none"/>
              </w:rPr>
            </w:pPr>
            <w:r>
              <w:rPr>
                <w:rFonts w:hint="eastAsia" w:ascii="宋体" w:hAnsi="宋体" w:cs="宋体"/>
                <w:color w:val="auto"/>
                <w:kern w:val="0"/>
                <w:highlight w:val="none"/>
              </w:rPr>
              <w:t>分值构成</w:t>
            </w:r>
          </w:p>
          <w:p>
            <w:pPr>
              <w:snapToGrid w:val="0"/>
              <w:jc w:val="center"/>
              <w:rPr>
                <w:rFonts w:ascii="宋体" w:hAnsi="宋体" w:cs="宋体"/>
                <w:color w:val="auto"/>
                <w:kern w:val="0"/>
                <w:highlight w:val="none"/>
              </w:rPr>
            </w:pPr>
            <w:r>
              <w:rPr>
                <w:rFonts w:hint="eastAsia" w:ascii="宋体" w:hAnsi="宋体" w:cs="宋体"/>
                <w:color w:val="auto"/>
                <w:kern w:val="0"/>
                <w:highlight w:val="none"/>
              </w:rPr>
              <w:t>（总分100分）</w:t>
            </w:r>
          </w:p>
        </w:tc>
        <w:tc>
          <w:tcPr>
            <w:tcW w:w="5812" w:type="dxa"/>
            <w:gridSpan w:val="2"/>
            <w:vAlign w:val="center"/>
          </w:tcPr>
          <w:p>
            <w:pPr>
              <w:spacing w:line="280" w:lineRule="exact"/>
              <w:jc w:val="left"/>
              <w:rPr>
                <w:color w:val="auto"/>
                <w:highlight w:val="none"/>
              </w:rPr>
            </w:pPr>
            <w:r>
              <w:rPr>
                <w:color w:val="auto"/>
                <w:highlight w:val="none"/>
              </w:rPr>
              <w:t>评审因素</w:t>
            </w:r>
            <w:r>
              <w:rPr>
                <w:color w:val="auto"/>
                <w:highlight w:val="none"/>
              </w:rPr>
              <w:tab/>
            </w:r>
            <w:r>
              <w:rPr>
                <w:color w:val="auto"/>
                <w:highlight w:val="none"/>
              </w:rPr>
              <w:t xml:space="preserve">                               评</w:t>
            </w:r>
            <w:r>
              <w:rPr>
                <w:rFonts w:hint="eastAsia"/>
                <w:color w:val="auto"/>
                <w:highlight w:val="none"/>
              </w:rPr>
              <w:t>分</w:t>
            </w:r>
            <w:r>
              <w:rPr>
                <w:color w:val="auto"/>
                <w:highlight w:val="none"/>
              </w:rPr>
              <w:t>值</w:t>
            </w:r>
          </w:p>
          <w:p>
            <w:pPr>
              <w:spacing w:line="280" w:lineRule="exact"/>
              <w:jc w:val="left"/>
              <w:rPr>
                <w:color w:val="auto"/>
                <w:highlight w:val="none"/>
              </w:rPr>
            </w:pPr>
            <w:r>
              <w:rPr>
                <w:color w:val="auto"/>
                <w:highlight w:val="none"/>
              </w:rPr>
              <w:t>（</w:t>
            </w:r>
            <w:r>
              <w:rPr>
                <w:rFonts w:hint="eastAsia"/>
                <w:color w:val="auto"/>
                <w:highlight w:val="none"/>
              </w:rPr>
              <w:t>一</w:t>
            </w:r>
            <w:r>
              <w:rPr>
                <w:color w:val="auto"/>
                <w:highlight w:val="none"/>
              </w:rPr>
              <w:t>）技术</w:t>
            </w:r>
            <w:r>
              <w:rPr>
                <w:rFonts w:hint="eastAsia"/>
                <w:color w:val="auto"/>
                <w:highlight w:val="none"/>
              </w:rPr>
              <w:t>部分</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rFonts w:hint="eastAsia"/>
                <w:color w:val="auto"/>
                <w:highlight w:val="none"/>
                <w:lang w:val="en-US" w:eastAsia="zh-CN"/>
              </w:rPr>
              <w:t>3</w:t>
            </w:r>
            <w:r>
              <w:rPr>
                <w:color w:val="auto"/>
                <w:highlight w:val="none"/>
                <w:u w:val="single"/>
              </w:rPr>
              <w:t>0分</w:t>
            </w:r>
          </w:p>
          <w:p>
            <w:pPr>
              <w:pStyle w:val="19"/>
              <w:adjustRightInd/>
              <w:spacing w:line="280" w:lineRule="exact"/>
              <w:rPr>
                <w:color w:val="auto"/>
                <w:highlight w:val="none"/>
              </w:rPr>
            </w:pP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二</w:t>
            </w: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竞标报价</w:t>
            </w:r>
            <w:r>
              <w:rPr>
                <w:rFonts w:ascii="Times New Roman" w:eastAsia="宋体" w:cs="Times New Roman"/>
                <w:color w:val="auto"/>
                <w:sz w:val="21"/>
                <w:szCs w:val="21"/>
                <w:highlight w:val="none"/>
              </w:rPr>
              <w:t>：</w:t>
            </w:r>
            <w:r>
              <w:rPr>
                <w:rFonts w:ascii="Times New Roman" w:eastAsia="宋体" w:cs="Times New Roman"/>
                <w:color w:val="auto"/>
                <w:sz w:val="21"/>
                <w:szCs w:val="21"/>
                <w:highlight w:val="none"/>
              </w:rPr>
              <w:tab/>
            </w:r>
            <w:r>
              <w:rPr>
                <w:rFonts w:ascii="Times New Roman" w:eastAsia="宋体" w:cs="Times New Roman"/>
                <w:color w:val="auto"/>
                <w:sz w:val="21"/>
                <w:szCs w:val="21"/>
                <w:highlight w:val="none"/>
              </w:rPr>
              <w:t xml:space="preserve">                       </w:t>
            </w:r>
            <w:r>
              <w:rPr>
                <w:rFonts w:ascii="Times New Roman" w:eastAsia="宋体" w:cs="Times New Roman"/>
                <w:color w:val="auto"/>
                <w:kern w:val="2"/>
                <w:sz w:val="21"/>
                <w:szCs w:val="22"/>
                <w:highlight w:val="none"/>
              </w:rPr>
              <w:t xml:space="preserve"> </w:t>
            </w:r>
            <w:r>
              <w:rPr>
                <w:rFonts w:hint="eastAsia" w:ascii="Times New Roman" w:eastAsia="宋体" w:cs="Times New Roman"/>
                <w:color w:val="auto"/>
                <w:kern w:val="2"/>
                <w:sz w:val="21"/>
                <w:szCs w:val="22"/>
                <w:highlight w:val="none"/>
                <w:lang w:val="en-US" w:eastAsia="zh-CN"/>
              </w:rPr>
              <w:t>7</w:t>
            </w:r>
            <w:r>
              <w:rPr>
                <w:rFonts w:ascii="Times New Roman" w:eastAsia="宋体" w:cs="Times New Roman"/>
                <w:color w:val="auto"/>
                <w:kern w:val="2"/>
                <w:sz w:val="21"/>
                <w:szCs w:val="22"/>
                <w:highlight w:val="none"/>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2089" w:type="dxa"/>
            <w:gridSpan w:val="3"/>
            <w:vAlign w:val="center"/>
          </w:tcPr>
          <w:p>
            <w:pPr>
              <w:spacing w:line="400" w:lineRule="exact"/>
              <w:jc w:val="center"/>
              <w:rPr>
                <w:color w:val="auto"/>
                <w:szCs w:val="21"/>
                <w:highlight w:val="none"/>
              </w:rPr>
            </w:pPr>
            <w:r>
              <w:rPr>
                <w:color w:val="auto"/>
                <w:szCs w:val="21"/>
                <w:highlight w:val="none"/>
              </w:rPr>
              <w:t>澄清</w:t>
            </w:r>
          </w:p>
        </w:tc>
        <w:tc>
          <w:tcPr>
            <w:tcW w:w="7088" w:type="dxa"/>
            <w:gridSpan w:val="3"/>
            <w:vAlign w:val="center"/>
          </w:tcPr>
          <w:p>
            <w:pPr>
              <w:spacing w:line="280" w:lineRule="exact"/>
              <w:rPr>
                <w:color w:val="auto"/>
                <w:highlight w:val="none"/>
              </w:rPr>
            </w:pPr>
            <w:r>
              <w:rPr>
                <w:color w:val="auto"/>
                <w:highlight w:val="none"/>
              </w:rPr>
              <w:t>发生以下任一情形的，作否决</w:t>
            </w:r>
            <w:r>
              <w:rPr>
                <w:rFonts w:hint="eastAsia"/>
                <w:color w:val="auto"/>
                <w:highlight w:val="none"/>
              </w:rPr>
              <w:t>竞标</w:t>
            </w:r>
            <w:r>
              <w:rPr>
                <w:color w:val="auto"/>
                <w:highlight w:val="none"/>
              </w:rPr>
              <w:t>处理：</w:t>
            </w:r>
          </w:p>
          <w:p>
            <w:pPr>
              <w:spacing w:line="280" w:lineRule="exact"/>
              <w:rPr>
                <w:color w:val="auto"/>
                <w:highlight w:val="none"/>
              </w:rPr>
            </w:pPr>
            <w:r>
              <w:rPr>
                <w:color w:val="auto"/>
                <w:highlight w:val="none"/>
              </w:rPr>
              <w:t>（1）</w:t>
            </w:r>
            <w:r>
              <w:rPr>
                <w:rFonts w:hint="eastAsia"/>
                <w:color w:val="auto"/>
                <w:highlight w:val="none"/>
              </w:rPr>
              <w:t>竞标人</w:t>
            </w:r>
            <w:r>
              <w:rPr>
                <w:color w:val="auto"/>
                <w:highlight w:val="none"/>
              </w:rPr>
              <w:t>拒绝确认算术性修正后的报价；</w:t>
            </w:r>
          </w:p>
          <w:p>
            <w:pPr>
              <w:spacing w:line="280" w:lineRule="exact"/>
              <w:jc w:val="left"/>
              <w:rPr>
                <w:color w:val="auto"/>
                <w:highlight w:val="none"/>
              </w:rPr>
            </w:pPr>
            <w:r>
              <w:rPr>
                <w:color w:val="auto"/>
                <w:highlight w:val="none"/>
              </w:rPr>
              <w:t>（2）修正后的最终</w:t>
            </w:r>
            <w:r>
              <w:rPr>
                <w:rFonts w:hint="eastAsia"/>
                <w:color w:val="auto"/>
                <w:highlight w:val="none"/>
              </w:rPr>
              <w:t>竞标报价</w:t>
            </w:r>
            <w:r>
              <w:rPr>
                <w:color w:val="auto"/>
                <w:highlight w:val="none"/>
              </w:rPr>
              <w:t>超过最高限价；</w:t>
            </w:r>
          </w:p>
          <w:p>
            <w:pPr>
              <w:pStyle w:val="2"/>
              <w:ind w:left="0" w:leftChars="0" w:firstLine="0" w:firstLineChars="0"/>
              <w:rPr>
                <w:color w:val="auto"/>
                <w:highlight w:val="none"/>
              </w:rPr>
            </w:pPr>
            <w:r>
              <w:rPr>
                <w:rFonts w:ascii="Calibri" w:hAnsi="Calibri" w:eastAsiaTheme="minorEastAsia" w:cstheme="minorBidi"/>
                <w:b w:val="0"/>
                <w:color w:val="auto"/>
                <w:kern w:val="2"/>
                <w:sz w:val="21"/>
                <w:szCs w:val="24"/>
                <w:highlight w:val="none"/>
                <w:lang w:val="en-US" w:eastAsia="zh-CN" w:bidi="ar-SA"/>
              </w:rPr>
              <w:t>（</w:t>
            </w:r>
            <w:r>
              <w:rPr>
                <w:rFonts w:hint="eastAsia" w:ascii="Calibri" w:eastAsiaTheme="minorEastAsia" w:cstheme="minorBidi"/>
                <w:b w:val="0"/>
                <w:color w:val="auto"/>
                <w:kern w:val="2"/>
                <w:sz w:val="21"/>
                <w:szCs w:val="24"/>
                <w:highlight w:val="none"/>
                <w:lang w:val="en-US" w:eastAsia="zh-CN" w:bidi="ar-SA"/>
              </w:rPr>
              <w:t>3</w:t>
            </w:r>
            <w:r>
              <w:rPr>
                <w:rFonts w:ascii="Calibri" w:hAnsi="Calibri" w:eastAsiaTheme="minorEastAsia" w:cstheme="minorBidi"/>
                <w:b w:val="0"/>
                <w:color w:val="auto"/>
                <w:kern w:val="2"/>
                <w:sz w:val="21"/>
                <w:szCs w:val="24"/>
                <w:highlight w:val="none"/>
                <w:lang w:val="en-US" w:eastAsia="zh-CN" w:bidi="ar-SA"/>
              </w:rPr>
              <w:t>）</w:t>
            </w:r>
            <w:r>
              <w:rPr>
                <w:rFonts w:hint="eastAsia" w:ascii="Calibri" w:hAnsi="Calibri" w:eastAsiaTheme="minorEastAsia" w:cstheme="minorBidi"/>
                <w:b w:val="0"/>
                <w:color w:val="auto"/>
                <w:kern w:val="2"/>
                <w:sz w:val="21"/>
                <w:szCs w:val="24"/>
                <w:highlight w:val="none"/>
                <w:lang w:val="en-US" w:eastAsia="zh-CN" w:bidi="ar-SA"/>
              </w:rPr>
              <w:t>单块广告牌报价超过限价</w:t>
            </w:r>
            <w:r>
              <w:rPr>
                <w:rFonts w:hint="eastAsia" w:ascii="Calibri" w:eastAsiaTheme="minorEastAsia" w:cstheme="minorBidi"/>
                <w:b w:val="0"/>
                <w:color w:val="auto"/>
                <w:kern w:val="2"/>
                <w:sz w:val="21"/>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2089" w:type="dxa"/>
            <w:gridSpan w:val="3"/>
            <w:vAlign w:val="center"/>
          </w:tcPr>
          <w:p>
            <w:pPr>
              <w:spacing w:line="400" w:lineRule="exact"/>
              <w:jc w:val="center"/>
              <w:rPr>
                <w:color w:val="auto"/>
                <w:szCs w:val="21"/>
                <w:highlight w:val="none"/>
              </w:rPr>
            </w:pPr>
            <w:r>
              <w:rPr>
                <w:color w:val="auto"/>
                <w:szCs w:val="21"/>
                <w:highlight w:val="none"/>
              </w:rPr>
              <w:t>视为</w:t>
            </w:r>
            <w:r>
              <w:rPr>
                <w:rFonts w:hint="eastAsia"/>
                <w:color w:val="auto"/>
                <w:szCs w:val="21"/>
                <w:highlight w:val="none"/>
              </w:rPr>
              <w:t>比选申请人</w:t>
            </w:r>
            <w:r>
              <w:rPr>
                <w:color w:val="auto"/>
                <w:szCs w:val="21"/>
                <w:highlight w:val="none"/>
              </w:rPr>
              <w:t>相互串通</w:t>
            </w:r>
            <w:r>
              <w:rPr>
                <w:rFonts w:hint="eastAsia"/>
                <w:color w:val="auto"/>
                <w:szCs w:val="21"/>
                <w:highlight w:val="none"/>
              </w:rPr>
              <w:t>竞标</w:t>
            </w:r>
            <w:r>
              <w:rPr>
                <w:color w:val="auto"/>
                <w:szCs w:val="21"/>
                <w:highlight w:val="none"/>
              </w:rPr>
              <w:t>的情形</w:t>
            </w:r>
          </w:p>
        </w:tc>
        <w:tc>
          <w:tcPr>
            <w:tcW w:w="7088" w:type="dxa"/>
            <w:gridSpan w:val="3"/>
            <w:vAlign w:val="center"/>
          </w:tcPr>
          <w:p>
            <w:pPr>
              <w:spacing w:line="280" w:lineRule="exact"/>
              <w:rPr>
                <w:b/>
                <w:color w:val="auto"/>
                <w:szCs w:val="21"/>
                <w:highlight w:val="none"/>
              </w:rPr>
            </w:pPr>
            <w:r>
              <w:rPr>
                <w:b/>
                <w:color w:val="auto"/>
                <w:szCs w:val="21"/>
                <w:highlight w:val="none"/>
              </w:rPr>
              <w:t>有下列情况之一的，视为</w:t>
            </w:r>
            <w:r>
              <w:rPr>
                <w:rFonts w:hint="eastAsia"/>
                <w:b/>
                <w:color w:val="auto"/>
                <w:szCs w:val="21"/>
                <w:highlight w:val="none"/>
              </w:rPr>
              <w:t>竞标人</w:t>
            </w:r>
            <w:r>
              <w:rPr>
                <w:b/>
                <w:color w:val="auto"/>
                <w:szCs w:val="21"/>
                <w:highlight w:val="none"/>
              </w:rPr>
              <w:t>相互串通</w:t>
            </w:r>
            <w:r>
              <w:rPr>
                <w:rFonts w:hint="eastAsia"/>
                <w:b/>
                <w:color w:val="auto"/>
                <w:szCs w:val="21"/>
                <w:highlight w:val="none"/>
              </w:rPr>
              <w:t>竞标</w:t>
            </w:r>
            <w:r>
              <w:rPr>
                <w:b/>
                <w:color w:val="auto"/>
                <w:szCs w:val="21"/>
                <w:highlight w:val="none"/>
              </w:rPr>
              <w:t>，做否决</w:t>
            </w:r>
            <w:r>
              <w:rPr>
                <w:rFonts w:hint="eastAsia"/>
                <w:b/>
                <w:color w:val="auto"/>
                <w:szCs w:val="21"/>
                <w:highlight w:val="none"/>
              </w:rPr>
              <w:t>竞标</w:t>
            </w:r>
            <w:r>
              <w:rPr>
                <w:b/>
                <w:color w:val="auto"/>
                <w:szCs w:val="21"/>
                <w:highlight w:val="none"/>
              </w:rPr>
              <w:t>处理。</w:t>
            </w:r>
          </w:p>
          <w:p>
            <w:pPr>
              <w:numPr>
                <w:ilvl w:val="0"/>
                <w:numId w:val="1"/>
              </w:numPr>
              <w:spacing w:line="280" w:lineRule="exact"/>
              <w:ind w:left="0"/>
              <w:rPr>
                <w:color w:val="auto"/>
                <w:szCs w:val="21"/>
                <w:highlight w:val="none"/>
              </w:rPr>
            </w:pPr>
            <w:r>
              <w:rPr>
                <w:color w:val="auto"/>
                <w:szCs w:val="21"/>
                <w:highlight w:val="none"/>
              </w:rPr>
              <w:t>不同</w:t>
            </w:r>
            <w:r>
              <w:rPr>
                <w:rFonts w:hint="eastAsia"/>
                <w:color w:val="auto"/>
                <w:szCs w:val="21"/>
                <w:highlight w:val="none"/>
              </w:rPr>
              <w:t>比选申请人</w:t>
            </w:r>
            <w:r>
              <w:rPr>
                <w:color w:val="auto"/>
                <w:szCs w:val="21"/>
                <w:highlight w:val="none"/>
              </w:rPr>
              <w:t>的</w:t>
            </w:r>
            <w:r>
              <w:rPr>
                <w:rFonts w:hint="eastAsia"/>
                <w:color w:val="auto"/>
                <w:szCs w:val="21"/>
                <w:highlight w:val="none"/>
              </w:rPr>
              <w:t>竞争性比选申请文件</w:t>
            </w:r>
            <w:r>
              <w:rPr>
                <w:color w:val="auto"/>
                <w:szCs w:val="21"/>
                <w:highlight w:val="none"/>
              </w:rPr>
              <w:t>由同一单位或者个人编制；</w:t>
            </w:r>
          </w:p>
          <w:p>
            <w:pPr>
              <w:numPr>
                <w:ilvl w:val="0"/>
                <w:numId w:val="1"/>
              </w:numPr>
              <w:spacing w:line="280" w:lineRule="exact"/>
              <w:ind w:left="0"/>
              <w:rPr>
                <w:color w:val="auto"/>
                <w:szCs w:val="21"/>
                <w:highlight w:val="none"/>
              </w:rPr>
            </w:pPr>
            <w:r>
              <w:rPr>
                <w:color w:val="auto"/>
                <w:szCs w:val="21"/>
                <w:highlight w:val="none"/>
              </w:rPr>
              <w:t>不同</w:t>
            </w:r>
            <w:r>
              <w:rPr>
                <w:rFonts w:hint="eastAsia"/>
                <w:color w:val="auto"/>
                <w:szCs w:val="21"/>
                <w:highlight w:val="none"/>
              </w:rPr>
              <w:t>比选申请人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1"/>
              </w:numPr>
              <w:spacing w:line="280" w:lineRule="exact"/>
              <w:ind w:left="0"/>
              <w:rPr>
                <w:color w:val="auto"/>
                <w:szCs w:val="21"/>
                <w:highlight w:val="none"/>
              </w:rPr>
            </w:pPr>
            <w:r>
              <w:rPr>
                <w:color w:val="auto"/>
                <w:szCs w:val="21"/>
                <w:highlight w:val="none"/>
              </w:rPr>
              <w:t>不同</w:t>
            </w:r>
            <w:r>
              <w:rPr>
                <w:rFonts w:hint="eastAsia"/>
                <w:color w:val="auto"/>
                <w:szCs w:val="21"/>
                <w:highlight w:val="none"/>
              </w:rPr>
              <w:t>比选申请人</w:t>
            </w:r>
            <w:r>
              <w:rPr>
                <w:color w:val="auto"/>
                <w:szCs w:val="21"/>
                <w:highlight w:val="none"/>
              </w:rPr>
              <w:t>的</w:t>
            </w:r>
            <w:r>
              <w:rPr>
                <w:rFonts w:hint="eastAsia"/>
                <w:color w:val="auto"/>
                <w:szCs w:val="21"/>
                <w:highlight w:val="none"/>
              </w:rPr>
              <w:t>竞争性比选申请文件</w:t>
            </w:r>
            <w:r>
              <w:rPr>
                <w:color w:val="auto"/>
                <w:szCs w:val="21"/>
                <w:highlight w:val="none"/>
              </w:rPr>
              <w:t>载明的项目管理成员为同一人；</w:t>
            </w:r>
          </w:p>
          <w:p>
            <w:pPr>
              <w:numPr>
                <w:ilvl w:val="0"/>
                <w:numId w:val="1"/>
              </w:numPr>
              <w:spacing w:line="280" w:lineRule="exact"/>
              <w:ind w:left="0"/>
              <w:rPr>
                <w:color w:val="auto"/>
                <w:szCs w:val="21"/>
                <w:highlight w:val="none"/>
              </w:rPr>
            </w:pPr>
            <w:r>
              <w:rPr>
                <w:color w:val="auto"/>
                <w:szCs w:val="21"/>
                <w:highlight w:val="none"/>
              </w:rPr>
              <w:t>不同</w:t>
            </w:r>
            <w:r>
              <w:rPr>
                <w:rFonts w:hint="eastAsia"/>
                <w:color w:val="auto"/>
                <w:szCs w:val="21"/>
                <w:highlight w:val="none"/>
              </w:rPr>
              <w:t>比选申请人</w:t>
            </w:r>
            <w:r>
              <w:rPr>
                <w:color w:val="auto"/>
                <w:szCs w:val="21"/>
                <w:highlight w:val="none"/>
              </w:rPr>
              <w:t>的</w:t>
            </w:r>
            <w:r>
              <w:rPr>
                <w:rFonts w:hint="eastAsia"/>
                <w:color w:val="auto"/>
                <w:szCs w:val="21"/>
                <w:highlight w:val="none"/>
              </w:rPr>
              <w:t>竞争性比选申请文件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p>
          <w:p>
            <w:pPr>
              <w:numPr>
                <w:ilvl w:val="0"/>
                <w:numId w:val="1"/>
              </w:numPr>
              <w:spacing w:line="280" w:lineRule="exact"/>
              <w:ind w:left="0"/>
              <w:rPr>
                <w:color w:val="auto"/>
                <w:szCs w:val="21"/>
                <w:highlight w:val="none"/>
              </w:rPr>
            </w:pPr>
            <w:r>
              <w:rPr>
                <w:color w:val="auto"/>
                <w:szCs w:val="21"/>
                <w:highlight w:val="none"/>
              </w:rPr>
              <w:t>不同</w:t>
            </w:r>
            <w:r>
              <w:rPr>
                <w:rFonts w:hint="eastAsia"/>
                <w:color w:val="auto"/>
                <w:szCs w:val="21"/>
                <w:highlight w:val="none"/>
              </w:rPr>
              <w:t>比选申请人</w:t>
            </w:r>
            <w:r>
              <w:rPr>
                <w:color w:val="auto"/>
                <w:szCs w:val="21"/>
                <w:highlight w:val="none"/>
              </w:rPr>
              <w:t>的</w:t>
            </w:r>
            <w:r>
              <w:rPr>
                <w:rFonts w:hint="eastAsia"/>
                <w:color w:val="auto"/>
                <w:szCs w:val="21"/>
                <w:highlight w:val="none"/>
              </w:rPr>
              <w:t>竞争性比选申请文件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955" w:type="dxa"/>
            <w:gridSpan w:val="2"/>
            <w:vAlign w:val="center"/>
          </w:tcPr>
          <w:p>
            <w:pPr>
              <w:spacing w:line="388" w:lineRule="exact"/>
              <w:jc w:val="center"/>
              <w:rPr>
                <w:rFonts w:ascii="宋体" w:hAnsi="宋体" w:cs="宋体"/>
                <w:color w:val="auto"/>
                <w:kern w:val="0"/>
                <w:highlight w:val="none"/>
              </w:rPr>
            </w:pPr>
            <w:r>
              <w:rPr>
                <w:rFonts w:hint="eastAsia" w:ascii="宋体" w:hAnsi="宋体" w:cs="宋体"/>
                <w:color w:val="auto"/>
                <w:kern w:val="0"/>
                <w:highlight w:val="none"/>
              </w:rPr>
              <w:t>2.2.1</w:t>
            </w:r>
          </w:p>
          <w:p>
            <w:pPr>
              <w:spacing w:line="388" w:lineRule="exact"/>
              <w:jc w:val="center"/>
              <w:rPr>
                <w:color w:val="auto"/>
                <w:highlight w:val="none"/>
              </w:rPr>
            </w:pPr>
            <w:r>
              <w:rPr>
                <w:rFonts w:hint="eastAsia" w:ascii="宋体" w:hAnsi="宋体" w:cs="宋体"/>
                <w:color w:val="auto"/>
                <w:kern w:val="0"/>
                <w:highlight w:val="none"/>
              </w:rPr>
              <w:t>（1）</w:t>
            </w:r>
          </w:p>
        </w:tc>
        <w:tc>
          <w:tcPr>
            <w:tcW w:w="1134" w:type="dxa"/>
            <w:vAlign w:val="center"/>
          </w:tcPr>
          <w:p>
            <w:pPr>
              <w:spacing w:line="441" w:lineRule="exact"/>
              <w:jc w:val="center"/>
              <w:rPr>
                <w:rFonts w:ascii="宋体" w:hAnsi="宋体"/>
                <w:color w:val="auto"/>
                <w:highlight w:val="none"/>
              </w:rPr>
            </w:pPr>
            <w:r>
              <w:rPr>
                <w:rFonts w:hint="eastAsia" w:ascii="宋体" w:hAnsi="宋体"/>
                <w:color w:val="auto"/>
                <w:highlight w:val="none"/>
              </w:rPr>
              <w:t>竞标报价</w:t>
            </w:r>
            <w:r>
              <w:rPr>
                <w:rFonts w:hint="eastAsia" w:ascii="宋体" w:hAnsi="宋体" w:cs="宋体"/>
                <w:color w:val="auto"/>
                <w:kern w:val="0"/>
                <w:highlight w:val="none"/>
              </w:rPr>
              <w:t>得分（</w:t>
            </w:r>
            <w:r>
              <w:rPr>
                <w:rFonts w:hint="eastAsia" w:ascii="宋体" w:hAnsi="宋体" w:cs="宋体"/>
                <w:color w:val="auto"/>
                <w:kern w:val="0"/>
                <w:highlight w:val="none"/>
                <w:lang w:val="en-US" w:eastAsia="zh-CN"/>
              </w:rPr>
              <w:t>7</w:t>
            </w:r>
            <w:r>
              <w:rPr>
                <w:rFonts w:hint="eastAsia" w:ascii="宋体" w:hAnsi="宋体" w:cs="宋体"/>
                <w:color w:val="auto"/>
                <w:kern w:val="0"/>
                <w:highlight w:val="none"/>
              </w:rPr>
              <w:t>0分）</w:t>
            </w:r>
          </w:p>
        </w:tc>
        <w:tc>
          <w:tcPr>
            <w:tcW w:w="7088" w:type="dxa"/>
            <w:gridSpan w:val="3"/>
          </w:tcPr>
          <w:p>
            <w:pPr>
              <w:pStyle w:val="8"/>
              <w:numPr>
                <w:ilvl w:val="0"/>
                <w:numId w:val="2"/>
              </w:numPr>
              <w:spacing w:line="300" w:lineRule="exact"/>
              <w:rPr>
                <w:rFonts w:ascii="Times New Roman" w:hAnsi="Times New Roman"/>
                <w:color w:val="auto"/>
                <w:highlight w:val="none"/>
              </w:rPr>
            </w:pPr>
            <w:r>
              <w:rPr>
                <w:rFonts w:hint="eastAsia" w:ascii="Times New Roman" w:hAnsi="Times New Roman"/>
                <w:color w:val="auto"/>
                <w:highlight w:val="none"/>
              </w:rPr>
              <w:t>报价</w:t>
            </w:r>
            <w:r>
              <w:rPr>
                <w:rFonts w:ascii="Times New Roman" w:hAnsi="Times New Roman"/>
                <w:color w:val="auto"/>
                <w:highlight w:val="none"/>
              </w:rPr>
              <w:t>得分的计算程序：</w:t>
            </w:r>
          </w:p>
          <w:p>
            <w:pPr>
              <w:pStyle w:val="8"/>
              <w:spacing w:line="300" w:lineRule="exact"/>
              <w:rPr>
                <w:rFonts w:ascii="Times New Roman" w:hAnsi="Times New Roman"/>
                <w:color w:val="auto"/>
                <w:highlight w:val="none"/>
              </w:rPr>
            </w:pPr>
            <w:r>
              <w:rPr>
                <w:rFonts w:ascii="Times New Roman" w:hAnsi="Times New Roman"/>
                <w:color w:val="auto"/>
                <w:highlight w:val="none"/>
              </w:rPr>
              <w:t>（1）有效</w:t>
            </w:r>
            <w:r>
              <w:rPr>
                <w:rFonts w:hint="eastAsia" w:ascii="Times New Roman" w:hAnsi="Times New Roman"/>
                <w:color w:val="auto"/>
                <w:highlight w:val="none"/>
              </w:rPr>
              <w:t>报价</w:t>
            </w:r>
            <w:r>
              <w:rPr>
                <w:rFonts w:ascii="Times New Roman" w:hAnsi="Times New Roman"/>
                <w:color w:val="auto"/>
                <w:highlight w:val="none"/>
              </w:rPr>
              <w:t>的确定：未通过初步评审的</w:t>
            </w:r>
            <w:r>
              <w:rPr>
                <w:rFonts w:hint="eastAsia" w:ascii="Times New Roman" w:hAnsi="Times New Roman"/>
                <w:color w:val="auto"/>
                <w:highlight w:val="none"/>
              </w:rPr>
              <w:t>报价</w:t>
            </w:r>
            <w:r>
              <w:rPr>
                <w:rFonts w:ascii="Times New Roman" w:hAnsi="Times New Roman"/>
                <w:color w:val="auto"/>
                <w:highlight w:val="none"/>
              </w:rPr>
              <w:t>按否决</w:t>
            </w:r>
            <w:r>
              <w:rPr>
                <w:rFonts w:hint="eastAsia" w:ascii="Times New Roman" w:hAnsi="Times New Roman"/>
                <w:color w:val="auto"/>
                <w:highlight w:val="none"/>
              </w:rPr>
              <w:t>竞标</w:t>
            </w:r>
            <w:r>
              <w:rPr>
                <w:rFonts w:ascii="Times New Roman" w:hAnsi="Times New Roman"/>
                <w:color w:val="auto"/>
                <w:highlight w:val="none"/>
              </w:rPr>
              <w:t>处理，不进行后续评审，并且不参与本项目评标基准价的计算。</w:t>
            </w:r>
          </w:p>
          <w:p>
            <w:pPr>
              <w:spacing w:line="300" w:lineRule="exact"/>
              <w:rPr>
                <w:color w:val="auto"/>
                <w:szCs w:val="21"/>
                <w:highlight w:val="none"/>
              </w:rPr>
            </w:pPr>
            <w:r>
              <w:rPr>
                <w:color w:val="auto"/>
                <w:szCs w:val="21"/>
                <w:highlight w:val="none"/>
              </w:rPr>
              <w:t>（2）</w:t>
            </w:r>
            <w:r>
              <w:rPr>
                <w:rFonts w:hint="eastAsia"/>
                <w:color w:val="auto"/>
                <w:szCs w:val="21"/>
                <w:highlight w:val="none"/>
              </w:rPr>
              <w:t>报价</w:t>
            </w:r>
            <w:r>
              <w:rPr>
                <w:color w:val="auto"/>
                <w:szCs w:val="21"/>
                <w:highlight w:val="none"/>
              </w:rPr>
              <w:t>基准价（D）的计算：</w:t>
            </w:r>
          </w:p>
          <w:p>
            <w:pPr>
              <w:spacing w:line="300" w:lineRule="exact"/>
              <w:rPr>
                <w:color w:val="auto"/>
                <w:szCs w:val="21"/>
                <w:highlight w:val="none"/>
              </w:rPr>
            </w:pPr>
            <w:r>
              <w:rPr>
                <w:rFonts w:hint="eastAsia"/>
                <w:color w:val="auto"/>
                <w:szCs w:val="21"/>
                <w:highlight w:val="none"/>
              </w:rPr>
              <w:t>a、</w:t>
            </w:r>
            <w:r>
              <w:rPr>
                <w:color w:val="auto"/>
                <w:szCs w:val="21"/>
                <w:highlight w:val="none"/>
              </w:rPr>
              <w:t>有效</w:t>
            </w:r>
            <w:r>
              <w:rPr>
                <w:rFonts w:hint="eastAsia"/>
                <w:color w:val="auto"/>
                <w:szCs w:val="21"/>
                <w:highlight w:val="none"/>
              </w:rPr>
              <w:t>报价</w:t>
            </w:r>
            <w:r>
              <w:rPr>
                <w:color w:val="auto"/>
                <w:szCs w:val="21"/>
                <w:highlight w:val="none"/>
              </w:rPr>
              <w:t>大于5家时</w:t>
            </w:r>
            <w:r>
              <w:rPr>
                <w:rFonts w:hint="eastAsia"/>
                <w:color w:val="auto"/>
                <w:szCs w:val="21"/>
                <w:highlight w:val="none"/>
              </w:rPr>
              <w:t>：</w:t>
            </w:r>
            <w:r>
              <w:rPr>
                <w:color w:val="auto"/>
                <w:szCs w:val="21"/>
                <w:highlight w:val="none"/>
              </w:rPr>
              <w:t>所有被宣读</w:t>
            </w:r>
            <w:r>
              <w:rPr>
                <w:rFonts w:hint="eastAsia"/>
                <w:color w:val="auto"/>
                <w:szCs w:val="21"/>
                <w:highlight w:val="none"/>
              </w:rPr>
              <w:t>报价</w:t>
            </w:r>
            <w:r>
              <w:rPr>
                <w:color w:val="auto"/>
                <w:szCs w:val="21"/>
                <w:highlight w:val="none"/>
              </w:rPr>
              <w:t>（应为经修正后的）在有效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竞标报价</w:t>
            </w:r>
            <w:r>
              <w:rPr>
                <w:color w:val="auto"/>
                <w:szCs w:val="21"/>
                <w:highlight w:val="none"/>
              </w:rPr>
              <w:t>，去掉一个最高报价和一个最低报价的算术平均值即为</w:t>
            </w:r>
            <w:r>
              <w:rPr>
                <w:rFonts w:hint="eastAsia"/>
                <w:color w:val="auto"/>
                <w:szCs w:val="21"/>
                <w:highlight w:val="none"/>
              </w:rPr>
              <w:t>报价</w:t>
            </w:r>
            <w:r>
              <w:rPr>
                <w:color w:val="auto"/>
                <w:szCs w:val="21"/>
                <w:highlight w:val="none"/>
              </w:rPr>
              <w:t>基准价（D）；</w:t>
            </w:r>
          </w:p>
          <w:p>
            <w:pPr>
              <w:spacing w:line="300" w:lineRule="exact"/>
              <w:rPr>
                <w:color w:val="auto"/>
                <w:szCs w:val="21"/>
                <w:highlight w:val="none"/>
              </w:rPr>
            </w:pPr>
            <w:r>
              <w:rPr>
                <w:rFonts w:hint="eastAsia"/>
                <w:color w:val="auto"/>
                <w:szCs w:val="21"/>
                <w:highlight w:val="none"/>
              </w:rPr>
              <w:t>b、</w:t>
            </w:r>
            <w:r>
              <w:rPr>
                <w:color w:val="auto"/>
                <w:szCs w:val="21"/>
                <w:highlight w:val="none"/>
              </w:rPr>
              <w:t>有效</w:t>
            </w:r>
            <w:r>
              <w:rPr>
                <w:rFonts w:hint="eastAsia"/>
                <w:color w:val="auto"/>
                <w:szCs w:val="21"/>
                <w:highlight w:val="none"/>
              </w:rPr>
              <w:t>报价</w:t>
            </w:r>
            <w:r>
              <w:rPr>
                <w:color w:val="auto"/>
                <w:szCs w:val="21"/>
                <w:highlight w:val="none"/>
              </w:rPr>
              <w:t>小于或等于5家时：所有被宣读</w:t>
            </w:r>
            <w:r>
              <w:rPr>
                <w:rFonts w:hint="eastAsia"/>
                <w:color w:val="auto"/>
                <w:szCs w:val="21"/>
                <w:highlight w:val="none"/>
              </w:rPr>
              <w:t>报价</w:t>
            </w:r>
            <w:r>
              <w:rPr>
                <w:color w:val="auto"/>
                <w:szCs w:val="21"/>
                <w:highlight w:val="none"/>
              </w:rPr>
              <w:t>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竞标报价</w:t>
            </w:r>
            <w:r>
              <w:rPr>
                <w:color w:val="auto"/>
                <w:szCs w:val="21"/>
                <w:highlight w:val="none"/>
              </w:rPr>
              <w:t>的算术平均值即为</w:t>
            </w:r>
            <w:r>
              <w:rPr>
                <w:rFonts w:hint="eastAsia"/>
                <w:color w:val="auto"/>
                <w:szCs w:val="21"/>
                <w:highlight w:val="none"/>
              </w:rPr>
              <w:t>报价</w:t>
            </w:r>
            <w:r>
              <w:rPr>
                <w:color w:val="auto"/>
                <w:szCs w:val="21"/>
                <w:highlight w:val="none"/>
              </w:rPr>
              <w:t xml:space="preserve">基准价（D）； </w:t>
            </w:r>
          </w:p>
          <w:p>
            <w:pPr>
              <w:spacing w:line="300" w:lineRule="exact"/>
              <w:rPr>
                <w:color w:val="auto"/>
                <w:szCs w:val="21"/>
                <w:highlight w:val="none"/>
              </w:rPr>
            </w:pPr>
            <w:r>
              <w:rPr>
                <w:color w:val="auto"/>
                <w:szCs w:val="21"/>
                <w:highlight w:val="none"/>
              </w:rPr>
              <w:t>（3）当</w:t>
            </w:r>
            <w:r>
              <w:rPr>
                <w:rFonts w:hint="eastAsia"/>
                <w:color w:val="auto"/>
                <w:szCs w:val="21"/>
                <w:highlight w:val="none"/>
              </w:rPr>
              <w:t>比选申请人的竞标报价</w:t>
            </w:r>
            <w:r>
              <w:rPr>
                <w:color w:val="auto"/>
                <w:szCs w:val="21"/>
                <w:highlight w:val="none"/>
              </w:rPr>
              <w:t>等于D时得满分（</w:t>
            </w:r>
            <w:r>
              <w:rPr>
                <w:rFonts w:hint="eastAsia"/>
                <w:color w:val="auto"/>
                <w:szCs w:val="21"/>
                <w:highlight w:val="none"/>
                <w:lang w:val="en-US" w:eastAsia="zh-CN"/>
              </w:rPr>
              <w:t>7</w:t>
            </w:r>
            <w:r>
              <w:rPr>
                <w:color w:val="auto"/>
                <w:szCs w:val="21"/>
                <w:highlight w:val="none"/>
              </w:rPr>
              <w:t>0分），每高于D一个百分点扣</w:t>
            </w:r>
            <w:r>
              <w:rPr>
                <w:rFonts w:hint="eastAsia"/>
                <w:color w:val="auto"/>
                <w:szCs w:val="21"/>
                <w:highlight w:val="none"/>
                <w:lang w:val="en-US" w:eastAsia="zh-CN"/>
              </w:rPr>
              <w:t>1</w:t>
            </w:r>
            <w:r>
              <w:rPr>
                <w:color w:val="auto"/>
                <w:szCs w:val="21"/>
                <w:highlight w:val="none"/>
              </w:rPr>
              <w:t>分，每低于D一个百分点扣</w:t>
            </w:r>
            <w:r>
              <w:rPr>
                <w:rFonts w:hint="eastAsia"/>
                <w:color w:val="auto"/>
                <w:szCs w:val="21"/>
                <w:highlight w:val="none"/>
                <w:lang w:val="en-US" w:eastAsia="zh-CN"/>
              </w:rPr>
              <w:t>0.5</w:t>
            </w:r>
            <w:r>
              <w:rPr>
                <w:color w:val="auto"/>
                <w:szCs w:val="21"/>
                <w:highlight w:val="none"/>
              </w:rPr>
              <w:t>分，中间值按比例内插。</w:t>
            </w:r>
          </w:p>
          <w:p>
            <w:pPr>
              <w:spacing w:line="300" w:lineRule="exact"/>
              <w:ind w:firstLine="480"/>
              <w:rPr>
                <w:color w:val="auto"/>
                <w:szCs w:val="21"/>
                <w:highlight w:val="none"/>
              </w:rPr>
            </w:pPr>
            <w:r>
              <w:rPr>
                <w:rFonts w:hint="eastAsia"/>
                <w:color w:val="auto"/>
                <w:szCs w:val="21"/>
                <w:highlight w:val="none"/>
              </w:rPr>
              <w:t>报价</w:t>
            </w:r>
            <w:r>
              <w:rPr>
                <w:color w:val="auto"/>
                <w:szCs w:val="21"/>
                <w:highlight w:val="none"/>
              </w:rPr>
              <w:t>得分用公式表示如下：</w:t>
            </w:r>
          </w:p>
          <w:p>
            <w:pPr>
              <w:spacing w:line="400" w:lineRule="exact"/>
              <w:ind w:firstLine="480"/>
              <w:jc w:val="center"/>
              <w:rPr>
                <w:color w:val="auto"/>
                <w:szCs w:val="21"/>
                <w:highlight w:val="none"/>
              </w:rPr>
            </w:pPr>
            <w:r>
              <w:rPr>
                <w:color w:val="auto"/>
                <w:szCs w:val="21"/>
                <w:highlight w:val="none"/>
              </w:rPr>
              <w:pict>
                <v:shape id="_x0000_s1031" o:spid="_x0000_s1031" o:spt="75" type="#_x0000_t75" style="position:absolute;left:0pt;margin-left:26.2pt;margin-top:9.5pt;height:31.95pt;width:139.95pt;mso-wrap-distance-bottom:0pt;mso-wrap-distance-left:9pt;mso-wrap-distance-right:9pt;mso-wrap-distance-top:0pt;z-index:251670528;mso-width-relative:page;mso-height-relative:page;" o:ole="t" filled="f" o:preferrelative="t" stroked="f" coordsize="21600,21600">
                  <v:path/>
                  <v:fill on="f" focussize="0,0"/>
                  <v:stroke on="f" joinstyle="miter"/>
                  <v:imagedata r:id="rId13" o:title=""/>
                  <o:lock v:ext="edit" aspectratio="t"/>
                  <w10:wrap type="square"/>
                </v:shape>
                <o:OLEObject Type="Embed" ProgID="Equation.3" ShapeID="_x0000_s1031" DrawAspect="Content" ObjectID="_1468075725" r:id="rId12">
                  <o:LockedField>false</o:LockedField>
                </o:OLEObject>
              </w:pict>
            </w:r>
          </w:p>
          <w:p>
            <w:pPr>
              <w:spacing w:line="400" w:lineRule="exact"/>
              <w:ind w:firstLine="480"/>
              <w:rPr>
                <w:color w:val="auto"/>
                <w:szCs w:val="21"/>
                <w:highlight w:val="none"/>
              </w:rPr>
            </w:pPr>
          </w:p>
          <w:p>
            <w:pPr>
              <w:pStyle w:val="19"/>
              <w:rPr>
                <w:color w:val="auto"/>
                <w:highlight w:val="none"/>
              </w:rPr>
            </w:pPr>
          </w:p>
          <w:p>
            <w:pPr>
              <w:spacing w:line="400" w:lineRule="exact"/>
              <w:ind w:firstLine="480"/>
              <w:rPr>
                <w:color w:val="auto"/>
                <w:szCs w:val="21"/>
                <w:highlight w:val="none"/>
              </w:rPr>
            </w:pPr>
            <w:r>
              <w:rPr>
                <w:color w:val="auto"/>
                <w:szCs w:val="21"/>
                <w:highlight w:val="none"/>
              </w:rPr>
              <w:t>式中：F</w:t>
            </w:r>
            <w:r>
              <w:rPr>
                <w:color w:val="auto"/>
                <w:szCs w:val="21"/>
                <w:highlight w:val="none"/>
                <w:vertAlign w:val="subscript"/>
              </w:rPr>
              <w:t>1</w:t>
            </w:r>
            <w:r>
              <w:rPr>
                <w:color w:val="auto"/>
                <w:szCs w:val="21"/>
                <w:highlight w:val="none"/>
              </w:rPr>
              <w:t>=</w:t>
            </w:r>
            <w:r>
              <w:rPr>
                <w:rFonts w:hint="eastAsia"/>
                <w:color w:val="auto"/>
                <w:szCs w:val="21"/>
                <w:highlight w:val="none"/>
              </w:rPr>
              <w:t>报价</w:t>
            </w:r>
            <w:r>
              <w:rPr>
                <w:color w:val="auto"/>
                <w:szCs w:val="21"/>
                <w:highlight w:val="none"/>
              </w:rPr>
              <w:t>得分；</w:t>
            </w:r>
          </w:p>
          <w:p>
            <w:pPr>
              <w:tabs>
                <w:tab w:val="left" w:pos="5060"/>
              </w:tabs>
              <w:spacing w:line="400" w:lineRule="exact"/>
              <w:ind w:firstLine="480"/>
              <w:rPr>
                <w:color w:val="auto"/>
                <w:szCs w:val="21"/>
                <w:highlight w:val="none"/>
              </w:rPr>
            </w:pPr>
            <w:r>
              <w:rPr>
                <w:color w:val="auto"/>
                <w:szCs w:val="21"/>
                <w:highlight w:val="none"/>
              </w:rPr>
              <w:t>F=80；</w:t>
            </w:r>
          </w:p>
          <w:p>
            <w:pPr>
              <w:spacing w:line="400" w:lineRule="exact"/>
              <w:ind w:firstLine="480"/>
              <w:rPr>
                <w:color w:val="auto"/>
                <w:szCs w:val="21"/>
                <w:highlight w:val="none"/>
              </w:rPr>
            </w:pPr>
            <w:r>
              <w:rPr>
                <w:color w:val="auto"/>
                <w:szCs w:val="21"/>
                <w:highlight w:val="none"/>
              </w:rPr>
              <w:t>D</w:t>
            </w:r>
            <w:r>
              <w:rPr>
                <w:color w:val="auto"/>
                <w:szCs w:val="21"/>
                <w:highlight w:val="none"/>
                <w:vertAlign w:val="subscript"/>
              </w:rPr>
              <w:t>1</w:t>
            </w:r>
            <w:r>
              <w:rPr>
                <w:color w:val="auto"/>
                <w:szCs w:val="21"/>
                <w:highlight w:val="none"/>
              </w:rPr>
              <w:t>=</w:t>
            </w:r>
            <w:r>
              <w:rPr>
                <w:rFonts w:hint="eastAsia"/>
                <w:color w:val="auto"/>
                <w:szCs w:val="21"/>
                <w:highlight w:val="none"/>
              </w:rPr>
              <w:t>比选申请人</w:t>
            </w:r>
            <w:r>
              <w:rPr>
                <w:color w:val="auto"/>
                <w:szCs w:val="21"/>
                <w:highlight w:val="none"/>
              </w:rPr>
              <w:t>的</w:t>
            </w:r>
            <w:r>
              <w:rPr>
                <w:rFonts w:hint="eastAsia"/>
                <w:color w:val="auto"/>
                <w:szCs w:val="21"/>
                <w:highlight w:val="none"/>
              </w:rPr>
              <w:t>报价</w:t>
            </w:r>
            <w:r>
              <w:rPr>
                <w:color w:val="auto"/>
                <w:szCs w:val="21"/>
                <w:highlight w:val="none"/>
              </w:rPr>
              <w:t>；</w:t>
            </w:r>
          </w:p>
          <w:p>
            <w:pPr>
              <w:spacing w:line="400" w:lineRule="exact"/>
              <w:ind w:firstLine="480"/>
              <w:rPr>
                <w:color w:val="auto"/>
                <w:szCs w:val="21"/>
                <w:highlight w:val="none"/>
              </w:rPr>
            </w:pPr>
            <w:r>
              <w:rPr>
                <w:color w:val="auto"/>
                <w:szCs w:val="21"/>
                <w:highlight w:val="none"/>
              </w:rPr>
              <w:t>D=</w:t>
            </w:r>
            <w:r>
              <w:rPr>
                <w:rFonts w:hint="eastAsia"/>
                <w:color w:val="auto"/>
                <w:szCs w:val="21"/>
                <w:highlight w:val="none"/>
              </w:rPr>
              <w:t>报价</w:t>
            </w:r>
            <w:r>
              <w:rPr>
                <w:color w:val="auto"/>
                <w:szCs w:val="21"/>
                <w:highlight w:val="none"/>
              </w:rPr>
              <w:t>基准价。</w:t>
            </w:r>
          </w:p>
          <w:p>
            <w:pPr>
              <w:tabs>
                <w:tab w:val="left" w:pos="5920"/>
              </w:tabs>
              <w:spacing w:line="400" w:lineRule="exact"/>
              <w:ind w:firstLine="480"/>
              <w:rPr>
                <w:color w:val="auto"/>
                <w:kern w:val="0"/>
                <w:szCs w:val="21"/>
                <w:highlight w:val="none"/>
              </w:rPr>
            </w:pPr>
            <w:r>
              <w:rPr>
                <w:b/>
                <w:bCs/>
                <w:color w:val="auto"/>
                <w:szCs w:val="21"/>
                <w:highlight w:val="none"/>
              </w:rPr>
              <w:t>若D</w:t>
            </w:r>
            <w:r>
              <w:rPr>
                <w:b/>
                <w:bCs/>
                <w:color w:val="auto"/>
                <w:szCs w:val="21"/>
                <w:highlight w:val="none"/>
                <w:vertAlign w:val="subscript"/>
              </w:rPr>
              <w:t>1</w:t>
            </w:r>
            <w:r>
              <w:rPr>
                <w:b/>
                <w:bCs/>
                <w:color w:val="auto"/>
                <w:szCs w:val="21"/>
                <w:highlight w:val="none"/>
              </w:rPr>
              <w:sym w:font="Symbol" w:char="F0B3"/>
            </w:r>
            <w:r>
              <w:rPr>
                <w:b/>
                <w:bCs/>
                <w:color w:val="auto"/>
                <w:szCs w:val="21"/>
                <w:highlight w:val="none"/>
              </w:rPr>
              <w:t>D，则E=1；若D</w:t>
            </w:r>
            <w:r>
              <w:rPr>
                <w:b/>
                <w:bCs/>
                <w:color w:val="auto"/>
                <w:szCs w:val="21"/>
                <w:highlight w:val="none"/>
                <w:vertAlign w:val="subscript"/>
              </w:rPr>
              <w:t>1</w:t>
            </w:r>
            <w:r>
              <w:rPr>
                <w:b/>
                <w:bCs/>
                <w:color w:val="auto"/>
                <w:szCs w:val="21"/>
                <w:highlight w:val="none"/>
              </w:rPr>
              <w:t>&lt;D，则E=</w:t>
            </w:r>
            <w:r>
              <w:rPr>
                <w:rFonts w:hint="eastAsia"/>
                <w:b/>
                <w:bCs/>
                <w:color w:val="auto"/>
                <w:szCs w:val="21"/>
                <w:highlight w:val="none"/>
                <w:lang w:val="en-US" w:eastAsia="zh-CN"/>
              </w:rPr>
              <w:t>0.5</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trPr>
        <w:tc>
          <w:tcPr>
            <w:tcW w:w="955" w:type="dxa"/>
            <w:gridSpan w:val="2"/>
            <w:vAlign w:val="center"/>
          </w:tcPr>
          <w:p>
            <w:pPr>
              <w:pStyle w:val="25"/>
              <w:autoSpaceDE w:val="0"/>
              <w:autoSpaceDN w:val="0"/>
              <w:spacing w:line="320" w:lineRule="exact"/>
              <w:jc w:val="center"/>
              <w:rPr>
                <w:rFonts w:ascii="宋体" w:hAnsi="宋体"/>
                <w:color w:val="auto"/>
                <w:szCs w:val="21"/>
                <w:highlight w:val="none"/>
                <w:lang w:eastAsia="en-US"/>
              </w:rPr>
            </w:pPr>
            <w:r>
              <w:rPr>
                <w:rFonts w:hint="eastAsia" w:ascii="宋体" w:hAnsi="宋体"/>
                <w:b/>
                <w:color w:val="auto"/>
                <w:szCs w:val="21"/>
                <w:highlight w:val="none"/>
              </w:rPr>
              <w:t>条款号</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b/>
                <w:color w:val="auto"/>
                <w:szCs w:val="21"/>
                <w:highlight w:val="none"/>
              </w:rPr>
              <w:t>评审因素</w:t>
            </w:r>
          </w:p>
        </w:tc>
        <w:tc>
          <w:tcPr>
            <w:tcW w:w="4395" w:type="dxa"/>
            <w:gridSpan w:val="2"/>
            <w:vAlign w:val="center"/>
          </w:tcPr>
          <w:p>
            <w:pPr>
              <w:jc w:val="center"/>
              <w:rPr>
                <w:rFonts w:ascii="宋体" w:hAnsi="宋体"/>
                <w:color w:val="auto"/>
                <w:szCs w:val="21"/>
                <w:highlight w:val="none"/>
              </w:rPr>
            </w:pPr>
            <w:r>
              <w:rPr>
                <w:rFonts w:hint="eastAsia" w:ascii="宋体" w:hAnsi="宋体"/>
                <w:b/>
                <w:color w:val="auto"/>
                <w:szCs w:val="21"/>
                <w:highlight w:val="none"/>
              </w:rPr>
              <w:t>评审分值及评审标准</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955" w:type="dxa"/>
            <w:gridSpan w:val="2"/>
            <w:vMerge w:val="restart"/>
            <w:vAlign w:val="center"/>
          </w:tcPr>
          <w:p>
            <w:pPr>
              <w:spacing w:line="320" w:lineRule="exact"/>
              <w:jc w:val="center"/>
              <w:rPr>
                <w:rFonts w:ascii="宋体" w:hAnsi="宋体"/>
                <w:color w:val="auto"/>
                <w:highlight w:val="none"/>
              </w:rPr>
            </w:pPr>
            <w:r>
              <w:rPr>
                <w:rFonts w:hint="eastAsia" w:ascii="宋体" w:hAnsi="宋体"/>
                <w:color w:val="auto"/>
                <w:highlight w:val="none"/>
              </w:rPr>
              <w:t>2.2.3（2）</w:t>
            </w:r>
          </w:p>
        </w:tc>
        <w:tc>
          <w:tcPr>
            <w:tcW w:w="1134" w:type="dxa"/>
            <w:vMerge w:val="restart"/>
            <w:vAlign w:val="center"/>
          </w:tcPr>
          <w:p>
            <w:pPr>
              <w:spacing w:line="320" w:lineRule="exact"/>
              <w:jc w:val="center"/>
              <w:rPr>
                <w:rFonts w:ascii="宋体" w:hAnsi="宋体"/>
                <w:color w:val="auto"/>
                <w:highlight w:val="none"/>
              </w:rPr>
            </w:pPr>
            <w:r>
              <w:rPr>
                <w:rFonts w:hint="eastAsia" w:ascii="宋体" w:hAnsi="宋体"/>
                <w:color w:val="auto"/>
                <w:highlight w:val="none"/>
              </w:rPr>
              <w:t>技术部分得分（</w:t>
            </w:r>
            <w:r>
              <w:rPr>
                <w:rFonts w:hint="eastAsia" w:ascii="宋体" w:hAnsi="宋体"/>
                <w:color w:val="auto"/>
                <w:highlight w:val="none"/>
                <w:lang w:val="en-US" w:eastAsia="zh-CN"/>
              </w:rPr>
              <w:t>3</w:t>
            </w:r>
            <w:r>
              <w:rPr>
                <w:rFonts w:ascii="宋体" w:hAnsi="宋体"/>
                <w:color w:val="auto"/>
                <w:highlight w:val="none"/>
              </w:rPr>
              <w:t>0</w:t>
            </w:r>
            <w:r>
              <w:rPr>
                <w:rFonts w:hint="eastAsia" w:ascii="宋体" w:hAnsi="宋体"/>
                <w:color w:val="auto"/>
                <w:highlight w:val="none"/>
              </w:rPr>
              <w:t>分）</w:t>
            </w:r>
          </w:p>
        </w:tc>
        <w:tc>
          <w:tcPr>
            <w:tcW w:w="4395" w:type="dxa"/>
            <w:gridSpan w:val="2"/>
            <w:vAlign w:val="center"/>
          </w:tcPr>
          <w:p>
            <w:pPr>
              <w:spacing w:line="320" w:lineRule="exact"/>
              <w:rPr>
                <w:rFonts w:ascii="宋体" w:hAnsi="宋体"/>
                <w:bCs/>
                <w:color w:val="auto"/>
                <w:szCs w:val="21"/>
                <w:highlight w:val="none"/>
              </w:rPr>
            </w:pPr>
            <w:r>
              <w:rPr>
                <w:rFonts w:hint="eastAsia"/>
                <w:color w:val="auto"/>
                <w:highlight w:val="none"/>
              </w:rPr>
              <w:t>1.总体施工组织布置及规划（0</w:t>
            </w:r>
            <w:r>
              <w:rPr>
                <w:color w:val="auto"/>
                <w:highlight w:val="none"/>
              </w:rPr>
              <w:t>-</w:t>
            </w:r>
            <w:r>
              <w:rPr>
                <w:rFonts w:hint="eastAsia"/>
                <w:color w:val="auto"/>
                <w:highlight w:val="none"/>
                <w:lang w:val="en-US" w:eastAsia="zh-CN"/>
              </w:rPr>
              <w:t>7</w:t>
            </w:r>
            <w:r>
              <w:rPr>
                <w:rFonts w:hint="eastAsia"/>
                <w:color w:val="auto"/>
                <w:highlight w:val="none"/>
              </w:rPr>
              <w:t>分）</w:t>
            </w:r>
          </w:p>
        </w:tc>
        <w:tc>
          <w:tcPr>
            <w:tcW w:w="2693" w:type="dxa"/>
            <w:vMerge w:val="restart"/>
            <w:vAlign w:val="center"/>
          </w:tcPr>
          <w:p>
            <w:pPr>
              <w:spacing w:line="320" w:lineRule="exact"/>
              <w:rPr>
                <w:rFonts w:ascii="宋体" w:hAnsi="宋体"/>
                <w:bCs/>
                <w:color w:val="auto"/>
                <w:szCs w:val="21"/>
                <w:highlight w:val="none"/>
              </w:rPr>
            </w:pPr>
            <w:r>
              <w:rPr>
                <w:rFonts w:hint="eastAsia"/>
                <w:color w:val="auto"/>
                <w:sz w:val="18"/>
                <w:highlight w:val="none"/>
              </w:rPr>
              <w:t>注：评标专家根据投标人技术文件编写的情况自行打分，若投标人技术部分中无对应的评审因素内容，则该项评审因素可以给予0分，同时注明其得0分的原因因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955" w:type="dxa"/>
            <w:gridSpan w:val="2"/>
            <w:vMerge w:val="continue"/>
            <w:vAlign w:val="center"/>
          </w:tcPr>
          <w:p>
            <w:pPr>
              <w:spacing w:line="320" w:lineRule="exact"/>
              <w:jc w:val="center"/>
              <w:rPr>
                <w:rFonts w:hint="eastAsia" w:ascii="宋体" w:hAnsi="宋体"/>
                <w:color w:val="auto"/>
                <w:highlight w:val="none"/>
              </w:rPr>
            </w:pPr>
          </w:p>
        </w:tc>
        <w:tc>
          <w:tcPr>
            <w:tcW w:w="1134" w:type="dxa"/>
            <w:vMerge w:val="continue"/>
            <w:vAlign w:val="center"/>
          </w:tcPr>
          <w:p>
            <w:pPr>
              <w:spacing w:line="320" w:lineRule="exact"/>
              <w:jc w:val="center"/>
              <w:rPr>
                <w:rFonts w:hint="eastAsia" w:ascii="宋体" w:hAnsi="宋体"/>
                <w:color w:val="auto"/>
                <w:highlight w:val="none"/>
              </w:rPr>
            </w:pPr>
          </w:p>
        </w:tc>
        <w:tc>
          <w:tcPr>
            <w:tcW w:w="4395" w:type="dxa"/>
            <w:gridSpan w:val="2"/>
            <w:vAlign w:val="center"/>
          </w:tcPr>
          <w:p>
            <w:pPr>
              <w:spacing w:line="320" w:lineRule="exact"/>
              <w:rPr>
                <w:rFonts w:hint="eastAsia"/>
                <w:color w:val="auto"/>
                <w:szCs w:val="21"/>
                <w:highlight w:val="none"/>
              </w:rPr>
            </w:pPr>
            <w:r>
              <w:rPr>
                <w:rFonts w:hint="eastAsia"/>
                <w:color w:val="auto"/>
                <w:highlight w:val="none"/>
              </w:rPr>
              <w:t>2.主要工程项目的施工方案、方法与技术措施（0</w:t>
            </w:r>
            <w:r>
              <w:rPr>
                <w:color w:val="auto"/>
                <w:highlight w:val="none"/>
              </w:rPr>
              <w:t>-</w:t>
            </w:r>
            <w:r>
              <w:rPr>
                <w:rFonts w:hint="eastAsia"/>
                <w:color w:val="auto"/>
                <w:highlight w:val="none"/>
                <w:lang w:val="en-US" w:eastAsia="zh-CN"/>
              </w:rPr>
              <w:t>7</w:t>
            </w:r>
            <w:r>
              <w:rPr>
                <w:rFonts w:hint="eastAsia"/>
                <w:color w:val="auto"/>
                <w:highlight w:val="none"/>
              </w:rPr>
              <w:t>分）</w:t>
            </w:r>
          </w:p>
        </w:tc>
        <w:tc>
          <w:tcPr>
            <w:tcW w:w="2693" w:type="dxa"/>
            <w:vMerge w:val="continue"/>
            <w:vAlign w:val="center"/>
          </w:tcPr>
          <w:p>
            <w:pPr>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955" w:type="dxa"/>
            <w:gridSpan w:val="2"/>
            <w:vMerge w:val="continue"/>
            <w:vAlign w:val="center"/>
          </w:tcPr>
          <w:p>
            <w:pPr>
              <w:spacing w:line="320" w:lineRule="exact"/>
              <w:jc w:val="center"/>
              <w:rPr>
                <w:rFonts w:hint="eastAsia" w:ascii="宋体" w:hAnsi="宋体"/>
                <w:color w:val="auto"/>
                <w:highlight w:val="none"/>
              </w:rPr>
            </w:pPr>
          </w:p>
        </w:tc>
        <w:tc>
          <w:tcPr>
            <w:tcW w:w="1134" w:type="dxa"/>
            <w:vMerge w:val="continue"/>
            <w:vAlign w:val="center"/>
          </w:tcPr>
          <w:p>
            <w:pPr>
              <w:spacing w:line="320" w:lineRule="exact"/>
              <w:jc w:val="center"/>
              <w:rPr>
                <w:rFonts w:hint="eastAsia" w:ascii="宋体" w:hAnsi="宋体"/>
                <w:color w:val="auto"/>
                <w:highlight w:val="none"/>
              </w:rPr>
            </w:pPr>
          </w:p>
        </w:tc>
        <w:tc>
          <w:tcPr>
            <w:tcW w:w="4395" w:type="dxa"/>
            <w:gridSpan w:val="2"/>
            <w:vAlign w:val="center"/>
          </w:tcPr>
          <w:p>
            <w:pPr>
              <w:spacing w:line="320" w:lineRule="exact"/>
              <w:rPr>
                <w:rFonts w:hint="eastAsia"/>
                <w:color w:val="auto"/>
                <w:szCs w:val="21"/>
                <w:highlight w:val="none"/>
              </w:rPr>
            </w:pPr>
            <w:r>
              <w:rPr>
                <w:rFonts w:hint="eastAsia"/>
                <w:color w:val="auto"/>
                <w:highlight w:val="none"/>
              </w:rPr>
              <w:t>3.安全生产管理体系</w:t>
            </w:r>
            <w:r>
              <w:rPr>
                <w:rFonts w:hint="eastAsia"/>
                <w:color w:val="auto"/>
                <w:highlight w:val="none"/>
                <w:lang w:eastAsia="zh-CN"/>
              </w:rPr>
              <w:t>、</w:t>
            </w:r>
            <w:r>
              <w:rPr>
                <w:rFonts w:hint="eastAsia"/>
                <w:color w:val="auto"/>
                <w:highlight w:val="none"/>
              </w:rPr>
              <w:t>保证措施</w:t>
            </w:r>
            <w:r>
              <w:rPr>
                <w:rFonts w:hint="eastAsia"/>
                <w:color w:val="auto"/>
                <w:highlight w:val="none"/>
                <w:lang w:val="en-US" w:eastAsia="zh-CN"/>
              </w:rPr>
              <w:t>及应急预案</w:t>
            </w:r>
            <w:r>
              <w:rPr>
                <w:rFonts w:hint="eastAsia"/>
                <w:color w:val="auto"/>
                <w:highlight w:val="none"/>
              </w:rPr>
              <w:t>（0</w:t>
            </w:r>
            <w:r>
              <w:rPr>
                <w:color w:val="auto"/>
                <w:highlight w:val="none"/>
              </w:rPr>
              <w:t>-</w:t>
            </w:r>
            <w:r>
              <w:rPr>
                <w:rFonts w:hint="eastAsia"/>
                <w:color w:val="auto"/>
                <w:highlight w:val="none"/>
                <w:lang w:val="en-US" w:eastAsia="zh-CN"/>
              </w:rPr>
              <w:t>5</w:t>
            </w:r>
            <w:r>
              <w:rPr>
                <w:rFonts w:hint="eastAsia"/>
                <w:color w:val="auto"/>
                <w:highlight w:val="none"/>
              </w:rPr>
              <w:t>分）</w:t>
            </w:r>
          </w:p>
        </w:tc>
        <w:tc>
          <w:tcPr>
            <w:tcW w:w="2693" w:type="dxa"/>
            <w:vMerge w:val="continue"/>
            <w:vAlign w:val="center"/>
          </w:tcPr>
          <w:p>
            <w:pPr>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955" w:type="dxa"/>
            <w:gridSpan w:val="2"/>
            <w:vMerge w:val="continue"/>
            <w:vAlign w:val="center"/>
          </w:tcPr>
          <w:p>
            <w:pPr>
              <w:spacing w:line="320" w:lineRule="exact"/>
              <w:jc w:val="center"/>
              <w:rPr>
                <w:rFonts w:ascii="宋体" w:hAnsi="宋体"/>
                <w:color w:val="auto"/>
                <w:highlight w:val="none"/>
              </w:rPr>
            </w:pPr>
          </w:p>
        </w:tc>
        <w:tc>
          <w:tcPr>
            <w:tcW w:w="1134" w:type="dxa"/>
            <w:vMerge w:val="continue"/>
            <w:vAlign w:val="center"/>
          </w:tcPr>
          <w:p>
            <w:pPr>
              <w:spacing w:line="320" w:lineRule="exact"/>
              <w:rPr>
                <w:color w:val="auto"/>
                <w:szCs w:val="21"/>
                <w:highlight w:val="none"/>
              </w:rPr>
            </w:pPr>
          </w:p>
        </w:tc>
        <w:tc>
          <w:tcPr>
            <w:tcW w:w="4395" w:type="dxa"/>
            <w:gridSpan w:val="2"/>
            <w:vAlign w:val="center"/>
          </w:tcPr>
          <w:p>
            <w:pPr>
              <w:spacing w:line="320" w:lineRule="exact"/>
              <w:rPr>
                <w:rFonts w:ascii="宋体" w:hAnsi="宋体"/>
                <w:bCs/>
                <w:color w:val="auto"/>
                <w:szCs w:val="21"/>
                <w:highlight w:val="none"/>
              </w:rPr>
            </w:pPr>
            <w:r>
              <w:rPr>
                <w:rFonts w:hint="eastAsia"/>
                <w:color w:val="auto"/>
                <w:highlight w:val="none"/>
              </w:rPr>
              <w:t>4.工期保证体系及保证措施（0</w:t>
            </w:r>
            <w:r>
              <w:rPr>
                <w:color w:val="auto"/>
                <w:highlight w:val="none"/>
              </w:rPr>
              <w:t>-</w:t>
            </w:r>
            <w:r>
              <w:rPr>
                <w:rFonts w:hint="eastAsia"/>
                <w:color w:val="auto"/>
                <w:highlight w:val="none"/>
                <w:lang w:val="en-US" w:eastAsia="zh-CN"/>
              </w:rPr>
              <w:t>5</w:t>
            </w:r>
            <w:r>
              <w:rPr>
                <w:rFonts w:hint="eastAsia"/>
                <w:color w:val="auto"/>
                <w:highlight w:val="none"/>
              </w:rPr>
              <w:t>分）</w:t>
            </w:r>
          </w:p>
        </w:tc>
        <w:tc>
          <w:tcPr>
            <w:tcW w:w="2693" w:type="dxa"/>
            <w:vMerge w:val="continue"/>
            <w:vAlign w:val="center"/>
          </w:tcPr>
          <w:p>
            <w:pPr>
              <w:spacing w:line="32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955" w:type="dxa"/>
            <w:gridSpan w:val="2"/>
            <w:vMerge w:val="continue"/>
            <w:vAlign w:val="center"/>
          </w:tcPr>
          <w:p>
            <w:pPr>
              <w:spacing w:line="320" w:lineRule="exact"/>
              <w:jc w:val="center"/>
              <w:rPr>
                <w:rFonts w:ascii="宋体" w:hAnsi="宋体"/>
                <w:color w:val="auto"/>
                <w:highlight w:val="none"/>
              </w:rPr>
            </w:pPr>
          </w:p>
        </w:tc>
        <w:tc>
          <w:tcPr>
            <w:tcW w:w="1134" w:type="dxa"/>
            <w:vMerge w:val="continue"/>
            <w:vAlign w:val="center"/>
          </w:tcPr>
          <w:p>
            <w:pPr>
              <w:spacing w:line="320" w:lineRule="exact"/>
              <w:rPr>
                <w:color w:val="auto"/>
                <w:szCs w:val="21"/>
                <w:highlight w:val="none"/>
              </w:rPr>
            </w:pPr>
          </w:p>
        </w:tc>
        <w:tc>
          <w:tcPr>
            <w:tcW w:w="4395" w:type="dxa"/>
            <w:gridSpan w:val="2"/>
            <w:vAlign w:val="center"/>
          </w:tcPr>
          <w:p>
            <w:pPr>
              <w:spacing w:line="320" w:lineRule="exact"/>
              <w:rPr>
                <w:rFonts w:hint="eastAsia"/>
                <w:color w:val="auto"/>
                <w:szCs w:val="21"/>
                <w:highlight w:val="none"/>
              </w:rPr>
            </w:pPr>
            <w:r>
              <w:rPr>
                <w:rFonts w:hint="eastAsia"/>
                <w:color w:val="auto"/>
                <w:highlight w:val="none"/>
              </w:rPr>
              <w:t>5.工程质量管理体系及保证措施（0</w:t>
            </w:r>
            <w:r>
              <w:rPr>
                <w:color w:val="auto"/>
                <w:highlight w:val="none"/>
              </w:rPr>
              <w:t>-</w:t>
            </w:r>
            <w:r>
              <w:rPr>
                <w:rFonts w:hint="eastAsia"/>
                <w:color w:val="auto"/>
                <w:highlight w:val="none"/>
                <w:lang w:val="en-US" w:eastAsia="zh-CN"/>
              </w:rPr>
              <w:t>3</w:t>
            </w:r>
            <w:r>
              <w:rPr>
                <w:rFonts w:hint="eastAsia"/>
                <w:color w:val="auto"/>
                <w:highlight w:val="none"/>
              </w:rPr>
              <w:t>分）</w:t>
            </w:r>
          </w:p>
        </w:tc>
        <w:tc>
          <w:tcPr>
            <w:tcW w:w="2693" w:type="dxa"/>
            <w:vMerge w:val="continue"/>
            <w:vAlign w:val="center"/>
          </w:tcPr>
          <w:p>
            <w:pPr>
              <w:spacing w:line="320" w:lineRule="exact"/>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trPr>
        <w:tc>
          <w:tcPr>
            <w:tcW w:w="955" w:type="dxa"/>
            <w:gridSpan w:val="2"/>
            <w:vMerge w:val="continue"/>
            <w:vAlign w:val="center"/>
          </w:tcPr>
          <w:p>
            <w:pPr>
              <w:spacing w:line="320" w:lineRule="exact"/>
              <w:jc w:val="center"/>
              <w:rPr>
                <w:rFonts w:ascii="宋体" w:hAnsi="宋体"/>
                <w:color w:val="auto"/>
                <w:highlight w:val="none"/>
              </w:rPr>
            </w:pPr>
          </w:p>
        </w:tc>
        <w:tc>
          <w:tcPr>
            <w:tcW w:w="1134" w:type="dxa"/>
            <w:vMerge w:val="continue"/>
            <w:vAlign w:val="center"/>
          </w:tcPr>
          <w:p>
            <w:pPr>
              <w:spacing w:line="320" w:lineRule="exact"/>
              <w:rPr>
                <w:color w:val="auto"/>
                <w:szCs w:val="21"/>
                <w:highlight w:val="none"/>
              </w:rPr>
            </w:pPr>
          </w:p>
        </w:tc>
        <w:tc>
          <w:tcPr>
            <w:tcW w:w="4395" w:type="dxa"/>
            <w:gridSpan w:val="2"/>
            <w:vAlign w:val="center"/>
          </w:tcPr>
          <w:p>
            <w:pPr>
              <w:spacing w:line="320" w:lineRule="exact"/>
              <w:rPr>
                <w:rFonts w:ascii="宋体" w:hAnsi="宋体"/>
                <w:bCs/>
                <w:color w:val="auto"/>
                <w:szCs w:val="21"/>
                <w:highlight w:val="none"/>
              </w:rPr>
            </w:pPr>
            <w:r>
              <w:rPr>
                <w:rFonts w:hint="eastAsia"/>
                <w:color w:val="auto"/>
                <w:highlight w:val="none"/>
              </w:rPr>
              <w:t>6.文明施工保证体系、环境保护体系及保证措施（0</w:t>
            </w:r>
            <w:r>
              <w:rPr>
                <w:color w:val="auto"/>
                <w:highlight w:val="none"/>
              </w:rPr>
              <w:t>-</w:t>
            </w:r>
            <w:r>
              <w:rPr>
                <w:rFonts w:hint="eastAsia"/>
                <w:color w:val="auto"/>
                <w:highlight w:val="none"/>
                <w:lang w:val="en-US" w:eastAsia="zh-CN"/>
              </w:rPr>
              <w:t>3</w:t>
            </w:r>
            <w:r>
              <w:rPr>
                <w:rFonts w:hint="eastAsia"/>
                <w:color w:val="auto"/>
                <w:highlight w:val="none"/>
              </w:rPr>
              <w:t>分）</w:t>
            </w:r>
          </w:p>
        </w:tc>
        <w:tc>
          <w:tcPr>
            <w:tcW w:w="2693" w:type="dxa"/>
            <w:vMerge w:val="continue"/>
            <w:vAlign w:val="center"/>
          </w:tcPr>
          <w:p>
            <w:pPr>
              <w:spacing w:line="320" w:lineRule="exact"/>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55" w:type="dxa"/>
            <w:gridSpan w:val="2"/>
            <w:vAlign w:val="center"/>
          </w:tcPr>
          <w:p>
            <w:pPr>
              <w:spacing w:line="320" w:lineRule="exact"/>
              <w:jc w:val="center"/>
              <w:rPr>
                <w:rFonts w:ascii="宋体" w:hAnsi="宋体"/>
                <w:color w:val="auto"/>
                <w:highlight w:val="none"/>
              </w:rPr>
            </w:pPr>
            <w:r>
              <w:rPr>
                <w:rFonts w:hint="eastAsia" w:ascii="宋体" w:hAnsi="宋体"/>
                <w:color w:val="auto"/>
                <w:highlight w:val="none"/>
              </w:rPr>
              <w:t>3</w:t>
            </w:r>
          </w:p>
        </w:tc>
        <w:tc>
          <w:tcPr>
            <w:tcW w:w="1134" w:type="dxa"/>
            <w:vAlign w:val="center"/>
          </w:tcPr>
          <w:p>
            <w:pPr>
              <w:spacing w:line="320" w:lineRule="exact"/>
              <w:rPr>
                <w:rFonts w:ascii="宋体" w:hAnsi="宋体"/>
                <w:color w:val="auto"/>
                <w:highlight w:val="none"/>
              </w:rPr>
            </w:pPr>
            <w:r>
              <w:rPr>
                <w:rFonts w:hint="eastAsia" w:ascii="宋体" w:hAnsi="宋体"/>
                <w:color w:val="auto"/>
                <w:highlight w:val="none"/>
              </w:rPr>
              <w:t>评标结果</w:t>
            </w:r>
          </w:p>
        </w:tc>
        <w:tc>
          <w:tcPr>
            <w:tcW w:w="7088" w:type="dxa"/>
            <w:gridSpan w:val="3"/>
          </w:tcPr>
          <w:p>
            <w:pPr>
              <w:numPr>
                <w:ilvl w:val="0"/>
                <w:numId w:val="3"/>
              </w:numPr>
              <w:spacing w:line="30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以上评分最终得分均保留2位小数，按四舍五入原则进行。</w:t>
            </w:r>
          </w:p>
          <w:p>
            <w:pPr>
              <w:numPr>
                <w:ilvl w:val="0"/>
                <w:numId w:val="3"/>
              </w:numPr>
              <w:spacing w:line="300" w:lineRule="exact"/>
              <w:ind w:firstLine="420"/>
              <w:rPr>
                <w:rFonts w:ascii="宋体" w:hAnsi="宋体" w:cs="宋体"/>
                <w:color w:val="auto"/>
                <w:kern w:val="0"/>
                <w:szCs w:val="21"/>
                <w:highlight w:val="none"/>
              </w:rPr>
            </w:pPr>
            <w:r>
              <w:rPr>
                <w:rFonts w:hint="eastAsia" w:ascii="宋体" w:hAnsi="宋体" w:cs="宋体"/>
                <w:color w:val="auto"/>
                <w:highlight w:val="none"/>
              </w:rPr>
              <w:t>本项目评标采用综合评分法，对通过初步评审、详细评审的有效比选申请人按照综合得分（技术得分+报价得分）由高到低先后顺序，依次推荐3名成交候选人。若不足3名，则只选取相应的数量。</w:t>
            </w:r>
          </w:p>
          <w:p>
            <w:pPr>
              <w:numPr>
                <w:ilvl w:val="0"/>
                <w:numId w:val="3"/>
              </w:numPr>
              <w:spacing w:line="300" w:lineRule="exact"/>
              <w:ind w:firstLine="420"/>
              <w:rPr>
                <w:rFonts w:ascii="宋体" w:hAnsi="宋体" w:cs="宋体"/>
                <w:color w:val="auto"/>
                <w:highlight w:val="none"/>
              </w:rPr>
            </w:pPr>
            <w:r>
              <w:rPr>
                <w:rFonts w:hint="eastAsia" w:ascii="宋体" w:hAnsi="宋体" w:cs="宋体"/>
                <w:color w:val="auto"/>
                <w:highlight w:val="none"/>
              </w:rPr>
              <w:t>如经过对所有比选申请人的比选申请文件进行初步评审，</w:t>
            </w:r>
            <w:r>
              <w:rPr>
                <w:rFonts w:ascii="宋体" w:hAnsi="宋体"/>
                <w:color w:val="auto"/>
                <w:highlight w:val="none"/>
              </w:rPr>
              <w:t>导致有效投标人不足三个的，评标委员会应当否决所有投标。但是有效投标人的经济、</w:t>
            </w:r>
            <w:r>
              <w:rPr>
                <w:rFonts w:hint="eastAsia" w:ascii="宋体" w:hAnsi="宋体"/>
                <w:color w:val="auto"/>
                <w:highlight w:val="none"/>
              </w:rPr>
              <w:t>商务</w:t>
            </w:r>
            <w:r>
              <w:rPr>
                <w:rFonts w:ascii="宋体" w:hAnsi="宋体"/>
                <w:color w:val="auto"/>
                <w:highlight w:val="none"/>
              </w:rPr>
              <w:t>等指标仍然具有市场竞争力，能够满足</w:t>
            </w:r>
            <w:r>
              <w:rPr>
                <w:rFonts w:hint="eastAsia" w:ascii="宋体" w:hAnsi="宋体"/>
                <w:color w:val="auto"/>
                <w:highlight w:val="none"/>
              </w:rPr>
              <w:t>比选</w:t>
            </w:r>
            <w:r>
              <w:rPr>
                <w:rFonts w:ascii="宋体" w:hAnsi="宋体"/>
                <w:color w:val="auto"/>
                <w:highlight w:val="none"/>
              </w:rPr>
              <w:t>文件要求的，评标委员会可以继续评标并确定</w:t>
            </w:r>
            <w:r>
              <w:rPr>
                <w:rFonts w:hint="eastAsia" w:ascii="宋体" w:hAnsi="宋体"/>
                <w:color w:val="auto"/>
                <w:highlight w:val="none"/>
              </w:rPr>
              <w:t>成交</w:t>
            </w:r>
            <w:r>
              <w:rPr>
                <w:rFonts w:ascii="宋体" w:hAnsi="宋体"/>
                <w:color w:val="auto"/>
                <w:highlight w:val="none"/>
              </w:rPr>
              <w:t>候</w:t>
            </w:r>
            <w:r>
              <w:rPr>
                <w:rFonts w:ascii="宋体" w:hAnsi="宋体" w:cs="宋体"/>
                <w:color w:val="auto"/>
                <w:highlight w:val="none"/>
              </w:rPr>
              <w:t>选人。</w:t>
            </w:r>
          </w:p>
          <w:p>
            <w:pPr>
              <w:numPr>
                <w:ilvl w:val="0"/>
                <w:numId w:val="3"/>
              </w:numPr>
              <w:spacing w:line="300" w:lineRule="exact"/>
              <w:ind w:firstLine="420"/>
              <w:rPr>
                <w:rFonts w:ascii="宋体" w:hAnsi="宋体" w:cs="宋体"/>
                <w:color w:val="auto"/>
                <w:kern w:val="0"/>
                <w:szCs w:val="21"/>
                <w:highlight w:val="none"/>
              </w:rPr>
            </w:pPr>
            <w:r>
              <w:rPr>
                <w:rFonts w:hint="eastAsia" w:ascii="宋体" w:hAnsi="宋体" w:cs="宋体"/>
                <w:color w:val="auto"/>
                <w:highlight w:val="none"/>
              </w:rPr>
              <w:t>评</w:t>
            </w:r>
            <w:r>
              <w:rPr>
                <w:rFonts w:hint="eastAsia" w:ascii="宋体" w:hAnsi="宋体" w:cs="MingLiU"/>
                <w:color w:val="auto"/>
                <w:kern w:val="0"/>
                <w:szCs w:val="21"/>
                <w:highlight w:val="none"/>
              </w:rPr>
              <w:t>标</w:t>
            </w:r>
            <w:r>
              <w:rPr>
                <w:rFonts w:hint="eastAsia" w:ascii="宋体" w:hAnsi="宋体" w:cs="MingLiU"/>
                <w:color w:val="auto"/>
                <w:spacing w:val="-1"/>
                <w:kern w:val="0"/>
                <w:szCs w:val="21"/>
                <w:highlight w:val="none"/>
              </w:rPr>
              <w:t>委</w:t>
            </w:r>
            <w:r>
              <w:rPr>
                <w:rFonts w:hint="eastAsia" w:ascii="宋体" w:hAnsi="宋体" w:cs="MingLiU"/>
                <w:color w:val="auto"/>
                <w:kern w:val="0"/>
                <w:szCs w:val="21"/>
                <w:highlight w:val="none"/>
              </w:rPr>
              <w:t>员会完成评标后，应当向比选人提交书面比选报告。</w:t>
            </w:r>
          </w:p>
        </w:tc>
      </w:tr>
    </w:tbl>
    <w:p>
      <w:pPr>
        <w:spacing w:line="400" w:lineRule="exact"/>
        <w:rPr>
          <w:b/>
          <w:color w:val="auto"/>
          <w:szCs w:val="21"/>
          <w:highlight w:val="none"/>
        </w:rPr>
      </w:pPr>
      <w:r>
        <w:rPr>
          <w:b/>
          <w:color w:val="auto"/>
          <w:szCs w:val="21"/>
          <w:highlight w:val="none"/>
        </w:rPr>
        <w:t>五、询价须知</w:t>
      </w:r>
    </w:p>
    <w:p>
      <w:pPr>
        <w:spacing w:line="400" w:lineRule="exact"/>
        <w:ind w:firstLine="420" w:firstLineChars="200"/>
        <w:rPr>
          <w:rFonts w:hint="eastAsia"/>
          <w:color w:val="auto"/>
          <w:szCs w:val="21"/>
          <w:highlight w:val="none"/>
        </w:rPr>
      </w:pPr>
      <w:r>
        <w:rPr>
          <w:color w:val="auto"/>
          <w:szCs w:val="21"/>
          <w:highlight w:val="none"/>
        </w:rPr>
        <w:t>（一）询价文件发售时间：20</w:t>
      </w:r>
      <w:r>
        <w:rPr>
          <w:rFonts w:hint="eastAsia"/>
          <w:color w:val="auto"/>
          <w:szCs w:val="21"/>
          <w:highlight w:val="none"/>
          <w:lang w:val="en-US" w:eastAsia="zh-CN"/>
        </w:rPr>
        <w:t>21</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24</w:t>
      </w:r>
      <w:r>
        <w:rPr>
          <w:color w:val="auto"/>
          <w:szCs w:val="21"/>
          <w:highlight w:val="none"/>
        </w:rPr>
        <w:t>日-20</w:t>
      </w:r>
      <w:r>
        <w:rPr>
          <w:rFonts w:hint="eastAsia"/>
          <w:color w:val="auto"/>
          <w:szCs w:val="21"/>
          <w:highlight w:val="none"/>
          <w:lang w:val="en-US" w:eastAsia="zh-CN"/>
        </w:rPr>
        <w:t>21</w:t>
      </w:r>
      <w:r>
        <w:rPr>
          <w:color w:val="auto"/>
          <w:szCs w:val="21"/>
          <w:highlight w:val="none"/>
        </w:rPr>
        <w:t>年</w:t>
      </w:r>
      <w:r>
        <w:rPr>
          <w:rFonts w:hint="eastAsia"/>
          <w:color w:val="auto"/>
          <w:szCs w:val="21"/>
          <w:highlight w:val="none"/>
          <w:lang w:val="en-US" w:eastAsia="zh-CN"/>
        </w:rPr>
        <w:t>9</w:t>
      </w:r>
      <w:r>
        <w:rPr>
          <w:color w:val="auto"/>
          <w:szCs w:val="21"/>
          <w:highlight w:val="none"/>
        </w:rPr>
        <w:t>月</w:t>
      </w:r>
      <w:r>
        <w:rPr>
          <w:rFonts w:hint="eastAsia"/>
          <w:color w:val="auto"/>
          <w:szCs w:val="21"/>
          <w:highlight w:val="none"/>
          <w:lang w:val="en-US" w:eastAsia="zh-CN"/>
        </w:rPr>
        <w:t>27</w:t>
      </w:r>
      <w:r>
        <w:rPr>
          <w:color w:val="auto"/>
          <w:szCs w:val="21"/>
          <w:highlight w:val="none"/>
        </w:rPr>
        <w:t>日内在</w:t>
      </w:r>
      <w:r>
        <w:rPr>
          <w:rFonts w:hint="eastAsia"/>
          <w:color w:val="auto"/>
          <w:szCs w:val="21"/>
          <w:highlight w:val="none"/>
        </w:rPr>
        <w:t>中国</w:t>
      </w:r>
      <w:r>
        <w:rPr>
          <w:color w:val="auto"/>
          <w:szCs w:val="21"/>
          <w:highlight w:val="none"/>
        </w:rPr>
        <w:t>招标</w:t>
      </w:r>
      <w:r>
        <w:rPr>
          <w:rFonts w:hint="eastAsia"/>
          <w:color w:val="auto"/>
          <w:szCs w:val="21"/>
          <w:highlight w:val="none"/>
        </w:rPr>
        <w:t>投标</w:t>
      </w:r>
      <w:r>
        <w:rPr>
          <w:color w:val="auto"/>
          <w:szCs w:val="21"/>
          <w:highlight w:val="none"/>
        </w:rPr>
        <w:t>公共服务平台（</w:t>
      </w:r>
      <w:r>
        <w:rPr>
          <w:color w:val="auto"/>
          <w:highlight w:val="none"/>
        </w:rPr>
        <w:fldChar w:fldCharType="begin"/>
      </w:r>
      <w:r>
        <w:rPr>
          <w:color w:val="auto"/>
          <w:highlight w:val="none"/>
        </w:rPr>
        <w:instrText xml:space="preserve"> HYPERLINK "http://bulletin.cebpubservice.com/）上发布询价公告。" </w:instrText>
      </w:r>
      <w:r>
        <w:rPr>
          <w:color w:val="auto"/>
          <w:highlight w:val="none"/>
        </w:rPr>
        <w:fldChar w:fldCharType="separate"/>
      </w:r>
      <w:r>
        <w:rPr>
          <w:rStyle w:val="16"/>
          <w:color w:val="auto"/>
          <w:szCs w:val="21"/>
          <w:highlight w:val="none"/>
        </w:rPr>
        <w:t>http://bulletin.cebpubservice.com/）</w:t>
      </w:r>
      <w:r>
        <w:rPr>
          <w:rStyle w:val="16"/>
          <w:rFonts w:hint="eastAsia"/>
          <w:color w:val="auto"/>
          <w:szCs w:val="21"/>
          <w:highlight w:val="none"/>
          <w:lang w:eastAsia="zh-CN"/>
        </w:rPr>
        <w:t>、</w:t>
      </w:r>
      <w:r>
        <w:rPr>
          <w:rFonts w:hint="eastAsia"/>
          <w:bCs/>
          <w:color w:val="auto"/>
          <w:szCs w:val="21"/>
          <w:highlight w:val="none"/>
        </w:rPr>
        <w:t>重庆高速公路集团有限公司招投标管理平台（http://43.240.249.108:8088/PMS/）</w:t>
      </w:r>
      <w:r>
        <w:rPr>
          <w:rFonts w:hint="eastAsia"/>
          <w:bCs/>
          <w:color w:val="auto"/>
          <w:szCs w:val="21"/>
          <w:highlight w:val="none"/>
          <w:lang w:val="en-US" w:eastAsia="zh-CN"/>
        </w:rPr>
        <w:t>和重庆高速集团官网</w:t>
      </w:r>
      <w:r>
        <w:rPr>
          <w:rStyle w:val="16"/>
          <w:color w:val="auto"/>
          <w:szCs w:val="21"/>
          <w:highlight w:val="none"/>
        </w:rPr>
        <w:t>上发布</w:t>
      </w:r>
      <w:r>
        <w:rPr>
          <w:rStyle w:val="16"/>
          <w:rFonts w:hint="eastAsia"/>
          <w:color w:val="auto"/>
          <w:szCs w:val="21"/>
          <w:highlight w:val="none"/>
          <w:lang w:val="en-US" w:eastAsia="zh-CN"/>
        </w:rPr>
        <w:t>比选</w:t>
      </w:r>
      <w:r>
        <w:rPr>
          <w:rStyle w:val="16"/>
          <w:rFonts w:hint="eastAsia"/>
          <w:color w:val="auto"/>
          <w:szCs w:val="21"/>
          <w:highlight w:val="none"/>
        </w:rPr>
        <w:t>公告</w:t>
      </w:r>
      <w:r>
        <w:rPr>
          <w:rStyle w:val="16"/>
          <w:color w:val="auto"/>
          <w:szCs w:val="21"/>
          <w:highlight w:val="none"/>
        </w:rPr>
        <w:t>。</w:t>
      </w:r>
      <w:r>
        <w:rPr>
          <w:rStyle w:val="16"/>
          <w:color w:val="auto"/>
          <w:szCs w:val="21"/>
          <w:highlight w:val="none"/>
        </w:rPr>
        <w:fldChar w:fldCharType="end"/>
      </w:r>
    </w:p>
    <w:p>
      <w:pPr>
        <w:spacing w:line="400" w:lineRule="exact"/>
        <w:ind w:firstLine="420" w:firstLineChars="200"/>
        <w:rPr>
          <w:bCs/>
          <w:color w:val="auto"/>
          <w:szCs w:val="21"/>
          <w:highlight w:val="none"/>
        </w:rPr>
      </w:pPr>
      <w:r>
        <w:rPr>
          <w:bCs/>
          <w:color w:val="auto"/>
          <w:szCs w:val="21"/>
          <w:highlight w:val="none"/>
        </w:rPr>
        <w:t>（二）</w:t>
      </w:r>
      <w:r>
        <w:rPr>
          <w:rFonts w:hint="eastAsia"/>
          <w:bCs/>
          <w:color w:val="auto"/>
          <w:szCs w:val="21"/>
          <w:highlight w:val="none"/>
        </w:rPr>
        <w:t>竞争性比选文件发售：比选申请人</w:t>
      </w:r>
      <w:r>
        <w:rPr>
          <w:rFonts w:hint="eastAsia"/>
          <w:bCs/>
          <w:color w:val="auto"/>
          <w:szCs w:val="21"/>
          <w:highlight w:val="none"/>
          <w:lang w:val="en-US" w:eastAsia="zh-CN"/>
        </w:rPr>
        <w:t>自行下载比选文件</w:t>
      </w:r>
      <w:r>
        <w:rPr>
          <w:rFonts w:hint="eastAsia"/>
          <w:bCs/>
          <w:color w:val="auto"/>
          <w:szCs w:val="21"/>
          <w:highlight w:val="none"/>
        </w:rPr>
        <w:t>。</w:t>
      </w:r>
    </w:p>
    <w:p>
      <w:pPr>
        <w:pStyle w:val="19"/>
        <w:spacing w:line="400" w:lineRule="exact"/>
        <w:ind w:firstLine="420"/>
        <w:rPr>
          <w:rFonts w:ascii="Times New Roman" w:eastAsia="宋体" w:cs="Times New Roman"/>
          <w:color w:val="auto"/>
          <w:sz w:val="21"/>
          <w:szCs w:val="21"/>
          <w:highlight w:val="none"/>
        </w:rPr>
      </w:pP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三</w:t>
      </w:r>
      <w:r>
        <w:rPr>
          <w:rFonts w:ascii="Times New Roman" w:eastAsia="宋体" w:cs="Times New Roman"/>
          <w:color w:val="auto"/>
          <w:sz w:val="21"/>
          <w:szCs w:val="21"/>
          <w:highlight w:val="none"/>
        </w:rPr>
        <w:t>）</w:t>
      </w:r>
      <w:r>
        <w:rPr>
          <w:rFonts w:hint="eastAsia" w:ascii="Times New Roman" w:eastAsia="宋体" w:cs="Times New Roman"/>
          <w:color w:val="auto"/>
          <w:sz w:val="21"/>
          <w:szCs w:val="21"/>
          <w:highlight w:val="none"/>
        </w:rPr>
        <w:t>竞争性比选地点：</w:t>
      </w:r>
      <w:bookmarkStart w:id="42" w:name="_GoBack"/>
      <w:r>
        <w:rPr>
          <w:rFonts w:hint="eastAsia" w:ascii="Times New Roman" w:eastAsia="宋体" w:cs="Times New Roman"/>
          <w:color w:val="auto"/>
          <w:sz w:val="21"/>
          <w:szCs w:val="21"/>
          <w:highlight w:val="none"/>
        </w:rPr>
        <w:t>重庆</w:t>
      </w:r>
      <w:r>
        <w:rPr>
          <w:rFonts w:hint="eastAsia" w:ascii="Times New Roman" w:eastAsia="宋体" w:cs="Times New Roman"/>
          <w:color w:val="auto"/>
          <w:sz w:val="21"/>
          <w:szCs w:val="21"/>
          <w:highlight w:val="none"/>
          <w:lang w:val="en-US" w:eastAsia="zh-CN"/>
        </w:rPr>
        <w:t>高速集团1816室</w:t>
      </w:r>
      <w:bookmarkEnd w:id="42"/>
      <w:r>
        <w:rPr>
          <w:rFonts w:hint="eastAsia" w:ascii="Times New Roman" w:eastAsia="宋体" w:cs="Times New Roman"/>
          <w:color w:val="auto"/>
          <w:sz w:val="21"/>
          <w:szCs w:val="21"/>
          <w:highlight w:val="none"/>
        </w:rPr>
        <w:t>。</w:t>
      </w:r>
    </w:p>
    <w:p>
      <w:pPr>
        <w:pStyle w:val="19"/>
        <w:spacing w:line="400" w:lineRule="exact"/>
        <w:ind w:firstLine="420"/>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（四）竞争性比选截止及开标时间：</w:t>
      </w:r>
      <w:r>
        <w:rPr>
          <w:rFonts w:hint="eastAsia" w:ascii="Times New Roman" w:eastAsia="宋体" w:cs="Times New Roman"/>
          <w:color w:val="auto"/>
          <w:sz w:val="21"/>
          <w:szCs w:val="21"/>
          <w:highlight w:val="none"/>
          <w:lang w:eastAsia="zh-CN"/>
        </w:rPr>
        <w:t>2021</w:t>
      </w:r>
      <w:r>
        <w:rPr>
          <w:rFonts w:hint="eastAsia" w:ascii="Times New Roman" w:eastAsia="宋体" w:cs="Times New Roman"/>
          <w:color w:val="auto"/>
          <w:sz w:val="21"/>
          <w:szCs w:val="21"/>
          <w:highlight w:val="none"/>
        </w:rPr>
        <w:t>年</w:t>
      </w:r>
      <w:r>
        <w:rPr>
          <w:rFonts w:ascii="Times New Roman" w:eastAsia="宋体" w:cs="Times New Roman"/>
          <w:color w:val="auto"/>
          <w:sz w:val="21"/>
          <w:szCs w:val="21"/>
          <w:highlight w:val="none"/>
        </w:rPr>
        <w:t xml:space="preserve"> </w:t>
      </w:r>
      <w:r>
        <w:rPr>
          <w:rFonts w:hint="eastAsia" w:ascii="Times New Roman" w:eastAsia="宋体" w:cs="Times New Roman"/>
          <w:color w:val="auto"/>
          <w:sz w:val="21"/>
          <w:szCs w:val="21"/>
          <w:highlight w:val="none"/>
          <w:lang w:val="en-US" w:eastAsia="zh-CN"/>
        </w:rPr>
        <w:t>9</w:t>
      </w:r>
      <w:r>
        <w:rPr>
          <w:rFonts w:hint="eastAsia" w:ascii="Times New Roman" w:eastAsia="宋体" w:cs="Times New Roman"/>
          <w:color w:val="auto"/>
          <w:sz w:val="21"/>
          <w:szCs w:val="21"/>
          <w:highlight w:val="none"/>
        </w:rPr>
        <w:t>月</w:t>
      </w:r>
      <w:r>
        <w:rPr>
          <w:rFonts w:hint="eastAsia" w:ascii="Times New Roman" w:eastAsia="宋体" w:cs="Times New Roman"/>
          <w:color w:val="auto"/>
          <w:sz w:val="21"/>
          <w:szCs w:val="21"/>
          <w:highlight w:val="none"/>
          <w:lang w:val="en-US" w:eastAsia="zh-CN"/>
        </w:rPr>
        <w:t xml:space="preserve"> 28 </w:t>
      </w:r>
      <w:r>
        <w:rPr>
          <w:rFonts w:hint="eastAsia" w:ascii="Times New Roman" w:eastAsia="宋体" w:cs="Times New Roman"/>
          <w:color w:val="auto"/>
          <w:sz w:val="21"/>
          <w:szCs w:val="21"/>
          <w:highlight w:val="none"/>
        </w:rPr>
        <w:t>日</w:t>
      </w:r>
      <w:r>
        <w:rPr>
          <w:rFonts w:ascii="Times New Roman" w:eastAsia="宋体" w:cs="Times New Roman"/>
          <w:color w:val="auto"/>
          <w:sz w:val="21"/>
          <w:szCs w:val="21"/>
          <w:highlight w:val="none"/>
        </w:rPr>
        <w:t xml:space="preserve"> 14 </w:t>
      </w:r>
      <w:r>
        <w:rPr>
          <w:rFonts w:hint="eastAsia" w:ascii="Times New Roman" w:eastAsia="宋体" w:cs="Times New Roman"/>
          <w:color w:val="auto"/>
          <w:sz w:val="21"/>
          <w:szCs w:val="21"/>
          <w:highlight w:val="none"/>
        </w:rPr>
        <w:t>时</w:t>
      </w:r>
      <w:r>
        <w:rPr>
          <w:rFonts w:ascii="Times New Roman" w:eastAsia="宋体" w:cs="Times New Roman"/>
          <w:color w:val="auto"/>
          <w:sz w:val="21"/>
          <w:szCs w:val="21"/>
          <w:highlight w:val="none"/>
        </w:rPr>
        <w:t xml:space="preserve"> 00 </w:t>
      </w:r>
      <w:r>
        <w:rPr>
          <w:rFonts w:hint="eastAsia" w:ascii="Times New Roman" w:eastAsia="宋体" w:cs="Times New Roman"/>
          <w:color w:val="auto"/>
          <w:sz w:val="21"/>
          <w:szCs w:val="21"/>
          <w:highlight w:val="none"/>
        </w:rPr>
        <w:t>分（北京时间）。</w:t>
      </w:r>
    </w:p>
    <w:p>
      <w:pPr>
        <w:spacing w:line="400" w:lineRule="exact"/>
        <w:ind w:firstLine="420" w:firstLineChars="200"/>
        <w:rPr>
          <w:rFonts w:ascii="Times New Roman" w:eastAsia="宋体" w:cs="Times New Roman"/>
          <w:color w:val="auto"/>
          <w:szCs w:val="21"/>
          <w:highlight w:val="none"/>
        </w:rPr>
      </w:pPr>
      <w:r>
        <w:rPr>
          <w:color w:val="auto"/>
          <w:szCs w:val="21"/>
          <w:highlight w:val="none"/>
        </w:rPr>
        <w:t>（</w:t>
      </w:r>
      <w:r>
        <w:rPr>
          <w:rFonts w:hint="eastAsia"/>
          <w:color w:val="auto"/>
          <w:szCs w:val="21"/>
          <w:highlight w:val="none"/>
        </w:rPr>
        <w:t>五</w:t>
      </w:r>
      <w:r>
        <w:rPr>
          <w:color w:val="auto"/>
          <w:szCs w:val="21"/>
          <w:highlight w:val="none"/>
        </w:rPr>
        <w:t>）</w:t>
      </w:r>
      <w:r>
        <w:rPr>
          <w:rFonts w:hint="eastAsia" w:ascii="Times New Roman" w:eastAsia="宋体" w:cs="Times New Roman"/>
          <w:color w:val="auto"/>
          <w:szCs w:val="21"/>
          <w:highlight w:val="none"/>
        </w:rPr>
        <w:t>本项目的竞标保证金为</w:t>
      </w:r>
      <w:r>
        <w:rPr>
          <w:rFonts w:hint="eastAsia" w:ascii="Times New Roman" w:eastAsia="宋体" w:cs="Times New Roman"/>
          <w:color w:val="auto"/>
          <w:szCs w:val="21"/>
          <w:highlight w:val="none"/>
          <w:lang w:val="en-US" w:eastAsia="zh-CN"/>
        </w:rPr>
        <w:t>1</w:t>
      </w:r>
      <w:r>
        <w:rPr>
          <w:rFonts w:hint="eastAsia" w:ascii="Times New Roman" w:eastAsia="宋体" w:cs="Times New Roman"/>
          <w:color w:val="auto"/>
          <w:szCs w:val="21"/>
          <w:highlight w:val="none"/>
        </w:rPr>
        <w:t>万元整。比选申请单位需在</w:t>
      </w:r>
      <w:r>
        <w:rPr>
          <w:rFonts w:hint="eastAsia" w:ascii="Times New Roman" w:eastAsia="宋体" w:cs="Times New Roman"/>
          <w:color w:val="auto"/>
          <w:szCs w:val="21"/>
          <w:highlight w:val="none"/>
          <w:lang w:eastAsia="zh-CN"/>
        </w:rPr>
        <w:t>2021</w:t>
      </w:r>
      <w:r>
        <w:rPr>
          <w:rFonts w:ascii="Times New Roman" w:eastAsia="宋体" w:cs="Times New Roman"/>
          <w:color w:val="auto"/>
          <w:szCs w:val="21"/>
          <w:highlight w:val="none"/>
        </w:rPr>
        <w:t>年</w:t>
      </w:r>
      <w:r>
        <w:rPr>
          <w:rFonts w:hint="eastAsia" w:ascii="Times New Roman" w:eastAsia="宋体" w:cs="Times New Roman"/>
          <w:color w:val="auto"/>
          <w:szCs w:val="21"/>
          <w:highlight w:val="none"/>
          <w:lang w:val="en-US" w:eastAsia="zh-CN"/>
        </w:rPr>
        <w:t>9</w:t>
      </w:r>
      <w:r>
        <w:rPr>
          <w:rFonts w:ascii="Times New Roman" w:eastAsia="宋体" w:cs="Times New Roman"/>
          <w:color w:val="auto"/>
          <w:szCs w:val="21"/>
          <w:highlight w:val="none"/>
        </w:rPr>
        <w:t xml:space="preserve"> 月</w:t>
      </w:r>
      <w:r>
        <w:rPr>
          <w:rFonts w:hint="eastAsia" w:ascii="Times New Roman" w:eastAsia="宋体" w:cs="Times New Roman"/>
          <w:color w:val="auto"/>
          <w:szCs w:val="21"/>
          <w:highlight w:val="none"/>
          <w:lang w:val="en-US" w:eastAsia="zh-CN"/>
        </w:rPr>
        <w:t>27</w:t>
      </w:r>
      <w:r>
        <w:rPr>
          <w:rFonts w:ascii="Times New Roman" w:eastAsia="宋体" w:cs="Times New Roman"/>
          <w:color w:val="auto"/>
          <w:szCs w:val="21"/>
          <w:highlight w:val="none"/>
        </w:rPr>
        <w:t>日1</w:t>
      </w:r>
      <w:r>
        <w:rPr>
          <w:rFonts w:hint="eastAsia" w:ascii="Times New Roman" w:eastAsia="宋体" w:cs="Times New Roman"/>
          <w:color w:val="auto"/>
          <w:szCs w:val="21"/>
          <w:highlight w:val="none"/>
          <w:lang w:val="en-US" w:eastAsia="zh-CN"/>
        </w:rPr>
        <w:t>7</w:t>
      </w:r>
      <w:r>
        <w:rPr>
          <w:rFonts w:hint="eastAsia" w:ascii="Times New Roman" w:eastAsia="宋体" w:cs="Times New Roman"/>
          <w:color w:val="auto"/>
          <w:szCs w:val="21"/>
          <w:highlight w:val="none"/>
        </w:rPr>
        <w:t>:00（北京时间）前将保证金</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lang w:val="en-US" w:eastAsia="zh-CN"/>
        </w:rPr>
        <w:t>需备注项目全称</w:t>
      </w:r>
      <w:r>
        <w:rPr>
          <w:rFonts w:hint="eastAsia" w:ascii="Times New Roman" w:eastAsia="宋体" w:cs="Times New Roman"/>
          <w:color w:val="auto"/>
          <w:szCs w:val="21"/>
          <w:highlight w:val="none"/>
          <w:lang w:eastAsia="zh-CN"/>
        </w:rPr>
        <w:t>）</w:t>
      </w:r>
      <w:r>
        <w:rPr>
          <w:rFonts w:hint="eastAsia" w:ascii="Times New Roman" w:eastAsia="宋体" w:cs="Times New Roman"/>
          <w:color w:val="auto"/>
          <w:szCs w:val="21"/>
          <w:highlight w:val="none"/>
        </w:rPr>
        <w:t>交到比选人指定账户（比选人账户见下）。比选结果公布后，比选申请单位向比选人提出退保证金申请，比选人在收到退保证金申请后的20个工作日内无息返还竞标保证金。（成交单位的竞标保证金自动转为履约保证金）</w:t>
      </w:r>
    </w:p>
    <w:p>
      <w:pPr>
        <w:pStyle w:val="19"/>
        <w:spacing w:line="400" w:lineRule="exact"/>
        <w:ind w:firstLine="420"/>
        <w:rPr>
          <w:rFonts w:ascii="Times New Roman" w:eastAsia="宋体" w:cs="Times New Roman"/>
          <w:color w:val="auto"/>
          <w:sz w:val="21"/>
          <w:szCs w:val="21"/>
          <w:highlight w:val="none"/>
        </w:rPr>
      </w:pPr>
      <w:r>
        <w:rPr>
          <w:rFonts w:hint="eastAsia" w:ascii="Times New Roman" w:eastAsia="宋体" w:cs="Times New Roman"/>
          <w:color w:val="auto"/>
          <w:sz w:val="21"/>
          <w:szCs w:val="21"/>
          <w:highlight w:val="none"/>
        </w:rPr>
        <w:t>比选人账户：</w:t>
      </w:r>
    </w:p>
    <w:p>
      <w:pPr>
        <w:widowControl/>
        <w:spacing w:line="400" w:lineRule="exact"/>
        <w:jc w:val="left"/>
        <w:rPr>
          <w:color w:val="auto"/>
          <w:kern w:val="0"/>
          <w:szCs w:val="21"/>
          <w:highlight w:val="none"/>
        </w:rPr>
      </w:pPr>
      <w:r>
        <w:rPr>
          <w:rFonts w:hint="eastAsia"/>
          <w:color w:val="auto"/>
          <w:kern w:val="0"/>
          <w:szCs w:val="21"/>
          <w:highlight w:val="none"/>
        </w:rPr>
        <w:t xml:space="preserve">    名  称:重庆高速文化传媒股份有限公司</w:t>
      </w:r>
      <w:r>
        <w:rPr>
          <w:rFonts w:hint="eastAsia"/>
          <w:color w:val="auto"/>
          <w:kern w:val="0"/>
          <w:szCs w:val="21"/>
          <w:highlight w:val="none"/>
        </w:rPr>
        <w:br w:type="textWrapping"/>
      </w:r>
      <w:r>
        <w:rPr>
          <w:rFonts w:hint="eastAsia"/>
          <w:color w:val="auto"/>
          <w:kern w:val="0"/>
          <w:szCs w:val="21"/>
          <w:highlight w:val="none"/>
        </w:rPr>
        <w:t xml:space="preserve">    纳税人识别号：915001032028211147</w:t>
      </w:r>
      <w:r>
        <w:rPr>
          <w:rFonts w:hint="eastAsia"/>
          <w:color w:val="auto"/>
          <w:kern w:val="0"/>
          <w:szCs w:val="21"/>
          <w:highlight w:val="none"/>
        </w:rPr>
        <w:br w:type="textWrapping"/>
      </w:r>
      <w:r>
        <w:rPr>
          <w:rFonts w:hint="eastAsia"/>
          <w:color w:val="auto"/>
          <w:kern w:val="0"/>
          <w:szCs w:val="21"/>
          <w:highlight w:val="none"/>
        </w:rPr>
        <w:t xml:space="preserve">    地址、电话：重庆市渝北区龙山街道龙脊路248号附6号3-2    89138385</w:t>
      </w:r>
      <w:r>
        <w:rPr>
          <w:rFonts w:hint="eastAsia"/>
          <w:color w:val="auto"/>
          <w:kern w:val="0"/>
          <w:szCs w:val="21"/>
          <w:highlight w:val="none"/>
        </w:rPr>
        <w:br w:type="textWrapping"/>
      </w:r>
      <w:r>
        <w:rPr>
          <w:rFonts w:hint="eastAsia"/>
          <w:color w:val="auto"/>
          <w:kern w:val="0"/>
          <w:szCs w:val="21"/>
          <w:highlight w:val="none"/>
        </w:rPr>
        <w:t xml:space="preserve">    开户行、账号：兴业银行重庆分行营业部    346010100101099025</w:t>
      </w:r>
    </w:p>
    <w:p>
      <w:pPr>
        <w:numPr>
          <w:ilvl w:val="0"/>
          <w:numId w:val="0"/>
        </w:numPr>
        <w:spacing w:line="400" w:lineRule="exact"/>
        <w:rPr>
          <w:rFonts w:hint="eastAsia"/>
          <w:color w:val="auto"/>
          <w:szCs w:val="21"/>
          <w:highlight w:val="none"/>
          <w:lang w:eastAsia="zh-CN"/>
        </w:rPr>
      </w:pPr>
      <w:r>
        <w:rPr>
          <w:rFonts w:hint="eastAsia"/>
          <w:color w:val="auto"/>
          <w:szCs w:val="21"/>
          <w:highlight w:val="none"/>
          <w:lang w:val="en-US" w:eastAsia="zh-CN"/>
        </w:rPr>
        <w:t xml:space="preserve">  </w:t>
      </w:r>
      <w:r>
        <w:rPr>
          <w:color w:val="auto"/>
          <w:szCs w:val="21"/>
          <w:highlight w:val="none"/>
        </w:rPr>
        <w:t>（</w:t>
      </w:r>
      <w:r>
        <w:rPr>
          <w:rFonts w:hint="eastAsia"/>
          <w:color w:val="auto"/>
          <w:szCs w:val="21"/>
          <w:highlight w:val="none"/>
        </w:rPr>
        <w:t>六</w:t>
      </w:r>
      <w:r>
        <w:rPr>
          <w:color w:val="auto"/>
          <w:szCs w:val="21"/>
          <w:highlight w:val="none"/>
        </w:rPr>
        <w:t>）各</w:t>
      </w:r>
      <w:r>
        <w:rPr>
          <w:rFonts w:hint="eastAsia"/>
          <w:color w:val="auto"/>
          <w:szCs w:val="21"/>
          <w:highlight w:val="none"/>
        </w:rPr>
        <w:t>比选申请</w:t>
      </w:r>
      <w:r>
        <w:rPr>
          <w:color w:val="auto"/>
          <w:szCs w:val="21"/>
          <w:highlight w:val="none"/>
        </w:rPr>
        <w:t>人应根据本次</w:t>
      </w:r>
      <w:r>
        <w:rPr>
          <w:rFonts w:hint="eastAsia"/>
          <w:color w:val="auto"/>
          <w:szCs w:val="21"/>
          <w:highlight w:val="none"/>
        </w:rPr>
        <w:t>比选</w:t>
      </w:r>
      <w:r>
        <w:rPr>
          <w:color w:val="auto"/>
          <w:szCs w:val="21"/>
          <w:highlight w:val="none"/>
        </w:rPr>
        <w:t>的具体要求，编制规范的</w:t>
      </w:r>
      <w:r>
        <w:rPr>
          <w:rFonts w:hint="eastAsia"/>
          <w:color w:val="auto"/>
          <w:szCs w:val="21"/>
          <w:highlight w:val="none"/>
        </w:rPr>
        <w:t>竞争性比选</w:t>
      </w:r>
      <w:r>
        <w:rPr>
          <w:color w:val="auto"/>
          <w:szCs w:val="21"/>
          <w:highlight w:val="none"/>
        </w:rPr>
        <w:t>申请文件</w:t>
      </w:r>
      <w:r>
        <w:rPr>
          <w:rFonts w:hint="eastAsia"/>
          <w:color w:val="auto"/>
          <w:szCs w:val="21"/>
          <w:highlight w:val="none"/>
          <w:lang w:eastAsia="zh-CN"/>
        </w:rPr>
        <w:t>。</w:t>
      </w:r>
    </w:p>
    <w:p>
      <w:pPr>
        <w:numPr>
          <w:ilvl w:val="0"/>
          <w:numId w:val="0"/>
        </w:numPr>
        <w:spacing w:line="400" w:lineRule="exact"/>
        <w:rPr>
          <w:rFonts w:hint="eastAsia"/>
          <w:color w:val="auto"/>
          <w:szCs w:val="21"/>
          <w:highlight w:val="none"/>
          <w:lang w:eastAsia="zh-CN"/>
        </w:rPr>
      </w:pPr>
      <w:r>
        <w:rPr>
          <w:rFonts w:hint="eastAsia"/>
          <w:color w:val="auto"/>
          <w:szCs w:val="21"/>
          <w:highlight w:val="none"/>
          <w:lang w:val="en-US" w:eastAsia="zh-CN"/>
        </w:rPr>
        <w:t xml:space="preserve">     1、</w:t>
      </w:r>
      <w:r>
        <w:rPr>
          <w:rFonts w:hint="eastAsia"/>
          <w:color w:val="auto"/>
          <w:szCs w:val="21"/>
          <w:highlight w:val="none"/>
        </w:rPr>
        <w:t>竞争性比选</w:t>
      </w:r>
      <w:r>
        <w:rPr>
          <w:color w:val="auto"/>
          <w:szCs w:val="21"/>
          <w:highlight w:val="none"/>
        </w:rPr>
        <w:t>申请文件要求填写规范，密封完好并在封口处加盖公章，所有</w:t>
      </w:r>
      <w:r>
        <w:rPr>
          <w:rFonts w:hint="eastAsia"/>
          <w:color w:val="auto"/>
          <w:szCs w:val="21"/>
          <w:highlight w:val="none"/>
        </w:rPr>
        <w:t>竞争性比选</w:t>
      </w:r>
      <w:r>
        <w:rPr>
          <w:color w:val="auto"/>
          <w:szCs w:val="21"/>
          <w:highlight w:val="none"/>
        </w:rPr>
        <w:t>申请文件均只能作一次性提交，提交后不得更改</w:t>
      </w:r>
      <w:r>
        <w:rPr>
          <w:rFonts w:hint="eastAsia"/>
          <w:color w:val="auto"/>
          <w:szCs w:val="21"/>
          <w:highlight w:val="none"/>
          <w:lang w:eastAsia="zh-CN"/>
        </w:rPr>
        <w:t>。</w:t>
      </w:r>
    </w:p>
    <w:p>
      <w:pPr>
        <w:numPr>
          <w:ilvl w:val="0"/>
          <w:numId w:val="0"/>
        </w:numPr>
        <w:spacing w:line="400" w:lineRule="exact"/>
        <w:rPr>
          <w:color w:val="auto"/>
          <w:szCs w:val="21"/>
          <w:highlight w:val="none"/>
        </w:rPr>
      </w:pPr>
      <w:r>
        <w:rPr>
          <w:rFonts w:hint="eastAsia"/>
          <w:color w:val="auto"/>
          <w:szCs w:val="21"/>
          <w:highlight w:val="none"/>
          <w:lang w:val="en-US" w:eastAsia="zh-CN"/>
        </w:rPr>
        <w:t xml:space="preserve">     2、非法人提交比选文件时，提交者必须提供授权委托书以及身份证原件，并且提交者、授权委托书以及身份证原件三者为同一人</w:t>
      </w:r>
      <w:r>
        <w:rPr>
          <w:color w:val="auto"/>
          <w:szCs w:val="21"/>
          <w:highlight w:val="none"/>
        </w:rPr>
        <w:t>。</w:t>
      </w:r>
    </w:p>
    <w:p>
      <w:pPr>
        <w:spacing w:line="400" w:lineRule="exact"/>
        <w:ind w:firstLine="420" w:firstLineChars="200"/>
        <w:rPr>
          <w:color w:val="auto"/>
          <w:szCs w:val="21"/>
          <w:highlight w:val="none"/>
        </w:rPr>
      </w:pPr>
      <w:r>
        <w:rPr>
          <w:color w:val="auto"/>
          <w:szCs w:val="21"/>
          <w:highlight w:val="none"/>
        </w:rPr>
        <w:t>（</w:t>
      </w:r>
      <w:r>
        <w:rPr>
          <w:rFonts w:hint="eastAsia"/>
          <w:color w:val="auto"/>
          <w:szCs w:val="21"/>
          <w:highlight w:val="none"/>
        </w:rPr>
        <w:t>七</w:t>
      </w:r>
      <w:r>
        <w:rPr>
          <w:color w:val="auto"/>
          <w:szCs w:val="21"/>
          <w:highlight w:val="none"/>
        </w:rPr>
        <w:t>）密封要求：</w:t>
      </w:r>
    </w:p>
    <w:p>
      <w:pPr>
        <w:spacing w:line="400" w:lineRule="exact"/>
        <w:ind w:firstLine="420" w:firstLineChars="200"/>
        <w:rPr>
          <w:color w:val="auto"/>
          <w:szCs w:val="21"/>
          <w:highlight w:val="none"/>
        </w:rPr>
      </w:pPr>
      <w:r>
        <w:rPr>
          <w:color w:val="auto"/>
          <w:szCs w:val="21"/>
          <w:highlight w:val="none"/>
        </w:rPr>
        <w:t>按第三条要求制作的询价响应文件，将询价响应文件密封到一个封套中，再在封套上写明</w:t>
      </w:r>
    </w:p>
    <w:p>
      <w:pPr>
        <w:spacing w:line="400" w:lineRule="exact"/>
        <w:ind w:firstLine="420" w:firstLineChars="200"/>
        <w:rPr>
          <w:color w:val="auto"/>
          <w:szCs w:val="21"/>
          <w:highlight w:val="none"/>
        </w:rPr>
      </w:pPr>
    </w:p>
    <w:p>
      <w:pPr>
        <w:pStyle w:val="19"/>
        <w:rPr>
          <w:color w:val="auto"/>
          <w:highlight w:val="none"/>
        </w:rPr>
      </w:pPr>
    </w:p>
    <w:p>
      <w:pPr>
        <w:pStyle w:val="19"/>
        <w:rPr>
          <w:color w:val="auto"/>
          <w:highlight w:val="none"/>
        </w:rPr>
      </w:pPr>
    </w:p>
    <w:p>
      <w:pPr>
        <w:spacing w:line="400" w:lineRule="exact"/>
        <w:ind w:firstLine="420" w:firstLineChars="200"/>
        <w:jc w:val="center"/>
        <w:rPr>
          <w:color w:val="auto"/>
          <w:szCs w:val="21"/>
          <w:highlight w:val="none"/>
          <w:u w:val="single"/>
        </w:rPr>
      </w:pPr>
      <w:r>
        <w:rPr>
          <w:rFonts w:hint="eastAsia"/>
          <w:color w:val="auto"/>
          <w:szCs w:val="21"/>
          <w:highlight w:val="none"/>
          <w:u w:val="single"/>
          <w:lang w:val="en-US" w:eastAsia="zh-CN"/>
        </w:rPr>
        <w:t>重庆高速文化传媒股份有限公司渝广路广告牌建设</w:t>
      </w:r>
      <w:r>
        <w:rPr>
          <w:rFonts w:hint="eastAsia"/>
          <w:color w:val="auto"/>
          <w:szCs w:val="21"/>
          <w:highlight w:val="none"/>
          <w:u w:val="single"/>
          <w:lang w:eastAsia="zh-CN"/>
        </w:rPr>
        <w:t>项目</w:t>
      </w:r>
      <w:r>
        <w:rPr>
          <w:rFonts w:hint="eastAsia"/>
          <w:color w:val="auto"/>
          <w:szCs w:val="21"/>
          <w:highlight w:val="none"/>
          <w:u w:val="single"/>
          <w:lang w:val="en-US" w:eastAsia="zh-CN"/>
        </w:rPr>
        <w:t>竞争性比选</w:t>
      </w:r>
      <w:r>
        <w:rPr>
          <w:color w:val="auto"/>
          <w:szCs w:val="21"/>
          <w:highlight w:val="none"/>
          <w:u w:val="single"/>
        </w:rPr>
        <w:t>响应文件</w:t>
      </w:r>
    </w:p>
    <w:p>
      <w:pPr>
        <w:spacing w:line="400" w:lineRule="exact"/>
        <w:ind w:firstLine="420" w:firstLineChars="200"/>
        <w:jc w:val="center"/>
        <w:rPr>
          <w:color w:val="auto"/>
          <w:szCs w:val="21"/>
          <w:highlight w:val="none"/>
          <w:u w:val="single"/>
        </w:rPr>
      </w:pPr>
      <w:r>
        <w:rPr>
          <w:color w:val="auto"/>
          <w:szCs w:val="21"/>
          <w:highlight w:val="none"/>
          <w:u w:val="single"/>
        </w:rPr>
        <w:t>在</w:t>
      </w:r>
      <w:r>
        <w:rPr>
          <w:rFonts w:hint="eastAsia"/>
          <w:color w:val="auto"/>
          <w:szCs w:val="21"/>
          <w:highlight w:val="none"/>
          <w:u w:val="single"/>
          <w:lang w:val="en-US" w:eastAsia="zh-CN"/>
        </w:rPr>
        <w:t>2021</w:t>
      </w:r>
      <w:r>
        <w:rPr>
          <w:color w:val="auto"/>
          <w:szCs w:val="21"/>
          <w:highlight w:val="none"/>
          <w:u w:val="single"/>
        </w:rPr>
        <w:t>年</w:t>
      </w:r>
      <w:r>
        <w:rPr>
          <w:rFonts w:hint="eastAsia"/>
          <w:color w:val="auto"/>
          <w:szCs w:val="21"/>
          <w:highlight w:val="none"/>
          <w:u w:val="single"/>
          <w:lang w:val="en-US" w:eastAsia="zh-CN"/>
        </w:rPr>
        <w:t>9月28</w:t>
      </w:r>
      <w:r>
        <w:rPr>
          <w:color w:val="auto"/>
          <w:szCs w:val="21"/>
          <w:highlight w:val="none"/>
          <w:u w:val="single"/>
        </w:rPr>
        <w:t>日1</w:t>
      </w:r>
      <w:r>
        <w:rPr>
          <w:rFonts w:hint="eastAsia"/>
          <w:color w:val="auto"/>
          <w:szCs w:val="21"/>
          <w:highlight w:val="none"/>
          <w:u w:val="single"/>
          <w:lang w:val="en-US" w:eastAsia="zh-CN"/>
        </w:rPr>
        <w:t>4</w:t>
      </w:r>
      <w:r>
        <w:rPr>
          <w:color w:val="auto"/>
          <w:szCs w:val="21"/>
          <w:highlight w:val="none"/>
          <w:u w:val="single"/>
        </w:rPr>
        <w:t>:00时前不得开启</w:t>
      </w:r>
    </w:p>
    <w:p>
      <w:pPr>
        <w:pStyle w:val="19"/>
        <w:rPr>
          <w:color w:val="auto"/>
          <w:highlight w:val="none"/>
        </w:rPr>
      </w:pPr>
    </w:p>
    <w:p>
      <w:pPr>
        <w:spacing w:line="400" w:lineRule="exact"/>
        <w:ind w:firstLine="420" w:firstLineChars="200"/>
        <w:jc w:val="left"/>
        <w:rPr>
          <w:color w:val="auto"/>
          <w:szCs w:val="21"/>
          <w:highlight w:val="none"/>
        </w:rPr>
      </w:pPr>
      <w:r>
        <w:rPr>
          <w:rFonts w:hint="eastAsia"/>
          <w:color w:val="auto"/>
          <w:szCs w:val="21"/>
          <w:highlight w:val="none"/>
          <w:lang w:val="en-US" w:eastAsia="zh-CN"/>
        </w:rPr>
        <w:t>比选</w:t>
      </w:r>
      <w:r>
        <w:rPr>
          <w:color w:val="auto"/>
          <w:szCs w:val="21"/>
          <w:highlight w:val="none"/>
        </w:rPr>
        <w:t>人：重庆高速文化传媒股份有限公司</w:t>
      </w:r>
    </w:p>
    <w:p>
      <w:pPr>
        <w:spacing w:line="400" w:lineRule="exact"/>
        <w:ind w:left="420" w:leftChars="200"/>
        <w:jc w:val="left"/>
        <w:rPr>
          <w:rFonts w:hint="eastAsia"/>
          <w:color w:val="auto"/>
          <w:szCs w:val="21"/>
          <w:highlight w:val="none"/>
        </w:rPr>
      </w:pPr>
      <w:r>
        <w:rPr>
          <w:color w:val="auto"/>
          <w:szCs w:val="21"/>
          <w:highlight w:val="none"/>
        </w:rPr>
        <w:t>地址：渝北区银杉路66号主楼402室</w:t>
      </w:r>
      <w:r>
        <w:rPr>
          <w:color w:val="auto"/>
          <w:szCs w:val="21"/>
          <w:highlight w:val="none"/>
        </w:rPr>
        <w:br w:type="textWrapping"/>
      </w:r>
      <w:r>
        <w:rPr>
          <w:color w:val="auto"/>
          <w:szCs w:val="21"/>
          <w:highlight w:val="none"/>
        </w:rPr>
        <w:t xml:space="preserve">联系人：吴老师 </w:t>
      </w:r>
      <w:r>
        <w:rPr>
          <w:rFonts w:hint="eastAsia"/>
          <w:color w:val="auto"/>
          <w:szCs w:val="21"/>
          <w:highlight w:val="none"/>
        </w:rPr>
        <w:t xml:space="preserve">   </w:t>
      </w:r>
      <w:r>
        <w:rPr>
          <w:color w:val="auto"/>
          <w:szCs w:val="21"/>
          <w:highlight w:val="none"/>
        </w:rPr>
        <w:t xml:space="preserve"> 电话：</w:t>
      </w:r>
      <w:r>
        <w:rPr>
          <w:rFonts w:hint="eastAsia"/>
          <w:color w:val="auto"/>
          <w:szCs w:val="21"/>
          <w:highlight w:val="none"/>
        </w:rPr>
        <w:t>023－89139739</w:t>
      </w: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szCs w:val="21"/>
          <w:highlight w:val="none"/>
        </w:rPr>
      </w:pPr>
    </w:p>
    <w:p>
      <w:pPr>
        <w:pStyle w:val="2"/>
        <w:rPr>
          <w:rFonts w:hint="eastAsia"/>
          <w:color w:val="auto"/>
          <w:szCs w:val="21"/>
          <w:highlight w:val="none"/>
        </w:rPr>
      </w:pPr>
    </w:p>
    <w:p>
      <w:pPr>
        <w:rPr>
          <w:rFonts w:hint="eastAsia"/>
          <w:color w:val="auto"/>
          <w:highlight w:val="none"/>
        </w:rPr>
      </w:pPr>
    </w:p>
    <w:p>
      <w:pPr>
        <w:pStyle w:val="19"/>
        <w:rPr>
          <w:color w:val="auto"/>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竞争性比选申请文件格式</w:t>
      </w:r>
    </w:p>
    <w:p>
      <w:pPr>
        <w:jc w:val="center"/>
        <w:rPr>
          <w:rFonts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ascii="宋体" w:hAnsi="宋体" w:cs="宋体"/>
          <w:b/>
          <w:color w:val="auto"/>
          <w:sz w:val="24"/>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pPr>
    </w:p>
    <w:p>
      <w:pPr>
        <w:ind w:right="480" w:firstLine="2849" w:firstLineChars="946"/>
        <w:rPr>
          <w:rFonts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ind w:right="480" w:firstLine="2849" w:firstLineChars="946"/>
        <w:jc w:val="right"/>
        <w:rPr>
          <w:rFonts w:ascii="宋体" w:hAnsi="宋体" w:cs="宋体"/>
          <w:b/>
          <w:color w:val="auto"/>
          <w:sz w:val="30"/>
          <w:szCs w:val="30"/>
          <w:highlight w:val="none"/>
        </w:rPr>
      </w:pPr>
      <w:r>
        <w:rPr>
          <w:rFonts w:hint="eastAsia" w:ascii="宋体" w:hAnsi="宋体" w:cs="宋体"/>
          <w:b/>
          <w:color w:val="auto"/>
          <w:sz w:val="30"/>
          <w:szCs w:val="30"/>
          <w:highlight w:val="none"/>
        </w:rPr>
        <w:t>正本（或副本）</w:t>
      </w:r>
    </w:p>
    <w:p>
      <w:pPr>
        <w:pStyle w:val="19"/>
        <w:rPr>
          <w:color w:val="auto"/>
          <w:highlight w:val="none"/>
        </w:rPr>
      </w:pPr>
    </w:p>
    <w:p>
      <w:pPr>
        <w:jc w:val="center"/>
        <w:rPr>
          <w:rFonts w:hint="eastAsia" w:ascii="宋体" w:hAnsi="宋体" w:cs="宋体"/>
          <w:b/>
          <w:color w:val="auto"/>
          <w:sz w:val="44"/>
          <w:szCs w:val="44"/>
          <w:highlight w:val="none"/>
          <w:u w:val="single"/>
          <w:lang w:val="en-US" w:eastAsia="zh-CN"/>
        </w:rPr>
      </w:pPr>
      <w:r>
        <w:rPr>
          <w:rFonts w:hint="eastAsia" w:ascii="宋体" w:hAnsi="宋体" w:cs="宋体"/>
          <w:b/>
          <w:color w:val="auto"/>
          <w:sz w:val="44"/>
          <w:szCs w:val="44"/>
          <w:highlight w:val="none"/>
          <w:u w:val="single"/>
        </w:rPr>
        <w:t>重庆高速文化传媒股份有限公司</w:t>
      </w:r>
      <w:r>
        <w:rPr>
          <w:rFonts w:hint="eastAsia" w:ascii="宋体" w:hAnsi="宋体" w:cs="宋体"/>
          <w:b/>
          <w:color w:val="auto"/>
          <w:sz w:val="44"/>
          <w:szCs w:val="44"/>
          <w:highlight w:val="none"/>
          <w:u w:val="single"/>
          <w:lang w:val="en-US" w:eastAsia="zh-CN"/>
        </w:rPr>
        <w:t>渝广路</w:t>
      </w:r>
    </w:p>
    <w:p>
      <w:pPr>
        <w:jc w:val="center"/>
        <w:rPr>
          <w:rFonts w:hint="eastAsia" w:ascii="宋体" w:hAnsi="宋体" w:cs="宋体"/>
          <w:b/>
          <w:color w:val="auto"/>
          <w:sz w:val="44"/>
          <w:szCs w:val="44"/>
          <w:highlight w:val="none"/>
          <w:u w:val="single"/>
        </w:rPr>
      </w:pPr>
      <w:r>
        <w:rPr>
          <w:rFonts w:hint="eastAsia" w:ascii="宋体" w:hAnsi="宋体" w:cs="宋体"/>
          <w:b/>
          <w:color w:val="auto"/>
          <w:sz w:val="44"/>
          <w:szCs w:val="44"/>
          <w:highlight w:val="none"/>
          <w:u w:val="single"/>
        </w:rPr>
        <w:t>广告牌建设工程</w:t>
      </w:r>
    </w:p>
    <w:p>
      <w:pPr>
        <w:pStyle w:val="2"/>
        <w:rPr>
          <w:rFonts w:hint="eastAsia" w:ascii="宋体" w:hAnsi="宋体" w:cs="宋体"/>
          <w:b/>
          <w:color w:val="auto"/>
          <w:sz w:val="44"/>
          <w:szCs w:val="44"/>
          <w:highlight w:val="none"/>
          <w:u w:val="single"/>
        </w:rPr>
      </w:pPr>
    </w:p>
    <w:p>
      <w:pPr>
        <w:rPr>
          <w:rFonts w:hint="eastAsia" w:ascii="宋体" w:hAnsi="宋体" w:cs="宋体"/>
          <w:b/>
          <w:color w:val="auto"/>
          <w:sz w:val="44"/>
          <w:szCs w:val="44"/>
          <w:highlight w:val="none"/>
          <w:u w:val="single"/>
        </w:rPr>
      </w:pPr>
    </w:p>
    <w:p>
      <w:pPr>
        <w:pStyle w:val="2"/>
        <w:rPr>
          <w:rFonts w:hint="eastAsia" w:ascii="宋体" w:hAnsi="宋体" w:cs="宋体"/>
          <w:b/>
          <w:color w:val="auto"/>
          <w:sz w:val="44"/>
          <w:szCs w:val="44"/>
          <w:highlight w:val="none"/>
          <w:u w:val="single"/>
        </w:rPr>
      </w:pPr>
    </w:p>
    <w:p>
      <w:pPr>
        <w:pStyle w:val="2"/>
        <w:rPr>
          <w:rFonts w:hint="eastAsia" w:ascii="宋体" w:hAnsi="宋体" w:cs="宋体"/>
          <w:b/>
          <w:color w:val="auto"/>
          <w:sz w:val="44"/>
          <w:szCs w:val="44"/>
          <w:highlight w:val="none"/>
          <w:u w:val="single"/>
        </w:rPr>
      </w:pPr>
    </w:p>
    <w:p>
      <w:pPr>
        <w:rPr>
          <w:rFonts w:hint="eastAsia"/>
          <w:color w:val="auto"/>
          <w:highlight w:val="none"/>
        </w:rPr>
      </w:pPr>
    </w:p>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 xml:space="preserve">竞争性比选申请文件 </w:t>
      </w: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pStyle w:val="2"/>
        <w:rPr>
          <w:rFonts w:ascii="宋体" w:hAnsi="宋体" w:cs="宋体"/>
          <w:color w:val="auto"/>
          <w:sz w:val="32"/>
          <w:szCs w:val="32"/>
          <w:highlight w:val="none"/>
        </w:rPr>
      </w:pPr>
    </w:p>
    <w:p>
      <w:pPr>
        <w:rPr>
          <w:rFonts w:ascii="宋体" w:hAnsi="宋体" w:cs="宋体"/>
          <w:color w:val="auto"/>
          <w:sz w:val="32"/>
          <w:szCs w:val="32"/>
          <w:highlight w:val="none"/>
        </w:rPr>
      </w:pPr>
    </w:p>
    <w:p>
      <w:pPr>
        <w:pStyle w:val="2"/>
        <w:rPr>
          <w:rFonts w:ascii="宋体" w:hAnsi="宋体" w:cs="宋体"/>
          <w:color w:val="auto"/>
          <w:sz w:val="32"/>
          <w:szCs w:val="32"/>
          <w:highlight w:val="none"/>
        </w:rPr>
      </w:pPr>
    </w:p>
    <w:p>
      <w:pPr>
        <w:rPr>
          <w:color w:val="auto"/>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u w:val="single"/>
        </w:rPr>
      </w:pPr>
      <w:r>
        <w:rPr>
          <w:rFonts w:hint="eastAsia" w:ascii="宋体" w:hAnsi="宋体" w:cs="宋体"/>
          <w:color w:val="auto"/>
          <w:sz w:val="32"/>
          <w:szCs w:val="32"/>
          <w:highlight w:val="none"/>
          <w:u w:val="single"/>
          <w:lang w:val="en-US" w:eastAsia="zh-CN"/>
        </w:rPr>
        <w:t>比选</w:t>
      </w:r>
      <w:r>
        <w:rPr>
          <w:rFonts w:hint="eastAsia" w:ascii="宋体" w:hAnsi="宋体" w:cs="宋体"/>
          <w:color w:val="auto"/>
          <w:sz w:val="32"/>
          <w:szCs w:val="32"/>
          <w:highlight w:val="none"/>
          <w:u w:val="single"/>
        </w:rPr>
        <w:t>响应单位名称全称（盖单位公章）</w:t>
      </w:r>
    </w:p>
    <w:p>
      <w:pPr>
        <w:jc w:val="center"/>
        <w:rPr>
          <w:rFonts w:ascii="宋体" w:hAnsi="宋体" w:cs="宋体"/>
          <w:color w:val="auto"/>
          <w:sz w:val="32"/>
          <w:szCs w:val="32"/>
          <w:highlight w:val="none"/>
          <w:u w:val="single"/>
        </w:rPr>
      </w:pPr>
    </w:p>
    <w:p>
      <w:pPr>
        <w:pStyle w:val="19"/>
        <w:rPr>
          <w:color w:val="auto"/>
          <w:highlight w:val="none"/>
        </w:rPr>
      </w:pPr>
    </w:p>
    <w:p>
      <w:pPr>
        <w:pStyle w:val="19"/>
        <w:rPr>
          <w:color w:val="auto"/>
          <w:highlight w:val="none"/>
        </w:rPr>
      </w:pPr>
    </w:p>
    <w:p>
      <w:pPr>
        <w:jc w:val="center"/>
        <w:rPr>
          <w:rFonts w:ascii="宋体" w:hAnsi="宋体" w:cs="宋体"/>
          <w:color w:val="auto"/>
          <w:sz w:val="32"/>
          <w:szCs w:val="32"/>
          <w:highlight w:val="none"/>
          <w:u w:val="single"/>
        </w:rPr>
      </w:pPr>
    </w:p>
    <w:p>
      <w:pPr>
        <w:tabs>
          <w:tab w:val="left" w:pos="900"/>
          <w:tab w:val="left" w:pos="1080"/>
        </w:tabs>
        <w:spacing w:line="30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目  录</w:t>
      </w: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一、报价书；</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二、法定代表人身份证明及授权委托书；</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三、比选申请单位有效的营业执照资料；</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四、比选申请单位有效的安全生产许可证、资质证书资料；</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五、比选申请单位的业绩证明资料；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若有</w:t>
      </w:r>
      <w:r>
        <w:rPr>
          <w:rFonts w:hint="eastAsia" w:ascii="宋体" w:hAnsi="宋体" w:cs="宋体"/>
          <w:color w:val="auto"/>
          <w:sz w:val="24"/>
          <w:szCs w:val="24"/>
          <w:highlight w:val="none"/>
          <w:lang w:eastAsia="zh-CN"/>
        </w:rPr>
        <w:t>）</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rPr>
        <w:t>六、比选申请单位的信誉承诺书；</w:t>
      </w:r>
    </w:p>
    <w:p>
      <w:pPr>
        <w:tabs>
          <w:tab w:val="left" w:pos="900"/>
          <w:tab w:val="left" w:pos="1080"/>
        </w:tabs>
        <w:spacing w:line="360" w:lineRule="auto"/>
        <w:outlineLvl w:val="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七、比选申请单位的投入本项目主要管理人员承诺书</w:t>
      </w:r>
      <w:r>
        <w:rPr>
          <w:rFonts w:hint="eastAsia" w:ascii="宋体" w:hAnsi="宋体" w:cs="宋体"/>
          <w:color w:val="auto"/>
          <w:sz w:val="24"/>
          <w:szCs w:val="24"/>
          <w:highlight w:val="none"/>
          <w:lang w:eastAsia="zh-CN"/>
        </w:rPr>
        <w:t>；</w:t>
      </w:r>
    </w:p>
    <w:p>
      <w:pPr>
        <w:tabs>
          <w:tab w:val="left" w:pos="900"/>
          <w:tab w:val="left" w:pos="1080"/>
        </w:tabs>
        <w:spacing w:line="360" w:lineRule="auto"/>
        <w:outlineLvl w:val="0"/>
        <w:rPr>
          <w:rFonts w:hint="eastAsia"/>
          <w:color w:val="auto"/>
          <w:highlight w:val="none"/>
          <w:lang w:eastAsia="zh-CN"/>
        </w:rPr>
      </w:pP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、比选申请单位</w:t>
      </w:r>
      <w:r>
        <w:rPr>
          <w:rFonts w:hint="eastAsia" w:ascii="宋体" w:hAnsi="宋体" w:cs="宋体"/>
          <w:color w:val="auto"/>
          <w:sz w:val="24"/>
          <w:szCs w:val="24"/>
          <w:highlight w:val="none"/>
          <w:lang w:eastAsia="zh-CN"/>
        </w:rPr>
        <w:t>自行</w:t>
      </w:r>
      <w:r>
        <w:rPr>
          <w:rFonts w:hint="eastAsia" w:ascii="宋体" w:hAnsi="宋体" w:cs="宋体"/>
          <w:color w:val="auto"/>
          <w:sz w:val="24"/>
          <w:szCs w:val="24"/>
          <w:highlight w:val="none"/>
        </w:rPr>
        <w:t>承诺书</w:t>
      </w:r>
      <w:r>
        <w:rPr>
          <w:rFonts w:hint="eastAsia" w:ascii="宋体" w:hAnsi="宋体" w:cs="宋体"/>
          <w:color w:val="auto"/>
          <w:sz w:val="24"/>
          <w:szCs w:val="24"/>
          <w:highlight w:val="none"/>
          <w:lang w:eastAsia="zh-CN"/>
        </w:rPr>
        <w:t>；</w:t>
      </w:r>
    </w:p>
    <w:p>
      <w:pPr>
        <w:tabs>
          <w:tab w:val="left" w:pos="900"/>
          <w:tab w:val="left" w:pos="1080"/>
        </w:tabs>
        <w:spacing w:line="360" w:lineRule="auto"/>
        <w:outlineLvl w:val="0"/>
        <w:rPr>
          <w:rFonts w:ascii="宋体" w:hAnsi="宋体" w:cs="宋体"/>
          <w:color w:val="auto"/>
          <w:sz w:val="24"/>
          <w:szCs w:val="24"/>
          <w:highlight w:val="none"/>
        </w:rPr>
      </w:pPr>
      <w:r>
        <w:rPr>
          <w:rFonts w:hint="eastAsia" w:ascii="宋体" w:hAnsi="宋体" w:cs="宋体"/>
          <w:color w:val="auto"/>
          <w:sz w:val="24"/>
          <w:szCs w:val="24"/>
          <w:highlight w:val="none"/>
          <w:lang w:eastAsia="zh-CN"/>
        </w:rPr>
        <w:t>九</w:t>
      </w:r>
      <w:r>
        <w:rPr>
          <w:rFonts w:hint="eastAsia" w:ascii="宋体" w:hAnsi="宋体" w:cs="宋体"/>
          <w:color w:val="auto"/>
          <w:sz w:val="24"/>
          <w:szCs w:val="24"/>
          <w:highlight w:val="none"/>
        </w:rPr>
        <w:t>、</w:t>
      </w:r>
      <w:r>
        <w:rPr>
          <w:rFonts w:ascii="宋体" w:hAnsi="宋体" w:cs="宋体"/>
          <w:color w:val="auto"/>
          <w:sz w:val="24"/>
          <w:szCs w:val="24"/>
          <w:highlight w:val="none"/>
        </w:rPr>
        <w:t>技术部分</w:t>
      </w:r>
      <w:r>
        <w:rPr>
          <w:rFonts w:hint="eastAsia" w:ascii="宋体" w:hAnsi="宋体" w:cs="宋体"/>
          <w:color w:val="auto"/>
          <w:sz w:val="24"/>
          <w:szCs w:val="24"/>
          <w:highlight w:val="none"/>
        </w:rPr>
        <w:t>；</w:t>
      </w:r>
    </w:p>
    <w:p>
      <w:pPr>
        <w:tabs>
          <w:tab w:val="left" w:pos="900"/>
          <w:tab w:val="left" w:pos="1080"/>
        </w:tabs>
        <w:spacing w:line="36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十</w:t>
      </w:r>
      <w:r>
        <w:rPr>
          <w:rFonts w:hint="eastAsia" w:ascii="宋体" w:hAnsi="宋体" w:cs="宋体"/>
          <w:color w:val="auto"/>
          <w:sz w:val="24"/>
          <w:szCs w:val="24"/>
          <w:highlight w:val="none"/>
        </w:rPr>
        <w:t>、其他相关资料。</w:t>
      </w:r>
    </w:p>
    <w:p>
      <w:pPr>
        <w:tabs>
          <w:tab w:val="left" w:pos="900"/>
          <w:tab w:val="left" w:pos="1080"/>
        </w:tabs>
        <w:spacing w:line="300" w:lineRule="auto"/>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jc w:val="center"/>
        <w:outlineLvl w:val="2"/>
        <w:rPr>
          <w:rFonts w:ascii="宋体" w:hAnsi="宋体" w:cs="宋体"/>
          <w:b/>
          <w:color w:val="auto"/>
          <w:sz w:val="28"/>
          <w:szCs w:val="28"/>
          <w:highlight w:val="none"/>
        </w:rPr>
        <w:sectPr>
          <w:pgSz w:w="11906" w:h="16838"/>
          <w:pgMar w:top="1418" w:right="1361" w:bottom="1418" w:left="1361" w:header="851" w:footer="992" w:gutter="0"/>
          <w:cols w:space="720" w:num="1"/>
          <w:docGrid w:type="lines" w:linePitch="312" w:charSpace="0"/>
        </w:sectPr>
      </w:pPr>
      <w:bookmarkStart w:id="38" w:name="_Toc265510122"/>
    </w:p>
    <w:p>
      <w:pPr>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一、报价书</w:t>
      </w:r>
      <w:bookmarkEnd w:id="38"/>
    </w:p>
    <w:p>
      <w:pPr>
        <w:spacing w:line="440" w:lineRule="exact"/>
        <w:rPr>
          <w:rFonts w:ascii="宋体" w:hAnsi="宋体" w:cs="宋体"/>
          <w:color w:val="auto"/>
          <w:szCs w:val="21"/>
          <w:highlight w:val="none"/>
        </w:rPr>
      </w:pPr>
      <w:r>
        <w:rPr>
          <w:rFonts w:hint="eastAsia" w:ascii="宋体" w:hAnsi="宋体" w:cs="宋体"/>
          <w:b/>
          <w:color w:val="auto"/>
          <w:highlight w:val="none"/>
          <w:u w:val="single"/>
        </w:rPr>
        <w:t>致：重庆高速文化传媒股份有限公司</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b/>
          <w:color w:val="auto"/>
          <w:szCs w:val="21"/>
          <w:highlight w:val="none"/>
          <w:u w:val="single"/>
        </w:rPr>
        <w:t>重庆高速文化传媒股份有限公司</w:t>
      </w:r>
      <w:r>
        <w:rPr>
          <w:rFonts w:hint="eastAsia" w:ascii="宋体" w:hAnsi="宋体" w:cs="宋体"/>
          <w:b/>
          <w:color w:val="auto"/>
          <w:szCs w:val="21"/>
          <w:highlight w:val="none"/>
          <w:u w:val="single"/>
          <w:lang w:val="en-US" w:eastAsia="zh-CN"/>
        </w:rPr>
        <w:t>渝广路</w:t>
      </w:r>
      <w:r>
        <w:rPr>
          <w:rFonts w:hint="eastAsia" w:ascii="宋体" w:hAnsi="宋体" w:cs="宋体"/>
          <w:b/>
          <w:color w:val="auto"/>
          <w:szCs w:val="21"/>
          <w:highlight w:val="none"/>
          <w:u w:val="single"/>
        </w:rPr>
        <w:t>广告牌建设工程竞争性比选文件</w:t>
      </w:r>
      <w:r>
        <w:rPr>
          <w:rFonts w:hint="eastAsia" w:ascii="宋体" w:hAnsi="宋体" w:cs="宋体"/>
          <w:color w:val="auto"/>
          <w:szCs w:val="21"/>
          <w:highlight w:val="none"/>
        </w:rPr>
        <w:t>的全部内容，根据相关取费标准，愿意以竞标总报价</w:t>
      </w:r>
      <w:r>
        <w:rPr>
          <w:color w:val="auto"/>
          <w:szCs w:val="21"/>
          <w:highlight w:val="none"/>
        </w:rPr>
        <w:t>（大写）</w:t>
      </w:r>
      <w:r>
        <w:rPr>
          <w:color w:val="auto"/>
          <w:szCs w:val="21"/>
          <w:highlight w:val="none"/>
          <w:u w:val="single"/>
        </w:rPr>
        <w:t xml:space="preserve">         </w:t>
      </w:r>
      <w:r>
        <w:rPr>
          <w:color w:val="auto"/>
          <w:szCs w:val="21"/>
          <w:highlight w:val="none"/>
        </w:rPr>
        <w:t>（¥</w:t>
      </w:r>
      <w:r>
        <w:rPr>
          <w:color w:val="auto"/>
          <w:szCs w:val="21"/>
          <w:highlight w:val="none"/>
          <w:u w:val="single"/>
        </w:rPr>
        <w:t xml:space="preserve">           </w:t>
      </w:r>
      <w:r>
        <w:rPr>
          <w:rFonts w:hint="eastAsia"/>
          <w:color w:val="auto"/>
          <w:szCs w:val="21"/>
          <w:highlight w:val="none"/>
          <w:u w:val="single"/>
        </w:rPr>
        <w:t>元</w:t>
      </w:r>
      <w:r>
        <w:rPr>
          <w:color w:val="auto"/>
          <w:szCs w:val="21"/>
          <w:highlight w:val="none"/>
        </w:rPr>
        <w:t>）</w:t>
      </w:r>
      <w:r>
        <w:rPr>
          <w:rFonts w:hint="eastAsia" w:ascii="宋体" w:hAnsi="宋体" w:cs="宋体"/>
          <w:color w:val="auto"/>
          <w:szCs w:val="21"/>
          <w:highlight w:val="none"/>
        </w:rPr>
        <w:t>，</w:t>
      </w:r>
      <w:r>
        <w:rPr>
          <w:rFonts w:hint="eastAsia"/>
          <w:color w:val="auto"/>
          <w:szCs w:val="21"/>
          <w:highlight w:val="none"/>
        </w:rPr>
        <w:t>并按</w:t>
      </w:r>
      <w:r>
        <w:rPr>
          <w:color w:val="auto"/>
          <w:szCs w:val="21"/>
          <w:highlight w:val="none"/>
        </w:rPr>
        <w:t>合同</w:t>
      </w:r>
      <w:r>
        <w:rPr>
          <w:rFonts w:hint="eastAsia"/>
          <w:color w:val="auto"/>
          <w:szCs w:val="21"/>
          <w:highlight w:val="none"/>
        </w:rPr>
        <w:t>约定履行义务。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2．工期：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40日历天</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 我方承诺在竞标有效期内不修改、撤销竞争性比选申请文件。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highlight w:val="none"/>
        </w:rPr>
        <w:t>我方在此声明，所递交的竞争性比选申请文件及有关资料内容完整、真实和准确。</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5．在合同协议书正式签署生效之前，本报价书连同你方的成交通知书将构成我们双方之间共同遵守的文件。对双方具有约束力。</w:t>
      </w:r>
    </w:p>
    <w:p>
      <w:pPr>
        <w:pStyle w:val="19"/>
        <w:rPr>
          <w:rFonts w:hint="eastAsia"/>
          <w:color w:val="auto"/>
          <w:highlight w:val="none"/>
        </w:rPr>
      </w:pPr>
    </w:p>
    <w:p>
      <w:pPr>
        <w:rPr>
          <w:rFonts w:hint="eastAsia"/>
          <w:color w:val="auto"/>
          <w:highlight w:val="none"/>
        </w:rPr>
      </w:pPr>
    </w:p>
    <w:p>
      <w:pPr>
        <w:pStyle w:val="2"/>
        <w:ind w:left="0" w:leftChars="0" w:firstLine="0" w:firstLineChars="0"/>
        <w:rPr>
          <w:rFonts w:hint="eastAsia"/>
          <w:color w:val="auto"/>
          <w:highlight w:val="none"/>
          <w:lang w:val="en-US" w:eastAsia="zh-CN"/>
        </w:rPr>
      </w:pPr>
      <w:r>
        <w:rPr>
          <w:rFonts w:hint="eastAsia"/>
          <w:color w:val="auto"/>
          <w:highlight w:val="none"/>
          <w:lang w:val="en-US" w:eastAsia="zh-CN"/>
        </w:rPr>
        <w:t xml:space="preserve">  </w:t>
      </w:r>
    </w:p>
    <w:tbl>
      <w:tblPr>
        <w:tblStyle w:val="17"/>
        <w:tblW w:w="7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6"/>
        <w:gridCol w:w="2004"/>
        <w:gridCol w:w="1080"/>
        <w:gridCol w:w="12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结构形式</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上限价（元）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报价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三面体</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370525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两面体</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305325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0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两面体上部结构</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233716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p>
        </w:tc>
      </w:tr>
    </w:tbl>
    <w:p>
      <w:pPr>
        <w:pStyle w:val="2"/>
        <w:ind w:left="0" w:leftChars="0" w:firstLine="0" w:firstLineChars="0"/>
        <w:rPr>
          <w:rFonts w:hint="eastAsia" w:eastAsia="仿宋_GB2312"/>
          <w:color w:val="auto"/>
          <w:highlight w:val="none"/>
          <w:lang w:val="en-US" w:eastAsia="zh-CN"/>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rPr>
          <w:rFonts w:hint="eastAsia"/>
          <w:color w:val="auto"/>
          <w:highlight w:val="none"/>
        </w:rPr>
      </w:pPr>
    </w:p>
    <w:p>
      <w:pPr>
        <w:spacing w:line="440" w:lineRule="exact"/>
        <w:ind w:firstLine="3675" w:firstLineChars="1750"/>
        <w:rPr>
          <w:rFonts w:hint="eastAsia" w:ascii="宋体" w:hAnsi="宋体" w:cs="宋体"/>
          <w:color w:val="auto"/>
          <w:szCs w:val="21"/>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比选申请人：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网址：</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pPr>
        <w:spacing w:line="440" w:lineRule="exact"/>
        <w:ind w:firstLine="3675" w:firstLineChars="1750"/>
        <w:rPr>
          <w:rFonts w:ascii="宋体" w:hAnsi="宋体" w:cs="宋体"/>
          <w:color w:val="auto"/>
          <w:szCs w:val="21"/>
          <w:highlight w:val="none"/>
        </w:rPr>
      </w:pPr>
    </w:p>
    <w:p>
      <w:pPr>
        <w:spacing w:line="400" w:lineRule="atLeast"/>
        <w:jc w:val="righ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ind w:firstLine="2003" w:firstLineChars="950"/>
        <w:outlineLvl w:val="1"/>
        <w:rPr>
          <w:rFonts w:ascii="宋体" w:hAnsi="宋体" w:cs="宋体"/>
          <w:b/>
          <w:color w:val="auto"/>
          <w:highlight w:val="none"/>
        </w:rPr>
      </w:pPr>
    </w:p>
    <w:p>
      <w:pPr>
        <w:spacing w:line="440" w:lineRule="exact"/>
        <w:ind w:firstLine="2003" w:firstLineChars="950"/>
        <w:outlineLvl w:val="1"/>
        <w:rPr>
          <w:rFonts w:ascii="宋体" w:hAnsi="宋体" w:cs="宋体"/>
          <w:b/>
          <w:color w:val="auto"/>
          <w:highlight w:val="none"/>
        </w:rPr>
      </w:pPr>
    </w:p>
    <w:p>
      <w:pPr>
        <w:pStyle w:val="19"/>
        <w:rPr>
          <w:rFonts w:ascii="宋体" w:hAnsi="宋体" w:cs="宋体"/>
          <w:b/>
          <w:color w:val="auto"/>
          <w:highlight w:val="none"/>
        </w:rPr>
      </w:pPr>
    </w:p>
    <w:p>
      <w:pPr>
        <w:spacing w:line="440" w:lineRule="exact"/>
        <w:ind w:firstLine="2670" w:firstLineChars="950"/>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ascii="宋体" w:hAnsi="宋体" w:cs="宋体"/>
          <w:color w:val="auto"/>
          <w:sz w:val="20"/>
          <w:highlight w:val="none"/>
        </w:rPr>
      </w:pPr>
    </w:p>
    <w:p>
      <w:pPr>
        <w:topLinePunct/>
        <w:spacing w:line="440" w:lineRule="exact"/>
        <w:ind w:firstLine="422" w:firstLineChars="200"/>
        <w:jc w:val="center"/>
        <w:outlineLvl w:val="2"/>
        <w:rPr>
          <w:rFonts w:ascii="宋体" w:hAnsi="宋体" w:cs="宋体"/>
          <w:b/>
          <w:color w:val="auto"/>
          <w:szCs w:val="21"/>
          <w:highlight w:val="none"/>
        </w:rPr>
      </w:pPr>
      <w:bookmarkStart w:id="39" w:name="_Toc262547328"/>
      <w:r>
        <w:rPr>
          <w:rFonts w:hint="eastAsia" w:ascii="宋体" w:hAnsi="宋体" w:cs="宋体"/>
          <w:b/>
          <w:color w:val="auto"/>
          <w:szCs w:val="21"/>
          <w:highlight w:val="none"/>
        </w:rPr>
        <w:t>（一）法定代表人身份证明</w:t>
      </w:r>
      <w:bookmarkEnd w:id="39"/>
    </w:p>
    <w:p>
      <w:pPr>
        <w:spacing w:line="440" w:lineRule="exact"/>
        <w:rPr>
          <w:rFonts w:ascii="宋体" w:hAnsi="宋体" w:cs="宋体"/>
          <w:color w:val="auto"/>
          <w:szCs w:val="21"/>
          <w:highlight w:val="none"/>
        </w:rPr>
      </w:pPr>
      <w:r>
        <w:rPr>
          <w:rFonts w:hint="eastAsia" w:ascii="宋体" w:hAnsi="宋体" w:cs="宋体"/>
          <w:color w:val="auto"/>
          <w:szCs w:val="21"/>
          <w:highlight w:val="none"/>
        </w:rPr>
        <w:t>比选申请人名称：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u w:val="single"/>
        </w:rPr>
        <w:t xml:space="preserve">           （法人手签）</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（比选申请人名称）的法定代表人。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比选申请人：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pStyle w:val="19"/>
        <w:rPr>
          <w:rFonts w:ascii="宋体" w:hAnsi="宋体" w:cs="宋体"/>
          <w:color w:val="auto"/>
          <w:szCs w:val="21"/>
          <w:highlight w:val="none"/>
        </w:rPr>
      </w:pPr>
    </w:p>
    <w:p>
      <w:pPr>
        <w:pStyle w:val="19"/>
        <w:rPr>
          <w:rFonts w:ascii="宋体" w:hAnsi="宋体" w:cs="宋体"/>
          <w:color w:val="auto"/>
          <w:szCs w:val="21"/>
          <w:highlight w:val="none"/>
        </w:rPr>
      </w:pPr>
    </w:p>
    <w:p>
      <w:pPr>
        <w:pStyle w:val="19"/>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注：法定代表人的签字必须是亲笔签名，不得用印章、签名章或其他电子制版签名。</w:t>
      </w:r>
    </w:p>
    <w:p>
      <w:pPr>
        <w:ind w:firstLine="105" w:firstLineChars="50"/>
        <w:rPr>
          <w:rFonts w:ascii="宋体" w:hAnsi="宋体" w:cs="宋体"/>
          <w:color w:val="auto"/>
          <w:szCs w:val="21"/>
          <w:highlight w:val="none"/>
        </w:rPr>
      </w:pPr>
    </w:p>
    <w:p>
      <w:pPr>
        <w:topLinePunct/>
        <w:spacing w:line="440" w:lineRule="exact"/>
        <w:ind w:firstLine="400" w:firstLineChars="200"/>
        <w:jc w:val="center"/>
        <w:outlineLvl w:val="2"/>
        <w:rPr>
          <w:rFonts w:ascii="宋体" w:hAnsi="宋体" w:cs="宋体"/>
          <w:b/>
          <w:color w:val="auto"/>
          <w:szCs w:val="21"/>
          <w:highlight w:val="none"/>
        </w:rPr>
      </w:pPr>
      <w:r>
        <w:rPr>
          <w:rFonts w:hint="eastAsia" w:ascii="宋体" w:hAnsi="宋体" w:cs="宋体"/>
          <w:color w:val="auto"/>
          <w:sz w:val="20"/>
          <w:highlight w:val="none"/>
        </w:rPr>
        <w:br w:type="page"/>
      </w:r>
      <w:bookmarkStart w:id="40" w:name="_Toc262547329"/>
      <w:r>
        <w:rPr>
          <w:rFonts w:hint="eastAsia" w:ascii="宋体" w:hAnsi="宋体" w:cs="宋体"/>
          <w:b/>
          <w:color w:val="auto"/>
          <w:szCs w:val="21"/>
          <w:highlight w:val="none"/>
        </w:rPr>
        <w:t>（二）授权委托书</w:t>
      </w:r>
      <w:bookmarkEnd w:id="40"/>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ascii="宋体" w:hAnsi="宋体" w:cs="宋体"/>
          <w:color w:val="auto"/>
          <w:w w:val="200"/>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ascii="宋体" w:hAnsi="宋体" w:cs="宋体"/>
          <w:color w:val="auto"/>
          <w:w w:val="200"/>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zCs w:val="21"/>
          <w:highlight w:val="none"/>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（姓 名）为我方代理人。代理人根据授权，以我方名义签署、澄清、说明、补正、递交、撤回、修改</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名称）报价书、签订合同和处理有关事宜， 其法律后果由我方承担。</w:t>
      </w:r>
    </w:p>
    <w:p>
      <w:pPr>
        <w:tabs>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rPr>
          <w:rFonts w:ascii="宋体" w:hAnsi="宋体" w:cs="宋体"/>
          <w:color w:val="auto"/>
          <w:highlight w:val="non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600" w:lineRule="exact"/>
        <w:rPr>
          <w:rFonts w:ascii="宋体" w:hAnsi="宋体" w:cs="宋体"/>
          <w:color w:val="auto"/>
          <w:sz w:val="28"/>
          <w:szCs w:val="28"/>
          <w:highlight w:val="none"/>
        </w:rPr>
      </w:pPr>
    </w:p>
    <w:p>
      <w:pPr>
        <w:spacing w:line="600" w:lineRule="exact"/>
        <w:rPr>
          <w:rFonts w:ascii="宋体" w:hAnsi="宋体" w:cs="宋体"/>
          <w:color w:val="auto"/>
          <w:sz w:val="28"/>
          <w:szCs w:val="28"/>
          <w:highlight w:val="none"/>
        </w:rPr>
      </w:pPr>
    </w:p>
    <w:p>
      <w:pPr>
        <w:pStyle w:val="19"/>
        <w:rPr>
          <w:color w:val="auto"/>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sectPr>
          <w:headerReference r:id="rId5" w:type="default"/>
          <w:footerReference r:id="rId6" w:type="default"/>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三、比选申请单位有效的营业执照资料</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sectPr>
          <w:pgSz w:w="11906" w:h="16838"/>
          <w:pgMar w:top="1134" w:right="1803" w:bottom="992" w:left="1803" w:header="851" w:footer="992" w:gutter="0"/>
          <w:cols w:space="0" w:num="1"/>
          <w:docGrid w:type="lines" w:linePitch="319" w:charSpace="0"/>
        </w:sectPr>
      </w:pPr>
      <w:r>
        <w:rPr>
          <w:rFonts w:hint="eastAsia" w:ascii="宋体" w:hAnsi="宋体" w:cs="宋体"/>
          <w:b/>
          <w:color w:val="auto"/>
          <w:sz w:val="28"/>
          <w:szCs w:val="28"/>
          <w:highlight w:val="none"/>
        </w:rPr>
        <w:t>四、比选申请单位有效的安全生产许可证、资质证书资料</w:t>
      </w:r>
    </w:p>
    <w:p>
      <w:pPr>
        <w:tabs>
          <w:tab w:val="left" w:pos="900"/>
          <w:tab w:val="left" w:pos="1080"/>
        </w:tabs>
        <w:spacing w:line="300" w:lineRule="auto"/>
        <w:jc w:val="center"/>
        <w:outlineLvl w:val="0"/>
        <w:rPr>
          <w:rFonts w:ascii="宋体" w:hAnsi="宋体" w:cs="宋体"/>
          <w:b/>
          <w:color w:val="auto"/>
          <w:sz w:val="28"/>
          <w:szCs w:val="28"/>
          <w:highlight w:val="none"/>
        </w:rPr>
        <w:sectPr>
          <w:headerReference r:id="rId7" w:type="default"/>
          <w:footerReference r:id="rId8" w:type="default"/>
          <w:pgSz w:w="11906" w:h="16838"/>
          <w:pgMar w:top="1134" w:right="1803" w:bottom="992" w:left="1803" w:header="851" w:footer="992" w:gutter="0"/>
          <w:cols w:space="0" w:num="1"/>
          <w:docGrid w:type="lines" w:linePitch="319" w:charSpace="0"/>
        </w:sectPr>
      </w:pPr>
      <w:r>
        <w:rPr>
          <w:rFonts w:hint="eastAsia" w:ascii="宋体" w:hAnsi="宋体" w:cs="宋体"/>
          <w:b/>
          <w:color w:val="auto"/>
          <w:sz w:val="28"/>
          <w:szCs w:val="28"/>
          <w:highlight w:val="none"/>
        </w:rPr>
        <w:t>五、比选申请单位的业绩证明资料</w:t>
      </w: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六、比选申请单位的信誉承诺书</w:t>
      </w:r>
    </w:p>
    <w:p>
      <w:pPr>
        <w:jc w:val="center"/>
        <w:rPr>
          <w:b/>
          <w:bCs/>
          <w:color w:val="auto"/>
          <w:sz w:val="40"/>
          <w:szCs w:val="40"/>
          <w:highlight w:val="none"/>
        </w:r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ascii="宋体" w:hAnsi="宋体" w:cs="宋体"/>
          <w:b/>
          <w:color w:val="auto"/>
          <w:sz w:val="28"/>
          <w:szCs w:val="28"/>
          <w:highlight w:val="none"/>
        </w:rPr>
        <w:t>信誉</w:t>
      </w:r>
      <w:r>
        <w:rPr>
          <w:rFonts w:hint="eastAsia" w:ascii="宋体" w:hAnsi="宋体" w:cs="宋体"/>
          <w:b/>
          <w:color w:val="auto"/>
          <w:sz w:val="28"/>
          <w:szCs w:val="28"/>
          <w:highlight w:val="none"/>
        </w:rPr>
        <w:t>承诺书</w:t>
      </w:r>
    </w:p>
    <w:p>
      <w:pPr>
        <w:spacing w:line="360" w:lineRule="auto"/>
        <w:jc w:val="left"/>
        <w:rPr>
          <w:rFonts w:hint="eastAsia"/>
          <w:color w:val="auto"/>
          <w:sz w:val="24"/>
          <w:highlight w:val="none"/>
        </w:rPr>
      </w:pPr>
      <w:r>
        <w:rPr>
          <w:color w:val="auto"/>
          <w:szCs w:val="21"/>
          <w:highlight w:val="none"/>
          <w:u w:val="single"/>
        </w:rPr>
        <w:t>（</w:t>
      </w:r>
      <w:r>
        <w:rPr>
          <w:rFonts w:hint="eastAsia"/>
          <w:color w:val="auto"/>
          <w:szCs w:val="21"/>
          <w:highlight w:val="none"/>
          <w:u w:val="single"/>
        </w:rPr>
        <w:t>比选</w:t>
      </w:r>
      <w:r>
        <w:rPr>
          <w:color w:val="auto"/>
          <w:szCs w:val="21"/>
          <w:highlight w:val="none"/>
          <w:u w:val="single"/>
        </w:rPr>
        <w:t>人名称）</w:t>
      </w:r>
      <w:r>
        <w:rPr>
          <w:color w:val="auto"/>
          <w:sz w:val="24"/>
          <w:highlight w:val="none"/>
          <w:u w:val="single"/>
        </w:rPr>
        <w:t xml:space="preserve"> </w:t>
      </w:r>
      <w:r>
        <w:rPr>
          <w:rFonts w:hint="eastAsia"/>
          <w:color w:val="auto"/>
          <w:sz w:val="24"/>
          <w:highlight w:val="none"/>
        </w:rPr>
        <w:t>：</w:t>
      </w:r>
    </w:p>
    <w:p>
      <w:pPr>
        <w:spacing w:line="360" w:lineRule="exact"/>
        <w:jc w:val="left"/>
        <w:rPr>
          <w:color w:val="auto"/>
          <w:sz w:val="24"/>
          <w:highlight w:val="none"/>
        </w:rPr>
      </w:pPr>
    </w:p>
    <w:p>
      <w:pPr>
        <w:spacing w:line="360" w:lineRule="exact"/>
        <w:ind w:firstLine="420" w:firstLineChars="200"/>
        <w:rPr>
          <w:color w:val="auto"/>
          <w:szCs w:val="21"/>
          <w:highlight w:val="none"/>
        </w:rPr>
      </w:pPr>
      <w:r>
        <w:rPr>
          <w:color w:val="auto"/>
          <w:szCs w:val="21"/>
          <w:highlight w:val="none"/>
        </w:rPr>
        <w:t>我单位参加</w:t>
      </w:r>
      <w:r>
        <w:rPr>
          <w:color w:val="auto"/>
          <w:szCs w:val="21"/>
          <w:highlight w:val="none"/>
          <w:u w:val="single"/>
        </w:rPr>
        <w:t xml:space="preserve">              </w:t>
      </w:r>
      <w:r>
        <w:rPr>
          <w:color w:val="auto"/>
          <w:szCs w:val="21"/>
          <w:highlight w:val="none"/>
        </w:rPr>
        <w:t>（项目名称）的</w:t>
      </w:r>
      <w:r>
        <w:rPr>
          <w:rFonts w:hint="eastAsia"/>
          <w:color w:val="auto"/>
          <w:szCs w:val="21"/>
          <w:highlight w:val="none"/>
        </w:rPr>
        <w:t>竞</w:t>
      </w:r>
      <w:r>
        <w:rPr>
          <w:color w:val="auto"/>
          <w:szCs w:val="21"/>
          <w:highlight w:val="none"/>
        </w:rPr>
        <w:t>标，对以下内容作出承诺：</w:t>
      </w:r>
    </w:p>
    <w:p>
      <w:pPr>
        <w:spacing w:line="360" w:lineRule="exact"/>
        <w:ind w:firstLine="420" w:firstLineChars="200"/>
        <w:rPr>
          <w:rFonts w:hint="eastAsia"/>
          <w:color w:val="auto"/>
          <w:szCs w:val="21"/>
          <w:highlight w:val="none"/>
        </w:rPr>
      </w:pPr>
      <w:r>
        <w:rPr>
          <w:rFonts w:hint="eastAsia"/>
          <w:color w:val="auto"/>
          <w:szCs w:val="21"/>
          <w:highlight w:val="none"/>
        </w:rPr>
        <w:t>（1）企业存续期在半年年以上（含半年），在行业内无不良信誉记录和重大安全责任事故记录。</w:t>
      </w:r>
    </w:p>
    <w:p>
      <w:pPr>
        <w:spacing w:line="360" w:lineRule="exact"/>
        <w:ind w:firstLine="420" w:firstLineChars="200"/>
        <w:rPr>
          <w:rFonts w:hint="eastAsia"/>
          <w:color w:val="auto"/>
          <w:szCs w:val="21"/>
          <w:highlight w:val="none"/>
        </w:rPr>
      </w:pPr>
      <w:r>
        <w:rPr>
          <w:rFonts w:hint="eastAsia"/>
          <w:color w:val="auto"/>
          <w:szCs w:val="21"/>
          <w:highlight w:val="none"/>
        </w:rPr>
        <w:t>（2）在交通运输部和重庆市交通局发布的最新一期公路工程施工企业综合信用评价结果未被评为D级。</w:t>
      </w:r>
    </w:p>
    <w:p>
      <w:pPr>
        <w:spacing w:line="360" w:lineRule="exact"/>
        <w:ind w:firstLine="420" w:firstLineChars="200"/>
        <w:rPr>
          <w:color w:val="auto"/>
          <w:szCs w:val="21"/>
          <w:highlight w:val="none"/>
        </w:rPr>
      </w:pP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如我单位提供的拟派</w:t>
      </w:r>
      <w:r>
        <w:rPr>
          <w:rFonts w:hint="eastAsia"/>
          <w:color w:val="auto"/>
          <w:szCs w:val="21"/>
          <w:highlight w:val="none"/>
        </w:rPr>
        <w:t>投入本项目</w:t>
      </w:r>
      <w:r>
        <w:rPr>
          <w:color w:val="auto"/>
          <w:szCs w:val="21"/>
          <w:highlight w:val="none"/>
        </w:rPr>
        <w:t>主要管理人员不满足</w:t>
      </w:r>
      <w:r>
        <w:rPr>
          <w:rFonts w:hint="eastAsia"/>
          <w:color w:val="auto"/>
          <w:szCs w:val="21"/>
          <w:highlight w:val="none"/>
        </w:rPr>
        <w:t>本</w:t>
      </w:r>
      <w:r>
        <w:rPr>
          <w:color w:val="auto"/>
          <w:szCs w:val="21"/>
          <w:highlight w:val="none"/>
        </w:rPr>
        <w:t>项目要求，</w:t>
      </w:r>
      <w:r>
        <w:rPr>
          <w:rFonts w:hint="eastAsia"/>
          <w:color w:val="auto"/>
          <w:szCs w:val="21"/>
          <w:highlight w:val="none"/>
        </w:rPr>
        <w:t>比选</w:t>
      </w:r>
      <w:r>
        <w:rPr>
          <w:color w:val="auto"/>
          <w:szCs w:val="21"/>
          <w:highlight w:val="none"/>
        </w:rPr>
        <w:t>人有权取消其</w:t>
      </w:r>
      <w:r>
        <w:rPr>
          <w:rFonts w:hint="eastAsia"/>
          <w:color w:val="auto"/>
          <w:szCs w:val="21"/>
          <w:highlight w:val="none"/>
        </w:rPr>
        <w:t>成交</w:t>
      </w:r>
      <w:r>
        <w:rPr>
          <w:color w:val="auto"/>
          <w:szCs w:val="21"/>
          <w:highlight w:val="none"/>
        </w:rPr>
        <w:t>资格，扣除</w:t>
      </w:r>
      <w:r>
        <w:rPr>
          <w:rFonts w:hint="eastAsia"/>
          <w:color w:val="auto"/>
          <w:szCs w:val="21"/>
          <w:highlight w:val="none"/>
        </w:rPr>
        <w:t>竞标</w:t>
      </w:r>
      <w:r>
        <w:rPr>
          <w:color w:val="auto"/>
          <w:szCs w:val="21"/>
          <w:highlight w:val="none"/>
        </w:rPr>
        <w:t>保证金；已签订合同的，</w:t>
      </w:r>
      <w:r>
        <w:rPr>
          <w:rFonts w:hint="eastAsia"/>
          <w:color w:val="auto"/>
          <w:szCs w:val="21"/>
          <w:highlight w:val="none"/>
        </w:rPr>
        <w:t>比选</w:t>
      </w:r>
      <w:r>
        <w:rPr>
          <w:color w:val="auto"/>
          <w:szCs w:val="21"/>
          <w:highlight w:val="none"/>
        </w:rPr>
        <w:t>人有权解除合同、扣除履约保证金并追究违约责任的后果。</w:t>
      </w:r>
    </w:p>
    <w:p>
      <w:pPr>
        <w:pStyle w:val="19"/>
        <w:spacing w:line="360" w:lineRule="auto"/>
        <w:ind w:firstLine="420" w:firstLineChars="200"/>
        <w:rPr>
          <w:rFonts w:ascii="Times New Roman" w:cs="Times New Roman"/>
          <w:color w:val="auto"/>
          <w:sz w:val="21"/>
          <w:szCs w:val="21"/>
          <w:highlight w:val="none"/>
        </w:rPr>
      </w:pPr>
    </w:p>
    <w:p>
      <w:pPr>
        <w:spacing w:line="380" w:lineRule="exact"/>
        <w:ind w:firstLine="3150" w:firstLineChars="1500"/>
        <w:rPr>
          <w:color w:val="auto"/>
          <w:sz w:val="24"/>
          <w:highlight w:val="none"/>
          <w:u w:val="single"/>
        </w:rPr>
      </w:pPr>
      <w:r>
        <w:rPr>
          <w:rFonts w:hint="eastAsia" w:ascii="宋体" w:hAnsi="宋体" w:cs="宋体"/>
          <w:color w:val="auto"/>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单位公章）</w:t>
      </w:r>
    </w:p>
    <w:p>
      <w:pPr>
        <w:spacing w:line="380" w:lineRule="exact"/>
        <w:ind w:firstLine="3150" w:firstLineChars="1500"/>
        <w:rPr>
          <w:rFonts w:ascii="宋体" w:hAnsi="宋体" w:cs="宋体"/>
          <w:color w:val="auto"/>
          <w:szCs w:val="21"/>
          <w:highlight w:val="none"/>
        </w:rPr>
      </w:pPr>
      <w:r>
        <w:rPr>
          <w:rFonts w:ascii="宋体" w:hAnsi="宋体" w:cs="宋体"/>
          <w:color w:val="auto"/>
          <w:szCs w:val="21"/>
          <w:highlight w:val="none"/>
        </w:rPr>
        <w:t xml:space="preserve">     年   月   日</w:t>
      </w:r>
    </w:p>
    <w:p>
      <w:pPr>
        <w:pStyle w:val="19"/>
        <w:spacing w:line="360" w:lineRule="exact"/>
        <w:rPr>
          <w:color w:val="auto"/>
          <w:highlight w:val="none"/>
        </w:rPr>
      </w:pPr>
    </w:p>
    <w:p>
      <w:pPr>
        <w:pStyle w:val="19"/>
        <w:spacing w:line="360" w:lineRule="exact"/>
        <w:rPr>
          <w:rFonts w:hint="eastAsia"/>
          <w:color w:val="auto"/>
          <w:highlight w:val="none"/>
        </w:rPr>
        <w:sectPr>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七、比选申请单位的</w:t>
      </w:r>
      <w:bookmarkStart w:id="41" w:name="_Hlk36216983"/>
      <w:r>
        <w:rPr>
          <w:rFonts w:hint="eastAsia" w:ascii="宋体" w:hAnsi="宋体" w:cs="宋体"/>
          <w:b/>
          <w:color w:val="auto"/>
          <w:sz w:val="28"/>
          <w:szCs w:val="28"/>
          <w:highlight w:val="none"/>
        </w:rPr>
        <w:t>投入本项目主要管理人员承诺书</w:t>
      </w:r>
      <w:bookmarkEnd w:id="41"/>
    </w:p>
    <w:p>
      <w:pPr>
        <w:tabs>
          <w:tab w:val="left" w:pos="900"/>
          <w:tab w:val="left" w:pos="1080"/>
        </w:tabs>
        <w:spacing w:line="300" w:lineRule="auto"/>
        <w:jc w:val="center"/>
        <w:outlineLvl w:val="0"/>
        <w:rPr>
          <w:rFonts w:ascii="宋体" w:hAnsi="宋体" w:cs="宋体"/>
          <w:b/>
          <w:color w:val="auto"/>
          <w:sz w:val="28"/>
          <w:szCs w:val="28"/>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投入本项目主要管理人员承诺书</w:t>
      </w:r>
    </w:p>
    <w:p>
      <w:pPr>
        <w:pStyle w:val="19"/>
        <w:rPr>
          <w:rFonts w:hint="eastAsia"/>
          <w:color w:val="auto"/>
          <w:highlight w:val="none"/>
        </w:rPr>
      </w:pPr>
    </w:p>
    <w:p>
      <w:pPr>
        <w:pStyle w:val="19"/>
        <w:spacing w:line="360" w:lineRule="auto"/>
        <w:rPr>
          <w:rFonts w:asciiTheme="minorHAnsi" w:hAnsiTheme="minorHAnsi" w:eastAsiaTheme="minorEastAsia" w:cstheme="minorBidi"/>
          <w:color w:val="auto"/>
          <w:kern w:val="2"/>
          <w:sz w:val="21"/>
          <w:szCs w:val="21"/>
          <w:highlight w:val="none"/>
        </w:rPr>
      </w:pPr>
      <w:r>
        <w:rPr>
          <w:rFonts w:asciiTheme="minorHAnsi" w:hAnsiTheme="minorHAnsi" w:eastAsiaTheme="minorEastAsia" w:cstheme="minorBidi"/>
          <w:color w:val="auto"/>
          <w:kern w:val="2"/>
          <w:sz w:val="21"/>
          <w:szCs w:val="21"/>
          <w:highlight w:val="none"/>
          <w:u w:val="single"/>
        </w:rPr>
        <w:t>（</w:t>
      </w:r>
      <w:r>
        <w:rPr>
          <w:rFonts w:hint="eastAsia" w:asciiTheme="minorHAnsi" w:hAnsiTheme="minorHAnsi" w:eastAsiaTheme="minorEastAsia" w:cstheme="minorBidi"/>
          <w:color w:val="auto"/>
          <w:kern w:val="2"/>
          <w:sz w:val="21"/>
          <w:szCs w:val="21"/>
          <w:highlight w:val="none"/>
          <w:u w:val="single"/>
        </w:rPr>
        <w:t>比选</w:t>
      </w:r>
      <w:r>
        <w:rPr>
          <w:rFonts w:asciiTheme="minorHAnsi" w:hAnsiTheme="minorHAnsi" w:eastAsiaTheme="minorEastAsia" w:cstheme="minorBidi"/>
          <w:color w:val="auto"/>
          <w:kern w:val="2"/>
          <w:sz w:val="21"/>
          <w:szCs w:val="21"/>
          <w:highlight w:val="none"/>
          <w:u w:val="single"/>
        </w:rPr>
        <w:t>人名称）</w:t>
      </w:r>
      <w:r>
        <w:rPr>
          <w:rFonts w:asciiTheme="minorHAnsi" w:hAnsiTheme="minorHAnsi" w:eastAsiaTheme="minorEastAsia" w:cstheme="minorBidi"/>
          <w:color w:val="auto"/>
          <w:kern w:val="2"/>
          <w:sz w:val="21"/>
          <w:szCs w:val="21"/>
          <w:highlight w:val="none"/>
        </w:rPr>
        <w:t>：</w:t>
      </w:r>
    </w:p>
    <w:p>
      <w:pPr>
        <w:spacing w:line="360" w:lineRule="exact"/>
        <w:ind w:firstLine="420" w:firstLineChars="200"/>
        <w:rPr>
          <w:color w:val="auto"/>
          <w:szCs w:val="21"/>
          <w:highlight w:val="none"/>
        </w:rPr>
      </w:pPr>
      <w:r>
        <w:rPr>
          <w:color w:val="auto"/>
          <w:szCs w:val="21"/>
          <w:highlight w:val="none"/>
        </w:rPr>
        <w:t>我单位承诺</w:t>
      </w:r>
      <w:r>
        <w:rPr>
          <w:rFonts w:hint="eastAsia"/>
          <w:color w:val="auto"/>
          <w:szCs w:val="21"/>
          <w:highlight w:val="none"/>
        </w:rPr>
        <w:t>所</w:t>
      </w:r>
      <w:r>
        <w:rPr>
          <w:color w:val="auto"/>
          <w:szCs w:val="21"/>
          <w:highlight w:val="none"/>
        </w:rPr>
        <w:t>拟派</w:t>
      </w:r>
      <w:r>
        <w:rPr>
          <w:rFonts w:hint="eastAsia"/>
          <w:color w:val="auto"/>
          <w:szCs w:val="21"/>
          <w:highlight w:val="none"/>
        </w:rPr>
        <w:t>投入本项目</w:t>
      </w:r>
      <w:r>
        <w:rPr>
          <w:color w:val="auto"/>
          <w:szCs w:val="21"/>
          <w:highlight w:val="none"/>
        </w:rPr>
        <w:t>主要管理人员能够</w:t>
      </w:r>
      <w:r>
        <w:rPr>
          <w:rFonts w:hint="eastAsia"/>
          <w:color w:val="auto"/>
          <w:szCs w:val="21"/>
          <w:highlight w:val="none"/>
        </w:rPr>
        <w:t>完全</w:t>
      </w:r>
      <w:r>
        <w:rPr>
          <w:color w:val="auto"/>
          <w:szCs w:val="21"/>
          <w:highlight w:val="none"/>
        </w:rPr>
        <w:t>满足</w:t>
      </w:r>
      <w:r>
        <w:rPr>
          <w:rFonts w:hint="eastAsia"/>
          <w:color w:val="auto"/>
          <w:szCs w:val="21"/>
          <w:highlight w:val="none"/>
        </w:rPr>
        <w:t>本项目</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（项目名称）</w:t>
      </w:r>
      <w:r>
        <w:rPr>
          <w:rFonts w:hint="eastAsia"/>
          <w:color w:val="auto"/>
          <w:szCs w:val="21"/>
          <w:highlight w:val="none"/>
        </w:rPr>
        <w:t>竞争性比选文件中投入本项目主要管理人员</w:t>
      </w:r>
      <w:r>
        <w:rPr>
          <w:color w:val="auto"/>
          <w:szCs w:val="21"/>
          <w:highlight w:val="none"/>
        </w:rPr>
        <w:t>要求。</w:t>
      </w:r>
    </w:p>
    <w:p>
      <w:pPr>
        <w:spacing w:line="360" w:lineRule="auto"/>
        <w:ind w:firstLine="420" w:firstLineChars="200"/>
        <w:rPr>
          <w:color w:val="auto"/>
          <w:szCs w:val="21"/>
          <w:highlight w:val="none"/>
        </w:rPr>
      </w:pPr>
      <w:r>
        <w:rPr>
          <w:color w:val="auto"/>
          <w:szCs w:val="21"/>
          <w:highlight w:val="none"/>
        </w:rPr>
        <w:t>………</w:t>
      </w:r>
    </w:p>
    <w:p>
      <w:pPr>
        <w:spacing w:line="360" w:lineRule="exact"/>
        <w:ind w:firstLine="420" w:firstLineChars="200"/>
        <w:rPr>
          <w:color w:val="auto"/>
          <w:szCs w:val="21"/>
          <w:highlight w:val="none"/>
        </w:rPr>
      </w:pPr>
      <w:r>
        <w:rPr>
          <w:color w:val="auto"/>
          <w:szCs w:val="21"/>
          <w:highlight w:val="none"/>
        </w:rPr>
        <w:t>如我单位提供的拟派</w:t>
      </w:r>
      <w:r>
        <w:rPr>
          <w:rFonts w:hint="eastAsia"/>
          <w:color w:val="auto"/>
          <w:szCs w:val="21"/>
          <w:highlight w:val="none"/>
        </w:rPr>
        <w:t>投入本项目</w:t>
      </w:r>
      <w:r>
        <w:rPr>
          <w:color w:val="auto"/>
          <w:szCs w:val="21"/>
          <w:highlight w:val="none"/>
        </w:rPr>
        <w:t>主要管理人员不满足</w:t>
      </w:r>
      <w:r>
        <w:rPr>
          <w:rFonts w:hint="eastAsia"/>
          <w:color w:val="auto"/>
          <w:szCs w:val="21"/>
          <w:highlight w:val="none"/>
        </w:rPr>
        <w:t>本</w:t>
      </w:r>
      <w:r>
        <w:rPr>
          <w:color w:val="auto"/>
          <w:szCs w:val="21"/>
          <w:highlight w:val="none"/>
        </w:rPr>
        <w:t>项目要求，</w:t>
      </w:r>
      <w:r>
        <w:rPr>
          <w:rFonts w:hint="eastAsia"/>
          <w:color w:val="auto"/>
          <w:szCs w:val="21"/>
          <w:highlight w:val="none"/>
        </w:rPr>
        <w:t>比选</w:t>
      </w:r>
      <w:r>
        <w:rPr>
          <w:color w:val="auto"/>
          <w:szCs w:val="21"/>
          <w:highlight w:val="none"/>
        </w:rPr>
        <w:t>人有权取消其</w:t>
      </w:r>
      <w:r>
        <w:rPr>
          <w:rFonts w:hint="eastAsia"/>
          <w:color w:val="auto"/>
          <w:szCs w:val="21"/>
          <w:highlight w:val="none"/>
        </w:rPr>
        <w:t>成交</w:t>
      </w:r>
      <w:r>
        <w:rPr>
          <w:color w:val="auto"/>
          <w:szCs w:val="21"/>
          <w:highlight w:val="none"/>
        </w:rPr>
        <w:t>资格，扣除</w:t>
      </w:r>
      <w:r>
        <w:rPr>
          <w:rFonts w:hint="eastAsia"/>
          <w:color w:val="auto"/>
          <w:szCs w:val="21"/>
          <w:highlight w:val="none"/>
        </w:rPr>
        <w:t>竞标</w:t>
      </w:r>
      <w:r>
        <w:rPr>
          <w:color w:val="auto"/>
          <w:szCs w:val="21"/>
          <w:highlight w:val="none"/>
        </w:rPr>
        <w:t>保证金；已签订合同的，</w:t>
      </w:r>
      <w:r>
        <w:rPr>
          <w:rFonts w:hint="eastAsia"/>
          <w:color w:val="auto"/>
          <w:szCs w:val="21"/>
          <w:highlight w:val="none"/>
        </w:rPr>
        <w:t>比选</w:t>
      </w:r>
      <w:r>
        <w:rPr>
          <w:color w:val="auto"/>
          <w:szCs w:val="21"/>
          <w:highlight w:val="none"/>
        </w:rPr>
        <w:t>人有权解除合同、扣除履约保证金并追究违约责任的后果。</w:t>
      </w:r>
    </w:p>
    <w:p>
      <w:pPr>
        <w:pStyle w:val="19"/>
        <w:spacing w:line="360" w:lineRule="auto"/>
        <w:ind w:firstLine="420" w:firstLineChars="200"/>
        <w:rPr>
          <w:rFonts w:ascii="Times New Roman" w:cs="Times New Roman"/>
          <w:color w:val="auto"/>
          <w:sz w:val="21"/>
          <w:szCs w:val="21"/>
          <w:highlight w:val="none"/>
        </w:rPr>
      </w:pPr>
    </w:p>
    <w:p>
      <w:pPr>
        <w:spacing w:line="380" w:lineRule="exact"/>
        <w:ind w:firstLine="3150" w:firstLineChars="1500"/>
        <w:rPr>
          <w:color w:val="auto"/>
          <w:sz w:val="24"/>
          <w:highlight w:val="none"/>
          <w:u w:val="single"/>
        </w:rPr>
      </w:pPr>
      <w:r>
        <w:rPr>
          <w:rFonts w:hint="eastAsia" w:ascii="宋体" w:hAnsi="宋体" w:cs="宋体"/>
          <w:color w:val="auto"/>
          <w:szCs w:val="21"/>
          <w:highlight w:val="none"/>
        </w:rPr>
        <w:t>比选申请人：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单位公章）</w:t>
      </w:r>
    </w:p>
    <w:p>
      <w:pPr>
        <w:spacing w:line="380" w:lineRule="exact"/>
        <w:ind w:firstLine="3150" w:firstLineChars="1500"/>
        <w:rPr>
          <w:rFonts w:hint="eastAsia" w:ascii="宋体" w:hAnsi="宋体" w:cs="宋体"/>
          <w:color w:val="auto"/>
          <w:szCs w:val="21"/>
          <w:highlight w:val="none"/>
        </w:rPr>
        <w:sectPr>
          <w:pgSz w:w="11906" w:h="16838"/>
          <w:pgMar w:top="1134" w:right="1803" w:bottom="992" w:left="1803" w:header="851" w:footer="992" w:gutter="0"/>
          <w:cols w:space="0" w:num="1"/>
          <w:docGrid w:type="lines" w:linePitch="319" w:charSpace="0"/>
        </w:sectPr>
      </w:pPr>
      <w:r>
        <w:rPr>
          <w:rFonts w:ascii="宋体" w:hAnsi="宋体" w:cs="宋体"/>
          <w:color w:val="auto"/>
          <w:szCs w:val="21"/>
          <w:highlight w:val="none"/>
        </w:rPr>
        <w:t xml:space="preserve">     年   月   日</w:t>
      </w: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cs="宋体"/>
          <w:b/>
          <w:color w:val="auto"/>
          <w:sz w:val="28"/>
          <w:szCs w:val="28"/>
          <w:highlight w:val="none"/>
        </w:rPr>
        <w:t>、比选申请单位的投入本项</w:t>
      </w:r>
      <w:r>
        <w:rPr>
          <w:rFonts w:hint="eastAsia" w:ascii="宋体" w:hAnsi="宋体" w:cs="宋体"/>
          <w:b/>
          <w:color w:val="auto"/>
          <w:sz w:val="28"/>
          <w:szCs w:val="28"/>
          <w:highlight w:val="none"/>
          <w:lang w:eastAsia="zh-CN"/>
        </w:rPr>
        <w:t>自行</w:t>
      </w:r>
      <w:r>
        <w:rPr>
          <w:rFonts w:hint="eastAsia" w:ascii="宋体" w:hAnsi="宋体" w:cs="宋体"/>
          <w:b/>
          <w:color w:val="auto"/>
          <w:sz w:val="28"/>
          <w:szCs w:val="28"/>
          <w:highlight w:val="none"/>
        </w:rPr>
        <w:t>承诺书</w:t>
      </w:r>
    </w:p>
    <w:p>
      <w:pPr>
        <w:tabs>
          <w:tab w:val="left" w:pos="900"/>
          <w:tab w:val="left" w:pos="1080"/>
        </w:tabs>
        <w:spacing w:line="300" w:lineRule="auto"/>
        <w:jc w:val="center"/>
        <w:outlineLvl w:val="0"/>
        <w:rPr>
          <w:rFonts w:ascii="宋体" w:hAnsi="宋体" w:cs="宋体"/>
          <w:b/>
          <w:color w:val="auto"/>
          <w:sz w:val="28"/>
          <w:szCs w:val="28"/>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投入本项目主要管理人员承诺书</w:t>
      </w:r>
    </w:p>
    <w:p>
      <w:pPr>
        <w:spacing w:line="360" w:lineRule="exact"/>
        <w:ind w:firstLine="420" w:firstLineChars="200"/>
        <w:rPr>
          <w:rFonts w:hint="eastAsia"/>
          <w:color w:val="auto"/>
          <w:szCs w:val="21"/>
          <w:highlight w:val="none"/>
        </w:rPr>
      </w:pPr>
      <w:r>
        <w:rPr>
          <w:color w:val="auto"/>
          <w:szCs w:val="21"/>
          <w:highlight w:val="none"/>
        </w:rPr>
        <w:t>招标文件中要求投标人自行承诺的，由投标人按招标文件要求内容承诺，格式自拟。</w:t>
      </w:r>
      <w:r>
        <w:rPr>
          <w:rFonts w:hint="eastAsia"/>
          <w:color w:val="auto"/>
          <w:szCs w:val="21"/>
          <w:highlight w:val="none"/>
        </w:rPr>
        <w:t>（承诺内容必须包括每块广告牌所报单价为包干价。价格包涵</w:t>
      </w:r>
      <w:r>
        <w:rPr>
          <w:color w:val="auto"/>
          <w:szCs w:val="21"/>
          <w:highlight w:val="none"/>
        </w:rPr>
        <w:t>广告牌的钢筋混凝土基础、钢结构、板架、走道、爬梯、广告板面及包边、挂画面钢筋、防腐等所有施工设计图包含内容的制作、安装，和按照本合同中户外广告发布要求完善施工图未标明的内容制作及施工，以及保修等内容。</w:t>
      </w:r>
      <w:r>
        <w:rPr>
          <w:rFonts w:hint="eastAsia"/>
          <w:color w:val="auto"/>
          <w:szCs w:val="21"/>
          <w:highlight w:val="none"/>
        </w:rPr>
        <w:t>价格采用综合单价，手续办理，交通组织，土地平整、占用，青苗补偿</w:t>
      </w:r>
      <w:r>
        <w:rPr>
          <w:color w:val="auto"/>
          <w:szCs w:val="21"/>
          <w:highlight w:val="none"/>
        </w:rPr>
        <w:t>以及保修等</w:t>
      </w:r>
      <w:r>
        <w:rPr>
          <w:rFonts w:hint="eastAsia"/>
          <w:color w:val="auto"/>
          <w:szCs w:val="21"/>
          <w:highlight w:val="none"/>
        </w:rPr>
        <w:t>所有</w:t>
      </w:r>
      <w:r>
        <w:rPr>
          <w:color w:val="auto"/>
          <w:szCs w:val="21"/>
          <w:highlight w:val="none"/>
        </w:rPr>
        <w:t>内容</w:t>
      </w:r>
      <w:r>
        <w:rPr>
          <w:rFonts w:hint="eastAsia"/>
          <w:color w:val="auto"/>
          <w:szCs w:val="21"/>
          <w:highlight w:val="none"/>
        </w:rPr>
        <w:t>。）</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eastAsia="zh-CN"/>
        </w:rPr>
        <w:t>九</w:t>
      </w:r>
      <w:r>
        <w:rPr>
          <w:rFonts w:hint="eastAsia" w:ascii="宋体" w:hAnsi="宋体" w:cs="宋体"/>
          <w:b/>
          <w:color w:val="auto"/>
          <w:sz w:val="28"/>
          <w:szCs w:val="28"/>
          <w:highlight w:val="none"/>
        </w:rPr>
        <w:t>、技术部分</w:t>
      </w:r>
    </w:p>
    <w:p>
      <w:pPr>
        <w:spacing w:before="159" w:beforeLines="50" w:line="360" w:lineRule="auto"/>
        <w:outlineLvl w:val="0"/>
        <w:rPr>
          <w:rFonts w:ascii="宋体" w:hAnsi="宋体" w:cs="宋体"/>
          <w:bCs/>
          <w:color w:val="auto"/>
          <w:szCs w:val="21"/>
          <w:highlight w:val="none"/>
        </w:rPr>
      </w:pPr>
      <w:r>
        <w:rPr>
          <w:rFonts w:hint="eastAsia" w:ascii="宋体" w:hAnsi="宋体" w:cs="宋体"/>
          <w:bCs/>
          <w:color w:val="auto"/>
          <w:szCs w:val="21"/>
          <w:highlight w:val="none"/>
        </w:rPr>
        <w:t>注：由比选申请人根据竞争性比选文件自行编制，格式自拟。</w:t>
      </w:r>
    </w:p>
    <w:p>
      <w:pPr>
        <w:outlineLvl w:val="0"/>
        <w:rPr>
          <w:rFonts w:ascii="宋体" w:hAnsi="宋体" w:cs="宋体"/>
          <w:b/>
          <w:color w:val="auto"/>
          <w:sz w:val="24"/>
          <w:highlight w:val="none"/>
        </w:rPr>
      </w:pPr>
    </w:p>
    <w:p>
      <w:pPr>
        <w:ind w:right="700"/>
        <w:jc w:val="left"/>
        <w:rPr>
          <w:rFonts w:ascii="宋体" w:hAnsi="宋体" w:cs="宋体"/>
          <w:b/>
          <w:color w:val="auto"/>
          <w:sz w:val="30"/>
          <w:szCs w:val="30"/>
          <w:highlight w:val="none"/>
        </w:rPr>
      </w:pPr>
    </w:p>
    <w:p>
      <w:pPr>
        <w:outlineLvl w:val="0"/>
        <w:rPr>
          <w:rFonts w:ascii="宋体" w:hAnsi="宋体" w:cs="宋体"/>
          <w:b/>
          <w:color w:val="auto"/>
          <w:sz w:val="24"/>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eastAsia="zh-CN"/>
        </w:rPr>
        <w:t>十</w:t>
      </w:r>
      <w:r>
        <w:rPr>
          <w:rFonts w:hint="eastAsia" w:ascii="宋体" w:hAnsi="宋体" w:cs="宋体"/>
          <w:b/>
          <w:color w:val="auto"/>
          <w:sz w:val="28"/>
          <w:szCs w:val="28"/>
          <w:highlight w:val="none"/>
        </w:rPr>
        <w:t>、其他相关资料</w:t>
      </w:r>
    </w:p>
    <w:p>
      <w:pPr>
        <w:jc w:val="center"/>
        <w:outlineLvl w:val="0"/>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pStyle w:val="19"/>
        <w:rPr>
          <w:rFonts w:ascii="宋体" w:hAnsi="宋体" w:cs="宋体"/>
          <w:b/>
          <w:color w:val="auto"/>
          <w:sz w:val="30"/>
          <w:szCs w:val="30"/>
          <w:highlight w:val="none"/>
        </w:rPr>
      </w:pPr>
    </w:p>
    <w:p>
      <w:pPr>
        <w:jc w:val="center"/>
        <w:outlineLvl w:val="0"/>
        <w:rPr>
          <w:rFonts w:hint="eastAsia" w:ascii="方正仿宋_GBK" w:hAnsi="方正仿宋_GBK" w:eastAsia="方正仿宋_GBK" w:cs="方正仿宋_GBK"/>
          <w:color w:val="auto"/>
          <w:sz w:val="28"/>
          <w:szCs w:val="28"/>
          <w:highlight w:val="none"/>
          <w:lang w:val="en-US" w:eastAsia="zh-CN"/>
        </w:rPr>
      </w:pPr>
      <w:r>
        <w:rPr>
          <w:rFonts w:hint="eastAsia" w:ascii="宋体" w:hAnsi="宋体" w:cs="宋体"/>
          <w:bCs/>
          <w:color w:val="auto"/>
          <w:sz w:val="24"/>
          <w:szCs w:val="24"/>
          <w:highlight w:val="none"/>
        </w:rPr>
        <w:t>（结束）</w:t>
      </w:r>
    </w:p>
    <w:sectPr>
      <w:headerReference r:id="rId9" w:type="default"/>
      <w:footerReference r:id="rId10" w:type="default"/>
      <w:pgSz w:w="11906" w:h="16838"/>
      <w:pgMar w:top="1417" w:right="1361" w:bottom="1417" w:left="1361"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Swis721 Cn BT">
    <w:panose1 w:val="020B0506020202030204"/>
    <w:charset w:val="00"/>
    <w:family w:val="swiss"/>
    <w:pitch w:val="default"/>
    <w:sig w:usb0="800000AF" w:usb1="1000204A"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Dialog . plain">
    <w:altName w:val="Segoe Print"/>
    <w:panose1 w:val="00000000000000000000"/>
    <w:charset w:val="00"/>
    <w:family w:val="auto"/>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经典平黑简">
    <w:altName w:val="黑体"/>
    <w:panose1 w:val="00000000000000000000"/>
    <w:charset w:val="00"/>
    <w:family w:val="auto"/>
    <w:pitch w:val="default"/>
    <w:sig w:usb0="00000000" w:usb1="00000000" w:usb2="00000000" w:usb3="00000000" w:csb0="00000000"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340935"/>
    </w:sdtPr>
    <w:sdtContent>
      <w:p>
        <w:pPr>
          <w:pStyle w:val="10"/>
          <w:jc w:val="center"/>
        </w:pPr>
        <w:r>
          <w:fldChar w:fldCharType="begin"/>
        </w:r>
        <w:r>
          <w:instrText xml:space="preserve">PAGE   \* MERGEFORMAT</w:instrText>
        </w:r>
        <w:r>
          <w:fldChar w:fldCharType="separate"/>
        </w:r>
        <w:r>
          <w:rPr>
            <w:lang w:val="zh-CN"/>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tI1pAsQEA&#10;AEgDAAAOAAAAAAAAAAEAIAAAAB4BAABkcnMvZTJvRG9jLnhtbFBLBQYAAAAABgAGAFkBAABBBQAA&#10;AAA=&#10;">
              <v:fill on="f" focussize="0,0"/>
              <v:stroke on="f"/>
              <v:imagedata o:title=""/>
              <o:lock v:ext="edit" aspectratio="f"/>
              <v:textbox inset="0mm,0mm,0mm,0mm" style="mso-fit-shape-to-text:t;">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Oljws6wAQAA&#10;SAMAAA4AAAAAAAAAAQAgAAAAHgEAAGRycy9lMm9Eb2MueG1sUEsFBgAAAAAGAAYAWQEAAEAFAAAA&#10;AA==&#10;">
              <v:fill on="f" focussize="0,0"/>
              <v:stroke on="f"/>
              <v:imagedata o:title=""/>
              <o:lock v:ext="edit" aspectratio="f"/>
              <v:textbox inset="0mm,0mm,0mm,0mm" style="mso-fit-shape-to-text:t;">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B902E"/>
    <w:multiLevelType w:val="singleLevel"/>
    <w:tmpl w:val="575B902E"/>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05F66"/>
    <w:rsid w:val="003710FC"/>
    <w:rsid w:val="00492B1F"/>
    <w:rsid w:val="00506EB8"/>
    <w:rsid w:val="00972699"/>
    <w:rsid w:val="00E84F9B"/>
    <w:rsid w:val="017446B1"/>
    <w:rsid w:val="02427491"/>
    <w:rsid w:val="02981024"/>
    <w:rsid w:val="03854C97"/>
    <w:rsid w:val="05200959"/>
    <w:rsid w:val="05273AD8"/>
    <w:rsid w:val="05D32672"/>
    <w:rsid w:val="06401FBD"/>
    <w:rsid w:val="078129E5"/>
    <w:rsid w:val="0AC71502"/>
    <w:rsid w:val="0AF1399E"/>
    <w:rsid w:val="0B044AF5"/>
    <w:rsid w:val="0C1D3703"/>
    <w:rsid w:val="0CF624E3"/>
    <w:rsid w:val="0E800F92"/>
    <w:rsid w:val="0FAA3E53"/>
    <w:rsid w:val="0FCD1611"/>
    <w:rsid w:val="11471BF9"/>
    <w:rsid w:val="11E12814"/>
    <w:rsid w:val="12FB4C49"/>
    <w:rsid w:val="138D7A11"/>
    <w:rsid w:val="151F00D2"/>
    <w:rsid w:val="15DC7FBE"/>
    <w:rsid w:val="16673934"/>
    <w:rsid w:val="170F0256"/>
    <w:rsid w:val="178B468C"/>
    <w:rsid w:val="19562EBE"/>
    <w:rsid w:val="196E23E7"/>
    <w:rsid w:val="1AE314E2"/>
    <w:rsid w:val="1C6D517C"/>
    <w:rsid w:val="1CC13C38"/>
    <w:rsid w:val="1D7527FD"/>
    <w:rsid w:val="1DFE4732"/>
    <w:rsid w:val="1FE44A8C"/>
    <w:rsid w:val="20573022"/>
    <w:rsid w:val="22CD4538"/>
    <w:rsid w:val="231C3908"/>
    <w:rsid w:val="23D127CA"/>
    <w:rsid w:val="25B56EE6"/>
    <w:rsid w:val="26735DED"/>
    <w:rsid w:val="26C96D31"/>
    <w:rsid w:val="2739694A"/>
    <w:rsid w:val="278B45E2"/>
    <w:rsid w:val="29E0138A"/>
    <w:rsid w:val="2A030D8D"/>
    <w:rsid w:val="2A5840DC"/>
    <w:rsid w:val="2A620A72"/>
    <w:rsid w:val="2AC85CC9"/>
    <w:rsid w:val="2B3E3A63"/>
    <w:rsid w:val="2C904CB2"/>
    <w:rsid w:val="2DB5201E"/>
    <w:rsid w:val="2E316A09"/>
    <w:rsid w:val="2F292F39"/>
    <w:rsid w:val="2FB938BC"/>
    <w:rsid w:val="2FD87E19"/>
    <w:rsid w:val="316D0EFB"/>
    <w:rsid w:val="32792C23"/>
    <w:rsid w:val="348A37BC"/>
    <w:rsid w:val="34B24F22"/>
    <w:rsid w:val="34CB6C54"/>
    <w:rsid w:val="358020F2"/>
    <w:rsid w:val="35870238"/>
    <w:rsid w:val="35DA508C"/>
    <w:rsid w:val="367C5A92"/>
    <w:rsid w:val="377C3118"/>
    <w:rsid w:val="37C522E9"/>
    <w:rsid w:val="37EE699A"/>
    <w:rsid w:val="396245E1"/>
    <w:rsid w:val="39AF644C"/>
    <w:rsid w:val="3A4809B0"/>
    <w:rsid w:val="3A662AAB"/>
    <w:rsid w:val="3AE869F5"/>
    <w:rsid w:val="3B5A6ECA"/>
    <w:rsid w:val="3BFA6516"/>
    <w:rsid w:val="3C373D10"/>
    <w:rsid w:val="3D1E1635"/>
    <w:rsid w:val="3D5842EF"/>
    <w:rsid w:val="3DE26BF9"/>
    <w:rsid w:val="40BD6F35"/>
    <w:rsid w:val="41B5547F"/>
    <w:rsid w:val="430818E0"/>
    <w:rsid w:val="44B4322A"/>
    <w:rsid w:val="45030410"/>
    <w:rsid w:val="458E4D61"/>
    <w:rsid w:val="46720785"/>
    <w:rsid w:val="47A05F66"/>
    <w:rsid w:val="4A856D2B"/>
    <w:rsid w:val="4AAB693D"/>
    <w:rsid w:val="4AD738A1"/>
    <w:rsid w:val="4D44709E"/>
    <w:rsid w:val="4EA51FD1"/>
    <w:rsid w:val="4F6B5D83"/>
    <w:rsid w:val="506A2A1F"/>
    <w:rsid w:val="51917CEE"/>
    <w:rsid w:val="524D3A58"/>
    <w:rsid w:val="52BC36FE"/>
    <w:rsid w:val="532E6C4D"/>
    <w:rsid w:val="54B61157"/>
    <w:rsid w:val="550F17BA"/>
    <w:rsid w:val="55744BE3"/>
    <w:rsid w:val="56F01297"/>
    <w:rsid w:val="583C27A6"/>
    <w:rsid w:val="590B6FE0"/>
    <w:rsid w:val="594C0EC2"/>
    <w:rsid w:val="5A632EAD"/>
    <w:rsid w:val="5B747003"/>
    <w:rsid w:val="5BBD4E08"/>
    <w:rsid w:val="5CEF7B14"/>
    <w:rsid w:val="5CF7326E"/>
    <w:rsid w:val="5E262C29"/>
    <w:rsid w:val="5EBB4F4E"/>
    <w:rsid w:val="5ED475CE"/>
    <w:rsid w:val="5FB55B23"/>
    <w:rsid w:val="60166EAD"/>
    <w:rsid w:val="61223B97"/>
    <w:rsid w:val="614176B5"/>
    <w:rsid w:val="62A156FD"/>
    <w:rsid w:val="64C8469F"/>
    <w:rsid w:val="64D41D72"/>
    <w:rsid w:val="660470CF"/>
    <w:rsid w:val="67337467"/>
    <w:rsid w:val="680E5A27"/>
    <w:rsid w:val="6A7177A9"/>
    <w:rsid w:val="6AA013EE"/>
    <w:rsid w:val="6B9B42D7"/>
    <w:rsid w:val="6D8604BE"/>
    <w:rsid w:val="6F5620D3"/>
    <w:rsid w:val="6F5B4AA4"/>
    <w:rsid w:val="6F7F2188"/>
    <w:rsid w:val="6FEF02B3"/>
    <w:rsid w:val="71DA08FD"/>
    <w:rsid w:val="73A122C3"/>
    <w:rsid w:val="73B4322D"/>
    <w:rsid w:val="744468F3"/>
    <w:rsid w:val="74530CE9"/>
    <w:rsid w:val="748E50DC"/>
    <w:rsid w:val="74DF05F1"/>
    <w:rsid w:val="74EE1871"/>
    <w:rsid w:val="752103A4"/>
    <w:rsid w:val="75356BE5"/>
    <w:rsid w:val="763E3305"/>
    <w:rsid w:val="786767B0"/>
    <w:rsid w:val="78BA11AB"/>
    <w:rsid w:val="7AE91AD8"/>
    <w:rsid w:val="7B5F28AD"/>
    <w:rsid w:val="7C555A77"/>
    <w:rsid w:val="7D2947C1"/>
    <w:rsid w:val="7D413C91"/>
    <w:rsid w:val="7DD144A9"/>
    <w:rsid w:val="7E2C0F6F"/>
    <w:rsid w:val="7E5F4764"/>
    <w:rsid w:val="7E7174A5"/>
    <w:rsid w:val="7EDF190A"/>
    <w:rsid w:val="7F60575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napToGrid w:val="0"/>
      <w:spacing w:before="340" w:after="330" w:line="520" w:lineRule="exact"/>
      <w:jc w:val="center"/>
      <w:outlineLvl w:val="0"/>
    </w:pPr>
    <w:rPr>
      <w:rFonts w:eastAsia="方正小标宋_GBK" w:asciiTheme="minorHAnsi" w:hAnsiTheme="minorHAnsi"/>
      <w:kern w:val="44"/>
      <w:sz w:val="44"/>
    </w:rPr>
  </w:style>
  <w:style w:type="paragraph" w:styleId="4">
    <w:name w:val="heading 2"/>
    <w:basedOn w:val="1"/>
    <w:next w:val="1"/>
    <w:unhideWhenUsed/>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qFormat/>
    <w:uiPriority w:val="0"/>
    <w:pPr>
      <w:spacing w:line="360" w:lineRule="auto"/>
      <w:ind w:firstLine="420"/>
    </w:pPr>
    <w:rPr>
      <w:rFonts w:ascii="宋体" w:hAnsi="宋体"/>
      <w:sz w:val="24"/>
    </w:rPr>
  </w:style>
  <w:style w:type="paragraph" w:styleId="6">
    <w:name w:val="Body Text"/>
    <w:basedOn w:val="1"/>
    <w:qFormat/>
    <w:uiPriority w:val="0"/>
    <w:pPr>
      <w:spacing w:after="120" w:afterLines="0"/>
    </w:p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szCs w:val="21"/>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before="120" w:after="120"/>
      <w:jc w:val="left"/>
    </w:pPr>
    <w:rPr>
      <w:b/>
      <w:bCs/>
      <w:caps/>
      <w:sz w:val="20"/>
      <w:szCs w:val="20"/>
    </w:rPr>
  </w:style>
  <w:style w:type="paragraph" w:styleId="13">
    <w:name w:val="Message Header"/>
    <w:basedOn w:val="1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customStyle="1" w:styleId="14">
    <w:name w:val="PJ 条-紧跟"/>
    <w:basedOn w:val="1"/>
    <w:qFormat/>
    <w:uiPriority w:val="0"/>
    <w:rPr>
      <w:rFonts w:ascii="仿宋_GB2312" w:eastAsia="仿宋_GB2312"/>
      <w:kern w:val="0"/>
      <w:sz w:val="28"/>
      <w:szCs w:val="20"/>
      <w:lang w:val="zh-CN"/>
    </w:rPr>
  </w:style>
  <w:style w:type="character" w:styleId="16">
    <w:name w:val="Hyperlink"/>
    <w:qFormat/>
    <w:uiPriority w:val="0"/>
    <w:rPr>
      <w:color w:val="0000FF"/>
      <w:u w:val="single"/>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19">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20">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22">
    <w:name w:val="_Style 3"/>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23">
    <w:name w:val="p0"/>
    <w:basedOn w:val="1"/>
    <w:qFormat/>
    <w:uiPriority w:val="0"/>
    <w:pPr>
      <w:widowControl/>
    </w:pPr>
    <w:rPr>
      <w:rFonts w:eastAsia="仿宋_GB2312" w:cs="Times New Roman"/>
      <w:kern w:val="0"/>
      <w:sz w:val="28"/>
      <w:szCs w:val="21"/>
    </w:rPr>
  </w:style>
  <w:style w:type="character" w:customStyle="1" w:styleId="24">
    <w:name w:val="标题 1 Char"/>
    <w:link w:val="3"/>
    <w:qFormat/>
    <w:uiPriority w:val="0"/>
    <w:rPr>
      <w:rFonts w:eastAsia="方正小标宋_GBK" w:asciiTheme="minorHAnsi" w:hAnsiTheme="minorHAnsi"/>
      <w:kern w:val="44"/>
      <w:sz w:val="44"/>
    </w:rPr>
  </w:style>
  <w:style w:type="paragraph" w:customStyle="1" w:styleId="25">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1079</Words>
  <Characters>6156</Characters>
  <Lines>51</Lines>
  <Paragraphs>14</Paragraphs>
  <ScaleCrop>false</ScaleCrop>
  <LinksUpToDate>false</LinksUpToDate>
  <CharactersWithSpaces>7221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2021-01-26T09:58:00Z</dcterms:created>
  <dc:creator>刘诗韵</dc:creator>
  <cp:lastModifiedBy>吴骏</cp:lastModifiedBy>
  <cp:lastPrinted>2021-07-22T02:30:00Z</cp:lastPrinted>
  <dcterms:modified xsi:type="dcterms:W3CDTF">2021-09-24T06:44:20Z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