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8"/>
          <w:szCs w:val="48"/>
        </w:rPr>
      </w:pPr>
    </w:p>
    <w:p>
      <w:pPr>
        <w:jc w:val="center"/>
        <w:rPr>
          <w:rFonts w:hint="eastAsia" w:ascii="宋体" w:hAnsi="宋体" w:cs="宋体"/>
          <w:b/>
          <w:sz w:val="48"/>
          <w:szCs w:val="48"/>
        </w:rPr>
      </w:pPr>
      <w:r>
        <w:rPr>
          <w:rFonts w:hint="eastAsia" w:ascii="宋体" w:hAnsi="宋体" w:cs="宋体"/>
          <w:b/>
          <w:sz w:val="48"/>
          <w:szCs w:val="48"/>
        </w:rPr>
        <w:t>重庆通力高速公路养护工程有限公司</w:t>
      </w:r>
    </w:p>
    <w:p>
      <w:pPr>
        <w:jc w:val="center"/>
        <w:rPr>
          <w:rFonts w:hint="eastAsia" w:ascii="宋体" w:hAnsi="宋体" w:cs="宋体"/>
          <w:b/>
          <w:sz w:val="48"/>
          <w:szCs w:val="48"/>
          <w:lang w:val="en-US" w:eastAsia="zh-CN"/>
        </w:rPr>
      </w:pPr>
      <w:r>
        <w:rPr>
          <w:rFonts w:hint="eastAsia" w:ascii="宋体" w:hAnsi="宋体" w:cs="宋体"/>
          <w:b/>
          <w:sz w:val="48"/>
          <w:szCs w:val="48"/>
          <w:lang w:val="en-US" w:eastAsia="zh-CN"/>
        </w:rPr>
        <w:t>渝宜高速公路长寿区石堰互通立交工程</w:t>
      </w:r>
    </w:p>
    <w:p>
      <w:pPr>
        <w:jc w:val="center"/>
        <w:rPr>
          <w:rFonts w:hint="eastAsia" w:ascii="宋体" w:hAnsi="宋体" w:cs="宋体"/>
          <w:b/>
          <w:sz w:val="48"/>
          <w:szCs w:val="48"/>
        </w:rPr>
      </w:pPr>
      <w:r>
        <w:rPr>
          <w:rFonts w:hint="eastAsia" w:ascii="宋体" w:hAnsi="宋体" w:cs="宋体"/>
          <w:b/>
          <w:sz w:val="48"/>
          <w:szCs w:val="48"/>
          <w:lang w:val="en-US" w:eastAsia="zh-CN"/>
        </w:rPr>
        <w:t>房屋建筑墙地砖</w:t>
      </w:r>
      <w:r>
        <w:rPr>
          <w:rFonts w:hint="eastAsia" w:ascii="宋体" w:hAnsi="宋体" w:cs="宋体"/>
          <w:b/>
          <w:sz w:val="48"/>
          <w:szCs w:val="48"/>
        </w:rPr>
        <w:t>采购</w:t>
      </w:r>
    </w:p>
    <w:p>
      <w:pPr>
        <w:jc w:val="center"/>
        <w:rPr>
          <w:rFonts w:hint="eastAsia" w:ascii="宋体" w:hAnsi="宋体" w:cs="宋体"/>
          <w:b/>
          <w:spacing w:val="20"/>
          <w:sz w:val="72"/>
          <w:szCs w:val="72"/>
        </w:rPr>
      </w:pPr>
    </w:p>
    <w:p>
      <w:pPr>
        <w:jc w:val="center"/>
        <w:rPr>
          <w:rFonts w:hint="eastAsia" w:ascii="宋体" w:hAnsi="宋体" w:cs="宋体"/>
          <w:b/>
          <w:spacing w:val="20"/>
          <w:sz w:val="72"/>
          <w:szCs w:val="72"/>
        </w:rPr>
      </w:pPr>
    </w:p>
    <w:p>
      <w:pPr>
        <w:jc w:val="center"/>
        <w:rPr>
          <w:rFonts w:hint="eastAsia" w:ascii="宋体" w:hAnsi="宋体" w:cs="宋体"/>
          <w:b/>
          <w:spacing w:val="20"/>
          <w:sz w:val="72"/>
          <w:szCs w:val="72"/>
        </w:rPr>
      </w:pPr>
    </w:p>
    <w:p>
      <w:pPr>
        <w:jc w:val="center"/>
        <w:rPr>
          <w:rFonts w:hint="eastAsia" w:ascii="宋体" w:hAnsi="宋体" w:cs="宋体"/>
          <w:b/>
          <w:spacing w:val="20"/>
          <w:sz w:val="84"/>
          <w:szCs w:val="84"/>
        </w:rPr>
      </w:pPr>
      <w:r>
        <w:rPr>
          <w:rFonts w:hint="eastAsia" w:ascii="宋体" w:hAnsi="宋体" w:cs="宋体"/>
          <w:b/>
          <w:spacing w:val="20"/>
          <w:sz w:val="84"/>
          <w:szCs w:val="84"/>
        </w:rPr>
        <w:t>竞争性比选文件</w:t>
      </w:r>
    </w:p>
    <w:p>
      <w:pPr>
        <w:jc w:val="center"/>
        <w:rPr>
          <w:rFonts w:hint="eastAsia" w:ascii="宋体" w:hAnsi="宋体" w:cs="宋体"/>
          <w:sz w:val="28"/>
          <w:szCs w:val="28"/>
        </w:rPr>
      </w:pPr>
      <w:r>
        <w:rPr>
          <w:rFonts w:hint="eastAsia" w:ascii="宋体" w:hAnsi="宋体" w:cs="宋体"/>
          <w:sz w:val="28"/>
          <w:szCs w:val="28"/>
        </w:rPr>
        <w:t xml:space="preserve">（项目编号： </w:t>
      </w:r>
      <w:r>
        <w:rPr>
          <w:rFonts w:ascii="宋体" w:hAnsi="宋体" w:cs="宋体"/>
          <w:sz w:val="28"/>
          <w:szCs w:val="28"/>
        </w:rPr>
        <w:t xml:space="preserve">      </w:t>
      </w:r>
      <w:r>
        <w:rPr>
          <w:rFonts w:hint="eastAsia" w:ascii="宋体" w:hAnsi="宋体" w:cs="宋体"/>
          <w:sz w:val="28"/>
          <w:szCs w:val="28"/>
        </w:rPr>
        <w:t>）</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pacing w:val="100"/>
          <w:szCs w:val="21"/>
        </w:rPr>
      </w:pPr>
    </w:p>
    <w:p>
      <w:pPr>
        <w:pStyle w:val="12"/>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重庆通力高速公路养护工程有限公司</w:t>
      </w:r>
    </w:p>
    <w:p>
      <w:pPr>
        <w:pStyle w:val="12"/>
        <w:spacing w:line="360" w:lineRule="auto"/>
        <w:ind w:left="99" w:leftChars="47"/>
        <w:jc w:val="center"/>
        <w:rPr>
          <w:rFonts w:hint="eastAsia"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1</w:t>
      </w:r>
      <w:r>
        <w:rPr>
          <w:rFonts w:hint="eastAsia" w:ascii="宋体" w:hAnsi="宋体" w:cs="宋体"/>
          <w:b/>
          <w:sz w:val="32"/>
          <w:szCs w:val="32"/>
        </w:rPr>
        <w:t>年</w:t>
      </w:r>
      <w:r>
        <w:rPr>
          <w:rFonts w:hint="eastAsia" w:ascii="宋体" w:hAnsi="宋体" w:cs="宋体"/>
          <w:b/>
          <w:sz w:val="32"/>
          <w:szCs w:val="32"/>
          <w:lang w:val="en-US" w:eastAsia="zh-CN"/>
        </w:rPr>
        <w:t>4</w:t>
      </w:r>
      <w:r>
        <w:rPr>
          <w:rFonts w:hint="eastAsia" w:ascii="宋体" w:hAnsi="宋体" w:cs="宋体"/>
          <w:b/>
          <w:sz w:val="32"/>
          <w:szCs w:val="32"/>
        </w:rPr>
        <w:t>月</w:t>
      </w:r>
    </w:p>
    <w:p>
      <w:pPr>
        <w:rPr>
          <w:rFonts w:hint="eastAsia"/>
        </w:rPr>
      </w:pPr>
    </w:p>
    <w:p>
      <w:pPr>
        <w:spacing w:line="400" w:lineRule="exact"/>
        <w:jc w:val="center"/>
        <w:rPr>
          <w:rFonts w:hint="eastAsia" w:ascii="宋体" w:hAnsi="宋体" w:cs="宋体"/>
          <w:b/>
          <w:sz w:val="30"/>
          <w:szCs w:val="30"/>
        </w:rPr>
      </w:pPr>
      <w:r>
        <w:rPr>
          <w:rFonts w:hint="eastAsia" w:ascii="宋体" w:hAnsi="宋体" w:cs="宋体"/>
          <w:b/>
          <w:sz w:val="30"/>
          <w:szCs w:val="30"/>
        </w:rPr>
        <w:t>重庆通力高速公路养护工程有限公司</w:t>
      </w:r>
    </w:p>
    <w:p>
      <w:pPr>
        <w:spacing w:line="400" w:lineRule="exact"/>
        <w:jc w:val="center"/>
        <w:rPr>
          <w:rFonts w:hint="eastAsia" w:ascii="宋体" w:hAnsi="宋体" w:cs="宋体"/>
          <w:b/>
          <w:sz w:val="30"/>
          <w:szCs w:val="30"/>
        </w:rPr>
      </w:pPr>
      <w:r>
        <w:rPr>
          <w:rFonts w:hint="eastAsia" w:ascii="宋体" w:hAnsi="宋体" w:cs="宋体"/>
          <w:b/>
          <w:sz w:val="30"/>
          <w:szCs w:val="30"/>
        </w:rPr>
        <w:t>渝宜高速公路长寿区石堰互通立交工程房屋建筑</w:t>
      </w:r>
      <w:r>
        <w:rPr>
          <w:rFonts w:hint="eastAsia" w:ascii="宋体" w:hAnsi="宋体" w:cs="宋体"/>
          <w:b/>
          <w:sz w:val="30"/>
          <w:szCs w:val="30"/>
          <w:lang w:val="en-US" w:eastAsia="zh-CN"/>
        </w:rPr>
        <w:t>墙地砖</w:t>
      </w:r>
      <w:r>
        <w:rPr>
          <w:rFonts w:hint="eastAsia" w:ascii="宋体" w:hAnsi="宋体" w:cs="宋体"/>
          <w:b/>
          <w:sz w:val="30"/>
          <w:szCs w:val="30"/>
        </w:rPr>
        <w:t>采购</w:t>
      </w:r>
    </w:p>
    <w:p>
      <w:pPr>
        <w:spacing w:line="400" w:lineRule="exact"/>
        <w:jc w:val="center"/>
        <w:rPr>
          <w:rFonts w:hint="eastAsia" w:ascii="宋体" w:hAnsi="宋体" w:cs="宋体"/>
          <w:b/>
          <w:sz w:val="30"/>
          <w:szCs w:val="30"/>
        </w:rPr>
      </w:pPr>
      <w:r>
        <w:rPr>
          <w:rFonts w:hint="eastAsia" w:ascii="宋体" w:hAnsi="宋体" w:cs="宋体"/>
          <w:b/>
          <w:sz w:val="30"/>
          <w:szCs w:val="30"/>
        </w:rPr>
        <w:t>竞争性比选公告</w:t>
      </w:r>
    </w:p>
    <w:p>
      <w:pPr>
        <w:spacing w:line="400" w:lineRule="exact"/>
        <w:ind w:firstLine="120" w:firstLineChars="50"/>
        <w:rPr>
          <w:rFonts w:hint="eastAsia" w:ascii="宋体" w:hAnsi="宋体" w:cs="宋体"/>
          <w:sz w:val="24"/>
          <w:szCs w:val="24"/>
          <w:u w:val="single"/>
        </w:rPr>
      </w:pPr>
      <w:bookmarkStart w:id="0" w:name="_Toc246996166"/>
      <w:bookmarkStart w:id="1" w:name="_Toc246996909"/>
      <w:bookmarkStart w:id="2" w:name="_Toc144974487"/>
      <w:bookmarkStart w:id="3" w:name="_Toc152042295"/>
      <w:bookmarkStart w:id="4" w:name="_Toc152045519"/>
      <w:bookmarkStart w:id="5" w:name="_Toc247085680"/>
      <w:bookmarkStart w:id="6" w:name="_Toc296602410"/>
      <w:bookmarkStart w:id="7" w:name="_Toc179632536"/>
    </w:p>
    <w:bookmarkEnd w:id="0"/>
    <w:bookmarkEnd w:id="1"/>
    <w:bookmarkEnd w:id="2"/>
    <w:bookmarkEnd w:id="3"/>
    <w:bookmarkEnd w:id="4"/>
    <w:bookmarkEnd w:id="5"/>
    <w:bookmarkEnd w:id="6"/>
    <w:bookmarkEnd w:id="7"/>
    <w:p>
      <w:pPr>
        <w:wordWrap w:val="0"/>
        <w:spacing w:line="400" w:lineRule="exact"/>
        <w:ind w:firstLine="420" w:firstLineChars="200"/>
        <w:jc w:val="left"/>
        <w:rPr>
          <w:szCs w:val="21"/>
        </w:rPr>
      </w:pPr>
      <w:bookmarkStart w:id="8" w:name="_Toc152042297"/>
      <w:bookmarkStart w:id="9" w:name="_Toc179632538"/>
      <w:bookmarkStart w:id="10" w:name="_Toc152045521"/>
      <w:bookmarkStart w:id="11" w:name="_Toc246996911"/>
      <w:bookmarkStart w:id="12" w:name="_Toc296602412"/>
      <w:bookmarkStart w:id="13" w:name="_Toc246996168"/>
      <w:bookmarkStart w:id="14" w:name="_Toc144974489"/>
      <w:bookmarkStart w:id="15" w:name="_Toc247085682"/>
      <w:r>
        <w:rPr>
          <w:szCs w:val="21"/>
        </w:rPr>
        <w:t>本项目</w:t>
      </w:r>
      <w:r>
        <w:rPr>
          <w:rFonts w:hint="eastAsia"/>
          <w:b/>
          <w:bCs/>
          <w:szCs w:val="21"/>
        </w:rPr>
        <w:t>重庆通力高速公路养护工程有限公司渝宜高速公路长寿区石堰互通立交工程房屋建筑</w:t>
      </w:r>
      <w:r>
        <w:rPr>
          <w:rFonts w:hint="eastAsia"/>
          <w:b/>
          <w:bCs/>
          <w:szCs w:val="21"/>
          <w:lang w:val="en-US" w:eastAsia="zh-CN"/>
        </w:rPr>
        <w:t>墙地砖</w:t>
      </w:r>
      <w:r>
        <w:rPr>
          <w:rFonts w:hint="eastAsia"/>
          <w:b/>
          <w:bCs/>
          <w:szCs w:val="21"/>
        </w:rPr>
        <w:t>采购</w:t>
      </w:r>
      <w:r>
        <w:rPr>
          <w:szCs w:val="21"/>
        </w:rPr>
        <w:t>准备组织实施，重庆通力高速公路养护工程有限公司计划以</w:t>
      </w:r>
      <w:r>
        <w:rPr>
          <w:rFonts w:hint="eastAsia"/>
          <w:szCs w:val="21"/>
        </w:rPr>
        <w:t>竞争性比选</w:t>
      </w:r>
      <w:r>
        <w:rPr>
          <w:szCs w:val="21"/>
        </w:rPr>
        <w:t>方式确定成交单位，具体情况如下：</w:t>
      </w:r>
    </w:p>
    <w:p>
      <w:pPr>
        <w:spacing w:line="400" w:lineRule="exact"/>
        <w:rPr>
          <w:b/>
          <w:szCs w:val="21"/>
        </w:rPr>
      </w:pPr>
      <w:bookmarkStart w:id="16" w:name="_Toc152045520"/>
      <w:bookmarkStart w:id="17" w:name="_Toc179632537"/>
      <w:bookmarkStart w:id="18" w:name="_Toc152042296"/>
      <w:bookmarkStart w:id="19" w:name="_Toc144974488"/>
      <w:bookmarkStart w:id="20" w:name="_Toc247085681"/>
      <w:bookmarkStart w:id="21" w:name="_Toc246996167"/>
      <w:bookmarkStart w:id="22" w:name="_Toc246996910"/>
      <w:bookmarkStart w:id="23" w:name="_Toc296602411"/>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b/>
          <w:bCs/>
          <w:szCs w:val="21"/>
        </w:rPr>
      </w:pPr>
      <w:r>
        <w:rPr>
          <w:rFonts w:hint="eastAsia"/>
          <w:szCs w:val="21"/>
        </w:rPr>
        <w:t>本项目为</w:t>
      </w:r>
      <w:r>
        <w:rPr>
          <w:rFonts w:hint="eastAsia"/>
          <w:b/>
          <w:bCs/>
          <w:szCs w:val="21"/>
        </w:rPr>
        <w:t>重庆通力高速公路养护工程有限公司渝宜高速公路长寿区石堰互通立交工程房屋建筑</w:t>
      </w:r>
      <w:r>
        <w:rPr>
          <w:rFonts w:hint="eastAsia"/>
          <w:b/>
          <w:bCs/>
          <w:szCs w:val="21"/>
          <w:lang w:val="en-US" w:eastAsia="zh-CN"/>
        </w:rPr>
        <w:t>墙地砖</w:t>
      </w:r>
      <w:r>
        <w:rPr>
          <w:rFonts w:hint="eastAsia"/>
          <w:b/>
          <w:bCs/>
          <w:szCs w:val="21"/>
        </w:rPr>
        <w:t>采购项目。</w:t>
      </w:r>
    </w:p>
    <w:p>
      <w:pPr>
        <w:widowControl/>
        <w:numPr>
          <w:ilvl w:val="0"/>
          <w:numId w:val="2"/>
        </w:numPr>
        <w:spacing w:line="400" w:lineRule="exact"/>
        <w:ind w:firstLine="422" w:firstLineChars="200"/>
        <w:rPr>
          <w:rFonts w:hint="eastAsia"/>
          <w:b/>
          <w:bCs/>
          <w:szCs w:val="21"/>
        </w:rPr>
      </w:pPr>
      <w:r>
        <w:rPr>
          <w:rFonts w:hint="eastAsia"/>
          <w:b/>
          <w:bCs/>
          <w:szCs w:val="21"/>
        </w:rPr>
        <w:t>竞争性比选材料采购详见下表：</w:t>
      </w:r>
    </w:p>
    <w:tbl>
      <w:tblPr>
        <w:tblStyle w:val="21"/>
        <w:tblW w:w="8545" w:type="dxa"/>
        <w:jc w:val="center"/>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4"/>
        <w:gridCol w:w="852"/>
        <w:gridCol w:w="2205"/>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2964" w:type="dxa"/>
            <w:vAlign w:val="center"/>
          </w:tcPr>
          <w:p>
            <w:pPr>
              <w:spacing w:line="260" w:lineRule="exact"/>
              <w:jc w:val="center"/>
              <w:textAlignment w:val="baseline"/>
              <w:rPr>
                <w:rFonts w:hint="eastAsia"/>
                <w:b/>
                <w:szCs w:val="21"/>
              </w:rPr>
            </w:pPr>
            <w:r>
              <w:rPr>
                <w:rFonts w:hint="eastAsia"/>
                <w:b/>
                <w:szCs w:val="21"/>
              </w:rPr>
              <w:t>产品名称</w:t>
            </w:r>
          </w:p>
        </w:tc>
        <w:tc>
          <w:tcPr>
            <w:tcW w:w="852" w:type="dxa"/>
            <w:vAlign w:val="center"/>
          </w:tcPr>
          <w:p>
            <w:pPr>
              <w:spacing w:line="260" w:lineRule="exact"/>
              <w:jc w:val="center"/>
              <w:textAlignment w:val="baseline"/>
              <w:rPr>
                <w:rFonts w:hint="eastAsia"/>
                <w:b/>
                <w:szCs w:val="21"/>
              </w:rPr>
            </w:pPr>
            <w:r>
              <w:rPr>
                <w:rFonts w:hint="eastAsia"/>
                <w:b/>
                <w:szCs w:val="21"/>
              </w:rPr>
              <w:t>单位</w:t>
            </w:r>
          </w:p>
        </w:tc>
        <w:tc>
          <w:tcPr>
            <w:tcW w:w="2205" w:type="dxa"/>
            <w:vAlign w:val="center"/>
          </w:tcPr>
          <w:p>
            <w:pPr>
              <w:spacing w:line="260" w:lineRule="exact"/>
              <w:jc w:val="center"/>
              <w:textAlignment w:val="baseline"/>
              <w:rPr>
                <w:rFonts w:hint="eastAsia"/>
                <w:b/>
                <w:szCs w:val="21"/>
              </w:rPr>
            </w:pPr>
            <w:r>
              <w:rPr>
                <w:rFonts w:hint="eastAsia"/>
                <w:b/>
                <w:szCs w:val="21"/>
              </w:rPr>
              <w:t>暂估量</w:t>
            </w:r>
          </w:p>
        </w:tc>
        <w:tc>
          <w:tcPr>
            <w:tcW w:w="2524" w:type="dxa"/>
            <w:vAlign w:val="center"/>
          </w:tcPr>
          <w:p>
            <w:pPr>
              <w:spacing w:line="260" w:lineRule="exact"/>
              <w:jc w:val="center"/>
              <w:textAlignment w:val="baseline"/>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964" w:type="dxa"/>
            <w:vAlign w:val="center"/>
          </w:tcPr>
          <w:p>
            <w:pPr>
              <w:ind w:left="0" w:leftChars="0" w:firstLine="0" w:firstLineChars="0"/>
              <w:jc w:val="center"/>
              <w:rPr>
                <w:szCs w:val="21"/>
              </w:rPr>
            </w:pPr>
            <w:r>
              <w:rPr>
                <w:rFonts w:hint="eastAsia" w:ascii="宋体" w:hAnsi="宋体" w:eastAsia="宋体" w:cs="宋体"/>
                <w:i w:val="0"/>
                <w:color w:val="000000"/>
                <w:sz w:val="21"/>
                <w:szCs w:val="21"/>
                <w:u w:val="none"/>
              </w:rPr>
              <w:t>耐磨地砖</w:t>
            </w:r>
          </w:p>
        </w:tc>
        <w:tc>
          <w:tcPr>
            <w:tcW w:w="852" w:type="dxa"/>
            <w:vAlign w:val="center"/>
          </w:tcPr>
          <w:p>
            <w:pPr>
              <w:ind w:left="0" w:leftChars="0" w:firstLine="0" w:firstLineChars="0"/>
              <w:jc w:val="center"/>
              <w:rPr>
                <w:szCs w:val="21"/>
              </w:rPr>
            </w:pPr>
            <w:r>
              <w:rPr>
                <w:rFonts w:hint="eastAsia" w:ascii="宋体" w:hAnsi="宋体" w:eastAsia="宋体" w:cs="宋体"/>
                <w:i w:val="0"/>
                <w:color w:val="000000"/>
                <w:sz w:val="21"/>
                <w:szCs w:val="21"/>
                <w:u w:val="none"/>
                <w:lang w:val="en-US" w:eastAsia="zh-CN"/>
              </w:rPr>
              <w:t>m2</w:t>
            </w:r>
          </w:p>
        </w:tc>
        <w:tc>
          <w:tcPr>
            <w:tcW w:w="2205" w:type="dxa"/>
            <w:vAlign w:val="center"/>
          </w:tcPr>
          <w:p>
            <w:pPr>
              <w:ind w:left="0" w:leftChars="0" w:firstLine="0" w:firstLineChars="0"/>
              <w:jc w:val="center"/>
              <w:rPr>
                <w:rFonts w:hint="default" w:eastAsia="宋体"/>
                <w:szCs w:val="21"/>
                <w:lang w:val="en-US" w:eastAsia="zh-CN"/>
              </w:rPr>
            </w:pPr>
            <w:r>
              <w:rPr>
                <w:rFonts w:hint="eastAsia" w:ascii="宋体" w:hAnsi="宋体" w:eastAsia="宋体" w:cs="宋体"/>
                <w:i w:val="0"/>
                <w:color w:val="000000"/>
                <w:sz w:val="21"/>
                <w:szCs w:val="21"/>
                <w:u w:val="none"/>
                <w:lang w:val="en-US" w:eastAsia="zh-CN"/>
              </w:rPr>
              <w:t>480</w:t>
            </w:r>
          </w:p>
        </w:tc>
        <w:tc>
          <w:tcPr>
            <w:tcW w:w="2524" w:type="dxa"/>
            <w:vAlign w:val="center"/>
          </w:tcPr>
          <w:p>
            <w:pPr>
              <w:ind w:left="0" w:leftChars="0" w:firstLine="0" w:firstLineChars="0"/>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600*600mm</w:t>
            </w:r>
          </w:p>
          <w:p>
            <w:pPr>
              <w:ind w:left="0" w:leftChars="0" w:firstLine="0" w:firstLineChars="0"/>
              <w:jc w:val="center"/>
              <w:rPr>
                <w:rFonts w:hint="default" w:eastAsia="宋体"/>
                <w:szCs w:val="21"/>
                <w:lang w:val="en-US" w:eastAsia="zh-CN"/>
              </w:rPr>
            </w:pPr>
            <w:r>
              <w:rPr>
                <w:rFonts w:hint="default" w:ascii="宋体" w:hAnsi="宋体" w:eastAsia="宋体" w:cs="宋体"/>
                <w:i w:val="0"/>
                <w:color w:val="000000"/>
                <w:sz w:val="21"/>
                <w:szCs w:val="21"/>
                <w:u w:val="none"/>
                <w:lang w:val="en-US" w:eastAsia="zh-CN"/>
              </w:rPr>
              <w:t>一楼地面、配电房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964" w:type="dxa"/>
            <w:vAlign w:val="center"/>
          </w:tcPr>
          <w:p>
            <w:pPr>
              <w:ind w:left="0" w:leftChars="0" w:firstLine="0" w:firstLineChars="0"/>
              <w:jc w:val="center"/>
              <w:rPr>
                <w:rFonts w:hint="default"/>
                <w:szCs w:val="21"/>
                <w:lang w:val="en-US" w:eastAsia="zh-CN"/>
              </w:rPr>
            </w:pPr>
            <w:r>
              <w:rPr>
                <w:rFonts w:hint="default" w:ascii="宋体" w:hAnsi="宋体" w:eastAsia="宋体" w:cs="宋体"/>
                <w:i w:val="0"/>
                <w:color w:val="000000"/>
                <w:sz w:val="21"/>
                <w:szCs w:val="21"/>
                <w:u w:val="none"/>
                <w:lang w:val="en-US" w:eastAsia="zh-CN"/>
              </w:rPr>
              <w:t>防滑玻化地砖</w:t>
            </w:r>
          </w:p>
        </w:tc>
        <w:tc>
          <w:tcPr>
            <w:tcW w:w="852" w:type="dxa"/>
            <w:vAlign w:val="center"/>
          </w:tcPr>
          <w:p>
            <w:pPr>
              <w:ind w:left="0" w:leftChars="0" w:firstLine="0" w:firstLineChars="0"/>
              <w:jc w:val="center"/>
              <w:rPr>
                <w:rFonts w:hint="eastAsia" w:eastAsia="宋体"/>
                <w:szCs w:val="21"/>
                <w:lang w:val="en-US" w:eastAsia="zh-CN"/>
              </w:rPr>
            </w:pPr>
            <w:r>
              <w:rPr>
                <w:rFonts w:hint="eastAsia" w:ascii="宋体" w:hAnsi="宋体" w:eastAsia="宋体" w:cs="宋体"/>
                <w:i w:val="0"/>
                <w:color w:val="000000"/>
                <w:sz w:val="21"/>
                <w:szCs w:val="21"/>
                <w:u w:val="none"/>
                <w:lang w:val="en-US" w:eastAsia="zh-CN"/>
              </w:rPr>
              <w:t>m2</w:t>
            </w:r>
          </w:p>
        </w:tc>
        <w:tc>
          <w:tcPr>
            <w:tcW w:w="2205" w:type="dxa"/>
            <w:vAlign w:val="center"/>
          </w:tcPr>
          <w:p>
            <w:pPr>
              <w:ind w:left="0" w:leftChars="0" w:firstLine="0" w:firstLineChars="0"/>
              <w:jc w:val="center"/>
              <w:rPr>
                <w:rFonts w:hint="default" w:eastAsia="宋体"/>
                <w:szCs w:val="21"/>
                <w:lang w:val="en-US" w:eastAsia="zh-CN"/>
              </w:rPr>
            </w:pPr>
            <w:r>
              <w:rPr>
                <w:rFonts w:hint="eastAsia" w:ascii="宋体" w:hAnsi="宋体" w:eastAsia="宋体" w:cs="宋体"/>
                <w:i w:val="0"/>
                <w:color w:val="000000"/>
                <w:sz w:val="21"/>
                <w:szCs w:val="21"/>
                <w:u w:val="none"/>
                <w:lang w:val="en-US" w:eastAsia="zh-CN"/>
              </w:rPr>
              <w:t>50</w:t>
            </w:r>
          </w:p>
        </w:tc>
        <w:tc>
          <w:tcPr>
            <w:tcW w:w="2524" w:type="dxa"/>
            <w:vAlign w:val="center"/>
          </w:tcPr>
          <w:p>
            <w:pPr>
              <w:ind w:left="0" w:leftChars="0" w:firstLine="0" w:firstLineChars="0"/>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300*300mm</w:t>
            </w:r>
          </w:p>
          <w:p>
            <w:pPr>
              <w:ind w:left="0" w:leftChars="0" w:firstLine="0" w:firstLineChars="0"/>
              <w:jc w:val="center"/>
              <w:rPr>
                <w:rFonts w:hint="eastAsia"/>
                <w:szCs w:val="21"/>
              </w:rPr>
            </w:pPr>
            <w:r>
              <w:rPr>
                <w:rFonts w:hint="eastAsia" w:ascii="宋体" w:hAnsi="宋体" w:eastAsia="宋体" w:cs="宋体"/>
                <w:i w:val="0"/>
                <w:color w:val="000000"/>
                <w:sz w:val="21"/>
                <w:szCs w:val="21"/>
                <w:u w:val="none"/>
              </w:rPr>
              <w:t>卫生间地砖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964" w:type="dxa"/>
            <w:vAlign w:val="center"/>
          </w:tcPr>
          <w:p>
            <w:pPr>
              <w:ind w:left="0" w:leftChars="0" w:firstLine="0" w:firstLineChars="0"/>
              <w:jc w:val="center"/>
              <w:rPr>
                <w:rFonts w:hint="eastAsia"/>
                <w:szCs w:val="21"/>
                <w:lang w:val="en-US" w:eastAsia="zh-CN"/>
              </w:rPr>
            </w:pPr>
            <w:r>
              <w:rPr>
                <w:rFonts w:hint="eastAsia" w:ascii="宋体" w:hAnsi="宋体" w:eastAsia="宋体" w:cs="宋体"/>
                <w:i w:val="0"/>
                <w:color w:val="000000"/>
                <w:sz w:val="21"/>
                <w:szCs w:val="21"/>
                <w:u w:val="none"/>
                <w:lang w:val="en-US" w:eastAsia="zh-CN"/>
              </w:rPr>
              <w:t>玻化砖</w:t>
            </w:r>
          </w:p>
        </w:tc>
        <w:tc>
          <w:tcPr>
            <w:tcW w:w="852"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lang w:val="en-US" w:eastAsia="zh-CN"/>
              </w:rPr>
              <w:t>m2</w:t>
            </w:r>
          </w:p>
        </w:tc>
        <w:tc>
          <w:tcPr>
            <w:tcW w:w="2205" w:type="dxa"/>
            <w:vAlign w:val="center"/>
          </w:tcPr>
          <w:p>
            <w:pPr>
              <w:ind w:left="0" w:leftChars="0" w:firstLine="0" w:firstLineChars="0"/>
              <w:jc w:val="center"/>
              <w:rPr>
                <w:rFonts w:hint="default" w:eastAsia="宋体"/>
                <w:szCs w:val="21"/>
                <w:lang w:val="en-US" w:eastAsia="zh-CN"/>
              </w:rPr>
            </w:pPr>
            <w:r>
              <w:rPr>
                <w:rFonts w:hint="eastAsia" w:ascii="宋体" w:hAnsi="宋体" w:eastAsia="宋体" w:cs="宋体"/>
                <w:i w:val="0"/>
                <w:color w:val="000000"/>
                <w:sz w:val="21"/>
                <w:szCs w:val="21"/>
                <w:u w:val="none"/>
                <w:lang w:val="en-US" w:eastAsia="zh-CN"/>
              </w:rPr>
              <w:t>240</w:t>
            </w:r>
          </w:p>
        </w:tc>
        <w:tc>
          <w:tcPr>
            <w:tcW w:w="2524" w:type="dxa"/>
            <w:vAlign w:val="center"/>
          </w:tcPr>
          <w:p>
            <w:pPr>
              <w:ind w:left="0" w:leftChars="0" w:firstLine="0" w:firstLine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600*600mm</w:t>
            </w:r>
          </w:p>
          <w:p>
            <w:pPr>
              <w:ind w:left="0" w:leftChars="0" w:firstLine="0" w:firstLineChars="0"/>
              <w:jc w:val="center"/>
              <w:rPr>
                <w:rFonts w:hint="eastAsia"/>
                <w:szCs w:val="21"/>
              </w:rPr>
            </w:pPr>
            <w:r>
              <w:rPr>
                <w:rFonts w:hint="eastAsia" w:ascii="宋体" w:hAnsi="宋体" w:eastAsia="宋体" w:cs="宋体"/>
                <w:i w:val="0"/>
                <w:color w:val="000000"/>
                <w:sz w:val="21"/>
                <w:szCs w:val="21"/>
                <w:u w:val="none"/>
              </w:rPr>
              <w:t>二楼地面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964" w:type="dxa"/>
            <w:vAlign w:val="center"/>
          </w:tcPr>
          <w:p>
            <w:pPr>
              <w:ind w:left="0" w:leftChars="0" w:firstLine="0" w:firstLineChars="0"/>
              <w:jc w:val="center"/>
              <w:rPr>
                <w:rFonts w:hint="eastAsia"/>
                <w:szCs w:val="21"/>
                <w:lang w:val="en-US" w:eastAsia="zh-CN"/>
              </w:rPr>
            </w:pPr>
            <w:r>
              <w:rPr>
                <w:rFonts w:hint="eastAsia" w:ascii="宋体" w:hAnsi="宋体" w:eastAsia="宋体" w:cs="宋体"/>
                <w:i w:val="0"/>
                <w:color w:val="000000"/>
                <w:sz w:val="21"/>
                <w:szCs w:val="21"/>
                <w:u w:val="none"/>
                <w:lang w:val="en-US" w:eastAsia="zh-CN"/>
              </w:rPr>
              <w:t>防滑砖</w:t>
            </w:r>
          </w:p>
        </w:tc>
        <w:tc>
          <w:tcPr>
            <w:tcW w:w="852"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lang w:val="en-US" w:eastAsia="zh-CN"/>
              </w:rPr>
              <w:t>m2</w:t>
            </w:r>
          </w:p>
        </w:tc>
        <w:tc>
          <w:tcPr>
            <w:tcW w:w="2205" w:type="dxa"/>
            <w:vAlign w:val="center"/>
          </w:tcPr>
          <w:p>
            <w:pPr>
              <w:ind w:left="0" w:leftChars="0" w:firstLine="0" w:firstLineChars="0"/>
              <w:jc w:val="center"/>
              <w:rPr>
                <w:rFonts w:hint="default" w:eastAsia="宋体"/>
                <w:szCs w:val="21"/>
                <w:lang w:val="en-US" w:eastAsia="zh-CN"/>
              </w:rPr>
            </w:pPr>
            <w:r>
              <w:rPr>
                <w:rFonts w:hint="eastAsia" w:ascii="宋体" w:hAnsi="宋体" w:eastAsia="宋体" w:cs="宋体"/>
                <w:i w:val="0"/>
                <w:color w:val="000000"/>
                <w:sz w:val="21"/>
                <w:szCs w:val="21"/>
                <w:u w:val="none"/>
                <w:lang w:val="en-US" w:eastAsia="zh-CN"/>
              </w:rPr>
              <w:t>50</w:t>
            </w:r>
          </w:p>
        </w:tc>
        <w:tc>
          <w:tcPr>
            <w:tcW w:w="2524" w:type="dxa"/>
            <w:vAlign w:val="center"/>
          </w:tcPr>
          <w:p>
            <w:pPr>
              <w:ind w:left="0" w:leftChars="0" w:firstLine="0" w:firstLine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300*300mm</w:t>
            </w:r>
          </w:p>
          <w:p>
            <w:pPr>
              <w:ind w:left="0" w:leftChars="0" w:firstLine="0" w:firstLineChars="0"/>
              <w:jc w:val="center"/>
              <w:rPr>
                <w:rFonts w:hint="eastAsia"/>
                <w:szCs w:val="21"/>
              </w:rPr>
            </w:pPr>
            <w:r>
              <w:rPr>
                <w:rFonts w:hint="eastAsia" w:ascii="宋体" w:hAnsi="宋体" w:eastAsia="宋体" w:cs="宋体"/>
                <w:i w:val="0"/>
                <w:color w:val="000000"/>
                <w:sz w:val="21"/>
                <w:szCs w:val="21"/>
                <w:u w:val="none"/>
              </w:rPr>
              <w:t>楼梯地面砖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964" w:type="dxa"/>
            <w:vAlign w:val="center"/>
          </w:tcPr>
          <w:p>
            <w:pPr>
              <w:ind w:left="0" w:leftChars="0" w:firstLine="0" w:firstLineChars="0"/>
              <w:jc w:val="center"/>
              <w:rPr>
                <w:rFonts w:hint="eastAsia"/>
                <w:szCs w:val="21"/>
                <w:lang w:val="en-US" w:eastAsia="zh-CN"/>
              </w:rPr>
            </w:pPr>
            <w:r>
              <w:rPr>
                <w:rFonts w:hint="eastAsia" w:ascii="宋体" w:hAnsi="宋体" w:eastAsia="宋体" w:cs="宋体"/>
                <w:i w:val="0"/>
                <w:color w:val="000000"/>
                <w:sz w:val="21"/>
                <w:szCs w:val="21"/>
                <w:u w:val="none"/>
              </w:rPr>
              <w:t>10cm玻化砖踢脚线</w:t>
            </w:r>
          </w:p>
        </w:tc>
        <w:tc>
          <w:tcPr>
            <w:tcW w:w="852"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lang w:val="en-US" w:eastAsia="zh-CN"/>
              </w:rPr>
              <w:t>m</w:t>
            </w:r>
          </w:p>
        </w:tc>
        <w:tc>
          <w:tcPr>
            <w:tcW w:w="2205" w:type="dxa"/>
            <w:vAlign w:val="center"/>
          </w:tcPr>
          <w:p>
            <w:pPr>
              <w:ind w:left="0" w:leftChars="0" w:firstLine="0" w:firstLineChars="0"/>
              <w:jc w:val="center"/>
              <w:rPr>
                <w:rFonts w:hint="default" w:eastAsia="宋体"/>
                <w:szCs w:val="21"/>
                <w:lang w:val="en-US" w:eastAsia="zh-CN"/>
              </w:rPr>
            </w:pPr>
            <w:r>
              <w:rPr>
                <w:rFonts w:hint="eastAsia" w:ascii="宋体" w:hAnsi="宋体" w:eastAsia="宋体" w:cs="宋体"/>
                <w:i w:val="0"/>
                <w:color w:val="000000"/>
                <w:sz w:val="21"/>
                <w:szCs w:val="21"/>
                <w:u w:val="none"/>
                <w:lang w:val="en-US" w:eastAsia="zh-CN"/>
              </w:rPr>
              <w:t>480</w:t>
            </w:r>
          </w:p>
        </w:tc>
        <w:tc>
          <w:tcPr>
            <w:tcW w:w="2524" w:type="dxa"/>
            <w:vAlign w:val="center"/>
          </w:tcPr>
          <w:p>
            <w:pPr>
              <w:ind w:left="0" w:leftChars="0" w:firstLine="0" w:firstLine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10cm</w:t>
            </w:r>
          </w:p>
          <w:p>
            <w:pPr>
              <w:ind w:left="0" w:leftChars="0" w:firstLine="0" w:firstLineChars="0"/>
              <w:jc w:val="center"/>
              <w:rPr>
                <w:rFonts w:hint="eastAsia"/>
                <w:szCs w:val="21"/>
              </w:rPr>
            </w:pPr>
            <w:r>
              <w:rPr>
                <w:rFonts w:hint="eastAsia" w:ascii="宋体" w:hAnsi="宋体" w:eastAsia="宋体" w:cs="宋体"/>
                <w:i w:val="0"/>
                <w:color w:val="000000"/>
                <w:sz w:val="21"/>
                <w:szCs w:val="21"/>
                <w:u w:val="none"/>
              </w:rPr>
              <w:t>室内办公室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964" w:type="dxa"/>
            <w:vAlign w:val="center"/>
          </w:tcPr>
          <w:p>
            <w:pPr>
              <w:ind w:left="0" w:leftChars="0" w:firstLine="0" w:firstLineChars="0"/>
              <w:jc w:val="center"/>
              <w:rPr>
                <w:rFonts w:hint="default" w:eastAsia="宋体"/>
                <w:szCs w:val="21"/>
                <w:lang w:val="en-US" w:eastAsia="zh-CN"/>
              </w:rPr>
            </w:pPr>
            <w:r>
              <w:rPr>
                <w:rFonts w:hint="default" w:ascii="宋体" w:hAnsi="宋体" w:eastAsia="宋体" w:cs="宋体"/>
                <w:i w:val="0"/>
                <w:color w:val="000000"/>
                <w:sz w:val="21"/>
                <w:szCs w:val="21"/>
                <w:u w:val="none"/>
                <w:lang w:val="en-US" w:eastAsia="zh-CN"/>
              </w:rPr>
              <w:t>瓷砖</w:t>
            </w:r>
          </w:p>
        </w:tc>
        <w:tc>
          <w:tcPr>
            <w:tcW w:w="852"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lang w:val="en-US" w:eastAsia="zh-CN"/>
              </w:rPr>
              <w:t>m2</w:t>
            </w:r>
          </w:p>
        </w:tc>
        <w:tc>
          <w:tcPr>
            <w:tcW w:w="2205" w:type="dxa"/>
            <w:vAlign w:val="center"/>
          </w:tcPr>
          <w:p>
            <w:pPr>
              <w:ind w:left="0" w:leftChars="0" w:firstLine="0" w:firstLineChars="0"/>
              <w:jc w:val="center"/>
              <w:rPr>
                <w:rFonts w:hint="default" w:eastAsia="宋体"/>
                <w:szCs w:val="21"/>
                <w:lang w:val="en-US" w:eastAsia="zh-CN"/>
              </w:rPr>
            </w:pPr>
            <w:r>
              <w:rPr>
                <w:rFonts w:hint="eastAsia" w:ascii="宋体" w:hAnsi="宋体" w:eastAsia="宋体" w:cs="宋体"/>
                <w:i w:val="0"/>
                <w:color w:val="000000"/>
                <w:sz w:val="21"/>
                <w:szCs w:val="21"/>
                <w:u w:val="none"/>
                <w:lang w:val="en-US" w:eastAsia="zh-CN"/>
              </w:rPr>
              <w:t>160</w:t>
            </w:r>
          </w:p>
        </w:tc>
        <w:tc>
          <w:tcPr>
            <w:tcW w:w="2524" w:type="dxa"/>
            <w:vAlign w:val="center"/>
          </w:tcPr>
          <w:p>
            <w:pPr>
              <w:ind w:left="0" w:leftChars="0" w:firstLine="0" w:firstLineChars="0"/>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300*600mm</w:t>
            </w:r>
          </w:p>
          <w:p>
            <w:pPr>
              <w:ind w:left="0" w:leftChars="0" w:firstLine="0" w:firstLineChars="0"/>
              <w:jc w:val="center"/>
              <w:rPr>
                <w:rFonts w:hint="eastAsia"/>
                <w:szCs w:val="21"/>
              </w:rPr>
            </w:pPr>
            <w:r>
              <w:rPr>
                <w:rFonts w:hint="eastAsia" w:ascii="宋体" w:hAnsi="宋体" w:eastAsia="宋体" w:cs="宋体"/>
                <w:i w:val="0"/>
                <w:color w:val="000000"/>
                <w:sz w:val="21"/>
                <w:szCs w:val="21"/>
                <w:u w:val="none"/>
              </w:rPr>
              <w:t>卫生间墙面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964" w:type="dxa"/>
            <w:vAlign w:val="center"/>
          </w:tcPr>
          <w:p>
            <w:pPr>
              <w:ind w:left="0" w:leftChars="0" w:firstLine="0" w:firstLineChars="0"/>
              <w:jc w:val="center"/>
              <w:rPr>
                <w:rFonts w:hint="eastAsia" w:eastAsia="宋体"/>
                <w:szCs w:val="21"/>
                <w:lang w:val="en-US" w:eastAsia="zh-CN"/>
              </w:rPr>
            </w:pPr>
            <w:r>
              <w:rPr>
                <w:rFonts w:hint="eastAsia" w:ascii="宋体" w:hAnsi="宋体" w:eastAsia="宋体" w:cs="宋体"/>
                <w:i w:val="0"/>
                <w:color w:val="000000"/>
                <w:sz w:val="21"/>
                <w:szCs w:val="21"/>
                <w:u w:val="none"/>
              </w:rPr>
              <w:t>暖灰色无釉面砖</w:t>
            </w:r>
          </w:p>
        </w:tc>
        <w:tc>
          <w:tcPr>
            <w:tcW w:w="852"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lang w:val="en-US" w:eastAsia="zh-CN"/>
              </w:rPr>
              <w:t>m2</w:t>
            </w:r>
          </w:p>
        </w:tc>
        <w:tc>
          <w:tcPr>
            <w:tcW w:w="2205" w:type="dxa"/>
            <w:vAlign w:val="center"/>
          </w:tcPr>
          <w:p>
            <w:pPr>
              <w:ind w:left="0" w:leftChars="0" w:firstLine="0" w:firstLineChars="0"/>
              <w:jc w:val="center"/>
              <w:rPr>
                <w:rFonts w:hint="default" w:eastAsia="宋体"/>
                <w:szCs w:val="21"/>
                <w:lang w:val="en-US" w:eastAsia="zh-CN"/>
              </w:rPr>
            </w:pPr>
            <w:r>
              <w:rPr>
                <w:rFonts w:hint="eastAsia" w:ascii="宋体" w:hAnsi="宋体" w:eastAsia="宋体" w:cs="宋体"/>
                <w:i w:val="0"/>
                <w:color w:val="000000"/>
                <w:sz w:val="21"/>
                <w:szCs w:val="21"/>
                <w:u w:val="none"/>
                <w:lang w:val="en-US" w:eastAsia="zh-CN"/>
              </w:rPr>
              <w:t>340</w:t>
            </w:r>
          </w:p>
        </w:tc>
        <w:tc>
          <w:tcPr>
            <w:tcW w:w="2524" w:type="dxa"/>
            <w:vAlign w:val="center"/>
          </w:tcPr>
          <w:p>
            <w:pPr>
              <w:ind w:left="0" w:leftChars="0" w:firstLine="0" w:firstLine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600*300mm</w:t>
            </w:r>
          </w:p>
          <w:p>
            <w:pPr>
              <w:ind w:left="0" w:leftChars="0" w:firstLine="0" w:firstLineChars="0"/>
              <w:jc w:val="center"/>
              <w:rPr>
                <w:rFonts w:hint="eastAsia"/>
                <w:szCs w:val="21"/>
              </w:rPr>
            </w:pPr>
            <w:r>
              <w:rPr>
                <w:rFonts w:hint="eastAsia" w:ascii="宋体" w:hAnsi="宋体" w:eastAsia="宋体" w:cs="宋体"/>
                <w:i w:val="0"/>
                <w:color w:val="000000"/>
                <w:sz w:val="21"/>
                <w:szCs w:val="21"/>
                <w:u w:val="none"/>
              </w:rPr>
              <w:t>外墙用砖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964" w:type="dxa"/>
            <w:vAlign w:val="center"/>
          </w:tcPr>
          <w:p>
            <w:pPr>
              <w:ind w:left="0" w:leftChars="0" w:firstLine="0" w:firstLineChars="0"/>
              <w:jc w:val="center"/>
              <w:rPr>
                <w:rFonts w:hint="eastAsia"/>
                <w:szCs w:val="21"/>
              </w:rPr>
            </w:pPr>
            <w:r>
              <w:rPr>
                <w:rFonts w:hint="default" w:ascii="宋体" w:hAnsi="宋体" w:eastAsia="宋体" w:cs="宋体"/>
                <w:i w:val="0"/>
                <w:color w:val="000000"/>
                <w:sz w:val="21"/>
                <w:szCs w:val="21"/>
                <w:u w:val="none"/>
                <w:lang w:val="en-US" w:eastAsia="zh-CN"/>
              </w:rPr>
              <w:t>灰色软性瓷面砖</w:t>
            </w:r>
          </w:p>
        </w:tc>
        <w:tc>
          <w:tcPr>
            <w:tcW w:w="852"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lang w:val="en-US" w:eastAsia="zh-CN"/>
              </w:rPr>
              <w:t>m2</w:t>
            </w:r>
          </w:p>
        </w:tc>
        <w:tc>
          <w:tcPr>
            <w:tcW w:w="2205" w:type="dxa"/>
            <w:vAlign w:val="center"/>
          </w:tcPr>
          <w:p>
            <w:pPr>
              <w:ind w:left="0" w:leftChars="0" w:firstLine="0" w:firstLineChars="0"/>
              <w:jc w:val="center"/>
              <w:rPr>
                <w:rFonts w:hint="default" w:eastAsia="宋体"/>
                <w:szCs w:val="21"/>
                <w:lang w:val="en-US" w:eastAsia="zh-CN"/>
              </w:rPr>
            </w:pPr>
            <w:r>
              <w:rPr>
                <w:rFonts w:hint="eastAsia" w:ascii="宋体" w:hAnsi="宋体" w:eastAsia="宋体" w:cs="宋体"/>
                <w:i w:val="0"/>
                <w:color w:val="000000"/>
                <w:sz w:val="21"/>
                <w:szCs w:val="21"/>
                <w:u w:val="none"/>
                <w:lang w:val="en-US" w:eastAsia="zh-CN"/>
              </w:rPr>
              <w:t>50</w:t>
            </w:r>
          </w:p>
        </w:tc>
        <w:tc>
          <w:tcPr>
            <w:tcW w:w="2524" w:type="dxa"/>
            <w:vAlign w:val="center"/>
          </w:tcPr>
          <w:p>
            <w:pPr>
              <w:ind w:left="0" w:leftChars="0" w:firstLine="0" w:firstLine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600*300mm</w:t>
            </w:r>
          </w:p>
          <w:p>
            <w:pPr>
              <w:ind w:left="0" w:leftChars="0" w:firstLine="0" w:firstLineChars="0"/>
              <w:jc w:val="center"/>
              <w:rPr>
                <w:rFonts w:hint="eastAsia"/>
                <w:szCs w:val="21"/>
              </w:rPr>
            </w:pPr>
            <w:r>
              <w:rPr>
                <w:rFonts w:hint="default" w:ascii="宋体" w:hAnsi="宋体" w:eastAsia="宋体" w:cs="宋体"/>
                <w:i w:val="0"/>
                <w:color w:val="000000"/>
                <w:sz w:val="21"/>
                <w:szCs w:val="21"/>
                <w:u w:val="none"/>
                <w:lang w:val="en-US" w:eastAsia="zh-CN"/>
              </w:rPr>
              <w:t>外墙用砖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964" w:type="dxa"/>
            <w:vAlign w:val="center"/>
          </w:tcPr>
          <w:p>
            <w:pPr>
              <w:ind w:left="0" w:leftChars="0" w:firstLine="0" w:firstLineChars="0"/>
              <w:jc w:val="center"/>
              <w:rPr>
                <w:rFonts w:hint="eastAsia"/>
                <w:szCs w:val="21"/>
              </w:rPr>
            </w:pPr>
            <w:r>
              <w:rPr>
                <w:rFonts w:hint="default" w:ascii="宋体" w:hAnsi="宋体" w:eastAsia="宋体" w:cs="宋体"/>
                <w:i w:val="0"/>
                <w:color w:val="000000"/>
                <w:sz w:val="21"/>
                <w:szCs w:val="21"/>
                <w:u w:val="none"/>
                <w:lang w:val="en-US" w:eastAsia="zh-CN"/>
              </w:rPr>
              <w:t>彩色人行道面砖</w:t>
            </w:r>
          </w:p>
        </w:tc>
        <w:tc>
          <w:tcPr>
            <w:tcW w:w="852"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lang w:val="en-US" w:eastAsia="zh-CN"/>
              </w:rPr>
              <w:t>m2</w:t>
            </w:r>
          </w:p>
        </w:tc>
        <w:tc>
          <w:tcPr>
            <w:tcW w:w="2205" w:type="dxa"/>
            <w:vAlign w:val="center"/>
          </w:tcPr>
          <w:p>
            <w:pPr>
              <w:ind w:left="0" w:leftChars="0" w:firstLine="0" w:firstLineChars="0"/>
              <w:jc w:val="center"/>
              <w:rPr>
                <w:rFonts w:hint="default" w:eastAsia="宋体"/>
                <w:szCs w:val="21"/>
                <w:lang w:val="en-US" w:eastAsia="zh-CN"/>
              </w:rPr>
            </w:pPr>
            <w:r>
              <w:rPr>
                <w:rFonts w:hint="eastAsia" w:ascii="宋体" w:hAnsi="宋体" w:eastAsia="宋体" w:cs="宋体"/>
                <w:i w:val="0"/>
                <w:color w:val="000000"/>
                <w:sz w:val="21"/>
                <w:szCs w:val="21"/>
                <w:u w:val="none"/>
                <w:lang w:val="en-US" w:eastAsia="zh-CN"/>
              </w:rPr>
              <w:t>300</w:t>
            </w:r>
          </w:p>
        </w:tc>
        <w:tc>
          <w:tcPr>
            <w:tcW w:w="2524" w:type="dxa"/>
            <w:vAlign w:val="center"/>
          </w:tcPr>
          <w:p>
            <w:pPr>
              <w:ind w:left="0" w:leftChars="0" w:firstLine="0" w:firstLineChars="0"/>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340mm*340mm*6mm</w:t>
            </w:r>
          </w:p>
          <w:p>
            <w:pPr>
              <w:ind w:left="0" w:leftChars="0" w:firstLine="0" w:firstLineChars="0"/>
              <w:jc w:val="center"/>
              <w:rPr>
                <w:rFonts w:hint="eastAsia"/>
                <w:szCs w:val="21"/>
              </w:rPr>
            </w:pPr>
            <w:r>
              <w:rPr>
                <w:rFonts w:hint="eastAsia" w:ascii="宋体" w:hAnsi="宋体" w:eastAsia="宋体" w:cs="宋体"/>
                <w:i w:val="0"/>
                <w:color w:val="000000"/>
                <w:sz w:val="21"/>
                <w:szCs w:val="21"/>
                <w:u w:val="none"/>
              </w:rPr>
              <w:t>地面广场用砖</w:t>
            </w:r>
          </w:p>
        </w:tc>
      </w:tr>
    </w:tbl>
    <w:p>
      <w:pPr>
        <w:spacing w:line="360" w:lineRule="exact"/>
        <w:ind w:firstLine="422" w:firstLineChars="200"/>
        <w:rPr>
          <w:b/>
          <w:bCs/>
          <w:szCs w:val="21"/>
        </w:rPr>
      </w:pPr>
      <w:r>
        <w:rPr>
          <w:rFonts w:hint="eastAsia"/>
          <w:b/>
          <w:bCs/>
          <w:szCs w:val="21"/>
        </w:rPr>
        <w:t>备注：（1）本次采购数量为暂估量，最终数量以实际结算数量为准且满足国家及行业的相关技术规范标准(具体规格型号以比选人实际要求为准)；本次采购各类材料</w:t>
      </w:r>
      <w:r>
        <w:rPr>
          <w:rFonts w:hint="eastAsia"/>
          <w:b/>
          <w:bCs/>
          <w:szCs w:val="21"/>
          <w:lang w:val="en-US" w:eastAsia="zh-CN"/>
        </w:rPr>
        <w:t>除外墙用砖和地面广场用砖外</w:t>
      </w:r>
      <w:r>
        <w:rPr>
          <w:rFonts w:hint="eastAsia"/>
          <w:b/>
          <w:bCs/>
          <w:szCs w:val="21"/>
        </w:rPr>
        <w:t>均要求为同一品牌</w:t>
      </w:r>
      <w:r>
        <w:rPr>
          <w:rFonts w:hint="eastAsia"/>
          <w:b/>
          <w:bCs/>
          <w:szCs w:val="21"/>
          <w:lang w:eastAsia="zh-CN"/>
        </w:rPr>
        <w:t>，</w:t>
      </w:r>
      <w:r>
        <w:rPr>
          <w:rFonts w:hint="eastAsia"/>
          <w:b/>
          <w:bCs/>
          <w:szCs w:val="21"/>
        </w:rPr>
        <w:t>各类材料的尺寸为暂定，需比选申请人现场测量并安装，实际供货尺寸以比选人实际要求为准。</w:t>
      </w:r>
    </w:p>
    <w:p>
      <w:pPr>
        <w:widowControl/>
        <w:numPr>
          <w:ilvl w:val="0"/>
          <w:numId w:val="2"/>
        </w:numPr>
        <w:spacing w:line="400" w:lineRule="exact"/>
        <w:ind w:firstLine="422" w:firstLineChars="200"/>
        <w:rPr>
          <w:rFonts w:hint="eastAsia"/>
          <w:b/>
          <w:bCs/>
          <w:szCs w:val="21"/>
        </w:rPr>
      </w:pPr>
      <w:r>
        <w:rPr>
          <w:rFonts w:hint="eastAsia"/>
          <w:b/>
          <w:bCs/>
          <w:szCs w:val="21"/>
        </w:rPr>
        <w:t>供货期：</w:t>
      </w:r>
      <w:r>
        <w:rPr>
          <w:rFonts w:hint="eastAsia"/>
          <w:b/>
          <w:bCs/>
          <w:szCs w:val="21"/>
          <w:highlight w:val="none"/>
        </w:rPr>
        <w:t>预计为2个月</w:t>
      </w:r>
      <w:r>
        <w:rPr>
          <w:rFonts w:hint="eastAsia"/>
          <w:b/>
          <w:bCs/>
          <w:szCs w:val="21"/>
        </w:rPr>
        <w:t>，具体以项目工期要求为准。</w:t>
      </w:r>
    </w:p>
    <w:p>
      <w:pPr>
        <w:widowControl/>
        <w:numPr>
          <w:ilvl w:val="0"/>
          <w:numId w:val="2"/>
        </w:numPr>
        <w:spacing w:line="400" w:lineRule="exact"/>
        <w:ind w:firstLine="422" w:firstLineChars="200"/>
        <w:rPr>
          <w:rFonts w:hint="eastAsia"/>
          <w:b/>
          <w:bCs/>
          <w:szCs w:val="21"/>
        </w:rPr>
      </w:pPr>
      <w:r>
        <w:rPr>
          <w:rFonts w:hint="eastAsia"/>
          <w:b/>
          <w:bCs/>
          <w:szCs w:val="21"/>
        </w:rPr>
        <w:t>供货地点：</w:t>
      </w:r>
      <w:r>
        <w:rPr>
          <w:rFonts w:hint="eastAsia"/>
          <w:b/>
          <w:bCs/>
          <w:szCs w:val="21"/>
          <w:highlight w:val="none"/>
        </w:rPr>
        <w:t>重庆市长寿区石堰镇</w:t>
      </w:r>
      <w:r>
        <w:rPr>
          <w:rFonts w:hint="eastAsia"/>
          <w:b/>
          <w:bCs/>
          <w:szCs w:val="21"/>
          <w:highlight w:val="none"/>
          <w:lang w:val="en-US" w:eastAsia="zh-CN"/>
        </w:rPr>
        <w:t>石堰收费站施工工地现场</w:t>
      </w:r>
      <w:del w:id="0" w:author="lenovo" w:date="2021-03-15T14:40:02Z">
        <w:r>
          <w:rPr>
            <w:rFonts w:hint="eastAsia"/>
            <w:b/>
            <w:bCs/>
            <w:szCs w:val="21"/>
          </w:rPr>
          <w:delText>石堰收费站施工工地现场</w:delText>
        </w:r>
      </w:del>
      <w:r>
        <w:rPr>
          <w:rFonts w:hint="eastAsia"/>
          <w:b/>
          <w:bCs/>
          <w:szCs w:val="21"/>
        </w:rPr>
        <w:t>。</w:t>
      </w:r>
    </w:p>
    <w:p>
      <w:pPr>
        <w:widowControl/>
        <w:numPr>
          <w:ilvl w:val="0"/>
          <w:numId w:val="2"/>
        </w:numPr>
        <w:spacing w:line="400" w:lineRule="exact"/>
        <w:ind w:firstLine="422" w:firstLineChars="200"/>
        <w:rPr>
          <w:rFonts w:hint="eastAsia"/>
          <w:b/>
          <w:bCs/>
          <w:szCs w:val="21"/>
        </w:rPr>
      </w:pPr>
      <w:r>
        <w:rPr>
          <w:b/>
          <w:bCs/>
          <w:szCs w:val="21"/>
        </w:rPr>
        <w:t>本次</w:t>
      </w:r>
      <w:r>
        <w:rPr>
          <w:rFonts w:hint="eastAsia"/>
          <w:b/>
          <w:bCs/>
          <w:szCs w:val="21"/>
        </w:rPr>
        <w:t>竞争性比选</w:t>
      </w:r>
      <w:r>
        <w:rPr>
          <w:b/>
          <w:bCs/>
          <w:szCs w:val="21"/>
        </w:rPr>
        <w:t>不接受联合体竞标，不允许分包和转包。</w:t>
      </w:r>
      <w:r>
        <w:rPr>
          <w:rFonts w:hint="eastAsia"/>
          <w:b/>
          <w:bCs/>
          <w:szCs w:val="21"/>
        </w:rPr>
        <w:t>本次比选为一个分包。</w:t>
      </w:r>
    </w:p>
    <w:p>
      <w:pPr>
        <w:spacing w:line="360" w:lineRule="exact"/>
        <w:rPr>
          <w:b/>
          <w:szCs w:val="21"/>
        </w:rPr>
      </w:pPr>
      <w:r>
        <w:rPr>
          <w:b/>
          <w:szCs w:val="21"/>
        </w:rPr>
        <w:t>二、</w:t>
      </w:r>
      <w:r>
        <w:rPr>
          <w:rFonts w:hint="eastAsia"/>
          <w:b/>
          <w:szCs w:val="21"/>
        </w:rPr>
        <w:t>比选申请人</w:t>
      </w:r>
      <w:r>
        <w:rPr>
          <w:b/>
          <w:szCs w:val="21"/>
        </w:rPr>
        <w:t>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ind w:firstLine="420" w:firstLineChars="200"/>
        <w:rPr>
          <w:rFonts w:hint="eastAsia"/>
          <w:szCs w:val="21"/>
        </w:rPr>
      </w:pPr>
      <w:bookmarkStart w:id="24" w:name="_Toc144974490"/>
      <w:bookmarkStart w:id="25" w:name="_Toc152045522"/>
      <w:bookmarkStart w:id="26" w:name="_Toc246996169"/>
      <w:bookmarkStart w:id="27" w:name="_Toc152042298"/>
      <w:bookmarkStart w:id="28" w:name="_Toc296602413"/>
      <w:bookmarkStart w:id="29" w:name="_Toc246996912"/>
      <w:bookmarkStart w:id="30" w:name="_Toc247085683"/>
      <w:bookmarkStart w:id="31" w:name="_Toc179632539"/>
      <w:r>
        <w:rPr>
          <w:rFonts w:hint="eastAsia"/>
          <w:szCs w:val="21"/>
        </w:rPr>
        <w:t>比选申请人须同时满足以下资格要求：</w:t>
      </w:r>
    </w:p>
    <w:p>
      <w:pPr>
        <w:ind w:firstLine="420" w:firstLineChars="200"/>
        <w:rPr>
          <w:szCs w:val="21"/>
          <w:highlight w:val="yellow"/>
        </w:rPr>
      </w:pPr>
      <w:r>
        <w:rPr>
          <w:rFonts w:hint="eastAsia"/>
          <w:szCs w:val="21"/>
        </w:rPr>
        <w:t>（1）资质要求：具有独立法人资格、有效的营业执照</w:t>
      </w:r>
      <w:r>
        <w:rPr>
          <w:rFonts w:hint="eastAsia"/>
          <w:szCs w:val="21"/>
          <w:highlight w:val="none"/>
        </w:rPr>
        <w:t>。</w:t>
      </w:r>
    </w:p>
    <w:p>
      <w:pPr>
        <w:spacing w:line="360" w:lineRule="exact"/>
        <w:rPr>
          <w:rFonts w:hint="eastAsia"/>
          <w:b/>
          <w:bCs/>
          <w:szCs w:val="21"/>
        </w:rPr>
      </w:pPr>
      <w:r>
        <w:rPr>
          <w:rFonts w:hint="eastAsia"/>
          <w:b/>
          <w:bCs/>
          <w:szCs w:val="21"/>
        </w:rPr>
        <w:t>（注：须提供营业执照的复印件或扫描件，并加盖比选申请人公章。）</w:t>
      </w:r>
    </w:p>
    <w:p>
      <w:pPr>
        <w:ind w:firstLine="420" w:firstLineChars="200"/>
        <w:rPr>
          <w:rFonts w:hint="eastAsia"/>
          <w:szCs w:val="21"/>
        </w:rPr>
      </w:pPr>
      <w:r>
        <w:rPr>
          <w:rFonts w:hint="eastAsia"/>
          <w:szCs w:val="21"/>
        </w:rPr>
        <w:t>（2）信誉要求：比选申请人在“信用中国”网站（http://www.creditchina.gov.cn/）中未被列入失信被惩戒对象。</w:t>
      </w:r>
    </w:p>
    <w:p>
      <w:pPr>
        <w:spacing w:line="360" w:lineRule="exact"/>
        <w:rPr>
          <w:rFonts w:hint="eastAsia"/>
          <w:b/>
          <w:bCs/>
          <w:szCs w:val="21"/>
        </w:rPr>
      </w:pPr>
      <w:r>
        <w:rPr>
          <w:rFonts w:hint="eastAsia"/>
          <w:b/>
          <w:bCs/>
          <w:szCs w:val="21"/>
        </w:rPr>
        <w:t>（注：须由比选申请人对信誉要求作出真实性承诺并附网页查询截图，并加盖比选申请人公章。）</w:t>
      </w:r>
    </w:p>
    <w:p>
      <w:pPr>
        <w:spacing w:line="360" w:lineRule="exact"/>
        <w:rPr>
          <w:b/>
          <w:szCs w:val="21"/>
        </w:rPr>
      </w:pPr>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rFonts w:hint="eastAsia"/>
          <w:szCs w:val="21"/>
        </w:rPr>
      </w:pPr>
      <w:r>
        <w:rPr>
          <w:rFonts w:hint="eastAsia"/>
          <w:szCs w:val="21"/>
        </w:rPr>
        <w:t>（1）竞标报价为</w:t>
      </w:r>
      <w:r>
        <w:rPr>
          <w:rFonts w:hint="eastAsia"/>
          <w:szCs w:val="21"/>
          <w:lang w:val="en-US" w:eastAsia="zh-CN"/>
        </w:rPr>
        <w:t>到场</w:t>
      </w:r>
      <w:r>
        <w:rPr>
          <w:rFonts w:hint="eastAsia"/>
          <w:szCs w:val="21"/>
        </w:rPr>
        <w:t>不含税固定综合单价。比选申请人应提供合法有效且符合比选人要求的增值税专用发票。因比选申请人开具的发票不规范、不合法或涉嫌虚开发票引起税务问题的，比选申请人需依法向比选人重新开具发票，并向比选人承担赔偿责任，包括但不限于税款、滞纳金、罚款及相关损失等。</w:t>
      </w:r>
    </w:p>
    <w:p>
      <w:pPr>
        <w:spacing w:line="360" w:lineRule="exact"/>
        <w:ind w:firstLine="420" w:firstLineChars="200"/>
        <w:outlineLvl w:val="0"/>
        <w:rPr>
          <w:rFonts w:hint="eastAsia"/>
          <w:szCs w:val="21"/>
        </w:rPr>
      </w:pPr>
      <w:r>
        <w:rPr>
          <w:rFonts w:hint="eastAsia"/>
          <w:szCs w:val="21"/>
        </w:rPr>
        <w:t>比选申请人应按照比选人要求，及时向比选人开具可以抵扣税款的增值税专用发票。因比选申请人开具发票不及时给比选人造成无法及时认证、抵扣发票等情形的，比选申请人需向比选人承担赔偿责任，包括但不限于税款、滞纳金、罚款及相关损失等。</w:t>
      </w:r>
    </w:p>
    <w:p>
      <w:pPr>
        <w:spacing w:line="360" w:lineRule="exact"/>
        <w:ind w:firstLine="420" w:firstLineChars="200"/>
        <w:outlineLvl w:val="0"/>
        <w:rPr>
          <w:rFonts w:hint="eastAsia"/>
          <w:szCs w:val="21"/>
        </w:rPr>
      </w:pPr>
      <w:r>
        <w:rPr>
          <w:rFonts w:hint="eastAsia"/>
          <w:szCs w:val="21"/>
        </w:rPr>
        <w:t>（2）报价表中的工程量为比选人暂估量，如实际工程量与暂估量有出入，则该出入部分工程量单价按签约合同单价计量。</w:t>
      </w:r>
    </w:p>
    <w:p>
      <w:pPr>
        <w:spacing w:line="360" w:lineRule="exact"/>
        <w:ind w:firstLine="420" w:firstLineChars="200"/>
        <w:outlineLvl w:val="0"/>
        <w:rPr>
          <w:rFonts w:hint="eastAsia"/>
          <w:szCs w:val="21"/>
          <w:highlight w:val="none"/>
        </w:rPr>
      </w:pPr>
      <w:r>
        <w:rPr>
          <w:rFonts w:hint="eastAsia"/>
          <w:szCs w:val="21"/>
        </w:rPr>
        <w:t>（3）本项目最高总限价为：</w:t>
      </w:r>
      <w:r>
        <w:rPr>
          <w:rFonts w:hint="eastAsia"/>
          <w:szCs w:val="21"/>
          <w:highlight w:val="none"/>
          <w:lang w:val="en-US" w:eastAsia="zh-CN"/>
        </w:rPr>
        <w:t>99880</w:t>
      </w:r>
      <w:r>
        <w:rPr>
          <w:rFonts w:hint="eastAsia"/>
          <w:szCs w:val="21"/>
          <w:highlight w:val="none"/>
        </w:rPr>
        <w:t>元（大写：玖万玖仟捌佰捌拾元整）</w:t>
      </w:r>
      <w:r>
        <w:rPr>
          <w:rFonts w:hint="eastAsia"/>
          <w:szCs w:val="21"/>
        </w:rPr>
        <w:t>，具体详见“竞争性比选申请文件格式（五、已标价报价清单）”</w:t>
      </w:r>
      <w:r>
        <w:rPr>
          <w:rFonts w:hint="eastAsia"/>
          <w:szCs w:val="21"/>
          <w:highlight w:val="none"/>
        </w:rPr>
        <w:t>。</w:t>
      </w:r>
    </w:p>
    <w:p>
      <w:pPr>
        <w:spacing w:line="360" w:lineRule="exact"/>
        <w:ind w:firstLine="420" w:firstLineChars="200"/>
        <w:outlineLvl w:val="0"/>
        <w:rPr>
          <w:rFonts w:hint="eastAsia"/>
          <w:szCs w:val="21"/>
        </w:rPr>
      </w:pPr>
      <w:r>
        <w:rPr>
          <w:rFonts w:hint="eastAsia"/>
          <w:szCs w:val="21"/>
        </w:rPr>
        <w:t>注：比选申请人的竞标总报价不得超过比选人公布的最高总限价，否则均为无效竞标。</w:t>
      </w:r>
    </w:p>
    <w:p>
      <w:pPr>
        <w:spacing w:line="360" w:lineRule="exact"/>
        <w:ind w:firstLine="420" w:firstLineChars="200"/>
        <w:rPr>
          <w:rFonts w:hint="eastAsia"/>
          <w:szCs w:val="21"/>
        </w:rPr>
      </w:pPr>
      <w:r>
        <w:rPr>
          <w:rFonts w:hint="eastAsia"/>
          <w:szCs w:val="21"/>
        </w:rPr>
        <w:t>2、供货相关要求：</w:t>
      </w:r>
    </w:p>
    <w:p>
      <w:pPr>
        <w:spacing w:line="360" w:lineRule="exact"/>
        <w:ind w:firstLine="420" w:firstLineChars="200"/>
        <w:rPr>
          <w:rFonts w:hint="eastAsia"/>
          <w:szCs w:val="21"/>
          <w:highlight w:val="none"/>
        </w:rPr>
      </w:pPr>
      <w:r>
        <w:rPr>
          <w:rFonts w:hint="eastAsia"/>
          <w:szCs w:val="21"/>
          <w:highlight w:val="none"/>
        </w:rPr>
        <w:t>（1）质量要求：</w:t>
      </w:r>
    </w:p>
    <w:p>
      <w:pPr>
        <w:numPr>
          <w:ilvl w:val="0"/>
          <w:numId w:val="0"/>
        </w:numPr>
        <w:spacing w:line="360" w:lineRule="exact"/>
        <w:ind w:firstLine="420" w:firstLineChars="200"/>
        <w:jc w:val="left"/>
        <w:rPr>
          <w:rFonts w:hint="eastAsia"/>
          <w:color w:val="auto"/>
          <w:szCs w:val="21"/>
          <w:highlight w:val="none"/>
        </w:rPr>
      </w:pPr>
      <w:r>
        <w:rPr>
          <w:rFonts w:hint="eastAsia" w:ascii="宋体" w:hAnsi="宋体" w:cs="宋体"/>
          <w:szCs w:val="21"/>
        </w:rPr>
        <w:t>供货墙地砖均要求为优等品，墙地砖及石材的尺寸和表面质量、物理性能、吸水率、破坏强度、断裂模数、耐磨性、线性热膨胀、抗热震性、有釉砖抗釉裂性、磨擦系数、热膨胀、小色差、抗冲击性、光泽度、化学性能、耐污染性、耐酸碱腐蚀性、耐化学腐蚀性、重金属溶出量等性能要求必须达到现行有关墙地砖、石材等材料的质量及性能要求应符合比选人的铺贴要求、施工设计图、国家、行业标准（包括但不限于《陶瓷砖（GB/T4100-2006）》、《GB/T3810陶瓷砖试验方法（第一至第十六部分）》、《建筑材料放射性核素限量（GB6566-2010）》、《镜面光泽度（GB/T13891-2008）》、《建筑地面工程施工质量验收规范（GB5209-2002）》、《建筑装饰装修工程质量及验收规范（GB50210-2001）》等）</w:t>
      </w:r>
      <w:r>
        <w:rPr>
          <w:rFonts w:hint="eastAsia"/>
          <w:szCs w:val="21"/>
        </w:rPr>
        <w:t>，且必须符合国家环境、职业健康安全方面的相关规定。上述材料送货到场时必须具有产品质量合格证及有资质的试验检测机构出具的试验检测报告，材料质量认定以比选人抽样检测或外委检测结果为准。产品外观质量要求几何尺寸一致、颜色统一。</w:t>
      </w:r>
      <w:r>
        <w:rPr>
          <w:rFonts w:hint="eastAsia"/>
          <w:color w:val="auto"/>
          <w:szCs w:val="21"/>
          <w:highlight w:val="none"/>
        </w:rPr>
        <w:t>因货物质量不符合国家、行业、施工设计图规定的以及本竞争性比选文件的相关标准而产生的一切后果责任由比选申请人承担；若由此而给比选人造成损失的，比选申请人应全额赔偿。</w:t>
      </w:r>
    </w:p>
    <w:p>
      <w:pPr>
        <w:spacing w:line="360" w:lineRule="exact"/>
        <w:ind w:firstLine="420" w:firstLineChars="200"/>
        <w:rPr>
          <w:szCs w:val="21"/>
        </w:rPr>
      </w:pPr>
      <w:r>
        <w:rPr>
          <w:rFonts w:hint="eastAsia"/>
          <w:szCs w:val="21"/>
        </w:rPr>
        <w:t>（2）材料运输：本竞争性比选文件约定的材料价格为比选人指定位置的到场单价，比选申请人须保证材料无损完好的运输至施工现场并承担破损更换的相应费用，材料运输（包括装卸及整齐堆放）的安全由比选申请人负责，因材料运输超限等引起的全部后果、责任均由比选申请人承担。比选申请人必须保证安全、及时供货，比选人不承担由此造成的安全责任及相应费用。</w:t>
      </w:r>
    </w:p>
    <w:p>
      <w:pPr>
        <w:spacing w:line="360" w:lineRule="exact"/>
        <w:ind w:firstLine="420" w:firstLineChars="200"/>
        <w:rPr>
          <w:rFonts w:hint="eastAsia"/>
          <w:szCs w:val="21"/>
          <w:highlight w:val="none"/>
        </w:rPr>
      </w:pPr>
      <w:r>
        <w:rPr>
          <w:rFonts w:hint="eastAsia"/>
          <w:szCs w:val="21"/>
        </w:rPr>
        <w:t>（3）供货时间：</w:t>
      </w:r>
      <w:r>
        <w:rPr>
          <w:rFonts w:hint="eastAsia"/>
          <w:szCs w:val="21"/>
          <w:highlight w:val="none"/>
        </w:rPr>
        <w:t>预计为2个月，具体以项目工期要求为准，比选申请人须保证比选人</w:t>
      </w:r>
      <w:r>
        <w:rPr>
          <w:rFonts w:hint="eastAsia"/>
          <w:szCs w:val="21"/>
          <w:highlight w:val="none"/>
          <w:lang w:val="en-US" w:eastAsia="zh-CN"/>
        </w:rPr>
        <w:t>墙地砖</w:t>
      </w:r>
      <w:r>
        <w:rPr>
          <w:rFonts w:hint="eastAsia"/>
          <w:szCs w:val="21"/>
          <w:highlight w:val="none"/>
        </w:rPr>
        <w:t>的</w:t>
      </w:r>
      <w:r>
        <w:rPr>
          <w:rFonts w:hint="eastAsia"/>
          <w:szCs w:val="21"/>
          <w:highlight w:val="none"/>
          <w:lang w:val="en-US" w:eastAsia="zh-CN"/>
        </w:rPr>
        <w:t>及时供应</w:t>
      </w:r>
      <w:r>
        <w:rPr>
          <w:rFonts w:hint="eastAsia"/>
          <w:szCs w:val="21"/>
          <w:highlight w:val="none"/>
        </w:rPr>
        <w:t>，比选人一般提前三天以电话（短信）通知计划用量。</w:t>
      </w:r>
    </w:p>
    <w:p>
      <w:pPr>
        <w:spacing w:line="360" w:lineRule="exact"/>
        <w:ind w:firstLine="420" w:firstLineChars="20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（4）品牌推荐：</w:t>
      </w:r>
      <w:r>
        <w:rPr>
          <w:rFonts w:hint="eastAsia" w:cs="Times New Roman"/>
          <w:kern w:val="2"/>
          <w:sz w:val="21"/>
          <w:szCs w:val="21"/>
          <w:lang w:val="en-US" w:eastAsia="zh-CN" w:bidi="ar-SA"/>
        </w:rPr>
        <w:t>斯奇、粤牌、拉斐尔、</w:t>
      </w:r>
      <w:r>
        <w:rPr>
          <w:rFonts w:hint="eastAsia" w:ascii="Times New Roman" w:hAnsi="Times New Roman" w:eastAsia="宋体" w:cs="Times New Roman"/>
          <w:kern w:val="2"/>
          <w:sz w:val="21"/>
          <w:szCs w:val="21"/>
          <w:lang w:val="en-US" w:eastAsia="zh-CN" w:bidi="ar-SA"/>
        </w:rPr>
        <w:t>诺贝尔、马可波罗、冠珠、东鹏、蒙娜丽莎、新中源、能强、斯米克、欧神诺、冠军、简一、金舵、宏陶、箭牌、强牌、宏宇、金意陶、依诺、亚细亚、欧神诺、鹰牌、萨米特、王者</w:t>
      </w:r>
      <w:r>
        <w:rPr>
          <w:rFonts w:hint="eastAsia"/>
          <w:szCs w:val="21"/>
        </w:rPr>
        <w:t>等同档次及以上品牌。</w:t>
      </w:r>
    </w:p>
    <w:p>
      <w:pPr>
        <w:spacing w:line="360" w:lineRule="exact"/>
        <w:ind w:firstLine="420" w:firstLineChars="200"/>
        <w:rPr>
          <w:szCs w:val="21"/>
        </w:rPr>
      </w:pPr>
      <w:r>
        <w:rPr>
          <w:rFonts w:hint="eastAsia"/>
          <w:szCs w:val="21"/>
        </w:rPr>
        <w:t>3、</w:t>
      </w:r>
      <w:r>
        <w:rPr>
          <w:szCs w:val="21"/>
        </w:rPr>
        <w:t>本次</w:t>
      </w:r>
      <w:r>
        <w:rPr>
          <w:rFonts w:hint="eastAsia"/>
          <w:szCs w:val="21"/>
        </w:rPr>
        <w:t>竞争性比选申请</w:t>
      </w:r>
      <w:r>
        <w:rPr>
          <w:szCs w:val="21"/>
        </w:rPr>
        <w:t>文件的组成：</w:t>
      </w:r>
    </w:p>
    <w:p>
      <w:pPr>
        <w:spacing w:line="360" w:lineRule="exact"/>
        <w:ind w:firstLine="420" w:firstLineChars="200"/>
        <w:rPr>
          <w:rFonts w:hint="eastAsia"/>
          <w:szCs w:val="21"/>
        </w:rPr>
      </w:pPr>
      <w:r>
        <w:rPr>
          <w:rFonts w:hint="eastAsia"/>
          <w:szCs w:val="21"/>
        </w:rPr>
        <w:t>①报价书；</w:t>
      </w:r>
    </w:p>
    <w:p>
      <w:pPr>
        <w:spacing w:line="360" w:lineRule="exact"/>
        <w:ind w:firstLine="420" w:firstLineChars="200"/>
        <w:rPr>
          <w:rFonts w:hint="eastAsia"/>
          <w:szCs w:val="21"/>
        </w:rPr>
      </w:pPr>
      <w:r>
        <w:rPr>
          <w:rFonts w:hint="eastAsia"/>
          <w:szCs w:val="21"/>
        </w:rPr>
        <w:t>②法定代表人身份证明及授权委托书；</w:t>
      </w:r>
    </w:p>
    <w:p>
      <w:pPr>
        <w:spacing w:line="360" w:lineRule="exact"/>
        <w:ind w:firstLine="420" w:firstLineChars="200"/>
        <w:rPr>
          <w:rFonts w:hint="eastAsia"/>
          <w:szCs w:val="21"/>
        </w:rPr>
      </w:pPr>
      <w:r>
        <w:rPr>
          <w:rFonts w:hint="eastAsia"/>
          <w:szCs w:val="21"/>
        </w:rPr>
        <w:t>③比选申请单位有效的营业执照；</w:t>
      </w:r>
    </w:p>
    <w:p>
      <w:pPr>
        <w:spacing w:line="360" w:lineRule="exact"/>
        <w:ind w:firstLine="420" w:firstLineChars="200"/>
        <w:rPr>
          <w:rFonts w:hint="eastAsia"/>
          <w:szCs w:val="21"/>
        </w:rPr>
      </w:pPr>
      <w:r>
        <w:rPr>
          <w:rFonts w:hint="eastAsia"/>
          <w:szCs w:val="21"/>
        </w:rPr>
        <w:t>④比选申请单位自行承诺部分。</w:t>
      </w:r>
    </w:p>
    <w:p>
      <w:pPr>
        <w:spacing w:line="360" w:lineRule="exact"/>
        <w:ind w:firstLine="422" w:firstLineChars="200"/>
        <w:rPr>
          <w:rFonts w:hint="eastAsia"/>
          <w:b/>
          <w:bCs/>
          <w:szCs w:val="21"/>
        </w:rPr>
      </w:pPr>
      <w:r>
        <w:rPr>
          <w:rFonts w:hint="eastAsia"/>
          <w:b/>
          <w:bCs/>
          <w:szCs w:val="21"/>
        </w:rPr>
        <w:t>（注：以上所有文件均须比选申请单位法定代表人或其授权代理人签署并加盖单位公章）</w:t>
      </w:r>
    </w:p>
    <w:p>
      <w:pPr>
        <w:spacing w:line="360" w:lineRule="exact"/>
        <w:ind w:firstLine="420" w:firstLineChars="200"/>
        <w:rPr>
          <w:rFonts w:hint="eastAsia"/>
          <w:szCs w:val="21"/>
        </w:rPr>
      </w:pPr>
      <w:r>
        <w:rPr>
          <w:szCs w:val="21"/>
        </w:rPr>
        <w:t>4</w:t>
      </w:r>
      <w:r>
        <w:rPr>
          <w:rFonts w:hint="eastAsia"/>
          <w:szCs w:val="21"/>
        </w:rPr>
        <w:t>、比选申请</w:t>
      </w:r>
      <w:r>
        <w:rPr>
          <w:szCs w:val="21"/>
        </w:rPr>
        <w:t>文件的份数及编制要求</w:t>
      </w:r>
      <w:r>
        <w:rPr>
          <w:rFonts w:hint="eastAsia"/>
          <w:szCs w:val="21"/>
        </w:rPr>
        <w:t>：</w:t>
      </w:r>
    </w:p>
    <w:p>
      <w:pPr>
        <w:spacing w:line="360" w:lineRule="exact"/>
        <w:ind w:firstLine="420" w:firstLineChars="200"/>
        <w:rPr>
          <w:rFonts w:hint="eastAsia"/>
        </w:rPr>
      </w:pPr>
      <w:r>
        <w:rPr>
          <w:rFonts w:hint="eastAsia"/>
          <w:szCs w:val="21"/>
        </w:rPr>
        <w:t>竞争性比选申请文件2份（正本1份、副本1份，副本可为正本的复印件），竞争性比选申请文件按竞争性比选文件中规定格式排版。</w:t>
      </w:r>
    </w:p>
    <w:p>
      <w:pPr>
        <w:numPr>
          <w:ilvl w:val="0"/>
          <w:numId w:val="3"/>
        </w:numPr>
        <w:spacing w:line="360" w:lineRule="auto"/>
        <w:rPr>
          <w:rFonts w:hint="eastAsia" w:ascii="宋体" w:hAnsi="宋体" w:cs="宋体"/>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p>
    <w:p>
      <w:pPr>
        <w:spacing w:line="360" w:lineRule="exact"/>
        <w:ind w:firstLine="420" w:firstLineChars="200"/>
        <w:rPr>
          <w:rFonts w:hint="eastAsia"/>
        </w:rPr>
      </w:pPr>
      <w:r>
        <w:rPr>
          <w:rFonts w:hint="eastAsia"/>
          <w:bCs/>
          <w:szCs w:val="21"/>
        </w:rPr>
        <w:t>本</w:t>
      </w:r>
      <w:r>
        <w:rPr>
          <w:rFonts w:hint="eastAsia" w:ascii="宋体" w:hAnsi="宋体" w:cs="宋体"/>
          <w:bCs/>
          <w:szCs w:val="21"/>
        </w:rPr>
        <w:t>项</w:t>
      </w:r>
      <w:r>
        <w:rPr>
          <w:rFonts w:hint="eastAsia" w:ascii="宋体" w:hAnsi="宋体" w:cs="宋体"/>
          <w:szCs w:val="21"/>
        </w:rPr>
        <w:t>目采用经评审的最低投标价法，评标委员会按本项目总报价由低到高的顺序进行评审。</w:t>
      </w:r>
      <w:r>
        <w:rPr>
          <w:rFonts w:hint="eastAsia" w:ascii="宋体" w:hAnsi="宋体" w:cs="宋体"/>
          <w:szCs w:val="21"/>
          <w:lang w:val="en-US" w:eastAsia="zh-CN"/>
        </w:rPr>
        <w:t>若最低价相同，则进行第二轮报价。</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hint="eastAsia" w:ascii="宋体" w:hAnsi="宋体" w:cs="宋体"/>
          <w:szCs w:val="21"/>
        </w:rPr>
      </w:pPr>
      <w:r>
        <w:rPr>
          <w:rFonts w:hint="eastAsia" w:ascii="宋体" w:hAnsi="宋体" w:cs="宋体"/>
          <w:szCs w:val="21"/>
        </w:rPr>
        <w:t>（一）竞争性比选文件获取方式：凡愿意参加的潜在比选申请人，从文件挂网起至竞争性比选申请文件递交截止时间前，详见重庆高速集团官网（</w:t>
      </w:r>
      <w:bookmarkStart w:id="32" w:name="OLE_LINK1"/>
      <w:r>
        <w:rPr>
          <w:rFonts w:hint="eastAsia" w:ascii="宋体" w:hAnsi="宋体" w:cs="宋体"/>
          <w:szCs w:val="21"/>
        </w:rPr>
        <w:t>http://www.cegc.com.cn/gw/newsInfoMenu.html?id=42&amp;key=2</w:t>
      </w:r>
      <w:bookmarkEnd w:id="32"/>
      <w:r>
        <w:rPr>
          <w:rFonts w:hint="eastAsia" w:ascii="宋体" w:hAnsi="宋体" w:cs="宋体"/>
          <w:szCs w:val="21"/>
        </w:rPr>
        <w:t>）、重庆高速公路集团有限公司招投标管理平台（</w:t>
      </w:r>
      <w:bookmarkStart w:id="33" w:name="OLE_LINK2"/>
      <w:r>
        <w:rPr>
          <w:rFonts w:hint="eastAsia" w:ascii="宋体" w:hAnsi="宋体" w:cs="宋体"/>
          <w:szCs w:val="21"/>
        </w:rPr>
        <w:t>http://43.240.249.108:8088/PMS/</w:t>
      </w:r>
      <w:bookmarkEnd w:id="33"/>
      <w:r>
        <w:rPr>
          <w:rFonts w:hint="eastAsia" w:ascii="宋体" w:hAnsi="宋体" w:cs="宋体"/>
          <w:szCs w:val="21"/>
        </w:rPr>
        <w:t>）上发布的本项目竞争性比选公告中的获取方式（链接）自行下载。在重庆高速集团官网（http://www.cegc.com.cn/gw/newsInfoMenu.html?id=42&amp;key=2）、重庆高速公路集团有限公司招投标管理平台（http://43.240.249.108:8088/PMS/）下载本项目的竞争性比选文件及有关附件（若有）。不管比选申请人是否下载，均视为已知晓竞争性比选文件的全部内容和有关事宜。本项目不需要报名，直接投标</w:t>
      </w:r>
      <w:ins w:id="1" w:author="lenovo" w:date="2021-03-15T14:40:02Z">
        <w:r>
          <w:rPr>
            <w:rFonts w:hint="eastAsia" w:ascii="宋体" w:hAnsi="宋体" w:cs="宋体"/>
            <w:szCs w:val="21"/>
          </w:rPr>
          <w:t xml:space="preserve"> </w:t>
        </w:r>
      </w:ins>
      <w:r>
        <w:rPr>
          <w:rFonts w:hint="eastAsia" w:ascii="宋体" w:hAnsi="宋体" w:cs="宋体"/>
          <w:szCs w:val="21"/>
        </w:rPr>
        <w:t>。</w:t>
      </w:r>
    </w:p>
    <w:p>
      <w:pPr>
        <w:spacing w:line="360" w:lineRule="exact"/>
        <w:ind w:firstLine="420" w:firstLineChars="200"/>
        <w:rPr>
          <w:rFonts w:hint="eastAsia" w:ascii="宋体" w:hAnsi="宋体" w:cs="宋体"/>
          <w:szCs w:val="21"/>
        </w:rPr>
      </w:pPr>
      <w:r>
        <w:rPr>
          <w:rFonts w:hint="eastAsia" w:ascii="宋体" w:hAnsi="宋体" w:cs="宋体"/>
          <w:szCs w:val="21"/>
        </w:rPr>
        <w:t>（二）竞争性比选公告及结果公示将在重庆高速集团官网（http://www.cegc.com.cn/gw/newsInfoMenu.html?id=42&amp;key=2）、重庆高速公路集团有限公司招投标管理平台（http://43.240.249.108:8088/PMS/）上发布。</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rPr>
        <w:t>（三）竞争性比选申请文件递交截止地点：</w:t>
      </w:r>
      <w:r>
        <w:rPr>
          <w:rFonts w:hint="eastAsia" w:ascii="宋体" w:hAnsi="宋体" w:cs="宋体"/>
          <w:szCs w:val="21"/>
          <w:highlight w:val="none"/>
        </w:rPr>
        <w:t>重庆通力高速公路养护工程有限公司</w:t>
      </w:r>
      <w:del w:id="2" w:author="lenovo" w:date="2021-03-15T14:40:02Z">
        <w:r>
          <w:rPr>
            <w:rFonts w:hint="eastAsia" w:ascii="宋体" w:hAnsi="宋体" w:cs="宋体"/>
            <w:color w:val="FF0000"/>
            <w:szCs w:val="21"/>
          </w:rPr>
          <w:delText>3楼</w:delText>
        </w:r>
      </w:del>
      <w:ins w:id="3" w:author="lenovo" w:date="2021-03-15T14:40:02Z">
        <w:r>
          <w:rPr>
            <w:rFonts w:hint="eastAsia" w:ascii="宋体" w:hAnsi="宋体" w:cs="宋体"/>
            <w:szCs w:val="21"/>
            <w:highlight w:val="none"/>
          </w:rPr>
          <w:t>314办公室</w:t>
        </w:r>
      </w:ins>
      <w:r>
        <w:rPr>
          <w:rFonts w:hint="eastAsia" w:ascii="宋体" w:hAnsi="宋体" w:cs="宋体"/>
          <w:szCs w:val="21"/>
          <w:highlight w:val="none"/>
        </w:rPr>
        <w:t>（重庆市渝北区新南路52号）。</w:t>
      </w:r>
    </w:p>
    <w:p>
      <w:pPr>
        <w:spacing w:line="360" w:lineRule="exact"/>
        <w:ind w:firstLine="420" w:firstLineChars="200"/>
        <w:rPr>
          <w:rFonts w:hint="eastAsia" w:ascii="宋体" w:hAnsi="宋体" w:cs="宋体"/>
          <w:szCs w:val="21"/>
        </w:rPr>
      </w:pPr>
      <w:r>
        <w:rPr>
          <w:rFonts w:hint="eastAsia" w:ascii="宋体" w:hAnsi="宋体" w:cs="宋体"/>
          <w:szCs w:val="21"/>
        </w:rPr>
        <w:t>（四）竞争性比选申请文件递交截止时间：</w:t>
      </w:r>
      <w:r>
        <w:rPr>
          <w:rFonts w:hint="eastAsia" w:ascii="宋体" w:hAnsi="宋体" w:cs="宋体"/>
          <w:szCs w:val="21"/>
          <w:highlight w:val="none"/>
        </w:rPr>
        <w:t>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u w:val="single"/>
          <w:lang w:val="en-US" w:eastAsia="zh-CN"/>
        </w:rPr>
        <w:t>4</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23</w:t>
      </w:r>
      <w:r>
        <w:rPr>
          <w:rFonts w:hint="eastAsia" w:ascii="宋体" w:hAnsi="宋体" w:cs="宋体"/>
          <w:szCs w:val="21"/>
          <w:highlight w:val="none"/>
          <w:u w:val="single"/>
        </w:rPr>
        <w:t xml:space="preserve"> </w:t>
      </w:r>
      <w:r>
        <w:rPr>
          <w:rFonts w:hint="eastAsia" w:ascii="宋体" w:hAnsi="宋体" w:cs="宋体"/>
          <w:szCs w:val="21"/>
          <w:highlight w:val="none"/>
        </w:rPr>
        <w:t>日下午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14</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00</w:t>
      </w:r>
      <w:r>
        <w:rPr>
          <w:rFonts w:hint="eastAsia" w:ascii="宋体" w:hAnsi="宋体" w:cs="宋体"/>
          <w:szCs w:val="21"/>
          <w:highlight w:val="none"/>
          <w:u w:val="single"/>
        </w:rPr>
        <w:t xml:space="preserve"> </w:t>
      </w:r>
      <w:r>
        <w:rPr>
          <w:rFonts w:hint="eastAsia" w:ascii="宋体" w:hAnsi="宋体" w:cs="宋体"/>
          <w:szCs w:val="21"/>
          <w:highlight w:val="none"/>
        </w:rPr>
        <w:t>分。</w:t>
      </w:r>
    </w:p>
    <w:p>
      <w:pPr>
        <w:spacing w:line="360" w:lineRule="exact"/>
        <w:ind w:firstLine="630" w:firstLineChars="300"/>
        <w:rPr>
          <w:del w:id="4" w:author="lenovo" w:date="2021-03-15T14:40:02Z"/>
          <w:rFonts w:hint="eastAsia" w:ascii="宋体" w:hAnsi="宋体" w:cs="宋体"/>
          <w:szCs w:val="21"/>
        </w:rPr>
      </w:pPr>
      <w:del w:id="5" w:author="lenovo" w:date="2021-03-15T14:40:02Z">
        <w:r>
          <w:rPr>
            <w:rFonts w:hint="eastAsia" w:ascii="宋体" w:hAnsi="宋体" w:cs="宋体"/>
            <w:szCs w:val="21"/>
          </w:rPr>
          <w:delText>竞争性比选文件编制工本费每套</w:delText>
        </w:r>
      </w:del>
      <w:del w:id="6" w:author="lenovo" w:date="2021-03-15T14:40:02Z">
        <w:r>
          <w:rPr>
            <w:rFonts w:ascii="宋体" w:hAnsi="宋体" w:cs="宋体"/>
            <w:szCs w:val="21"/>
          </w:rPr>
          <w:delText>200</w:delText>
        </w:r>
      </w:del>
      <w:del w:id="7" w:author="lenovo" w:date="2021-03-15T14:40:02Z">
        <w:r>
          <w:rPr>
            <w:rFonts w:hint="eastAsia" w:ascii="宋体" w:hAnsi="宋体" w:cs="宋体"/>
            <w:szCs w:val="21"/>
          </w:rPr>
          <w:delText>元，一律现金支付，售后不退。比选申请人在递交竞争性比选申请文件时，向代理公司支付竞争性比选文件制作工本费后，方能提交竞争性比选申请文件。否则，比选人将拒收其竞争性比选申请文件。</w:delText>
        </w:r>
      </w:del>
    </w:p>
    <w:p>
      <w:pPr>
        <w:numPr>
          <w:ilvl w:val="0"/>
          <w:numId w:val="4"/>
        </w:numPr>
        <w:spacing w:line="360" w:lineRule="exact"/>
        <w:ind w:firstLine="420" w:firstLineChars="200"/>
        <w:rPr>
          <w:rFonts w:hint="eastAsia"/>
        </w:rPr>
      </w:pPr>
      <w:r>
        <w:rPr>
          <w:rFonts w:hint="eastAsia" w:ascii="宋体" w:hAnsi="宋体" w:cs="宋体"/>
          <w:szCs w:val="21"/>
        </w:rPr>
        <w:t>各比选申请人应根据本次竞争性比选的具体要求，编制规范的竞争性比选申请文件（竞争性比选申请文件，要求填写规范，密封完好并在封口处加盖公章或签字，所有竞争性比选申请文件均只能作一次性提交，提交后不得更改）。</w:t>
      </w:r>
    </w:p>
    <w:p>
      <w:pPr>
        <w:numPr>
          <w:ilvl w:val="0"/>
          <w:numId w:val="4"/>
        </w:numPr>
        <w:spacing w:line="360" w:lineRule="exact"/>
        <w:ind w:firstLine="420" w:firstLineChars="200"/>
        <w:rPr>
          <w:rFonts w:hint="eastAsia" w:ascii="宋体" w:hAnsi="宋体" w:cs="宋体"/>
          <w:szCs w:val="21"/>
        </w:rPr>
      </w:pPr>
      <w:r>
        <w:rPr>
          <w:rFonts w:hint="eastAsia" w:ascii="宋体" w:hAnsi="宋体" w:cs="宋体"/>
          <w:szCs w:val="21"/>
          <w:lang w:val="en-US" w:eastAsia="zh-CN"/>
        </w:rPr>
        <w:t>比选申请人未到场要求：</w:t>
      </w:r>
    </w:p>
    <w:p>
      <w:pPr>
        <w:numPr>
          <w:ilvl w:val="0"/>
          <w:numId w:val="0"/>
        </w:numPr>
        <w:spacing w:line="360" w:lineRule="exact"/>
        <w:ind w:firstLine="420" w:firstLineChars="200"/>
        <w:rPr>
          <w:rFonts w:hint="eastAsia" w:ascii="宋体" w:hAnsi="宋体" w:cs="宋体"/>
          <w:szCs w:val="21"/>
        </w:rPr>
      </w:pPr>
      <w:r>
        <w:rPr>
          <w:rFonts w:hint="eastAsia" w:ascii="宋体" w:hAnsi="宋体" w:cs="宋体"/>
          <w:szCs w:val="21"/>
          <w:lang w:val="en-US" w:eastAsia="zh-CN"/>
        </w:rPr>
        <w:t>比选申请人因自身原因或其他特殊情况等不能到场开标，可通过其他方式在投标截止日前递交标书进行报名。不到场参与开标，视为比选申请人默认开标过程及开标结果。</w:t>
      </w:r>
    </w:p>
    <w:p>
      <w:pPr>
        <w:numPr>
          <w:ilvl w:val="0"/>
          <w:numId w:val="4"/>
        </w:numPr>
        <w:spacing w:line="360" w:lineRule="exact"/>
        <w:ind w:firstLine="420" w:firstLineChars="200"/>
        <w:rPr>
          <w:rFonts w:hint="eastAsia" w:ascii="宋体" w:hAnsi="宋体" w:cs="宋体"/>
          <w:szCs w:val="21"/>
        </w:rPr>
      </w:pPr>
      <w:r>
        <w:rPr>
          <w:rFonts w:hint="eastAsia" w:ascii="宋体" w:hAnsi="宋体" w:cs="宋体"/>
          <w:szCs w:val="21"/>
        </w:rPr>
        <w:t>密封要求：</w:t>
      </w:r>
    </w:p>
    <w:p>
      <w:pPr>
        <w:spacing w:line="360" w:lineRule="exact"/>
        <w:ind w:firstLine="420" w:firstLineChars="200"/>
        <w:rPr>
          <w:rFonts w:hint="eastAsia" w:ascii="宋体" w:hAnsi="宋体" w:cs="宋体"/>
          <w:szCs w:val="21"/>
        </w:rPr>
      </w:pPr>
      <w:r>
        <w:rPr>
          <w:rFonts w:hint="eastAsia" w:ascii="宋体" w:hAnsi="宋体" w:cs="宋体"/>
          <w:szCs w:val="21"/>
        </w:rPr>
        <w:t>按第五条要求制作的竞争性比选申请文件，将竞争性比选申请文件密封到一个封套中，再在封套上写明：</w:t>
      </w:r>
    </w:p>
    <w:p>
      <w:pPr>
        <w:spacing w:line="360" w:lineRule="exact"/>
        <w:ind w:firstLine="420" w:firstLineChars="200"/>
        <w:jc w:val="center"/>
        <w:rPr>
          <w:rFonts w:hint="eastAsia" w:ascii="宋体" w:hAnsi="宋体" w:cs="宋体"/>
          <w:szCs w:val="21"/>
          <w:u w:val="single"/>
        </w:rPr>
      </w:pPr>
    </w:p>
    <w:p>
      <w:pPr>
        <w:pStyle w:val="2"/>
        <w:rPr>
          <w:rFonts w:hint="eastAsia" w:ascii="宋体" w:hAnsi="宋体" w:cs="宋体"/>
          <w:szCs w:val="21"/>
          <w:u w:val="single"/>
        </w:rPr>
      </w:pPr>
    </w:p>
    <w:p>
      <w:pPr>
        <w:pStyle w:val="2"/>
        <w:rPr>
          <w:rFonts w:hint="eastAsia" w:ascii="宋体" w:hAnsi="宋体" w:cs="宋体"/>
          <w:szCs w:val="21"/>
          <w:u w:val="single"/>
        </w:rPr>
      </w:pPr>
    </w:p>
    <w:p>
      <w:pPr>
        <w:spacing w:line="360" w:lineRule="exact"/>
        <w:ind w:firstLine="420" w:firstLineChars="200"/>
        <w:jc w:val="center"/>
        <w:rPr>
          <w:rFonts w:hint="eastAsia" w:ascii="宋体" w:hAnsi="宋体" w:cs="宋体"/>
          <w:szCs w:val="21"/>
          <w:u w:val="single"/>
          <w:lang w:val="en-US" w:eastAsia="zh-CN"/>
        </w:rPr>
      </w:pPr>
      <w:r>
        <w:rPr>
          <w:rFonts w:hint="eastAsia" w:ascii="宋体" w:hAnsi="宋体" w:cs="宋体"/>
          <w:szCs w:val="21"/>
          <w:u w:val="single"/>
        </w:rPr>
        <w:t>重庆通力高速公路养护工程有限公司</w:t>
      </w:r>
      <w:r>
        <w:rPr>
          <w:rFonts w:hint="eastAsia" w:ascii="宋体" w:hAnsi="宋体" w:cs="宋体"/>
          <w:szCs w:val="21"/>
          <w:u w:val="single"/>
          <w:lang w:val="en-US" w:eastAsia="zh-CN"/>
        </w:rPr>
        <w:t>渝宜高速公路长寿区石堰互通立交工程</w:t>
      </w:r>
    </w:p>
    <w:p>
      <w:pPr>
        <w:spacing w:line="360" w:lineRule="exact"/>
        <w:ind w:firstLine="420" w:firstLineChars="200"/>
        <w:jc w:val="center"/>
        <w:rPr>
          <w:rFonts w:hint="eastAsia" w:ascii="宋体" w:hAnsi="宋体" w:cs="宋体"/>
          <w:szCs w:val="21"/>
          <w:u w:val="single"/>
        </w:rPr>
      </w:pPr>
      <w:r>
        <w:rPr>
          <w:rFonts w:hint="eastAsia" w:ascii="宋体" w:hAnsi="宋体" w:cs="宋体"/>
          <w:szCs w:val="21"/>
          <w:u w:val="single"/>
          <w:lang w:val="en-US" w:eastAsia="zh-CN"/>
        </w:rPr>
        <w:t>房屋建筑墙地砖</w:t>
      </w:r>
      <w:r>
        <w:rPr>
          <w:rFonts w:hint="eastAsia" w:ascii="宋体" w:hAnsi="宋体" w:cs="宋体"/>
          <w:szCs w:val="21"/>
          <w:u w:val="single"/>
        </w:rPr>
        <w:t>采购竞争性比选申请文件</w:t>
      </w:r>
    </w:p>
    <w:p>
      <w:pPr>
        <w:spacing w:line="360" w:lineRule="exact"/>
        <w:ind w:firstLine="420" w:firstLineChars="200"/>
        <w:jc w:val="center"/>
        <w:rPr>
          <w:rFonts w:hint="eastAsia" w:ascii="宋体" w:hAnsi="宋体" w:cs="宋体"/>
          <w:b/>
          <w:szCs w:val="21"/>
          <w:highlight w:val="none"/>
        </w:rPr>
      </w:pPr>
      <w:r>
        <w:rPr>
          <w:rFonts w:hint="eastAsia" w:ascii="宋体" w:hAnsi="宋体" w:cs="宋体"/>
          <w:szCs w:val="21"/>
          <w:highlight w:val="none"/>
          <w:u w:val="single"/>
        </w:rPr>
        <w:t>在202</w:t>
      </w:r>
      <w:r>
        <w:rPr>
          <w:rFonts w:hint="eastAsia" w:ascii="宋体" w:hAnsi="宋体" w:cs="宋体"/>
          <w:szCs w:val="21"/>
          <w:highlight w:val="none"/>
          <w:u w:val="single"/>
          <w:lang w:val="en-US" w:eastAsia="zh-CN"/>
        </w:rPr>
        <w:t>1</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4</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 xml:space="preserve"> 23 </w:t>
      </w:r>
      <w:r>
        <w:rPr>
          <w:rFonts w:hint="eastAsia" w:ascii="宋体" w:hAnsi="宋体" w:cs="宋体"/>
          <w:szCs w:val="21"/>
          <w:highlight w:val="none"/>
          <w:u w:val="single"/>
        </w:rPr>
        <w:t xml:space="preserve">日下午 </w:t>
      </w:r>
      <w:r>
        <w:rPr>
          <w:rFonts w:hint="eastAsia" w:ascii="宋体" w:hAnsi="宋体" w:cs="宋体"/>
          <w:szCs w:val="21"/>
          <w:highlight w:val="none"/>
          <w:u w:val="single"/>
          <w:lang w:val="en-US" w:eastAsia="zh-CN"/>
        </w:rPr>
        <w:t>14</w:t>
      </w:r>
      <w:r>
        <w:rPr>
          <w:rFonts w:ascii="宋体" w:hAnsi="宋体" w:cs="宋体"/>
          <w:szCs w:val="21"/>
          <w:highlight w:val="none"/>
          <w:u w:val="single"/>
        </w:rPr>
        <w:t xml:space="preserve"> </w:t>
      </w:r>
      <w:r>
        <w:rPr>
          <w:rFonts w:hint="eastAsia" w:ascii="宋体" w:hAnsi="宋体" w:cs="宋体"/>
          <w:szCs w:val="21"/>
          <w:highlight w:val="none"/>
          <w:u w:val="single"/>
        </w:rPr>
        <w:t xml:space="preserve">时 </w:t>
      </w:r>
      <w:r>
        <w:rPr>
          <w:rFonts w:hint="eastAsia" w:ascii="宋体" w:hAnsi="宋体" w:cs="宋体"/>
          <w:szCs w:val="21"/>
          <w:highlight w:val="none"/>
          <w:u w:val="single"/>
          <w:lang w:val="en-US" w:eastAsia="zh-CN"/>
        </w:rPr>
        <w:t>00</w:t>
      </w:r>
      <w:r>
        <w:rPr>
          <w:rFonts w:hint="eastAsia" w:ascii="宋体" w:hAnsi="宋体" w:cs="宋体"/>
          <w:szCs w:val="21"/>
          <w:highlight w:val="none"/>
          <w:u w:val="single"/>
        </w:rPr>
        <w:t xml:space="preserve"> 分前不得开启</w:t>
      </w:r>
    </w:p>
    <w:p>
      <w:pPr>
        <w:spacing w:line="360" w:lineRule="exact"/>
        <w:ind w:firstLine="420" w:firstLineChars="200"/>
        <w:jc w:val="left"/>
        <w:rPr>
          <w:rFonts w:hint="eastAsia" w:ascii="宋体" w:hAnsi="宋体" w:cs="宋体"/>
          <w:szCs w:val="21"/>
        </w:rPr>
      </w:pPr>
    </w:p>
    <w:p>
      <w:pPr>
        <w:spacing w:line="360" w:lineRule="exact"/>
        <w:ind w:firstLine="420" w:firstLineChars="200"/>
        <w:rPr>
          <w:rFonts w:hint="eastAsia"/>
          <w:szCs w:val="21"/>
        </w:rPr>
      </w:pPr>
      <w:r>
        <w:rPr>
          <w:rFonts w:hint="eastAsia"/>
          <w:szCs w:val="21"/>
        </w:rPr>
        <w:t>（</w:t>
      </w:r>
      <w:r>
        <w:rPr>
          <w:rFonts w:hint="eastAsia"/>
          <w:szCs w:val="21"/>
          <w:lang w:val="en-US" w:eastAsia="zh-CN"/>
        </w:rPr>
        <w:t>八</w:t>
      </w:r>
      <w:r>
        <w:rPr>
          <w:rFonts w:hint="eastAsia"/>
          <w:szCs w:val="21"/>
        </w:rPr>
        <w:t>）廉政约定：</w:t>
      </w:r>
    </w:p>
    <w:p>
      <w:pPr>
        <w:spacing w:line="360" w:lineRule="exact"/>
        <w:ind w:firstLine="420" w:firstLineChars="200"/>
        <w:rPr>
          <w:rFonts w:hint="eastAsia"/>
          <w:szCs w:val="21"/>
        </w:rPr>
      </w:pPr>
      <w:r>
        <w:rPr>
          <w:rFonts w:hint="eastAsia"/>
          <w:szCs w:val="21"/>
        </w:rPr>
        <w:t>为杜绝商业贿赂现象，共同营造公平、公正的竞争环境，敬请各比选申请人在参与竞标报价过程中，将比选人明示或暗示要求宴请、招待，或索取礼金、礼品、礼券、其他利益，或故意刁难、显失公平现象，向我司纪检监察人员进行举报。具体举报渠道告知如下：</w:t>
      </w:r>
    </w:p>
    <w:p>
      <w:pPr>
        <w:spacing w:line="360" w:lineRule="exact"/>
        <w:ind w:firstLine="420" w:firstLineChars="200"/>
        <w:rPr>
          <w:rFonts w:hint="eastAsia"/>
          <w:szCs w:val="21"/>
        </w:rPr>
      </w:pPr>
      <w:r>
        <w:rPr>
          <w:rFonts w:hint="eastAsia"/>
          <w:szCs w:val="21"/>
        </w:rPr>
        <w:t>举报电话：</w:t>
      </w:r>
      <w:r>
        <w:rPr>
          <w:rFonts w:hint="eastAsia"/>
          <w:szCs w:val="21"/>
          <w:lang w:eastAsia="zh-CN"/>
        </w:rPr>
        <w:t>023-89063863</w:t>
      </w:r>
      <w:r>
        <w:rPr>
          <w:rFonts w:hint="eastAsia"/>
          <w:szCs w:val="21"/>
        </w:rPr>
        <w:t xml:space="preserve">  举报传真：023-89063863</w:t>
      </w:r>
    </w:p>
    <w:p>
      <w:pPr>
        <w:spacing w:line="360" w:lineRule="exact"/>
        <w:ind w:firstLine="420" w:firstLineChars="200"/>
        <w:rPr>
          <w:rFonts w:hint="eastAsia"/>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szCs w:val="21"/>
        </w:rPr>
      </w:pPr>
      <w:r>
        <w:rPr>
          <w:rFonts w:hint="eastAsia"/>
          <w:szCs w:val="21"/>
        </w:rPr>
        <w:t>（</w:t>
      </w:r>
      <w:r>
        <w:rPr>
          <w:rFonts w:hint="eastAsia"/>
          <w:szCs w:val="21"/>
          <w:lang w:val="en-US" w:eastAsia="zh-CN"/>
        </w:rPr>
        <w:t>九</w:t>
      </w:r>
      <w:r>
        <w:rPr>
          <w:rFonts w:hint="eastAsia"/>
          <w:szCs w:val="21"/>
        </w:rPr>
        <w:t>）采购合同（附后）。</w:t>
      </w:r>
    </w:p>
    <w:p>
      <w:pPr>
        <w:spacing w:line="360" w:lineRule="exact"/>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十</w:t>
      </w:r>
      <w:r>
        <w:rPr>
          <w:rFonts w:hint="eastAsia" w:ascii="宋体" w:hAnsi="宋体" w:cs="宋体"/>
          <w:szCs w:val="21"/>
        </w:rPr>
        <w:t>）比选人联系方式：</w:t>
      </w:r>
    </w:p>
    <w:p>
      <w:pPr>
        <w:spacing w:line="360" w:lineRule="exact"/>
        <w:ind w:firstLine="420" w:firstLineChars="200"/>
        <w:jc w:val="left"/>
        <w:rPr>
          <w:rFonts w:hint="eastAsia" w:ascii="宋体" w:hAnsi="宋体" w:cs="宋体"/>
          <w:szCs w:val="21"/>
        </w:rPr>
      </w:pPr>
      <w:r>
        <w:rPr>
          <w:rFonts w:hint="eastAsia" w:ascii="宋体" w:hAnsi="宋体" w:cs="宋体"/>
          <w:szCs w:val="21"/>
        </w:rPr>
        <w:t>比选人：重庆通力高速公路养护工程有限公司</w:t>
      </w:r>
      <w:bookmarkStart w:id="42" w:name="_GoBack"/>
      <w:bookmarkEnd w:id="42"/>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hint="default" w:eastAsia="宋体"/>
          <w:b/>
          <w:sz w:val="24"/>
          <w:szCs w:val="21"/>
          <w:lang w:val="en-US" w:eastAsia="zh-CN"/>
        </w:rPr>
        <w:sectPr>
          <w:headerReference r:id="rId3" w:type="default"/>
          <w:pgSz w:w="11906" w:h="16838"/>
          <w:pgMar w:top="1418" w:right="1361" w:bottom="1418" w:left="1361" w:header="851" w:footer="992" w:gutter="0"/>
          <w:cols w:space="720" w:num="1"/>
          <w:docGrid w:type="lines" w:linePitch="312" w:charSpace="0"/>
        </w:sect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 xml:space="preserve">  </w:t>
      </w:r>
      <w:r>
        <w:rPr>
          <w:rFonts w:hint="eastAsia" w:ascii="宋体" w:hAnsi="宋体"/>
          <w:snapToGrid w:val="0"/>
          <w:kern w:val="0"/>
          <w:szCs w:val="21"/>
          <w:highlight w:val="none"/>
          <w:lang w:val="en-US" w:eastAsia="zh-CN"/>
        </w:rPr>
        <w:t>罗老师    电话：18223616740</w:t>
      </w:r>
    </w:p>
    <w:p>
      <w:pPr>
        <w:spacing w:line="360" w:lineRule="exact"/>
        <w:jc w:val="left"/>
        <w:rPr>
          <w:rFonts w:hint="eastAsia"/>
          <w:b/>
          <w:sz w:val="22"/>
        </w:rPr>
      </w:pPr>
      <w:r>
        <w:rPr>
          <w:rFonts w:hint="eastAsia"/>
          <w:b/>
          <w:sz w:val="24"/>
          <w:szCs w:val="21"/>
        </w:rPr>
        <w:t>采购合同：</w:t>
      </w:r>
    </w:p>
    <w:p>
      <w:pPr>
        <w:spacing w:line="400" w:lineRule="exact"/>
        <w:jc w:val="center"/>
        <w:rPr>
          <w:rFonts w:ascii="宋体" w:hAnsi="宋体" w:cs="宋体"/>
          <w:b/>
          <w:sz w:val="32"/>
          <w:szCs w:val="18"/>
        </w:rPr>
      </w:pPr>
      <w:r>
        <w:rPr>
          <w:rFonts w:hint="eastAsia" w:ascii="宋体" w:hAnsi="宋体" w:cs="宋体"/>
          <w:b/>
          <w:sz w:val="32"/>
          <w:szCs w:val="18"/>
        </w:rPr>
        <w:t>重庆通力高速公路养护工程有限公司</w:t>
      </w:r>
    </w:p>
    <w:p>
      <w:pPr>
        <w:spacing w:line="400" w:lineRule="exact"/>
        <w:jc w:val="center"/>
        <w:rPr>
          <w:rFonts w:ascii="宋体" w:hAnsi="宋体" w:cs="宋体"/>
          <w:b/>
          <w:sz w:val="32"/>
          <w:szCs w:val="18"/>
        </w:rPr>
      </w:pPr>
      <w:r>
        <w:rPr>
          <w:rFonts w:hint="eastAsia" w:ascii="宋体" w:hAnsi="宋体" w:cs="宋体"/>
          <w:b/>
          <w:sz w:val="32"/>
          <w:szCs w:val="18"/>
          <w:lang w:val="en-US" w:eastAsia="zh-CN"/>
        </w:rPr>
        <w:t>渝宜高速公路长寿区石堰互通立交工程房屋建筑墙地砖</w:t>
      </w:r>
      <w:r>
        <w:rPr>
          <w:rFonts w:hint="eastAsia" w:ascii="宋体" w:hAnsi="宋体" w:cs="宋体"/>
          <w:b/>
          <w:sz w:val="32"/>
          <w:szCs w:val="18"/>
        </w:rPr>
        <w:t>材料</w:t>
      </w:r>
    </w:p>
    <w:p>
      <w:pPr>
        <w:spacing w:line="400" w:lineRule="exact"/>
        <w:jc w:val="center"/>
        <w:rPr>
          <w:b/>
          <w:sz w:val="24"/>
          <w:szCs w:val="32"/>
        </w:rPr>
      </w:pPr>
      <w:r>
        <w:rPr>
          <w:rFonts w:hint="eastAsia"/>
          <w:b/>
          <w:sz w:val="32"/>
          <w:szCs w:val="18"/>
        </w:rPr>
        <w:t>采购合同</w:t>
      </w:r>
    </w:p>
    <w:p>
      <w:pPr>
        <w:spacing w:line="400" w:lineRule="exact"/>
        <w:textAlignment w:val="baseline"/>
        <w:rPr>
          <w:sz w:val="24"/>
          <w:szCs w:val="24"/>
        </w:rPr>
      </w:pPr>
      <w:r>
        <w:rPr>
          <w:rFonts w:hint="eastAsia"/>
          <w:sz w:val="24"/>
          <w:szCs w:val="24"/>
        </w:rPr>
        <w:t xml:space="preserve">甲方：重庆通力高速公路养护工程有限公司                              </w:t>
      </w:r>
    </w:p>
    <w:p>
      <w:pPr>
        <w:spacing w:line="400" w:lineRule="exact"/>
        <w:textAlignment w:val="baseline"/>
        <w:rPr>
          <w:sz w:val="24"/>
          <w:szCs w:val="24"/>
        </w:rPr>
      </w:pPr>
      <w:r>
        <w:rPr>
          <w:rFonts w:hint="eastAsia"/>
          <w:sz w:val="24"/>
          <w:szCs w:val="24"/>
        </w:rPr>
        <w:t xml:space="preserve">乙方：                                   </w:t>
      </w:r>
    </w:p>
    <w:p>
      <w:pPr>
        <w:spacing w:line="400" w:lineRule="exact"/>
        <w:ind w:firstLine="480" w:firstLineChars="200"/>
        <w:textAlignment w:val="baseline"/>
        <w:rPr>
          <w:sz w:val="24"/>
          <w:szCs w:val="24"/>
        </w:rPr>
      </w:pPr>
      <w:r>
        <w:rPr>
          <w:rFonts w:hint="eastAsia"/>
          <w:sz w:val="24"/>
          <w:szCs w:val="24"/>
        </w:rPr>
        <w:t>甲方因渝宜高速公路长寿区石堰互通立交工程需要，</w:t>
      </w:r>
      <w:r>
        <w:rPr>
          <w:rFonts w:hint="eastAsia" w:ascii="宋体" w:hAnsi="宋体"/>
          <w:sz w:val="24"/>
          <w:szCs w:val="24"/>
        </w:rPr>
        <w:t>协议向乙方购买</w:t>
      </w:r>
      <w:r>
        <w:rPr>
          <w:rFonts w:hint="eastAsia" w:ascii="宋体" w:hAnsi="宋体"/>
          <w:sz w:val="24"/>
          <w:szCs w:val="24"/>
          <w:lang w:val="en-US" w:eastAsia="zh-CN"/>
        </w:rPr>
        <w:t>墙地砖</w:t>
      </w:r>
      <w:r>
        <w:rPr>
          <w:rFonts w:hint="eastAsia" w:ascii="宋体" w:hAnsi="宋体"/>
          <w:sz w:val="24"/>
          <w:szCs w:val="24"/>
        </w:rPr>
        <w:t>一批；依照《中华人民共和国合同法》及其他有关法律、行政法规，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p>
      <w:pPr>
        <w:spacing w:line="400" w:lineRule="exact"/>
        <w:jc w:val="left"/>
        <w:textAlignment w:val="baseline"/>
        <w:rPr>
          <w:rFonts w:hint="eastAsia"/>
          <w:sz w:val="24"/>
          <w:szCs w:val="24"/>
        </w:rPr>
      </w:pPr>
      <w:r>
        <w:rPr>
          <w:rFonts w:hint="eastAsia"/>
          <w:b/>
          <w:sz w:val="24"/>
          <w:szCs w:val="24"/>
        </w:rPr>
        <w:t>一、产品名称、型号、数量、金额</w:t>
      </w:r>
      <w:r>
        <w:rPr>
          <w:rFonts w:hint="eastAsia"/>
          <w:sz w:val="24"/>
          <w:szCs w:val="24"/>
        </w:rPr>
        <w:t>：货币单位：人民币  元</w:t>
      </w:r>
    </w:p>
    <w:tbl>
      <w:tblPr>
        <w:tblStyle w:val="21"/>
        <w:tblW w:w="93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645"/>
        <w:gridCol w:w="855"/>
        <w:gridCol w:w="855"/>
        <w:gridCol w:w="1495"/>
        <w:gridCol w:w="1230"/>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2488" w:type="dxa"/>
            <w:vAlign w:val="center"/>
          </w:tcPr>
          <w:p>
            <w:pPr>
              <w:spacing w:line="260" w:lineRule="exact"/>
              <w:jc w:val="center"/>
              <w:textAlignment w:val="baseline"/>
              <w:rPr>
                <w:rFonts w:hint="eastAsia"/>
                <w:b/>
                <w:szCs w:val="21"/>
              </w:rPr>
            </w:pPr>
            <w:r>
              <w:rPr>
                <w:rFonts w:hint="eastAsia"/>
                <w:b/>
                <w:szCs w:val="21"/>
              </w:rPr>
              <w:t>产品名称</w:t>
            </w:r>
          </w:p>
        </w:tc>
        <w:tc>
          <w:tcPr>
            <w:tcW w:w="645" w:type="dxa"/>
            <w:vAlign w:val="center"/>
          </w:tcPr>
          <w:p>
            <w:pPr>
              <w:spacing w:line="260" w:lineRule="exact"/>
              <w:jc w:val="center"/>
              <w:textAlignment w:val="baseline"/>
              <w:rPr>
                <w:rFonts w:hint="eastAsia"/>
                <w:b/>
                <w:szCs w:val="21"/>
              </w:rPr>
            </w:pPr>
            <w:r>
              <w:rPr>
                <w:rFonts w:hint="eastAsia"/>
                <w:b/>
                <w:szCs w:val="21"/>
              </w:rPr>
              <w:t>单位</w:t>
            </w:r>
          </w:p>
        </w:tc>
        <w:tc>
          <w:tcPr>
            <w:tcW w:w="855" w:type="dxa"/>
            <w:vAlign w:val="center"/>
          </w:tcPr>
          <w:p>
            <w:pPr>
              <w:spacing w:line="260" w:lineRule="exact"/>
              <w:jc w:val="center"/>
              <w:textAlignment w:val="baseline"/>
              <w:rPr>
                <w:rFonts w:hint="eastAsia"/>
                <w:b/>
                <w:szCs w:val="21"/>
              </w:rPr>
            </w:pPr>
            <w:r>
              <w:rPr>
                <w:rFonts w:hint="eastAsia"/>
                <w:b/>
                <w:szCs w:val="21"/>
              </w:rPr>
              <w:t>暂估量</w:t>
            </w:r>
          </w:p>
        </w:tc>
        <w:tc>
          <w:tcPr>
            <w:tcW w:w="855" w:type="dxa"/>
            <w:vAlign w:val="center"/>
          </w:tcPr>
          <w:p>
            <w:pPr>
              <w:spacing w:line="260" w:lineRule="exact"/>
              <w:jc w:val="center"/>
              <w:textAlignment w:val="baseline"/>
              <w:rPr>
                <w:b/>
                <w:szCs w:val="21"/>
              </w:rPr>
            </w:pPr>
            <w:r>
              <w:rPr>
                <w:rFonts w:hint="eastAsia"/>
                <w:b/>
                <w:szCs w:val="21"/>
              </w:rPr>
              <w:t>单价</w:t>
            </w:r>
          </w:p>
        </w:tc>
        <w:tc>
          <w:tcPr>
            <w:tcW w:w="1495" w:type="dxa"/>
            <w:vAlign w:val="center"/>
          </w:tcPr>
          <w:p>
            <w:pPr>
              <w:spacing w:line="260" w:lineRule="exact"/>
              <w:jc w:val="center"/>
              <w:textAlignment w:val="baseline"/>
              <w:rPr>
                <w:b/>
                <w:szCs w:val="21"/>
              </w:rPr>
            </w:pPr>
            <w:r>
              <w:rPr>
                <w:rFonts w:hint="eastAsia"/>
                <w:b/>
                <w:szCs w:val="21"/>
              </w:rPr>
              <w:t>小计</w:t>
            </w:r>
          </w:p>
        </w:tc>
        <w:tc>
          <w:tcPr>
            <w:tcW w:w="1230" w:type="dxa"/>
            <w:vAlign w:val="center"/>
          </w:tcPr>
          <w:p>
            <w:pPr>
              <w:spacing w:line="260" w:lineRule="exact"/>
              <w:jc w:val="center"/>
              <w:textAlignment w:val="baseline"/>
              <w:rPr>
                <w:rFonts w:hint="default" w:eastAsia="宋体"/>
                <w:b/>
                <w:szCs w:val="21"/>
                <w:lang w:val="en-US" w:eastAsia="zh-CN"/>
              </w:rPr>
            </w:pPr>
            <w:r>
              <w:rPr>
                <w:rFonts w:hint="eastAsia"/>
                <w:b/>
                <w:szCs w:val="21"/>
                <w:lang w:val="en-US" w:eastAsia="zh-CN"/>
              </w:rPr>
              <w:t>品牌名称</w:t>
            </w:r>
          </w:p>
        </w:tc>
        <w:tc>
          <w:tcPr>
            <w:tcW w:w="1821" w:type="dxa"/>
            <w:vAlign w:val="center"/>
          </w:tcPr>
          <w:p>
            <w:pPr>
              <w:spacing w:line="260" w:lineRule="exact"/>
              <w:jc w:val="center"/>
              <w:textAlignment w:val="baseline"/>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88" w:type="dxa"/>
            <w:vAlign w:val="center"/>
          </w:tcPr>
          <w:p>
            <w:pPr>
              <w:ind w:left="0" w:leftChars="0" w:firstLine="0" w:firstLineChars="0"/>
              <w:jc w:val="center"/>
              <w:rPr>
                <w:szCs w:val="21"/>
              </w:rPr>
            </w:pPr>
            <w:r>
              <w:rPr>
                <w:rFonts w:hint="eastAsia" w:ascii="宋体" w:hAnsi="宋体" w:eastAsia="宋体" w:cs="宋体"/>
                <w:i w:val="0"/>
                <w:color w:val="000000"/>
                <w:sz w:val="21"/>
                <w:szCs w:val="21"/>
                <w:u w:val="none"/>
              </w:rPr>
              <w:t>耐磨地砖</w:t>
            </w:r>
          </w:p>
        </w:tc>
        <w:tc>
          <w:tcPr>
            <w:tcW w:w="645" w:type="dxa"/>
            <w:vAlign w:val="center"/>
          </w:tcPr>
          <w:p>
            <w:pPr>
              <w:ind w:left="0" w:leftChars="0" w:firstLine="0" w:firstLineChars="0"/>
              <w:jc w:val="center"/>
              <w:rPr>
                <w:szCs w:val="21"/>
              </w:rPr>
            </w:pPr>
            <w:r>
              <w:rPr>
                <w:rFonts w:hint="eastAsia" w:ascii="宋体" w:hAnsi="宋体" w:eastAsia="宋体" w:cs="宋体"/>
                <w:i w:val="0"/>
                <w:color w:val="000000"/>
                <w:sz w:val="21"/>
                <w:szCs w:val="21"/>
                <w:u w:val="none"/>
                <w:lang w:val="en-US" w:eastAsia="zh-CN"/>
              </w:rPr>
              <w:t>m2</w:t>
            </w:r>
          </w:p>
        </w:tc>
        <w:tc>
          <w:tcPr>
            <w:tcW w:w="855"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lang w:val="en-US" w:eastAsia="zh-CN"/>
              </w:rPr>
              <w:t>480</w:t>
            </w:r>
          </w:p>
        </w:tc>
        <w:tc>
          <w:tcPr>
            <w:tcW w:w="855" w:type="dxa"/>
            <w:vAlign w:val="center"/>
          </w:tcPr>
          <w:p>
            <w:pPr>
              <w:spacing w:line="260" w:lineRule="exact"/>
              <w:jc w:val="center"/>
              <w:textAlignment w:val="baseline"/>
              <w:rPr>
                <w:rFonts w:hint="eastAsia"/>
                <w:szCs w:val="21"/>
              </w:rPr>
            </w:pPr>
          </w:p>
        </w:tc>
        <w:tc>
          <w:tcPr>
            <w:tcW w:w="1495" w:type="dxa"/>
            <w:vAlign w:val="center"/>
          </w:tcPr>
          <w:p>
            <w:pPr>
              <w:spacing w:line="260" w:lineRule="exact"/>
              <w:jc w:val="center"/>
              <w:textAlignment w:val="baseline"/>
              <w:rPr>
                <w:szCs w:val="21"/>
              </w:rPr>
            </w:pPr>
          </w:p>
        </w:tc>
        <w:tc>
          <w:tcPr>
            <w:tcW w:w="1230" w:type="dxa"/>
            <w:vAlign w:val="center"/>
          </w:tcPr>
          <w:p>
            <w:pPr>
              <w:ind w:left="0" w:leftChars="0" w:firstLine="0" w:firstLineChars="0"/>
              <w:jc w:val="center"/>
              <w:rPr>
                <w:rFonts w:hint="default" w:ascii="宋体" w:hAnsi="宋体" w:eastAsia="宋体" w:cs="宋体"/>
                <w:i w:val="0"/>
                <w:color w:val="000000"/>
                <w:sz w:val="21"/>
                <w:szCs w:val="21"/>
                <w:u w:val="none"/>
                <w:lang w:val="en-US" w:eastAsia="zh-CN"/>
              </w:rPr>
            </w:pPr>
          </w:p>
        </w:tc>
        <w:tc>
          <w:tcPr>
            <w:tcW w:w="1821" w:type="dxa"/>
            <w:vAlign w:val="center"/>
          </w:tcPr>
          <w:p>
            <w:pPr>
              <w:ind w:left="0" w:leftChars="0" w:firstLine="0" w:firstLineChars="0"/>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600*600mm</w:t>
            </w:r>
          </w:p>
          <w:p>
            <w:pPr>
              <w:ind w:left="0" w:leftChars="0" w:firstLine="0" w:firstLineChars="0"/>
              <w:jc w:val="center"/>
              <w:rPr>
                <w:szCs w:val="21"/>
              </w:rPr>
            </w:pPr>
            <w:r>
              <w:rPr>
                <w:rFonts w:hint="default" w:ascii="宋体" w:hAnsi="宋体" w:eastAsia="宋体" w:cs="宋体"/>
                <w:i w:val="0"/>
                <w:color w:val="000000"/>
                <w:sz w:val="21"/>
                <w:szCs w:val="21"/>
                <w:u w:val="none"/>
                <w:lang w:val="en-US" w:eastAsia="zh-CN"/>
              </w:rPr>
              <w:t>一楼地面、配电房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88" w:type="dxa"/>
            <w:vAlign w:val="center"/>
          </w:tcPr>
          <w:p>
            <w:pPr>
              <w:ind w:left="0" w:leftChars="0" w:firstLine="0" w:firstLineChars="0"/>
              <w:jc w:val="center"/>
              <w:rPr>
                <w:szCs w:val="21"/>
              </w:rPr>
            </w:pPr>
            <w:r>
              <w:rPr>
                <w:rFonts w:hint="default" w:ascii="宋体" w:hAnsi="宋体" w:eastAsia="宋体" w:cs="宋体"/>
                <w:i w:val="0"/>
                <w:color w:val="000000"/>
                <w:sz w:val="21"/>
                <w:szCs w:val="21"/>
                <w:u w:val="none"/>
                <w:lang w:val="en-US" w:eastAsia="zh-CN"/>
              </w:rPr>
              <w:t>防滑玻化地砖</w:t>
            </w:r>
          </w:p>
        </w:tc>
        <w:tc>
          <w:tcPr>
            <w:tcW w:w="645" w:type="dxa"/>
            <w:vAlign w:val="center"/>
          </w:tcPr>
          <w:p>
            <w:pPr>
              <w:ind w:left="0" w:leftChars="0" w:firstLine="0" w:firstLineChars="0"/>
              <w:jc w:val="center"/>
              <w:rPr>
                <w:szCs w:val="21"/>
              </w:rPr>
            </w:pPr>
            <w:r>
              <w:rPr>
                <w:rFonts w:hint="eastAsia" w:ascii="宋体" w:hAnsi="宋体" w:eastAsia="宋体" w:cs="宋体"/>
                <w:i w:val="0"/>
                <w:color w:val="000000"/>
                <w:sz w:val="21"/>
                <w:szCs w:val="21"/>
                <w:u w:val="none"/>
                <w:lang w:val="en-US" w:eastAsia="zh-CN"/>
              </w:rPr>
              <w:t>m2</w:t>
            </w:r>
          </w:p>
        </w:tc>
        <w:tc>
          <w:tcPr>
            <w:tcW w:w="855"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lang w:val="en-US" w:eastAsia="zh-CN"/>
              </w:rPr>
              <w:t>50</w:t>
            </w:r>
          </w:p>
        </w:tc>
        <w:tc>
          <w:tcPr>
            <w:tcW w:w="855" w:type="dxa"/>
            <w:vAlign w:val="center"/>
          </w:tcPr>
          <w:p>
            <w:pPr>
              <w:spacing w:line="260" w:lineRule="exact"/>
              <w:jc w:val="center"/>
              <w:textAlignment w:val="baseline"/>
              <w:rPr>
                <w:rFonts w:hint="eastAsia"/>
                <w:szCs w:val="21"/>
              </w:rPr>
            </w:pPr>
          </w:p>
        </w:tc>
        <w:tc>
          <w:tcPr>
            <w:tcW w:w="1495" w:type="dxa"/>
            <w:vAlign w:val="center"/>
          </w:tcPr>
          <w:p>
            <w:pPr>
              <w:spacing w:line="260" w:lineRule="exact"/>
              <w:jc w:val="center"/>
              <w:textAlignment w:val="baseline"/>
              <w:rPr>
                <w:szCs w:val="21"/>
              </w:rPr>
            </w:pPr>
          </w:p>
        </w:tc>
        <w:tc>
          <w:tcPr>
            <w:tcW w:w="1230" w:type="dxa"/>
            <w:vAlign w:val="center"/>
          </w:tcPr>
          <w:p>
            <w:pPr>
              <w:ind w:left="0" w:leftChars="0" w:firstLine="0" w:firstLineChars="0"/>
              <w:jc w:val="center"/>
              <w:rPr>
                <w:rFonts w:hint="eastAsia" w:ascii="宋体" w:hAnsi="宋体" w:eastAsia="宋体" w:cs="宋体"/>
                <w:i w:val="0"/>
                <w:color w:val="000000"/>
                <w:sz w:val="21"/>
                <w:szCs w:val="21"/>
                <w:u w:val="none"/>
              </w:rPr>
            </w:pPr>
          </w:p>
        </w:tc>
        <w:tc>
          <w:tcPr>
            <w:tcW w:w="1821" w:type="dxa"/>
            <w:vAlign w:val="center"/>
          </w:tcPr>
          <w:p>
            <w:pPr>
              <w:ind w:left="0" w:leftChars="0" w:firstLine="0" w:firstLineChars="0"/>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300*300mm</w:t>
            </w:r>
          </w:p>
          <w:p>
            <w:pPr>
              <w:ind w:left="0" w:leftChars="0" w:firstLine="0" w:firstLineChars="0"/>
              <w:jc w:val="center"/>
              <w:rPr>
                <w:szCs w:val="21"/>
              </w:rPr>
            </w:pPr>
            <w:r>
              <w:rPr>
                <w:rFonts w:hint="eastAsia" w:ascii="宋体" w:hAnsi="宋体" w:eastAsia="宋体" w:cs="宋体"/>
                <w:i w:val="0"/>
                <w:color w:val="000000"/>
                <w:sz w:val="21"/>
                <w:szCs w:val="21"/>
                <w:u w:val="none"/>
              </w:rPr>
              <w:t>卫生间地砖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88" w:type="dxa"/>
            <w:vAlign w:val="center"/>
          </w:tcPr>
          <w:p>
            <w:pPr>
              <w:ind w:left="0" w:leftChars="0" w:firstLine="0" w:firstLineChars="0"/>
              <w:jc w:val="center"/>
              <w:rPr>
                <w:szCs w:val="21"/>
              </w:rPr>
            </w:pPr>
            <w:r>
              <w:rPr>
                <w:rFonts w:hint="eastAsia" w:ascii="宋体" w:hAnsi="宋体" w:eastAsia="宋体" w:cs="宋体"/>
                <w:i w:val="0"/>
                <w:color w:val="000000"/>
                <w:sz w:val="21"/>
                <w:szCs w:val="21"/>
                <w:u w:val="none"/>
                <w:lang w:val="en-US" w:eastAsia="zh-CN"/>
              </w:rPr>
              <w:t>玻化砖</w:t>
            </w:r>
          </w:p>
        </w:tc>
        <w:tc>
          <w:tcPr>
            <w:tcW w:w="645" w:type="dxa"/>
            <w:vAlign w:val="center"/>
          </w:tcPr>
          <w:p>
            <w:pPr>
              <w:ind w:left="0" w:leftChars="0" w:firstLine="0" w:firstLineChars="0"/>
              <w:jc w:val="center"/>
              <w:rPr>
                <w:szCs w:val="21"/>
              </w:rPr>
            </w:pPr>
            <w:r>
              <w:rPr>
                <w:rFonts w:hint="eastAsia" w:ascii="宋体" w:hAnsi="宋体" w:eastAsia="宋体" w:cs="宋体"/>
                <w:i w:val="0"/>
                <w:color w:val="000000"/>
                <w:sz w:val="21"/>
                <w:szCs w:val="21"/>
                <w:u w:val="none"/>
                <w:lang w:val="en-US" w:eastAsia="zh-CN"/>
              </w:rPr>
              <w:t>m2</w:t>
            </w:r>
          </w:p>
        </w:tc>
        <w:tc>
          <w:tcPr>
            <w:tcW w:w="855"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lang w:val="en-US" w:eastAsia="zh-CN"/>
              </w:rPr>
              <w:t>240</w:t>
            </w:r>
          </w:p>
        </w:tc>
        <w:tc>
          <w:tcPr>
            <w:tcW w:w="855" w:type="dxa"/>
            <w:vAlign w:val="center"/>
          </w:tcPr>
          <w:p>
            <w:pPr>
              <w:spacing w:line="260" w:lineRule="exact"/>
              <w:jc w:val="center"/>
              <w:textAlignment w:val="baseline"/>
              <w:rPr>
                <w:rFonts w:hint="eastAsia"/>
                <w:szCs w:val="21"/>
              </w:rPr>
            </w:pPr>
          </w:p>
        </w:tc>
        <w:tc>
          <w:tcPr>
            <w:tcW w:w="1495" w:type="dxa"/>
            <w:vAlign w:val="center"/>
          </w:tcPr>
          <w:p>
            <w:pPr>
              <w:spacing w:line="260" w:lineRule="exact"/>
              <w:jc w:val="center"/>
              <w:textAlignment w:val="baseline"/>
              <w:rPr>
                <w:szCs w:val="21"/>
              </w:rPr>
            </w:pPr>
          </w:p>
        </w:tc>
        <w:tc>
          <w:tcPr>
            <w:tcW w:w="1230" w:type="dxa"/>
            <w:vAlign w:val="center"/>
          </w:tcPr>
          <w:p>
            <w:pPr>
              <w:ind w:left="0" w:leftChars="0" w:firstLine="0" w:firstLineChars="0"/>
              <w:jc w:val="center"/>
              <w:rPr>
                <w:rFonts w:hint="eastAsia" w:ascii="宋体" w:hAnsi="宋体" w:eastAsia="宋体" w:cs="宋体"/>
                <w:i w:val="0"/>
                <w:color w:val="000000"/>
                <w:sz w:val="21"/>
                <w:szCs w:val="21"/>
                <w:u w:val="none"/>
              </w:rPr>
            </w:pPr>
          </w:p>
        </w:tc>
        <w:tc>
          <w:tcPr>
            <w:tcW w:w="1821" w:type="dxa"/>
            <w:vAlign w:val="center"/>
          </w:tcPr>
          <w:p>
            <w:pPr>
              <w:ind w:left="0" w:leftChars="0" w:firstLine="0" w:firstLine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600*600mm</w:t>
            </w:r>
          </w:p>
          <w:p>
            <w:pPr>
              <w:ind w:left="0" w:leftChars="0" w:firstLine="0" w:firstLineChars="0"/>
              <w:jc w:val="center"/>
              <w:rPr>
                <w:szCs w:val="21"/>
              </w:rPr>
            </w:pPr>
            <w:r>
              <w:rPr>
                <w:rFonts w:hint="eastAsia" w:ascii="宋体" w:hAnsi="宋体" w:eastAsia="宋体" w:cs="宋体"/>
                <w:i w:val="0"/>
                <w:color w:val="000000"/>
                <w:sz w:val="21"/>
                <w:szCs w:val="21"/>
                <w:u w:val="none"/>
              </w:rPr>
              <w:t>二楼地面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88"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lang w:val="en-US" w:eastAsia="zh-CN"/>
              </w:rPr>
              <w:t>防滑砖</w:t>
            </w:r>
          </w:p>
        </w:tc>
        <w:tc>
          <w:tcPr>
            <w:tcW w:w="645" w:type="dxa"/>
            <w:vAlign w:val="center"/>
          </w:tcPr>
          <w:p>
            <w:pPr>
              <w:ind w:left="0" w:leftChars="0" w:firstLine="0" w:firstLineChars="0"/>
              <w:jc w:val="center"/>
              <w:rPr>
                <w:szCs w:val="21"/>
              </w:rPr>
            </w:pPr>
            <w:r>
              <w:rPr>
                <w:rFonts w:hint="eastAsia" w:ascii="宋体" w:hAnsi="宋体" w:eastAsia="宋体" w:cs="宋体"/>
                <w:i w:val="0"/>
                <w:color w:val="000000"/>
                <w:sz w:val="21"/>
                <w:szCs w:val="21"/>
                <w:u w:val="none"/>
                <w:lang w:val="en-US" w:eastAsia="zh-CN"/>
              </w:rPr>
              <w:t>m2</w:t>
            </w:r>
          </w:p>
        </w:tc>
        <w:tc>
          <w:tcPr>
            <w:tcW w:w="855"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lang w:val="en-US" w:eastAsia="zh-CN"/>
              </w:rPr>
              <w:t>50</w:t>
            </w:r>
          </w:p>
        </w:tc>
        <w:tc>
          <w:tcPr>
            <w:tcW w:w="855" w:type="dxa"/>
            <w:vAlign w:val="center"/>
          </w:tcPr>
          <w:p>
            <w:pPr>
              <w:spacing w:line="260" w:lineRule="exact"/>
              <w:jc w:val="center"/>
              <w:textAlignment w:val="baseline"/>
              <w:rPr>
                <w:rFonts w:hint="eastAsia"/>
                <w:szCs w:val="21"/>
              </w:rPr>
            </w:pPr>
          </w:p>
        </w:tc>
        <w:tc>
          <w:tcPr>
            <w:tcW w:w="1495" w:type="dxa"/>
            <w:vAlign w:val="center"/>
          </w:tcPr>
          <w:p>
            <w:pPr>
              <w:spacing w:line="260" w:lineRule="exact"/>
              <w:jc w:val="center"/>
              <w:textAlignment w:val="baseline"/>
              <w:rPr>
                <w:szCs w:val="21"/>
              </w:rPr>
            </w:pPr>
          </w:p>
        </w:tc>
        <w:tc>
          <w:tcPr>
            <w:tcW w:w="1230" w:type="dxa"/>
            <w:vAlign w:val="center"/>
          </w:tcPr>
          <w:p>
            <w:pPr>
              <w:ind w:left="0" w:leftChars="0" w:firstLine="0" w:firstLineChars="0"/>
              <w:jc w:val="center"/>
              <w:rPr>
                <w:rFonts w:hint="eastAsia" w:ascii="宋体" w:hAnsi="宋体" w:eastAsia="宋体" w:cs="宋体"/>
                <w:i w:val="0"/>
                <w:color w:val="000000"/>
                <w:sz w:val="21"/>
                <w:szCs w:val="21"/>
                <w:u w:val="none"/>
              </w:rPr>
            </w:pPr>
          </w:p>
        </w:tc>
        <w:tc>
          <w:tcPr>
            <w:tcW w:w="1821" w:type="dxa"/>
            <w:vAlign w:val="center"/>
          </w:tcPr>
          <w:p>
            <w:pPr>
              <w:ind w:left="0" w:leftChars="0" w:firstLine="0" w:firstLine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300*300mm</w:t>
            </w:r>
          </w:p>
          <w:p>
            <w:pPr>
              <w:ind w:left="0" w:leftChars="0" w:firstLine="0" w:firstLineChars="0"/>
              <w:jc w:val="center"/>
              <w:rPr>
                <w:szCs w:val="21"/>
              </w:rPr>
            </w:pPr>
            <w:r>
              <w:rPr>
                <w:rFonts w:hint="eastAsia" w:ascii="宋体" w:hAnsi="宋体" w:eastAsia="宋体" w:cs="宋体"/>
                <w:i w:val="0"/>
                <w:color w:val="000000"/>
                <w:sz w:val="21"/>
                <w:szCs w:val="21"/>
                <w:u w:val="none"/>
              </w:rPr>
              <w:t>楼梯地面砖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88" w:type="dxa"/>
            <w:vAlign w:val="center"/>
          </w:tcPr>
          <w:p>
            <w:pPr>
              <w:ind w:left="0" w:leftChars="0" w:firstLine="0" w:firstLineChars="0"/>
              <w:jc w:val="center"/>
              <w:rPr>
                <w:szCs w:val="21"/>
              </w:rPr>
            </w:pPr>
            <w:r>
              <w:rPr>
                <w:rFonts w:hint="eastAsia" w:ascii="宋体" w:hAnsi="宋体" w:eastAsia="宋体" w:cs="宋体"/>
                <w:i w:val="0"/>
                <w:color w:val="000000"/>
                <w:sz w:val="21"/>
                <w:szCs w:val="21"/>
                <w:u w:val="none"/>
              </w:rPr>
              <w:t>10cm玻化砖踢脚线</w:t>
            </w:r>
          </w:p>
        </w:tc>
        <w:tc>
          <w:tcPr>
            <w:tcW w:w="645" w:type="dxa"/>
            <w:vAlign w:val="center"/>
          </w:tcPr>
          <w:p>
            <w:pPr>
              <w:ind w:left="0" w:leftChars="0" w:firstLine="0" w:firstLineChars="0"/>
              <w:jc w:val="center"/>
              <w:rPr>
                <w:szCs w:val="21"/>
              </w:rPr>
            </w:pPr>
            <w:r>
              <w:rPr>
                <w:rFonts w:hint="eastAsia" w:ascii="宋体" w:hAnsi="宋体" w:eastAsia="宋体" w:cs="宋体"/>
                <w:i w:val="0"/>
                <w:color w:val="000000"/>
                <w:sz w:val="21"/>
                <w:szCs w:val="21"/>
                <w:u w:val="none"/>
                <w:lang w:val="en-US" w:eastAsia="zh-CN"/>
              </w:rPr>
              <w:t>m</w:t>
            </w:r>
          </w:p>
        </w:tc>
        <w:tc>
          <w:tcPr>
            <w:tcW w:w="855"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lang w:val="en-US" w:eastAsia="zh-CN"/>
              </w:rPr>
              <w:t>480</w:t>
            </w:r>
          </w:p>
        </w:tc>
        <w:tc>
          <w:tcPr>
            <w:tcW w:w="855" w:type="dxa"/>
            <w:vAlign w:val="center"/>
          </w:tcPr>
          <w:p>
            <w:pPr>
              <w:spacing w:line="260" w:lineRule="exact"/>
              <w:jc w:val="center"/>
              <w:textAlignment w:val="baseline"/>
              <w:rPr>
                <w:rFonts w:hint="eastAsia"/>
                <w:szCs w:val="21"/>
              </w:rPr>
            </w:pPr>
          </w:p>
        </w:tc>
        <w:tc>
          <w:tcPr>
            <w:tcW w:w="1495" w:type="dxa"/>
            <w:vAlign w:val="center"/>
          </w:tcPr>
          <w:p>
            <w:pPr>
              <w:spacing w:line="260" w:lineRule="exact"/>
              <w:jc w:val="center"/>
              <w:textAlignment w:val="baseline"/>
              <w:rPr>
                <w:szCs w:val="21"/>
              </w:rPr>
            </w:pPr>
          </w:p>
        </w:tc>
        <w:tc>
          <w:tcPr>
            <w:tcW w:w="1230" w:type="dxa"/>
            <w:vAlign w:val="center"/>
          </w:tcPr>
          <w:p>
            <w:pPr>
              <w:ind w:left="0" w:leftChars="0" w:firstLine="0" w:firstLineChars="0"/>
              <w:jc w:val="center"/>
              <w:rPr>
                <w:rFonts w:hint="eastAsia" w:ascii="宋体" w:hAnsi="宋体" w:eastAsia="宋体" w:cs="宋体"/>
                <w:i w:val="0"/>
                <w:color w:val="000000"/>
                <w:sz w:val="21"/>
                <w:szCs w:val="21"/>
                <w:u w:val="none"/>
              </w:rPr>
            </w:pPr>
          </w:p>
        </w:tc>
        <w:tc>
          <w:tcPr>
            <w:tcW w:w="1821" w:type="dxa"/>
            <w:vAlign w:val="center"/>
          </w:tcPr>
          <w:p>
            <w:pPr>
              <w:ind w:left="0" w:leftChars="0" w:firstLine="0" w:firstLine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10cm</w:t>
            </w:r>
          </w:p>
          <w:p>
            <w:pPr>
              <w:ind w:left="0" w:leftChars="0" w:firstLine="0" w:firstLineChars="0"/>
              <w:jc w:val="center"/>
              <w:rPr>
                <w:szCs w:val="21"/>
              </w:rPr>
            </w:pPr>
            <w:r>
              <w:rPr>
                <w:rFonts w:hint="eastAsia" w:ascii="宋体" w:hAnsi="宋体" w:eastAsia="宋体" w:cs="宋体"/>
                <w:i w:val="0"/>
                <w:color w:val="000000"/>
                <w:sz w:val="21"/>
                <w:szCs w:val="21"/>
                <w:u w:val="none"/>
              </w:rPr>
              <w:t>室内办公室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88" w:type="dxa"/>
            <w:vAlign w:val="center"/>
          </w:tcPr>
          <w:p>
            <w:pPr>
              <w:ind w:left="0" w:leftChars="0" w:firstLine="0" w:firstLineChars="0"/>
              <w:jc w:val="center"/>
              <w:rPr>
                <w:rFonts w:hint="eastAsia"/>
                <w:szCs w:val="21"/>
              </w:rPr>
            </w:pPr>
            <w:r>
              <w:rPr>
                <w:rFonts w:hint="default" w:ascii="宋体" w:hAnsi="宋体" w:eastAsia="宋体" w:cs="宋体"/>
                <w:i w:val="0"/>
                <w:color w:val="000000"/>
                <w:sz w:val="21"/>
                <w:szCs w:val="21"/>
                <w:u w:val="none"/>
                <w:lang w:val="en-US" w:eastAsia="zh-CN"/>
              </w:rPr>
              <w:t>瓷砖</w:t>
            </w:r>
          </w:p>
        </w:tc>
        <w:tc>
          <w:tcPr>
            <w:tcW w:w="645" w:type="dxa"/>
            <w:vAlign w:val="center"/>
          </w:tcPr>
          <w:p>
            <w:pPr>
              <w:ind w:left="0" w:leftChars="0" w:firstLine="0" w:firstLineChars="0"/>
              <w:jc w:val="center"/>
              <w:rPr>
                <w:szCs w:val="21"/>
              </w:rPr>
            </w:pPr>
            <w:r>
              <w:rPr>
                <w:rFonts w:hint="eastAsia" w:ascii="宋体" w:hAnsi="宋体" w:eastAsia="宋体" w:cs="宋体"/>
                <w:i w:val="0"/>
                <w:color w:val="000000"/>
                <w:sz w:val="21"/>
                <w:szCs w:val="21"/>
                <w:u w:val="none"/>
                <w:lang w:val="en-US" w:eastAsia="zh-CN"/>
              </w:rPr>
              <w:t>m2</w:t>
            </w:r>
          </w:p>
        </w:tc>
        <w:tc>
          <w:tcPr>
            <w:tcW w:w="855"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lang w:val="en-US" w:eastAsia="zh-CN"/>
              </w:rPr>
              <w:t>160</w:t>
            </w:r>
          </w:p>
        </w:tc>
        <w:tc>
          <w:tcPr>
            <w:tcW w:w="855" w:type="dxa"/>
            <w:vAlign w:val="center"/>
          </w:tcPr>
          <w:p>
            <w:pPr>
              <w:spacing w:line="260" w:lineRule="exact"/>
              <w:jc w:val="center"/>
              <w:textAlignment w:val="baseline"/>
              <w:rPr>
                <w:rFonts w:hint="eastAsia"/>
                <w:szCs w:val="21"/>
              </w:rPr>
            </w:pPr>
          </w:p>
        </w:tc>
        <w:tc>
          <w:tcPr>
            <w:tcW w:w="1495" w:type="dxa"/>
            <w:vAlign w:val="center"/>
          </w:tcPr>
          <w:p>
            <w:pPr>
              <w:spacing w:line="260" w:lineRule="exact"/>
              <w:jc w:val="center"/>
              <w:textAlignment w:val="baseline"/>
              <w:rPr>
                <w:szCs w:val="21"/>
              </w:rPr>
            </w:pPr>
          </w:p>
        </w:tc>
        <w:tc>
          <w:tcPr>
            <w:tcW w:w="1230" w:type="dxa"/>
            <w:vAlign w:val="center"/>
          </w:tcPr>
          <w:p>
            <w:pPr>
              <w:ind w:left="0" w:leftChars="0" w:firstLine="0" w:firstLineChars="0"/>
              <w:jc w:val="center"/>
              <w:rPr>
                <w:rFonts w:hint="eastAsia" w:ascii="宋体" w:hAnsi="宋体" w:eastAsia="宋体" w:cs="宋体"/>
                <w:i w:val="0"/>
                <w:color w:val="000000"/>
                <w:sz w:val="21"/>
                <w:szCs w:val="21"/>
                <w:u w:val="none"/>
              </w:rPr>
            </w:pPr>
          </w:p>
        </w:tc>
        <w:tc>
          <w:tcPr>
            <w:tcW w:w="1821" w:type="dxa"/>
            <w:vAlign w:val="center"/>
          </w:tcPr>
          <w:p>
            <w:pPr>
              <w:ind w:left="0" w:leftChars="0" w:firstLine="0" w:firstLineChars="0"/>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300*600mm</w:t>
            </w:r>
          </w:p>
          <w:p>
            <w:pPr>
              <w:ind w:left="0" w:leftChars="0" w:firstLine="0" w:firstLineChars="0"/>
              <w:jc w:val="center"/>
              <w:rPr>
                <w:szCs w:val="21"/>
              </w:rPr>
            </w:pPr>
            <w:r>
              <w:rPr>
                <w:rFonts w:hint="eastAsia" w:ascii="宋体" w:hAnsi="宋体" w:eastAsia="宋体" w:cs="宋体"/>
                <w:i w:val="0"/>
                <w:color w:val="000000"/>
                <w:sz w:val="21"/>
                <w:szCs w:val="21"/>
                <w:u w:val="none"/>
              </w:rPr>
              <w:t>卫生间墙面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88"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rPr>
              <w:t>暖灰色无釉面砖</w:t>
            </w:r>
          </w:p>
        </w:tc>
        <w:tc>
          <w:tcPr>
            <w:tcW w:w="645"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lang w:val="en-US" w:eastAsia="zh-CN"/>
              </w:rPr>
              <w:t>m2</w:t>
            </w:r>
          </w:p>
        </w:tc>
        <w:tc>
          <w:tcPr>
            <w:tcW w:w="855"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lang w:val="en-US" w:eastAsia="zh-CN"/>
              </w:rPr>
              <w:t>340</w:t>
            </w:r>
          </w:p>
        </w:tc>
        <w:tc>
          <w:tcPr>
            <w:tcW w:w="855" w:type="dxa"/>
            <w:vAlign w:val="center"/>
          </w:tcPr>
          <w:p>
            <w:pPr>
              <w:spacing w:line="260" w:lineRule="exact"/>
              <w:jc w:val="center"/>
              <w:textAlignment w:val="baseline"/>
              <w:rPr>
                <w:rFonts w:hint="eastAsia"/>
                <w:szCs w:val="21"/>
              </w:rPr>
            </w:pPr>
          </w:p>
        </w:tc>
        <w:tc>
          <w:tcPr>
            <w:tcW w:w="1495" w:type="dxa"/>
            <w:vAlign w:val="center"/>
          </w:tcPr>
          <w:p>
            <w:pPr>
              <w:spacing w:line="260" w:lineRule="exact"/>
              <w:jc w:val="center"/>
              <w:textAlignment w:val="baseline"/>
              <w:rPr>
                <w:szCs w:val="21"/>
              </w:rPr>
            </w:pPr>
          </w:p>
        </w:tc>
        <w:tc>
          <w:tcPr>
            <w:tcW w:w="1230" w:type="dxa"/>
            <w:vAlign w:val="center"/>
          </w:tcPr>
          <w:p>
            <w:pPr>
              <w:ind w:left="0" w:leftChars="0" w:firstLine="0" w:firstLineChars="0"/>
              <w:jc w:val="center"/>
              <w:rPr>
                <w:rFonts w:hint="eastAsia" w:ascii="宋体" w:hAnsi="宋体" w:eastAsia="宋体" w:cs="宋体"/>
                <w:i w:val="0"/>
                <w:color w:val="000000"/>
                <w:sz w:val="21"/>
                <w:szCs w:val="21"/>
                <w:u w:val="none"/>
              </w:rPr>
            </w:pPr>
          </w:p>
        </w:tc>
        <w:tc>
          <w:tcPr>
            <w:tcW w:w="1821" w:type="dxa"/>
            <w:vAlign w:val="center"/>
          </w:tcPr>
          <w:p>
            <w:pPr>
              <w:ind w:left="0" w:leftChars="0" w:firstLine="0" w:firstLine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600*300mm</w:t>
            </w:r>
          </w:p>
          <w:p>
            <w:pPr>
              <w:ind w:left="0" w:leftChars="0" w:firstLine="0" w:firstLineChars="0"/>
              <w:jc w:val="center"/>
              <w:rPr>
                <w:szCs w:val="21"/>
              </w:rPr>
            </w:pPr>
            <w:r>
              <w:rPr>
                <w:rFonts w:hint="eastAsia" w:ascii="宋体" w:hAnsi="宋体" w:eastAsia="宋体" w:cs="宋体"/>
                <w:i w:val="0"/>
                <w:color w:val="000000"/>
                <w:sz w:val="21"/>
                <w:szCs w:val="21"/>
                <w:u w:val="none"/>
              </w:rPr>
              <w:t>外墙用砖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88" w:type="dxa"/>
            <w:vAlign w:val="center"/>
          </w:tcPr>
          <w:p>
            <w:pPr>
              <w:ind w:left="0" w:leftChars="0" w:firstLine="0" w:firstLineChars="0"/>
              <w:jc w:val="center"/>
              <w:rPr>
                <w:szCs w:val="21"/>
              </w:rPr>
            </w:pPr>
            <w:r>
              <w:rPr>
                <w:rFonts w:hint="default" w:ascii="宋体" w:hAnsi="宋体" w:eastAsia="宋体" w:cs="宋体"/>
                <w:i w:val="0"/>
                <w:color w:val="000000"/>
                <w:sz w:val="21"/>
                <w:szCs w:val="21"/>
                <w:u w:val="none"/>
                <w:lang w:val="en-US" w:eastAsia="zh-CN"/>
              </w:rPr>
              <w:t>灰色软性瓷面砖</w:t>
            </w:r>
          </w:p>
        </w:tc>
        <w:tc>
          <w:tcPr>
            <w:tcW w:w="645"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lang w:val="en-US" w:eastAsia="zh-CN"/>
              </w:rPr>
              <w:t>m2</w:t>
            </w:r>
          </w:p>
        </w:tc>
        <w:tc>
          <w:tcPr>
            <w:tcW w:w="855"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lang w:val="en-US" w:eastAsia="zh-CN"/>
              </w:rPr>
              <w:t>50</w:t>
            </w:r>
          </w:p>
        </w:tc>
        <w:tc>
          <w:tcPr>
            <w:tcW w:w="855" w:type="dxa"/>
            <w:vAlign w:val="center"/>
          </w:tcPr>
          <w:p>
            <w:pPr>
              <w:spacing w:line="260" w:lineRule="exact"/>
              <w:jc w:val="center"/>
              <w:textAlignment w:val="baseline"/>
              <w:rPr>
                <w:rFonts w:hint="eastAsia"/>
                <w:szCs w:val="21"/>
              </w:rPr>
            </w:pPr>
          </w:p>
        </w:tc>
        <w:tc>
          <w:tcPr>
            <w:tcW w:w="1495" w:type="dxa"/>
            <w:vAlign w:val="center"/>
          </w:tcPr>
          <w:p>
            <w:pPr>
              <w:spacing w:line="260" w:lineRule="exact"/>
              <w:jc w:val="center"/>
              <w:textAlignment w:val="baseline"/>
              <w:rPr>
                <w:szCs w:val="21"/>
              </w:rPr>
            </w:pPr>
          </w:p>
        </w:tc>
        <w:tc>
          <w:tcPr>
            <w:tcW w:w="1230" w:type="dxa"/>
            <w:vAlign w:val="center"/>
          </w:tcPr>
          <w:p>
            <w:pPr>
              <w:ind w:left="0" w:leftChars="0" w:firstLine="0" w:firstLineChars="0"/>
              <w:jc w:val="center"/>
              <w:rPr>
                <w:rFonts w:hint="default" w:ascii="宋体" w:hAnsi="宋体" w:eastAsia="宋体" w:cs="宋体"/>
                <w:i w:val="0"/>
                <w:color w:val="000000"/>
                <w:sz w:val="21"/>
                <w:szCs w:val="21"/>
                <w:u w:val="none"/>
                <w:lang w:val="en-US" w:eastAsia="zh-CN"/>
              </w:rPr>
            </w:pPr>
          </w:p>
        </w:tc>
        <w:tc>
          <w:tcPr>
            <w:tcW w:w="1821" w:type="dxa"/>
            <w:vAlign w:val="center"/>
          </w:tcPr>
          <w:p>
            <w:pPr>
              <w:ind w:left="0" w:leftChars="0" w:firstLine="0" w:firstLine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600*300mm</w:t>
            </w:r>
          </w:p>
          <w:p>
            <w:pPr>
              <w:ind w:left="0" w:leftChars="0" w:firstLine="0" w:firstLineChars="0"/>
              <w:jc w:val="center"/>
              <w:rPr>
                <w:szCs w:val="21"/>
              </w:rPr>
            </w:pPr>
            <w:r>
              <w:rPr>
                <w:rFonts w:hint="default" w:ascii="宋体" w:hAnsi="宋体" w:eastAsia="宋体" w:cs="宋体"/>
                <w:i w:val="0"/>
                <w:color w:val="000000"/>
                <w:sz w:val="21"/>
                <w:szCs w:val="21"/>
                <w:u w:val="none"/>
                <w:lang w:val="en-US" w:eastAsia="zh-CN"/>
              </w:rPr>
              <w:t>外墙用砖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88" w:type="dxa"/>
            <w:vAlign w:val="center"/>
          </w:tcPr>
          <w:p>
            <w:pPr>
              <w:ind w:left="0" w:leftChars="0" w:firstLine="0" w:firstLineChars="0"/>
              <w:jc w:val="center"/>
              <w:rPr>
                <w:szCs w:val="21"/>
              </w:rPr>
            </w:pPr>
            <w:r>
              <w:rPr>
                <w:rFonts w:hint="default" w:ascii="宋体" w:hAnsi="宋体" w:eastAsia="宋体" w:cs="宋体"/>
                <w:i w:val="0"/>
                <w:color w:val="000000"/>
                <w:sz w:val="21"/>
                <w:szCs w:val="21"/>
                <w:u w:val="none"/>
                <w:lang w:val="en-US" w:eastAsia="zh-CN"/>
              </w:rPr>
              <w:t>彩色人行道面砖</w:t>
            </w:r>
          </w:p>
        </w:tc>
        <w:tc>
          <w:tcPr>
            <w:tcW w:w="645"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lang w:val="en-US" w:eastAsia="zh-CN"/>
              </w:rPr>
              <w:t>m2</w:t>
            </w:r>
          </w:p>
        </w:tc>
        <w:tc>
          <w:tcPr>
            <w:tcW w:w="855" w:type="dxa"/>
            <w:vAlign w:val="center"/>
          </w:tcPr>
          <w:p>
            <w:pPr>
              <w:ind w:left="0" w:leftChars="0" w:firstLine="0" w:firstLineChars="0"/>
              <w:jc w:val="center"/>
              <w:rPr>
                <w:rFonts w:hint="eastAsia"/>
                <w:szCs w:val="21"/>
              </w:rPr>
            </w:pPr>
            <w:r>
              <w:rPr>
                <w:rFonts w:hint="eastAsia" w:ascii="宋体" w:hAnsi="宋体" w:eastAsia="宋体" w:cs="宋体"/>
                <w:i w:val="0"/>
                <w:color w:val="000000"/>
                <w:sz w:val="21"/>
                <w:szCs w:val="21"/>
                <w:u w:val="none"/>
                <w:lang w:val="en-US" w:eastAsia="zh-CN"/>
              </w:rPr>
              <w:t>300</w:t>
            </w:r>
          </w:p>
        </w:tc>
        <w:tc>
          <w:tcPr>
            <w:tcW w:w="855" w:type="dxa"/>
            <w:vAlign w:val="center"/>
          </w:tcPr>
          <w:p>
            <w:pPr>
              <w:spacing w:line="260" w:lineRule="exact"/>
              <w:jc w:val="center"/>
              <w:textAlignment w:val="baseline"/>
              <w:rPr>
                <w:rFonts w:hint="eastAsia"/>
                <w:szCs w:val="21"/>
              </w:rPr>
            </w:pPr>
          </w:p>
        </w:tc>
        <w:tc>
          <w:tcPr>
            <w:tcW w:w="1495" w:type="dxa"/>
            <w:vAlign w:val="center"/>
          </w:tcPr>
          <w:p>
            <w:pPr>
              <w:spacing w:line="260" w:lineRule="exact"/>
              <w:jc w:val="center"/>
              <w:textAlignment w:val="baseline"/>
              <w:rPr>
                <w:szCs w:val="21"/>
              </w:rPr>
            </w:pPr>
          </w:p>
        </w:tc>
        <w:tc>
          <w:tcPr>
            <w:tcW w:w="1230" w:type="dxa"/>
            <w:vAlign w:val="center"/>
          </w:tcPr>
          <w:p>
            <w:pPr>
              <w:ind w:left="0" w:leftChars="0" w:firstLine="0" w:firstLineChars="0"/>
              <w:jc w:val="center"/>
              <w:rPr>
                <w:rFonts w:hint="eastAsia" w:ascii="宋体" w:hAnsi="宋体" w:eastAsia="宋体" w:cs="宋体"/>
                <w:i w:val="0"/>
                <w:color w:val="000000"/>
                <w:sz w:val="21"/>
                <w:szCs w:val="21"/>
                <w:u w:val="none"/>
              </w:rPr>
            </w:pPr>
          </w:p>
        </w:tc>
        <w:tc>
          <w:tcPr>
            <w:tcW w:w="1821" w:type="dxa"/>
            <w:vAlign w:val="center"/>
          </w:tcPr>
          <w:p>
            <w:pPr>
              <w:ind w:left="0" w:leftChars="0" w:firstLine="0" w:firstLineChars="0"/>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340mm*340mm*6mm</w:t>
            </w:r>
          </w:p>
          <w:p>
            <w:pPr>
              <w:ind w:left="0" w:leftChars="0" w:firstLine="0" w:firstLineChars="0"/>
              <w:jc w:val="center"/>
              <w:rPr>
                <w:szCs w:val="21"/>
              </w:rPr>
            </w:pPr>
            <w:r>
              <w:rPr>
                <w:rFonts w:hint="eastAsia" w:ascii="宋体" w:hAnsi="宋体" w:eastAsia="宋体" w:cs="宋体"/>
                <w:i w:val="0"/>
                <w:color w:val="000000"/>
                <w:sz w:val="21"/>
                <w:szCs w:val="21"/>
                <w:u w:val="none"/>
              </w:rPr>
              <w:t>地面广场用砖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988" w:type="dxa"/>
            <w:gridSpan w:val="3"/>
            <w:vAlign w:val="center"/>
          </w:tcPr>
          <w:p>
            <w:pPr>
              <w:spacing w:line="260" w:lineRule="exact"/>
              <w:jc w:val="center"/>
              <w:textAlignment w:val="baseline"/>
              <w:rPr>
                <w:szCs w:val="21"/>
              </w:rPr>
            </w:pPr>
            <w:r>
              <w:rPr>
                <w:rFonts w:hint="eastAsia"/>
                <w:szCs w:val="21"/>
              </w:rPr>
              <w:t>合计</w:t>
            </w:r>
          </w:p>
        </w:tc>
        <w:tc>
          <w:tcPr>
            <w:tcW w:w="5401" w:type="dxa"/>
            <w:gridSpan w:val="4"/>
            <w:vAlign w:val="center"/>
          </w:tcPr>
          <w:p>
            <w:pPr>
              <w:spacing w:line="260" w:lineRule="exact"/>
              <w:jc w:val="left"/>
              <w:textAlignment w:val="baseline"/>
              <w:rPr>
                <w:rFonts w:hint="eastAsia"/>
                <w:szCs w:val="21"/>
              </w:rPr>
            </w:pPr>
          </w:p>
        </w:tc>
      </w:tr>
    </w:tbl>
    <w:p>
      <w:pPr>
        <w:spacing w:line="360" w:lineRule="exact"/>
        <w:textAlignment w:val="baseline"/>
        <w:rPr>
          <w:rFonts w:hint="eastAsia"/>
          <w:szCs w:val="21"/>
        </w:rPr>
      </w:pPr>
      <w:r>
        <w:rPr>
          <w:rFonts w:hint="eastAsia"/>
          <w:szCs w:val="21"/>
        </w:rPr>
        <w:t>注：1、表中单价为</w:t>
      </w:r>
      <w:r>
        <w:rPr>
          <w:rFonts w:hint="eastAsia"/>
          <w:szCs w:val="21"/>
          <w:lang w:val="en-US" w:eastAsia="zh-CN"/>
        </w:rPr>
        <w:t>综合</w:t>
      </w:r>
      <w:r>
        <w:rPr>
          <w:rFonts w:hint="eastAsia"/>
          <w:szCs w:val="21"/>
        </w:rPr>
        <w:t>单价，数量以甲方代表确认的实际到货合格数量为准；本次采购各类材料除外墙用砖和地面广场用砖外均要求为同一品牌</w:t>
      </w:r>
      <w:r>
        <w:rPr>
          <w:rFonts w:hint="eastAsia"/>
          <w:szCs w:val="21"/>
          <w:lang w:eastAsia="zh-CN"/>
        </w:rPr>
        <w:t>，</w:t>
      </w:r>
      <w:r>
        <w:rPr>
          <w:rFonts w:hint="eastAsia"/>
          <w:szCs w:val="21"/>
        </w:rPr>
        <w:t>各类材料的尺寸、颜色均为暂定，实际供货尺寸及颜色均以甲方实际要求为准。</w:t>
      </w:r>
    </w:p>
    <w:p>
      <w:pPr>
        <w:spacing w:line="360" w:lineRule="exact"/>
        <w:ind w:firstLine="420" w:firstLineChars="200"/>
        <w:textAlignment w:val="baseline"/>
        <w:rPr>
          <w:rFonts w:hint="eastAsia"/>
          <w:szCs w:val="21"/>
        </w:rPr>
      </w:pPr>
      <w:r>
        <w:rPr>
          <w:rFonts w:hint="eastAsia"/>
          <w:szCs w:val="21"/>
        </w:rPr>
        <w:t>2、表中单价为含税到场价（包含运输费、材料费、保险、税金、通行费、合理损耗、间接费、运杂费、利润、规费、物价上涨、安全措施费、装卸费等在内的各种费用以及合同明示或暗示的所有责任、义务和一般风险）。</w:t>
      </w:r>
    </w:p>
    <w:p>
      <w:pPr>
        <w:spacing w:line="400" w:lineRule="exact"/>
        <w:ind w:firstLine="482" w:firstLineChars="200"/>
        <w:rPr>
          <w:rFonts w:ascii="宋体" w:hAnsi="宋体" w:cs="宋体"/>
          <w:sz w:val="24"/>
          <w:szCs w:val="24"/>
        </w:rPr>
      </w:pPr>
      <w:r>
        <w:rPr>
          <w:rFonts w:hint="eastAsia"/>
          <w:b/>
          <w:sz w:val="24"/>
          <w:szCs w:val="24"/>
        </w:rPr>
        <w:t>二、质量要求、技术标准、样品报送及封存</w:t>
      </w:r>
    </w:p>
    <w:p>
      <w:pPr>
        <w:spacing w:line="400" w:lineRule="exact"/>
        <w:ind w:firstLine="480" w:firstLineChars="200"/>
        <w:rPr>
          <w:ins w:id="8" w:author="lenovo" w:date="2021-03-15T14:40:02Z"/>
          <w:rFonts w:hint="eastAsia" w:ascii="宋体" w:hAnsi="宋体" w:cs="宋体"/>
          <w:sz w:val="24"/>
          <w:szCs w:val="24"/>
          <w:highlight w:val="none"/>
        </w:rPr>
      </w:pPr>
      <w:r>
        <w:rPr>
          <w:rFonts w:hint="eastAsia" w:ascii="宋体" w:hAnsi="宋体" w:cs="宋体"/>
          <w:sz w:val="24"/>
          <w:szCs w:val="24"/>
          <w:highlight w:val="none"/>
        </w:rPr>
        <w:t>（1）质量要求：</w:t>
      </w:r>
      <w:del w:id="9" w:author="lenovo" w:date="2021-03-15T14:40:02Z">
        <w:r>
          <w:rPr>
            <w:rFonts w:hint="eastAsia" w:ascii="宋体" w:hAnsi="宋体" w:cs="宋体"/>
            <w:sz w:val="24"/>
            <w:szCs w:val="24"/>
          </w:rPr>
          <w:delText>50、90</w:delText>
        </w:r>
      </w:del>
    </w:p>
    <w:p>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供货墙地砖均要求为优等品，墙地砖及石材的尺寸和表面质量、物理性能、吸水率、破坏强度、断裂模数、耐磨性、线性热膨胀、抗热震性、有釉砖抗釉裂性、磨擦系数、热膨胀、小色差、抗冲击性、光泽度、化学性能、耐污染性、耐酸碱腐蚀性、耐化学腐蚀性、重金属溶出量等性能要求必须达到现行有关墙地砖、石材等材料的质量及性能要求应符合比选人的铺贴要求、施工设计图、国家、行业标准（包括但不限于《陶瓷砖（GB/T4100-2006）》、《GB/T3810陶瓷砖试验方法（第一至第十六部分）》、《建筑材料放射性核素限量（GB6566-2010）》、《镜面光泽度（GB/T13891-2008）》、《建筑地面工程施工质量验收规范（GB5209-2002）》、《建筑装饰装修工程质量及验收规范（GB50210-2001）》等），且必须符合国家环境、职业健康安全方面的相关规定。上述材料送货到场时必须具有产品质量合格证及有资质的试验检测机构出具的试验检测报告，材料质量认定以比选人抽样检测或外委检测结果为准。产品外观质量要求几何尺寸一致、颜色统一。因货物质量不符合国家、行业、施工设计图规定的以及本</w:t>
      </w:r>
      <w:del w:id="10" w:author="lenovo" w:date="2021-03-15T14:40:02Z">
        <w:r>
          <w:rPr>
            <w:rFonts w:hint="eastAsia" w:ascii="宋体" w:hAnsi="宋体" w:cs="宋体"/>
            <w:sz w:val="24"/>
            <w:szCs w:val="24"/>
          </w:rPr>
          <w:delText>合同</w:delText>
        </w:r>
      </w:del>
      <w:ins w:id="11" w:author="lenovo" w:date="2021-03-15T14:40:02Z">
        <w:r>
          <w:rPr>
            <w:rFonts w:hint="eastAsia" w:ascii="宋体" w:hAnsi="宋体" w:cs="宋体"/>
            <w:sz w:val="24"/>
            <w:szCs w:val="24"/>
            <w:highlight w:val="none"/>
          </w:rPr>
          <w:t>竞争性比选文件</w:t>
        </w:r>
      </w:ins>
      <w:r>
        <w:rPr>
          <w:rFonts w:hint="eastAsia" w:ascii="宋体" w:hAnsi="宋体" w:cs="宋体"/>
          <w:sz w:val="24"/>
          <w:szCs w:val="24"/>
          <w:highlight w:val="none"/>
        </w:rPr>
        <w:t>的相关标准而产生的一切后果责任由</w:t>
      </w:r>
      <w:del w:id="12" w:author="lenovo" w:date="2021-03-15T14:40:02Z">
        <w:r>
          <w:rPr>
            <w:rFonts w:hint="eastAsia" w:ascii="宋体" w:hAnsi="宋体" w:cs="宋体"/>
            <w:sz w:val="24"/>
            <w:szCs w:val="24"/>
          </w:rPr>
          <w:delText>乙方</w:delText>
        </w:r>
      </w:del>
      <w:ins w:id="13" w:author="lenovo" w:date="2021-03-15T14:40:02Z">
        <w:r>
          <w:rPr>
            <w:rFonts w:hint="eastAsia" w:ascii="宋体" w:hAnsi="宋体" w:cs="宋体"/>
            <w:sz w:val="24"/>
            <w:szCs w:val="24"/>
            <w:highlight w:val="none"/>
          </w:rPr>
          <w:t>比选申请人</w:t>
        </w:r>
      </w:ins>
      <w:r>
        <w:rPr>
          <w:rFonts w:hint="eastAsia" w:ascii="宋体" w:hAnsi="宋体" w:cs="宋体"/>
          <w:sz w:val="24"/>
          <w:szCs w:val="24"/>
          <w:highlight w:val="none"/>
        </w:rPr>
        <w:t>承担；若由此而给</w:t>
      </w:r>
      <w:del w:id="14" w:author="lenovo" w:date="2021-03-15T14:40:02Z">
        <w:r>
          <w:rPr>
            <w:rFonts w:hint="eastAsia" w:ascii="宋体" w:hAnsi="宋体" w:cs="宋体"/>
            <w:sz w:val="24"/>
            <w:szCs w:val="24"/>
          </w:rPr>
          <w:delText>甲方</w:delText>
        </w:r>
      </w:del>
      <w:ins w:id="15" w:author="lenovo" w:date="2021-03-15T14:40:02Z">
        <w:r>
          <w:rPr>
            <w:rFonts w:hint="eastAsia" w:ascii="宋体" w:hAnsi="宋体" w:cs="宋体"/>
            <w:sz w:val="24"/>
            <w:szCs w:val="24"/>
            <w:highlight w:val="none"/>
          </w:rPr>
          <w:t>比选人</w:t>
        </w:r>
      </w:ins>
      <w:r>
        <w:rPr>
          <w:rFonts w:hint="eastAsia" w:ascii="宋体" w:hAnsi="宋体" w:cs="宋体"/>
          <w:sz w:val="24"/>
          <w:szCs w:val="24"/>
          <w:highlight w:val="none"/>
        </w:rPr>
        <w:t>造成损失的，</w:t>
      </w:r>
      <w:del w:id="16" w:author="lenovo" w:date="2021-03-15T14:40:02Z">
        <w:r>
          <w:rPr>
            <w:rFonts w:hint="eastAsia" w:ascii="宋体" w:hAnsi="宋体" w:cs="宋体"/>
            <w:sz w:val="24"/>
            <w:szCs w:val="24"/>
          </w:rPr>
          <w:delText>乙方</w:delText>
        </w:r>
      </w:del>
      <w:ins w:id="17" w:author="lenovo" w:date="2021-03-15T14:40:02Z">
        <w:r>
          <w:rPr>
            <w:rFonts w:hint="eastAsia" w:ascii="宋体" w:hAnsi="宋体" w:cs="宋体"/>
            <w:sz w:val="24"/>
            <w:szCs w:val="24"/>
            <w:highlight w:val="none"/>
          </w:rPr>
          <w:t>比选申请人</w:t>
        </w:r>
      </w:ins>
      <w:r>
        <w:rPr>
          <w:rFonts w:hint="eastAsia" w:ascii="宋体" w:hAnsi="宋体" w:cs="宋体"/>
          <w:sz w:val="24"/>
          <w:szCs w:val="24"/>
          <w:highlight w:val="none"/>
        </w:rPr>
        <w:t>应全额赔偿。</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样品报送及封存：乙方应在甲方提出需求计划后的1个工作日内向甲方报送样品，乙方报送的样品均应来自供应材料的实际生产地，且提供的样品的规格、数量足以表明材料或工程设备的质量、型号、颜色、表面处理、质地、误差和其他要求的特征。乙方报送样品时应随附申报单，申报单应载明报送样品的相关数据和资料，并预留甲方、监理及业主的批复意见栏。甲方应在收到乙方报送的样品后3个工作日内向乙方回复经业主、监理签认的样品审批意见。</w:t>
      </w:r>
      <w:r>
        <w:rPr>
          <w:rFonts w:hint="eastAsia" w:ascii="宋体" w:hAnsi="宋体" w:cs="宋体"/>
          <w:b/>
          <w:bCs/>
          <w:color w:val="auto"/>
          <w:sz w:val="24"/>
          <w:szCs w:val="24"/>
          <w:highlight w:val="none"/>
        </w:rPr>
        <w:t>经业主和监理审批确认的样品应按约定的方法封样，封存的样品作为检验乙方材料供应质量检验的标准之一。</w:t>
      </w:r>
      <w:r>
        <w:rPr>
          <w:rFonts w:hint="eastAsia" w:ascii="宋体" w:hAnsi="宋体" w:cs="宋体"/>
          <w:color w:val="auto"/>
          <w:sz w:val="24"/>
          <w:szCs w:val="24"/>
          <w:highlight w:val="none"/>
        </w:rPr>
        <w:t>乙方在供应过程中不得使用与样品不符的材料。</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3）材料运输：本合同约定的材料价格为甲方指定位置的到场单价，乙方须保证材料无损完好的运输至施工现场并承担破损更换的相应费用，材料运输（包括装卸及整齐堆放）的安全由乙方负责，因材料运输超限等引起的全部后果、责任均由乙方承担。乙方必须保证安全、及时供货，甲方不承担由此造成的安全责任及相应费用。</w:t>
      </w:r>
    </w:p>
    <w:p>
      <w:pPr>
        <w:pStyle w:val="2"/>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品牌推荐：斯奇、粤牌、拉斐尔、诺贝尔、马可波罗、冠珠、东鹏、蒙娜丽莎、新中源、能强、斯米克、欧神诺、冠军、简一、金舵、宏陶、箭牌、强牌、宏宇、金意陶、依诺、亚细亚、欧神诺、鹰牌、萨米特、王者等同档次及以上品牌。</w:t>
      </w:r>
    </w:p>
    <w:p>
      <w:pPr>
        <w:spacing w:line="400" w:lineRule="exact"/>
        <w:textAlignment w:val="baseline"/>
        <w:rPr>
          <w:b/>
          <w:sz w:val="24"/>
          <w:szCs w:val="24"/>
        </w:rPr>
      </w:pPr>
      <w:r>
        <w:rPr>
          <w:rFonts w:hint="eastAsia"/>
          <w:color w:val="FF0000"/>
          <w:sz w:val="24"/>
          <w:szCs w:val="24"/>
        </w:rPr>
        <w:t xml:space="preserve">   </w:t>
      </w:r>
      <w:r>
        <w:rPr>
          <w:rFonts w:hint="eastAsia"/>
          <w:b/>
          <w:sz w:val="24"/>
          <w:szCs w:val="24"/>
        </w:rPr>
        <w:t>三、交（提）货地点、方式</w:t>
      </w:r>
    </w:p>
    <w:p>
      <w:pPr>
        <w:spacing w:line="400" w:lineRule="exact"/>
        <w:ind w:firstLine="480" w:firstLineChars="200"/>
        <w:textAlignment w:val="baseline"/>
        <w:rPr>
          <w:rFonts w:ascii="宋体" w:hAnsi="宋体" w:cs="宋体"/>
          <w:sz w:val="24"/>
          <w:szCs w:val="24"/>
        </w:rPr>
      </w:pPr>
      <w:r>
        <w:rPr>
          <w:rFonts w:hint="eastAsia"/>
          <w:sz w:val="24"/>
          <w:szCs w:val="24"/>
        </w:rPr>
        <w:t>1、</w:t>
      </w:r>
      <w:r>
        <w:rPr>
          <w:rFonts w:hint="eastAsia" w:ascii="宋体" w:hAnsi="宋体" w:cs="宋体"/>
          <w:sz w:val="24"/>
          <w:szCs w:val="24"/>
        </w:rPr>
        <w:t>供货前由甲方提前以电话（短信）通知为准，乙方应自接到甲方电话通知供货后</w:t>
      </w:r>
      <w:r>
        <w:rPr>
          <w:rFonts w:hint="eastAsia" w:ascii="宋体" w:hAnsi="宋体" w:cs="宋体"/>
          <w:sz w:val="24"/>
          <w:szCs w:val="24"/>
          <w:highlight w:val="none"/>
          <w:u w:val="single"/>
        </w:rPr>
        <w:t>48</w:t>
      </w:r>
      <w:r>
        <w:rPr>
          <w:rFonts w:hint="eastAsia" w:ascii="宋体" w:hAnsi="宋体" w:cs="宋体"/>
          <w:sz w:val="24"/>
          <w:szCs w:val="24"/>
          <w:highlight w:val="none"/>
        </w:rPr>
        <w:t>小时内将</w:t>
      </w:r>
      <w:r>
        <w:rPr>
          <w:rFonts w:hint="eastAsia" w:ascii="宋体" w:hAnsi="宋体" w:cs="宋体"/>
          <w:sz w:val="24"/>
          <w:szCs w:val="24"/>
        </w:rPr>
        <w:t>所需材料以汽车运至甲方指定位置：</w:t>
      </w:r>
      <w:r>
        <w:rPr>
          <w:rFonts w:hint="eastAsia" w:ascii="宋体" w:hAnsi="宋体" w:cs="宋体"/>
          <w:sz w:val="24"/>
          <w:szCs w:val="24"/>
          <w:highlight w:val="none"/>
          <w:u w:val="single"/>
        </w:rPr>
        <w:t>重庆市长寿区石堰镇石堰收费站施工工地现场</w:t>
      </w:r>
      <w:r>
        <w:rPr>
          <w:rFonts w:hint="eastAsia" w:ascii="宋体" w:hAnsi="宋体" w:cs="宋体"/>
          <w:b/>
          <w:bCs/>
          <w:sz w:val="24"/>
          <w:szCs w:val="24"/>
        </w:rPr>
        <w:t>，</w:t>
      </w:r>
      <w:r>
        <w:rPr>
          <w:rFonts w:hint="eastAsia" w:ascii="宋体" w:hAnsi="宋体" w:cs="宋体"/>
          <w:sz w:val="24"/>
          <w:szCs w:val="24"/>
        </w:rPr>
        <w:t>并按甲方要求时间进场卸料，停靠于甲方指定卸料地点。</w:t>
      </w:r>
    </w:p>
    <w:p>
      <w:pPr>
        <w:spacing w:line="400" w:lineRule="exact"/>
        <w:ind w:firstLine="480" w:firstLineChars="200"/>
        <w:textAlignment w:val="baseline"/>
        <w:rPr>
          <w:sz w:val="24"/>
          <w:szCs w:val="24"/>
        </w:rPr>
      </w:pPr>
      <w:r>
        <w:rPr>
          <w:rFonts w:hint="eastAsia"/>
          <w:sz w:val="24"/>
          <w:szCs w:val="24"/>
        </w:rPr>
        <w:t>2、</w:t>
      </w:r>
      <w:r>
        <w:rPr>
          <w:rFonts w:hint="eastAsia"/>
          <w:b/>
          <w:bCs/>
          <w:sz w:val="24"/>
          <w:szCs w:val="24"/>
        </w:rPr>
        <w:t>乙方所供应的</w:t>
      </w:r>
      <w:r>
        <w:rPr>
          <w:rFonts w:hint="eastAsia"/>
          <w:b/>
          <w:bCs/>
          <w:sz w:val="24"/>
          <w:szCs w:val="24"/>
          <w:lang w:val="en-US" w:eastAsia="zh-CN"/>
        </w:rPr>
        <w:t>墙地砖</w:t>
      </w:r>
      <w:r>
        <w:rPr>
          <w:rFonts w:hint="eastAsia"/>
          <w:b/>
          <w:bCs/>
          <w:sz w:val="24"/>
          <w:szCs w:val="24"/>
        </w:rPr>
        <w:t>经甲方验收合格后收货</w:t>
      </w:r>
      <w:r>
        <w:rPr>
          <w:rFonts w:hint="eastAsia"/>
          <w:sz w:val="24"/>
          <w:szCs w:val="24"/>
        </w:rPr>
        <w:t>。在转运过程中，乙方必须采取有效措施避免材料的二次污染或受损，否则，甲方有权拒绝收货或要求退货。</w:t>
      </w:r>
    </w:p>
    <w:p>
      <w:pPr>
        <w:spacing w:line="400" w:lineRule="exact"/>
        <w:ind w:firstLine="472" w:firstLineChars="196"/>
        <w:textAlignment w:val="baseline"/>
        <w:rPr>
          <w:b/>
          <w:sz w:val="24"/>
          <w:szCs w:val="24"/>
        </w:rPr>
      </w:pPr>
      <w:r>
        <w:rPr>
          <w:rFonts w:hint="eastAsia"/>
          <w:b/>
          <w:sz w:val="24"/>
          <w:szCs w:val="24"/>
        </w:rPr>
        <w:t>四、运输方式及到达站港和费用负担</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本合同约定的材料价格为甲方指定位置到场的单价。乙方须保证材料无损完好的运输至施工现场并承担破损更换的相应费用，材料运输（包括装卸及整齐堆放）的安全由乙方负责，因超限等引起的一切后果及责任均由乙方自行承担。乙方必须保证安全、及时、足额供货；涉及危化品运输的，运输车辆必须具备“危化品运输许可证”，甲方不承担由此造成的安全责任及相应费用。</w:t>
      </w:r>
    </w:p>
    <w:p>
      <w:pPr>
        <w:spacing w:line="400" w:lineRule="exact"/>
        <w:ind w:firstLine="472" w:firstLineChars="196"/>
        <w:rPr>
          <w:rFonts w:ascii="宋体" w:hAnsi="宋体"/>
          <w:b/>
          <w:sz w:val="24"/>
          <w:szCs w:val="24"/>
        </w:rPr>
      </w:pPr>
      <w:r>
        <w:rPr>
          <w:rFonts w:hint="eastAsia" w:ascii="宋体" w:hAnsi="宋体"/>
          <w:b/>
          <w:sz w:val="24"/>
          <w:szCs w:val="24"/>
        </w:rPr>
        <w:t>五、货物所有权</w:t>
      </w:r>
    </w:p>
    <w:p>
      <w:pPr>
        <w:spacing w:line="400" w:lineRule="exact"/>
        <w:ind w:firstLine="480" w:firstLineChars="200"/>
        <w:rPr>
          <w:rFonts w:ascii="宋体" w:hAnsi="宋体"/>
          <w:sz w:val="24"/>
          <w:szCs w:val="24"/>
        </w:rPr>
      </w:pPr>
      <w:r>
        <w:rPr>
          <w:rFonts w:hint="eastAsia" w:ascii="宋体" w:hAnsi="宋体"/>
          <w:sz w:val="24"/>
          <w:szCs w:val="24"/>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spacing w:line="400" w:lineRule="exact"/>
        <w:ind w:firstLine="472" w:firstLineChars="196"/>
        <w:textAlignment w:val="baseline"/>
        <w:rPr>
          <w:b/>
          <w:sz w:val="24"/>
          <w:szCs w:val="24"/>
        </w:rPr>
      </w:pPr>
      <w:r>
        <w:rPr>
          <w:rFonts w:hint="eastAsia"/>
          <w:b/>
          <w:sz w:val="24"/>
          <w:szCs w:val="24"/>
        </w:rPr>
        <w:t>六、计量方法</w:t>
      </w:r>
    </w:p>
    <w:p>
      <w:pPr>
        <w:spacing w:line="400" w:lineRule="exact"/>
        <w:ind w:firstLine="470" w:firstLineChars="196"/>
        <w:textAlignment w:val="baseline"/>
        <w:rPr>
          <w:sz w:val="24"/>
          <w:szCs w:val="24"/>
        </w:rPr>
      </w:pPr>
      <w:r>
        <w:rPr>
          <w:rFonts w:hint="eastAsia"/>
          <w:sz w:val="24"/>
          <w:szCs w:val="24"/>
        </w:rPr>
        <w:t xml:space="preserve">1、以甲方现场量测计量为准，乙方提供的送货单作为参考。乙方如对甲方计量结果有异议，双方应现场协商解决，事后甲方不予认可。 </w:t>
      </w:r>
    </w:p>
    <w:p>
      <w:pPr>
        <w:spacing w:line="400" w:lineRule="exact"/>
        <w:ind w:firstLine="470" w:firstLineChars="196"/>
        <w:textAlignment w:val="baseline"/>
        <w:rPr>
          <w:rFonts w:hint="eastAsia"/>
          <w:sz w:val="24"/>
          <w:szCs w:val="24"/>
        </w:rPr>
      </w:pPr>
      <w:r>
        <w:rPr>
          <w:rFonts w:hint="eastAsia"/>
          <w:sz w:val="24"/>
          <w:szCs w:val="24"/>
        </w:rPr>
        <w:t>2、到场材料规格型号以甲方通知为准，若与通知中规格型号有误则不予计量。</w:t>
      </w:r>
    </w:p>
    <w:p>
      <w:pPr>
        <w:spacing w:line="400" w:lineRule="exact"/>
        <w:ind w:firstLine="472" w:firstLineChars="196"/>
        <w:textAlignment w:val="baseline"/>
        <w:rPr>
          <w:b/>
          <w:sz w:val="24"/>
          <w:szCs w:val="24"/>
        </w:rPr>
      </w:pPr>
      <w:r>
        <w:rPr>
          <w:rFonts w:hint="eastAsia"/>
          <w:b/>
          <w:sz w:val="24"/>
          <w:szCs w:val="24"/>
        </w:rPr>
        <w:t>七、验收标准、方法</w:t>
      </w:r>
    </w:p>
    <w:p>
      <w:pPr>
        <w:spacing w:line="40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b/>
          <w:bCs/>
          <w:sz w:val="24"/>
          <w:szCs w:val="24"/>
          <w:lang w:val="en-US" w:eastAsia="zh-CN"/>
        </w:rPr>
        <w:t>每批材料到场后</w:t>
      </w:r>
      <w:r>
        <w:rPr>
          <w:rFonts w:hint="eastAsia" w:ascii="宋体" w:hAnsi="宋体" w:cs="宋体"/>
          <w:b/>
          <w:bCs/>
          <w:sz w:val="24"/>
          <w:szCs w:val="24"/>
        </w:rPr>
        <w:t>由甲方负责初检</w:t>
      </w:r>
      <w:r>
        <w:rPr>
          <w:rFonts w:hint="eastAsia" w:ascii="宋体" w:hAnsi="宋体" w:cs="宋体"/>
          <w:sz w:val="24"/>
          <w:szCs w:val="24"/>
        </w:rPr>
        <w:t>（初检指标包括：外观颜色、外观洁净程度、规格尺寸、强度等），并根据甲方自检频率对材料各项技术标准进行严格检测，</w:t>
      </w:r>
      <w:r>
        <w:rPr>
          <w:rFonts w:hint="eastAsia" w:ascii="宋体" w:hAnsi="宋体" w:cs="宋体"/>
          <w:b/>
          <w:bCs/>
          <w:sz w:val="24"/>
          <w:szCs w:val="24"/>
        </w:rPr>
        <w:t>不合格材料则无条件退货</w:t>
      </w:r>
      <w:r>
        <w:rPr>
          <w:rFonts w:hint="eastAsia" w:ascii="宋体" w:hAnsi="宋体" w:cs="宋体"/>
          <w:sz w:val="24"/>
          <w:szCs w:val="24"/>
        </w:rPr>
        <w:t>，若因退货导致甲方无法生产而影响项目工期，由此造成的损失由乙方承担。</w:t>
      </w:r>
    </w:p>
    <w:p>
      <w:pPr>
        <w:spacing w:line="400" w:lineRule="exact"/>
        <w:ind w:firstLine="470" w:firstLineChars="196"/>
        <w:rPr>
          <w:rFonts w:hint="eastAsia"/>
          <w:color w:val="FF0000"/>
          <w:sz w:val="24"/>
          <w:szCs w:val="24"/>
        </w:rPr>
      </w:pPr>
      <w:r>
        <w:rPr>
          <w:rFonts w:hint="eastAsia"/>
          <w:sz w:val="24"/>
          <w:szCs w:val="24"/>
        </w:rPr>
        <w:t>2、</w:t>
      </w:r>
      <w:r>
        <w:rPr>
          <w:rFonts w:hint="eastAsia" w:ascii="宋体" w:hAnsi="宋体" w:cs="宋体"/>
          <w:color w:val="000000"/>
          <w:kern w:val="0"/>
          <w:sz w:val="24"/>
          <w:szCs w:val="24"/>
        </w:rPr>
        <w:t>如在检测中发现材料不合格、或不满足技术要求的，乙方有争议的，</w:t>
      </w:r>
      <w:r>
        <w:rPr>
          <w:rFonts w:hint="eastAsia"/>
          <w:sz w:val="24"/>
          <w:szCs w:val="24"/>
        </w:rPr>
        <w:t>可委托经甲乙双方认可的第三方检测机构进行检测，</w:t>
      </w:r>
      <w:r>
        <w:rPr>
          <w:rFonts w:hint="eastAsia" w:ascii="宋体" w:hAnsi="宋体" w:cs="宋体"/>
          <w:color w:val="000000"/>
          <w:kern w:val="0"/>
          <w:sz w:val="24"/>
          <w:szCs w:val="24"/>
        </w:rPr>
        <w:t>费用先由乙方垫付，最终由相应责任方承担（如合格费用由甲方支付，如不合格费用由乙方支付）。</w:t>
      </w:r>
      <w:r>
        <w:rPr>
          <w:rFonts w:hint="eastAsia"/>
          <w:sz w:val="24"/>
          <w:szCs w:val="24"/>
        </w:rPr>
        <w:t>发生产品质量责任问题，乙方须承担由此造成的一切损失及费用。</w:t>
      </w:r>
    </w:p>
    <w:p>
      <w:pPr>
        <w:spacing w:line="400" w:lineRule="exact"/>
        <w:ind w:firstLine="480" w:firstLineChars="200"/>
        <w:textAlignment w:val="baseline"/>
        <w:rPr>
          <w:color w:val="FF0000"/>
          <w:sz w:val="24"/>
          <w:szCs w:val="24"/>
        </w:rPr>
      </w:pPr>
      <w:r>
        <w:rPr>
          <w:rFonts w:hint="eastAsia"/>
          <w:sz w:val="24"/>
          <w:szCs w:val="24"/>
        </w:rPr>
        <w:t>3、</w:t>
      </w:r>
      <w:r>
        <w:rPr>
          <w:rFonts w:hint="eastAsia" w:ascii="宋体" w:hAnsi="宋体"/>
          <w:sz w:val="24"/>
          <w:szCs w:val="24"/>
        </w:rPr>
        <w:t>甲方指定</w:t>
      </w:r>
      <w:del w:id="18" w:author="lenovo" w:date="2021-03-15T14:40:02Z">
        <w:r>
          <w:rPr>
            <w:rFonts w:hint="eastAsia" w:ascii="宋体" w:hAnsi="宋体"/>
            <w:b/>
            <w:bCs/>
            <w:sz w:val="24"/>
            <w:szCs w:val="24"/>
            <w:highlight w:val="none"/>
            <w:u w:val="single"/>
          </w:rPr>
          <w:delText xml:space="preserve">   李林峰   </w:delText>
        </w:r>
      </w:del>
      <w:ins w:id="19" w:author="lenovo" w:date="2021-03-15T14:40:02Z">
        <w:r>
          <w:rPr>
            <w:rFonts w:hint="eastAsia" w:ascii="宋体" w:hAnsi="宋体"/>
            <w:b/>
            <w:bCs/>
            <w:sz w:val="24"/>
            <w:szCs w:val="24"/>
            <w:highlight w:val="none"/>
            <w:u w:val="single"/>
          </w:rPr>
          <w:t xml:space="preserve">    </w:t>
        </w:r>
      </w:ins>
      <w:r>
        <w:rPr>
          <w:rFonts w:hint="eastAsia" w:ascii="宋体" w:hAnsi="宋体"/>
          <w:b/>
          <w:bCs/>
          <w:sz w:val="24"/>
          <w:szCs w:val="24"/>
          <w:highlight w:val="none"/>
          <w:u w:val="single"/>
          <w:lang w:val="en-US" w:eastAsia="zh-CN"/>
        </w:rPr>
        <w:t>李林峰</w:t>
      </w:r>
      <w:ins w:id="20" w:author="lenovo" w:date="2021-03-15T14:40:02Z">
        <w:r>
          <w:rPr>
            <w:rFonts w:hint="eastAsia" w:ascii="宋体" w:hAnsi="宋体"/>
            <w:b/>
            <w:bCs/>
            <w:sz w:val="24"/>
            <w:szCs w:val="24"/>
            <w:highlight w:val="none"/>
            <w:u w:val="single"/>
          </w:rPr>
          <w:t xml:space="preserve">    </w:t>
        </w:r>
      </w:ins>
      <w:r>
        <w:rPr>
          <w:rFonts w:hint="eastAsia" w:ascii="宋体" w:hAnsi="宋体"/>
          <w:sz w:val="24"/>
          <w:szCs w:val="24"/>
        </w:rPr>
        <w:t>为材料联络人，负责相关材料的收货及签字。</w:t>
      </w:r>
    </w:p>
    <w:p>
      <w:pPr>
        <w:spacing w:line="400" w:lineRule="exact"/>
        <w:ind w:firstLine="472" w:firstLineChars="196"/>
        <w:rPr>
          <w:b/>
          <w:sz w:val="24"/>
          <w:szCs w:val="24"/>
        </w:rPr>
      </w:pPr>
      <w:r>
        <w:rPr>
          <w:rFonts w:hint="eastAsia"/>
          <w:b/>
          <w:sz w:val="24"/>
          <w:szCs w:val="24"/>
        </w:rPr>
        <w:t>八、发票的开具</w:t>
      </w:r>
    </w:p>
    <w:p>
      <w:pPr>
        <w:adjustRightInd w:val="0"/>
        <w:spacing w:line="400" w:lineRule="exact"/>
        <w:ind w:firstLine="405" w:firstLineChars="169"/>
        <w:textAlignment w:val="baseline"/>
        <w:rPr>
          <w:sz w:val="24"/>
          <w:szCs w:val="24"/>
        </w:rPr>
      </w:pPr>
      <w:r>
        <w:rPr>
          <w:rFonts w:hint="eastAsia"/>
          <w:sz w:val="24"/>
          <w:szCs w:val="24"/>
        </w:rPr>
        <w:t>1、</w:t>
      </w:r>
      <w:r>
        <w:rPr>
          <w:rFonts w:hint="eastAsia"/>
          <w:sz w:val="24"/>
          <w:szCs w:val="24"/>
          <w:lang w:val="en-US" w:eastAsia="zh-CN"/>
        </w:rPr>
        <w:t>墙地砖</w:t>
      </w:r>
      <w:r>
        <w:rPr>
          <w:rFonts w:hint="eastAsia"/>
          <w:sz w:val="24"/>
          <w:szCs w:val="24"/>
        </w:rPr>
        <w:t>产品销售全额发票由乙方开具</w:t>
      </w:r>
      <w:r>
        <w:rPr>
          <w:rFonts w:hint="eastAsia"/>
          <w:b/>
          <w:sz w:val="24"/>
          <w:szCs w:val="24"/>
        </w:rPr>
        <w:t>增值税专用发票（抵扣税率</w:t>
      </w:r>
      <w:r>
        <w:rPr>
          <w:rFonts w:hint="eastAsia"/>
          <w:b/>
          <w:color w:val="auto"/>
          <w:sz w:val="24"/>
          <w:szCs w:val="24"/>
          <w:u w:val="single"/>
        </w:rPr>
        <w:t xml:space="preserve"> </w:t>
      </w:r>
      <w:r>
        <w:rPr>
          <w:rFonts w:hint="eastAsia"/>
          <w:b/>
          <w:color w:val="auto"/>
          <w:sz w:val="24"/>
          <w:szCs w:val="24"/>
          <w:u w:val="single"/>
          <w:lang w:val="en-US" w:eastAsia="zh-CN"/>
        </w:rPr>
        <w:t xml:space="preserve">  </w:t>
      </w:r>
      <w:r>
        <w:rPr>
          <w:rFonts w:hint="eastAsia"/>
          <w:b/>
          <w:sz w:val="24"/>
          <w:szCs w:val="24"/>
          <w:u w:val="single"/>
        </w:rPr>
        <w:t>%</w:t>
      </w:r>
      <w:r>
        <w:rPr>
          <w:rFonts w:hint="eastAsia"/>
          <w:b/>
          <w:sz w:val="24"/>
          <w:szCs w:val="24"/>
        </w:rPr>
        <w:t>）</w:t>
      </w:r>
      <w:r>
        <w:rPr>
          <w:rFonts w:hint="eastAsia"/>
          <w:sz w:val="24"/>
          <w:szCs w:val="24"/>
        </w:rPr>
        <w:t>给甲方，发票单位名称为本合同甲乙双方全称（销售发票中已包含运输费，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pacing w:line="400" w:lineRule="exact"/>
        <w:ind w:firstLine="405" w:firstLineChars="169"/>
        <w:textAlignment w:val="baseline"/>
        <w:rPr>
          <w:sz w:val="24"/>
          <w:szCs w:val="24"/>
        </w:rPr>
      </w:pPr>
      <w:r>
        <w:rPr>
          <w:rFonts w:hint="eastAsia"/>
          <w:sz w:val="24"/>
          <w:szCs w:val="24"/>
        </w:rPr>
        <w:t>2、乙方应按照甲方要求，在甲方支付合同价款前，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pacing w:line="400" w:lineRule="exact"/>
        <w:ind w:firstLine="405" w:firstLineChars="169"/>
        <w:textAlignment w:val="baseline"/>
        <w:rPr>
          <w:sz w:val="24"/>
          <w:szCs w:val="24"/>
        </w:rPr>
      </w:pPr>
      <w:r>
        <w:rPr>
          <w:rFonts w:hint="eastAsia"/>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pacing w:line="400" w:lineRule="exact"/>
        <w:ind w:firstLine="405" w:firstLineChars="169"/>
        <w:textAlignment w:val="baseline"/>
        <w:rPr>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spacing w:line="400" w:lineRule="exact"/>
        <w:ind w:firstLine="472" w:firstLineChars="196"/>
        <w:textAlignment w:val="baseline"/>
        <w:rPr>
          <w:rFonts w:hint="eastAsia"/>
          <w:color w:val="FF0000"/>
          <w:sz w:val="24"/>
          <w:szCs w:val="24"/>
        </w:rPr>
      </w:pPr>
      <w:r>
        <w:rPr>
          <w:rFonts w:hint="eastAsia"/>
          <w:b/>
          <w:sz w:val="24"/>
          <w:szCs w:val="24"/>
        </w:rPr>
        <w:t>九、结算方式及期限</w:t>
      </w:r>
    </w:p>
    <w:p>
      <w:pPr>
        <w:spacing w:line="400" w:lineRule="exact"/>
        <w:ind w:firstLine="470" w:firstLineChars="196"/>
        <w:textAlignment w:val="baseline"/>
        <w:rPr>
          <w:rFonts w:hint="eastAsia"/>
          <w:sz w:val="24"/>
          <w:szCs w:val="24"/>
        </w:rPr>
      </w:pPr>
      <w:r>
        <w:rPr>
          <w:rFonts w:hint="eastAsia" w:ascii="宋体" w:hAnsi="宋体"/>
          <w:sz w:val="24"/>
          <w:szCs w:val="24"/>
        </w:rPr>
        <w:t>1、</w:t>
      </w:r>
      <w:r>
        <w:rPr>
          <w:rFonts w:hint="eastAsia"/>
          <w:sz w:val="24"/>
          <w:szCs w:val="24"/>
        </w:rPr>
        <w:t>结算方式：按</w:t>
      </w:r>
      <w:r>
        <w:rPr>
          <w:rFonts w:hint="eastAsia"/>
          <w:b/>
          <w:bCs/>
          <w:sz w:val="24"/>
          <w:szCs w:val="24"/>
          <w:u w:val="single"/>
        </w:rPr>
        <w:t>月</w:t>
      </w:r>
      <w:r>
        <w:rPr>
          <w:rFonts w:hint="eastAsia"/>
          <w:sz w:val="24"/>
          <w:szCs w:val="24"/>
        </w:rPr>
        <w:t>结算，结算金额=</w:t>
      </w:r>
      <w:r>
        <w:rPr>
          <w:rFonts w:hint="eastAsia"/>
          <w:b/>
          <w:bCs/>
          <w:sz w:val="24"/>
          <w:szCs w:val="24"/>
          <w:u w:val="single"/>
        </w:rPr>
        <w:t>当月</w:t>
      </w:r>
      <w:r>
        <w:rPr>
          <w:rFonts w:hint="eastAsia" w:ascii="宋体" w:hAnsi="宋体" w:cs="宋体"/>
          <w:kern w:val="0"/>
          <w:sz w:val="24"/>
          <w:szCs w:val="24"/>
        </w:rPr>
        <w:t>已对账的实际收货数量×合同单价</w:t>
      </w:r>
      <w:r>
        <w:rPr>
          <w:rFonts w:hint="eastAsia"/>
          <w:sz w:val="24"/>
          <w:szCs w:val="24"/>
        </w:rPr>
        <w:t>。以</w:t>
      </w:r>
      <w:r>
        <w:rPr>
          <w:rFonts w:hint="eastAsia"/>
          <w:b/>
          <w:bCs/>
          <w:sz w:val="24"/>
          <w:szCs w:val="24"/>
          <w:u w:val="single"/>
        </w:rPr>
        <w:t>每月25日</w:t>
      </w:r>
      <w:r>
        <w:rPr>
          <w:rFonts w:hint="eastAsia"/>
          <w:sz w:val="24"/>
          <w:szCs w:val="24"/>
        </w:rPr>
        <w:t>为结算对账日期，每月25日-次月5日办理当月</w:t>
      </w:r>
      <w:r>
        <w:rPr>
          <w:rFonts w:hint="eastAsia"/>
          <w:b/>
          <w:bCs/>
          <w:sz w:val="24"/>
          <w:szCs w:val="24"/>
          <w:u w:val="single"/>
        </w:rPr>
        <w:t>结算</w:t>
      </w:r>
      <w:r>
        <w:rPr>
          <w:rFonts w:hint="eastAsia"/>
          <w:sz w:val="24"/>
          <w:szCs w:val="24"/>
        </w:rPr>
        <w:t>，乙方需向甲方提供有效发票及供货凭证。甲方自费用清单（</w:t>
      </w:r>
      <w:r>
        <w:rPr>
          <w:rFonts w:hint="eastAsia" w:ascii="宋体" w:hAnsi="宋体"/>
          <w:sz w:val="24"/>
          <w:szCs w:val="24"/>
        </w:rPr>
        <w:t>按甲方代表实际验收的合格数量和材料合同单价及运费单价计算）</w:t>
      </w:r>
      <w:r>
        <w:rPr>
          <w:rFonts w:hint="eastAsia"/>
          <w:sz w:val="24"/>
          <w:szCs w:val="24"/>
        </w:rPr>
        <w:t>及发票送达之日</w:t>
      </w:r>
      <w:r>
        <w:rPr>
          <w:rFonts w:hint="eastAsia"/>
          <w:sz w:val="24"/>
          <w:szCs w:val="24"/>
          <w:lang w:val="en-US" w:eastAsia="zh-CN"/>
        </w:rPr>
        <w:t>并扣除质保金后</w:t>
      </w:r>
      <w:r>
        <w:rPr>
          <w:rFonts w:hint="eastAsia"/>
          <w:sz w:val="24"/>
          <w:szCs w:val="24"/>
        </w:rPr>
        <w:t>起</w:t>
      </w:r>
      <w:r>
        <w:rPr>
          <w:rFonts w:hint="eastAsia"/>
          <w:b/>
          <w:bCs/>
          <w:sz w:val="24"/>
          <w:szCs w:val="24"/>
          <w:u w:val="single"/>
        </w:rPr>
        <w:t>十</w:t>
      </w:r>
      <w:r>
        <w:rPr>
          <w:rFonts w:hint="eastAsia"/>
          <w:sz w:val="24"/>
          <w:szCs w:val="24"/>
        </w:rPr>
        <w:t>个工作日内以</w:t>
      </w:r>
      <w:r>
        <w:rPr>
          <w:rFonts w:hint="eastAsia"/>
          <w:b/>
          <w:bCs/>
          <w:sz w:val="24"/>
          <w:szCs w:val="24"/>
          <w:u w:val="single"/>
        </w:rPr>
        <w:t>银行转账</w:t>
      </w:r>
      <w:r>
        <w:rPr>
          <w:rFonts w:hint="eastAsia"/>
          <w:sz w:val="24"/>
          <w:szCs w:val="24"/>
        </w:rPr>
        <w:t>方式支付给乙方（每月25日-次月5日无法办理支付）。乙方迟延提供发票和相关结算资料的，甲方的付款期限相应顺延。</w:t>
      </w:r>
    </w:p>
    <w:p>
      <w:pPr>
        <w:spacing w:line="400" w:lineRule="exact"/>
        <w:ind w:firstLine="480" w:firstLineChars="200"/>
        <w:textAlignment w:val="baseline"/>
        <w:rPr>
          <w:color w:val="FF0000"/>
          <w:sz w:val="24"/>
          <w:szCs w:val="24"/>
        </w:rPr>
      </w:pPr>
      <w:r>
        <w:rPr>
          <w:rFonts w:hint="eastAsia"/>
          <w:sz w:val="24"/>
          <w:szCs w:val="24"/>
        </w:rPr>
        <w:t>2、结算期限：每月6日-25日办理上月支付。</w:t>
      </w:r>
    </w:p>
    <w:p>
      <w:pPr>
        <w:spacing w:line="400" w:lineRule="exact"/>
        <w:textAlignment w:val="baseline"/>
        <w:rPr>
          <w:b/>
          <w:sz w:val="24"/>
          <w:szCs w:val="24"/>
        </w:rPr>
      </w:pPr>
      <w:r>
        <w:rPr>
          <w:rFonts w:hint="eastAsia"/>
          <w:sz w:val="24"/>
          <w:szCs w:val="24"/>
        </w:rPr>
        <w:t xml:space="preserve">    </w:t>
      </w:r>
      <w:r>
        <w:rPr>
          <w:rFonts w:hint="eastAsia"/>
          <w:b/>
          <w:sz w:val="24"/>
          <w:szCs w:val="24"/>
        </w:rPr>
        <w:t>十、履约保证金及质量保修缺陷</w:t>
      </w:r>
    </w:p>
    <w:p>
      <w:pPr>
        <w:spacing w:line="400" w:lineRule="exact"/>
        <w:ind w:firstLine="480" w:firstLineChars="200"/>
        <w:rPr>
          <w:rFonts w:hint="eastAsia" w:ascii="宋体" w:hAnsi="宋体"/>
          <w:sz w:val="24"/>
          <w:szCs w:val="24"/>
        </w:rPr>
      </w:pPr>
      <w:r>
        <w:rPr>
          <w:rFonts w:hint="eastAsia" w:ascii="宋体" w:hAnsi="宋体"/>
          <w:sz w:val="24"/>
          <w:szCs w:val="24"/>
        </w:rPr>
        <w:t>1、本合同无履约保证金。</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2</w:t>
      </w:r>
      <w:ins w:id="21" w:author="lenovo" w:date="2021-03-15T14:40:02Z">
        <w:r>
          <w:rPr>
            <w:rFonts w:hint="eastAsia" w:ascii="宋体" w:hAnsi="宋体"/>
            <w:sz w:val="24"/>
            <w:szCs w:val="24"/>
          </w:rPr>
          <w:t>、</w:t>
        </w:r>
      </w:ins>
      <w:r>
        <w:rPr>
          <w:rFonts w:hint="eastAsia" w:ascii="宋体" w:hAnsi="宋体"/>
          <w:sz w:val="24"/>
          <w:szCs w:val="24"/>
        </w:rPr>
        <w:t>在正常使用条件下，乙方承诺2年的质保期，在此期间如发生非人为质量问题(不可抗力除外)，乙方须在接到保修通知24小时内到现场进行免费维修。如果乙方未能按时到场进行维修或维修后仍不能满足使用功能及相关规范要求，甲方及使用方有权雇请第三方进行维修，维修费用由乙方承担。</w:t>
      </w:r>
    </w:p>
    <w:p>
      <w:pPr>
        <w:spacing w:line="400" w:lineRule="exact"/>
        <w:ind w:firstLine="480" w:firstLineChars="200"/>
        <w:rPr>
          <w:rFonts w:hint="eastAsia"/>
        </w:rPr>
      </w:pPr>
      <w:r>
        <w:rPr>
          <w:rFonts w:hint="eastAsia" w:ascii="宋体" w:hAnsi="宋体"/>
          <w:sz w:val="24"/>
          <w:szCs w:val="24"/>
          <w:lang w:val="en-US" w:eastAsia="zh-CN"/>
        </w:rPr>
        <w:t>3</w:t>
      </w:r>
      <w:r>
        <w:rPr>
          <w:rFonts w:hint="eastAsia" w:ascii="宋体" w:hAnsi="宋体"/>
          <w:sz w:val="24"/>
          <w:szCs w:val="24"/>
        </w:rPr>
        <w:t>、产品实行终身维修，保质期外出现问题，由乙方负责维修，所发生的费用甲方（或使用方）与乙方双方协商确定。</w:t>
      </w:r>
    </w:p>
    <w:p>
      <w:pPr>
        <w:spacing w:line="400" w:lineRule="exact"/>
        <w:ind w:firstLine="472" w:firstLineChars="196"/>
        <w:rPr>
          <w:b/>
          <w:sz w:val="24"/>
          <w:szCs w:val="24"/>
        </w:rPr>
      </w:pPr>
      <w:r>
        <w:rPr>
          <w:rFonts w:hint="eastAsia"/>
          <w:b/>
          <w:sz w:val="24"/>
          <w:szCs w:val="24"/>
        </w:rPr>
        <w:t>十一、违约责任</w:t>
      </w:r>
    </w:p>
    <w:p>
      <w:pPr>
        <w:spacing w:line="400" w:lineRule="exact"/>
        <w:ind w:firstLine="470" w:firstLineChars="196"/>
        <w:rPr>
          <w:rFonts w:ascii="宋体"/>
          <w:sz w:val="24"/>
          <w:szCs w:val="24"/>
        </w:rPr>
      </w:pPr>
      <w:r>
        <w:rPr>
          <w:rFonts w:hint="eastAsia" w:ascii="宋体" w:hAnsi="宋体"/>
          <w:sz w:val="24"/>
          <w:szCs w:val="24"/>
        </w:rPr>
        <w:t>1、乙方必须保证供货质量，若因材料质量原因导致的一切损失皆由乙方负责。若出现材料质量事故的，或出现材料质量不合格的，或出现供应材料与封样质量不一致的，或出现供应材料低于封样质量的，按</w:t>
      </w:r>
      <w:r>
        <w:rPr>
          <w:rFonts w:hint="eastAsia" w:ascii="宋体" w:hAnsi="宋体"/>
          <w:b/>
          <w:sz w:val="24"/>
          <w:szCs w:val="24"/>
          <w:u w:val="single"/>
        </w:rPr>
        <w:t>贰万元/次</w:t>
      </w:r>
      <w:r>
        <w:rPr>
          <w:rFonts w:hint="eastAsia" w:ascii="宋体" w:hAnsi="宋体"/>
          <w:sz w:val="24"/>
          <w:szCs w:val="24"/>
        </w:rPr>
        <w:t>的标准向甲方支付违约金，出现二次及以上事故的，</w:t>
      </w:r>
      <w:r>
        <w:rPr>
          <w:rFonts w:hint="eastAsia" w:ascii="宋体"/>
          <w:sz w:val="24"/>
          <w:szCs w:val="24"/>
        </w:rPr>
        <w:t>甲方可随时终止或解除本合同（因乙方到场材料验收未通过，初次拒收，二次终止合同），要求乙方赔偿甲方全部损失。</w:t>
      </w:r>
    </w:p>
    <w:p>
      <w:pPr>
        <w:spacing w:line="400" w:lineRule="exact"/>
        <w:ind w:firstLine="480" w:firstLineChars="200"/>
        <w:rPr>
          <w:rFonts w:hint="eastAsia" w:ascii="宋体"/>
          <w:sz w:val="24"/>
          <w:szCs w:val="24"/>
        </w:rPr>
      </w:pPr>
      <w:r>
        <w:rPr>
          <w:rFonts w:hint="eastAsia" w:ascii="宋体"/>
          <w:sz w:val="24"/>
          <w:szCs w:val="24"/>
        </w:rPr>
        <w:t>2、</w:t>
      </w:r>
      <w:r>
        <w:rPr>
          <w:rFonts w:hint="eastAsia" w:ascii="宋体" w:hAnsi="宋体"/>
          <w:sz w:val="24"/>
          <w:szCs w:val="24"/>
        </w:rPr>
        <w:t>乙方保证收到甲方短信或通知后48小时内将甲方所需合同材料送达到指定地点。乙方材料的供应量、送货时间必须满足甲方通知要求和甲方施工进度要求，否则，按</w:t>
      </w:r>
      <w:r>
        <w:rPr>
          <w:rFonts w:hint="eastAsia" w:ascii="宋体" w:hAnsi="宋体"/>
          <w:b/>
          <w:sz w:val="24"/>
          <w:szCs w:val="24"/>
          <w:u w:val="single"/>
        </w:rPr>
        <w:t>壹万元/天</w:t>
      </w:r>
      <w:r>
        <w:rPr>
          <w:rFonts w:hint="eastAsia" w:ascii="宋体" w:hAnsi="宋体"/>
          <w:sz w:val="24"/>
          <w:szCs w:val="24"/>
        </w:rPr>
        <w:t>的标准向甲方支付违约金；同时</w:t>
      </w:r>
      <w:r>
        <w:rPr>
          <w:rFonts w:hint="eastAsia" w:ascii="宋体"/>
          <w:sz w:val="24"/>
          <w:szCs w:val="24"/>
        </w:rPr>
        <w:t>，甲方有权终止或解除合同，要求乙方支付合同总金额</w:t>
      </w:r>
      <w:r>
        <w:rPr>
          <w:rFonts w:hint="eastAsia" w:ascii="宋体"/>
          <w:b/>
          <w:bCs/>
          <w:sz w:val="24"/>
          <w:szCs w:val="24"/>
          <w:u w:val="single"/>
        </w:rPr>
        <w:t>30%</w:t>
      </w:r>
      <w:r>
        <w:rPr>
          <w:rFonts w:hint="eastAsia" w:ascii="宋体"/>
          <w:sz w:val="24"/>
          <w:szCs w:val="24"/>
        </w:rPr>
        <w:t>的违约金，并赔偿甲方全部损失。</w:t>
      </w:r>
    </w:p>
    <w:p>
      <w:pPr>
        <w:spacing w:line="400" w:lineRule="exact"/>
        <w:ind w:firstLine="480" w:firstLineChars="200"/>
        <w:rPr>
          <w:rFonts w:hint="eastAsia" w:ascii="宋体" w:hAnsi="宋体"/>
          <w:sz w:val="24"/>
          <w:szCs w:val="24"/>
        </w:rPr>
      </w:pPr>
      <w:r>
        <w:rPr>
          <w:rFonts w:hint="eastAsia" w:ascii="宋体" w:hAnsi="宋体"/>
          <w:sz w:val="24"/>
          <w:szCs w:val="24"/>
        </w:rPr>
        <w:t>3、如果乙方在延误24小时供货后无法正常供货，甲方因项目工期需要有权采购同规格同型号的材料确保正常生产施工，直至乙方恢复正常供货为止。并且，期间产生的相关费用以及临时采购这批次材料的本合同货价及超出本合同同数量的合同材料差价由乙方全部承担。</w:t>
      </w:r>
    </w:p>
    <w:p>
      <w:pPr>
        <w:spacing w:line="400" w:lineRule="exact"/>
        <w:rPr>
          <w:rFonts w:ascii="宋体"/>
          <w:sz w:val="24"/>
          <w:szCs w:val="24"/>
        </w:rPr>
      </w:pPr>
      <w:r>
        <w:rPr>
          <w:rFonts w:hint="eastAsia" w:ascii="宋体"/>
          <w:sz w:val="24"/>
          <w:szCs w:val="24"/>
        </w:rPr>
        <w:t xml:space="preserve">    4、乙方迟延履行合同其他义务的，每迟延一天（次），</w:t>
      </w:r>
      <w:r>
        <w:rPr>
          <w:rFonts w:hint="eastAsia" w:ascii="宋体" w:hAnsi="宋体"/>
          <w:sz w:val="24"/>
          <w:szCs w:val="24"/>
        </w:rPr>
        <w:t>按</w:t>
      </w:r>
      <w:r>
        <w:rPr>
          <w:rFonts w:hint="eastAsia" w:ascii="宋体" w:hAnsi="宋体"/>
          <w:b/>
          <w:sz w:val="24"/>
          <w:szCs w:val="24"/>
          <w:u w:val="single"/>
        </w:rPr>
        <w:t>壹万元/天（次）</w:t>
      </w:r>
      <w:r>
        <w:rPr>
          <w:rFonts w:hint="eastAsia" w:ascii="宋体" w:hAnsi="宋体"/>
          <w:sz w:val="24"/>
          <w:szCs w:val="24"/>
        </w:rPr>
        <w:t>的标准向甲方支付违约金；迟延超过3天</w:t>
      </w:r>
      <w:r>
        <w:rPr>
          <w:rFonts w:hint="eastAsia" w:ascii="宋体"/>
          <w:sz w:val="24"/>
          <w:szCs w:val="24"/>
        </w:rPr>
        <w:t>（次）</w:t>
      </w:r>
      <w:r>
        <w:rPr>
          <w:rFonts w:hint="eastAsia" w:ascii="宋体" w:hAnsi="宋体"/>
          <w:sz w:val="24"/>
          <w:szCs w:val="24"/>
        </w:rPr>
        <w:t>的</w:t>
      </w:r>
      <w:r>
        <w:rPr>
          <w:rFonts w:hint="eastAsia" w:ascii="宋体"/>
          <w:sz w:val="24"/>
          <w:szCs w:val="24"/>
        </w:rPr>
        <w:t>，甲方有权终止或解除合同，要求乙方支付合同总金额</w:t>
      </w:r>
      <w:r>
        <w:rPr>
          <w:rFonts w:hint="eastAsia" w:ascii="宋体"/>
          <w:b/>
          <w:bCs/>
          <w:sz w:val="24"/>
          <w:szCs w:val="24"/>
          <w:u w:val="single"/>
        </w:rPr>
        <w:t>30%</w:t>
      </w:r>
      <w:r>
        <w:rPr>
          <w:rFonts w:hint="eastAsia" w:ascii="宋体"/>
          <w:sz w:val="24"/>
          <w:szCs w:val="24"/>
        </w:rPr>
        <w:t>的违约金，并赔偿甲方全部损失。</w:t>
      </w:r>
    </w:p>
    <w:p>
      <w:pPr>
        <w:spacing w:line="400" w:lineRule="exact"/>
        <w:ind w:firstLine="480" w:firstLineChars="200"/>
        <w:rPr>
          <w:rFonts w:ascii="宋体" w:hAnsi="宋体"/>
          <w:sz w:val="24"/>
          <w:szCs w:val="24"/>
        </w:rPr>
      </w:pPr>
      <w:r>
        <w:rPr>
          <w:rFonts w:hint="eastAsia" w:ascii="宋体"/>
          <w:sz w:val="24"/>
          <w:szCs w:val="24"/>
        </w:rPr>
        <w:t>5、乙方应保证供应货物不得存在任何权利瑕疵或侵犯任何第三人合法权益，否则，甲方有权终止或解除合同，要求乙方赔偿甲方全部损失。</w:t>
      </w:r>
    </w:p>
    <w:p>
      <w:pPr>
        <w:spacing w:line="400" w:lineRule="exact"/>
        <w:ind w:firstLine="480" w:firstLineChars="200"/>
        <w:textAlignment w:val="baseline"/>
        <w:rPr>
          <w:rFonts w:hint="eastAsia"/>
          <w:sz w:val="24"/>
          <w:szCs w:val="24"/>
        </w:rPr>
      </w:pPr>
      <w:r>
        <w:rPr>
          <w:rFonts w:hint="eastAsia" w:ascii="宋体"/>
          <w:sz w:val="24"/>
          <w:szCs w:val="24"/>
        </w:rPr>
        <w:t>6</w:t>
      </w:r>
      <w:r>
        <w:rPr>
          <w:rFonts w:hint="eastAsia"/>
          <w:sz w:val="24"/>
          <w:szCs w:val="24"/>
        </w:rPr>
        <w:t>、双方</w:t>
      </w:r>
      <w:r>
        <w:rPr>
          <w:rFonts w:hint="eastAsia" w:ascii="宋体" w:hAnsi="宋体"/>
          <w:sz w:val="24"/>
          <w:szCs w:val="24"/>
        </w:rPr>
        <w:t>其余违约</w:t>
      </w:r>
      <w:r>
        <w:rPr>
          <w:rFonts w:hint="eastAsia"/>
          <w:sz w:val="24"/>
          <w:szCs w:val="24"/>
        </w:rPr>
        <w:t>按《中华人民共和国合同法》执行，由违约方向守约方赔偿由此给守约方造成的一切经济损失。</w:t>
      </w:r>
    </w:p>
    <w:p>
      <w:pPr>
        <w:spacing w:line="400" w:lineRule="exact"/>
        <w:ind w:firstLine="480" w:firstLineChars="200"/>
        <w:textAlignment w:val="baseline"/>
        <w:rPr>
          <w:rFonts w:hint="eastAsia" w:ascii="宋体" w:hAnsi="宋体"/>
          <w:sz w:val="24"/>
          <w:szCs w:val="24"/>
        </w:rPr>
      </w:pPr>
      <w:r>
        <w:rPr>
          <w:rFonts w:hint="eastAsia"/>
          <w:sz w:val="24"/>
          <w:szCs w:val="24"/>
        </w:rPr>
        <w:t>7、本合同约定的甲方损失</w:t>
      </w:r>
      <w:r>
        <w:rPr>
          <w:rFonts w:hint="eastAsia" w:ascii="宋体" w:hAnsi="宋体"/>
          <w:sz w:val="24"/>
          <w:szCs w:val="24"/>
        </w:rPr>
        <w:t>包括工期延误损失、甲方向第三人承担的违约金、赔偿金、甲方预期利润等全部直接和间接损失。</w:t>
      </w:r>
    </w:p>
    <w:p>
      <w:pPr>
        <w:spacing w:line="400" w:lineRule="exact"/>
        <w:ind w:firstLine="480" w:firstLineChars="200"/>
        <w:textAlignment w:val="baseline"/>
        <w:rPr>
          <w:rFonts w:hint="eastAsia" w:ascii="宋体" w:hAnsi="宋体"/>
          <w:sz w:val="24"/>
          <w:szCs w:val="24"/>
          <w:lang w:val="en-US" w:eastAsia="zh-CN"/>
        </w:rPr>
      </w:pPr>
      <w:r>
        <w:rPr>
          <w:rFonts w:hint="eastAsia" w:ascii="宋体" w:hAnsi="宋体"/>
          <w:sz w:val="24"/>
          <w:szCs w:val="24"/>
          <w:lang w:val="en-US" w:eastAsia="zh-CN"/>
        </w:rPr>
        <w:t>8、为加强对乙方安装人员保险管理，乙方必须按照国家《劳动法》、《劳动合同法》等相关规定规范用工并为从业人员购买社保（含工伤保险）及其他商业险种。乙方商业险种应按照甲方要求购买雇主责任险（保险额度为100万/人；附加医疗保险5万/人），并自行承担相应的保费。乙方雇主责任险的购买可自行选择保险公司，也可在甲方推荐的保险公司购买，并将保险购买情况报甲方备案。</w:t>
      </w:r>
    </w:p>
    <w:p>
      <w:pPr>
        <w:spacing w:line="400" w:lineRule="exact"/>
        <w:ind w:firstLine="480" w:firstLineChars="200"/>
        <w:textAlignment w:val="baseline"/>
        <w:rPr>
          <w:rFonts w:hint="eastAsia" w:ascii="宋体" w:hAnsi="宋体"/>
          <w:sz w:val="24"/>
          <w:szCs w:val="24"/>
          <w:lang w:val="en-US" w:eastAsia="zh-CN"/>
        </w:rPr>
      </w:pPr>
      <w:r>
        <w:rPr>
          <w:rFonts w:hint="eastAsia" w:ascii="宋体" w:hAnsi="宋体"/>
          <w:sz w:val="24"/>
          <w:szCs w:val="24"/>
          <w:lang w:val="en-US" w:eastAsia="zh-CN"/>
        </w:rPr>
        <w:t>9、若发生保险事故，由乙方自行承担事故处理、保险责任、保险理赔有关事宜及费用等工作。</w:t>
      </w:r>
    </w:p>
    <w:p>
      <w:pPr>
        <w:spacing w:line="400" w:lineRule="exact"/>
        <w:ind w:firstLine="480" w:firstLineChars="200"/>
        <w:textAlignment w:val="baseline"/>
        <w:rPr>
          <w:rFonts w:hint="default" w:eastAsia="宋体"/>
          <w:sz w:val="24"/>
          <w:szCs w:val="24"/>
          <w:lang w:val="en-US" w:eastAsia="zh-CN"/>
        </w:rPr>
      </w:pPr>
      <w:r>
        <w:rPr>
          <w:rFonts w:hint="eastAsia" w:ascii="宋体" w:hAnsi="宋体"/>
          <w:sz w:val="24"/>
          <w:szCs w:val="24"/>
          <w:lang w:val="en-US" w:eastAsia="zh-CN"/>
        </w:rPr>
        <w:t>10、乙方安装人员未购买保险，严禁进入施工现场作业，如因乙方责任造成的一切后果均由乙方自行承担。</w:t>
      </w:r>
    </w:p>
    <w:p>
      <w:pPr>
        <w:spacing w:line="400" w:lineRule="exact"/>
        <w:ind w:firstLine="472" w:firstLineChars="196"/>
        <w:textAlignment w:val="baseline"/>
        <w:rPr>
          <w:b/>
          <w:sz w:val="24"/>
          <w:szCs w:val="24"/>
        </w:rPr>
      </w:pPr>
      <w:r>
        <w:rPr>
          <w:rFonts w:hint="eastAsia"/>
          <w:b/>
          <w:sz w:val="24"/>
          <w:szCs w:val="24"/>
        </w:rPr>
        <w:t>十二、其它约定事项</w:t>
      </w:r>
    </w:p>
    <w:p>
      <w:pPr>
        <w:spacing w:line="400" w:lineRule="exact"/>
        <w:ind w:firstLine="472" w:firstLineChars="197"/>
        <w:textAlignment w:val="baseline"/>
        <w:rPr>
          <w:rFonts w:hint="eastAsia" w:ascii="宋体" w:hAnsi="宋体"/>
          <w:sz w:val="24"/>
          <w:szCs w:val="24"/>
        </w:rPr>
      </w:pPr>
      <w:r>
        <w:rPr>
          <w:rFonts w:hint="eastAsia"/>
          <w:sz w:val="24"/>
          <w:szCs w:val="24"/>
        </w:rPr>
        <w:t>1、</w:t>
      </w:r>
      <w:r>
        <w:rPr>
          <w:rFonts w:hint="eastAsia" w:ascii="宋体" w:hAnsi="宋体"/>
          <w:sz w:val="24"/>
          <w:szCs w:val="24"/>
        </w:rPr>
        <w:t>本合同</w:t>
      </w:r>
      <w:r>
        <w:rPr>
          <w:rFonts w:hint="eastAsia"/>
          <w:sz w:val="24"/>
          <w:szCs w:val="24"/>
        </w:rPr>
        <w:t>为</w:t>
      </w:r>
      <w:r>
        <w:rPr>
          <w:rFonts w:hint="eastAsia"/>
          <w:b/>
          <w:bCs/>
          <w:sz w:val="24"/>
          <w:szCs w:val="24"/>
          <w:u w:val="single"/>
        </w:rPr>
        <w:t>固定</w:t>
      </w:r>
      <w:r>
        <w:rPr>
          <w:rFonts w:hint="eastAsia"/>
          <w:b/>
          <w:sz w:val="24"/>
          <w:szCs w:val="24"/>
          <w:u w:val="single"/>
        </w:rPr>
        <w:t>单价</w:t>
      </w:r>
      <w:r>
        <w:rPr>
          <w:rFonts w:hint="eastAsia"/>
          <w:sz w:val="24"/>
          <w:szCs w:val="24"/>
        </w:rPr>
        <w:t>合同。包含运输费、材料费、保险、税金、通行费、合理损耗、间接费、运杂费、利润、规费、物价上涨、安全措施费、装卸费等在内的各种费用以及合同明示或暗示的所有责任、义务和一般风险。</w:t>
      </w:r>
    </w:p>
    <w:p>
      <w:pPr>
        <w:spacing w:line="400" w:lineRule="exact"/>
        <w:ind w:firstLine="460" w:firstLineChars="192"/>
        <w:rPr>
          <w:rFonts w:ascii="宋体" w:hAnsi="宋体"/>
          <w:sz w:val="24"/>
          <w:szCs w:val="24"/>
        </w:rPr>
      </w:pPr>
      <w:r>
        <w:rPr>
          <w:rFonts w:hint="eastAsia" w:ascii="宋体" w:hAnsi="宋体"/>
          <w:sz w:val="24"/>
          <w:szCs w:val="24"/>
        </w:rPr>
        <w:t>2、在实际供货中，可能会因施工调整、质量等原因对供货数量和时间进行调整，会导致乙方在实际供货中数量发生变化，最终</w:t>
      </w:r>
      <w:r>
        <w:rPr>
          <w:rFonts w:hint="eastAsia"/>
          <w:sz w:val="24"/>
          <w:szCs w:val="24"/>
        </w:rPr>
        <w:t>数量以甲方代表确认的实际到货合格数量为准</w:t>
      </w:r>
      <w:r>
        <w:rPr>
          <w:rFonts w:hint="eastAsia" w:ascii="宋体" w:hAnsi="宋体"/>
          <w:sz w:val="24"/>
          <w:szCs w:val="24"/>
        </w:rPr>
        <w:t>。期间乙方不得以供应数量、尺寸及颜色改变、时间有变化要求进行单价变更。</w:t>
      </w:r>
    </w:p>
    <w:p>
      <w:pPr>
        <w:spacing w:line="400" w:lineRule="exact"/>
        <w:ind w:firstLine="472" w:firstLineChars="197"/>
        <w:textAlignment w:val="baseline"/>
        <w:rPr>
          <w:sz w:val="24"/>
          <w:szCs w:val="24"/>
        </w:rPr>
      </w:pPr>
      <w:r>
        <w:rPr>
          <w:rFonts w:hint="eastAsia"/>
          <w:sz w:val="24"/>
          <w:szCs w:val="24"/>
        </w:rPr>
        <w:t>3、如乙方产品因质量原因未通过质检（含颜色），乙方必须接受无条件退货，并由乙方承担由此造成的一切损失，甲方有权立即解除或终止合同。</w:t>
      </w:r>
    </w:p>
    <w:p>
      <w:pPr>
        <w:spacing w:line="400" w:lineRule="exact"/>
        <w:ind w:firstLine="460" w:firstLineChars="192"/>
        <w:rPr>
          <w:rFonts w:hint="eastAsia" w:ascii="宋体" w:hAnsi="宋体"/>
          <w:sz w:val="24"/>
          <w:szCs w:val="24"/>
        </w:rPr>
      </w:pPr>
      <w:r>
        <w:rPr>
          <w:rFonts w:hint="eastAsia" w:ascii="宋体" w:hAnsi="宋体"/>
          <w:sz w:val="24"/>
          <w:szCs w:val="24"/>
        </w:rPr>
        <w:t>4、</w:t>
      </w:r>
      <w:r>
        <w:rPr>
          <w:rFonts w:hint="eastAsia"/>
          <w:sz w:val="24"/>
          <w:szCs w:val="24"/>
        </w:rPr>
        <w:t>甲方的</w:t>
      </w:r>
      <w:r>
        <w:rPr>
          <w:rFonts w:hint="eastAsia"/>
          <w:sz w:val="24"/>
          <w:szCs w:val="24"/>
          <w:u w:val="single"/>
        </w:rPr>
        <w:t>比选文件</w:t>
      </w:r>
      <w:r>
        <w:rPr>
          <w:rFonts w:hint="eastAsia"/>
          <w:sz w:val="24"/>
          <w:szCs w:val="24"/>
        </w:rPr>
        <w:t>及乙方的</w:t>
      </w:r>
      <w:r>
        <w:rPr>
          <w:rFonts w:hint="eastAsia"/>
          <w:sz w:val="24"/>
          <w:szCs w:val="24"/>
          <w:u w:val="single"/>
        </w:rPr>
        <w:t>申请文件</w:t>
      </w:r>
      <w:r>
        <w:rPr>
          <w:rFonts w:hint="eastAsia"/>
          <w:sz w:val="24"/>
          <w:szCs w:val="24"/>
        </w:rPr>
        <w:t>作为本合同的附件，具有同等法律效力，</w:t>
      </w:r>
      <w:r>
        <w:rPr>
          <w:rFonts w:hint="eastAsia" w:ascii="宋体" w:hAnsi="宋体"/>
          <w:sz w:val="24"/>
          <w:szCs w:val="24"/>
        </w:rPr>
        <w:t>若有不一致或矛盾之处，以本合同条款为准。</w:t>
      </w:r>
    </w:p>
    <w:p>
      <w:pPr>
        <w:spacing w:line="400" w:lineRule="exact"/>
        <w:ind w:firstLine="460" w:firstLineChars="192"/>
        <w:rPr>
          <w:rFonts w:ascii="宋体" w:hAnsi="宋体"/>
          <w:sz w:val="24"/>
          <w:szCs w:val="24"/>
        </w:rPr>
      </w:pPr>
      <w:r>
        <w:rPr>
          <w:rFonts w:hint="eastAsia" w:ascii="宋体" w:hAnsi="宋体"/>
          <w:sz w:val="24"/>
          <w:szCs w:val="24"/>
        </w:rPr>
        <w:t>5、若出现重庆高速公路收费站限重等不可违抗因素，无任何运费调价机制，所有到场的运输费用由乙方自行承当。</w:t>
      </w:r>
    </w:p>
    <w:p>
      <w:pPr>
        <w:spacing w:line="400" w:lineRule="exact"/>
        <w:ind w:firstLine="463" w:firstLineChars="192"/>
        <w:rPr>
          <w:color w:val="auto"/>
          <w:sz w:val="24"/>
          <w:szCs w:val="24"/>
        </w:rPr>
      </w:pPr>
      <w:r>
        <w:rPr>
          <w:rFonts w:hint="eastAsia"/>
          <w:b/>
          <w:sz w:val="24"/>
          <w:szCs w:val="24"/>
        </w:rPr>
        <w:t>十三、本合同有效期</w:t>
      </w:r>
      <w:r>
        <w:rPr>
          <w:rFonts w:hint="eastAsia" w:ascii="宋体" w:hAnsi="宋体"/>
          <w:sz w:val="24"/>
          <w:szCs w:val="24"/>
        </w:rPr>
        <w:t>：</w:t>
      </w:r>
      <w:r>
        <w:rPr>
          <w:rFonts w:hint="eastAsia"/>
          <w:color w:val="auto"/>
          <w:sz w:val="24"/>
        </w:rPr>
        <w:t>甲乙双方签署之日起至</w:t>
      </w:r>
      <w:r>
        <w:rPr>
          <w:rFonts w:hint="eastAsia" w:ascii="宋体" w:hAnsi="宋体"/>
          <w:color w:val="auto"/>
          <w:sz w:val="24"/>
        </w:rPr>
        <w:t>合同全部义务、结算价款支付完毕止</w:t>
      </w:r>
      <w:r>
        <w:rPr>
          <w:rFonts w:hint="eastAsia"/>
          <w:color w:val="auto"/>
          <w:sz w:val="24"/>
        </w:rPr>
        <w:t>。</w:t>
      </w:r>
    </w:p>
    <w:p>
      <w:pPr>
        <w:spacing w:line="400" w:lineRule="exact"/>
        <w:ind w:firstLine="472" w:firstLineChars="196"/>
        <w:textAlignment w:val="baseline"/>
        <w:rPr>
          <w:sz w:val="24"/>
          <w:szCs w:val="24"/>
        </w:rPr>
      </w:pPr>
      <w:r>
        <w:rPr>
          <w:rFonts w:hint="eastAsia"/>
          <w:b/>
          <w:sz w:val="24"/>
          <w:szCs w:val="24"/>
        </w:rPr>
        <w:t>十四、争议及解决方式：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400" w:lineRule="exact"/>
        <w:ind w:firstLine="472" w:firstLineChars="196"/>
        <w:textAlignment w:val="baseline"/>
        <w:rPr>
          <w:sz w:val="24"/>
          <w:szCs w:val="24"/>
        </w:rPr>
      </w:pPr>
      <w:r>
        <w:rPr>
          <w:rFonts w:hint="eastAsia"/>
          <w:b/>
          <w:sz w:val="24"/>
          <w:szCs w:val="24"/>
        </w:rPr>
        <w:t>十五、合同签订点</w:t>
      </w:r>
      <w:r>
        <w:rPr>
          <w:rFonts w:hint="eastAsia"/>
          <w:sz w:val="24"/>
          <w:szCs w:val="24"/>
        </w:rPr>
        <w:t>：重庆市渝北区新南路52号。</w:t>
      </w:r>
    </w:p>
    <w:p>
      <w:pPr>
        <w:spacing w:line="400" w:lineRule="exact"/>
        <w:ind w:firstLine="472" w:firstLineChars="196"/>
        <w:textAlignment w:val="baseline"/>
        <w:rPr>
          <w:rFonts w:hint="eastAsia"/>
          <w:sz w:val="24"/>
          <w:szCs w:val="24"/>
        </w:rPr>
      </w:pPr>
      <w:r>
        <w:rPr>
          <w:rFonts w:hint="eastAsia"/>
          <w:b/>
          <w:sz w:val="24"/>
          <w:szCs w:val="24"/>
        </w:rPr>
        <w:t>十六、</w:t>
      </w:r>
      <w:r>
        <w:rPr>
          <w:rFonts w:hint="eastAsia"/>
          <w:sz w:val="24"/>
          <w:szCs w:val="24"/>
        </w:rPr>
        <w:t>本合同一式</w:t>
      </w:r>
      <w:r>
        <w:rPr>
          <w:rFonts w:hint="eastAsia"/>
          <w:b/>
          <w:sz w:val="24"/>
          <w:szCs w:val="24"/>
          <w:u w:val="single"/>
        </w:rPr>
        <w:t>陆</w:t>
      </w:r>
      <w:r>
        <w:rPr>
          <w:rFonts w:hint="eastAsia"/>
          <w:sz w:val="24"/>
          <w:szCs w:val="24"/>
        </w:rPr>
        <w:t>份，甲方执</w:t>
      </w:r>
      <w:r>
        <w:rPr>
          <w:rFonts w:hint="eastAsia"/>
          <w:b/>
          <w:sz w:val="24"/>
          <w:szCs w:val="24"/>
          <w:u w:val="single"/>
        </w:rPr>
        <w:t>肆</w:t>
      </w:r>
      <w:r>
        <w:rPr>
          <w:rFonts w:hint="eastAsia"/>
          <w:sz w:val="24"/>
          <w:szCs w:val="24"/>
        </w:rPr>
        <w:t>份，乙方执</w:t>
      </w:r>
      <w:r>
        <w:rPr>
          <w:rFonts w:hint="eastAsia"/>
          <w:b/>
          <w:sz w:val="24"/>
          <w:szCs w:val="24"/>
          <w:u w:val="single"/>
        </w:rPr>
        <w:t>贰</w:t>
      </w:r>
      <w:r>
        <w:rPr>
          <w:rFonts w:hint="eastAsia"/>
          <w:sz w:val="24"/>
          <w:szCs w:val="24"/>
        </w:rPr>
        <w:t>份，具有同等法律效力；自双方签字并盖章后生效，完成财务结算支付后自动失效。</w:t>
      </w:r>
    </w:p>
    <w:p>
      <w:pPr>
        <w:pStyle w:val="16"/>
        <w:spacing w:before="0" w:after="0" w:line="400" w:lineRule="exact"/>
        <w:rPr>
          <w:rFonts w:hint="eastAsia"/>
          <w:sz w:val="24"/>
          <w:szCs w:val="24"/>
        </w:rPr>
      </w:pPr>
    </w:p>
    <w:p>
      <w:pPr>
        <w:spacing w:line="400" w:lineRule="exact"/>
        <w:rPr>
          <w:rFonts w:hint="eastAsia"/>
          <w:sz w:val="24"/>
          <w:szCs w:val="24"/>
        </w:rPr>
      </w:pPr>
    </w:p>
    <w:p>
      <w:pPr>
        <w:spacing w:line="400" w:lineRule="exact"/>
        <w:rPr>
          <w:sz w:val="24"/>
          <w:szCs w:val="24"/>
        </w:rPr>
      </w:pPr>
      <w:r>
        <w:rPr>
          <w:rFonts w:hint="eastAsia"/>
          <w:sz w:val="24"/>
          <w:szCs w:val="24"/>
        </w:rPr>
        <w:t>甲方（盖章）：                           乙方（盖章）：</w:t>
      </w:r>
    </w:p>
    <w:p>
      <w:pPr>
        <w:spacing w:line="400" w:lineRule="exact"/>
        <w:rPr>
          <w:sz w:val="24"/>
          <w:szCs w:val="24"/>
        </w:rPr>
      </w:pPr>
      <w:r>
        <w:rPr>
          <w:rFonts w:hint="eastAsia"/>
          <w:sz w:val="24"/>
          <w:szCs w:val="24"/>
        </w:rPr>
        <w:t xml:space="preserve">重庆通力高速公路养护工程有限公司                                             </w:t>
      </w:r>
    </w:p>
    <w:p>
      <w:pPr>
        <w:spacing w:line="400" w:lineRule="exact"/>
        <w:rPr>
          <w:sz w:val="24"/>
          <w:szCs w:val="24"/>
        </w:rPr>
      </w:pPr>
      <w:r>
        <w:rPr>
          <w:rFonts w:hint="eastAsia"/>
          <w:sz w:val="24"/>
          <w:szCs w:val="24"/>
        </w:rPr>
        <w:t>法定代表人                               法定代表人</w:t>
      </w:r>
    </w:p>
    <w:p>
      <w:pPr>
        <w:spacing w:line="400" w:lineRule="exact"/>
        <w:rPr>
          <w:sz w:val="24"/>
          <w:szCs w:val="24"/>
        </w:rPr>
      </w:pPr>
      <w:r>
        <w:rPr>
          <w:rFonts w:hint="eastAsia"/>
          <w:sz w:val="24"/>
          <w:szCs w:val="24"/>
        </w:rPr>
        <w:t>或授权代表：                             或授权代表：</w:t>
      </w:r>
    </w:p>
    <w:p>
      <w:pPr>
        <w:spacing w:line="400" w:lineRule="exact"/>
        <w:rPr>
          <w:sz w:val="24"/>
          <w:szCs w:val="24"/>
        </w:rPr>
      </w:pPr>
      <w:r>
        <w:rPr>
          <w:rFonts w:hint="eastAsia"/>
          <w:sz w:val="24"/>
          <w:szCs w:val="24"/>
        </w:rPr>
        <w:t>部门负责人：                             经办人：</w:t>
      </w:r>
    </w:p>
    <w:p>
      <w:pPr>
        <w:spacing w:line="400" w:lineRule="exact"/>
        <w:ind w:left="6000" w:hanging="6000" w:hangingChars="2500"/>
        <w:rPr>
          <w:sz w:val="24"/>
          <w:szCs w:val="24"/>
        </w:rPr>
      </w:pPr>
      <w:r>
        <w:rPr>
          <w:rFonts w:hint="eastAsia"/>
          <w:sz w:val="24"/>
          <w:szCs w:val="24"/>
        </w:rPr>
        <w:t xml:space="preserve">经办人：                                 开户银行：    </w:t>
      </w:r>
    </w:p>
    <w:p>
      <w:pPr>
        <w:spacing w:line="400" w:lineRule="exact"/>
        <w:rPr>
          <w:sz w:val="24"/>
          <w:szCs w:val="24"/>
        </w:rPr>
      </w:pPr>
      <w:r>
        <w:rPr>
          <w:rFonts w:hint="eastAsia"/>
          <w:sz w:val="24"/>
          <w:szCs w:val="24"/>
        </w:rPr>
        <w:t xml:space="preserve">                                         账号：                             </w:t>
      </w:r>
    </w:p>
    <w:p>
      <w:pPr>
        <w:spacing w:line="400" w:lineRule="exact"/>
        <w:rPr>
          <w:sz w:val="24"/>
          <w:szCs w:val="24"/>
        </w:rPr>
      </w:pPr>
    </w:p>
    <w:p>
      <w:pPr>
        <w:spacing w:line="400" w:lineRule="exact"/>
        <w:textAlignment w:val="baseline"/>
        <w:rPr>
          <w:sz w:val="24"/>
          <w:szCs w:val="24"/>
        </w:rPr>
      </w:pPr>
      <w:r>
        <w:rPr>
          <w:rFonts w:hint="eastAsia"/>
          <w:sz w:val="24"/>
          <w:szCs w:val="24"/>
        </w:rPr>
        <w:t>日期：    年   月    日 　　           日期：    年   月    日</w:t>
      </w:r>
    </w:p>
    <w:p>
      <w:pPr>
        <w:spacing w:line="360" w:lineRule="exact"/>
        <w:rPr>
          <w:szCs w:val="21"/>
        </w:rPr>
        <w:sectPr>
          <w:headerReference r:id="rId4" w:type="first"/>
          <w:endnotePr>
            <w:numFmt w:val="decimal"/>
          </w:endnotePr>
          <w:pgSz w:w="11907" w:h="16834"/>
          <w:pgMar w:top="1009" w:right="1226" w:bottom="873" w:left="1241" w:header="851" w:footer="851" w:gutter="0"/>
          <w:paperSrc w:first="7" w:other="7"/>
          <w:pgNumType w:start="1"/>
          <w:cols w:space="720" w:num="1"/>
          <w:docGrid w:type="lines" w:linePitch="312" w:charSpace="0"/>
        </w:sectPr>
      </w:pPr>
    </w:p>
    <w:p>
      <w:pPr>
        <w:spacing w:line="400" w:lineRule="exact"/>
        <w:jc w:val="center"/>
        <w:rPr>
          <w:b/>
          <w:sz w:val="32"/>
          <w:szCs w:val="18"/>
        </w:rPr>
      </w:pPr>
      <w:r>
        <w:rPr>
          <w:rFonts w:hint="eastAsia"/>
          <w:b/>
          <w:sz w:val="32"/>
          <w:szCs w:val="18"/>
        </w:rPr>
        <w:t>重庆通力高速公路养护工程有限公司</w:t>
      </w:r>
    </w:p>
    <w:p>
      <w:pPr>
        <w:spacing w:line="400" w:lineRule="exact"/>
        <w:jc w:val="center"/>
        <w:rPr>
          <w:rFonts w:hint="eastAsia"/>
          <w:b/>
          <w:sz w:val="32"/>
          <w:szCs w:val="18"/>
          <w:lang w:val="en-US" w:eastAsia="zh-CN"/>
        </w:rPr>
      </w:pPr>
      <w:r>
        <w:rPr>
          <w:rFonts w:hint="eastAsia"/>
          <w:b/>
          <w:sz w:val="32"/>
          <w:szCs w:val="18"/>
          <w:lang w:val="en-US" w:eastAsia="zh-CN"/>
        </w:rPr>
        <w:t>渝宜高速公路长寿区石堰互通立交工程</w:t>
      </w:r>
    </w:p>
    <w:p>
      <w:pPr>
        <w:spacing w:line="400" w:lineRule="exact"/>
        <w:jc w:val="center"/>
        <w:rPr>
          <w:b/>
          <w:sz w:val="32"/>
          <w:szCs w:val="18"/>
        </w:rPr>
      </w:pPr>
      <w:r>
        <w:rPr>
          <w:rFonts w:hint="eastAsia"/>
          <w:b/>
          <w:sz w:val="32"/>
          <w:szCs w:val="18"/>
          <w:lang w:val="en-US" w:eastAsia="zh-CN"/>
        </w:rPr>
        <w:t>房屋建筑墙地砖</w:t>
      </w:r>
      <w:r>
        <w:rPr>
          <w:rFonts w:hint="eastAsia"/>
          <w:b/>
          <w:sz w:val="32"/>
          <w:szCs w:val="18"/>
        </w:rPr>
        <w:t>材料采购之廉政合同</w:t>
      </w:r>
    </w:p>
    <w:p>
      <w:pPr>
        <w:adjustRightInd w:val="0"/>
        <w:spacing w:line="360" w:lineRule="exact"/>
        <w:ind w:firstLine="480" w:firstLineChars="200"/>
        <w:textAlignment w:val="baseline"/>
        <w:rPr>
          <w:sz w:val="24"/>
          <w:szCs w:val="24"/>
        </w:rPr>
      </w:pPr>
      <w:r>
        <w:rPr>
          <w:rFonts w:hint="eastAsia"/>
          <w:sz w:val="24"/>
          <w:szCs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szCs w:val="24"/>
          <w:u w:val="single"/>
        </w:rPr>
        <w:t>重庆通力高速公路养护工程有限公司</w:t>
      </w:r>
      <w:r>
        <w:rPr>
          <w:rFonts w:hint="eastAsia"/>
          <w:sz w:val="24"/>
          <w:szCs w:val="24"/>
        </w:rPr>
        <w:t>（以下称甲方）与</w:t>
      </w:r>
      <w:r>
        <w:rPr>
          <w:rFonts w:hint="eastAsia"/>
          <w:b/>
          <w:bCs/>
          <w:sz w:val="24"/>
          <w:szCs w:val="24"/>
          <w:u w:val="single"/>
        </w:rPr>
        <w:t xml:space="preserve">             </w:t>
      </w:r>
      <w:r>
        <w:rPr>
          <w:rFonts w:hint="eastAsia"/>
          <w:sz w:val="24"/>
          <w:szCs w:val="24"/>
        </w:rPr>
        <w:t xml:space="preserve">（以下称乙方），特订立如下合同。   </w:t>
      </w:r>
    </w:p>
    <w:p>
      <w:pPr>
        <w:adjustRightInd w:val="0"/>
        <w:spacing w:line="360" w:lineRule="exact"/>
        <w:ind w:firstLine="482" w:firstLineChars="200"/>
        <w:textAlignment w:val="baseline"/>
        <w:rPr>
          <w:sz w:val="24"/>
          <w:szCs w:val="24"/>
        </w:rPr>
      </w:pPr>
      <w:r>
        <w:rPr>
          <w:rFonts w:hint="eastAsia"/>
          <w:b/>
          <w:sz w:val="24"/>
          <w:szCs w:val="24"/>
        </w:rPr>
        <w:t>一、甲乙双方的权利和义务</w:t>
      </w:r>
    </w:p>
    <w:p>
      <w:pPr>
        <w:spacing w:line="360" w:lineRule="exact"/>
        <w:ind w:firstLine="480" w:firstLineChars="200"/>
        <w:rPr>
          <w:sz w:val="24"/>
          <w:szCs w:val="24"/>
        </w:rPr>
      </w:pPr>
      <w:r>
        <w:rPr>
          <w:rFonts w:hint="eastAsia"/>
          <w:sz w:val="24"/>
          <w:szCs w:val="24"/>
        </w:rPr>
        <w:t>1、严格遵守党和国家有关法律法规及交通部的有关规定。</w:t>
      </w:r>
    </w:p>
    <w:p>
      <w:pPr>
        <w:spacing w:line="360" w:lineRule="exact"/>
        <w:ind w:firstLine="480" w:firstLineChars="200"/>
        <w:rPr>
          <w:sz w:val="24"/>
          <w:szCs w:val="24"/>
        </w:rPr>
      </w:pPr>
      <w:r>
        <w:rPr>
          <w:rFonts w:hint="eastAsia"/>
          <w:sz w:val="24"/>
          <w:szCs w:val="24"/>
        </w:rPr>
        <w:t>2、严格执行</w:t>
      </w:r>
      <w:r>
        <w:rPr>
          <w:rFonts w:hint="eastAsia"/>
          <w:b/>
          <w:sz w:val="24"/>
          <w:szCs w:val="24"/>
        </w:rPr>
        <w:t>《渝宜高速公路长寿区石堰互通立交工程房屋建筑</w:t>
      </w:r>
      <w:r>
        <w:rPr>
          <w:rFonts w:hint="eastAsia"/>
          <w:b/>
          <w:sz w:val="24"/>
          <w:szCs w:val="24"/>
          <w:lang w:val="en-US" w:eastAsia="zh-CN"/>
        </w:rPr>
        <w:t>墙地砖</w:t>
      </w:r>
      <w:r>
        <w:rPr>
          <w:rFonts w:hint="eastAsia"/>
          <w:b/>
          <w:sz w:val="24"/>
          <w:szCs w:val="24"/>
        </w:rPr>
        <w:t>材料采购合同》</w:t>
      </w:r>
      <w:r>
        <w:rPr>
          <w:rFonts w:hint="eastAsia"/>
          <w:sz w:val="24"/>
          <w:szCs w:val="24"/>
        </w:rPr>
        <w:t>的相关条款，自觉按合同办事。</w:t>
      </w:r>
    </w:p>
    <w:p>
      <w:pPr>
        <w:spacing w:line="360" w:lineRule="exact"/>
        <w:ind w:firstLine="480" w:firstLineChars="200"/>
        <w:rPr>
          <w:rFonts w:hint="eastAsia"/>
          <w:sz w:val="24"/>
          <w:szCs w:val="24"/>
        </w:rPr>
      </w:pPr>
      <w:r>
        <w:rPr>
          <w:rFonts w:hint="eastAsia"/>
          <w:sz w:val="24"/>
          <w:szCs w:val="24"/>
        </w:rPr>
        <w:t>3、双方的业务活动坚持公开、公正、诚信、透明的原则（除法律认定的商业秘密和合同文件另有规定之外），不得损害国家和集体利益，违反工程建设管理规章制度。</w:t>
      </w:r>
    </w:p>
    <w:p>
      <w:pPr>
        <w:spacing w:line="360" w:lineRule="exact"/>
        <w:ind w:firstLine="480" w:firstLineChars="200"/>
        <w:rPr>
          <w:sz w:val="24"/>
          <w:szCs w:val="24"/>
        </w:rPr>
      </w:pPr>
      <w:r>
        <w:rPr>
          <w:rFonts w:hint="eastAsia"/>
          <w:sz w:val="24"/>
          <w:szCs w:val="24"/>
        </w:rPr>
        <w:t>4、建立健全廉政制度，开展廉政教育，设立廉政告示牌，公布举报电话，监督并认真查处违法违纪行为。</w:t>
      </w:r>
    </w:p>
    <w:p>
      <w:pPr>
        <w:spacing w:line="360" w:lineRule="exact"/>
        <w:ind w:firstLine="480" w:firstLineChars="200"/>
        <w:rPr>
          <w:sz w:val="24"/>
          <w:szCs w:val="24"/>
        </w:rPr>
      </w:pPr>
      <w:r>
        <w:rPr>
          <w:rFonts w:hint="eastAsia"/>
          <w:sz w:val="24"/>
          <w:szCs w:val="24"/>
        </w:rPr>
        <w:t>5、发现对方在业务活动中有违反廉政规定的行为，有及时提醒对方纠正的权利和义务。</w:t>
      </w:r>
    </w:p>
    <w:p>
      <w:pPr>
        <w:spacing w:line="360" w:lineRule="exact"/>
        <w:ind w:firstLine="480" w:firstLineChars="200"/>
        <w:rPr>
          <w:sz w:val="24"/>
          <w:szCs w:val="24"/>
        </w:rPr>
      </w:pPr>
      <w:r>
        <w:rPr>
          <w:rFonts w:hint="eastAsia"/>
          <w:sz w:val="24"/>
          <w:szCs w:val="24"/>
        </w:rPr>
        <w:t>6、发现对方严重违反本合同义务条款的行为，有向其上级有关部门举报、建议给予处理并要求告知处理结果的权利。</w:t>
      </w:r>
    </w:p>
    <w:p>
      <w:pPr>
        <w:spacing w:line="360" w:lineRule="exact"/>
        <w:ind w:firstLine="472" w:firstLineChars="196"/>
        <w:rPr>
          <w:b/>
          <w:sz w:val="24"/>
          <w:szCs w:val="24"/>
        </w:rPr>
      </w:pPr>
      <w:r>
        <w:rPr>
          <w:rFonts w:hint="eastAsia"/>
          <w:b/>
          <w:sz w:val="24"/>
          <w:szCs w:val="24"/>
        </w:rPr>
        <w:t>二、甲方义务</w:t>
      </w:r>
    </w:p>
    <w:p>
      <w:pPr>
        <w:spacing w:line="360" w:lineRule="exact"/>
        <w:ind w:firstLine="480" w:firstLineChars="200"/>
        <w:rPr>
          <w:sz w:val="24"/>
          <w:szCs w:val="24"/>
        </w:rPr>
      </w:pPr>
      <w:r>
        <w:rPr>
          <w:rFonts w:hint="eastAsia"/>
          <w:sz w:val="24"/>
          <w:szCs w:val="24"/>
        </w:rPr>
        <w:t>1、甲方及其工作人员不得索要或接受乙方的礼金、有价证券和贵重要物品，不得在乙方报销任何应由甲方或个人支付的费用等。</w:t>
      </w:r>
    </w:p>
    <w:p>
      <w:pPr>
        <w:spacing w:line="360" w:lineRule="exact"/>
        <w:ind w:firstLine="480" w:firstLineChars="200"/>
        <w:rPr>
          <w:sz w:val="24"/>
          <w:szCs w:val="24"/>
        </w:rPr>
      </w:pPr>
      <w:r>
        <w:rPr>
          <w:rFonts w:hint="eastAsia"/>
          <w:sz w:val="24"/>
          <w:szCs w:val="24"/>
        </w:rPr>
        <w:t>2、甲方工作人员不得参加乙方安排的宴请或可能影响公正的其他宴请和娱乐活动。不得接受乙方提供的通讯工具、交通工具和高档办公用品等。</w:t>
      </w:r>
    </w:p>
    <w:p>
      <w:pPr>
        <w:spacing w:line="360" w:lineRule="exact"/>
        <w:ind w:firstLine="480" w:firstLineChars="200"/>
        <w:rPr>
          <w:sz w:val="24"/>
          <w:szCs w:val="24"/>
        </w:rPr>
      </w:pPr>
      <w:r>
        <w:rPr>
          <w:rFonts w:hint="eastAsia"/>
          <w:sz w:val="24"/>
          <w:szCs w:val="24"/>
        </w:rPr>
        <w:t>3、甲方及其工作人员不得要求或者接受乙方为其住房装修、婚丧嫁娶活动、配偶子女的工作安排以及出国出境、旅游等提供方便等。</w:t>
      </w:r>
    </w:p>
    <w:p>
      <w:pPr>
        <w:spacing w:line="360" w:lineRule="exact"/>
        <w:ind w:firstLine="480" w:firstLineChars="200"/>
        <w:rPr>
          <w:sz w:val="24"/>
          <w:szCs w:val="24"/>
        </w:rPr>
      </w:pPr>
      <w:r>
        <w:rPr>
          <w:rFonts w:hint="eastAsia"/>
          <w:sz w:val="24"/>
          <w:szCs w:val="24"/>
        </w:rPr>
        <w:t>4、甲方工作人员的配偶、子女不得从事与甲方工程有关的材料设备供应、工程分包、劳务等经济活动等。</w:t>
      </w:r>
    </w:p>
    <w:p>
      <w:pPr>
        <w:spacing w:line="360" w:lineRule="exact"/>
        <w:ind w:firstLine="480" w:firstLineChars="200"/>
        <w:rPr>
          <w:sz w:val="24"/>
          <w:szCs w:val="24"/>
        </w:rPr>
      </w:pPr>
      <w:r>
        <w:rPr>
          <w:rFonts w:hint="eastAsia"/>
          <w:sz w:val="24"/>
          <w:szCs w:val="24"/>
        </w:rPr>
        <w:t>5、甲方及其工作人员不得以任何理由向乙方推荐分包单位，不得要求乙方购买合同规定外的材料和设备。</w:t>
      </w:r>
    </w:p>
    <w:p>
      <w:pPr>
        <w:spacing w:line="360" w:lineRule="exact"/>
        <w:ind w:firstLine="472" w:firstLineChars="196"/>
        <w:rPr>
          <w:b/>
          <w:sz w:val="24"/>
          <w:szCs w:val="24"/>
        </w:rPr>
      </w:pPr>
      <w:r>
        <w:rPr>
          <w:rFonts w:hint="eastAsia"/>
          <w:b/>
          <w:sz w:val="24"/>
          <w:szCs w:val="24"/>
        </w:rPr>
        <w:t>三、乙方义务</w:t>
      </w:r>
    </w:p>
    <w:p>
      <w:pPr>
        <w:spacing w:line="360" w:lineRule="exact"/>
        <w:ind w:firstLine="480" w:firstLineChars="200"/>
        <w:rPr>
          <w:sz w:val="24"/>
          <w:szCs w:val="24"/>
        </w:rPr>
      </w:pPr>
      <w:r>
        <w:rPr>
          <w:rFonts w:hint="eastAsia"/>
          <w:sz w:val="24"/>
          <w:szCs w:val="24"/>
        </w:rPr>
        <w:t>1、乙方不得以任何理由向甲方及其工作人员行贿或馈赠礼金、有价证券、贵重礼品。</w:t>
      </w:r>
    </w:p>
    <w:p>
      <w:pPr>
        <w:spacing w:line="360" w:lineRule="exact"/>
        <w:ind w:firstLine="480" w:firstLineChars="200"/>
        <w:rPr>
          <w:sz w:val="24"/>
          <w:szCs w:val="24"/>
        </w:rPr>
      </w:pPr>
      <w:r>
        <w:rPr>
          <w:rFonts w:hint="eastAsia"/>
          <w:sz w:val="24"/>
          <w:szCs w:val="24"/>
        </w:rPr>
        <w:t>2、乙方不得以任何名义为甲方及其工作人员报销应由甲方单位或个人支付的任何费用。</w:t>
      </w:r>
    </w:p>
    <w:p>
      <w:pPr>
        <w:spacing w:line="360" w:lineRule="exact"/>
        <w:ind w:firstLine="480" w:firstLineChars="200"/>
        <w:rPr>
          <w:sz w:val="24"/>
          <w:szCs w:val="24"/>
        </w:rPr>
      </w:pPr>
      <w:r>
        <w:rPr>
          <w:rFonts w:hint="eastAsia"/>
          <w:sz w:val="24"/>
          <w:szCs w:val="24"/>
        </w:rPr>
        <w:t>3、乙方不得以任何理由邀请甲方工作人员外出旅游或安排甲方工作人员参加宴请及娱乐活动。</w:t>
      </w:r>
    </w:p>
    <w:p>
      <w:pPr>
        <w:spacing w:line="360" w:lineRule="exact"/>
        <w:ind w:firstLine="480" w:firstLineChars="200"/>
        <w:rPr>
          <w:sz w:val="24"/>
          <w:szCs w:val="24"/>
        </w:rPr>
      </w:pPr>
      <w:r>
        <w:rPr>
          <w:rFonts w:hint="eastAsia"/>
          <w:sz w:val="24"/>
          <w:szCs w:val="24"/>
        </w:rPr>
        <w:t>4、乙方不得为甲方单位和个人购置或提供通讯工具、交通工具和高档办公用品等。</w:t>
      </w:r>
    </w:p>
    <w:p>
      <w:pPr>
        <w:spacing w:line="360" w:lineRule="exact"/>
        <w:ind w:firstLine="480" w:firstLineChars="200"/>
        <w:rPr>
          <w:sz w:val="24"/>
          <w:szCs w:val="24"/>
        </w:rPr>
      </w:pPr>
      <w:r>
        <w:rPr>
          <w:rFonts w:hint="eastAsia"/>
          <w:sz w:val="24"/>
          <w:szCs w:val="24"/>
        </w:rPr>
        <w:t>5、乙方及其工作人员应严格按规程办事，不得为谋取私利向工作人员非法行贿，私下串通，损害甲方利益。同时依法履行向甲方承诺的上述其他廉政义务。</w:t>
      </w:r>
    </w:p>
    <w:p>
      <w:pPr>
        <w:spacing w:line="360" w:lineRule="exact"/>
        <w:ind w:firstLine="480" w:firstLineChars="200"/>
        <w:rPr>
          <w:sz w:val="24"/>
          <w:szCs w:val="24"/>
        </w:rPr>
      </w:pPr>
      <w:r>
        <w:rPr>
          <w:rFonts w:hint="eastAsia"/>
          <w:sz w:val="24"/>
          <w:szCs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exact"/>
        <w:ind w:firstLine="472" w:firstLineChars="196"/>
        <w:rPr>
          <w:b/>
          <w:sz w:val="24"/>
          <w:szCs w:val="24"/>
        </w:rPr>
      </w:pPr>
      <w:r>
        <w:rPr>
          <w:rFonts w:hint="eastAsia"/>
          <w:b/>
          <w:sz w:val="24"/>
          <w:szCs w:val="24"/>
        </w:rPr>
        <w:t>四、违约责任</w:t>
      </w:r>
    </w:p>
    <w:p>
      <w:pPr>
        <w:spacing w:line="360" w:lineRule="exact"/>
        <w:ind w:firstLine="480" w:firstLineChars="200"/>
        <w:rPr>
          <w:sz w:val="24"/>
          <w:szCs w:val="24"/>
        </w:rPr>
      </w:pPr>
      <w:r>
        <w:rPr>
          <w:rFonts w:hint="eastAsia"/>
          <w:sz w:val="24"/>
          <w:szCs w:val="24"/>
        </w:rPr>
        <w:t>1、甲方及其工作人员违反本合同第一、二条，按管理权限，依据有关规定给予党纪、政纪或组织处理；涉嫌犯罪的，移交司法机关追究刑事责任；给乙方单位造成经济损失的，应予以赔偿。</w:t>
      </w:r>
    </w:p>
    <w:p>
      <w:pPr>
        <w:spacing w:line="360" w:lineRule="exact"/>
        <w:ind w:firstLine="480" w:firstLineChars="200"/>
        <w:rPr>
          <w:sz w:val="24"/>
          <w:szCs w:val="24"/>
        </w:rPr>
      </w:pPr>
      <w:r>
        <w:rPr>
          <w:rFonts w:hint="eastAsia"/>
          <w:sz w:val="24"/>
          <w:szCs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exact"/>
        <w:ind w:firstLine="472" w:firstLineChars="196"/>
        <w:rPr>
          <w:b/>
          <w:sz w:val="24"/>
          <w:szCs w:val="24"/>
        </w:rPr>
      </w:pPr>
      <w:r>
        <w:rPr>
          <w:rFonts w:hint="eastAsia"/>
          <w:b/>
          <w:sz w:val="24"/>
          <w:szCs w:val="24"/>
        </w:rPr>
        <w:t>五、双方约定</w:t>
      </w:r>
    </w:p>
    <w:p>
      <w:pPr>
        <w:spacing w:line="360" w:lineRule="exact"/>
        <w:ind w:firstLine="480" w:firstLineChars="200"/>
        <w:rPr>
          <w:sz w:val="24"/>
          <w:szCs w:val="24"/>
        </w:rPr>
      </w:pPr>
      <w:r>
        <w:rPr>
          <w:rFonts w:hint="eastAsia"/>
          <w:sz w:val="24"/>
          <w:szCs w:val="24"/>
        </w:rPr>
        <w:t>本合同由双方或双方上级单位的纪检监察部门负责监督执行。</w:t>
      </w:r>
    </w:p>
    <w:p>
      <w:pPr>
        <w:spacing w:line="360" w:lineRule="exact"/>
        <w:ind w:firstLine="472" w:firstLineChars="196"/>
        <w:rPr>
          <w:sz w:val="24"/>
          <w:szCs w:val="24"/>
        </w:rPr>
      </w:pPr>
      <w:r>
        <w:rPr>
          <w:rFonts w:hint="eastAsia"/>
          <w:b/>
          <w:sz w:val="24"/>
          <w:szCs w:val="24"/>
        </w:rPr>
        <w:t>六、</w:t>
      </w:r>
      <w:r>
        <w:rPr>
          <w:rFonts w:hint="eastAsia"/>
          <w:sz w:val="24"/>
          <w:szCs w:val="24"/>
        </w:rPr>
        <w:t>本合同有效期为甲乙双方签署之日起至该合同到期后止。</w:t>
      </w:r>
    </w:p>
    <w:p>
      <w:pPr>
        <w:spacing w:line="360" w:lineRule="exact"/>
        <w:ind w:firstLine="472" w:firstLineChars="196"/>
        <w:rPr>
          <w:sz w:val="24"/>
          <w:szCs w:val="24"/>
        </w:rPr>
      </w:pPr>
      <w:r>
        <w:rPr>
          <w:rFonts w:hint="eastAsia"/>
          <w:b/>
          <w:sz w:val="24"/>
          <w:szCs w:val="24"/>
        </w:rPr>
        <w:t>七、</w:t>
      </w:r>
      <w:r>
        <w:rPr>
          <w:rFonts w:hint="eastAsia"/>
          <w:sz w:val="24"/>
          <w:szCs w:val="24"/>
        </w:rPr>
        <w:t>本合同作为</w:t>
      </w:r>
      <w:r>
        <w:rPr>
          <w:rFonts w:hint="eastAsia"/>
          <w:b/>
          <w:sz w:val="24"/>
          <w:szCs w:val="24"/>
        </w:rPr>
        <w:t>《渝宜高速公路长寿区石堰互通立交工程房屋建筑</w:t>
      </w:r>
      <w:r>
        <w:rPr>
          <w:rFonts w:hint="eastAsia"/>
          <w:b/>
          <w:sz w:val="24"/>
          <w:szCs w:val="24"/>
          <w:lang w:val="en-US" w:eastAsia="zh-CN"/>
        </w:rPr>
        <w:t>墙地砖</w:t>
      </w:r>
      <w:r>
        <w:rPr>
          <w:rFonts w:hint="eastAsia"/>
          <w:b/>
          <w:sz w:val="24"/>
          <w:szCs w:val="24"/>
        </w:rPr>
        <w:t>材料采购合同》</w:t>
      </w:r>
      <w:r>
        <w:rPr>
          <w:rFonts w:hint="eastAsia"/>
          <w:sz w:val="24"/>
          <w:szCs w:val="24"/>
        </w:rPr>
        <w:t>的附件，具有同等的法律效力，经合同双方签署立即生效。</w:t>
      </w:r>
    </w:p>
    <w:p>
      <w:pPr>
        <w:spacing w:line="360" w:lineRule="exact"/>
        <w:ind w:firstLine="472" w:firstLineChars="196"/>
        <w:textAlignment w:val="baseline"/>
        <w:rPr>
          <w:rFonts w:hint="eastAsia" w:ascii="宋体" w:hAnsi="宋体"/>
          <w:sz w:val="24"/>
          <w:szCs w:val="24"/>
        </w:rPr>
      </w:pPr>
      <w:r>
        <w:rPr>
          <w:rFonts w:hint="eastAsia"/>
          <w:b/>
          <w:sz w:val="24"/>
          <w:szCs w:val="24"/>
        </w:rPr>
        <w:t>八、</w:t>
      </w:r>
      <w:r>
        <w:rPr>
          <w:rFonts w:hint="eastAsia" w:ascii="宋体"/>
          <w:sz w:val="24"/>
          <w:szCs w:val="24"/>
        </w:rPr>
        <w:t>本合同一式</w:t>
      </w:r>
      <w:r>
        <w:rPr>
          <w:rFonts w:hint="eastAsia" w:ascii="宋体"/>
          <w:b/>
          <w:sz w:val="24"/>
          <w:szCs w:val="24"/>
          <w:u w:val="single"/>
        </w:rPr>
        <w:t>陆</w:t>
      </w:r>
      <w:r>
        <w:rPr>
          <w:rFonts w:hint="eastAsia" w:ascii="宋体"/>
          <w:sz w:val="24"/>
          <w:szCs w:val="24"/>
        </w:rPr>
        <w:t>份，甲方执</w:t>
      </w:r>
      <w:r>
        <w:rPr>
          <w:rFonts w:hint="eastAsia" w:ascii="宋体"/>
          <w:b/>
          <w:sz w:val="24"/>
          <w:szCs w:val="24"/>
          <w:u w:val="single"/>
        </w:rPr>
        <w:t>肆</w:t>
      </w:r>
      <w:r>
        <w:rPr>
          <w:rFonts w:hint="eastAsia" w:ascii="宋体"/>
          <w:sz w:val="24"/>
          <w:szCs w:val="24"/>
        </w:rPr>
        <w:t>份，乙方执</w:t>
      </w:r>
      <w:r>
        <w:rPr>
          <w:rFonts w:hint="eastAsia" w:ascii="宋体"/>
          <w:b/>
          <w:sz w:val="24"/>
          <w:szCs w:val="24"/>
          <w:u w:val="single"/>
        </w:rPr>
        <w:t>贰</w:t>
      </w:r>
      <w:r>
        <w:rPr>
          <w:rFonts w:hint="eastAsia" w:ascii="宋体"/>
          <w:sz w:val="24"/>
          <w:szCs w:val="24"/>
        </w:rPr>
        <w:t>份；具有同等法律效力；自双方签字并盖章后生效，甲乙双方</w:t>
      </w:r>
      <w:r>
        <w:rPr>
          <w:rFonts w:hint="eastAsia" w:ascii="宋体" w:hAnsi="宋体"/>
          <w:sz w:val="24"/>
          <w:szCs w:val="24"/>
        </w:rPr>
        <w:t>履行合同全部义务、结算价款支付完毕后，本合同即告终止。</w:t>
      </w:r>
    </w:p>
    <w:p>
      <w:pPr>
        <w:spacing w:line="360" w:lineRule="exact"/>
        <w:ind w:firstLine="470" w:firstLineChars="196"/>
        <w:textAlignment w:val="baseline"/>
        <w:rPr>
          <w:rFonts w:hint="eastAsia" w:ascii="宋体" w:hAnsi="宋体"/>
          <w:sz w:val="24"/>
          <w:szCs w:val="24"/>
        </w:rPr>
      </w:pPr>
    </w:p>
    <w:p>
      <w:pPr>
        <w:spacing w:line="360" w:lineRule="exact"/>
        <w:ind w:firstLine="470" w:firstLineChars="196"/>
        <w:textAlignment w:val="baseline"/>
        <w:rPr>
          <w:rFonts w:hint="eastAsia" w:ascii="宋体" w:hAnsi="宋体"/>
          <w:sz w:val="24"/>
          <w:szCs w:val="24"/>
        </w:rPr>
      </w:pPr>
    </w:p>
    <w:p>
      <w:pPr>
        <w:spacing w:line="360" w:lineRule="exact"/>
        <w:textAlignment w:val="baseline"/>
        <w:rPr>
          <w:rFonts w:ascii="宋体" w:hAnsi="宋体"/>
          <w:sz w:val="24"/>
          <w:szCs w:val="24"/>
        </w:rPr>
      </w:pPr>
      <w:r>
        <w:rPr>
          <w:rFonts w:hint="eastAsia" w:ascii="宋体" w:hAnsi="宋体"/>
          <w:sz w:val="24"/>
          <w:szCs w:val="24"/>
        </w:rPr>
        <w:t>甲方：（盖章）                         乙方：（盖章）</w:t>
      </w:r>
    </w:p>
    <w:p>
      <w:pPr>
        <w:spacing w:line="360" w:lineRule="exact"/>
        <w:rPr>
          <w:rFonts w:hint="eastAsia"/>
          <w:sz w:val="24"/>
          <w:szCs w:val="24"/>
        </w:rPr>
      </w:pPr>
      <w:r>
        <w:rPr>
          <w:rFonts w:hint="eastAsia"/>
          <w:sz w:val="24"/>
          <w:szCs w:val="24"/>
        </w:rPr>
        <w:t xml:space="preserve">重庆通力高速公路养护工程有限公司      </w:t>
      </w:r>
    </w:p>
    <w:p>
      <w:pPr>
        <w:pStyle w:val="16"/>
        <w:spacing w:before="0" w:after="0" w:line="360" w:lineRule="exact"/>
        <w:rPr>
          <w:sz w:val="24"/>
          <w:szCs w:val="24"/>
        </w:rPr>
      </w:pPr>
    </w:p>
    <w:p>
      <w:pPr>
        <w:spacing w:line="360" w:lineRule="exact"/>
        <w:rPr>
          <w:rFonts w:ascii="宋体" w:hAnsi="宋体"/>
          <w:sz w:val="24"/>
          <w:szCs w:val="24"/>
        </w:rPr>
      </w:pPr>
      <w:r>
        <w:rPr>
          <w:rFonts w:hint="eastAsia" w:ascii="宋体" w:hAnsi="宋体"/>
          <w:sz w:val="24"/>
          <w:szCs w:val="24"/>
        </w:rPr>
        <w:t>法定代表人                             法定代表人</w:t>
      </w:r>
    </w:p>
    <w:p>
      <w:pPr>
        <w:spacing w:line="360" w:lineRule="exact"/>
        <w:textAlignment w:val="baseline"/>
        <w:rPr>
          <w:sz w:val="24"/>
          <w:szCs w:val="24"/>
        </w:rPr>
      </w:pPr>
      <w:r>
        <w:rPr>
          <w:rFonts w:hint="eastAsia" w:ascii="宋体" w:hAnsi="宋体"/>
          <w:sz w:val="24"/>
          <w:szCs w:val="24"/>
        </w:rPr>
        <w:t>或授权代表：                           或授权代表：</w:t>
      </w:r>
    </w:p>
    <w:p>
      <w:pPr>
        <w:spacing w:line="360" w:lineRule="exact"/>
        <w:rPr>
          <w:sz w:val="24"/>
          <w:szCs w:val="24"/>
        </w:rPr>
      </w:pPr>
      <w:r>
        <w:rPr>
          <w:rFonts w:hint="eastAsia"/>
          <w:sz w:val="24"/>
          <w:szCs w:val="24"/>
        </w:rPr>
        <w:t>部门负责人：</w:t>
      </w:r>
    </w:p>
    <w:p>
      <w:pPr>
        <w:widowControl/>
        <w:spacing w:line="360" w:lineRule="exact"/>
        <w:ind w:left="259" w:leftChars="9" w:hanging="240" w:hangingChars="100"/>
        <w:jc w:val="left"/>
        <w:textAlignment w:val="baseline"/>
        <w:rPr>
          <w:rFonts w:ascii="宋体" w:hAnsi="宋体"/>
          <w:sz w:val="24"/>
          <w:szCs w:val="24"/>
        </w:rPr>
      </w:pPr>
      <w:r>
        <w:rPr>
          <w:rFonts w:hint="eastAsia" w:ascii="宋体" w:hAnsi="宋体"/>
          <w:sz w:val="24"/>
          <w:szCs w:val="24"/>
        </w:rPr>
        <w:t>经办人：                               经办人：</w:t>
      </w:r>
    </w:p>
    <w:p>
      <w:pPr>
        <w:widowControl/>
        <w:spacing w:line="360" w:lineRule="exact"/>
        <w:jc w:val="left"/>
        <w:textAlignment w:val="baseline"/>
        <w:rPr>
          <w:sz w:val="24"/>
          <w:szCs w:val="24"/>
        </w:rPr>
      </w:pPr>
      <w:r>
        <w:rPr>
          <w:rFonts w:hint="eastAsia"/>
          <w:sz w:val="24"/>
          <w:szCs w:val="24"/>
        </w:rPr>
        <w:t>签约时间：    年   月   日             签约时间：    年   月   日</w:t>
      </w:r>
    </w:p>
    <w:p>
      <w:pPr>
        <w:spacing w:line="360" w:lineRule="auto"/>
        <w:ind w:firstLine="420"/>
        <w:jc w:val="center"/>
        <w:rPr>
          <w:rFonts w:hint="eastAsia" w:ascii="宋体" w:hAnsi="宋体"/>
          <w:b/>
          <w:sz w:val="32"/>
          <w:szCs w:val="32"/>
        </w:rPr>
      </w:pPr>
    </w:p>
    <w:p>
      <w:pPr>
        <w:spacing w:line="360" w:lineRule="auto"/>
        <w:ind w:firstLine="420"/>
        <w:jc w:val="center"/>
        <w:rPr>
          <w:rFonts w:hint="eastAsia" w:ascii="宋体" w:hAnsi="宋体"/>
          <w:b/>
          <w:sz w:val="32"/>
          <w:szCs w:val="32"/>
        </w:rPr>
      </w:pPr>
    </w:p>
    <w:p>
      <w:pPr>
        <w:spacing w:line="360" w:lineRule="auto"/>
        <w:ind w:firstLine="420"/>
        <w:jc w:val="center"/>
        <w:rPr>
          <w:rFonts w:hint="eastAsia" w:ascii="宋体" w:hAnsi="宋体"/>
          <w:b/>
          <w:sz w:val="32"/>
          <w:szCs w:val="32"/>
        </w:rPr>
      </w:pPr>
    </w:p>
    <w:p>
      <w:pPr>
        <w:spacing w:line="360" w:lineRule="auto"/>
        <w:ind w:firstLine="420"/>
        <w:jc w:val="center"/>
        <w:rPr>
          <w:rFonts w:hint="eastAsia" w:ascii="宋体" w:hAnsi="宋体"/>
          <w:b/>
          <w:sz w:val="32"/>
          <w:szCs w:val="32"/>
        </w:rPr>
      </w:pPr>
    </w:p>
    <w:p>
      <w:pPr>
        <w:spacing w:line="360" w:lineRule="auto"/>
        <w:ind w:firstLine="420"/>
        <w:jc w:val="center"/>
        <w:rPr>
          <w:rFonts w:hint="eastAsia" w:ascii="宋体" w:hAnsi="宋体"/>
          <w:b/>
          <w:sz w:val="32"/>
          <w:szCs w:val="32"/>
        </w:rPr>
      </w:pPr>
    </w:p>
    <w:p>
      <w:pPr>
        <w:spacing w:line="360" w:lineRule="exact"/>
        <w:rPr>
          <w:sz w:val="24"/>
          <w:szCs w:val="24"/>
        </w:rPr>
      </w:pPr>
    </w:p>
    <w:p>
      <w:pPr>
        <w:spacing w:line="360" w:lineRule="exact"/>
        <w:jc w:val="both"/>
        <w:rPr>
          <w:rFonts w:hint="eastAsia" w:ascii="宋体" w:hAnsi="宋体" w:cs="宋体"/>
          <w:b/>
          <w:sz w:val="36"/>
        </w:rPr>
      </w:pPr>
      <w:r>
        <w:rPr>
          <w:rFonts w:hint="eastAsia" w:ascii="宋体" w:hAnsi="宋体" w:cs="宋体"/>
          <w:b/>
          <w:sz w:val="24"/>
          <w:szCs w:val="24"/>
        </w:rPr>
        <w:br w:type="page"/>
      </w:r>
    </w:p>
    <w:p>
      <w:pPr>
        <w:jc w:val="center"/>
        <w:rPr>
          <w:rFonts w:hint="eastAsia" w:ascii="宋体" w:hAnsi="宋体" w:cs="宋体"/>
          <w:b/>
          <w:sz w:val="36"/>
        </w:rPr>
      </w:pPr>
      <w:r>
        <w:rPr>
          <w:rFonts w:hint="eastAsia" w:ascii="宋体" w:hAnsi="宋体" w:cs="宋体"/>
          <w:b/>
          <w:sz w:val="36"/>
        </w:rPr>
        <w:t>比选申请文件格式</w:t>
      </w:r>
    </w:p>
    <w:p>
      <w:pPr>
        <w:jc w:val="center"/>
        <w:rPr>
          <w:rFonts w:hint="eastAsia" w:ascii="宋体" w:hAnsi="宋体" w:cs="宋体"/>
          <w:b/>
          <w:sz w:val="24"/>
        </w:rPr>
      </w:pPr>
    </w:p>
    <w:p>
      <w:pPr>
        <w:jc w:val="center"/>
        <w:rPr>
          <w:rFonts w:hint="eastAsia" w:ascii="宋体" w:hAnsi="宋体" w:cs="宋体"/>
          <w:b/>
          <w:sz w:val="24"/>
        </w:rPr>
      </w:pPr>
      <w:r>
        <w:rPr>
          <w:rFonts w:hint="eastAsia" w:ascii="宋体" w:hAnsi="宋体" w:cs="宋体"/>
          <w:b/>
          <w:sz w:val="24"/>
        </w:rPr>
        <w:t>（以下内容为示例）</w:t>
      </w:r>
    </w:p>
    <w:p>
      <w:pPr>
        <w:jc w:val="center"/>
        <w:rPr>
          <w:rFonts w:hint="eastAsia" w:ascii="宋体" w:hAnsi="宋体" w:cs="宋体"/>
          <w:b/>
          <w:sz w:val="24"/>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sectPr>
          <w:headerReference r:id="rId5" w:type="default"/>
          <w:footerReference r:id="rId6" w:type="default"/>
          <w:pgSz w:w="11906" w:h="16838"/>
          <w:pgMar w:top="1418" w:right="1361" w:bottom="1418" w:left="1361" w:header="851" w:footer="992" w:gutter="0"/>
          <w:cols w:space="720" w:num="1"/>
          <w:docGrid w:type="lines" w:linePitch="312" w:charSpace="0"/>
        </w:sectPr>
      </w:pPr>
    </w:p>
    <w:p>
      <w:pPr>
        <w:jc w:val="right"/>
        <w:rPr>
          <w:rFonts w:hint="eastAsia" w:ascii="宋体" w:hAnsi="宋体" w:cs="宋体"/>
          <w:b/>
          <w:sz w:val="28"/>
          <w:szCs w:val="32"/>
        </w:rPr>
      </w:pPr>
      <w:bookmarkStart w:id="34" w:name="_Hlk45639997"/>
      <w:r>
        <w:rPr>
          <w:rFonts w:hint="eastAsia" w:ascii="宋体" w:hAnsi="宋体" w:cs="宋体"/>
          <w:b/>
          <w:sz w:val="28"/>
          <w:szCs w:val="32"/>
        </w:rPr>
        <w:t>正本（或副本）</w:t>
      </w:r>
    </w:p>
    <w:bookmarkEnd w:id="34"/>
    <w:p>
      <w:pPr>
        <w:jc w:val="center"/>
        <w:rPr>
          <w:rFonts w:hint="eastAsia" w:ascii="宋体" w:hAnsi="宋体" w:cs="宋体"/>
          <w:b/>
          <w:sz w:val="40"/>
          <w:szCs w:val="44"/>
          <w:u w:val="single"/>
        </w:rPr>
      </w:pPr>
    </w:p>
    <w:p>
      <w:pPr>
        <w:jc w:val="center"/>
        <w:rPr>
          <w:rFonts w:hint="eastAsia" w:ascii="宋体" w:hAnsi="宋体" w:cs="宋体"/>
          <w:b/>
          <w:sz w:val="40"/>
          <w:szCs w:val="44"/>
          <w:u w:val="single"/>
        </w:rPr>
      </w:pPr>
      <w:r>
        <w:rPr>
          <w:rFonts w:hint="eastAsia" w:ascii="宋体" w:hAnsi="宋体" w:cs="宋体"/>
          <w:b/>
          <w:sz w:val="40"/>
          <w:szCs w:val="44"/>
          <w:u w:val="single"/>
        </w:rPr>
        <w:t>重庆通力高速公路养护工程有限公司渝宜高速公路长寿区石堰互通立交工程房屋建筑</w:t>
      </w:r>
      <w:r>
        <w:rPr>
          <w:rFonts w:hint="eastAsia" w:ascii="宋体" w:hAnsi="宋体" w:cs="宋体"/>
          <w:b/>
          <w:sz w:val="40"/>
          <w:szCs w:val="44"/>
          <w:u w:val="single"/>
          <w:lang w:val="en-US" w:eastAsia="zh-CN"/>
        </w:rPr>
        <w:t>墙地砖</w:t>
      </w:r>
      <w:r>
        <w:rPr>
          <w:rFonts w:hint="eastAsia" w:ascii="宋体" w:hAnsi="宋体" w:cs="宋体"/>
          <w:b/>
          <w:sz w:val="40"/>
          <w:szCs w:val="44"/>
          <w:u w:val="single"/>
        </w:rPr>
        <w:t>材料采购</w:t>
      </w:r>
    </w:p>
    <w:p>
      <w:pPr>
        <w:jc w:val="center"/>
        <w:rPr>
          <w:rFonts w:hint="eastAsia" w:ascii="宋体" w:hAnsi="宋体" w:cs="宋体"/>
          <w:b/>
          <w:sz w:val="40"/>
          <w:szCs w:val="44"/>
        </w:rPr>
      </w:pPr>
      <w:r>
        <w:rPr>
          <w:rFonts w:hint="eastAsia" w:ascii="宋体" w:hAnsi="宋体" w:cs="宋体"/>
          <w:b/>
          <w:sz w:val="40"/>
          <w:szCs w:val="44"/>
          <w:u w:val="single"/>
        </w:rPr>
        <w:t>竞争性比选申请文件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竞争性比选申请单位名称全称（盖单位公章）</w:t>
      </w:r>
    </w:p>
    <w:p>
      <w:pPr>
        <w:jc w:val="center"/>
        <w:rPr>
          <w:rFonts w:hint="eastAsia" w:ascii="宋体" w:hAnsi="宋体" w:cs="宋体"/>
          <w:sz w:val="32"/>
          <w:szCs w:val="32"/>
          <w:u w:val="single"/>
        </w:rPr>
      </w:pPr>
      <w:bookmarkStart w:id="35" w:name="_Hlk45640022"/>
      <w:r>
        <w:rPr>
          <w:rFonts w:hint="eastAsia" w:ascii="宋体" w:hAnsi="宋体" w:cs="宋体"/>
          <w:sz w:val="32"/>
          <w:szCs w:val="32"/>
          <w:u w:val="single"/>
        </w:rPr>
        <w:t xml:space="preserve">年 </w:t>
      </w:r>
      <w:r>
        <w:rPr>
          <w:rFonts w:ascii="宋体" w:hAnsi="宋体" w:cs="宋体"/>
          <w:sz w:val="32"/>
          <w:szCs w:val="32"/>
          <w:u w:val="single"/>
        </w:rPr>
        <w:t xml:space="preserve">  </w:t>
      </w:r>
      <w:r>
        <w:rPr>
          <w:rFonts w:hint="eastAsia" w:ascii="宋体" w:hAnsi="宋体" w:cs="宋体"/>
          <w:sz w:val="32"/>
          <w:szCs w:val="32"/>
          <w:u w:val="single"/>
        </w:rPr>
        <w:t xml:space="preserve">月 </w:t>
      </w:r>
      <w:r>
        <w:rPr>
          <w:rFonts w:ascii="宋体" w:hAnsi="宋体" w:cs="宋体"/>
          <w:sz w:val="32"/>
          <w:szCs w:val="32"/>
          <w:u w:val="single"/>
        </w:rPr>
        <w:t xml:space="preserve">  </w:t>
      </w:r>
      <w:r>
        <w:rPr>
          <w:rFonts w:hint="eastAsia" w:ascii="宋体" w:hAnsi="宋体" w:cs="宋体"/>
          <w:sz w:val="32"/>
          <w:szCs w:val="32"/>
          <w:u w:val="single"/>
        </w:rPr>
        <w:t>日</w:t>
      </w:r>
    </w:p>
    <w:bookmarkEnd w:id="35"/>
    <w:p>
      <w:pPr>
        <w:pStyle w:val="23"/>
        <w:rPr>
          <w:rFonts w:hint="eastAsia"/>
          <w:color w:val="auto"/>
        </w:rPr>
      </w:pPr>
    </w:p>
    <w:p>
      <w:pPr>
        <w:pStyle w:val="23"/>
        <w:rPr>
          <w:rFonts w:hint="eastAsia"/>
          <w:color w:val="auto"/>
        </w:rPr>
      </w:pPr>
    </w:p>
    <w:p>
      <w:pPr>
        <w:tabs>
          <w:tab w:val="left" w:pos="900"/>
          <w:tab w:val="left" w:pos="1080"/>
        </w:tabs>
        <w:spacing w:line="300" w:lineRule="auto"/>
        <w:jc w:val="center"/>
        <w:outlineLvl w:val="0"/>
        <w:rPr>
          <w:rFonts w:hint="eastAsia"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60" w:lineRule="auto"/>
        <w:outlineLvl w:val="0"/>
        <w:rPr>
          <w:rFonts w:hint="eastAsia"/>
          <w:szCs w:val="21"/>
        </w:rPr>
      </w:pPr>
      <w:r>
        <w:rPr>
          <w:rFonts w:hint="eastAsia"/>
          <w:szCs w:val="21"/>
        </w:rPr>
        <w:t>一、报价书</w:t>
      </w:r>
    </w:p>
    <w:p>
      <w:pPr>
        <w:tabs>
          <w:tab w:val="left" w:pos="900"/>
          <w:tab w:val="left" w:pos="1080"/>
        </w:tabs>
        <w:spacing w:line="360" w:lineRule="auto"/>
        <w:outlineLvl w:val="0"/>
        <w:rPr>
          <w:rFonts w:hint="eastAsia"/>
          <w:szCs w:val="21"/>
        </w:rPr>
      </w:pPr>
      <w:r>
        <w:rPr>
          <w:rFonts w:hint="eastAsia"/>
          <w:szCs w:val="21"/>
        </w:rPr>
        <w:t>二、法定代表人身份证明及授权委托书</w:t>
      </w:r>
    </w:p>
    <w:p>
      <w:pPr>
        <w:tabs>
          <w:tab w:val="left" w:pos="900"/>
          <w:tab w:val="left" w:pos="1080"/>
        </w:tabs>
        <w:spacing w:line="360" w:lineRule="auto"/>
        <w:outlineLvl w:val="0"/>
        <w:rPr>
          <w:rFonts w:hint="eastAsia"/>
          <w:szCs w:val="21"/>
        </w:rPr>
      </w:pPr>
      <w:r>
        <w:rPr>
          <w:rFonts w:hint="eastAsia"/>
          <w:szCs w:val="21"/>
        </w:rPr>
        <w:t>三、比选申请单位有效的营业执照</w:t>
      </w:r>
    </w:p>
    <w:p>
      <w:pPr>
        <w:tabs>
          <w:tab w:val="left" w:pos="900"/>
          <w:tab w:val="left" w:pos="1080"/>
        </w:tabs>
        <w:spacing w:line="360" w:lineRule="auto"/>
        <w:outlineLvl w:val="0"/>
        <w:rPr>
          <w:rFonts w:hint="eastAsia"/>
          <w:szCs w:val="21"/>
        </w:rPr>
      </w:pPr>
      <w:r>
        <w:rPr>
          <w:rFonts w:hint="eastAsia"/>
          <w:szCs w:val="21"/>
        </w:rPr>
        <w:t>四、比选申请单位自行承诺部分</w:t>
      </w:r>
    </w:p>
    <w:p>
      <w:pPr>
        <w:tabs>
          <w:tab w:val="left" w:pos="900"/>
          <w:tab w:val="left" w:pos="1080"/>
        </w:tabs>
        <w:spacing w:line="360" w:lineRule="auto"/>
        <w:outlineLvl w:val="0"/>
        <w:rPr>
          <w:szCs w:val="21"/>
        </w:rPr>
      </w:pPr>
      <w:r>
        <w:rPr>
          <w:rFonts w:hint="eastAsia"/>
          <w:szCs w:val="21"/>
        </w:rPr>
        <w:t>五、已标价报价清单</w:t>
      </w:r>
    </w:p>
    <w:p>
      <w:pPr>
        <w:tabs>
          <w:tab w:val="left" w:pos="900"/>
          <w:tab w:val="left" w:pos="1080"/>
        </w:tabs>
        <w:spacing w:line="300" w:lineRule="auto"/>
        <w:jc w:val="center"/>
        <w:outlineLvl w:val="0"/>
        <w:rPr>
          <w:rFonts w:hint="eastAsia" w:ascii="宋体" w:hAnsi="宋体" w:cs="宋体"/>
          <w:b/>
          <w:sz w:val="24"/>
        </w:rPr>
      </w:pPr>
    </w:p>
    <w:p>
      <w:pPr>
        <w:pStyle w:val="23"/>
        <w:rPr>
          <w:rFonts w:hint="eastAsia"/>
          <w:color w:val="auto"/>
        </w:rPr>
      </w:pPr>
    </w:p>
    <w:p>
      <w:pPr>
        <w:pStyle w:val="23"/>
        <w:rPr>
          <w:rFonts w:hint="eastAsia"/>
          <w:color w:val="auto"/>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pStyle w:val="23"/>
        <w:rPr>
          <w:rFonts w:hint="eastAsia"/>
          <w:color w:val="auto"/>
        </w:rPr>
      </w:pPr>
    </w:p>
    <w:p>
      <w:pPr>
        <w:pStyle w:val="23"/>
        <w:rPr>
          <w:rFonts w:hint="eastAsia"/>
          <w:color w:val="auto"/>
        </w:rPr>
      </w:pPr>
    </w:p>
    <w:p>
      <w:pPr>
        <w:pStyle w:val="23"/>
        <w:rPr>
          <w:rFonts w:hint="eastAsia"/>
          <w:color w:val="auto"/>
        </w:rPr>
      </w:pPr>
    </w:p>
    <w:p>
      <w:pPr>
        <w:spacing w:line="440" w:lineRule="exact"/>
        <w:outlineLvl w:val="1"/>
        <w:rPr>
          <w:rFonts w:hint="eastAsia" w:ascii="宋体" w:hAnsi="宋体" w:cs="宋体"/>
          <w:b/>
        </w:rPr>
      </w:pPr>
    </w:p>
    <w:p>
      <w:pPr>
        <w:jc w:val="center"/>
        <w:outlineLvl w:val="2"/>
        <w:rPr>
          <w:rFonts w:ascii="宋体" w:hAnsi="宋体" w:cs="宋体"/>
          <w:b/>
          <w:sz w:val="28"/>
          <w:szCs w:val="28"/>
        </w:rPr>
        <w:sectPr>
          <w:pgSz w:w="11906" w:h="16838"/>
          <w:pgMar w:top="1418" w:right="991" w:bottom="1418" w:left="1361" w:header="851" w:footer="992" w:gutter="0"/>
          <w:cols w:space="720" w:num="1"/>
          <w:docGrid w:type="lines" w:linePitch="312" w:charSpace="0"/>
        </w:sectPr>
      </w:pPr>
      <w:bookmarkStart w:id="36" w:name="_Toc265510122"/>
    </w:p>
    <w:p>
      <w:pPr>
        <w:jc w:val="center"/>
        <w:outlineLvl w:val="2"/>
        <w:rPr>
          <w:rFonts w:hint="eastAsia" w:ascii="宋体" w:hAnsi="宋体" w:cs="宋体"/>
          <w:b/>
          <w:sz w:val="28"/>
          <w:szCs w:val="28"/>
        </w:rPr>
      </w:pPr>
      <w:r>
        <w:rPr>
          <w:rFonts w:hint="eastAsia" w:ascii="宋体" w:hAnsi="宋体" w:cs="宋体"/>
          <w:b/>
          <w:sz w:val="28"/>
          <w:szCs w:val="28"/>
        </w:rPr>
        <w:t>一、报价书</w:t>
      </w:r>
      <w:bookmarkEnd w:id="36"/>
    </w:p>
    <w:p>
      <w:pPr>
        <w:spacing w:line="440" w:lineRule="exact"/>
        <w:rPr>
          <w:rFonts w:hint="eastAsia"/>
          <w:szCs w:val="21"/>
        </w:rPr>
      </w:pPr>
      <w:r>
        <w:rPr>
          <w:rFonts w:hint="eastAsia" w:ascii="宋体" w:hAnsi="宋体"/>
          <w:b/>
          <w:u w:val="single"/>
        </w:rPr>
        <w:t>致：重庆通力高速公路养护工程有限公司</w:t>
      </w:r>
    </w:p>
    <w:p>
      <w:pPr>
        <w:numPr>
          <w:ilvl w:val="0"/>
          <w:numId w:val="5"/>
        </w:numPr>
        <w:spacing w:line="440" w:lineRule="exact"/>
        <w:ind w:firstLine="420" w:firstLineChars="200"/>
        <w:rPr>
          <w:szCs w:val="21"/>
        </w:rPr>
      </w:pPr>
      <w:r>
        <w:rPr>
          <w:szCs w:val="21"/>
        </w:rPr>
        <w:t>我方已仔细研究了</w:t>
      </w:r>
      <w:r>
        <w:rPr>
          <w:rFonts w:hint="eastAsia" w:ascii="宋体" w:hAnsi="宋体"/>
          <w:b/>
          <w:bCs/>
          <w:szCs w:val="21"/>
          <w:u w:val="single"/>
        </w:rPr>
        <w:t>重庆通力高速公路养护工程有限公司渝宜高速公路长寿区石堰互通立交工程房屋建筑</w:t>
      </w:r>
      <w:r>
        <w:rPr>
          <w:rFonts w:hint="eastAsia" w:ascii="宋体" w:hAnsi="宋体"/>
          <w:b/>
          <w:bCs/>
          <w:szCs w:val="21"/>
          <w:u w:val="single"/>
          <w:lang w:val="en-US" w:eastAsia="zh-CN"/>
        </w:rPr>
        <w:t>墙地砖</w:t>
      </w:r>
      <w:r>
        <w:rPr>
          <w:rFonts w:hint="eastAsia" w:ascii="宋体" w:hAnsi="宋体"/>
          <w:b/>
          <w:bCs/>
          <w:szCs w:val="21"/>
          <w:u w:val="single"/>
        </w:rPr>
        <w:t>材料采购</w:t>
      </w:r>
      <w:r>
        <w:rPr>
          <w:rFonts w:hint="eastAsia"/>
          <w:szCs w:val="21"/>
        </w:rPr>
        <w:t>竞争性比选</w:t>
      </w:r>
      <w:r>
        <w:rPr>
          <w:szCs w:val="21"/>
        </w:rPr>
        <w:t>文件的全部内容，</w:t>
      </w:r>
      <w:r>
        <w:rPr>
          <w:rFonts w:hint="eastAsia"/>
          <w:szCs w:val="21"/>
        </w:rPr>
        <w:t>根据相关取费标准，愿意以总报价</w:t>
      </w:r>
    </w:p>
    <w:p>
      <w:pPr>
        <w:numPr>
          <w:ilvl w:val="0"/>
          <w:numId w:val="0"/>
        </w:numPr>
        <w:spacing w:line="440" w:lineRule="exact"/>
        <w:rPr>
          <w:szCs w:val="21"/>
        </w:rPr>
      </w:pPr>
      <w:r>
        <w:rPr>
          <w:rFonts w:hint="eastAsia"/>
          <w:szCs w:val="21"/>
        </w:rPr>
        <w:t>（大写</w:t>
      </w:r>
      <w:r>
        <w:rPr>
          <w:rFonts w:hint="eastAsia"/>
          <w:szCs w:val="21"/>
          <w:lang w:eastAsia="zh-CN"/>
        </w:rPr>
        <w:t>）</w:t>
      </w:r>
      <w:r>
        <w:rPr>
          <w:szCs w:val="21"/>
          <w:u w:val="none"/>
        </w:rPr>
        <w:t xml:space="preserve"> </w:t>
      </w:r>
      <w:r>
        <w:rPr>
          <w:szCs w:val="21"/>
          <w:u w:val="single"/>
        </w:rPr>
        <w:t xml:space="preserve">     </w:t>
      </w:r>
      <w:r>
        <w:rPr>
          <w:rFonts w:hint="eastAsia"/>
          <w:szCs w:val="21"/>
        </w:rPr>
        <w:t>（¥</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），并按合同约定实施</w:t>
      </w:r>
      <w:r>
        <w:rPr>
          <w:szCs w:val="21"/>
        </w:rPr>
        <w:t>。</w:t>
      </w:r>
    </w:p>
    <w:p>
      <w:pPr>
        <w:spacing w:line="440" w:lineRule="exact"/>
        <w:ind w:firstLine="420" w:firstLineChars="200"/>
        <w:rPr>
          <w:szCs w:val="21"/>
        </w:rPr>
      </w:pPr>
      <w:r>
        <w:rPr>
          <w:szCs w:val="21"/>
        </w:rPr>
        <w:t>2．我方承诺在投标有效期内不修改、撤销</w:t>
      </w:r>
      <w:r>
        <w:rPr>
          <w:rFonts w:hint="eastAsia"/>
          <w:szCs w:val="21"/>
        </w:rPr>
        <w:t>比选申请文件，并完全响应竞争性比选文件的规定</w:t>
      </w:r>
      <w:r>
        <w:rPr>
          <w:szCs w:val="21"/>
        </w:rPr>
        <w:t>。</w:t>
      </w:r>
    </w:p>
    <w:p>
      <w:pPr>
        <w:spacing w:line="440" w:lineRule="exact"/>
        <w:ind w:firstLine="420" w:firstLineChars="200"/>
        <w:rPr>
          <w:rFonts w:hint="eastAsia"/>
          <w:szCs w:val="21"/>
        </w:rPr>
      </w:pPr>
      <w:r>
        <w:rPr>
          <w:szCs w:val="21"/>
        </w:rPr>
        <w:t>3．</w:t>
      </w:r>
      <w:r>
        <w:rPr>
          <w:rFonts w:hint="eastAsia"/>
        </w:rPr>
        <w:t>我方在此声明，所递交的比选申请文件及有关资料内容完整、真实和准确。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rFonts w:hint="eastAsia"/>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pStyle w:val="23"/>
        <w:rPr>
          <w:rFonts w:hint="eastAsia"/>
          <w:color w:val="auto"/>
        </w:rPr>
      </w:pPr>
    </w:p>
    <w:p>
      <w:pPr>
        <w:pStyle w:val="23"/>
        <w:rPr>
          <w:rFonts w:hint="eastAsia" w:ascii="宋体" w:hAnsi="宋体" w:cs="宋体"/>
          <w:b/>
          <w:color w:val="auto"/>
        </w:rPr>
      </w:pPr>
    </w:p>
    <w:p>
      <w:pPr>
        <w:pStyle w:val="23"/>
        <w:rPr>
          <w:rFonts w:hint="eastAsia" w:ascii="宋体" w:hAnsi="宋体" w:cs="宋体"/>
          <w:b/>
          <w:color w:val="auto"/>
        </w:rPr>
      </w:pPr>
    </w:p>
    <w:p>
      <w:pPr>
        <w:pStyle w:val="23"/>
        <w:rPr>
          <w:rFonts w:hint="eastAsia" w:ascii="宋体" w:hAnsi="宋体" w:cs="宋体"/>
          <w:b/>
          <w:color w:val="auto"/>
        </w:rPr>
      </w:pPr>
    </w:p>
    <w:p>
      <w:pPr>
        <w:pStyle w:val="23"/>
        <w:rPr>
          <w:rFonts w:hint="eastAsia" w:ascii="宋体" w:hAnsi="宋体" w:cs="宋体"/>
          <w:b/>
          <w:color w:val="auto"/>
        </w:rPr>
      </w:pPr>
    </w:p>
    <w:p>
      <w:pPr>
        <w:spacing w:line="440" w:lineRule="exact"/>
        <w:ind w:firstLine="2670" w:firstLineChars="950"/>
        <w:outlineLvl w:val="1"/>
        <w:rPr>
          <w:rFonts w:ascii="宋体" w:hAnsi="宋体" w:cs="宋体"/>
          <w:b/>
          <w:sz w:val="28"/>
          <w:szCs w:val="28"/>
        </w:rPr>
        <w:sectPr>
          <w:pgSz w:w="11906" w:h="16838"/>
          <w:pgMar w:top="1418" w:right="1416" w:bottom="1418" w:left="1361" w:header="851" w:footer="992" w:gutter="0"/>
          <w:cols w:space="720" w:num="1"/>
          <w:docGrid w:type="lines" w:linePitch="312" w:charSpace="0"/>
        </w:sectPr>
      </w:pPr>
    </w:p>
    <w:p>
      <w:pPr>
        <w:spacing w:line="440" w:lineRule="exact"/>
        <w:ind w:firstLine="2670" w:firstLineChars="950"/>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hint="eastAsia" w:ascii="宋体" w:hAnsi="宋体" w:cs="宋体"/>
          <w:sz w:val="20"/>
        </w:rPr>
      </w:pPr>
    </w:p>
    <w:p>
      <w:pPr>
        <w:topLinePunct/>
        <w:spacing w:line="440" w:lineRule="exact"/>
        <w:ind w:firstLine="422" w:firstLineChars="200"/>
        <w:jc w:val="center"/>
        <w:outlineLvl w:val="2"/>
        <w:rPr>
          <w:b/>
          <w:szCs w:val="21"/>
        </w:rPr>
      </w:pPr>
      <w:bookmarkStart w:id="37" w:name="_Toc262547328"/>
      <w:r>
        <w:rPr>
          <w:rFonts w:hint="eastAsia"/>
          <w:b/>
          <w:szCs w:val="21"/>
        </w:rPr>
        <w:t>（一）法定代表人身份证明</w:t>
      </w:r>
      <w:bookmarkEnd w:id="37"/>
    </w:p>
    <w:p>
      <w:pPr>
        <w:spacing w:line="440" w:lineRule="exact"/>
        <w:rPr>
          <w:szCs w:val="21"/>
        </w:rPr>
      </w:pPr>
      <w:r>
        <w:rPr>
          <w:rFonts w:hint="eastAsia"/>
          <w:szCs w:val="21"/>
        </w:rPr>
        <w:t>比选申请人名称：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r>
        <w:rPr>
          <w:szCs w:val="21"/>
        </w:rPr>
        <w:t xml:space="preserve"> </w:t>
      </w:r>
      <w:r>
        <w:rPr>
          <w:rFonts w:hint="eastAsia"/>
          <w:szCs w:val="21"/>
        </w:rPr>
        <w:t>（比选申请人名称）的法定代表人。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r>
        <w:rPr>
          <w:rFonts w:hint="eastAsia" w:ascii="宋体" w:hAnsi="宋体"/>
          <w:szCs w:val="21"/>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szCs w:val="21"/>
        </w:rPr>
      </w:pPr>
      <w:r>
        <w:rPr>
          <w:rFonts w:hint="eastAsia" w:ascii="宋体" w:hAnsi="宋体" w:cs="宋体"/>
          <w:sz w:val="20"/>
        </w:rPr>
        <w:br w:type="page"/>
      </w:r>
      <w:bookmarkStart w:id="38" w:name="_Toc262547329"/>
      <w:r>
        <w:rPr>
          <w:rFonts w:hint="eastAsia" w:ascii="宋体" w:hAnsi="宋体" w:cs="宋体"/>
          <w:b/>
          <w:szCs w:val="21"/>
        </w:rPr>
        <w:t>（二）授权委托书</w:t>
      </w:r>
      <w:bookmarkEnd w:id="38"/>
      <w:r>
        <w:rPr>
          <w:rFonts w:hint="eastAsia" w:ascii="宋体" w:hAnsi="宋体" w:cs="宋体"/>
          <w:b/>
          <w:szCs w:val="21"/>
        </w:rPr>
        <w:t xml:space="preserve"> </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b/>
          <w:bCs/>
          <w:szCs w:val="21"/>
          <w:u w:val="single"/>
        </w:rPr>
        <w:t>重庆通力高速公路养护工程有限公司渝宜高速公路长寿区石堰互通立交工程房屋建筑</w:t>
      </w:r>
      <w:r>
        <w:rPr>
          <w:rFonts w:hint="eastAsia" w:ascii="宋体" w:hAnsi="宋体"/>
          <w:b/>
          <w:bCs/>
          <w:szCs w:val="21"/>
          <w:u w:val="single"/>
          <w:lang w:val="en-US" w:eastAsia="zh-CN"/>
        </w:rPr>
        <w:t>墙地砖</w:t>
      </w:r>
      <w:r>
        <w:rPr>
          <w:rFonts w:hint="eastAsia" w:ascii="宋体" w:hAnsi="宋体"/>
          <w:b/>
          <w:bCs/>
          <w:szCs w:val="21"/>
          <w:u w:val="single"/>
        </w:rPr>
        <w:t>材料采购</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szCs w:val="21"/>
        </w:rPr>
      </w:pPr>
      <w:r>
        <w:rPr>
          <w:rFonts w:hint="eastAsia" w:ascii="宋体" w:hAnsi="宋体" w:cs="宋体"/>
          <w:kern w:val="0"/>
          <w:szCs w:val="21"/>
        </w:rPr>
        <w:t>比选申请人：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hint="eastAsia" w:ascii="宋体" w:hAnsi="宋体" w:cs="宋体"/>
          <w:kern w:val="0"/>
        </w:rPr>
      </w:pPr>
    </w:p>
    <w:p>
      <w:pPr>
        <w:rPr>
          <w:rFonts w:hint="eastAsia" w:ascii="宋体" w:hAnsi="宋体" w:cs="宋体"/>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600" w:lineRule="exact"/>
        <w:rPr>
          <w:rFonts w:hint="eastAsia" w:ascii="宋体" w:hAnsi="宋体" w:cs="宋体"/>
          <w:sz w:val="28"/>
          <w:szCs w:val="28"/>
        </w:rPr>
      </w:pPr>
    </w:p>
    <w:p>
      <w:pPr>
        <w:spacing w:line="600" w:lineRule="exact"/>
        <w:rPr>
          <w:rFonts w:hint="eastAsia" w:ascii="宋体" w:hAnsi="宋体" w:cs="宋体"/>
          <w:sz w:val="28"/>
          <w:szCs w:val="28"/>
        </w:rPr>
      </w:pPr>
    </w:p>
    <w:p>
      <w:pPr>
        <w:pStyle w:val="23"/>
        <w:rPr>
          <w:rFonts w:hint="eastAsia"/>
          <w:color w:val="auto"/>
        </w:rPr>
      </w:pPr>
    </w:p>
    <w:p>
      <w:pPr>
        <w:tabs>
          <w:tab w:val="left" w:pos="900"/>
          <w:tab w:val="left" w:pos="1080"/>
        </w:tabs>
        <w:spacing w:line="300" w:lineRule="auto"/>
        <w:jc w:val="center"/>
        <w:outlineLvl w:val="0"/>
        <w:rPr>
          <w:rFonts w:hint="eastAsia" w:ascii="宋体" w:hAnsi="宋体" w:cs="宋体"/>
          <w:b/>
          <w:sz w:val="28"/>
          <w:szCs w:val="28"/>
        </w:rPr>
        <w:sectPr>
          <w:pgSz w:w="11906" w:h="16838"/>
          <w:pgMar w:top="1418" w:right="1416" w:bottom="1418" w:left="1361" w:header="851" w:footer="992" w:gutter="0"/>
          <w:cols w:space="720" w:num="1"/>
          <w:docGrid w:type="lines" w:linePitch="312" w:charSpace="0"/>
        </w:sectPr>
      </w:pPr>
      <w:r>
        <w:rPr>
          <w:rFonts w:hint="eastAsia" w:ascii="宋体" w:hAnsi="宋体" w:cs="宋体"/>
          <w:b/>
          <w:sz w:val="28"/>
          <w:szCs w:val="28"/>
        </w:rPr>
        <w:t>三、比选申请单位有效的营业执照</w:t>
      </w: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rPr>
        <w:t>四、比选申请单位自行承诺部分</w:t>
      </w:r>
    </w:p>
    <w:p>
      <w:pPr>
        <w:spacing w:line="440" w:lineRule="exact"/>
        <w:rPr>
          <w:rFonts w:hint="eastAsia"/>
          <w:szCs w:val="21"/>
        </w:rPr>
      </w:pPr>
      <w:r>
        <w:rPr>
          <w:rFonts w:hint="eastAsia"/>
          <w:szCs w:val="21"/>
        </w:rPr>
        <w:t>重庆通力高速公路养护工程有限公司：</w:t>
      </w:r>
    </w:p>
    <w:p>
      <w:pPr>
        <w:spacing w:line="440" w:lineRule="exact"/>
        <w:ind w:firstLine="630" w:firstLineChars="300"/>
        <w:rPr>
          <w:rFonts w:hint="eastAsia"/>
          <w:szCs w:val="21"/>
        </w:rPr>
      </w:pPr>
      <w:r>
        <w:rPr>
          <w:rFonts w:hint="eastAsia"/>
          <w:szCs w:val="21"/>
        </w:rPr>
        <w:t>我司承诺本次报价的所有资料均为真实材料，且</w:t>
      </w:r>
      <w:bookmarkStart w:id="39" w:name="_Hlk45640478"/>
      <w:r>
        <w:rPr>
          <w:rFonts w:hint="eastAsia"/>
          <w:szCs w:val="21"/>
        </w:rPr>
        <w:t>在“信用中国”网站（http://www.creditchina.gov.cn/）中未被列入失信被惩戒对象</w:t>
      </w:r>
      <w:bookmarkEnd w:id="39"/>
      <w:r>
        <w:rPr>
          <w:rFonts w:hint="eastAsia"/>
          <w:szCs w:val="21"/>
        </w:rPr>
        <w:t>。</w:t>
      </w:r>
    </w:p>
    <w:p>
      <w:pPr>
        <w:spacing w:line="440" w:lineRule="exact"/>
        <w:ind w:firstLine="420" w:firstLineChars="200"/>
        <w:rPr>
          <w:rFonts w:hint="eastAsia"/>
          <w:szCs w:val="21"/>
        </w:rPr>
      </w:pPr>
      <w:r>
        <w:rPr>
          <w:rFonts w:hint="eastAsia"/>
          <w:szCs w:val="21"/>
        </w:rPr>
        <w:t>我司将按照竞争性比选文件提供合格的材料。若违背竞争性比选文件及合同要求，我司将按照约定接受处罚。</w:t>
      </w:r>
    </w:p>
    <w:p>
      <w:pPr>
        <w:pStyle w:val="23"/>
        <w:rPr>
          <w:rFonts w:hint="eastAsia" w:ascii="宋体" w:hAnsi="宋体" w:cs="宋体"/>
          <w:b/>
          <w:color w:val="auto"/>
          <w:sz w:val="28"/>
          <w:szCs w:val="28"/>
        </w:rPr>
      </w:pPr>
    </w:p>
    <w:p>
      <w:pPr>
        <w:spacing w:line="440" w:lineRule="exact"/>
        <w:ind w:firstLine="3990" w:firstLineChars="1900"/>
        <w:jc w:val="righ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pStyle w:val="23"/>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23"/>
        <w:jc w:val="right"/>
        <w:rPr>
          <w:rFonts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23"/>
        <w:jc w:val="right"/>
        <w:rPr>
          <w:rFonts w:ascii="宋体" w:hAnsi="宋体" w:eastAsia="宋体" w:cs="宋体"/>
          <w:color w:val="auto"/>
          <w:szCs w:val="21"/>
        </w:rPr>
      </w:pPr>
    </w:p>
    <w:p>
      <w:pPr>
        <w:pStyle w:val="26"/>
        <w:spacing w:before="9" w:line="358" w:lineRule="exact"/>
        <w:ind w:left="53" w:leftChars="25" w:firstLine="317" w:firstLineChars="151"/>
        <w:jc w:val="both"/>
        <w:rPr>
          <w:rFonts w:ascii="Times New Roman" w:hAnsi="Times New Roman" w:eastAsia="宋体"/>
          <w:szCs w:val="21"/>
        </w:rPr>
      </w:pPr>
      <w:bookmarkStart w:id="40" w:name="_Hlk45640489"/>
      <w:r>
        <w:drawing>
          <wp:anchor distT="0" distB="0" distL="114300" distR="114300" simplePos="0" relativeHeight="251658240" behindDoc="0" locked="0" layoutInCell="1" allowOverlap="1">
            <wp:simplePos x="0" y="0"/>
            <wp:positionH relativeFrom="column">
              <wp:posOffset>0</wp:posOffset>
            </wp:positionH>
            <wp:positionV relativeFrom="paragraph">
              <wp:posOffset>1089660</wp:posOffset>
            </wp:positionV>
            <wp:extent cx="5486400" cy="2545715"/>
            <wp:effectExtent l="0" t="0" r="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486400" cy="2545715"/>
                    </a:xfrm>
                    <a:prstGeom prst="rect">
                      <a:avLst/>
                    </a:prstGeom>
                    <a:noFill/>
                    <a:ln>
                      <a:noFill/>
                    </a:ln>
                  </pic:spPr>
                </pic:pic>
              </a:graphicData>
            </a:graphic>
          </wp:anchor>
        </w:drawing>
      </w:r>
      <w:r>
        <w:rPr>
          <w:rFonts w:hint="eastAsia" w:ascii="宋体" w:hAnsi="宋体" w:eastAsia="宋体"/>
          <w:sz w:val="21"/>
          <w:szCs w:val="21"/>
        </w:rPr>
        <w:t>注</w:t>
      </w:r>
      <w:r>
        <w:rPr>
          <w:rFonts w:hint="eastAsia" w:ascii="Times New Roman" w:hAnsi="Times New Roman" w:eastAsia="宋体"/>
          <w:szCs w:val="21"/>
        </w:rPr>
        <w:t>“比选申请人的信誉承诺”应附比选申请人在“信用中国”网站（http://www.creditchina.gov.cn/）中未被列入失信被惩戒对象的网页截图复印件；</w:t>
      </w:r>
      <w:r>
        <w:rPr>
          <w:rFonts w:ascii="Times New Roman" w:hAnsi="Times New Roman" w:eastAsia="宋体"/>
          <w:szCs w:val="21"/>
        </w:rPr>
        <w:t>在“信用中国”网站（http://www.creditchina.gov.cn/)中</w:t>
      </w:r>
      <w:bookmarkStart w:id="41" w:name="_Hlk45640316"/>
      <w:r>
        <w:rPr>
          <w:rFonts w:ascii="Times New Roman" w:hAnsi="Times New Roman" w:eastAsia="宋体"/>
          <w:szCs w:val="21"/>
        </w:rPr>
        <w:t>未被列入失信被</w:t>
      </w:r>
      <w:r>
        <w:rPr>
          <w:rFonts w:hint="eastAsia" w:ascii="Times New Roman" w:hAnsi="Times New Roman" w:eastAsia="宋体"/>
          <w:szCs w:val="21"/>
        </w:rPr>
        <w:t>惩戒</w:t>
      </w:r>
      <w:bookmarkEnd w:id="41"/>
      <w:r>
        <w:rPr>
          <w:rFonts w:hint="eastAsia" w:ascii="Times New Roman" w:hAnsi="Times New Roman" w:eastAsia="宋体"/>
          <w:szCs w:val="21"/>
        </w:rPr>
        <w:t>对象</w:t>
      </w:r>
      <w:r>
        <w:rPr>
          <w:rFonts w:ascii="Times New Roman" w:hAnsi="Times New Roman" w:eastAsia="宋体"/>
          <w:szCs w:val="21"/>
        </w:rPr>
        <w:t>由投标人自行截图证明，示例如下：</w:t>
      </w:r>
      <w:bookmarkEnd w:id="40"/>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hint="eastAsia" w:ascii="Times New Roman" w:hAnsi="Times New Roman" w:eastAsia="宋体"/>
          <w:szCs w:val="21"/>
          <w:lang w:val="en-US" w:eastAsia="zh-CN"/>
        </w:rPr>
      </w:pPr>
    </w:p>
    <w:p>
      <w:pPr>
        <w:pStyle w:val="26"/>
        <w:spacing w:before="9" w:line="358" w:lineRule="exact"/>
        <w:ind w:left="53" w:leftChars="25" w:firstLine="317" w:firstLineChars="151"/>
        <w:jc w:val="both"/>
        <w:rPr>
          <w:rFonts w:hint="eastAsia" w:ascii="Times New Roman" w:hAnsi="Times New Roman" w:eastAsia="宋体"/>
          <w:szCs w:val="21"/>
          <w:lang w:val="en-US" w:eastAsia="zh-CN"/>
        </w:rPr>
      </w:pPr>
    </w:p>
    <w:p>
      <w:pPr>
        <w:pStyle w:val="26"/>
        <w:numPr>
          <w:ilvl w:val="0"/>
          <w:numId w:val="3"/>
        </w:numPr>
        <w:spacing w:before="9" w:line="358" w:lineRule="exact"/>
        <w:jc w:val="center"/>
        <w:rPr>
          <w:rFonts w:hint="eastAsia" w:ascii="宋体" w:hAnsi="宋体" w:cs="宋体"/>
          <w:b/>
          <w:sz w:val="28"/>
          <w:szCs w:val="28"/>
        </w:rPr>
      </w:pPr>
      <w:r>
        <w:rPr>
          <w:rFonts w:hint="eastAsia" w:ascii="宋体" w:hAnsi="宋体" w:cs="宋体"/>
          <w:b/>
          <w:sz w:val="28"/>
          <w:szCs w:val="28"/>
        </w:rPr>
        <w:t>已标价报价清单</w:t>
      </w:r>
    </w:p>
    <w:p>
      <w:pPr>
        <w:spacing w:line="360" w:lineRule="auto"/>
        <w:jc w:val="center"/>
        <w:textAlignment w:val="baseline"/>
        <w:rPr>
          <w:rFonts w:hint="eastAsia"/>
          <w:sz w:val="24"/>
          <w:szCs w:val="24"/>
        </w:rPr>
      </w:pPr>
      <w:r>
        <w:rPr>
          <w:rFonts w:hint="eastAsia"/>
          <w:szCs w:val="21"/>
        </w:rPr>
        <w:t>货币单位：人民币  元</w:t>
      </w:r>
    </w:p>
    <w:tbl>
      <w:tblPr>
        <w:tblStyle w:val="21"/>
        <w:tblW w:w="9574" w:type="dxa"/>
        <w:jc w:val="center"/>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624"/>
        <w:gridCol w:w="885"/>
        <w:gridCol w:w="690"/>
        <w:gridCol w:w="1050"/>
        <w:gridCol w:w="780"/>
        <w:gridCol w:w="1080"/>
        <w:gridCol w:w="112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725" w:type="dxa"/>
            <w:vMerge w:val="restart"/>
            <w:vAlign w:val="center"/>
          </w:tcPr>
          <w:p>
            <w:pPr>
              <w:spacing w:line="260" w:lineRule="exact"/>
              <w:jc w:val="center"/>
              <w:textAlignment w:val="baseline"/>
              <w:rPr>
                <w:rFonts w:hint="eastAsia"/>
                <w:b/>
                <w:sz w:val="18"/>
                <w:szCs w:val="18"/>
              </w:rPr>
            </w:pPr>
            <w:r>
              <w:rPr>
                <w:rFonts w:hint="eastAsia"/>
                <w:b/>
                <w:sz w:val="18"/>
                <w:szCs w:val="18"/>
              </w:rPr>
              <w:t>产品名称</w:t>
            </w:r>
          </w:p>
        </w:tc>
        <w:tc>
          <w:tcPr>
            <w:tcW w:w="624" w:type="dxa"/>
            <w:vMerge w:val="restart"/>
            <w:vAlign w:val="center"/>
          </w:tcPr>
          <w:p>
            <w:pPr>
              <w:spacing w:line="260" w:lineRule="exact"/>
              <w:jc w:val="center"/>
              <w:textAlignment w:val="baseline"/>
              <w:rPr>
                <w:rFonts w:hint="eastAsia"/>
                <w:b/>
                <w:sz w:val="18"/>
                <w:szCs w:val="18"/>
              </w:rPr>
            </w:pPr>
            <w:r>
              <w:rPr>
                <w:rFonts w:hint="eastAsia"/>
                <w:b/>
                <w:sz w:val="18"/>
                <w:szCs w:val="18"/>
              </w:rPr>
              <w:t>单位</w:t>
            </w:r>
          </w:p>
        </w:tc>
        <w:tc>
          <w:tcPr>
            <w:tcW w:w="885" w:type="dxa"/>
            <w:vMerge w:val="restart"/>
            <w:vAlign w:val="center"/>
          </w:tcPr>
          <w:p>
            <w:pPr>
              <w:spacing w:line="260" w:lineRule="exact"/>
              <w:jc w:val="center"/>
              <w:textAlignment w:val="baseline"/>
              <w:rPr>
                <w:rFonts w:hint="eastAsia"/>
                <w:b/>
                <w:sz w:val="18"/>
                <w:szCs w:val="18"/>
              </w:rPr>
            </w:pPr>
            <w:r>
              <w:rPr>
                <w:rFonts w:hint="eastAsia"/>
                <w:b/>
                <w:sz w:val="18"/>
                <w:szCs w:val="18"/>
              </w:rPr>
              <w:t>暂估量</w:t>
            </w:r>
          </w:p>
        </w:tc>
        <w:tc>
          <w:tcPr>
            <w:tcW w:w="1740" w:type="dxa"/>
            <w:gridSpan w:val="2"/>
            <w:vAlign w:val="center"/>
          </w:tcPr>
          <w:p>
            <w:pPr>
              <w:spacing w:line="260" w:lineRule="exact"/>
              <w:jc w:val="center"/>
              <w:textAlignment w:val="baseline"/>
              <w:rPr>
                <w:b/>
                <w:sz w:val="18"/>
                <w:szCs w:val="18"/>
              </w:rPr>
            </w:pPr>
            <w:r>
              <w:rPr>
                <w:rFonts w:hint="eastAsia"/>
                <w:b/>
                <w:sz w:val="18"/>
                <w:szCs w:val="18"/>
                <w:lang w:val="en-US" w:eastAsia="zh-CN"/>
              </w:rPr>
              <w:t>不</w:t>
            </w:r>
            <w:r>
              <w:rPr>
                <w:rFonts w:hint="eastAsia"/>
                <w:b/>
                <w:sz w:val="18"/>
                <w:szCs w:val="18"/>
              </w:rPr>
              <w:t>含税到场限价</w:t>
            </w:r>
          </w:p>
        </w:tc>
        <w:tc>
          <w:tcPr>
            <w:tcW w:w="1860" w:type="dxa"/>
            <w:gridSpan w:val="2"/>
            <w:vAlign w:val="center"/>
          </w:tcPr>
          <w:p>
            <w:pPr>
              <w:spacing w:line="260" w:lineRule="exact"/>
              <w:jc w:val="center"/>
              <w:textAlignment w:val="baseline"/>
              <w:rPr>
                <w:b/>
                <w:sz w:val="18"/>
                <w:szCs w:val="18"/>
              </w:rPr>
            </w:pPr>
            <w:r>
              <w:rPr>
                <w:rFonts w:hint="eastAsia"/>
                <w:b/>
                <w:sz w:val="18"/>
                <w:szCs w:val="18"/>
                <w:lang w:val="en-US" w:eastAsia="zh-CN"/>
              </w:rPr>
              <w:t>不</w:t>
            </w:r>
            <w:r>
              <w:rPr>
                <w:rFonts w:hint="eastAsia"/>
                <w:b/>
                <w:sz w:val="18"/>
                <w:szCs w:val="18"/>
              </w:rPr>
              <w:t>含税到场报价</w:t>
            </w:r>
          </w:p>
        </w:tc>
        <w:tc>
          <w:tcPr>
            <w:tcW w:w="1124" w:type="dxa"/>
            <w:vMerge w:val="restart"/>
            <w:vAlign w:val="center"/>
          </w:tcPr>
          <w:p>
            <w:pPr>
              <w:spacing w:line="260" w:lineRule="exact"/>
              <w:jc w:val="center"/>
              <w:textAlignment w:val="baseline"/>
              <w:rPr>
                <w:rFonts w:hint="default" w:eastAsia="宋体"/>
                <w:b/>
                <w:sz w:val="18"/>
                <w:szCs w:val="18"/>
                <w:lang w:val="en-US" w:eastAsia="zh-CN"/>
              </w:rPr>
            </w:pPr>
            <w:r>
              <w:rPr>
                <w:rFonts w:hint="eastAsia"/>
                <w:b/>
                <w:sz w:val="18"/>
                <w:szCs w:val="18"/>
                <w:lang w:val="en-US" w:eastAsia="zh-CN"/>
              </w:rPr>
              <w:t>品牌名称</w:t>
            </w:r>
          </w:p>
        </w:tc>
        <w:tc>
          <w:tcPr>
            <w:tcW w:w="1616" w:type="dxa"/>
            <w:vAlign w:val="center"/>
          </w:tcPr>
          <w:p>
            <w:pPr>
              <w:spacing w:line="260" w:lineRule="exact"/>
              <w:jc w:val="center"/>
              <w:textAlignment w:val="baseline"/>
              <w:rPr>
                <w:b/>
                <w:sz w:val="18"/>
                <w:szCs w:val="18"/>
              </w:rPr>
            </w:pPr>
            <w:r>
              <w:rPr>
                <w:rFonts w:hint="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1725" w:type="dxa"/>
            <w:vMerge w:val="continue"/>
            <w:vAlign w:val="center"/>
          </w:tcPr>
          <w:p>
            <w:pPr>
              <w:ind w:left="0" w:leftChars="0" w:firstLine="0" w:firstLineChars="0"/>
              <w:jc w:val="center"/>
              <w:rPr>
                <w:rFonts w:hint="eastAsia" w:ascii="宋体" w:hAnsi="宋体" w:eastAsia="宋体" w:cs="宋体"/>
                <w:i w:val="0"/>
                <w:color w:val="000000"/>
                <w:sz w:val="18"/>
                <w:szCs w:val="18"/>
                <w:u w:val="none"/>
              </w:rPr>
            </w:pPr>
          </w:p>
        </w:tc>
        <w:tc>
          <w:tcPr>
            <w:tcW w:w="624" w:type="dxa"/>
            <w:vMerge w:val="continue"/>
            <w:vAlign w:val="center"/>
          </w:tcPr>
          <w:p>
            <w:pPr>
              <w:ind w:left="0" w:leftChars="0" w:firstLine="0" w:firstLineChars="0"/>
              <w:jc w:val="center"/>
              <w:rPr>
                <w:rFonts w:hint="eastAsia" w:ascii="宋体" w:hAnsi="宋体" w:eastAsia="宋体" w:cs="宋体"/>
                <w:i w:val="0"/>
                <w:color w:val="000000"/>
                <w:sz w:val="18"/>
                <w:szCs w:val="18"/>
                <w:u w:val="none"/>
                <w:lang w:val="en-US" w:eastAsia="zh-CN"/>
              </w:rPr>
            </w:pPr>
          </w:p>
        </w:tc>
        <w:tc>
          <w:tcPr>
            <w:tcW w:w="885" w:type="dxa"/>
            <w:vMerge w:val="continue"/>
            <w:vAlign w:val="center"/>
          </w:tcPr>
          <w:p>
            <w:pPr>
              <w:ind w:left="0" w:leftChars="0" w:firstLine="0" w:firstLineChars="0"/>
              <w:jc w:val="center"/>
              <w:rPr>
                <w:rFonts w:hint="eastAsia" w:ascii="宋体" w:hAnsi="宋体" w:eastAsia="宋体" w:cs="宋体"/>
                <w:i w:val="0"/>
                <w:color w:val="000000"/>
                <w:sz w:val="18"/>
                <w:szCs w:val="18"/>
                <w:u w:val="none"/>
                <w:lang w:val="en-US" w:eastAsia="zh-CN"/>
              </w:rPr>
            </w:pPr>
          </w:p>
        </w:tc>
        <w:tc>
          <w:tcPr>
            <w:tcW w:w="690" w:type="dxa"/>
            <w:vAlign w:val="center"/>
          </w:tcPr>
          <w:p>
            <w:pPr>
              <w:spacing w:line="260" w:lineRule="exact"/>
              <w:jc w:val="center"/>
              <w:textAlignment w:val="baseline"/>
              <w:rPr>
                <w:rFonts w:hint="eastAsia" w:ascii="宋体" w:hAnsi="宋体" w:cs="宋体"/>
                <w:sz w:val="18"/>
                <w:szCs w:val="18"/>
                <w:lang w:val="en-US" w:eastAsia="zh-CN"/>
              </w:rPr>
            </w:pPr>
            <w:r>
              <w:rPr>
                <w:rFonts w:hint="eastAsia"/>
                <w:b/>
                <w:sz w:val="18"/>
                <w:szCs w:val="18"/>
              </w:rPr>
              <w:t>单价</w:t>
            </w:r>
          </w:p>
        </w:tc>
        <w:tc>
          <w:tcPr>
            <w:tcW w:w="1050" w:type="dxa"/>
            <w:vAlign w:val="center"/>
          </w:tcPr>
          <w:p>
            <w:pPr>
              <w:spacing w:line="260" w:lineRule="exact"/>
              <w:jc w:val="center"/>
              <w:textAlignment w:val="baseline"/>
              <w:rPr>
                <w:rFonts w:hint="eastAsia" w:ascii="宋体" w:hAnsi="宋体" w:cs="宋体"/>
                <w:sz w:val="18"/>
                <w:szCs w:val="18"/>
                <w:lang w:val="en-US" w:eastAsia="zh-CN"/>
              </w:rPr>
            </w:pPr>
            <w:r>
              <w:rPr>
                <w:rFonts w:hint="eastAsia"/>
                <w:b/>
                <w:sz w:val="18"/>
                <w:szCs w:val="18"/>
              </w:rPr>
              <w:t>合计金额</w:t>
            </w:r>
          </w:p>
        </w:tc>
        <w:tc>
          <w:tcPr>
            <w:tcW w:w="780" w:type="dxa"/>
            <w:vAlign w:val="center"/>
          </w:tcPr>
          <w:p>
            <w:pPr>
              <w:spacing w:line="260" w:lineRule="exact"/>
              <w:jc w:val="center"/>
              <w:textAlignment w:val="baseline"/>
              <w:rPr>
                <w:rFonts w:hint="eastAsia" w:ascii="宋体" w:hAnsi="宋体" w:eastAsia="宋体" w:cs="宋体"/>
                <w:sz w:val="18"/>
                <w:szCs w:val="18"/>
              </w:rPr>
            </w:pPr>
            <w:r>
              <w:rPr>
                <w:rFonts w:hint="eastAsia"/>
                <w:b/>
                <w:sz w:val="18"/>
                <w:szCs w:val="18"/>
              </w:rPr>
              <w:t>单价</w:t>
            </w:r>
          </w:p>
        </w:tc>
        <w:tc>
          <w:tcPr>
            <w:tcW w:w="1080" w:type="dxa"/>
            <w:vAlign w:val="center"/>
          </w:tcPr>
          <w:p>
            <w:pPr>
              <w:spacing w:line="260" w:lineRule="exact"/>
              <w:jc w:val="center"/>
              <w:textAlignment w:val="baseline"/>
              <w:rPr>
                <w:rFonts w:hint="eastAsia" w:ascii="宋体" w:hAnsi="宋体" w:eastAsia="宋体" w:cs="宋体"/>
                <w:sz w:val="18"/>
                <w:szCs w:val="18"/>
              </w:rPr>
            </w:pPr>
            <w:r>
              <w:rPr>
                <w:rFonts w:hint="eastAsia"/>
                <w:b/>
                <w:sz w:val="18"/>
                <w:szCs w:val="18"/>
              </w:rPr>
              <w:t>合计金额</w:t>
            </w:r>
          </w:p>
        </w:tc>
        <w:tc>
          <w:tcPr>
            <w:tcW w:w="1124" w:type="dxa"/>
            <w:vMerge w:val="continue"/>
            <w:vAlign w:val="center"/>
          </w:tcPr>
          <w:p>
            <w:pPr>
              <w:ind w:left="0" w:leftChars="0" w:firstLine="0" w:firstLineChars="0"/>
              <w:jc w:val="center"/>
              <w:rPr>
                <w:rFonts w:hint="default" w:ascii="宋体" w:hAnsi="宋体" w:eastAsia="宋体" w:cs="宋体"/>
                <w:i w:val="0"/>
                <w:color w:val="000000"/>
                <w:sz w:val="18"/>
                <w:szCs w:val="18"/>
                <w:u w:val="none"/>
                <w:lang w:val="en-US" w:eastAsia="zh-CN"/>
              </w:rPr>
            </w:pPr>
          </w:p>
        </w:tc>
        <w:tc>
          <w:tcPr>
            <w:tcW w:w="1616" w:type="dxa"/>
            <w:vAlign w:val="center"/>
          </w:tcPr>
          <w:p>
            <w:pPr>
              <w:ind w:left="0" w:leftChars="0" w:firstLine="0" w:firstLineChars="0"/>
              <w:jc w:val="center"/>
              <w:rPr>
                <w:rFonts w:hint="default" w:ascii="宋体" w:hAnsi="宋体" w:eastAsia="宋体" w:cs="宋体"/>
                <w:i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725"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rPr>
              <w:t>耐磨地砖</w:t>
            </w:r>
          </w:p>
        </w:tc>
        <w:tc>
          <w:tcPr>
            <w:tcW w:w="624"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lang w:val="en-US" w:eastAsia="zh-CN"/>
              </w:rPr>
              <w:t>m2</w:t>
            </w:r>
          </w:p>
        </w:tc>
        <w:tc>
          <w:tcPr>
            <w:tcW w:w="885"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lang w:val="en-US" w:eastAsia="zh-CN"/>
              </w:rPr>
              <w:t>480</w:t>
            </w:r>
          </w:p>
        </w:tc>
        <w:tc>
          <w:tcPr>
            <w:tcW w:w="690" w:type="dxa"/>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44</w:t>
            </w:r>
          </w:p>
        </w:tc>
        <w:tc>
          <w:tcPr>
            <w:tcW w:w="1050" w:type="dxa"/>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21120</w:t>
            </w:r>
          </w:p>
        </w:tc>
        <w:tc>
          <w:tcPr>
            <w:tcW w:w="780" w:type="dxa"/>
            <w:vAlign w:val="center"/>
          </w:tcPr>
          <w:p>
            <w:pPr>
              <w:spacing w:line="260" w:lineRule="exact"/>
              <w:jc w:val="center"/>
              <w:textAlignment w:val="baseline"/>
              <w:rPr>
                <w:rFonts w:hint="eastAsia" w:ascii="宋体" w:hAnsi="宋体" w:eastAsia="宋体" w:cs="宋体"/>
                <w:sz w:val="18"/>
                <w:szCs w:val="18"/>
              </w:rPr>
            </w:pPr>
          </w:p>
        </w:tc>
        <w:tc>
          <w:tcPr>
            <w:tcW w:w="1080" w:type="dxa"/>
            <w:vAlign w:val="center"/>
          </w:tcPr>
          <w:p>
            <w:pPr>
              <w:spacing w:line="260" w:lineRule="exact"/>
              <w:jc w:val="center"/>
              <w:textAlignment w:val="baseline"/>
              <w:rPr>
                <w:rFonts w:hint="eastAsia" w:ascii="宋体" w:hAnsi="宋体" w:eastAsia="宋体" w:cs="宋体"/>
                <w:sz w:val="18"/>
                <w:szCs w:val="18"/>
              </w:rPr>
            </w:pPr>
          </w:p>
        </w:tc>
        <w:tc>
          <w:tcPr>
            <w:tcW w:w="1124" w:type="dxa"/>
            <w:vAlign w:val="center"/>
          </w:tcPr>
          <w:p>
            <w:pPr>
              <w:ind w:left="0" w:leftChars="0" w:firstLine="0" w:firstLineChars="0"/>
              <w:jc w:val="center"/>
              <w:rPr>
                <w:rFonts w:hint="default" w:ascii="宋体" w:hAnsi="宋体" w:eastAsia="宋体" w:cs="宋体"/>
                <w:i w:val="0"/>
                <w:color w:val="000000"/>
                <w:sz w:val="18"/>
                <w:szCs w:val="18"/>
                <w:u w:val="none"/>
                <w:lang w:val="en-US" w:eastAsia="zh-CN"/>
              </w:rPr>
            </w:pPr>
          </w:p>
        </w:tc>
        <w:tc>
          <w:tcPr>
            <w:tcW w:w="1616" w:type="dxa"/>
            <w:vAlign w:val="center"/>
          </w:tcPr>
          <w:p>
            <w:pPr>
              <w:ind w:left="0" w:leftChars="0" w:firstLine="0" w:firstLineChars="0"/>
              <w:jc w:val="center"/>
              <w:rPr>
                <w:rFonts w:hint="default" w:ascii="宋体" w:hAnsi="宋体" w:eastAsia="宋体" w:cs="宋体"/>
                <w:i w:val="0"/>
                <w:color w:val="000000"/>
                <w:sz w:val="18"/>
                <w:szCs w:val="18"/>
                <w:u w:val="none"/>
                <w:lang w:val="en-US" w:eastAsia="zh-CN"/>
              </w:rPr>
            </w:pPr>
            <w:r>
              <w:rPr>
                <w:rFonts w:hint="default" w:ascii="宋体" w:hAnsi="宋体" w:eastAsia="宋体" w:cs="宋体"/>
                <w:i w:val="0"/>
                <w:color w:val="000000"/>
                <w:sz w:val="18"/>
                <w:szCs w:val="18"/>
                <w:u w:val="none"/>
                <w:lang w:val="en-US" w:eastAsia="zh-CN"/>
              </w:rPr>
              <w:t>600*600mm</w:t>
            </w:r>
          </w:p>
          <w:p>
            <w:pPr>
              <w:ind w:left="0" w:leftChars="0" w:firstLine="0" w:firstLineChars="0"/>
              <w:jc w:val="center"/>
              <w:rPr>
                <w:rFonts w:hint="eastAsia" w:ascii="宋体" w:hAnsi="宋体" w:eastAsia="宋体" w:cs="宋体"/>
                <w:sz w:val="18"/>
                <w:szCs w:val="18"/>
              </w:rPr>
            </w:pPr>
            <w:r>
              <w:rPr>
                <w:rFonts w:hint="default" w:ascii="宋体" w:hAnsi="宋体" w:eastAsia="宋体" w:cs="宋体"/>
                <w:i w:val="0"/>
                <w:color w:val="000000"/>
                <w:sz w:val="18"/>
                <w:szCs w:val="18"/>
                <w:u w:val="none"/>
                <w:lang w:val="en-US" w:eastAsia="zh-CN"/>
              </w:rPr>
              <w:t>一楼地面、配电房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725" w:type="dxa"/>
            <w:vAlign w:val="center"/>
          </w:tcPr>
          <w:p>
            <w:pPr>
              <w:ind w:left="0" w:leftChars="0" w:firstLine="0" w:firstLineChars="0"/>
              <w:jc w:val="center"/>
              <w:rPr>
                <w:rFonts w:hint="eastAsia" w:ascii="宋体" w:hAnsi="宋体" w:eastAsia="宋体" w:cs="宋体"/>
                <w:sz w:val="18"/>
                <w:szCs w:val="18"/>
              </w:rPr>
            </w:pPr>
            <w:r>
              <w:rPr>
                <w:rFonts w:hint="default" w:ascii="宋体" w:hAnsi="宋体" w:eastAsia="宋体" w:cs="宋体"/>
                <w:i w:val="0"/>
                <w:color w:val="000000"/>
                <w:sz w:val="18"/>
                <w:szCs w:val="18"/>
                <w:u w:val="none"/>
                <w:lang w:val="en-US" w:eastAsia="zh-CN"/>
              </w:rPr>
              <w:t>防滑玻化地砖</w:t>
            </w:r>
          </w:p>
        </w:tc>
        <w:tc>
          <w:tcPr>
            <w:tcW w:w="624"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lang w:val="en-US" w:eastAsia="zh-CN"/>
              </w:rPr>
              <w:t>m2</w:t>
            </w:r>
          </w:p>
        </w:tc>
        <w:tc>
          <w:tcPr>
            <w:tcW w:w="885"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lang w:val="en-US" w:eastAsia="zh-CN"/>
              </w:rPr>
              <w:t>50</w:t>
            </w:r>
          </w:p>
        </w:tc>
        <w:tc>
          <w:tcPr>
            <w:tcW w:w="690" w:type="dxa"/>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60</w:t>
            </w:r>
          </w:p>
        </w:tc>
        <w:tc>
          <w:tcPr>
            <w:tcW w:w="1050" w:type="dxa"/>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3000</w:t>
            </w:r>
          </w:p>
        </w:tc>
        <w:tc>
          <w:tcPr>
            <w:tcW w:w="780" w:type="dxa"/>
            <w:vAlign w:val="center"/>
          </w:tcPr>
          <w:p>
            <w:pPr>
              <w:spacing w:line="260" w:lineRule="exact"/>
              <w:jc w:val="center"/>
              <w:textAlignment w:val="baseline"/>
              <w:rPr>
                <w:rFonts w:hint="eastAsia" w:ascii="宋体" w:hAnsi="宋体" w:eastAsia="宋体" w:cs="宋体"/>
                <w:sz w:val="18"/>
                <w:szCs w:val="18"/>
              </w:rPr>
            </w:pPr>
          </w:p>
        </w:tc>
        <w:tc>
          <w:tcPr>
            <w:tcW w:w="1080" w:type="dxa"/>
            <w:vAlign w:val="center"/>
          </w:tcPr>
          <w:p>
            <w:pPr>
              <w:spacing w:line="260" w:lineRule="exact"/>
              <w:jc w:val="center"/>
              <w:textAlignment w:val="baseline"/>
              <w:rPr>
                <w:rFonts w:hint="eastAsia" w:ascii="宋体" w:hAnsi="宋体" w:eastAsia="宋体" w:cs="宋体"/>
                <w:sz w:val="18"/>
                <w:szCs w:val="18"/>
              </w:rPr>
            </w:pPr>
          </w:p>
        </w:tc>
        <w:tc>
          <w:tcPr>
            <w:tcW w:w="1124" w:type="dxa"/>
            <w:vAlign w:val="center"/>
          </w:tcPr>
          <w:p>
            <w:pPr>
              <w:ind w:left="0" w:leftChars="0" w:firstLine="0" w:firstLineChars="0"/>
              <w:jc w:val="center"/>
              <w:rPr>
                <w:rFonts w:hint="eastAsia" w:ascii="宋体" w:hAnsi="宋体" w:eastAsia="宋体" w:cs="宋体"/>
                <w:i w:val="0"/>
                <w:color w:val="000000"/>
                <w:sz w:val="18"/>
                <w:szCs w:val="18"/>
                <w:u w:val="none"/>
              </w:rPr>
            </w:pPr>
          </w:p>
        </w:tc>
        <w:tc>
          <w:tcPr>
            <w:tcW w:w="1616" w:type="dxa"/>
            <w:vAlign w:val="center"/>
          </w:tcPr>
          <w:p>
            <w:pPr>
              <w:ind w:left="0" w:leftChars="0" w:firstLine="0" w:firstLineChars="0"/>
              <w:jc w:val="center"/>
              <w:rPr>
                <w:rFonts w:hint="default" w:ascii="宋体" w:hAnsi="宋体" w:eastAsia="宋体" w:cs="宋体"/>
                <w:i w:val="0"/>
                <w:color w:val="000000"/>
                <w:sz w:val="18"/>
                <w:szCs w:val="18"/>
                <w:u w:val="none"/>
                <w:lang w:val="en-US" w:eastAsia="zh-CN"/>
              </w:rPr>
            </w:pPr>
            <w:r>
              <w:rPr>
                <w:rFonts w:hint="default" w:ascii="宋体" w:hAnsi="宋体" w:eastAsia="宋体" w:cs="宋体"/>
                <w:i w:val="0"/>
                <w:color w:val="000000"/>
                <w:sz w:val="18"/>
                <w:szCs w:val="18"/>
                <w:u w:val="none"/>
                <w:lang w:val="en-US" w:eastAsia="zh-CN"/>
              </w:rPr>
              <w:t>300*300mm</w:t>
            </w:r>
          </w:p>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rPr>
              <w:t>卫生间地砖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725"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lang w:val="en-US" w:eastAsia="zh-CN"/>
              </w:rPr>
              <w:t>玻化砖</w:t>
            </w:r>
          </w:p>
        </w:tc>
        <w:tc>
          <w:tcPr>
            <w:tcW w:w="624"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lang w:val="en-US" w:eastAsia="zh-CN"/>
              </w:rPr>
              <w:t>m2</w:t>
            </w:r>
          </w:p>
        </w:tc>
        <w:tc>
          <w:tcPr>
            <w:tcW w:w="885"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lang w:val="en-US" w:eastAsia="zh-CN"/>
              </w:rPr>
              <w:t>240</w:t>
            </w:r>
          </w:p>
        </w:tc>
        <w:tc>
          <w:tcPr>
            <w:tcW w:w="690" w:type="dxa"/>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60</w:t>
            </w:r>
          </w:p>
        </w:tc>
        <w:tc>
          <w:tcPr>
            <w:tcW w:w="1050" w:type="dxa"/>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14400</w:t>
            </w:r>
          </w:p>
        </w:tc>
        <w:tc>
          <w:tcPr>
            <w:tcW w:w="780" w:type="dxa"/>
            <w:vAlign w:val="center"/>
          </w:tcPr>
          <w:p>
            <w:pPr>
              <w:spacing w:line="260" w:lineRule="exact"/>
              <w:jc w:val="center"/>
              <w:textAlignment w:val="baseline"/>
              <w:rPr>
                <w:rFonts w:hint="eastAsia" w:ascii="宋体" w:hAnsi="宋体" w:eastAsia="宋体" w:cs="宋体"/>
                <w:sz w:val="18"/>
                <w:szCs w:val="18"/>
              </w:rPr>
            </w:pPr>
          </w:p>
        </w:tc>
        <w:tc>
          <w:tcPr>
            <w:tcW w:w="1080" w:type="dxa"/>
            <w:vAlign w:val="center"/>
          </w:tcPr>
          <w:p>
            <w:pPr>
              <w:spacing w:line="260" w:lineRule="exact"/>
              <w:jc w:val="center"/>
              <w:textAlignment w:val="baseline"/>
              <w:rPr>
                <w:rFonts w:hint="eastAsia" w:ascii="宋体" w:hAnsi="宋体" w:eastAsia="宋体" w:cs="宋体"/>
                <w:sz w:val="18"/>
                <w:szCs w:val="18"/>
              </w:rPr>
            </w:pPr>
          </w:p>
        </w:tc>
        <w:tc>
          <w:tcPr>
            <w:tcW w:w="1124" w:type="dxa"/>
            <w:vAlign w:val="center"/>
          </w:tcPr>
          <w:p>
            <w:pPr>
              <w:ind w:left="0" w:leftChars="0" w:firstLine="0" w:firstLineChars="0"/>
              <w:jc w:val="center"/>
              <w:rPr>
                <w:rFonts w:hint="eastAsia" w:ascii="宋体" w:hAnsi="宋体" w:eastAsia="宋体" w:cs="宋体"/>
                <w:i w:val="0"/>
                <w:color w:val="000000"/>
                <w:sz w:val="18"/>
                <w:szCs w:val="18"/>
                <w:u w:val="none"/>
              </w:rPr>
            </w:pPr>
          </w:p>
        </w:tc>
        <w:tc>
          <w:tcPr>
            <w:tcW w:w="1616" w:type="dxa"/>
            <w:vAlign w:val="center"/>
          </w:tcPr>
          <w:p>
            <w:pPr>
              <w:ind w:left="0" w:leftChars="0" w:firstLine="0" w:firstLineChars="0"/>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600*600mm</w:t>
            </w:r>
          </w:p>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rPr>
              <w:t>二楼地面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725"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lang w:val="en-US" w:eastAsia="zh-CN"/>
              </w:rPr>
              <w:t>防滑砖</w:t>
            </w:r>
          </w:p>
        </w:tc>
        <w:tc>
          <w:tcPr>
            <w:tcW w:w="624"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lang w:val="en-US" w:eastAsia="zh-CN"/>
              </w:rPr>
              <w:t>m2</w:t>
            </w:r>
          </w:p>
        </w:tc>
        <w:tc>
          <w:tcPr>
            <w:tcW w:w="885"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lang w:val="en-US" w:eastAsia="zh-CN"/>
              </w:rPr>
              <w:t>50</w:t>
            </w:r>
          </w:p>
        </w:tc>
        <w:tc>
          <w:tcPr>
            <w:tcW w:w="690" w:type="dxa"/>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49</w:t>
            </w:r>
          </w:p>
        </w:tc>
        <w:tc>
          <w:tcPr>
            <w:tcW w:w="1050" w:type="dxa"/>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2450</w:t>
            </w:r>
          </w:p>
        </w:tc>
        <w:tc>
          <w:tcPr>
            <w:tcW w:w="780" w:type="dxa"/>
            <w:vAlign w:val="center"/>
          </w:tcPr>
          <w:p>
            <w:pPr>
              <w:spacing w:line="260" w:lineRule="exact"/>
              <w:jc w:val="center"/>
              <w:textAlignment w:val="baseline"/>
              <w:rPr>
                <w:rFonts w:hint="eastAsia" w:ascii="宋体" w:hAnsi="宋体" w:eastAsia="宋体" w:cs="宋体"/>
                <w:sz w:val="18"/>
                <w:szCs w:val="18"/>
              </w:rPr>
            </w:pPr>
          </w:p>
        </w:tc>
        <w:tc>
          <w:tcPr>
            <w:tcW w:w="1080" w:type="dxa"/>
            <w:vAlign w:val="center"/>
          </w:tcPr>
          <w:p>
            <w:pPr>
              <w:spacing w:line="260" w:lineRule="exact"/>
              <w:jc w:val="center"/>
              <w:textAlignment w:val="baseline"/>
              <w:rPr>
                <w:rFonts w:hint="eastAsia" w:ascii="宋体" w:hAnsi="宋体" w:eastAsia="宋体" w:cs="宋体"/>
                <w:sz w:val="18"/>
                <w:szCs w:val="18"/>
              </w:rPr>
            </w:pPr>
          </w:p>
        </w:tc>
        <w:tc>
          <w:tcPr>
            <w:tcW w:w="1124" w:type="dxa"/>
            <w:vAlign w:val="center"/>
          </w:tcPr>
          <w:p>
            <w:pPr>
              <w:ind w:left="0" w:leftChars="0" w:firstLine="0" w:firstLineChars="0"/>
              <w:jc w:val="center"/>
              <w:rPr>
                <w:rFonts w:hint="eastAsia" w:ascii="宋体" w:hAnsi="宋体" w:eastAsia="宋体" w:cs="宋体"/>
                <w:i w:val="0"/>
                <w:color w:val="000000"/>
                <w:sz w:val="18"/>
                <w:szCs w:val="18"/>
                <w:u w:val="none"/>
              </w:rPr>
            </w:pPr>
          </w:p>
        </w:tc>
        <w:tc>
          <w:tcPr>
            <w:tcW w:w="1616" w:type="dxa"/>
            <w:vAlign w:val="center"/>
          </w:tcPr>
          <w:p>
            <w:pPr>
              <w:ind w:left="0" w:leftChars="0" w:firstLine="0" w:firstLineChars="0"/>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300*300mm</w:t>
            </w:r>
          </w:p>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rPr>
              <w:t>楼梯地面砖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725"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rPr>
              <w:t>10cm玻化砖踢脚线</w:t>
            </w:r>
          </w:p>
        </w:tc>
        <w:tc>
          <w:tcPr>
            <w:tcW w:w="624"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lang w:val="en-US" w:eastAsia="zh-CN"/>
              </w:rPr>
              <w:t>m</w:t>
            </w:r>
          </w:p>
        </w:tc>
        <w:tc>
          <w:tcPr>
            <w:tcW w:w="885"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lang w:val="en-US" w:eastAsia="zh-CN"/>
              </w:rPr>
              <w:t>480</w:t>
            </w:r>
          </w:p>
        </w:tc>
        <w:tc>
          <w:tcPr>
            <w:tcW w:w="690" w:type="dxa"/>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w:t>
            </w:r>
          </w:p>
        </w:tc>
        <w:tc>
          <w:tcPr>
            <w:tcW w:w="1050" w:type="dxa"/>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3840</w:t>
            </w:r>
          </w:p>
        </w:tc>
        <w:tc>
          <w:tcPr>
            <w:tcW w:w="780" w:type="dxa"/>
            <w:vAlign w:val="center"/>
          </w:tcPr>
          <w:p>
            <w:pPr>
              <w:spacing w:line="260" w:lineRule="exact"/>
              <w:jc w:val="center"/>
              <w:textAlignment w:val="baseline"/>
              <w:rPr>
                <w:rFonts w:hint="eastAsia" w:ascii="宋体" w:hAnsi="宋体" w:eastAsia="宋体" w:cs="宋体"/>
                <w:sz w:val="18"/>
                <w:szCs w:val="18"/>
              </w:rPr>
            </w:pPr>
          </w:p>
        </w:tc>
        <w:tc>
          <w:tcPr>
            <w:tcW w:w="1080" w:type="dxa"/>
            <w:vAlign w:val="center"/>
          </w:tcPr>
          <w:p>
            <w:pPr>
              <w:spacing w:line="260" w:lineRule="exact"/>
              <w:jc w:val="center"/>
              <w:textAlignment w:val="baseline"/>
              <w:rPr>
                <w:rFonts w:hint="eastAsia" w:ascii="宋体" w:hAnsi="宋体" w:eastAsia="宋体" w:cs="宋体"/>
                <w:sz w:val="18"/>
                <w:szCs w:val="18"/>
              </w:rPr>
            </w:pPr>
          </w:p>
        </w:tc>
        <w:tc>
          <w:tcPr>
            <w:tcW w:w="1124" w:type="dxa"/>
            <w:vAlign w:val="center"/>
          </w:tcPr>
          <w:p>
            <w:pPr>
              <w:ind w:left="0" w:leftChars="0" w:firstLine="0" w:firstLineChars="0"/>
              <w:jc w:val="center"/>
              <w:rPr>
                <w:rFonts w:hint="eastAsia" w:ascii="宋体" w:hAnsi="宋体" w:eastAsia="宋体" w:cs="宋体"/>
                <w:i w:val="0"/>
                <w:color w:val="000000"/>
                <w:sz w:val="18"/>
                <w:szCs w:val="18"/>
                <w:u w:val="none"/>
              </w:rPr>
            </w:pPr>
          </w:p>
        </w:tc>
        <w:tc>
          <w:tcPr>
            <w:tcW w:w="1616" w:type="dxa"/>
            <w:vAlign w:val="center"/>
          </w:tcPr>
          <w:p>
            <w:pPr>
              <w:ind w:left="0" w:leftChars="0" w:firstLine="0" w:firstLineChars="0"/>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10cm</w:t>
            </w:r>
          </w:p>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rPr>
              <w:t>室内办公室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725" w:type="dxa"/>
            <w:vAlign w:val="center"/>
          </w:tcPr>
          <w:p>
            <w:pPr>
              <w:ind w:left="0" w:leftChars="0" w:firstLine="0" w:firstLineChars="0"/>
              <w:jc w:val="center"/>
              <w:rPr>
                <w:rFonts w:hint="eastAsia" w:ascii="宋体" w:hAnsi="宋体" w:eastAsia="宋体" w:cs="宋体"/>
                <w:sz w:val="18"/>
                <w:szCs w:val="18"/>
              </w:rPr>
            </w:pPr>
            <w:r>
              <w:rPr>
                <w:rFonts w:hint="default" w:ascii="宋体" w:hAnsi="宋体" w:eastAsia="宋体" w:cs="宋体"/>
                <w:i w:val="0"/>
                <w:color w:val="000000"/>
                <w:sz w:val="18"/>
                <w:szCs w:val="18"/>
                <w:u w:val="none"/>
                <w:lang w:val="en-US" w:eastAsia="zh-CN"/>
              </w:rPr>
              <w:t>瓷砖</w:t>
            </w:r>
          </w:p>
        </w:tc>
        <w:tc>
          <w:tcPr>
            <w:tcW w:w="624"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lang w:val="en-US" w:eastAsia="zh-CN"/>
              </w:rPr>
              <w:t>m2</w:t>
            </w:r>
          </w:p>
        </w:tc>
        <w:tc>
          <w:tcPr>
            <w:tcW w:w="885"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lang w:val="en-US" w:eastAsia="zh-CN"/>
              </w:rPr>
              <w:t>160</w:t>
            </w:r>
          </w:p>
        </w:tc>
        <w:tc>
          <w:tcPr>
            <w:tcW w:w="690" w:type="dxa"/>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44</w:t>
            </w:r>
          </w:p>
        </w:tc>
        <w:tc>
          <w:tcPr>
            <w:tcW w:w="1050" w:type="dxa"/>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7040</w:t>
            </w:r>
          </w:p>
        </w:tc>
        <w:tc>
          <w:tcPr>
            <w:tcW w:w="780" w:type="dxa"/>
            <w:vAlign w:val="center"/>
          </w:tcPr>
          <w:p>
            <w:pPr>
              <w:spacing w:line="260" w:lineRule="exact"/>
              <w:jc w:val="center"/>
              <w:textAlignment w:val="baseline"/>
              <w:rPr>
                <w:rFonts w:hint="eastAsia" w:ascii="宋体" w:hAnsi="宋体" w:eastAsia="宋体" w:cs="宋体"/>
                <w:sz w:val="18"/>
                <w:szCs w:val="18"/>
              </w:rPr>
            </w:pPr>
          </w:p>
        </w:tc>
        <w:tc>
          <w:tcPr>
            <w:tcW w:w="1080" w:type="dxa"/>
            <w:vAlign w:val="center"/>
          </w:tcPr>
          <w:p>
            <w:pPr>
              <w:spacing w:line="260" w:lineRule="exact"/>
              <w:jc w:val="center"/>
              <w:textAlignment w:val="baseline"/>
              <w:rPr>
                <w:rFonts w:hint="eastAsia" w:ascii="宋体" w:hAnsi="宋体" w:eastAsia="宋体" w:cs="宋体"/>
                <w:sz w:val="18"/>
                <w:szCs w:val="18"/>
              </w:rPr>
            </w:pPr>
          </w:p>
        </w:tc>
        <w:tc>
          <w:tcPr>
            <w:tcW w:w="1124" w:type="dxa"/>
            <w:vAlign w:val="center"/>
          </w:tcPr>
          <w:p>
            <w:pPr>
              <w:ind w:left="0" w:leftChars="0" w:firstLine="0" w:firstLineChars="0"/>
              <w:jc w:val="center"/>
              <w:rPr>
                <w:rFonts w:hint="eastAsia" w:ascii="宋体" w:hAnsi="宋体" w:eastAsia="宋体" w:cs="宋体"/>
                <w:i w:val="0"/>
                <w:color w:val="000000"/>
                <w:sz w:val="18"/>
                <w:szCs w:val="18"/>
                <w:u w:val="none"/>
              </w:rPr>
            </w:pPr>
          </w:p>
        </w:tc>
        <w:tc>
          <w:tcPr>
            <w:tcW w:w="1616" w:type="dxa"/>
            <w:vAlign w:val="center"/>
          </w:tcPr>
          <w:p>
            <w:pPr>
              <w:ind w:left="0" w:leftChars="0" w:firstLine="0" w:firstLineChars="0"/>
              <w:jc w:val="center"/>
              <w:rPr>
                <w:rFonts w:hint="default" w:ascii="宋体" w:hAnsi="宋体" w:eastAsia="宋体" w:cs="宋体"/>
                <w:i w:val="0"/>
                <w:color w:val="000000"/>
                <w:sz w:val="18"/>
                <w:szCs w:val="18"/>
                <w:u w:val="none"/>
                <w:lang w:val="en-US" w:eastAsia="zh-CN"/>
              </w:rPr>
            </w:pPr>
            <w:r>
              <w:rPr>
                <w:rFonts w:hint="default" w:ascii="宋体" w:hAnsi="宋体" w:eastAsia="宋体" w:cs="宋体"/>
                <w:i w:val="0"/>
                <w:color w:val="000000"/>
                <w:sz w:val="18"/>
                <w:szCs w:val="18"/>
                <w:u w:val="none"/>
                <w:lang w:val="en-US" w:eastAsia="zh-CN"/>
              </w:rPr>
              <w:t>300*600mm</w:t>
            </w:r>
          </w:p>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rPr>
              <w:t>卫生间墙面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725"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rPr>
              <w:t>暖灰色无釉面砖</w:t>
            </w:r>
          </w:p>
        </w:tc>
        <w:tc>
          <w:tcPr>
            <w:tcW w:w="624"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lang w:val="en-US" w:eastAsia="zh-CN"/>
              </w:rPr>
              <w:t>m2</w:t>
            </w:r>
          </w:p>
        </w:tc>
        <w:tc>
          <w:tcPr>
            <w:tcW w:w="885"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lang w:val="en-US" w:eastAsia="zh-CN"/>
              </w:rPr>
              <w:t>340</w:t>
            </w:r>
          </w:p>
        </w:tc>
        <w:tc>
          <w:tcPr>
            <w:tcW w:w="690" w:type="dxa"/>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77</w:t>
            </w:r>
          </w:p>
        </w:tc>
        <w:tc>
          <w:tcPr>
            <w:tcW w:w="1050" w:type="dxa"/>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26180</w:t>
            </w:r>
          </w:p>
        </w:tc>
        <w:tc>
          <w:tcPr>
            <w:tcW w:w="780" w:type="dxa"/>
            <w:vAlign w:val="center"/>
          </w:tcPr>
          <w:p>
            <w:pPr>
              <w:spacing w:line="260" w:lineRule="exact"/>
              <w:jc w:val="center"/>
              <w:textAlignment w:val="baseline"/>
              <w:rPr>
                <w:rFonts w:hint="eastAsia" w:ascii="宋体" w:hAnsi="宋体" w:eastAsia="宋体" w:cs="宋体"/>
                <w:sz w:val="18"/>
                <w:szCs w:val="18"/>
              </w:rPr>
            </w:pPr>
          </w:p>
        </w:tc>
        <w:tc>
          <w:tcPr>
            <w:tcW w:w="1080" w:type="dxa"/>
            <w:vAlign w:val="center"/>
          </w:tcPr>
          <w:p>
            <w:pPr>
              <w:spacing w:line="260" w:lineRule="exact"/>
              <w:jc w:val="center"/>
              <w:textAlignment w:val="baseline"/>
              <w:rPr>
                <w:rFonts w:hint="eastAsia" w:ascii="宋体" w:hAnsi="宋体" w:eastAsia="宋体" w:cs="宋体"/>
                <w:sz w:val="18"/>
                <w:szCs w:val="18"/>
              </w:rPr>
            </w:pPr>
          </w:p>
        </w:tc>
        <w:tc>
          <w:tcPr>
            <w:tcW w:w="1124" w:type="dxa"/>
            <w:vAlign w:val="center"/>
          </w:tcPr>
          <w:p>
            <w:pPr>
              <w:ind w:left="0" w:leftChars="0" w:firstLine="0" w:firstLineChars="0"/>
              <w:jc w:val="center"/>
              <w:rPr>
                <w:rFonts w:hint="eastAsia" w:ascii="宋体" w:hAnsi="宋体" w:eastAsia="宋体" w:cs="宋体"/>
                <w:i w:val="0"/>
                <w:color w:val="000000"/>
                <w:sz w:val="18"/>
                <w:szCs w:val="18"/>
                <w:u w:val="none"/>
              </w:rPr>
            </w:pPr>
          </w:p>
        </w:tc>
        <w:tc>
          <w:tcPr>
            <w:tcW w:w="1616" w:type="dxa"/>
            <w:vAlign w:val="center"/>
          </w:tcPr>
          <w:p>
            <w:pPr>
              <w:ind w:left="0" w:leftChars="0" w:firstLine="0" w:firstLineChars="0"/>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600*300mm</w:t>
            </w:r>
          </w:p>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rPr>
              <w:t>外墙用砖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725" w:type="dxa"/>
            <w:vAlign w:val="center"/>
          </w:tcPr>
          <w:p>
            <w:pPr>
              <w:ind w:left="0" w:leftChars="0" w:firstLine="0" w:firstLineChars="0"/>
              <w:jc w:val="center"/>
              <w:rPr>
                <w:rFonts w:hint="eastAsia" w:ascii="宋体" w:hAnsi="宋体" w:eastAsia="宋体" w:cs="宋体"/>
                <w:sz w:val="18"/>
                <w:szCs w:val="18"/>
              </w:rPr>
            </w:pPr>
            <w:r>
              <w:rPr>
                <w:rFonts w:hint="default" w:ascii="宋体" w:hAnsi="宋体" w:eastAsia="宋体" w:cs="宋体"/>
                <w:i w:val="0"/>
                <w:color w:val="000000"/>
                <w:sz w:val="18"/>
                <w:szCs w:val="18"/>
                <w:u w:val="none"/>
                <w:lang w:val="en-US" w:eastAsia="zh-CN"/>
              </w:rPr>
              <w:t>灰色软性瓷面砖</w:t>
            </w:r>
          </w:p>
        </w:tc>
        <w:tc>
          <w:tcPr>
            <w:tcW w:w="624"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lang w:val="en-US" w:eastAsia="zh-CN"/>
              </w:rPr>
              <w:t>m2</w:t>
            </w:r>
          </w:p>
        </w:tc>
        <w:tc>
          <w:tcPr>
            <w:tcW w:w="885"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lang w:val="en-US" w:eastAsia="zh-CN"/>
              </w:rPr>
              <w:t>50</w:t>
            </w:r>
          </w:p>
        </w:tc>
        <w:tc>
          <w:tcPr>
            <w:tcW w:w="690" w:type="dxa"/>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77</w:t>
            </w:r>
          </w:p>
        </w:tc>
        <w:tc>
          <w:tcPr>
            <w:tcW w:w="1050" w:type="dxa"/>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3850</w:t>
            </w:r>
          </w:p>
        </w:tc>
        <w:tc>
          <w:tcPr>
            <w:tcW w:w="780" w:type="dxa"/>
            <w:vAlign w:val="center"/>
          </w:tcPr>
          <w:p>
            <w:pPr>
              <w:spacing w:line="260" w:lineRule="exact"/>
              <w:jc w:val="center"/>
              <w:textAlignment w:val="baseline"/>
              <w:rPr>
                <w:rFonts w:hint="eastAsia" w:ascii="宋体" w:hAnsi="宋体" w:eastAsia="宋体" w:cs="宋体"/>
                <w:sz w:val="18"/>
                <w:szCs w:val="18"/>
              </w:rPr>
            </w:pPr>
          </w:p>
        </w:tc>
        <w:tc>
          <w:tcPr>
            <w:tcW w:w="1080" w:type="dxa"/>
            <w:vAlign w:val="center"/>
          </w:tcPr>
          <w:p>
            <w:pPr>
              <w:spacing w:line="260" w:lineRule="exact"/>
              <w:jc w:val="center"/>
              <w:textAlignment w:val="baseline"/>
              <w:rPr>
                <w:rFonts w:hint="eastAsia" w:ascii="宋体" w:hAnsi="宋体" w:eastAsia="宋体" w:cs="宋体"/>
                <w:sz w:val="18"/>
                <w:szCs w:val="18"/>
              </w:rPr>
            </w:pPr>
          </w:p>
        </w:tc>
        <w:tc>
          <w:tcPr>
            <w:tcW w:w="1124" w:type="dxa"/>
            <w:vAlign w:val="center"/>
          </w:tcPr>
          <w:p>
            <w:pPr>
              <w:ind w:left="0" w:leftChars="0" w:firstLine="0" w:firstLineChars="0"/>
              <w:jc w:val="center"/>
              <w:rPr>
                <w:rFonts w:hint="default" w:ascii="宋体" w:hAnsi="宋体" w:eastAsia="宋体" w:cs="宋体"/>
                <w:i w:val="0"/>
                <w:color w:val="000000"/>
                <w:sz w:val="18"/>
                <w:szCs w:val="18"/>
                <w:u w:val="none"/>
                <w:lang w:val="en-US" w:eastAsia="zh-CN"/>
              </w:rPr>
            </w:pPr>
          </w:p>
        </w:tc>
        <w:tc>
          <w:tcPr>
            <w:tcW w:w="1616" w:type="dxa"/>
            <w:vAlign w:val="center"/>
          </w:tcPr>
          <w:p>
            <w:pPr>
              <w:ind w:left="0" w:leftChars="0" w:firstLine="0" w:firstLineChars="0"/>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600*300mm</w:t>
            </w:r>
          </w:p>
          <w:p>
            <w:pPr>
              <w:ind w:left="0" w:leftChars="0" w:firstLine="0" w:firstLineChars="0"/>
              <w:jc w:val="center"/>
              <w:rPr>
                <w:rFonts w:hint="eastAsia" w:ascii="宋体" w:hAnsi="宋体" w:eastAsia="宋体" w:cs="宋体"/>
                <w:sz w:val="18"/>
                <w:szCs w:val="18"/>
              </w:rPr>
            </w:pPr>
            <w:r>
              <w:rPr>
                <w:rFonts w:hint="default" w:ascii="宋体" w:hAnsi="宋体" w:eastAsia="宋体" w:cs="宋体"/>
                <w:i w:val="0"/>
                <w:color w:val="000000"/>
                <w:sz w:val="18"/>
                <w:szCs w:val="18"/>
                <w:u w:val="none"/>
                <w:lang w:val="en-US" w:eastAsia="zh-CN"/>
              </w:rPr>
              <w:t>外墙用砖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725" w:type="dxa"/>
            <w:vAlign w:val="center"/>
          </w:tcPr>
          <w:p>
            <w:pPr>
              <w:ind w:left="0" w:leftChars="0" w:firstLine="0" w:firstLineChars="0"/>
              <w:jc w:val="center"/>
              <w:rPr>
                <w:rFonts w:hint="eastAsia" w:ascii="宋体" w:hAnsi="宋体" w:eastAsia="宋体" w:cs="宋体"/>
                <w:sz w:val="18"/>
                <w:szCs w:val="18"/>
              </w:rPr>
            </w:pPr>
            <w:r>
              <w:rPr>
                <w:rFonts w:hint="default" w:ascii="宋体" w:hAnsi="宋体" w:eastAsia="宋体" w:cs="宋体"/>
                <w:i w:val="0"/>
                <w:color w:val="000000"/>
                <w:sz w:val="18"/>
                <w:szCs w:val="18"/>
                <w:u w:val="none"/>
                <w:lang w:val="en-US" w:eastAsia="zh-CN"/>
              </w:rPr>
              <w:t>彩色人行道面砖</w:t>
            </w:r>
          </w:p>
        </w:tc>
        <w:tc>
          <w:tcPr>
            <w:tcW w:w="624"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lang w:val="en-US" w:eastAsia="zh-CN"/>
              </w:rPr>
              <w:t>m2</w:t>
            </w:r>
          </w:p>
        </w:tc>
        <w:tc>
          <w:tcPr>
            <w:tcW w:w="885" w:type="dxa"/>
            <w:vAlign w:val="center"/>
          </w:tcPr>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lang w:val="en-US" w:eastAsia="zh-CN"/>
              </w:rPr>
              <w:t>300</w:t>
            </w:r>
          </w:p>
        </w:tc>
        <w:tc>
          <w:tcPr>
            <w:tcW w:w="690" w:type="dxa"/>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60</w:t>
            </w:r>
          </w:p>
        </w:tc>
        <w:tc>
          <w:tcPr>
            <w:tcW w:w="1050" w:type="dxa"/>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18000</w:t>
            </w:r>
          </w:p>
        </w:tc>
        <w:tc>
          <w:tcPr>
            <w:tcW w:w="780" w:type="dxa"/>
            <w:vAlign w:val="center"/>
          </w:tcPr>
          <w:p>
            <w:pPr>
              <w:spacing w:line="260" w:lineRule="exact"/>
              <w:jc w:val="center"/>
              <w:textAlignment w:val="baseline"/>
              <w:rPr>
                <w:rFonts w:hint="eastAsia" w:ascii="宋体" w:hAnsi="宋体" w:eastAsia="宋体" w:cs="宋体"/>
                <w:sz w:val="18"/>
                <w:szCs w:val="18"/>
              </w:rPr>
            </w:pPr>
          </w:p>
        </w:tc>
        <w:tc>
          <w:tcPr>
            <w:tcW w:w="1080" w:type="dxa"/>
            <w:vAlign w:val="center"/>
          </w:tcPr>
          <w:p>
            <w:pPr>
              <w:spacing w:line="260" w:lineRule="exact"/>
              <w:jc w:val="center"/>
              <w:textAlignment w:val="baseline"/>
              <w:rPr>
                <w:rFonts w:hint="eastAsia" w:ascii="宋体" w:hAnsi="宋体" w:eastAsia="宋体" w:cs="宋体"/>
                <w:sz w:val="18"/>
                <w:szCs w:val="18"/>
              </w:rPr>
            </w:pPr>
          </w:p>
        </w:tc>
        <w:tc>
          <w:tcPr>
            <w:tcW w:w="1124" w:type="dxa"/>
            <w:vAlign w:val="center"/>
          </w:tcPr>
          <w:p>
            <w:pPr>
              <w:ind w:left="0" w:leftChars="0" w:firstLine="0" w:firstLineChars="0"/>
              <w:jc w:val="center"/>
              <w:rPr>
                <w:rFonts w:hint="eastAsia" w:ascii="宋体" w:hAnsi="宋体" w:eastAsia="宋体" w:cs="宋体"/>
                <w:i w:val="0"/>
                <w:color w:val="000000"/>
                <w:sz w:val="18"/>
                <w:szCs w:val="18"/>
                <w:u w:val="none"/>
              </w:rPr>
            </w:pPr>
          </w:p>
        </w:tc>
        <w:tc>
          <w:tcPr>
            <w:tcW w:w="1616" w:type="dxa"/>
            <w:vAlign w:val="center"/>
          </w:tcPr>
          <w:p>
            <w:pPr>
              <w:ind w:left="0" w:leftChars="0" w:firstLine="0" w:firstLineChars="0"/>
              <w:jc w:val="center"/>
              <w:rPr>
                <w:rFonts w:hint="default" w:ascii="宋体" w:hAnsi="宋体" w:eastAsia="宋体" w:cs="宋体"/>
                <w:i w:val="0"/>
                <w:color w:val="000000"/>
                <w:sz w:val="18"/>
                <w:szCs w:val="18"/>
                <w:u w:val="none"/>
                <w:lang w:val="en-US" w:eastAsia="zh-CN"/>
              </w:rPr>
            </w:pPr>
            <w:r>
              <w:rPr>
                <w:rFonts w:hint="default" w:ascii="宋体" w:hAnsi="宋体" w:eastAsia="宋体" w:cs="宋体"/>
                <w:i w:val="0"/>
                <w:color w:val="000000"/>
                <w:sz w:val="18"/>
                <w:szCs w:val="18"/>
                <w:u w:val="none"/>
                <w:lang w:val="en-US" w:eastAsia="zh-CN"/>
              </w:rPr>
              <w:t>340mm*340mm*6mm</w:t>
            </w:r>
          </w:p>
          <w:p>
            <w:pPr>
              <w:ind w:left="0" w:leftChars="0" w:firstLine="0" w:firstLineChars="0"/>
              <w:jc w:val="center"/>
              <w:rPr>
                <w:rFonts w:hint="eastAsia" w:ascii="宋体" w:hAnsi="宋体" w:eastAsia="宋体" w:cs="宋体"/>
                <w:sz w:val="18"/>
                <w:szCs w:val="18"/>
              </w:rPr>
            </w:pPr>
            <w:r>
              <w:rPr>
                <w:rFonts w:hint="eastAsia" w:ascii="宋体" w:hAnsi="宋体" w:eastAsia="宋体" w:cs="宋体"/>
                <w:i w:val="0"/>
                <w:color w:val="000000"/>
                <w:sz w:val="18"/>
                <w:szCs w:val="18"/>
                <w:u w:val="none"/>
              </w:rPr>
              <w:t>地面广场用砖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924" w:type="dxa"/>
            <w:gridSpan w:val="4"/>
            <w:vAlign w:val="center"/>
          </w:tcPr>
          <w:p>
            <w:pPr>
              <w:spacing w:line="260" w:lineRule="exact"/>
              <w:jc w:val="center"/>
              <w:textAlignment w:val="baseline"/>
              <w:rPr>
                <w:sz w:val="18"/>
                <w:szCs w:val="18"/>
              </w:rPr>
            </w:pPr>
            <w:r>
              <w:rPr>
                <w:rFonts w:hint="eastAsia"/>
                <w:sz w:val="18"/>
                <w:szCs w:val="18"/>
              </w:rPr>
              <w:t>限价合计</w:t>
            </w:r>
          </w:p>
        </w:tc>
        <w:tc>
          <w:tcPr>
            <w:tcW w:w="5650" w:type="dxa"/>
            <w:gridSpan w:val="5"/>
            <w:vAlign w:val="center"/>
          </w:tcPr>
          <w:p>
            <w:pPr>
              <w:spacing w:line="260" w:lineRule="exact"/>
              <w:jc w:val="center"/>
              <w:textAlignment w:val="baseline"/>
              <w:rPr>
                <w:rFonts w:hint="default" w:eastAsia="宋体"/>
                <w:sz w:val="18"/>
                <w:szCs w:val="18"/>
                <w:lang w:val="en-US" w:eastAsia="zh-CN"/>
              </w:rPr>
            </w:pPr>
            <w:r>
              <w:rPr>
                <w:rFonts w:hint="eastAsia"/>
                <w:sz w:val="18"/>
                <w:szCs w:val="18"/>
                <w:lang w:val="en-US" w:eastAsia="zh-CN"/>
              </w:rPr>
              <w:t>99880元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924" w:type="dxa"/>
            <w:gridSpan w:val="4"/>
            <w:vAlign w:val="center"/>
          </w:tcPr>
          <w:p>
            <w:pPr>
              <w:spacing w:line="260" w:lineRule="exact"/>
              <w:jc w:val="center"/>
              <w:textAlignment w:val="baseline"/>
              <w:rPr>
                <w:sz w:val="18"/>
                <w:szCs w:val="18"/>
              </w:rPr>
            </w:pPr>
            <w:r>
              <w:rPr>
                <w:rFonts w:hint="eastAsia"/>
                <w:sz w:val="18"/>
                <w:szCs w:val="18"/>
              </w:rPr>
              <w:t>报价合计</w:t>
            </w:r>
          </w:p>
        </w:tc>
        <w:tc>
          <w:tcPr>
            <w:tcW w:w="5650" w:type="dxa"/>
            <w:gridSpan w:val="5"/>
            <w:vAlign w:val="center"/>
          </w:tcPr>
          <w:p>
            <w:pPr>
              <w:spacing w:line="260" w:lineRule="exact"/>
              <w:jc w:val="center"/>
              <w:textAlignment w:val="baseline"/>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924" w:type="dxa"/>
            <w:gridSpan w:val="4"/>
            <w:vAlign w:val="center"/>
          </w:tcPr>
          <w:p>
            <w:pPr>
              <w:spacing w:line="260" w:lineRule="exact"/>
              <w:jc w:val="center"/>
              <w:textAlignment w:val="baseline"/>
              <w:rPr>
                <w:rFonts w:hint="eastAsia" w:eastAsia="宋体"/>
                <w:sz w:val="18"/>
                <w:szCs w:val="18"/>
                <w:lang w:val="en-US" w:eastAsia="zh-CN"/>
              </w:rPr>
            </w:pPr>
            <w:r>
              <w:rPr>
                <w:rFonts w:hint="eastAsia"/>
                <w:sz w:val="18"/>
                <w:szCs w:val="18"/>
                <w:lang w:val="en-US" w:eastAsia="zh-CN"/>
              </w:rPr>
              <w:t>税率</w:t>
            </w:r>
          </w:p>
        </w:tc>
        <w:tc>
          <w:tcPr>
            <w:tcW w:w="5650" w:type="dxa"/>
            <w:gridSpan w:val="5"/>
            <w:vAlign w:val="center"/>
          </w:tcPr>
          <w:p>
            <w:pPr>
              <w:spacing w:line="260" w:lineRule="exact"/>
              <w:jc w:val="center"/>
              <w:textAlignment w:val="baseline"/>
              <w:rPr>
                <w:rFonts w:hint="eastAsia"/>
                <w:sz w:val="18"/>
                <w:szCs w:val="18"/>
              </w:rPr>
            </w:pPr>
          </w:p>
        </w:tc>
      </w:tr>
    </w:tbl>
    <w:p>
      <w:pPr>
        <w:pageBreakBefore w:val="0"/>
        <w:widowControl w:val="0"/>
        <w:kinsoku/>
        <w:wordWrap/>
        <w:overflowPunct/>
        <w:topLinePunct w:val="0"/>
        <w:autoSpaceDE/>
        <w:autoSpaceDN/>
        <w:bidi w:val="0"/>
        <w:adjustRightInd/>
        <w:snapToGrid/>
        <w:spacing w:line="240" w:lineRule="auto"/>
        <w:jc w:val="left"/>
        <w:textAlignment w:val="auto"/>
        <w:rPr>
          <w:rFonts w:hint="eastAsia"/>
          <w:szCs w:val="21"/>
        </w:rPr>
      </w:pPr>
      <w:r>
        <w:rPr>
          <w:rFonts w:hint="eastAsia"/>
          <w:szCs w:val="21"/>
        </w:rPr>
        <w:t>注：本竞争性比选文件约定的材料价格为公开竞争性比选，单价为不含税到场价（包含运输费、材料费、保险、通行费、合理损耗、间接费、运杂费、利润、规费、物价上涨、安全措施费、装卸费等在内的各种费用以及合同明示或暗示的所有责任、义务和一般风险），卸货至比选人指定的施工现场，报价请保留两位小数。暂估量仅作为评标的依据与基础，比选人根据开标结果与成交单位签订材料供应含税单价合同。各规格型号材料实际采购数量以比选人最终需求数量为准，比选申请人不得以此当做单价变更的任何条件。</w:t>
      </w:r>
    </w:p>
    <w:p>
      <w:pPr>
        <w:spacing w:line="360" w:lineRule="exact"/>
        <w:textAlignment w:val="baseline"/>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1、</w:t>
      </w:r>
      <w:r>
        <w:rPr>
          <w:rFonts w:hint="eastAsia" w:ascii="Times New Roman" w:hAnsi="Times New Roman" w:eastAsia="宋体" w:cs="Times New Roman"/>
          <w:b/>
          <w:bCs/>
          <w:color w:val="auto"/>
          <w:kern w:val="2"/>
          <w:sz w:val="21"/>
          <w:szCs w:val="21"/>
          <w:lang w:val="en-US" w:eastAsia="zh-CN" w:bidi="ar-SA"/>
        </w:rPr>
        <w:t>本次采购各类材料除外墙用砖和地面广场用砖外均要求为同一品牌</w:t>
      </w:r>
      <w:r>
        <w:rPr>
          <w:rFonts w:hint="eastAsia" w:ascii="Times New Roman" w:hAnsi="Times New Roman" w:eastAsia="宋体" w:cs="Times New Roman"/>
          <w:b w:val="0"/>
          <w:bCs w:val="0"/>
          <w:color w:val="auto"/>
          <w:kern w:val="2"/>
          <w:sz w:val="21"/>
          <w:szCs w:val="21"/>
          <w:lang w:val="en-US" w:eastAsia="zh-CN" w:bidi="ar-SA"/>
        </w:rPr>
        <w:t>，</w:t>
      </w:r>
      <w:r>
        <w:rPr>
          <w:rFonts w:hint="eastAsia"/>
          <w:szCs w:val="21"/>
        </w:rPr>
        <w:t>各类材料的尺寸、颜色均为暂定，实际供货尺寸及颜色均以甲方实际要求为准。</w:t>
      </w:r>
    </w:p>
    <w:p>
      <w:pPr>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w:t>
      </w:r>
      <w:r>
        <w:rPr>
          <w:rFonts w:hint="eastAsia" w:ascii="Times New Roman" w:hAnsi="Times New Roman" w:eastAsia="宋体" w:cs="Times New Roman"/>
          <w:b w:val="0"/>
          <w:bCs w:val="0"/>
          <w:color w:val="auto"/>
          <w:kern w:val="2"/>
          <w:sz w:val="21"/>
          <w:szCs w:val="21"/>
          <w:lang w:val="en-US" w:eastAsia="zh-CN" w:bidi="ar-SA"/>
        </w:rPr>
        <w:t>表中价格为</w:t>
      </w:r>
      <w:r>
        <w:rPr>
          <w:rFonts w:hint="eastAsia" w:ascii="Times New Roman" w:hAnsi="Times New Roman" w:eastAsia="宋体" w:cs="Times New Roman"/>
          <w:b/>
          <w:bCs/>
          <w:color w:val="auto"/>
          <w:kern w:val="2"/>
          <w:sz w:val="21"/>
          <w:szCs w:val="21"/>
          <w:u w:val="single"/>
          <w:lang w:val="en-US" w:eastAsia="zh-CN" w:bidi="ar-SA"/>
        </w:rPr>
        <w:t>不含税固定综合单价</w:t>
      </w:r>
      <w:r>
        <w:rPr>
          <w:rFonts w:hint="eastAsia" w:ascii="Times New Roman" w:hAnsi="Times New Roman" w:eastAsia="宋体" w:cs="Times New Roman"/>
          <w:b w:val="0"/>
          <w:bCs w:val="0"/>
          <w:color w:val="auto"/>
          <w:kern w:val="2"/>
          <w:sz w:val="21"/>
          <w:szCs w:val="21"/>
          <w:lang w:val="en-US" w:eastAsia="zh-CN" w:bidi="ar-SA"/>
        </w:rPr>
        <w:t>，合同按照</w:t>
      </w:r>
      <w:r>
        <w:rPr>
          <w:rFonts w:hint="eastAsia" w:ascii="Times New Roman" w:hAnsi="Times New Roman" w:eastAsia="宋体" w:cs="Times New Roman"/>
          <w:b/>
          <w:bCs/>
          <w:color w:val="auto"/>
          <w:kern w:val="2"/>
          <w:sz w:val="21"/>
          <w:szCs w:val="21"/>
          <w:u w:val="single"/>
          <w:lang w:val="en-US" w:eastAsia="zh-CN" w:bidi="ar-SA"/>
        </w:rPr>
        <w:t>含税综合单价签订</w:t>
      </w:r>
      <w:r>
        <w:rPr>
          <w:rFonts w:hint="eastAsia" w:ascii="Times New Roman" w:hAnsi="Times New Roman" w:eastAsia="宋体" w:cs="Times New Roman"/>
          <w:b w:val="0"/>
          <w:bCs w:val="0"/>
          <w:color w:val="auto"/>
          <w:kern w:val="2"/>
          <w:sz w:val="21"/>
          <w:szCs w:val="21"/>
          <w:lang w:val="en-US" w:eastAsia="zh-CN" w:bidi="ar-SA"/>
        </w:rPr>
        <w:t>，项目实施过程不予调价，比选申请人须充分考虑相关风险后进行报价。合同含税到场单价=中标不含税到场单价*（1+中标人填报税率）</w:t>
      </w:r>
      <w:r>
        <w:rPr>
          <w:rFonts w:hint="eastAsia" w:ascii="Times New Roman" w:hAnsi="Times New Roman" w:cs="Times New Roman"/>
          <w:b w:val="0"/>
          <w:bCs w:val="0"/>
          <w:color w:val="auto"/>
          <w:kern w:val="2"/>
          <w:sz w:val="21"/>
          <w:szCs w:val="21"/>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3、</w:t>
      </w:r>
      <w:r>
        <w:rPr>
          <w:rFonts w:hint="eastAsia" w:ascii="Times New Roman" w:hAnsi="Times New Roman" w:cs="Times New Roman"/>
          <w:b w:val="0"/>
          <w:bCs w:val="0"/>
          <w:color w:val="auto"/>
          <w:kern w:val="2"/>
          <w:sz w:val="21"/>
          <w:szCs w:val="21"/>
          <w:lang w:val="en-US" w:eastAsia="zh-CN" w:bidi="ar-SA"/>
        </w:rPr>
        <w:t>上述报价为税前价，比选申请人应按照报价提供合法有效且符合比选人要求的增值税专用发票（开票方式为到场单价一票制，运输费等相关费用不再单独开具发票）。开具增值税专用发票和账单，注明比选人所用材料规格型号、方量、单价、总金额。材料结算单价和发票单价必须一致。</w:t>
      </w:r>
    </w:p>
    <w:p>
      <w:pPr>
        <w:spacing w:line="480" w:lineRule="exact"/>
        <w:ind w:firstLine="3360" w:firstLineChars="1400"/>
        <w:jc w:val="left"/>
        <w:rPr>
          <w:rFonts w:hint="eastAsia"/>
          <w:sz w:val="24"/>
          <w:szCs w:val="28"/>
        </w:rPr>
      </w:pPr>
    </w:p>
    <w:p>
      <w:pPr>
        <w:pStyle w:val="2"/>
        <w:rPr>
          <w:rFonts w:hint="eastAsia"/>
        </w:rPr>
      </w:pPr>
    </w:p>
    <w:p>
      <w:pPr>
        <w:spacing w:line="480" w:lineRule="exact"/>
        <w:ind w:firstLine="3360" w:firstLineChars="1400"/>
        <w:jc w:val="left"/>
        <w:rPr>
          <w:rFonts w:hint="eastAsia"/>
          <w:sz w:val="24"/>
          <w:szCs w:val="28"/>
          <w:u w:val="single"/>
        </w:rPr>
      </w:pPr>
      <w:r>
        <w:rPr>
          <w:rFonts w:hint="eastAsia"/>
          <w:sz w:val="24"/>
          <w:szCs w:val="28"/>
        </w:rPr>
        <w:t>比选申请人（盖单位公章）：</w:t>
      </w:r>
      <w:r>
        <w:rPr>
          <w:rFonts w:hint="eastAsia"/>
          <w:sz w:val="24"/>
          <w:szCs w:val="24"/>
        </w:rPr>
        <w:t>___________________</w:t>
      </w:r>
      <w:r>
        <w:rPr>
          <w:rFonts w:hint="eastAsia"/>
          <w:sz w:val="24"/>
          <w:szCs w:val="28"/>
          <w:u w:val="single"/>
        </w:rPr>
        <w:t xml:space="preserve">                </w:t>
      </w:r>
    </w:p>
    <w:p>
      <w:pPr>
        <w:spacing w:line="480" w:lineRule="exact"/>
        <w:ind w:left="2852" w:leftChars="1358" w:firstLine="480" w:firstLineChars="200"/>
        <w:rPr>
          <w:rFonts w:hint="eastAsia"/>
          <w:sz w:val="24"/>
          <w:szCs w:val="24"/>
        </w:rPr>
      </w:pPr>
      <w:r>
        <w:rPr>
          <w:rFonts w:hint="eastAsia"/>
          <w:sz w:val="24"/>
          <w:szCs w:val="24"/>
        </w:rPr>
        <w:t>法定代表人（或授权代表）：___________________</w:t>
      </w:r>
    </w:p>
    <w:p>
      <w:pPr>
        <w:spacing w:line="480" w:lineRule="exact"/>
        <w:ind w:left="2852" w:leftChars="1358" w:firstLine="480" w:firstLineChars="200"/>
        <w:rPr>
          <w:rFonts w:hint="eastAsia"/>
          <w:sz w:val="24"/>
          <w:szCs w:val="28"/>
        </w:rPr>
      </w:pPr>
      <w:r>
        <w:rPr>
          <w:rFonts w:hint="eastAsia"/>
          <w:sz w:val="24"/>
          <w:szCs w:val="28"/>
        </w:rPr>
        <w:t>联系电话：</w:t>
      </w:r>
      <w:r>
        <w:rPr>
          <w:rFonts w:hint="eastAsia"/>
          <w:sz w:val="24"/>
          <w:szCs w:val="28"/>
          <w:u w:val="single"/>
        </w:rPr>
        <w:t xml:space="preserve">       </w:t>
      </w:r>
      <w:r>
        <w:rPr>
          <w:rFonts w:hint="eastAsia"/>
          <w:sz w:val="24"/>
          <w:szCs w:val="28"/>
        </w:rPr>
        <w:t xml:space="preserve">                             </w:t>
      </w:r>
    </w:p>
    <w:p>
      <w:pPr>
        <w:spacing w:line="480" w:lineRule="exact"/>
        <w:ind w:firstLine="240" w:firstLineChars="100"/>
        <w:jc w:val="right"/>
        <w:rPr>
          <w:rFonts w:hint="eastAsia" w:ascii="宋体" w:hAnsi="宋体" w:cs="宋体"/>
          <w:b/>
          <w:sz w:val="28"/>
          <w:szCs w:val="28"/>
        </w:rPr>
      </w:pPr>
      <w:r>
        <w:rPr>
          <w:rFonts w:hint="eastAsia"/>
          <w:sz w:val="24"/>
          <w:szCs w:val="28"/>
        </w:rPr>
        <w:t>日期：   年    月    日</w:t>
      </w:r>
    </w:p>
    <w:sectPr>
      <w:headerReference r:id="rId7" w:type="default"/>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 xml:space="preserve">                                   重庆通力高速公路工程有限公司购销合同                  合同编号： 09G-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B9269"/>
    <w:multiLevelType w:val="singleLevel"/>
    <w:tmpl w:val="8AFB9269"/>
    <w:lvl w:ilvl="0" w:tentative="0">
      <w:start w:val="1"/>
      <w:numFmt w:val="decimal"/>
      <w:suff w:val="nothing"/>
      <w:lvlText w:val="%1．"/>
      <w:lvlJc w:val="left"/>
    </w:lvl>
  </w:abstractNum>
  <w:abstractNum w:abstractNumId="1">
    <w:nsid w:val="0000000F"/>
    <w:multiLevelType w:val="multilevel"/>
    <w:tmpl w:val="0000000F"/>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B52B921"/>
    <w:multiLevelType w:val="singleLevel"/>
    <w:tmpl w:val="1B52B921"/>
    <w:lvl w:ilvl="0" w:tentative="0">
      <w:start w:val="1"/>
      <w:numFmt w:val="decimal"/>
      <w:suff w:val="nothing"/>
      <w:lvlText w:val="%1、"/>
      <w:lvlJc w:val="left"/>
    </w:lvl>
  </w:abstractNum>
  <w:abstractNum w:abstractNumId="3">
    <w:nsid w:val="589AB4D9"/>
    <w:multiLevelType w:val="singleLevel"/>
    <w:tmpl w:val="589AB4D9"/>
    <w:lvl w:ilvl="0" w:tentative="0">
      <w:start w:val="4"/>
      <w:numFmt w:val="chineseCounting"/>
      <w:suff w:val="nothing"/>
      <w:lvlText w:val="%1、"/>
      <w:lvlJc w:val="left"/>
    </w:lvl>
  </w:abstractNum>
  <w:abstractNum w:abstractNumId="4">
    <w:nsid w:val="694DB469"/>
    <w:multiLevelType w:val="singleLevel"/>
    <w:tmpl w:val="694DB469"/>
    <w:lvl w:ilvl="0" w:tentative="0">
      <w:start w:val="5"/>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105C"/>
    <w:rsid w:val="00157D0F"/>
    <w:rsid w:val="00182EBD"/>
    <w:rsid w:val="00185C86"/>
    <w:rsid w:val="001B0975"/>
    <w:rsid w:val="001B1460"/>
    <w:rsid w:val="00353B17"/>
    <w:rsid w:val="004A2B33"/>
    <w:rsid w:val="004B4085"/>
    <w:rsid w:val="004C5EBC"/>
    <w:rsid w:val="005617C6"/>
    <w:rsid w:val="006B0596"/>
    <w:rsid w:val="007666FE"/>
    <w:rsid w:val="00811DE9"/>
    <w:rsid w:val="00903959"/>
    <w:rsid w:val="009208F9"/>
    <w:rsid w:val="0097639F"/>
    <w:rsid w:val="00983C66"/>
    <w:rsid w:val="00B41975"/>
    <w:rsid w:val="00C16834"/>
    <w:rsid w:val="00D34824"/>
    <w:rsid w:val="00E078E7"/>
    <w:rsid w:val="00ED1913"/>
    <w:rsid w:val="00F84237"/>
    <w:rsid w:val="00FE1867"/>
    <w:rsid w:val="010B4FD6"/>
    <w:rsid w:val="028E49E8"/>
    <w:rsid w:val="031337B1"/>
    <w:rsid w:val="037E5C84"/>
    <w:rsid w:val="043B26D6"/>
    <w:rsid w:val="047414BE"/>
    <w:rsid w:val="04C47112"/>
    <w:rsid w:val="07497C8C"/>
    <w:rsid w:val="07D641E6"/>
    <w:rsid w:val="08B21D3D"/>
    <w:rsid w:val="098E14CD"/>
    <w:rsid w:val="09D8020C"/>
    <w:rsid w:val="0A45707E"/>
    <w:rsid w:val="0AF0479E"/>
    <w:rsid w:val="0B616073"/>
    <w:rsid w:val="0B6615F7"/>
    <w:rsid w:val="0BDF7C00"/>
    <w:rsid w:val="0C1336FE"/>
    <w:rsid w:val="0C7A58B1"/>
    <w:rsid w:val="0CC32EFC"/>
    <w:rsid w:val="0E9666C3"/>
    <w:rsid w:val="0FF207CD"/>
    <w:rsid w:val="1092696A"/>
    <w:rsid w:val="11F23F73"/>
    <w:rsid w:val="12154897"/>
    <w:rsid w:val="12165084"/>
    <w:rsid w:val="12E77112"/>
    <w:rsid w:val="13270820"/>
    <w:rsid w:val="13892756"/>
    <w:rsid w:val="141C41C5"/>
    <w:rsid w:val="144A5006"/>
    <w:rsid w:val="14DE66D3"/>
    <w:rsid w:val="163A26DA"/>
    <w:rsid w:val="164E0DE7"/>
    <w:rsid w:val="18D44A2E"/>
    <w:rsid w:val="196D5698"/>
    <w:rsid w:val="19F57EF4"/>
    <w:rsid w:val="1AD5645F"/>
    <w:rsid w:val="1AD8762B"/>
    <w:rsid w:val="1E2B1135"/>
    <w:rsid w:val="1E4F3151"/>
    <w:rsid w:val="1F33257A"/>
    <w:rsid w:val="206E0C9F"/>
    <w:rsid w:val="21017D49"/>
    <w:rsid w:val="21117230"/>
    <w:rsid w:val="216422CE"/>
    <w:rsid w:val="220D77AB"/>
    <w:rsid w:val="226512AA"/>
    <w:rsid w:val="22EC7C4B"/>
    <w:rsid w:val="233D092E"/>
    <w:rsid w:val="23DD57CD"/>
    <w:rsid w:val="23FD0EFB"/>
    <w:rsid w:val="257B493E"/>
    <w:rsid w:val="26962EA8"/>
    <w:rsid w:val="272419B0"/>
    <w:rsid w:val="27AC1A41"/>
    <w:rsid w:val="29AC7FEC"/>
    <w:rsid w:val="2AAB1BBF"/>
    <w:rsid w:val="2C535729"/>
    <w:rsid w:val="2D3E05DB"/>
    <w:rsid w:val="2D8E16AF"/>
    <w:rsid w:val="2E3C20C4"/>
    <w:rsid w:val="2F8C2AA4"/>
    <w:rsid w:val="305344C6"/>
    <w:rsid w:val="3106269B"/>
    <w:rsid w:val="32596CA0"/>
    <w:rsid w:val="32EF0851"/>
    <w:rsid w:val="33922181"/>
    <w:rsid w:val="33E51AC2"/>
    <w:rsid w:val="340047A3"/>
    <w:rsid w:val="350463FB"/>
    <w:rsid w:val="357621E2"/>
    <w:rsid w:val="361C11BE"/>
    <w:rsid w:val="36261957"/>
    <w:rsid w:val="385D245C"/>
    <w:rsid w:val="389B78F0"/>
    <w:rsid w:val="3A213EDF"/>
    <w:rsid w:val="3AEA2AEC"/>
    <w:rsid w:val="3B0E7BCF"/>
    <w:rsid w:val="3B432041"/>
    <w:rsid w:val="3BF51BF2"/>
    <w:rsid w:val="3DAD20D6"/>
    <w:rsid w:val="3DB03F27"/>
    <w:rsid w:val="3DE72ED1"/>
    <w:rsid w:val="3F831D5C"/>
    <w:rsid w:val="40085F31"/>
    <w:rsid w:val="400928AC"/>
    <w:rsid w:val="40315A55"/>
    <w:rsid w:val="41912218"/>
    <w:rsid w:val="41BC35BD"/>
    <w:rsid w:val="41CB1BC7"/>
    <w:rsid w:val="42894A41"/>
    <w:rsid w:val="42A91C68"/>
    <w:rsid w:val="434D13FB"/>
    <w:rsid w:val="43EF7421"/>
    <w:rsid w:val="4419274A"/>
    <w:rsid w:val="464A0296"/>
    <w:rsid w:val="48DE7494"/>
    <w:rsid w:val="48E7230E"/>
    <w:rsid w:val="49D64BF4"/>
    <w:rsid w:val="49DE7226"/>
    <w:rsid w:val="4AEC62B2"/>
    <w:rsid w:val="4BA82735"/>
    <w:rsid w:val="4CB81F75"/>
    <w:rsid w:val="4EA616B8"/>
    <w:rsid w:val="4F6327A6"/>
    <w:rsid w:val="500776E1"/>
    <w:rsid w:val="51226482"/>
    <w:rsid w:val="513F515A"/>
    <w:rsid w:val="517A7FE5"/>
    <w:rsid w:val="52412270"/>
    <w:rsid w:val="52836A11"/>
    <w:rsid w:val="52AE4F51"/>
    <w:rsid w:val="53652EA3"/>
    <w:rsid w:val="554E4AC3"/>
    <w:rsid w:val="55876E1C"/>
    <w:rsid w:val="564158A1"/>
    <w:rsid w:val="5699489C"/>
    <w:rsid w:val="57315B31"/>
    <w:rsid w:val="57C655AE"/>
    <w:rsid w:val="5816014B"/>
    <w:rsid w:val="58663694"/>
    <w:rsid w:val="58B61B08"/>
    <w:rsid w:val="599D4E73"/>
    <w:rsid w:val="59B66A63"/>
    <w:rsid w:val="5A775434"/>
    <w:rsid w:val="5B663446"/>
    <w:rsid w:val="5C577CE4"/>
    <w:rsid w:val="5D76019B"/>
    <w:rsid w:val="5E6562B5"/>
    <w:rsid w:val="5E902D14"/>
    <w:rsid w:val="5EB76805"/>
    <w:rsid w:val="5FBB1DBA"/>
    <w:rsid w:val="601325E1"/>
    <w:rsid w:val="618E6761"/>
    <w:rsid w:val="637E7248"/>
    <w:rsid w:val="64CF2FFD"/>
    <w:rsid w:val="65922986"/>
    <w:rsid w:val="65FC6F6B"/>
    <w:rsid w:val="672008BF"/>
    <w:rsid w:val="68D5596E"/>
    <w:rsid w:val="6A7D5B04"/>
    <w:rsid w:val="6AA21659"/>
    <w:rsid w:val="6B8D2B8B"/>
    <w:rsid w:val="6BB828E5"/>
    <w:rsid w:val="6BBD0F7B"/>
    <w:rsid w:val="6BEA6D49"/>
    <w:rsid w:val="6C3E104B"/>
    <w:rsid w:val="6D8E0811"/>
    <w:rsid w:val="6D9D6D2B"/>
    <w:rsid w:val="6E3748A4"/>
    <w:rsid w:val="6E5E53AB"/>
    <w:rsid w:val="6E851213"/>
    <w:rsid w:val="7041299D"/>
    <w:rsid w:val="70BE486D"/>
    <w:rsid w:val="71C07885"/>
    <w:rsid w:val="72707B50"/>
    <w:rsid w:val="729D6A52"/>
    <w:rsid w:val="72FA73DA"/>
    <w:rsid w:val="73C81356"/>
    <w:rsid w:val="73E11A5F"/>
    <w:rsid w:val="74684FFE"/>
    <w:rsid w:val="74BB11DD"/>
    <w:rsid w:val="74C30C68"/>
    <w:rsid w:val="74F6672A"/>
    <w:rsid w:val="7524331C"/>
    <w:rsid w:val="753121BC"/>
    <w:rsid w:val="75BC5C9E"/>
    <w:rsid w:val="75EF0045"/>
    <w:rsid w:val="76CB45F0"/>
    <w:rsid w:val="77311A03"/>
    <w:rsid w:val="773875B6"/>
    <w:rsid w:val="775628D9"/>
    <w:rsid w:val="77B278F7"/>
    <w:rsid w:val="78482159"/>
    <w:rsid w:val="78E561A0"/>
    <w:rsid w:val="79882C1C"/>
    <w:rsid w:val="7A2B4286"/>
    <w:rsid w:val="7A600DF2"/>
    <w:rsid w:val="7B6946E1"/>
    <w:rsid w:val="7B6A3F09"/>
    <w:rsid w:val="7C762007"/>
    <w:rsid w:val="7D09299E"/>
    <w:rsid w:val="7D8F70C5"/>
    <w:rsid w:val="7DFF65E8"/>
    <w:rsid w:val="7F0517F8"/>
    <w:rsid w:val="7F6E14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3"/>
    <w:basedOn w:val="1"/>
    <w:next w:val="1"/>
    <w:qFormat/>
    <w:uiPriority w:val="0"/>
    <w:pPr>
      <w:keepNext/>
      <w:keepLines/>
      <w:spacing w:before="260" w:after="260" w:line="413" w:lineRule="auto"/>
      <w:outlineLvl w:val="2"/>
    </w:pPr>
    <w:rPr>
      <w:rFonts w:ascii="Times New Roman" w:hAnsi="Times New Roman" w:cs="Times New Roman"/>
      <w:b/>
      <w:bCs/>
      <w:color w:val="000000"/>
      <w:kern w:val="0"/>
      <w:sz w:val="32"/>
      <w:szCs w:val="32"/>
    </w:rPr>
  </w:style>
  <w:style w:type="character" w:default="1" w:styleId="19">
    <w:name w:val="Default Paragraph Font"/>
    <w:qFormat/>
    <w:uiPriority w:val="0"/>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customStyle="1" w:styleId="2">
    <w:name w:val="无间隔1"/>
    <w:qFormat/>
    <w:uiPriority w:val="1"/>
    <w:pPr>
      <w:jc w:val="both"/>
    </w:pPr>
    <w:rPr>
      <w:rFonts w:ascii="Times New Roman" w:hAnsi="Times New Roman" w:eastAsia="Times New Roman" w:cs="Times New Roman"/>
      <w:lang w:val="en-US" w:eastAsia="zh-CN" w:bidi="ar-SA"/>
    </w:rPr>
  </w:style>
  <w:style w:type="paragraph" w:styleId="5">
    <w:name w:val="annotation subject"/>
    <w:basedOn w:val="6"/>
    <w:next w:val="6"/>
    <w:link w:val="28"/>
    <w:unhideWhenUsed/>
    <w:qFormat/>
    <w:uiPriority w:val="99"/>
    <w:rPr>
      <w:b/>
      <w:bCs/>
    </w:rPr>
  </w:style>
  <w:style w:type="paragraph" w:styleId="6">
    <w:name w:val="annotation text"/>
    <w:basedOn w:val="1"/>
    <w:link w:val="31"/>
    <w:unhideWhenUsed/>
    <w:qFormat/>
    <w:uiPriority w:val="99"/>
    <w:pPr>
      <w:jc w:val="left"/>
    </w:p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0"/>
    <w:qFormat/>
    <w:uiPriority w:val="0"/>
    <w:rPr>
      <w:rFonts w:ascii="宋体"/>
      <w:sz w:val="18"/>
      <w:szCs w:val="18"/>
    </w:rPr>
  </w:style>
  <w:style w:type="paragraph" w:styleId="9">
    <w:name w:val="Body Text"/>
    <w:basedOn w:val="1"/>
    <w:qFormat/>
    <w:uiPriority w:val="0"/>
    <w:pPr>
      <w:spacing w:after="120" w:afterLines="0"/>
    </w:pPr>
  </w:style>
  <w:style w:type="paragraph" w:styleId="10">
    <w:name w:val="Body Text Indent"/>
    <w:basedOn w:val="1"/>
    <w:qFormat/>
    <w:uiPriority w:val="0"/>
    <w:pPr>
      <w:spacing w:line="700" w:lineRule="exact"/>
      <w:ind w:left="960"/>
    </w:pPr>
    <w:rPr>
      <w:sz w:val="44"/>
    </w:rPr>
  </w:style>
  <w:style w:type="paragraph" w:styleId="11">
    <w:name w:val="Plain Text"/>
    <w:basedOn w:val="1"/>
    <w:unhideWhenUsed/>
    <w:qFormat/>
    <w:uiPriority w:val="99"/>
    <w:rPr>
      <w:rFonts w:ascii="宋体" w:hAnsi="Courier New"/>
      <w:szCs w:val="21"/>
    </w:rPr>
  </w:style>
  <w:style w:type="paragraph" w:styleId="12">
    <w:name w:val="Date"/>
    <w:basedOn w:val="1"/>
    <w:next w:val="1"/>
    <w:qFormat/>
    <w:uiPriority w:val="0"/>
    <w:pPr>
      <w:ind w:left="100" w:leftChars="2500"/>
    </w:pPr>
  </w:style>
  <w:style w:type="paragraph" w:styleId="13">
    <w:name w:val="Balloon Text"/>
    <w:basedOn w:val="1"/>
    <w:link w:val="32"/>
    <w:unhideWhenUsed/>
    <w:qFormat/>
    <w:uiPriority w:val="99"/>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b/>
      <w:bCs/>
      <w:caps/>
      <w:sz w:val="20"/>
    </w:rPr>
  </w:style>
  <w:style w:type="paragraph" w:styleId="17">
    <w:name w:val="Normal (Web)"/>
    <w:basedOn w:val="1"/>
    <w:unhideWhenUsed/>
    <w:qFormat/>
    <w:uiPriority w:val="99"/>
    <w:pPr>
      <w:spacing w:beforeAutospacing="1" w:afterAutospacing="1"/>
      <w:jc w:val="left"/>
    </w:pPr>
    <w:rPr>
      <w:rFonts w:cs="Times New Roman"/>
      <w:kern w:val="0"/>
      <w:sz w:val="24"/>
    </w:rPr>
  </w:style>
  <w:style w:type="paragraph" w:styleId="18">
    <w:name w:val="index 1"/>
    <w:basedOn w:val="1"/>
    <w:next w:val="1"/>
    <w:qFormat/>
    <w:uiPriority w:val="0"/>
    <w:pPr>
      <w:spacing w:line="360" w:lineRule="auto"/>
      <w:jc w:val="center"/>
    </w:pPr>
    <w:rPr>
      <w:rFonts w:ascii="宋体" w:hAnsi="Arial" w:cs="Arial"/>
      <w:b/>
      <w:color w:val="000000"/>
      <w:sz w:val="24"/>
      <w:szCs w:val="24"/>
    </w:rPr>
  </w:style>
  <w:style w:type="character" w:styleId="20">
    <w:name w:val="annotation reference"/>
    <w:unhideWhenUsed/>
    <w:qFormat/>
    <w:uiPriority w:val="99"/>
    <w:rPr>
      <w:sz w:val="21"/>
      <w:szCs w:val="21"/>
    </w:rPr>
  </w:style>
  <w:style w:type="table" w:styleId="22">
    <w:name w:val="Table Grid"/>
    <w:basedOn w:val="2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4">
    <w:name w:val="列出段落1"/>
    <w:basedOn w:val="1"/>
    <w:qFormat/>
    <w:uiPriority w:val="99"/>
    <w:pPr>
      <w:ind w:firstLine="420" w:firstLineChars="200"/>
    </w:pPr>
    <w:rPr>
      <w:rFonts w:ascii="Calibri" w:hAnsi="Calibri" w:cs="Calibri"/>
      <w:szCs w:val="21"/>
    </w:rPr>
  </w:style>
  <w:style w:type="paragraph" w:customStyle="1" w:styleId="25">
    <w:name w:val="样式10"/>
    <w:basedOn w:val="1"/>
    <w:qFormat/>
    <w:uiPriority w:val="0"/>
    <w:pPr>
      <w:numPr>
        <w:ilvl w:val="0"/>
        <w:numId w:val="1"/>
      </w:numPr>
      <w:tabs>
        <w:tab w:val="left" w:pos="737"/>
        <w:tab w:val="clear" w:pos="360"/>
      </w:tabs>
      <w:spacing w:line="360" w:lineRule="auto"/>
    </w:pPr>
    <w:rPr>
      <w:sz w:val="24"/>
      <w:szCs w:val="24"/>
    </w:rPr>
  </w:style>
  <w:style w:type="paragraph" w:customStyle="1" w:styleId="26">
    <w:name w:val="正文文本 (15)"/>
    <w:basedOn w:val="1"/>
    <w:link w:val="33"/>
    <w:qFormat/>
    <w:uiPriority w:val="0"/>
    <w:pPr>
      <w:shd w:val="clear" w:color="auto" w:fill="FFFFFF"/>
      <w:spacing w:line="0" w:lineRule="atLeast"/>
      <w:jc w:val="left"/>
    </w:pPr>
    <w:rPr>
      <w:rFonts w:ascii="MingLiU" w:hAnsi="MingLiU" w:eastAsia="MingLiU" w:cs="MingLiU"/>
      <w:spacing w:val="10"/>
      <w:kern w:val="0"/>
      <w:sz w:val="19"/>
      <w:szCs w:val="19"/>
    </w:rPr>
  </w:style>
  <w:style w:type="paragraph" w:customStyle="1" w:styleId="27">
    <w:name w:val="彩色列表 - 强调文字颜色 11"/>
    <w:basedOn w:val="1"/>
    <w:qFormat/>
    <w:uiPriority w:val="0"/>
    <w:pPr>
      <w:widowControl/>
      <w:ind w:firstLine="420"/>
    </w:pPr>
    <w:rPr>
      <w:rFonts w:ascii="Calibri" w:hAnsi="Calibri" w:cs="Calibri"/>
      <w:kern w:val="0"/>
      <w:szCs w:val="21"/>
    </w:rPr>
  </w:style>
  <w:style w:type="character" w:customStyle="1" w:styleId="28">
    <w:name w:val="批注主题 字符"/>
    <w:link w:val="5"/>
    <w:semiHidden/>
    <w:qFormat/>
    <w:uiPriority w:val="99"/>
    <w:rPr>
      <w:b/>
      <w:bCs/>
      <w:kern w:val="2"/>
      <w:sz w:val="21"/>
    </w:rPr>
  </w:style>
  <w:style w:type="character" w:customStyle="1" w:styleId="29">
    <w:name w:val="font01"/>
    <w:qFormat/>
    <w:uiPriority w:val="0"/>
    <w:rPr>
      <w:rFonts w:hint="eastAsia" w:ascii="宋体" w:hAnsi="宋体" w:eastAsia="宋体" w:cs="宋体"/>
      <w:color w:val="000000"/>
      <w:sz w:val="22"/>
      <w:szCs w:val="22"/>
      <w:u w:val="none"/>
    </w:rPr>
  </w:style>
  <w:style w:type="character" w:customStyle="1" w:styleId="30">
    <w:name w:val="文档结构图 字符"/>
    <w:link w:val="8"/>
    <w:qFormat/>
    <w:uiPriority w:val="0"/>
    <w:rPr>
      <w:rFonts w:ascii="宋体"/>
      <w:kern w:val="2"/>
      <w:sz w:val="18"/>
      <w:szCs w:val="18"/>
    </w:rPr>
  </w:style>
  <w:style w:type="character" w:customStyle="1" w:styleId="31">
    <w:name w:val="批注文字 字符"/>
    <w:link w:val="6"/>
    <w:qFormat/>
    <w:uiPriority w:val="99"/>
    <w:rPr>
      <w:kern w:val="2"/>
      <w:sz w:val="21"/>
    </w:rPr>
  </w:style>
  <w:style w:type="character" w:customStyle="1" w:styleId="32">
    <w:name w:val="批注框文本 字符"/>
    <w:link w:val="13"/>
    <w:semiHidden/>
    <w:qFormat/>
    <w:uiPriority w:val="99"/>
    <w:rPr>
      <w:kern w:val="2"/>
      <w:sz w:val="18"/>
      <w:szCs w:val="18"/>
    </w:rPr>
  </w:style>
  <w:style w:type="character" w:customStyle="1" w:styleId="33">
    <w:name w:val="正文文本 (15)_"/>
    <w:link w:val="26"/>
    <w:qFormat/>
    <w:uiPriority w:val="0"/>
    <w:rPr>
      <w:rFonts w:ascii="MingLiU" w:hAnsi="MingLiU" w:eastAsia="MingLiU" w:cs="MingLiU"/>
      <w:spacing w:val="10"/>
      <w:sz w:val="19"/>
      <w:szCs w:val="19"/>
      <w:shd w:val="clear" w:color="auto" w:fill="FFFFFF"/>
    </w:rPr>
  </w:style>
  <w:style w:type="character" w:customStyle="1" w:styleId="34">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27</Pages>
  <Words>3219</Words>
  <Characters>18350</Characters>
  <Lines>152</Lines>
  <Paragraphs>43</Paragraphs>
  <TotalTime>1</TotalTime>
  <ScaleCrop>false</ScaleCrop>
  <LinksUpToDate>false</LinksUpToDate>
  <CharactersWithSpaces>21526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2020-07-14T08:21:00Z</dcterms:created>
  <dc:creator>宋海涛</dc:creator>
  <cp:lastModifiedBy>lenovo</cp:lastModifiedBy>
  <cp:lastPrinted>2017-05-07T03:04:00Z</cp:lastPrinted>
  <dcterms:modified xsi:type="dcterms:W3CDTF">2021-04-16T02:59:15Z</dcterms:modified>
  <dc:title>重庆高速公路集团有限公司南方营运分公司服务区保安值守服务项目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