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 w:eastAsia="宋体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 w:val="0"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ascii="宋体" w:hAnsi="宋体" w:eastAsia="宋体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国密SSL </w:t>
            </w:r>
            <w:r>
              <w:rPr>
                <w:rFonts w:hint="eastAsia" w:ascii="宋体" w:hAnsi="宋体" w:eastAsia="宋体" w:cs="微软雅黑"/>
                <w:b w:val="0"/>
                <w:bCs w:val="0"/>
                <w:sz w:val="24"/>
                <w:szCs w:val="24"/>
              </w:rPr>
              <w:t>V</w:t>
            </w:r>
            <w:r>
              <w:rPr>
                <w:rFonts w:ascii="宋体" w:hAnsi="宋体" w:eastAsia="宋体" w:cs="微软雅黑"/>
                <w:b w:val="0"/>
                <w:bCs w:val="0"/>
                <w:sz w:val="24"/>
                <w:szCs w:val="24"/>
              </w:rPr>
              <w:t>PN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关键技术要求：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</w:rPr>
              <w:t>具备 IPsec、SSL VPN 商密功能，采用专用的IPSEC/SSL二合一商密产品；设备要求1+1冗余部署，双机热备，并使用VPN集群保障业务可靠性；SSL VPN最大并发数≥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8000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</w:rPr>
              <w:t>个；平台具备高度兼容性，支持手机、电脑、平板接入，兼容主流操作系统和浏览器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标准机架式设备，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</w:rPr>
              <w:t>千兆电口≥6个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</w:rPr>
              <w:t>千兆光口SFP≥4，双电源；加密流量：350Mbps，最大并发会话数：150W；点到点 IPsec VPN隧道数≥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</w:rPr>
              <w:t>个；SSL VPN授权数≥500</w:t>
            </w: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功能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>统一入口：通过 WEB 门户提供安全接入所需的注册、审核、软件下载等功能，为用户提供PC机、移动智能终端统一接入客户端，设置网关设备接入入口，实现接入用户统一接入；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>VPN网关集群：提供终端到网关或网关到网关的传输加密、身份认证、权限控制等功能，通过负载均衡、链路汇聚实现VPN网关集群；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>统一认证：为安全接入的身份认证和权限控制提供支撑，提供用户集中认证、用户管理、访问权限统一控制等功能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/>
                <w:b w:val="0"/>
                <w:sz w:val="24"/>
                <w:szCs w:val="24"/>
                <w:lang w:val="en-US" w:eastAsia="zh-CN"/>
              </w:rPr>
              <w:t>支持包括短信认证等多种身份认证</w:t>
            </w:r>
            <w:r>
              <w:rPr>
                <w:rFonts w:hint="eastAsia" w:hAnsi="宋体"/>
                <w:b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>管理与审计：提供安全接入平台的运行情况监测、平台设备的配置管理和用户行为审计等功能；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int="default" w:hAnsi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>安全防护：具备基于状态监测技术的防火墙功能，能够抵抗常见的网络攻击，能够进行包过滤或WAN、LAN、DMZ口之间访问控制；为了避免人为配置错误，产品必须支持对防火墙的过滤规则能够进行在线虚拟测试。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ascii="宋体" w:hAnsi="宋体" w:eastAsia="宋体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 w:val="0"/>
                <w:bCs w:val="0"/>
                <w:sz w:val="24"/>
                <w:szCs w:val="24"/>
                <w:lang w:val="en-US" w:eastAsia="zh-CN"/>
              </w:rPr>
              <w:t>入侵防御设备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hAnsi="宋体"/>
                <w:b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关键技术要求：</w:t>
            </w:r>
            <w:r>
              <w:rPr>
                <w:rFonts w:hint="eastAsia" w:hAnsi="宋体"/>
                <w:b w:val="0"/>
                <w:sz w:val="24"/>
                <w:szCs w:val="24"/>
              </w:rPr>
              <w:t>配置基于专业多核硬件平台，非X86硬件平台，提供不少于12个千兆电口,不少于12个千兆光口，不少于4个万兆光口，设备扩展槽位≥1，支持并配置冗余双交流电源，根据光接口数量，满配千兆、万兆单模光模块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/>
                <w:b w:val="0"/>
                <w:sz w:val="24"/>
                <w:szCs w:val="24"/>
              </w:rPr>
              <w:t>开启防护策略后整机</w:t>
            </w:r>
            <w:r>
              <w:rPr>
                <w:rFonts w:hint="eastAsia" w:hAnsi="宋体"/>
                <w:b w:val="0"/>
                <w:sz w:val="24"/>
                <w:szCs w:val="24"/>
                <w:lang w:val="en-US" w:eastAsia="zh-CN"/>
              </w:rPr>
              <w:t>网络层</w:t>
            </w:r>
            <w:r>
              <w:rPr>
                <w:rFonts w:hint="eastAsia" w:hAnsi="宋体"/>
                <w:b w:val="0"/>
                <w:sz w:val="24"/>
                <w:szCs w:val="24"/>
              </w:rPr>
              <w:t>吞吐量≥20G，并发连接数≥2000万，新建连接数≥30万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/>
                <w:b w:val="0"/>
                <w:sz w:val="24"/>
                <w:szCs w:val="24"/>
              </w:rPr>
              <w:t>支持虚拟IPS，数量不少于4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/>
                <w:b w:val="0"/>
                <w:sz w:val="24"/>
                <w:szCs w:val="24"/>
              </w:rPr>
              <w:t>攻击特征库数量≥3000+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/>
                <w:b w:val="0"/>
                <w:sz w:val="24"/>
                <w:szCs w:val="24"/>
              </w:rPr>
              <w:t>病毒特征库数量≥8000+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/>
                <w:b w:val="0"/>
                <w:sz w:val="24"/>
                <w:szCs w:val="24"/>
              </w:rPr>
              <w:t>支持的协议识别数量≥800+</w:t>
            </w:r>
          </w:p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default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功能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hAnsi="宋体"/>
                <w:b w:val="0"/>
                <w:sz w:val="24"/>
                <w:szCs w:val="24"/>
              </w:rPr>
              <w:t>通过对流经该关键路径上的网络数据流进行4到7层的深度分析，能精确、实时地识别并阻断或限制黑客、蠕虫、病毒、木马、DoS/DDoS、扫描、间谍软件、协议异常、网络钓鱼、P2P、IM、网游等网络攻击或网络滥用，同时具备带宽管理和URL过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 w:val="0"/>
                <w:sz w:val="24"/>
                <w:szCs w:val="24"/>
                <w:lang w:val="en-US" w:eastAsia="zh-CN"/>
              </w:rPr>
              <w:t>WEB应用防火墙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hAnsi="宋体"/>
                <w:b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关键技术要求：</w:t>
            </w:r>
            <w:r>
              <w:rPr>
                <w:rFonts w:hAnsi="宋体"/>
                <w:b w:val="0"/>
                <w:sz w:val="24"/>
                <w:szCs w:val="24"/>
              </w:rPr>
              <w:t>标准机架式结构型；配置4个千兆光口，6个千兆电口，2个万兆光口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Ansi="宋体"/>
                <w:b w:val="0"/>
                <w:sz w:val="24"/>
                <w:szCs w:val="24"/>
              </w:rPr>
              <w:t>双电源</w:t>
            </w:r>
            <w:r>
              <w:rPr>
                <w:rFonts w:hint="eastAsia" w:hAnsi="宋体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/>
                <w:b w:val="0"/>
                <w:sz w:val="24"/>
                <w:szCs w:val="24"/>
              </w:rPr>
              <w:t>应用层吞吐≥2Gbps，并发连接≥200万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int="default" w:hAnsi="宋体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功能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hAnsi="宋体"/>
                <w:b w:val="0"/>
                <w:sz w:val="24"/>
                <w:szCs w:val="24"/>
              </w:rPr>
              <w:t>支持对HTTP/HTTPS协议检测。配置包含SQL注入、XSS、CSRF等WEB攻击防护功能、URL访问控制功能、防盗链功能、DDOS攻击防护功能、网页防篡改功能、服务器负载均功能、报表分析及告警功能；支持IPv4静态路由、RIP V1/V2、OSPF、BGP，支持IPv6静态路由、RIPng、OSPFv3、BGP4+，支持IPv4和IPv6环境下的策略路由。支持IPv6手动隧道、6to4隧道和ISATAP隧道；</w:t>
            </w:r>
            <w:r>
              <w:rPr>
                <w:rFonts w:hint="eastAsia" w:hAnsi="宋体"/>
                <w:b w:val="0"/>
                <w:sz w:val="24"/>
                <w:szCs w:val="24"/>
                <w:lang w:val="en-US" w:eastAsia="zh-CN"/>
              </w:rPr>
              <w:t>与现有设备实现冗余；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 xml:space="preserve">审计功能：审核统计经过设备的HTTP报文数量及会话，对出现问题进行分析，提出分析报告；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 xml:space="preserve">访问控制功能：用来对Web应用平台访问进行控制，包含网络层的访问控制以及应用层的访问控制；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both"/>
              <w:textAlignment w:val="auto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 xml:space="preserve">网络管理：提供反向代理模式、转发控制、诊断工具等功能； </w:t>
            </w:r>
          </w:p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default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sz w:val="24"/>
                <w:szCs w:val="24"/>
              </w:rPr>
              <w:t>Web攻击防护功能：Web防火墙核心功能，为Web应用平台提供安全防护，阻止攻击对应用平台造成不必要的损失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ascii="宋体" w:hAnsi="宋体" w:eastAsia="宋体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 w:val="0"/>
                <w:bCs w:val="0"/>
                <w:sz w:val="24"/>
                <w:szCs w:val="24"/>
              </w:rPr>
              <w:t>防病毒管理系统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防病毒系统_服务端：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防病毒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系统一级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管理中心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平台，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结算中心业务网分别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部署防病毒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系统二级管理中心平台，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支持虚拟化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环境部署。</w:t>
            </w:r>
            <w:r>
              <w:rPr>
                <w:rFonts w:hint="default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管理中心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平台实现</w:t>
            </w:r>
            <w:r>
              <w:rPr>
                <w:rFonts w:hint="default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集成可视化威胁数据概览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、分区分域管理</w:t>
            </w:r>
            <w:r>
              <w:rPr>
                <w:rFonts w:hint="default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、终端统一运维管控、中心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集中</w:t>
            </w:r>
            <w:r>
              <w:rPr>
                <w:rFonts w:hint="default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管理、威胁日志报表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、策略配置、报表查看</w:t>
            </w:r>
            <w:r>
              <w:rPr>
                <w:rFonts w:hint="default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功能。系统支持常用Windows, Windows Server,Linux以及麒麟、红旗、红帽等操作系统；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支持定制防护策略以及策略细粒度配置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具有反病毒底层技术，反病毒引擎为本地反病毒引擎，不依赖云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Hans"/>
              </w:rPr>
              <w:t>查杀</w:t>
            </w:r>
            <w:r>
              <w:rPr>
                <w:rFonts w:hint="eastAsia" w:hAnsi="宋体" w:cs="Calibri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支持勒索病毒诱捕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支持横向渗透防护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含三年升级许可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场地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无限终端授权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防病毒系统_客户端：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提供客户端安全包；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支持检测病毒木马、未知恶意代码，有效防御APT攻击，支持对蠕虫病毒、恶意软件、广告软件、勒索软件、引导区病毒、BIOS病毒的查杀。要求支持提供防病毒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补丁管理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运维管控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功能，支持系统支持常用Windows, Windows Server,Linux 以及麒麟、红旗、红帽等操作系统；含三年升级许可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场地</w:t>
            </w:r>
            <w:r>
              <w:rPr>
                <w:rFonts w:hint="eastAsia" w:ascii="Times New Roman" w:hAnsi="宋体" w:eastAsia="宋体" w:cs="宋体"/>
                <w:b w:val="0"/>
                <w:color w:val="000000"/>
                <w:sz w:val="24"/>
                <w:szCs w:val="24"/>
              </w:rPr>
              <w:t>无限终端授权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Y3YzBmODRmOWU5NmZkZDcxYzg0N2Y0NTJjMmEifQ=="/>
  </w:docVars>
  <w:rsids>
    <w:rsidRoot w:val="07E4440B"/>
    <w:rsid w:val="07E4440B"/>
    <w:rsid w:val="4DB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1838</Characters>
  <Lines>0</Lines>
  <Paragraphs>0</Paragraphs>
  <TotalTime>0</TotalTime>
  <ScaleCrop>false</ScaleCrop>
  <LinksUpToDate>false</LinksUpToDate>
  <CharactersWithSpaces>1857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2022-10-24T07:35:00Z</dcterms:created>
  <dc:creator>拾荒者</dc:creator>
  <cp:lastModifiedBy>拾荒者</cp:lastModifiedBy>
  <dcterms:modified xsi:type="dcterms:W3CDTF">2022-10-24T07:39:01Z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D3A2DD7DDDF64AB3A5228D8DED25B0F9</vt:lpwstr>
  </property>
</Properties>
</file>