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ascii="宋体" w:hAnsi="宋体"/>
          <w:kern w:val="0"/>
          <w:sz w:val="28"/>
          <w:szCs w:val="28"/>
        </w:rPr>
      </w:pPr>
      <w:r>
        <w:rPr>
          <w:rFonts w:hint="eastAsia" w:ascii="宋体" w:hAnsi="宋体"/>
          <w:kern w:val="0"/>
          <w:sz w:val="28"/>
          <w:szCs w:val="28"/>
        </w:rPr>
        <w:t>重庆乌江白马航电枢纽工程二期土建及金属结构、机电设备安装工程施工</w:t>
      </w:r>
    </w:p>
    <w:p>
      <w:pPr>
        <w:autoSpaceDE w:val="0"/>
        <w:autoSpaceDN w:val="0"/>
        <w:adjustRightInd w:val="0"/>
        <w:snapToGrid w:val="0"/>
        <w:spacing w:line="360" w:lineRule="auto"/>
        <w:jc w:val="center"/>
        <w:rPr>
          <w:rFonts w:hint="eastAsia" w:ascii="宋体" w:hAnsi="宋体"/>
          <w:kern w:val="0"/>
          <w:sz w:val="28"/>
          <w:szCs w:val="28"/>
        </w:rPr>
      </w:pPr>
      <w:r>
        <w:rPr>
          <w:rFonts w:hint="eastAsia" w:ascii="宋体" w:hAnsi="宋体"/>
          <w:kern w:val="0"/>
          <w:sz w:val="28"/>
          <w:szCs w:val="28"/>
        </w:rPr>
        <w:t>招标公告</w:t>
      </w:r>
    </w:p>
    <w:p>
      <w:pPr>
        <w:pStyle w:val="6"/>
        <w:ind w:firstLine="0" w:firstLineChars="0"/>
        <w:jc w:val="center"/>
        <w:rPr>
          <w:rFonts w:hint="eastAsia"/>
        </w:rPr>
      </w:pPr>
      <w:r>
        <w:rPr>
          <w:rFonts w:hint="eastAsia" w:ascii="宋体" w:hAnsi="宋体"/>
          <w:kern w:val="0"/>
        </w:rPr>
        <w:t>招标编号：HYZB2020-012</w:t>
      </w:r>
    </w:p>
    <w:p>
      <w:pPr>
        <w:pStyle w:val="4"/>
        <w:spacing w:before="100" w:after="100" w:line="460" w:lineRule="exact"/>
        <w:rPr>
          <w:rFonts w:ascii="宋体" w:hAnsi="宋体"/>
          <w:sz w:val="28"/>
          <w:szCs w:val="28"/>
        </w:rPr>
      </w:pPr>
      <w:bookmarkStart w:id="0" w:name="_Toc287607728"/>
      <w:bookmarkEnd w:id="0"/>
      <w:bookmarkStart w:id="1" w:name="_Toc509218692"/>
      <w:bookmarkEnd w:id="1"/>
      <w:bookmarkStart w:id="2" w:name="_Toc430530416"/>
      <w:bookmarkEnd w:id="2"/>
      <w:bookmarkStart w:id="3" w:name="_Toc200359427"/>
      <w:bookmarkEnd w:id="3"/>
      <w:bookmarkStart w:id="4" w:name="_Toc277082536"/>
      <w:bookmarkEnd w:id="4"/>
      <w:bookmarkStart w:id="5" w:name="_Toc287620667"/>
      <w:bookmarkEnd w:id="5"/>
      <w:bookmarkStart w:id="6" w:name="_Toc200359238"/>
      <w:bookmarkEnd w:id="6"/>
      <w:bookmarkStart w:id="7" w:name="_Toc6964"/>
      <w:bookmarkEnd w:id="7"/>
      <w:bookmarkStart w:id="8" w:name="_Toc224103299"/>
      <w:r>
        <w:rPr>
          <w:rFonts w:hint="eastAsia" w:ascii="宋体" w:hAnsi="宋体"/>
          <w:sz w:val="28"/>
          <w:szCs w:val="28"/>
        </w:rPr>
        <w:t>1. 招标条件</w:t>
      </w:r>
      <w:bookmarkEnd w:id="8"/>
    </w:p>
    <w:p>
      <w:pPr>
        <w:pStyle w:val="5"/>
        <w:spacing w:line="360" w:lineRule="auto"/>
        <w:ind w:firstLine="420" w:firstLineChars="200"/>
        <w:rPr>
          <w:rFonts w:hint="eastAsia"/>
        </w:rPr>
      </w:pPr>
      <w:bookmarkStart w:id="9" w:name="_Toc221949923"/>
      <w:bookmarkEnd w:id="9"/>
      <w:r>
        <w:rPr>
          <w:rFonts w:ascii="宋体" w:hAnsi="宋体"/>
        </w:rPr>
        <w:t>本招标项目</w:t>
      </w:r>
      <w:r>
        <w:rPr>
          <w:rFonts w:hint="eastAsia" w:ascii="宋体" w:hAnsi="宋体"/>
        </w:rPr>
        <w:t>重庆乌江白马航电枢纽工程已由重庆市发展和改革委员会以渝发改交</w:t>
      </w:r>
      <w:r>
        <w:rPr>
          <w:rFonts w:hint="eastAsia" w:ascii="宋体" w:hAnsi="宋体" w:cs="仿宋_GB2312"/>
        </w:rPr>
        <w:t>〔</w:t>
      </w:r>
      <w:r>
        <w:rPr>
          <w:rFonts w:hint="eastAsia"/>
        </w:rPr>
        <w:t>2019</w:t>
      </w:r>
      <w:r>
        <w:rPr>
          <w:rFonts w:hint="eastAsia" w:ascii="宋体" w:hAnsi="宋体" w:cs="仿宋_GB2312"/>
        </w:rPr>
        <w:t>〕</w:t>
      </w:r>
      <w:r>
        <w:rPr>
          <w:rFonts w:hint="eastAsia"/>
        </w:rPr>
        <w:t>1112</w:t>
      </w:r>
      <w:r>
        <w:rPr>
          <w:rFonts w:hint="eastAsia" w:ascii="宋体" w:hAnsi="宋体"/>
        </w:rPr>
        <w:t>号文</w:t>
      </w:r>
      <w:r>
        <w:rPr>
          <w:rFonts w:ascii="宋体" w:hAnsi="宋体"/>
        </w:rPr>
        <w:t>批准建设</w:t>
      </w:r>
      <w:r>
        <w:rPr>
          <w:rFonts w:hint="eastAsia" w:ascii="宋体" w:hAnsi="宋体"/>
        </w:rPr>
        <w:t>，</w:t>
      </w:r>
      <w:r>
        <w:rPr>
          <w:rFonts w:ascii="宋体" w:hAnsi="宋体"/>
        </w:rPr>
        <w:t>建设资金来自</w:t>
      </w:r>
      <w:r>
        <w:rPr>
          <w:rFonts w:hint="eastAsia" w:ascii="宋体" w:hAnsi="宋体"/>
        </w:rPr>
        <w:t>政府补助和企业自筹</w:t>
      </w:r>
      <w:r>
        <w:rPr>
          <w:rFonts w:ascii="宋体" w:hAnsi="宋体"/>
        </w:rPr>
        <w:t>，</w:t>
      </w:r>
      <w:r>
        <w:rPr>
          <w:rFonts w:hint="eastAsia" w:ascii="宋体" w:hAnsi="宋体"/>
        </w:rPr>
        <w:t>项目出资比例为</w:t>
      </w:r>
      <w:r>
        <w:rPr>
          <w:u w:val="single"/>
        </w:rPr>
        <w:t>100%</w:t>
      </w:r>
      <w:r>
        <w:rPr>
          <w:rFonts w:hint="eastAsia" w:ascii="宋体" w:hAnsi="宋体"/>
        </w:rPr>
        <w:t>，项目法人</w:t>
      </w:r>
      <w:r>
        <w:rPr>
          <w:rFonts w:ascii="宋体" w:hAnsi="宋体"/>
        </w:rPr>
        <w:t>为</w:t>
      </w:r>
      <w:r>
        <w:rPr>
          <w:rFonts w:hint="eastAsia" w:ascii="宋体" w:hAnsi="宋体" w:cs="仿宋_GB2312"/>
        </w:rPr>
        <w:t>重庆白马航运发展有限公司</w:t>
      </w:r>
      <w:r>
        <w:rPr>
          <w:rFonts w:hint="eastAsia" w:ascii="宋体" w:hAnsi="宋体"/>
        </w:rPr>
        <w:t>，招标人为</w:t>
      </w:r>
      <w:r>
        <w:rPr>
          <w:rFonts w:hint="eastAsia" w:ascii="宋体" w:hAnsi="宋体" w:cs="仿宋_GB2312"/>
        </w:rPr>
        <w:t>重庆白马航运发展有限公司，招标代理机构为重庆市弘禹水利咨询有限公司</w:t>
      </w:r>
      <w:r>
        <w:rPr>
          <w:rFonts w:ascii="宋体" w:hAnsi="宋体"/>
        </w:rPr>
        <w:t>。项目已具备招标条件，现对</w:t>
      </w:r>
      <w:r>
        <w:rPr>
          <w:rFonts w:hint="eastAsia" w:ascii="宋体" w:hAnsi="宋体"/>
        </w:rPr>
        <w:t>本</w:t>
      </w:r>
      <w:r>
        <w:rPr>
          <w:rFonts w:ascii="宋体" w:hAnsi="宋体"/>
        </w:rPr>
        <w:t>项目</w:t>
      </w:r>
      <w:r>
        <w:rPr>
          <w:rFonts w:hint="eastAsia" w:ascii="宋体" w:hAnsi="宋体"/>
        </w:rPr>
        <w:t>二期土建及金属结构、机电设备安装工程</w:t>
      </w:r>
      <w:r>
        <w:rPr>
          <w:rFonts w:ascii="宋体" w:hAnsi="宋体"/>
        </w:rPr>
        <w:t>施工进行公开招标。</w:t>
      </w:r>
    </w:p>
    <w:p>
      <w:pPr>
        <w:pStyle w:val="4"/>
        <w:spacing w:before="100" w:after="100" w:line="460" w:lineRule="exact"/>
        <w:rPr>
          <w:rFonts w:ascii="宋体" w:hAnsi="宋体"/>
          <w:sz w:val="28"/>
          <w:szCs w:val="28"/>
        </w:rPr>
      </w:pPr>
      <w:bookmarkStart w:id="10" w:name="_Toc3584"/>
      <w:bookmarkEnd w:id="10"/>
      <w:bookmarkStart w:id="11" w:name="_Toc430530417"/>
      <w:bookmarkEnd w:id="11"/>
      <w:bookmarkStart w:id="12" w:name="_Toc200359428"/>
      <w:bookmarkEnd w:id="12"/>
      <w:bookmarkStart w:id="13" w:name="_Toc287620668"/>
      <w:bookmarkEnd w:id="13"/>
      <w:bookmarkStart w:id="14" w:name="_Toc200359239"/>
      <w:bookmarkEnd w:id="14"/>
      <w:bookmarkStart w:id="15" w:name="_Toc224103300"/>
      <w:bookmarkEnd w:id="15"/>
      <w:bookmarkStart w:id="16" w:name="_Toc509218693"/>
      <w:bookmarkEnd w:id="16"/>
      <w:bookmarkStart w:id="17" w:name="_Toc287607729"/>
      <w:bookmarkEnd w:id="17"/>
      <w:bookmarkStart w:id="18" w:name="_Toc277082537"/>
      <w:r>
        <w:rPr>
          <w:rFonts w:hint="eastAsia" w:ascii="宋体" w:hAnsi="宋体"/>
          <w:sz w:val="28"/>
          <w:szCs w:val="28"/>
        </w:rPr>
        <w:t>2. 项目概况与招标范围</w:t>
      </w:r>
      <w:bookmarkEnd w:id="18"/>
    </w:p>
    <w:p>
      <w:pPr>
        <w:autoSpaceDE w:val="0"/>
        <w:autoSpaceDN w:val="0"/>
        <w:adjustRightInd w:val="0"/>
        <w:snapToGrid w:val="0"/>
        <w:spacing w:line="460" w:lineRule="exact"/>
        <w:ind w:firstLine="420" w:firstLineChars="200"/>
        <w:jc w:val="left"/>
        <w:rPr>
          <w:rFonts w:hint="eastAsia" w:ascii="宋体" w:hAnsi="宋体"/>
          <w:kern w:val="0"/>
          <w:u w:val="single"/>
        </w:rPr>
      </w:pPr>
      <w:r>
        <w:rPr>
          <w:rFonts w:hint="eastAsia" w:ascii="宋体" w:hAnsi="宋体"/>
          <w:kern w:val="0"/>
        </w:rPr>
        <w:t>2.1 建设地点：</w:t>
      </w:r>
      <w:r>
        <w:rPr>
          <w:rFonts w:hint="eastAsia" w:ascii="宋体" w:hAnsi="宋体"/>
        </w:rPr>
        <w:t>重庆市武隆区白马镇。</w:t>
      </w:r>
    </w:p>
    <w:p>
      <w:pPr>
        <w:autoSpaceDE w:val="0"/>
        <w:autoSpaceDN w:val="0"/>
        <w:adjustRightInd w:val="0"/>
        <w:snapToGrid w:val="0"/>
        <w:spacing w:line="460" w:lineRule="exact"/>
        <w:ind w:firstLine="420" w:firstLineChars="200"/>
        <w:jc w:val="left"/>
        <w:rPr>
          <w:rFonts w:hint="eastAsia" w:ascii="宋体" w:hAnsi="宋体"/>
          <w:kern w:val="0"/>
        </w:rPr>
      </w:pPr>
      <w:r>
        <w:rPr>
          <w:rFonts w:hint="eastAsia" w:ascii="宋体" w:hAnsi="宋体"/>
          <w:kern w:val="0"/>
        </w:rPr>
        <w:t>2.2 项目概况与建设规模：</w:t>
      </w:r>
    </w:p>
    <w:p>
      <w:pPr>
        <w:autoSpaceDE w:val="0"/>
        <w:autoSpaceDN w:val="0"/>
        <w:adjustRightInd w:val="0"/>
        <w:snapToGrid w:val="0"/>
        <w:spacing w:line="460" w:lineRule="exact"/>
        <w:ind w:firstLine="420" w:firstLineChars="200"/>
        <w:jc w:val="left"/>
        <w:rPr>
          <w:rFonts w:hint="eastAsia"/>
        </w:rPr>
      </w:pPr>
      <w:r>
        <w:rPr>
          <w:rFonts w:hint="eastAsia" w:ascii="宋体" w:hAnsi="宋体"/>
        </w:rPr>
        <w:t>重庆乌江白马航电枢纽工程位于乌江下游河段，地处重庆市武隆区白马镇，是乌江干流开发规划的最下一个梯级。开发任务以航运为主，兼顾发电。枢纽工程等别为二等，规模为大</w:t>
      </w:r>
      <w:r>
        <w:rPr>
          <w:rFonts w:hint="eastAsia"/>
        </w:rPr>
        <w:t>(2)</w:t>
      </w:r>
      <w:r>
        <w:rPr>
          <w:rFonts w:hint="eastAsia" w:ascii="宋体" w:hAnsi="宋体"/>
        </w:rPr>
        <w:t>型。工程主要建设电站、船闸、泄洪建筑物、挡水建筑物、鱼道、白马乌江大桥等主体工程，库区防护、办公生活用房、场内（外）公路、转运及翻坝码头、锚地、增殖放流站、坝区景观绿化等永久附属设施工程，以及水土保持工程、环境保护工程等。规划航道等级为Ⅳ级，通航建筑物为</w:t>
      </w:r>
      <w:r>
        <w:rPr>
          <w:rFonts w:hint="eastAsia"/>
        </w:rPr>
        <w:t>500t</w:t>
      </w:r>
      <w:r>
        <w:rPr>
          <w:rFonts w:hint="eastAsia" w:ascii="宋体" w:hAnsi="宋体"/>
        </w:rPr>
        <w:t>级单级船闸，闸室有效尺寸为</w:t>
      </w:r>
      <w:r>
        <w:rPr>
          <w:rFonts w:hint="eastAsia"/>
        </w:rPr>
        <w:t>190m</w:t>
      </w:r>
      <w:r>
        <w:rPr>
          <w:rFonts w:hint="eastAsia" w:ascii="宋体" w:hAnsi="宋体"/>
        </w:rPr>
        <w:t>×</w:t>
      </w:r>
      <w:r>
        <w:rPr>
          <w:rFonts w:hint="eastAsia"/>
        </w:rPr>
        <w:t>23m</w:t>
      </w:r>
      <w:r>
        <w:rPr>
          <w:rFonts w:hint="eastAsia" w:ascii="宋体" w:hAnsi="宋体"/>
        </w:rPr>
        <w:t>×</w:t>
      </w:r>
      <w:r>
        <w:rPr>
          <w:rFonts w:hint="eastAsia"/>
        </w:rPr>
        <w:t>4.7m</w:t>
      </w:r>
      <w:r>
        <w:rPr>
          <w:rFonts w:hint="eastAsia" w:ascii="宋体" w:hAnsi="宋体"/>
        </w:rPr>
        <w:t>（长×宽×门槛水深），设计代表船型为</w:t>
      </w:r>
      <w:r>
        <w:rPr>
          <w:rFonts w:hint="eastAsia"/>
        </w:rPr>
        <w:t>500t</w:t>
      </w:r>
      <w:r>
        <w:rPr>
          <w:rFonts w:hint="eastAsia" w:ascii="宋体" w:hAnsi="宋体"/>
        </w:rPr>
        <w:t>级货船，设计年单向通过能力</w:t>
      </w:r>
      <w:r>
        <w:rPr>
          <w:rFonts w:hint="eastAsia"/>
        </w:rPr>
        <w:t>1060.5</w:t>
      </w:r>
      <w:r>
        <w:rPr>
          <w:rFonts w:hint="eastAsia" w:ascii="宋体" w:hAnsi="宋体"/>
        </w:rPr>
        <w:t>万</w:t>
      </w:r>
      <w:r>
        <w:rPr>
          <w:rFonts w:hint="eastAsia"/>
        </w:rPr>
        <w:t>t</w:t>
      </w:r>
      <w:r>
        <w:rPr>
          <w:rFonts w:hint="eastAsia" w:ascii="宋体" w:hAnsi="宋体"/>
        </w:rPr>
        <w:t>，建成后可渠化航道里程约</w:t>
      </w:r>
      <w:r>
        <w:rPr>
          <w:rFonts w:hint="eastAsia"/>
        </w:rPr>
        <w:t>45.3km</w:t>
      </w:r>
      <w:r>
        <w:rPr>
          <w:rFonts w:hint="eastAsia" w:ascii="宋体" w:hAnsi="宋体"/>
        </w:rPr>
        <w:t>。正常蓄水位</w:t>
      </w:r>
      <w:r>
        <w:rPr>
          <w:rFonts w:hint="eastAsia"/>
        </w:rPr>
        <w:t>184m</w:t>
      </w:r>
      <w:r>
        <w:rPr>
          <w:rFonts w:hint="eastAsia" w:ascii="宋体" w:hAnsi="宋体"/>
        </w:rPr>
        <w:t>，死水位180m，校核洪水位201.93m，上游最高通航水位为184m，最低通航水位为180m，下游最高通航水位为174.85m，最低通航水位为151.06m。总库容</w:t>
      </w:r>
      <w:r>
        <w:rPr>
          <w:rFonts w:hint="eastAsia"/>
        </w:rPr>
        <w:t>3.74</w:t>
      </w:r>
      <w:r>
        <w:rPr>
          <w:rFonts w:hint="eastAsia" w:ascii="宋体" w:hAnsi="宋体"/>
        </w:rPr>
        <w:t>亿</w:t>
      </w:r>
      <w:r>
        <w:rPr>
          <w:rFonts w:hint="eastAsia"/>
        </w:rPr>
        <w:t>m</w:t>
      </w:r>
      <w:r>
        <w:rPr>
          <w:vertAlign w:val="superscript"/>
        </w:rPr>
        <w:t>3</w:t>
      </w:r>
      <w:r>
        <w:rPr>
          <w:rFonts w:hint="eastAsia" w:ascii="宋体" w:hAnsi="宋体"/>
        </w:rPr>
        <w:t>，电站总装机容量为</w:t>
      </w:r>
      <w:r>
        <w:rPr>
          <w:rFonts w:hint="eastAsia"/>
        </w:rPr>
        <w:t>480MW</w:t>
      </w:r>
      <w:r>
        <w:rPr>
          <w:rFonts w:hint="eastAsia" w:ascii="宋体" w:hAnsi="宋体"/>
        </w:rPr>
        <w:t>，单台装机容量为</w:t>
      </w:r>
      <w:r>
        <w:rPr>
          <w:rFonts w:hint="eastAsia"/>
        </w:rPr>
        <w:t>160MW</w:t>
      </w:r>
      <w:r>
        <w:rPr>
          <w:rFonts w:hint="eastAsia" w:ascii="宋体" w:hAnsi="宋体"/>
        </w:rPr>
        <w:t>，单扇闸门最大重量为</w:t>
      </w:r>
      <w:r>
        <w:rPr>
          <w:rFonts w:hint="eastAsia"/>
        </w:rPr>
        <w:t>410t</w:t>
      </w:r>
      <w:r>
        <w:rPr>
          <w:rFonts w:hint="eastAsia" w:ascii="宋体" w:hAnsi="宋体"/>
        </w:rPr>
        <w:t>。</w:t>
      </w:r>
    </w:p>
    <w:p>
      <w:pPr>
        <w:autoSpaceDE w:val="0"/>
        <w:autoSpaceDN w:val="0"/>
        <w:adjustRightInd w:val="0"/>
        <w:snapToGrid w:val="0"/>
        <w:spacing w:line="460" w:lineRule="exact"/>
        <w:ind w:firstLine="420" w:firstLineChars="200"/>
        <w:jc w:val="left"/>
      </w:pPr>
      <w:r>
        <w:rPr>
          <w:rFonts w:hint="eastAsia" w:ascii="宋体" w:hAnsi="宋体"/>
        </w:rPr>
        <w:t>枢纽工程分三期施工：一期于</w:t>
      </w:r>
      <w:r>
        <w:rPr>
          <w:rFonts w:hint="eastAsia"/>
        </w:rPr>
        <w:t>2021</w:t>
      </w:r>
      <w:r>
        <w:rPr>
          <w:rFonts w:hint="eastAsia" w:ascii="宋体" w:hAnsi="宋体"/>
        </w:rPr>
        <w:t>年</w:t>
      </w:r>
      <w:r>
        <w:rPr>
          <w:rFonts w:hint="eastAsia"/>
        </w:rPr>
        <w:t>3</w:t>
      </w:r>
      <w:r>
        <w:rPr>
          <w:rFonts w:hint="eastAsia" w:ascii="宋体" w:hAnsi="宋体"/>
        </w:rPr>
        <w:t>月开工，计划</w:t>
      </w:r>
      <w:r>
        <w:rPr>
          <w:rFonts w:hint="eastAsia"/>
        </w:rPr>
        <w:t>2024</w:t>
      </w:r>
      <w:r>
        <w:rPr>
          <w:rFonts w:hint="eastAsia" w:ascii="宋体" w:hAnsi="宋体"/>
        </w:rPr>
        <w:t>年</w:t>
      </w:r>
      <w:r>
        <w:rPr>
          <w:rFonts w:hint="eastAsia"/>
        </w:rPr>
        <w:t>12</w:t>
      </w:r>
      <w:r>
        <w:rPr>
          <w:rFonts w:hint="eastAsia" w:ascii="宋体" w:hAnsi="宋体"/>
        </w:rPr>
        <w:t>月完工，主要施工白马大桥、右岸一期边坡工程、右岸道路、导流明渠等工程项目。二期计划</w:t>
      </w:r>
      <w:r>
        <w:rPr>
          <w:rFonts w:hint="eastAsia"/>
        </w:rPr>
        <w:t>2021</w:t>
      </w:r>
      <w:r>
        <w:rPr>
          <w:rFonts w:hint="eastAsia" w:ascii="宋体" w:hAnsi="宋体"/>
        </w:rPr>
        <w:t>年</w:t>
      </w:r>
      <w:r>
        <w:rPr>
          <w:rFonts w:hint="eastAsia"/>
        </w:rPr>
        <w:t>11</w:t>
      </w:r>
      <w:r>
        <w:rPr>
          <w:rFonts w:hint="eastAsia" w:ascii="宋体" w:hAnsi="宋体"/>
        </w:rPr>
        <w:t>月开工，</w:t>
      </w:r>
      <w:r>
        <w:rPr>
          <w:rFonts w:hint="eastAsia"/>
        </w:rPr>
        <w:t>2029</w:t>
      </w:r>
      <w:r>
        <w:rPr>
          <w:rFonts w:hint="eastAsia" w:ascii="宋体" w:hAnsi="宋体"/>
        </w:rPr>
        <w:t>年</w:t>
      </w:r>
      <w:r>
        <w:rPr>
          <w:rFonts w:hint="eastAsia"/>
        </w:rPr>
        <w:t>12</w:t>
      </w:r>
      <w:r>
        <w:rPr>
          <w:rFonts w:hint="eastAsia" w:ascii="宋体" w:hAnsi="宋体"/>
        </w:rPr>
        <w:t>月完工，主要施工挡水坝、泄水闸、电站、鱼道、左岸道路、码头等工程项目。三期计划</w:t>
      </w:r>
      <w:r>
        <w:rPr>
          <w:rFonts w:hint="eastAsia"/>
        </w:rPr>
        <w:t>2027</w:t>
      </w:r>
      <w:r>
        <w:rPr>
          <w:rFonts w:hint="eastAsia" w:ascii="宋体" w:hAnsi="宋体"/>
        </w:rPr>
        <w:t>年</w:t>
      </w:r>
      <w:r>
        <w:rPr>
          <w:rFonts w:hint="eastAsia"/>
        </w:rPr>
        <w:t>11</w:t>
      </w:r>
      <w:r>
        <w:rPr>
          <w:rFonts w:hint="eastAsia" w:ascii="宋体" w:hAnsi="宋体"/>
        </w:rPr>
        <w:t>月开工，</w:t>
      </w:r>
      <w:r>
        <w:rPr>
          <w:rFonts w:hint="eastAsia"/>
        </w:rPr>
        <w:t>2031</w:t>
      </w:r>
      <w:r>
        <w:rPr>
          <w:rFonts w:hint="eastAsia" w:ascii="宋体" w:hAnsi="宋体"/>
        </w:rPr>
        <w:t>年</w:t>
      </w:r>
      <w:r>
        <w:rPr>
          <w:rFonts w:hint="eastAsia"/>
        </w:rPr>
        <w:t>6</w:t>
      </w:r>
      <w:r>
        <w:rPr>
          <w:rFonts w:hint="eastAsia" w:ascii="宋体" w:hAnsi="宋体"/>
        </w:rPr>
        <w:t>月完工，主要施工船闸等工程项目。具体以实际实施情况为准。</w:t>
      </w:r>
    </w:p>
    <w:p>
      <w:pPr>
        <w:autoSpaceDE w:val="0"/>
        <w:autoSpaceDN w:val="0"/>
        <w:adjustRightInd w:val="0"/>
        <w:snapToGrid w:val="0"/>
        <w:spacing w:line="460" w:lineRule="exact"/>
        <w:ind w:firstLine="420" w:firstLineChars="200"/>
        <w:jc w:val="left"/>
        <w:rPr>
          <w:rFonts w:ascii="宋体" w:hAnsi="宋体"/>
          <w:kern w:val="0"/>
          <w:u w:val="single"/>
        </w:rPr>
      </w:pPr>
      <w:r>
        <w:rPr>
          <w:rFonts w:hint="eastAsia" w:ascii="宋体" w:hAnsi="宋体"/>
          <w:kern w:val="0"/>
        </w:rPr>
        <w:t>2.3 本次招标项目工程总投资额：109.3亿元。</w:t>
      </w:r>
    </w:p>
    <w:p>
      <w:pPr>
        <w:autoSpaceDE w:val="0"/>
        <w:autoSpaceDN w:val="0"/>
        <w:adjustRightInd w:val="0"/>
        <w:snapToGrid w:val="0"/>
        <w:spacing w:line="460" w:lineRule="exact"/>
        <w:ind w:firstLine="420" w:firstLineChars="200"/>
        <w:jc w:val="left"/>
        <w:rPr>
          <w:rFonts w:hint="eastAsia" w:ascii="宋体" w:hAnsi="宋体"/>
          <w:kern w:val="0"/>
          <w:u w:val="single"/>
        </w:rPr>
      </w:pPr>
      <w:r>
        <w:rPr>
          <w:rFonts w:hint="eastAsia" w:ascii="宋体" w:hAnsi="宋体"/>
          <w:kern w:val="0"/>
        </w:rPr>
        <w:t>本次招标项目合同估算金额：约24亿元。</w:t>
      </w:r>
    </w:p>
    <w:p>
      <w:pPr>
        <w:spacing w:line="400" w:lineRule="exact"/>
        <w:ind w:firstLine="525" w:firstLineChars="250"/>
        <w:jc w:val="left"/>
        <w:rPr>
          <w:rFonts w:hint="eastAsia" w:ascii="宋体" w:hAnsi="宋体"/>
          <w:kern w:val="0"/>
        </w:rPr>
      </w:pPr>
      <w:r>
        <w:rPr>
          <w:rFonts w:hint="eastAsia" w:ascii="宋体" w:hAnsi="宋体"/>
          <w:kern w:val="0"/>
        </w:rPr>
        <w:t>2.4 招标范围：</w:t>
      </w:r>
    </w:p>
    <w:p>
      <w:pPr>
        <w:spacing w:line="400" w:lineRule="exact"/>
        <w:ind w:firstLine="525" w:firstLineChars="250"/>
        <w:jc w:val="left"/>
        <w:rPr>
          <w:rFonts w:hint="eastAsia" w:ascii="宋体" w:hAnsi="宋体"/>
        </w:rPr>
      </w:pPr>
      <w:r>
        <w:rPr>
          <w:rFonts w:hint="eastAsia" w:ascii="宋体" w:hAnsi="宋体"/>
        </w:rPr>
        <w:t>本次招标范围为重庆乌江白马航电枢纽工程二期土建及金属结构、机电设备安装工程施工招标，招标内容包括但不限于：</w:t>
      </w:r>
    </w:p>
    <w:p>
      <w:pPr>
        <w:spacing w:line="400" w:lineRule="exact"/>
        <w:ind w:firstLine="525" w:firstLineChars="250"/>
        <w:jc w:val="left"/>
        <w:rPr>
          <w:rFonts w:hint="eastAsia" w:ascii="宋体" w:hAnsi="宋体"/>
        </w:rPr>
      </w:pPr>
      <w:r>
        <w:rPr>
          <w:rFonts w:hint="eastAsia" w:ascii="宋体" w:hAnsi="宋体"/>
        </w:rPr>
        <w:t>（1）主体工程：大坝工程，厂房工程，左岸边坡开挖支护工程，鱼道工程，基础处理及渗控工程，主体屋面及建筑工程，闸门及启闭机安装工程，机电设备安装工程，羊角滑坡治理工程，公路工程（上坝公路、8#公路等），厂房尾水平台交通桥，土石方开挖、土地整治、植被恢复及弃渣场维护管理等。</w:t>
      </w:r>
    </w:p>
    <w:p>
      <w:pPr>
        <w:spacing w:line="400" w:lineRule="exact"/>
        <w:ind w:firstLine="525" w:firstLineChars="250"/>
        <w:jc w:val="left"/>
        <w:rPr>
          <w:rFonts w:hint="eastAsia" w:ascii="宋体" w:hAnsi="宋体"/>
        </w:rPr>
      </w:pPr>
      <w:r>
        <w:rPr>
          <w:rFonts w:hint="eastAsia" w:ascii="宋体" w:hAnsi="宋体"/>
        </w:rPr>
        <w:t>（2）临时工程：施工导流和水流控制：包含二期上、下游围堰，以及截流、工程度汛、超标准洪水处理、基坑排水等工程项目和工作内容；施工临时设施：含施工测量、施工交通、施工供电、施工供水、施工供风、施工照明、施工通信、砂石加工系统、混凝土生产系统、机械修配厂、机械停放场、仓库、存料场、弃渣场以及施工现场办公和生活建筑设施、临时码头，以及施工标准化和品质工程建设等。BIM+智慧工地建设；施工安全与文明施工措施。</w:t>
      </w:r>
    </w:p>
    <w:p>
      <w:pPr>
        <w:spacing w:line="400" w:lineRule="exact"/>
        <w:ind w:firstLine="525" w:firstLineChars="250"/>
        <w:jc w:val="left"/>
        <w:rPr>
          <w:rFonts w:hint="eastAsia" w:ascii="宋体" w:hAnsi="宋体"/>
        </w:rPr>
      </w:pPr>
      <w:r>
        <w:rPr>
          <w:rFonts w:hint="eastAsia" w:ascii="宋体" w:hAnsi="宋体"/>
        </w:rPr>
        <w:t>（3）施工期环境保护和水土保持：施工期环境保护：对本标段施工期产生的废气、废水、大气污染、固体废弃物等进行的环境保护措施或发包人指定范围内的环境保护。施工期水土保持：本标段施工期水土保持工程措施。</w:t>
      </w:r>
    </w:p>
    <w:p>
      <w:pPr>
        <w:spacing w:line="400" w:lineRule="exact"/>
        <w:ind w:firstLine="525" w:firstLineChars="250"/>
        <w:jc w:val="left"/>
        <w:rPr>
          <w:rFonts w:hint="eastAsia"/>
        </w:rPr>
      </w:pPr>
      <w:r>
        <w:rPr>
          <w:rFonts w:hint="eastAsia" w:ascii="宋体" w:hAnsi="宋体"/>
        </w:rPr>
        <w:t>（</w:t>
      </w:r>
      <w:r>
        <w:rPr>
          <w:rFonts w:hint="eastAsia"/>
        </w:rPr>
        <w:t>4</w:t>
      </w:r>
      <w:r>
        <w:rPr>
          <w:rFonts w:hint="eastAsia" w:ascii="宋体" w:hAnsi="宋体"/>
        </w:rPr>
        <w:t>）施工期临时监测。</w:t>
      </w:r>
    </w:p>
    <w:p>
      <w:pPr>
        <w:spacing w:line="400" w:lineRule="exact"/>
        <w:ind w:firstLine="525" w:firstLineChars="250"/>
        <w:jc w:val="left"/>
        <w:rPr>
          <w:rFonts w:ascii="宋体" w:hAnsi="宋体"/>
        </w:rPr>
      </w:pPr>
      <w:r>
        <w:rPr>
          <w:rFonts w:hint="eastAsia" w:ascii="宋体" w:hAnsi="宋体"/>
        </w:rPr>
        <w:t>（5）相关施工配合：①永久监测施工配合；②物探检测及配合；③与其他标段的配合工作；④其他需要配合的工作。</w:t>
      </w:r>
    </w:p>
    <w:p>
      <w:pPr>
        <w:spacing w:line="400" w:lineRule="exact"/>
        <w:ind w:firstLine="525" w:firstLineChars="250"/>
        <w:jc w:val="left"/>
        <w:rPr>
          <w:rFonts w:hint="eastAsia"/>
        </w:rPr>
      </w:pPr>
      <w:r>
        <w:rPr>
          <w:rFonts w:hint="eastAsia" w:ascii="宋体" w:hAnsi="宋体"/>
        </w:rPr>
        <w:t>（6）35KV施工用电工程的设备采购安装及工程施工（交钥匙工程），35kV线路和变电站运行期间（约7年）的巡检和维保（具体见合同附件巡检和维保工作要求）。</w:t>
      </w:r>
    </w:p>
    <w:p>
      <w:pPr>
        <w:autoSpaceDE w:val="0"/>
        <w:autoSpaceDN w:val="0"/>
        <w:adjustRightInd w:val="0"/>
        <w:snapToGrid w:val="0"/>
        <w:spacing w:line="460" w:lineRule="exact"/>
        <w:ind w:firstLine="420" w:firstLineChars="200"/>
        <w:jc w:val="left"/>
        <w:rPr>
          <w:rFonts w:ascii="宋体" w:hAnsi="宋体"/>
        </w:rPr>
      </w:pPr>
      <w:r>
        <w:rPr>
          <w:rFonts w:hint="eastAsia" w:ascii="宋体" w:hAnsi="宋体"/>
        </w:rPr>
        <w:t>具体内容详见招标文件中的工程量清单、图纸及技术标准和要求。</w:t>
      </w:r>
    </w:p>
    <w:p>
      <w:pPr>
        <w:autoSpaceDE w:val="0"/>
        <w:autoSpaceDN w:val="0"/>
        <w:adjustRightInd w:val="0"/>
        <w:snapToGrid w:val="0"/>
        <w:spacing w:line="460" w:lineRule="exact"/>
        <w:ind w:firstLine="420" w:firstLineChars="200"/>
        <w:jc w:val="left"/>
        <w:rPr>
          <w:rFonts w:hint="eastAsia" w:ascii="宋体" w:hAnsi="宋体"/>
        </w:rPr>
      </w:pPr>
      <w:r>
        <w:rPr>
          <w:rFonts w:hint="eastAsia" w:ascii="宋体" w:hAnsi="宋体"/>
          <w:kern w:val="0"/>
        </w:rPr>
        <w:t>2.5 工期要求：工期为</w:t>
      </w:r>
      <w:r>
        <w:rPr>
          <w:rFonts w:hint="eastAsia" w:ascii="宋体" w:hAnsi="宋体"/>
          <w:kern w:val="0"/>
          <w:u w:val="single"/>
        </w:rPr>
        <w:t>97个月</w:t>
      </w:r>
      <w:r>
        <w:rPr>
          <w:rFonts w:hint="eastAsia" w:ascii="宋体" w:hAnsi="宋体"/>
          <w:kern w:val="0"/>
        </w:rPr>
        <w:t xml:space="preserve"> ，缺陷责任期为</w:t>
      </w:r>
      <w:r>
        <w:rPr>
          <w:rFonts w:hint="eastAsia" w:ascii="宋体" w:hAnsi="宋体"/>
          <w:kern w:val="0"/>
          <w:u w:val="single"/>
        </w:rPr>
        <w:t>24个月</w:t>
      </w:r>
      <w:r>
        <w:rPr>
          <w:rFonts w:hint="eastAsia" w:ascii="宋体" w:hAnsi="宋体"/>
          <w:kern w:val="0"/>
        </w:rPr>
        <w:t>。</w:t>
      </w:r>
      <w:r>
        <w:rPr>
          <w:rFonts w:hint="eastAsia" w:ascii="宋体" w:hAnsi="宋体"/>
        </w:rPr>
        <w:t>计划开工日期：2021年11月15日（具体开工日期以总监理工程师签发的开工令为准），计划完（交）工日期：2029年12月15日。</w:t>
      </w:r>
    </w:p>
    <w:p>
      <w:pPr>
        <w:pStyle w:val="4"/>
        <w:spacing w:before="100" w:after="100" w:line="460" w:lineRule="exact"/>
        <w:rPr>
          <w:rFonts w:hint="eastAsia" w:ascii="宋体" w:hAnsi="宋体"/>
          <w:sz w:val="28"/>
          <w:szCs w:val="28"/>
        </w:rPr>
      </w:pPr>
      <w:bookmarkStart w:id="19" w:name="_Toc287620669"/>
      <w:bookmarkEnd w:id="19"/>
      <w:bookmarkStart w:id="20" w:name="_Toc200359240"/>
      <w:bookmarkEnd w:id="20"/>
      <w:bookmarkStart w:id="21" w:name="_Toc277082538"/>
      <w:bookmarkEnd w:id="21"/>
      <w:bookmarkStart w:id="22" w:name="_Toc509218694"/>
      <w:bookmarkEnd w:id="22"/>
      <w:bookmarkStart w:id="23" w:name="_Toc31224"/>
      <w:bookmarkEnd w:id="23"/>
      <w:bookmarkStart w:id="24" w:name="_Toc224103301"/>
      <w:bookmarkEnd w:id="24"/>
      <w:bookmarkStart w:id="25" w:name="_Toc430530418"/>
      <w:bookmarkEnd w:id="25"/>
      <w:bookmarkStart w:id="26" w:name="_Toc200359429"/>
      <w:bookmarkEnd w:id="26"/>
      <w:bookmarkStart w:id="27" w:name="_Toc287607730"/>
      <w:r>
        <w:rPr>
          <w:rFonts w:hint="eastAsia" w:ascii="宋体" w:hAnsi="宋体"/>
          <w:sz w:val="28"/>
          <w:szCs w:val="28"/>
        </w:rPr>
        <w:t>3. 投标人资格要求</w:t>
      </w:r>
      <w:bookmarkEnd w:id="27"/>
    </w:p>
    <w:p>
      <w:pPr>
        <w:autoSpaceDE w:val="0"/>
        <w:autoSpaceDN w:val="0"/>
        <w:adjustRightInd w:val="0"/>
        <w:snapToGrid w:val="0"/>
        <w:spacing w:line="460" w:lineRule="exact"/>
        <w:ind w:firstLine="420" w:firstLineChars="200"/>
        <w:jc w:val="left"/>
        <w:rPr>
          <w:rFonts w:hint="eastAsia" w:ascii="宋体" w:hAnsi="宋体"/>
          <w:kern w:val="0"/>
        </w:rPr>
      </w:pPr>
      <w:r>
        <w:rPr>
          <w:rFonts w:hint="eastAsia" w:ascii="宋体" w:hAnsi="宋体"/>
          <w:kern w:val="0"/>
        </w:rPr>
        <w:t>3.1  本次招标要求投标人须具备以下条件：</w:t>
      </w:r>
    </w:p>
    <w:p>
      <w:pPr>
        <w:autoSpaceDE w:val="0"/>
        <w:autoSpaceDN w:val="0"/>
        <w:adjustRightInd w:val="0"/>
        <w:snapToGrid w:val="0"/>
        <w:spacing w:line="460" w:lineRule="exact"/>
        <w:ind w:firstLine="420" w:firstLineChars="200"/>
        <w:jc w:val="left"/>
        <w:rPr>
          <w:rFonts w:hint="eastAsia" w:ascii="宋体" w:hAnsi="宋体"/>
          <w:kern w:val="0"/>
        </w:rPr>
      </w:pPr>
      <w:r>
        <w:rPr>
          <w:rFonts w:hint="eastAsia" w:ascii="宋体" w:hAnsi="宋体"/>
          <w:kern w:val="0"/>
        </w:rPr>
        <w:t>3.1.1 本次招标要求投标人具备的资质条件：</w:t>
      </w:r>
    </w:p>
    <w:p>
      <w:pPr>
        <w:spacing w:line="400" w:lineRule="exact"/>
        <w:ind w:left="420"/>
        <w:jc w:val="left"/>
        <w:rPr>
          <w:rFonts w:hint="eastAsia" w:ascii="宋体" w:hAnsi="宋体"/>
        </w:rPr>
      </w:pPr>
      <w:r>
        <w:rPr>
          <w:rFonts w:hint="eastAsia" w:ascii="宋体" w:hAnsi="宋体"/>
        </w:rPr>
        <w:t>（1）投标人为独立法人。</w:t>
      </w:r>
    </w:p>
    <w:p>
      <w:pPr>
        <w:spacing w:line="400" w:lineRule="exact"/>
        <w:ind w:left="420"/>
        <w:jc w:val="left"/>
        <w:rPr>
          <w:rFonts w:hint="eastAsia" w:ascii="宋体" w:hAnsi="宋体"/>
        </w:rPr>
      </w:pPr>
      <w:r>
        <w:rPr>
          <w:rFonts w:hint="eastAsia" w:ascii="宋体" w:hAnsi="宋体"/>
        </w:rPr>
        <w:t>（2）投标人应具备水利水电工程施工总承包一级及以上资质。</w:t>
      </w:r>
    </w:p>
    <w:p>
      <w:pPr>
        <w:spacing w:line="400" w:lineRule="exact"/>
        <w:ind w:firstLine="420" w:firstLineChars="200"/>
        <w:jc w:val="left"/>
        <w:rPr>
          <w:rFonts w:hint="eastAsia" w:ascii="宋体" w:hAnsi="宋体"/>
          <w:kern w:val="0"/>
        </w:rPr>
      </w:pPr>
      <w:r>
        <w:rPr>
          <w:rFonts w:hint="eastAsia" w:ascii="宋体" w:hAnsi="宋体"/>
          <w:kern w:val="0"/>
        </w:rPr>
        <w:t>3.1.2 本次招标要求投标人具备的业绩条件：</w:t>
      </w:r>
    </w:p>
    <w:p>
      <w:pPr>
        <w:spacing w:line="400" w:lineRule="exact"/>
        <w:ind w:firstLine="420" w:firstLineChars="200"/>
        <w:jc w:val="left"/>
        <w:rPr>
          <w:rFonts w:hint="eastAsia" w:ascii="宋体" w:hAnsi="宋体"/>
        </w:rPr>
      </w:pPr>
      <w:r>
        <w:rPr>
          <w:rFonts w:hint="eastAsia" w:ascii="宋体" w:hAnsi="宋体"/>
        </w:rPr>
        <w:t>2011年1月1日起至投标截止日止（以完（交）工或技术预验收或枢纽工程专项验收合格日期为准），投标人同时具有以下施工业绩：</w:t>
      </w:r>
    </w:p>
    <w:p>
      <w:pPr>
        <w:spacing w:line="400" w:lineRule="exact"/>
        <w:ind w:firstLine="420" w:firstLineChars="200"/>
        <w:jc w:val="left"/>
        <w:rPr>
          <w:rFonts w:hint="eastAsia" w:ascii="宋体" w:hAnsi="宋体"/>
        </w:rPr>
      </w:pPr>
      <w:r>
        <w:rPr>
          <w:rFonts w:hint="eastAsia" w:ascii="宋体" w:hAnsi="宋体"/>
        </w:rPr>
        <w:t>①有1个单项合同金额不低于15亿元且工程规模为大型的航电枢纽或电航枢纽或水利枢纽或航运枢纽或水电工程；</w:t>
      </w:r>
    </w:p>
    <w:p>
      <w:pPr>
        <w:spacing w:line="400" w:lineRule="exact"/>
        <w:ind w:firstLine="420" w:firstLineChars="200"/>
        <w:jc w:val="left"/>
        <w:rPr>
          <w:rFonts w:hint="eastAsia" w:hAnsi="宋体"/>
        </w:rPr>
      </w:pPr>
      <w:r>
        <w:rPr>
          <w:rFonts w:hint="eastAsia" w:ascii="宋体" w:hAnsi="宋体"/>
        </w:rPr>
        <w:t>②有1个单台发电机组装机容量不低于</w:t>
      </w:r>
      <w:r>
        <w:rPr>
          <w:rFonts w:hint="eastAsia"/>
        </w:rPr>
        <w:t>100</w:t>
      </w:r>
      <w:r>
        <w:rPr>
          <w:rFonts w:hint="eastAsia" w:ascii="宋体" w:hAnsi="宋体"/>
        </w:rPr>
        <w:t>MW的水轮发电机组安装工程；</w:t>
      </w:r>
    </w:p>
    <w:p>
      <w:pPr>
        <w:spacing w:line="400" w:lineRule="exact"/>
        <w:ind w:firstLine="420" w:firstLineChars="200"/>
        <w:jc w:val="left"/>
        <w:rPr>
          <w:rFonts w:hAnsi="宋体"/>
        </w:rPr>
      </w:pPr>
      <w:r>
        <w:rPr>
          <w:rFonts w:hint="eastAsia" w:ascii="宋体" w:hAnsi="宋体"/>
        </w:rPr>
        <w:t>③有1个单扇闸门重量不低于</w:t>
      </w:r>
      <w:r>
        <w:rPr>
          <w:rFonts w:hint="eastAsia"/>
        </w:rPr>
        <w:t>300t</w:t>
      </w:r>
      <w:r>
        <w:rPr>
          <w:rFonts w:hint="eastAsia" w:ascii="宋体" w:hAnsi="宋体"/>
        </w:rPr>
        <w:t>的金属结构安装工程。</w:t>
      </w:r>
    </w:p>
    <w:p>
      <w:pPr>
        <w:spacing w:line="400" w:lineRule="exact"/>
        <w:ind w:firstLine="420" w:firstLineChars="200"/>
        <w:jc w:val="left"/>
      </w:pPr>
      <w:r>
        <w:rPr>
          <w:rFonts w:hint="eastAsia" w:ascii="宋体" w:hAnsi="宋体"/>
        </w:rPr>
        <w:t>④有1个100米及以上的高边坡施工业绩。</w:t>
      </w:r>
    </w:p>
    <w:p>
      <w:pPr>
        <w:autoSpaceDE w:val="0"/>
        <w:autoSpaceDN w:val="0"/>
        <w:adjustRightInd w:val="0"/>
        <w:snapToGrid w:val="0"/>
        <w:spacing w:line="460" w:lineRule="exact"/>
        <w:ind w:firstLine="420" w:firstLineChars="200"/>
        <w:jc w:val="left"/>
        <w:rPr>
          <w:rFonts w:ascii="宋体" w:hAnsi="宋体"/>
          <w:kern w:val="0"/>
        </w:rPr>
      </w:pPr>
      <w:r>
        <w:rPr>
          <w:rFonts w:hint="eastAsia" w:ascii="宋体" w:hAnsi="宋体"/>
        </w:rPr>
        <w:t>单个合同同时满足上述业绩要求或多个合同分别满足上述业绩要求的，均视为满足要求。</w:t>
      </w:r>
    </w:p>
    <w:p>
      <w:pPr>
        <w:autoSpaceDE w:val="0"/>
        <w:autoSpaceDN w:val="0"/>
        <w:adjustRightInd w:val="0"/>
        <w:snapToGrid w:val="0"/>
        <w:spacing w:line="460" w:lineRule="exact"/>
        <w:ind w:firstLine="420" w:firstLineChars="200"/>
        <w:jc w:val="left"/>
        <w:rPr>
          <w:rFonts w:hint="eastAsia" w:ascii="宋体" w:hAnsi="宋体"/>
        </w:rPr>
      </w:pPr>
      <w:r>
        <w:rPr>
          <w:rFonts w:hint="eastAsia" w:ascii="宋体" w:hAnsi="宋体"/>
          <w:kern w:val="0"/>
        </w:rPr>
        <w:t>3.1.3 投标人还应在人员、设备、资金等方面具有相应的施工能力，详见招标文件第二章投标人须知前附表第1.4.1条内容。</w:t>
      </w:r>
    </w:p>
    <w:p>
      <w:pPr>
        <w:autoSpaceDE w:val="0"/>
        <w:autoSpaceDN w:val="0"/>
        <w:adjustRightInd w:val="0"/>
        <w:snapToGrid w:val="0"/>
        <w:spacing w:line="460" w:lineRule="exact"/>
        <w:ind w:firstLine="420"/>
        <w:jc w:val="left"/>
        <w:rPr>
          <w:rFonts w:hint="eastAsia" w:ascii="宋体" w:hAnsi="宋体"/>
          <w:kern w:val="0"/>
        </w:rPr>
      </w:pPr>
      <w:r>
        <w:rPr>
          <w:rFonts w:hint="eastAsia" w:ascii="宋体" w:hAnsi="宋体"/>
          <w:kern w:val="0"/>
        </w:rPr>
        <w:t>3.2  本次招标不接受联合体投标。</w:t>
      </w:r>
    </w:p>
    <w:p>
      <w:pPr>
        <w:pStyle w:val="4"/>
        <w:spacing w:before="100" w:after="100" w:line="460" w:lineRule="exact"/>
        <w:rPr>
          <w:rFonts w:hint="eastAsia" w:ascii="宋体" w:hAnsi="宋体"/>
          <w:sz w:val="28"/>
          <w:szCs w:val="28"/>
        </w:rPr>
      </w:pPr>
      <w:bookmarkStart w:id="28" w:name="_Toc430530419"/>
      <w:bookmarkEnd w:id="28"/>
      <w:bookmarkStart w:id="29" w:name="_Toc200359430"/>
      <w:bookmarkEnd w:id="29"/>
      <w:bookmarkStart w:id="30" w:name="_Toc287607731"/>
      <w:bookmarkEnd w:id="30"/>
      <w:bookmarkStart w:id="31" w:name="_Toc287620670"/>
      <w:bookmarkEnd w:id="31"/>
      <w:bookmarkStart w:id="32" w:name="_Toc509218695"/>
      <w:bookmarkEnd w:id="32"/>
      <w:bookmarkStart w:id="33" w:name="_Toc277082539"/>
      <w:bookmarkEnd w:id="33"/>
      <w:bookmarkStart w:id="34" w:name="_Toc224103302"/>
      <w:bookmarkEnd w:id="34"/>
      <w:bookmarkStart w:id="35" w:name="_Toc17450"/>
      <w:bookmarkEnd w:id="35"/>
      <w:bookmarkStart w:id="36" w:name="_Toc200359241"/>
      <w:r>
        <w:rPr>
          <w:rFonts w:hint="eastAsia" w:ascii="宋体" w:hAnsi="宋体"/>
          <w:sz w:val="28"/>
          <w:szCs w:val="28"/>
        </w:rPr>
        <w:t>4. 招标文件的获取</w:t>
      </w:r>
      <w:bookmarkEnd w:id="36"/>
    </w:p>
    <w:p>
      <w:pPr>
        <w:autoSpaceDE w:val="0"/>
        <w:autoSpaceDN w:val="0"/>
        <w:adjustRightInd w:val="0"/>
        <w:snapToGrid w:val="0"/>
        <w:spacing w:line="450" w:lineRule="exact"/>
        <w:ind w:firstLine="420"/>
        <w:rPr>
          <w:rFonts w:hint="eastAsia" w:ascii="宋体" w:hAnsi="宋体"/>
          <w:kern w:val="0"/>
        </w:rPr>
      </w:pPr>
      <w:r>
        <w:rPr>
          <w:rFonts w:hint="eastAsia" w:ascii="宋体" w:hAnsi="宋体"/>
          <w:kern w:val="0"/>
        </w:rPr>
        <w:t>4.1 本招标项目采用全流程电子招投标，投标人在投标前可在</w:t>
      </w:r>
      <w:r>
        <w:rPr>
          <w:rFonts w:hint="eastAsia" w:ascii="宋体" w:hAnsi="宋体"/>
          <w:kern w:val="0"/>
          <w:u w:val="single"/>
        </w:rPr>
        <w:t>重庆市公共资源交易网（www.cqggzy.com）</w:t>
      </w:r>
      <w:r>
        <w:rPr>
          <w:rFonts w:hint="eastAsia" w:ascii="宋体" w:hAnsi="宋体"/>
          <w:kern w:val="0"/>
        </w:rPr>
        <w:t>下载招标文件、工程量清单、电子图纸等资料。参与投标的投标人需在</w:t>
      </w:r>
      <w:r>
        <w:rPr>
          <w:rFonts w:hint="eastAsia" w:ascii="宋体" w:hAnsi="宋体"/>
          <w:kern w:val="0"/>
          <w:u w:val="single"/>
        </w:rPr>
        <w:t>重庆市公共资源交易网（www.cqggzy.com）</w:t>
      </w:r>
      <w:r>
        <w:rPr>
          <w:rFonts w:hint="eastAsia" w:ascii="宋体" w:hAnsi="宋体"/>
          <w:kern w:val="0"/>
        </w:rPr>
        <w:t>完成市场主体信息登记以及 CA 数字证书办理，办理方式请参见</w:t>
      </w:r>
      <w:r>
        <w:rPr>
          <w:rFonts w:hint="eastAsia" w:ascii="宋体" w:hAnsi="宋体"/>
          <w:kern w:val="0"/>
          <w:u w:val="single"/>
        </w:rPr>
        <w:t>重庆市公共资源交易网（www.cqggzy.com）</w:t>
      </w:r>
      <w:r>
        <w:rPr>
          <w:rFonts w:hint="eastAsia" w:ascii="宋体" w:hAnsi="宋体"/>
          <w:kern w:val="0"/>
        </w:rPr>
        <w:t>导航栏“主体信息”页面中“市场主体信息登记”“CA 数字证书办理”。若投标人未及时完成市场主体信息登记和 CA 数字证书办理导致无法完成全流程电子招投标的，责任自负。</w:t>
      </w:r>
    </w:p>
    <w:p>
      <w:pPr>
        <w:autoSpaceDE w:val="0"/>
        <w:autoSpaceDN w:val="0"/>
        <w:adjustRightInd w:val="0"/>
        <w:snapToGrid w:val="0"/>
        <w:spacing w:line="360" w:lineRule="auto"/>
        <w:ind w:firstLine="420"/>
        <w:rPr>
          <w:rFonts w:hint="eastAsia" w:ascii="宋体" w:hAnsi="宋体"/>
          <w:kern w:val="0"/>
        </w:rPr>
      </w:pPr>
      <w:r>
        <w:rPr>
          <w:rFonts w:hint="eastAsia" w:ascii="宋体" w:hAnsi="宋体"/>
          <w:kern w:val="0"/>
        </w:rPr>
        <w:t>4.2 投标人可在</w:t>
      </w:r>
      <w:r>
        <w:rPr>
          <w:rFonts w:hint="eastAsia" w:ascii="宋体" w:hAnsi="宋体"/>
          <w:kern w:val="0"/>
          <w:u w:val="single"/>
        </w:rPr>
        <w:t>重庆市公共资源交易网（www.cqggzy.com）</w:t>
      </w:r>
      <w:r>
        <w:rPr>
          <w:rFonts w:hint="eastAsia" w:ascii="宋体" w:hAnsi="宋体"/>
          <w:kern w:val="0"/>
        </w:rPr>
        <w:t>本项目招标公告网页下方“我要提问”栏提出疑问，提问时间从本公告发布至2021年9月5日10</w:t>
      </w:r>
      <w:r>
        <w:rPr>
          <w:rFonts w:hint="eastAsia" w:ascii="宋体" w:hAnsi="宋体"/>
        </w:rPr>
        <w:t>时00分</w:t>
      </w:r>
      <w:r>
        <w:rPr>
          <w:rFonts w:hint="eastAsia" w:ascii="宋体" w:hAnsi="宋体"/>
          <w:kern w:val="0"/>
        </w:rPr>
        <w:t>（北京时间）前。</w:t>
      </w:r>
    </w:p>
    <w:p>
      <w:pPr>
        <w:spacing w:line="360" w:lineRule="auto"/>
        <w:ind w:firstLine="420" w:firstLineChars="200"/>
        <w:rPr>
          <w:rFonts w:hint="eastAsia"/>
        </w:rPr>
      </w:pPr>
      <w:r>
        <w:rPr>
          <w:rFonts w:hint="eastAsia" w:ascii="宋体" w:hAnsi="宋体"/>
          <w:kern w:val="0"/>
        </w:rPr>
        <w:t>4.3 招标人应于2021年9月</w:t>
      </w:r>
      <w:r>
        <w:rPr>
          <w:rFonts w:hint="eastAsia" w:ascii="宋体" w:hAnsi="宋体"/>
          <w:kern w:val="0"/>
          <w:lang w:val="en-US" w:eastAsia="zh-CN"/>
        </w:rPr>
        <w:t>9</w:t>
      </w:r>
      <w:bookmarkStart w:id="62" w:name="_GoBack"/>
      <w:bookmarkEnd w:id="62"/>
      <w:r>
        <w:rPr>
          <w:rFonts w:hint="eastAsia" w:ascii="宋体" w:hAnsi="宋体"/>
          <w:kern w:val="0"/>
        </w:rPr>
        <w:t>日18时00分（北京时间）前在</w:t>
      </w:r>
      <w:r>
        <w:rPr>
          <w:rFonts w:hint="eastAsia" w:ascii="宋体" w:hAnsi="宋体"/>
          <w:kern w:val="0"/>
          <w:u w:val="single"/>
        </w:rPr>
        <w:t>重庆市公共资源交易网（www.cqggzy.com）</w:t>
      </w:r>
      <w:r>
        <w:rPr>
          <w:rFonts w:hint="eastAsia" w:ascii="宋体" w:hAnsi="宋体"/>
          <w:kern w:val="0"/>
        </w:rPr>
        <w:t>发布澄清。</w:t>
      </w:r>
    </w:p>
    <w:p>
      <w:pPr>
        <w:pStyle w:val="4"/>
        <w:spacing w:before="100" w:after="100" w:line="460" w:lineRule="exact"/>
        <w:rPr>
          <w:rFonts w:ascii="宋体" w:hAnsi="宋体"/>
          <w:sz w:val="28"/>
          <w:szCs w:val="28"/>
        </w:rPr>
      </w:pPr>
      <w:bookmarkStart w:id="37" w:name="_Toc287607732"/>
      <w:bookmarkEnd w:id="37"/>
      <w:bookmarkStart w:id="38" w:name="_Toc277082540"/>
      <w:bookmarkEnd w:id="38"/>
      <w:bookmarkStart w:id="39" w:name="_Toc200359242"/>
      <w:bookmarkEnd w:id="39"/>
      <w:bookmarkStart w:id="40" w:name="_Toc509218696"/>
      <w:bookmarkEnd w:id="40"/>
      <w:bookmarkStart w:id="41" w:name="_Toc27065"/>
      <w:bookmarkEnd w:id="41"/>
      <w:bookmarkStart w:id="42" w:name="_Toc200359431"/>
      <w:bookmarkEnd w:id="42"/>
      <w:bookmarkStart w:id="43" w:name="_Toc287620671"/>
      <w:bookmarkEnd w:id="43"/>
      <w:bookmarkStart w:id="44" w:name="_Toc430530420"/>
      <w:bookmarkEnd w:id="44"/>
      <w:bookmarkStart w:id="45" w:name="_Toc224103303"/>
      <w:r>
        <w:rPr>
          <w:rFonts w:hint="eastAsia" w:ascii="宋体" w:hAnsi="宋体"/>
          <w:sz w:val="28"/>
          <w:szCs w:val="28"/>
        </w:rPr>
        <w:t>5. 投标文件的递交</w:t>
      </w:r>
      <w:bookmarkEnd w:id="45"/>
    </w:p>
    <w:p>
      <w:pPr>
        <w:autoSpaceDE w:val="0"/>
        <w:autoSpaceDN w:val="0"/>
        <w:adjustRightInd w:val="0"/>
        <w:snapToGrid w:val="0"/>
        <w:spacing w:line="450" w:lineRule="exact"/>
        <w:ind w:firstLine="420" w:firstLineChars="200"/>
        <w:rPr>
          <w:rFonts w:hint="eastAsia" w:ascii="宋体" w:hAnsi="宋体"/>
          <w:kern w:val="0"/>
        </w:rPr>
      </w:pPr>
      <w:r>
        <w:rPr>
          <w:rFonts w:hint="eastAsia" w:ascii="宋体" w:hAnsi="宋体"/>
          <w:kern w:val="0"/>
        </w:rPr>
        <w:t>5.1  投标文件递交的截止时间（投标截止时间，下同）为2021年9月2</w:t>
      </w:r>
      <w:r>
        <w:rPr>
          <w:rFonts w:hint="eastAsia" w:ascii="宋体" w:hAnsi="宋体"/>
          <w:kern w:val="0"/>
          <w:lang w:val="en-US" w:eastAsia="zh-CN"/>
        </w:rPr>
        <w:t>6</w:t>
      </w:r>
      <w:r>
        <w:rPr>
          <w:rFonts w:hint="eastAsia" w:ascii="宋体" w:hAnsi="宋体"/>
          <w:kern w:val="0"/>
        </w:rPr>
        <w:t>日10时00分，投标人应当在投标截止时间前，通过互联网使用CA数字证书登录重庆市电子招投标系统，将加密的电子投标文件上传。</w:t>
      </w:r>
    </w:p>
    <w:p>
      <w:pPr>
        <w:autoSpaceDE w:val="0"/>
        <w:autoSpaceDN w:val="0"/>
        <w:adjustRightInd w:val="0"/>
        <w:snapToGrid w:val="0"/>
        <w:spacing w:line="450" w:lineRule="exact"/>
        <w:ind w:firstLine="420" w:firstLineChars="200"/>
        <w:rPr>
          <w:rFonts w:hint="eastAsia" w:ascii="宋体" w:hAnsi="宋体"/>
          <w:sz w:val="28"/>
          <w:szCs w:val="28"/>
        </w:rPr>
      </w:pPr>
      <w:r>
        <w:rPr>
          <w:rFonts w:hint="eastAsia" w:ascii="宋体" w:hAnsi="宋体"/>
          <w:kern w:val="0"/>
        </w:rPr>
        <w:t>5.2  未按要求加密的电子投标文件，将无法上传至重庆市电子招投标系统，逾期未完成投标文件上传的，</w:t>
      </w:r>
      <w:bookmarkStart w:id="46" w:name="_Toc200359243"/>
      <w:bookmarkEnd w:id="46"/>
      <w:bookmarkStart w:id="47" w:name="_Toc200359432"/>
      <w:bookmarkEnd w:id="47"/>
      <w:bookmarkStart w:id="48" w:name="_Toc287620672"/>
      <w:bookmarkEnd w:id="48"/>
      <w:bookmarkStart w:id="49" w:name="_Toc430530421"/>
      <w:bookmarkEnd w:id="49"/>
      <w:bookmarkStart w:id="50" w:name="_Toc509218697"/>
      <w:bookmarkEnd w:id="50"/>
      <w:bookmarkStart w:id="51" w:name="_Toc224103304"/>
      <w:bookmarkEnd w:id="51"/>
      <w:bookmarkStart w:id="52" w:name="_Toc287607733"/>
      <w:bookmarkEnd w:id="52"/>
      <w:bookmarkStart w:id="53" w:name="_Toc277082541"/>
      <w:r>
        <w:rPr>
          <w:rFonts w:hint="eastAsia" w:ascii="宋体" w:hAnsi="宋体"/>
          <w:kern w:val="0"/>
        </w:rPr>
        <w:t>视为撤回投标文件。</w:t>
      </w:r>
      <w:bookmarkEnd w:id="53"/>
    </w:p>
    <w:p>
      <w:pPr>
        <w:pStyle w:val="4"/>
        <w:spacing w:before="100" w:after="100" w:line="460" w:lineRule="exact"/>
        <w:rPr>
          <w:rFonts w:hint="eastAsia" w:ascii="宋体" w:hAnsi="宋体"/>
          <w:sz w:val="28"/>
          <w:szCs w:val="28"/>
        </w:rPr>
      </w:pPr>
      <w:bookmarkStart w:id="54" w:name="_Toc8523"/>
      <w:bookmarkEnd w:id="54"/>
      <w:r>
        <w:rPr>
          <w:rFonts w:hint="eastAsia" w:ascii="宋体" w:hAnsi="宋体"/>
          <w:sz w:val="28"/>
          <w:szCs w:val="28"/>
        </w:rPr>
        <w:t>6. 发布公告的媒介</w:t>
      </w:r>
    </w:p>
    <w:p>
      <w:pPr>
        <w:autoSpaceDE w:val="0"/>
        <w:autoSpaceDN w:val="0"/>
        <w:adjustRightInd w:val="0"/>
        <w:snapToGrid w:val="0"/>
        <w:spacing w:line="450" w:lineRule="exact"/>
        <w:ind w:firstLine="420" w:firstLineChars="200"/>
        <w:rPr>
          <w:rFonts w:hint="eastAsia" w:ascii="宋体" w:hAnsi="宋体"/>
          <w:kern w:val="0"/>
        </w:rPr>
      </w:pPr>
      <w:r>
        <w:rPr>
          <w:rFonts w:hint="eastAsia" w:ascii="宋体" w:hAnsi="宋体"/>
          <w:kern w:val="0"/>
        </w:rPr>
        <w:t>本次招标公告同时在中国采购与招标网（www.chinabidding.com.cn）、重庆市公共资源交易网（http://www.cqggzy.com/）、重庆市公共资源交易监督网（http://ggzyjyjgj.cq.gov.cn）和重庆高速公路集团有限公司招投标管理平台（http://43.240.249.108:8088/PMS/）上发布。</w:t>
      </w:r>
    </w:p>
    <w:p>
      <w:pPr>
        <w:pStyle w:val="4"/>
        <w:spacing w:before="100" w:after="100" w:line="460" w:lineRule="exact"/>
        <w:rPr>
          <w:rFonts w:hint="eastAsia" w:ascii="宋体" w:hAnsi="宋体"/>
          <w:sz w:val="28"/>
          <w:szCs w:val="28"/>
        </w:rPr>
      </w:pPr>
      <w:bookmarkStart w:id="55" w:name="_Toc9157"/>
      <w:bookmarkEnd w:id="55"/>
      <w:bookmarkStart w:id="56" w:name="_Toc287620673"/>
      <w:bookmarkEnd w:id="56"/>
      <w:bookmarkStart w:id="57" w:name="_Toc277082542"/>
      <w:bookmarkEnd w:id="57"/>
      <w:bookmarkStart w:id="58" w:name="_Toc287607734"/>
      <w:bookmarkEnd w:id="58"/>
      <w:bookmarkStart w:id="59" w:name="_Toc509218698"/>
      <w:bookmarkEnd w:id="59"/>
      <w:bookmarkStart w:id="60" w:name="_Toc224103305"/>
      <w:bookmarkEnd w:id="60"/>
      <w:bookmarkStart w:id="61" w:name="_Toc430530422"/>
      <w:r>
        <w:rPr>
          <w:rFonts w:hint="eastAsia" w:ascii="宋体" w:hAnsi="宋体"/>
          <w:sz w:val="28"/>
          <w:szCs w:val="28"/>
        </w:rPr>
        <w:t>7</w:t>
      </w:r>
      <w:bookmarkEnd w:id="61"/>
      <w:r>
        <w:rPr>
          <w:rFonts w:hint="eastAsia" w:ascii="宋体" w:hAnsi="宋体"/>
          <w:sz w:val="28"/>
          <w:szCs w:val="28"/>
        </w:rPr>
        <w:t>. 联系方式</w:t>
      </w:r>
    </w:p>
    <w:p>
      <w:pPr>
        <w:snapToGrid w:val="0"/>
        <w:spacing w:line="400" w:lineRule="exact"/>
        <w:ind w:firstLine="420" w:firstLineChars="200"/>
        <w:rPr>
          <w:rFonts w:hint="eastAsia"/>
        </w:rPr>
      </w:pPr>
      <w:r>
        <w:rPr>
          <w:rFonts w:hint="eastAsia" w:ascii="宋体" w:hAnsi="宋体"/>
        </w:rPr>
        <w:t>招标人：</w:t>
      </w:r>
      <w:r>
        <w:rPr>
          <w:rFonts w:ascii="宋体" w:hAnsi="宋体"/>
        </w:rPr>
        <w:t>重庆白马航运发展有限公司</w:t>
      </w:r>
    </w:p>
    <w:p>
      <w:pPr>
        <w:snapToGrid w:val="0"/>
        <w:spacing w:line="400" w:lineRule="exact"/>
        <w:ind w:firstLine="420" w:firstLineChars="200"/>
      </w:pPr>
      <w:r>
        <w:rPr>
          <w:rFonts w:hint="eastAsia" w:ascii="宋体" w:hAnsi="宋体"/>
        </w:rPr>
        <w:t>地址：重庆市北部新区高新园星光大道</w:t>
      </w:r>
      <w:r>
        <w:rPr>
          <w:rFonts w:hint="eastAsia"/>
        </w:rPr>
        <w:t>76</w:t>
      </w:r>
      <w:r>
        <w:rPr>
          <w:rFonts w:hint="eastAsia" w:ascii="宋体" w:hAnsi="宋体"/>
        </w:rPr>
        <w:t>号天王星商务大厦</w:t>
      </w:r>
      <w:r>
        <w:rPr>
          <w:rFonts w:hint="eastAsia"/>
        </w:rPr>
        <w:t>B</w:t>
      </w:r>
      <w:r>
        <w:rPr>
          <w:rFonts w:hint="eastAsia" w:ascii="宋体" w:hAnsi="宋体"/>
        </w:rPr>
        <w:t>座</w:t>
      </w:r>
      <w:r>
        <w:rPr>
          <w:rFonts w:hint="eastAsia"/>
        </w:rPr>
        <w:t>23</w:t>
      </w:r>
      <w:r>
        <w:rPr>
          <w:rFonts w:hint="eastAsia" w:ascii="宋体" w:hAnsi="宋体"/>
        </w:rPr>
        <w:t>楼</w:t>
      </w:r>
    </w:p>
    <w:p>
      <w:pPr>
        <w:snapToGrid w:val="0"/>
        <w:spacing w:line="400" w:lineRule="exact"/>
        <w:ind w:firstLine="420" w:firstLineChars="200"/>
      </w:pPr>
      <w:r>
        <w:rPr>
          <w:rFonts w:hint="eastAsia" w:ascii="宋体" w:hAnsi="宋体"/>
        </w:rPr>
        <w:t>联系人：吴先生</w:t>
      </w:r>
    </w:p>
    <w:p>
      <w:pPr>
        <w:snapToGrid w:val="0"/>
        <w:spacing w:line="400" w:lineRule="exact"/>
        <w:ind w:firstLine="420" w:firstLineChars="200"/>
      </w:pPr>
      <w:r>
        <w:rPr>
          <w:rFonts w:hint="eastAsia" w:ascii="宋体" w:hAnsi="宋体"/>
        </w:rPr>
        <w:t>电话：</w:t>
      </w:r>
      <w:r>
        <w:rPr>
          <w:rFonts w:hint="eastAsia"/>
        </w:rPr>
        <w:t>023-88734299</w:t>
      </w:r>
    </w:p>
    <w:p>
      <w:pPr>
        <w:snapToGrid w:val="0"/>
        <w:spacing w:line="400" w:lineRule="exact"/>
        <w:ind w:firstLine="420" w:firstLineChars="200"/>
      </w:pPr>
      <w:r>
        <w:rPr>
          <w:rFonts w:hint="eastAsia" w:ascii="宋体" w:hAnsi="宋体"/>
        </w:rPr>
        <w:t>传真：</w:t>
      </w:r>
      <w:r>
        <w:rPr>
          <w:rFonts w:hint="eastAsia"/>
        </w:rPr>
        <w:t>023-89076638</w:t>
      </w:r>
    </w:p>
    <w:p>
      <w:pPr>
        <w:snapToGrid w:val="0"/>
        <w:spacing w:line="400" w:lineRule="exact"/>
        <w:ind w:firstLine="420" w:firstLineChars="200"/>
      </w:pPr>
      <w:r>
        <w:t xml:space="preserve"> </w:t>
      </w:r>
    </w:p>
    <w:p>
      <w:pPr>
        <w:snapToGrid w:val="0"/>
        <w:spacing w:line="400" w:lineRule="exact"/>
        <w:ind w:firstLine="420" w:firstLineChars="200"/>
      </w:pPr>
      <w:r>
        <w:rPr>
          <w:rFonts w:hint="eastAsia" w:ascii="宋体" w:hAnsi="宋体"/>
        </w:rPr>
        <w:t>招标代理机构：重庆市弘禹水利咨询有限公司</w:t>
      </w:r>
    </w:p>
    <w:p>
      <w:pPr>
        <w:snapToGrid w:val="0"/>
        <w:spacing w:line="400" w:lineRule="exact"/>
        <w:ind w:firstLine="420" w:firstLineChars="200"/>
      </w:pPr>
      <w:r>
        <w:rPr>
          <w:rFonts w:hint="eastAsia" w:ascii="宋体" w:hAnsi="宋体"/>
        </w:rPr>
        <w:t>地址：重庆市江北区兴隆街</w:t>
      </w:r>
      <w:r>
        <w:rPr>
          <w:rFonts w:hint="eastAsia"/>
        </w:rPr>
        <w:t>22</w:t>
      </w:r>
      <w:r>
        <w:rPr>
          <w:rFonts w:hint="eastAsia" w:ascii="宋体" w:hAnsi="宋体"/>
        </w:rPr>
        <w:t>号</w:t>
      </w:r>
    </w:p>
    <w:p>
      <w:pPr>
        <w:snapToGrid w:val="0"/>
        <w:spacing w:line="400" w:lineRule="exact"/>
        <w:ind w:left="-2" w:firstLine="426" w:firstLineChars="203"/>
        <w:rPr>
          <w:rFonts w:cs="仿宋_GB2312"/>
        </w:rPr>
      </w:pPr>
      <w:r>
        <w:rPr>
          <w:rFonts w:hint="eastAsia" w:ascii="宋体" w:hAnsi="宋体" w:cs="仿宋_GB2312"/>
        </w:rPr>
        <w:t>联系人：刘女士</w:t>
      </w:r>
    </w:p>
    <w:p>
      <w:pPr>
        <w:snapToGrid w:val="0"/>
        <w:spacing w:line="400" w:lineRule="exact"/>
        <w:ind w:left="-2" w:firstLine="426" w:firstLineChars="203"/>
        <w:rPr>
          <w:rFonts w:cs="仿宋_GB2312"/>
        </w:rPr>
      </w:pPr>
      <w:r>
        <w:rPr>
          <w:rFonts w:hint="eastAsia" w:ascii="宋体" w:hAnsi="宋体" w:cs="仿宋_GB2312"/>
        </w:rPr>
        <w:t>电话：</w:t>
      </w:r>
      <w:r>
        <w:rPr>
          <w:rFonts w:hint="eastAsia"/>
        </w:rPr>
        <w:t>023-89079045</w:t>
      </w:r>
    </w:p>
    <w:p>
      <w:pPr>
        <w:autoSpaceDE w:val="0"/>
        <w:autoSpaceDN w:val="0"/>
        <w:adjustRightInd w:val="0"/>
        <w:snapToGrid w:val="0"/>
        <w:spacing w:line="440" w:lineRule="exact"/>
        <w:ind w:right="840" w:firstLine="420" w:firstLineChars="200"/>
        <w:rPr>
          <w:rFonts w:hint="eastAsia"/>
        </w:rPr>
      </w:pPr>
      <w:r>
        <w:rPr>
          <w:rFonts w:hint="eastAsia" w:ascii="宋体" w:hAnsi="宋体" w:cs="仿宋_GB2312"/>
        </w:rPr>
        <w:t>传真：</w:t>
      </w:r>
      <w:r>
        <w:rPr>
          <w:rFonts w:hint="eastAsia"/>
        </w:rPr>
        <w:t>023-89079332</w:t>
      </w:r>
    </w:p>
    <w:p>
      <w:pPr>
        <w:pStyle w:val="2"/>
      </w:pPr>
    </w:p>
    <w:p>
      <w:pPr>
        <w:ind w:firstLine="6405" w:firstLineChars="3050"/>
        <w:jc w:val="left"/>
      </w:pPr>
      <w:r>
        <w:rPr>
          <w:rFonts w:hint="eastAsia" w:ascii="宋体" w:hAnsi="宋体"/>
          <w:kern w:val="0"/>
        </w:rPr>
        <w:t>2021年9月1日</w:t>
      </w: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178BD"/>
    <w:rsid w:val="0004785F"/>
    <w:rsid w:val="005C7D16"/>
    <w:rsid w:val="008178BD"/>
    <w:rsid w:val="008E42E6"/>
    <w:rsid w:val="00A87B0C"/>
    <w:rsid w:val="00FD1AE3"/>
    <w:rsid w:val="1FC12335"/>
    <w:rsid w:val="597D1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1"/>
    <w:link w:val="9"/>
    <w:qFormat/>
    <w:uiPriority w:val="99"/>
    <w:pPr>
      <w:keepNext/>
      <w:keepLines/>
      <w:spacing w:before="260" w:after="260" w:line="415" w:lineRule="auto"/>
      <w:outlineLvl w:val="1"/>
    </w:pPr>
    <w:rPr>
      <w:rFonts w:ascii="Cambria" w:hAnsi="Cambria"/>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3"/>
    <w:semiHidden/>
    <w:unhideWhenUsed/>
    <w:uiPriority w:val="99"/>
    <w:pPr>
      <w:ind w:firstLine="420" w:firstLineChars="200"/>
    </w:pPr>
  </w:style>
  <w:style w:type="paragraph" w:styleId="3">
    <w:name w:val="Body Text Indent"/>
    <w:basedOn w:val="1"/>
    <w:link w:val="12"/>
    <w:semiHidden/>
    <w:unhideWhenUsed/>
    <w:uiPriority w:val="99"/>
    <w:pPr>
      <w:spacing w:after="120"/>
      <w:ind w:left="420" w:leftChars="200"/>
    </w:pPr>
  </w:style>
  <w:style w:type="paragraph" w:styleId="5">
    <w:name w:val="Body Text"/>
    <w:basedOn w:val="1"/>
    <w:link w:val="10"/>
    <w:unhideWhenUsed/>
    <w:uiPriority w:val="99"/>
    <w:pPr>
      <w:spacing w:before="100" w:beforeAutospacing="1" w:after="120"/>
    </w:pPr>
  </w:style>
  <w:style w:type="paragraph" w:styleId="6">
    <w:name w:val="Body Text First Indent"/>
    <w:basedOn w:val="5"/>
    <w:link w:val="11"/>
    <w:unhideWhenUsed/>
    <w:uiPriority w:val="99"/>
    <w:pPr>
      <w:ind w:firstLine="420" w:firstLineChars="100"/>
    </w:pPr>
  </w:style>
  <w:style w:type="character" w:customStyle="1" w:styleId="9">
    <w:name w:val="标题 2 Char"/>
    <w:basedOn w:val="8"/>
    <w:link w:val="4"/>
    <w:uiPriority w:val="99"/>
    <w:rPr>
      <w:rFonts w:ascii="Cambria" w:hAnsi="Cambria" w:eastAsia="宋体" w:cs="Times New Roman"/>
      <w:b/>
      <w:bCs/>
      <w:sz w:val="32"/>
      <w:szCs w:val="32"/>
    </w:rPr>
  </w:style>
  <w:style w:type="character" w:customStyle="1" w:styleId="10">
    <w:name w:val="正文文本 Char"/>
    <w:basedOn w:val="8"/>
    <w:link w:val="5"/>
    <w:qFormat/>
    <w:uiPriority w:val="99"/>
    <w:rPr>
      <w:rFonts w:ascii="Times New Roman" w:hAnsi="Times New Roman" w:eastAsia="宋体" w:cs="Times New Roman"/>
      <w:szCs w:val="21"/>
    </w:rPr>
  </w:style>
  <w:style w:type="character" w:customStyle="1" w:styleId="11">
    <w:name w:val="正文首行缩进 Char"/>
    <w:basedOn w:val="10"/>
    <w:link w:val="6"/>
    <w:uiPriority w:val="99"/>
  </w:style>
  <w:style w:type="character" w:customStyle="1" w:styleId="12">
    <w:name w:val="正文文本缩进 Char"/>
    <w:basedOn w:val="8"/>
    <w:link w:val="3"/>
    <w:semiHidden/>
    <w:uiPriority w:val="99"/>
    <w:rPr>
      <w:rFonts w:ascii="Times New Roman" w:hAnsi="Times New Roman" w:eastAsia="宋体" w:cs="Times New Roman"/>
      <w:szCs w:val="21"/>
    </w:rPr>
  </w:style>
  <w:style w:type="character" w:customStyle="1" w:styleId="13">
    <w:name w:val="正文首行缩进 2 Char"/>
    <w:basedOn w:val="12"/>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467</Words>
  <Characters>2665</Characters>
  <Lines>22</Lines>
  <Paragraphs>6</Paragraphs>
  <TotalTime>2</TotalTime>
  <ScaleCrop>false</ScaleCrop>
  <LinksUpToDate>false</LinksUpToDate>
  <CharactersWithSpaces>3126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2021-08-30T08:16:00Z</dcterms:created>
  <dc:creator>liudaohong</dc:creator>
  <cp:lastModifiedBy>liudaohong</cp:lastModifiedBy>
  <dcterms:modified xsi:type="dcterms:W3CDTF">2021-08-30T09:07:00Z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16A9784829B04621ABC739E5647C6F7E</vt:lpwstr>
  </property>
</Properties>
</file>