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重庆高速公路集团有限公司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关于征集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无纸化信息交互终端设备采购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非必须招标项目临时合格供方库单位的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公告</w:t>
      </w:r>
    </w:p>
    <w:p>
      <w:pPr>
        <w:spacing w:line="640" w:lineRule="exact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 xml:space="preserve">    重庆高速集团拟建立部分业务临时非必须招标项目合格供方库，现诚邀满足条件的单位申请入库。现将有关事项公告如下：</w:t>
      </w:r>
    </w:p>
    <w:p>
      <w:pPr>
        <w:numPr>
          <w:ilvl w:val="0"/>
          <w:numId w:val="0"/>
        </w:numPr>
        <w:spacing w:line="640" w:lineRule="exact"/>
        <w:rPr>
          <w:rFonts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sz w:val="33"/>
          <w:szCs w:val="33"/>
        </w:rPr>
        <w:t>合格供方库内容</w:t>
      </w:r>
    </w:p>
    <w:tbl>
      <w:tblPr>
        <w:tblStyle w:val="9"/>
        <w:tblW w:w="8850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557"/>
        <w:gridCol w:w="2967"/>
        <w:gridCol w:w="23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33"/>
                <w:szCs w:val="33"/>
              </w:rPr>
            </w:pPr>
            <w:r>
              <w:rPr>
                <w:rFonts w:hint="eastAsia" w:ascii="方正仿宋_GBK" w:hAnsi="方正仿宋_GBK" w:eastAsia="方正仿宋_GBK" w:cs="方正仿宋_GBK"/>
                <w:sz w:val="33"/>
                <w:szCs w:val="33"/>
              </w:rPr>
              <w:t>序号</w:t>
            </w:r>
          </w:p>
        </w:tc>
        <w:tc>
          <w:tcPr>
            <w:tcW w:w="2557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33"/>
                <w:szCs w:val="33"/>
              </w:rPr>
            </w:pPr>
            <w:r>
              <w:rPr>
                <w:rFonts w:hint="eastAsia" w:ascii="方正仿宋_GBK" w:hAnsi="方正仿宋_GBK" w:eastAsia="方正仿宋_GBK" w:cs="方正仿宋_GBK"/>
                <w:sz w:val="33"/>
                <w:szCs w:val="33"/>
              </w:rPr>
              <w:t>合格供方库类别</w:t>
            </w:r>
            <w:r>
              <w:rPr>
                <w:rFonts w:hint="eastAsia" w:ascii="方正仿宋_GBK" w:hAnsi="方正仿宋_GBK" w:eastAsia="方正仿宋_GBK" w:cs="方正仿宋_GBK"/>
                <w:sz w:val="33"/>
                <w:szCs w:val="33"/>
                <w:lang w:eastAsia="zh-CN"/>
              </w:rPr>
              <w:t>（一级）</w:t>
            </w:r>
          </w:p>
        </w:tc>
        <w:tc>
          <w:tcPr>
            <w:tcW w:w="2967" w:type="dxa"/>
            <w:tcBorders>
              <w:top w:val="inset" w:color="auto" w:sz="6" w:space="0"/>
              <w:left w:val="single" w:color="auto" w:sz="4" w:space="0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33"/>
                <w:szCs w:val="33"/>
              </w:rPr>
            </w:pPr>
            <w:r>
              <w:rPr>
                <w:rFonts w:hint="eastAsia" w:ascii="方正仿宋_GBK" w:hAnsi="方正仿宋_GBK" w:eastAsia="方正仿宋_GBK" w:cs="方正仿宋_GBK"/>
                <w:sz w:val="33"/>
                <w:szCs w:val="33"/>
              </w:rPr>
              <w:t>合格供方库类别</w:t>
            </w:r>
            <w:r>
              <w:rPr>
                <w:rFonts w:hint="eastAsia" w:ascii="方正仿宋_GBK" w:hAnsi="方正仿宋_GBK" w:eastAsia="方正仿宋_GBK" w:cs="方正仿宋_GBK"/>
                <w:sz w:val="33"/>
                <w:szCs w:val="33"/>
                <w:lang w:eastAsia="zh-CN"/>
              </w:rPr>
              <w:t>（二级）</w:t>
            </w:r>
          </w:p>
        </w:tc>
        <w:tc>
          <w:tcPr>
            <w:tcW w:w="2350" w:type="dxa"/>
            <w:tcBorders>
              <w:top w:val="inset" w:color="auto" w:sz="6" w:space="0"/>
              <w:left w:val="single" w:color="auto" w:sz="4" w:space="0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3"/>
                <w:szCs w:val="33"/>
              </w:rPr>
            </w:pPr>
            <w:r>
              <w:rPr>
                <w:rFonts w:hint="eastAsia" w:ascii="方正仿宋_GBK" w:hAnsi="方正仿宋_GBK" w:eastAsia="方正仿宋_GBK" w:cs="方正仿宋_GBK"/>
                <w:sz w:val="33"/>
                <w:szCs w:val="33"/>
              </w:rPr>
              <w:t>入库单位数量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  <w:jc w:val="center"/>
        </w:trPr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方正仿宋_GBK" w:hAnsi="方正仿宋_GBK" w:eastAsia="方正仿宋_GBK" w:cs="方正仿宋_GBK"/>
                <w:sz w:val="33"/>
                <w:szCs w:val="33"/>
              </w:rPr>
            </w:pPr>
            <w:r>
              <w:rPr>
                <w:rFonts w:hint="eastAsia" w:ascii="方正仿宋_GBK" w:hAnsi="方正仿宋_GBK" w:eastAsia="方正仿宋_GBK" w:cs="方正仿宋_GBK"/>
                <w:sz w:val="33"/>
                <w:szCs w:val="33"/>
              </w:rPr>
              <w:t>01</w:t>
            </w:r>
          </w:p>
        </w:tc>
        <w:tc>
          <w:tcPr>
            <w:tcW w:w="2557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方正仿宋_GBK" w:hAnsi="方正仿宋_GBK" w:eastAsia="方正仿宋_GBK" w:cs="方正仿宋_GBK"/>
                <w:sz w:val="33"/>
                <w:szCs w:val="33"/>
              </w:rPr>
            </w:pPr>
            <w:r>
              <w:rPr>
                <w:rFonts w:hint="eastAsia" w:ascii="方正仿宋_GBK" w:hAnsi="方正仿宋_GBK" w:eastAsia="方正仿宋_GBK" w:cs="方正仿宋_GBK"/>
                <w:sz w:val="33"/>
                <w:szCs w:val="33"/>
                <w:lang w:val="en-US" w:eastAsia="zh-CN"/>
              </w:rPr>
              <w:t>物资采购</w:t>
            </w:r>
          </w:p>
        </w:tc>
        <w:tc>
          <w:tcPr>
            <w:tcW w:w="2967" w:type="dxa"/>
            <w:tcBorders>
              <w:top w:val="inset" w:color="auto" w:sz="6" w:space="0"/>
              <w:left w:val="single" w:color="auto" w:sz="4" w:space="0"/>
              <w:bottom w:val="inset" w:color="auto" w:sz="6" w:space="0"/>
              <w:right w:val="in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33"/>
                <w:szCs w:val="33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3"/>
                <w:szCs w:val="33"/>
                <w:lang w:eastAsia="zh-CN"/>
              </w:rPr>
              <w:t>无纸化信息交互终端设备采购</w:t>
            </w:r>
          </w:p>
        </w:tc>
        <w:tc>
          <w:tcPr>
            <w:tcW w:w="2350" w:type="dxa"/>
            <w:tcBorders>
              <w:top w:val="inset" w:color="auto" w:sz="6" w:space="0"/>
              <w:left w:val="single" w:color="auto" w:sz="4" w:space="0"/>
              <w:bottom w:val="inset" w:color="auto" w:sz="6" w:space="0"/>
              <w:right w:val="in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33"/>
                <w:szCs w:val="33"/>
              </w:rPr>
            </w:pPr>
            <w:r>
              <w:rPr>
                <w:rFonts w:hint="eastAsia" w:ascii="方正仿宋_GBK" w:hAnsi="方正仿宋_GBK" w:eastAsia="方正仿宋_GBK" w:cs="方正仿宋_GBK"/>
                <w:sz w:val="33"/>
                <w:szCs w:val="33"/>
              </w:rPr>
              <w:t>≥</w:t>
            </w:r>
            <w:r>
              <w:rPr>
                <w:rFonts w:hint="eastAsia" w:ascii="方正仿宋_GBK" w:hAnsi="方正仿宋_GBK" w:eastAsia="方正仿宋_GBK" w:cs="方正仿宋_GBK"/>
                <w:sz w:val="33"/>
                <w:szCs w:val="33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33"/>
                <w:szCs w:val="33"/>
              </w:rPr>
              <w:t>家</w:t>
            </w:r>
          </w:p>
        </w:tc>
      </w:tr>
    </w:tbl>
    <w:p>
      <w:pPr>
        <w:numPr>
          <w:ilvl w:val="0"/>
          <w:numId w:val="0"/>
        </w:numPr>
        <w:spacing w:line="640" w:lineRule="exact"/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  <w:t>二、申请入库资格要求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6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（一）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应为中国境内注册机构，具有独立法人资格；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6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（二）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持有中国质量认证中心出具的《中国国家强制性产品认证证书》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60" w:firstLineChars="200"/>
        <w:jc w:val="both"/>
        <w:textAlignment w:val="auto"/>
        <w:outlineLvl w:val="9"/>
        <w:rPr>
          <w:rFonts w:hint="eastAsia" w:eastAsiaTheme="minor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（三）未被“信用中国”网站(www.creditchina.gov.cn/)中列入失信被执行人名单。</w:t>
      </w:r>
    </w:p>
    <w:p>
      <w:pPr>
        <w:spacing w:line="640" w:lineRule="exact"/>
        <w:rPr>
          <w:rFonts w:hint="eastAsia"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三、申请入库材料要求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60" w:firstLineChars="200"/>
        <w:jc w:val="both"/>
        <w:textAlignment w:val="auto"/>
        <w:outlineLvl w:val="9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（一）企业营业执照（扫描件）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60" w:firstLineChars="200"/>
        <w:jc w:val="both"/>
        <w:textAlignment w:val="auto"/>
        <w:outlineLvl w:val="9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（二）法定代表人身份证及法定代表人授权委托书（扫描件）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60" w:firstLineChars="200"/>
        <w:jc w:val="both"/>
        <w:textAlignment w:val="auto"/>
        <w:outlineLvl w:val="9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（三）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中国质量认证中心出具的《中国国家强制性产品认证证书》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(扫描件）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60" w:firstLineChars="200"/>
        <w:jc w:val="both"/>
        <w:textAlignment w:val="auto"/>
        <w:outlineLvl w:val="9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（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）企业征信证明（提供“信用中国”查询截图）</w:t>
      </w:r>
    </w:p>
    <w:p>
      <w:pPr>
        <w:spacing w:line="640" w:lineRule="exact"/>
        <w:rPr>
          <w:rFonts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四、申请入库注意事项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60" w:firstLineChars="200"/>
        <w:jc w:val="both"/>
        <w:textAlignment w:val="auto"/>
        <w:outlineLvl w:val="9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（一）申请入库单位符合资格条件可进行申请；对存在不良行为被联合惩戒的单位申请将被拒绝。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6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（二）申请入库单位登陆重庆高速公路集团招投标系统（http://43.240.249.109:8081）注册并按要求上传相关材料扫描件。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660" w:firstLineChars="200"/>
        <w:jc w:val="both"/>
        <w:textAlignment w:val="auto"/>
        <w:outlineLvl w:val="9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（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）入库申请单位须于</w:t>
      </w:r>
      <w:r>
        <w:rPr>
          <w:rFonts w:hint="eastAsia" w:ascii="方正仿宋_GBK" w:hAnsi="方正仿宋_GBK" w:eastAsia="方正仿宋_GBK" w:cs="方正仿宋_GBK"/>
          <w:sz w:val="33"/>
          <w:szCs w:val="33"/>
          <w:highlight w:val="none"/>
        </w:rPr>
        <w:t>202</w:t>
      </w:r>
      <w:r>
        <w:rPr>
          <w:rFonts w:hint="eastAsia" w:ascii="方正仿宋_GBK" w:hAnsi="方正仿宋_GBK" w:eastAsia="方正仿宋_GBK" w:cs="方正仿宋_GBK"/>
          <w:sz w:val="33"/>
          <w:szCs w:val="33"/>
          <w:highlight w:val="none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3"/>
          <w:szCs w:val="33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sz w:val="33"/>
          <w:szCs w:val="33"/>
          <w:highlight w:val="none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3"/>
          <w:szCs w:val="33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sz w:val="33"/>
          <w:szCs w:val="33"/>
          <w:highlight w:val="none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3"/>
          <w:szCs w:val="33"/>
          <w:highlight w:val="none"/>
        </w:rPr>
        <w:t>日</w:t>
      </w:r>
      <w:r>
        <w:rPr>
          <w:rFonts w:hint="eastAsia" w:ascii="方正仿宋_GBK" w:hAnsi="方正仿宋_GBK" w:eastAsia="方正仿宋_GBK" w:cs="方正仿宋_GBK"/>
          <w:sz w:val="33"/>
          <w:szCs w:val="33"/>
          <w:highlight w:val="none"/>
          <w:lang w:val="en-US" w:eastAsia="zh-CN"/>
        </w:rPr>
        <w:t>12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3"/>
          <w:szCs w:val="33"/>
          <w:highlight w:val="none"/>
        </w:rPr>
        <w:t>点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之前提交申请，逾期不再受理（另行通知除外）。</w:t>
      </w:r>
    </w:p>
    <w:p>
      <w:pPr>
        <w:spacing w:line="640" w:lineRule="exact"/>
        <w:rPr>
          <w:rFonts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五、其他事项</w:t>
      </w:r>
    </w:p>
    <w:p>
      <w:pPr>
        <w:spacing w:line="640" w:lineRule="exact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入库申请单位提供的资质、业绩、人员等资料存在弄虚作假情况的，将取消其入选资格，并禁止其参与重庆高速公路集团有限公司其它业务。</w:t>
      </w:r>
    </w:p>
    <w:p>
      <w:pPr>
        <w:ind w:firstLine="5280" w:firstLineChars="1600"/>
        <w:rPr>
          <w:rFonts w:ascii="方正仿宋_GBK" w:hAnsi="方正仿宋_GBK" w:eastAsia="方正仿宋_GBK" w:cs="方正仿宋_GBK"/>
          <w:sz w:val="33"/>
          <w:szCs w:val="33"/>
        </w:rPr>
      </w:pPr>
    </w:p>
    <w:p>
      <w:pPr>
        <w:ind w:firstLine="5280" w:firstLineChars="1600"/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202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年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月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09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日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30B1BAE"/>
    <w:rsid w:val="0002251A"/>
    <w:rsid w:val="00033750"/>
    <w:rsid w:val="00182AD2"/>
    <w:rsid w:val="00184D07"/>
    <w:rsid w:val="001A0EF7"/>
    <w:rsid w:val="001F020D"/>
    <w:rsid w:val="00235157"/>
    <w:rsid w:val="00294C07"/>
    <w:rsid w:val="002D4D0F"/>
    <w:rsid w:val="002D4FB3"/>
    <w:rsid w:val="002E22AD"/>
    <w:rsid w:val="003B486F"/>
    <w:rsid w:val="003E458C"/>
    <w:rsid w:val="004006B4"/>
    <w:rsid w:val="00444D44"/>
    <w:rsid w:val="00490774"/>
    <w:rsid w:val="004E526F"/>
    <w:rsid w:val="00530B21"/>
    <w:rsid w:val="006766E9"/>
    <w:rsid w:val="00697741"/>
    <w:rsid w:val="006B7EAB"/>
    <w:rsid w:val="00741D28"/>
    <w:rsid w:val="00782C09"/>
    <w:rsid w:val="007D0343"/>
    <w:rsid w:val="00844A6F"/>
    <w:rsid w:val="009022BC"/>
    <w:rsid w:val="009544BD"/>
    <w:rsid w:val="00971013"/>
    <w:rsid w:val="00AC1B39"/>
    <w:rsid w:val="00B96A02"/>
    <w:rsid w:val="00BD27F2"/>
    <w:rsid w:val="00C838D1"/>
    <w:rsid w:val="00E358B8"/>
    <w:rsid w:val="00E54086"/>
    <w:rsid w:val="00E74C88"/>
    <w:rsid w:val="00F1253F"/>
    <w:rsid w:val="012B3FCF"/>
    <w:rsid w:val="01E5781D"/>
    <w:rsid w:val="028B7052"/>
    <w:rsid w:val="030B1BAE"/>
    <w:rsid w:val="04DD52E7"/>
    <w:rsid w:val="05410AD9"/>
    <w:rsid w:val="075F0288"/>
    <w:rsid w:val="08D57CB2"/>
    <w:rsid w:val="097C75C2"/>
    <w:rsid w:val="09BE607E"/>
    <w:rsid w:val="0BA2195B"/>
    <w:rsid w:val="0C4D6655"/>
    <w:rsid w:val="0C5F2315"/>
    <w:rsid w:val="10DD7ABB"/>
    <w:rsid w:val="148131A3"/>
    <w:rsid w:val="161830B7"/>
    <w:rsid w:val="167A7F06"/>
    <w:rsid w:val="17AD6F82"/>
    <w:rsid w:val="189C0FFB"/>
    <w:rsid w:val="18A36832"/>
    <w:rsid w:val="18EC329E"/>
    <w:rsid w:val="1AA709B7"/>
    <w:rsid w:val="1B215435"/>
    <w:rsid w:val="1F7F0195"/>
    <w:rsid w:val="204B5CC3"/>
    <w:rsid w:val="20F665CE"/>
    <w:rsid w:val="210E277A"/>
    <w:rsid w:val="26304F91"/>
    <w:rsid w:val="27C52D3E"/>
    <w:rsid w:val="2A0F0DDF"/>
    <w:rsid w:val="2C1D07D9"/>
    <w:rsid w:val="30BB28F3"/>
    <w:rsid w:val="31BC16E3"/>
    <w:rsid w:val="34D6086B"/>
    <w:rsid w:val="352B2BB1"/>
    <w:rsid w:val="354A7F02"/>
    <w:rsid w:val="3801268F"/>
    <w:rsid w:val="3B83693A"/>
    <w:rsid w:val="43F631EC"/>
    <w:rsid w:val="45DA23A2"/>
    <w:rsid w:val="4CCA348B"/>
    <w:rsid w:val="4D3F1624"/>
    <w:rsid w:val="500125F6"/>
    <w:rsid w:val="50AD0272"/>
    <w:rsid w:val="5166672A"/>
    <w:rsid w:val="517A709B"/>
    <w:rsid w:val="52547C15"/>
    <w:rsid w:val="548C705D"/>
    <w:rsid w:val="55331EED"/>
    <w:rsid w:val="556922EA"/>
    <w:rsid w:val="5689503A"/>
    <w:rsid w:val="56AC4B4C"/>
    <w:rsid w:val="589D477A"/>
    <w:rsid w:val="5C2D1EE8"/>
    <w:rsid w:val="5D5A0088"/>
    <w:rsid w:val="5E131AA1"/>
    <w:rsid w:val="5E274AF1"/>
    <w:rsid w:val="5F9C4403"/>
    <w:rsid w:val="60AD5567"/>
    <w:rsid w:val="60E606EC"/>
    <w:rsid w:val="646B41E1"/>
    <w:rsid w:val="668656C0"/>
    <w:rsid w:val="683777E6"/>
    <w:rsid w:val="68724CAE"/>
    <w:rsid w:val="6C7256DB"/>
    <w:rsid w:val="6C861FFE"/>
    <w:rsid w:val="724103F4"/>
    <w:rsid w:val="76E24B77"/>
    <w:rsid w:val="7CB16223"/>
    <w:rsid w:val="7E3D7AAD"/>
    <w:rsid w:val="7FBC1C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7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line="450" w:lineRule="atLeast"/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rFonts w:hint="default" w:ascii="Arial" w:hAnsi="Arial" w:eastAsia="Arial" w:cs="Arial"/>
      <w:color w:val="333333"/>
      <w:sz w:val="21"/>
      <w:szCs w:val="21"/>
      <w:u w:val="none"/>
    </w:rPr>
  </w:style>
  <w:style w:type="character" w:styleId="8">
    <w:name w:val="Hyperlink"/>
    <w:basedOn w:val="6"/>
    <w:qFormat/>
    <w:uiPriority w:val="0"/>
    <w:rPr>
      <w:rFonts w:ascii="Arial" w:hAnsi="Arial" w:eastAsia="Arial" w:cs="Arial"/>
      <w:color w:val="333333"/>
      <w:sz w:val="21"/>
      <w:szCs w:val="21"/>
      <w:u w:val="none"/>
    </w:rPr>
  </w:style>
  <w:style w:type="character" w:customStyle="1" w:styleId="10">
    <w:name w:val="hover48"/>
    <w:basedOn w:val="6"/>
    <w:qFormat/>
    <w:uiPriority w:val="0"/>
    <w:rPr>
      <w:shd w:val="clear" w:color="auto" w:fill="346AC3"/>
    </w:rPr>
  </w:style>
  <w:style w:type="character" w:customStyle="1" w:styleId="11">
    <w:name w:val="hover49"/>
    <w:basedOn w:val="6"/>
    <w:qFormat/>
    <w:uiPriority w:val="0"/>
    <w:rPr>
      <w:color w:val="4285F4"/>
      <w:u w:val="none"/>
    </w:rPr>
  </w:style>
  <w:style w:type="character" w:customStyle="1" w:styleId="12">
    <w:name w:val="hover50"/>
    <w:basedOn w:val="6"/>
    <w:qFormat/>
    <w:uiPriority w:val="0"/>
    <w:rPr>
      <w:color w:val="4285F4"/>
    </w:rPr>
  </w:style>
  <w:style w:type="character" w:customStyle="1" w:styleId="13">
    <w:name w:val="hover51"/>
    <w:basedOn w:val="6"/>
    <w:qFormat/>
    <w:uiPriority w:val="0"/>
    <w:rPr>
      <w:color w:val="1A85D7"/>
    </w:rPr>
  </w:style>
  <w:style w:type="character" w:customStyle="1" w:styleId="14">
    <w:name w:val="hover52"/>
    <w:basedOn w:val="6"/>
    <w:qFormat/>
    <w:uiPriority w:val="0"/>
  </w:style>
  <w:style w:type="character" w:customStyle="1" w:styleId="15">
    <w:name w:val="credit"/>
    <w:basedOn w:val="6"/>
    <w:qFormat/>
    <w:uiPriority w:val="0"/>
    <w:rPr>
      <w:sz w:val="18"/>
      <w:szCs w:val="18"/>
    </w:rPr>
  </w:style>
  <w:style w:type="character" w:customStyle="1" w:styleId="16">
    <w:name w:val="after"/>
    <w:basedOn w:val="6"/>
    <w:qFormat/>
    <w:uiPriority w:val="0"/>
    <w:rPr>
      <w:bdr w:val="dashed" w:color="auto" w:sz="48" w:space="0"/>
    </w:rPr>
  </w:style>
  <w:style w:type="character" w:customStyle="1" w:styleId="17">
    <w:name w:val="before"/>
    <w:basedOn w:val="6"/>
    <w:qFormat/>
    <w:uiPriority w:val="0"/>
    <w:rPr>
      <w:bdr w:val="single" w:color="auto" w:sz="48" w:space="0"/>
    </w:rPr>
  </w:style>
  <w:style w:type="character" w:customStyle="1" w:styleId="18">
    <w:name w:val="first-child"/>
    <w:basedOn w:val="6"/>
    <w:qFormat/>
    <w:uiPriority w:val="0"/>
  </w:style>
  <w:style w:type="character" w:customStyle="1" w:styleId="19">
    <w:name w:val="hover"/>
    <w:basedOn w:val="6"/>
    <w:qFormat/>
    <w:uiPriority w:val="0"/>
    <w:rPr>
      <w:shd w:val="clear" w:color="auto" w:fill="346AC3"/>
    </w:rPr>
  </w:style>
  <w:style w:type="character" w:customStyle="1" w:styleId="20">
    <w:name w:val="hover1"/>
    <w:basedOn w:val="6"/>
    <w:qFormat/>
    <w:uiPriority w:val="0"/>
    <w:rPr>
      <w:color w:val="1A85D7"/>
    </w:rPr>
  </w:style>
  <w:style w:type="character" w:customStyle="1" w:styleId="21">
    <w:name w:val="hover2"/>
    <w:basedOn w:val="6"/>
    <w:qFormat/>
    <w:uiPriority w:val="0"/>
    <w:rPr>
      <w:color w:val="4285F4"/>
    </w:rPr>
  </w:style>
  <w:style w:type="character" w:customStyle="1" w:styleId="22">
    <w:name w:val="hover3"/>
    <w:basedOn w:val="6"/>
    <w:qFormat/>
    <w:uiPriority w:val="0"/>
    <w:rPr>
      <w:color w:val="4285F4"/>
      <w:u w:val="none"/>
    </w:rPr>
  </w:style>
  <w:style w:type="character" w:customStyle="1" w:styleId="23">
    <w:name w:val="hover4"/>
    <w:basedOn w:val="6"/>
    <w:qFormat/>
    <w:uiPriority w:val="0"/>
  </w:style>
  <w:style w:type="character" w:customStyle="1" w:styleId="24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120</Words>
  <Characters>688</Characters>
  <Lines>5</Lines>
  <Paragraphs>1</Paragraphs>
  <TotalTime>0</TotalTime>
  <ScaleCrop>false</ScaleCrop>
  <LinksUpToDate>false</LinksUpToDate>
  <CharactersWithSpaces>807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2020-03-25T03:27:00Z</dcterms:created>
  <dc:creator>陈艳</dc:creator>
  <cp:lastModifiedBy>﹏▓卿厛囘忆 </cp:lastModifiedBy>
  <cp:lastPrinted>2020-08-24T02:46:00Z</cp:lastPrinted>
  <dcterms:modified xsi:type="dcterms:W3CDTF">2020-10-12T04:05:06Z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