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
          <w:color w:val="auto"/>
          <w:sz w:val="44"/>
          <w:szCs w:val="44"/>
          <w:highlight w:val="none"/>
        </w:rPr>
      </w:pPr>
      <w:r>
        <w:rPr>
          <w:rFonts w:hint="eastAsia" w:ascii="方正小标宋_GBK" w:hAnsi="方正小标宋_GBK" w:eastAsia="方正小标宋_GBK" w:cs="方正小标宋_GBK"/>
          <w:b/>
          <w:color w:val="auto"/>
          <w:sz w:val="44"/>
          <w:szCs w:val="44"/>
          <w:highlight w:val="none"/>
        </w:rPr>
        <w:t>重庆通力高速公路养护工程有限公司</w:t>
      </w:r>
    </w:p>
    <w:p>
      <w:pPr>
        <w:spacing w:line="600" w:lineRule="exact"/>
        <w:jc w:val="center"/>
        <w:rPr>
          <w:rFonts w:ascii="方正小标宋_GBK" w:hAnsi="方正仿宋_GBK" w:eastAsia="方正小标宋_GBK" w:cs="方正仿宋_GBK"/>
          <w:b/>
          <w:color w:val="auto"/>
          <w:sz w:val="32"/>
          <w:szCs w:val="32"/>
          <w:highlight w:val="none"/>
        </w:rPr>
      </w:pPr>
      <w:r>
        <w:rPr>
          <w:rFonts w:hint="eastAsia" w:ascii="方正小标宋_GBK" w:hAnsi="方正小标宋_GBK" w:eastAsia="方正小标宋_GBK" w:cs="方正小标宋_GBK"/>
          <w:b/>
          <w:color w:val="auto"/>
          <w:sz w:val="44"/>
          <w:szCs w:val="44"/>
          <w:highlight w:val="none"/>
        </w:rPr>
        <w:t>公开发布</w:t>
      </w:r>
      <w:r>
        <w:rPr>
          <w:rFonts w:hint="eastAsia" w:ascii="方正小标宋_GBK" w:hAnsi="方正小标宋_GBK" w:eastAsia="方正小标宋_GBK" w:cs="方正小标宋_GBK"/>
          <w:b/>
          <w:color w:val="auto"/>
          <w:sz w:val="44"/>
          <w:szCs w:val="44"/>
          <w:highlight w:val="none"/>
          <w:lang w:val="en-US" w:eastAsia="zh-CN"/>
        </w:rPr>
        <w:t>三沥公司2023-2025年度经营管理</w:t>
      </w:r>
      <w:r>
        <w:rPr>
          <w:rFonts w:hint="eastAsia" w:ascii="方正小标宋_GBK" w:hAnsi="方正小标宋_GBK" w:eastAsia="方正小标宋_GBK" w:cs="方正小标宋_GBK"/>
          <w:b/>
          <w:color w:val="auto"/>
          <w:sz w:val="44"/>
          <w:szCs w:val="44"/>
          <w:highlight w:val="none"/>
        </w:rPr>
        <w:t>“揭榜挂帅”榜单任务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b/>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沥高科是重庆市唯一一家国有企业生产改性沥青公司，视产品质量和信誉为生命线，为助推三沥公司沥青深加工业务转型升级高质量发展，有效激发各业务板块管理创效和经营创新动能，按照市国资委党委《关于加快推进三项制度改革专项行动的通知》（渝国资〔2020〕477号）精神和高速集团“揭榜挂帅”部署要求，结合公司实际，现公开发布重庆通力高速公路养护工程有限公司（以下简称：通力公司）“揭榜挂帅”榜单任务，具体如下：</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一、“揭榜挂帅”榜单</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三沥公司2023-2025年度经营管理，揭榜人任三沥公司总经理。</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二、“揭榜挂帅”领导小组</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为确保“揭榜挂帅”任务顺利进行，遴选出能够完成任务的优秀人选，特成立“揭榜挂帅”领导小组，全面负责本次“揭榜挂帅”工作，明确榜单任务、制定考核指标、实施考核并兑现奖惩。 </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领导小组成员名单</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组长：党委书记、董事长  </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副组长：党委副书记、总经理</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成员：公司其他领导班子成员</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领导小组下设办公室：由公司党群人力部主任任办公室主任，公司各部门负责人任成员，日常事务由公司党群人力部承担。</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三、榜单任务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本次三沥公司2023-2025年度经营管理揭榜挂帅指标的设定结合三沥公司可研报告及同行业企业进行测算后拟定。</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（一）目标任务：三沥公司2023-2025年度经营管理，3年累计完成营业收入</w:t>
      </w:r>
      <w:r>
        <w:rPr>
          <w:rFonts w:hint="eastAsia" w:ascii="方正仿宋_GBK" w:hAnsi="方正仿宋_GBK" w:eastAsia="方正仿宋_GBK" w:cs="方正仿宋_GBK"/>
          <w:color w:val="auto"/>
          <w:sz w:val="32"/>
          <w:szCs w:val="32"/>
          <w:highlight w:val="none"/>
          <w:lang w:val="en-US" w:eastAsia="zh-CN"/>
        </w:rPr>
        <w:t>21700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i/>
          <w:iCs/>
          <w:color w:val="auto"/>
          <w:sz w:val="32"/>
          <w:szCs w:val="32"/>
          <w:highlight w:val="none"/>
        </w:rPr>
        <w:t>，</w:t>
      </w:r>
      <w:r>
        <w:rPr>
          <w:rFonts w:hint="eastAsia" w:ascii="方正仿宋_GBK" w:hAnsi="方正仿宋_GBK" w:eastAsia="方正仿宋_GBK" w:cs="方正仿宋_GBK"/>
          <w:color w:val="auto"/>
          <w:sz w:val="32"/>
          <w:szCs w:val="32"/>
          <w:highlight w:val="none"/>
        </w:rPr>
        <w:t>其中，市场化业务累计营业收入总额不低于9860万元，3年累计净利润总额</w:t>
      </w:r>
      <w:r>
        <w:rPr>
          <w:rFonts w:hint="eastAsia" w:ascii="方正仿宋_GBK" w:hAnsi="方正仿宋_GBK" w:eastAsia="方正仿宋_GBK" w:cs="方正仿宋_GBK"/>
          <w:color w:val="auto"/>
          <w:sz w:val="32"/>
          <w:szCs w:val="32"/>
          <w:highlight w:val="none"/>
          <w:lang w:val="en-US" w:eastAsia="zh-CN"/>
        </w:rPr>
        <w:t>577</w:t>
      </w:r>
      <w:r>
        <w:rPr>
          <w:rFonts w:hint="eastAsia" w:ascii="方正仿宋_GBK" w:hAnsi="方正仿宋_GBK" w:eastAsia="方正仿宋_GBK" w:cs="方正仿宋_GBK"/>
          <w:color w:val="auto"/>
          <w:sz w:val="32"/>
          <w:szCs w:val="32"/>
          <w:highlight w:val="none"/>
        </w:rPr>
        <w:t>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市场化业务认定范围：合同甲方为除集团全资、控股公司以外的其他公司的业务。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（二）任务指标分解如下：</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1、2023年：完成生产线改造，恢复生产，实现年度营业收入6670万元（市场化营收2618万元），完成沥青业务70000吨，净利润为</w:t>
      </w:r>
      <w:r>
        <w:rPr>
          <w:rFonts w:hint="eastAsia" w:ascii="方正仿宋_GBK" w:hAnsi="方正仿宋_GBK" w:eastAsia="方正仿宋_GBK" w:cs="方正仿宋_GBK"/>
          <w:color w:val="auto"/>
          <w:sz w:val="32"/>
          <w:szCs w:val="32"/>
          <w:highlight w:val="none"/>
          <w:lang w:val="en-US" w:eastAsia="zh-CN"/>
        </w:rPr>
        <w:t>99</w:t>
      </w:r>
      <w:r>
        <w:rPr>
          <w:rFonts w:hint="eastAsia" w:ascii="方正仿宋_GBK" w:hAnsi="方正仿宋_GBK" w:eastAsia="方正仿宋_GBK" w:cs="方正仿宋_GBK"/>
          <w:color w:val="auto"/>
          <w:sz w:val="32"/>
          <w:szCs w:val="32"/>
          <w:highlight w:val="none"/>
        </w:rPr>
        <w:t>万元，确保2023年度扭亏为赢。</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2、2024年：完成年度营业收入7000万元（市场化营收3298万元），完成沥青业务80000吨，净利润不低于</w:t>
      </w:r>
      <w:r>
        <w:rPr>
          <w:rFonts w:hint="eastAsia" w:ascii="方正仿宋_GBK" w:hAnsi="方正仿宋_GBK" w:eastAsia="方正仿宋_GBK" w:cs="方正仿宋_GBK"/>
          <w:color w:val="auto"/>
          <w:sz w:val="32"/>
          <w:szCs w:val="32"/>
          <w:highlight w:val="none"/>
          <w:lang w:val="en-US" w:eastAsia="zh-CN"/>
        </w:rPr>
        <w:t>179</w:t>
      </w:r>
      <w:r>
        <w:rPr>
          <w:rFonts w:hint="eastAsia" w:ascii="方正仿宋_GBK" w:hAnsi="方正仿宋_GBK" w:eastAsia="方正仿宋_GBK" w:cs="方正仿宋_GBK"/>
          <w:color w:val="auto"/>
          <w:sz w:val="32"/>
          <w:szCs w:val="32"/>
          <w:highlight w:val="none"/>
        </w:rPr>
        <w:t>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3、2025年：完成年度营业收入8030万元（市场化营收3944万元），完成沥青业务90000吨，净利润不低于</w:t>
      </w:r>
      <w:r>
        <w:rPr>
          <w:rFonts w:hint="eastAsia" w:ascii="方正仿宋_GBK" w:hAnsi="方正仿宋_GBK" w:eastAsia="方正仿宋_GBK" w:cs="方正仿宋_GBK"/>
          <w:color w:val="auto"/>
          <w:sz w:val="32"/>
          <w:szCs w:val="32"/>
          <w:highlight w:val="none"/>
          <w:lang w:val="en-US" w:eastAsia="zh-CN"/>
        </w:rPr>
        <w:t>299</w:t>
      </w:r>
      <w:r>
        <w:rPr>
          <w:rFonts w:hint="eastAsia" w:ascii="方正仿宋_GBK" w:hAnsi="方正仿宋_GBK" w:eastAsia="方正仿宋_GBK" w:cs="方正仿宋_GBK"/>
          <w:color w:val="auto"/>
          <w:sz w:val="32"/>
          <w:szCs w:val="32"/>
          <w:highlight w:val="none"/>
        </w:rPr>
        <w:t>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任务下达：各年度目标通过签订《经营业绩责任书》的方式明确。营业收入、净利润目标值原则上不得低于揭榜人的中标值，若揭榜人竞榜时的指标高于公司设定的目标值，按揭榜人竞榜指标下达，最终以当年签订的目标责任书为准。</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四、揭榜要求</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（一）揭榜人资格条件</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1、政治思想素质好。讲政治、顾大局、守纪律，具有良好的职业操守和道德品质。</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2、业务能力突出。具有相应专业背景及相关类似经营管理经验，具有生产经营、施工管理及市场开拓的综合能力，责任心强、善沟通，能够带领团队攻坚克难。</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3、面向全社会。满足条件均可报名参与揭榜。</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（二）揭榜人基本权利</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1、揭榜人全面主持三沥公司生产经营管理工作。</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2、团队组建权（团队人员数量不超过三沥公司核定编制数）。</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3、团队成员绩效工资、超额利润奖的分配权。</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（三）揭榜人基本义务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1、必须遵守法律法规及有关规章制度。</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2、必须贯彻落实上级党组织的部署要求，加强党的基层组织建设和党风廉政建设。</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3、经营管理中的决策过程必须严格执行国有企业“三重一大”制度规定。</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4、应当遵守榜单约定的其他义务。</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（四）揭榜方式</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在全社会范围内发榜、揭榜，全过程公开进行，鼓励符合资格条件的人员踊跃报名，通过综合评审，择优确定揭榜人选。揭榜人可自行组织管理团队报公司备案。</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签订《劳动合同书》。按照《劳动合同法》等法律法规，由三沥公司与揭榜人签订。通力公司内揭榜人，签订劳动合同补充协议；高速集团系统内其他公司揭榜人，签订三方协议及劳动合同补充协议；高速集团系统外的揭榜人，签订以完成一定工作任务为期限的劳动合同。</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签订《三沥公司职业经理人聘书》。《三沥公司职业经理人聘书》内容应包括双方基本信息、聘用岗位、聘用期限、职责与工作目标、权利义务、考核评价、薪酬标准、履职待遇及福利、奖惩、离职或解聘条件、竞业禁止、违约责任追究等事项，由三沥公司与揭榜人签订。聘期原则上与劳动合同期限一致。</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3.签订《经营业绩责任书》。分为年度和任期经营业绩责任书，内容应包括双方基本信息、考核内容及指标、考核目标、考评方法及计分规则、考评实施及奖惩等内容。由三沥公司与揭榜人签订。</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4、来自高速集团系统外的揭榜人，其人事档案应委托人才服务机构管理；是中共党员的，其党组织关系应转入三沥公司所属党组织管理。</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五、薪酬及考核</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（一）薪酬构成</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揭榜人薪酬由基本年薪、专项绩效、超额利润提出奖励三部分组成。</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（1）基本年薪</w:t>
      </w:r>
      <w:r>
        <w:rPr>
          <w:rFonts w:hint="eastAsia" w:ascii="方正仿宋_GBK" w:hAnsi="方正仿宋_GBK" w:eastAsia="方正仿宋_GBK" w:cs="方正仿宋_GBK"/>
          <w:color w:val="auto"/>
          <w:kern w:val="0"/>
          <w:sz w:val="32"/>
          <w:szCs w:val="32"/>
          <w:highlight w:val="none"/>
        </w:rPr>
        <w:t>是揭榜人的年度基本收入，</w:t>
      </w:r>
      <w:r>
        <w:rPr>
          <w:rFonts w:hint="eastAsia" w:ascii="方正仿宋_GBK" w:hAnsi="方正仿宋_GBK" w:eastAsia="方正仿宋_GBK" w:cs="方正仿宋_GBK"/>
          <w:color w:val="auto"/>
          <w:sz w:val="32"/>
          <w:szCs w:val="32"/>
          <w:highlight w:val="none"/>
        </w:rPr>
        <w:t>标准为12万元/年。</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（2）专项绩效是完成本公司或上级单位</w:t>
      </w:r>
      <w:r>
        <w:rPr>
          <w:rFonts w:hint="eastAsia" w:ascii="方正仿宋_GBK" w:hAnsi="方正仿宋_GBK" w:eastAsia="方正仿宋_GBK" w:cs="方正仿宋_GBK"/>
          <w:color w:val="auto"/>
          <w:kern w:val="0"/>
          <w:sz w:val="32"/>
          <w:szCs w:val="32"/>
          <w:highlight w:val="none"/>
        </w:rPr>
        <w:t>统一安排的专项分配项目（业务），</w:t>
      </w:r>
      <w:r>
        <w:rPr>
          <w:rFonts w:hint="eastAsia" w:ascii="方正仿宋_GBK" w:hAnsi="方正仿宋_GBK" w:eastAsia="方正仿宋_GBK" w:cs="方正仿宋_GBK"/>
          <w:color w:val="auto"/>
          <w:sz w:val="32"/>
          <w:szCs w:val="32"/>
          <w:highlight w:val="none"/>
        </w:rPr>
        <w:t>根据年度</w:t>
      </w:r>
      <w:r>
        <w:rPr>
          <w:rFonts w:hint="eastAsia" w:ascii="方正仿宋_GBK" w:hAnsi="方正仿宋_GBK" w:eastAsia="方正仿宋_GBK" w:cs="方正仿宋_GBK"/>
          <w:color w:val="auto"/>
          <w:kern w:val="0"/>
          <w:sz w:val="32"/>
          <w:szCs w:val="32"/>
          <w:highlight w:val="none"/>
        </w:rPr>
        <w:t>专项分配项目（业务）</w:t>
      </w:r>
      <w:r>
        <w:rPr>
          <w:rFonts w:hint="eastAsia" w:ascii="方正仿宋_GBK" w:hAnsi="方正仿宋_GBK" w:eastAsia="方正仿宋_GBK" w:cs="方正仿宋_GBK"/>
          <w:color w:val="auto"/>
          <w:sz w:val="32"/>
          <w:szCs w:val="32"/>
          <w:highlight w:val="none"/>
        </w:rPr>
        <w:t>完成情况考核结果核发的绩效，揭榜人专项绩效基数为基本年薪的</w:t>
      </w:r>
      <w:r>
        <w:rPr>
          <w:rFonts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倍。</w:t>
      </w:r>
    </w:p>
    <w:p>
      <w:pPr>
        <w:numPr>
          <w:ilvl w:val="255"/>
          <w:numId w:val="0"/>
        </w:num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超额利润提成奖是指实际完成的净利润超过目标净利润部分的奖励，根据年度超额利润完成情况予以计提，由揭榜人及其团队成员共享。在保证不超过可计提超额利润奖总额的情况下，揭榜人可根据其团队成员或其他相关人员工作贡献大小，对超额利润奖进行分配，报公司揭榜挂帅领导小组备案后计发。</w:t>
      </w:r>
    </w:p>
    <w:p>
      <w:pPr>
        <w:numPr>
          <w:ilvl w:val="255"/>
          <w:numId w:val="0"/>
        </w:num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（4）揭榜人年薪除基本年薪、专项绩效、超额利润奖以外，不得领取其他各类津补贴、加班工资等工资性收入。（证书津贴可根据公司资质相关需要，按照相应管理办法另行约定）</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（二）考核管理</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1、签订《三沥公司2023-2025年度经营业绩责任书》，明确揭榜人目标任务、任务薪酬、目标奖惩、风险抵押金及相应考核管理约定等，按照该责任书对揭榜人及其揭榜团队进行经营业绩目标考核。</w:t>
      </w:r>
    </w:p>
    <w:p>
      <w:pPr>
        <w:spacing w:line="560" w:lineRule="exact"/>
        <w:ind w:firstLine="640" w:firstLineChars="200"/>
        <w:rPr>
          <w:rFonts w:ascii="方正仿宋_GBK" w:hAnsi="方正仿宋_GBK" w:eastAsia="仿宋_GB2312"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专项绩效考核指标由通力公司根据本年度榜单任务指标、内控管理要求进行下达年度综合管理考核指标，其中营收指标占比20%，净利润指标占比60%，管理评价占比20%。营收指标、净利润指标，即为本年度榜单任务指标，</w:t>
      </w:r>
      <w:r>
        <w:rPr>
          <w:rFonts w:hint="eastAsia" w:ascii="仿宋_GB2312" w:hAnsi="宋体" w:eastAsia="仿宋_GB2312"/>
          <w:color w:val="auto"/>
          <w:kern w:val="0"/>
          <w:sz w:val="32"/>
          <w:szCs w:val="32"/>
          <w:highlight w:val="none"/>
        </w:rPr>
        <w:t>管理评价按各项规范管理检查得分</w:t>
      </w:r>
      <w:r>
        <w:rPr>
          <w:rFonts w:hint="eastAsia" w:ascii="仿宋_GB2312" w:eastAsia="仿宋_GB2312"/>
          <w:color w:val="auto"/>
          <w:sz w:val="32"/>
          <w:szCs w:val="32"/>
          <w:highlight w:val="none"/>
        </w:rPr>
        <w:t>加权求和确定。</w:t>
      </w:r>
    </w:p>
    <w:p>
      <w:pPr>
        <w:adjustRightInd w:val="0"/>
        <w:snapToGrid w:val="0"/>
        <w:spacing w:line="560" w:lineRule="exact"/>
        <w:ind w:firstLine="640" w:firstLineChars="200"/>
        <w:rPr>
          <w:rFonts w:hint="eastAsia" w:ascii="仿宋_GB2312" w:hAnsi="宋体" w:eastAsia="仿宋_GB2312"/>
          <w:color w:val="auto"/>
          <w:kern w:val="0"/>
          <w:sz w:val="32"/>
          <w:szCs w:val="32"/>
          <w:highlight w:val="none"/>
        </w:rPr>
      </w:pPr>
      <w:r>
        <w:rPr>
          <w:rFonts w:hint="eastAsia" w:ascii="仿宋_GB2312" w:hAnsi="宋体" w:eastAsia="仿宋_GB2312" w:cstheme="minorBidi"/>
          <w:color w:val="auto"/>
          <w:kern w:val="0"/>
          <w:sz w:val="32"/>
          <w:szCs w:val="32"/>
          <w:highlight w:val="none"/>
        </w:rPr>
        <w:t>专项绩效=专项绩效基数×</w:t>
      </w:r>
      <w:r>
        <w:rPr>
          <w:rFonts w:hint="eastAsia" w:ascii="仿宋_GB2312" w:hAnsi="宋体" w:eastAsia="仿宋_GB2312" w:cstheme="minorBidi"/>
          <w:b w:val="0"/>
          <w:bCs w:val="0"/>
          <w:color w:val="auto"/>
          <w:kern w:val="0"/>
          <w:sz w:val="32"/>
          <w:szCs w:val="32"/>
          <w:highlight w:val="none"/>
        </w:rPr>
        <w:t>年度综合管理考核</w:t>
      </w:r>
      <w:r>
        <w:rPr>
          <w:rFonts w:hint="eastAsia" w:ascii="仿宋_GB2312" w:hAnsi="宋体" w:eastAsia="仿宋_GB2312" w:cstheme="minorBidi"/>
          <w:b w:val="0"/>
          <w:bCs w:val="0"/>
          <w:color w:val="auto"/>
          <w:kern w:val="0"/>
          <w:sz w:val="32"/>
          <w:szCs w:val="32"/>
          <w:highlight w:val="none"/>
          <w:lang w:val="en-US" w:eastAsia="zh-CN"/>
        </w:rPr>
        <w:t>得分=</w:t>
      </w:r>
      <w:r>
        <w:rPr>
          <w:rFonts w:hint="eastAsia" w:ascii="仿宋_GB2312" w:hAnsi="宋体" w:eastAsia="仿宋_GB2312" w:cstheme="minorBidi"/>
          <w:color w:val="auto"/>
          <w:kern w:val="0"/>
          <w:sz w:val="32"/>
          <w:szCs w:val="32"/>
          <w:highlight w:val="none"/>
        </w:rPr>
        <w:t>专项绩效基数×（20</w:t>
      </w:r>
      <w:r>
        <w:rPr>
          <w:rFonts w:hint="eastAsia" w:ascii="仿宋_GB2312" w:hAnsi="宋体" w:eastAsia="仿宋_GB2312" w:cstheme="minorBidi"/>
          <w:b w:val="0"/>
          <w:color w:val="auto"/>
          <w:kern w:val="0"/>
          <w:sz w:val="32"/>
          <w:szCs w:val="32"/>
          <w:highlight w:val="none"/>
        </w:rPr>
        <w:t>%×营收</w:t>
      </w:r>
      <w:r>
        <w:rPr>
          <w:rFonts w:hint="eastAsia" w:ascii="仿宋_GB2312" w:hAnsi="宋体" w:eastAsia="仿宋_GB2312" w:cstheme="minorBidi"/>
          <w:b w:val="0"/>
          <w:color w:val="auto"/>
          <w:kern w:val="0"/>
          <w:sz w:val="32"/>
          <w:szCs w:val="32"/>
          <w:highlight w:val="none"/>
          <w:lang w:val="en-US" w:eastAsia="zh-CN"/>
        </w:rPr>
        <w:t>完成率</w:t>
      </w:r>
      <w:r>
        <w:rPr>
          <w:rFonts w:hint="eastAsia" w:ascii="仿宋_GB2312" w:hAnsi="宋体" w:eastAsia="仿宋_GB2312" w:cstheme="minorBidi"/>
          <w:b w:val="0"/>
          <w:color w:val="auto"/>
          <w:kern w:val="0"/>
          <w:sz w:val="32"/>
          <w:szCs w:val="32"/>
          <w:highlight w:val="none"/>
        </w:rPr>
        <w:t>×100+60%×净利润</w:t>
      </w:r>
      <w:r>
        <w:rPr>
          <w:rFonts w:hint="eastAsia" w:ascii="仿宋_GB2312" w:hAnsi="宋体" w:eastAsia="仿宋_GB2312" w:cstheme="minorBidi"/>
          <w:b w:val="0"/>
          <w:color w:val="auto"/>
          <w:kern w:val="0"/>
          <w:sz w:val="32"/>
          <w:szCs w:val="32"/>
          <w:highlight w:val="none"/>
          <w:lang w:val="en-US" w:eastAsia="zh-CN"/>
        </w:rPr>
        <w:t>完成率</w:t>
      </w:r>
      <w:r>
        <w:rPr>
          <w:rFonts w:hint="eastAsia" w:ascii="仿宋_GB2312" w:hAnsi="宋体" w:eastAsia="仿宋_GB2312" w:cstheme="minorBidi"/>
          <w:b w:val="0"/>
          <w:color w:val="auto"/>
          <w:kern w:val="0"/>
          <w:sz w:val="32"/>
          <w:szCs w:val="32"/>
          <w:highlight w:val="none"/>
        </w:rPr>
        <w:t>×100+</w:t>
      </w:r>
      <w:r>
        <w:rPr>
          <w:rFonts w:hint="eastAsia" w:ascii="仿宋_GB2312" w:hAnsi="宋体" w:eastAsia="仿宋_GB2312" w:cstheme="minorBidi"/>
          <w:color w:val="auto"/>
          <w:kern w:val="0"/>
          <w:sz w:val="32"/>
          <w:szCs w:val="32"/>
          <w:highlight w:val="none"/>
        </w:rPr>
        <w:t xml:space="preserve"> 20</w:t>
      </w:r>
      <w:r>
        <w:rPr>
          <w:rFonts w:hint="eastAsia" w:ascii="仿宋_GB2312" w:hAnsi="宋体" w:eastAsia="仿宋_GB2312" w:cstheme="minorBidi"/>
          <w:b w:val="0"/>
          <w:color w:val="auto"/>
          <w:kern w:val="0"/>
          <w:sz w:val="32"/>
          <w:szCs w:val="32"/>
          <w:highlight w:val="none"/>
        </w:rPr>
        <w:t>%×管理评价</w:t>
      </w:r>
      <w:r>
        <w:rPr>
          <w:rFonts w:hint="eastAsia" w:ascii="仿宋_GB2312" w:hAnsi="宋体" w:eastAsia="仿宋_GB2312" w:cstheme="minorBidi"/>
          <w:b w:val="0"/>
          <w:color w:val="auto"/>
          <w:kern w:val="0"/>
          <w:sz w:val="32"/>
          <w:szCs w:val="32"/>
          <w:highlight w:val="none"/>
          <w:lang w:val="en-US" w:eastAsia="zh-CN"/>
        </w:rPr>
        <w:t>考核情况</w:t>
      </w:r>
      <w:r>
        <w:rPr>
          <w:rFonts w:hint="eastAsia" w:ascii="仿宋_GB2312" w:hAnsi="宋体" w:eastAsia="仿宋_GB2312" w:cstheme="minorBidi"/>
          <w:color w:val="auto"/>
          <w:kern w:val="0"/>
          <w:sz w:val="32"/>
          <w:szCs w:val="32"/>
          <w:highlight w:val="none"/>
        </w:rPr>
        <w:t>）</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经营期末将按三年经营期的业务整体完成情况对经营期专项绩效总额进行清算，清算公式如下：</w:t>
      </w:r>
    </w:p>
    <w:p>
      <w:pPr>
        <w:adjustRightInd w:val="0"/>
        <w:snapToGrid w:val="0"/>
        <w:spacing w:line="560" w:lineRule="exact"/>
        <w:ind w:firstLine="640" w:firstLineChars="200"/>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sz w:val="32"/>
          <w:szCs w:val="32"/>
          <w:highlight w:val="none"/>
        </w:rPr>
        <w:t>经营期专项绩效=</w:t>
      </w:r>
      <w:r>
        <w:rPr>
          <w:rFonts w:hint="eastAsia" w:ascii="方正仿宋_GBK" w:hAnsi="方正仿宋_GBK" w:eastAsia="方正仿宋_GBK" w:cs="方正仿宋_GBK"/>
          <w:color w:val="auto"/>
          <w:sz w:val="32"/>
          <w:szCs w:val="32"/>
          <w:highlight w:val="none"/>
          <w:lang w:val="en-US" w:eastAsia="zh-CN"/>
        </w:rPr>
        <w:t>专</w:t>
      </w:r>
      <w:r>
        <w:rPr>
          <w:rFonts w:hint="eastAsia" w:ascii="方正仿宋_GBK" w:hAnsi="方正仿宋_GBK" w:eastAsia="方正仿宋_GBK" w:cs="方正仿宋_GBK"/>
          <w:color w:val="auto"/>
          <w:sz w:val="32"/>
          <w:szCs w:val="32"/>
          <w:highlight w:val="none"/>
        </w:rPr>
        <w:t>项绩效基数</w:t>
      </w:r>
      <w:r>
        <w:rPr>
          <w:rFonts w:hint="eastAsia" w:ascii="方正仿宋_GBK" w:hAnsi="方正仿宋_GBK" w:eastAsia="方正仿宋_GBK" w:cs="方正仿宋_GBK"/>
          <w:color w:val="auto"/>
          <w:kern w:val="2"/>
          <w:sz w:val="32"/>
          <w:szCs w:val="32"/>
          <w:highlight w:val="none"/>
        </w:rPr>
        <w:t>×3×（20</w:t>
      </w:r>
      <w:r>
        <w:rPr>
          <w:rFonts w:hint="eastAsia" w:ascii="方正仿宋_GBK" w:hAnsi="方正仿宋_GBK" w:eastAsia="方正仿宋_GBK" w:cs="方正仿宋_GBK"/>
          <w:b w:val="0"/>
          <w:color w:val="auto"/>
          <w:kern w:val="2"/>
          <w:sz w:val="32"/>
          <w:szCs w:val="32"/>
          <w:highlight w:val="none"/>
        </w:rPr>
        <w:t>%</w:t>
      </w:r>
      <w:r>
        <w:rPr>
          <w:rFonts w:hint="eastAsia" w:ascii="方正仿宋_GBK" w:hAnsi="方正仿宋_GBK" w:eastAsia="方正仿宋_GBK" w:cs="方正仿宋_GBK"/>
          <w:b w:val="0"/>
          <w:color w:val="auto"/>
          <w:sz w:val="32"/>
          <w:szCs w:val="32"/>
          <w:highlight w:val="none"/>
        </w:rPr>
        <w:t>×三年累计营收完成率×100+60%×三年累计净利润完成率×100+</w:t>
      </w:r>
      <w:r>
        <w:rPr>
          <w:rFonts w:hint="eastAsia" w:ascii="方正仿宋_GBK" w:hAnsi="方正仿宋_GBK" w:eastAsia="方正仿宋_GBK" w:cs="方正仿宋_GBK"/>
          <w:color w:val="auto"/>
          <w:kern w:val="2"/>
          <w:sz w:val="32"/>
          <w:szCs w:val="32"/>
          <w:highlight w:val="none"/>
        </w:rPr>
        <w:t xml:space="preserve"> 20</w:t>
      </w:r>
      <w:r>
        <w:rPr>
          <w:rFonts w:hint="eastAsia" w:ascii="方正仿宋_GBK" w:hAnsi="方正仿宋_GBK" w:eastAsia="方正仿宋_GBK" w:cs="方正仿宋_GBK"/>
          <w:b w:val="0"/>
          <w:color w:val="auto"/>
          <w:kern w:val="2"/>
          <w:sz w:val="32"/>
          <w:szCs w:val="32"/>
          <w:highlight w:val="none"/>
        </w:rPr>
        <w:t>%</w:t>
      </w:r>
      <w:r>
        <w:rPr>
          <w:rFonts w:hint="eastAsia" w:ascii="方正仿宋_GBK" w:hAnsi="方正仿宋_GBK" w:eastAsia="方正仿宋_GBK" w:cs="方正仿宋_GBK"/>
          <w:b w:val="0"/>
          <w:color w:val="auto"/>
          <w:sz w:val="32"/>
          <w:szCs w:val="32"/>
          <w:highlight w:val="none"/>
        </w:rPr>
        <w:t>×三年年度综合管理考核平均得分</w:t>
      </w:r>
      <w:r>
        <w:rPr>
          <w:rFonts w:hint="eastAsia" w:ascii="方正仿宋_GBK" w:hAnsi="方正仿宋_GBK" w:eastAsia="方正仿宋_GBK" w:cs="方正仿宋_GBK"/>
          <w:color w:val="auto"/>
          <w:kern w:val="2"/>
          <w:sz w:val="32"/>
          <w:szCs w:val="32"/>
          <w:highlight w:val="none"/>
        </w:rPr>
        <w:t>）</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b w:val="0"/>
          <w:bCs w:val="0"/>
          <w:color w:val="auto"/>
          <w:sz w:val="32"/>
          <w:szCs w:val="32"/>
          <w:highlight w:val="none"/>
        </w:rPr>
        <w:t>超额利润奖=年度超额</w:t>
      </w:r>
      <w:r>
        <w:rPr>
          <w:rFonts w:hint="eastAsia" w:ascii="方正仿宋_GBK" w:hAnsi="方正仿宋_GBK" w:eastAsia="方正仿宋_GBK" w:cs="方正仿宋_GBK"/>
          <w:b w:val="0"/>
          <w:bCs w:val="0"/>
          <w:color w:val="auto"/>
          <w:sz w:val="32"/>
          <w:szCs w:val="32"/>
          <w:highlight w:val="none"/>
          <w:lang w:val="en-US" w:eastAsia="zh-CN"/>
        </w:rPr>
        <w:t>净</w:t>
      </w:r>
      <w:r>
        <w:rPr>
          <w:rFonts w:hint="eastAsia" w:ascii="方正仿宋_GBK" w:hAnsi="方正仿宋_GBK" w:eastAsia="方正仿宋_GBK" w:cs="方正仿宋_GBK"/>
          <w:b w:val="0"/>
          <w:bCs w:val="0"/>
          <w:color w:val="auto"/>
          <w:sz w:val="32"/>
          <w:szCs w:val="32"/>
          <w:highlight w:val="none"/>
        </w:rPr>
        <w:t>利润总额</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sz w:val="32"/>
          <w:szCs w:val="32"/>
          <w:highlight w:val="none"/>
        </w:rPr>
        <w:t>计提比例=（年度实际净利润-年度目标净利润）</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sz w:val="32"/>
          <w:szCs w:val="32"/>
          <w:highlight w:val="none"/>
        </w:rPr>
        <w:t>30%</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经营期超额利润奖</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sz w:val="32"/>
          <w:szCs w:val="32"/>
          <w:highlight w:val="none"/>
        </w:rPr>
        <w:t>经营期超额</w:t>
      </w:r>
      <w:r>
        <w:rPr>
          <w:rFonts w:hint="eastAsia" w:ascii="方正仿宋_GBK" w:hAnsi="方正仿宋_GBK" w:eastAsia="方正仿宋_GBK" w:cs="方正仿宋_GBK"/>
          <w:b w:val="0"/>
          <w:bCs w:val="0"/>
          <w:color w:val="auto"/>
          <w:sz w:val="32"/>
          <w:szCs w:val="32"/>
          <w:highlight w:val="none"/>
          <w:lang w:val="en-US" w:eastAsia="zh-CN"/>
        </w:rPr>
        <w:t>净</w:t>
      </w:r>
      <w:r>
        <w:rPr>
          <w:rFonts w:hint="eastAsia" w:ascii="方正仿宋_GBK" w:hAnsi="方正仿宋_GBK" w:eastAsia="方正仿宋_GBK" w:cs="方正仿宋_GBK"/>
          <w:b w:val="0"/>
          <w:bCs w:val="0"/>
          <w:color w:val="auto"/>
          <w:sz w:val="32"/>
          <w:szCs w:val="32"/>
          <w:highlight w:val="none"/>
        </w:rPr>
        <w:t>利润总额</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sz w:val="32"/>
          <w:szCs w:val="32"/>
          <w:highlight w:val="none"/>
        </w:rPr>
        <w:t>计提比例=（经营期累计实际净利润-经营期目标净利润）</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sz w:val="32"/>
          <w:szCs w:val="32"/>
          <w:highlight w:val="none"/>
        </w:rPr>
        <w:t>30%</w:t>
      </w:r>
    </w:p>
    <w:p>
      <w:pPr>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营期年度综合管理考核得分要达到70分及以上才可计提超额利润。3年累计完成净利润目标任务的，由揭榜人根据团队成员工作完成情况就核定后的超额利润奖剩余部分进行分配，并报公司揭榜挂帅领导小组审核后计发。</w:t>
      </w:r>
    </w:p>
    <w:p>
      <w:pPr>
        <w:spacing w:line="560" w:lineRule="exact"/>
        <w:ind w:firstLine="640" w:firstLineChars="200"/>
        <w:rPr>
          <w:rFonts w:ascii="方正仿宋_GBK" w:hAnsi="方正仿宋_GBK" w:eastAsia="方正仿宋_GBK" w:cs="方正仿宋_GBK"/>
          <w:color w:val="auto"/>
          <w:kern w:val="0"/>
          <w:sz w:val="32"/>
          <w:szCs w:val="48"/>
          <w:highlight w:val="none"/>
        </w:rPr>
      </w:pPr>
      <w:r>
        <w:rPr>
          <w:rFonts w:hint="eastAsia" w:ascii="方正仿宋_GBK" w:hAnsi="方正仿宋_GBK" w:eastAsia="方正仿宋_GBK" w:cs="方正仿宋_GBK"/>
          <w:color w:val="auto"/>
          <w:sz w:val="32"/>
          <w:szCs w:val="32"/>
          <w:highlight w:val="none"/>
        </w:rPr>
        <w:t>4、实行风险抵押金制度，揭榜人</w:t>
      </w:r>
      <w:r>
        <w:rPr>
          <w:rFonts w:hint="eastAsia" w:ascii="方正仿宋_GBK" w:hAnsi="方正仿宋_GBK" w:eastAsia="方正仿宋_GBK" w:cs="方正仿宋_GBK"/>
          <w:color w:val="auto"/>
          <w:kern w:val="0"/>
          <w:sz w:val="32"/>
          <w:szCs w:val="48"/>
          <w:highlight w:val="none"/>
        </w:rPr>
        <w:t>任期审计结束后一年内兑现风险抵押金。</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揭榜协议签署后，揭榜人及其团队需向发榜单位缴纳5万元作为风险抵押金（揭榜人缴纳比例占比不低于40%）。团队其他成员风险抵押金缴纳金额由该团队自行协商确定，不足部分由揭榜人补足。</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rPr>
        <w:t>风险抵押金以</w:t>
      </w:r>
      <w:r>
        <w:rPr>
          <w:rFonts w:hint="eastAsia" w:ascii="方正仿宋_GBK" w:hAnsi="方正仿宋_GBK" w:eastAsia="方正仿宋_GBK" w:cs="方正仿宋_GBK"/>
          <w:color w:val="auto"/>
          <w:sz w:val="32"/>
          <w:szCs w:val="32"/>
          <w:highlight w:val="none"/>
        </w:rPr>
        <w:t>揭榜人</w:t>
      </w:r>
      <w:r>
        <w:rPr>
          <w:rFonts w:hint="eastAsia" w:ascii="方正仿宋_GBK" w:hAnsi="方正仿宋_GBK" w:eastAsia="方正仿宋_GBK" w:cs="方正仿宋_GBK"/>
          <w:color w:val="auto"/>
          <w:kern w:val="0"/>
          <w:sz w:val="32"/>
          <w:szCs w:val="32"/>
          <w:highlight w:val="none"/>
        </w:rPr>
        <w:t>任期为结算期</w:t>
      </w:r>
      <w:r>
        <w:rPr>
          <w:rFonts w:hint="eastAsia"/>
          <w:color w:val="auto"/>
          <w:kern w:val="0"/>
          <w:highlight w:val="none"/>
        </w:rPr>
        <w:t>，</w:t>
      </w:r>
      <w:r>
        <w:rPr>
          <w:rFonts w:hint="eastAsia" w:ascii="方正仿宋_GBK" w:hAnsi="方正仿宋_GBK" w:eastAsia="方正仿宋_GBK" w:cs="方正仿宋_GBK"/>
          <w:color w:val="auto"/>
          <w:sz w:val="32"/>
          <w:szCs w:val="32"/>
          <w:highlight w:val="none"/>
        </w:rPr>
        <w:t>若任务期末总体目标完成情况（净利润占比</w:t>
      </w:r>
      <w:r>
        <w:rPr>
          <w:rFonts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0%，营收占比30%，市场化占比</w:t>
      </w:r>
      <w:r>
        <w:rPr>
          <w:rFonts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0%）低于80%的，加计扣减风险抵押金，每降低1%，扣减团队风险抵押金5000元，依此类推，直至风险抵押全部扣减，揭榜团队风险抵押金扣完同时退出任务。揭榜团队各成员风险抵押金具体扣减金额按其缴纳金额比例同步扣减。年度目标总体完成值低于70%，按照管理权限提前终止“揭榜挂帅”协议。若年度企业经营状况为亏损，则按每亏损10万元，加计扣除风险抵押金5000元，依此类推，直至风险抵押全部扣减，揭榜团队风险抵押金扣完同时退出任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5、任务期内，若出现</w:t>
      </w:r>
      <w:r>
        <w:rPr>
          <w:rFonts w:ascii="方正仿宋_GBK" w:hAnsi="方正仿宋_GBK" w:eastAsia="方正仿宋_GBK" w:cs="方正仿宋_GBK"/>
          <w:color w:val="auto"/>
          <w:sz w:val="32"/>
          <w:szCs w:val="32"/>
          <w:highlight w:val="none"/>
        </w:rPr>
        <w:t>重大资产处置等产生的非经营性收益</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并购、重组等导致的利润变化</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外部政策性因素导致的利润变化</w:t>
      </w:r>
      <w:r>
        <w:rPr>
          <w:rFonts w:hint="eastAsia" w:ascii="方正仿宋_GBK" w:hAnsi="方正仿宋_GBK" w:eastAsia="方正仿宋_GBK" w:cs="方正仿宋_GBK"/>
          <w:color w:val="auto"/>
          <w:sz w:val="32"/>
          <w:szCs w:val="32"/>
          <w:highlight w:val="none"/>
        </w:rPr>
        <w:t>等客观重大特殊情况，考核时剔除该类因素所产生的影响。</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（三）薪酬兑现</w:t>
      </w:r>
    </w:p>
    <w:p>
      <w:pPr>
        <w:adjustRightInd w:val="0"/>
        <w:snapToGrid w:val="0"/>
        <w:spacing w:line="560" w:lineRule="exact"/>
        <w:ind w:firstLine="640" w:firstLineChars="200"/>
        <w:rPr>
          <w:rFonts w:ascii="仿宋_GB2312" w:hAnsi="宋体"/>
          <w:color w:val="auto"/>
          <w:kern w:val="0"/>
          <w:szCs w:val="32"/>
          <w:highlight w:val="none"/>
        </w:rPr>
      </w:pPr>
      <w:r>
        <w:rPr>
          <w:rFonts w:hint="eastAsia" w:ascii="方正仿宋_GBK" w:hAnsi="方正仿宋_GBK" w:eastAsia="方正仿宋_GBK" w:cs="方正仿宋_GBK"/>
          <w:color w:val="auto"/>
          <w:sz w:val="32"/>
          <w:szCs w:val="32"/>
          <w:highlight w:val="none"/>
        </w:rPr>
        <w:t>1、基本年薪平均分摊到每月</w:t>
      </w:r>
      <w:r>
        <w:rPr>
          <w:rFonts w:hint="eastAsia" w:ascii="方正仿宋_GBK" w:hAnsi="方正仿宋_GBK" w:eastAsia="方正仿宋_GBK" w:cs="方正仿宋_GBK"/>
          <w:color w:val="auto"/>
          <w:kern w:val="0"/>
          <w:sz w:val="32"/>
          <w:szCs w:val="32"/>
          <w:highlight w:val="none"/>
        </w:rPr>
        <w:t>支付；原则上，每月可预支不超过专项绩效基数平均到月度金额的50%，其余部分待年度考核和</w:t>
      </w:r>
      <w:r>
        <w:rPr>
          <w:rFonts w:hint="eastAsia" w:ascii="方正仿宋_GBK" w:hAnsi="方正仿宋_GBK" w:eastAsia="方正仿宋_GBK" w:cs="方正仿宋_GBK"/>
          <w:color w:val="auto"/>
          <w:sz w:val="32"/>
          <w:szCs w:val="32"/>
          <w:highlight w:val="none"/>
        </w:rPr>
        <w:t>财务核算数据清算后</w:t>
      </w:r>
      <w:r>
        <w:rPr>
          <w:rFonts w:hint="eastAsia" w:ascii="方正仿宋_GBK" w:hAnsi="方正仿宋_GBK" w:eastAsia="方正仿宋_GBK" w:cs="方正仿宋_GBK"/>
          <w:color w:val="auto"/>
          <w:kern w:val="0"/>
          <w:sz w:val="32"/>
          <w:szCs w:val="32"/>
          <w:highlight w:val="none"/>
        </w:rPr>
        <w:t>兑现。未达到考核目标的，应当按规定或约定扣减、暂缓或停止兑现。</w:t>
      </w:r>
    </w:p>
    <w:p>
      <w:pPr>
        <w:adjustRightInd w:val="0"/>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超额利润提成奖根据年度超额利润完成情况予以计提，50%当年发放，20%在所涉及项目（业务）完成结算及收款后兑现，30%在三年经营期满完成结算及收款，并经审计后兑现。3年累计未完成净利润目标任务的，按照净利润目标值差在剩余部分超额利润奖中进行抵扣，不足抵扣的在已计提超额利润奖中进行清退，直至退完为止。</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3、非</w:t>
      </w:r>
      <w:r>
        <w:rPr>
          <w:rFonts w:hint="eastAsia" w:ascii="方正仿宋_GBK" w:hAnsi="方正仿宋_GBK" w:eastAsia="方正仿宋_GBK" w:cs="方正仿宋_GBK"/>
          <w:color w:val="auto"/>
          <w:sz w:val="32"/>
          <w:szCs w:val="32"/>
          <w:highlight w:val="none"/>
        </w:rPr>
        <w:t>揭榜人原因致使劳动关系或聘用关系变动</w:t>
      </w:r>
      <w:r>
        <w:rPr>
          <w:rFonts w:hint="eastAsia" w:ascii="方正仿宋_GBK" w:hAnsi="方正仿宋_GBK" w:eastAsia="方正仿宋_GBK" w:cs="方正仿宋_GBK"/>
          <w:color w:val="auto"/>
          <w:kern w:val="0"/>
          <w:sz w:val="32"/>
          <w:szCs w:val="32"/>
          <w:highlight w:val="none"/>
        </w:rPr>
        <w:t>，基薪水平不变，根据考核结果，按</w:t>
      </w:r>
      <w:r>
        <w:rPr>
          <w:rFonts w:hint="eastAsia" w:ascii="方正仿宋_GBK" w:hAnsi="方正仿宋_GBK" w:eastAsia="方正仿宋_GBK" w:cs="方正仿宋_GBK"/>
          <w:color w:val="auto"/>
          <w:sz w:val="32"/>
          <w:szCs w:val="32"/>
          <w:highlight w:val="none"/>
        </w:rPr>
        <w:t>揭榜人</w:t>
      </w:r>
      <w:r>
        <w:rPr>
          <w:rFonts w:hint="eastAsia" w:ascii="方正仿宋_GBK" w:hAnsi="方正仿宋_GBK" w:eastAsia="方正仿宋_GBK" w:cs="方正仿宋_GBK"/>
          <w:color w:val="auto"/>
          <w:kern w:val="0"/>
          <w:sz w:val="32"/>
          <w:szCs w:val="32"/>
          <w:highlight w:val="none"/>
        </w:rPr>
        <w:t>当年在岗实际工作月数发放专项绩效和</w:t>
      </w:r>
      <w:r>
        <w:rPr>
          <w:rFonts w:hint="eastAsia" w:ascii="方正仿宋_GBK" w:hAnsi="方正仿宋_GBK" w:eastAsia="方正仿宋_GBK" w:cs="方正仿宋_GBK"/>
          <w:color w:val="auto"/>
          <w:sz w:val="32"/>
          <w:szCs w:val="32"/>
          <w:highlight w:val="none"/>
        </w:rPr>
        <w:t>超额利润提成奖。</w:t>
      </w:r>
    </w:p>
    <w:p>
      <w:pPr>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t>4、</w:t>
      </w:r>
      <w:bookmarkStart w:id="0" w:name="_Hlk121737699"/>
      <w:r>
        <w:rPr>
          <w:rFonts w:hint="eastAsia" w:ascii="方正仿宋_GBK" w:hAnsi="方正仿宋_GBK" w:eastAsia="方正仿宋_GBK" w:cs="方正仿宋_GBK"/>
          <w:color w:val="auto"/>
          <w:kern w:val="0"/>
          <w:sz w:val="32"/>
          <w:szCs w:val="32"/>
          <w:highlight w:val="none"/>
        </w:rPr>
        <w:t>对</w:t>
      </w:r>
      <w:r>
        <w:rPr>
          <w:rFonts w:hint="eastAsia" w:ascii="方正仿宋_GBK" w:hAnsi="方正仿宋_GBK" w:eastAsia="方正仿宋_GBK" w:cs="方正仿宋_GBK"/>
          <w:color w:val="auto"/>
          <w:sz w:val="32"/>
          <w:szCs w:val="32"/>
          <w:highlight w:val="none"/>
        </w:rPr>
        <w:t>揭榜人作为主要完成人</w:t>
      </w:r>
      <w:r>
        <w:rPr>
          <w:rFonts w:hint="eastAsia" w:ascii="方正仿宋_GBK" w:hAnsi="方正仿宋_GBK" w:eastAsia="方正仿宋_GBK" w:cs="方正仿宋_GBK"/>
          <w:color w:val="auto"/>
          <w:kern w:val="0"/>
          <w:sz w:val="32"/>
          <w:szCs w:val="32"/>
          <w:highlight w:val="none"/>
        </w:rPr>
        <w:t>成功申报国家级/省部级/市级科技项目；获得国家级/省部级科学技术奖；获得国家级/省部级重大科技创新成果（含入库）；创建市级及以上科技创新研发平台；获得市级及以上“专精特新”企业称号；获批市或国家级“高新技术企业”称号；并能通过上述成果显著增强企业竞争实力或通过科技转化显著提升经济效益，可根据贡献程度给予基本年薪0.</w:t>
      </w:r>
      <w:r>
        <w:rPr>
          <w:rFonts w:ascii="方正仿宋_GBK" w:hAnsi="方正仿宋_GBK" w:eastAsia="方正仿宋_GBK" w:cs="方正仿宋_GBK"/>
          <w:color w:val="auto"/>
          <w:kern w:val="0"/>
          <w:sz w:val="32"/>
          <w:szCs w:val="32"/>
          <w:highlight w:val="none"/>
        </w:rPr>
        <w:t>2</w:t>
      </w:r>
      <w:r>
        <w:rPr>
          <w:rFonts w:hint="eastAsia" w:ascii="方正仿宋_GBK" w:hAnsi="方正仿宋_GBK" w:eastAsia="方正仿宋_GBK" w:cs="方正仿宋_GBK"/>
          <w:color w:val="auto"/>
          <w:kern w:val="0"/>
          <w:sz w:val="32"/>
          <w:szCs w:val="32"/>
          <w:highlight w:val="none"/>
        </w:rPr>
        <w:t>-1.5倍的单项奖励。</w:t>
      </w:r>
      <w:bookmarkEnd w:id="0"/>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5、任务期内，揭榜人出现以下情况之一的，根据具体情节</w:t>
      </w:r>
      <w:r>
        <w:rPr>
          <w:rFonts w:hint="eastAsia" w:ascii="方正仿宋_GBK" w:hAnsi="方正仿宋_GBK" w:eastAsia="方正仿宋_GBK" w:cs="方正仿宋_GBK"/>
          <w:color w:val="auto"/>
          <w:kern w:val="0"/>
          <w:sz w:val="32"/>
          <w:szCs w:val="32"/>
          <w:highlight w:val="none"/>
        </w:rPr>
        <w:t>对</w:t>
      </w:r>
      <w:r>
        <w:rPr>
          <w:rFonts w:hint="eastAsia" w:ascii="方正仿宋_GBK" w:hAnsi="方正仿宋_GBK" w:eastAsia="方正仿宋_GBK" w:cs="方正仿宋_GBK"/>
          <w:color w:val="auto"/>
          <w:sz w:val="32"/>
          <w:szCs w:val="32"/>
          <w:highlight w:val="none"/>
        </w:rPr>
        <w:t>揭榜人</w:t>
      </w:r>
      <w:r>
        <w:rPr>
          <w:rFonts w:hint="eastAsia" w:ascii="方正仿宋_GBK" w:hAnsi="方正仿宋_GBK" w:eastAsia="方正仿宋_GBK" w:cs="方正仿宋_GBK"/>
          <w:color w:val="auto"/>
          <w:kern w:val="0"/>
          <w:sz w:val="32"/>
          <w:szCs w:val="32"/>
          <w:highlight w:val="none"/>
        </w:rPr>
        <w:t>当年部分或全部已发专项绩效和</w:t>
      </w:r>
      <w:r>
        <w:rPr>
          <w:rFonts w:hint="eastAsia" w:ascii="方正仿宋_GBK" w:hAnsi="方正仿宋_GBK" w:eastAsia="方正仿宋_GBK" w:cs="方正仿宋_GBK"/>
          <w:color w:val="auto"/>
          <w:sz w:val="32"/>
          <w:szCs w:val="32"/>
          <w:highlight w:val="none"/>
        </w:rPr>
        <w:t>超额利润提成奖予以</w:t>
      </w:r>
      <w:r>
        <w:rPr>
          <w:rFonts w:hint="eastAsia" w:ascii="方正仿宋_GBK" w:hAnsi="方正仿宋_GBK" w:eastAsia="方正仿宋_GBK" w:cs="方正仿宋_GBK"/>
          <w:color w:val="auto"/>
          <w:kern w:val="0"/>
          <w:sz w:val="32"/>
          <w:szCs w:val="32"/>
          <w:highlight w:val="none"/>
        </w:rPr>
        <w:t>扣减或追索扣回</w:t>
      </w:r>
      <w:r>
        <w:rPr>
          <w:rFonts w:hint="eastAsia" w:ascii="方正仿宋_GBK" w:hAnsi="方正仿宋_GBK" w:eastAsia="方正仿宋_GBK" w:cs="方正仿宋_GBK"/>
          <w:color w:val="auto"/>
          <w:sz w:val="32"/>
          <w:szCs w:val="32"/>
          <w:highlight w:val="none"/>
        </w:rPr>
        <w:t xml:space="preserve">。 </w:t>
      </w:r>
    </w:p>
    <w:p>
      <w:pPr>
        <w:spacing w:line="560" w:lineRule="exact"/>
        <w:ind w:firstLine="643" w:firstLineChars="200"/>
        <w:rPr>
          <w:rFonts w:ascii="方正仿宋_GBK" w:hAnsi="方正仿宋_GBK" w:eastAsia="方正仿宋_GBK" w:cs="方正仿宋_GBK"/>
          <w:color w:val="auto"/>
          <w:sz w:val="32"/>
          <w:szCs w:val="32"/>
          <w:highlight w:val="none"/>
        </w:rPr>
      </w:pPr>
      <w:r>
        <w:rPr>
          <w:rFonts w:ascii="方正仿宋_GBK" w:hAnsi="方正仿宋_GBK" w:eastAsia="方正仿宋_GBK" w:cs="方正仿宋_GBK"/>
          <w:b/>
          <w:bCs/>
          <w:color w:val="auto"/>
          <w:sz w:val="32"/>
          <w:szCs w:val="32"/>
          <w:highlight w:val="none"/>
        </w:rPr>
        <w:fldChar w:fldCharType="begin"/>
      </w:r>
      <w:r>
        <w:rPr>
          <w:rFonts w:ascii="方正仿宋_GBK" w:hAnsi="方正仿宋_GBK" w:eastAsia="方正仿宋_GBK" w:cs="方正仿宋_GBK"/>
          <w:b/>
          <w:bCs/>
          <w:color w:val="auto"/>
          <w:sz w:val="32"/>
          <w:szCs w:val="32"/>
          <w:highlight w:val="none"/>
        </w:rPr>
        <w:instrText xml:space="preserve"> = 1 \* GB3 \* MERGEFORMAT </w:instrText>
      </w:r>
      <w:r>
        <w:rPr>
          <w:rFonts w:ascii="方正仿宋_GBK" w:hAnsi="方正仿宋_GBK" w:eastAsia="方正仿宋_GBK" w:cs="方正仿宋_GBK"/>
          <w:b/>
          <w:bCs/>
          <w:color w:val="auto"/>
          <w:sz w:val="32"/>
          <w:szCs w:val="32"/>
          <w:highlight w:val="none"/>
        </w:rPr>
        <w:fldChar w:fldCharType="separate"/>
      </w:r>
      <w:r>
        <w:rPr>
          <w:rFonts w:hint="eastAsia" w:ascii="方正仿宋_GBK" w:hAnsi="方正仿宋_GBK" w:eastAsia="方正仿宋_GBK" w:cs="方正仿宋_GBK"/>
          <w:b/>
          <w:bCs/>
          <w:color w:val="auto"/>
          <w:sz w:val="32"/>
          <w:szCs w:val="32"/>
          <w:highlight w:val="none"/>
        </w:rPr>
        <w:t>①</w:t>
      </w:r>
      <w:r>
        <w:rPr>
          <w:rFonts w:ascii="方正仿宋_GBK" w:hAnsi="方正仿宋_GBK" w:eastAsia="方正仿宋_GBK" w:cs="方正仿宋_GBK"/>
          <w:b/>
          <w:bCs/>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因</w:t>
      </w:r>
      <w:r>
        <w:rPr>
          <w:rFonts w:hint="eastAsia" w:ascii="方正仿宋_GBK" w:hAnsi="方正仿宋_GBK" w:eastAsia="方正仿宋_GBK" w:cs="方正仿宋_GBK"/>
          <w:color w:val="auto"/>
          <w:kern w:val="0"/>
          <w:sz w:val="32"/>
          <w:szCs w:val="32"/>
          <w:highlight w:val="none"/>
        </w:rPr>
        <w:t>违反国家法律法规和规定，导致重大决策失误、重大质量责任事故、重大环境污染责任事故、重大违纪和法律纠纷案件、重大不稳定事件，给企业造成重大不良影响或造成重大资产损失的</w:t>
      </w:r>
      <w:r>
        <w:rPr>
          <w:rFonts w:hint="eastAsia" w:ascii="方正仿宋_GBK" w:hAnsi="方正仿宋_GBK" w:eastAsia="方正仿宋_GBK" w:cs="方正仿宋_GBK"/>
          <w:color w:val="auto"/>
          <w:sz w:val="32"/>
          <w:szCs w:val="32"/>
          <w:highlight w:val="none"/>
        </w:rPr>
        <w:t>，不兑现</w:t>
      </w:r>
      <w:r>
        <w:rPr>
          <w:rFonts w:hint="eastAsia" w:ascii="方正仿宋_GBK" w:hAnsi="方正仿宋_GBK" w:eastAsia="方正仿宋_GBK" w:cs="方正仿宋_GBK"/>
          <w:color w:val="auto"/>
          <w:kern w:val="0"/>
          <w:sz w:val="32"/>
          <w:szCs w:val="32"/>
          <w:highlight w:val="none"/>
        </w:rPr>
        <w:t>专项绩效和</w:t>
      </w:r>
      <w:r>
        <w:rPr>
          <w:rFonts w:hint="eastAsia" w:ascii="方正仿宋_GBK" w:hAnsi="方正仿宋_GBK" w:eastAsia="方正仿宋_GBK" w:cs="方正仿宋_GBK"/>
          <w:color w:val="auto"/>
          <w:sz w:val="32"/>
          <w:szCs w:val="32"/>
          <w:highlight w:val="none"/>
        </w:rPr>
        <w:t>超额利润提成奖。</w:t>
      </w:r>
    </w:p>
    <w:p>
      <w:pPr>
        <w:ind w:firstLine="640" w:firstLineChars="200"/>
        <w:rPr>
          <w:rFonts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rPr>
        <w:fldChar w:fldCharType="begin"/>
      </w:r>
      <w:r>
        <w:rPr>
          <w:rFonts w:ascii="方正仿宋_GBK" w:hAnsi="方正仿宋_GBK" w:eastAsia="方正仿宋_GBK" w:cs="方正仿宋_GBK"/>
          <w:color w:val="auto"/>
          <w:sz w:val="32"/>
          <w:szCs w:val="32"/>
          <w:highlight w:val="none"/>
        </w:rPr>
        <w:instrText xml:space="preserve"> = 2 \* GB3 \* MERGEFORMAT </w:instrText>
      </w:r>
      <w:r>
        <w:rPr>
          <w:rFonts w:ascii="方正仿宋_GBK" w:hAnsi="方正仿宋_GBK" w:eastAsia="方正仿宋_GBK" w:cs="方正仿宋_GBK"/>
          <w:color w:val="auto"/>
          <w:sz w:val="32"/>
          <w:szCs w:val="32"/>
          <w:highlight w:val="none"/>
        </w:rPr>
        <w:fldChar w:fldCharType="separate"/>
      </w:r>
      <w:r>
        <w:rPr>
          <w:rFonts w:ascii="方正仿宋_GBK" w:hAnsi="方正仿宋_GBK" w:eastAsia="方正仿宋_GBK" w:cs="方正仿宋_GBK"/>
          <w:color w:val="auto"/>
          <w:sz w:val="32"/>
          <w:szCs w:val="32"/>
          <w:highlight w:val="none"/>
        </w:rPr>
        <w:t>②</w:t>
      </w:r>
      <w:r>
        <w:rPr>
          <w:rFonts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 xml:space="preserve"> 因违纪违法行为受到相关部门处理的；</w:t>
      </w:r>
    </w:p>
    <w:p>
      <w:pPr>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 3 \* GB3 \* MERGEFORMAT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③</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违反《中华人民共和国会计法》、《企业会计准则》等有关法律法规规章，虚报、瞒报财务状况的，</w:t>
      </w:r>
      <w:r>
        <w:rPr>
          <w:rFonts w:hint="eastAsia" w:ascii="方正仿宋_GBK" w:hAnsi="方正仿宋_GBK" w:eastAsia="方正仿宋_GBK" w:cs="方正仿宋_GBK"/>
          <w:color w:val="auto"/>
          <w:kern w:val="0"/>
          <w:sz w:val="32"/>
          <w:szCs w:val="32"/>
          <w:highlight w:val="none"/>
        </w:rPr>
        <w:t>停止支付绩效的未支付部分，并</w:t>
      </w:r>
      <w:r>
        <w:rPr>
          <w:rFonts w:hint="eastAsia" w:ascii="方正仿宋_GBK" w:hAnsi="方正仿宋_GBK" w:eastAsia="方正仿宋_GBK" w:cs="方正仿宋_GBK"/>
          <w:color w:val="auto"/>
          <w:kern w:val="0"/>
          <w:sz w:val="32"/>
          <w:szCs w:val="32"/>
          <w:highlight w:val="none"/>
          <w:shd w:val="clear" w:color="auto" w:fill="FFFFFF"/>
        </w:rPr>
        <w:t>根据情形轻重，</w:t>
      </w:r>
      <w:r>
        <w:rPr>
          <w:rFonts w:hint="eastAsia" w:ascii="方正仿宋_GBK" w:hAnsi="方正仿宋_GBK" w:eastAsia="方正仿宋_GBK" w:cs="方正仿宋_GBK"/>
          <w:color w:val="auto"/>
          <w:kern w:val="0"/>
          <w:sz w:val="32"/>
          <w:szCs w:val="32"/>
          <w:highlight w:val="none"/>
        </w:rPr>
        <w:t>要求退还</w:t>
      </w:r>
      <w:r>
        <w:rPr>
          <w:rFonts w:hint="eastAsia" w:ascii="方正仿宋_GBK" w:hAnsi="方正仿宋_GBK" w:eastAsia="方正仿宋_GBK" w:cs="方正仿宋_GBK"/>
          <w:color w:val="auto"/>
          <w:kern w:val="0"/>
          <w:sz w:val="32"/>
          <w:szCs w:val="32"/>
          <w:highlight w:val="none"/>
          <w:shd w:val="clear" w:color="auto" w:fill="FFFFFF"/>
        </w:rPr>
        <w:t>部分直至全部</w:t>
      </w:r>
      <w:r>
        <w:rPr>
          <w:rFonts w:hint="eastAsia" w:ascii="方正仿宋_GBK" w:hAnsi="方正仿宋_GBK" w:eastAsia="方正仿宋_GBK" w:cs="方正仿宋_GBK"/>
          <w:color w:val="auto"/>
          <w:kern w:val="0"/>
          <w:sz w:val="32"/>
          <w:szCs w:val="32"/>
          <w:highlight w:val="none"/>
        </w:rPr>
        <w:t>专项绩效和</w:t>
      </w:r>
      <w:r>
        <w:rPr>
          <w:rFonts w:hint="eastAsia" w:ascii="方正仿宋_GBK" w:hAnsi="方正仿宋_GBK" w:eastAsia="方正仿宋_GBK" w:cs="方正仿宋_GBK"/>
          <w:color w:val="auto"/>
          <w:sz w:val="32"/>
          <w:szCs w:val="32"/>
          <w:highlight w:val="none"/>
        </w:rPr>
        <w:t>超额利润提成奖</w:t>
      </w:r>
      <w:r>
        <w:rPr>
          <w:rFonts w:hint="eastAsia" w:ascii="方正仿宋_GBK" w:hAnsi="方正仿宋_GBK" w:eastAsia="方正仿宋_GBK" w:cs="方正仿宋_GBK"/>
          <w:color w:val="auto"/>
          <w:kern w:val="0"/>
          <w:sz w:val="32"/>
          <w:szCs w:val="32"/>
          <w:highlight w:val="none"/>
          <w:shd w:val="clear" w:color="auto" w:fill="FFFFFF"/>
        </w:rPr>
        <w:t>。</w:t>
      </w:r>
    </w:p>
    <w:p>
      <w:pPr>
        <w:adjustRightInd w:val="0"/>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 4 \* GB3 \* MERGEFORMAT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④</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揭榜人未遵守约定提前离职或者</w:t>
      </w:r>
      <w:r>
        <w:rPr>
          <w:rFonts w:hint="eastAsia" w:ascii="方正仿宋_GBK" w:hAnsi="方正仿宋_GBK" w:eastAsia="方正仿宋_GBK" w:cs="方正仿宋_GBK"/>
          <w:color w:val="auto"/>
          <w:kern w:val="0"/>
          <w:sz w:val="32"/>
          <w:szCs w:val="32"/>
          <w:highlight w:val="none"/>
        </w:rPr>
        <w:t>因考核不合格、不遵守约定、违纪违规等</w:t>
      </w:r>
      <w:r>
        <w:rPr>
          <w:rFonts w:hint="eastAsia" w:ascii="方正仿宋_GBK" w:hAnsi="方正仿宋_GBK" w:eastAsia="方正仿宋_GBK" w:cs="方正仿宋_GBK"/>
          <w:color w:val="auto"/>
          <w:sz w:val="32"/>
          <w:szCs w:val="32"/>
          <w:highlight w:val="none"/>
        </w:rPr>
        <w:t>被解聘、解除劳动合同的，不在继续参与超额利润奖兑现，以前年度递延支付部分，不再支付。</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六、退出措施</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（一）揭榜人聘用期满的，劳动关系和聘用关系自然终止。</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（二）因健康原因或非个人过错导致无法正常履行工作职责的，经三沥公司与揭榜人双方协商一致，劳动关系和聘用关系可以解除。</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（三）任务期内，揭榜人出现以下情况之一的，可按照管理权限提前终止“揭榜挂帅”协议，不计发当年专项绩效年薪，并追究其相应责任。</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1.揭榜人连续两年经营业绩考核得分60分以下或未达到业绩底线要求的，且无可以确认的重大客观原因的，原则上不发放当期专项绩效；</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2.违反国家法律法规和规定，导致重大决策失误、重大质量责任事故、重大环境污染责任事故、重大违纪和法律纠纷案件、重大不稳定事件，给企业造成重大不良影响或造成重大资产损失的。</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3.任务期内企业发展质量水平明显低于本板块或同类企业平均水平，揭榜人负有重要领导责任，且无可以确认的重大客观原因的；</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4.任务期内，会计师事务所对企业年度财务报告出具保留意见、否定意见、无法表示意见等，非标准审计意见或其它对财务信息公允性产生重大影响的情况。</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5.在试用期内被证明不符合聘用条件的；</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6.本公司认定不适宜继续聘任的其他情形。</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（四）高速集团系统内的揭榜人，解除（终止）聘用关系后，经双方协商，可由三沥公司或原单位对其工作岗位重新进行适当安排。</w:t>
      </w:r>
    </w:p>
    <w:p>
      <w:pPr>
        <w:spacing w:line="560" w:lineRule="exact"/>
        <w:ind w:firstLine="643" w:firstLineChars="200"/>
        <w:rPr>
          <w:rFonts w:ascii="方正仿宋_GBK" w:hAnsi="方正仿宋_GBK" w:eastAsia="方正仿宋_GBK" w:cs="方正仿宋_GBK"/>
          <w:color w:val="auto"/>
          <w:sz w:val="32"/>
          <w:szCs w:val="32"/>
          <w:highlight w:val="none"/>
        </w:rPr>
      </w:pPr>
      <w:r>
        <w:rPr>
          <w:rFonts w:hint="eastAsia" w:ascii="方正黑体_GBK" w:hAnsi="方正楷体_GBK" w:eastAsia="方正黑体_GBK" w:cs="方正楷体_GBK"/>
          <w:b/>
          <w:bCs/>
          <w:color w:val="auto"/>
          <w:sz w:val="32"/>
          <w:szCs w:val="32"/>
          <w:highlight w:val="none"/>
        </w:rPr>
        <w:t>七、评选指标</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揭榜人的评选指标包括竞标方案与竞标展示两大板块，综合考察揭榜人在该领域的综合管理水平与业务技术能力。由评审小组成员根据打分情况推选并确定最终揭榜人。评选指标及标准如下表2所示：</w:t>
      </w:r>
    </w:p>
    <w:tbl>
      <w:tblPr>
        <w:tblStyle w:val="8"/>
        <w:tblpPr w:leftFromText="180" w:rightFromText="180" w:vertAnchor="text" w:horzAnchor="page" w:tblpX="939" w:tblpYSpec="inside"/>
        <w:tblOverlap w:val="never"/>
        <w:tblW w:w="10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07"/>
        <w:gridCol w:w="1447"/>
        <w:gridCol w:w="784"/>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0" w:type="dxa"/>
            <w:gridSpan w:val="5"/>
            <w:shd w:val="clear" w:color="auto" w:fill="auto"/>
            <w:tcMar>
              <w:top w:w="0" w:type="dxa"/>
              <w:left w:w="51" w:type="dxa"/>
              <w:bottom w:w="0" w:type="dxa"/>
              <w:right w:w="51" w:type="dxa"/>
            </w:tcMar>
            <w:vAlign w:val="center"/>
          </w:tcPr>
          <w:p>
            <w:pPr>
              <w:spacing w:line="560" w:lineRule="exact"/>
              <w:jc w:val="center"/>
              <w:rPr>
                <w:rFonts w:cs="方正仿宋_GBK" w:asciiTheme="minorEastAsia" w:hAnsiTheme="minorEastAsia"/>
                <w:color w:val="auto"/>
                <w:sz w:val="24"/>
                <w:highlight w:val="none"/>
              </w:rPr>
            </w:pPr>
            <w:r>
              <w:rPr>
                <w:rFonts w:hint="eastAsia" w:cs="方正仿宋_GBK" w:asciiTheme="minorEastAsia" w:hAnsiTheme="minorEastAsia"/>
                <w:b/>
                <w:bCs/>
                <w:color w:val="auto"/>
                <w:sz w:val="28"/>
                <w:szCs w:val="28"/>
                <w:highlight w:val="none"/>
              </w:rPr>
              <w:t>表2 三沥公司2023-2025年度经营管理揭榜评选指标及标准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0"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指标</w:t>
            </w:r>
          </w:p>
        </w:tc>
        <w:tc>
          <w:tcPr>
            <w:tcW w:w="2654" w:type="dxa"/>
            <w:gridSpan w:val="2"/>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评选指标项目及内容.</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分值</w:t>
            </w:r>
          </w:p>
        </w:tc>
        <w:tc>
          <w:tcPr>
            <w:tcW w:w="5722"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70" w:type="dxa"/>
            <w:vMerge w:val="restart"/>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竞标</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方案</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（90分）</w:t>
            </w:r>
          </w:p>
        </w:tc>
        <w:tc>
          <w:tcPr>
            <w:tcW w:w="1207" w:type="dxa"/>
            <w:vMerge w:val="restart"/>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揭榜人</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资格</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（15分）</w:t>
            </w: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从业经历</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具有市场开发、沥青产业生产、加工等相关工作经历3年及以上得5分，不足3年同比例扣减。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沥青领域业务熟悉度</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1.熟悉该业务基本情况，分析透彻、全面，得8-10分。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2.基本了解该业务情况，分析条理清晰得5-7分。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3.对该业务不太了解，分析不太清晰得1-4分。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4.对该业务不了解，分析不清晰不得分。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207" w:type="dxa"/>
            <w:vMerge w:val="restart"/>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经营指标</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（75分）</w:t>
            </w: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净利润总额</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指标</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（万元）</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30</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根据揭榜人</w:t>
            </w:r>
            <w:r>
              <w:rPr>
                <w:rFonts w:hint="eastAsia" w:asciiTheme="minorEastAsia" w:hAnsiTheme="minorEastAsia" w:cstheme="minorEastAsia"/>
                <w:color w:val="auto"/>
                <w:kern w:val="0"/>
                <w:sz w:val="24"/>
                <w:highlight w:val="none"/>
              </w:rPr>
              <w:t>竞榜净利润总额评分，竞榜的净利润总额不得低于三年累计目标任务，即三年经营期内净利润总额不低于</w:t>
            </w:r>
            <w:r>
              <w:rPr>
                <w:rFonts w:hint="eastAsia" w:asciiTheme="minorEastAsia" w:hAnsiTheme="minorEastAsia" w:cstheme="minorEastAsia"/>
                <w:color w:val="auto"/>
                <w:kern w:val="0"/>
                <w:sz w:val="24"/>
                <w:highlight w:val="none"/>
                <w:lang w:val="en-US" w:eastAsia="zh-CN"/>
              </w:rPr>
              <w:t>577</w:t>
            </w:r>
            <w:r>
              <w:rPr>
                <w:rFonts w:hint="eastAsia" w:asciiTheme="minorEastAsia" w:hAnsiTheme="minorEastAsia" w:cstheme="minorEastAsia"/>
                <w:color w:val="auto"/>
                <w:kern w:val="0"/>
                <w:sz w:val="24"/>
                <w:highlight w:val="none"/>
              </w:rPr>
              <w:t>万元。竞榜的净利润总额低于目标值，此项不得分。竞榜的净利润总额为</w:t>
            </w:r>
            <w:r>
              <w:rPr>
                <w:rFonts w:hint="eastAsia" w:asciiTheme="minorEastAsia" w:hAnsiTheme="minorEastAsia" w:cstheme="minorEastAsia"/>
                <w:color w:val="auto"/>
                <w:kern w:val="0"/>
                <w:sz w:val="24"/>
                <w:highlight w:val="none"/>
                <w:lang w:val="en-US" w:eastAsia="zh-CN"/>
              </w:rPr>
              <w:t>577</w:t>
            </w:r>
            <w:r>
              <w:rPr>
                <w:rFonts w:hint="eastAsia" w:asciiTheme="minorEastAsia" w:hAnsiTheme="minorEastAsia" w:cstheme="minorEastAsia"/>
                <w:color w:val="auto"/>
                <w:kern w:val="0"/>
                <w:sz w:val="24"/>
                <w:highlight w:val="none"/>
              </w:rPr>
              <w:t>万元，此项得分30分。高于目标值，每增加10万元加0.1分，</w:t>
            </w:r>
            <w:r>
              <w:rPr>
                <w:rFonts w:hint="eastAsia" w:asciiTheme="minorEastAsia" w:hAnsiTheme="minorEastAsia" w:cstheme="minorEastAsia"/>
                <w:color w:val="auto"/>
                <w:sz w:val="24"/>
                <w:highlight w:val="none"/>
              </w:rPr>
              <w:t>加分不设上限</w:t>
            </w:r>
            <w:r>
              <w:rPr>
                <w:rFonts w:hint="eastAsia" w:asciiTheme="minorEastAsia" w:hAnsi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营收指标</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（万元）</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根据揭榜人三年总营收竞榜值评分，竞榜值低于目标值该项不得分。竞榜值高于三年总营收目标</w:t>
            </w:r>
            <w:r>
              <w:rPr>
                <w:rFonts w:hint="eastAsia" w:asciiTheme="minorEastAsia" w:hAnsiTheme="minorEastAsia" w:cstheme="minorEastAsia"/>
                <w:color w:val="auto"/>
                <w:sz w:val="24"/>
                <w:highlight w:val="none"/>
                <w:lang w:val="en-US" w:eastAsia="zh-CN"/>
              </w:rPr>
              <w:t>21700</w:t>
            </w:r>
            <w:r>
              <w:rPr>
                <w:rFonts w:hint="eastAsia" w:asciiTheme="minorEastAsia" w:hAnsiTheme="minorEastAsia" w:cstheme="minorEastAsia"/>
                <w:color w:val="auto"/>
                <w:sz w:val="24"/>
                <w:highlight w:val="none"/>
              </w:rPr>
              <w:t>万元，每增加100万元，增加0.1分，加分不设上限。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市场化开拓指标</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（万元）</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根据揭榜人三年总营收中市场化营收的竞榜值评分，年度竞榜值均不得低于年度目标值，低于目标值该项不得分。竞榜值高于三年市场化营收总目标值9860万元，每增加100万元，增加0.2分，加分不设上限。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团队组建方案</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1.设置合理，人员配备精简高效，得5分     </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2.设置基本合理，人员配备清晰，得3分。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3.设置不够合理，人员配备分工不太清晰，得2分及以下。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管理思路及保障措施</w:t>
            </w:r>
          </w:p>
        </w:tc>
        <w:tc>
          <w:tcPr>
            <w:tcW w:w="784"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w:t>
            </w:r>
          </w:p>
        </w:tc>
        <w:tc>
          <w:tcPr>
            <w:tcW w:w="5722" w:type="dxa"/>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1.管理思路清晰、保障措施有力、资源丰富得8-10分。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2.有一定的管理思路及与之相匹配的保障措施、资源，得6-8分。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3.管理思路不太清晰，保障措施较差，资源较缺乏，得3-4分。</w:t>
            </w:r>
          </w:p>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5.管理思路不清晰，保障措施可行性低，无资源。得1-2分。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70" w:type="dxa"/>
            <w:shd w:val="clear" w:color="auto" w:fill="auto"/>
            <w:tcMar>
              <w:top w:w="0" w:type="dxa"/>
              <w:left w:w="51" w:type="dxa"/>
              <w:bottom w:w="0" w:type="dxa"/>
              <w:right w:w="51" w:type="dxa"/>
            </w:tcMar>
            <w:vAlign w:val="center"/>
          </w:tcPr>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竞标</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展示</w:t>
            </w:r>
          </w:p>
          <w:p>
            <w:pPr>
              <w:spacing w:line="40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（10分）</w:t>
            </w:r>
          </w:p>
        </w:tc>
        <w:tc>
          <w:tcPr>
            <w:tcW w:w="9160" w:type="dxa"/>
            <w:gridSpan w:val="4"/>
            <w:shd w:val="clear" w:color="auto" w:fill="auto"/>
            <w:tcMar>
              <w:top w:w="0" w:type="dxa"/>
              <w:left w:w="51" w:type="dxa"/>
              <w:bottom w:w="0" w:type="dxa"/>
              <w:right w:w="51" w:type="dxa"/>
            </w:tcMar>
            <w:vAlign w:val="center"/>
          </w:tcPr>
          <w:p>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根据竞标展示情况由评审小组成员综合评分。主要考核维度包括语言表达、逻辑能力、专业知识水平与现场应变。</w:t>
            </w:r>
          </w:p>
        </w:tc>
      </w:tr>
    </w:tbl>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八、申报材料要求</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提交竞标方案，内容包含：①揭榜人资格、从业经历等证明材料；②管理方案：人员的配置、分工及职责、管理思路和目标计划、个人优势、可能存在的问题及措施建议等（不仅限以上内容，可根据自身情况增加方案内容）。资料按一式三份准备，全部装入牛皮档案袋后密封，并于封面上粘贴《三沥公司2023-2025年度经营管理竞标方案资料目录》封面页（详见附件1）。</w:t>
      </w:r>
    </w:p>
    <w:p>
      <w:pPr>
        <w:spacing w:line="560" w:lineRule="exact"/>
        <w:ind w:firstLine="640" w:firstLineChars="200"/>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（二）材料报送时间：202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15</w:t>
      </w:r>
      <w:r>
        <w:rPr>
          <w:rFonts w:hint="eastAsia" w:ascii="方正仿宋_GBK" w:hAnsi="方正仿宋_GBK" w:eastAsia="方正仿宋_GBK" w:cs="方正仿宋_GBK"/>
          <w:color w:val="auto"/>
          <w:sz w:val="32"/>
          <w:szCs w:val="32"/>
          <w:highlight w:val="none"/>
        </w:rPr>
        <w:t>日，将竞标方案报送</w:t>
      </w:r>
      <w:r>
        <w:rPr>
          <w:rFonts w:hint="eastAsia" w:ascii="方正仿宋_GBK" w:hAnsi="方正仿宋_GBK" w:eastAsia="方正仿宋_GBK" w:cs="方正仿宋_GBK"/>
          <w:color w:val="auto"/>
          <w:sz w:val="32"/>
          <w:szCs w:val="32"/>
          <w:highlight w:val="none"/>
          <w:lang w:val="en-US" w:eastAsia="zh-CN"/>
        </w:rPr>
        <w:t>通力公司</w:t>
      </w:r>
      <w:r>
        <w:rPr>
          <w:rFonts w:hint="eastAsia" w:ascii="方正仿宋_GBK" w:hAnsi="方正仿宋_GBK" w:eastAsia="方正仿宋_GBK" w:cs="方正仿宋_GBK"/>
          <w:color w:val="auto"/>
          <w:sz w:val="32"/>
          <w:szCs w:val="32"/>
          <w:highlight w:val="none"/>
        </w:rPr>
        <w:t>党群人力部，联系人：</w:t>
      </w:r>
      <w:r>
        <w:rPr>
          <w:rFonts w:hint="eastAsia" w:ascii="方正仿宋_GBK" w:hAnsi="方正仿宋_GBK" w:eastAsia="方正仿宋_GBK" w:cs="方正仿宋_GBK"/>
          <w:color w:val="auto"/>
          <w:sz w:val="32"/>
          <w:szCs w:val="32"/>
          <w:highlight w:val="none"/>
          <w:lang w:val="en-US" w:eastAsia="zh-CN"/>
        </w:rPr>
        <w:t>莫丽威</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杨艺</w:t>
      </w:r>
      <w:r>
        <w:rPr>
          <w:rFonts w:hint="eastAsia" w:ascii="方正仿宋_GBK" w:hAnsi="方正仿宋_GBK" w:eastAsia="方正仿宋_GBK" w:cs="方正仿宋_GBK"/>
          <w:color w:val="auto"/>
          <w:sz w:val="32"/>
          <w:szCs w:val="32"/>
          <w:highlight w:val="none"/>
        </w:rPr>
        <w:t>，联系电话：89187997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13594628226、13668067155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联系</w:t>
      </w:r>
      <w:r>
        <w:rPr>
          <w:rFonts w:hint="eastAsia" w:ascii="方正仿宋_GBK" w:hAnsi="方正仿宋_GBK" w:eastAsia="方正仿宋_GBK" w:cs="方正仿宋_GBK"/>
          <w:color w:val="auto"/>
          <w:sz w:val="32"/>
          <w:szCs w:val="32"/>
          <w:highlight w:val="none"/>
          <w:lang w:val="en-US" w:eastAsia="zh-CN"/>
        </w:rPr>
        <w:t>地址：重庆市沙坪坝区梨高路4号。</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九、揭榜流程</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（一）揭榜报名。202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日前，填写《揭榜意向表》（详见附件2）发至通力公司党群人力部</w:t>
      </w:r>
      <w:r>
        <w:rPr>
          <w:rFonts w:hint="eastAsia" w:ascii="方正仿宋_GBK" w:hAnsi="方正仿宋_GBK" w:eastAsia="方正仿宋_GBK" w:cs="方正仿宋_GBK"/>
          <w:color w:val="auto"/>
          <w:sz w:val="32"/>
          <w:szCs w:val="32"/>
          <w:highlight w:val="none"/>
          <w:lang w:val="en-US" w:eastAsia="zh-CN"/>
        </w:rPr>
        <w:t>莫丽威</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杨艺</w:t>
      </w:r>
      <w:r>
        <w:rPr>
          <w:rFonts w:hint="eastAsia" w:ascii="方正仿宋_GBK" w:hAnsi="方正仿宋_GBK" w:eastAsia="方正仿宋_GBK" w:cs="方正仿宋_GBK"/>
          <w:color w:val="auto"/>
          <w:sz w:val="32"/>
          <w:szCs w:val="32"/>
          <w:highlight w:val="none"/>
        </w:rPr>
        <w:t>协同办公网址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或发送至QQ邮箱727789089@qq.com。</w:t>
      </w:r>
      <w:bookmarkStart w:id="1" w:name="_GoBack"/>
      <w:bookmarkEnd w:id="1"/>
    </w:p>
    <w:p>
      <w:pPr>
        <w:adjustRightInd w:val="0"/>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（二）组织评审。由相关专家、集团相关领导及对口部门负责人、公司“揭榜挂帅”领导小组组成评审小组，对报名人的情况进行评审，择优确定揭榜人。</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（三）揭榜签约。通力公司与揭榜人进行磋商交流，对本榜单任务中未尽事宜双方签订协议予以明确，开始任务攻关。</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附件1、《三沥公司2023-2025年度经营管理竞标方案资料目录》</w:t>
      </w:r>
    </w:p>
    <w:p>
      <w:pPr>
        <w:numPr>
          <w:ilvl w:val="0"/>
          <w:numId w:val="1"/>
        </w:numPr>
        <w:spacing w:line="560" w:lineRule="exact"/>
        <w:ind w:firstLine="1280" w:firstLineChars="4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《揭榜意向表》</w:t>
      </w:r>
    </w:p>
    <w:p>
      <w:pPr>
        <w:numPr>
          <w:ilvl w:val="0"/>
          <w:numId w:val="1"/>
        </w:numPr>
        <w:spacing w:line="560" w:lineRule="exact"/>
        <w:ind w:firstLine="1280" w:firstLineChars="4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《______年度经营业绩考核指标》</w:t>
      </w:r>
    </w:p>
    <w:p>
      <w:pPr>
        <w:numPr>
          <w:ilvl w:val="0"/>
          <w:numId w:val="1"/>
        </w:numPr>
        <w:spacing w:line="560" w:lineRule="exact"/>
        <w:ind w:firstLine="1280" w:firstLineChars="4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《2023-2025年经营期目标考核指标》</w:t>
      </w:r>
    </w:p>
    <w:p>
      <w:pPr>
        <w:spacing w:line="560" w:lineRule="exact"/>
        <w:ind w:firstLine="1280" w:firstLineChars="400"/>
        <w:rPr>
          <w:rFonts w:ascii="方正仿宋_GBK" w:hAnsi="方正仿宋_GBK" w:eastAsia="方正仿宋_GBK" w:cs="方正仿宋_GBK"/>
          <w:color w:val="auto"/>
          <w:sz w:val="32"/>
          <w:szCs w:val="32"/>
          <w:highlight w:val="none"/>
        </w:rPr>
      </w:pPr>
    </w:p>
    <w:p>
      <w:pPr>
        <w:spacing w:line="560" w:lineRule="exact"/>
        <w:jc w:val="righ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重庆通力高速公路养护工程有限公司</w:t>
      </w:r>
    </w:p>
    <w:p>
      <w:pPr>
        <w:spacing w:line="560" w:lineRule="exact"/>
        <w:ind w:firstLine="5120" w:firstLineChars="16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日</w:t>
      </w:r>
    </w:p>
    <w:p>
      <w:pPr>
        <w:pStyle w:val="3"/>
        <w:autoSpaceDN w:val="0"/>
        <w:spacing w:line="560" w:lineRule="exact"/>
        <w:rPr>
          <w:rFonts w:ascii="方正仿宋_GBK" w:hAnsi="方正仿宋_GBK" w:eastAsia="方正仿宋_GBK" w:cs="方正仿宋_GBK"/>
          <w:color w:val="auto"/>
          <w:sz w:val="32"/>
          <w:szCs w:val="32"/>
          <w:highlight w:val="none"/>
        </w:rPr>
        <w:sectPr>
          <w:footerReference r:id="rId3" w:type="default"/>
          <w:pgSz w:w="11906" w:h="16838"/>
          <w:pgMar w:top="1417" w:right="1701" w:bottom="1417" w:left="1701" w:header="851" w:footer="992" w:gutter="0"/>
          <w:cols w:space="0" w:num="1"/>
          <w:docGrid w:type="lines" w:linePitch="321" w:charSpace="0"/>
        </w:sectPr>
      </w:pPr>
    </w:p>
    <w:p>
      <w:pPr>
        <w:pStyle w:val="3"/>
        <w:autoSpaceDN w:val="0"/>
        <w:spacing w:line="560" w:lineRule="exac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附件1：</w:t>
      </w:r>
    </w:p>
    <w:p>
      <w:pPr>
        <w:pStyle w:val="3"/>
        <w:autoSpaceDN w:val="0"/>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三沥公司2023-2025年度经营管理</w:t>
      </w:r>
    </w:p>
    <w:p>
      <w:pPr>
        <w:pStyle w:val="3"/>
        <w:autoSpaceDN w:val="0"/>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竞标方案资料目录</w:t>
      </w:r>
    </w:p>
    <w:p>
      <w:pPr>
        <w:pStyle w:val="3"/>
        <w:autoSpaceDN w:val="0"/>
        <w:spacing w:line="560" w:lineRule="exact"/>
        <w:rPr>
          <w:rFonts w:ascii="方正仿宋_GBK" w:hAnsi="Times New Roman" w:eastAsia="方正仿宋_GBK"/>
          <w:color w:val="auto"/>
          <w:sz w:val="32"/>
          <w:szCs w:val="32"/>
          <w:highlight w:val="none"/>
        </w:rPr>
      </w:pPr>
    </w:p>
    <w:tbl>
      <w:tblPr>
        <w:tblStyle w:val="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8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揭榜人姓名</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c>
          <w:tcPr>
            <w:tcW w:w="18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身份证号码</w:t>
            </w:r>
          </w:p>
        </w:tc>
        <w:tc>
          <w:tcPr>
            <w:tcW w:w="307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88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单位及职务</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c>
          <w:tcPr>
            <w:tcW w:w="18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联系电话</w:t>
            </w:r>
          </w:p>
        </w:tc>
        <w:tc>
          <w:tcPr>
            <w:tcW w:w="307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38" w:type="dxa"/>
            <w:gridSpan w:val="6"/>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ind w:firstLine="3520" w:firstLineChars="1100"/>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竞标材料目录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8" w:type="dxa"/>
            <w:tcBorders>
              <w:top w:val="single" w:color="auto" w:sz="4" w:space="0"/>
              <w:left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1</w:t>
            </w:r>
          </w:p>
        </w:tc>
        <w:tc>
          <w:tcPr>
            <w:tcW w:w="6700" w:type="dxa"/>
            <w:gridSpan w:val="4"/>
            <w:tcBorders>
              <w:top w:val="single" w:color="auto" w:sz="4" w:space="0"/>
              <w:left w:val="single" w:color="auto" w:sz="4" w:space="0"/>
              <w:right w:val="single" w:color="auto" w:sz="4" w:space="0"/>
            </w:tcBorders>
            <w:noWrap/>
            <w:vAlign w:val="center"/>
          </w:tcPr>
          <w:p>
            <w:pPr>
              <w:pStyle w:val="3"/>
              <w:autoSpaceDN w:val="0"/>
              <w:spacing w:line="560" w:lineRule="exact"/>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w:t>
            </w:r>
            <w:r>
              <w:rPr>
                <w:rFonts w:hint="eastAsia" w:ascii="方正仿宋_GBK" w:hAnsi="方正仿宋_GBK" w:eastAsia="方正仿宋_GBK" w:cs="方正仿宋_GBK"/>
                <w:color w:val="auto"/>
                <w:sz w:val="32"/>
                <w:szCs w:val="32"/>
                <w:highlight w:val="none"/>
              </w:rPr>
              <w:t>三沥公司2023-2025年度经营管理竞标方案</w:t>
            </w:r>
            <w:r>
              <w:rPr>
                <w:rFonts w:hint="eastAsia" w:ascii="方正仿宋_GBK" w:hAnsi="Times New Roman" w:eastAsia="方正仿宋_GBK"/>
                <w:color w:val="auto"/>
                <w:sz w:val="32"/>
                <w:szCs w:val="32"/>
                <w:highlight w:val="none"/>
              </w:rPr>
              <w:t>》</w:t>
            </w:r>
          </w:p>
        </w:tc>
        <w:tc>
          <w:tcPr>
            <w:tcW w:w="1150" w:type="dxa"/>
            <w:tcBorders>
              <w:top w:val="single" w:color="auto" w:sz="4" w:space="0"/>
              <w:left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2</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rPr>
                <w:rFonts w:ascii="方正仿宋_GBK" w:hAnsi="Times New Roman" w:eastAsia="方正仿宋_GBK"/>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3</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rPr>
                <w:rFonts w:ascii="方正仿宋_GBK" w:hAnsi="Times New Roman" w:eastAsia="方正仿宋_GBK"/>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备注</w:t>
            </w:r>
          </w:p>
        </w:tc>
        <w:tc>
          <w:tcPr>
            <w:tcW w:w="7850" w:type="dxa"/>
            <w:gridSpan w:val="5"/>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ind w:firstLine="640" w:firstLineChars="200"/>
              <w:rPr>
                <w:rFonts w:ascii="方正仿宋_GBK" w:hAnsi="Times New Roman" w:eastAsia="方正仿宋_GBK"/>
                <w:color w:val="auto"/>
                <w:sz w:val="32"/>
                <w:szCs w:val="32"/>
                <w:highlight w:val="none"/>
              </w:rPr>
            </w:pPr>
          </w:p>
        </w:tc>
      </w:tr>
    </w:tbl>
    <w:p>
      <w:pPr>
        <w:pStyle w:val="2"/>
        <w:spacing w:line="560" w:lineRule="exact"/>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xml:space="preserve"> 时间：     年    月    日</w:t>
      </w:r>
    </w:p>
    <w:p>
      <w:pPr>
        <w:spacing w:line="560" w:lineRule="exact"/>
        <w:rPr>
          <w:rFonts w:ascii="方正仿宋_GBK" w:eastAsia="方正仿宋_GBK"/>
          <w:color w:val="auto"/>
          <w:sz w:val="32"/>
          <w:szCs w:val="32"/>
          <w:highlight w:val="none"/>
        </w:rPr>
      </w:pPr>
    </w:p>
    <w:p>
      <w:pPr>
        <w:pStyle w:val="2"/>
        <w:spacing w:line="560" w:lineRule="exact"/>
        <w:rPr>
          <w:rFonts w:ascii="方正仿宋_GBK" w:eastAsia="方正仿宋_GBK"/>
          <w:color w:val="auto"/>
          <w:sz w:val="32"/>
          <w:szCs w:val="32"/>
          <w:highlight w:val="none"/>
        </w:rPr>
        <w:sectPr>
          <w:pgSz w:w="11906" w:h="16838"/>
          <w:pgMar w:top="1417" w:right="1701" w:bottom="1417" w:left="1701" w:header="851" w:footer="992" w:gutter="0"/>
          <w:cols w:space="0" w:num="1"/>
          <w:docGrid w:type="lines" w:linePitch="321" w:charSpace="0"/>
        </w:sectPr>
      </w:pPr>
    </w:p>
    <w:p>
      <w:pPr>
        <w:adjustRightInd w:val="0"/>
        <w:snapToGrid w:val="0"/>
        <w:spacing w:line="560" w:lineRule="exac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附件2：</w:t>
      </w:r>
    </w:p>
    <w:p>
      <w:pPr>
        <w:pStyle w:val="3"/>
        <w:autoSpaceDN w:val="0"/>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三沥公司2023-2025年度经营管理</w:t>
      </w:r>
    </w:p>
    <w:p>
      <w:pPr>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揭榜意向表</w:t>
      </w:r>
    </w:p>
    <w:tbl>
      <w:tblPr>
        <w:tblStyle w:val="8"/>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736"/>
        <w:gridCol w:w="1620"/>
        <w:gridCol w:w="2434"/>
        <w:gridCol w:w="1601"/>
        <w:gridCol w:w="2100"/>
        <w:gridCol w:w="163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832"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揭榜人姓名</w:t>
            </w:r>
          </w:p>
        </w:tc>
        <w:tc>
          <w:tcPr>
            <w:tcW w:w="1736" w:type="dxa"/>
            <w:vAlign w:val="center"/>
          </w:tcPr>
          <w:p>
            <w:pPr>
              <w:spacing w:line="560" w:lineRule="exact"/>
              <w:jc w:val="center"/>
              <w:rPr>
                <w:rFonts w:ascii="方正仿宋_GBK" w:hAnsi="方正仿宋_GBK" w:eastAsia="方正仿宋_GBK" w:cs="方正仿宋_GBK"/>
                <w:color w:val="auto"/>
                <w:sz w:val="32"/>
                <w:szCs w:val="32"/>
                <w:highlight w:val="none"/>
              </w:rPr>
            </w:pPr>
          </w:p>
        </w:tc>
        <w:tc>
          <w:tcPr>
            <w:tcW w:w="1620"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w:t>
            </w:r>
          </w:p>
        </w:tc>
        <w:tc>
          <w:tcPr>
            <w:tcW w:w="2434" w:type="dxa"/>
            <w:vAlign w:val="center"/>
          </w:tcPr>
          <w:p>
            <w:pPr>
              <w:spacing w:line="560" w:lineRule="exact"/>
              <w:jc w:val="center"/>
              <w:rPr>
                <w:rFonts w:ascii="方正仿宋_GBK" w:hAnsi="方正仿宋_GBK" w:eastAsia="方正仿宋_GBK" w:cs="方正仿宋_GBK"/>
                <w:color w:val="auto"/>
                <w:sz w:val="32"/>
                <w:szCs w:val="32"/>
                <w:highlight w:val="none"/>
              </w:rPr>
            </w:pPr>
          </w:p>
        </w:tc>
        <w:tc>
          <w:tcPr>
            <w:tcW w:w="1601"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工作单位</w:t>
            </w:r>
          </w:p>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及职务</w:t>
            </w:r>
          </w:p>
        </w:tc>
        <w:tc>
          <w:tcPr>
            <w:tcW w:w="2100" w:type="dxa"/>
            <w:vAlign w:val="center"/>
          </w:tcPr>
          <w:p>
            <w:pPr>
              <w:spacing w:line="560" w:lineRule="exact"/>
              <w:jc w:val="center"/>
              <w:rPr>
                <w:rFonts w:ascii="方正仿宋_GBK" w:hAnsi="方正仿宋_GBK" w:eastAsia="方正仿宋_GBK" w:cs="方正仿宋_GBK"/>
                <w:color w:val="auto"/>
                <w:sz w:val="32"/>
                <w:szCs w:val="32"/>
                <w:highlight w:val="none"/>
              </w:rPr>
            </w:pPr>
          </w:p>
        </w:tc>
        <w:tc>
          <w:tcPr>
            <w:tcW w:w="1635"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联系方式</w:t>
            </w:r>
          </w:p>
        </w:tc>
        <w:tc>
          <w:tcPr>
            <w:tcW w:w="2111" w:type="dxa"/>
            <w:vAlign w:val="center"/>
          </w:tcPr>
          <w:p>
            <w:pPr>
              <w:spacing w:line="560" w:lineRule="exact"/>
              <w:jc w:val="center"/>
              <w:rPr>
                <w:rFonts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832"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主要工作</w:t>
            </w:r>
          </w:p>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经历</w:t>
            </w:r>
          </w:p>
        </w:tc>
        <w:tc>
          <w:tcPr>
            <w:tcW w:w="13237" w:type="dxa"/>
            <w:gridSpan w:val="7"/>
            <w:vAlign w:val="center"/>
          </w:tcPr>
          <w:p>
            <w:pPr>
              <w:spacing w:line="560" w:lineRule="exact"/>
              <w:jc w:val="center"/>
              <w:rPr>
                <w:rFonts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832"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完成任务的核心竞争力及个人优势</w:t>
            </w:r>
          </w:p>
        </w:tc>
        <w:tc>
          <w:tcPr>
            <w:tcW w:w="13237" w:type="dxa"/>
            <w:gridSpan w:val="7"/>
            <w:vAlign w:val="center"/>
          </w:tcPr>
          <w:p>
            <w:pPr>
              <w:spacing w:line="560" w:lineRule="exact"/>
              <w:jc w:val="center"/>
              <w:rPr>
                <w:rFonts w:ascii="方正仿宋_GBK" w:hAnsi="方正仿宋_GBK" w:eastAsia="方正仿宋_GBK" w:cs="方正仿宋_GBK"/>
                <w:color w:val="auto"/>
                <w:sz w:val="32"/>
                <w:szCs w:val="32"/>
                <w:highlight w:val="none"/>
              </w:rPr>
            </w:pPr>
          </w:p>
        </w:tc>
      </w:tr>
    </w:tbl>
    <w:p>
      <w:pPr>
        <w:spacing w:line="560" w:lineRule="exact"/>
        <w:rPr>
          <w:rFonts w:ascii="宋体" w:hAnsi="宋体" w:eastAsia="宋体" w:cs="宋体"/>
          <w:color w:val="auto"/>
          <w:sz w:val="30"/>
          <w:szCs w:val="30"/>
          <w:highlight w:val="none"/>
        </w:rPr>
      </w:pPr>
    </w:p>
    <w:p>
      <w:pPr>
        <w:spacing w:line="560" w:lineRule="exact"/>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rPr>
        <w:t xml:space="preserve">3  </w:t>
      </w:r>
      <w:r>
        <w:rPr>
          <w:rFonts w:hint="eastAsia" w:ascii="方正仿宋_GBK" w:hAnsi="方正仿宋_GBK" w:eastAsia="方正仿宋_GBK" w:cs="方正仿宋_GBK"/>
          <w:color w:val="auto"/>
          <w:sz w:val="32"/>
          <w:szCs w:val="32"/>
          <w:highlight w:val="none"/>
        </w:rPr>
        <w:t>______年度综合管理考核指标</w:t>
      </w:r>
    </w:p>
    <w:p>
      <w:pPr>
        <w:spacing w:after="162" w:afterLines="50" w:line="48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______年</w:t>
      </w:r>
      <w:r>
        <w:rPr>
          <w:rFonts w:hint="eastAsia" w:ascii="宋体" w:hAnsi="宋体" w:cs="宋体"/>
          <w:b/>
          <w:bCs/>
          <w:color w:val="auto"/>
          <w:sz w:val="36"/>
          <w:szCs w:val="36"/>
          <w:highlight w:val="none"/>
        </w:rPr>
        <w:t>度综合管理</w:t>
      </w:r>
      <w:r>
        <w:rPr>
          <w:rFonts w:hint="eastAsia" w:ascii="宋体" w:hAnsi="宋体" w:eastAsia="宋体" w:cs="宋体"/>
          <w:b/>
          <w:bCs/>
          <w:color w:val="auto"/>
          <w:sz w:val="36"/>
          <w:szCs w:val="36"/>
          <w:highlight w:val="none"/>
        </w:rPr>
        <w:t>考核</w:t>
      </w:r>
      <w:r>
        <w:rPr>
          <w:rFonts w:hint="eastAsia" w:ascii="宋体" w:hAnsi="宋体" w:cs="宋体"/>
          <w:b/>
          <w:bCs/>
          <w:color w:val="auto"/>
          <w:sz w:val="36"/>
          <w:szCs w:val="36"/>
          <w:highlight w:val="none"/>
        </w:rPr>
        <w:t>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4"/>
        <w:gridCol w:w="3105"/>
        <w:gridCol w:w="1275"/>
        <w:gridCol w:w="525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4489" w:type="dxa"/>
            <w:gridSpan w:val="2"/>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考核指标</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目标值</w:t>
            </w:r>
          </w:p>
        </w:tc>
        <w:tc>
          <w:tcPr>
            <w:tcW w:w="5258"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评分细则</w:t>
            </w:r>
          </w:p>
        </w:tc>
        <w:tc>
          <w:tcPr>
            <w:tcW w:w="236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829" w:type="dxa"/>
            <w:vMerge w:val="restart"/>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1384" w:type="dxa"/>
            <w:vMerge w:val="restart"/>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业绩指标</w:t>
            </w:r>
          </w:p>
          <w:p>
            <w:pPr>
              <w:pStyle w:val="2"/>
              <w:spacing w:before="0" w:after="0" w:line="320" w:lineRule="exact"/>
              <w:jc w:val="center"/>
              <w:outlineLvl w:val="3"/>
              <w:rPr>
                <w:color w:val="auto"/>
                <w:highlight w:val="none"/>
              </w:rPr>
            </w:pPr>
            <w:r>
              <w:rPr>
                <w:rFonts w:hint="eastAsia" w:ascii="方正仿宋_GBK" w:hAnsi="方正仿宋_GBK" w:eastAsia="方正仿宋_GBK" w:cs="方正仿宋_GBK"/>
                <w:b w:val="0"/>
                <w:bCs w:val="0"/>
                <w:color w:val="auto"/>
                <w:sz w:val="24"/>
                <w:szCs w:val="24"/>
                <w:highlight w:val="none"/>
              </w:rPr>
              <w:t>（80分）</w:t>
            </w:r>
          </w:p>
        </w:tc>
        <w:tc>
          <w:tcPr>
            <w:tcW w:w="310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营业收入（20分）</w:t>
            </w:r>
          </w:p>
        </w:tc>
        <w:tc>
          <w:tcPr>
            <w:tcW w:w="127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p>
        </w:tc>
        <w:tc>
          <w:tcPr>
            <w:tcW w:w="52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完成年度目标值，得全分，未完成目标值按比例扣分。</w:t>
            </w: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根据当年总业务量予以下达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9" w:type="dxa"/>
            <w:vMerge w:val="continue"/>
            <w:vAlign w:val="center"/>
          </w:tcPr>
          <w:p>
            <w:pPr>
              <w:spacing w:line="320" w:lineRule="exact"/>
              <w:jc w:val="center"/>
              <w:rPr>
                <w:rFonts w:ascii="方正仿宋_GBK" w:hAnsi="方正仿宋_GBK" w:eastAsia="方正仿宋_GBK" w:cs="方正仿宋_GBK"/>
                <w:color w:val="auto"/>
                <w:sz w:val="24"/>
                <w:highlight w:val="none"/>
              </w:rPr>
            </w:pPr>
          </w:p>
        </w:tc>
        <w:tc>
          <w:tcPr>
            <w:tcW w:w="1384" w:type="dxa"/>
            <w:vMerge w:val="continue"/>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p>
        </w:tc>
        <w:tc>
          <w:tcPr>
            <w:tcW w:w="310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净利润（60分）</w:t>
            </w:r>
          </w:p>
        </w:tc>
        <w:tc>
          <w:tcPr>
            <w:tcW w:w="127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p>
        </w:tc>
        <w:tc>
          <w:tcPr>
            <w:tcW w:w="52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完成年度目标值，得全分，未完成目标值按比例扣分。</w:t>
            </w: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按揭榜挂帅发榜文件对净利润的约定核算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9" w:type="dxa"/>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1384"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管理评价指标</w:t>
            </w:r>
          </w:p>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（20分）</w:t>
            </w:r>
          </w:p>
        </w:tc>
        <w:tc>
          <w:tcPr>
            <w:tcW w:w="3105" w:type="dxa"/>
            <w:vAlign w:val="center"/>
          </w:tcPr>
          <w:p>
            <w:pPr>
              <w:rPr>
                <w:color w:val="auto"/>
                <w:highlight w:val="none"/>
              </w:rPr>
            </w:pPr>
            <w:r>
              <w:rPr>
                <w:rFonts w:hint="eastAsia" w:ascii="方正仿宋_GBK" w:hAnsi="方正仿宋_GBK" w:eastAsia="方正仿宋_GBK" w:cs="方正仿宋_GBK"/>
                <w:color w:val="auto"/>
                <w:sz w:val="24"/>
                <w:highlight w:val="none"/>
              </w:rPr>
              <w:t>管理规范性；本公司或上级单位统一安排的专项分配项目（业务）的完成度。（20分）</w:t>
            </w:r>
          </w:p>
        </w:tc>
        <w:tc>
          <w:tcPr>
            <w:tcW w:w="127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p>
        </w:tc>
        <w:tc>
          <w:tcPr>
            <w:tcW w:w="5258"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安全、环保、信访、廉政、违法违规等；完成任务目标，得全分，未完成目标，按设定阶段目标任务对应分值扣减分或按比例扣分。</w:t>
            </w: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包含不限于保障性业务供货的及时性、质量的稳定性等。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4220" w:type="dxa"/>
            <w:gridSpan w:val="6"/>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年度考核得分=财务效益指标考核得分+综合管理指标考核得分+激励指标得分。</w:t>
            </w:r>
          </w:p>
        </w:tc>
      </w:tr>
    </w:tbl>
    <w:p>
      <w:pPr>
        <w:rPr>
          <w:color w:val="auto"/>
          <w:highlight w:val="none"/>
        </w:rPr>
      </w:pPr>
    </w:p>
    <w:p>
      <w:pPr>
        <w:rPr>
          <w:color w:val="auto"/>
          <w:highlight w:val="none"/>
        </w:rPr>
      </w:pPr>
    </w:p>
    <w:p>
      <w:pPr>
        <w:rPr>
          <w:color w:val="auto"/>
          <w:highlight w:val="none"/>
        </w:rPr>
        <w:sectPr>
          <w:footerReference r:id="rId4" w:type="default"/>
          <w:pgSz w:w="16838" w:h="11906" w:orient="landscape"/>
          <w:pgMar w:top="1417" w:right="1417" w:bottom="1417" w:left="1417" w:header="851" w:footer="992" w:gutter="0"/>
          <w:cols w:space="0" w:num="1"/>
          <w:docGrid w:type="lines" w:linePitch="324" w:charSpace="0"/>
        </w:sectPr>
      </w:pPr>
    </w:p>
    <w:p>
      <w:pPr>
        <w:spacing w:line="560" w:lineRule="exact"/>
        <w:rPr>
          <w:rFonts w:ascii="方正仿宋_GBK" w:hAnsi="方正仿宋_GBK" w:eastAsia="方正仿宋_GBK" w:cs="方正仿宋_GBK"/>
          <w:color w:val="auto"/>
          <w:sz w:val="32"/>
          <w:szCs w:val="32"/>
          <w:highlight w:val="none"/>
        </w:rPr>
      </w:pPr>
      <w:r>
        <w:rPr>
          <w:rFonts w:hint="eastAsia" w:ascii="宋体" w:hAnsi="宋体" w:eastAsia="宋体" w:cs="宋体"/>
          <w:b/>
          <w:bCs/>
          <w:color w:val="auto"/>
          <w:sz w:val="30"/>
          <w:szCs w:val="30"/>
          <w:highlight w:val="none"/>
        </w:rPr>
        <w:t xml:space="preserve">附件4 </w:t>
      </w:r>
      <w:r>
        <w:rPr>
          <w:rFonts w:hint="eastAsia" w:ascii="方正仿宋_GBK" w:hAnsi="方正仿宋_GBK" w:eastAsia="方正仿宋_GBK" w:cs="方正仿宋_GBK"/>
          <w:color w:val="auto"/>
          <w:sz w:val="32"/>
          <w:szCs w:val="32"/>
          <w:highlight w:val="none"/>
        </w:rPr>
        <w:t>经营期目标考核指标</w:t>
      </w:r>
    </w:p>
    <w:p>
      <w:pPr>
        <w:spacing w:after="162" w:afterLines="50" w:line="48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2023-2025年经营期目标考核指标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135"/>
        <w:gridCol w:w="2754"/>
        <w:gridCol w:w="1275"/>
        <w:gridCol w:w="585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889" w:type="dxa"/>
            <w:gridSpan w:val="2"/>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考核指标</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分值</w:t>
            </w:r>
          </w:p>
        </w:tc>
        <w:tc>
          <w:tcPr>
            <w:tcW w:w="5858"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评分细则</w:t>
            </w:r>
          </w:p>
        </w:tc>
        <w:tc>
          <w:tcPr>
            <w:tcW w:w="236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vMerge w:val="restart"/>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1135" w:type="dxa"/>
            <w:vMerge w:val="restart"/>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指标</w:t>
            </w:r>
          </w:p>
        </w:tc>
        <w:tc>
          <w:tcPr>
            <w:tcW w:w="2754"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经营期营收完成情况</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20分</w:t>
            </w:r>
          </w:p>
        </w:tc>
        <w:tc>
          <w:tcPr>
            <w:tcW w:w="58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完成经营期目标值，得全分，未完成目标值按比例扣分。</w:t>
            </w:r>
          </w:p>
        </w:tc>
        <w:tc>
          <w:tcPr>
            <w:tcW w:w="2369" w:type="dxa"/>
            <w:vAlign w:val="center"/>
          </w:tcPr>
          <w:p>
            <w:pPr>
              <w:spacing w:line="320" w:lineRule="exact"/>
              <w:jc w:val="lef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29" w:type="dxa"/>
            <w:vMerge w:val="continue"/>
            <w:vAlign w:val="center"/>
          </w:tcPr>
          <w:p>
            <w:pPr>
              <w:spacing w:line="320" w:lineRule="exact"/>
              <w:jc w:val="center"/>
              <w:rPr>
                <w:rFonts w:ascii="方正仿宋_GBK" w:hAnsi="方正仿宋_GBK" w:eastAsia="方正仿宋_GBK" w:cs="方正仿宋_GBK"/>
                <w:color w:val="auto"/>
                <w:sz w:val="24"/>
                <w:highlight w:val="none"/>
              </w:rPr>
            </w:pPr>
          </w:p>
        </w:tc>
        <w:tc>
          <w:tcPr>
            <w:tcW w:w="1135" w:type="dxa"/>
            <w:vMerge w:val="continue"/>
            <w:vAlign w:val="center"/>
          </w:tcPr>
          <w:p>
            <w:pPr>
              <w:spacing w:line="320" w:lineRule="exact"/>
              <w:jc w:val="center"/>
              <w:rPr>
                <w:rFonts w:ascii="方正仿宋_GBK" w:hAnsi="方正仿宋_GBK" w:eastAsia="方正仿宋_GBK" w:cs="方正仿宋_GBK"/>
                <w:color w:val="auto"/>
                <w:sz w:val="24"/>
                <w:highlight w:val="none"/>
              </w:rPr>
            </w:pPr>
          </w:p>
        </w:tc>
        <w:tc>
          <w:tcPr>
            <w:tcW w:w="2754"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经营期净利润完成情况</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60分</w:t>
            </w:r>
          </w:p>
        </w:tc>
        <w:tc>
          <w:tcPr>
            <w:tcW w:w="58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完成经营期目标值，得全分，未完成目标值按比例扣分。</w:t>
            </w:r>
          </w:p>
        </w:tc>
        <w:tc>
          <w:tcPr>
            <w:tcW w:w="2369" w:type="dxa"/>
            <w:vAlign w:val="center"/>
          </w:tcPr>
          <w:p>
            <w:pPr>
              <w:spacing w:line="320" w:lineRule="exact"/>
              <w:jc w:val="lef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29" w:type="dxa"/>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3889" w:type="dxa"/>
            <w:gridSpan w:val="2"/>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任务期管理考核指标</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20分</w:t>
            </w:r>
          </w:p>
        </w:tc>
        <w:tc>
          <w:tcPr>
            <w:tcW w:w="58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p>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根据经营期各年度综合管理考核指标考核得分取平均值直接计算。</w:t>
            </w:r>
          </w:p>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p>
        </w:tc>
      </w:tr>
    </w:tbl>
    <w:p>
      <w:pPr>
        <w:spacing w:line="560" w:lineRule="exact"/>
        <w:rPr>
          <w:rFonts w:ascii="宋体" w:hAnsi="宋体" w:eastAsia="宋体" w:cs="宋体"/>
          <w:color w:val="auto"/>
          <w:sz w:val="30"/>
          <w:szCs w:val="30"/>
          <w:highlight w:val="none"/>
        </w:rPr>
      </w:pPr>
    </w:p>
    <w:p>
      <w:pPr>
        <w:rPr>
          <w:color w:val="auto"/>
          <w:highlight w:val="none"/>
        </w:rPr>
      </w:pPr>
    </w:p>
    <w:sectPr>
      <w:pgSz w:w="16838" w:h="11906" w:orient="landscape"/>
      <w:pgMar w:top="1417" w:right="1417" w:bottom="1417" w:left="141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005138"/>
    </w:sdtPr>
    <w:sdtContent>
      <w:sdt>
        <w:sdtPr>
          <w:id w:val="98381352"/>
        </w:sdtPr>
        <w:sdtContent>
          <w:p>
            <w:pPr>
              <w:pStyle w:val="5"/>
              <w:jc w:val="center"/>
            </w:pPr>
            <w:r>
              <w:rPr>
                <w:b/>
                <w:bCs/>
                <w:sz w:val="24"/>
              </w:rPr>
              <w:fldChar w:fldCharType="begin"/>
            </w:r>
            <w:r>
              <w:rPr>
                <w:b/>
                <w:bCs/>
              </w:rPr>
              <w:instrText xml:space="preserve">PAGE</w:instrText>
            </w:r>
            <w:r>
              <w:rPr>
                <w:b/>
                <w:bCs/>
                <w:sz w:val="24"/>
              </w:rPr>
              <w:fldChar w:fldCharType="separate"/>
            </w:r>
            <w:r>
              <w:rPr>
                <w:b/>
                <w:bCs/>
              </w:rPr>
              <w:t>14</w:t>
            </w:r>
            <w:r>
              <w:rPr>
                <w:b/>
                <w:bCs/>
                <w:sz w:val="24"/>
              </w:rPr>
              <w:fldChar w:fldCharType="end"/>
            </w:r>
            <w:r>
              <w:rPr>
                <w:lang w:val="zh-CN"/>
              </w:rPr>
              <w:t xml:space="preserve">/ </w:t>
            </w:r>
            <w:r>
              <w:rPr>
                <w:b/>
                <w:bCs/>
                <w:sz w:val="24"/>
              </w:rPr>
              <w:fldChar w:fldCharType="begin"/>
            </w:r>
            <w:r>
              <w:rPr>
                <w:b/>
                <w:bCs/>
              </w:rPr>
              <w:instrText xml:space="preserve">NUMPAGES</w:instrText>
            </w:r>
            <w:r>
              <w:rPr>
                <w:b/>
                <w:bCs/>
                <w:sz w:val="24"/>
              </w:rPr>
              <w:fldChar w:fldCharType="separate"/>
            </w:r>
            <w:r>
              <w:rPr>
                <w:b/>
                <w:bCs/>
              </w:rPr>
              <w:t>16</w:t>
            </w:r>
            <w:r>
              <w:rPr>
                <w:b/>
                <w:bCs/>
                <w:sz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C664"/>
    <w:multiLevelType w:val="singleLevel"/>
    <w:tmpl w:val="26A7C66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trackRevisions w:val="1"/>
  <w:documentProtection w:enforcement="0"/>
  <w:defaultTabStop w:val="420"/>
  <w:drawingGridVerticalSpacing w:val="16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zM2MwYWNjYzFiZTJiNzM2NGQxNTc2ZWY5YjA0OTYifQ=="/>
  </w:docVars>
  <w:rsids>
    <w:rsidRoot w:val="00D84636"/>
    <w:rsid w:val="00012EDB"/>
    <w:rsid w:val="000143E8"/>
    <w:rsid w:val="00027718"/>
    <w:rsid w:val="00037043"/>
    <w:rsid w:val="000438F2"/>
    <w:rsid w:val="000500F5"/>
    <w:rsid w:val="000521A7"/>
    <w:rsid w:val="00060EEC"/>
    <w:rsid w:val="000A1756"/>
    <w:rsid w:val="000A3455"/>
    <w:rsid w:val="000D005D"/>
    <w:rsid w:val="0010606E"/>
    <w:rsid w:val="00120A7D"/>
    <w:rsid w:val="00126859"/>
    <w:rsid w:val="00145381"/>
    <w:rsid w:val="001508F4"/>
    <w:rsid w:val="001557E0"/>
    <w:rsid w:val="00163C52"/>
    <w:rsid w:val="00184268"/>
    <w:rsid w:val="00185DC4"/>
    <w:rsid w:val="001A6D67"/>
    <w:rsid w:val="001A6F36"/>
    <w:rsid w:val="001B0259"/>
    <w:rsid w:val="001B5CE7"/>
    <w:rsid w:val="001E0224"/>
    <w:rsid w:val="001F2803"/>
    <w:rsid w:val="001F2D00"/>
    <w:rsid w:val="001F672D"/>
    <w:rsid w:val="002039C3"/>
    <w:rsid w:val="00210EC3"/>
    <w:rsid w:val="00215692"/>
    <w:rsid w:val="00223319"/>
    <w:rsid w:val="00223C1C"/>
    <w:rsid w:val="0023006F"/>
    <w:rsid w:val="00233100"/>
    <w:rsid w:val="002510C0"/>
    <w:rsid w:val="0025660C"/>
    <w:rsid w:val="00291B20"/>
    <w:rsid w:val="00293043"/>
    <w:rsid w:val="002B4D80"/>
    <w:rsid w:val="002D1E09"/>
    <w:rsid w:val="002D3B0A"/>
    <w:rsid w:val="002E2C31"/>
    <w:rsid w:val="00310161"/>
    <w:rsid w:val="00313997"/>
    <w:rsid w:val="00325C8B"/>
    <w:rsid w:val="00341382"/>
    <w:rsid w:val="0034166D"/>
    <w:rsid w:val="0034364A"/>
    <w:rsid w:val="00344378"/>
    <w:rsid w:val="003869AE"/>
    <w:rsid w:val="003A3B97"/>
    <w:rsid w:val="003A3C2F"/>
    <w:rsid w:val="003B0A96"/>
    <w:rsid w:val="003B552F"/>
    <w:rsid w:val="003B6CA6"/>
    <w:rsid w:val="003B7FEC"/>
    <w:rsid w:val="003C1D4F"/>
    <w:rsid w:val="003D3E43"/>
    <w:rsid w:val="003D77DB"/>
    <w:rsid w:val="0041278E"/>
    <w:rsid w:val="00414E00"/>
    <w:rsid w:val="00431317"/>
    <w:rsid w:val="004476AE"/>
    <w:rsid w:val="00466176"/>
    <w:rsid w:val="004915EE"/>
    <w:rsid w:val="004B3D7F"/>
    <w:rsid w:val="004C54CE"/>
    <w:rsid w:val="004C573C"/>
    <w:rsid w:val="004F1562"/>
    <w:rsid w:val="00505519"/>
    <w:rsid w:val="00506E1B"/>
    <w:rsid w:val="00512F18"/>
    <w:rsid w:val="00515033"/>
    <w:rsid w:val="0052767D"/>
    <w:rsid w:val="00527E30"/>
    <w:rsid w:val="00532D41"/>
    <w:rsid w:val="0053686E"/>
    <w:rsid w:val="0054711E"/>
    <w:rsid w:val="00583501"/>
    <w:rsid w:val="005903A5"/>
    <w:rsid w:val="005B5177"/>
    <w:rsid w:val="00620A59"/>
    <w:rsid w:val="00623E3F"/>
    <w:rsid w:val="00624B12"/>
    <w:rsid w:val="00626100"/>
    <w:rsid w:val="00642833"/>
    <w:rsid w:val="00644028"/>
    <w:rsid w:val="00650D5C"/>
    <w:rsid w:val="006674F7"/>
    <w:rsid w:val="00682B1A"/>
    <w:rsid w:val="006A2A40"/>
    <w:rsid w:val="006B3D7C"/>
    <w:rsid w:val="006B4F71"/>
    <w:rsid w:val="006D7672"/>
    <w:rsid w:val="006E3960"/>
    <w:rsid w:val="007230ED"/>
    <w:rsid w:val="00741073"/>
    <w:rsid w:val="00756025"/>
    <w:rsid w:val="00764506"/>
    <w:rsid w:val="007B264C"/>
    <w:rsid w:val="007B706D"/>
    <w:rsid w:val="007C781A"/>
    <w:rsid w:val="007E723A"/>
    <w:rsid w:val="00850585"/>
    <w:rsid w:val="00852F27"/>
    <w:rsid w:val="0085784B"/>
    <w:rsid w:val="00862211"/>
    <w:rsid w:val="008644BE"/>
    <w:rsid w:val="00866D4A"/>
    <w:rsid w:val="00873F97"/>
    <w:rsid w:val="0089741D"/>
    <w:rsid w:val="008A5CEE"/>
    <w:rsid w:val="008D223E"/>
    <w:rsid w:val="008E0C49"/>
    <w:rsid w:val="008F383A"/>
    <w:rsid w:val="008F44D9"/>
    <w:rsid w:val="009104FB"/>
    <w:rsid w:val="00921E31"/>
    <w:rsid w:val="0092261A"/>
    <w:rsid w:val="00924F93"/>
    <w:rsid w:val="00933C84"/>
    <w:rsid w:val="0095444D"/>
    <w:rsid w:val="00965C9C"/>
    <w:rsid w:val="0097056E"/>
    <w:rsid w:val="00975D66"/>
    <w:rsid w:val="009836FA"/>
    <w:rsid w:val="0098567F"/>
    <w:rsid w:val="00986576"/>
    <w:rsid w:val="00986F6E"/>
    <w:rsid w:val="00992ACA"/>
    <w:rsid w:val="00995CF5"/>
    <w:rsid w:val="009A7DB1"/>
    <w:rsid w:val="009B056B"/>
    <w:rsid w:val="009C2E78"/>
    <w:rsid w:val="009E1BD5"/>
    <w:rsid w:val="009E2AE6"/>
    <w:rsid w:val="00A3004C"/>
    <w:rsid w:val="00A3295D"/>
    <w:rsid w:val="00A50BA5"/>
    <w:rsid w:val="00A5610F"/>
    <w:rsid w:val="00A91F4C"/>
    <w:rsid w:val="00AB7B4D"/>
    <w:rsid w:val="00AC7A05"/>
    <w:rsid w:val="00AD2138"/>
    <w:rsid w:val="00AD2682"/>
    <w:rsid w:val="00AD41E2"/>
    <w:rsid w:val="00AE0B75"/>
    <w:rsid w:val="00AE498F"/>
    <w:rsid w:val="00AF4683"/>
    <w:rsid w:val="00B02ED7"/>
    <w:rsid w:val="00B12012"/>
    <w:rsid w:val="00B41151"/>
    <w:rsid w:val="00B51AA8"/>
    <w:rsid w:val="00B5788B"/>
    <w:rsid w:val="00B71508"/>
    <w:rsid w:val="00B76F6C"/>
    <w:rsid w:val="00B82649"/>
    <w:rsid w:val="00B85860"/>
    <w:rsid w:val="00BB3F10"/>
    <w:rsid w:val="00BD081B"/>
    <w:rsid w:val="00BD13A5"/>
    <w:rsid w:val="00BE38B6"/>
    <w:rsid w:val="00BE4ECD"/>
    <w:rsid w:val="00C06C4E"/>
    <w:rsid w:val="00C10EEA"/>
    <w:rsid w:val="00C27717"/>
    <w:rsid w:val="00C47E6F"/>
    <w:rsid w:val="00C54F5E"/>
    <w:rsid w:val="00C63023"/>
    <w:rsid w:val="00C65573"/>
    <w:rsid w:val="00C70C4B"/>
    <w:rsid w:val="00C76E7E"/>
    <w:rsid w:val="00C90ED3"/>
    <w:rsid w:val="00C97EA7"/>
    <w:rsid w:val="00CB110E"/>
    <w:rsid w:val="00CB4157"/>
    <w:rsid w:val="00CF20BD"/>
    <w:rsid w:val="00CF458C"/>
    <w:rsid w:val="00D114E7"/>
    <w:rsid w:val="00D2042E"/>
    <w:rsid w:val="00D278D3"/>
    <w:rsid w:val="00D43503"/>
    <w:rsid w:val="00D43933"/>
    <w:rsid w:val="00D62A97"/>
    <w:rsid w:val="00D77CBC"/>
    <w:rsid w:val="00D84636"/>
    <w:rsid w:val="00D85F8E"/>
    <w:rsid w:val="00DB6BF1"/>
    <w:rsid w:val="00DD14EB"/>
    <w:rsid w:val="00DE363D"/>
    <w:rsid w:val="00E01015"/>
    <w:rsid w:val="00E23B83"/>
    <w:rsid w:val="00E34FFD"/>
    <w:rsid w:val="00E40FE4"/>
    <w:rsid w:val="00E44CAD"/>
    <w:rsid w:val="00E91542"/>
    <w:rsid w:val="00E917B8"/>
    <w:rsid w:val="00EA13F7"/>
    <w:rsid w:val="00EB231E"/>
    <w:rsid w:val="00EB6B57"/>
    <w:rsid w:val="00EC07ED"/>
    <w:rsid w:val="00EF448B"/>
    <w:rsid w:val="00F069C9"/>
    <w:rsid w:val="00F10FA6"/>
    <w:rsid w:val="00F11D5C"/>
    <w:rsid w:val="00F1683D"/>
    <w:rsid w:val="00F21479"/>
    <w:rsid w:val="00F2659B"/>
    <w:rsid w:val="00F30064"/>
    <w:rsid w:val="00F36466"/>
    <w:rsid w:val="00F42B23"/>
    <w:rsid w:val="00F47172"/>
    <w:rsid w:val="00F47F1E"/>
    <w:rsid w:val="00F54364"/>
    <w:rsid w:val="00F816DE"/>
    <w:rsid w:val="00F86781"/>
    <w:rsid w:val="00FC2909"/>
    <w:rsid w:val="0116228B"/>
    <w:rsid w:val="01515A9F"/>
    <w:rsid w:val="015C7709"/>
    <w:rsid w:val="018A5131"/>
    <w:rsid w:val="01AB2830"/>
    <w:rsid w:val="01D152A8"/>
    <w:rsid w:val="01F307CF"/>
    <w:rsid w:val="01F37D41"/>
    <w:rsid w:val="01FE5971"/>
    <w:rsid w:val="02184C85"/>
    <w:rsid w:val="022A7D82"/>
    <w:rsid w:val="025E5084"/>
    <w:rsid w:val="02961FB5"/>
    <w:rsid w:val="029B06F1"/>
    <w:rsid w:val="02B1151C"/>
    <w:rsid w:val="02BD7898"/>
    <w:rsid w:val="02C60B85"/>
    <w:rsid w:val="02C834AC"/>
    <w:rsid w:val="0381685A"/>
    <w:rsid w:val="038465E3"/>
    <w:rsid w:val="03A37B58"/>
    <w:rsid w:val="03C140FB"/>
    <w:rsid w:val="03FD05D6"/>
    <w:rsid w:val="040B0B65"/>
    <w:rsid w:val="0417579A"/>
    <w:rsid w:val="0418009F"/>
    <w:rsid w:val="04377548"/>
    <w:rsid w:val="044955CA"/>
    <w:rsid w:val="04CA33D4"/>
    <w:rsid w:val="04F75922"/>
    <w:rsid w:val="05393890"/>
    <w:rsid w:val="05625E12"/>
    <w:rsid w:val="056401E1"/>
    <w:rsid w:val="05A97BD0"/>
    <w:rsid w:val="05D47F55"/>
    <w:rsid w:val="06146EBF"/>
    <w:rsid w:val="061862FF"/>
    <w:rsid w:val="06262809"/>
    <w:rsid w:val="065D535C"/>
    <w:rsid w:val="0664305E"/>
    <w:rsid w:val="074170A2"/>
    <w:rsid w:val="07434552"/>
    <w:rsid w:val="07AD0080"/>
    <w:rsid w:val="07C85E9E"/>
    <w:rsid w:val="080278DF"/>
    <w:rsid w:val="082B54EE"/>
    <w:rsid w:val="086D4E7C"/>
    <w:rsid w:val="087B5F6E"/>
    <w:rsid w:val="087D33AD"/>
    <w:rsid w:val="08C23BA0"/>
    <w:rsid w:val="08DC4C5E"/>
    <w:rsid w:val="08F013DE"/>
    <w:rsid w:val="08F73368"/>
    <w:rsid w:val="092412FF"/>
    <w:rsid w:val="09457CE5"/>
    <w:rsid w:val="094F581A"/>
    <w:rsid w:val="09664528"/>
    <w:rsid w:val="09E944D0"/>
    <w:rsid w:val="0AA979E8"/>
    <w:rsid w:val="0AAB6778"/>
    <w:rsid w:val="0ABB6AF5"/>
    <w:rsid w:val="0AD46073"/>
    <w:rsid w:val="0B231AC0"/>
    <w:rsid w:val="0B2823DD"/>
    <w:rsid w:val="0B2C354F"/>
    <w:rsid w:val="0B5E73D6"/>
    <w:rsid w:val="0B753060"/>
    <w:rsid w:val="0B9510F4"/>
    <w:rsid w:val="0BB7550F"/>
    <w:rsid w:val="0BC67A9B"/>
    <w:rsid w:val="0BD4592E"/>
    <w:rsid w:val="0BEF2EFA"/>
    <w:rsid w:val="0C4813FF"/>
    <w:rsid w:val="0C7D76EA"/>
    <w:rsid w:val="0CA06669"/>
    <w:rsid w:val="0CCB0212"/>
    <w:rsid w:val="0CE61FC1"/>
    <w:rsid w:val="0CFC7763"/>
    <w:rsid w:val="0D3A2ADA"/>
    <w:rsid w:val="0D7B3AFA"/>
    <w:rsid w:val="0D7D0AC8"/>
    <w:rsid w:val="0E14353C"/>
    <w:rsid w:val="0E6C0832"/>
    <w:rsid w:val="0E8A2A67"/>
    <w:rsid w:val="0E9952F0"/>
    <w:rsid w:val="0EB4056C"/>
    <w:rsid w:val="0ED0270F"/>
    <w:rsid w:val="0F412154"/>
    <w:rsid w:val="0F6E08CC"/>
    <w:rsid w:val="0FBE58ED"/>
    <w:rsid w:val="0FC74317"/>
    <w:rsid w:val="0FD54F28"/>
    <w:rsid w:val="10425637"/>
    <w:rsid w:val="10675755"/>
    <w:rsid w:val="10AB252F"/>
    <w:rsid w:val="10B45044"/>
    <w:rsid w:val="10B85FB1"/>
    <w:rsid w:val="10BA143C"/>
    <w:rsid w:val="10C823FE"/>
    <w:rsid w:val="10D14B6F"/>
    <w:rsid w:val="10ED2977"/>
    <w:rsid w:val="110E5BD1"/>
    <w:rsid w:val="115C1832"/>
    <w:rsid w:val="11CE5360"/>
    <w:rsid w:val="11F113D3"/>
    <w:rsid w:val="1252488C"/>
    <w:rsid w:val="12696E37"/>
    <w:rsid w:val="12CC15BD"/>
    <w:rsid w:val="12CC23A0"/>
    <w:rsid w:val="12DB50D8"/>
    <w:rsid w:val="12E0359D"/>
    <w:rsid w:val="12E32C91"/>
    <w:rsid w:val="12EB782C"/>
    <w:rsid w:val="136A730B"/>
    <w:rsid w:val="138403CC"/>
    <w:rsid w:val="13CC1D73"/>
    <w:rsid w:val="13D604FC"/>
    <w:rsid w:val="13E007B5"/>
    <w:rsid w:val="14030701"/>
    <w:rsid w:val="141A4DB1"/>
    <w:rsid w:val="141D71E2"/>
    <w:rsid w:val="14327AAA"/>
    <w:rsid w:val="143A5B58"/>
    <w:rsid w:val="14562CE4"/>
    <w:rsid w:val="149671C9"/>
    <w:rsid w:val="14A51A66"/>
    <w:rsid w:val="14A57151"/>
    <w:rsid w:val="152A3BE7"/>
    <w:rsid w:val="15804BC3"/>
    <w:rsid w:val="15826B8D"/>
    <w:rsid w:val="15BE749A"/>
    <w:rsid w:val="15DE4091"/>
    <w:rsid w:val="16257519"/>
    <w:rsid w:val="16337E88"/>
    <w:rsid w:val="16352EC7"/>
    <w:rsid w:val="1651030E"/>
    <w:rsid w:val="16534B85"/>
    <w:rsid w:val="16E54883"/>
    <w:rsid w:val="16EE4D78"/>
    <w:rsid w:val="16FE0496"/>
    <w:rsid w:val="172D4A44"/>
    <w:rsid w:val="1734741B"/>
    <w:rsid w:val="17356B7B"/>
    <w:rsid w:val="175207E1"/>
    <w:rsid w:val="179B6C5B"/>
    <w:rsid w:val="17A16E71"/>
    <w:rsid w:val="17AB3BD8"/>
    <w:rsid w:val="17CF1E32"/>
    <w:rsid w:val="183038F7"/>
    <w:rsid w:val="18345B37"/>
    <w:rsid w:val="186B5BD9"/>
    <w:rsid w:val="18E948D3"/>
    <w:rsid w:val="193515D3"/>
    <w:rsid w:val="19584882"/>
    <w:rsid w:val="196C7CD1"/>
    <w:rsid w:val="199969A0"/>
    <w:rsid w:val="19D377CB"/>
    <w:rsid w:val="19D92AF4"/>
    <w:rsid w:val="19EB6DF3"/>
    <w:rsid w:val="1A3F692C"/>
    <w:rsid w:val="1AB22DDE"/>
    <w:rsid w:val="1AE64F0F"/>
    <w:rsid w:val="1B1A4DD4"/>
    <w:rsid w:val="1B4736EE"/>
    <w:rsid w:val="1B497A6A"/>
    <w:rsid w:val="1B8911DC"/>
    <w:rsid w:val="1B9969DF"/>
    <w:rsid w:val="1BEE7DC5"/>
    <w:rsid w:val="1C000B98"/>
    <w:rsid w:val="1C0B5037"/>
    <w:rsid w:val="1C7D00AF"/>
    <w:rsid w:val="1CA4563B"/>
    <w:rsid w:val="1D4F7A2D"/>
    <w:rsid w:val="1D6B30DF"/>
    <w:rsid w:val="1D8C46D6"/>
    <w:rsid w:val="1DEA3522"/>
    <w:rsid w:val="1DEF542F"/>
    <w:rsid w:val="1E117C64"/>
    <w:rsid w:val="1E261BBD"/>
    <w:rsid w:val="1E654A07"/>
    <w:rsid w:val="1E892D3B"/>
    <w:rsid w:val="1E896F70"/>
    <w:rsid w:val="1EA33479"/>
    <w:rsid w:val="1EA638ED"/>
    <w:rsid w:val="1ED62C3D"/>
    <w:rsid w:val="1EDA17E8"/>
    <w:rsid w:val="1F040613"/>
    <w:rsid w:val="1F19122C"/>
    <w:rsid w:val="1F2667DB"/>
    <w:rsid w:val="1FA871F0"/>
    <w:rsid w:val="1FBC4A76"/>
    <w:rsid w:val="204E508C"/>
    <w:rsid w:val="20531707"/>
    <w:rsid w:val="205427C4"/>
    <w:rsid w:val="209A6917"/>
    <w:rsid w:val="20BB6151"/>
    <w:rsid w:val="20BE5913"/>
    <w:rsid w:val="20C374E6"/>
    <w:rsid w:val="20FF6876"/>
    <w:rsid w:val="212C5BFF"/>
    <w:rsid w:val="21424B99"/>
    <w:rsid w:val="21800799"/>
    <w:rsid w:val="219678D4"/>
    <w:rsid w:val="21E3047C"/>
    <w:rsid w:val="222920E0"/>
    <w:rsid w:val="22296CDB"/>
    <w:rsid w:val="223C2816"/>
    <w:rsid w:val="22821F7B"/>
    <w:rsid w:val="2299286B"/>
    <w:rsid w:val="22FA4207"/>
    <w:rsid w:val="231C0B46"/>
    <w:rsid w:val="233D0598"/>
    <w:rsid w:val="23610EFF"/>
    <w:rsid w:val="238654DF"/>
    <w:rsid w:val="23C87E61"/>
    <w:rsid w:val="2426102C"/>
    <w:rsid w:val="246D04FB"/>
    <w:rsid w:val="24C07FC9"/>
    <w:rsid w:val="24CE34DB"/>
    <w:rsid w:val="25180974"/>
    <w:rsid w:val="252437BD"/>
    <w:rsid w:val="2572277A"/>
    <w:rsid w:val="25D94338"/>
    <w:rsid w:val="25DB0364"/>
    <w:rsid w:val="26347A30"/>
    <w:rsid w:val="26417434"/>
    <w:rsid w:val="264C4FF2"/>
    <w:rsid w:val="265757A1"/>
    <w:rsid w:val="266320C3"/>
    <w:rsid w:val="2680570B"/>
    <w:rsid w:val="26AC142E"/>
    <w:rsid w:val="26DD627A"/>
    <w:rsid w:val="2711120A"/>
    <w:rsid w:val="27491930"/>
    <w:rsid w:val="27B25DC2"/>
    <w:rsid w:val="27CE7F09"/>
    <w:rsid w:val="27D05536"/>
    <w:rsid w:val="27D25752"/>
    <w:rsid w:val="28575047"/>
    <w:rsid w:val="28B74948"/>
    <w:rsid w:val="28D252DE"/>
    <w:rsid w:val="28ED6F99"/>
    <w:rsid w:val="28EF5E90"/>
    <w:rsid w:val="290A1EBC"/>
    <w:rsid w:val="29347D47"/>
    <w:rsid w:val="29454932"/>
    <w:rsid w:val="295D79D1"/>
    <w:rsid w:val="29802F8C"/>
    <w:rsid w:val="29906483"/>
    <w:rsid w:val="29A273A6"/>
    <w:rsid w:val="29A54DCE"/>
    <w:rsid w:val="29EA2449"/>
    <w:rsid w:val="2A4F1091"/>
    <w:rsid w:val="2A636B36"/>
    <w:rsid w:val="2A64215C"/>
    <w:rsid w:val="2A7F3244"/>
    <w:rsid w:val="2A8F792B"/>
    <w:rsid w:val="2A915BDC"/>
    <w:rsid w:val="2A9C7CFF"/>
    <w:rsid w:val="2A9E64B3"/>
    <w:rsid w:val="2AAE22F4"/>
    <w:rsid w:val="2AB56C65"/>
    <w:rsid w:val="2AC064B2"/>
    <w:rsid w:val="2B010410"/>
    <w:rsid w:val="2B471FB3"/>
    <w:rsid w:val="2B6C7E24"/>
    <w:rsid w:val="2B701A61"/>
    <w:rsid w:val="2B7B1C5D"/>
    <w:rsid w:val="2BB533C1"/>
    <w:rsid w:val="2BBA2B48"/>
    <w:rsid w:val="2BCE4483"/>
    <w:rsid w:val="2BF253A9"/>
    <w:rsid w:val="2C1520B2"/>
    <w:rsid w:val="2C255D1D"/>
    <w:rsid w:val="2C3326A4"/>
    <w:rsid w:val="2C604392"/>
    <w:rsid w:val="2C730874"/>
    <w:rsid w:val="2C9706E9"/>
    <w:rsid w:val="2C9A25B7"/>
    <w:rsid w:val="2CD91767"/>
    <w:rsid w:val="2CEF704E"/>
    <w:rsid w:val="2CF63BFC"/>
    <w:rsid w:val="2D0F5F7E"/>
    <w:rsid w:val="2D210FEA"/>
    <w:rsid w:val="2D214EE8"/>
    <w:rsid w:val="2D317D12"/>
    <w:rsid w:val="2D482C51"/>
    <w:rsid w:val="2D7C59F2"/>
    <w:rsid w:val="2D875EC1"/>
    <w:rsid w:val="2DD47869"/>
    <w:rsid w:val="2DD6761F"/>
    <w:rsid w:val="2DDC78DE"/>
    <w:rsid w:val="2DF928E6"/>
    <w:rsid w:val="2E0929AB"/>
    <w:rsid w:val="2E2B796A"/>
    <w:rsid w:val="2E935510"/>
    <w:rsid w:val="2EE902FE"/>
    <w:rsid w:val="2F326AD7"/>
    <w:rsid w:val="2FA71273"/>
    <w:rsid w:val="2FB614B6"/>
    <w:rsid w:val="2FFD3F12"/>
    <w:rsid w:val="300E12F2"/>
    <w:rsid w:val="301343BA"/>
    <w:rsid w:val="30336FAA"/>
    <w:rsid w:val="303B7C0D"/>
    <w:rsid w:val="30AC3A57"/>
    <w:rsid w:val="30B042B4"/>
    <w:rsid w:val="30C92717"/>
    <w:rsid w:val="30E26868"/>
    <w:rsid w:val="318A49A8"/>
    <w:rsid w:val="31997929"/>
    <w:rsid w:val="319B6BB5"/>
    <w:rsid w:val="31A53434"/>
    <w:rsid w:val="31E00A6C"/>
    <w:rsid w:val="31E641BA"/>
    <w:rsid w:val="31FB3973"/>
    <w:rsid w:val="320C1E2D"/>
    <w:rsid w:val="321858D6"/>
    <w:rsid w:val="321A3896"/>
    <w:rsid w:val="321A7C1A"/>
    <w:rsid w:val="321B172F"/>
    <w:rsid w:val="322B793E"/>
    <w:rsid w:val="32BE4CAD"/>
    <w:rsid w:val="32BF5E28"/>
    <w:rsid w:val="33072028"/>
    <w:rsid w:val="330B1B18"/>
    <w:rsid w:val="333F38CC"/>
    <w:rsid w:val="33727DEA"/>
    <w:rsid w:val="33844DFF"/>
    <w:rsid w:val="33B65F28"/>
    <w:rsid w:val="33BE6B8B"/>
    <w:rsid w:val="33CA00C2"/>
    <w:rsid w:val="34350C37"/>
    <w:rsid w:val="34482B7E"/>
    <w:rsid w:val="346A6E2C"/>
    <w:rsid w:val="346A7FF0"/>
    <w:rsid w:val="347F0AA2"/>
    <w:rsid w:val="34841C6C"/>
    <w:rsid w:val="348A1FB8"/>
    <w:rsid w:val="349A13A6"/>
    <w:rsid w:val="34B34216"/>
    <w:rsid w:val="34DF500B"/>
    <w:rsid w:val="350660F3"/>
    <w:rsid w:val="35335F7D"/>
    <w:rsid w:val="355D1E25"/>
    <w:rsid w:val="355D20CC"/>
    <w:rsid w:val="359009FB"/>
    <w:rsid w:val="36000BE0"/>
    <w:rsid w:val="36014B4B"/>
    <w:rsid w:val="3640621B"/>
    <w:rsid w:val="36471CC7"/>
    <w:rsid w:val="367479D5"/>
    <w:rsid w:val="367E6ECF"/>
    <w:rsid w:val="36F00165"/>
    <w:rsid w:val="374330DB"/>
    <w:rsid w:val="374B454A"/>
    <w:rsid w:val="38491AFF"/>
    <w:rsid w:val="38512693"/>
    <w:rsid w:val="3855693F"/>
    <w:rsid w:val="38795BA1"/>
    <w:rsid w:val="38EC7CA0"/>
    <w:rsid w:val="38F8195E"/>
    <w:rsid w:val="38FD738A"/>
    <w:rsid w:val="39445D84"/>
    <w:rsid w:val="39BA3FF8"/>
    <w:rsid w:val="39E6508D"/>
    <w:rsid w:val="39F4327A"/>
    <w:rsid w:val="3A371445"/>
    <w:rsid w:val="3A6811D8"/>
    <w:rsid w:val="3A9326C8"/>
    <w:rsid w:val="3B0058D9"/>
    <w:rsid w:val="3B5E5347"/>
    <w:rsid w:val="3B71110E"/>
    <w:rsid w:val="3BC25DE6"/>
    <w:rsid w:val="3C4D0B7C"/>
    <w:rsid w:val="3C853D67"/>
    <w:rsid w:val="3CE7734C"/>
    <w:rsid w:val="3CFB2BFE"/>
    <w:rsid w:val="3D1141CF"/>
    <w:rsid w:val="3D2D6DCD"/>
    <w:rsid w:val="3D6A4782"/>
    <w:rsid w:val="3E364AAF"/>
    <w:rsid w:val="3E39728F"/>
    <w:rsid w:val="3E44668D"/>
    <w:rsid w:val="3E5C591E"/>
    <w:rsid w:val="3EB352E8"/>
    <w:rsid w:val="3EC32C38"/>
    <w:rsid w:val="3F253F62"/>
    <w:rsid w:val="3F2F6B8F"/>
    <w:rsid w:val="3F3E4A0E"/>
    <w:rsid w:val="3F611F00"/>
    <w:rsid w:val="3F8D5D5B"/>
    <w:rsid w:val="3F90307B"/>
    <w:rsid w:val="3F9D7F9C"/>
    <w:rsid w:val="3FF81676"/>
    <w:rsid w:val="401144E6"/>
    <w:rsid w:val="40781025"/>
    <w:rsid w:val="407E7DCE"/>
    <w:rsid w:val="408F6332"/>
    <w:rsid w:val="40A608CF"/>
    <w:rsid w:val="40AE765F"/>
    <w:rsid w:val="40B4105A"/>
    <w:rsid w:val="40CE1E55"/>
    <w:rsid w:val="41214BFD"/>
    <w:rsid w:val="415F3F41"/>
    <w:rsid w:val="41FD11C6"/>
    <w:rsid w:val="42134546"/>
    <w:rsid w:val="42507950"/>
    <w:rsid w:val="42A81132"/>
    <w:rsid w:val="42C85330"/>
    <w:rsid w:val="43122A4F"/>
    <w:rsid w:val="43311D55"/>
    <w:rsid w:val="438347D4"/>
    <w:rsid w:val="43A00843"/>
    <w:rsid w:val="43AB3575"/>
    <w:rsid w:val="43CB6800"/>
    <w:rsid w:val="442A3DC9"/>
    <w:rsid w:val="443469F5"/>
    <w:rsid w:val="45134B31"/>
    <w:rsid w:val="454D4212"/>
    <w:rsid w:val="45EA75AB"/>
    <w:rsid w:val="46537D11"/>
    <w:rsid w:val="465B1527"/>
    <w:rsid w:val="467E233B"/>
    <w:rsid w:val="46804174"/>
    <w:rsid w:val="46D15244"/>
    <w:rsid w:val="46F25071"/>
    <w:rsid w:val="472A1338"/>
    <w:rsid w:val="47335066"/>
    <w:rsid w:val="47DC5BC3"/>
    <w:rsid w:val="47E50732"/>
    <w:rsid w:val="47E76FC1"/>
    <w:rsid w:val="484C07B1"/>
    <w:rsid w:val="487270C1"/>
    <w:rsid w:val="48845175"/>
    <w:rsid w:val="48897722"/>
    <w:rsid w:val="48985D1A"/>
    <w:rsid w:val="48B90820"/>
    <w:rsid w:val="48BB68D0"/>
    <w:rsid w:val="48C91D64"/>
    <w:rsid w:val="48EC03ED"/>
    <w:rsid w:val="4981092F"/>
    <w:rsid w:val="49830203"/>
    <w:rsid w:val="49B93C25"/>
    <w:rsid w:val="49BB5BEF"/>
    <w:rsid w:val="49C3119A"/>
    <w:rsid w:val="49DB5986"/>
    <w:rsid w:val="49E7772D"/>
    <w:rsid w:val="4A4756F2"/>
    <w:rsid w:val="4A5824D1"/>
    <w:rsid w:val="4A915A14"/>
    <w:rsid w:val="4AB31D95"/>
    <w:rsid w:val="4B2E230A"/>
    <w:rsid w:val="4B9009B5"/>
    <w:rsid w:val="4C0C0983"/>
    <w:rsid w:val="4C6D34D5"/>
    <w:rsid w:val="4C7576DD"/>
    <w:rsid w:val="4C8D1398"/>
    <w:rsid w:val="4CDF7940"/>
    <w:rsid w:val="4D1473C4"/>
    <w:rsid w:val="4D7F13B2"/>
    <w:rsid w:val="4DAA1316"/>
    <w:rsid w:val="4DD41DAD"/>
    <w:rsid w:val="4DED1BA9"/>
    <w:rsid w:val="4DF5362C"/>
    <w:rsid w:val="4E350A5B"/>
    <w:rsid w:val="4EA203C6"/>
    <w:rsid w:val="4EFC41BB"/>
    <w:rsid w:val="4FB1539E"/>
    <w:rsid w:val="4FC43323"/>
    <w:rsid w:val="4FD3316F"/>
    <w:rsid w:val="4FFE35D9"/>
    <w:rsid w:val="50120532"/>
    <w:rsid w:val="50141184"/>
    <w:rsid w:val="50446212"/>
    <w:rsid w:val="5051614B"/>
    <w:rsid w:val="50636476"/>
    <w:rsid w:val="507D7369"/>
    <w:rsid w:val="50A849F3"/>
    <w:rsid w:val="50F0734E"/>
    <w:rsid w:val="51906A26"/>
    <w:rsid w:val="51932EE3"/>
    <w:rsid w:val="5215295B"/>
    <w:rsid w:val="528931D2"/>
    <w:rsid w:val="52894CD3"/>
    <w:rsid w:val="52A7486C"/>
    <w:rsid w:val="52BB5CBF"/>
    <w:rsid w:val="52CE4B4C"/>
    <w:rsid w:val="52ED0F56"/>
    <w:rsid w:val="538A22FB"/>
    <w:rsid w:val="538D4FEE"/>
    <w:rsid w:val="5394042D"/>
    <w:rsid w:val="53C473B0"/>
    <w:rsid w:val="53D47D59"/>
    <w:rsid w:val="53D855EF"/>
    <w:rsid w:val="53F22B6E"/>
    <w:rsid w:val="54446925"/>
    <w:rsid w:val="54681A9F"/>
    <w:rsid w:val="54705828"/>
    <w:rsid w:val="54C067AF"/>
    <w:rsid w:val="54E70317"/>
    <w:rsid w:val="54F00268"/>
    <w:rsid w:val="554B47BE"/>
    <w:rsid w:val="55795A4B"/>
    <w:rsid w:val="55824651"/>
    <w:rsid w:val="559073B1"/>
    <w:rsid w:val="559444AD"/>
    <w:rsid w:val="55972E49"/>
    <w:rsid w:val="559F4328"/>
    <w:rsid w:val="55A123AE"/>
    <w:rsid w:val="55B555EF"/>
    <w:rsid w:val="55BF431C"/>
    <w:rsid w:val="55C2176D"/>
    <w:rsid w:val="55EC35D4"/>
    <w:rsid w:val="55FB0029"/>
    <w:rsid w:val="564579A8"/>
    <w:rsid w:val="569552E6"/>
    <w:rsid w:val="56983C30"/>
    <w:rsid w:val="56D0172E"/>
    <w:rsid w:val="57454D4A"/>
    <w:rsid w:val="574F046C"/>
    <w:rsid w:val="57800E7C"/>
    <w:rsid w:val="57B06E80"/>
    <w:rsid w:val="57F50AF8"/>
    <w:rsid w:val="584375EF"/>
    <w:rsid w:val="58486F25"/>
    <w:rsid w:val="585F1E3B"/>
    <w:rsid w:val="58670860"/>
    <w:rsid w:val="587D0513"/>
    <w:rsid w:val="58932D15"/>
    <w:rsid w:val="58A32FF4"/>
    <w:rsid w:val="58C63BBC"/>
    <w:rsid w:val="58EE3493"/>
    <w:rsid w:val="5991071A"/>
    <w:rsid w:val="59934492"/>
    <w:rsid w:val="5A3D61CA"/>
    <w:rsid w:val="5A420B01"/>
    <w:rsid w:val="5A5B4884"/>
    <w:rsid w:val="5ABF6607"/>
    <w:rsid w:val="5B067253"/>
    <w:rsid w:val="5BA6519E"/>
    <w:rsid w:val="5C162F4B"/>
    <w:rsid w:val="5C2F0B31"/>
    <w:rsid w:val="5C456649"/>
    <w:rsid w:val="5C64197E"/>
    <w:rsid w:val="5D177188"/>
    <w:rsid w:val="5D472F1D"/>
    <w:rsid w:val="5D4E06D0"/>
    <w:rsid w:val="5D622780"/>
    <w:rsid w:val="5D8D5EBF"/>
    <w:rsid w:val="5DBF2F2C"/>
    <w:rsid w:val="5DD21E27"/>
    <w:rsid w:val="5DF23751"/>
    <w:rsid w:val="5DFC64E0"/>
    <w:rsid w:val="5E0C2572"/>
    <w:rsid w:val="5E3E0745"/>
    <w:rsid w:val="5E6D2A9B"/>
    <w:rsid w:val="5E8E6538"/>
    <w:rsid w:val="5E972DB5"/>
    <w:rsid w:val="5EA93E10"/>
    <w:rsid w:val="5EDA35F4"/>
    <w:rsid w:val="5EDE164F"/>
    <w:rsid w:val="5EF17565"/>
    <w:rsid w:val="5EF84D97"/>
    <w:rsid w:val="5F1C3A08"/>
    <w:rsid w:val="5F305163"/>
    <w:rsid w:val="5F4E6E27"/>
    <w:rsid w:val="5F6624D1"/>
    <w:rsid w:val="5F6B390E"/>
    <w:rsid w:val="5F921A1B"/>
    <w:rsid w:val="5FC3518D"/>
    <w:rsid w:val="5FDF4358"/>
    <w:rsid w:val="600611CE"/>
    <w:rsid w:val="60207E89"/>
    <w:rsid w:val="60215F73"/>
    <w:rsid w:val="6029733F"/>
    <w:rsid w:val="60B04726"/>
    <w:rsid w:val="60B660FC"/>
    <w:rsid w:val="60C24B1C"/>
    <w:rsid w:val="60C43183"/>
    <w:rsid w:val="60EC3D05"/>
    <w:rsid w:val="61816B41"/>
    <w:rsid w:val="61B56F70"/>
    <w:rsid w:val="61BA6334"/>
    <w:rsid w:val="62094BED"/>
    <w:rsid w:val="626A40E9"/>
    <w:rsid w:val="628A03FC"/>
    <w:rsid w:val="629075FF"/>
    <w:rsid w:val="62A367E6"/>
    <w:rsid w:val="62A91018"/>
    <w:rsid w:val="63524A46"/>
    <w:rsid w:val="63676016"/>
    <w:rsid w:val="63941000"/>
    <w:rsid w:val="63B67904"/>
    <w:rsid w:val="63D610C3"/>
    <w:rsid w:val="63DD630A"/>
    <w:rsid w:val="640C38E6"/>
    <w:rsid w:val="64287ECD"/>
    <w:rsid w:val="648570CD"/>
    <w:rsid w:val="64864CFC"/>
    <w:rsid w:val="64930AC3"/>
    <w:rsid w:val="6497295D"/>
    <w:rsid w:val="649F349C"/>
    <w:rsid w:val="64B90B25"/>
    <w:rsid w:val="64C23E7D"/>
    <w:rsid w:val="64C31028"/>
    <w:rsid w:val="65012996"/>
    <w:rsid w:val="654240A8"/>
    <w:rsid w:val="658034D8"/>
    <w:rsid w:val="65BE49AA"/>
    <w:rsid w:val="65CC356B"/>
    <w:rsid w:val="65D73958"/>
    <w:rsid w:val="65F41A13"/>
    <w:rsid w:val="65FA1D69"/>
    <w:rsid w:val="66410DB4"/>
    <w:rsid w:val="666864F9"/>
    <w:rsid w:val="668E786A"/>
    <w:rsid w:val="669D742E"/>
    <w:rsid w:val="66A17AC3"/>
    <w:rsid w:val="66A3143A"/>
    <w:rsid w:val="66AF4876"/>
    <w:rsid w:val="66CB632B"/>
    <w:rsid w:val="66F65EAC"/>
    <w:rsid w:val="67082928"/>
    <w:rsid w:val="672F626B"/>
    <w:rsid w:val="6751773B"/>
    <w:rsid w:val="6759308B"/>
    <w:rsid w:val="67873DAA"/>
    <w:rsid w:val="678E6299"/>
    <w:rsid w:val="67902BC1"/>
    <w:rsid w:val="67DB1057"/>
    <w:rsid w:val="68514461"/>
    <w:rsid w:val="6859429E"/>
    <w:rsid w:val="68805998"/>
    <w:rsid w:val="693B5EA1"/>
    <w:rsid w:val="694426C3"/>
    <w:rsid w:val="699C3A0B"/>
    <w:rsid w:val="69CF4BD5"/>
    <w:rsid w:val="6A503997"/>
    <w:rsid w:val="6A674B7F"/>
    <w:rsid w:val="6A9C38EC"/>
    <w:rsid w:val="6AD04FBD"/>
    <w:rsid w:val="6B1B6095"/>
    <w:rsid w:val="6B427B24"/>
    <w:rsid w:val="6B4355EC"/>
    <w:rsid w:val="6B7436F1"/>
    <w:rsid w:val="6BBA4295"/>
    <w:rsid w:val="6C137450"/>
    <w:rsid w:val="6C467269"/>
    <w:rsid w:val="6C527DF1"/>
    <w:rsid w:val="6C557385"/>
    <w:rsid w:val="6C607CD7"/>
    <w:rsid w:val="6C6A5DD2"/>
    <w:rsid w:val="6C8D4D71"/>
    <w:rsid w:val="6C9901D6"/>
    <w:rsid w:val="6CBE317C"/>
    <w:rsid w:val="6CD81D64"/>
    <w:rsid w:val="6D0B7827"/>
    <w:rsid w:val="6D0E62F4"/>
    <w:rsid w:val="6D107750"/>
    <w:rsid w:val="6D110666"/>
    <w:rsid w:val="6D7E2C2C"/>
    <w:rsid w:val="6D9704D8"/>
    <w:rsid w:val="6DC04CD2"/>
    <w:rsid w:val="6DD75958"/>
    <w:rsid w:val="6E336E60"/>
    <w:rsid w:val="6E640594"/>
    <w:rsid w:val="6EAC5543"/>
    <w:rsid w:val="6EC802E2"/>
    <w:rsid w:val="6EE661EC"/>
    <w:rsid w:val="6EFC4430"/>
    <w:rsid w:val="6F1352D6"/>
    <w:rsid w:val="6F136F3B"/>
    <w:rsid w:val="6F303343"/>
    <w:rsid w:val="6F517CE5"/>
    <w:rsid w:val="6F795A80"/>
    <w:rsid w:val="6F8B15D5"/>
    <w:rsid w:val="6F9603E0"/>
    <w:rsid w:val="6FC54822"/>
    <w:rsid w:val="6FE80510"/>
    <w:rsid w:val="6FE94C40"/>
    <w:rsid w:val="7053007F"/>
    <w:rsid w:val="705C2881"/>
    <w:rsid w:val="70A95EF1"/>
    <w:rsid w:val="70B54896"/>
    <w:rsid w:val="717007BD"/>
    <w:rsid w:val="71916F60"/>
    <w:rsid w:val="71A326E6"/>
    <w:rsid w:val="71B01DEF"/>
    <w:rsid w:val="71ED1E0E"/>
    <w:rsid w:val="71F41E69"/>
    <w:rsid w:val="721E0A36"/>
    <w:rsid w:val="72791EFF"/>
    <w:rsid w:val="72EE408F"/>
    <w:rsid w:val="732475DE"/>
    <w:rsid w:val="73FD4415"/>
    <w:rsid w:val="7400785A"/>
    <w:rsid w:val="74E4399C"/>
    <w:rsid w:val="757840E4"/>
    <w:rsid w:val="75B8211C"/>
    <w:rsid w:val="76005004"/>
    <w:rsid w:val="76306696"/>
    <w:rsid w:val="763077EE"/>
    <w:rsid w:val="767E629E"/>
    <w:rsid w:val="76A50F09"/>
    <w:rsid w:val="772E7150"/>
    <w:rsid w:val="7739476C"/>
    <w:rsid w:val="776B38D0"/>
    <w:rsid w:val="77860D3A"/>
    <w:rsid w:val="77925931"/>
    <w:rsid w:val="779D6A0D"/>
    <w:rsid w:val="77AD62C7"/>
    <w:rsid w:val="77D71596"/>
    <w:rsid w:val="785015FD"/>
    <w:rsid w:val="78527407"/>
    <w:rsid w:val="78BA636A"/>
    <w:rsid w:val="78C5754D"/>
    <w:rsid w:val="79156FC5"/>
    <w:rsid w:val="796230E1"/>
    <w:rsid w:val="796E5F2A"/>
    <w:rsid w:val="79742C82"/>
    <w:rsid w:val="79C042B1"/>
    <w:rsid w:val="79C44EE2"/>
    <w:rsid w:val="79C54E8D"/>
    <w:rsid w:val="79CF063F"/>
    <w:rsid w:val="7AE6048D"/>
    <w:rsid w:val="7AFF6FF7"/>
    <w:rsid w:val="7B124D0C"/>
    <w:rsid w:val="7B325514"/>
    <w:rsid w:val="7B83662C"/>
    <w:rsid w:val="7BD7049F"/>
    <w:rsid w:val="7BE43DF4"/>
    <w:rsid w:val="7BEE3352"/>
    <w:rsid w:val="7BF070CA"/>
    <w:rsid w:val="7C246D74"/>
    <w:rsid w:val="7C3E1BE4"/>
    <w:rsid w:val="7C4D2B8D"/>
    <w:rsid w:val="7C75137E"/>
    <w:rsid w:val="7C8C3B95"/>
    <w:rsid w:val="7CC540B3"/>
    <w:rsid w:val="7CFB7AD5"/>
    <w:rsid w:val="7D0B7A4C"/>
    <w:rsid w:val="7D221505"/>
    <w:rsid w:val="7D3B7B56"/>
    <w:rsid w:val="7D905704"/>
    <w:rsid w:val="7E3A63DB"/>
    <w:rsid w:val="7E56500F"/>
    <w:rsid w:val="7EAB345D"/>
    <w:rsid w:val="7EF742CC"/>
    <w:rsid w:val="7F0700D6"/>
    <w:rsid w:val="7F0F6A60"/>
    <w:rsid w:val="7F1C410C"/>
    <w:rsid w:val="7F4E65E2"/>
    <w:rsid w:val="7F6E5187"/>
    <w:rsid w:val="7FA04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r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宋体" w:hAnsi="宋体" w:eastAsia="宋体" w:cs="宋体"/>
      <w:color w:val="000000"/>
      <w:sz w:val="21"/>
      <w:szCs w:val="21"/>
      <w:u w:val="none"/>
    </w:rPr>
  </w:style>
  <w:style w:type="paragraph" w:styleId="12">
    <w:name w:val="List Paragraph"/>
    <w:basedOn w:val="1"/>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4">
    <w:name w:val="页脚 字符"/>
    <w:basedOn w:val="10"/>
    <w:link w:val="5"/>
    <w:qFormat/>
    <w:uiPriority w:val="99"/>
    <w:rPr>
      <w:rFonts w:asciiTheme="minorHAnsi" w:hAnsiTheme="minorHAnsi" w:eastAsiaTheme="minorEastAsia" w:cstheme="minorBidi"/>
      <w:kern w:val="2"/>
      <w:sz w:val="18"/>
      <w:szCs w:val="24"/>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6">
    <w:name w:val="列出段落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16</Pages>
  <Words>1119</Words>
  <Characters>6384</Characters>
  <Lines>53</Lines>
  <Paragraphs>14</Paragraphs>
  <TotalTime>4</TotalTime>
  <ScaleCrop>false</ScaleCrop>
  <LinksUpToDate>false</LinksUpToDate>
  <CharactersWithSpaces>7489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2022-12-12T03:15:00Z</dcterms:created>
  <dc:creator>admin</dc:creator>
  <cp:lastModifiedBy>莫丽威</cp:lastModifiedBy>
  <cp:lastPrinted>2023-02-28T09:14:07Z</cp:lastPrinted>
  <dcterms:modified xsi:type="dcterms:W3CDTF">2023-02-28T09:14:12Z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7271BA350B5048FAB0FCF84775E593AC</vt:lpwstr>
  </property>
  <property fmtid="{D5CDD505-2E9C-101B-9397-08002B2CF9AE}" pid="4" name="KSOSaveFontToCloudKey">
    <vt:lpwstr>0_btnclosed</vt:lpwstr>
  </property>
</Properties>
</file>