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themeColor="text1"/>
          <w:szCs w:val="21"/>
          <w:highlight w:val="none"/>
          <w14:textFill>
            <w14:solidFill>
              <w14:schemeClr w14:val="tx1"/>
            </w14:solidFill>
          </w14:textFill>
        </w:rPr>
      </w:pPr>
    </w:p>
    <w:p>
      <w:pPr>
        <w:jc w:val="center"/>
        <w:rPr>
          <w:rFonts w:ascii="宋体" w:hAnsi="宋体"/>
          <w:b/>
          <w:color w:val="000000" w:themeColor="text1"/>
          <w:spacing w:val="20"/>
          <w:sz w:val="72"/>
          <w:szCs w:val="72"/>
          <w:highlight w:val="none"/>
          <w14:textFill>
            <w14:solidFill>
              <w14:schemeClr w14:val="tx1"/>
            </w14:solidFill>
          </w14:textFill>
        </w:rPr>
      </w:pPr>
    </w:p>
    <w:p>
      <w:pPr>
        <w:jc w:val="center"/>
        <w:outlineLvl w:val="0"/>
        <w:rPr>
          <w:rFonts w:ascii="宋体" w:hAnsi="宋体"/>
          <w:b/>
          <w:color w:val="000000" w:themeColor="text1"/>
          <w:spacing w:val="20"/>
          <w:sz w:val="72"/>
          <w:szCs w:val="72"/>
          <w:highlight w:val="none"/>
          <w14:textFill>
            <w14:solidFill>
              <w14:schemeClr w14:val="tx1"/>
            </w14:solidFill>
          </w14:textFill>
        </w:rPr>
      </w:pPr>
      <w:bookmarkStart w:id="0" w:name="OLE_LINK4"/>
      <w:r>
        <w:rPr>
          <w:rFonts w:hint="eastAsia" w:ascii="宋体" w:hAnsi="宋体"/>
          <w:b/>
          <w:color w:val="000000" w:themeColor="text1"/>
          <w:spacing w:val="20"/>
          <w:sz w:val="72"/>
          <w:szCs w:val="72"/>
          <w:highlight w:val="none"/>
          <w14:textFill>
            <w14:solidFill>
              <w14:schemeClr w14:val="tx1"/>
            </w14:solidFill>
          </w14:textFill>
        </w:rPr>
        <w:t>重庆高速集团国资监管平台开发劳务外包服务项目</w:t>
      </w:r>
    </w:p>
    <w:bookmarkEnd w:id="0"/>
    <w:p>
      <w:pPr>
        <w:jc w:val="center"/>
        <w:rPr>
          <w:rFonts w:ascii="宋体" w:hAnsi="宋体"/>
          <w:b/>
          <w:color w:val="000000" w:themeColor="text1"/>
          <w:spacing w:val="20"/>
          <w:sz w:val="72"/>
          <w:szCs w:val="72"/>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jc w:val="center"/>
        <w:outlineLvl w:val="0"/>
        <w:rPr>
          <w:rFonts w:ascii="宋体" w:hAnsi="宋体"/>
          <w:b/>
          <w:color w:val="000000" w:themeColor="text1"/>
          <w:spacing w:val="20"/>
          <w:sz w:val="72"/>
          <w:szCs w:val="72"/>
          <w:highlight w:val="none"/>
          <w14:textFill>
            <w14:solidFill>
              <w14:schemeClr w14:val="tx1"/>
            </w14:solidFill>
          </w14:textFill>
        </w:rPr>
      </w:pPr>
      <w:r>
        <w:rPr>
          <w:rFonts w:hint="eastAsia" w:ascii="宋体" w:hAnsi="宋体"/>
          <w:b/>
          <w:color w:val="000000" w:themeColor="text1"/>
          <w:spacing w:val="20"/>
          <w:sz w:val="72"/>
          <w:szCs w:val="72"/>
          <w:highlight w:val="none"/>
          <w14:textFill>
            <w14:solidFill>
              <w14:schemeClr w14:val="tx1"/>
            </w14:solidFill>
          </w14:textFill>
        </w:rPr>
        <w:t>竞争性比选文件</w:t>
      </w:r>
    </w:p>
    <w:p>
      <w:pPr>
        <w:jc w:val="center"/>
        <w:rPr>
          <w:rFonts w:ascii="宋体" w:hAnsi="宋体"/>
          <w:b/>
          <w:color w:val="000000" w:themeColor="text1"/>
          <w:spacing w:val="20"/>
          <w:sz w:val="72"/>
          <w:szCs w:val="72"/>
          <w:highlight w:val="none"/>
          <w14:textFill>
            <w14:solidFill>
              <w14:schemeClr w14:val="tx1"/>
            </w14:solidFill>
          </w14:textFill>
        </w:rPr>
      </w:pPr>
    </w:p>
    <w:p>
      <w:pPr>
        <w:jc w:val="center"/>
        <w:rPr>
          <w:rFonts w:ascii="宋体" w:hAnsi="宋体"/>
          <w:b/>
          <w:color w:val="000000" w:themeColor="text1"/>
          <w:spacing w:val="20"/>
          <w:sz w:val="72"/>
          <w:szCs w:val="72"/>
          <w:highlight w:val="none"/>
          <w14:textFill>
            <w14:solidFill>
              <w14:schemeClr w14:val="tx1"/>
            </w14:solidFill>
          </w14:textFill>
        </w:rPr>
      </w:pPr>
    </w:p>
    <w:p>
      <w:pPr>
        <w:jc w:val="center"/>
        <w:rPr>
          <w:rFonts w:ascii="宋体" w:hAnsi="宋体"/>
          <w:b/>
          <w:color w:val="000000" w:themeColor="text1"/>
          <w:spacing w:val="20"/>
          <w:sz w:val="72"/>
          <w:szCs w:val="72"/>
          <w:highlight w:val="none"/>
          <w14:textFill>
            <w14:solidFill>
              <w14:schemeClr w14:val="tx1"/>
            </w14:solidFill>
          </w14:textFill>
        </w:rPr>
      </w:pPr>
    </w:p>
    <w:p>
      <w:pPr>
        <w:jc w:val="center"/>
        <w:rPr>
          <w:rFonts w:ascii="宋体" w:hAnsi="宋体"/>
          <w:b/>
          <w:color w:val="000000" w:themeColor="text1"/>
          <w:spacing w:val="20"/>
          <w:sz w:val="72"/>
          <w:szCs w:val="72"/>
          <w:highlight w:val="none"/>
          <w14:textFill>
            <w14:solidFill>
              <w14:schemeClr w14:val="tx1"/>
            </w14:solidFill>
          </w14:textFill>
        </w:rPr>
      </w:pPr>
    </w:p>
    <w:p>
      <w:pPr>
        <w:pStyle w:val="12"/>
        <w:snapToGrid w:val="0"/>
        <w:ind w:firstLine="577" w:firstLineChars="150"/>
        <w:jc w:val="center"/>
        <w:outlineLvl w:val="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重庆首讯科技股份有限公司</w:t>
      </w:r>
    </w:p>
    <w:p>
      <w:pPr>
        <w:pStyle w:val="12"/>
        <w:snapToGrid w:val="0"/>
        <w:ind w:firstLine="577" w:firstLineChars="150"/>
        <w:jc w:val="center"/>
        <w:outlineLvl w:val="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202</w:t>
      </w:r>
      <w:r>
        <w:rPr>
          <w:rFonts w:ascii="宋体" w:hAnsi="宋体"/>
          <w:color w:val="000000" w:themeColor="text1"/>
          <w:sz w:val="32"/>
          <w:szCs w:val="32"/>
          <w:highlight w:val="none"/>
          <w14:textFill>
            <w14:solidFill>
              <w14:schemeClr w14:val="tx1"/>
            </w14:solidFill>
          </w14:textFill>
        </w:rPr>
        <w:t>1</w:t>
      </w:r>
      <w:r>
        <w:rPr>
          <w:rFonts w:hint="eastAsia" w:ascii="宋体" w:hAnsi="宋体"/>
          <w:color w:val="000000" w:themeColor="text1"/>
          <w:sz w:val="32"/>
          <w:szCs w:val="32"/>
          <w:highlight w:val="none"/>
          <w14:textFill>
            <w14:solidFill>
              <w14:schemeClr w14:val="tx1"/>
            </w14:solidFill>
          </w14:textFill>
        </w:rPr>
        <w:t>年</w:t>
      </w:r>
      <w:r>
        <w:rPr>
          <w:rFonts w:hint="eastAsia" w:ascii="宋体" w:hAnsi="宋体"/>
          <w:color w:val="000000" w:themeColor="text1"/>
          <w:sz w:val="32"/>
          <w:szCs w:val="32"/>
          <w:highlight w:val="none"/>
          <w:lang w:val="en-US" w:eastAsia="zh-CN"/>
          <w14:textFill>
            <w14:solidFill>
              <w14:schemeClr w14:val="tx1"/>
            </w14:solidFill>
          </w14:textFill>
        </w:rPr>
        <w:t>7</w:t>
      </w:r>
      <w:r>
        <w:rPr>
          <w:rFonts w:hint="eastAsia" w:ascii="宋体" w:hAnsi="宋体"/>
          <w:color w:val="000000" w:themeColor="text1"/>
          <w:sz w:val="32"/>
          <w:szCs w:val="32"/>
          <w:highlight w:val="none"/>
          <w14:textFill>
            <w14:solidFill>
              <w14:schemeClr w14:val="tx1"/>
            </w14:solidFill>
          </w14:textFill>
        </w:rPr>
        <w:t>月</w:t>
      </w: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sectPr>
          <w:headerReference r:id="rId3" w:type="default"/>
          <w:footerReference r:id="rId4" w:type="default"/>
          <w:pgSz w:w="11906" w:h="16838"/>
          <w:pgMar w:top="1440" w:right="1797" w:bottom="1440" w:left="1797" w:header="851" w:footer="992" w:gutter="0"/>
          <w:cols w:space="720" w:num="1"/>
          <w:docGrid w:type="linesAndChars" w:linePitch="317" w:charSpace="640"/>
        </w:sectPr>
      </w:pPr>
    </w:p>
    <w:p>
      <w:pPr>
        <w:pStyle w:val="3"/>
        <w:spacing w:before="0" w:after="0" w:line="360" w:lineRule="auto"/>
        <w:rPr>
          <w:rFonts w:ascii="宋体" w:hAnsi="宋体" w:cs="宋体"/>
          <w:bCs/>
          <w:sz w:val="48"/>
          <w:szCs w:val="48"/>
          <w:highlight w:val="none"/>
        </w:rPr>
      </w:pPr>
      <w:r>
        <w:rPr>
          <w:rFonts w:hint="eastAsia"/>
          <w:color w:val="000000" w:themeColor="text1"/>
          <w:spacing w:val="10"/>
          <w:sz w:val="48"/>
          <w:szCs w:val="48"/>
          <w:highlight w:val="none"/>
          <w14:textFill>
            <w14:solidFill>
              <w14:schemeClr w14:val="tx1"/>
            </w14:solidFill>
          </w14:textFill>
        </w:rPr>
        <w:t>第一章 竞争性比选公告</w:t>
      </w:r>
    </w:p>
    <w:p>
      <w:pPr>
        <w:spacing w:line="360" w:lineRule="auto"/>
        <w:ind w:firstLine="486" w:firstLineChars="200"/>
        <w:rPr>
          <w:color w:val="000000" w:themeColor="text1"/>
          <w:sz w:val="24"/>
          <w:szCs w:val="28"/>
          <w:highlight w:val="none"/>
          <w14:textFill>
            <w14:solidFill>
              <w14:schemeClr w14:val="tx1"/>
            </w14:solidFill>
          </w14:textFill>
        </w:rPr>
      </w:pPr>
    </w:p>
    <w:p>
      <w:pPr>
        <w:pStyle w:val="4"/>
        <w:spacing w:before="0" w:after="0" w:line="360" w:lineRule="auto"/>
        <w:rPr>
          <w:rFonts w:ascii="宋体" w:hAnsi="宋体" w:cs="宋体"/>
          <w:highlight w:val="none"/>
        </w:rPr>
      </w:pPr>
      <w:bookmarkStart w:id="1" w:name="_Toc246996901"/>
      <w:bookmarkStart w:id="2" w:name="_Toc247085672"/>
      <w:bookmarkStart w:id="3" w:name="_Toc152042288"/>
      <w:bookmarkStart w:id="4" w:name="_Toc10076"/>
      <w:bookmarkStart w:id="5" w:name="_Toc144974480"/>
      <w:bookmarkStart w:id="6" w:name="_Toc24874"/>
      <w:bookmarkStart w:id="7" w:name="_Toc11329213"/>
      <w:bookmarkStart w:id="8" w:name="_Toc179632528"/>
      <w:bookmarkStart w:id="9" w:name="_Toc507319891"/>
      <w:bookmarkStart w:id="10" w:name="_Toc246996158"/>
      <w:bookmarkStart w:id="11" w:name="_Toc152045512"/>
      <w:bookmarkStart w:id="12" w:name="_Toc6549"/>
      <w:bookmarkStart w:id="13" w:name="_Toc12048"/>
      <w:r>
        <w:rPr>
          <w:rFonts w:hint="eastAsia" w:ascii="宋体" w:hAnsi="宋体" w:cs="宋体"/>
          <w:highlight w:val="none"/>
        </w:rPr>
        <w:t>1.比选条件</w:t>
      </w:r>
      <w:bookmarkEnd w:id="1"/>
      <w:bookmarkEnd w:id="2"/>
      <w:bookmarkEnd w:id="3"/>
      <w:bookmarkEnd w:id="4"/>
      <w:bookmarkEnd w:id="5"/>
      <w:bookmarkEnd w:id="6"/>
      <w:bookmarkEnd w:id="7"/>
      <w:bookmarkEnd w:id="8"/>
      <w:bookmarkEnd w:id="9"/>
      <w:bookmarkEnd w:id="10"/>
      <w:bookmarkEnd w:id="11"/>
      <w:bookmarkEnd w:id="12"/>
      <w:bookmarkEnd w:id="13"/>
    </w:p>
    <w:p>
      <w:pPr>
        <w:spacing w:line="360" w:lineRule="auto"/>
        <w:ind w:firstLine="486"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本竞争性比选项目</w:t>
      </w:r>
      <w:r>
        <w:rPr>
          <w:rFonts w:hint="eastAsia"/>
          <w:color w:val="000000" w:themeColor="text1"/>
          <w:sz w:val="24"/>
          <w:szCs w:val="28"/>
          <w:highlight w:val="none"/>
          <w:u w:val="single"/>
          <w14:textFill>
            <w14:solidFill>
              <w14:schemeClr w14:val="tx1"/>
            </w14:solidFill>
          </w14:textFill>
        </w:rPr>
        <w:t>重庆高速集团国资监管平台开发劳务外包服务项目</w:t>
      </w:r>
      <w:r>
        <w:rPr>
          <w:rFonts w:hint="eastAsia"/>
          <w:color w:val="000000" w:themeColor="text1"/>
          <w:sz w:val="24"/>
          <w:szCs w:val="28"/>
          <w:highlight w:val="none"/>
          <w14:textFill>
            <w14:solidFill>
              <w14:schemeClr w14:val="tx1"/>
            </w14:solidFill>
          </w14:textFill>
        </w:rPr>
        <w:t>，采购人为</w:t>
      </w:r>
      <w:r>
        <w:rPr>
          <w:rFonts w:hint="eastAsia"/>
          <w:color w:val="000000" w:themeColor="text1"/>
          <w:sz w:val="24"/>
          <w:szCs w:val="28"/>
          <w:highlight w:val="none"/>
          <w:u w:val="single"/>
          <w14:textFill>
            <w14:solidFill>
              <w14:schemeClr w14:val="tx1"/>
            </w14:solidFill>
          </w14:textFill>
        </w:rPr>
        <w:t>重庆首讯科技股份有限公司</w:t>
      </w:r>
      <w:r>
        <w:rPr>
          <w:rFonts w:hint="eastAsia"/>
          <w:color w:val="000000" w:themeColor="text1"/>
          <w:sz w:val="24"/>
          <w:szCs w:val="28"/>
          <w:highlight w:val="none"/>
          <w14:textFill>
            <w14:solidFill>
              <w14:schemeClr w14:val="tx1"/>
            </w14:solidFill>
          </w14:textFill>
        </w:rPr>
        <w:t>，该项目已具备比选条件，现对该项目进行竞争性比选。</w:t>
      </w:r>
    </w:p>
    <w:p>
      <w:pPr>
        <w:pStyle w:val="4"/>
        <w:spacing w:before="0" w:after="0" w:line="360" w:lineRule="auto"/>
        <w:rPr>
          <w:rFonts w:ascii="宋体" w:hAnsi="宋体" w:cs="宋体"/>
          <w:highlight w:val="none"/>
        </w:rPr>
      </w:pPr>
      <w:r>
        <w:rPr>
          <w:rFonts w:hint="eastAsia" w:ascii="宋体" w:hAnsi="宋体" w:cs="宋体"/>
          <w:highlight w:val="none"/>
        </w:rPr>
        <w:t>2.项目概述</w:t>
      </w:r>
    </w:p>
    <w:p>
      <w:pPr>
        <w:pStyle w:val="4"/>
        <w:spacing w:before="0" w:after="0" w:line="360" w:lineRule="auto"/>
        <w:ind w:firstLine="486" w:firstLineChars="200"/>
        <w:rPr>
          <w:rFonts w:ascii="Times New Roman" w:hAnsi="Times New Roman"/>
          <w:b w:val="0"/>
          <w:bCs w:val="0"/>
          <w:color w:val="000000" w:themeColor="text1"/>
          <w:kern w:val="2"/>
          <w:sz w:val="24"/>
          <w:szCs w:val="28"/>
          <w:highlight w:val="none"/>
          <w14:textFill>
            <w14:solidFill>
              <w14:schemeClr w14:val="tx1"/>
            </w14:solidFill>
          </w14:textFill>
        </w:rPr>
      </w:pPr>
      <w:r>
        <w:rPr>
          <w:rFonts w:hint="eastAsia" w:ascii="Times New Roman" w:hAnsi="Times New Roman"/>
          <w:b w:val="0"/>
          <w:bCs w:val="0"/>
          <w:color w:val="000000" w:themeColor="text1"/>
          <w:kern w:val="2"/>
          <w:sz w:val="24"/>
          <w:szCs w:val="28"/>
          <w:highlight w:val="none"/>
          <w14:textFill>
            <w14:solidFill>
              <w14:schemeClr w14:val="tx1"/>
            </w14:solidFill>
          </w14:textFill>
        </w:rPr>
        <w:t>2.1服务内容：按重庆市国资委要求开发一套国资监控软件系统，实现财务监督、大额资金管理、投资管理、国企改革、法律纠纷案件统计、薪酬与绩效。实现与国资监管平台一期的业务整合、实现与高速集团财务共享平台的财务数据的对接。</w:t>
      </w:r>
    </w:p>
    <w:p>
      <w:pPr>
        <w:tabs>
          <w:tab w:val="left" w:pos="3621"/>
        </w:tabs>
        <w:spacing w:line="360" w:lineRule="auto"/>
        <w:ind w:firstLine="486"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2.2实施范围：重庆高速集团、重庆高速集团分公司、子公司及控股公司。</w:t>
      </w:r>
    </w:p>
    <w:p>
      <w:pPr>
        <w:tabs>
          <w:tab w:val="left" w:pos="3621"/>
        </w:tabs>
        <w:spacing w:line="360" w:lineRule="auto"/>
        <w:ind w:firstLine="486"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2</w:t>
      </w:r>
      <w:r>
        <w:rPr>
          <w:color w:val="000000" w:themeColor="text1"/>
          <w:sz w:val="24"/>
          <w:szCs w:val="28"/>
          <w:highlight w:val="none"/>
          <w14:textFill>
            <w14:solidFill>
              <w14:schemeClr w14:val="tx1"/>
            </w14:solidFill>
          </w14:textFill>
        </w:rPr>
        <w:t>.3</w:t>
      </w:r>
      <w:r>
        <w:rPr>
          <w:rFonts w:hint="eastAsia"/>
          <w:color w:val="000000" w:themeColor="text1"/>
          <w:sz w:val="24"/>
          <w:szCs w:val="28"/>
          <w:highlight w:val="none"/>
          <w14:textFill>
            <w14:solidFill>
              <w14:schemeClr w14:val="tx1"/>
            </w14:solidFill>
          </w14:textFill>
        </w:rPr>
        <w:t>实施地点：重庆高速公路集团有限公司</w:t>
      </w:r>
    </w:p>
    <w:p>
      <w:pPr>
        <w:tabs>
          <w:tab w:val="left" w:pos="3621"/>
        </w:tabs>
        <w:spacing w:line="360" w:lineRule="auto"/>
        <w:ind w:firstLine="486"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2.</w:t>
      </w:r>
      <w:r>
        <w:rPr>
          <w:color w:val="000000" w:themeColor="text1"/>
          <w:sz w:val="24"/>
          <w:szCs w:val="28"/>
          <w:highlight w:val="none"/>
          <w14:textFill>
            <w14:solidFill>
              <w14:schemeClr w14:val="tx1"/>
            </w14:solidFill>
          </w14:textFill>
        </w:rPr>
        <w:t>4</w:t>
      </w:r>
      <w:r>
        <w:rPr>
          <w:rFonts w:hint="eastAsia"/>
          <w:color w:val="000000" w:themeColor="text1"/>
          <w:sz w:val="24"/>
          <w:szCs w:val="28"/>
          <w:highlight w:val="none"/>
          <w14:textFill>
            <w14:solidFill>
              <w14:schemeClr w14:val="tx1"/>
            </w14:solidFill>
          </w14:textFill>
        </w:rPr>
        <w:t>实施期：2021年</w:t>
      </w:r>
      <w:r>
        <w:rPr>
          <w:color w:val="000000" w:themeColor="text1"/>
          <w:sz w:val="24"/>
          <w:szCs w:val="28"/>
          <w:highlight w:val="none"/>
          <w14:textFill>
            <w14:solidFill>
              <w14:schemeClr w14:val="tx1"/>
            </w14:solidFill>
          </w14:textFill>
        </w:rPr>
        <w:t>10</w:t>
      </w:r>
      <w:r>
        <w:rPr>
          <w:rFonts w:hint="eastAsia"/>
          <w:color w:val="000000" w:themeColor="text1"/>
          <w:sz w:val="24"/>
          <w:szCs w:val="28"/>
          <w:highlight w:val="none"/>
          <w14:textFill>
            <w14:solidFill>
              <w14:schemeClr w14:val="tx1"/>
            </w14:solidFill>
          </w14:textFill>
        </w:rPr>
        <w:t>月3</w:t>
      </w:r>
      <w:r>
        <w:rPr>
          <w:color w:val="000000" w:themeColor="text1"/>
          <w:sz w:val="24"/>
          <w:szCs w:val="28"/>
          <w:highlight w:val="none"/>
          <w14:textFill>
            <w14:solidFill>
              <w14:schemeClr w14:val="tx1"/>
            </w14:solidFill>
          </w14:textFill>
        </w:rPr>
        <w:t>1</w:t>
      </w:r>
      <w:r>
        <w:rPr>
          <w:rFonts w:hint="eastAsia"/>
          <w:color w:val="000000" w:themeColor="text1"/>
          <w:sz w:val="24"/>
          <w:szCs w:val="28"/>
          <w:highlight w:val="none"/>
          <w14:textFill>
            <w14:solidFill>
              <w14:schemeClr w14:val="tx1"/>
            </w14:solidFill>
          </w14:textFill>
        </w:rPr>
        <w:t>日前完成。</w:t>
      </w:r>
    </w:p>
    <w:p>
      <w:pPr>
        <w:pStyle w:val="4"/>
        <w:spacing w:before="0" w:after="0" w:line="360" w:lineRule="auto"/>
        <w:rPr>
          <w:rFonts w:ascii="宋体" w:hAnsi="宋体" w:cs="宋体"/>
          <w:highlight w:val="none"/>
        </w:rPr>
      </w:pPr>
      <w:r>
        <w:rPr>
          <w:rFonts w:hint="eastAsia" w:ascii="宋体" w:hAnsi="宋体" w:cs="宋体"/>
          <w:highlight w:val="none"/>
        </w:rPr>
        <w:t>3.报价人资格要求</w:t>
      </w:r>
    </w:p>
    <w:p>
      <w:pPr>
        <w:spacing w:line="360" w:lineRule="auto"/>
        <w:ind w:firstLine="486"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3.1资质要求：</w:t>
      </w:r>
    </w:p>
    <w:p>
      <w:pPr>
        <w:spacing w:line="360" w:lineRule="auto"/>
        <w:ind w:firstLine="486"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（1）投标人应为中国大陆境内合法注册的独立法人，具备有效的营业执照或事业单位法人证书；</w:t>
      </w:r>
    </w:p>
    <w:p>
      <w:pPr>
        <w:spacing w:line="360" w:lineRule="auto"/>
        <w:ind w:firstLine="486"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（2）信誉良好：在国家企业信用信息公示系统（http://www.gsxt.gov.cn/）中未被列入严重违法失信企业名单（黑名单）信息；在“信用中国”网站（http://www.creditchina.gov.cn/）中未被列入失信惩戒执行人名单。</w:t>
      </w:r>
    </w:p>
    <w:p>
      <w:pPr>
        <w:spacing w:line="360" w:lineRule="auto"/>
        <w:ind w:firstLine="486"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3.2 本次比选不接受联合体报价。</w:t>
      </w:r>
    </w:p>
    <w:p>
      <w:pPr>
        <w:spacing w:line="360" w:lineRule="auto"/>
        <w:ind w:firstLine="486"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3.3与采购人存在利害关系可能影响比选公正性的法人、其他组织或者个人，不得参加本项目报价；单位负责人为同一人或者存在控股、管理关系的不同单位，不得同时参加本项目报价，否则均按无效报价处理。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cs="宋体"/>
          <w:highlight w:val="none"/>
        </w:rPr>
      </w:pPr>
      <w:bookmarkStart w:id="14" w:name="_Toc17662"/>
      <w:bookmarkStart w:id="15" w:name="_Toc25619"/>
      <w:bookmarkStart w:id="16" w:name="_Toc12460"/>
      <w:bookmarkStart w:id="17" w:name="_Toc14361"/>
      <w:bookmarkStart w:id="18" w:name="_Toc11329216"/>
      <w:bookmarkStart w:id="19" w:name="_Toc507319894"/>
      <w:r>
        <w:rPr>
          <w:rFonts w:hint="eastAsia" w:ascii="宋体" w:hAnsi="宋体" w:cs="宋体"/>
          <w:highlight w:val="none"/>
        </w:rPr>
        <w:t>4. 比选文件的获取</w:t>
      </w:r>
      <w:bookmarkEnd w:id="14"/>
      <w:bookmarkEnd w:id="15"/>
      <w:bookmarkEnd w:id="16"/>
      <w:bookmarkEnd w:id="17"/>
      <w:bookmarkEnd w:id="18"/>
      <w:bookmarkEnd w:id="19"/>
    </w:p>
    <w:p>
      <w:pPr>
        <w:spacing w:line="360" w:lineRule="auto"/>
        <w:ind w:firstLine="426" w:firstLineChars="200"/>
        <w:rPr>
          <w:rFonts w:ascii="宋体" w:hAnsi="宋体"/>
          <w:szCs w:val="21"/>
          <w:highlight w:val="none"/>
        </w:rPr>
      </w:pPr>
      <w:bookmarkStart w:id="20" w:name="_Toc144974484"/>
      <w:bookmarkStart w:id="21" w:name="_Toc152045516"/>
      <w:bookmarkStart w:id="22" w:name="_Toc247085676"/>
      <w:bookmarkStart w:id="23" w:name="_Toc11329217"/>
      <w:bookmarkStart w:id="24" w:name="_Toc507319895"/>
      <w:bookmarkStart w:id="25" w:name="_Toc152042292"/>
      <w:bookmarkStart w:id="26" w:name="_Toc179632532"/>
      <w:bookmarkStart w:id="27" w:name="_Toc246996162"/>
      <w:bookmarkStart w:id="28" w:name="_Toc246996905"/>
      <w:r>
        <w:rPr>
          <w:rFonts w:ascii="宋体" w:hAnsi="宋体"/>
          <w:szCs w:val="21"/>
          <w:highlight w:val="none"/>
        </w:rPr>
        <w:t>凡愿意参加的潜在</w:t>
      </w:r>
      <w:r>
        <w:rPr>
          <w:rFonts w:hint="eastAsia" w:ascii="宋体" w:hAnsi="宋体"/>
          <w:szCs w:val="21"/>
          <w:highlight w:val="none"/>
        </w:rPr>
        <w:t>报价</w:t>
      </w:r>
      <w:r>
        <w:rPr>
          <w:rFonts w:ascii="宋体" w:hAnsi="宋体"/>
          <w:szCs w:val="21"/>
          <w:highlight w:val="none"/>
        </w:rPr>
        <w:t>人，</w:t>
      </w:r>
      <w:r>
        <w:rPr>
          <w:rFonts w:hint="eastAsia" w:ascii="宋体" w:hAnsi="宋体"/>
          <w:szCs w:val="21"/>
          <w:highlight w:val="none"/>
        </w:rPr>
        <w:t>在</w:t>
      </w:r>
      <w:r>
        <w:rPr>
          <w:rFonts w:hint="eastAsia" w:ascii="宋体" w:hAnsi="宋体"/>
          <w:szCs w:val="21"/>
          <w:highlight w:val="none"/>
          <w:u w:val="single"/>
        </w:rPr>
        <w:t>2021</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7</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16</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szCs w:val="21"/>
          <w:highlight w:val="none"/>
          <w:u w:val="single"/>
        </w:rPr>
        <w:t>1</w:t>
      </w:r>
      <w:r>
        <w:rPr>
          <w:rFonts w:hint="eastAsia" w:ascii="宋体" w:hAnsi="宋体"/>
          <w:szCs w:val="21"/>
          <w:highlight w:val="none"/>
          <w:u w:val="single"/>
          <w:lang w:val="en-US" w:eastAsia="zh-CN"/>
        </w:rPr>
        <w:t>5</w:t>
      </w:r>
      <w:r>
        <w:rPr>
          <w:rFonts w:hint="eastAsia" w:ascii="宋体" w:hAnsi="宋体"/>
          <w:szCs w:val="21"/>
          <w:highlight w:val="none"/>
          <w:u w:val="single"/>
        </w:rPr>
        <w:t>:00</w:t>
      </w:r>
      <w:r>
        <w:rPr>
          <w:rFonts w:hint="eastAsia" w:ascii="宋体" w:hAnsi="宋体"/>
          <w:szCs w:val="21"/>
          <w:highlight w:val="none"/>
        </w:rPr>
        <w:t>前在重庆高速集团官网上获取比选文件，各报价人应随时关注网上发布的竞争性比选文件答疑、补遗、澄清等文件内容，不管报价人是否下载，均视为已知晓竞争性比选文件的全部内容和有关事宜。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cs="宋体"/>
          <w:highlight w:val="none"/>
        </w:rPr>
      </w:pPr>
      <w:bookmarkStart w:id="29" w:name="_Toc6426"/>
      <w:bookmarkStart w:id="30" w:name="_Toc31493"/>
      <w:bookmarkStart w:id="31" w:name="_Toc16686"/>
      <w:bookmarkStart w:id="32" w:name="_Toc9131"/>
      <w:r>
        <w:rPr>
          <w:rFonts w:hint="eastAsia" w:ascii="宋体" w:hAnsi="宋体" w:cs="宋体"/>
          <w:highlight w:val="none"/>
        </w:rPr>
        <w:t>5. 竞争性比选响应文件的递交</w:t>
      </w:r>
      <w:bookmarkEnd w:id="20"/>
      <w:bookmarkEnd w:id="21"/>
      <w:bookmarkEnd w:id="22"/>
      <w:bookmarkEnd w:id="23"/>
      <w:bookmarkEnd w:id="24"/>
      <w:bookmarkEnd w:id="25"/>
      <w:bookmarkEnd w:id="26"/>
      <w:bookmarkEnd w:id="27"/>
      <w:bookmarkEnd w:id="28"/>
      <w:r>
        <w:rPr>
          <w:rFonts w:hint="eastAsia" w:ascii="宋体" w:hAnsi="宋体" w:cs="宋体"/>
          <w:highlight w:val="none"/>
        </w:rPr>
        <w:t>及相关事宜</w:t>
      </w:r>
      <w:bookmarkEnd w:id="29"/>
      <w:bookmarkEnd w:id="30"/>
      <w:bookmarkEnd w:id="31"/>
      <w:bookmarkEnd w:id="32"/>
    </w:p>
    <w:p>
      <w:pPr>
        <w:tabs>
          <w:tab w:val="left" w:pos="360"/>
        </w:tabs>
        <w:spacing w:line="400" w:lineRule="exact"/>
        <w:ind w:firstLine="426"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cs="宋体"/>
          <w:szCs w:val="21"/>
          <w:highlight w:val="none"/>
          <w:u w:val="single"/>
        </w:rPr>
        <w:t>2021</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7</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16</w:t>
      </w:r>
      <w:r>
        <w:rPr>
          <w:rFonts w:hint="eastAsia" w:ascii="宋体" w:hAnsi="宋体" w:cs="宋体"/>
          <w:szCs w:val="21"/>
          <w:highlight w:val="none"/>
        </w:rPr>
        <w:t>日</w:t>
      </w:r>
      <w:r>
        <w:rPr>
          <w:rFonts w:hint="eastAsia" w:ascii="宋体" w:hAnsi="宋体" w:cs="宋体"/>
          <w:szCs w:val="21"/>
          <w:highlight w:val="none"/>
          <w:lang w:val="en-US" w:eastAsia="zh-CN"/>
        </w:rPr>
        <w:t>下</w:t>
      </w:r>
      <w:r>
        <w:rPr>
          <w:rFonts w:hint="eastAsia" w:ascii="宋体" w:hAnsi="宋体" w:cs="宋体"/>
          <w:szCs w:val="21"/>
          <w:highlight w:val="none"/>
        </w:rPr>
        <w:t>午</w:t>
      </w:r>
      <w:r>
        <w:rPr>
          <w:rFonts w:hint="eastAsia" w:ascii="宋体" w:hAnsi="宋体" w:cs="宋体"/>
          <w:szCs w:val="21"/>
          <w:highlight w:val="none"/>
          <w:u w:val="single"/>
        </w:rPr>
        <w:t xml:space="preserve"> 1</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6" w:firstLineChars="200"/>
        <w:rPr>
          <w:rFonts w:ascii="宋体" w:hAnsi="宋体" w:cs="宋体"/>
          <w:szCs w:val="21"/>
          <w:highlight w:val="none"/>
        </w:rPr>
      </w:pPr>
      <w:r>
        <w:rPr>
          <w:rFonts w:hint="eastAsia" w:ascii="宋体" w:hAnsi="宋体" w:cs="宋体"/>
          <w:szCs w:val="21"/>
          <w:highlight w:val="none"/>
        </w:rPr>
        <w:t>5.2报价的递交：重庆市南岸区四公里内环入口200米处重庆首讯科技大楼</w:t>
      </w:r>
    </w:p>
    <w:p>
      <w:pPr>
        <w:tabs>
          <w:tab w:val="left" w:pos="360"/>
        </w:tabs>
        <w:spacing w:line="400" w:lineRule="exact"/>
        <w:ind w:firstLine="426"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采购人不组织工程现场踏勘，不召开报价预备会。</w:t>
      </w:r>
    </w:p>
    <w:p>
      <w:pPr>
        <w:pStyle w:val="4"/>
        <w:spacing w:before="120" w:after="0" w:line="400" w:lineRule="exact"/>
        <w:rPr>
          <w:rFonts w:ascii="宋体" w:hAnsi="宋体" w:cs="宋体"/>
          <w:highlight w:val="none"/>
        </w:rPr>
      </w:pPr>
      <w:bookmarkStart w:id="33" w:name="_Toc18402"/>
      <w:bookmarkStart w:id="34" w:name="_Toc246996907"/>
      <w:bookmarkStart w:id="35" w:name="_Toc3341"/>
      <w:bookmarkStart w:id="36" w:name="_Toc152045517"/>
      <w:bookmarkStart w:id="37" w:name="_Toc507319897"/>
      <w:bookmarkStart w:id="38" w:name="_Toc247085678"/>
      <w:bookmarkStart w:id="39" w:name="_Toc179632534"/>
      <w:bookmarkStart w:id="40" w:name="_Toc246996164"/>
      <w:bookmarkStart w:id="41" w:name="_Toc393"/>
      <w:bookmarkStart w:id="42" w:name="_Toc21615"/>
      <w:bookmarkStart w:id="43" w:name="_Toc11329219"/>
      <w:bookmarkStart w:id="44" w:name="_Toc152042293"/>
      <w:bookmarkStart w:id="45" w:name="_Toc144974485"/>
      <w:r>
        <w:rPr>
          <w:rFonts w:hint="eastAsia" w:ascii="宋体" w:hAnsi="宋体" w:cs="宋体"/>
          <w:highlight w:val="none"/>
        </w:rPr>
        <w:t>6. 联系方式</w:t>
      </w:r>
      <w:bookmarkEnd w:id="33"/>
      <w:bookmarkEnd w:id="34"/>
      <w:bookmarkEnd w:id="35"/>
      <w:bookmarkEnd w:id="36"/>
      <w:bookmarkEnd w:id="37"/>
      <w:bookmarkEnd w:id="38"/>
      <w:bookmarkEnd w:id="39"/>
      <w:bookmarkEnd w:id="40"/>
      <w:bookmarkEnd w:id="41"/>
      <w:bookmarkEnd w:id="42"/>
      <w:bookmarkEnd w:id="43"/>
      <w:bookmarkEnd w:id="44"/>
      <w:bookmarkEnd w:id="45"/>
    </w:p>
    <w:tbl>
      <w:tblPr>
        <w:tblStyle w:val="23"/>
        <w:tblW w:w="9628" w:type="dxa"/>
        <w:tblInd w:w="0" w:type="dxa"/>
        <w:tblLayout w:type="fixed"/>
        <w:tblCellMar>
          <w:top w:w="0" w:type="dxa"/>
          <w:left w:w="108" w:type="dxa"/>
          <w:bottom w:w="0" w:type="dxa"/>
          <w:right w:w="108" w:type="dxa"/>
        </w:tblCellMar>
      </w:tblPr>
      <w:tblGrid>
        <w:gridCol w:w="8213"/>
        <w:gridCol w:w="1415"/>
      </w:tblGrid>
      <w:tr>
        <w:tblPrEx>
          <w:tblLayout w:type="fixed"/>
          <w:tblCellMar>
            <w:top w:w="0" w:type="dxa"/>
            <w:left w:w="108" w:type="dxa"/>
            <w:bottom w:w="0" w:type="dxa"/>
            <w:right w:w="108" w:type="dxa"/>
          </w:tblCellMar>
        </w:tblPrEx>
        <w:trPr>
          <w:trHeight w:val="470" w:hRule="atLeast"/>
        </w:trPr>
        <w:tc>
          <w:tcPr>
            <w:tcW w:w="8213" w:type="dxa"/>
            <w:vAlign w:val="center"/>
          </w:tcPr>
          <w:p>
            <w:pPr>
              <w:pStyle w:val="33"/>
              <w:spacing w:before="0" w:beforeAutospacing="0" w:after="0" w:afterAutospacing="0" w:line="400" w:lineRule="exact"/>
              <w:ind w:firstLine="426"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33"/>
              <w:spacing w:before="0" w:beforeAutospacing="0" w:after="0" w:afterAutospacing="0" w:line="400" w:lineRule="exact"/>
              <w:ind w:firstLine="426" w:firstLineChars="200"/>
              <w:jc w:val="both"/>
              <w:rPr>
                <w:rFonts w:ascii="宋体" w:hAnsi="宋体" w:cs="宋体"/>
                <w:kern w:val="2"/>
                <w:sz w:val="21"/>
                <w:szCs w:val="21"/>
                <w:highlight w:val="none"/>
              </w:rPr>
            </w:pPr>
          </w:p>
        </w:tc>
      </w:tr>
      <w:tr>
        <w:tblPrEx>
          <w:tblLayout w:type="fixed"/>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65" w:leftChars="200" w:hanging="639" w:hangingChars="300"/>
              <w:rPr>
                <w:rFonts w:ascii="宋体" w:hAnsi="宋体" w:cs="宋体"/>
                <w:szCs w:val="21"/>
                <w:highlight w:val="none"/>
              </w:rPr>
            </w:pPr>
            <w:r>
              <w:rPr>
                <w:rFonts w:hint="eastAsia" w:ascii="宋体" w:hAnsi="宋体" w:cs="宋体"/>
                <w:szCs w:val="21"/>
                <w:highlight w:val="none"/>
              </w:rPr>
              <w:t>地址：重庆市南岸区四公里内环入口高速集团首讯科技大楼</w:t>
            </w:r>
          </w:p>
        </w:tc>
        <w:tc>
          <w:tcPr>
            <w:tcW w:w="1415" w:type="dxa"/>
            <w:vAlign w:val="center"/>
          </w:tcPr>
          <w:p>
            <w:pPr>
              <w:spacing w:line="400" w:lineRule="exact"/>
              <w:ind w:firstLine="426" w:firstLineChars="200"/>
              <w:rPr>
                <w:rFonts w:ascii="宋体" w:hAnsi="宋体" w:cs="宋体"/>
                <w:szCs w:val="21"/>
                <w:highlight w:val="none"/>
              </w:rPr>
            </w:pPr>
          </w:p>
        </w:tc>
      </w:tr>
      <w:tr>
        <w:tblPrEx>
          <w:tblLayout w:type="fixed"/>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6" w:firstLineChars="200"/>
              <w:rPr>
                <w:rFonts w:ascii="宋体" w:hAnsi="宋体" w:cs="宋体"/>
                <w:szCs w:val="21"/>
                <w:highlight w:val="none"/>
              </w:rPr>
            </w:pPr>
            <w:r>
              <w:rPr>
                <w:rFonts w:hint="eastAsia" w:ascii="宋体" w:hAnsi="宋体" w:cs="宋体"/>
                <w:szCs w:val="21"/>
                <w:highlight w:val="none"/>
              </w:rPr>
              <w:t>联系人：蒋老师</w:t>
            </w:r>
          </w:p>
        </w:tc>
        <w:tc>
          <w:tcPr>
            <w:tcW w:w="1415" w:type="dxa"/>
            <w:vAlign w:val="center"/>
          </w:tcPr>
          <w:p>
            <w:pPr>
              <w:spacing w:line="400" w:lineRule="exact"/>
              <w:ind w:firstLine="426" w:firstLineChars="200"/>
              <w:rPr>
                <w:rFonts w:ascii="宋体" w:hAnsi="宋体" w:cs="宋体"/>
                <w:szCs w:val="21"/>
                <w:highlight w:val="none"/>
              </w:rPr>
            </w:pPr>
          </w:p>
        </w:tc>
      </w:tr>
      <w:tr>
        <w:tblPrEx>
          <w:tblLayout w:type="fixed"/>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6" w:firstLineChars="200"/>
              <w:rPr>
                <w:highlight w:val="none"/>
              </w:rPr>
            </w:pPr>
            <w:r>
              <w:rPr>
                <w:rFonts w:hint="eastAsia" w:ascii="宋体" w:hAnsi="宋体" w:cs="宋体"/>
                <w:szCs w:val="21"/>
                <w:highlight w:val="none"/>
              </w:rPr>
              <w:t>电 话：</w:t>
            </w:r>
            <w:r>
              <w:rPr>
                <w:rFonts w:hint="eastAsia" w:ascii="宋体" w:hAnsi="宋体"/>
                <w:color w:val="000000" w:themeColor="text1"/>
                <w:sz w:val="24"/>
                <w:highlight w:val="none"/>
                <w:lang w:eastAsia="zh-CN"/>
                <w14:textFill>
                  <w14:solidFill>
                    <w14:schemeClr w14:val="tx1"/>
                  </w14:solidFill>
                </w14:textFill>
              </w:rPr>
              <w:t>18523055172</w:t>
            </w:r>
            <w:r>
              <w:rPr>
                <w:rFonts w:hint="eastAsia" w:ascii="宋体" w:hAnsi="宋体"/>
                <w:color w:val="000000" w:themeColor="text1"/>
                <w:sz w:val="24"/>
                <w:highlight w:val="none"/>
                <w14:textFill>
                  <w14:solidFill>
                    <w14:schemeClr w14:val="tx1"/>
                  </w14:solidFill>
                </w14:textFill>
              </w:rPr>
              <w:t xml:space="preserve">   </w:t>
            </w:r>
          </w:p>
        </w:tc>
        <w:tc>
          <w:tcPr>
            <w:tcW w:w="1415" w:type="dxa"/>
            <w:vAlign w:val="center"/>
          </w:tcPr>
          <w:p>
            <w:pPr>
              <w:spacing w:line="400" w:lineRule="exact"/>
              <w:ind w:firstLine="426" w:firstLineChars="200"/>
              <w:rPr>
                <w:rFonts w:ascii="宋体" w:hAnsi="宋体" w:cs="宋体"/>
                <w:szCs w:val="21"/>
                <w:highlight w:val="none"/>
              </w:rPr>
            </w:pPr>
          </w:p>
        </w:tc>
      </w:tr>
    </w:tbl>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10"/>
        <w:rPr>
          <w:highlight w:val="none"/>
        </w:rPr>
      </w:pPr>
    </w:p>
    <w:p>
      <w:pPr>
        <w:rPr>
          <w:highlight w:val="none"/>
        </w:rPr>
      </w:pPr>
    </w:p>
    <w:p>
      <w:pPr>
        <w:pStyle w:val="10"/>
        <w:rPr>
          <w:highlight w:val="none"/>
        </w:rPr>
      </w:pPr>
    </w:p>
    <w:p>
      <w:pPr>
        <w:rPr>
          <w:highlight w:val="none"/>
        </w:rPr>
      </w:pPr>
    </w:p>
    <w:p>
      <w:pPr>
        <w:pStyle w:val="10"/>
        <w:rPr>
          <w:highlight w:val="none"/>
        </w:rPr>
      </w:pPr>
    </w:p>
    <w:p>
      <w:pPr>
        <w:rPr>
          <w:highlight w:val="none"/>
        </w:rPr>
      </w:pPr>
    </w:p>
    <w:p>
      <w:pPr>
        <w:pStyle w:val="10"/>
        <w:rPr>
          <w:highlight w:val="none"/>
        </w:rPr>
      </w:pPr>
    </w:p>
    <w:p>
      <w:pPr>
        <w:rPr>
          <w:highlight w:val="none"/>
        </w:rPr>
      </w:pPr>
    </w:p>
    <w:p>
      <w:pPr>
        <w:pStyle w:val="10"/>
        <w:rPr>
          <w:highlight w:val="none"/>
        </w:rPr>
      </w:pPr>
    </w:p>
    <w:p>
      <w:pPr>
        <w:rPr>
          <w:highlight w:val="none"/>
        </w:rPr>
      </w:pPr>
    </w:p>
    <w:p>
      <w:pPr>
        <w:pStyle w:val="3"/>
        <w:numPr>
          <w:ilvl w:val="0"/>
          <w:numId w:val="1"/>
        </w:numPr>
        <w:spacing w:before="0" w:after="0" w:line="360" w:lineRule="auto"/>
        <w:rPr>
          <w:color w:val="000000" w:themeColor="text1"/>
          <w:spacing w:val="10"/>
          <w:sz w:val="48"/>
          <w:szCs w:val="48"/>
          <w:highlight w:val="none"/>
          <w14:textFill>
            <w14:solidFill>
              <w14:schemeClr w14:val="tx1"/>
            </w14:solidFill>
          </w14:textFill>
        </w:rPr>
      </w:pPr>
      <w:r>
        <w:rPr>
          <w:rFonts w:hint="eastAsia"/>
          <w:color w:val="000000" w:themeColor="text1"/>
          <w:spacing w:val="10"/>
          <w:sz w:val="48"/>
          <w:szCs w:val="48"/>
          <w:highlight w:val="none"/>
          <w14:textFill>
            <w14:solidFill>
              <w14:schemeClr w14:val="tx1"/>
            </w14:solidFill>
          </w14:textFill>
        </w:rPr>
        <w:t>报价人须知</w:t>
      </w:r>
    </w:p>
    <w:p>
      <w:pPr>
        <w:rPr>
          <w:highlight w:val="none"/>
        </w:rPr>
      </w:pPr>
    </w:p>
    <w:p>
      <w:pPr>
        <w:pStyle w:val="4"/>
        <w:spacing w:before="0" w:after="0" w:line="360" w:lineRule="auto"/>
        <w:ind w:firstLine="488" w:firstLineChars="200"/>
        <w:rPr>
          <w:rFonts w:ascii="宋体" w:hAnsi="宋体" w:cs="宋体"/>
          <w:sz w:val="24"/>
          <w:szCs w:val="24"/>
          <w:highlight w:val="none"/>
        </w:rPr>
      </w:pPr>
      <w:r>
        <w:rPr>
          <w:rFonts w:hint="eastAsia" w:ascii="宋体" w:hAnsi="宋体" w:cs="宋体"/>
          <w:sz w:val="24"/>
          <w:szCs w:val="24"/>
          <w:highlight w:val="none"/>
        </w:rPr>
        <w:t>1.服务内容：</w:t>
      </w:r>
      <w:r>
        <w:rPr>
          <w:rFonts w:hint="eastAsia" w:ascii="Times New Roman" w:hAnsi="Times New Roman"/>
          <w:b w:val="0"/>
          <w:bCs w:val="0"/>
          <w:color w:val="000000" w:themeColor="text1"/>
          <w:kern w:val="2"/>
          <w:sz w:val="24"/>
          <w:szCs w:val="28"/>
          <w:highlight w:val="none"/>
          <w14:textFill>
            <w14:solidFill>
              <w14:schemeClr w14:val="tx1"/>
            </w14:solidFill>
          </w14:textFill>
        </w:rPr>
        <w:t>按重庆市国资委要求开发一套国资监控软件系统，实现财务监督、大额资金管理、投资管理、国企改革、法律纠纷案件统计、薪酬与绩效。实现与国资监管平台一期的业务整合、实现与高速集团财务共享平台的财务数据的对接。</w:t>
      </w:r>
    </w:p>
    <w:p>
      <w:pPr>
        <w:pStyle w:val="2"/>
        <w:ind w:firstLine="486" w:firstLineChars="200"/>
        <w:rPr>
          <w:rFonts w:ascii="宋体" w:hAnsi="宋体" w:cs="宋体"/>
          <w:sz w:val="24"/>
          <w:highlight w:val="none"/>
        </w:rPr>
      </w:pPr>
      <w:r>
        <w:rPr>
          <w:rFonts w:hint="eastAsia" w:ascii="宋体" w:hAnsi="宋体" w:cs="宋体"/>
          <w:sz w:val="24"/>
          <w:highlight w:val="none"/>
        </w:rPr>
        <w:t>1.1</w:t>
      </w:r>
      <w:r>
        <w:rPr>
          <w:rFonts w:hint="eastAsia"/>
          <w:color w:val="000000" w:themeColor="text1"/>
          <w:sz w:val="24"/>
          <w:szCs w:val="28"/>
          <w:highlight w:val="none"/>
          <w14:textFill>
            <w14:solidFill>
              <w14:schemeClr w14:val="tx1"/>
            </w14:solidFill>
          </w14:textFill>
        </w:rPr>
        <w:t>以重庆高速集团实际需求调研为开发基线，实施范围包括：重庆高速集团、重庆高速集团分公司、子公司及控股公司。</w:t>
      </w:r>
    </w:p>
    <w:p>
      <w:pPr>
        <w:pStyle w:val="2"/>
        <w:ind w:firstLine="486" w:firstLineChars="200"/>
        <w:rPr>
          <w:rFonts w:ascii="宋体" w:hAnsi="宋体" w:cs="宋体"/>
          <w:sz w:val="24"/>
          <w:highlight w:val="none"/>
        </w:rPr>
      </w:pPr>
      <w:r>
        <w:rPr>
          <w:rFonts w:hint="eastAsia" w:ascii="宋体" w:hAnsi="宋体" w:cs="宋体"/>
          <w:sz w:val="24"/>
          <w:highlight w:val="none"/>
        </w:rPr>
        <w:t>1.2工期要求：</w:t>
      </w:r>
      <w:r>
        <w:rPr>
          <w:rFonts w:ascii="宋体" w:hAnsi="宋体" w:cs="宋体"/>
          <w:sz w:val="24"/>
          <w:highlight w:val="none"/>
        </w:rPr>
        <w:t>4</w:t>
      </w:r>
      <w:r>
        <w:rPr>
          <w:rFonts w:hint="eastAsia" w:ascii="宋体" w:hAnsi="宋体" w:cs="宋体"/>
          <w:sz w:val="24"/>
          <w:highlight w:val="none"/>
        </w:rPr>
        <w:t>个月。</w:t>
      </w:r>
    </w:p>
    <w:p>
      <w:pPr>
        <w:pStyle w:val="2"/>
        <w:ind w:firstLine="486" w:firstLineChars="200"/>
        <w:rPr>
          <w:highlight w:val="none"/>
        </w:rPr>
      </w:pPr>
      <w:r>
        <w:rPr>
          <w:rFonts w:hint="eastAsia" w:ascii="宋体" w:hAnsi="宋体" w:cs="宋体"/>
          <w:sz w:val="24"/>
          <w:highlight w:val="none"/>
        </w:rPr>
        <w:t>2.报价人不能拒绝执行竞争性比选文件服务内容范围内的工作。</w:t>
      </w:r>
    </w:p>
    <w:p>
      <w:pPr>
        <w:spacing w:line="360" w:lineRule="auto"/>
        <w:ind w:firstLine="488"/>
        <w:rPr>
          <w:rFonts w:ascii="宋体" w:hAnsi="宋体" w:cs="宋体"/>
          <w:sz w:val="24"/>
          <w:highlight w:val="none"/>
        </w:rPr>
      </w:pPr>
      <w:r>
        <w:rPr>
          <w:rFonts w:hint="eastAsia" w:ascii="宋体" w:hAnsi="宋体" w:cs="宋体"/>
          <w:b/>
          <w:bCs/>
          <w:sz w:val="24"/>
          <w:highlight w:val="none"/>
        </w:rPr>
        <w:t>3.服务费：</w:t>
      </w:r>
      <w:r>
        <w:rPr>
          <w:rFonts w:hint="eastAsia" w:ascii="宋体" w:hAnsi="宋体" w:cs="宋体"/>
          <w:sz w:val="24"/>
          <w:highlight w:val="none"/>
        </w:rPr>
        <w:t>本次项目管理云平台服务费为总价包干费用，包括但不限于为完成我司项目管理云平台</w:t>
      </w:r>
      <w:r>
        <w:rPr>
          <w:rFonts w:ascii="宋体" w:hAnsi="宋体" w:cs="宋体"/>
          <w:sz w:val="24"/>
          <w:highlight w:val="none"/>
        </w:rPr>
        <w:t>设计</w:t>
      </w:r>
      <w:r>
        <w:rPr>
          <w:rFonts w:hint="eastAsia" w:ascii="宋体" w:hAnsi="宋体" w:cs="宋体"/>
          <w:sz w:val="24"/>
          <w:highlight w:val="none"/>
        </w:rPr>
        <w:t>服务所需的劳务费、差旅费、交通费、服务费、办公费、税费等本竞争性比选文件所明示或暗示的一切相关费用。</w:t>
      </w:r>
    </w:p>
    <w:p>
      <w:pPr>
        <w:spacing w:line="360" w:lineRule="auto"/>
        <w:ind w:firstLine="488"/>
        <w:rPr>
          <w:rFonts w:ascii="宋体" w:hAnsi="宋体" w:cs="宋体"/>
          <w:sz w:val="24"/>
          <w:highlight w:val="none"/>
        </w:rPr>
      </w:pPr>
      <w:r>
        <w:rPr>
          <w:rFonts w:hint="eastAsia" w:ascii="宋体" w:hAnsi="宋体" w:cs="宋体"/>
          <w:b/>
          <w:bCs/>
          <w:sz w:val="24"/>
          <w:highlight w:val="none"/>
        </w:rPr>
        <w:t>4.</w:t>
      </w:r>
      <w:r>
        <w:rPr>
          <w:rFonts w:hint="eastAsia" w:ascii="宋体" w:hAnsi="宋体" w:cs="宋体"/>
          <w:sz w:val="24"/>
          <w:highlight w:val="none"/>
        </w:rPr>
        <w:t>若报价人在投标报价时有漏报、缺项的情况发生，采购人视为报价人已充分理解询价文件要求，漏报、漏项部分已计入投标报价之中，一旦中标，费用不予调整。</w:t>
      </w:r>
    </w:p>
    <w:p>
      <w:pPr>
        <w:spacing w:line="360" w:lineRule="auto"/>
        <w:ind w:firstLine="488"/>
        <w:rPr>
          <w:rFonts w:ascii="宋体" w:hAnsi="宋体" w:cs="宋体"/>
          <w:sz w:val="24"/>
          <w:highlight w:val="none"/>
        </w:rPr>
      </w:pPr>
      <w:r>
        <w:rPr>
          <w:rFonts w:hint="eastAsia" w:ascii="宋体" w:hAnsi="宋体" w:cs="宋体"/>
          <w:b/>
          <w:bCs/>
          <w:sz w:val="24"/>
          <w:highlight w:val="none"/>
        </w:rPr>
        <w:t>5.</w:t>
      </w:r>
      <w:r>
        <w:rPr>
          <w:rFonts w:hint="eastAsia" w:ascii="宋体" w:hAnsi="宋体" w:cs="宋体"/>
          <w:sz w:val="24"/>
          <w:highlight w:val="none"/>
        </w:rPr>
        <w:t>报价清单中各项金额均以人民币（元）结算。</w:t>
      </w:r>
    </w:p>
    <w:p>
      <w:pPr>
        <w:pStyle w:val="4"/>
        <w:spacing w:before="0" w:after="0" w:line="360" w:lineRule="auto"/>
        <w:ind w:firstLine="488" w:firstLineChars="200"/>
        <w:rPr>
          <w:rFonts w:ascii="宋体" w:hAnsi="宋体" w:cs="宋体"/>
          <w:b w:val="0"/>
          <w:bCs w:val="0"/>
          <w:sz w:val="24"/>
          <w:szCs w:val="24"/>
          <w:highlight w:val="none"/>
        </w:rPr>
      </w:pPr>
      <w:r>
        <w:rPr>
          <w:rFonts w:hint="eastAsia" w:ascii="宋体" w:hAnsi="宋体" w:cs="宋体"/>
          <w:sz w:val="24"/>
          <w:szCs w:val="24"/>
          <w:highlight w:val="none"/>
        </w:rPr>
        <w:t>6.支付方式：</w:t>
      </w:r>
      <w:r>
        <w:rPr>
          <w:rFonts w:hint="eastAsia" w:ascii="宋体" w:hAnsi="宋体" w:cs="宋体"/>
          <w:b w:val="0"/>
          <w:bCs w:val="0"/>
          <w:kern w:val="2"/>
          <w:sz w:val="24"/>
          <w:szCs w:val="24"/>
          <w:highlight w:val="none"/>
        </w:rPr>
        <w:t>合同签订完成，报价人完成本项目实施团队的组建及准备工作，支付合同金额的2</w:t>
      </w:r>
      <w:r>
        <w:rPr>
          <w:rFonts w:ascii="宋体" w:hAnsi="宋体" w:cs="宋体"/>
          <w:b w:val="0"/>
          <w:bCs w:val="0"/>
          <w:kern w:val="2"/>
          <w:sz w:val="24"/>
          <w:szCs w:val="24"/>
          <w:highlight w:val="none"/>
        </w:rPr>
        <w:t>0%</w:t>
      </w:r>
      <w:r>
        <w:rPr>
          <w:rFonts w:hint="eastAsia" w:ascii="宋体" w:hAnsi="宋体" w:cs="宋体"/>
          <w:b w:val="0"/>
          <w:bCs w:val="0"/>
          <w:kern w:val="2"/>
          <w:sz w:val="24"/>
          <w:szCs w:val="24"/>
          <w:highlight w:val="none"/>
        </w:rPr>
        <w:t>作为预付款；报价人按要求完成本项目的服务内容并验收通过后，支付合同金额的7</w:t>
      </w:r>
      <w:r>
        <w:rPr>
          <w:rFonts w:ascii="宋体" w:hAnsi="宋体" w:cs="宋体"/>
          <w:b w:val="0"/>
          <w:bCs w:val="0"/>
          <w:kern w:val="2"/>
          <w:sz w:val="24"/>
          <w:szCs w:val="24"/>
          <w:highlight w:val="none"/>
        </w:rPr>
        <w:t>0%</w:t>
      </w:r>
      <w:r>
        <w:rPr>
          <w:rFonts w:hint="eastAsia" w:ascii="宋体" w:hAnsi="宋体" w:cs="宋体"/>
          <w:b w:val="0"/>
          <w:bCs w:val="0"/>
          <w:kern w:val="2"/>
          <w:sz w:val="24"/>
          <w:szCs w:val="24"/>
          <w:highlight w:val="none"/>
        </w:rPr>
        <w:t>，</w:t>
      </w:r>
      <w:r>
        <w:rPr>
          <w:rFonts w:hint="eastAsia" w:ascii="宋体" w:hAnsi="宋体" w:cs="宋体"/>
          <w:b w:val="0"/>
          <w:bCs w:val="0"/>
          <w:kern w:val="2"/>
          <w:sz w:val="24"/>
          <w:szCs w:val="24"/>
          <w:highlight w:val="none"/>
          <w:lang w:val="en-US" w:eastAsia="zh-CN"/>
        </w:rPr>
        <w:t>一年</w:t>
      </w:r>
      <w:r>
        <w:rPr>
          <w:rFonts w:hint="eastAsia" w:ascii="宋体" w:hAnsi="宋体" w:cs="宋体"/>
          <w:b w:val="0"/>
          <w:bCs w:val="0"/>
          <w:kern w:val="2"/>
          <w:sz w:val="24"/>
          <w:szCs w:val="24"/>
          <w:highlight w:val="none"/>
        </w:rPr>
        <w:t>缺陷责任期满支付合同金额的1</w:t>
      </w:r>
      <w:r>
        <w:rPr>
          <w:rFonts w:ascii="宋体" w:hAnsi="宋体" w:cs="宋体"/>
          <w:b w:val="0"/>
          <w:bCs w:val="0"/>
          <w:kern w:val="2"/>
          <w:sz w:val="24"/>
          <w:szCs w:val="24"/>
          <w:highlight w:val="none"/>
        </w:rPr>
        <w:t>0%</w:t>
      </w:r>
      <w:r>
        <w:rPr>
          <w:rFonts w:hint="eastAsia" w:ascii="宋体" w:hAnsi="宋体" w:cs="宋体"/>
          <w:b w:val="0"/>
          <w:bCs w:val="0"/>
          <w:kern w:val="2"/>
          <w:sz w:val="24"/>
          <w:szCs w:val="24"/>
          <w:highlight w:val="none"/>
        </w:rPr>
        <w:t>。</w:t>
      </w:r>
    </w:p>
    <w:p>
      <w:pPr>
        <w:spacing w:line="360" w:lineRule="auto"/>
        <w:ind w:firstLine="488" w:firstLineChars="200"/>
        <w:rPr>
          <w:rFonts w:ascii="宋体" w:hAnsi="宋体" w:cs="宋体"/>
          <w:sz w:val="24"/>
          <w:highlight w:val="none"/>
        </w:rPr>
      </w:pPr>
      <w:r>
        <w:rPr>
          <w:rFonts w:hint="eastAsia" w:ascii="宋体" w:hAnsi="宋体" w:cs="宋体"/>
          <w:b/>
          <w:bCs/>
          <w:sz w:val="24"/>
          <w:highlight w:val="none"/>
        </w:rPr>
        <w:t>7.</w:t>
      </w:r>
      <w:r>
        <w:rPr>
          <w:rFonts w:hint="eastAsia" w:ascii="宋体" w:hAnsi="宋体" w:cs="宋体"/>
          <w:b/>
          <w:bCs/>
          <w:sz w:val="24"/>
          <w:highlight w:val="none"/>
          <w:shd w:val="clear" w:color="auto" w:fill="FFFF00"/>
        </w:rPr>
        <w:t>本项目最高限价</w:t>
      </w:r>
      <w:r>
        <w:rPr>
          <w:rFonts w:hint="eastAsia" w:ascii="宋体" w:hAnsi="宋体" w:cs="宋体"/>
          <w:b/>
          <w:bCs/>
          <w:sz w:val="24"/>
          <w:highlight w:val="none"/>
          <w:shd w:val="clear" w:color="auto" w:fill="FFFF00"/>
          <w:lang w:val="en-US" w:eastAsia="zh-CN"/>
        </w:rPr>
        <w:t>808644</w:t>
      </w:r>
      <w:r>
        <w:rPr>
          <w:rFonts w:hint="eastAsia" w:ascii="宋体" w:hAnsi="宋体" w:cs="宋体"/>
          <w:b/>
          <w:bCs/>
          <w:sz w:val="24"/>
          <w:highlight w:val="none"/>
          <w:shd w:val="clear" w:color="auto" w:fill="FFFF00"/>
        </w:rPr>
        <w:t>.00元</w:t>
      </w:r>
      <w:r>
        <w:rPr>
          <w:rFonts w:hint="eastAsia" w:ascii="宋体" w:hAnsi="宋体" w:cs="宋体"/>
          <w:sz w:val="24"/>
          <w:highlight w:val="none"/>
        </w:rPr>
        <w:t>。报价人总价报价均不得高于采购人发布的最高限价，否则其竞争性比选响应文件视为重大偏差，竞争性比选响应文件将按否决报价处理。</w:t>
      </w:r>
    </w:p>
    <w:p>
      <w:pPr>
        <w:spacing w:line="360" w:lineRule="auto"/>
        <w:ind w:firstLine="488" w:firstLineChars="200"/>
        <w:rPr>
          <w:rFonts w:ascii="宋体" w:hAnsi="宋体" w:cs="宋体"/>
          <w:sz w:val="24"/>
          <w:highlight w:val="none"/>
        </w:rPr>
      </w:pPr>
      <w:r>
        <w:rPr>
          <w:rFonts w:hint="eastAsia" w:ascii="宋体" w:hAnsi="宋体" w:cs="宋体"/>
          <w:b/>
          <w:bCs/>
          <w:sz w:val="24"/>
          <w:highlight w:val="none"/>
        </w:rPr>
        <w:t>8.保密条款：</w:t>
      </w:r>
      <w:r>
        <w:rPr>
          <w:rFonts w:hint="eastAsia" w:ascii="宋体" w:hAnsi="宋体" w:cs="宋体"/>
          <w:sz w:val="24"/>
          <w:highlight w:val="none"/>
        </w:rPr>
        <w:t>在报价人实施或参与本项目中，对获取到的重庆首讯科技有限公司提供的制度文件及生产资料等有保密义务。未经采购人书面许可，报价人不得对任何第三方透露本项目任何信息。</w:t>
      </w:r>
    </w:p>
    <w:p>
      <w:pPr>
        <w:spacing w:line="360" w:lineRule="auto"/>
        <w:ind w:firstLine="488" w:firstLineChars="200"/>
        <w:rPr>
          <w:rFonts w:ascii="宋体" w:hAnsi="宋体" w:cs="宋体"/>
          <w:sz w:val="24"/>
          <w:highlight w:val="none"/>
        </w:rPr>
      </w:pPr>
      <w:r>
        <w:rPr>
          <w:rFonts w:hint="eastAsia" w:ascii="宋体" w:hAnsi="宋体" w:cs="宋体"/>
          <w:b/>
          <w:bCs/>
          <w:sz w:val="24"/>
          <w:highlight w:val="none"/>
        </w:rPr>
        <w:t>9.</w:t>
      </w:r>
      <w:r>
        <w:rPr>
          <w:rFonts w:hint="eastAsia" w:ascii="宋体" w:hAnsi="宋体" w:cs="宋体"/>
          <w:sz w:val="24"/>
          <w:highlight w:val="none"/>
        </w:rPr>
        <w:t>本次询价结果仅作为本项目实施单位选择的依据之一，甲方有权根据实际情况决定最终结果。</w:t>
      </w:r>
    </w:p>
    <w:p>
      <w:pPr>
        <w:rPr>
          <w:highlight w:val="none"/>
        </w:rPr>
      </w:pPr>
    </w:p>
    <w:p>
      <w:pPr>
        <w:pStyle w:val="2"/>
        <w:spacing w:line="360" w:lineRule="auto"/>
        <w:ind w:firstLine="488"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10.资格要求：详见附录</w:t>
      </w:r>
    </w:p>
    <w:p>
      <w:pPr>
        <w:rPr>
          <w:highlight w:val="none"/>
        </w:rPr>
      </w:pPr>
    </w:p>
    <w:p>
      <w:pPr>
        <w:pStyle w:val="2"/>
        <w:rPr>
          <w:highlight w:val="none"/>
        </w:rPr>
      </w:pPr>
    </w:p>
    <w:p>
      <w:pPr>
        <w:rPr>
          <w:highlight w:val="none"/>
        </w:rPr>
      </w:pPr>
    </w:p>
    <w:p>
      <w:pPr>
        <w:pStyle w:val="4"/>
        <w:jc w:val="center"/>
        <w:rPr>
          <w:rFonts w:ascii="宋体" w:hAnsi="宋体" w:cs="宋体"/>
          <w:sz w:val="24"/>
          <w:szCs w:val="24"/>
          <w:highlight w:val="none"/>
        </w:rPr>
      </w:pPr>
      <w:bookmarkStart w:id="46" w:name="_Toc11284"/>
      <w:bookmarkStart w:id="47" w:name="_Toc30198"/>
      <w:bookmarkStart w:id="48" w:name="_Toc11329222"/>
      <w:bookmarkStart w:id="49" w:name="_Toc31095"/>
      <w:bookmarkStart w:id="50" w:name="_Toc17532"/>
      <w:r>
        <w:rPr>
          <w:rFonts w:hint="eastAsia" w:ascii="宋体" w:hAnsi="宋体" w:cs="宋体"/>
          <w:sz w:val="24"/>
          <w:szCs w:val="24"/>
          <w:highlight w:val="none"/>
        </w:rPr>
        <w:t>附录1  资格审查条件</w:t>
      </w:r>
      <w:bookmarkEnd w:id="46"/>
      <w:bookmarkEnd w:id="47"/>
      <w:bookmarkEnd w:id="48"/>
      <w:bookmarkEnd w:id="49"/>
      <w:bookmarkEnd w:id="50"/>
    </w:p>
    <w:tbl>
      <w:tblPr>
        <w:tblStyle w:val="23"/>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服务提供商企业资质要求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108" w:type="dxa"/>
          </w:tcPr>
          <w:p>
            <w:pPr>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（1）投标人应为中国大陆境内合法注册的独立企业法人或事业法人，具备有效的营业执照或事业单位法人证书；</w:t>
            </w:r>
          </w:p>
          <w:p>
            <w:pPr>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（2）信誉良好：在国家企业信用信息公示系统（http://www.gsxt.gov.cn/）中未被列入严重违法失信企业名单（黑名单）信息；在“信用中国”网站（http://www.creditchina.gov.cn/）中未被列入失信惩戒执行人名单。</w:t>
            </w:r>
          </w:p>
        </w:tc>
      </w:tr>
    </w:tbl>
    <w:p>
      <w:pPr>
        <w:spacing w:line="440" w:lineRule="exact"/>
        <w:ind w:firstLine="448" w:firstLineChars="200"/>
        <w:rPr>
          <w:rFonts w:asciiTheme="minorEastAsia" w:hAnsiTheme="minorEastAsia" w:eastAsiaTheme="minorEastAsia" w:cstheme="minorEastAsia"/>
          <w:b/>
          <w:bCs/>
          <w:caps/>
          <w:sz w:val="22"/>
          <w:szCs w:val="22"/>
          <w:highlight w:val="none"/>
        </w:rPr>
      </w:pPr>
      <w:r>
        <w:rPr>
          <w:rFonts w:hint="eastAsia" w:asciiTheme="minorEastAsia" w:hAnsiTheme="minorEastAsia" w:eastAsiaTheme="minorEastAsia" w:cstheme="minorEastAsia"/>
          <w:b/>
          <w:bCs/>
          <w:caps/>
          <w:sz w:val="22"/>
          <w:szCs w:val="22"/>
          <w:highlight w:val="none"/>
        </w:rPr>
        <w:t>注：须提供营业执照或事业单位法人证书，信誉网站查询结果截图，类似业绩合同扫描件，并加盖单位公章。</w:t>
      </w:r>
      <w:bookmarkStart w:id="51" w:name="_Toc17235"/>
      <w:bookmarkStart w:id="52" w:name="_Toc11329223"/>
      <w:bookmarkStart w:id="53" w:name="_Toc30995"/>
      <w:bookmarkStart w:id="54" w:name="_Toc19627"/>
      <w:bookmarkStart w:id="55" w:name="_Toc1778"/>
    </w:p>
    <w:bookmarkEnd w:id="51"/>
    <w:bookmarkEnd w:id="52"/>
    <w:bookmarkEnd w:id="53"/>
    <w:bookmarkEnd w:id="54"/>
    <w:bookmarkEnd w:id="55"/>
    <w:p>
      <w:pPr>
        <w:pStyle w:val="2"/>
        <w:rPr>
          <w:highlight w:val="none"/>
        </w:rPr>
      </w:pPr>
    </w:p>
    <w:p>
      <w:pPr>
        <w:spacing w:line="360" w:lineRule="auto"/>
        <w:ind w:firstLine="488"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11.竞争性比选文件需加盖报价人的公章</w:t>
      </w:r>
      <w:r>
        <w:rPr>
          <w:rFonts w:hint="eastAsia" w:ascii="宋体" w:hAnsi="宋体"/>
          <w:color w:val="000000" w:themeColor="text1"/>
          <w:sz w:val="24"/>
          <w:highlight w:val="none"/>
          <w14:textFill>
            <w14:solidFill>
              <w14:schemeClr w14:val="tx1"/>
            </w14:solidFill>
          </w14:textFill>
        </w:rPr>
        <w:t>，竞争性比选响应文件提交正本1份，副本</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份，副本可为正本的复印件，竞争性比选响应文件需装订成册；报价人应提供竞争性比选响应文件</w:t>
      </w:r>
      <w:r>
        <w:rPr>
          <w:rFonts w:hint="eastAsia" w:ascii="宋体" w:hAnsi="宋体"/>
          <w:b/>
          <w:bCs/>
          <w:color w:val="000000" w:themeColor="text1"/>
          <w:sz w:val="24"/>
          <w:highlight w:val="none"/>
          <w14:textFill>
            <w14:solidFill>
              <w14:schemeClr w14:val="tx1"/>
            </w14:solidFill>
          </w14:textFill>
        </w:rPr>
        <w:t>电子文件1份</w:t>
      </w:r>
      <w:r>
        <w:rPr>
          <w:rFonts w:hint="eastAsia" w:ascii="宋体" w:hAnsi="宋体"/>
          <w:color w:val="000000" w:themeColor="text1"/>
          <w:sz w:val="24"/>
          <w:highlight w:val="none"/>
          <w14:textFill>
            <w14:solidFill>
              <w14:schemeClr w14:val="tx1"/>
            </w14:solidFill>
          </w14:textFill>
        </w:rPr>
        <w:t>（U盘1份，电子文件内容须包括竞争性比选响应文件全部内容）。当电子文件与纸质版竞争性比选响应文件不一致时，以纸质版竞争性比选响应文件为准，当正本与副本不一致时，以正本为准。</w:t>
      </w:r>
    </w:p>
    <w:p>
      <w:pPr>
        <w:pStyle w:val="19"/>
        <w:spacing w:before="0" w:after="0" w:line="360" w:lineRule="auto"/>
        <w:ind w:firstLine="488" w:firstLineChars="200"/>
        <w:jc w:val="left"/>
        <w:outlineLvl w:val="1"/>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12、本次竞争性比选响应文件的组成</w:t>
      </w:r>
    </w:p>
    <w:p>
      <w:pPr>
        <w:spacing w:line="360" w:lineRule="auto"/>
        <w:ind w:firstLine="486"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竞争性比选响应声明书、法定代表人身份证明和法定代表人授权委托书、报价一览表、资格要求材料、承诺书、报价人认为需要提供的其他相关文件（注：以上所有文件均须加盖报价人的公章）。</w:t>
      </w:r>
    </w:p>
    <w:p>
      <w:pPr>
        <w:pStyle w:val="19"/>
        <w:spacing w:before="0" w:after="0" w:line="360" w:lineRule="auto"/>
        <w:ind w:firstLine="488" w:firstLineChars="200"/>
        <w:jc w:val="left"/>
        <w:outlineLvl w:val="1"/>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13、密封要求</w:t>
      </w:r>
    </w:p>
    <w:p>
      <w:pPr>
        <w:spacing w:line="360" w:lineRule="auto"/>
        <w:ind w:firstLine="486"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竞争性比选响应文件密封到一个封袋中，在封套上写明：</w:t>
      </w:r>
    </w:p>
    <w:p>
      <w:pPr>
        <w:spacing w:line="360" w:lineRule="auto"/>
        <w:ind w:firstLine="486"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重庆高速集团国资监管平台开发劳务外包服务项目竞争性比选响应文件</w:t>
      </w:r>
    </w:p>
    <w:p>
      <w:pPr>
        <w:spacing w:line="360" w:lineRule="auto"/>
        <w:ind w:left="426"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在202</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16</w:t>
      </w:r>
      <w:r>
        <w:rPr>
          <w:rFonts w:hint="eastAsia" w:ascii="宋体" w:hAnsi="宋体"/>
          <w:color w:val="000000" w:themeColor="text1"/>
          <w:sz w:val="24"/>
          <w:highlight w:val="none"/>
          <w14:textFill>
            <w14:solidFill>
              <w14:schemeClr w14:val="tx1"/>
            </w14:solidFill>
          </w14:textFill>
        </w:rPr>
        <w:t>日1</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：00时前不得开启</w:t>
      </w:r>
    </w:p>
    <w:p>
      <w:pPr>
        <w:pStyle w:val="19"/>
        <w:spacing w:before="0" w:after="0" w:line="360" w:lineRule="auto"/>
        <w:ind w:firstLine="488" w:firstLineChars="200"/>
        <w:jc w:val="left"/>
        <w:outlineLvl w:val="1"/>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14、竞争性</w:t>
      </w:r>
      <w:r>
        <w:rPr>
          <w:rFonts w:ascii="宋体" w:hAnsi="宋体"/>
          <w:color w:val="000000" w:themeColor="text1"/>
          <w:sz w:val="24"/>
          <w:szCs w:val="24"/>
          <w:highlight w:val="none"/>
          <w14:textFill>
            <w14:solidFill>
              <w14:schemeClr w14:val="tx1"/>
            </w14:solidFill>
          </w14:textFill>
        </w:rPr>
        <w:t>比选响应文件的递交</w:t>
      </w:r>
    </w:p>
    <w:p>
      <w:pPr>
        <w:spacing w:line="360" w:lineRule="auto"/>
        <w:ind w:left="426"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报价截止时间和开标时间：2021年</w:t>
      </w:r>
      <w:r>
        <w:rPr>
          <w:rFonts w:hint="eastAsia" w:ascii="宋体" w:hAnsi="宋体"/>
          <w:color w:val="000000" w:themeColor="text1"/>
          <w:sz w:val="24"/>
          <w:highlight w:val="none"/>
          <w:u w:val="single"/>
          <w:lang w:val="en-US" w:eastAsia="zh-CN"/>
          <w14:textFill>
            <w14:solidFill>
              <w14:schemeClr w14:val="tx1"/>
            </w14:solidFill>
          </w14:textFill>
        </w:rPr>
        <w:t>7</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1</w:t>
      </w:r>
      <w:r>
        <w:rPr>
          <w:rFonts w:hint="eastAsia" w:ascii="宋体" w:hAnsi="宋体"/>
          <w:color w:val="000000" w:themeColor="text1"/>
          <w:sz w:val="24"/>
          <w:highlight w:val="none"/>
          <w:u w:val="single"/>
          <w:lang w:val="en-US" w:eastAsia="zh-CN"/>
          <w14:textFill>
            <w14:solidFill>
              <w14:schemeClr w14:val="tx1"/>
            </w14:solidFill>
          </w14:textFill>
        </w:rPr>
        <w:t>6</w:t>
      </w:r>
      <w:r>
        <w:rPr>
          <w:rFonts w:ascii="宋体" w:hAnsi="宋体"/>
          <w:color w:val="000000" w:themeColor="text1"/>
          <w:sz w:val="24"/>
          <w:highlight w:val="none"/>
          <w14:textFill>
            <w14:solidFill>
              <w14:schemeClr w14:val="tx1"/>
            </w14:solidFill>
          </w14:textFill>
        </w:rPr>
        <w:t>日1</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:00</w:t>
      </w:r>
      <w:r>
        <w:rPr>
          <w:rFonts w:ascii="宋体" w:hAnsi="宋体"/>
          <w:color w:val="000000" w:themeColor="text1"/>
          <w:sz w:val="24"/>
          <w:highlight w:val="none"/>
          <w14:textFill>
            <w14:solidFill>
              <w14:schemeClr w14:val="tx1"/>
            </w14:solidFill>
          </w14:textFill>
        </w:rPr>
        <w:t>分（北京时间）。</w:t>
      </w:r>
    </w:p>
    <w:p>
      <w:pPr>
        <w:spacing w:line="360" w:lineRule="auto"/>
        <w:ind w:left="426"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报价地点和开标地点：</w:t>
      </w:r>
      <w:r>
        <w:rPr>
          <w:rFonts w:hint="eastAsia" w:ascii="宋体" w:hAnsi="宋体"/>
          <w:color w:val="000000" w:themeColor="text1"/>
          <w:sz w:val="24"/>
          <w:highlight w:val="none"/>
          <w14:textFill>
            <w14:solidFill>
              <w14:schemeClr w14:val="tx1"/>
            </w14:solidFill>
          </w14:textFill>
        </w:rPr>
        <w:t>重庆市南岸区四公里内环入口200</w:t>
      </w:r>
      <w:bookmarkStart w:id="227" w:name="_GoBack"/>
      <w:bookmarkEnd w:id="227"/>
      <w:r>
        <w:rPr>
          <w:rFonts w:hint="eastAsia" w:ascii="宋体" w:hAnsi="宋体"/>
          <w:color w:val="000000" w:themeColor="text1"/>
          <w:sz w:val="24"/>
          <w:highlight w:val="none"/>
          <w14:textFill>
            <w14:solidFill>
              <w14:schemeClr w14:val="tx1"/>
            </w14:solidFill>
          </w14:textFill>
        </w:rPr>
        <w:t>米处重庆首讯科技大楼三楼310会议室</w:t>
      </w:r>
    </w:p>
    <w:p>
      <w:pPr>
        <w:spacing w:line="360" w:lineRule="auto"/>
        <w:ind w:left="426"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逾期送达，或未送达指定地点，或未密封的竞争性比选响应文件，采购人不予受理。</w:t>
      </w:r>
    </w:p>
    <w:p>
      <w:pPr>
        <w:spacing w:line="360" w:lineRule="auto"/>
        <w:ind w:left="426"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文件递交方式：现场递交或邮寄，若采用现场递交方式需在投标截止当天将文件送达并参与现场开标；若采用邮寄方式需用EMS邮寄至重庆市南岸区四公里重庆首讯科技股份有限公司，否则采购人有权拒收，采用邮寄方式的报价人默认认可采购人的开标结果，不得由此提出任何质疑。</w:t>
      </w:r>
    </w:p>
    <w:p>
      <w:pPr>
        <w:pStyle w:val="19"/>
        <w:spacing w:before="0" w:after="0" w:line="360" w:lineRule="auto"/>
        <w:jc w:val="left"/>
        <w:outlineLvl w:val="1"/>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15、联系方式</w:t>
      </w:r>
    </w:p>
    <w:p>
      <w:pPr>
        <w:spacing w:line="360" w:lineRule="auto"/>
        <w:ind w:left="426"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联系人:蒋老师       </w:t>
      </w:r>
    </w:p>
    <w:p>
      <w:pPr>
        <w:spacing w:line="360" w:lineRule="auto"/>
        <w:ind w:left="426"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w:t>
      </w:r>
      <w:r>
        <w:rPr>
          <w:rFonts w:hint="eastAsia" w:ascii="宋体" w:hAnsi="宋体"/>
          <w:color w:val="000000" w:themeColor="text1"/>
          <w:sz w:val="24"/>
          <w:highlight w:val="none"/>
          <w:lang w:eastAsia="zh-CN"/>
          <w14:textFill>
            <w14:solidFill>
              <w14:schemeClr w14:val="tx1"/>
            </w14:solidFill>
          </w14:textFill>
        </w:rPr>
        <w:t>18523055172</w:t>
      </w:r>
      <w:r>
        <w:rPr>
          <w:rFonts w:hint="eastAsia" w:ascii="宋体" w:hAnsi="宋体"/>
          <w:color w:val="000000" w:themeColor="text1"/>
          <w:sz w:val="24"/>
          <w:highlight w:val="none"/>
          <w14:textFill>
            <w14:solidFill>
              <w14:schemeClr w14:val="tx1"/>
            </w14:solidFill>
          </w14:textFill>
        </w:rPr>
        <w:t xml:space="preserve">   </w:t>
      </w:r>
    </w:p>
    <w:p>
      <w:pPr>
        <w:spacing w:line="360" w:lineRule="auto"/>
        <w:ind w:left="426"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监督电话：023</w:t>
      </w:r>
      <w:r>
        <w:rPr>
          <w:rFonts w:hint="eastAsia" w:ascii="宋体" w:hAnsi="宋体"/>
          <w:color w:val="000000" w:themeColor="text1"/>
          <w:sz w:val="24"/>
          <w:highlight w:val="none"/>
          <w:lang w:val="en-US"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89021335  </w:t>
      </w:r>
    </w:p>
    <w:p>
      <w:pPr>
        <w:spacing w:line="360" w:lineRule="auto"/>
        <w:ind w:left="426"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lang w:val="en-US" w:eastAsia="zh-CN"/>
          <w14:textFill>
            <w14:solidFill>
              <w14:schemeClr w14:val="tx1"/>
            </w14:solidFill>
          </w14:textFill>
        </w:rPr>
        <w:t>重庆</w:t>
      </w:r>
      <w:r>
        <w:rPr>
          <w:rFonts w:hint="eastAsia" w:ascii="宋体" w:hAnsi="宋体"/>
          <w:color w:val="000000" w:themeColor="text1"/>
          <w:sz w:val="24"/>
          <w:highlight w:val="none"/>
          <w14:textFill>
            <w14:solidFill>
              <w14:schemeClr w14:val="tx1"/>
            </w14:solidFill>
          </w14:textFill>
        </w:rPr>
        <w:t>市南岸区四公里内环入口200米处重庆首讯科技大楼</w:t>
      </w:r>
    </w:p>
    <w:p>
      <w:pPr>
        <w:rPr>
          <w:highlight w:val="none"/>
        </w:rPr>
      </w:pPr>
    </w:p>
    <w:p>
      <w:pPr>
        <w:rPr>
          <w:highlight w:val="none"/>
        </w:rPr>
      </w:pPr>
      <w:r>
        <w:rPr>
          <w:rFonts w:hint="eastAsia"/>
          <w:highlight w:val="none"/>
        </w:rPr>
        <w:br w:type="page"/>
      </w:r>
    </w:p>
    <w:p>
      <w:pPr>
        <w:jc w:val="center"/>
        <w:outlineLvl w:val="0"/>
        <w:rPr>
          <w:b/>
          <w:bCs/>
          <w:sz w:val="48"/>
          <w:szCs w:val="48"/>
          <w:highlight w:val="none"/>
        </w:rPr>
      </w:pPr>
      <w:r>
        <w:rPr>
          <w:rFonts w:hint="eastAsia" w:ascii="宋体" w:hAnsi="宋体" w:cs="宋体"/>
          <w:b/>
          <w:bCs/>
          <w:smallCaps/>
          <w:sz w:val="48"/>
          <w:szCs w:val="48"/>
          <w:highlight w:val="none"/>
        </w:rPr>
        <w:t>第三章 评标办法（综合评估法）</w:t>
      </w:r>
    </w:p>
    <w:p>
      <w:pPr>
        <w:spacing w:line="360" w:lineRule="auto"/>
        <w:rPr>
          <w:b/>
          <w:bCs/>
          <w:color w:val="000000" w:themeColor="text1"/>
          <w:sz w:val="24"/>
          <w:szCs w:val="28"/>
          <w:highlight w:val="none"/>
          <w14:textFill>
            <w14:solidFill>
              <w14:schemeClr w14:val="tx1"/>
            </w14:solidFill>
          </w14:textFill>
        </w:rPr>
      </w:pPr>
      <w:r>
        <w:rPr>
          <w:rFonts w:hint="eastAsia"/>
          <w:b/>
          <w:bCs/>
          <w:color w:val="000000" w:themeColor="text1"/>
          <w:sz w:val="24"/>
          <w:szCs w:val="28"/>
          <w:highlight w:val="none"/>
          <w14:textFill>
            <w14:solidFill>
              <w14:schemeClr w14:val="tx1"/>
            </w14:solidFill>
          </w14:textFill>
        </w:rPr>
        <w:t>本项目采用综合评估法进行评标。</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377"/>
        <w:gridCol w:w="352"/>
        <w:gridCol w:w="767"/>
        <w:gridCol w:w="493"/>
        <w:gridCol w:w="1084"/>
        <w:gridCol w:w="4379"/>
        <w:gridCol w:w="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条款号</w:t>
            </w:r>
          </w:p>
        </w:tc>
        <w:tc>
          <w:tcPr>
            <w:tcW w:w="1496" w:type="dxa"/>
            <w:gridSpan w:val="3"/>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条款名称</w:t>
            </w:r>
          </w:p>
        </w:tc>
        <w:tc>
          <w:tcPr>
            <w:tcW w:w="6004" w:type="dxa"/>
            <w:gridSpan w:val="4"/>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1</w:t>
            </w:r>
          </w:p>
        </w:tc>
        <w:tc>
          <w:tcPr>
            <w:tcW w:w="7500" w:type="dxa"/>
            <w:gridSpan w:val="7"/>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如出现得分(精确到小数点后两位)相等时，按以下原则确定第一中标候选人：</w:t>
            </w:r>
          </w:p>
          <w:p>
            <w:pPr>
              <w:snapToGrid w:val="0"/>
              <w:spacing w:line="400" w:lineRule="exact"/>
              <w:rPr>
                <w:rFonts w:ascii="宋体" w:hAnsi="宋体" w:cs="宋体"/>
                <w:b/>
                <w:kern w:val="0"/>
                <w:highlight w:val="none"/>
              </w:rPr>
            </w:pPr>
            <w:r>
              <w:rPr>
                <w:rFonts w:hint="eastAsia" w:ascii="宋体" w:hAnsi="宋体" w:cs="宋体"/>
                <w:b/>
                <w:kern w:val="0"/>
                <w:highlight w:val="none"/>
              </w:rPr>
              <w:t>（1）以评标价低的报价人优先；</w:t>
            </w:r>
          </w:p>
          <w:p>
            <w:pPr>
              <w:snapToGrid w:val="0"/>
              <w:spacing w:line="400" w:lineRule="exact"/>
              <w:rPr>
                <w:rFonts w:ascii="宋体" w:hAnsi="宋体" w:cs="宋体"/>
                <w:b/>
                <w:kern w:val="0"/>
                <w:highlight w:val="none"/>
              </w:rPr>
            </w:pPr>
            <w:r>
              <w:rPr>
                <w:rFonts w:hint="eastAsia" w:ascii="宋体" w:hAnsi="宋体" w:cs="宋体"/>
                <w:b/>
                <w:kern w:val="0"/>
                <w:highlight w:val="none"/>
              </w:rPr>
              <w:t>（2）如评标价也相同时，以技术得分较高的报价人优先；</w:t>
            </w:r>
          </w:p>
          <w:p>
            <w:pPr>
              <w:snapToGrid w:val="0"/>
              <w:spacing w:line="400" w:lineRule="exact"/>
              <w:rPr>
                <w:rFonts w:ascii="宋体" w:hAnsi="宋体" w:cs="宋体"/>
                <w:b/>
                <w:kern w:val="0"/>
                <w:highlight w:val="none"/>
              </w:rPr>
            </w:pPr>
            <w:r>
              <w:rPr>
                <w:rFonts w:hint="eastAsia" w:ascii="宋体" w:hAnsi="宋体" w:cs="宋体"/>
                <w:b/>
                <w:kern w:val="0"/>
                <w:highlight w:val="none"/>
              </w:rPr>
              <w:t>（3）如技术得分也相同时，以商务得分高的优先；</w:t>
            </w:r>
          </w:p>
          <w:p>
            <w:pPr>
              <w:pStyle w:val="10"/>
              <w:rPr>
                <w:highlight w:val="none"/>
              </w:rPr>
            </w:pPr>
            <w:r>
              <w:rPr>
                <w:rFonts w:hint="eastAsia"/>
                <w:b/>
                <w:bCs/>
                <w:highlight w:val="none"/>
              </w:rPr>
              <w:t>（4）</w:t>
            </w:r>
            <w:r>
              <w:rPr>
                <w:rFonts w:ascii="宋体" w:hAnsi="宋体" w:cs="宋体"/>
                <w:b/>
                <w:highlight w:val="none"/>
              </w:rPr>
              <w:t>如商务得分也</w:t>
            </w:r>
            <w:r>
              <w:rPr>
                <w:rFonts w:hint="eastAsia" w:ascii="宋体" w:hAnsi="宋体" w:cs="宋体"/>
                <w:b/>
                <w:highlight w:val="none"/>
              </w:rPr>
              <w:t>相</w:t>
            </w:r>
            <w:r>
              <w:rPr>
                <w:rFonts w:ascii="宋体" w:hAnsi="宋体" w:cs="宋体"/>
                <w:b/>
                <w:highlight w:val="none"/>
              </w:rPr>
              <w:t>同时，</w:t>
            </w:r>
            <w:r>
              <w:rPr>
                <w:rFonts w:hint="eastAsia" w:ascii="宋体" w:hAnsi="宋体" w:cs="宋体"/>
                <w:b/>
                <w:highlight w:val="none"/>
              </w:rPr>
              <w:t>由评标委员会投票决定。</w:t>
            </w: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条款号</w:t>
            </w:r>
          </w:p>
        </w:tc>
        <w:tc>
          <w:tcPr>
            <w:tcW w:w="1989" w:type="dxa"/>
            <w:gridSpan w:val="4"/>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评审因素</w:t>
            </w:r>
          </w:p>
        </w:tc>
        <w:tc>
          <w:tcPr>
            <w:tcW w:w="5511" w:type="dxa"/>
            <w:gridSpan w:val="3"/>
            <w:vAlign w:val="center"/>
          </w:tcPr>
          <w:p>
            <w:pPr>
              <w:snapToGrid w:val="0"/>
              <w:spacing w:line="400" w:lineRule="exact"/>
              <w:jc w:val="center"/>
              <w:rPr>
                <w:rFonts w:ascii="宋体" w:hAnsi="宋体" w:cs="宋体"/>
                <w:b/>
                <w:kern w:val="0"/>
                <w:highlight w:val="none"/>
              </w:rPr>
            </w:pPr>
            <w:r>
              <w:rPr>
                <w:rFonts w:hint="eastAsia" w:ascii="宋体" w:hAnsi="宋体" w:cs="宋体"/>
                <w:b/>
                <w:kern w:val="0"/>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565" w:hRule="atLeast"/>
        </w:trPr>
        <w:tc>
          <w:tcPr>
            <w:tcW w:w="1022" w:type="dxa"/>
            <w:vMerge w:val="restart"/>
            <w:vAlign w:val="center"/>
          </w:tcPr>
          <w:p>
            <w:pPr>
              <w:snapToGrid w:val="0"/>
              <w:spacing w:line="40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2.1.1</w:t>
            </w:r>
          </w:p>
        </w:tc>
        <w:tc>
          <w:tcPr>
            <w:tcW w:w="377" w:type="dxa"/>
            <w:vMerge w:val="restart"/>
            <w:textDirection w:val="tbRlV"/>
            <w:vAlign w:val="center"/>
          </w:tcPr>
          <w:p>
            <w:pPr>
              <w:snapToGrid w:val="0"/>
              <w:spacing w:line="400" w:lineRule="exact"/>
              <w:jc w:val="center"/>
              <w:rPr>
                <w:rFonts w:asciiTheme="minorEastAsia" w:hAnsiTheme="minorEastAsia" w:eastAsiaTheme="minorEastAsia" w:cstheme="minorEastAsia"/>
                <w:kern w:val="0"/>
                <w:szCs w:val="21"/>
                <w:highlight w:val="none"/>
              </w:rPr>
            </w:pPr>
            <w:bookmarkStart w:id="56" w:name="OLE_LINK5"/>
            <w:r>
              <w:rPr>
                <w:rFonts w:hint="eastAsia" w:asciiTheme="minorEastAsia" w:hAnsiTheme="minorEastAsia" w:eastAsiaTheme="minorEastAsia" w:cstheme="minorEastAsia"/>
                <w:kern w:val="0"/>
                <w:szCs w:val="21"/>
                <w:highlight w:val="none"/>
              </w:rPr>
              <w:t>资格评审</w:t>
            </w:r>
            <w:bookmarkEnd w:id="56"/>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highlight w:val="none"/>
              </w:rPr>
            </w:pPr>
            <w:bookmarkStart w:id="57" w:name="OLE_LINK7"/>
            <w:r>
              <w:rPr>
                <w:rFonts w:hint="eastAsia" w:asciiTheme="minorEastAsia" w:hAnsiTheme="minorEastAsia" w:eastAsiaTheme="minorEastAsia" w:cstheme="minorEastAsia"/>
                <w:kern w:val="0"/>
                <w:szCs w:val="21"/>
                <w:highlight w:val="none"/>
              </w:rPr>
              <w:t>报价人名称</w:t>
            </w:r>
            <w:bookmarkEnd w:id="57"/>
          </w:p>
        </w:tc>
        <w:tc>
          <w:tcPr>
            <w:tcW w:w="5463" w:type="dxa"/>
            <w:gridSpan w:val="2"/>
            <w:vAlign w:val="center"/>
          </w:tcPr>
          <w:p>
            <w:pPr>
              <w:pStyle w:val="35"/>
              <w:ind w:firstLine="426"/>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70" w:hRule="atLeast"/>
        </w:trPr>
        <w:tc>
          <w:tcPr>
            <w:tcW w:w="1022" w:type="dxa"/>
            <w:vMerge w:val="continue"/>
          </w:tcPr>
          <w:p>
            <w:pPr>
              <w:snapToGrid w:val="0"/>
              <w:spacing w:line="400" w:lineRule="exact"/>
              <w:rPr>
                <w:rFonts w:asciiTheme="minorEastAsia" w:hAnsiTheme="minorEastAsia" w:eastAsiaTheme="minorEastAsia" w:cstheme="minorEastAsia"/>
                <w:szCs w:val="21"/>
                <w:highlight w:val="none"/>
              </w:rPr>
            </w:pPr>
          </w:p>
        </w:tc>
        <w:tc>
          <w:tcPr>
            <w:tcW w:w="377" w:type="dxa"/>
            <w:vMerge w:val="continue"/>
          </w:tcPr>
          <w:p>
            <w:pPr>
              <w:snapToGrid w:val="0"/>
              <w:spacing w:line="400" w:lineRule="exact"/>
              <w:rPr>
                <w:rFonts w:asciiTheme="minorEastAsia" w:hAnsiTheme="minorEastAsia" w:eastAsiaTheme="minorEastAsia" w:cstheme="minorEastAsia"/>
                <w:szCs w:val="21"/>
                <w:highlight w:val="none"/>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highlight w:val="none"/>
              </w:rPr>
            </w:pPr>
            <w:bookmarkStart w:id="58" w:name="OLE_LINK8"/>
            <w:r>
              <w:rPr>
                <w:rFonts w:hint="eastAsia" w:asciiTheme="minorEastAsia" w:hAnsiTheme="minorEastAsia" w:eastAsiaTheme="minorEastAsia" w:cstheme="minorEastAsia"/>
                <w:kern w:val="0"/>
                <w:szCs w:val="21"/>
                <w:highlight w:val="none"/>
              </w:rPr>
              <w:t>报价文件签字盖章</w:t>
            </w:r>
            <w:bookmarkEnd w:id="58"/>
          </w:p>
        </w:tc>
        <w:tc>
          <w:tcPr>
            <w:tcW w:w="5463" w:type="dxa"/>
            <w:gridSpan w:val="2"/>
            <w:vAlign w:val="center"/>
          </w:tcPr>
          <w:p>
            <w:pPr>
              <w:pStyle w:val="35"/>
              <w:ind w:firstLine="0" w:firstLineChars="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有法定代表人或其委托代理人签字（或盖章）、加盖单位公章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700" w:hRule="atLeast"/>
        </w:trPr>
        <w:tc>
          <w:tcPr>
            <w:tcW w:w="1022" w:type="dxa"/>
            <w:vMerge w:val="continue"/>
          </w:tcPr>
          <w:p>
            <w:pPr>
              <w:snapToGrid w:val="0"/>
              <w:spacing w:line="400" w:lineRule="exact"/>
              <w:rPr>
                <w:rFonts w:asciiTheme="minorEastAsia" w:hAnsiTheme="minorEastAsia" w:eastAsiaTheme="minorEastAsia" w:cstheme="minorEastAsia"/>
                <w:szCs w:val="21"/>
                <w:highlight w:val="none"/>
              </w:rPr>
            </w:pPr>
          </w:p>
        </w:tc>
        <w:tc>
          <w:tcPr>
            <w:tcW w:w="377" w:type="dxa"/>
            <w:vMerge w:val="continue"/>
          </w:tcPr>
          <w:p>
            <w:pPr>
              <w:snapToGrid w:val="0"/>
              <w:spacing w:line="400" w:lineRule="exact"/>
              <w:rPr>
                <w:rFonts w:asciiTheme="minorEastAsia" w:hAnsiTheme="minorEastAsia" w:eastAsiaTheme="minorEastAsia" w:cstheme="minorEastAsia"/>
                <w:szCs w:val="21"/>
                <w:highlight w:val="none"/>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highlight w:val="none"/>
              </w:rPr>
            </w:pPr>
            <w:bookmarkStart w:id="59" w:name="OLE_LINK10"/>
            <w:r>
              <w:rPr>
                <w:rFonts w:hint="eastAsia" w:asciiTheme="minorEastAsia" w:hAnsiTheme="minorEastAsia" w:eastAsiaTheme="minorEastAsia" w:cstheme="minorEastAsia"/>
                <w:kern w:val="0"/>
                <w:szCs w:val="21"/>
                <w:highlight w:val="none"/>
              </w:rPr>
              <w:t>报价唯一</w:t>
            </w:r>
            <w:bookmarkEnd w:id="59"/>
          </w:p>
        </w:tc>
        <w:tc>
          <w:tcPr>
            <w:tcW w:w="5463" w:type="dxa"/>
            <w:gridSpan w:val="2"/>
            <w:vAlign w:val="center"/>
          </w:tcPr>
          <w:p>
            <w:pPr>
              <w:pStyle w:val="35"/>
              <w:ind w:firstLine="426"/>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685" w:hRule="atLeast"/>
        </w:trPr>
        <w:tc>
          <w:tcPr>
            <w:tcW w:w="1022" w:type="dxa"/>
            <w:vMerge w:val="continue"/>
          </w:tcPr>
          <w:p>
            <w:pPr>
              <w:snapToGrid w:val="0"/>
              <w:spacing w:line="400" w:lineRule="exact"/>
              <w:rPr>
                <w:rFonts w:asciiTheme="minorEastAsia" w:hAnsiTheme="minorEastAsia" w:eastAsiaTheme="minorEastAsia" w:cstheme="minorEastAsia"/>
                <w:szCs w:val="21"/>
                <w:highlight w:val="none"/>
              </w:rPr>
            </w:pPr>
          </w:p>
        </w:tc>
        <w:tc>
          <w:tcPr>
            <w:tcW w:w="377" w:type="dxa"/>
            <w:vMerge w:val="continue"/>
          </w:tcPr>
          <w:p>
            <w:pPr>
              <w:snapToGrid w:val="0"/>
              <w:spacing w:line="400" w:lineRule="exact"/>
              <w:rPr>
                <w:rFonts w:asciiTheme="minorEastAsia" w:hAnsiTheme="minorEastAsia" w:eastAsiaTheme="minorEastAsia" w:cstheme="minorEastAsia"/>
                <w:szCs w:val="21"/>
                <w:highlight w:val="none"/>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highlight w:val="none"/>
              </w:rPr>
            </w:pPr>
            <w:bookmarkStart w:id="60" w:name="OLE_LINK11"/>
            <w:r>
              <w:rPr>
                <w:rFonts w:hint="eastAsia" w:asciiTheme="minorEastAsia" w:hAnsiTheme="minorEastAsia" w:eastAsiaTheme="minorEastAsia" w:cstheme="minorEastAsia"/>
                <w:kern w:val="0"/>
                <w:szCs w:val="21"/>
                <w:highlight w:val="none"/>
              </w:rPr>
              <w:t>投标文件的签署</w:t>
            </w:r>
            <w:bookmarkEnd w:id="60"/>
          </w:p>
        </w:tc>
        <w:tc>
          <w:tcPr>
            <w:tcW w:w="5463" w:type="dxa"/>
            <w:gridSpan w:val="2"/>
            <w:vAlign w:val="center"/>
          </w:tcPr>
          <w:p>
            <w:pPr>
              <w:pStyle w:val="35"/>
              <w:ind w:firstLine="426"/>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投标文件上法定代表人或其授权代理人的签字（或盖章）齐全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903" w:hRule="atLeast"/>
        </w:trPr>
        <w:tc>
          <w:tcPr>
            <w:tcW w:w="1022" w:type="dxa"/>
            <w:vMerge w:val="continue"/>
          </w:tcPr>
          <w:p>
            <w:pPr>
              <w:snapToGrid w:val="0"/>
              <w:spacing w:line="400" w:lineRule="exact"/>
              <w:rPr>
                <w:rFonts w:asciiTheme="minorEastAsia" w:hAnsiTheme="minorEastAsia" w:eastAsiaTheme="minorEastAsia" w:cstheme="minorEastAsia"/>
                <w:szCs w:val="21"/>
                <w:highlight w:val="none"/>
              </w:rPr>
            </w:pPr>
          </w:p>
        </w:tc>
        <w:tc>
          <w:tcPr>
            <w:tcW w:w="377" w:type="dxa"/>
            <w:vMerge w:val="continue"/>
          </w:tcPr>
          <w:p>
            <w:pPr>
              <w:snapToGrid w:val="0"/>
              <w:spacing w:line="400" w:lineRule="exact"/>
              <w:rPr>
                <w:rFonts w:asciiTheme="minorEastAsia" w:hAnsiTheme="minorEastAsia" w:eastAsiaTheme="minorEastAsia" w:cstheme="minorEastAsia"/>
                <w:szCs w:val="21"/>
                <w:highlight w:val="none"/>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highlight w:val="none"/>
              </w:rPr>
            </w:pPr>
            <w:bookmarkStart w:id="61" w:name="OLE_LINK12"/>
            <w:r>
              <w:rPr>
                <w:rFonts w:hint="eastAsia" w:asciiTheme="minorEastAsia" w:hAnsiTheme="minorEastAsia" w:eastAsiaTheme="minorEastAsia" w:cstheme="minorEastAsia"/>
                <w:kern w:val="0"/>
                <w:szCs w:val="21"/>
                <w:highlight w:val="none"/>
              </w:rPr>
              <w:t>委托代理人</w:t>
            </w:r>
            <w:bookmarkEnd w:id="61"/>
          </w:p>
        </w:tc>
        <w:tc>
          <w:tcPr>
            <w:tcW w:w="5463" w:type="dxa"/>
            <w:gridSpan w:val="2"/>
            <w:vAlign w:val="center"/>
          </w:tcPr>
          <w:p>
            <w:pPr>
              <w:pStyle w:val="35"/>
              <w:ind w:firstLine="426"/>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报价人法定代表人的委托代理人有法定代表人签署的授权委托书，且其授权委托书符合招标文件规定的格式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850" w:hRule="atLeast"/>
        </w:trPr>
        <w:tc>
          <w:tcPr>
            <w:tcW w:w="1022" w:type="dxa"/>
            <w:vMerge w:val="restart"/>
            <w:vAlign w:val="center"/>
          </w:tcPr>
          <w:p>
            <w:pPr>
              <w:snapToGrid w:val="0"/>
              <w:spacing w:line="40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2.1.2</w:t>
            </w:r>
          </w:p>
        </w:tc>
        <w:tc>
          <w:tcPr>
            <w:tcW w:w="377" w:type="dxa"/>
            <w:vMerge w:val="continue"/>
            <w:textDirection w:val="tbRlV"/>
            <w:vAlign w:val="center"/>
          </w:tcPr>
          <w:p>
            <w:pPr>
              <w:snapToGrid w:val="0"/>
              <w:spacing w:line="400" w:lineRule="exact"/>
              <w:jc w:val="center"/>
              <w:rPr>
                <w:rFonts w:asciiTheme="minorEastAsia" w:hAnsiTheme="minorEastAsia" w:eastAsiaTheme="minorEastAsia" w:cstheme="minorEastAsia"/>
                <w:kern w:val="0"/>
                <w:szCs w:val="21"/>
                <w:highlight w:val="none"/>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highlight w:val="none"/>
              </w:rPr>
            </w:pPr>
            <w:bookmarkStart w:id="62" w:name="OLE_LINK6"/>
            <w:r>
              <w:rPr>
                <w:rFonts w:hint="eastAsia" w:asciiTheme="minorEastAsia" w:hAnsiTheme="minorEastAsia" w:eastAsiaTheme="minorEastAsia" w:cstheme="minorEastAsia"/>
                <w:kern w:val="0"/>
                <w:szCs w:val="21"/>
                <w:highlight w:val="none"/>
              </w:rPr>
              <w:t>营业执照</w:t>
            </w:r>
            <w:bookmarkEnd w:id="62"/>
            <w:r>
              <w:rPr>
                <w:rFonts w:hint="eastAsia" w:asciiTheme="minorEastAsia" w:hAnsiTheme="minorEastAsia" w:eastAsiaTheme="minorEastAsia" w:cstheme="minorEastAsia"/>
                <w:kern w:val="0"/>
                <w:szCs w:val="21"/>
                <w:highlight w:val="none"/>
              </w:rPr>
              <w:t>或事业单位法人证书</w:t>
            </w:r>
          </w:p>
        </w:tc>
        <w:tc>
          <w:tcPr>
            <w:tcW w:w="5463" w:type="dxa"/>
            <w:gridSpan w:val="2"/>
            <w:vAlign w:val="center"/>
          </w:tcPr>
          <w:p>
            <w:pPr>
              <w:pStyle w:val="35"/>
              <w:ind w:firstLine="426"/>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具有有效的营业执照或事业单位法人证书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623" w:hRule="atLeast"/>
        </w:trPr>
        <w:tc>
          <w:tcPr>
            <w:tcW w:w="1022" w:type="dxa"/>
            <w:vMerge w:val="continue"/>
            <w:vAlign w:val="center"/>
          </w:tcPr>
          <w:p>
            <w:pPr>
              <w:snapToGrid w:val="0"/>
              <w:spacing w:line="400" w:lineRule="exact"/>
              <w:jc w:val="center"/>
              <w:rPr>
                <w:rFonts w:asciiTheme="minorEastAsia" w:hAnsiTheme="minorEastAsia" w:eastAsiaTheme="minorEastAsia" w:cstheme="minorEastAsia"/>
                <w:kern w:val="0"/>
                <w:szCs w:val="21"/>
                <w:highlight w:val="none"/>
              </w:rPr>
            </w:pPr>
          </w:p>
        </w:tc>
        <w:tc>
          <w:tcPr>
            <w:tcW w:w="377" w:type="dxa"/>
            <w:vMerge w:val="continue"/>
            <w:textDirection w:val="tbRlV"/>
            <w:vAlign w:val="center"/>
          </w:tcPr>
          <w:p>
            <w:pPr>
              <w:snapToGrid w:val="0"/>
              <w:spacing w:line="400" w:lineRule="exact"/>
              <w:jc w:val="center"/>
              <w:rPr>
                <w:rFonts w:asciiTheme="minorEastAsia" w:hAnsiTheme="minorEastAsia" w:eastAsiaTheme="minorEastAsia" w:cstheme="minorEastAsia"/>
                <w:kern w:val="0"/>
                <w:szCs w:val="21"/>
                <w:highlight w:val="none"/>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highlight w:val="none"/>
              </w:rPr>
            </w:pPr>
            <w:bookmarkStart w:id="63" w:name="OLE_LINK13"/>
            <w:r>
              <w:rPr>
                <w:rFonts w:hint="eastAsia" w:asciiTheme="minorEastAsia" w:hAnsiTheme="minorEastAsia" w:eastAsiaTheme="minorEastAsia" w:cstheme="minorEastAsia"/>
                <w:kern w:val="0"/>
                <w:szCs w:val="21"/>
                <w:highlight w:val="none"/>
              </w:rPr>
              <w:t>其他要求</w:t>
            </w:r>
            <w:bookmarkEnd w:id="63"/>
          </w:p>
        </w:tc>
        <w:tc>
          <w:tcPr>
            <w:tcW w:w="5463" w:type="dxa"/>
            <w:gridSpan w:val="2"/>
            <w:vAlign w:val="center"/>
          </w:tcPr>
          <w:p>
            <w:pPr>
              <w:pStyle w:val="35"/>
              <w:ind w:firstLine="426"/>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w:t>
            </w:r>
            <w:bookmarkStart w:id="64" w:name="OLE_LINK9"/>
            <w:r>
              <w:rPr>
                <w:rFonts w:hint="eastAsia" w:asciiTheme="minorEastAsia" w:hAnsiTheme="minorEastAsia" w:eastAsiaTheme="minorEastAsia" w:cstheme="minorEastAsia"/>
                <w:szCs w:val="21"/>
                <w:highlight w:val="none"/>
              </w:rPr>
              <w:t>第二章“报价人须知”规定</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1258" w:hRule="atLeast"/>
        </w:trPr>
        <w:tc>
          <w:tcPr>
            <w:tcW w:w="1022" w:type="dxa"/>
            <w:vAlign w:val="center"/>
          </w:tcPr>
          <w:p>
            <w:pPr>
              <w:spacing w:line="40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2.2.1</w:t>
            </w:r>
          </w:p>
        </w:tc>
        <w:tc>
          <w:tcPr>
            <w:tcW w:w="1989" w:type="dxa"/>
            <w:gridSpan w:val="4"/>
            <w:vAlign w:val="center"/>
          </w:tcPr>
          <w:p>
            <w:pPr>
              <w:tabs>
                <w:tab w:val="left" w:pos="1875"/>
              </w:tabs>
              <w:spacing w:line="40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分值构成 (总分1OO分)</w:t>
            </w:r>
          </w:p>
        </w:tc>
        <w:tc>
          <w:tcPr>
            <w:tcW w:w="5463" w:type="dxa"/>
            <w:gridSpan w:val="2"/>
          </w:tcPr>
          <w:p>
            <w:pPr>
              <w:pStyle w:val="35"/>
              <w:ind w:firstLine="426"/>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A：投标报价</w:t>
            </w:r>
            <w:r>
              <w:rPr>
                <w:rFonts w:asciiTheme="minorEastAsia" w:hAnsiTheme="minorEastAsia" w:eastAsiaTheme="minorEastAsia" w:cstheme="minorEastAsia"/>
                <w:szCs w:val="21"/>
                <w:highlight w:val="none"/>
              </w:rPr>
              <w:t>5</w:t>
            </w:r>
            <w:r>
              <w:rPr>
                <w:rFonts w:hint="eastAsia" w:asciiTheme="minorEastAsia" w:hAnsiTheme="minorEastAsia" w:eastAsiaTheme="minorEastAsia" w:cstheme="minorEastAsia"/>
                <w:szCs w:val="21"/>
                <w:highlight w:val="none"/>
              </w:rPr>
              <w:t>0分；</w:t>
            </w:r>
          </w:p>
          <w:p>
            <w:pPr>
              <w:pStyle w:val="35"/>
              <w:ind w:firstLine="426"/>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B：商务部分</w:t>
            </w:r>
            <w:r>
              <w:rPr>
                <w:rFonts w:asciiTheme="minorEastAsia" w:hAnsiTheme="minorEastAsia" w:eastAsiaTheme="minorEastAsia" w:cstheme="minorEastAsia"/>
                <w:szCs w:val="21"/>
                <w:highlight w:val="none"/>
              </w:rPr>
              <w:t>1</w:t>
            </w:r>
            <w:r>
              <w:rPr>
                <w:rFonts w:hint="eastAsia" w:asciiTheme="minorEastAsia" w:hAnsiTheme="minorEastAsia" w:eastAsiaTheme="minorEastAsia" w:cstheme="minorEastAsia"/>
                <w:szCs w:val="21"/>
                <w:highlight w:val="none"/>
              </w:rPr>
              <w:t>0分；</w:t>
            </w:r>
          </w:p>
          <w:p>
            <w:pPr>
              <w:pStyle w:val="35"/>
              <w:ind w:firstLine="426"/>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C：技术部分</w:t>
            </w:r>
            <w:r>
              <w:rPr>
                <w:rFonts w:asciiTheme="minorEastAsia" w:hAnsiTheme="minorEastAsia" w:eastAsiaTheme="minorEastAsia" w:cstheme="minorEastAsia"/>
                <w:szCs w:val="21"/>
                <w:highlight w:val="none"/>
              </w:rPr>
              <w:t>4</w:t>
            </w:r>
            <w:r>
              <w:rPr>
                <w:rFonts w:hint="eastAsia" w:asciiTheme="minorEastAsia" w:hAnsiTheme="minorEastAsia" w:eastAsiaTheme="minorEastAsia" w:cstheme="minorEastAsia"/>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313" w:hRule="atLeast"/>
        </w:trPr>
        <w:tc>
          <w:tcPr>
            <w:tcW w:w="1022" w:type="dxa"/>
            <w:vAlign w:val="center"/>
          </w:tcPr>
          <w:p>
            <w:pPr>
              <w:spacing w:line="40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2.2.2</w:t>
            </w:r>
          </w:p>
        </w:tc>
        <w:tc>
          <w:tcPr>
            <w:tcW w:w="1989" w:type="dxa"/>
            <w:gridSpan w:val="4"/>
            <w:vAlign w:val="center"/>
          </w:tcPr>
          <w:p>
            <w:pPr>
              <w:spacing w:line="40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报价</w:t>
            </w:r>
          </w:p>
        </w:tc>
        <w:tc>
          <w:tcPr>
            <w:tcW w:w="5463" w:type="dxa"/>
            <w:gridSpan w:val="2"/>
          </w:tcPr>
          <w:p>
            <w:pPr>
              <w:wordWrap w:val="0"/>
              <w:adjustRightInd w:val="0"/>
              <w:snapToGrid w:val="0"/>
              <w:spacing w:line="400" w:lineRule="exact"/>
              <w:ind w:firstLine="426" w:firstLineChars="200"/>
              <w:rPr>
                <w:rFonts w:asciiTheme="minorEastAsia" w:hAnsiTheme="minorEastAsia" w:eastAsiaTheme="minorEastAsia" w:cstheme="minorEastAsia"/>
                <w:szCs w:val="21"/>
                <w:highlight w:val="none"/>
              </w:rPr>
            </w:pPr>
            <w:bookmarkStart w:id="65" w:name="OLE_LINK3"/>
            <w:r>
              <w:rPr>
                <w:rFonts w:hint="eastAsia" w:asciiTheme="minorEastAsia" w:hAnsiTheme="minorEastAsia" w:eastAsiaTheme="minorEastAsia" w:cstheme="minorEastAsia"/>
                <w:szCs w:val="21"/>
                <w:highlight w:val="none"/>
              </w:rPr>
              <w:t>1.满足招标文件要求，有效的投标报价的平均值为评标基准价。</w:t>
            </w:r>
          </w:p>
          <w:p>
            <w:pPr>
              <w:wordWrap w:val="0"/>
              <w:adjustRightInd w:val="0"/>
              <w:snapToGrid w:val="0"/>
              <w:spacing w:line="400" w:lineRule="exact"/>
              <w:ind w:firstLine="426" w:firstLineChars="200"/>
              <w:rPr>
                <w:rFonts w:asciiTheme="minorEastAsia" w:hAnsiTheme="minorEastAsia" w:eastAsiaTheme="minorEastAsia" w:cstheme="minorEastAsia"/>
                <w:szCs w:val="21"/>
                <w:highlight w:val="none"/>
              </w:rPr>
            </w:pPr>
            <w:bookmarkStart w:id="66" w:name="OLE_LINK2"/>
            <w:r>
              <w:rPr>
                <w:rFonts w:hint="eastAsia" w:asciiTheme="minorEastAsia" w:hAnsiTheme="minorEastAsia" w:eastAsiaTheme="minorEastAsia" w:cstheme="minorEastAsia"/>
                <w:szCs w:val="21"/>
                <w:highlight w:val="none"/>
              </w:rPr>
              <w:t>2.偏差率</w:t>
            </w:r>
            <w:bookmarkEnd w:id="66"/>
            <w:r>
              <w:rPr>
                <w:rFonts w:hint="eastAsia" w:asciiTheme="minorEastAsia" w:hAnsiTheme="minorEastAsia" w:eastAsiaTheme="minorEastAsia" w:cstheme="minorEastAsia"/>
                <w:szCs w:val="21"/>
                <w:highlight w:val="none"/>
              </w:rPr>
              <w:t>=100%×（投标人报价－评标基准价）/评标基准价。</w:t>
            </w:r>
          </w:p>
          <w:p>
            <w:pPr>
              <w:pStyle w:val="35"/>
              <w:ind w:firstLine="426"/>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3.经评审的有效投标报价与评标基准价相比，等于基准价的得50分，每增加1%扣0.5分，每减少1%扣0.25分，扣完为止。</w:t>
            </w:r>
            <w:bookmarkEnd w:id="65"/>
          </w:p>
          <w:p>
            <w:pPr>
              <w:pStyle w:val="35"/>
              <w:ind w:firstLine="426"/>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2280" w:hRule="atLeast"/>
        </w:trPr>
        <w:tc>
          <w:tcPr>
            <w:tcW w:w="1022" w:type="dxa"/>
            <w:vMerge w:val="restart"/>
            <w:vAlign w:val="center"/>
          </w:tcPr>
          <w:p>
            <w:pPr>
              <w:snapToGrid w:val="0"/>
              <w:spacing w:line="40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2.2.3</w:t>
            </w:r>
          </w:p>
        </w:tc>
        <w:tc>
          <w:tcPr>
            <w:tcW w:w="729" w:type="dxa"/>
            <w:gridSpan w:val="2"/>
            <w:vMerge w:val="restart"/>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商务部分评分标准（</w:t>
            </w:r>
            <w:r>
              <w:rPr>
                <w:rFonts w:asciiTheme="minorEastAsia" w:hAnsiTheme="minorEastAsia" w:eastAsiaTheme="minorEastAsia" w:cstheme="minorEastAsia"/>
                <w:szCs w:val="21"/>
                <w:highlight w:val="none"/>
              </w:rPr>
              <w:t>1</w:t>
            </w:r>
            <w:r>
              <w:rPr>
                <w:rFonts w:hint="eastAsia" w:asciiTheme="minorEastAsia" w:hAnsiTheme="minorEastAsia" w:eastAsiaTheme="minorEastAsia" w:cstheme="minorEastAsia"/>
                <w:szCs w:val="21"/>
                <w:highlight w:val="none"/>
              </w:rPr>
              <w:t>0分）</w:t>
            </w:r>
          </w:p>
        </w:tc>
        <w:tc>
          <w:tcPr>
            <w:tcW w:w="1260" w:type="dxa"/>
            <w:gridSpan w:val="2"/>
            <w:vAlign w:val="center"/>
          </w:tcPr>
          <w:p>
            <w:pPr>
              <w:snapToGrid w:val="0"/>
              <w:spacing w:line="400" w:lineRule="exact"/>
              <w:jc w:val="center"/>
              <w:rPr>
                <w:rFonts w:asciiTheme="minorEastAsia" w:hAnsiTheme="minorEastAsia" w:eastAsiaTheme="minorEastAsia" w:cstheme="minorEastAsia"/>
                <w:szCs w:val="21"/>
                <w:highlight w:val="none"/>
                <w:shd w:val="clear" w:color="FFFFFF" w:fill="auto"/>
              </w:rPr>
            </w:pPr>
            <w:r>
              <w:rPr>
                <w:rFonts w:hint="eastAsia" w:asciiTheme="minorEastAsia" w:hAnsiTheme="minorEastAsia" w:eastAsiaTheme="minorEastAsia" w:cstheme="minorEastAsia"/>
                <w:szCs w:val="21"/>
                <w:highlight w:val="none"/>
                <w:shd w:val="clear" w:color="FFFFFF" w:fill="auto"/>
              </w:rPr>
              <w:t>项目团队（</w:t>
            </w:r>
            <w:r>
              <w:rPr>
                <w:rFonts w:asciiTheme="minorEastAsia" w:hAnsiTheme="minorEastAsia" w:eastAsiaTheme="minorEastAsia" w:cstheme="minorEastAsia"/>
                <w:szCs w:val="21"/>
                <w:highlight w:val="none"/>
                <w:shd w:val="clear" w:color="FFFFFF" w:fill="auto"/>
              </w:rPr>
              <w:t>5</w:t>
            </w:r>
            <w:r>
              <w:rPr>
                <w:rFonts w:hint="eastAsia" w:asciiTheme="minorEastAsia" w:hAnsiTheme="minorEastAsia" w:eastAsiaTheme="minorEastAsia" w:cstheme="minorEastAsia"/>
                <w:szCs w:val="21"/>
                <w:highlight w:val="none"/>
                <w:shd w:val="clear" w:color="FFFFFF" w:fill="auto"/>
              </w:rPr>
              <w:t>分）</w:t>
            </w:r>
          </w:p>
        </w:tc>
        <w:tc>
          <w:tcPr>
            <w:tcW w:w="5463" w:type="dxa"/>
            <w:gridSpan w:val="2"/>
            <w:vAlign w:val="center"/>
          </w:tcPr>
          <w:p>
            <w:pPr>
              <w:pStyle w:val="9"/>
              <w:numPr>
                <w:ilvl w:val="0"/>
                <w:numId w:val="2"/>
              </w:numPr>
              <w:spacing w:line="400" w:lineRule="exact"/>
              <w:ind w:firstLine="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项目团队成员至少</w:t>
            </w:r>
            <w:r>
              <w:rPr>
                <w:rFonts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rPr>
              <w:t>人，满足</w:t>
            </w:r>
            <w:r>
              <w:rPr>
                <w:rFonts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rPr>
              <w:t>人及以上3分，人员不足，该项不得分。</w:t>
            </w:r>
          </w:p>
          <w:p>
            <w:pPr>
              <w:pStyle w:val="9"/>
              <w:numPr>
                <w:ilvl w:val="0"/>
                <w:numId w:val="2"/>
              </w:numPr>
              <w:spacing w:line="400" w:lineRule="exact"/>
              <w:ind w:firstLine="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团队负责人每有一个国资监管平台类业绩加1分，满分</w:t>
            </w:r>
            <w:r>
              <w:rPr>
                <w:rFonts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rPr>
              <w:t>分。</w:t>
            </w:r>
          </w:p>
          <w:p>
            <w:pPr>
              <w:pStyle w:val="9"/>
              <w:spacing w:line="400" w:lineRule="exact"/>
              <w:ind w:firstLine="428"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注：需提供相关业绩证明加盖公章。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90" w:hRule="atLeast"/>
        </w:trPr>
        <w:tc>
          <w:tcPr>
            <w:tcW w:w="1022" w:type="dxa"/>
            <w:vMerge w:val="continue"/>
            <w:vAlign w:val="center"/>
          </w:tcPr>
          <w:p>
            <w:pPr>
              <w:snapToGrid w:val="0"/>
              <w:spacing w:line="400" w:lineRule="exact"/>
              <w:jc w:val="center"/>
              <w:rPr>
                <w:rFonts w:asciiTheme="minorEastAsia" w:hAnsiTheme="minorEastAsia" w:eastAsiaTheme="minorEastAsia" w:cstheme="minorEastAsia"/>
                <w:kern w:val="0"/>
                <w:szCs w:val="21"/>
                <w:highlight w:val="none"/>
              </w:rPr>
            </w:pPr>
          </w:p>
        </w:tc>
        <w:tc>
          <w:tcPr>
            <w:tcW w:w="729" w:type="dxa"/>
            <w:gridSpan w:val="2"/>
            <w:vMerge w:val="continue"/>
            <w:vAlign w:val="center"/>
          </w:tcPr>
          <w:p>
            <w:pPr>
              <w:snapToGrid w:val="0"/>
              <w:spacing w:line="400" w:lineRule="exact"/>
              <w:jc w:val="center"/>
              <w:rPr>
                <w:rFonts w:asciiTheme="minorEastAsia" w:hAnsiTheme="minorEastAsia" w:eastAsiaTheme="minorEastAsia" w:cstheme="minorEastAsia"/>
                <w:szCs w:val="21"/>
                <w:highlight w:val="none"/>
              </w:rPr>
            </w:pPr>
          </w:p>
        </w:tc>
        <w:tc>
          <w:tcPr>
            <w:tcW w:w="1260" w:type="dxa"/>
            <w:gridSpan w:val="2"/>
            <w:vAlign w:val="center"/>
          </w:tcPr>
          <w:p>
            <w:pPr>
              <w:snapToGrid w:val="0"/>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报价人业绩（</w:t>
            </w:r>
            <w:r>
              <w:rPr>
                <w:rFonts w:asciiTheme="minorEastAsia" w:hAnsiTheme="minorEastAsia" w:eastAsiaTheme="minorEastAsia" w:cstheme="minorEastAsia"/>
                <w:szCs w:val="21"/>
                <w:highlight w:val="none"/>
              </w:rPr>
              <w:t>5</w:t>
            </w:r>
            <w:r>
              <w:rPr>
                <w:rFonts w:hint="eastAsia" w:asciiTheme="minorEastAsia" w:hAnsiTheme="minorEastAsia" w:eastAsiaTheme="minorEastAsia" w:cstheme="minorEastAsia"/>
                <w:szCs w:val="21"/>
                <w:highlight w:val="none"/>
              </w:rPr>
              <w:t>分）</w:t>
            </w:r>
          </w:p>
        </w:tc>
        <w:tc>
          <w:tcPr>
            <w:tcW w:w="5463" w:type="dxa"/>
            <w:gridSpan w:val="2"/>
            <w:vAlign w:val="center"/>
          </w:tcPr>
          <w:p>
            <w:pPr>
              <w:pStyle w:val="9"/>
              <w:spacing w:line="400" w:lineRule="exact"/>
              <w:ind w:firstLine="426"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1.满足资格要求2019年1月1日至投标截止日具有至少1项类似国资监管平台服务类项目业绩，得</w:t>
            </w:r>
            <w:r>
              <w:rPr>
                <w:rFonts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rPr>
              <w:t>分。</w:t>
            </w:r>
          </w:p>
          <w:p>
            <w:pPr>
              <w:pStyle w:val="9"/>
              <w:spacing w:line="400" w:lineRule="exact"/>
              <w:ind w:firstLine="426"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2.2019年1月1日至投标截止时间每增加1个国资监管平台类业绩加1分，满分</w:t>
            </w:r>
            <w:r>
              <w:rPr>
                <w:rFonts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rPr>
              <w:t xml:space="preserve"> 分。</w:t>
            </w:r>
          </w:p>
          <w:p>
            <w:pPr>
              <w:pStyle w:val="6"/>
              <w:spacing w:before="0" w:after="0" w:line="400" w:lineRule="exact"/>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sz w:val="21"/>
                <w:szCs w:val="21"/>
                <w:highlight w:val="none"/>
              </w:rPr>
              <w:t xml:space="preserve">   注：需提供以上业绩合同扫描件并加盖公章。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90" w:hRule="atLeast"/>
        </w:trPr>
        <w:tc>
          <w:tcPr>
            <w:tcW w:w="1022" w:type="dxa"/>
            <w:vMerge w:val="restart"/>
            <w:vAlign w:val="center"/>
          </w:tcPr>
          <w:p>
            <w:pPr>
              <w:snapToGrid w:val="0"/>
              <w:spacing w:line="40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2.2.4</w:t>
            </w:r>
          </w:p>
        </w:tc>
        <w:tc>
          <w:tcPr>
            <w:tcW w:w="729" w:type="dxa"/>
            <w:gridSpan w:val="2"/>
            <w:vMerge w:val="restart"/>
            <w:textDirection w:val="tbLrV"/>
            <w:vAlign w:val="center"/>
          </w:tcPr>
          <w:p>
            <w:pPr>
              <w:snapToGrid w:val="0"/>
              <w:spacing w:line="400" w:lineRule="exact"/>
              <w:ind w:left="113" w:right="113"/>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技术部分评分标准（</w:t>
            </w:r>
            <w:r>
              <w:rPr>
                <w:rFonts w:asciiTheme="minorEastAsia" w:hAnsiTheme="minorEastAsia" w:eastAsiaTheme="minorEastAsia" w:cstheme="minorEastAsia"/>
                <w:szCs w:val="21"/>
                <w:highlight w:val="none"/>
              </w:rPr>
              <w:t>4</w:t>
            </w:r>
            <w:r>
              <w:rPr>
                <w:rFonts w:hint="eastAsia" w:asciiTheme="minorEastAsia" w:hAnsiTheme="minorEastAsia" w:eastAsiaTheme="minorEastAsia" w:cstheme="minorEastAsia"/>
                <w:szCs w:val="21"/>
                <w:highlight w:val="none"/>
              </w:rPr>
              <w:t>0分）</w:t>
            </w:r>
          </w:p>
        </w:tc>
        <w:tc>
          <w:tcPr>
            <w:tcW w:w="1260" w:type="dxa"/>
            <w:gridSpan w:val="2"/>
            <w:vAlign w:val="center"/>
          </w:tcPr>
          <w:p>
            <w:pPr>
              <w:widowControl/>
              <w:spacing w:before="156" w:line="400" w:lineRule="exact"/>
              <w:jc w:val="left"/>
              <w:rPr>
                <w:rFonts w:asciiTheme="minorEastAsia" w:hAnsiTheme="minorEastAsia" w:eastAsiaTheme="minorEastAsia" w:cstheme="minorEastAsia"/>
                <w:szCs w:val="21"/>
                <w:highlight w:val="none"/>
              </w:rPr>
            </w:pPr>
            <w:bookmarkStart w:id="67" w:name="OLE_LINK17"/>
            <w:r>
              <w:rPr>
                <w:rFonts w:hint="eastAsia" w:asciiTheme="minorEastAsia" w:hAnsiTheme="minorEastAsia" w:eastAsiaTheme="minorEastAsia" w:cstheme="minorEastAsia"/>
                <w:szCs w:val="21"/>
                <w:highlight w:val="none"/>
              </w:rPr>
              <w:t>国资监管平台实施方案（</w:t>
            </w:r>
            <w:r>
              <w:rPr>
                <w:rFonts w:asciiTheme="minorEastAsia" w:hAnsiTheme="minorEastAsia" w:eastAsiaTheme="minorEastAsia" w:cstheme="minorEastAsia"/>
                <w:szCs w:val="21"/>
                <w:highlight w:val="none"/>
              </w:rPr>
              <w:t>30</w:t>
            </w:r>
            <w:r>
              <w:rPr>
                <w:rFonts w:hint="eastAsia" w:asciiTheme="minorEastAsia" w:hAnsiTheme="minorEastAsia" w:eastAsiaTheme="minorEastAsia" w:cstheme="minorEastAsia"/>
                <w:szCs w:val="21"/>
                <w:highlight w:val="none"/>
              </w:rPr>
              <w:t>分）</w:t>
            </w:r>
            <w:bookmarkEnd w:id="67"/>
          </w:p>
        </w:tc>
        <w:tc>
          <w:tcPr>
            <w:tcW w:w="5463" w:type="dxa"/>
            <w:gridSpan w:val="2"/>
          </w:tcPr>
          <w:p>
            <w:pPr>
              <w:pStyle w:val="31"/>
              <w:adjustRightInd w:val="0"/>
              <w:snapToGrid w:val="0"/>
              <w:spacing w:before="158" w:line="400" w:lineRule="exact"/>
              <w:ind w:firstLine="426"/>
              <w:jc w:val="left"/>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国资监管平台实施方案：对本项目理解清晰，各项功能描述全面，业务流程明确、可操作性强。</w:t>
            </w:r>
          </w:p>
          <w:p>
            <w:pPr>
              <w:spacing w:before="156" w:line="400" w:lineRule="exact"/>
              <w:ind w:firstLine="48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综合比较打分：方案描述清晰、完整，可操作性强得</w:t>
            </w:r>
            <w:r>
              <w:rPr>
                <w:rFonts w:asciiTheme="minorEastAsia" w:hAnsiTheme="minorEastAsia" w:eastAsiaTheme="minorEastAsia" w:cstheme="minorEastAsia"/>
                <w:szCs w:val="21"/>
                <w:highlight w:val="none"/>
              </w:rPr>
              <w:t>30</w:t>
            </w:r>
            <w:r>
              <w:rPr>
                <w:rFonts w:hint="eastAsia" w:asciiTheme="minorEastAsia" w:hAnsiTheme="minorEastAsia" w:eastAsiaTheme="minorEastAsia" w:cstheme="minorEastAsia"/>
                <w:szCs w:val="21"/>
                <w:highlight w:val="none"/>
              </w:rPr>
              <w:t>-</w:t>
            </w:r>
            <w:r>
              <w:rPr>
                <w:rFonts w:asciiTheme="minorEastAsia" w:hAnsiTheme="minorEastAsia" w:eastAsiaTheme="minorEastAsia" w:cstheme="minorEastAsia"/>
                <w:szCs w:val="21"/>
                <w:highlight w:val="none"/>
              </w:rPr>
              <w:t>26</w:t>
            </w:r>
            <w:r>
              <w:rPr>
                <w:rFonts w:hint="eastAsia" w:asciiTheme="minorEastAsia" w:hAnsiTheme="minorEastAsia" w:eastAsiaTheme="minorEastAsia" w:cstheme="minorEastAsia"/>
                <w:szCs w:val="21"/>
                <w:highlight w:val="none"/>
              </w:rPr>
              <w:t>分，方案描述较清晰、较完整，可操作性较强得</w:t>
            </w:r>
            <w:r>
              <w:rPr>
                <w:rFonts w:asciiTheme="minorEastAsia" w:hAnsiTheme="minorEastAsia" w:eastAsiaTheme="minorEastAsia" w:cstheme="minorEastAsia"/>
                <w:szCs w:val="21"/>
                <w:highlight w:val="none"/>
              </w:rPr>
              <w:t>25</w:t>
            </w:r>
            <w:r>
              <w:rPr>
                <w:rFonts w:hint="eastAsia" w:asciiTheme="minorEastAsia" w:hAnsiTheme="minorEastAsia" w:eastAsiaTheme="minorEastAsia" w:cstheme="minorEastAsia"/>
                <w:szCs w:val="21"/>
                <w:highlight w:val="none"/>
              </w:rPr>
              <w:t>-</w:t>
            </w:r>
            <w:r>
              <w:rPr>
                <w:rFonts w:asciiTheme="minorEastAsia" w:hAnsiTheme="minorEastAsia" w:eastAsiaTheme="minorEastAsia" w:cstheme="minorEastAsia"/>
                <w:szCs w:val="21"/>
                <w:highlight w:val="none"/>
              </w:rPr>
              <w:t>20</w:t>
            </w:r>
            <w:r>
              <w:rPr>
                <w:rFonts w:hint="eastAsia" w:asciiTheme="minorEastAsia" w:hAnsiTheme="minorEastAsia" w:eastAsiaTheme="minorEastAsia" w:cstheme="minorEastAsia"/>
                <w:szCs w:val="21"/>
                <w:highlight w:val="none"/>
              </w:rPr>
              <w:t>分；方案描述不够清晰，不够完整得1</w:t>
            </w:r>
            <w:r>
              <w:rPr>
                <w:rFonts w:asciiTheme="minorEastAsia" w:hAnsiTheme="minorEastAsia" w:eastAsiaTheme="minorEastAsia" w:cstheme="minorEastAsia"/>
                <w:szCs w:val="21"/>
                <w:highlight w:val="none"/>
              </w:rPr>
              <w:t>9</w:t>
            </w:r>
            <w:r>
              <w:rPr>
                <w:rFonts w:hint="eastAsia" w:asciiTheme="minorEastAsia" w:hAnsiTheme="minorEastAsia" w:eastAsiaTheme="minorEastAsia" w:cstheme="minorEastAsia"/>
                <w:szCs w:val="21"/>
                <w:highlight w:val="none"/>
              </w:rPr>
              <w:t>-</w:t>
            </w:r>
            <w:r>
              <w:rPr>
                <w:rFonts w:asciiTheme="minorEastAsia" w:hAnsiTheme="minorEastAsia" w:eastAsiaTheme="minorEastAsia" w:cstheme="minorEastAsia"/>
                <w:szCs w:val="21"/>
                <w:highlight w:val="none"/>
              </w:rPr>
              <w:t>10</w:t>
            </w:r>
            <w:r>
              <w:rPr>
                <w:rFonts w:hint="eastAsia" w:asciiTheme="minorEastAsia" w:hAnsiTheme="minorEastAsia" w:eastAsiaTheme="minorEastAsia" w:cstheme="minorEastAsia"/>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90" w:hRule="atLeast"/>
        </w:trPr>
        <w:tc>
          <w:tcPr>
            <w:tcW w:w="1022" w:type="dxa"/>
            <w:vMerge w:val="continue"/>
            <w:vAlign w:val="center"/>
          </w:tcPr>
          <w:p>
            <w:pPr>
              <w:snapToGrid w:val="0"/>
              <w:spacing w:line="400" w:lineRule="exact"/>
              <w:jc w:val="center"/>
              <w:rPr>
                <w:rFonts w:asciiTheme="minorEastAsia" w:hAnsiTheme="minorEastAsia" w:eastAsiaTheme="minorEastAsia" w:cstheme="minorEastAsia"/>
                <w:kern w:val="0"/>
                <w:szCs w:val="21"/>
                <w:highlight w:val="none"/>
              </w:rPr>
            </w:pPr>
          </w:p>
        </w:tc>
        <w:tc>
          <w:tcPr>
            <w:tcW w:w="729" w:type="dxa"/>
            <w:gridSpan w:val="2"/>
            <w:vMerge w:val="continue"/>
            <w:vAlign w:val="center"/>
          </w:tcPr>
          <w:p>
            <w:pPr>
              <w:snapToGrid w:val="0"/>
              <w:spacing w:line="400" w:lineRule="exact"/>
              <w:jc w:val="center"/>
              <w:rPr>
                <w:rFonts w:asciiTheme="minorEastAsia" w:hAnsiTheme="minorEastAsia" w:eastAsiaTheme="minorEastAsia" w:cstheme="minorEastAsia"/>
                <w:szCs w:val="21"/>
                <w:highlight w:val="none"/>
              </w:rPr>
            </w:pPr>
          </w:p>
        </w:tc>
        <w:tc>
          <w:tcPr>
            <w:tcW w:w="1260" w:type="dxa"/>
            <w:gridSpan w:val="2"/>
            <w:vAlign w:val="center"/>
          </w:tcPr>
          <w:p>
            <w:pPr>
              <w:widowControl/>
              <w:spacing w:before="156"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计划目标、实施路径和措施保障（1</w:t>
            </w:r>
            <w:r>
              <w:rPr>
                <w:rFonts w:asciiTheme="minorEastAsia" w:hAnsiTheme="minorEastAsia" w:eastAsiaTheme="minorEastAsia" w:cstheme="minorEastAsia"/>
                <w:szCs w:val="21"/>
                <w:highlight w:val="none"/>
              </w:rPr>
              <w:t>0</w:t>
            </w:r>
            <w:r>
              <w:rPr>
                <w:rFonts w:hint="eastAsia" w:asciiTheme="minorEastAsia" w:hAnsiTheme="minorEastAsia" w:eastAsiaTheme="minorEastAsia" w:cstheme="minorEastAsia"/>
                <w:szCs w:val="21"/>
                <w:highlight w:val="none"/>
              </w:rPr>
              <w:t>分）</w:t>
            </w:r>
          </w:p>
        </w:tc>
        <w:tc>
          <w:tcPr>
            <w:tcW w:w="5463" w:type="dxa"/>
            <w:gridSpan w:val="2"/>
            <w:vAlign w:val="center"/>
          </w:tcPr>
          <w:p>
            <w:pPr>
              <w:pStyle w:val="31"/>
              <w:adjustRightInd w:val="0"/>
              <w:snapToGrid w:val="0"/>
              <w:spacing w:before="158" w:line="400" w:lineRule="exact"/>
              <w:ind w:firstLine="426"/>
              <w:jc w:val="left"/>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实施路径和措施保障：</w:t>
            </w:r>
          </w:p>
          <w:p>
            <w:pPr>
              <w:pStyle w:val="31"/>
              <w:adjustRightInd w:val="0"/>
              <w:snapToGrid w:val="0"/>
              <w:spacing w:before="158" w:line="400" w:lineRule="exact"/>
              <w:ind w:firstLine="426"/>
              <w:jc w:val="left"/>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（1）根据投标单位对本次建设目标的计划目标、实施路径和措施保障工作的理解程度评分，根据优劣得0-</w:t>
            </w:r>
            <w:r>
              <w:rPr>
                <w:rFonts w:asciiTheme="minorEastAsia" w:hAnsiTheme="minorEastAsia" w:eastAsiaTheme="minorEastAsia" w:cstheme="minorEastAsia"/>
                <w:sz w:val="21"/>
                <w:szCs w:val="21"/>
                <w:highlight w:val="none"/>
                <w:lang w:val="en-US"/>
              </w:rPr>
              <w:t>5</w:t>
            </w:r>
            <w:r>
              <w:rPr>
                <w:rFonts w:hint="eastAsia" w:asciiTheme="minorEastAsia" w:hAnsiTheme="minorEastAsia" w:eastAsiaTheme="minorEastAsia" w:cstheme="minorEastAsia"/>
                <w:sz w:val="21"/>
                <w:szCs w:val="21"/>
                <w:highlight w:val="none"/>
                <w:lang w:val="en-US"/>
              </w:rPr>
              <w:t>分;</w:t>
            </w:r>
          </w:p>
          <w:p>
            <w:pPr>
              <w:pStyle w:val="31"/>
              <w:adjustRightInd w:val="0"/>
              <w:snapToGrid w:val="0"/>
              <w:spacing w:before="158" w:line="400" w:lineRule="exact"/>
              <w:ind w:firstLine="426"/>
              <w:jc w:val="left"/>
              <w:rPr>
                <w:rFonts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（2）对维护保障方案等进行评审，根据优劣得0-</w:t>
            </w:r>
            <w:r>
              <w:rPr>
                <w:rFonts w:asciiTheme="minorEastAsia" w:hAnsiTheme="minorEastAsia" w:eastAsiaTheme="minorEastAsia" w:cstheme="minorEastAsia"/>
                <w:sz w:val="21"/>
                <w:szCs w:val="21"/>
                <w:highlight w:val="none"/>
                <w:lang w:val="en-US"/>
              </w:rPr>
              <w:t>5</w:t>
            </w:r>
            <w:r>
              <w:rPr>
                <w:rFonts w:hint="eastAsia" w:asciiTheme="minorEastAsia" w:hAnsiTheme="minorEastAsia" w:eastAsiaTheme="minorEastAsia" w:cstheme="minorEastAsia"/>
                <w:sz w:val="21"/>
                <w:szCs w:val="21"/>
                <w:highlight w:val="none"/>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331" w:hRule="atLeast"/>
        </w:trPr>
        <w:tc>
          <w:tcPr>
            <w:tcW w:w="1022" w:type="dxa"/>
            <w:tcBorders>
              <w:bottom w:val="single" w:color="auto" w:sz="4" w:space="0"/>
            </w:tcBorders>
          </w:tcPr>
          <w:p>
            <w:pPr>
              <w:spacing w:line="40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b/>
                <w:kern w:val="0"/>
                <w:szCs w:val="21"/>
                <w:highlight w:val="none"/>
              </w:rPr>
              <w:t>条款号</w:t>
            </w:r>
          </w:p>
        </w:tc>
        <w:tc>
          <w:tcPr>
            <w:tcW w:w="7452" w:type="dxa"/>
            <w:gridSpan w:val="6"/>
            <w:vAlign w:val="center"/>
          </w:tcPr>
          <w:p>
            <w:pPr>
              <w:spacing w:line="400" w:lineRule="exact"/>
              <w:jc w:val="center"/>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b/>
                <w:kern w:val="0"/>
                <w:szCs w:val="21"/>
                <w:highlight w:val="none"/>
              </w:rPr>
              <w:t xml:space="preserve">编列内容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1859" w:hRule="atLeast"/>
        </w:trPr>
        <w:tc>
          <w:tcPr>
            <w:tcW w:w="1022" w:type="dxa"/>
            <w:vAlign w:val="center"/>
          </w:tcPr>
          <w:p>
            <w:pPr>
              <w:spacing w:line="40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3.1</w:t>
            </w:r>
          </w:p>
        </w:tc>
        <w:tc>
          <w:tcPr>
            <w:tcW w:w="1496" w:type="dxa"/>
            <w:gridSpan w:val="3"/>
            <w:textDirection w:val="tbRlV"/>
            <w:vAlign w:val="center"/>
          </w:tcPr>
          <w:p>
            <w:pPr>
              <w:spacing w:line="400" w:lineRule="exact"/>
              <w:ind w:left="113" w:right="113"/>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评标程序</w:t>
            </w:r>
          </w:p>
        </w:tc>
        <w:tc>
          <w:tcPr>
            <w:tcW w:w="5956" w:type="dxa"/>
            <w:gridSpan w:val="3"/>
          </w:tcPr>
          <w:p>
            <w:pPr>
              <w:wordWrap w:val="0"/>
              <w:adjustRightInd w:val="0"/>
              <w:snapToGrid w:val="0"/>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1.初步评审前，按规定对投标报价有算术性错误的进行算术性错误修正，并对所有报价人递交的竞争性比选响应文件进行初步评审（形式、资格、响应评审）。</w:t>
            </w:r>
          </w:p>
          <w:p>
            <w:pPr>
              <w:wordWrap w:val="0"/>
              <w:adjustRightInd w:val="0"/>
              <w:snapToGrid w:val="0"/>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2.初步评审合格的才进行详细评审。</w:t>
            </w:r>
          </w:p>
          <w:p>
            <w:pPr>
              <w:wordWrap w:val="0"/>
              <w:adjustRightInd w:val="0"/>
              <w:snapToGrid w:val="0"/>
              <w:spacing w:line="400" w:lineRule="exact"/>
              <w:rPr>
                <w:rFonts w:asciiTheme="minorEastAsia" w:hAnsiTheme="minorEastAsia" w:eastAsiaTheme="minorEastAsia" w:cstheme="minorEastAsia"/>
                <w:color w:val="000000"/>
                <w:kern w:val="0"/>
                <w:szCs w:val="21"/>
                <w:highlight w:val="none"/>
                <w:lang w:bidi="ar"/>
              </w:rPr>
            </w:pPr>
            <w:r>
              <w:rPr>
                <w:rFonts w:hint="eastAsia" w:asciiTheme="minorEastAsia" w:hAnsiTheme="minorEastAsia" w:eastAsiaTheme="minorEastAsia" w:cstheme="minorEastAsia"/>
                <w:szCs w:val="21"/>
                <w:highlight w:val="none"/>
              </w:rPr>
              <w:t>3.根据综合得分由高至低进行排序，推荐1家合格的中标候选人。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2518" w:type="dxa"/>
            <w:gridSpan w:val="4"/>
            <w:vAlign w:val="center"/>
          </w:tcPr>
          <w:p>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3.2.3</w:t>
            </w:r>
          </w:p>
        </w:tc>
        <w:tc>
          <w:tcPr>
            <w:tcW w:w="1577" w:type="dxa"/>
            <w:gridSpan w:val="2"/>
            <w:vAlign w:val="center"/>
          </w:tcPr>
          <w:p>
            <w:pPr>
              <w:adjustRightInd w:val="0"/>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报价人得分</w:t>
            </w:r>
          </w:p>
        </w:tc>
        <w:tc>
          <w:tcPr>
            <w:tcW w:w="4427" w:type="dxa"/>
            <w:gridSpan w:val="2"/>
            <w:vAlign w:val="center"/>
          </w:tcPr>
          <w:p>
            <w:pPr>
              <w:pStyle w:val="35"/>
              <w:ind w:firstLine="0" w:firstLineChars="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报价人得分=A+B+C，对通过初步评审的报价人按照投标总得分（商务+技术+报价）得分由从高到低的先后顺序推荐1名中标候选人。保留2位小数。</w:t>
            </w:r>
          </w:p>
        </w:tc>
      </w:tr>
    </w:tbl>
    <w:p>
      <w:pPr>
        <w:pStyle w:val="2"/>
        <w:spacing w:line="400" w:lineRule="exact"/>
        <w:rPr>
          <w:rFonts w:asciiTheme="minorEastAsia" w:hAnsiTheme="minorEastAsia" w:eastAsiaTheme="minorEastAsia" w:cstheme="minorEastAsia"/>
          <w:szCs w:val="21"/>
          <w:highlight w:val="none"/>
        </w:rPr>
      </w:pPr>
    </w:p>
    <w:p>
      <w:pPr>
        <w:spacing w:line="360" w:lineRule="auto"/>
        <w:ind w:firstLine="486" w:firstLineChars="200"/>
        <w:rPr>
          <w:rFonts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综合</w:t>
      </w:r>
      <w:r>
        <w:rPr>
          <w:rFonts w:hint="eastAsia" w:asciiTheme="minorEastAsia" w:hAnsiTheme="minorEastAsia" w:eastAsiaTheme="minorEastAsia" w:cstheme="minorEastAsia"/>
          <w:color w:val="000000" w:themeColor="text1"/>
          <w:sz w:val="24"/>
          <w:szCs w:val="28"/>
          <w:highlight w:val="none"/>
          <w:lang w:val="en-US" w:eastAsia="zh-CN"/>
          <w14:textFill>
            <w14:solidFill>
              <w14:schemeClr w14:val="tx1"/>
            </w14:solidFill>
          </w14:textFill>
        </w:rPr>
        <w:t>评估</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法，是指投标文件满足招标文件全部实质性要求且按照评审因素的量化指标评审得分最高的报价人为中标候选人的评标方法。报价人总得分为价格、商务、技术等评定因素分别按照相应权重值计算分项得分后相加，满分为100分。</w:t>
      </w:r>
    </w:p>
    <w:p>
      <w:pPr>
        <w:snapToGrid w:val="0"/>
        <w:spacing w:line="360" w:lineRule="auto"/>
        <w:ind w:firstLine="486" w:firstLineChars="20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（一）符合性审查</w:t>
      </w:r>
    </w:p>
    <w:p>
      <w:pPr>
        <w:snapToGrid w:val="0"/>
        <w:spacing w:line="360" w:lineRule="auto"/>
        <w:ind w:firstLine="486" w:firstLineChars="20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评标委员会应当对符合资格的报价人的投标文件进行符合性审查，以确定其是否满足招标文件的实质性要求。</w:t>
      </w:r>
    </w:p>
    <w:p>
      <w:pPr>
        <w:snapToGrid w:val="0"/>
        <w:spacing w:line="360" w:lineRule="auto"/>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澄清有关问题。对投标文件中含义不明确、同类问题表述不一致或者有明显文字和计算错误的内容，评标委员会可以书面形式（应当由评标委员会成员签字）要求报价人作出必要澄清、说明或者纠正。报价人的澄清、说明或者补正应当采用书面形式，由其法定代表人授权代表签字，其澄清的内容不得超出投标文件的范围或者改变投标文件的实质性内容。</w:t>
      </w:r>
    </w:p>
    <w:p>
      <w:pPr>
        <w:snapToGrid w:val="0"/>
        <w:spacing w:line="360" w:lineRule="auto"/>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（三）比较与评价。按招标文件中规定的评标方法和标准，对资格审查和符合性审查合格的投标文件进行商务和技术评估。</w:t>
      </w:r>
    </w:p>
    <w:p>
      <w:pPr>
        <w:snapToGrid w:val="0"/>
        <w:spacing w:line="360" w:lineRule="auto"/>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委员会各成员独立对每个有效报价人（通过资格审查、符合性审查的报价人）的投标文件进行评价、打分，然后由评标委员会对各成员打分情况进行核查及复核，个别成员对同一报价人同一评分项的打分偏离较大的，应对报价人的投标文件进行再次核对，确属打分有误的，应及时进行修正。</w:t>
      </w:r>
    </w:p>
    <w:p>
      <w:pPr>
        <w:snapToGrid w:val="0"/>
        <w:spacing w:line="360" w:lineRule="auto"/>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复核后，评标委员会汇总每个报价人每项评分因素的得分。</w:t>
      </w:r>
    </w:p>
    <w:p>
      <w:pPr>
        <w:snapToGrid w:val="0"/>
        <w:spacing w:line="360" w:lineRule="auto"/>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（四）推荐中标候选人名单。</w:t>
      </w:r>
    </w:p>
    <w:p>
      <w:pPr>
        <w:snapToGrid w:val="0"/>
        <w:spacing w:line="360" w:lineRule="auto"/>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按评审后得分由高到低的排列顺序推荐综合得分排名第一的报价人为本项目中标候选人。</w:t>
      </w:r>
    </w:p>
    <w:p>
      <w:pPr>
        <w:pStyle w:val="2"/>
        <w:spacing w:line="360" w:lineRule="auto"/>
        <w:ind w:firstLine="486" w:firstLineChars="200"/>
        <w:rPr>
          <w:rFonts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spacing w:line="360" w:lineRule="auto"/>
        <w:ind w:firstLine="486" w:firstLineChars="200"/>
        <w:outlineLvl w:val="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六、无效投标条款</w:t>
      </w:r>
    </w:p>
    <w:p>
      <w:pPr>
        <w:spacing w:line="360" w:lineRule="auto"/>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报价人或其投标文件出现下列情况之一者，应为无效投标：</w:t>
      </w:r>
    </w:p>
    <w:p>
      <w:pPr>
        <w:spacing w:line="360" w:lineRule="auto"/>
        <w:ind w:firstLine="486" w:firstLineChars="200"/>
        <w:outlineLvl w:val="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（一）投标文件未按招标文件要求签署、盖章的；</w:t>
      </w:r>
    </w:p>
    <w:p>
      <w:pPr>
        <w:spacing w:line="360" w:lineRule="auto"/>
        <w:ind w:firstLine="486" w:firstLineChars="200"/>
        <w:outlineLvl w:val="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（二）不具备招标文件中规定的资格要求的；</w:t>
      </w:r>
    </w:p>
    <w:p>
      <w:pPr>
        <w:spacing w:line="360" w:lineRule="auto"/>
        <w:ind w:firstLine="486" w:firstLineChars="200"/>
        <w:outlineLvl w:val="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（三）报价超过招标文件中规定的预算金额或者最高限价的；</w:t>
      </w:r>
    </w:p>
    <w:p>
      <w:pPr>
        <w:spacing w:line="360" w:lineRule="auto"/>
        <w:ind w:firstLine="486" w:firstLineChars="200"/>
        <w:outlineLvl w:val="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（四）投标文件含有采购人不能接受的附加条件的；</w:t>
      </w:r>
    </w:p>
    <w:p>
      <w:pPr>
        <w:spacing w:line="360" w:lineRule="auto"/>
        <w:ind w:firstLine="486" w:firstLineChars="200"/>
        <w:outlineLvl w:val="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（五）报价人串通投标的；</w:t>
      </w:r>
    </w:p>
    <w:p>
      <w:pPr>
        <w:spacing w:line="360" w:lineRule="auto"/>
        <w:ind w:firstLine="486" w:firstLineChars="200"/>
        <w:outlineLvl w:val="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（六）报价人组成联合体投标的；</w:t>
      </w:r>
    </w:p>
    <w:p>
      <w:pPr>
        <w:spacing w:line="360" w:lineRule="auto"/>
        <w:ind w:firstLine="486" w:firstLineChars="200"/>
        <w:outlineLvl w:val="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（七）法律、法规和招标文件规定的其他无效情形。</w:t>
      </w:r>
    </w:p>
    <w:p>
      <w:pPr>
        <w:spacing w:line="360" w:lineRule="auto"/>
        <w:ind w:firstLine="486" w:firstLineChars="200"/>
        <w:outlineLvl w:val="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七、废标条款</w:t>
      </w:r>
    </w:p>
    <w:p>
      <w:pPr>
        <w:spacing w:line="360" w:lineRule="auto"/>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评标委员会评审时出现以下情况之一的，应予废标：</w:t>
      </w:r>
    </w:p>
    <w:p>
      <w:pPr>
        <w:spacing w:line="360" w:lineRule="auto"/>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（一）符合专业条件的报价人或者对招标文件作实质响应的报价人不足三家的；</w:t>
      </w:r>
    </w:p>
    <w:p>
      <w:pPr>
        <w:spacing w:line="360" w:lineRule="auto"/>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（二）报价人的报价均超过了采购预算，采购人不能支付的；</w:t>
      </w:r>
    </w:p>
    <w:p>
      <w:pPr>
        <w:spacing w:line="360" w:lineRule="auto"/>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（三）出现影响采购公正的违法、违规行为的；</w:t>
      </w:r>
    </w:p>
    <w:p>
      <w:pPr>
        <w:spacing w:line="360" w:lineRule="auto"/>
        <w:ind w:firstLine="486" w:firstLineChars="200"/>
        <w:rPr>
          <w:rFonts w:asciiTheme="majorEastAsia" w:hAnsiTheme="majorEastAsia" w:eastAsiaTheme="majorEastAsia" w:cstheme="majorEastAsia"/>
          <w:color w:val="000000" w:themeColor="text1"/>
          <w:sz w:val="48"/>
          <w:szCs w:val="48"/>
          <w:highlight w:val="none"/>
          <w14:textFill>
            <w14:solidFill>
              <w14:schemeClr w14:val="tx1"/>
            </w14:solidFill>
          </w14:textFill>
        </w:rPr>
      </w:pPr>
      <w:r>
        <w:rPr>
          <w:rFonts w:hint="eastAsia" w:asciiTheme="minorEastAsia" w:hAnsiTheme="minorEastAsia" w:eastAsiaTheme="minorEastAsia" w:cstheme="minorEastAsia"/>
          <w:sz w:val="24"/>
          <w:highlight w:val="none"/>
        </w:rPr>
        <w:t>（四）因重大变故，采购任务取消的。</w:t>
      </w:r>
    </w:p>
    <w:p>
      <w:pPr>
        <w:spacing w:line="360" w:lineRule="auto"/>
        <w:jc w:val="center"/>
        <w:rPr>
          <w:rFonts w:asciiTheme="majorEastAsia" w:hAnsiTheme="majorEastAsia" w:eastAsiaTheme="majorEastAsia" w:cstheme="majorEastAsia"/>
          <w:b/>
          <w:bCs/>
          <w:color w:val="000000" w:themeColor="text1"/>
          <w:sz w:val="48"/>
          <w:szCs w:val="4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bCs/>
          <w:color w:val="000000" w:themeColor="text1"/>
          <w:sz w:val="48"/>
          <w:szCs w:val="48"/>
          <w:highlight w:val="none"/>
          <w14:textFill>
            <w14:solidFill>
              <w14:schemeClr w14:val="tx1"/>
            </w14:solidFill>
          </w14:textFill>
        </w:rPr>
      </w:pPr>
    </w:p>
    <w:p>
      <w:pPr>
        <w:pStyle w:val="2"/>
        <w:rPr>
          <w:rFonts w:asciiTheme="majorEastAsia" w:hAnsiTheme="majorEastAsia" w:eastAsiaTheme="majorEastAsia" w:cstheme="majorEastAsia"/>
          <w:b/>
          <w:bCs/>
          <w:color w:val="000000" w:themeColor="text1"/>
          <w:sz w:val="48"/>
          <w:szCs w:val="48"/>
          <w:highlight w:val="none"/>
          <w14:textFill>
            <w14:solidFill>
              <w14:schemeClr w14:val="tx1"/>
            </w14:solidFill>
          </w14:textFill>
        </w:rPr>
      </w:pPr>
    </w:p>
    <w:p>
      <w:pPr>
        <w:rPr>
          <w:rFonts w:asciiTheme="majorEastAsia" w:hAnsiTheme="majorEastAsia" w:eastAsiaTheme="majorEastAsia" w:cstheme="majorEastAsia"/>
          <w:b/>
          <w:bCs/>
          <w:color w:val="000000" w:themeColor="text1"/>
          <w:sz w:val="48"/>
          <w:szCs w:val="48"/>
          <w:highlight w:val="none"/>
          <w14:textFill>
            <w14:solidFill>
              <w14:schemeClr w14:val="tx1"/>
            </w14:solidFill>
          </w14:textFill>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spacing w:line="360" w:lineRule="auto"/>
        <w:jc w:val="center"/>
        <w:rPr>
          <w:rFonts w:asciiTheme="majorEastAsia" w:hAnsiTheme="majorEastAsia" w:eastAsiaTheme="majorEastAsia" w:cstheme="majorEastAsia"/>
          <w:b/>
          <w:bCs/>
          <w:color w:val="000000" w:themeColor="text1"/>
          <w:sz w:val="48"/>
          <w:szCs w:val="48"/>
          <w:highlight w:val="none"/>
          <w14:textFill>
            <w14:solidFill>
              <w14:schemeClr w14:val="tx1"/>
            </w14:solidFill>
          </w14:textFill>
        </w:rPr>
      </w:pPr>
    </w:p>
    <w:p>
      <w:pPr>
        <w:pStyle w:val="2"/>
        <w:rPr>
          <w:highlight w:val="none"/>
        </w:rPr>
      </w:pPr>
    </w:p>
    <w:p>
      <w:pPr>
        <w:rPr>
          <w:highlight w:val="none"/>
        </w:rPr>
      </w:pPr>
    </w:p>
    <w:p>
      <w:pPr>
        <w:pStyle w:val="2"/>
        <w:rPr>
          <w:highlight w:val="none"/>
        </w:rPr>
      </w:pPr>
    </w:p>
    <w:p>
      <w:pPr>
        <w:spacing w:line="360" w:lineRule="auto"/>
        <w:jc w:val="center"/>
        <w:rPr>
          <w:rFonts w:asciiTheme="majorEastAsia" w:hAnsiTheme="majorEastAsia" w:eastAsiaTheme="majorEastAsia" w:cstheme="majorEastAsia"/>
          <w:b/>
          <w:bCs/>
          <w:color w:val="000000" w:themeColor="text1"/>
          <w:sz w:val="48"/>
          <w:szCs w:val="48"/>
          <w:highlight w:val="none"/>
          <w14:textFill>
            <w14:solidFill>
              <w14:schemeClr w14:val="tx1"/>
            </w14:solidFill>
          </w14:textFill>
        </w:rPr>
      </w:pPr>
    </w:p>
    <w:p>
      <w:pPr>
        <w:pStyle w:val="2"/>
        <w:rPr>
          <w:rFonts w:asciiTheme="majorEastAsia" w:hAnsiTheme="majorEastAsia" w:eastAsiaTheme="majorEastAsia" w:cstheme="majorEastAsia"/>
          <w:b/>
          <w:bCs/>
          <w:color w:val="000000" w:themeColor="text1"/>
          <w:sz w:val="48"/>
          <w:szCs w:val="48"/>
          <w:highlight w:val="none"/>
          <w14:textFill>
            <w14:solidFill>
              <w14:schemeClr w14:val="tx1"/>
            </w14:solidFill>
          </w14:textFill>
        </w:rPr>
      </w:pPr>
    </w:p>
    <w:p>
      <w:pPr>
        <w:rPr>
          <w:highlight w:val="none"/>
        </w:rPr>
      </w:pPr>
    </w:p>
    <w:p>
      <w:pPr>
        <w:spacing w:line="360" w:lineRule="auto"/>
        <w:jc w:val="center"/>
        <w:outlineLvl w:val="0"/>
        <w:rPr>
          <w:rFonts w:asciiTheme="majorEastAsia" w:hAnsiTheme="majorEastAsia" w:eastAsiaTheme="majorEastAsia" w:cstheme="majorEastAsia"/>
          <w:b/>
          <w:bCs/>
          <w:color w:val="000000" w:themeColor="text1"/>
          <w:sz w:val="48"/>
          <w:szCs w:val="48"/>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48"/>
          <w:szCs w:val="48"/>
          <w:highlight w:val="none"/>
          <w14:textFill>
            <w14:solidFill>
              <w14:schemeClr w14:val="tx1"/>
            </w14:solidFill>
          </w14:textFill>
        </w:rPr>
        <w:t>第四章  投标报价</w:t>
      </w:r>
    </w:p>
    <w:p>
      <w:pPr>
        <w:pStyle w:val="6"/>
        <w:rPr>
          <w:highlight w:val="none"/>
        </w:rPr>
      </w:pPr>
      <w:r>
        <w:rPr>
          <w:rFonts w:hint="eastAsia" w:ascii="宋体" w:hAnsi="宋体"/>
          <w:color w:val="000000" w:themeColor="text1"/>
          <w:sz w:val="24"/>
          <w:szCs w:val="24"/>
          <w:highlight w:val="none"/>
          <w14:textFill>
            <w14:solidFill>
              <w14:schemeClr w14:val="tx1"/>
            </w14:solidFill>
          </w14:textFill>
        </w:rPr>
        <w:t>1.报价说明</w:t>
      </w:r>
    </w:p>
    <w:p>
      <w:pPr>
        <w:spacing w:line="360" w:lineRule="auto"/>
        <w:ind w:firstLine="486" w:firstLineChars="200"/>
        <w:rPr>
          <w:rFonts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spacing w:line="360" w:lineRule="auto"/>
        <w:ind w:firstLine="486" w:firstLineChars="200"/>
        <w:rPr>
          <w:rFonts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（2）报价人在分项报价表中填报的综合单价承包到现场所产生的路费、差旅费等。</w:t>
      </w:r>
    </w:p>
    <w:p>
      <w:pPr>
        <w:spacing w:line="360" w:lineRule="auto"/>
        <w:ind w:firstLine="486" w:firstLineChars="200"/>
        <w:rPr>
          <w:rFonts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（3）报价有算术错误的，评审小组按以下原则对报价进行修正，修正的价格经报价人书面确认后具有约束力。报价人不接受修正价格的，其报价应当予以否决。</w:t>
      </w:r>
    </w:p>
    <w:p>
      <w:pPr>
        <w:spacing w:line="360" w:lineRule="auto"/>
        <w:ind w:firstLine="486" w:firstLineChars="200"/>
        <w:rPr>
          <w:rFonts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①竞争性比选响应文件中的大写金额与小写金额不一致的，以大写金额为准；</w:t>
      </w:r>
    </w:p>
    <w:p>
      <w:pPr>
        <w:spacing w:line="360" w:lineRule="auto"/>
        <w:ind w:firstLine="486" w:firstLineChars="200"/>
        <w:rPr>
          <w:rFonts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②总价金额与依据单价计算出的结果不一致的，以单价金额为准修正总价，但单价金额小数点有明显错误的除外。</w:t>
      </w:r>
    </w:p>
    <w:p>
      <w:pPr>
        <w:spacing w:line="360" w:lineRule="auto"/>
        <w:ind w:firstLine="486" w:firstLineChars="200"/>
        <w:rPr>
          <w:rFonts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（4）实际采购数量以采购人最终需求数量为准</w:t>
      </w:r>
      <w:r>
        <w:rPr>
          <w:rFonts w:hint="eastAsia" w:asciiTheme="minorEastAsia" w:hAnsiTheme="minorEastAsia" w:eastAsiaTheme="minorEastAsia" w:cstheme="minorEastAsia"/>
          <w:b/>
          <w:color w:val="000000" w:themeColor="text1"/>
          <w:sz w:val="24"/>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报价清单中单价在合同执行过程中保持固定不变，报价人不得以实际采购数量的变化提出调整合同单价。</w:t>
      </w:r>
    </w:p>
    <w:p>
      <w:pPr>
        <w:spacing w:line="360" w:lineRule="auto"/>
        <w:ind w:firstLine="486" w:firstLineChars="200"/>
        <w:rPr>
          <w:rFonts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（5）报价清单中各项金额均以人民币（元）结算。</w:t>
      </w:r>
    </w:p>
    <w:p>
      <w:pPr>
        <w:spacing w:line="360" w:lineRule="auto"/>
        <w:ind w:firstLine="486" w:firstLineChars="200"/>
        <w:rPr>
          <w:rFonts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（6）需缴纳的一切税费均由报价单位承担，所有税费均由服务单位自行缴纳；</w:t>
      </w:r>
    </w:p>
    <w:p>
      <w:pPr>
        <w:rPr>
          <w:rFonts w:asciiTheme="minorEastAsia" w:hAnsiTheme="minorEastAsia" w:eastAsiaTheme="minorEastAsia" w:cstheme="minorEastAsia"/>
          <w:color w:val="000000" w:themeColor="text1"/>
          <w:sz w:val="24"/>
          <w:highlight w:val="none"/>
          <w14:textFill>
            <w14:solidFill>
              <w14:schemeClr w14:val="tx1"/>
            </w14:solidFill>
          </w14:textFill>
        </w:rPr>
      </w:pPr>
    </w:p>
    <w:p>
      <w:pPr>
        <w:rPr>
          <w:highlight w:val="none"/>
        </w:rPr>
      </w:pPr>
    </w:p>
    <w:p>
      <w:pPr>
        <w:rPr>
          <w:highlight w:val="none"/>
        </w:rPr>
      </w:pPr>
    </w:p>
    <w:p>
      <w:pPr>
        <w:rPr>
          <w:highlight w:val="none"/>
        </w:rPr>
      </w:pPr>
    </w:p>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p>
      <w:pPr>
        <w:pStyle w:val="2"/>
        <w:rPr>
          <w:highlight w:val="none"/>
        </w:rPr>
      </w:pPr>
    </w:p>
    <w:p>
      <w:pPr>
        <w:rPr>
          <w:highlight w:val="none"/>
        </w:rPr>
      </w:pPr>
    </w:p>
    <w:p>
      <w:pPr>
        <w:pStyle w:val="2"/>
        <w:rPr>
          <w:highlight w:val="none"/>
        </w:rPr>
      </w:pPr>
    </w:p>
    <w:p>
      <w:pPr>
        <w:rPr>
          <w:highlight w:val="none"/>
        </w:rPr>
      </w:pPr>
    </w:p>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p>
      <w:pPr>
        <w:spacing w:line="360" w:lineRule="auto"/>
        <w:jc w:val="left"/>
        <w:outlineLvl w:val="1"/>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宋体" w:hAnsi="宋体" w:eastAsiaTheme="majorEastAsia" w:cstheme="majorBidi"/>
          <w:b/>
          <w:bCs/>
          <w:color w:val="000000" w:themeColor="text1"/>
          <w:sz w:val="24"/>
          <w:highlight w:val="none"/>
          <w14:textFill>
            <w14:solidFill>
              <w14:schemeClr w14:val="tx1"/>
            </w14:solidFill>
          </w14:textFill>
        </w:rPr>
        <w:t>2.报价一览表</w:t>
      </w:r>
    </w:p>
    <w:tbl>
      <w:tblPr>
        <w:tblStyle w:val="24"/>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465"/>
        <w:gridCol w:w="1539"/>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序号</w:t>
            </w:r>
          </w:p>
        </w:tc>
        <w:tc>
          <w:tcPr>
            <w:tcW w:w="3465"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项目名称</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报价（元）</w:t>
            </w: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w:t>
            </w:r>
          </w:p>
        </w:tc>
        <w:tc>
          <w:tcPr>
            <w:tcW w:w="3465" w:type="dxa"/>
            <w:vAlign w:val="center"/>
          </w:tcPr>
          <w:p>
            <w:pPr>
              <w:spacing w:line="360" w:lineRule="auto"/>
              <w:jc w:val="center"/>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重庆高速集团国资监管平台开发劳务外包服务项目</w:t>
            </w:r>
          </w:p>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szCs w:val="28"/>
                <w:highlight w:val="none"/>
              </w:rPr>
              <w:t>详见第二章报价人须知1.服务内容。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2</w:t>
            </w:r>
          </w:p>
        </w:tc>
        <w:tc>
          <w:tcPr>
            <w:tcW w:w="3465" w:type="dxa"/>
            <w:vAlign w:val="center"/>
          </w:tcPr>
          <w:p>
            <w:pPr>
              <w:spacing w:line="360" w:lineRule="auto"/>
              <w:jc w:val="center"/>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合计（元）</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r>
    </w:tbl>
    <w:p>
      <w:pPr>
        <w:rPr>
          <w:highlight w:val="none"/>
        </w:rPr>
      </w:pPr>
    </w:p>
    <w:p>
      <w:pPr>
        <w:rPr>
          <w:highlight w:val="none"/>
        </w:rPr>
      </w:pPr>
      <w:r>
        <w:rPr>
          <w:rFonts w:hint="eastAsia"/>
          <w:highlight w:val="none"/>
        </w:rPr>
        <w:br w:type="page"/>
      </w:r>
    </w:p>
    <w:p>
      <w:pPr>
        <w:pStyle w:val="6"/>
        <w:jc w:val="center"/>
        <w:rPr>
          <w:sz w:val="48"/>
          <w:szCs w:val="48"/>
          <w:highlight w:val="none"/>
        </w:rPr>
      </w:pPr>
      <w:r>
        <w:rPr>
          <w:rFonts w:hint="eastAsia"/>
          <w:sz w:val="48"/>
          <w:szCs w:val="48"/>
          <w:highlight w:val="none"/>
        </w:rPr>
        <w:t>第五章  技术标准和要求</w:t>
      </w:r>
    </w:p>
    <w:p>
      <w:pPr>
        <w:pStyle w:val="5"/>
        <w:rPr>
          <w:highlight w:val="none"/>
        </w:rPr>
      </w:pPr>
      <w:bookmarkStart w:id="68" w:name="_Toc74650360"/>
      <w:bookmarkStart w:id="69" w:name="_Toc73710786"/>
      <w:bookmarkStart w:id="70" w:name="_Toc72168191"/>
      <w:bookmarkStart w:id="71" w:name="_Toc71569025"/>
      <w:r>
        <w:rPr>
          <w:rFonts w:hint="eastAsia"/>
          <w:highlight w:val="none"/>
        </w:rPr>
        <w:t>财务监督</w:t>
      </w:r>
      <w:bookmarkEnd w:id="68"/>
      <w:bookmarkEnd w:id="69"/>
      <w:bookmarkEnd w:id="70"/>
    </w:p>
    <w:p>
      <w:pPr>
        <w:ind w:firstLine="560"/>
        <w:rPr>
          <w:rFonts w:ascii="宋体" w:hAnsi="宋体"/>
          <w:szCs w:val="28"/>
          <w:highlight w:val="none"/>
        </w:rPr>
      </w:pPr>
      <w:r>
        <w:rPr>
          <w:rFonts w:hint="eastAsia" w:ascii="宋体" w:hAnsi="宋体"/>
          <w:szCs w:val="28"/>
          <w:highlight w:val="none"/>
        </w:rPr>
        <w:t>财务监督为完善集团对下级单位的财务约束机制，规范财务行为，促进集团依法合规的经营，提高集团财务管理水平。系统能够实现集团实时获取企业端业务数据，保证数据的时效性与完整性；下级企业实现数据共享，保证数据的准确性与共享性。</w:t>
      </w:r>
    </w:p>
    <w:p>
      <w:pPr>
        <w:pStyle w:val="6"/>
        <w:rPr>
          <w:highlight w:val="none"/>
        </w:rPr>
      </w:pPr>
      <w:bookmarkStart w:id="72" w:name="_Toc73710787"/>
      <w:bookmarkStart w:id="73" w:name="_Toc72168192"/>
      <w:bookmarkStart w:id="74" w:name="_Toc74650361"/>
      <w:r>
        <w:rPr>
          <w:highlight w:val="none"/>
        </w:rPr>
        <w:t>财务快报</w:t>
      </w:r>
      <w:bookmarkEnd w:id="72"/>
      <w:bookmarkEnd w:id="73"/>
      <w:bookmarkEnd w:id="74"/>
    </w:p>
    <w:p>
      <w:pPr>
        <w:ind w:firstLine="560"/>
        <w:rPr>
          <w:rFonts w:ascii="宋体" w:hAnsi="宋体"/>
          <w:szCs w:val="28"/>
          <w:highlight w:val="none"/>
        </w:rPr>
      </w:pPr>
      <w:r>
        <w:rPr>
          <w:rFonts w:hint="eastAsia" w:ascii="宋体" w:hAnsi="宋体"/>
          <w:szCs w:val="28"/>
          <w:highlight w:val="none"/>
        </w:rPr>
        <w:t>企业快报是企业月度经营成果和财务状况的综合反映，是开展企业运行情况动态监测的基本依据，其内容包含营业收入、营业成本、税金及附加、销售费用、管理费用等。</w:t>
      </w:r>
    </w:p>
    <w:p>
      <w:pPr>
        <w:ind w:firstLine="560"/>
        <w:rPr>
          <w:rFonts w:ascii="宋体" w:hAnsi="宋体"/>
          <w:szCs w:val="28"/>
          <w:highlight w:val="none"/>
        </w:rPr>
      </w:pPr>
      <w:r>
        <w:rPr>
          <w:rFonts w:hint="eastAsia" w:ascii="宋体" w:hAnsi="宋体"/>
          <w:szCs w:val="28"/>
          <w:highlight w:val="none"/>
        </w:rPr>
        <w:t>主要包括以下功能：报表填报、报表计算、报表校验、报表审核、报表催报和报表分析的功能。为企业提供财务快报数据采集的功能，快报数据采集有系统自动采集和手工填报两种方式。报表查询提供查询、导出、打印企业财务快报数据的功能。报表分析功能实现企业财务快报进行组合分析，并以表格、图形方式展示的功能。可以按照任意组织维度设置报表汇总模板，并对企业财务快报数据进行汇总的功能，比如投资行业一级监管集团汇总表，重点企业汇总表等等。</w:t>
      </w:r>
    </w:p>
    <w:p>
      <w:pPr>
        <w:pStyle w:val="6"/>
        <w:rPr>
          <w:highlight w:val="none"/>
        </w:rPr>
      </w:pPr>
      <w:bookmarkStart w:id="75" w:name="_Toc73710788"/>
      <w:bookmarkStart w:id="76" w:name="_Toc72168193"/>
      <w:bookmarkStart w:id="77" w:name="_Toc74650362"/>
      <w:r>
        <w:rPr>
          <w:highlight w:val="none"/>
        </w:rPr>
        <w:t>财务预算</w:t>
      </w:r>
      <w:bookmarkEnd w:id="75"/>
      <w:bookmarkEnd w:id="76"/>
      <w:bookmarkEnd w:id="77"/>
    </w:p>
    <w:p>
      <w:pPr>
        <w:ind w:firstLine="560"/>
        <w:rPr>
          <w:rFonts w:ascii="宋体" w:hAnsi="宋体"/>
          <w:szCs w:val="28"/>
          <w:highlight w:val="none"/>
        </w:rPr>
      </w:pPr>
      <w:r>
        <w:rPr>
          <w:rFonts w:hint="eastAsia" w:ascii="宋体" w:hAnsi="宋体"/>
          <w:szCs w:val="28"/>
          <w:highlight w:val="none"/>
        </w:rPr>
        <w:t>企业财务预算是一个综合性的财务计划，包括经营预算、资本预算和财务预算。经营预算是对企业收入、费用和利润作出的预计；资本预算是对企业的资本性投资方案所进行的计划和评价；财务预算则是在经营预算和资本预算的基础上所作出的现金流量的安排，以及一定时期内的损益表和一定时期的资产负债表的预计。</w:t>
      </w:r>
    </w:p>
    <w:p>
      <w:pPr>
        <w:pStyle w:val="6"/>
        <w:rPr>
          <w:highlight w:val="none"/>
        </w:rPr>
      </w:pPr>
      <w:bookmarkStart w:id="78" w:name="_Toc73710789"/>
      <w:bookmarkStart w:id="79" w:name="_Toc74650363"/>
      <w:bookmarkStart w:id="80" w:name="_Toc72168194"/>
      <w:r>
        <w:rPr>
          <w:highlight w:val="none"/>
        </w:rPr>
        <w:t>财务决算</w:t>
      </w:r>
      <w:bookmarkEnd w:id="78"/>
      <w:bookmarkEnd w:id="79"/>
      <w:bookmarkEnd w:id="80"/>
    </w:p>
    <w:p>
      <w:pPr>
        <w:ind w:firstLine="560"/>
        <w:rPr>
          <w:rFonts w:ascii="宋体" w:hAnsi="宋体"/>
          <w:szCs w:val="28"/>
          <w:highlight w:val="none"/>
        </w:rPr>
      </w:pPr>
      <w:r>
        <w:rPr>
          <w:rFonts w:hint="eastAsia" w:ascii="宋体" w:hAnsi="宋体"/>
          <w:szCs w:val="28"/>
          <w:highlight w:val="none"/>
        </w:rPr>
        <w:t>企业决算管理是对企业财务状态与经营过程以及经营成果的全方位监管。企业财务决算报表共</w:t>
      </w:r>
      <w:r>
        <w:rPr>
          <w:rFonts w:ascii="宋体" w:hAnsi="宋体"/>
          <w:szCs w:val="28"/>
          <w:highlight w:val="none"/>
        </w:rPr>
        <w:t>250张左右，数据数量庞大且涵盖企业各项经营业务，包含企业财务状况、投资收益状况、对外借款状况、对外担保状况、债券债务状况等。决算报表涵盖了国有资产年度统计报表。</w:t>
      </w:r>
    </w:p>
    <w:p>
      <w:pPr>
        <w:ind w:firstLine="560"/>
        <w:rPr>
          <w:rFonts w:ascii="宋体" w:hAnsi="宋体"/>
          <w:szCs w:val="28"/>
          <w:highlight w:val="none"/>
        </w:rPr>
      </w:pPr>
      <w:r>
        <w:rPr>
          <w:rFonts w:hint="eastAsia" w:ascii="宋体" w:hAnsi="宋体"/>
          <w:szCs w:val="28"/>
          <w:highlight w:val="none"/>
        </w:rPr>
        <w:t>主要包括以下功能：主要包括：报表填报、报表计算、报表审核、报表锁定、报表催报、报表查询、报表分析。</w:t>
      </w:r>
    </w:p>
    <w:p>
      <w:pPr>
        <w:pStyle w:val="6"/>
        <w:rPr>
          <w:highlight w:val="none"/>
        </w:rPr>
      </w:pPr>
      <w:bookmarkStart w:id="81" w:name="_Toc72168195"/>
      <w:bookmarkStart w:id="82" w:name="_Toc74650364"/>
      <w:bookmarkStart w:id="83" w:name="_Toc73710790"/>
      <w:r>
        <w:rPr>
          <w:highlight w:val="none"/>
        </w:rPr>
        <w:t>国有资本经营预算</w:t>
      </w:r>
      <w:bookmarkEnd w:id="81"/>
      <w:bookmarkEnd w:id="82"/>
      <w:bookmarkEnd w:id="83"/>
    </w:p>
    <w:p>
      <w:pPr>
        <w:ind w:firstLine="560"/>
        <w:rPr>
          <w:rFonts w:ascii="宋体" w:hAnsi="宋体"/>
          <w:szCs w:val="28"/>
          <w:highlight w:val="none"/>
        </w:rPr>
      </w:pPr>
      <w:r>
        <w:rPr>
          <w:rFonts w:hint="eastAsia" w:ascii="宋体" w:hAnsi="宋体"/>
          <w:szCs w:val="28"/>
          <w:highlight w:val="none"/>
        </w:rPr>
        <w:t>收益预算监督是指国资委作为国有资产出资人依据产权关系依法取得国有资本经营收入，安排国有资本经营支出的专门预算，是政府预算的重要组成部分。实行国有资本经营预算是国家以所有者身份取得企业国有资本收益，用于支持实施产业发展规划、国有经济布局和结构调整、企业技术进步，补偿国有企业改革成本以及补充社会保障等项目。目前重庆市国有资本经营预算管理为国资委统一统筹规划，后期加强制度建设，将实施长效管理，按照</w:t>
      </w:r>
      <w:r>
        <w:rPr>
          <w:rFonts w:ascii="宋体" w:hAnsi="宋体"/>
          <w:szCs w:val="28"/>
          <w:highlight w:val="none"/>
        </w:rPr>
        <w:t xml:space="preserve"> “上下结合、分级编制、逐级汇总”方法将工作指派到一级企业，由一级企业编制，国资委汇总，保障国有资本经营预算管理工作有</w:t>
      </w:r>
      <w:r>
        <w:rPr>
          <w:rFonts w:hint="eastAsia" w:ascii="宋体" w:hAnsi="宋体"/>
          <w:szCs w:val="28"/>
          <w:highlight w:val="none"/>
        </w:rPr>
        <w:t>序进行。</w:t>
      </w:r>
    </w:p>
    <w:p>
      <w:pPr>
        <w:ind w:firstLine="560"/>
        <w:rPr>
          <w:rFonts w:ascii="宋体" w:hAnsi="宋体"/>
          <w:szCs w:val="28"/>
          <w:highlight w:val="none"/>
        </w:rPr>
      </w:pPr>
      <w:r>
        <w:rPr>
          <w:rFonts w:hint="eastAsia" w:ascii="宋体" w:hAnsi="宋体"/>
          <w:szCs w:val="28"/>
          <w:highlight w:val="none"/>
        </w:rPr>
        <w:t>主要包括：数据采集、收益预算审核、填报状态查看、收益预算催报功能。</w:t>
      </w:r>
    </w:p>
    <w:p>
      <w:pPr>
        <w:pStyle w:val="6"/>
        <w:rPr>
          <w:highlight w:val="none"/>
        </w:rPr>
      </w:pPr>
      <w:bookmarkStart w:id="84" w:name="_Toc73710791"/>
      <w:bookmarkStart w:id="85" w:name="_Toc74650365"/>
      <w:bookmarkStart w:id="86" w:name="_Toc72168196"/>
      <w:r>
        <w:rPr>
          <w:highlight w:val="none"/>
        </w:rPr>
        <w:t>国有资本收益决算</w:t>
      </w:r>
      <w:bookmarkEnd w:id="84"/>
      <w:bookmarkEnd w:id="85"/>
      <w:bookmarkEnd w:id="86"/>
    </w:p>
    <w:p>
      <w:pPr>
        <w:ind w:firstLine="560"/>
        <w:rPr>
          <w:rFonts w:ascii="宋体" w:hAnsi="宋体"/>
          <w:szCs w:val="28"/>
          <w:highlight w:val="none"/>
        </w:rPr>
      </w:pPr>
      <w:r>
        <w:rPr>
          <w:rFonts w:hint="eastAsia" w:ascii="宋体" w:hAnsi="宋体"/>
          <w:szCs w:val="28"/>
          <w:highlight w:val="none"/>
        </w:rPr>
        <w:t>国有资本收益管理职责要求国资委坚持加强国有资产收益管理、促进国有资产优化配置的宗旨，积极研究探索符合本地区实际的国有资本收益管理的有效形式，不断完善管理方法，努力提高国有资本配置效率，让企业国有资本规模得到不断的充实和壮大。</w:t>
      </w:r>
    </w:p>
    <w:p>
      <w:pPr>
        <w:ind w:firstLine="560"/>
        <w:rPr>
          <w:rFonts w:ascii="宋体" w:hAnsi="宋体"/>
          <w:szCs w:val="28"/>
          <w:highlight w:val="none"/>
        </w:rPr>
      </w:pPr>
      <w:r>
        <w:rPr>
          <w:rFonts w:hint="eastAsia" w:ascii="宋体" w:hAnsi="宋体"/>
          <w:szCs w:val="28"/>
          <w:highlight w:val="none"/>
        </w:rPr>
        <w:t>主要包括：数据采集、收益决算审核、填报状态查看、收益决算催报功能。</w:t>
      </w:r>
    </w:p>
    <w:p>
      <w:pPr>
        <w:ind w:firstLine="560"/>
        <w:rPr>
          <w:rFonts w:ascii="宋体" w:hAnsi="宋体"/>
          <w:szCs w:val="28"/>
          <w:highlight w:val="none"/>
        </w:rPr>
      </w:pPr>
      <w:r>
        <w:rPr>
          <w:rFonts w:hint="eastAsia" w:ascii="宋体" w:hAnsi="宋体"/>
          <w:szCs w:val="28"/>
          <w:highlight w:val="none"/>
        </w:rPr>
        <w:t>主要包括：财务快报、财务预算、财务决算等功能。</w:t>
      </w:r>
    </w:p>
    <w:p>
      <w:pPr>
        <w:pStyle w:val="5"/>
        <w:rPr>
          <w:highlight w:val="none"/>
        </w:rPr>
      </w:pPr>
      <w:bookmarkStart w:id="87" w:name="_Toc73710792"/>
      <w:bookmarkStart w:id="88" w:name="_Toc74650366"/>
      <w:bookmarkStart w:id="89" w:name="_Toc71569026"/>
      <w:bookmarkStart w:id="90" w:name="_Toc72168197"/>
      <w:r>
        <w:rPr>
          <w:rFonts w:hint="eastAsia"/>
          <w:highlight w:val="none"/>
        </w:rPr>
        <w:t>大额资金管理</w:t>
      </w:r>
      <w:bookmarkEnd w:id="87"/>
      <w:bookmarkEnd w:id="88"/>
      <w:bookmarkEnd w:id="89"/>
      <w:bookmarkEnd w:id="90"/>
    </w:p>
    <w:p>
      <w:pPr>
        <w:ind w:firstLine="560"/>
        <w:rPr>
          <w:rFonts w:ascii="宋体" w:hAnsi="宋体"/>
          <w:szCs w:val="28"/>
          <w:highlight w:val="none"/>
        </w:rPr>
      </w:pPr>
      <w:r>
        <w:rPr>
          <w:rFonts w:hint="eastAsia" w:ascii="宋体" w:hAnsi="宋体"/>
          <w:szCs w:val="28"/>
          <w:highlight w:val="none"/>
        </w:rPr>
        <w:t>大额资金管理通过实时采集下属企业的收支明细和银行账户余额，对资金数据进行整合分析，为集团对企业的资金实时监控提供手段，为各级管理者的经营决策提供依据。资金监控实现动态监测数据的真实性和完整性，达到资金实时在线监管，有效防范违规支付。</w:t>
      </w:r>
    </w:p>
    <w:p>
      <w:pPr>
        <w:pStyle w:val="6"/>
        <w:rPr>
          <w:highlight w:val="none"/>
        </w:rPr>
      </w:pPr>
      <w:bookmarkStart w:id="91" w:name="_Toc73710793"/>
      <w:bookmarkStart w:id="92" w:name="_Toc72168198"/>
      <w:bookmarkStart w:id="93" w:name="_Toc74650367"/>
      <w:r>
        <w:rPr>
          <w:rFonts w:hint="eastAsia"/>
          <w:highlight w:val="none"/>
        </w:rPr>
        <w:t>银行账号管理</w:t>
      </w:r>
      <w:bookmarkEnd w:id="91"/>
      <w:bookmarkEnd w:id="92"/>
      <w:bookmarkEnd w:id="93"/>
    </w:p>
    <w:p>
      <w:pPr>
        <w:ind w:firstLine="560"/>
        <w:rPr>
          <w:highlight w:val="none"/>
        </w:rPr>
      </w:pPr>
      <w:r>
        <w:rPr>
          <w:rFonts w:hint="eastAsia"/>
          <w:highlight w:val="none"/>
        </w:rPr>
        <w:t>为企业提供维护银行账户基础数据的功能，企业需将目前在用的所有银行账户基础数据初始到国资监管云平台，基础信息包括银行账号、所属银行、账户性质、境内外、状态等关键信息。若后续银行账号基础信息发生了变更，需维护变更信息。维护好的银行账号数据可以导出为</w:t>
      </w:r>
      <w:r>
        <w:rPr>
          <w:highlight w:val="none"/>
        </w:rPr>
        <w:t>Excel文件</w:t>
      </w:r>
    </w:p>
    <w:p>
      <w:pPr>
        <w:pStyle w:val="6"/>
        <w:rPr>
          <w:highlight w:val="none"/>
        </w:rPr>
      </w:pPr>
      <w:bookmarkStart w:id="94" w:name="_Toc72168199"/>
      <w:bookmarkStart w:id="95" w:name="_Toc74650368"/>
      <w:bookmarkStart w:id="96" w:name="_Toc73710794"/>
      <w:r>
        <w:rPr>
          <w:rFonts w:hint="eastAsia"/>
          <w:highlight w:val="none"/>
        </w:rPr>
        <w:t>账户余额初始</w:t>
      </w:r>
      <w:bookmarkEnd w:id="94"/>
      <w:bookmarkEnd w:id="95"/>
      <w:bookmarkEnd w:id="96"/>
    </w:p>
    <w:p>
      <w:pPr>
        <w:ind w:firstLine="560"/>
        <w:rPr>
          <w:highlight w:val="none"/>
        </w:rPr>
      </w:pPr>
      <w:r>
        <w:rPr>
          <w:rFonts w:hint="eastAsia"/>
          <w:highlight w:val="none"/>
        </w:rPr>
        <w:t>为企业提供维护银行账户初始余额的功能，企业需将目前在用的所有银行账户初始到国资监管云平台后，需将账号的余额进行初始。初始之后就不允许再修改，但可以反初始，反初始的前提是没有导入交易明细。</w:t>
      </w:r>
    </w:p>
    <w:p>
      <w:pPr>
        <w:pStyle w:val="6"/>
        <w:rPr>
          <w:highlight w:val="none"/>
        </w:rPr>
      </w:pPr>
      <w:bookmarkStart w:id="97" w:name="_Toc72168200"/>
      <w:bookmarkStart w:id="98" w:name="_Toc74650369"/>
      <w:bookmarkStart w:id="99" w:name="_Toc73710795"/>
      <w:r>
        <w:rPr>
          <w:rFonts w:hint="eastAsia"/>
          <w:highlight w:val="none"/>
        </w:rPr>
        <w:t>收支明细导入</w:t>
      </w:r>
      <w:bookmarkEnd w:id="97"/>
      <w:bookmarkEnd w:id="98"/>
      <w:bookmarkEnd w:id="99"/>
    </w:p>
    <w:p>
      <w:pPr>
        <w:ind w:firstLine="560"/>
        <w:rPr>
          <w:highlight w:val="none"/>
        </w:rPr>
      </w:pPr>
      <w:r>
        <w:rPr>
          <w:rFonts w:hint="eastAsia"/>
          <w:highlight w:val="none"/>
        </w:rPr>
        <w:t>为企业提供导入、新增交易明细的功能，企业需按照重庆市国资委的要求按时将交易明细导入到国资监管云平台。导入数据必须下载标准的导入模板。</w:t>
      </w:r>
    </w:p>
    <w:p>
      <w:pPr>
        <w:pStyle w:val="6"/>
        <w:rPr>
          <w:highlight w:val="none"/>
        </w:rPr>
      </w:pPr>
      <w:bookmarkStart w:id="100" w:name="_Toc73710796"/>
      <w:bookmarkStart w:id="101" w:name="_Toc74650370"/>
      <w:bookmarkStart w:id="102" w:name="_Toc72168201"/>
      <w:r>
        <w:rPr>
          <w:rFonts w:hint="eastAsia"/>
          <w:highlight w:val="none"/>
        </w:rPr>
        <w:t>大额资金支出额度设置</w:t>
      </w:r>
      <w:bookmarkEnd w:id="100"/>
      <w:bookmarkEnd w:id="101"/>
      <w:bookmarkEnd w:id="102"/>
    </w:p>
    <w:p>
      <w:pPr>
        <w:ind w:firstLine="560"/>
        <w:rPr>
          <w:highlight w:val="none"/>
        </w:rPr>
      </w:pPr>
      <w:r>
        <w:rPr>
          <w:rFonts w:hint="eastAsia"/>
          <w:highlight w:val="none"/>
        </w:rPr>
        <w:t>为集团提供设置企业大额资金标准的功能。可对每一家企业设置大额资金标准，也可以对一个集团批量设置大额资金标准。设置大额资金标准必须有开始日期，大额资金变更时根据开始日期进行区分哪些数据适用于变更后的开始日期。</w:t>
      </w:r>
    </w:p>
    <w:p>
      <w:pPr>
        <w:pStyle w:val="6"/>
        <w:rPr>
          <w:highlight w:val="none"/>
        </w:rPr>
      </w:pPr>
      <w:bookmarkStart w:id="103" w:name="_Toc72168202"/>
      <w:bookmarkStart w:id="104" w:name="_Toc74650371"/>
      <w:bookmarkStart w:id="105" w:name="_Toc73710797"/>
      <w:r>
        <w:rPr>
          <w:rFonts w:hint="eastAsia"/>
          <w:highlight w:val="none"/>
        </w:rPr>
        <w:t>预警规则设置</w:t>
      </w:r>
      <w:bookmarkEnd w:id="103"/>
      <w:bookmarkEnd w:id="104"/>
      <w:bookmarkEnd w:id="105"/>
    </w:p>
    <w:p>
      <w:pPr>
        <w:ind w:firstLine="560"/>
        <w:rPr>
          <w:highlight w:val="none"/>
        </w:rPr>
      </w:pPr>
      <w:r>
        <w:rPr>
          <w:rFonts w:hint="eastAsia"/>
          <w:highlight w:val="none"/>
        </w:rPr>
        <w:t>可以根据集团的要求设置预警指标、条件及预警方式，如短信、系统消息等；</w:t>
      </w:r>
    </w:p>
    <w:p>
      <w:pPr>
        <w:ind w:firstLine="560"/>
        <w:rPr>
          <w:highlight w:val="none"/>
        </w:rPr>
      </w:pPr>
      <w:r>
        <w:rPr>
          <w:rFonts w:hint="eastAsia"/>
          <w:highlight w:val="none"/>
        </w:rPr>
        <w:t>根据单位大额支出预警规则，实现企业大额支出和企业大额支出报备数据的比较，进行相应预警；</w:t>
      </w:r>
    </w:p>
    <w:p>
      <w:pPr>
        <w:ind w:firstLine="560"/>
        <w:rPr>
          <w:highlight w:val="none"/>
        </w:rPr>
      </w:pPr>
      <w:r>
        <w:rPr>
          <w:rFonts w:hint="eastAsia"/>
          <w:highlight w:val="none"/>
        </w:rPr>
        <w:t>可以根据设置的预警条件进行资金预警，预警包括资金支出预警、资金存量预警、或有负债预警等。</w:t>
      </w:r>
    </w:p>
    <w:p>
      <w:pPr>
        <w:pStyle w:val="6"/>
        <w:rPr>
          <w:highlight w:val="none"/>
        </w:rPr>
      </w:pPr>
      <w:bookmarkStart w:id="106" w:name="_Toc73710798"/>
      <w:bookmarkStart w:id="107" w:name="_Toc72168203"/>
      <w:bookmarkStart w:id="108" w:name="_Toc74650372"/>
      <w:r>
        <w:rPr>
          <w:rFonts w:hint="eastAsia"/>
          <w:highlight w:val="none"/>
        </w:rPr>
        <w:t>银行账户查询</w:t>
      </w:r>
      <w:bookmarkEnd w:id="106"/>
      <w:bookmarkEnd w:id="107"/>
      <w:bookmarkEnd w:id="108"/>
    </w:p>
    <w:p>
      <w:pPr>
        <w:ind w:firstLine="560"/>
        <w:rPr>
          <w:highlight w:val="none"/>
        </w:rPr>
      </w:pPr>
      <w:r>
        <w:rPr>
          <w:rFonts w:hint="eastAsia"/>
          <w:highlight w:val="none"/>
        </w:rPr>
        <w:t>按照企业的维度统计查询企业银行账号的情况，包括银行账号总数、境外的数量、冻结的数量，同时可以联查银行账号明细。</w:t>
      </w:r>
    </w:p>
    <w:p>
      <w:pPr>
        <w:pStyle w:val="6"/>
        <w:rPr>
          <w:highlight w:val="none"/>
        </w:rPr>
      </w:pPr>
      <w:bookmarkStart w:id="109" w:name="_Toc74650373"/>
      <w:bookmarkStart w:id="110" w:name="_Toc73710799"/>
      <w:bookmarkStart w:id="111" w:name="_Toc72168204"/>
      <w:r>
        <w:rPr>
          <w:rFonts w:hint="eastAsia"/>
          <w:highlight w:val="none"/>
        </w:rPr>
        <w:t>资金查询</w:t>
      </w:r>
      <w:bookmarkEnd w:id="109"/>
      <w:bookmarkEnd w:id="110"/>
      <w:bookmarkEnd w:id="111"/>
    </w:p>
    <w:p>
      <w:pPr>
        <w:pStyle w:val="41"/>
        <w:numPr>
          <w:ilvl w:val="0"/>
          <w:numId w:val="3"/>
        </w:numPr>
        <w:ind w:firstLineChars="0"/>
        <w:rPr>
          <w:highlight w:val="none"/>
        </w:rPr>
      </w:pPr>
      <w:r>
        <w:rPr>
          <w:rFonts w:hint="eastAsia"/>
          <w:highlight w:val="none"/>
        </w:rPr>
        <w:t>大额资金的查询</w:t>
      </w:r>
    </w:p>
    <w:p>
      <w:pPr>
        <w:ind w:firstLine="560"/>
        <w:rPr>
          <w:highlight w:val="none"/>
        </w:rPr>
      </w:pPr>
      <w:r>
        <w:rPr>
          <w:rFonts w:hint="eastAsia"/>
          <w:highlight w:val="none"/>
        </w:rPr>
        <w:t>按照年度、月度、天的维度统计企业的大额资金支出，同时可以联查大额资金支出明细。</w:t>
      </w:r>
    </w:p>
    <w:p>
      <w:pPr>
        <w:ind w:firstLine="560"/>
        <w:rPr>
          <w:highlight w:val="none"/>
        </w:rPr>
      </w:pPr>
      <w:r>
        <w:rPr>
          <w:rFonts w:hint="eastAsia"/>
          <w:highlight w:val="none"/>
        </w:rPr>
        <w:t>更换页签切换查询日期颗粒度，按照年度、月度、天进行汇总</w:t>
      </w:r>
    </w:p>
    <w:p>
      <w:pPr>
        <w:pStyle w:val="41"/>
        <w:numPr>
          <w:ilvl w:val="0"/>
          <w:numId w:val="3"/>
        </w:numPr>
        <w:ind w:firstLineChars="0"/>
        <w:rPr>
          <w:highlight w:val="none"/>
        </w:rPr>
      </w:pPr>
      <w:r>
        <w:rPr>
          <w:rFonts w:hint="eastAsia"/>
          <w:highlight w:val="none"/>
        </w:rPr>
        <w:t>收支明细查询</w:t>
      </w:r>
    </w:p>
    <w:p>
      <w:pPr>
        <w:ind w:firstLine="560"/>
        <w:rPr>
          <w:highlight w:val="none"/>
        </w:rPr>
      </w:pPr>
      <w:r>
        <w:rPr>
          <w:rFonts w:hint="eastAsia"/>
          <w:highlight w:val="none"/>
        </w:rPr>
        <w:t>按照年度、月度、天的维度统计企业的交易明细，同时可以联查交易明细。</w:t>
      </w:r>
    </w:p>
    <w:p>
      <w:pPr>
        <w:pStyle w:val="41"/>
        <w:numPr>
          <w:ilvl w:val="0"/>
          <w:numId w:val="3"/>
        </w:numPr>
        <w:ind w:firstLineChars="0"/>
        <w:rPr>
          <w:highlight w:val="none"/>
        </w:rPr>
      </w:pPr>
      <w:r>
        <w:rPr>
          <w:rFonts w:hint="eastAsia"/>
          <w:highlight w:val="none"/>
        </w:rPr>
        <w:t>企业余额查询</w:t>
      </w:r>
    </w:p>
    <w:p>
      <w:pPr>
        <w:ind w:firstLine="560"/>
        <w:rPr>
          <w:highlight w:val="none"/>
        </w:rPr>
      </w:pPr>
      <w:r>
        <w:rPr>
          <w:rFonts w:hint="eastAsia"/>
          <w:highlight w:val="none"/>
        </w:rPr>
        <w:t>按照企业的维度统计查询企业当前余额，同时可以联查每个银行账号的余额。</w:t>
      </w:r>
    </w:p>
    <w:p>
      <w:pPr>
        <w:pStyle w:val="6"/>
        <w:rPr>
          <w:highlight w:val="none"/>
        </w:rPr>
      </w:pPr>
      <w:bookmarkStart w:id="112" w:name="_Toc72168205"/>
      <w:bookmarkStart w:id="113" w:name="_Toc73710800"/>
      <w:bookmarkStart w:id="114" w:name="_Toc74650374"/>
      <w:r>
        <w:rPr>
          <w:rFonts w:hint="eastAsia"/>
          <w:highlight w:val="none"/>
        </w:rPr>
        <w:t>资金监控分析</w:t>
      </w:r>
      <w:bookmarkEnd w:id="112"/>
      <w:bookmarkEnd w:id="113"/>
      <w:bookmarkEnd w:id="114"/>
    </w:p>
    <w:p>
      <w:pPr>
        <w:ind w:firstLine="560"/>
        <w:rPr>
          <w:highlight w:val="none"/>
        </w:rPr>
      </w:pPr>
      <w:r>
        <w:rPr>
          <w:highlight w:val="none"/>
        </w:rPr>
        <w:t>1.分析指标：资金总额、现金存量、大额支出、企业负债等。</w:t>
      </w:r>
    </w:p>
    <w:p>
      <w:pPr>
        <w:ind w:firstLine="560"/>
        <w:rPr>
          <w:highlight w:val="none"/>
        </w:rPr>
      </w:pPr>
      <w:r>
        <w:rPr>
          <w:highlight w:val="none"/>
        </w:rPr>
        <w:t>2.分析维度：按照行业、区域、规模等维度分析银行开户情况、资金存量分布、资金可用余额分布、资金动态分析等。</w:t>
      </w:r>
    </w:p>
    <w:p>
      <w:pPr>
        <w:pStyle w:val="5"/>
        <w:rPr>
          <w:highlight w:val="none"/>
        </w:rPr>
      </w:pPr>
      <w:bookmarkStart w:id="115" w:name="_Toc73710801"/>
      <w:bookmarkStart w:id="116" w:name="_Toc71569028"/>
      <w:bookmarkStart w:id="117" w:name="_Toc72168206"/>
      <w:bookmarkStart w:id="118" w:name="_Toc74650375"/>
      <w:r>
        <w:rPr>
          <w:rFonts w:hint="eastAsia"/>
          <w:highlight w:val="none"/>
        </w:rPr>
        <w:t>投资管理</w:t>
      </w:r>
      <w:bookmarkEnd w:id="115"/>
      <w:bookmarkEnd w:id="116"/>
      <w:bookmarkEnd w:id="117"/>
      <w:bookmarkEnd w:id="118"/>
    </w:p>
    <w:p>
      <w:pPr>
        <w:ind w:firstLine="560"/>
        <w:rPr>
          <w:rFonts w:ascii="宋体" w:hAnsi="宋体"/>
          <w:szCs w:val="28"/>
          <w:highlight w:val="none"/>
        </w:rPr>
      </w:pPr>
      <w:r>
        <w:rPr>
          <w:rFonts w:hint="eastAsia" w:ascii="宋体" w:hAnsi="宋体"/>
          <w:szCs w:val="28"/>
          <w:highlight w:val="none"/>
        </w:rPr>
        <w:t>通过投资管理系统实现投资过程管理的标准化、规范化、流程化，可提升集团投资项目管理水平。投资管理系统包括投资业务投前、投中、投后、退出业务全生命周期管理。系统可灵活配置，适应多种业务场景，支持政府交办类投资项目、市场化投资项目以及纾困项目管理，提高员工工作效率。在投资过程中，可将风控合规点嵌入投资业务各个环节，有效防范各类风险发生。</w:t>
      </w:r>
    </w:p>
    <w:p>
      <w:pPr>
        <w:pStyle w:val="6"/>
        <w:rPr>
          <w:highlight w:val="none"/>
        </w:rPr>
      </w:pPr>
      <w:bookmarkStart w:id="119" w:name="_Toc74650376"/>
      <w:bookmarkStart w:id="120" w:name="_Toc72168207"/>
      <w:bookmarkStart w:id="121" w:name="_Toc73710802"/>
      <w:r>
        <w:rPr>
          <w:rFonts w:hint="eastAsia"/>
          <w:highlight w:val="none"/>
        </w:rPr>
        <w:t>制度管理</w:t>
      </w:r>
      <w:bookmarkEnd w:id="119"/>
      <w:bookmarkEnd w:id="120"/>
      <w:bookmarkEnd w:id="121"/>
    </w:p>
    <w:p>
      <w:pPr>
        <w:ind w:firstLine="560"/>
        <w:rPr>
          <w:rFonts w:ascii="宋体" w:hAnsi="宋体"/>
          <w:szCs w:val="28"/>
          <w:highlight w:val="none"/>
        </w:rPr>
      </w:pPr>
      <w:r>
        <w:rPr>
          <w:rFonts w:hint="eastAsia" w:ascii="宋体" w:hAnsi="宋体"/>
          <w:szCs w:val="28"/>
          <w:highlight w:val="none"/>
        </w:rPr>
        <w:t>为建立信息对称、权责对等、运行规范、风险控制有力的投资监督管理体系，集团制定发布投资管理制度、企业投资项目负面清单、责任追究制度等一系列与投资相关的规章制度，规范企业投资行为提供指引和方针。</w:t>
      </w:r>
    </w:p>
    <w:p>
      <w:pPr>
        <w:ind w:firstLine="560"/>
        <w:rPr>
          <w:rFonts w:ascii="宋体" w:hAnsi="宋体"/>
          <w:szCs w:val="28"/>
          <w:highlight w:val="none"/>
        </w:rPr>
      </w:pPr>
      <w:r>
        <w:rPr>
          <w:rFonts w:hint="eastAsia" w:ascii="宋体" w:hAnsi="宋体"/>
          <w:szCs w:val="28"/>
          <w:highlight w:val="none"/>
        </w:rPr>
        <w:t>主要包括：资料类别定义、国资委资料汇编、制度资料查看。</w:t>
      </w:r>
    </w:p>
    <w:p>
      <w:pPr>
        <w:pStyle w:val="6"/>
        <w:rPr>
          <w:highlight w:val="none"/>
        </w:rPr>
      </w:pPr>
      <w:bookmarkStart w:id="122" w:name="_Toc66379110"/>
      <w:bookmarkStart w:id="123" w:name="_Toc69209827"/>
      <w:bookmarkStart w:id="124" w:name="_Toc72168208"/>
      <w:bookmarkStart w:id="125" w:name="_Toc74650377"/>
      <w:bookmarkStart w:id="126" w:name="_Toc73710803"/>
      <w:r>
        <w:rPr>
          <w:rFonts w:hint="eastAsia"/>
          <w:highlight w:val="none"/>
        </w:rPr>
        <w:t>战略发展规划</w:t>
      </w:r>
      <w:bookmarkEnd w:id="122"/>
      <w:bookmarkEnd w:id="123"/>
      <w:bookmarkEnd w:id="124"/>
      <w:bookmarkEnd w:id="125"/>
      <w:bookmarkEnd w:id="126"/>
    </w:p>
    <w:p>
      <w:pPr>
        <w:ind w:firstLine="560"/>
        <w:rPr>
          <w:rFonts w:ascii="宋体" w:hAnsi="宋体"/>
          <w:szCs w:val="28"/>
          <w:highlight w:val="none"/>
        </w:rPr>
      </w:pPr>
      <w:r>
        <w:rPr>
          <w:rFonts w:hint="eastAsia" w:ascii="宋体" w:hAnsi="宋体"/>
          <w:szCs w:val="28"/>
          <w:highlight w:val="none"/>
        </w:rPr>
        <w:t>依法对企业投资活动实施监督管理，负责组织研究国有资本投资方向，审核企业五年发展战略和规划。</w:t>
      </w:r>
    </w:p>
    <w:p>
      <w:pPr>
        <w:ind w:firstLine="560"/>
        <w:rPr>
          <w:rFonts w:ascii="宋体" w:hAnsi="宋体"/>
          <w:szCs w:val="28"/>
          <w:highlight w:val="none"/>
        </w:rPr>
      </w:pPr>
      <w:r>
        <w:rPr>
          <w:rFonts w:hint="eastAsia" w:ascii="宋体" w:hAnsi="宋体"/>
          <w:szCs w:val="28"/>
          <w:highlight w:val="none"/>
        </w:rPr>
        <w:t>主要包括：战略发展规划填报、战略发展规划查看。</w:t>
      </w:r>
    </w:p>
    <w:p>
      <w:pPr>
        <w:pStyle w:val="6"/>
        <w:rPr>
          <w:highlight w:val="none"/>
        </w:rPr>
      </w:pPr>
      <w:bookmarkStart w:id="127" w:name="_Toc66379111"/>
      <w:bookmarkStart w:id="128" w:name="_Toc74650378"/>
      <w:bookmarkStart w:id="129" w:name="_Toc73710804"/>
      <w:bookmarkStart w:id="130" w:name="_Toc69209828"/>
      <w:bookmarkStart w:id="131" w:name="_Toc72168209"/>
      <w:r>
        <w:rPr>
          <w:rFonts w:hint="eastAsia"/>
          <w:highlight w:val="none"/>
        </w:rPr>
        <w:t>监管项目审核</w:t>
      </w:r>
      <w:bookmarkEnd w:id="127"/>
      <w:bookmarkEnd w:id="128"/>
      <w:bookmarkEnd w:id="129"/>
      <w:bookmarkEnd w:id="130"/>
      <w:bookmarkEnd w:id="131"/>
    </w:p>
    <w:p>
      <w:pPr>
        <w:ind w:firstLine="560"/>
        <w:rPr>
          <w:rFonts w:ascii="宋体" w:hAnsi="宋体"/>
          <w:szCs w:val="28"/>
          <w:highlight w:val="none"/>
        </w:rPr>
      </w:pPr>
      <w:r>
        <w:rPr>
          <w:rFonts w:hint="eastAsia" w:ascii="宋体" w:hAnsi="宋体"/>
          <w:szCs w:val="28"/>
          <w:highlight w:val="none"/>
        </w:rPr>
        <w:t>对企业从事的负面清单监管类和特别监管类投资项目履行出资人审核把关程序，在企业填报监管类和特别监管类项目信息完成后进行决策审核。</w:t>
      </w:r>
    </w:p>
    <w:p>
      <w:pPr>
        <w:pStyle w:val="6"/>
        <w:rPr>
          <w:highlight w:val="none"/>
        </w:rPr>
      </w:pPr>
      <w:bookmarkStart w:id="132" w:name="_Toc72168210"/>
      <w:bookmarkStart w:id="133" w:name="_Toc69209829"/>
      <w:bookmarkStart w:id="134" w:name="_Toc66379112"/>
      <w:bookmarkStart w:id="135" w:name="_Toc73710805"/>
      <w:bookmarkStart w:id="136" w:name="_Toc74650379"/>
      <w:r>
        <w:rPr>
          <w:rFonts w:hint="eastAsia"/>
          <w:highlight w:val="none"/>
        </w:rPr>
        <w:t>年度投资计划</w:t>
      </w:r>
      <w:bookmarkEnd w:id="132"/>
      <w:bookmarkEnd w:id="133"/>
      <w:bookmarkEnd w:id="134"/>
      <w:bookmarkEnd w:id="135"/>
      <w:bookmarkEnd w:id="136"/>
    </w:p>
    <w:p>
      <w:pPr>
        <w:ind w:firstLine="560"/>
        <w:rPr>
          <w:rFonts w:ascii="宋体" w:hAnsi="宋体"/>
          <w:szCs w:val="28"/>
          <w:highlight w:val="none"/>
        </w:rPr>
      </w:pPr>
      <w:r>
        <w:rPr>
          <w:rFonts w:hint="eastAsia" w:ascii="宋体" w:hAnsi="宋体"/>
          <w:szCs w:val="28"/>
          <w:highlight w:val="none"/>
        </w:rPr>
        <w:t>依据国有资本布局导向和企业发展战略及规划，从企业投资方向、投资规模、投资结构、投资能力等方面对企业年度投资计划进行备案管理，并对未及时报送年度计划的企业进行催报。</w:t>
      </w:r>
    </w:p>
    <w:p>
      <w:pPr>
        <w:ind w:firstLine="560"/>
        <w:rPr>
          <w:rFonts w:ascii="宋体" w:hAnsi="宋体"/>
          <w:szCs w:val="28"/>
          <w:highlight w:val="none"/>
        </w:rPr>
      </w:pPr>
      <w:r>
        <w:rPr>
          <w:rFonts w:hint="eastAsia" w:ascii="宋体" w:hAnsi="宋体"/>
          <w:szCs w:val="28"/>
          <w:highlight w:val="none"/>
        </w:rPr>
        <w:t>主要包括：计划报送情况查询、年度投资计划汇总、年度投资计划备案、年度调整计划备案。</w:t>
      </w:r>
    </w:p>
    <w:p>
      <w:pPr>
        <w:pStyle w:val="6"/>
        <w:rPr>
          <w:highlight w:val="none"/>
        </w:rPr>
      </w:pPr>
      <w:bookmarkStart w:id="137" w:name="_Toc72168211"/>
      <w:bookmarkStart w:id="138" w:name="_Toc74650380"/>
      <w:bookmarkStart w:id="139" w:name="_Toc73710806"/>
      <w:bookmarkStart w:id="140" w:name="_Toc69209830"/>
      <w:bookmarkStart w:id="141" w:name="_Toc66379113"/>
      <w:r>
        <w:rPr>
          <w:rFonts w:hint="eastAsia"/>
          <w:highlight w:val="none"/>
        </w:rPr>
        <w:t>投资季度完成情况</w:t>
      </w:r>
      <w:bookmarkEnd w:id="137"/>
      <w:bookmarkEnd w:id="138"/>
      <w:bookmarkEnd w:id="139"/>
      <w:bookmarkEnd w:id="140"/>
      <w:bookmarkEnd w:id="141"/>
    </w:p>
    <w:p>
      <w:pPr>
        <w:ind w:firstLine="560"/>
        <w:rPr>
          <w:rFonts w:ascii="宋体" w:hAnsi="宋体"/>
          <w:szCs w:val="28"/>
          <w:highlight w:val="none"/>
        </w:rPr>
      </w:pPr>
      <w:r>
        <w:rPr>
          <w:rFonts w:hint="eastAsia" w:ascii="宋体" w:hAnsi="宋体"/>
          <w:szCs w:val="28"/>
          <w:highlight w:val="none"/>
        </w:rPr>
        <w:t>通过投资管理信息系统对企业投资实行全过程动态监测，指导督促企业规范开展投资活动。</w:t>
      </w:r>
    </w:p>
    <w:p>
      <w:pPr>
        <w:ind w:firstLine="560"/>
        <w:rPr>
          <w:rFonts w:ascii="宋体" w:hAnsi="宋体"/>
          <w:szCs w:val="28"/>
          <w:highlight w:val="none"/>
        </w:rPr>
      </w:pPr>
      <w:r>
        <w:rPr>
          <w:rFonts w:hint="eastAsia" w:ascii="宋体" w:hAnsi="宋体"/>
          <w:szCs w:val="28"/>
          <w:highlight w:val="none"/>
        </w:rPr>
        <w:t>主要包括：季度完成情况汇总、季度报送情况汇总。</w:t>
      </w:r>
    </w:p>
    <w:p>
      <w:pPr>
        <w:pStyle w:val="6"/>
        <w:rPr>
          <w:highlight w:val="none"/>
        </w:rPr>
      </w:pPr>
      <w:bookmarkStart w:id="142" w:name="_Toc73710807"/>
      <w:bookmarkStart w:id="143" w:name="_Toc72168212"/>
      <w:bookmarkStart w:id="144" w:name="_Toc69209831"/>
      <w:bookmarkStart w:id="145" w:name="_Toc66379114"/>
      <w:bookmarkStart w:id="146" w:name="_Toc74650381"/>
      <w:r>
        <w:rPr>
          <w:rFonts w:hint="eastAsia"/>
          <w:highlight w:val="none"/>
        </w:rPr>
        <w:t>投资年度完成情况</w:t>
      </w:r>
      <w:bookmarkEnd w:id="142"/>
      <w:bookmarkEnd w:id="143"/>
      <w:bookmarkEnd w:id="144"/>
      <w:bookmarkEnd w:id="145"/>
      <w:bookmarkEnd w:id="146"/>
    </w:p>
    <w:p>
      <w:pPr>
        <w:ind w:firstLine="560"/>
        <w:rPr>
          <w:rFonts w:ascii="宋体" w:hAnsi="宋体"/>
          <w:szCs w:val="28"/>
          <w:highlight w:val="none"/>
        </w:rPr>
      </w:pPr>
      <w:r>
        <w:rPr>
          <w:rFonts w:hint="eastAsia" w:ascii="宋体" w:hAnsi="宋体"/>
          <w:szCs w:val="28"/>
          <w:highlight w:val="none"/>
        </w:rPr>
        <w:t>指导企业在年度投资完成后，编制年度投资完成情况报告，填报企业投资项目年度完成情况。</w:t>
      </w:r>
    </w:p>
    <w:p>
      <w:pPr>
        <w:ind w:firstLine="560"/>
        <w:rPr>
          <w:rFonts w:ascii="宋体" w:hAnsi="宋体"/>
          <w:szCs w:val="28"/>
          <w:highlight w:val="none"/>
        </w:rPr>
      </w:pPr>
      <w:r>
        <w:rPr>
          <w:rFonts w:hint="eastAsia" w:ascii="宋体" w:hAnsi="宋体"/>
          <w:szCs w:val="28"/>
          <w:highlight w:val="none"/>
        </w:rPr>
        <w:t>主要包括：年度完成情况汇总、年度报送情况查询。</w:t>
      </w:r>
    </w:p>
    <w:p>
      <w:pPr>
        <w:pStyle w:val="6"/>
        <w:rPr>
          <w:highlight w:val="none"/>
        </w:rPr>
      </w:pPr>
      <w:bookmarkStart w:id="147" w:name="_Toc66379115"/>
      <w:bookmarkStart w:id="148" w:name="_Toc72168213"/>
      <w:bookmarkStart w:id="149" w:name="_Toc74650382"/>
      <w:bookmarkStart w:id="150" w:name="_Toc73710808"/>
      <w:bookmarkStart w:id="151" w:name="_Toc69209832"/>
      <w:r>
        <w:rPr>
          <w:rFonts w:hint="eastAsia"/>
          <w:highlight w:val="none"/>
        </w:rPr>
        <w:t>投资后评价</w:t>
      </w:r>
      <w:bookmarkEnd w:id="147"/>
      <w:bookmarkEnd w:id="148"/>
      <w:bookmarkEnd w:id="149"/>
      <w:bookmarkEnd w:id="150"/>
      <w:bookmarkEnd w:id="151"/>
    </w:p>
    <w:p>
      <w:pPr>
        <w:ind w:firstLine="560"/>
        <w:rPr>
          <w:rFonts w:ascii="宋体" w:hAnsi="宋体"/>
          <w:szCs w:val="28"/>
          <w:highlight w:val="none"/>
        </w:rPr>
      </w:pPr>
      <w:r>
        <w:rPr>
          <w:rFonts w:hint="eastAsia" w:ascii="宋体" w:hAnsi="宋体"/>
          <w:szCs w:val="28"/>
          <w:highlight w:val="none"/>
        </w:rPr>
        <w:t>对企业投资项目后评价工作进行监督和指导，每年选择部分企业重大投资项目组织开展后评价。</w:t>
      </w:r>
    </w:p>
    <w:p>
      <w:pPr>
        <w:ind w:firstLine="560"/>
        <w:rPr>
          <w:rFonts w:ascii="宋体" w:hAnsi="宋体"/>
          <w:szCs w:val="28"/>
          <w:highlight w:val="none"/>
        </w:rPr>
      </w:pPr>
      <w:r>
        <w:rPr>
          <w:rFonts w:hint="eastAsia" w:ascii="宋体" w:hAnsi="宋体"/>
          <w:szCs w:val="28"/>
          <w:highlight w:val="none"/>
        </w:rPr>
        <w:t>主要包括：后评价计划执行情况、后评价报告统计查询。</w:t>
      </w:r>
    </w:p>
    <w:p>
      <w:pPr>
        <w:pStyle w:val="6"/>
        <w:rPr>
          <w:highlight w:val="none"/>
        </w:rPr>
      </w:pPr>
      <w:bookmarkStart w:id="152" w:name="_Toc74650383"/>
      <w:bookmarkStart w:id="153" w:name="_Toc69209833"/>
      <w:bookmarkStart w:id="154" w:name="_Toc73710809"/>
      <w:bookmarkStart w:id="155" w:name="_Toc72168214"/>
      <w:bookmarkStart w:id="156" w:name="_Toc66379116"/>
      <w:r>
        <w:rPr>
          <w:rFonts w:hint="eastAsia"/>
          <w:highlight w:val="none"/>
        </w:rPr>
        <w:t>投资项目进展情况</w:t>
      </w:r>
      <w:bookmarkEnd w:id="152"/>
      <w:bookmarkEnd w:id="153"/>
      <w:bookmarkEnd w:id="154"/>
      <w:bookmarkEnd w:id="155"/>
      <w:bookmarkEnd w:id="156"/>
    </w:p>
    <w:p>
      <w:pPr>
        <w:ind w:firstLine="560"/>
        <w:rPr>
          <w:rFonts w:ascii="宋体" w:hAnsi="宋体"/>
          <w:szCs w:val="28"/>
          <w:highlight w:val="none"/>
        </w:rPr>
      </w:pPr>
      <w:r>
        <w:rPr>
          <w:rFonts w:hint="eastAsia" w:ascii="宋体" w:hAnsi="宋体"/>
          <w:szCs w:val="28"/>
          <w:highlight w:val="none"/>
        </w:rPr>
        <w:t>可以通过对项目的投资类别、投资地域、投资方向、项目分类等多维度进行组合查询查询，并可以联查项目详细信息，及时、准确的获取企业投资信息。</w:t>
      </w:r>
    </w:p>
    <w:p>
      <w:pPr>
        <w:ind w:firstLine="560"/>
        <w:rPr>
          <w:rFonts w:ascii="宋体" w:hAnsi="宋体"/>
          <w:szCs w:val="28"/>
          <w:highlight w:val="none"/>
        </w:rPr>
      </w:pPr>
      <w:r>
        <w:rPr>
          <w:rFonts w:hint="eastAsia" w:ascii="宋体" w:hAnsi="宋体"/>
          <w:szCs w:val="28"/>
          <w:highlight w:val="none"/>
        </w:rPr>
        <w:t>主要包括投资项目查询、监管项目查询、完成项目查询。</w:t>
      </w:r>
    </w:p>
    <w:p>
      <w:pPr>
        <w:pStyle w:val="6"/>
        <w:rPr>
          <w:highlight w:val="none"/>
        </w:rPr>
      </w:pPr>
      <w:bookmarkStart w:id="157" w:name="_Toc66379117"/>
      <w:bookmarkStart w:id="158" w:name="_Toc73710810"/>
      <w:bookmarkStart w:id="159" w:name="_Toc72168215"/>
      <w:bookmarkStart w:id="160" w:name="_Toc74650384"/>
      <w:bookmarkStart w:id="161" w:name="_Toc69209834"/>
      <w:r>
        <w:rPr>
          <w:rFonts w:hint="eastAsia"/>
          <w:highlight w:val="none"/>
        </w:rPr>
        <w:t>投资查询分析</w:t>
      </w:r>
      <w:bookmarkEnd w:id="157"/>
      <w:bookmarkEnd w:id="158"/>
      <w:bookmarkEnd w:id="159"/>
      <w:bookmarkEnd w:id="160"/>
      <w:bookmarkEnd w:id="161"/>
    </w:p>
    <w:p>
      <w:pPr>
        <w:ind w:firstLine="560"/>
        <w:rPr>
          <w:rFonts w:ascii="宋体" w:hAnsi="宋体"/>
          <w:szCs w:val="28"/>
          <w:highlight w:val="none"/>
        </w:rPr>
      </w:pPr>
      <w:r>
        <w:rPr>
          <w:rFonts w:hint="eastAsia" w:ascii="宋体" w:hAnsi="宋体"/>
          <w:szCs w:val="28"/>
          <w:highlight w:val="none"/>
        </w:rPr>
        <w:t>通过对项目的投资类别、投资方向、投资规模等多维度进行查询分析，运用表格、图形等形式展现企业的投资情况，便于准确的掌握企业的投资情况。</w:t>
      </w:r>
    </w:p>
    <w:p>
      <w:pPr>
        <w:ind w:firstLine="560"/>
        <w:rPr>
          <w:rFonts w:ascii="宋体" w:hAnsi="宋体"/>
          <w:szCs w:val="28"/>
          <w:highlight w:val="none"/>
        </w:rPr>
      </w:pPr>
      <w:r>
        <w:rPr>
          <w:rFonts w:hint="eastAsia" w:ascii="宋体" w:hAnsi="宋体"/>
          <w:szCs w:val="28"/>
          <w:highlight w:val="none"/>
        </w:rPr>
        <w:t>主要包括：分类汇总查询、投资方向分析、投资规模分析、投资结构分析。</w:t>
      </w:r>
    </w:p>
    <w:p>
      <w:pPr>
        <w:pStyle w:val="5"/>
        <w:rPr>
          <w:highlight w:val="none"/>
        </w:rPr>
      </w:pPr>
      <w:bookmarkStart w:id="162" w:name="_Toc74650385"/>
      <w:bookmarkStart w:id="163" w:name="_Toc73710811"/>
      <w:bookmarkStart w:id="164" w:name="_Toc71569030"/>
      <w:bookmarkStart w:id="165" w:name="_Toc72168216"/>
      <w:r>
        <w:rPr>
          <w:rFonts w:hint="eastAsia"/>
          <w:highlight w:val="none"/>
        </w:rPr>
        <w:t>国企改革</w:t>
      </w:r>
      <w:bookmarkEnd w:id="162"/>
      <w:bookmarkEnd w:id="163"/>
      <w:bookmarkEnd w:id="164"/>
      <w:bookmarkEnd w:id="165"/>
    </w:p>
    <w:p>
      <w:pPr>
        <w:ind w:firstLine="560"/>
        <w:rPr>
          <w:rFonts w:ascii="宋体" w:hAnsi="宋体"/>
          <w:szCs w:val="28"/>
          <w:highlight w:val="none"/>
        </w:rPr>
      </w:pPr>
      <w:r>
        <w:rPr>
          <w:rFonts w:hint="eastAsia" w:ascii="宋体" w:hAnsi="宋体"/>
          <w:szCs w:val="28"/>
          <w:highlight w:val="none"/>
        </w:rPr>
        <w:t>国企改革任务完成情况子系统，主要便于集团及时掌握下级企业改革任务进展和完成情况，由下级企业每月月末报送一次。报表反映本年累计完成情况，企业填报后自动汇总，支持查询上传的时间，并附文字说明。由于工作重点和时间变化，年度改革项目等信息可能会有变动，在集团层面可以设置更改的功能和权限。</w:t>
      </w:r>
    </w:p>
    <w:p>
      <w:pPr>
        <w:pStyle w:val="6"/>
        <w:rPr>
          <w:highlight w:val="none"/>
        </w:rPr>
      </w:pPr>
      <w:bookmarkStart w:id="166" w:name="_Toc72168217"/>
      <w:bookmarkStart w:id="167" w:name="_Toc73710812"/>
      <w:bookmarkStart w:id="168" w:name="_Toc74650386"/>
      <w:r>
        <w:rPr>
          <w:rFonts w:hint="eastAsia"/>
          <w:highlight w:val="none"/>
        </w:rPr>
        <w:t>报表设计</w:t>
      </w:r>
      <w:bookmarkEnd w:id="166"/>
      <w:bookmarkEnd w:id="167"/>
      <w:bookmarkEnd w:id="168"/>
    </w:p>
    <w:p>
      <w:pPr>
        <w:ind w:firstLine="560"/>
        <w:rPr>
          <w:rFonts w:ascii="宋体" w:hAnsi="宋体"/>
          <w:szCs w:val="28"/>
          <w:highlight w:val="none"/>
        </w:rPr>
      </w:pPr>
      <w:r>
        <w:rPr>
          <w:rFonts w:hint="eastAsia" w:ascii="宋体" w:hAnsi="宋体"/>
          <w:szCs w:val="28"/>
          <w:highlight w:val="none"/>
        </w:rPr>
        <w:t>出资企业改革任务完成情况报表设计，分为报表设计管理和报表任务管理，主要是完成整个报表初始化设置。系统提供灵活的报表定义模版，可以根据管理要求对报表和项目进行自由定义，表内项目、表间项目可以进行公式定义。</w:t>
      </w:r>
    </w:p>
    <w:p>
      <w:pPr>
        <w:ind w:firstLine="560"/>
        <w:rPr>
          <w:rFonts w:ascii="宋体" w:hAnsi="宋体"/>
          <w:szCs w:val="28"/>
          <w:highlight w:val="none"/>
        </w:rPr>
      </w:pPr>
      <w:r>
        <w:rPr>
          <w:rFonts w:hint="eastAsia" w:ascii="宋体" w:hAnsi="宋体"/>
          <w:szCs w:val="28"/>
          <w:highlight w:val="none"/>
        </w:rPr>
        <w:t>编制要求说明</w:t>
      </w:r>
    </w:p>
    <w:p>
      <w:pPr>
        <w:ind w:firstLine="560"/>
        <w:rPr>
          <w:rFonts w:ascii="宋体" w:hAnsi="宋体"/>
          <w:szCs w:val="28"/>
          <w:highlight w:val="none"/>
        </w:rPr>
      </w:pPr>
      <w:r>
        <w:rPr>
          <w:rFonts w:hint="eastAsia" w:ascii="宋体" w:hAnsi="宋体"/>
          <w:szCs w:val="28"/>
          <w:highlight w:val="none"/>
        </w:rPr>
        <w:t>系统提供编制要求说明下载，企业在填报时，可以下载编制要求说明作为编制参考和依据。</w:t>
      </w:r>
    </w:p>
    <w:p>
      <w:pPr>
        <w:pStyle w:val="6"/>
        <w:rPr>
          <w:highlight w:val="none"/>
        </w:rPr>
      </w:pPr>
      <w:bookmarkStart w:id="169" w:name="_Toc72168218"/>
      <w:bookmarkStart w:id="170" w:name="_Toc73710813"/>
      <w:bookmarkStart w:id="171" w:name="_Toc74650387"/>
      <w:r>
        <w:rPr>
          <w:rFonts w:hint="eastAsia"/>
          <w:highlight w:val="none"/>
        </w:rPr>
        <w:t>数</w:t>
      </w:r>
      <w:r>
        <w:rPr>
          <w:highlight w:val="none"/>
        </w:rPr>
        <w:t>据填报</w:t>
      </w:r>
      <w:bookmarkEnd w:id="169"/>
      <w:bookmarkEnd w:id="170"/>
      <w:bookmarkEnd w:id="171"/>
      <w:r>
        <w:rPr>
          <w:highlight w:val="none"/>
        </w:rPr>
        <w:t xml:space="preserve"> </w:t>
      </w:r>
    </w:p>
    <w:p>
      <w:pPr>
        <w:ind w:firstLine="560"/>
        <w:rPr>
          <w:rFonts w:ascii="宋体" w:hAnsi="宋体"/>
          <w:szCs w:val="28"/>
          <w:highlight w:val="none"/>
        </w:rPr>
      </w:pPr>
      <w:r>
        <w:rPr>
          <w:rFonts w:hint="eastAsia" w:ascii="宋体" w:hAnsi="宋体"/>
          <w:szCs w:val="28"/>
          <w:highlight w:val="none"/>
        </w:rPr>
        <w:t>能够通知企业报送出资企业改革任务完成情况。</w:t>
      </w:r>
    </w:p>
    <w:p>
      <w:pPr>
        <w:ind w:firstLine="560"/>
        <w:rPr>
          <w:rFonts w:ascii="宋体" w:hAnsi="宋体"/>
          <w:szCs w:val="28"/>
          <w:highlight w:val="none"/>
        </w:rPr>
      </w:pPr>
      <w:r>
        <w:rPr>
          <w:rFonts w:hint="eastAsia" w:ascii="宋体" w:hAnsi="宋体"/>
          <w:szCs w:val="28"/>
          <w:highlight w:val="none"/>
        </w:rPr>
        <w:t>企业登录业务子系统后，根据填报要求在系统中填报企业数据。</w:t>
      </w:r>
    </w:p>
    <w:p>
      <w:pPr>
        <w:ind w:firstLine="560"/>
        <w:rPr>
          <w:rFonts w:ascii="宋体" w:hAnsi="宋体"/>
          <w:szCs w:val="28"/>
          <w:highlight w:val="none"/>
        </w:rPr>
      </w:pPr>
      <w:r>
        <w:rPr>
          <w:rFonts w:hint="eastAsia" w:ascii="宋体" w:hAnsi="宋体"/>
          <w:szCs w:val="28"/>
          <w:highlight w:val="none"/>
        </w:rPr>
        <w:t>平衡关系校验</w:t>
      </w:r>
    </w:p>
    <w:p>
      <w:pPr>
        <w:ind w:firstLine="560"/>
        <w:rPr>
          <w:rFonts w:ascii="宋体" w:hAnsi="宋体"/>
          <w:szCs w:val="28"/>
          <w:highlight w:val="none"/>
        </w:rPr>
      </w:pPr>
      <w:r>
        <w:rPr>
          <w:rFonts w:hint="eastAsia" w:ascii="宋体" w:hAnsi="宋体"/>
          <w:szCs w:val="28"/>
          <w:highlight w:val="none"/>
        </w:rPr>
        <w:t>对定义项目平衡关系的，在数据填报后，系统自动进行平衡检查。如果出现平衡错误，系统将给与提示。</w:t>
      </w:r>
    </w:p>
    <w:p>
      <w:pPr>
        <w:pStyle w:val="6"/>
        <w:rPr>
          <w:highlight w:val="none"/>
        </w:rPr>
      </w:pPr>
      <w:bookmarkStart w:id="172" w:name="_Toc72168219"/>
      <w:bookmarkStart w:id="173" w:name="_Toc74650388"/>
      <w:bookmarkStart w:id="174" w:name="_Toc73710814"/>
      <w:r>
        <w:rPr>
          <w:highlight w:val="none"/>
        </w:rPr>
        <w:t>上报与催报</w:t>
      </w:r>
      <w:bookmarkEnd w:id="172"/>
      <w:bookmarkEnd w:id="173"/>
      <w:bookmarkEnd w:id="174"/>
    </w:p>
    <w:p>
      <w:pPr>
        <w:ind w:firstLine="560"/>
        <w:rPr>
          <w:rFonts w:ascii="宋体" w:hAnsi="宋体"/>
          <w:szCs w:val="28"/>
          <w:highlight w:val="none"/>
        </w:rPr>
      </w:pPr>
      <w:r>
        <w:rPr>
          <w:rFonts w:hint="eastAsia" w:ascii="宋体" w:hAnsi="宋体"/>
          <w:szCs w:val="28"/>
          <w:highlight w:val="none"/>
        </w:rPr>
        <w:t>企业填报数据之后，经过审核，即可上报集团进行存档。</w:t>
      </w:r>
    </w:p>
    <w:p>
      <w:pPr>
        <w:ind w:firstLine="560"/>
        <w:rPr>
          <w:rFonts w:ascii="宋体" w:hAnsi="宋体"/>
          <w:szCs w:val="28"/>
          <w:highlight w:val="none"/>
        </w:rPr>
      </w:pPr>
      <w:r>
        <w:rPr>
          <w:rFonts w:hint="eastAsia" w:ascii="宋体" w:hAnsi="宋体"/>
          <w:szCs w:val="28"/>
          <w:highlight w:val="none"/>
        </w:rPr>
        <w:t>系统提供催报功能，能够列示已报单位和未报单位，对未报企业，系统自动根据时间设置向企业发出催报信息。</w:t>
      </w:r>
    </w:p>
    <w:p>
      <w:pPr>
        <w:pStyle w:val="6"/>
        <w:rPr>
          <w:highlight w:val="none"/>
        </w:rPr>
      </w:pPr>
      <w:bookmarkStart w:id="175" w:name="_Toc73710815"/>
      <w:bookmarkStart w:id="176" w:name="_Toc72168220"/>
      <w:bookmarkStart w:id="177" w:name="_Toc74650389"/>
      <w:r>
        <w:rPr>
          <w:highlight w:val="none"/>
        </w:rPr>
        <w:t>附件填报</w:t>
      </w:r>
      <w:bookmarkEnd w:id="175"/>
      <w:bookmarkEnd w:id="176"/>
      <w:bookmarkEnd w:id="177"/>
    </w:p>
    <w:p>
      <w:pPr>
        <w:ind w:firstLine="560"/>
        <w:rPr>
          <w:rFonts w:ascii="宋体" w:hAnsi="宋体"/>
          <w:szCs w:val="28"/>
          <w:highlight w:val="none"/>
        </w:rPr>
      </w:pPr>
      <w:r>
        <w:rPr>
          <w:rFonts w:hint="eastAsia" w:ascii="宋体" w:hAnsi="宋体"/>
          <w:szCs w:val="28"/>
          <w:highlight w:val="none"/>
        </w:rPr>
        <w:t>一些随报表一起上报的附报文档说明，可以通过附件方式上报。</w:t>
      </w:r>
    </w:p>
    <w:p>
      <w:pPr>
        <w:pStyle w:val="6"/>
        <w:rPr>
          <w:highlight w:val="none"/>
        </w:rPr>
      </w:pPr>
      <w:bookmarkStart w:id="178" w:name="_Toc72168221"/>
      <w:bookmarkStart w:id="179" w:name="_Toc74650390"/>
      <w:bookmarkStart w:id="180" w:name="_Toc73710816"/>
      <w:r>
        <w:rPr>
          <w:highlight w:val="none"/>
        </w:rPr>
        <w:t>通知与提醒</w:t>
      </w:r>
      <w:bookmarkEnd w:id="178"/>
      <w:bookmarkEnd w:id="179"/>
      <w:bookmarkEnd w:id="180"/>
    </w:p>
    <w:p>
      <w:pPr>
        <w:ind w:firstLine="560"/>
        <w:rPr>
          <w:rFonts w:ascii="宋体" w:hAnsi="宋体"/>
          <w:szCs w:val="28"/>
          <w:highlight w:val="none"/>
        </w:rPr>
      </w:pPr>
      <w:r>
        <w:rPr>
          <w:rFonts w:hint="eastAsia" w:ascii="宋体" w:hAnsi="宋体"/>
          <w:szCs w:val="28"/>
          <w:highlight w:val="none"/>
        </w:rPr>
        <w:t>企业的数据上报之后，能够接收用户可以收到提醒消息，通知其某企业数据已上报；集团也可以向指定企业发送通知。</w:t>
      </w:r>
      <w:r>
        <w:rPr>
          <w:rFonts w:ascii="宋体" w:hAnsi="宋体"/>
          <w:szCs w:val="28"/>
          <w:highlight w:val="none"/>
        </w:rPr>
        <w:t xml:space="preserve"> </w:t>
      </w:r>
    </w:p>
    <w:p>
      <w:pPr>
        <w:pStyle w:val="6"/>
        <w:rPr>
          <w:highlight w:val="none"/>
        </w:rPr>
      </w:pPr>
      <w:bookmarkStart w:id="181" w:name="_Toc73710817"/>
      <w:bookmarkStart w:id="182" w:name="_Toc74650391"/>
      <w:bookmarkStart w:id="183" w:name="_Toc72168222"/>
      <w:r>
        <w:rPr>
          <w:highlight w:val="none"/>
        </w:rPr>
        <w:t>查询统计</w:t>
      </w:r>
      <w:bookmarkEnd w:id="181"/>
      <w:bookmarkEnd w:id="182"/>
      <w:bookmarkEnd w:id="183"/>
    </w:p>
    <w:p>
      <w:pPr>
        <w:ind w:firstLine="560"/>
        <w:rPr>
          <w:rFonts w:ascii="宋体" w:hAnsi="宋体"/>
          <w:szCs w:val="28"/>
          <w:highlight w:val="none"/>
        </w:rPr>
      </w:pPr>
      <w:r>
        <w:rPr>
          <w:rFonts w:hint="eastAsia" w:ascii="宋体" w:hAnsi="宋体"/>
          <w:szCs w:val="28"/>
          <w:highlight w:val="none"/>
        </w:rPr>
        <w:t>提供常规的出资企业改革任务完成情况分析查询、汇总数据查询和多维度（年度、多年度期间）的统计分析。</w:t>
      </w:r>
    </w:p>
    <w:p>
      <w:pPr>
        <w:pStyle w:val="5"/>
        <w:rPr>
          <w:highlight w:val="none"/>
        </w:rPr>
      </w:pPr>
      <w:bookmarkStart w:id="184" w:name="_Toc71569031"/>
      <w:bookmarkStart w:id="185" w:name="_Toc72168223"/>
      <w:bookmarkStart w:id="186" w:name="_Toc73710818"/>
      <w:bookmarkStart w:id="187" w:name="_Toc74650392"/>
      <w:r>
        <w:rPr>
          <w:rFonts w:hint="eastAsia"/>
          <w:highlight w:val="none"/>
        </w:rPr>
        <w:t>法律纠纷案件统计</w:t>
      </w:r>
      <w:bookmarkEnd w:id="184"/>
      <w:bookmarkEnd w:id="185"/>
      <w:bookmarkEnd w:id="186"/>
      <w:bookmarkEnd w:id="187"/>
    </w:p>
    <w:p>
      <w:pPr>
        <w:ind w:firstLine="560"/>
        <w:rPr>
          <w:rFonts w:ascii="宋体" w:hAnsi="宋体"/>
          <w:szCs w:val="28"/>
          <w:highlight w:val="none"/>
        </w:rPr>
      </w:pPr>
      <w:r>
        <w:rPr>
          <w:rFonts w:hint="eastAsia" w:ascii="宋体" w:hAnsi="宋体"/>
          <w:szCs w:val="28"/>
          <w:highlight w:val="none"/>
        </w:rPr>
        <w:t>提供企业法治信息上报、涉诉案件信息上报两大功能。企业法治信息上报以及涉诉案件信息上报可以实现对企业的各种涉诉案件以及法制活动的管理。</w:t>
      </w:r>
    </w:p>
    <w:p>
      <w:pPr>
        <w:pStyle w:val="6"/>
        <w:rPr>
          <w:highlight w:val="none"/>
        </w:rPr>
      </w:pPr>
      <w:bookmarkStart w:id="188" w:name="_Toc74650393"/>
      <w:bookmarkStart w:id="189" w:name="_Toc73710819"/>
      <w:bookmarkStart w:id="190" w:name="_Toc72168224"/>
      <w:r>
        <w:rPr>
          <w:rFonts w:hint="eastAsia"/>
          <w:highlight w:val="none"/>
        </w:rPr>
        <w:t>企业法治信息</w:t>
      </w:r>
      <w:bookmarkEnd w:id="188"/>
      <w:bookmarkEnd w:id="189"/>
      <w:bookmarkEnd w:id="190"/>
    </w:p>
    <w:p>
      <w:pPr>
        <w:ind w:firstLine="560"/>
        <w:rPr>
          <w:rFonts w:ascii="宋体" w:hAnsi="宋体"/>
          <w:szCs w:val="28"/>
          <w:highlight w:val="none"/>
        </w:rPr>
      </w:pPr>
      <w:r>
        <w:rPr>
          <w:rFonts w:hint="eastAsia" w:ascii="宋体" w:hAnsi="宋体"/>
          <w:szCs w:val="28"/>
          <w:highlight w:val="none"/>
        </w:rPr>
        <w:t>企业法治信息由企业进行上报，上报信息包括法制宣传活动信息、法制培训活动信息，重要决策法律审核比例，经济合同法律审核比例，境外重大项目法律顾问参与情况，企业专职法务人员信，企业持有法律执业资格证书人员信息等。</w:t>
      </w:r>
    </w:p>
    <w:p>
      <w:pPr>
        <w:ind w:firstLine="560"/>
        <w:rPr>
          <w:rFonts w:ascii="宋体" w:hAnsi="宋体"/>
          <w:szCs w:val="28"/>
          <w:highlight w:val="none"/>
        </w:rPr>
      </w:pPr>
      <w:r>
        <w:rPr>
          <w:rFonts w:hint="eastAsia" w:ascii="宋体" w:hAnsi="宋体"/>
          <w:szCs w:val="28"/>
          <w:highlight w:val="none"/>
        </w:rPr>
        <w:t>企业通过数据报表、电子文档等形式进行信息上报。其中法制宣传活动信息、法制培训活动信息以电子文档形式进行提交，上报内容包括活动主题、参与人数、活动效果、图片视频等内容，上报时间由企业实时报送。系统定期生成信息统计报表，并能够对具体法治活动信息进行查阅。</w:t>
      </w:r>
    </w:p>
    <w:p>
      <w:pPr>
        <w:ind w:firstLine="560"/>
        <w:rPr>
          <w:rFonts w:ascii="宋体" w:hAnsi="宋体"/>
          <w:szCs w:val="28"/>
          <w:highlight w:val="none"/>
        </w:rPr>
      </w:pPr>
      <w:r>
        <w:rPr>
          <w:rFonts w:hint="eastAsia" w:ascii="宋体" w:hAnsi="宋体"/>
          <w:szCs w:val="28"/>
          <w:highlight w:val="none"/>
        </w:rPr>
        <w:t>数据报表信息上报由集团对企业下发相关通知，说明上报数据表格内容，并设置填报，填报截止日期。系统将上报任务发给企业，并通过短信等方式提醒企业工作人员，对数据进行填报。对逾期未填报的企业，可以对其进行催报，催报形式包括短信、系统消息等方式。系统对企业提交的信息自动进行汇总，生成汇总报表。</w:t>
      </w:r>
    </w:p>
    <w:p>
      <w:pPr>
        <w:ind w:firstLine="560"/>
        <w:rPr>
          <w:rFonts w:ascii="宋体" w:hAnsi="宋体"/>
          <w:szCs w:val="28"/>
          <w:highlight w:val="none"/>
        </w:rPr>
      </w:pPr>
      <w:r>
        <w:rPr>
          <w:rFonts w:hint="eastAsia" w:ascii="宋体" w:hAnsi="宋体"/>
          <w:szCs w:val="28"/>
          <w:highlight w:val="none"/>
        </w:rPr>
        <w:t>（1）任务管理</w:t>
      </w:r>
    </w:p>
    <w:p>
      <w:pPr>
        <w:ind w:firstLine="560"/>
        <w:rPr>
          <w:rFonts w:ascii="宋体" w:hAnsi="宋体"/>
          <w:szCs w:val="28"/>
          <w:highlight w:val="none"/>
        </w:rPr>
      </w:pPr>
      <w:r>
        <w:rPr>
          <w:rFonts w:hint="eastAsia" w:ascii="宋体" w:hAnsi="宋体"/>
          <w:szCs w:val="28"/>
          <w:highlight w:val="none"/>
        </w:rPr>
        <w:t>包括任务定制和任务下达。</w:t>
      </w:r>
    </w:p>
    <w:p>
      <w:pPr>
        <w:ind w:firstLine="560"/>
        <w:rPr>
          <w:rFonts w:ascii="宋体" w:hAnsi="宋体"/>
          <w:szCs w:val="28"/>
          <w:highlight w:val="none"/>
        </w:rPr>
      </w:pPr>
      <w:r>
        <w:rPr>
          <w:rFonts w:hint="eastAsia" w:ascii="宋体" w:hAnsi="宋体"/>
          <w:szCs w:val="28"/>
          <w:highlight w:val="none"/>
        </w:rPr>
        <w:t>（2）法治国企信息填报</w:t>
      </w:r>
    </w:p>
    <w:p>
      <w:pPr>
        <w:ind w:firstLine="560"/>
        <w:rPr>
          <w:rFonts w:ascii="宋体" w:hAnsi="宋体"/>
          <w:szCs w:val="28"/>
          <w:highlight w:val="none"/>
        </w:rPr>
      </w:pPr>
      <w:r>
        <w:rPr>
          <w:rFonts w:hint="eastAsia" w:ascii="宋体" w:hAnsi="宋体"/>
          <w:szCs w:val="28"/>
          <w:highlight w:val="none"/>
        </w:rPr>
        <w:t>支持手工录入数据、excel文件导入数据。需填报的数据包括法律事务机构及人员情况统计表、年度新发生案件统计表（含主诉、被诉、一审）、年度法律中介机构及人员工作评价统计表、年度“三项重点工作”法律审核情况统计表等。企业可查询已录入的数据，并能对该数据进行修改、删除操作。</w:t>
      </w:r>
    </w:p>
    <w:p>
      <w:pPr>
        <w:ind w:firstLine="560"/>
        <w:rPr>
          <w:rFonts w:ascii="宋体" w:hAnsi="宋体"/>
          <w:szCs w:val="28"/>
          <w:highlight w:val="none"/>
        </w:rPr>
      </w:pPr>
      <w:r>
        <w:rPr>
          <w:rFonts w:hint="eastAsia" w:ascii="宋体" w:hAnsi="宋体"/>
          <w:szCs w:val="28"/>
          <w:highlight w:val="none"/>
        </w:rPr>
        <w:t>（3）审核</w:t>
      </w:r>
    </w:p>
    <w:p>
      <w:pPr>
        <w:ind w:firstLine="560"/>
        <w:rPr>
          <w:rFonts w:ascii="宋体" w:hAnsi="宋体"/>
          <w:szCs w:val="28"/>
          <w:highlight w:val="none"/>
        </w:rPr>
      </w:pPr>
      <w:r>
        <w:rPr>
          <w:rFonts w:hint="eastAsia" w:ascii="宋体" w:hAnsi="宋体"/>
          <w:szCs w:val="28"/>
          <w:highlight w:val="none"/>
        </w:rPr>
        <w:t>对企业上报的信息进行审核，如拒绝接收，则需企业重新填报。</w:t>
      </w:r>
    </w:p>
    <w:p>
      <w:pPr>
        <w:ind w:firstLine="560"/>
        <w:rPr>
          <w:rFonts w:ascii="宋体" w:hAnsi="宋体"/>
          <w:szCs w:val="28"/>
          <w:highlight w:val="none"/>
        </w:rPr>
      </w:pPr>
      <w:r>
        <w:rPr>
          <w:rFonts w:hint="eastAsia" w:ascii="宋体" w:hAnsi="宋体"/>
          <w:szCs w:val="28"/>
          <w:highlight w:val="none"/>
        </w:rPr>
        <w:t>（4）报表查询</w:t>
      </w:r>
    </w:p>
    <w:p>
      <w:pPr>
        <w:ind w:firstLine="560"/>
        <w:rPr>
          <w:rFonts w:ascii="宋体" w:hAnsi="宋体"/>
          <w:szCs w:val="28"/>
          <w:highlight w:val="none"/>
        </w:rPr>
      </w:pPr>
      <w:r>
        <w:rPr>
          <w:rFonts w:hint="eastAsia" w:ascii="宋体" w:hAnsi="宋体"/>
          <w:szCs w:val="28"/>
          <w:highlight w:val="none"/>
        </w:rPr>
        <w:t>按报表分类、单位、年度、月份快速检索报表信息。</w:t>
      </w:r>
    </w:p>
    <w:p>
      <w:pPr>
        <w:ind w:firstLine="560"/>
        <w:rPr>
          <w:rFonts w:ascii="宋体" w:hAnsi="宋体"/>
          <w:szCs w:val="28"/>
          <w:highlight w:val="none"/>
        </w:rPr>
      </w:pPr>
      <w:r>
        <w:rPr>
          <w:rFonts w:hint="eastAsia" w:ascii="宋体" w:hAnsi="宋体"/>
          <w:szCs w:val="28"/>
          <w:highlight w:val="none"/>
        </w:rPr>
        <w:t>（5）上报情况统计</w:t>
      </w:r>
    </w:p>
    <w:p>
      <w:pPr>
        <w:ind w:firstLine="560"/>
        <w:rPr>
          <w:rFonts w:ascii="宋体" w:hAnsi="宋体"/>
          <w:szCs w:val="28"/>
          <w:highlight w:val="none"/>
        </w:rPr>
      </w:pPr>
      <w:r>
        <w:rPr>
          <w:rFonts w:hint="eastAsia" w:ascii="宋体" w:hAnsi="宋体"/>
          <w:szCs w:val="28"/>
          <w:highlight w:val="none"/>
        </w:rPr>
        <w:t>可查看企业的法治国企信息报送情况，并对企业进行上报考核统计，统计迟报、不报等情况。</w:t>
      </w:r>
    </w:p>
    <w:p>
      <w:pPr>
        <w:ind w:firstLine="560"/>
        <w:rPr>
          <w:rFonts w:ascii="宋体" w:hAnsi="宋体"/>
          <w:szCs w:val="28"/>
          <w:highlight w:val="none"/>
        </w:rPr>
      </w:pPr>
      <w:r>
        <w:rPr>
          <w:rFonts w:hint="eastAsia" w:ascii="宋体" w:hAnsi="宋体"/>
          <w:szCs w:val="28"/>
          <w:highlight w:val="none"/>
        </w:rPr>
        <w:t>对逾期未报的企业，可进行催报，催报可通过设置规则自动发送，方式包括系统消息等。</w:t>
      </w:r>
    </w:p>
    <w:p>
      <w:pPr>
        <w:pStyle w:val="6"/>
        <w:rPr>
          <w:highlight w:val="none"/>
        </w:rPr>
      </w:pPr>
      <w:bookmarkStart w:id="191" w:name="_Toc73710820"/>
      <w:bookmarkStart w:id="192" w:name="_Toc72168225"/>
      <w:bookmarkStart w:id="193" w:name="_Toc74650394"/>
      <w:r>
        <w:rPr>
          <w:rFonts w:hint="eastAsia"/>
          <w:highlight w:val="none"/>
        </w:rPr>
        <w:t>涉诉涉案信息</w:t>
      </w:r>
      <w:bookmarkEnd w:id="191"/>
      <w:bookmarkEnd w:id="192"/>
      <w:bookmarkEnd w:id="193"/>
    </w:p>
    <w:p>
      <w:pPr>
        <w:ind w:firstLine="560"/>
        <w:rPr>
          <w:rFonts w:ascii="宋体" w:hAnsi="宋体"/>
          <w:szCs w:val="28"/>
          <w:highlight w:val="none"/>
        </w:rPr>
      </w:pPr>
      <w:r>
        <w:rPr>
          <w:rFonts w:hint="eastAsia" w:ascii="宋体" w:hAnsi="宋体"/>
          <w:szCs w:val="28"/>
          <w:highlight w:val="none"/>
        </w:rPr>
        <w:t>涉诉涉案信息指企业及其重要子企业发生的法律纠纷案件情况，由企业实时报送。法律纠纷案件包括买卖纠纷、融资借款纠纷、股权争议纠纷、建筑施工纠纷、产品质量纠纷、知识产权纠纷、劳动争议纠纷、涉及群体性纠纷、行政纠纷、涉外纠纷和其他纠纷。</w:t>
      </w:r>
    </w:p>
    <w:p>
      <w:pPr>
        <w:ind w:firstLine="560"/>
        <w:rPr>
          <w:rFonts w:ascii="宋体" w:hAnsi="宋体"/>
          <w:szCs w:val="28"/>
          <w:highlight w:val="none"/>
        </w:rPr>
      </w:pPr>
      <w:r>
        <w:rPr>
          <w:rFonts w:hint="eastAsia" w:ascii="宋体" w:hAnsi="宋体"/>
          <w:szCs w:val="28"/>
          <w:highlight w:val="none"/>
        </w:rPr>
        <w:t>报送内容包括案件数、标的额（大于等于500万的案件数）、生效案件数、涉案争议标的、代理费金额、案件造成损失或挽回损失等，并按时更新案件处理进度，案件终结后，上报案件处理结果。</w:t>
      </w:r>
    </w:p>
    <w:p>
      <w:pPr>
        <w:ind w:firstLine="560"/>
        <w:rPr>
          <w:rFonts w:ascii="宋体" w:hAnsi="宋体"/>
          <w:szCs w:val="28"/>
          <w:highlight w:val="none"/>
        </w:rPr>
      </w:pPr>
      <w:r>
        <w:rPr>
          <w:rFonts w:hint="eastAsia" w:ascii="宋体" w:hAnsi="宋体"/>
          <w:szCs w:val="28"/>
          <w:highlight w:val="none"/>
        </w:rPr>
        <w:t>系统定期将报送涉诉涉案信息进行统计分析，形成年度诉讼案件统计报表，并可以对案详细信息在线查阅。</w:t>
      </w:r>
    </w:p>
    <w:p>
      <w:pPr>
        <w:ind w:firstLine="560"/>
        <w:rPr>
          <w:rFonts w:ascii="宋体" w:hAnsi="宋体"/>
          <w:szCs w:val="28"/>
          <w:highlight w:val="none"/>
        </w:rPr>
      </w:pPr>
      <w:r>
        <w:rPr>
          <w:rFonts w:hint="eastAsia" w:ascii="宋体" w:hAnsi="宋体"/>
          <w:szCs w:val="28"/>
          <w:highlight w:val="none"/>
        </w:rPr>
        <w:t>（1）任务管理</w:t>
      </w:r>
    </w:p>
    <w:p>
      <w:pPr>
        <w:ind w:firstLine="560"/>
        <w:rPr>
          <w:rFonts w:ascii="宋体" w:hAnsi="宋体"/>
          <w:szCs w:val="28"/>
          <w:highlight w:val="none"/>
        </w:rPr>
      </w:pPr>
      <w:r>
        <w:rPr>
          <w:rFonts w:hint="eastAsia" w:ascii="宋体" w:hAnsi="宋体"/>
          <w:szCs w:val="28"/>
          <w:highlight w:val="none"/>
        </w:rPr>
        <w:t>包括任务定制和任务下达。</w:t>
      </w:r>
    </w:p>
    <w:p>
      <w:pPr>
        <w:ind w:firstLine="560"/>
        <w:rPr>
          <w:rFonts w:ascii="宋体" w:hAnsi="宋体"/>
          <w:szCs w:val="28"/>
          <w:highlight w:val="none"/>
        </w:rPr>
      </w:pPr>
      <w:r>
        <w:rPr>
          <w:rFonts w:hint="eastAsia" w:ascii="宋体" w:hAnsi="宋体"/>
          <w:szCs w:val="28"/>
          <w:highlight w:val="none"/>
        </w:rPr>
        <w:t>（2）涉诉涉案信息填报</w:t>
      </w:r>
    </w:p>
    <w:p>
      <w:pPr>
        <w:ind w:firstLine="560"/>
        <w:rPr>
          <w:rFonts w:ascii="宋体" w:hAnsi="宋体"/>
          <w:szCs w:val="28"/>
          <w:highlight w:val="none"/>
        </w:rPr>
      </w:pPr>
      <w:r>
        <w:rPr>
          <w:rFonts w:hint="eastAsia" w:ascii="宋体" w:hAnsi="宋体"/>
          <w:szCs w:val="28"/>
          <w:highlight w:val="none"/>
        </w:rPr>
        <w:t>支持手工录入数据、excel文件导入数据。需企业及其重要子企业填报的数据案件数、标的额（大于等于500万的案件数）、生效案件数、涉案争议标的、代理费金额、案件造成损失或挽回损失等。监管企业可查询已录入的数据，并能对该数据进行修改、删除操作。</w:t>
      </w:r>
    </w:p>
    <w:p>
      <w:pPr>
        <w:ind w:firstLine="560"/>
        <w:rPr>
          <w:rFonts w:ascii="宋体" w:hAnsi="宋体"/>
          <w:szCs w:val="28"/>
          <w:highlight w:val="none"/>
        </w:rPr>
      </w:pPr>
      <w:r>
        <w:rPr>
          <w:rFonts w:hint="eastAsia" w:ascii="宋体" w:hAnsi="宋体"/>
          <w:szCs w:val="28"/>
          <w:highlight w:val="none"/>
        </w:rPr>
        <w:t>（3）报表查询</w:t>
      </w:r>
    </w:p>
    <w:p>
      <w:pPr>
        <w:ind w:firstLine="560"/>
        <w:rPr>
          <w:rFonts w:ascii="宋体" w:hAnsi="宋体"/>
          <w:szCs w:val="28"/>
          <w:highlight w:val="none"/>
        </w:rPr>
      </w:pPr>
      <w:r>
        <w:rPr>
          <w:rFonts w:hint="eastAsia" w:ascii="宋体" w:hAnsi="宋体"/>
          <w:szCs w:val="28"/>
          <w:highlight w:val="none"/>
        </w:rPr>
        <w:t>按报表分类、单位、年度、月份快速检索报表信息。</w:t>
      </w:r>
    </w:p>
    <w:p>
      <w:pPr>
        <w:pStyle w:val="5"/>
        <w:rPr>
          <w:rFonts w:ascii="宋体" w:hAnsi="宋体"/>
          <w:szCs w:val="28"/>
          <w:highlight w:val="none"/>
        </w:rPr>
      </w:pPr>
      <w:bookmarkStart w:id="194" w:name="_Toc73710821"/>
      <w:bookmarkStart w:id="195" w:name="_Toc74650395"/>
      <w:r>
        <w:rPr>
          <w:rFonts w:hint="eastAsia"/>
          <w:highlight w:val="none"/>
        </w:rPr>
        <w:t>薪酬与绩效</w:t>
      </w:r>
      <w:bookmarkEnd w:id="194"/>
      <w:bookmarkEnd w:id="195"/>
    </w:p>
    <w:p>
      <w:pPr>
        <w:ind w:firstLine="560"/>
        <w:rPr>
          <w:rFonts w:ascii="宋体" w:hAnsi="宋体"/>
          <w:szCs w:val="28"/>
          <w:highlight w:val="none"/>
        </w:rPr>
      </w:pPr>
      <w:r>
        <w:rPr>
          <w:rFonts w:ascii="宋体" w:hAnsi="宋体"/>
          <w:szCs w:val="28"/>
          <w:highlight w:val="none"/>
        </w:rPr>
        <w:t>建立所监管企业业绩考核的目标体系，包含年初考核指标报审和年终考核结果报审两部分内容。通过设定的指标体系，对企业绩效进行评价，科学判断企业经营绩效，实现业绩考核结果自动生成计算和动态跟踪管理等功能，根据企业的财务数据和经营业绩考核目标完成进度的对比分析，完成考核中期报告。</w:t>
      </w:r>
    </w:p>
    <w:p>
      <w:pPr>
        <w:pStyle w:val="6"/>
        <w:rPr>
          <w:highlight w:val="none"/>
        </w:rPr>
      </w:pPr>
      <w:bookmarkStart w:id="196" w:name="_Toc73710822"/>
      <w:bookmarkStart w:id="197" w:name="_Toc74650396"/>
      <w:r>
        <w:rPr>
          <w:highlight w:val="none"/>
        </w:rPr>
        <w:t>考核指标设定</w:t>
      </w:r>
      <w:bookmarkEnd w:id="196"/>
      <w:bookmarkEnd w:id="197"/>
    </w:p>
    <w:p>
      <w:pPr>
        <w:ind w:firstLine="560"/>
        <w:rPr>
          <w:rFonts w:ascii="宋体" w:hAnsi="宋体"/>
          <w:szCs w:val="28"/>
          <w:highlight w:val="none"/>
        </w:rPr>
      </w:pPr>
      <w:r>
        <w:rPr>
          <w:rFonts w:ascii="宋体" w:hAnsi="宋体"/>
          <w:szCs w:val="28"/>
          <w:highlight w:val="none"/>
        </w:rPr>
        <w:t>每个企业可以设置不同的分类考核指标，实现了对不同规模、不同行业企业的分类考核。</w:t>
      </w:r>
    </w:p>
    <w:p>
      <w:pPr>
        <w:ind w:firstLine="560"/>
        <w:rPr>
          <w:rFonts w:ascii="宋体" w:hAnsi="宋体"/>
          <w:szCs w:val="28"/>
          <w:highlight w:val="none"/>
        </w:rPr>
      </w:pPr>
      <w:r>
        <w:rPr>
          <w:rFonts w:ascii="宋体" w:hAnsi="宋体"/>
          <w:szCs w:val="28"/>
          <w:highlight w:val="none"/>
        </w:rPr>
        <w:t>系统先按现行考核办法预设考核指标、指标值计算公式、指标计分规则，通过考核模型的设置，可以适应国资委未来业绩业务的变化，如考核指标的调整，各个考核指标的权重变化，考核评分规则的修改等。</w:t>
      </w:r>
    </w:p>
    <w:p>
      <w:pPr>
        <w:pStyle w:val="6"/>
        <w:rPr>
          <w:highlight w:val="none"/>
        </w:rPr>
      </w:pPr>
      <w:bookmarkStart w:id="198" w:name="_Toc74650397"/>
      <w:bookmarkStart w:id="199" w:name="_Toc73710823"/>
      <w:r>
        <w:rPr>
          <w:highlight w:val="none"/>
        </w:rPr>
        <w:t>企业类别划分</w:t>
      </w:r>
      <w:bookmarkEnd w:id="198"/>
      <w:bookmarkEnd w:id="199"/>
    </w:p>
    <w:p>
      <w:pPr>
        <w:ind w:firstLine="560"/>
        <w:rPr>
          <w:rFonts w:ascii="宋体" w:hAnsi="宋体"/>
          <w:szCs w:val="28"/>
          <w:highlight w:val="none"/>
        </w:rPr>
      </w:pPr>
      <w:r>
        <w:rPr>
          <w:rFonts w:ascii="宋体" w:hAnsi="宋体"/>
          <w:szCs w:val="28"/>
          <w:highlight w:val="none"/>
        </w:rPr>
        <w:t>国资委依据考核办法对监管企业进行类别划分，可以灵活划分企业到不同的类别。</w:t>
      </w:r>
    </w:p>
    <w:p>
      <w:pPr>
        <w:pStyle w:val="6"/>
        <w:rPr>
          <w:highlight w:val="none"/>
        </w:rPr>
      </w:pPr>
      <w:bookmarkStart w:id="200" w:name="_Toc73710824"/>
      <w:bookmarkStart w:id="201" w:name="_Toc74650398"/>
      <w:r>
        <w:rPr>
          <w:highlight w:val="none"/>
        </w:rPr>
        <w:t>经营责任书管理</w:t>
      </w:r>
      <w:bookmarkEnd w:id="200"/>
      <w:bookmarkEnd w:id="201"/>
    </w:p>
    <w:p>
      <w:pPr>
        <w:ind w:firstLine="560"/>
        <w:rPr>
          <w:rFonts w:ascii="宋体" w:hAnsi="宋体"/>
          <w:szCs w:val="28"/>
          <w:highlight w:val="none"/>
        </w:rPr>
      </w:pPr>
      <w:r>
        <w:rPr>
          <w:rFonts w:ascii="宋体" w:hAnsi="宋体"/>
          <w:szCs w:val="28"/>
          <w:highlight w:val="none"/>
        </w:rPr>
        <w:t>包括年度经营业绩责任书和任期经营业绩责任书，该功能主要是依据经审计的企业财务决算报告和有关资料，对企业负责人年度或任期的经营业绩考核目标的完成情况进行核定、归档和查询等。由各企业录入经营责任书，责任书包括企业涉及的具体业绩考核指标、业绩考核指标目标值、考核指标加减分的具体计分办法。由国资委对企业录入的责任书进行审核。</w:t>
      </w:r>
    </w:p>
    <w:p>
      <w:pPr>
        <w:pStyle w:val="6"/>
        <w:rPr>
          <w:highlight w:val="none"/>
        </w:rPr>
      </w:pPr>
      <w:bookmarkStart w:id="202" w:name="_Toc73710825"/>
      <w:bookmarkStart w:id="203" w:name="_Toc74650399"/>
      <w:r>
        <w:rPr>
          <w:highlight w:val="none"/>
        </w:rPr>
        <w:t>年度考核指标计算</w:t>
      </w:r>
      <w:bookmarkEnd w:id="202"/>
      <w:bookmarkEnd w:id="203"/>
    </w:p>
    <w:p>
      <w:pPr>
        <w:ind w:firstLine="560"/>
        <w:rPr>
          <w:rFonts w:ascii="宋体" w:hAnsi="宋体"/>
          <w:szCs w:val="28"/>
          <w:highlight w:val="none"/>
        </w:rPr>
      </w:pPr>
      <w:r>
        <w:rPr>
          <w:rFonts w:ascii="宋体" w:hAnsi="宋体"/>
          <w:szCs w:val="28"/>
          <w:highlight w:val="none"/>
        </w:rPr>
        <w:t>系统可以根据经营业绩考核计分办法，对企业各项指标完成情况进行考核结果的计分计算，根据指标的指标权重，指标实际得分，核定值，计算各项指标得分。</w:t>
      </w:r>
    </w:p>
    <w:p>
      <w:pPr>
        <w:pStyle w:val="6"/>
        <w:rPr>
          <w:highlight w:val="none"/>
        </w:rPr>
      </w:pPr>
      <w:bookmarkStart w:id="204" w:name="_Toc74650400"/>
      <w:bookmarkStart w:id="205" w:name="_Toc73710826"/>
      <w:r>
        <w:rPr>
          <w:highlight w:val="none"/>
        </w:rPr>
        <w:t>企业年度得分计算</w:t>
      </w:r>
      <w:bookmarkEnd w:id="204"/>
      <w:bookmarkEnd w:id="205"/>
    </w:p>
    <w:p>
      <w:pPr>
        <w:ind w:firstLine="560"/>
        <w:rPr>
          <w:rFonts w:ascii="宋体" w:hAnsi="宋体"/>
          <w:szCs w:val="28"/>
          <w:highlight w:val="none"/>
        </w:rPr>
      </w:pPr>
      <w:r>
        <w:rPr>
          <w:rFonts w:ascii="宋体" w:hAnsi="宋体"/>
          <w:szCs w:val="28"/>
          <w:highlight w:val="none"/>
        </w:rPr>
        <w:t>系统利用企业考核指标单项得分汇总数乘以经营难度系数，计算出各企业得分。再加减其他考核任务得分，即为一个企业的考核综合得分。国资委可以对企业年度得分进行审定，企业最终得分以国资委的审定得分为准。依据审定得分系统自动评定级别。</w:t>
      </w:r>
    </w:p>
    <w:p>
      <w:pPr>
        <w:pStyle w:val="6"/>
        <w:rPr>
          <w:highlight w:val="none"/>
        </w:rPr>
      </w:pPr>
      <w:bookmarkStart w:id="206" w:name="_Toc74650401"/>
      <w:bookmarkStart w:id="207" w:name="_Toc73710827"/>
      <w:r>
        <w:rPr>
          <w:highlight w:val="none"/>
        </w:rPr>
        <w:t>考核指标得分查询</w:t>
      </w:r>
      <w:bookmarkEnd w:id="206"/>
      <w:bookmarkEnd w:id="207"/>
    </w:p>
    <w:p>
      <w:pPr>
        <w:ind w:firstLine="560"/>
        <w:rPr>
          <w:rFonts w:ascii="宋体" w:hAnsi="宋体"/>
          <w:szCs w:val="28"/>
          <w:highlight w:val="none"/>
        </w:rPr>
      </w:pPr>
      <w:r>
        <w:rPr>
          <w:rFonts w:ascii="宋体" w:hAnsi="宋体"/>
          <w:szCs w:val="28"/>
          <w:highlight w:val="none"/>
        </w:rPr>
        <w:t>对各监管企业的业绩考核目标值、完成情况以及考核得分等数据可进行多条件的查询。查询结果包括：企业名称、年度、指标名称、目标值、审定完成值、单项得分。</w:t>
      </w:r>
    </w:p>
    <w:p>
      <w:pPr>
        <w:pStyle w:val="6"/>
        <w:rPr>
          <w:highlight w:val="none"/>
        </w:rPr>
      </w:pPr>
      <w:bookmarkStart w:id="208" w:name="_Toc74650402"/>
      <w:bookmarkStart w:id="209" w:name="_Toc73710828"/>
      <w:r>
        <w:rPr>
          <w:highlight w:val="none"/>
        </w:rPr>
        <w:t>企业年度得分查询</w:t>
      </w:r>
      <w:bookmarkEnd w:id="208"/>
      <w:bookmarkEnd w:id="209"/>
    </w:p>
    <w:p>
      <w:pPr>
        <w:ind w:firstLine="560"/>
        <w:rPr>
          <w:rFonts w:ascii="宋体" w:hAnsi="宋体"/>
          <w:szCs w:val="28"/>
          <w:highlight w:val="none"/>
        </w:rPr>
      </w:pPr>
      <w:r>
        <w:rPr>
          <w:rFonts w:ascii="宋体" w:hAnsi="宋体"/>
          <w:szCs w:val="28"/>
          <w:highlight w:val="none"/>
        </w:rPr>
        <w:t>对各监管企业的综合得分等数据可进行多条件的查询。查询结果包括：企业名称、年度、综合得分。</w:t>
      </w:r>
    </w:p>
    <w:p>
      <w:pPr>
        <w:pStyle w:val="6"/>
        <w:rPr>
          <w:highlight w:val="none"/>
        </w:rPr>
      </w:pPr>
      <w:r>
        <w:rPr>
          <w:rFonts w:hint="eastAsia"/>
          <w:highlight w:val="none"/>
        </w:rPr>
        <w:t>系统对接</w:t>
      </w:r>
    </w:p>
    <w:bookmarkEnd w:id="71"/>
    <w:p>
      <w:pPr>
        <w:ind w:firstLine="420"/>
        <w:rPr>
          <w:szCs w:val="28"/>
          <w:highlight w:val="none"/>
        </w:rPr>
      </w:pPr>
      <w:r>
        <w:rPr>
          <w:rFonts w:hint="eastAsia"/>
          <w:szCs w:val="28"/>
          <w:highlight w:val="none"/>
        </w:rPr>
        <w:t>实现财务核算、资金等数据与财务系统的对接，自动获取财务数据。实现办公系统单点登陆、待办信息集成、通知信息集成。实现与重庆市国资委国资监管平台的三重一大和产权两大模块的业务集成，最终实现一个系统完成数据的填报。</w:t>
      </w:r>
    </w:p>
    <w:p>
      <w:pPr>
        <w:pStyle w:val="2"/>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rFonts w:ascii="宋体" w:hAnsi="宋体" w:cs="宋体"/>
          <w:smallCaps/>
          <w:szCs w:val="20"/>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jc w:val="center"/>
        <w:outlineLvl w:val="0"/>
        <w:rPr>
          <w:rFonts w:asciiTheme="majorEastAsia" w:hAnsiTheme="majorEastAsia" w:eastAsiaTheme="majorEastAsia" w:cstheme="majorEastAsia"/>
          <w:b/>
          <w:bCs/>
          <w:sz w:val="52"/>
          <w:szCs w:val="52"/>
          <w:highlight w:val="none"/>
        </w:rPr>
      </w:pPr>
      <w:r>
        <w:rPr>
          <w:rFonts w:hint="eastAsia" w:asciiTheme="majorEastAsia" w:hAnsiTheme="majorEastAsia" w:eastAsiaTheme="majorEastAsia" w:cstheme="majorEastAsia"/>
          <w:b/>
          <w:bCs/>
          <w:smallCaps/>
          <w:sz w:val="52"/>
          <w:szCs w:val="52"/>
          <w:highlight w:val="none"/>
        </w:rPr>
        <w:t>第六章  竞争性比选响应文件格式</w:t>
      </w:r>
    </w:p>
    <w:p>
      <w:pPr>
        <w:jc w:val="center"/>
        <w:rPr>
          <w:b/>
          <w:color w:val="000000" w:themeColor="text1"/>
          <w:sz w:val="24"/>
          <w:highlight w:val="none"/>
          <w14:textFill>
            <w14:solidFill>
              <w14:schemeClr w14:val="tx1"/>
            </w14:solidFill>
          </w14:textFill>
        </w:rPr>
      </w:pPr>
    </w:p>
    <w:p>
      <w:pPr>
        <w:jc w:val="center"/>
        <w:rPr>
          <w:b/>
          <w:color w:val="000000" w:themeColor="text1"/>
          <w:sz w:val="24"/>
          <w:highlight w:val="none"/>
          <w14:textFill>
            <w14:solidFill>
              <w14:schemeClr w14:val="tx1"/>
            </w14:solidFill>
          </w14:textFill>
        </w:rPr>
      </w:pPr>
    </w:p>
    <w:p>
      <w:pPr>
        <w:pStyle w:val="2"/>
        <w:rPr>
          <w:b/>
          <w:color w:val="000000" w:themeColor="text1"/>
          <w:sz w:val="24"/>
          <w:highlight w:val="none"/>
          <w14:textFill>
            <w14:solidFill>
              <w14:schemeClr w14:val="tx1"/>
            </w14:solidFill>
          </w14:textFill>
        </w:rPr>
      </w:pPr>
    </w:p>
    <w:p>
      <w:pPr>
        <w:rPr>
          <w:b/>
          <w:color w:val="000000" w:themeColor="text1"/>
          <w:sz w:val="24"/>
          <w:highlight w:val="none"/>
          <w14:textFill>
            <w14:solidFill>
              <w14:schemeClr w14:val="tx1"/>
            </w14:solidFill>
          </w14:textFill>
        </w:rPr>
      </w:pPr>
    </w:p>
    <w:p>
      <w:pPr>
        <w:pStyle w:val="2"/>
        <w:rPr>
          <w:b/>
          <w:color w:val="000000" w:themeColor="text1"/>
          <w:sz w:val="24"/>
          <w:highlight w:val="none"/>
          <w14:textFill>
            <w14:solidFill>
              <w14:schemeClr w14:val="tx1"/>
            </w14:solidFill>
          </w14:textFill>
        </w:rPr>
      </w:pPr>
    </w:p>
    <w:p>
      <w:pPr>
        <w:rPr>
          <w:b/>
          <w:color w:val="000000" w:themeColor="text1"/>
          <w:sz w:val="24"/>
          <w:highlight w:val="none"/>
          <w14:textFill>
            <w14:solidFill>
              <w14:schemeClr w14:val="tx1"/>
            </w14:solidFill>
          </w14:textFill>
        </w:rPr>
      </w:pPr>
    </w:p>
    <w:p>
      <w:pPr>
        <w:pStyle w:val="2"/>
        <w:rPr>
          <w:b/>
          <w:color w:val="000000" w:themeColor="text1"/>
          <w:sz w:val="24"/>
          <w:highlight w:val="none"/>
          <w14:textFill>
            <w14:solidFill>
              <w14:schemeClr w14:val="tx1"/>
            </w14:solidFill>
          </w14:textFill>
        </w:rPr>
      </w:pPr>
    </w:p>
    <w:p>
      <w:pPr>
        <w:rPr>
          <w:b/>
          <w:color w:val="000000" w:themeColor="text1"/>
          <w:sz w:val="24"/>
          <w:highlight w:val="none"/>
          <w14:textFill>
            <w14:solidFill>
              <w14:schemeClr w14:val="tx1"/>
            </w14:solidFill>
          </w14:textFill>
        </w:rPr>
      </w:pPr>
    </w:p>
    <w:p>
      <w:pPr>
        <w:pStyle w:val="2"/>
        <w:rPr>
          <w:b/>
          <w:color w:val="000000" w:themeColor="text1"/>
          <w:sz w:val="24"/>
          <w:highlight w:val="none"/>
          <w14:textFill>
            <w14:solidFill>
              <w14:schemeClr w14:val="tx1"/>
            </w14:solidFill>
          </w14:textFill>
        </w:rPr>
      </w:pPr>
    </w:p>
    <w:p>
      <w:pPr>
        <w:rPr>
          <w:b/>
          <w:color w:val="000000" w:themeColor="text1"/>
          <w:sz w:val="24"/>
          <w:highlight w:val="none"/>
          <w14:textFill>
            <w14:solidFill>
              <w14:schemeClr w14:val="tx1"/>
            </w14:solidFill>
          </w14:textFill>
        </w:rPr>
      </w:pPr>
    </w:p>
    <w:p>
      <w:pPr>
        <w:pStyle w:val="2"/>
        <w:rPr>
          <w:b/>
          <w:color w:val="000000" w:themeColor="text1"/>
          <w:sz w:val="24"/>
          <w:highlight w:val="none"/>
          <w14:textFill>
            <w14:solidFill>
              <w14:schemeClr w14:val="tx1"/>
            </w14:solidFill>
          </w14:textFill>
        </w:rPr>
      </w:pPr>
    </w:p>
    <w:p>
      <w:pPr>
        <w:rPr>
          <w:b/>
          <w:color w:val="000000" w:themeColor="text1"/>
          <w:sz w:val="24"/>
          <w:highlight w:val="none"/>
          <w14:textFill>
            <w14:solidFill>
              <w14:schemeClr w14:val="tx1"/>
            </w14:solidFill>
          </w14:textFill>
        </w:rPr>
      </w:pPr>
    </w:p>
    <w:p>
      <w:pPr>
        <w:pStyle w:val="2"/>
        <w:rPr>
          <w:b/>
          <w:color w:val="000000" w:themeColor="text1"/>
          <w:sz w:val="24"/>
          <w:highlight w:val="none"/>
          <w14:textFill>
            <w14:solidFill>
              <w14:schemeClr w14:val="tx1"/>
            </w14:solidFill>
          </w14:textFill>
        </w:rPr>
      </w:pPr>
    </w:p>
    <w:p>
      <w:pPr>
        <w:rPr>
          <w:b/>
          <w:color w:val="000000" w:themeColor="text1"/>
          <w:sz w:val="24"/>
          <w:highlight w:val="none"/>
          <w14:textFill>
            <w14:solidFill>
              <w14:schemeClr w14:val="tx1"/>
            </w14:solidFill>
          </w14:textFill>
        </w:rPr>
      </w:pPr>
    </w:p>
    <w:p>
      <w:pPr>
        <w:pStyle w:val="2"/>
        <w:rPr>
          <w:b/>
          <w:color w:val="000000" w:themeColor="text1"/>
          <w:sz w:val="24"/>
          <w:highlight w:val="none"/>
          <w14:textFill>
            <w14:solidFill>
              <w14:schemeClr w14:val="tx1"/>
            </w14:solidFill>
          </w14:textFill>
        </w:rPr>
      </w:pPr>
    </w:p>
    <w:p>
      <w:pPr>
        <w:rPr>
          <w:b/>
          <w:color w:val="000000" w:themeColor="text1"/>
          <w:sz w:val="24"/>
          <w:highlight w:val="none"/>
          <w14:textFill>
            <w14:solidFill>
              <w14:schemeClr w14:val="tx1"/>
            </w14:solidFill>
          </w14:textFill>
        </w:rPr>
      </w:pPr>
    </w:p>
    <w:p>
      <w:pPr>
        <w:pStyle w:val="2"/>
        <w:rPr>
          <w:b/>
          <w:color w:val="000000" w:themeColor="text1"/>
          <w:sz w:val="24"/>
          <w:highlight w:val="none"/>
          <w14:textFill>
            <w14:solidFill>
              <w14:schemeClr w14:val="tx1"/>
            </w14:solidFill>
          </w14:textFill>
        </w:rPr>
      </w:pPr>
    </w:p>
    <w:p>
      <w:pPr>
        <w:rPr>
          <w:b/>
          <w:color w:val="000000" w:themeColor="text1"/>
          <w:sz w:val="24"/>
          <w:highlight w:val="none"/>
          <w14:textFill>
            <w14:solidFill>
              <w14:schemeClr w14:val="tx1"/>
            </w14:solidFill>
          </w14:textFill>
        </w:rPr>
      </w:pPr>
    </w:p>
    <w:p>
      <w:pPr>
        <w:pStyle w:val="2"/>
        <w:rPr>
          <w:b/>
          <w:color w:val="000000" w:themeColor="text1"/>
          <w:sz w:val="24"/>
          <w:highlight w:val="none"/>
          <w14:textFill>
            <w14:solidFill>
              <w14:schemeClr w14:val="tx1"/>
            </w14:solidFill>
          </w14:textFill>
        </w:rPr>
      </w:pPr>
    </w:p>
    <w:p>
      <w:pPr>
        <w:rPr>
          <w:b/>
          <w:color w:val="000000" w:themeColor="text1"/>
          <w:sz w:val="24"/>
          <w:highlight w:val="none"/>
          <w14:textFill>
            <w14:solidFill>
              <w14:schemeClr w14:val="tx1"/>
            </w14:solidFill>
          </w14:textFill>
        </w:rPr>
      </w:pPr>
    </w:p>
    <w:p>
      <w:pPr>
        <w:pStyle w:val="2"/>
        <w:rPr>
          <w:b/>
          <w:color w:val="000000" w:themeColor="text1"/>
          <w:sz w:val="24"/>
          <w:highlight w:val="none"/>
          <w14:textFill>
            <w14:solidFill>
              <w14:schemeClr w14:val="tx1"/>
            </w14:solidFill>
          </w14:textFill>
        </w:rPr>
      </w:pPr>
    </w:p>
    <w:p>
      <w:pPr>
        <w:rPr>
          <w:b/>
          <w:color w:val="000000" w:themeColor="text1"/>
          <w:sz w:val="24"/>
          <w:highlight w:val="none"/>
          <w14:textFill>
            <w14:solidFill>
              <w14:schemeClr w14:val="tx1"/>
            </w14:solidFill>
          </w14:textFill>
        </w:rPr>
      </w:pPr>
    </w:p>
    <w:p>
      <w:pPr>
        <w:pStyle w:val="2"/>
        <w:rPr>
          <w:b/>
          <w:color w:val="000000" w:themeColor="text1"/>
          <w:sz w:val="24"/>
          <w:highlight w:val="none"/>
          <w14:textFill>
            <w14:solidFill>
              <w14:schemeClr w14:val="tx1"/>
            </w14:solidFill>
          </w14:textFill>
        </w:rPr>
      </w:pPr>
    </w:p>
    <w:p>
      <w:pPr>
        <w:rPr>
          <w:b/>
          <w:color w:val="000000" w:themeColor="text1"/>
          <w:sz w:val="24"/>
          <w:highlight w:val="none"/>
          <w14:textFill>
            <w14:solidFill>
              <w14:schemeClr w14:val="tx1"/>
            </w14:solidFill>
          </w14:textFill>
        </w:rPr>
      </w:pPr>
    </w:p>
    <w:p>
      <w:pPr>
        <w:pStyle w:val="2"/>
        <w:rPr>
          <w:b/>
          <w:color w:val="000000" w:themeColor="text1"/>
          <w:sz w:val="24"/>
          <w:highlight w:val="none"/>
          <w14:textFill>
            <w14:solidFill>
              <w14:schemeClr w14:val="tx1"/>
            </w14:solidFill>
          </w14:textFill>
        </w:rPr>
      </w:pPr>
    </w:p>
    <w:p>
      <w:pPr>
        <w:rPr>
          <w:b/>
          <w:color w:val="000000" w:themeColor="text1"/>
          <w:sz w:val="24"/>
          <w:highlight w:val="none"/>
          <w14:textFill>
            <w14:solidFill>
              <w14:schemeClr w14:val="tx1"/>
            </w14:solidFill>
          </w14:textFill>
        </w:rPr>
      </w:pPr>
    </w:p>
    <w:p>
      <w:pPr>
        <w:pStyle w:val="2"/>
        <w:rPr>
          <w:b/>
          <w:color w:val="000000" w:themeColor="text1"/>
          <w:sz w:val="24"/>
          <w:highlight w:val="none"/>
          <w14:textFill>
            <w14:solidFill>
              <w14:schemeClr w14:val="tx1"/>
            </w14:solidFill>
          </w14:textFill>
        </w:rPr>
      </w:pPr>
    </w:p>
    <w:p>
      <w:pPr>
        <w:rPr>
          <w:b/>
          <w:color w:val="000000" w:themeColor="text1"/>
          <w:sz w:val="24"/>
          <w:highlight w:val="none"/>
          <w14:textFill>
            <w14:solidFill>
              <w14:schemeClr w14:val="tx1"/>
            </w14:solidFill>
          </w14:textFill>
        </w:rPr>
      </w:pPr>
    </w:p>
    <w:p>
      <w:pPr>
        <w:pStyle w:val="2"/>
        <w:rPr>
          <w:b/>
          <w:color w:val="000000" w:themeColor="text1"/>
          <w:sz w:val="24"/>
          <w:highlight w:val="none"/>
          <w14:textFill>
            <w14:solidFill>
              <w14:schemeClr w14:val="tx1"/>
            </w14:solidFill>
          </w14:textFill>
        </w:rPr>
      </w:pPr>
    </w:p>
    <w:p>
      <w:pPr>
        <w:rPr>
          <w:highlight w:val="none"/>
        </w:rPr>
      </w:pPr>
    </w:p>
    <w:p>
      <w:pPr>
        <w:jc w:val="center"/>
        <w:rPr>
          <w:b/>
          <w:color w:val="000000" w:themeColor="text1"/>
          <w:sz w:val="24"/>
          <w:highlight w:val="none"/>
          <w14:textFill>
            <w14:solidFill>
              <w14:schemeClr w14:val="tx1"/>
            </w14:solidFill>
          </w14:textFill>
        </w:rPr>
      </w:pPr>
    </w:p>
    <w:p>
      <w:pPr>
        <w:jc w:val="center"/>
        <w:outlineLvl w:val="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参考格式</w:t>
      </w:r>
    </w:p>
    <w:p>
      <w:pPr>
        <w:jc w:val="center"/>
        <w:rPr>
          <w:b/>
          <w:color w:val="000000" w:themeColor="text1"/>
          <w:sz w:val="24"/>
          <w:highlight w:val="none"/>
          <w14:textFill>
            <w14:solidFill>
              <w14:schemeClr w14:val="tx1"/>
            </w14:solidFill>
          </w14:textFill>
        </w:rPr>
      </w:pPr>
    </w:p>
    <w:p>
      <w:pPr>
        <w:jc w:val="center"/>
        <w:outlineLvl w:val="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竞争性比选响应文件封面</w:t>
      </w:r>
    </w:p>
    <w:p>
      <w:pPr>
        <w:jc w:val="center"/>
        <w:outlineLvl w:val="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（以下内容为示例）</w:t>
      </w:r>
    </w:p>
    <w:p>
      <w:pPr>
        <w:jc w:val="center"/>
        <w:rPr>
          <w:b/>
          <w:color w:val="000000" w:themeColor="text1"/>
          <w:sz w:val="24"/>
          <w:highlight w:val="none"/>
          <w14:textFill>
            <w14:solidFill>
              <w14:schemeClr w14:val="tx1"/>
            </w14:solidFill>
          </w14:textFill>
        </w:rPr>
      </w:pPr>
    </w:p>
    <w:p>
      <w:pPr>
        <w:jc w:val="right"/>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 xml:space="preserve">                           </w:t>
      </w:r>
      <w:r>
        <w:rPr>
          <w:rFonts w:hint="eastAsia"/>
          <w:b/>
          <w:color w:val="000000" w:themeColor="text1"/>
          <w:sz w:val="40"/>
          <w:highlight w:val="none"/>
          <w14:textFill>
            <w14:solidFill>
              <w14:schemeClr w14:val="tx1"/>
            </w14:solidFill>
          </w14:textFill>
        </w:rPr>
        <w:t>（正本或副本）</w:t>
      </w:r>
    </w:p>
    <w:p>
      <w:pPr>
        <w:jc w:val="right"/>
        <w:rPr>
          <w:b/>
          <w:color w:val="000000" w:themeColor="text1"/>
          <w:sz w:val="24"/>
          <w:highlight w:val="none"/>
          <w14:textFill>
            <w14:solidFill>
              <w14:schemeClr w14:val="tx1"/>
            </w14:solidFill>
          </w14:textFill>
        </w:rPr>
      </w:pPr>
    </w:p>
    <w:p>
      <w:pPr>
        <w:rPr>
          <w:highlight w:val="none"/>
        </w:rPr>
      </w:pPr>
    </w:p>
    <w:p>
      <w:pPr>
        <w:jc w:val="right"/>
        <w:rPr>
          <w:b/>
          <w:color w:val="000000" w:themeColor="text1"/>
          <w:sz w:val="24"/>
          <w:highlight w:val="none"/>
          <w14:textFill>
            <w14:solidFill>
              <w14:schemeClr w14:val="tx1"/>
            </w14:solidFill>
          </w14:textFill>
        </w:rPr>
      </w:pPr>
    </w:p>
    <w:p>
      <w:pPr>
        <w:jc w:val="right"/>
        <w:rPr>
          <w:b/>
          <w:color w:val="000000" w:themeColor="text1"/>
          <w:sz w:val="24"/>
          <w:highlight w:val="none"/>
          <w14:textFill>
            <w14:solidFill>
              <w14:schemeClr w14:val="tx1"/>
            </w14:solidFill>
          </w14:textFill>
        </w:rPr>
      </w:pPr>
    </w:p>
    <w:p>
      <w:pPr>
        <w:jc w:val="center"/>
        <w:outlineLvl w:val="1"/>
        <w:rPr>
          <w:b/>
          <w:color w:val="000000" w:themeColor="text1"/>
          <w:sz w:val="52"/>
          <w:szCs w:val="52"/>
          <w:highlight w:val="none"/>
          <w14:textFill>
            <w14:solidFill>
              <w14:schemeClr w14:val="tx1"/>
            </w14:solidFill>
          </w14:textFill>
        </w:rPr>
      </w:pPr>
      <w:r>
        <w:rPr>
          <w:rFonts w:hint="eastAsia"/>
          <w:b/>
          <w:color w:val="000000" w:themeColor="text1"/>
          <w:sz w:val="52"/>
          <w:szCs w:val="52"/>
          <w:highlight w:val="none"/>
          <w14:textFill>
            <w14:solidFill>
              <w14:schemeClr w14:val="tx1"/>
            </w14:solidFill>
          </w14:textFill>
        </w:rPr>
        <w:t>重庆高速集团国资监管平台开发劳务外包服务项目</w:t>
      </w:r>
    </w:p>
    <w:p>
      <w:pPr>
        <w:jc w:val="center"/>
        <w:outlineLvl w:val="1"/>
        <w:rPr>
          <w:b/>
          <w:color w:val="000000" w:themeColor="text1"/>
          <w:sz w:val="52"/>
          <w:szCs w:val="52"/>
          <w:highlight w:val="none"/>
          <w14:textFill>
            <w14:solidFill>
              <w14:schemeClr w14:val="tx1"/>
            </w14:solidFill>
          </w14:textFill>
        </w:rPr>
      </w:pPr>
      <w:r>
        <w:rPr>
          <w:rFonts w:hint="eastAsia"/>
          <w:b/>
          <w:color w:val="000000" w:themeColor="text1"/>
          <w:sz w:val="52"/>
          <w:szCs w:val="52"/>
          <w:highlight w:val="none"/>
          <w14:textFill>
            <w14:solidFill>
              <w14:schemeClr w14:val="tx1"/>
            </w14:solidFill>
          </w14:textFill>
        </w:rPr>
        <w:t>竞争性比选响应文件</w:t>
      </w:r>
    </w:p>
    <w:p>
      <w:pPr>
        <w:jc w:val="center"/>
        <w:rPr>
          <w:color w:val="000000" w:themeColor="text1"/>
          <w:sz w:val="32"/>
          <w:szCs w:val="32"/>
          <w:highlight w:val="none"/>
          <w14:textFill>
            <w14:solidFill>
              <w14:schemeClr w14:val="tx1"/>
            </w14:solidFill>
          </w14:textFill>
        </w:rPr>
      </w:pPr>
    </w:p>
    <w:p>
      <w:pPr>
        <w:jc w:val="center"/>
        <w:rPr>
          <w:color w:val="000000" w:themeColor="text1"/>
          <w:sz w:val="32"/>
          <w:szCs w:val="32"/>
          <w:highlight w:val="none"/>
          <w14:textFill>
            <w14:solidFill>
              <w14:schemeClr w14:val="tx1"/>
            </w14:solidFill>
          </w14:textFill>
        </w:rPr>
      </w:pPr>
    </w:p>
    <w:p>
      <w:pPr>
        <w:jc w:val="center"/>
        <w:rPr>
          <w:color w:val="000000" w:themeColor="text1"/>
          <w:sz w:val="32"/>
          <w:szCs w:val="32"/>
          <w:highlight w:val="none"/>
          <w14:textFill>
            <w14:solidFill>
              <w14:schemeClr w14:val="tx1"/>
            </w14:solidFill>
          </w14:textFill>
        </w:rPr>
      </w:pPr>
    </w:p>
    <w:p>
      <w:pPr>
        <w:jc w:val="center"/>
        <w:rPr>
          <w:color w:val="000000" w:themeColor="text1"/>
          <w:sz w:val="32"/>
          <w:szCs w:val="32"/>
          <w:highlight w:val="none"/>
          <w14:textFill>
            <w14:solidFill>
              <w14:schemeClr w14:val="tx1"/>
            </w14:solidFill>
          </w14:textFill>
        </w:rPr>
      </w:pPr>
    </w:p>
    <w:p>
      <w:pPr>
        <w:rPr>
          <w:color w:val="000000" w:themeColor="text1"/>
          <w:sz w:val="32"/>
          <w:szCs w:val="32"/>
          <w:highlight w:val="none"/>
          <w14:textFill>
            <w14:solidFill>
              <w14:schemeClr w14:val="tx1"/>
            </w14:solidFill>
          </w14:textFill>
        </w:rPr>
      </w:pPr>
    </w:p>
    <w:p>
      <w:pPr>
        <w:jc w:val="center"/>
        <w:rPr>
          <w:color w:val="000000" w:themeColor="text1"/>
          <w:sz w:val="32"/>
          <w:szCs w:val="32"/>
          <w:highlight w:val="none"/>
          <w14:textFill>
            <w14:solidFill>
              <w14:schemeClr w14:val="tx1"/>
            </w14:solidFill>
          </w14:textFill>
        </w:rPr>
      </w:pPr>
    </w:p>
    <w:p>
      <w:pPr>
        <w:jc w:val="center"/>
        <w:rPr>
          <w:color w:val="000000" w:themeColor="text1"/>
          <w:sz w:val="32"/>
          <w:szCs w:val="32"/>
          <w:highlight w:val="none"/>
          <w14:textFill>
            <w14:solidFill>
              <w14:schemeClr w14:val="tx1"/>
            </w14:solidFill>
          </w14:textFill>
        </w:rPr>
      </w:pPr>
    </w:p>
    <w:p>
      <w:pPr>
        <w:jc w:val="center"/>
        <w:outlineLvl w:val="1"/>
        <w:rPr>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u w:val="single"/>
          <w14:textFill>
            <w14:solidFill>
              <w14:schemeClr w14:val="tx1"/>
            </w14:solidFill>
          </w14:textFill>
        </w:rPr>
        <w:t>报价人名称全称（盖单位公章）</w:t>
      </w:r>
    </w:p>
    <w:p>
      <w:pPr>
        <w:pStyle w:val="12"/>
        <w:snapToGrid w:val="0"/>
        <w:ind w:firstLine="577" w:firstLineChars="150"/>
        <w:jc w:val="center"/>
        <w:outlineLvl w:val="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202</w:t>
      </w:r>
      <w:r>
        <w:rPr>
          <w:rFonts w:ascii="宋体" w:hAnsi="宋体"/>
          <w:color w:val="000000" w:themeColor="text1"/>
          <w:sz w:val="32"/>
          <w:szCs w:val="32"/>
          <w:highlight w:val="none"/>
          <w14:textFill>
            <w14:solidFill>
              <w14:schemeClr w14:val="tx1"/>
            </w14:solidFill>
          </w14:textFill>
        </w:rPr>
        <w:t>1</w:t>
      </w:r>
      <w:r>
        <w:rPr>
          <w:rFonts w:hint="eastAsia" w:ascii="宋体" w:hAnsi="宋体"/>
          <w:color w:val="000000" w:themeColor="text1"/>
          <w:sz w:val="32"/>
          <w:szCs w:val="32"/>
          <w:highlight w:val="none"/>
          <w14:textFill>
            <w14:solidFill>
              <w14:schemeClr w14:val="tx1"/>
            </w14:solidFill>
          </w14:textFill>
        </w:rPr>
        <w:t>年</w:t>
      </w:r>
      <w:r>
        <w:rPr>
          <w:rFonts w:hint="eastAsia" w:ascii="宋体" w:hAnsi="宋体"/>
          <w:color w:val="000000" w:themeColor="text1"/>
          <w:sz w:val="32"/>
          <w:szCs w:val="32"/>
          <w:highlight w:val="none"/>
          <w:lang w:val="en-US" w:eastAsia="zh-CN"/>
          <w14:textFill>
            <w14:solidFill>
              <w14:schemeClr w14:val="tx1"/>
            </w14:solidFill>
          </w14:textFill>
        </w:rPr>
        <w:t>7</w:t>
      </w:r>
      <w:r>
        <w:rPr>
          <w:rFonts w:hint="eastAsia" w:ascii="宋体" w:hAnsi="宋体"/>
          <w:color w:val="000000" w:themeColor="text1"/>
          <w:sz w:val="32"/>
          <w:szCs w:val="32"/>
          <w:highlight w:val="none"/>
          <w14:textFill>
            <w14:solidFill>
              <w14:schemeClr w14:val="tx1"/>
            </w14:solidFill>
          </w14:textFill>
        </w:rPr>
        <w:t>月</w:t>
      </w:r>
    </w:p>
    <w:p>
      <w:pPr>
        <w:pStyle w:val="19"/>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一、竞争性比选响应声明书</w:t>
      </w:r>
    </w:p>
    <w:p>
      <w:pPr>
        <w:tabs>
          <w:tab w:val="left" w:pos="900"/>
        </w:tabs>
        <w:spacing w:line="360" w:lineRule="auto"/>
        <w:ind w:firstLine="486" w:firstLineChars="20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 xml:space="preserve"> </w:t>
      </w:r>
      <w:r>
        <w:rPr>
          <w:rFonts w:hint="eastAsia" w:ascii="Arial" w:hAnsi="Arial" w:cs="Arial"/>
          <w:b/>
          <w:color w:val="000000" w:themeColor="text1"/>
          <w:sz w:val="24"/>
          <w:highlight w:val="none"/>
          <w14:textFill>
            <w14:solidFill>
              <w14:schemeClr w14:val="tx1"/>
            </w14:solidFill>
          </w14:textFill>
        </w:rPr>
        <w:t>致：</w:t>
      </w:r>
      <w:r>
        <w:rPr>
          <w:rFonts w:hint="eastAsia" w:ascii="Arial" w:hAnsi="Arial" w:cs="Arial"/>
          <w:b/>
          <w:bCs/>
          <w:color w:val="000000" w:themeColor="text1"/>
          <w:sz w:val="24"/>
          <w:highlight w:val="none"/>
          <w:u w:val="single"/>
          <w14:textFill>
            <w14:solidFill>
              <w14:schemeClr w14:val="tx1"/>
            </w14:solidFill>
          </w14:textFill>
        </w:rPr>
        <w:t>重庆首讯科技股份有限公司</w:t>
      </w:r>
    </w:p>
    <w:p>
      <w:pPr>
        <w:spacing w:line="360" w:lineRule="auto"/>
        <w:ind w:firstLine="486" w:firstLineChars="200"/>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根据贵方</w:t>
      </w:r>
      <w:r>
        <w:rPr>
          <w:rFonts w:hint="eastAsia" w:ascii="宋体" w:hAnsi="宋体"/>
          <w:color w:val="000000" w:themeColor="text1"/>
          <w:sz w:val="24"/>
          <w:highlight w:val="none"/>
          <w:u w:val="single"/>
          <w14:textFill>
            <w14:solidFill>
              <w14:schemeClr w14:val="tx1"/>
            </w14:solidFill>
          </w14:textFill>
        </w:rPr>
        <w:t>重庆高速集团国资监管平台开发劳务外包服务项目</w:t>
      </w:r>
      <w:r>
        <w:rPr>
          <w:rFonts w:hint="eastAsia" w:ascii="Arial" w:hAnsi="Arial" w:cs="Arial"/>
          <w:color w:val="000000" w:themeColor="text1"/>
          <w:sz w:val="24"/>
          <w:highlight w:val="none"/>
          <w14:textFill>
            <w14:solidFill>
              <w14:schemeClr w14:val="tx1"/>
            </w14:solidFill>
          </w14:textFill>
        </w:rPr>
        <w:t>竞争性比选文件要求，签字代表</w:t>
      </w:r>
      <w:r>
        <w:rPr>
          <w:rFonts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u w:val="single"/>
          <w14:textFill>
            <w14:solidFill>
              <w14:schemeClr w14:val="tx1"/>
            </w14:solidFill>
          </w14:textFill>
        </w:rPr>
        <w:t>（全名、职务）</w:t>
      </w:r>
      <w:r>
        <w:rPr>
          <w:rFonts w:hint="eastAsia" w:ascii="Arial" w:hAnsi="Arial" w:cs="Arial"/>
          <w:color w:val="000000" w:themeColor="text1"/>
          <w:sz w:val="24"/>
          <w:highlight w:val="none"/>
          <w14:textFill>
            <w14:solidFill>
              <w14:schemeClr w14:val="tx1"/>
            </w14:solidFill>
          </w14:textFill>
        </w:rPr>
        <w:t>经正式授权并代表报价人</w:t>
      </w:r>
      <w:r>
        <w:rPr>
          <w:rFonts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u w:val="single"/>
          <w14:textFill>
            <w14:solidFill>
              <w14:schemeClr w14:val="tx1"/>
            </w14:solidFill>
          </w14:textFill>
        </w:rPr>
        <w:t>（报价人名称、地址）</w:t>
      </w:r>
      <w:r>
        <w:rPr>
          <w:rFonts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提交以下文件正本一份、副本</w:t>
      </w:r>
      <w:r>
        <w:rPr>
          <w:rFonts w:hint="eastAsia" w:ascii="Arial" w:hAnsi="Arial" w:cs="Arial"/>
          <w:color w:val="000000" w:themeColor="text1"/>
          <w:sz w:val="24"/>
          <w:highlight w:val="none"/>
          <w:lang w:val="en-US" w:eastAsia="zh-CN"/>
          <w14:textFill>
            <w14:solidFill>
              <w14:schemeClr w14:val="tx1"/>
            </w14:solidFill>
          </w14:textFill>
        </w:rPr>
        <w:t>一</w:t>
      </w:r>
      <w:r>
        <w:rPr>
          <w:rFonts w:hint="eastAsia" w:ascii="Arial" w:hAnsi="Arial" w:cs="Arial"/>
          <w:color w:val="000000" w:themeColor="text1"/>
          <w:sz w:val="24"/>
          <w:highlight w:val="none"/>
          <w14:textFill>
            <w14:solidFill>
              <w14:schemeClr w14:val="tx1"/>
            </w14:solidFill>
          </w14:textFill>
        </w:rPr>
        <w:t>份和电子文件1份。</w:t>
      </w:r>
    </w:p>
    <w:p>
      <w:pPr>
        <w:spacing w:line="360" w:lineRule="auto"/>
        <w:ind w:firstLine="486" w:firstLineChars="200"/>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u w:val="single"/>
          <w14:textFill>
            <w14:solidFill>
              <w14:schemeClr w14:val="tx1"/>
            </w14:solidFill>
          </w14:textFill>
        </w:rPr>
        <w:t>我方愿以人民币：              元（大写              元）</w:t>
      </w:r>
      <w:r>
        <w:rPr>
          <w:rFonts w:hint="eastAsia" w:ascii="Arial" w:hAnsi="Arial" w:cs="Arial"/>
          <w:color w:val="000000" w:themeColor="text1"/>
          <w:sz w:val="24"/>
          <w:highlight w:val="none"/>
          <w14:textFill>
            <w14:solidFill>
              <w14:schemeClr w14:val="tx1"/>
            </w14:solidFill>
          </w14:textFill>
        </w:rPr>
        <w:t>的总报价（含增值税），按照竞争性比选文件的要求，承担本次竞争性比选文件要求的设备及售后服务。</w:t>
      </w:r>
    </w:p>
    <w:p>
      <w:pPr>
        <w:tabs>
          <w:tab w:val="left" w:pos="540"/>
          <w:tab w:val="left" w:pos="900"/>
        </w:tabs>
        <w:spacing w:line="360" w:lineRule="auto"/>
        <w:ind w:firstLine="486" w:firstLineChars="200"/>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据此函，签字代表宣布同意如下：</w:t>
      </w:r>
    </w:p>
    <w:p>
      <w:pPr>
        <w:tabs>
          <w:tab w:val="left" w:pos="540"/>
          <w:tab w:val="left" w:pos="900"/>
        </w:tabs>
        <w:spacing w:line="360" w:lineRule="auto"/>
        <w:ind w:firstLine="486" w:firstLineChars="20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、报价人将按竞争性比选文件规定履行合同责任和义务。</w:t>
      </w:r>
    </w:p>
    <w:p>
      <w:pPr>
        <w:tabs>
          <w:tab w:val="left" w:pos="900"/>
        </w:tabs>
        <w:spacing w:line="360" w:lineRule="auto"/>
        <w:ind w:firstLine="486" w:firstLineChars="200"/>
        <w:rPr>
          <w:rFonts w:ascii="Arial" w:hAnsi="Arial" w:cs="Arial"/>
          <w:b/>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2</w:t>
      </w:r>
      <w:r>
        <w:rPr>
          <w:rFonts w:hint="eastAsia" w:ascii="Arial" w:hAnsi="Arial" w:cs="Arial"/>
          <w:color w:val="000000" w:themeColor="text1"/>
          <w:sz w:val="24"/>
          <w:highlight w:val="none"/>
          <w14:textFill>
            <w14:solidFill>
              <w14:schemeClr w14:val="tx1"/>
            </w14:solidFill>
          </w14:textFill>
        </w:rPr>
        <w:t>、报价人已详细审查全部竞争性比选文件，包括修改文件（如有的话）以及全部参考资料和相关附件。我们完全理解并同意放弃对这方面有不明及误解的权利。</w:t>
      </w:r>
    </w:p>
    <w:p>
      <w:pPr>
        <w:tabs>
          <w:tab w:val="left" w:pos="900"/>
        </w:tabs>
        <w:spacing w:line="360" w:lineRule="auto"/>
        <w:ind w:firstLine="486" w:firstLineChars="200"/>
        <w:rPr>
          <w:rFonts w:ascii="Arial" w:hAnsi="Arial" w:cs="Arial"/>
          <w:b/>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3、报价人同意提供采购人可能要求的与其竞争性比选响应文件有关的一切数据或资料。</w:t>
      </w:r>
    </w:p>
    <w:p>
      <w:pPr>
        <w:tabs>
          <w:tab w:val="left" w:pos="900"/>
        </w:tabs>
        <w:spacing w:line="360" w:lineRule="auto"/>
        <w:ind w:firstLine="486" w:firstLineChars="200"/>
        <w:rPr>
          <w:rFonts w:ascii="Arial" w:hAnsi="Arial" w:cs="Arial"/>
          <w:b/>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4、与本竞争性比选响应有关的一切正式往来通讯请寄：</w:t>
      </w:r>
    </w:p>
    <w:p>
      <w:pPr>
        <w:tabs>
          <w:tab w:val="left" w:pos="900"/>
        </w:tabs>
        <w:spacing w:line="360" w:lineRule="auto"/>
        <w:ind w:firstLine="486" w:firstLineChars="200"/>
        <w:rPr>
          <w:rFonts w:ascii="Arial" w:hAnsi="Arial" w:cs="Arial"/>
          <w:b/>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地址：</w:t>
      </w:r>
      <w:r>
        <w:rPr>
          <w:rFonts w:ascii="Arial" w:hAnsi="Arial" w:cs="Arial"/>
          <w:color w:val="000000" w:themeColor="text1"/>
          <w:sz w:val="24"/>
          <w:highlight w:val="none"/>
          <w:u w:val="single"/>
          <w14:textFill>
            <w14:solidFill>
              <w14:schemeClr w14:val="tx1"/>
            </w14:solidFill>
          </w14:textFill>
        </w:rPr>
        <w:t xml:space="preserve">                         </w:t>
      </w:r>
      <w:r>
        <w:rPr>
          <w:rFonts w:ascii="Arial" w:hAnsi="Arial" w:cs="Arial"/>
          <w:color w:val="000000" w:themeColor="text1"/>
          <w:sz w:val="24"/>
          <w:highlight w:val="non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邮编：</w:t>
      </w:r>
      <w:r>
        <w:rPr>
          <w:rFonts w:ascii="Arial" w:hAnsi="Arial" w:cs="Arial"/>
          <w:color w:val="000000" w:themeColor="text1"/>
          <w:sz w:val="24"/>
          <w:highlight w:val="none"/>
          <w:u w:val="single"/>
          <w14:textFill>
            <w14:solidFill>
              <w14:schemeClr w14:val="tx1"/>
            </w14:solidFill>
          </w14:textFill>
        </w:rPr>
        <w:t xml:space="preserve">            </w:t>
      </w:r>
      <w:r>
        <w:rPr>
          <w:rFonts w:ascii="Arial" w:hAnsi="Arial" w:cs="Arial"/>
          <w:b/>
          <w:color w:val="000000" w:themeColor="text1"/>
          <w:sz w:val="24"/>
          <w:highlight w:val="none"/>
          <w14:textFill>
            <w14:solidFill>
              <w14:schemeClr w14:val="tx1"/>
            </w14:solidFill>
          </w14:textFill>
        </w:rPr>
        <w:t xml:space="preserve">  </w:t>
      </w:r>
    </w:p>
    <w:p>
      <w:pPr>
        <w:tabs>
          <w:tab w:val="left" w:pos="900"/>
        </w:tabs>
        <w:spacing w:line="360" w:lineRule="auto"/>
        <w:ind w:firstLine="486" w:firstLineChars="200"/>
        <w:rPr>
          <w:rFonts w:ascii="Arial" w:hAnsi="Arial" w:cs="Arial"/>
          <w:color w:val="000000" w:themeColor="text1"/>
          <w:sz w:val="24"/>
          <w:highlight w:val="none"/>
          <w:u w:val="singl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电话：</w:t>
      </w:r>
      <w:r>
        <w:rPr>
          <w:rFonts w:ascii="Arial" w:hAnsi="Arial" w:cs="Arial"/>
          <w:color w:val="000000" w:themeColor="text1"/>
          <w:sz w:val="24"/>
          <w:highlight w:val="none"/>
          <w:u w:val="single"/>
          <w14:textFill>
            <w14:solidFill>
              <w14:schemeClr w14:val="tx1"/>
            </w14:solidFill>
          </w14:textFill>
        </w:rPr>
        <w:t xml:space="preserve">                   </w:t>
      </w:r>
      <w:r>
        <w:rPr>
          <w:rFonts w:ascii="Arial" w:hAnsi="Arial" w:cs="Arial"/>
          <w:color w:val="000000" w:themeColor="text1"/>
          <w:sz w:val="24"/>
          <w:highlight w:val="non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传真：</w:t>
      </w:r>
      <w:r>
        <w:rPr>
          <w:rFonts w:ascii="Arial" w:hAnsi="Arial" w:cs="Arial"/>
          <w:color w:val="000000" w:themeColor="text1"/>
          <w:sz w:val="24"/>
          <w:highlight w:val="none"/>
          <w:u w:val="single"/>
          <w14:textFill>
            <w14:solidFill>
              <w14:schemeClr w14:val="tx1"/>
            </w14:solidFill>
          </w14:textFill>
        </w:rPr>
        <w:t xml:space="preserve">            </w:t>
      </w:r>
    </w:p>
    <w:p>
      <w:pPr>
        <w:tabs>
          <w:tab w:val="left" w:pos="900"/>
        </w:tabs>
        <w:spacing w:line="360" w:lineRule="auto"/>
        <w:ind w:firstLine="488" w:firstLineChars="200"/>
        <w:rPr>
          <w:rFonts w:ascii="Arial" w:hAnsi="Arial" w:cs="Arial"/>
          <w:b/>
          <w:color w:val="000000" w:themeColor="text1"/>
          <w:sz w:val="24"/>
          <w:highlight w:val="none"/>
          <w14:textFill>
            <w14:solidFill>
              <w14:schemeClr w14:val="tx1"/>
            </w14:solidFill>
          </w14:textFill>
        </w:rPr>
      </w:pPr>
      <w:r>
        <w:rPr>
          <w:rFonts w:hint="eastAsia" w:ascii="Arial" w:hAnsi="Arial" w:cs="Arial"/>
          <w:b/>
          <w:color w:val="000000" w:themeColor="text1"/>
          <w:sz w:val="24"/>
          <w:highlight w:val="none"/>
          <w14:textFill>
            <w14:solidFill>
              <w14:schemeClr w14:val="tx1"/>
            </w14:solidFill>
          </w14:textFill>
        </w:rPr>
        <w:t>报价人法定代表人或授权代表人（签字）：</w:t>
      </w:r>
      <w:r>
        <w:rPr>
          <w:rFonts w:ascii="Arial" w:hAnsi="Arial" w:cs="Arial"/>
          <w:b/>
          <w:color w:val="000000" w:themeColor="text1"/>
          <w:sz w:val="24"/>
          <w:highlight w:val="none"/>
          <w:u w:val="single"/>
          <w14:textFill>
            <w14:solidFill>
              <w14:schemeClr w14:val="tx1"/>
            </w14:solidFill>
          </w14:textFill>
        </w:rPr>
        <w:t xml:space="preserve">               </w:t>
      </w:r>
    </w:p>
    <w:p>
      <w:pPr>
        <w:tabs>
          <w:tab w:val="left" w:pos="900"/>
        </w:tabs>
        <w:spacing w:line="360" w:lineRule="auto"/>
        <w:ind w:firstLine="488" w:firstLineChars="200"/>
        <w:rPr>
          <w:rFonts w:ascii="Arial" w:hAnsi="Arial" w:cs="Arial"/>
          <w:b/>
          <w:color w:val="000000" w:themeColor="text1"/>
          <w:sz w:val="24"/>
          <w:highlight w:val="none"/>
          <w14:textFill>
            <w14:solidFill>
              <w14:schemeClr w14:val="tx1"/>
            </w14:solidFill>
          </w14:textFill>
        </w:rPr>
      </w:pPr>
      <w:r>
        <w:rPr>
          <w:rFonts w:hint="eastAsia" w:ascii="Arial" w:hAnsi="Arial" w:cs="Arial"/>
          <w:b/>
          <w:color w:val="000000" w:themeColor="text1"/>
          <w:sz w:val="24"/>
          <w:highlight w:val="none"/>
          <w14:textFill>
            <w14:solidFill>
              <w14:schemeClr w14:val="tx1"/>
            </w14:solidFill>
          </w14:textFill>
        </w:rPr>
        <w:t>报价人法定代表人或授权代表人职务：</w:t>
      </w:r>
      <w:r>
        <w:rPr>
          <w:rFonts w:ascii="Arial" w:hAnsi="Arial" w:cs="Arial"/>
          <w:b/>
          <w:color w:val="000000" w:themeColor="text1"/>
          <w:sz w:val="24"/>
          <w:highlight w:val="none"/>
          <w:u w:val="single"/>
          <w14:textFill>
            <w14:solidFill>
              <w14:schemeClr w14:val="tx1"/>
            </w14:solidFill>
          </w14:textFill>
        </w:rPr>
        <w:t xml:space="preserve">                      </w:t>
      </w:r>
      <w:r>
        <w:rPr>
          <w:rFonts w:ascii="Arial" w:hAnsi="Arial" w:cs="Arial"/>
          <w:b/>
          <w:color w:val="000000" w:themeColor="text1"/>
          <w:sz w:val="24"/>
          <w:highlight w:val="none"/>
          <w14:textFill>
            <w14:solidFill>
              <w14:schemeClr w14:val="tx1"/>
            </w14:solidFill>
          </w14:textFill>
        </w:rPr>
        <w:t xml:space="preserve">      </w:t>
      </w:r>
    </w:p>
    <w:p>
      <w:pPr>
        <w:tabs>
          <w:tab w:val="left" w:pos="900"/>
        </w:tabs>
        <w:spacing w:line="360" w:lineRule="auto"/>
        <w:ind w:firstLine="488" w:firstLineChars="200"/>
        <w:rPr>
          <w:rFonts w:ascii="Arial" w:hAnsi="Arial" w:cs="Arial"/>
          <w:color w:val="000000" w:themeColor="text1"/>
          <w:sz w:val="24"/>
          <w:highlight w:val="none"/>
          <w14:textFill>
            <w14:solidFill>
              <w14:schemeClr w14:val="tx1"/>
            </w14:solidFill>
          </w14:textFill>
        </w:rPr>
      </w:pPr>
      <w:r>
        <w:rPr>
          <w:rFonts w:hint="eastAsia" w:ascii="Arial" w:hAnsi="Arial" w:cs="Arial"/>
          <w:b/>
          <w:color w:val="000000" w:themeColor="text1"/>
          <w:sz w:val="24"/>
          <w:highlight w:val="none"/>
          <w14:textFill>
            <w14:solidFill>
              <w14:schemeClr w14:val="tx1"/>
            </w14:solidFill>
          </w14:textFill>
        </w:rPr>
        <w:t>报价人名称（加盖公章）：</w:t>
      </w:r>
      <w:r>
        <w:rPr>
          <w:rFonts w:ascii="Arial" w:hAnsi="Arial" w:cs="Arial"/>
          <w:b/>
          <w:color w:val="000000" w:themeColor="text1"/>
          <w:sz w:val="24"/>
          <w:highlight w:val="none"/>
          <w14:textFill>
            <w14:solidFill>
              <w14:schemeClr w14:val="tx1"/>
            </w14:solidFill>
          </w14:textFill>
        </w:rPr>
        <w:t xml:space="preserve">  </w:t>
      </w:r>
      <w:r>
        <w:rPr>
          <w:rFonts w:ascii="Arial" w:hAnsi="Arial" w:cs="Arial"/>
          <w:b/>
          <w:color w:val="000000" w:themeColor="text1"/>
          <w:sz w:val="24"/>
          <w:highlight w:val="none"/>
          <w:u w:val="single"/>
          <w14:textFill>
            <w14:solidFill>
              <w14:schemeClr w14:val="tx1"/>
            </w14:solidFill>
          </w14:textFill>
        </w:rPr>
        <w:t xml:space="preserve"> </w:t>
      </w:r>
      <w:r>
        <w:rPr>
          <w:rFonts w:ascii="Arial" w:hAnsi="Arial" w:cs="Arial"/>
          <w:color w:val="000000" w:themeColor="text1"/>
          <w:sz w:val="24"/>
          <w:highlight w:val="none"/>
          <w:u w:val="single"/>
          <w14:textFill>
            <w14:solidFill>
              <w14:schemeClr w14:val="tx1"/>
            </w14:solidFill>
          </w14:textFill>
        </w:rPr>
        <w:t xml:space="preserve">                       </w:t>
      </w:r>
    </w:p>
    <w:p>
      <w:pPr>
        <w:tabs>
          <w:tab w:val="left" w:pos="900"/>
        </w:tabs>
        <w:spacing w:line="360" w:lineRule="auto"/>
        <w:ind w:firstLine="486" w:firstLineChars="200"/>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日期：</w:t>
      </w:r>
      <w:r>
        <w:rPr>
          <w:rFonts w:hint="eastAsia"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年</w:t>
      </w:r>
      <w:r>
        <w:rPr>
          <w:rFonts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月</w:t>
      </w:r>
      <w:r>
        <w:rPr>
          <w:rFonts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日</w:t>
      </w:r>
      <w:r>
        <w:rPr>
          <w:rFonts w:ascii="Arial" w:hAnsi="Arial" w:cs="Arial"/>
          <w:color w:val="000000" w:themeColor="text1"/>
          <w:sz w:val="24"/>
          <w:highlight w:val="none"/>
          <w14:textFill>
            <w14:solidFill>
              <w14:schemeClr w14:val="tx1"/>
            </w14:solidFill>
          </w14:textFill>
        </w:rPr>
        <w:t xml:space="preserve"> </w:t>
      </w:r>
    </w:p>
    <w:p>
      <w:pPr>
        <w:tabs>
          <w:tab w:val="left" w:pos="900"/>
        </w:tabs>
        <w:spacing w:line="300" w:lineRule="auto"/>
        <w:rPr>
          <w:rFonts w:ascii="Arial" w:hAnsi="Arial" w:cs="Arial"/>
          <w:color w:val="000000" w:themeColor="text1"/>
          <w:sz w:val="24"/>
          <w:highlight w:val="none"/>
          <w14:textFill>
            <w14:solidFill>
              <w14:schemeClr w14:val="tx1"/>
            </w14:solidFill>
          </w14:textFill>
        </w:rPr>
      </w:pPr>
    </w:p>
    <w:p>
      <w:pPr>
        <w:tabs>
          <w:tab w:val="left" w:pos="900"/>
        </w:tabs>
        <w:spacing w:line="300" w:lineRule="auto"/>
        <w:rPr>
          <w:rFonts w:ascii="Arial" w:hAnsi="Arial" w:cs="Arial"/>
          <w:color w:val="000000" w:themeColor="text1"/>
          <w:sz w:val="24"/>
          <w:highlight w:val="none"/>
          <w14:textFill>
            <w14:solidFill>
              <w14:schemeClr w14:val="tx1"/>
            </w14:solidFill>
          </w14:textFill>
        </w:rPr>
      </w:pPr>
    </w:p>
    <w:p>
      <w:pPr>
        <w:pStyle w:val="12"/>
        <w:snapToGrid w:val="0"/>
        <w:jc w:val="left"/>
        <w:rPr>
          <w:rFonts w:ascii="宋体" w:hAnsi="宋体"/>
          <w:color w:val="000000" w:themeColor="text1"/>
          <w:highlight w:val="none"/>
          <w14:textFill>
            <w14:solidFill>
              <w14:schemeClr w14:val="tx1"/>
            </w14:solidFill>
          </w14:textFill>
        </w:rPr>
      </w:pPr>
      <w:bookmarkStart w:id="210" w:name="_Toc491883232"/>
    </w:p>
    <w:p>
      <w:pPr>
        <w:pStyle w:val="19"/>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r>
        <w:rPr>
          <w:rFonts w:hint="eastAsia" w:ascii="宋体" w:hAnsi="宋体"/>
          <w:bCs w:val="0"/>
          <w:color w:val="000000" w:themeColor="text1"/>
          <w:highlight w:val="none"/>
          <w14:textFill>
            <w14:solidFill>
              <w14:schemeClr w14:val="tx1"/>
            </w14:solidFill>
          </w14:textFill>
        </w:rPr>
        <w:t>二</w:t>
      </w:r>
      <w:r>
        <w:rPr>
          <w:rFonts w:ascii="宋体" w:hAnsi="宋体"/>
          <w:bCs w:val="0"/>
          <w:color w:val="000000" w:themeColor="text1"/>
          <w:highlight w:val="none"/>
          <w14:textFill>
            <w14:solidFill>
              <w14:schemeClr w14:val="tx1"/>
            </w14:solidFill>
          </w14:textFill>
        </w:rPr>
        <w:t>、</w:t>
      </w:r>
      <w:r>
        <w:rPr>
          <w:rFonts w:hint="eastAsia" w:ascii="宋体" w:hAnsi="宋体"/>
          <w:bCs w:val="0"/>
          <w:color w:val="000000" w:themeColor="text1"/>
          <w:highlight w:val="none"/>
          <w14:textFill>
            <w14:solidFill>
              <w14:schemeClr w14:val="tx1"/>
            </w14:solidFill>
          </w14:textFill>
        </w:rPr>
        <w:t>法定代表人身份证明和法定代表人授权委托书</w:t>
      </w:r>
    </w:p>
    <w:p>
      <w:pPr>
        <w:pStyle w:val="4"/>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（一）</w:t>
      </w:r>
      <w:r>
        <w:rPr>
          <w:rFonts w:ascii="宋体" w:hAnsi="宋体"/>
          <w:color w:val="000000" w:themeColor="text1"/>
          <w:sz w:val="28"/>
          <w:szCs w:val="28"/>
          <w:highlight w:val="none"/>
          <w14:textFill>
            <w14:solidFill>
              <w14:schemeClr w14:val="tx1"/>
            </w14:solidFill>
          </w14:textFill>
        </w:rPr>
        <w:t>法定代表人身份证明</w:t>
      </w:r>
      <w:bookmarkEnd w:id="210"/>
    </w:p>
    <w:p>
      <w:pPr>
        <w:spacing w:line="440" w:lineRule="exact"/>
        <w:rPr>
          <w:rFonts w:ascii="宋体" w:hAnsi="宋体"/>
          <w:color w:val="000000" w:themeColor="text1"/>
          <w:highlight w:val="none"/>
          <w14:textFill>
            <w14:solidFill>
              <w14:schemeClr w14:val="tx1"/>
            </w14:solidFill>
          </w14:textFill>
        </w:rPr>
      </w:pP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报价人名称：</w:t>
      </w:r>
      <w:r>
        <w:rPr>
          <w:rFonts w:ascii="宋体" w:hAnsi="宋体"/>
          <w:color w:val="000000" w:themeColor="text1"/>
          <w:sz w:val="24"/>
          <w:highlight w:val="none"/>
          <w:u w:val="single"/>
          <w14:textFill>
            <w14:solidFill>
              <w14:schemeClr w14:val="tx1"/>
            </w14:solidFill>
          </w14:textFill>
        </w:rPr>
        <w:t xml:space="preserve">                        </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姓名：</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性别：</w:t>
      </w:r>
      <w:bookmarkStart w:id="211" w:name="_Toc369531698"/>
      <w:bookmarkStart w:id="212" w:name="_Toc352691662"/>
      <w:bookmarkStart w:id="213" w:name="_Toc27897"/>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年</w:t>
      </w:r>
      <w:bookmarkEnd w:id="211"/>
      <w:bookmarkEnd w:id="212"/>
      <w:bookmarkEnd w:id="213"/>
      <w:r>
        <w:rPr>
          <w:rFonts w:ascii="宋体" w:hAnsi="宋体"/>
          <w:color w:val="000000" w:themeColor="text1"/>
          <w:sz w:val="24"/>
          <w:highlight w:val="none"/>
          <w14:textFill>
            <w14:solidFill>
              <w14:schemeClr w14:val="tx1"/>
            </w14:solidFill>
          </w14:textFill>
        </w:rPr>
        <w:t>龄</w:t>
      </w:r>
      <w:bookmarkStart w:id="214" w:name="_Toc247527829"/>
      <w:bookmarkStart w:id="215" w:name="_Toc300835211"/>
      <w:bookmarkStart w:id="216" w:name="_Toc247514248"/>
      <w:bookmarkStart w:id="217" w:name="_Toc15573"/>
      <w:bookmarkStart w:id="218" w:name="_Toc352691663"/>
      <w:bookmarkStart w:id="219" w:name="_Toc144974858"/>
      <w:bookmarkStart w:id="220" w:name="_Toc361508754"/>
      <w:bookmarkStart w:id="221" w:name="_Toc384308377"/>
      <w:bookmarkStart w:id="222" w:name="_Toc152042578"/>
      <w:bookmarkStart w:id="223" w:name="_Toc152045789"/>
      <w:bookmarkStart w:id="224" w:name="_Toc369531699"/>
      <w:r>
        <w:rPr>
          <w:rFonts w:ascii="宋体" w:hAnsi="宋体"/>
          <w:color w:val="000000" w:themeColor="text1"/>
          <w:sz w:val="24"/>
          <w:highlight w:val="none"/>
          <w14:textFill>
            <w14:solidFill>
              <w14:schemeClr w14:val="tx1"/>
            </w14:solidFill>
          </w14:textFill>
        </w:rPr>
        <w:t>：</w:t>
      </w:r>
      <w:bookmarkEnd w:id="214"/>
      <w:bookmarkEnd w:id="215"/>
      <w:bookmarkEnd w:id="216"/>
      <w:bookmarkEnd w:id="217"/>
      <w:bookmarkEnd w:id="218"/>
      <w:bookmarkEnd w:id="219"/>
      <w:bookmarkEnd w:id="220"/>
      <w:bookmarkEnd w:id="221"/>
      <w:bookmarkEnd w:id="222"/>
      <w:bookmarkEnd w:id="223"/>
      <w:bookmarkEnd w:id="224"/>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职务：</w:t>
      </w:r>
      <w:r>
        <w:rPr>
          <w:rFonts w:ascii="宋体" w:hAnsi="宋体"/>
          <w:color w:val="000000" w:themeColor="text1"/>
          <w:sz w:val="24"/>
          <w:highlight w:val="none"/>
          <w:u w:val="single"/>
          <w14:textFill>
            <w14:solidFill>
              <w14:schemeClr w14:val="tx1"/>
            </w14:solidFill>
          </w14:textFill>
        </w:rPr>
        <w:t xml:space="preserve">        </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系</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（报价人名称）的法定代表人。</w:t>
      </w:r>
    </w:p>
    <w:p>
      <w:pPr>
        <w:spacing w:line="440" w:lineRule="exact"/>
        <w:ind w:firstLine="486"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特此证明。</w:t>
      </w:r>
    </w:p>
    <w:p>
      <w:pPr>
        <w:spacing w:line="440" w:lineRule="exact"/>
        <w:rPr>
          <w:rFonts w:ascii="宋体" w:hAnsi="宋体"/>
          <w:color w:val="000000" w:themeColor="text1"/>
          <w:sz w:val="24"/>
          <w:highlight w:val="none"/>
          <w14:textFill>
            <w14:solidFill>
              <w14:schemeClr w14:val="tx1"/>
            </w14:solidFill>
          </w14:textFill>
        </w:rPr>
      </w:pP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附：法定代表人身份证复印件。</w:t>
      </w:r>
    </w:p>
    <w:p>
      <w:pPr>
        <w:spacing w:line="440" w:lineRule="exact"/>
        <w:rPr>
          <w:rFonts w:ascii="宋体" w:hAnsi="宋体"/>
          <w:color w:val="000000" w:themeColor="text1"/>
          <w:sz w:val="24"/>
          <w:highlight w:val="none"/>
          <w14:textFill>
            <w14:solidFill>
              <w14:schemeClr w14:val="tx1"/>
            </w14:solidFill>
          </w14:textFill>
        </w:rPr>
      </w:pPr>
    </w:p>
    <w:p>
      <w:pPr>
        <w:spacing w:line="440" w:lineRule="exact"/>
        <w:rPr>
          <w:rFonts w:ascii="宋体" w:hAnsi="宋体"/>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spacing w:line="440" w:lineRule="exact"/>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报价人：</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盖</w:t>
      </w:r>
      <w:r>
        <w:rPr>
          <w:rFonts w:ascii="宋体" w:hAnsi="宋体"/>
          <w:color w:val="000000" w:themeColor="text1"/>
          <w:sz w:val="24"/>
          <w:highlight w:val="none"/>
          <w14:textFill>
            <w14:solidFill>
              <w14:schemeClr w14:val="tx1"/>
            </w14:solidFill>
          </w14:textFill>
        </w:rPr>
        <w:t>单位</w:t>
      </w:r>
      <w:r>
        <w:rPr>
          <w:rFonts w:hint="eastAsia" w:ascii="宋体" w:hAnsi="宋体"/>
          <w:color w:val="000000" w:themeColor="text1"/>
          <w:sz w:val="24"/>
          <w:highlight w:val="none"/>
          <w14:textFill>
            <w14:solidFill>
              <w14:schemeClr w14:val="tx1"/>
            </w14:solidFill>
          </w14:textFill>
        </w:rPr>
        <w:t>鲜</w:t>
      </w:r>
      <w:r>
        <w:rPr>
          <w:rFonts w:ascii="宋体" w:hAnsi="宋体"/>
          <w:color w:val="000000" w:themeColor="text1"/>
          <w:sz w:val="24"/>
          <w:highlight w:val="none"/>
          <w14:textFill>
            <w14:solidFill>
              <w14:schemeClr w14:val="tx1"/>
            </w14:solidFill>
          </w14:textFill>
        </w:rPr>
        <w:t>公章）</w:t>
      </w:r>
    </w:p>
    <w:p>
      <w:pPr>
        <w:spacing w:line="440" w:lineRule="exact"/>
        <w:rPr>
          <w:rFonts w:ascii="宋体" w:hAnsi="宋体"/>
          <w:color w:val="000000" w:themeColor="text1"/>
          <w:sz w:val="24"/>
          <w:highlight w:val="none"/>
          <w14:textFill>
            <w14:solidFill>
              <w14:schemeClr w14:val="tx1"/>
            </w14:solidFill>
          </w14:textFill>
        </w:rPr>
      </w:pPr>
    </w:p>
    <w:p>
      <w:pPr>
        <w:spacing w:line="440" w:lineRule="exact"/>
        <w:ind w:firstLine="5349" w:firstLineChars="2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w:t>
      </w: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注：本身份证明需由报价人加盖单位</w:t>
      </w:r>
      <w:r>
        <w:rPr>
          <w:rFonts w:hint="eastAsia" w:ascii="宋体" w:hAnsi="宋体"/>
          <w:color w:val="000000" w:themeColor="text1"/>
          <w:sz w:val="24"/>
          <w:highlight w:val="none"/>
          <w14:textFill>
            <w14:solidFill>
              <w14:schemeClr w14:val="tx1"/>
            </w14:solidFill>
          </w14:textFill>
        </w:rPr>
        <w:t>鲜</w:t>
      </w:r>
      <w:r>
        <w:rPr>
          <w:rFonts w:ascii="宋体" w:hAnsi="宋体"/>
          <w:color w:val="000000" w:themeColor="text1"/>
          <w:sz w:val="24"/>
          <w:highlight w:val="none"/>
          <w14:textFill>
            <w14:solidFill>
              <w14:schemeClr w14:val="tx1"/>
            </w14:solidFill>
          </w14:textFill>
        </w:rPr>
        <w:t>公章。</w:t>
      </w:r>
    </w:p>
    <w:p>
      <w:pPr>
        <w:spacing w:line="440" w:lineRule="exact"/>
        <w:rPr>
          <w:rFonts w:ascii="宋体" w:hAnsi="宋体"/>
          <w:color w:val="000000" w:themeColor="text1"/>
          <w:sz w:val="20"/>
          <w:highlight w:val="none"/>
          <w14:textFill>
            <w14:solidFill>
              <w14:schemeClr w14:val="tx1"/>
            </w14:solidFill>
          </w14:textFill>
        </w:rPr>
      </w:pPr>
    </w:p>
    <w:p>
      <w:pPr>
        <w:spacing w:line="20" w:lineRule="exact"/>
        <w:jc w:val="center"/>
        <w:rPr>
          <w:rFonts w:ascii="宋体" w:hAnsi="宋体"/>
          <w:color w:val="000000" w:themeColor="text1"/>
          <w:sz w:val="20"/>
          <w:highlight w:val="none"/>
          <w14:textFill>
            <w14:solidFill>
              <w14:schemeClr w14:val="tx1"/>
            </w14:solidFill>
          </w14:textFill>
        </w:rPr>
      </w:pPr>
      <w:r>
        <w:rPr>
          <w:rFonts w:ascii="宋体" w:hAnsi="宋体"/>
          <w:color w:val="000000" w:themeColor="text1"/>
          <w:sz w:val="20"/>
          <w:highlight w:val="none"/>
          <w14:textFill>
            <w14:solidFill>
              <w14:schemeClr w14:val="tx1"/>
            </w14:solidFill>
          </w14:textFill>
        </w:rPr>
        <w:br w:type="page"/>
      </w:r>
    </w:p>
    <w:p>
      <w:pPr>
        <w:pStyle w:val="4"/>
        <w:jc w:val="center"/>
        <w:rPr>
          <w:rFonts w:ascii="宋体" w:hAnsi="宋体"/>
          <w:color w:val="000000" w:themeColor="text1"/>
          <w:sz w:val="28"/>
          <w:szCs w:val="28"/>
          <w:highlight w:val="none"/>
          <w14:textFill>
            <w14:solidFill>
              <w14:schemeClr w14:val="tx1"/>
            </w14:solidFill>
          </w14:textFill>
        </w:rPr>
      </w:pPr>
      <w:bookmarkStart w:id="225" w:name="_Toc491883233"/>
      <w:r>
        <w:rPr>
          <w:rFonts w:hint="eastAsia" w:ascii="宋体" w:hAnsi="宋体"/>
          <w:color w:val="000000" w:themeColor="text1"/>
          <w:sz w:val="28"/>
          <w:szCs w:val="28"/>
          <w:highlight w:val="none"/>
          <w14:textFill>
            <w14:solidFill>
              <w14:schemeClr w14:val="tx1"/>
            </w14:solidFill>
          </w14:textFill>
        </w:rPr>
        <w:t>（二）</w:t>
      </w:r>
      <w:bookmarkEnd w:id="225"/>
      <w:r>
        <w:rPr>
          <w:rFonts w:hint="eastAsia" w:ascii="宋体" w:hAnsi="宋体"/>
          <w:color w:val="000000" w:themeColor="text1"/>
          <w:sz w:val="28"/>
          <w:szCs w:val="28"/>
          <w:highlight w:val="none"/>
          <w14:textFill>
            <w14:solidFill>
              <w14:schemeClr w14:val="tx1"/>
            </w14:solidFill>
          </w14:textFill>
        </w:rPr>
        <w:t>法定代表人授权委托书</w:t>
      </w:r>
    </w:p>
    <w:p>
      <w:pPr>
        <w:spacing w:line="440" w:lineRule="exact"/>
        <w:rPr>
          <w:rFonts w:ascii="宋体" w:hAnsi="宋体"/>
          <w:color w:val="000000" w:themeColor="text1"/>
          <w:highlight w:val="none"/>
          <w14:textFill>
            <w14:solidFill>
              <w14:schemeClr w14:val="tx1"/>
            </w14:solidFill>
          </w14:textFill>
        </w:rPr>
      </w:pPr>
    </w:p>
    <w:p>
      <w:pPr>
        <w:topLinePunct/>
        <w:spacing w:line="440" w:lineRule="exact"/>
        <w:ind w:firstLine="486"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本人</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（姓名）系</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（报价人名称）的法定代表人，现委托</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（姓名）为我方代理人。代理人根据授权，以我方名义签署、澄清确认、递交、撤回、修改</w:t>
      </w:r>
      <w:r>
        <w:rPr>
          <w:rFonts w:hint="eastAsia" w:ascii="宋体" w:hAnsi="宋体"/>
          <w:color w:val="000000" w:themeColor="text1"/>
          <w:sz w:val="24"/>
          <w:highlight w:val="none"/>
          <w:u w:val="single"/>
          <w14:textFill>
            <w14:solidFill>
              <w14:schemeClr w14:val="tx1"/>
            </w14:solidFill>
          </w14:textFill>
        </w:rPr>
        <w:t>重庆高速集团国资监管平台开发劳务外包服务项目</w:t>
      </w:r>
      <w:r>
        <w:rPr>
          <w:rFonts w:ascii="宋体" w:hAnsi="宋体"/>
          <w:color w:val="000000" w:themeColor="text1"/>
          <w:sz w:val="24"/>
          <w:highlight w:val="none"/>
          <w14:textFill>
            <w14:solidFill>
              <w14:schemeClr w14:val="tx1"/>
            </w14:solidFill>
          </w14:textFill>
        </w:rPr>
        <w:t>竞争性比选响应文件、签订合同和处理有关事宜，其法律后果由我方承担。</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委托期限：</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pPr>
        <w:spacing w:line="440" w:lineRule="exact"/>
        <w:ind w:firstLine="486"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代理人无转委托权。</w:t>
      </w:r>
    </w:p>
    <w:p>
      <w:pPr>
        <w:spacing w:line="440" w:lineRule="exact"/>
        <w:ind w:firstLine="486" w:firstLineChars="200"/>
        <w:rPr>
          <w:rFonts w:ascii="宋体" w:hAnsi="宋体"/>
          <w:color w:val="000000" w:themeColor="text1"/>
          <w:sz w:val="24"/>
          <w:highlight w:val="none"/>
          <w14:textFill>
            <w14:solidFill>
              <w14:schemeClr w14:val="tx1"/>
            </w14:solidFill>
          </w14:textFill>
        </w:rPr>
      </w:pP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附：法定代表人身份证复印件及委托代理人身份证复印件</w:t>
      </w:r>
    </w:p>
    <w:p>
      <w:pPr>
        <w:spacing w:line="440" w:lineRule="exact"/>
        <w:rPr>
          <w:rFonts w:ascii="宋体" w:hAnsi="宋体"/>
          <w:color w:val="000000" w:themeColor="text1"/>
          <w:sz w:val="24"/>
          <w:highlight w:val="none"/>
          <w14:textFill>
            <w14:solidFill>
              <w14:schemeClr w14:val="tx1"/>
            </w14:solidFill>
          </w14:textFill>
        </w:rPr>
      </w:pPr>
    </w:p>
    <w:p>
      <w:pPr>
        <w:pStyle w:val="2"/>
        <w:rPr>
          <w:highlight w:val="none"/>
        </w:rPr>
      </w:pPr>
    </w:p>
    <w:p>
      <w:pPr>
        <w:spacing w:line="440" w:lineRule="exact"/>
        <w:ind w:firstLine="3117" w:firstLineChars="128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报  价</w:t>
      </w:r>
      <w:r>
        <w:rPr>
          <w:rFonts w:ascii="宋体" w:hAnsi="宋体"/>
          <w:color w:val="000000" w:themeColor="text1"/>
          <w:sz w:val="24"/>
          <w:highlight w:val="none"/>
          <w14:textFill>
            <w14:solidFill>
              <w14:schemeClr w14:val="tx1"/>
            </w14:solidFill>
          </w14:textFill>
        </w:rPr>
        <w:t xml:space="preserve">  人：</w:t>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盖</w:t>
      </w:r>
      <w:r>
        <w:rPr>
          <w:rFonts w:ascii="宋体" w:hAnsi="宋体"/>
          <w:color w:val="000000" w:themeColor="text1"/>
          <w:sz w:val="24"/>
          <w:highlight w:val="none"/>
          <w14:textFill>
            <w14:solidFill>
              <w14:schemeClr w14:val="tx1"/>
            </w14:solidFill>
          </w14:textFill>
        </w:rPr>
        <w:t>单位</w:t>
      </w:r>
      <w:r>
        <w:rPr>
          <w:rFonts w:hint="eastAsia" w:ascii="宋体" w:hAnsi="宋体"/>
          <w:color w:val="000000" w:themeColor="text1"/>
          <w:sz w:val="24"/>
          <w:highlight w:val="none"/>
          <w14:textFill>
            <w14:solidFill>
              <w14:schemeClr w14:val="tx1"/>
            </w14:solidFill>
          </w14:textFill>
        </w:rPr>
        <w:t>鲜</w:t>
      </w:r>
      <w:r>
        <w:rPr>
          <w:rFonts w:ascii="宋体" w:hAnsi="宋体"/>
          <w:color w:val="000000" w:themeColor="text1"/>
          <w:sz w:val="24"/>
          <w:highlight w:val="none"/>
          <w14:textFill>
            <w14:solidFill>
              <w14:schemeClr w14:val="tx1"/>
            </w14:solidFill>
          </w14:textFill>
        </w:rPr>
        <w:t>公章）</w:t>
      </w:r>
    </w:p>
    <w:p>
      <w:pPr>
        <w:spacing w:line="440" w:lineRule="exact"/>
        <w:ind w:firstLine="3114" w:firstLineChars="1281"/>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w:t>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pPr>
        <w:spacing w:line="440" w:lineRule="exact"/>
        <w:ind w:firstLine="3117" w:firstLineChars="1282"/>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身份证号码：</w:t>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 xml:space="preserve">                 </w:t>
      </w:r>
    </w:p>
    <w:p>
      <w:pPr>
        <w:spacing w:line="440" w:lineRule="exact"/>
        <w:ind w:firstLine="3117" w:firstLineChars="1282"/>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委托代理人：</w:t>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（签字）</w:t>
      </w:r>
    </w:p>
    <w:p>
      <w:pPr>
        <w:spacing w:line="440" w:lineRule="exact"/>
        <w:ind w:firstLine="3117" w:firstLineChars="1282"/>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身份证号码：</w:t>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ab/>
      </w:r>
      <w:r>
        <w:rPr>
          <w:rFonts w:ascii="宋体" w:hAnsi="宋体"/>
          <w:color w:val="000000" w:themeColor="text1"/>
          <w:sz w:val="24"/>
          <w:highlight w:val="none"/>
          <w:u w:val="single"/>
          <w14:textFill>
            <w14:solidFill>
              <w14:schemeClr w14:val="tx1"/>
            </w14:solidFill>
          </w14:textFill>
        </w:rPr>
        <w:t xml:space="preserve">                  </w:t>
      </w:r>
    </w:p>
    <w:p>
      <w:pPr>
        <w:spacing w:line="440" w:lineRule="exact"/>
        <w:ind w:firstLine="3117" w:firstLineChars="1282"/>
        <w:rPr>
          <w:rFonts w:ascii="宋体" w:hAnsi="宋体"/>
          <w:color w:val="000000" w:themeColor="text1"/>
          <w:sz w:val="24"/>
          <w:highlight w:val="none"/>
          <w14:textFill>
            <w14:solidFill>
              <w14:schemeClr w14:val="tx1"/>
            </w14:solidFill>
          </w14:textFill>
        </w:rPr>
      </w:pPr>
    </w:p>
    <w:p>
      <w:pPr>
        <w:spacing w:line="440" w:lineRule="exact"/>
        <w:ind w:firstLine="4697" w:firstLineChars="1932"/>
        <w:jc w:val="righ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w:t>
      </w:r>
    </w:p>
    <w:p>
      <w:pPr>
        <w:rPr>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spacing w:line="440" w:lineRule="exact"/>
        <w:rPr>
          <w:rFonts w:ascii="宋体" w:hAnsi="宋体"/>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注：本授权委托书需由报价人加盖单位</w:t>
      </w:r>
      <w:r>
        <w:rPr>
          <w:rFonts w:hint="eastAsia" w:ascii="宋体" w:hAnsi="宋体"/>
          <w:bCs/>
          <w:color w:val="000000" w:themeColor="text1"/>
          <w:sz w:val="24"/>
          <w:highlight w:val="none"/>
          <w14:textFill>
            <w14:solidFill>
              <w14:schemeClr w14:val="tx1"/>
            </w14:solidFill>
          </w14:textFill>
        </w:rPr>
        <w:t>鲜</w:t>
      </w:r>
      <w:r>
        <w:rPr>
          <w:rFonts w:ascii="宋体" w:hAnsi="宋体"/>
          <w:bCs/>
          <w:color w:val="000000" w:themeColor="text1"/>
          <w:sz w:val="24"/>
          <w:highlight w:val="none"/>
          <w14:textFill>
            <w14:solidFill>
              <w14:schemeClr w14:val="tx1"/>
            </w14:solidFill>
          </w14:textFill>
        </w:rPr>
        <w:t>公章并由其法定代表人和委托代理人签字。</w:t>
      </w:r>
    </w:p>
    <w:p>
      <w:pPr>
        <w:pStyle w:val="19"/>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三、报价一览表</w:t>
      </w:r>
    </w:p>
    <w:p>
      <w:pPr>
        <w:pStyle w:val="18"/>
        <w:ind w:firstLine="488"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重庆首讯科技股份有限公司：</w:t>
      </w:r>
    </w:p>
    <w:p>
      <w:pPr>
        <w:spacing w:line="360" w:lineRule="auto"/>
        <w:ind w:firstLine="486"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在研究了竞争性比选文件中所有文件后，我司对</w:t>
      </w:r>
      <w:r>
        <w:rPr>
          <w:rFonts w:hint="eastAsia" w:ascii="宋体" w:hAnsi="宋体"/>
          <w:color w:val="000000" w:themeColor="text1"/>
          <w:sz w:val="24"/>
          <w:highlight w:val="none"/>
          <w:u w:val="single"/>
          <w14:textFill>
            <w14:solidFill>
              <w14:schemeClr w14:val="tx1"/>
            </w14:solidFill>
          </w14:textFill>
        </w:rPr>
        <w:t>重庆高速集团国资监管平台开发劳务外包服务项目</w:t>
      </w:r>
      <w:r>
        <w:rPr>
          <w:rFonts w:hint="eastAsia" w:ascii="宋体" w:hAnsi="宋体"/>
          <w:color w:val="000000" w:themeColor="text1"/>
          <w:sz w:val="24"/>
          <w:highlight w:val="none"/>
          <w14:textFill>
            <w14:solidFill>
              <w14:schemeClr w14:val="tx1"/>
            </w14:solidFill>
          </w14:textFill>
        </w:rPr>
        <w:t>竞争性比选响应报价如下：</w:t>
      </w:r>
    </w:p>
    <w:p>
      <w:pPr>
        <w:spacing w:line="360" w:lineRule="auto"/>
        <w:jc w:val="center"/>
        <w:outlineLvl w:val="0"/>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报价一览表</w:t>
      </w:r>
    </w:p>
    <w:tbl>
      <w:tblPr>
        <w:tblStyle w:val="24"/>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465"/>
        <w:gridCol w:w="1539"/>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序号</w:t>
            </w:r>
          </w:p>
        </w:tc>
        <w:tc>
          <w:tcPr>
            <w:tcW w:w="3465"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项目名称</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报价（元）</w:t>
            </w: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w:t>
            </w:r>
          </w:p>
        </w:tc>
        <w:tc>
          <w:tcPr>
            <w:tcW w:w="3465" w:type="dxa"/>
            <w:vAlign w:val="center"/>
          </w:tcPr>
          <w:p>
            <w:pPr>
              <w:spacing w:line="360" w:lineRule="auto"/>
              <w:jc w:val="center"/>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重庆高速集团国资监管平台开发劳务外包服务项目</w:t>
            </w:r>
          </w:p>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szCs w:val="28"/>
                <w:highlight w:val="none"/>
              </w:rPr>
              <w:t>详见第二章报价人须知1.服务内容。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2</w:t>
            </w:r>
          </w:p>
        </w:tc>
        <w:tc>
          <w:tcPr>
            <w:tcW w:w="3465" w:type="dxa"/>
            <w:vAlign w:val="center"/>
          </w:tcPr>
          <w:p>
            <w:pPr>
              <w:spacing w:line="360" w:lineRule="auto"/>
              <w:jc w:val="center"/>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合计（元）</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r>
    </w:tbl>
    <w:p>
      <w:pPr>
        <w:pStyle w:val="2"/>
        <w:rPr>
          <w:highlight w:val="none"/>
        </w:rPr>
      </w:pPr>
    </w:p>
    <w:p>
      <w:pPr>
        <w:pStyle w:val="10"/>
        <w:rPr>
          <w:rFonts w:ascii="宋体" w:hAnsi="宋体"/>
          <w:color w:val="000000" w:themeColor="text1"/>
          <w:sz w:val="24"/>
          <w:highlight w:val="none"/>
          <w14:textFill>
            <w14:solidFill>
              <w14:schemeClr w14:val="tx1"/>
            </w14:solidFill>
          </w14:textFill>
        </w:rPr>
      </w:pPr>
    </w:p>
    <w:p>
      <w:pPr>
        <w:rPr>
          <w:highlight w:val="none"/>
        </w:rPr>
      </w:pPr>
    </w:p>
    <w:p>
      <w:pPr>
        <w:spacing w:line="360" w:lineRule="auto"/>
        <w:ind w:firstLine="486" w:firstLineChars="200"/>
        <w:jc w:val="left"/>
        <w:rPr>
          <w:rFonts w:ascii="宋体" w:hAnsi="宋体"/>
          <w:color w:val="000000" w:themeColor="text1"/>
          <w:sz w:val="24"/>
          <w:highlight w:val="none"/>
          <w14:textFill>
            <w14:solidFill>
              <w14:schemeClr w14:val="tx1"/>
            </w14:solidFill>
          </w14:textFill>
        </w:rPr>
      </w:pPr>
    </w:p>
    <w:p>
      <w:pPr>
        <w:tabs>
          <w:tab w:val="left" w:pos="900"/>
        </w:tabs>
        <w:spacing w:line="360" w:lineRule="auto"/>
        <w:ind w:firstLine="488" w:firstLineChars="200"/>
        <w:rPr>
          <w:rFonts w:ascii="Arial" w:hAnsi="Arial" w:cs="Arial"/>
          <w:b/>
          <w:color w:val="000000" w:themeColor="text1"/>
          <w:sz w:val="24"/>
          <w:highlight w:val="none"/>
          <w14:textFill>
            <w14:solidFill>
              <w14:schemeClr w14:val="tx1"/>
            </w14:solidFill>
          </w14:textFill>
        </w:rPr>
      </w:pPr>
    </w:p>
    <w:p>
      <w:pPr>
        <w:tabs>
          <w:tab w:val="left" w:pos="900"/>
        </w:tabs>
        <w:spacing w:line="360" w:lineRule="auto"/>
        <w:ind w:firstLine="488" w:firstLineChars="200"/>
        <w:rPr>
          <w:rFonts w:ascii="Arial" w:hAnsi="Arial" w:cs="Arial"/>
          <w:color w:val="000000" w:themeColor="text1"/>
          <w:sz w:val="24"/>
          <w:highlight w:val="none"/>
          <w:u w:val="single"/>
          <w14:textFill>
            <w14:solidFill>
              <w14:schemeClr w14:val="tx1"/>
            </w14:solidFill>
          </w14:textFill>
        </w:rPr>
      </w:pPr>
      <w:r>
        <w:rPr>
          <w:rFonts w:hint="eastAsia" w:ascii="Arial" w:hAnsi="Arial" w:cs="Arial"/>
          <w:b/>
          <w:color w:val="000000" w:themeColor="text1"/>
          <w:sz w:val="24"/>
          <w:highlight w:val="none"/>
          <w14:textFill>
            <w14:solidFill>
              <w14:schemeClr w14:val="tx1"/>
            </w14:solidFill>
          </w14:textFill>
        </w:rPr>
        <w:t>报价人名称（加盖公章）：</w:t>
      </w:r>
      <w:r>
        <w:rPr>
          <w:rFonts w:ascii="Arial" w:hAnsi="Arial" w:cs="Arial"/>
          <w:b/>
          <w:color w:val="000000" w:themeColor="text1"/>
          <w:sz w:val="24"/>
          <w:highlight w:val="none"/>
          <w:u w:val="single"/>
          <w14:textFill>
            <w14:solidFill>
              <w14:schemeClr w14:val="tx1"/>
            </w14:solidFill>
          </w14:textFill>
        </w:rPr>
        <w:t xml:space="preserve"> </w:t>
      </w:r>
      <w:r>
        <w:rPr>
          <w:rFonts w:ascii="Arial" w:hAnsi="Arial" w:cs="Arial"/>
          <w:color w:val="000000" w:themeColor="text1"/>
          <w:sz w:val="24"/>
          <w:highlight w:val="none"/>
          <w:u w:val="single"/>
          <w14:textFill>
            <w14:solidFill>
              <w14:schemeClr w14:val="tx1"/>
            </w14:solidFill>
          </w14:textFill>
        </w:rPr>
        <w:t xml:space="preserve">                       </w:t>
      </w:r>
    </w:p>
    <w:p>
      <w:pPr>
        <w:tabs>
          <w:tab w:val="left" w:pos="900"/>
        </w:tabs>
        <w:spacing w:line="360" w:lineRule="auto"/>
        <w:ind w:firstLine="488" w:firstLineChars="200"/>
        <w:rPr>
          <w:rFonts w:ascii="Arial" w:hAnsi="Arial" w:cs="Arial"/>
          <w:b/>
          <w:color w:val="000000" w:themeColor="text1"/>
          <w:sz w:val="24"/>
          <w:highlight w:val="none"/>
          <w14:textFill>
            <w14:solidFill>
              <w14:schemeClr w14:val="tx1"/>
            </w14:solidFill>
          </w14:textFill>
        </w:rPr>
      </w:pPr>
      <w:r>
        <w:rPr>
          <w:rFonts w:hint="eastAsia" w:ascii="Arial" w:hAnsi="Arial" w:cs="Arial"/>
          <w:b/>
          <w:color w:val="000000" w:themeColor="text1"/>
          <w:sz w:val="24"/>
          <w:highlight w:val="none"/>
          <w14:textFill>
            <w14:solidFill>
              <w14:schemeClr w14:val="tx1"/>
            </w14:solidFill>
          </w14:textFill>
        </w:rPr>
        <w:t>报价人法定代表人或授权代表人（签字）：</w:t>
      </w:r>
      <w:r>
        <w:rPr>
          <w:rFonts w:ascii="Arial" w:hAnsi="Arial" w:cs="Arial"/>
          <w:b/>
          <w:color w:val="000000" w:themeColor="text1"/>
          <w:sz w:val="24"/>
          <w:highlight w:val="none"/>
          <w:u w:val="single"/>
          <w14:textFill>
            <w14:solidFill>
              <w14:schemeClr w14:val="tx1"/>
            </w14:solidFill>
          </w14:textFill>
        </w:rPr>
        <w:t xml:space="preserve">               </w:t>
      </w:r>
    </w:p>
    <w:p>
      <w:pPr>
        <w:tabs>
          <w:tab w:val="left" w:pos="900"/>
        </w:tabs>
        <w:spacing w:line="360" w:lineRule="auto"/>
        <w:ind w:firstLine="486" w:firstLineChars="200"/>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日期：</w:t>
      </w:r>
      <w:r>
        <w:rPr>
          <w:rFonts w:hint="eastAsia"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年</w:t>
      </w:r>
      <w:r>
        <w:rPr>
          <w:rFonts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月</w:t>
      </w:r>
      <w:r>
        <w:rPr>
          <w:rFonts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日</w:t>
      </w:r>
      <w:r>
        <w:rPr>
          <w:rFonts w:ascii="Arial" w:hAnsi="Arial" w:cs="Arial"/>
          <w:color w:val="000000" w:themeColor="text1"/>
          <w:sz w:val="24"/>
          <w:highlight w:val="none"/>
          <w14:textFill>
            <w14:solidFill>
              <w14:schemeClr w14:val="tx1"/>
            </w14:solidFill>
          </w14:textFill>
        </w:rPr>
        <w:t xml:space="preserve"> </w:t>
      </w:r>
    </w:p>
    <w:p>
      <w:pPr>
        <w:rPr>
          <w:highlight w:val="none"/>
        </w:rPr>
      </w:pPr>
      <w:r>
        <w:rPr>
          <w:highlight w:val="none"/>
        </w:rPr>
        <w:br w:type="page"/>
      </w:r>
    </w:p>
    <w:p>
      <w:pPr>
        <w:pStyle w:val="19"/>
        <w:rPr>
          <w:highlight w:val="none"/>
        </w:rPr>
      </w:pPr>
      <w:r>
        <w:rPr>
          <w:rFonts w:hint="eastAsia"/>
          <w:highlight w:val="none"/>
        </w:rPr>
        <w:t>四、资格要求材料</w:t>
      </w:r>
    </w:p>
    <w:p>
      <w:pPr>
        <w:spacing w:line="360" w:lineRule="auto"/>
        <w:rPr>
          <w:rFonts w:ascii="宋体" w:hAnsi="宋体" w:cs="宋体"/>
          <w:color w:val="000000" w:themeColor="text1"/>
          <w:sz w:val="24"/>
          <w:szCs w:val="28"/>
          <w:highlight w:val="none"/>
          <w14:textFill>
            <w14:solidFill>
              <w14:schemeClr w14:val="tx1"/>
            </w14:solidFill>
          </w14:textFill>
        </w:rPr>
      </w:pPr>
    </w:p>
    <w:p>
      <w:pPr>
        <w:spacing w:line="360" w:lineRule="auto"/>
        <w:outlineLvl w:val="1"/>
        <w:rPr>
          <w:rFonts w:ascii="宋体" w:hAnsi="宋体" w:cs="宋体"/>
          <w:b/>
          <w:bCs/>
          <w:color w:val="000000" w:themeColor="text1"/>
          <w:sz w:val="24"/>
          <w:szCs w:val="28"/>
          <w:highlight w:val="none"/>
          <w14:textFill>
            <w14:solidFill>
              <w14:schemeClr w14:val="tx1"/>
            </w14:solidFill>
          </w14:textFill>
        </w:rPr>
      </w:pPr>
      <w:r>
        <w:rPr>
          <w:rFonts w:hint="eastAsia" w:ascii="宋体" w:hAnsi="宋体" w:cs="宋体"/>
          <w:b/>
          <w:bCs/>
          <w:color w:val="000000" w:themeColor="text1"/>
          <w:sz w:val="24"/>
          <w:szCs w:val="28"/>
          <w:highlight w:val="none"/>
          <w14:textFill>
            <w14:solidFill>
              <w14:schemeClr w14:val="tx1"/>
            </w14:solidFill>
          </w14:textFill>
        </w:rPr>
        <w:t>（一）资格条件</w:t>
      </w:r>
    </w:p>
    <w:p>
      <w:pPr>
        <w:spacing w:line="400" w:lineRule="exact"/>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（1）投标人应为中国大陆境内合法注册的独立企业法人或事业法人，具备有效的营业执照或事业单位法人证书；</w:t>
      </w:r>
    </w:p>
    <w:p>
      <w:pPr>
        <w:spacing w:line="400" w:lineRule="exact"/>
        <w:ind w:firstLine="486"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（2）信誉良好：在国家企业信用信息公示系统（http://www.gsxt.gov.cn/）中未被列入严重违法失信企业名单（黑名单）信息；在“信用中国”网站（http://www.creditchina.gov.cn/）中未被列入失信惩戒执行人名单。</w:t>
      </w:r>
    </w:p>
    <w:p>
      <w:pPr>
        <w:spacing w:line="360" w:lineRule="auto"/>
        <w:ind w:firstLine="488" w:firstLineChars="200"/>
        <w:rPr>
          <w:rFonts w:ascii="宋体" w:hAnsi="宋体" w:cs="宋体"/>
          <w:b/>
          <w:bCs/>
          <w:color w:val="000000" w:themeColor="text1"/>
          <w:sz w:val="24"/>
          <w:szCs w:val="28"/>
          <w:highlight w:val="none"/>
          <w14:textFill>
            <w14:solidFill>
              <w14:schemeClr w14:val="tx1"/>
            </w14:solidFill>
          </w14:textFill>
        </w:rPr>
      </w:pPr>
      <w:r>
        <w:rPr>
          <w:rFonts w:hint="eastAsia" w:ascii="宋体" w:hAnsi="宋体" w:cs="宋体"/>
          <w:b/>
          <w:bCs/>
          <w:color w:val="000000" w:themeColor="text1"/>
          <w:sz w:val="24"/>
          <w:szCs w:val="28"/>
          <w:highlight w:val="none"/>
          <w14:textFill>
            <w14:solidFill>
              <w14:schemeClr w14:val="tx1"/>
            </w14:solidFill>
          </w14:textFill>
        </w:rPr>
        <w:t>注：</w:t>
      </w:r>
      <w:r>
        <w:rPr>
          <w:rFonts w:hint="eastAsia" w:asciiTheme="minorEastAsia" w:hAnsiTheme="minorEastAsia" w:eastAsiaTheme="minorEastAsia" w:cstheme="minorEastAsia"/>
          <w:b/>
          <w:bCs/>
          <w:caps/>
          <w:sz w:val="22"/>
          <w:szCs w:val="22"/>
          <w:highlight w:val="none"/>
        </w:rPr>
        <w:t>须提供营业执照或事业单位法人证书，信誉网站查询结果截图，类似业绩合同扫描件，并加盖单位公章。</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rPr>
          <w:rFonts w:ascii="宋体" w:hAnsi="宋体" w:cs="宋体"/>
          <w:b/>
          <w:bCs/>
          <w:color w:val="000000" w:themeColor="text1"/>
          <w:sz w:val="24"/>
          <w:szCs w:val="28"/>
          <w:highlight w:val="none"/>
          <w14:textFill>
            <w14:solidFill>
              <w14:schemeClr w14:val="tx1"/>
            </w14:solidFill>
          </w14:textFill>
        </w:rPr>
      </w:pPr>
    </w:p>
    <w:p>
      <w:pPr>
        <w:rPr>
          <w:rFonts w:ascii="宋体" w:hAnsi="宋体" w:cs="宋体"/>
          <w:b/>
          <w:bCs/>
          <w:color w:val="000000" w:themeColor="text1"/>
          <w:sz w:val="24"/>
          <w:szCs w:val="28"/>
          <w:highlight w:val="none"/>
          <w14:textFill>
            <w14:solidFill>
              <w14:schemeClr w14:val="tx1"/>
            </w14:solidFill>
          </w14:textFill>
        </w:rPr>
      </w:pPr>
    </w:p>
    <w:p>
      <w:pPr>
        <w:pStyle w:val="2"/>
        <w:rPr>
          <w:rFonts w:ascii="宋体" w:hAnsi="宋体" w:cs="宋体"/>
          <w:b/>
          <w:bCs/>
          <w:color w:val="000000" w:themeColor="text1"/>
          <w:sz w:val="24"/>
          <w:szCs w:val="28"/>
          <w:highlight w:val="none"/>
          <w14:textFill>
            <w14:solidFill>
              <w14:schemeClr w14:val="tx1"/>
            </w14:solidFill>
          </w14:textFill>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rPr>
          <w:rFonts w:ascii="宋体" w:hAnsi="宋体" w:cs="宋体"/>
          <w:b/>
          <w:bCs/>
          <w:color w:val="000000" w:themeColor="text1"/>
          <w:sz w:val="24"/>
          <w:szCs w:val="28"/>
          <w:highlight w:val="none"/>
          <w14:textFill>
            <w14:solidFill>
              <w14:schemeClr w14:val="tx1"/>
            </w14:solidFill>
          </w14:textFill>
        </w:rPr>
      </w:pPr>
    </w:p>
    <w:p>
      <w:pPr>
        <w:spacing w:line="360" w:lineRule="auto"/>
        <w:outlineLvl w:val="1"/>
        <w:rPr>
          <w:rFonts w:ascii="宋体" w:hAnsi="宋体" w:cs="宋体"/>
          <w:b/>
          <w:bCs/>
          <w:color w:val="000000" w:themeColor="text1"/>
          <w:sz w:val="24"/>
          <w:szCs w:val="28"/>
          <w:highlight w:val="none"/>
          <w14:textFill>
            <w14:solidFill>
              <w14:schemeClr w14:val="tx1"/>
            </w14:solidFill>
          </w14:textFill>
        </w:rPr>
      </w:pPr>
      <w:r>
        <w:rPr>
          <w:rFonts w:hint="eastAsia" w:ascii="宋体" w:hAnsi="宋体" w:cs="宋体"/>
          <w:b/>
          <w:bCs/>
          <w:color w:val="000000" w:themeColor="text1"/>
          <w:sz w:val="24"/>
          <w:szCs w:val="28"/>
          <w:highlight w:val="none"/>
          <w14:textFill>
            <w14:solidFill>
              <w14:schemeClr w14:val="tx1"/>
            </w14:solidFill>
          </w14:textFill>
        </w:rPr>
        <w:t>（二）商务及技术评分资料</w:t>
      </w:r>
    </w:p>
    <w:p>
      <w:pPr>
        <w:spacing w:line="360" w:lineRule="auto"/>
        <w:jc w:val="center"/>
        <w:outlineLvl w:val="2"/>
        <w:rPr>
          <w:b/>
          <w:sz w:val="24"/>
          <w:highlight w:val="none"/>
        </w:rPr>
      </w:pPr>
      <w:bookmarkStart w:id="226" w:name="OLE_LINK34"/>
      <w:r>
        <w:rPr>
          <w:rFonts w:hint="eastAsia"/>
          <w:bCs/>
          <w:sz w:val="24"/>
          <w:highlight w:val="none"/>
        </w:rPr>
        <w:t>商务及技术部分</w:t>
      </w:r>
      <w:bookmarkEnd w:id="226"/>
      <w:r>
        <w:rPr>
          <w:rFonts w:hint="eastAsia"/>
          <w:bCs/>
          <w:sz w:val="24"/>
          <w:highlight w:val="none"/>
        </w:rPr>
        <w:t>资料目录</w:t>
      </w:r>
    </w:p>
    <w:tbl>
      <w:tblPr>
        <w:tblStyle w:val="23"/>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519"/>
        <w:gridCol w:w="3030"/>
        <w:gridCol w:w="28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23" w:type="dxa"/>
            <w:vAlign w:val="center"/>
          </w:tcPr>
          <w:p>
            <w:pPr>
              <w:pStyle w:val="37"/>
              <w:spacing w:line="360" w:lineRule="auto"/>
              <w:jc w:val="center"/>
              <w:rPr>
                <w:rFonts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序号</w:t>
            </w:r>
          </w:p>
        </w:tc>
        <w:tc>
          <w:tcPr>
            <w:tcW w:w="1519" w:type="dxa"/>
            <w:vAlign w:val="center"/>
          </w:tcPr>
          <w:p>
            <w:pPr>
              <w:pStyle w:val="37"/>
              <w:spacing w:line="360" w:lineRule="auto"/>
              <w:jc w:val="center"/>
              <w:rPr>
                <w:rFonts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bCs/>
                <w:sz w:val="18"/>
                <w:szCs w:val="18"/>
                <w:highlight w:val="none"/>
              </w:rPr>
              <w:t>对应评分标准</w:t>
            </w:r>
          </w:p>
        </w:tc>
        <w:tc>
          <w:tcPr>
            <w:tcW w:w="3030" w:type="dxa"/>
            <w:vAlign w:val="center"/>
          </w:tcPr>
          <w:p>
            <w:pPr>
              <w:pStyle w:val="37"/>
              <w:spacing w:line="360" w:lineRule="auto"/>
              <w:jc w:val="center"/>
              <w:rPr>
                <w:rFonts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对应评分细则</w:t>
            </w:r>
          </w:p>
        </w:tc>
        <w:tc>
          <w:tcPr>
            <w:tcW w:w="2895" w:type="dxa"/>
            <w:vAlign w:val="center"/>
          </w:tcPr>
          <w:p>
            <w:pPr>
              <w:pStyle w:val="37"/>
              <w:spacing w:line="360" w:lineRule="auto"/>
              <w:jc w:val="center"/>
              <w:rPr>
                <w:rFonts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证明材料名称</w:t>
            </w:r>
          </w:p>
        </w:tc>
        <w:tc>
          <w:tcPr>
            <w:tcW w:w="1194" w:type="dxa"/>
            <w:vAlign w:val="center"/>
          </w:tcPr>
          <w:p>
            <w:pPr>
              <w:pStyle w:val="37"/>
              <w:spacing w:line="360" w:lineRule="auto"/>
              <w:jc w:val="center"/>
              <w:rPr>
                <w:rFonts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证明材料对应编号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623" w:type="dxa"/>
          </w:tcPr>
          <w:p>
            <w:pPr>
              <w:snapToGrid w:val="0"/>
              <w:spacing w:line="400" w:lineRule="exact"/>
              <w:jc w:val="center"/>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例</w:t>
            </w:r>
          </w:p>
        </w:tc>
        <w:tc>
          <w:tcPr>
            <w:tcW w:w="1519" w:type="dxa"/>
          </w:tcPr>
          <w:p>
            <w:pPr>
              <w:spacing w:line="360" w:lineRule="auto"/>
              <w:jc w:val="center"/>
              <w:rPr>
                <w:rFonts w:asciiTheme="minorEastAsia" w:hAnsiTheme="minorEastAsia" w:eastAsiaTheme="minorEastAsia" w:cstheme="minorEastAsia"/>
                <w:b/>
                <w:sz w:val="18"/>
                <w:szCs w:val="18"/>
                <w:highlight w:val="none"/>
              </w:rPr>
            </w:pPr>
          </w:p>
        </w:tc>
        <w:tc>
          <w:tcPr>
            <w:tcW w:w="3030" w:type="dxa"/>
          </w:tcPr>
          <w:p>
            <w:pPr>
              <w:spacing w:line="360" w:lineRule="auto"/>
              <w:jc w:val="center"/>
              <w:rPr>
                <w:rFonts w:asciiTheme="minorEastAsia" w:hAnsiTheme="minorEastAsia" w:eastAsiaTheme="minorEastAsia" w:cstheme="minorEastAsia"/>
                <w:b/>
                <w:sz w:val="18"/>
                <w:szCs w:val="18"/>
                <w:highlight w:val="none"/>
              </w:rPr>
            </w:pPr>
          </w:p>
        </w:tc>
        <w:tc>
          <w:tcPr>
            <w:tcW w:w="2895" w:type="dxa"/>
          </w:tcPr>
          <w:p>
            <w:pPr>
              <w:spacing w:line="360" w:lineRule="auto"/>
              <w:jc w:val="center"/>
              <w:rPr>
                <w:rFonts w:asciiTheme="minorEastAsia" w:hAnsiTheme="minorEastAsia" w:eastAsiaTheme="minorEastAsia" w:cstheme="minorEastAsia"/>
                <w:b/>
                <w:sz w:val="18"/>
                <w:szCs w:val="18"/>
                <w:highlight w:val="none"/>
              </w:rPr>
            </w:pPr>
          </w:p>
        </w:tc>
        <w:tc>
          <w:tcPr>
            <w:tcW w:w="1194" w:type="dxa"/>
          </w:tcPr>
          <w:p>
            <w:pPr>
              <w:spacing w:line="360" w:lineRule="auto"/>
              <w:jc w:val="center"/>
              <w:rPr>
                <w:rFonts w:asciiTheme="minorEastAsia" w:hAnsiTheme="minorEastAsia" w:eastAsiaTheme="minorEastAsia" w:cstheme="minorEastAsia"/>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 w:type="dxa"/>
            <w:vAlign w:val="center"/>
          </w:tcPr>
          <w:p>
            <w:pPr>
              <w:snapToGrid w:val="0"/>
              <w:spacing w:line="400" w:lineRule="exact"/>
              <w:jc w:val="center"/>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p>
        </w:tc>
        <w:tc>
          <w:tcPr>
            <w:tcW w:w="1519" w:type="dxa"/>
            <w:vAlign w:val="center"/>
          </w:tcPr>
          <w:p>
            <w:pPr>
              <w:snapToGrid w:val="0"/>
              <w:spacing w:line="400" w:lineRule="exact"/>
              <w:jc w:val="center"/>
              <w:rPr>
                <w:rFonts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sz w:val="18"/>
                <w:szCs w:val="18"/>
                <w:highlight w:val="none"/>
              </w:rPr>
              <w:t>项目团队</w:t>
            </w:r>
          </w:p>
        </w:tc>
        <w:tc>
          <w:tcPr>
            <w:tcW w:w="3030" w:type="dxa"/>
            <w:vAlign w:val="center"/>
          </w:tcPr>
          <w:p>
            <w:pPr>
              <w:snapToGrid w:val="0"/>
              <w:spacing w:line="400" w:lineRule="exact"/>
              <w:jc w:val="center"/>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团队成员均为本科及以上学历</w:t>
            </w:r>
          </w:p>
        </w:tc>
        <w:tc>
          <w:tcPr>
            <w:tcW w:w="2895" w:type="dxa"/>
            <w:vAlign w:val="center"/>
          </w:tcPr>
          <w:p>
            <w:pPr>
              <w:snapToGrid w:val="0"/>
              <w:spacing w:line="400" w:lineRule="exact"/>
              <w:jc w:val="center"/>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证书复印件</w:t>
            </w:r>
          </w:p>
        </w:tc>
        <w:tc>
          <w:tcPr>
            <w:tcW w:w="1194" w:type="dxa"/>
            <w:vAlign w:val="center"/>
          </w:tcPr>
          <w:p>
            <w:pPr>
              <w:snapToGrid w:val="0"/>
              <w:spacing w:line="400" w:lineRule="exact"/>
              <w:jc w:val="center"/>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证明材料1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highlight w:val="none"/>
              </w:rPr>
            </w:pPr>
          </w:p>
        </w:tc>
        <w:tc>
          <w:tcPr>
            <w:tcW w:w="1519" w:type="dxa"/>
          </w:tcPr>
          <w:p>
            <w:pPr>
              <w:spacing w:line="360" w:lineRule="auto"/>
              <w:jc w:val="center"/>
              <w:rPr>
                <w:b/>
                <w:sz w:val="28"/>
                <w:szCs w:val="28"/>
                <w:highlight w:val="none"/>
              </w:rPr>
            </w:pPr>
          </w:p>
        </w:tc>
        <w:tc>
          <w:tcPr>
            <w:tcW w:w="3030" w:type="dxa"/>
          </w:tcPr>
          <w:p>
            <w:pPr>
              <w:spacing w:line="360" w:lineRule="auto"/>
              <w:jc w:val="center"/>
              <w:rPr>
                <w:b/>
                <w:sz w:val="28"/>
                <w:szCs w:val="28"/>
                <w:highlight w:val="none"/>
              </w:rPr>
            </w:pPr>
          </w:p>
        </w:tc>
        <w:tc>
          <w:tcPr>
            <w:tcW w:w="2895" w:type="dxa"/>
          </w:tcPr>
          <w:p>
            <w:pPr>
              <w:spacing w:line="360" w:lineRule="auto"/>
              <w:jc w:val="center"/>
              <w:rPr>
                <w:b/>
                <w:sz w:val="28"/>
                <w:szCs w:val="28"/>
                <w:highlight w:val="none"/>
              </w:rPr>
            </w:pPr>
          </w:p>
        </w:tc>
        <w:tc>
          <w:tcPr>
            <w:tcW w:w="1194" w:type="dxa"/>
          </w:tcPr>
          <w:p>
            <w:pPr>
              <w:spacing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highlight w:val="none"/>
              </w:rPr>
            </w:pPr>
          </w:p>
        </w:tc>
        <w:tc>
          <w:tcPr>
            <w:tcW w:w="1519" w:type="dxa"/>
          </w:tcPr>
          <w:p>
            <w:pPr>
              <w:spacing w:line="360" w:lineRule="auto"/>
              <w:jc w:val="center"/>
              <w:rPr>
                <w:b/>
                <w:sz w:val="28"/>
                <w:szCs w:val="28"/>
                <w:highlight w:val="none"/>
              </w:rPr>
            </w:pPr>
          </w:p>
        </w:tc>
        <w:tc>
          <w:tcPr>
            <w:tcW w:w="3030" w:type="dxa"/>
          </w:tcPr>
          <w:p>
            <w:pPr>
              <w:spacing w:line="360" w:lineRule="auto"/>
              <w:jc w:val="center"/>
              <w:rPr>
                <w:b/>
                <w:sz w:val="28"/>
                <w:szCs w:val="28"/>
                <w:highlight w:val="none"/>
              </w:rPr>
            </w:pPr>
          </w:p>
        </w:tc>
        <w:tc>
          <w:tcPr>
            <w:tcW w:w="2895" w:type="dxa"/>
          </w:tcPr>
          <w:p>
            <w:pPr>
              <w:spacing w:line="360" w:lineRule="auto"/>
              <w:jc w:val="center"/>
              <w:rPr>
                <w:b/>
                <w:sz w:val="28"/>
                <w:szCs w:val="28"/>
                <w:highlight w:val="none"/>
              </w:rPr>
            </w:pPr>
          </w:p>
        </w:tc>
        <w:tc>
          <w:tcPr>
            <w:tcW w:w="1194" w:type="dxa"/>
          </w:tcPr>
          <w:p>
            <w:pPr>
              <w:spacing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highlight w:val="none"/>
              </w:rPr>
            </w:pPr>
          </w:p>
        </w:tc>
        <w:tc>
          <w:tcPr>
            <w:tcW w:w="1519" w:type="dxa"/>
          </w:tcPr>
          <w:p>
            <w:pPr>
              <w:spacing w:line="360" w:lineRule="auto"/>
              <w:jc w:val="center"/>
              <w:rPr>
                <w:b/>
                <w:sz w:val="28"/>
                <w:szCs w:val="28"/>
                <w:highlight w:val="none"/>
              </w:rPr>
            </w:pPr>
          </w:p>
        </w:tc>
        <w:tc>
          <w:tcPr>
            <w:tcW w:w="3030" w:type="dxa"/>
          </w:tcPr>
          <w:p>
            <w:pPr>
              <w:spacing w:line="360" w:lineRule="auto"/>
              <w:jc w:val="center"/>
              <w:rPr>
                <w:b/>
                <w:sz w:val="28"/>
                <w:szCs w:val="28"/>
                <w:highlight w:val="none"/>
              </w:rPr>
            </w:pPr>
          </w:p>
        </w:tc>
        <w:tc>
          <w:tcPr>
            <w:tcW w:w="2895" w:type="dxa"/>
          </w:tcPr>
          <w:p>
            <w:pPr>
              <w:spacing w:line="360" w:lineRule="auto"/>
              <w:jc w:val="center"/>
              <w:rPr>
                <w:b/>
                <w:sz w:val="28"/>
                <w:szCs w:val="28"/>
                <w:highlight w:val="none"/>
              </w:rPr>
            </w:pPr>
          </w:p>
        </w:tc>
        <w:tc>
          <w:tcPr>
            <w:tcW w:w="1194" w:type="dxa"/>
          </w:tcPr>
          <w:p>
            <w:pPr>
              <w:spacing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highlight w:val="none"/>
              </w:rPr>
            </w:pPr>
          </w:p>
        </w:tc>
        <w:tc>
          <w:tcPr>
            <w:tcW w:w="1519" w:type="dxa"/>
          </w:tcPr>
          <w:p>
            <w:pPr>
              <w:spacing w:line="360" w:lineRule="auto"/>
              <w:jc w:val="center"/>
              <w:rPr>
                <w:b/>
                <w:sz w:val="28"/>
                <w:szCs w:val="28"/>
                <w:highlight w:val="none"/>
              </w:rPr>
            </w:pPr>
          </w:p>
        </w:tc>
        <w:tc>
          <w:tcPr>
            <w:tcW w:w="3030" w:type="dxa"/>
          </w:tcPr>
          <w:p>
            <w:pPr>
              <w:spacing w:line="360" w:lineRule="auto"/>
              <w:jc w:val="center"/>
              <w:rPr>
                <w:b/>
                <w:sz w:val="28"/>
                <w:szCs w:val="28"/>
                <w:highlight w:val="none"/>
              </w:rPr>
            </w:pPr>
          </w:p>
        </w:tc>
        <w:tc>
          <w:tcPr>
            <w:tcW w:w="2895" w:type="dxa"/>
          </w:tcPr>
          <w:p>
            <w:pPr>
              <w:spacing w:line="360" w:lineRule="auto"/>
              <w:jc w:val="center"/>
              <w:rPr>
                <w:b/>
                <w:sz w:val="28"/>
                <w:szCs w:val="28"/>
                <w:highlight w:val="none"/>
              </w:rPr>
            </w:pPr>
          </w:p>
        </w:tc>
        <w:tc>
          <w:tcPr>
            <w:tcW w:w="1194" w:type="dxa"/>
          </w:tcPr>
          <w:p>
            <w:pPr>
              <w:spacing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highlight w:val="none"/>
              </w:rPr>
            </w:pPr>
          </w:p>
        </w:tc>
        <w:tc>
          <w:tcPr>
            <w:tcW w:w="1519" w:type="dxa"/>
          </w:tcPr>
          <w:p>
            <w:pPr>
              <w:spacing w:line="360" w:lineRule="auto"/>
              <w:jc w:val="center"/>
              <w:rPr>
                <w:b/>
                <w:sz w:val="28"/>
                <w:szCs w:val="28"/>
                <w:highlight w:val="none"/>
              </w:rPr>
            </w:pPr>
          </w:p>
        </w:tc>
        <w:tc>
          <w:tcPr>
            <w:tcW w:w="3030" w:type="dxa"/>
          </w:tcPr>
          <w:p>
            <w:pPr>
              <w:spacing w:line="360" w:lineRule="auto"/>
              <w:jc w:val="center"/>
              <w:rPr>
                <w:b/>
                <w:sz w:val="28"/>
                <w:szCs w:val="28"/>
                <w:highlight w:val="none"/>
              </w:rPr>
            </w:pPr>
          </w:p>
        </w:tc>
        <w:tc>
          <w:tcPr>
            <w:tcW w:w="2895" w:type="dxa"/>
          </w:tcPr>
          <w:p>
            <w:pPr>
              <w:spacing w:line="360" w:lineRule="auto"/>
              <w:jc w:val="center"/>
              <w:rPr>
                <w:b/>
                <w:sz w:val="28"/>
                <w:szCs w:val="28"/>
                <w:highlight w:val="none"/>
              </w:rPr>
            </w:pPr>
          </w:p>
        </w:tc>
        <w:tc>
          <w:tcPr>
            <w:tcW w:w="1194" w:type="dxa"/>
          </w:tcPr>
          <w:p>
            <w:pPr>
              <w:spacing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highlight w:val="none"/>
              </w:rPr>
            </w:pPr>
          </w:p>
        </w:tc>
        <w:tc>
          <w:tcPr>
            <w:tcW w:w="1519" w:type="dxa"/>
          </w:tcPr>
          <w:p>
            <w:pPr>
              <w:spacing w:line="360" w:lineRule="auto"/>
              <w:jc w:val="center"/>
              <w:rPr>
                <w:b/>
                <w:sz w:val="28"/>
                <w:szCs w:val="28"/>
                <w:highlight w:val="none"/>
              </w:rPr>
            </w:pPr>
          </w:p>
        </w:tc>
        <w:tc>
          <w:tcPr>
            <w:tcW w:w="3030" w:type="dxa"/>
          </w:tcPr>
          <w:p>
            <w:pPr>
              <w:spacing w:line="360" w:lineRule="auto"/>
              <w:jc w:val="center"/>
              <w:rPr>
                <w:b/>
                <w:sz w:val="28"/>
                <w:szCs w:val="28"/>
                <w:highlight w:val="none"/>
              </w:rPr>
            </w:pPr>
          </w:p>
        </w:tc>
        <w:tc>
          <w:tcPr>
            <w:tcW w:w="2895" w:type="dxa"/>
          </w:tcPr>
          <w:p>
            <w:pPr>
              <w:spacing w:line="360" w:lineRule="auto"/>
              <w:jc w:val="center"/>
              <w:rPr>
                <w:b/>
                <w:sz w:val="28"/>
                <w:szCs w:val="28"/>
                <w:highlight w:val="none"/>
              </w:rPr>
            </w:pPr>
          </w:p>
        </w:tc>
        <w:tc>
          <w:tcPr>
            <w:tcW w:w="1194" w:type="dxa"/>
          </w:tcPr>
          <w:p>
            <w:pPr>
              <w:spacing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highlight w:val="none"/>
              </w:rPr>
            </w:pPr>
          </w:p>
        </w:tc>
        <w:tc>
          <w:tcPr>
            <w:tcW w:w="1519" w:type="dxa"/>
          </w:tcPr>
          <w:p>
            <w:pPr>
              <w:spacing w:line="360" w:lineRule="auto"/>
              <w:jc w:val="center"/>
              <w:rPr>
                <w:b/>
                <w:sz w:val="28"/>
                <w:szCs w:val="28"/>
                <w:highlight w:val="none"/>
              </w:rPr>
            </w:pPr>
          </w:p>
        </w:tc>
        <w:tc>
          <w:tcPr>
            <w:tcW w:w="3030" w:type="dxa"/>
          </w:tcPr>
          <w:p>
            <w:pPr>
              <w:spacing w:line="360" w:lineRule="auto"/>
              <w:jc w:val="center"/>
              <w:rPr>
                <w:b/>
                <w:sz w:val="28"/>
                <w:szCs w:val="28"/>
                <w:highlight w:val="none"/>
              </w:rPr>
            </w:pPr>
          </w:p>
        </w:tc>
        <w:tc>
          <w:tcPr>
            <w:tcW w:w="2895" w:type="dxa"/>
          </w:tcPr>
          <w:p>
            <w:pPr>
              <w:spacing w:line="360" w:lineRule="auto"/>
              <w:jc w:val="center"/>
              <w:rPr>
                <w:b/>
                <w:sz w:val="28"/>
                <w:szCs w:val="28"/>
                <w:highlight w:val="none"/>
              </w:rPr>
            </w:pPr>
          </w:p>
        </w:tc>
        <w:tc>
          <w:tcPr>
            <w:tcW w:w="1194" w:type="dxa"/>
          </w:tcPr>
          <w:p>
            <w:pPr>
              <w:spacing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highlight w:val="none"/>
              </w:rPr>
            </w:pPr>
          </w:p>
        </w:tc>
        <w:tc>
          <w:tcPr>
            <w:tcW w:w="1519" w:type="dxa"/>
          </w:tcPr>
          <w:p>
            <w:pPr>
              <w:spacing w:line="360" w:lineRule="auto"/>
              <w:jc w:val="center"/>
              <w:rPr>
                <w:b/>
                <w:sz w:val="28"/>
                <w:szCs w:val="28"/>
                <w:highlight w:val="none"/>
              </w:rPr>
            </w:pPr>
          </w:p>
        </w:tc>
        <w:tc>
          <w:tcPr>
            <w:tcW w:w="3030" w:type="dxa"/>
          </w:tcPr>
          <w:p>
            <w:pPr>
              <w:spacing w:line="360" w:lineRule="auto"/>
              <w:jc w:val="center"/>
              <w:rPr>
                <w:b/>
                <w:sz w:val="28"/>
                <w:szCs w:val="28"/>
                <w:highlight w:val="none"/>
              </w:rPr>
            </w:pPr>
          </w:p>
        </w:tc>
        <w:tc>
          <w:tcPr>
            <w:tcW w:w="2895" w:type="dxa"/>
          </w:tcPr>
          <w:p>
            <w:pPr>
              <w:spacing w:line="360" w:lineRule="auto"/>
              <w:jc w:val="center"/>
              <w:rPr>
                <w:b/>
                <w:sz w:val="28"/>
                <w:szCs w:val="28"/>
                <w:highlight w:val="none"/>
              </w:rPr>
            </w:pPr>
          </w:p>
        </w:tc>
        <w:tc>
          <w:tcPr>
            <w:tcW w:w="1194" w:type="dxa"/>
          </w:tcPr>
          <w:p>
            <w:pPr>
              <w:spacing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highlight w:val="none"/>
              </w:rPr>
            </w:pPr>
          </w:p>
        </w:tc>
        <w:tc>
          <w:tcPr>
            <w:tcW w:w="1519" w:type="dxa"/>
          </w:tcPr>
          <w:p>
            <w:pPr>
              <w:spacing w:line="360" w:lineRule="auto"/>
              <w:jc w:val="center"/>
              <w:rPr>
                <w:b/>
                <w:sz w:val="28"/>
                <w:szCs w:val="28"/>
                <w:highlight w:val="none"/>
              </w:rPr>
            </w:pPr>
          </w:p>
        </w:tc>
        <w:tc>
          <w:tcPr>
            <w:tcW w:w="3030" w:type="dxa"/>
          </w:tcPr>
          <w:p>
            <w:pPr>
              <w:spacing w:line="360" w:lineRule="auto"/>
              <w:jc w:val="center"/>
              <w:rPr>
                <w:b/>
                <w:sz w:val="28"/>
                <w:szCs w:val="28"/>
                <w:highlight w:val="none"/>
              </w:rPr>
            </w:pPr>
          </w:p>
        </w:tc>
        <w:tc>
          <w:tcPr>
            <w:tcW w:w="2895" w:type="dxa"/>
          </w:tcPr>
          <w:p>
            <w:pPr>
              <w:spacing w:line="360" w:lineRule="auto"/>
              <w:jc w:val="center"/>
              <w:rPr>
                <w:b/>
                <w:sz w:val="28"/>
                <w:szCs w:val="28"/>
                <w:highlight w:val="none"/>
              </w:rPr>
            </w:pPr>
          </w:p>
        </w:tc>
        <w:tc>
          <w:tcPr>
            <w:tcW w:w="1194" w:type="dxa"/>
          </w:tcPr>
          <w:p>
            <w:pPr>
              <w:spacing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highlight w:val="none"/>
              </w:rPr>
            </w:pPr>
          </w:p>
        </w:tc>
        <w:tc>
          <w:tcPr>
            <w:tcW w:w="1519" w:type="dxa"/>
          </w:tcPr>
          <w:p>
            <w:pPr>
              <w:spacing w:line="360" w:lineRule="auto"/>
              <w:jc w:val="center"/>
              <w:rPr>
                <w:b/>
                <w:sz w:val="28"/>
                <w:szCs w:val="28"/>
                <w:highlight w:val="none"/>
              </w:rPr>
            </w:pPr>
          </w:p>
        </w:tc>
        <w:tc>
          <w:tcPr>
            <w:tcW w:w="3030" w:type="dxa"/>
          </w:tcPr>
          <w:p>
            <w:pPr>
              <w:spacing w:line="360" w:lineRule="auto"/>
              <w:jc w:val="center"/>
              <w:rPr>
                <w:b/>
                <w:sz w:val="28"/>
                <w:szCs w:val="28"/>
                <w:highlight w:val="none"/>
              </w:rPr>
            </w:pPr>
          </w:p>
        </w:tc>
        <w:tc>
          <w:tcPr>
            <w:tcW w:w="2895" w:type="dxa"/>
          </w:tcPr>
          <w:p>
            <w:pPr>
              <w:spacing w:line="360" w:lineRule="auto"/>
              <w:jc w:val="center"/>
              <w:rPr>
                <w:b/>
                <w:sz w:val="28"/>
                <w:szCs w:val="28"/>
                <w:highlight w:val="none"/>
              </w:rPr>
            </w:pPr>
          </w:p>
        </w:tc>
        <w:tc>
          <w:tcPr>
            <w:tcW w:w="1194" w:type="dxa"/>
          </w:tcPr>
          <w:p>
            <w:pPr>
              <w:spacing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highlight w:val="none"/>
              </w:rPr>
            </w:pPr>
          </w:p>
        </w:tc>
        <w:tc>
          <w:tcPr>
            <w:tcW w:w="1519" w:type="dxa"/>
          </w:tcPr>
          <w:p>
            <w:pPr>
              <w:spacing w:line="360" w:lineRule="auto"/>
              <w:jc w:val="center"/>
              <w:rPr>
                <w:b/>
                <w:sz w:val="28"/>
                <w:szCs w:val="28"/>
                <w:highlight w:val="none"/>
              </w:rPr>
            </w:pPr>
          </w:p>
        </w:tc>
        <w:tc>
          <w:tcPr>
            <w:tcW w:w="3030" w:type="dxa"/>
          </w:tcPr>
          <w:p>
            <w:pPr>
              <w:spacing w:line="360" w:lineRule="auto"/>
              <w:jc w:val="center"/>
              <w:rPr>
                <w:b/>
                <w:sz w:val="28"/>
                <w:szCs w:val="28"/>
                <w:highlight w:val="none"/>
              </w:rPr>
            </w:pPr>
          </w:p>
        </w:tc>
        <w:tc>
          <w:tcPr>
            <w:tcW w:w="2895" w:type="dxa"/>
          </w:tcPr>
          <w:p>
            <w:pPr>
              <w:spacing w:line="360" w:lineRule="auto"/>
              <w:jc w:val="center"/>
              <w:rPr>
                <w:b/>
                <w:sz w:val="28"/>
                <w:szCs w:val="28"/>
                <w:highlight w:val="none"/>
              </w:rPr>
            </w:pPr>
          </w:p>
        </w:tc>
        <w:tc>
          <w:tcPr>
            <w:tcW w:w="1194" w:type="dxa"/>
          </w:tcPr>
          <w:p>
            <w:pPr>
              <w:spacing w:line="360" w:lineRule="auto"/>
              <w:jc w:val="center"/>
              <w:rPr>
                <w:b/>
                <w:sz w:val="28"/>
                <w:szCs w:val="28"/>
                <w:highlight w:val="none"/>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6"/>
        <w:jc w:val="center"/>
        <w:rPr>
          <w:sz w:val="24"/>
          <w:szCs w:val="24"/>
          <w:highlight w:val="none"/>
        </w:rPr>
      </w:pPr>
      <w:r>
        <w:rPr>
          <w:rFonts w:hint="eastAsia"/>
          <w:sz w:val="24"/>
          <w:szCs w:val="24"/>
          <w:highlight w:val="none"/>
        </w:rPr>
        <w:t>（三）技术方案</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360" w:lineRule="auto"/>
        <w:ind w:firstLine="486" w:firstLineChars="200"/>
        <w:jc w:val="center"/>
        <w:rPr>
          <w:color w:val="000000" w:themeColor="text1"/>
          <w:highlight w:val="none"/>
          <w14:textFill>
            <w14:solidFill>
              <w14:schemeClr w14:val="tx1"/>
            </w14:solidFill>
          </w14:textFill>
        </w:rPr>
      </w:pPr>
      <w:r>
        <w:rPr>
          <w:rFonts w:ascii="宋体" w:hAnsi="宋体" w:cs="宋体"/>
          <w:color w:val="000000" w:themeColor="text1"/>
          <w:sz w:val="24"/>
          <w:szCs w:val="28"/>
          <w:highlight w:val="none"/>
          <w14:textFill>
            <w14:solidFill>
              <w14:schemeClr w14:val="tx1"/>
            </w14:solidFill>
          </w14:textFill>
        </w:rPr>
        <w:br w:type="page"/>
      </w:r>
    </w:p>
    <w:p>
      <w:pPr>
        <w:pStyle w:val="1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五、其他材料</w:t>
      </w:r>
    </w:p>
    <w:p>
      <w:pPr>
        <w:spacing w:line="360" w:lineRule="auto"/>
        <w:ind w:firstLine="486" w:firstLineChars="200"/>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如有</w:t>
      </w:r>
    </w:p>
    <w:p>
      <w:pPr>
        <w:rPr>
          <w:highlight w:val="none"/>
        </w:rPr>
      </w:pPr>
    </w:p>
    <w:sectPr>
      <w:footerReference r:id="rId5" w:type="default"/>
      <w:pgSz w:w="11906" w:h="16838"/>
      <w:pgMar w:top="1440" w:right="1274" w:bottom="1440" w:left="1418" w:header="851" w:footer="992" w:gutter="0"/>
      <w:pgNumType w:start="1"/>
      <w:cols w:space="720" w:num="1"/>
      <w:docGrid w:type="linesAndChars" w:linePitch="317"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b/>
        <w:sz w:val="21"/>
      </w:rPr>
    </w:pPr>
    <w:r>
      <w:rPr>
        <w:b/>
        <w:sz w:val="21"/>
      </w:rPr>
      <w:fldChar w:fldCharType="begin"/>
    </w:r>
    <w:r>
      <w:rPr>
        <w:b/>
        <w:sz w:val="21"/>
      </w:rPr>
      <w:instrText xml:space="preserve">PAGE   \* MERGEFORMAT</w:instrText>
    </w:r>
    <w:r>
      <w:rPr>
        <w:b/>
        <w:sz w:val="21"/>
      </w:rPr>
      <w:fldChar w:fldCharType="separate"/>
    </w:r>
    <w:r>
      <w:rPr>
        <w:b/>
        <w:sz w:val="21"/>
        <w:lang w:val="zh-CN"/>
      </w:rPr>
      <w:t>3</w:t>
    </w:r>
    <w:r>
      <w:rPr>
        <w:b/>
        <w:sz w:val="21"/>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94976"/>
    <w:multiLevelType w:val="multilevel"/>
    <w:tmpl w:val="1F194976"/>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60A37B11"/>
    <w:multiLevelType w:val="singleLevel"/>
    <w:tmpl w:val="60A37B11"/>
    <w:lvl w:ilvl="0" w:tentative="0">
      <w:start w:val="2"/>
      <w:numFmt w:val="chineseCounting"/>
      <w:suff w:val="space"/>
      <w:lvlText w:val="第%1章"/>
      <w:lvlJc w:val="left"/>
    </w:lvl>
  </w:abstractNum>
  <w:abstractNum w:abstractNumId="2">
    <w:nsid w:val="60A3881F"/>
    <w:multiLevelType w:val="singleLevel"/>
    <w:tmpl w:val="60A3881F"/>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D3"/>
    <w:rsid w:val="00005367"/>
    <w:rsid w:val="00043E5F"/>
    <w:rsid w:val="00047E3E"/>
    <w:rsid w:val="000C3C43"/>
    <w:rsid w:val="001137F5"/>
    <w:rsid w:val="00187D20"/>
    <w:rsid w:val="001973FC"/>
    <w:rsid w:val="001A5A68"/>
    <w:rsid w:val="001B6AF8"/>
    <w:rsid w:val="002356BB"/>
    <w:rsid w:val="0028265B"/>
    <w:rsid w:val="00296769"/>
    <w:rsid w:val="002C0331"/>
    <w:rsid w:val="002C1A46"/>
    <w:rsid w:val="00325F32"/>
    <w:rsid w:val="003A1210"/>
    <w:rsid w:val="003B2144"/>
    <w:rsid w:val="003C7BBE"/>
    <w:rsid w:val="003E0BEC"/>
    <w:rsid w:val="0042734A"/>
    <w:rsid w:val="00472D8C"/>
    <w:rsid w:val="00487A65"/>
    <w:rsid w:val="004E37C0"/>
    <w:rsid w:val="00502CE7"/>
    <w:rsid w:val="00507310"/>
    <w:rsid w:val="005073F6"/>
    <w:rsid w:val="00553DA0"/>
    <w:rsid w:val="00565EB0"/>
    <w:rsid w:val="00570C79"/>
    <w:rsid w:val="0058789F"/>
    <w:rsid w:val="005D0CEB"/>
    <w:rsid w:val="00612D94"/>
    <w:rsid w:val="006229F7"/>
    <w:rsid w:val="006322E7"/>
    <w:rsid w:val="00660430"/>
    <w:rsid w:val="00665E55"/>
    <w:rsid w:val="00673AD8"/>
    <w:rsid w:val="006B4543"/>
    <w:rsid w:val="006F406B"/>
    <w:rsid w:val="006F5778"/>
    <w:rsid w:val="0071022E"/>
    <w:rsid w:val="00760315"/>
    <w:rsid w:val="007671BE"/>
    <w:rsid w:val="007D089F"/>
    <w:rsid w:val="007D1FC9"/>
    <w:rsid w:val="0080532C"/>
    <w:rsid w:val="008468E6"/>
    <w:rsid w:val="008549CD"/>
    <w:rsid w:val="00890980"/>
    <w:rsid w:val="009000AB"/>
    <w:rsid w:val="00983ED2"/>
    <w:rsid w:val="0099629E"/>
    <w:rsid w:val="009E1361"/>
    <w:rsid w:val="009F334F"/>
    <w:rsid w:val="00A05D9C"/>
    <w:rsid w:val="00A84E00"/>
    <w:rsid w:val="00A8782D"/>
    <w:rsid w:val="00AB5FD3"/>
    <w:rsid w:val="00AC0A12"/>
    <w:rsid w:val="00AE2114"/>
    <w:rsid w:val="00AF63F7"/>
    <w:rsid w:val="00B10695"/>
    <w:rsid w:val="00B3615B"/>
    <w:rsid w:val="00B56F1C"/>
    <w:rsid w:val="00BA7FC8"/>
    <w:rsid w:val="00BC20A9"/>
    <w:rsid w:val="00BD087D"/>
    <w:rsid w:val="00C83289"/>
    <w:rsid w:val="00D67598"/>
    <w:rsid w:val="00D710E8"/>
    <w:rsid w:val="00DC4BC9"/>
    <w:rsid w:val="00E54177"/>
    <w:rsid w:val="00E77200"/>
    <w:rsid w:val="00E7781A"/>
    <w:rsid w:val="00EB71B9"/>
    <w:rsid w:val="00F839ED"/>
    <w:rsid w:val="01FE761B"/>
    <w:rsid w:val="02F9047E"/>
    <w:rsid w:val="048727E8"/>
    <w:rsid w:val="05267384"/>
    <w:rsid w:val="05633286"/>
    <w:rsid w:val="060B1092"/>
    <w:rsid w:val="068565C2"/>
    <w:rsid w:val="08AD042C"/>
    <w:rsid w:val="08D47DF3"/>
    <w:rsid w:val="09273780"/>
    <w:rsid w:val="09EE04B8"/>
    <w:rsid w:val="0AC341A1"/>
    <w:rsid w:val="0B1B63BC"/>
    <w:rsid w:val="0B1C0A69"/>
    <w:rsid w:val="0BC5061B"/>
    <w:rsid w:val="0D7D39B8"/>
    <w:rsid w:val="0D8E3DEF"/>
    <w:rsid w:val="0EFA5FEB"/>
    <w:rsid w:val="13B14B48"/>
    <w:rsid w:val="13E606FB"/>
    <w:rsid w:val="14C37206"/>
    <w:rsid w:val="15177C44"/>
    <w:rsid w:val="15217558"/>
    <w:rsid w:val="156B15C2"/>
    <w:rsid w:val="15F57EC1"/>
    <w:rsid w:val="18113FDD"/>
    <w:rsid w:val="18E83E82"/>
    <w:rsid w:val="1AD33C31"/>
    <w:rsid w:val="1B534B8F"/>
    <w:rsid w:val="1BB10537"/>
    <w:rsid w:val="1BD06AFF"/>
    <w:rsid w:val="1C1A6BC4"/>
    <w:rsid w:val="1CEB4526"/>
    <w:rsid w:val="1DA6688B"/>
    <w:rsid w:val="1E7B4662"/>
    <w:rsid w:val="20206B99"/>
    <w:rsid w:val="202C579E"/>
    <w:rsid w:val="207254F7"/>
    <w:rsid w:val="21296AB5"/>
    <w:rsid w:val="214B061E"/>
    <w:rsid w:val="22123ADF"/>
    <w:rsid w:val="22CE02A1"/>
    <w:rsid w:val="22E8783A"/>
    <w:rsid w:val="23867C86"/>
    <w:rsid w:val="239D1878"/>
    <w:rsid w:val="24410130"/>
    <w:rsid w:val="246F42E6"/>
    <w:rsid w:val="24C075A3"/>
    <w:rsid w:val="26461C8B"/>
    <w:rsid w:val="27224189"/>
    <w:rsid w:val="27341E30"/>
    <w:rsid w:val="275B01FD"/>
    <w:rsid w:val="27CC1099"/>
    <w:rsid w:val="286221DB"/>
    <w:rsid w:val="28944033"/>
    <w:rsid w:val="29477914"/>
    <w:rsid w:val="2B9E36FF"/>
    <w:rsid w:val="2C583604"/>
    <w:rsid w:val="2CA75C5D"/>
    <w:rsid w:val="2DC75262"/>
    <w:rsid w:val="2E0E3741"/>
    <w:rsid w:val="2FEB3F33"/>
    <w:rsid w:val="302E3B5C"/>
    <w:rsid w:val="308D6530"/>
    <w:rsid w:val="316E6F45"/>
    <w:rsid w:val="31BE68A9"/>
    <w:rsid w:val="324F64A1"/>
    <w:rsid w:val="32F90E42"/>
    <w:rsid w:val="346557FB"/>
    <w:rsid w:val="346C4C24"/>
    <w:rsid w:val="34851318"/>
    <w:rsid w:val="368E7E25"/>
    <w:rsid w:val="374D2FAB"/>
    <w:rsid w:val="37BA600D"/>
    <w:rsid w:val="3861785A"/>
    <w:rsid w:val="3D122510"/>
    <w:rsid w:val="3E6732EE"/>
    <w:rsid w:val="3F602707"/>
    <w:rsid w:val="3FA12805"/>
    <w:rsid w:val="3FE865FC"/>
    <w:rsid w:val="40230264"/>
    <w:rsid w:val="402304E1"/>
    <w:rsid w:val="41565607"/>
    <w:rsid w:val="42911529"/>
    <w:rsid w:val="42B701FE"/>
    <w:rsid w:val="43C9720F"/>
    <w:rsid w:val="460D2F85"/>
    <w:rsid w:val="46A541AB"/>
    <w:rsid w:val="4705133B"/>
    <w:rsid w:val="475A3F09"/>
    <w:rsid w:val="477805A4"/>
    <w:rsid w:val="47DF71F6"/>
    <w:rsid w:val="48430435"/>
    <w:rsid w:val="4A295177"/>
    <w:rsid w:val="4AF75D50"/>
    <w:rsid w:val="4C415AE8"/>
    <w:rsid w:val="4C453EB3"/>
    <w:rsid w:val="4E681D8A"/>
    <w:rsid w:val="4EA6046E"/>
    <w:rsid w:val="4EDD72E2"/>
    <w:rsid w:val="4F361EA2"/>
    <w:rsid w:val="50D7584C"/>
    <w:rsid w:val="51944F62"/>
    <w:rsid w:val="55376545"/>
    <w:rsid w:val="567A5B33"/>
    <w:rsid w:val="5AAC1011"/>
    <w:rsid w:val="5B251103"/>
    <w:rsid w:val="5CA371A4"/>
    <w:rsid w:val="5D496ADA"/>
    <w:rsid w:val="5D560EC4"/>
    <w:rsid w:val="5D8C3D81"/>
    <w:rsid w:val="5DAB64B0"/>
    <w:rsid w:val="5E97143B"/>
    <w:rsid w:val="5FE37080"/>
    <w:rsid w:val="60E81E47"/>
    <w:rsid w:val="61F213D3"/>
    <w:rsid w:val="621A17E1"/>
    <w:rsid w:val="62515053"/>
    <w:rsid w:val="63243396"/>
    <w:rsid w:val="64C814CF"/>
    <w:rsid w:val="67F20580"/>
    <w:rsid w:val="67F9631A"/>
    <w:rsid w:val="686C054A"/>
    <w:rsid w:val="694E6D5A"/>
    <w:rsid w:val="69F90F58"/>
    <w:rsid w:val="6A10716E"/>
    <w:rsid w:val="6B250AE6"/>
    <w:rsid w:val="6BE5372A"/>
    <w:rsid w:val="6CD5065E"/>
    <w:rsid w:val="6D342A32"/>
    <w:rsid w:val="6D6700BB"/>
    <w:rsid w:val="6E3957D9"/>
    <w:rsid w:val="6E8369E8"/>
    <w:rsid w:val="6EDC1A97"/>
    <w:rsid w:val="6F0E3290"/>
    <w:rsid w:val="6FAE20EC"/>
    <w:rsid w:val="6FE9761F"/>
    <w:rsid w:val="727B5616"/>
    <w:rsid w:val="737A42CF"/>
    <w:rsid w:val="74A63755"/>
    <w:rsid w:val="74EA624F"/>
    <w:rsid w:val="755A2E50"/>
    <w:rsid w:val="756D1B58"/>
    <w:rsid w:val="77CD74C6"/>
    <w:rsid w:val="79176F93"/>
    <w:rsid w:val="7A014F23"/>
    <w:rsid w:val="7A8916E4"/>
    <w:rsid w:val="7AAD1B2A"/>
    <w:rsid w:val="7AF30E31"/>
    <w:rsid w:val="7B9759EE"/>
    <w:rsid w:val="7CDD0FE9"/>
    <w:rsid w:val="7D25195D"/>
    <w:rsid w:val="7DE16789"/>
    <w:rsid w:val="7EFD7CA9"/>
    <w:rsid w:val="7FAB459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pacing w:before="120" w:after="360" w:line="720" w:lineRule="atLeast"/>
      <w:jc w:val="center"/>
      <w:textAlignment w:val="baseline"/>
      <w:outlineLvl w:val="0"/>
    </w:pPr>
    <w:rPr>
      <w:b/>
      <w:kern w:val="0"/>
      <w:sz w:val="28"/>
      <w:szCs w:val="20"/>
    </w:rPr>
  </w:style>
  <w:style w:type="paragraph" w:styleId="4">
    <w:name w:val="heading 2"/>
    <w:basedOn w:val="1"/>
    <w:next w:val="1"/>
    <w:qFormat/>
    <w:uiPriority w:val="0"/>
    <w:pPr>
      <w:keepNext/>
      <w:keepLines/>
      <w:spacing w:before="260" w:after="260" w:line="412" w:lineRule="auto"/>
      <w:outlineLvl w:val="1"/>
    </w:pPr>
    <w:rPr>
      <w:rFonts w:ascii="Cambria" w:hAnsi="Cambria"/>
      <w:b/>
      <w:bCs/>
      <w:kern w:val="0"/>
      <w:sz w:val="32"/>
      <w:szCs w:val="32"/>
    </w:rPr>
  </w:style>
  <w:style w:type="paragraph" w:styleId="5">
    <w:name w:val="heading 3"/>
    <w:basedOn w:val="1"/>
    <w:next w:val="1"/>
    <w:link w:val="38"/>
    <w:unhideWhenUsed/>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unhideWhenUsed/>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7">
    <w:name w:val="annotation subject"/>
    <w:basedOn w:val="8"/>
    <w:next w:val="8"/>
    <w:link w:val="29"/>
    <w:qFormat/>
    <w:uiPriority w:val="0"/>
    <w:rPr>
      <w:b/>
      <w:bCs/>
    </w:rPr>
  </w:style>
  <w:style w:type="paragraph" w:styleId="8">
    <w:name w:val="annotation text"/>
    <w:basedOn w:val="1"/>
    <w:link w:val="28"/>
    <w:qFormat/>
    <w:uiPriority w:val="0"/>
    <w:pPr>
      <w:jc w:val="left"/>
    </w:pPr>
  </w:style>
  <w:style w:type="paragraph" w:styleId="9">
    <w:name w:val="Body Text First Indent"/>
    <w:basedOn w:val="10"/>
    <w:qFormat/>
    <w:uiPriority w:val="0"/>
    <w:pPr>
      <w:adjustRightInd w:val="0"/>
      <w:spacing w:line="275" w:lineRule="atLeast"/>
      <w:ind w:firstLine="420"/>
      <w:textAlignment w:val="baseline"/>
    </w:pPr>
    <w:rPr>
      <w:rFonts w:ascii="宋体" w:eastAsia="楷体_GB2312"/>
      <w:sz w:val="24"/>
      <w:szCs w:val="20"/>
    </w:rPr>
  </w:style>
  <w:style w:type="paragraph" w:styleId="10">
    <w:name w:val="Body Text"/>
    <w:basedOn w:val="1"/>
    <w:next w:val="1"/>
    <w:qFormat/>
    <w:uiPriority w:val="0"/>
    <w:pPr>
      <w:spacing w:after="120"/>
    </w:pPr>
  </w:style>
  <w:style w:type="paragraph" w:styleId="11">
    <w:name w:val="toc 3"/>
    <w:basedOn w:val="1"/>
    <w:next w:val="1"/>
    <w:uiPriority w:val="0"/>
    <w:pPr>
      <w:ind w:left="840" w:leftChars="400"/>
    </w:pPr>
  </w:style>
  <w:style w:type="paragraph" w:styleId="12">
    <w:name w:val="Date"/>
    <w:basedOn w:val="1"/>
    <w:next w:val="1"/>
    <w:qFormat/>
    <w:uiPriority w:val="0"/>
    <w:pPr>
      <w:adjustRightInd w:val="0"/>
      <w:spacing w:line="312" w:lineRule="atLeast"/>
      <w:jc w:val="right"/>
      <w:textAlignment w:val="baseline"/>
    </w:pPr>
    <w:rPr>
      <w:b/>
      <w:spacing w:val="30"/>
      <w:kern w:val="0"/>
      <w:sz w:val="36"/>
      <w:szCs w:val="20"/>
    </w:rPr>
  </w:style>
  <w:style w:type="paragraph" w:styleId="13">
    <w:name w:val="Body Text Indent 2"/>
    <w:basedOn w:val="1"/>
    <w:qFormat/>
    <w:uiPriority w:val="0"/>
    <w:pPr>
      <w:widowControl/>
      <w:spacing w:line="480" w:lineRule="auto"/>
      <w:ind w:firstLine="560"/>
      <w:jc w:val="left"/>
    </w:pPr>
    <w:rPr>
      <w:sz w:val="28"/>
    </w:rPr>
  </w:style>
  <w:style w:type="paragraph" w:styleId="14">
    <w:name w:val="Balloon Text"/>
    <w:basedOn w:val="1"/>
    <w:link w:val="30"/>
    <w:qFormat/>
    <w:uiPriority w:val="0"/>
    <w:rPr>
      <w:sz w:val="18"/>
      <w:szCs w:val="18"/>
    </w:rPr>
  </w:style>
  <w:style w:type="paragraph" w:styleId="15">
    <w:name w:val="footer"/>
    <w:basedOn w:val="1"/>
    <w:link w:val="40"/>
    <w:qFormat/>
    <w:uiPriority w:val="99"/>
    <w:pPr>
      <w:tabs>
        <w:tab w:val="center" w:pos="4153"/>
        <w:tab w:val="right" w:pos="8306"/>
      </w:tabs>
      <w:snapToGrid w:val="0"/>
      <w:jc w:val="left"/>
    </w:pPr>
    <w:rPr>
      <w:sz w:val="18"/>
      <w:szCs w:val="18"/>
    </w:rPr>
  </w:style>
  <w:style w:type="paragraph" w:styleId="16">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7">
    <w:name w:val="toc 4"/>
    <w:basedOn w:val="1"/>
    <w:next w:val="1"/>
    <w:qFormat/>
    <w:uiPriority w:val="0"/>
    <w:pPr>
      <w:ind w:left="1260" w:leftChars="600"/>
    </w:pPr>
  </w:style>
  <w:style w:type="paragraph" w:styleId="18">
    <w:name w:val="index 1"/>
    <w:basedOn w:val="1"/>
    <w:next w:val="1"/>
    <w:semiHidden/>
    <w:qFormat/>
    <w:uiPriority w:val="0"/>
    <w:pPr>
      <w:spacing w:line="360" w:lineRule="auto"/>
      <w:jc w:val="center"/>
    </w:pPr>
    <w:rPr>
      <w:rFonts w:ascii="宋体" w:hAnsi="Arial" w:cs="Arial"/>
      <w:b/>
      <w:color w:val="000000"/>
      <w:sz w:val="24"/>
    </w:rPr>
  </w:style>
  <w:style w:type="paragraph" w:styleId="19">
    <w:name w:val="Title"/>
    <w:basedOn w:val="1"/>
    <w:next w:val="1"/>
    <w:qFormat/>
    <w:uiPriority w:val="10"/>
    <w:pPr>
      <w:spacing w:before="240" w:after="60"/>
      <w:jc w:val="center"/>
      <w:outlineLvl w:val="0"/>
    </w:pPr>
    <w:rPr>
      <w:rFonts w:ascii="Cambria" w:hAnsi="Cambria"/>
      <w:b/>
      <w:bCs/>
      <w:sz w:val="32"/>
      <w:szCs w:val="32"/>
    </w:r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qFormat/>
    <w:uiPriority w:val="99"/>
    <w:rPr>
      <w:rFonts w:cs="Times New Roman"/>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列出段落1"/>
    <w:basedOn w:val="1"/>
    <w:qFormat/>
    <w:uiPriority w:val="99"/>
    <w:pPr>
      <w:ind w:firstLine="420" w:firstLineChars="200"/>
    </w:pPr>
    <w:rPr>
      <w:rFonts w:asciiTheme="minorHAnsi" w:hAnsiTheme="minorHAnsi" w:eastAsiaTheme="minorEastAsia" w:cstheme="minorBidi"/>
    </w:rPr>
  </w:style>
  <w:style w:type="paragraph" w:customStyle="1" w:styleId="2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7">
    <w:name w:val="Normal Paragraph"/>
    <w:basedOn w:val="1"/>
    <w:qFormat/>
    <w:uiPriority w:val="0"/>
    <w:pPr>
      <w:widowControl/>
      <w:spacing w:before="120"/>
      <w:ind w:firstLine="425"/>
    </w:pPr>
    <w:rPr>
      <w:kern w:val="0"/>
      <w:sz w:val="24"/>
    </w:rPr>
  </w:style>
  <w:style w:type="character" w:customStyle="1" w:styleId="28">
    <w:name w:val="批注文字 字符"/>
    <w:basedOn w:val="20"/>
    <w:link w:val="8"/>
    <w:qFormat/>
    <w:uiPriority w:val="0"/>
    <w:rPr>
      <w:kern w:val="2"/>
      <w:sz w:val="21"/>
      <w:szCs w:val="24"/>
    </w:rPr>
  </w:style>
  <w:style w:type="character" w:customStyle="1" w:styleId="29">
    <w:name w:val="批注主题 字符"/>
    <w:basedOn w:val="28"/>
    <w:link w:val="7"/>
    <w:qFormat/>
    <w:uiPriority w:val="0"/>
    <w:rPr>
      <w:b/>
      <w:bCs/>
      <w:kern w:val="2"/>
      <w:sz w:val="21"/>
      <w:szCs w:val="24"/>
    </w:rPr>
  </w:style>
  <w:style w:type="character" w:customStyle="1" w:styleId="30">
    <w:name w:val="批注框文本 字符"/>
    <w:basedOn w:val="20"/>
    <w:link w:val="14"/>
    <w:qFormat/>
    <w:uiPriority w:val="0"/>
    <w:rPr>
      <w:kern w:val="2"/>
      <w:sz w:val="18"/>
      <w:szCs w:val="18"/>
    </w:rPr>
  </w:style>
  <w:style w:type="paragraph" w:customStyle="1" w:styleId="31">
    <w:name w:val="符号列表"/>
    <w:basedOn w:val="1"/>
    <w:next w:val="25"/>
    <w:link w:val="32"/>
    <w:qFormat/>
    <w:uiPriority w:val="34"/>
    <w:pPr>
      <w:spacing w:beforeLines="50"/>
      <w:ind w:firstLine="420" w:firstLineChars="200"/>
    </w:pPr>
    <w:rPr>
      <w:rFonts w:ascii="Calibri" w:hAnsi="Calibri"/>
      <w:sz w:val="24"/>
      <w:szCs w:val="22"/>
      <w:lang w:val="zh-CN"/>
    </w:rPr>
  </w:style>
  <w:style w:type="character" w:customStyle="1" w:styleId="32">
    <w:name w:val="列出段落 Char"/>
    <w:link w:val="31"/>
    <w:qFormat/>
    <w:uiPriority w:val="34"/>
    <w:rPr>
      <w:rFonts w:ascii="Calibri" w:hAnsi="Calibri"/>
      <w:kern w:val="2"/>
      <w:sz w:val="24"/>
      <w:szCs w:val="22"/>
    </w:rPr>
  </w:style>
  <w:style w:type="paragraph" w:customStyle="1" w:styleId="33">
    <w:name w:val="font10"/>
    <w:basedOn w:val="1"/>
    <w:qFormat/>
    <w:uiPriority w:val="0"/>
    <w:pPr>
      <w:widowControl/>
      <w:spacing w:before="100" w:beforeAutospacing="1" w:after="100" w:afterAutospacing="1"/>
      <w:jc w:val="left"/>
    </w:pPr>
    <w:rPr>
      <w:kern w:val="0"/>
      <w:sz w:val="28"/>
      <w:szCs w:val="28"/>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表格内正文，无编号"/>
    <w:basedOn w:val="1"/>
    <w:qFormat/>
    <w:uiPriority w:val="0"/>
    <w:pPr>
      <w:spacing w:line="400" w:lineRule="exact"/>
      <w:ind w:firstLine="643" w:firstLineChars="200"/>
    </w:pPr>
  </w:style>
  <w:style w:type="character" w:customStyle="1" w:styleId="36">
    <w:name w:val="font21"/>
    <w:qFormat/>
    <w:uiPriority w:val="0"/>
    <w:rPr>
      <w:rFonts w:hint="eastAsia" w:ascii="宋体" w:hAnsi="宋体" w:eastAsia="宋体" w:cs="宋体"/>
      <w:color w:val="000000"/>
      <w:sz w:val="21"/>
      <w:szCs w:val="21"/>
      <w:u w:val="none"/>
    </w:rPr>
  </w:style>
  <w:style w:type="paragraph" w:customStyle="1" w:styleId="37">
    <w:name w:val="表体"/>
    <w:basedOn w:val="1"/>
    <w:next w:val="1"/>
    <w:qFormat/>
    <w:uiPriority w:val="0"/>
    <w:pPr>
      <w:snapToGrid w:val="0"/>
      <w:spacing w:line="0" w:lineRule="atLeast"/>
    </w:pPr>
    <w:rPr>
      <w:b/>
      <w:szCs w:val="20"/>
    </w:rPr>
  </w:style>
  <w:style w:type="character" w:customStyle="1" w:styleId="38">
    <w:name w:val="标题 3 字符"/>
    <w:basedOn w:val="20"/>
    <w:link w:val="5"/>
    <w:semiHidden/>
    <w:qFormat/>
    <w:uiPriority w:val="0"/>
    <w:rPr>
      <w:rFonts w:ascii="Times New Roman" w:hAnsi="Times New Roman" w:eastAsia="宋体" w:cs="Times New Roman"/>
      <w:b/>
      <w:bCs/>
      <w:kern w:val="2"/>
      <w:sz w:val="32"/>
      <w:szCs w:val="32"/>
    </w:rPr>
  </w:style>
  <w:style w:type="character" w:customStyle="1" w:styleId="39">
    <w:name w:val="页眉 字符"/>
    <w:basedOn w:val="20"/>
    <w:link w:val="16"/>
    <w:qFormat/>
    <w:uiPriority w:val="99"/>
    <w:rPr>
      <w:rFonts w:ascii="Times New Roman" w:hAnsi="Times New Roman" w:eastAsia="宋体" w:cs="Times New Roman"/>
      <w:kern w:val="2"/>
      <w:sz w:val="18"/>
      <w:szCs w:val="18"/>
    </w:rPr>
  </w:style>
  <w:style w:type="character" w:customStyle="1" w:styleId="40">
    <w:name w:val="页脚 字符"/>
    <w:basedOn w:val="20"/>
    <w:link w:val="15"/>
    <w:qFormat/>
    <w:uiPriority w:val="99"/>
    <w:rPr>
      <w:rFonts w:ascii="Times New Roman" w:hAnsi="Times New Roman" w:eastAsia="宋体" w:cs="Times New Roman"/>
      <w:kern w:val="2"/>
      <w:sz w:val="18"/>
      <w:szCs w:val="18"/>
    </w:rPr>
  </w:style>
  <w:style w:type="paragraph" w:customStyle="1" w:styleId="41">
    <w:name w:val="List Paragraph"/>
    <w:basedOn w:val="1"/>
    <w:qFormat/>
    <w:uiPriority w:val="34"/>
    <w:pPr>
      <w:spacing w:line="360" w:lineRule="auto"/>
      <w:ind w:firstLine="420" w:firstLineChars="200"/>
    </w:pPr>
    <w:rPr>
      <w:rFonts w:asciiTheme="minorHAnsi" w:hAnsiTheme="minorHAnsi" w:cstheme="minorBidi"/>
      <w:sz w:val="2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37E3C-E921-47CD-820F-33EC24C40CEB}">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2121</Words>
  <Characters>12094</Characters>
  <Lines>100</Lines>
  <Paragraphs>28</Paragraphs>
  <ScaleCrop>false</ScaleCrop>
  <LinksUpToDate>false</LinksUpToDate>
  <CharactersWithSpaces>14187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2021-06-08T03:40:00Z</dcterms:created>
  <dc:creator>admin</dc:creator>
  <cp:lastModifiedBy>梁宏达</cp:lastModifiedBy>
  <cp:lastPrinted>2021-04-07T04:07:00Z</cp:lastPrinted>
  <dcterms:modified xsi:type="dcterms:W3CDTF">2021-07-11T09:51:05Z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6CBCD4C056E44C3F9D2F3BE5581C30D2</vt:lpwstr>
  </property>
</Properties>
</file>