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AE9C" w14:textId="12013D9A" w:rsidR="00A51ABD" w:rsidRDefault="00A459C4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 w:rsidRPr="00A459C4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A459C4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年首讯公司火灾报警主机及感温光纤主机采购项目</w:t>
      </w:r>
      <w:r w:rsidR="00A51ABD"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432E6431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A459C4">
        <w:rPr>
          <w:rFonts w:ascii="Arial" w:hAnsi="Arial" w:cs="Arial"/>
          <w:caps/>
          <w:kern w:val="0"/>
          <w:sz w:val="24"/>
          <w:lang w:bidi="ar"/>
        </w:rPr>
        <w:t>9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79B3D6E0" w:rsidR="00A51ABD" w:rsidRDefault="00A459C4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2021</w:t>
      </w:r>
      <w:r w:rsidRPr="00A459C4">
        <w:rPr>
          <w:rFonts w:ascii="Arial" w:hAnsi="Arial" w:cs="Arial" w:hint="eastAsia"/>
          <w:kern w:val="0"/>
          <w:sz w:val="24"/>
          <w:lang w:bidi="ar"/>
        </w:rPr>
        <w:t>年首讯公司火灾报警主机及感温光纤主机采购项目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0FF89234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A459C4" w:rsidRPr="00A459C4">
        <w:rPr>
          <w:rFonts w:ascii="宋体" w:hAnsi="宋体" w:cs="宋体" w:hint="eastAsia"/>
          <w:sz w:val="24"/>
          <w:u w:val="single"/>
        </w:rPr>
        <w:t>上海腾盛智能安全科技股份有限公司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="00A459C4" w:rsidRPr="00A459C4">
        <w:rPr>
          <w:rFonts w:ascii="Arial" w:hAnsi="Arial" w:cs="Arial"/>
          <w:color w:val="000000"/>
          <w:kern w:val="0"/>
          <w:sz w:val="24"/>
          <w:u w:val="single"/>
          <w:lang w:bidi="ar"/>
        </w:rPr>
        <w:t>278500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23E7FC16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A459C4" w:rsidRPr="00A459C4">
        <w:rPr>
          <w:rFonts w:ascii="宋体" w:hAnsi="宋体" w:cs="宋体" w:hint="eastAsia"/>
          <w:sz w:val="24"/>
          <w:u w:val="single"/>
        </w:rPr>
        <w:t>上海腾盛智能安全科技股份有限公司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 w:hint="eastAsia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0F50" w14:textId="77777777" w:rsidR="00FF60B0" w:rsidRDefault="00FF60B0" w:rsidP="00A00594">
      <w:r>
        <w:separator/>
      </w:r>
    </w:p>
  </w:endnote>
  <w:endnote w:type="continuationSeparator" w:id="0">
    <w:p w14:paraId="57D14653" w14:textId="77777777" w:rsidR="00FF60B0" w:rsidRDefault="00FF60B0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623C" w14:textId="77777777" w:rsidR="00FF60B0" w:rsidRDefault="00FF60B0" w:rsidP="00A00594">
      <w:r>
        <w:separator/>
      </w:r>
    </w:p>
  </w:footnote>
  <w:footnote w:type="continuationSeparator" w:id="0">
    <w:p w14:paraId="732BE24C" w14:textId="77777777" w:rsidR="00FF60B0" w:rsidRDefault="00FF60B0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91C19"/>
    <w:rsid w:val="004012AF"/>
    <w:rsid w:val="00880DAC"/>
    <w:rsid w:val="00956ADC"/>
    <w:rsid w:val="00A00594"/>
    <w:rsid w:val="00A459C4"/>
    <w:rsid w:val="00A51ABD"/>
    <w:rsid w:val="00A81A4B"/>
    <w:rsid w:val="00B246FA"/>
    <w:rsid w:val="00B77CB3"/>
    <w:rsid w:val="00D64D61"/>
    <w:rsid w:val="00FF60B0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2021-08-25T07:38:00Z</dcterms:created>
  <dcterms:modified xsi:type="dcterms:W3CDTF">2021-08-25T07:38:00Z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