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lang w:eastAsia="zh-CN"/>
        </w:rPr>
        <w:t>首讯公司2023-2024年职工食堂生鲜配送采购</w:t>
      </w:r>
    </w:p>
    <w:p>
      <w:pPr>
        <w:rPr>
          <w:rFonts w:ascii="宋体" w:hAnsi="宋体" w:cs="宋体"/>
          <w:color w:val="auto"/>
          <w:sz w:val="28"/>
          <w:szCs w:val="2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选</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pPr>
        <w:jc w:val="center"/>
        <w:rPr>
          <w:rFonts w:ascii="宋体" w:hAnsi="宋体" w:cs="宋体"/>
          <w:b/>
          <w:color w:val="auto"/>
          <w:sz w:val="48"/>
          <w:szCs w:val="48"/>
          <w:highlight w:val="none"/>
        </w:rPr>
      </w:pPr>
    </w:p>
    <w:p>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rPr>
          <w:color w:val="auto"/>
          <w:highlight w:val="none"/>
        </w:rPr>
      </w:pPr>
    </w:p>
    <w:p>
      <w:pPr>
        <w:rPr>
          <w:color w:val="auto"/>
          <w:highlight w:val="none"/>
        </w:rPr>
      </w:pP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采购人：重庆首讯科技股份有限公司</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u w:val="single"/>
        </w:rPr>
        <w:t>2022</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12</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p>
    <w:p>
      <w:pPr>
        <w:pStyle w:val="30"/>
        <w:jc w:val="center"/>
        <w:outlineLvl w:val="0"/>
        <w:rPr>
          <w:rFonts w:ascii="宋体" w:hAnsi="宋体" w:cs="宋体"/>
          <w:color w:val="auto"/>
          <w:szCs w:val="21"/>
          <w:highlight w:val="none"/>
        </w:rPr>
      </w:pPr>
      <w:r>
        <w:rPr>
          <w:color w:val="auto"/>
          <w:highlight w:val="none"/>
        </w:rPr>
        <w:br w:type="page"/>
      </w:r>
      <w:bookmarkStart w:id="0" w:name="_Toc507428442"/>
      <w:bookmarkStart w:id="1" w:name="_Toc507319889"/>
      <w:bookmarkStart w:id="2" w:name="_Toc296602400"/>
      <w:bookmarkStart w:id="3" w:name="_Toc27358"/>
      <w:bookmarkStart w:id="4" w:name="_Toc246996898"/>
      <w:bookmarkStart w:id="5" w:name="_Toc247085669"/>
      <w:r>
        <w:rPr>
          <w:rFonts w:hint="eastAsia" w:ascii="宋体" w:hAnsi="宋体" w:cs="宋体"/>
          <w:b w:val="0"/>
          <w:color w:val="auto"/>
          <w:sz w:val="32"/>
          <w:highlight w:val="none"/>
        </w:rPr>
        <w:t>目   录</w:t>
      </w:r>
      <w:bookmarkEnd w:id="0"/>
      <w:bookmarkEnd w:id="1"/>
      <w:bookmarkEnd w:id="2"/>
      <w:bookmarkEnd w:id="3"/>
      <w:bookmarkEnd w:id="4"/>
      <w:bookmarkEnd w:id="5"/>
    </w:p>
    <w:p>
      <w:pPr>
        <w:pStyle w:val="30"/>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color w:val="auto"/>
          <w:highlight w:val="none"/>
        </w:rPr>
        <w:fldChar w:fldCharType="begin"/>
      </w:r>
      <w:r>
        <w:rPr>
          <w:color w:val="auto"/>
          <w:highlight w:val="none"/>
        </w:rPr>
        <w:instrText xml:space="preserve"> HYPERLINK \l "_Toc25855" </w:instrText>
      </w:r>
      <w:r>
        <w:rPr>
          <w:color w:val="auto"/>
          <w:highlight w:val="none"/>
        </w:rPr>
        <w:fldChar w:fldCharType="separate"/>
      </w:r>
      <w:r>
        <w:rPr>
          <w:rFonts w:hint="eastAsia" w:ascii="宋体" w:hAnsi="宋体" w:cs="宋体"/>
          <w:color w:val="auto"/>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_Toc25855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0"/>
        <w:tabs>
          <w:tab w:val="right" w:leader="dot" w:pos="9638"/>
        </w:tabs>
        <w:rPr>
          <w:color w:val="auto"/>
          <w:highlight w:val="none"/>
        </w:rPr>
      </w:pPr>
      <w:r>
        <w:rPr>
          <w:color w:val="auto"/>
          <w:highlight w:val="none"/>
        </w:rPr>
        <w:fldChar w:fldCharType="begin"/>
      </w:r>
      <w:r>
        <w:rPr>
          <w:color w:val="auto"/>
          <w:highlight w:val="none"/>
        </w:rPr>
        <w:instrText xml:space="preserve"> HYPERLINK \l "_Toc18539" </w:instrText>
      </w:r>
      <w:r>
        <w:rPr>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_Toc18539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0"/>
        <w:tabs>
          <w:tab w:val="right" w:leader="dot" w:pos="9638"/>
        </w:tabs>
        <w:rPr>
          <w:color w:val="auto"/>
          <w:highlight w:val="none"/>
        </w:rPr>
      </w:pPr>
      <w:r>
        <w:rPr>
          <w:color w:val="auto"/>
          <w:highlight w:val="none"/>
        </w:rPr>
        <w:fldChar w:fldCharType="begin"/>
      </w:r>
      <w:r>
        <w:rPr>
          <w:color w:val="auto"/>
          <w:highlight w:val="none"/>
        </w:rPr>
        <w:instrText xml:space="preserve"> HYPERLINK \l "_Toc7273" </w:instrText>
      </w:r>
      <w:r>
        <w:rPr>
          <w:color w:val="auto"/>
          <w:highlight w:val="none"/>
        </w:rPr>
        <w:fldChar w:fldCharType="separate"/>
      </w:r>
      <w:r>
        <w:rPr>
          <w:rFonts w:hint="eastAsia" w:ascii="宋体" w:hAnsi="宋体" w:cs="宋体"/>
          <w:color w:val="auto"/>
          <w:highlight w:val="none"/>
        </w:rPr>
        <w:t>第三章 评标办法（经评审的最低投标价法）</w:t>
      </w:r>
      <w:r>
        <w:rPr>
          <w:color w:val="auto"/>
          <w:highlight w:val="none"/>
        </w:rPr>
        <w:tab/>
      </w:r>
      <w:r>
        <w:rPr>
          <w:color w:val="auto"/>
          <w:highlight w:val="none"/>
        </w:rPr>
        <w:fldChar w:fldCharType="begin"/>
      </w:r>
      <w:r>
        <w:rPr>
          <w:color w:val="auto"/>
          <w:highlight w:val="none"/>
        </w:rPr>
        <w:instrText xml:space="preserve"> PAGEREF _Toc7273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0"/>
        <w:tabs>
          <w:tab w:val="right" w:leader="dot" w:pos="9638"/>
        </w:tabs>
        <w:rPr>
          <w:color w:val="auto"/>
          <w:highlight w:val="none"/>
        </w:rPr>
      </w:pPr>
      <w:r>
        <w:rPr>
          <w:color w:val="auto"/>
          <w:highlight w:val="none"/>
        </w:rPr>
        <w:fldChar w:fldCharType="begin"/>
      </w:r>
      <w:r>
        <w:rPr>
          <w:color w:val="auto"/>
          <w:highlight w:val="none"/>
        </w:rPr>
        <w:instrText xml:space="preserve"> HYPERLINK \l "_Toc6879" </w:instrText>
      </w:r>
      <w:r>
        <w:rPr>
          <w:color w:val="auto"/>
          <w:highlight w:val="none"/>
        </w:rPr>
        <w:fldChar w:fldCharType="separate"/>
      </w:r>
      <w:r>
        <w:rPr>
          <w:rFonts w:hint="eastAsia"/>
          <w:color w:val="auto"/>
          <w:highlight w:val="none"/>
        </w:rPr>
        <w:t>第四章 报价说明</w:t>
      </w:r>
      <w:r>
        <w:rPr>
          <w:color w:val="auto"/>
          <w:highlight w:val="none"/>
        </w:rPr>
        <w:tab/>
      </w:r>
      <w:r>
        <w:rPr>
          <w:color w:val="auto"/>
          <w:highlight w:val="none"/>
        </w:rPr>
        <w:fldChar w:fldCharType="begin"/>
      </w:r>
      <w:r>
        <w:rPr>
          <w:color w:val="auto"/>
          <w:highlight w:val="none"/>
        </w:rPr>
        <w:instrText xml:space="preserve"> PAGEREF _Toc6879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0"/>
        <w:tabs>
          <w:tab w:val="right" w:leader="dot" w:pos="9638"/>
        </w:tabs>
        <w:rPr>
          <w:color w:val="auto"/>
          <w:highlight w:val="none"/>
        </w:rPr>
      </w:pPr>
      <w:r>
        <w:rPr>
          <w:color w:val="auto"/>
          <w:highlight w:val="none"/>
        </w:rPr>
        <w:fldChar w:fldCharType="begin"/>
      </w:r>
      <w:r>
        <w:rPr>
          <w:color w:val="auto"/>
          <w:highlight w:val="none"/>
        </w:rPr>
        <w:instrText xml:space="preserve"> HYPERLINK \l "_Toc4638" </w:instrText>
      </w:r>
      <w:r>
        <w:rPr>
          <w:color w:val="auto"/>
          <w:highlight w:val="none"/>
        </w:rPr>
        <w:fldChar w:fldCharType="separate"/>
      </w:r>
      <w:r>
        <w:rPr>
          <w:rFonts w:hint="eastAsia" w:ascii="宋体" w:hAnsi="宋体" w:cs="宋体"/>
          <w:color w:val="auto"/>
          <w:highlight w:val="none"/>
        </w:rPr>
        <w:t>第五章 报价清单</w:t>
      </w:r>
      <w:r>
        <w:rPr>
          <w:color w:val="auto"/>
          <w:highlight w:val="none"/>
        </w:rPr>
        <w:tab/>
      </w:r>
      <w:r>
        <w:rPr>
          <w:color w:val="auto"/>
          <w:highlight w:val="none"/>
        </w:rPr>
        <w:fldChar w:fldCharType="begin"/>
      </w:r>
      <w:r>
        <w:rPr>
          <w:color w:val="auto"/>
          <w:highlight w:val="none"/>
        </w:rPr>
        <w:instrText xml:space="preserve"> PAGEREF _Toc4638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9638"/>
        </w:tabs>
        <w:rPr>
          <w:color w:val="auto"/>
          <w:highlight w:val="none"/>
        </w:rPr>
      </w:pPr>
      <w:r>
        <w:rPr>
          <w:color w:val="auto"/>
          <w:highlight w:val="none"/>
        </w:rPr>
        <w:fldChar w:fldCharType="begin"/>
      </w:r>
      <w:r>
        <w:rPr>
          <w:color w:val="auto"/>
          <w:highlight w:val="none"/>
        </w:rPr>
        <w:instrText xml:space="preserve"> HYPERLINK \l "_Toc28333" </w:instrText>
      </w:r>
      <w:r>
        <w:rPr>
          <w:color w:val="auto"/>
          <w:highlight w:val="none"/>
        </w:rPr>
        <w:fldChar w:fldCharType="separate"/>
      </w:r>
      <w:r>
        <w:rPr>
          <w:rFonts w:hint="eastAsia" w:ascii="宋体" w:hAnsi="宋体" w:cs="宋体"/>
          <w:color w:val="auto"/>
          <w:highlight w:val="none"/>
        </w:rPr>
        <w:t>第六章  图  纸</w:t>
      </w:r>
      <w:r>
        <w:rPr>
          <w:color w:val="auto"/>
          <w:highlight w:val="none"/>
        </w:rPr>
        <w:tab/>
      </w:r>
      <w:r>
        <w:rPr>
          <w:color w:val="auto"/>
          <w:highlight w:val="none"/>
        </w:rPr>
        <w:fldChar w:fldCharType="begin"/>
      </w:r>
      <w:r>
        <w:rPr>
          <w:color w:val="auto"/>
          <w:highlight w:val="none"/>
        </w:rPr>
        <w:instrText xml:space="preserve"> PAGEREF _Toc28333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0"/>
        <w:tabs>
          <w:tab w:val="right" w:leader="dot" w:pos="9638"/>
        </w:tabs>
        <w:rPr>
          <w:color w:val="auto"/>
          <w:highlight w:val="none"/>
        </w:rPr>
      </w:pPr>
      <w:r>
        <w:rPr>
          <w:color w:val="auto"/>
          <w:highlight w:val="none"/>
        </w:rPr>
        <w:fldChar w:fldCharType="begin"/>
      </w:r>
      <w:r>
        <w:rPr>
          <w:color w:val="auto"/>
          <w:highlight w:val="none"/>
        </w:rPr>
        <w:instrText xml:space="preserve"> HYPERLINK \l "_Toc904" </w:instrText>
      </w:r>
      <w:r>
        <w:rPr>
          <w:color w:val="auto"/>
          <w:highlight w:val="none"/>
        </w:rPr>
        <w:fldChar w:fldCharType="separate"/>
      </w:r>
      <w:r>
        <w:rPr>
          <w:rFonts w:hint="eastAsia" w:ascii="宋体" w:hAnsi="宋体" w:cs="宋体"/>
          <w:color w:val="auto"/>
          <w:highlight w:val="none"/>
        </w:rPr>
        <w:t>第七章  技术标准和工作要求</w:t>
      </w:r>
      <w:r>
        <w:rPr>
          <w:color w:val="auto"/>
          <w:highlight w:val="none"/>
        </w:rPr>
        <w:tab/>
      </w:r>
      <w:r>
        <w:rPr>
          <w:color w:val="auto"/>
          <w:highlight w:val="none"/>
        </w:rPr>
        <w:fldChar w:fldCharType="begin"/>
      </w:r>
      <w:r>
        <w:rPr>
          <w:color w:val="auto"/>
          <w:highlight w:val="none"/>
        </w:rPr>
        <w:instrText xml:space="preserve"> PAGEREF _Toc904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0"/>
        <w:tabs>
          <w:tab w:val="right" w:leader="dot" w:pos="9638"/>
        </w:tabs>
        <w:rPr>
          <w:color w:val="auto"/>
          <w:highlight w:val="none"/>
        </w:rPr>
      </w:pPr>
      <w:r>
        <w:rPr>
          <w:color w:val="auto"/>
          <w:highlight w:val="none"/>
        </w:rPr>
        <w:fldChar w:fldCharType="begin"/>
      </w:r>
      <w:r>
        <w:rPr>
          <w:color w:val="auto"/>
          <w:highlight w:val="none"/>
        </w:rPr>
        <w:instrText xml:space="preserve"> HYPERLINK \l "_Toc15881" </w:instrText>
      </w:r>
      <w:r>
        <w:rPr>
          <w:color w:val="auto"/>
          <w:highlight w:val="none"/>
        </w:rPr>
        <w:fldChar w:fldCharType="separate"/>
      </w:r>
      <w:r>
        <w:rPr>
          <w:rFonts w:hint="eastAsia" w:ascii="宋体" w:hAnsi="宋体" w:cs="宋体"/>
          <w:color w:val="auto"/>
          <w:highlight w:val="none"/>
        </w:rPr>
        <w:t>第八章  竞争性比选响应文件格式</w:t>
      </w:r>
      <w:r>
        <w:rPr>
          <w:color w:val="auto"/>
          <w:highlight w:val="none"/>
        </w:rPr>
        <w:tab/>
      </w:r>
      <w:r>
        <w:rPr>
          <w:color w:val="auto"/>
          <w:highlight w:val="none"/>
        </w:rPr>
        <w:fldChar w:fldCharType="begin"/>
      </w:r>
      <w:r>
        <w:rPr>
          <w:color w:val="auto"/>
          <w:highlight w:val="none"/>
        </w:rPr>
        <w:instrText xml:space="preserve"> PAGEREF _Toc15881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6"/>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p>
    <w:p>
      <w:pPr>
        <w:pStyle w:val="4"/>
        <w:spacing w:before="0" w:after="0" w:line="360" w:lineRule="auto"/>
        <w:jc w:val="center"/>
        <w:rPr>
          <w:rFonts w:ascii="宋体" w:hAnsi="宋体" w:cs="宋体"/>
          <w:color w:val="auto"/>
          <w:highlight w:val="none"/>
        </w:rPr>
      </w:pPr>
      <w:bookmarkStart w:id="6" w:name="_Toc246996157"/>
      <w:bookmarkStart w:id="7" w:name="_Toc144974479"/>
      <w:bookmarkStart w:id="8" w:name="_Toc152045511"/>
      <w:bookmarkStart w:id="9" w:name="_Toc152042287"/>
      <w:bookmarkStart w:id="10" w:name="_Toc2000404"/>
      <w:bookmarkStart w:id="11" w:name="_Toc179632527"/>
      <w:bookmarkStart w:id="12" w:name="_Toc246996900"/>
      <w:bookmarkStart w:id="13" w:name="_Toc507319890"/>
      <w:bookmarkStart w:id="14" w:name="_Toc247096243"/>
      <w:bookmarkStart w:id="15" w:name="_Toc247085671"/>
      <w:bookmarkStart w:id="16" w:name="_Toc25855"/>
      <w:r>
        <w:rPr>
          <w:rFonts w:hint="eastAsia" w:ascii="宋体" w:hAnsi="宋体" w:cs="宋体"/>
          <w:color w:val="auto"/>
          <w:highlight w:val="none"/>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cs="宋体"/>
          <w:color w:val="auto"/>
          <w:highlight w:val="none"/>
        </w:rPr>
        <w:t>比选公告</w:t>
      </w:r>
      <w:bookmarkEnd w:id="16"/>
    </w:p>
    <w:p>
      <w:pPr>
        <w:spacing w:line="440" w:lineRule="exact"/>
        <w:jc w:val="center"/>
        <w:rPr>
          <w:rFonts w:ascii="宋体" w:hAnsi="宋体" w:cs="宋体"/>
          <w:b/>
          <w:color w:val="auto"/>
          <w:sz w:val="28"/>
          <w:szCs w:val="28"/>
          <w:highlight w:val="none"/>
        </w:rPr>
      </w:pPr>
      <w:bookmarkStart w:id="17" w:name="OLE_LINK3"/>
      <w:bookmarkStart w:id="18" w:name="OLE_LINK2"/>
    </w:p>
    <w:p>
      <w:pPr>
        <w:pStyle w:val="5"/>
        <w:spacing w:before="120" w:after="0" w:line="360" w:lineRule="auto"/>
        <w:rPr>
          <w:rFonts w:ascii="宋体" w:hAnsi="宋体" w:eastAsia="宋体" w:cs="宋体"/>
          <w:color w:val="auto"/>
          <w:highlight w:val="none"/>
        </w:rPr>
      </w:pPr>
      <w:bookmarkStart w:id="19" w:name="_Toc11329213"/>
      <w:bookmarkStart w:id="20" w:name="_Toc246996901"/>
      <w:bookmarkStart w:id="21" w:name="_Toc10076"/>
      <w:bookmarkStart w:id="22" w:name="_Toc5988"/>
      <w:bookmarkStart w:id="23" w:name="_Toc26575"/>
      <w:bookmarkStart w:id="24" w:name="_Toc144974480"/>
      <w:bookmarkStart w:id="25" w:name="_Toc179632528"/>
      <w:bookmarkStart w:id="26" w:name="_Toc247085672"/>
      <w:bookmarkStart w:id="27" w:name="_Toc507319891"/>
      <w:bookmarkStart w:id="28" w:name="_Toc152042288"/>
      <w:bookmarkStart w:id="29" w:name="_Toc24874"/>
      <w:bookmarkStart w:id="30" w:name="_Toc10956"/>
      <w:bookmarkStart w:id="31" w:name="_Toc152045512"/>
      <w:bookmarkStart w:id="32" w:name="_Toc1930"/>
      <w:bookmarkStart w:id="33" w:name="_Toc246996158"/>
      <w:bookmarkStart w:id="34" w:name="_Toc6549"/>
      <w:r>
        <w:rPr>
          <w:rFonts w:hint="eastAsia" w:ascii="宋体" w:hAnsi="宋体" w:eastAsia="宋体" w:cs="宋体"/>
          <w:color w:val="auto"/>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eastAsia="zh-CN"/>
        </w:rPr>
        <w:t>首讯公司2023-2024年职工食堂生鲜配送采购</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 xml:space="preserve"> 重庆首讯科技股份有限公司 </w:t>
      </w:r>
      <w:r>
        <w:rPr>
          <w:rFonts w:hint="eastAsia" w:ascii="宋体" w:hAnsi="宋体" w:cs="宋体"/>
          <w:color w:val="auto"/>
          <w:szCs w:val="21"/>
          <w:highlight w:val="none"/>
        </w:rPr>
        <w:t>，该项目已具备比选条件，现对该项目进行竞争性比选。</w:t>
      </w:r>
    </w:p>
    <w:p>
      <w:pPr>
        <w:pStyle w:val="5"/>
        <w:spacing w:before="120" w:after="0" w:line="360" w:lineRule="auto"/>
        <w:rPr>
          <w:rFonts w:ascii="宋体" w:hAnsi="宋体" w:eastAsia="宋体" w:cs="宋体"/>
          <w:color w:val="auto"/>
          <w:highlight w:val="none"/>
        </w:rPr>
      </w:pPr>
      <w:bookmarkStart w:id="35" w:name="_Toc247085673"/>
      <w:bookmarkStart w:id="36" w:name="_Toc14538"/>
      <w:bookmarkStart w:id="37" w:name="_Toc246996159"/>
      <w:bookmarkStart w:id="38" w:name="_Toc21621"/>
      <w:bookmarkStart w:id="39" w:name="_Toc179632529"/>
      <w:bookmarkStart w:id="40" w:name="_Toc507319892"/>
      <w:bookmarkStart w:id="41" w:name="_Toc246996902"/>
      <w:bookmarkStart w:id="42" w:name="_Toc10952"/>
      <w:bookmarkStart w:id="43" w:name="_Toc21343"/>
      <w:bookmarkStart w:id="44" w:name="_Toc18109"/>
      <w:bookmarkStart w:id="45" w:name="_Toc144974481"/>
      <w:bookmarkStart w:id="46" w:name="_Toc11329214"/>
      <w:bookmarkStart w:id="47" w:name="_Toc2824"/>
      <w:bookmarkStart w:id="48" w:name="_Toc32159"/>
      <w:bookmarkStart w:id="49" w:name="_Toc152042289"/>
      <w:bookmarkStart w:id="50" w:name="_Toc152045513"/>
      <w:r>
        <w:rPr>
          <w:rFonts w:hint="eastAsia" w:ascii="宋体" w:hAnsi="宋体" w:eastAsia="宋体" w:cs="宋体"/>
          <w:color w:val="auto"/>
          <w:highlight w:val="none"/>
        </w:rPr>
        <w:t>2. 项目概况与比选范围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360" w:lineRule="auto"/>
        <w:ind w:firstLine="420" w:firstLineChars="200"/>
        <w:rPr>
          <w:rFonts w:ascii="宋体" w:hAnsi="宋体" w:cs="宋体"/>
          <w:color w:val="auto"/>
          <w:highlight w:val="none"/>
        </w:rPr>
      </w:pPr>
      <w:bookmarkStart w:id="51" w:name="_Toc446247226"/>
      <w:r>
        <w:rPr>
          <w:rFonts w:hint="eastAsia" w:ascii="宋体" w:hAnsi="宋体" w:cs="宋体"/>
          <w:color w:val="auto"/>
          <w:highlight w:val="none"/>
        </w:rPr>
        <w:t>2.1 项目地点：</w:t>
      </w:r>
      <w:bookmarkEnd w:id="51"/>
      <w:r>
        <w:rPr>
          <w:rFonts w:hint="eastAsia" w:ascii="宋体" w:hAnsi="宋体" w:cs="宋体"/>
          <w:color w:val="auto"/>
          <w:szCs w:val="21"/>
          <w:highlight w:val="none"/>
          <w:u w:val="single"/>
        </w:rPr>
        <w:t>重庆市渝北区龙溪街道新南路52号东界龙湖</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南岸区四公里内环入口200米处</w:t>
      </w:r>
      <w:r>
        <w:rPr>
          <w:rFonts w:hint="eastAsia" w:ascii="宋体" w:hAnsi="宋体" w:cs="宋体"/>
          <w:color w:val="auto"/>
          <w:highlight w:val="none"/>
        </w:rPr>
        <w:t>。</w:t>
      </w:r>
    </w:p>
    <w:p>
      <w:pPr>
        <w:pStyle w:val="14"/>
        <w:adjustRightIn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2.2 项目概况：</w:t>
      </w:r>
    </w:p>
    <w:p>
      <w:pPr>
        <w:pStyle w:val="14"/>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首讯</w:t>
      </w:r>
      <w:r>
        <w:rPr>
          <w:rFonts w:hint="eastAsia" w:ascii="宋体" w:hAnsi="宋体" w:cs="宋体"/>
          <w:color w:val="auto"/>
          <w:szCs w:val="21"/>
          <w:highlight w:val="none"/>
        </w:rPr>
        <w:t>公司2023年至2024年食堂生鲜配送，服务期限两年（2023年2月2日至2025年2月1日），为公司本部及四公里基地职工食堂提供生鲜配送。本项目预算约192万元。</w:t>
      </w:r>
    </w:p>
    <w:p>
      <w:pPr>
        <w:spacing w:line="400" w:lineRule="exact"/>
        <w:ind w:firstLine="42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）配送物资结算单价确定方式：</w:t>
      </w:r>
    </w:p>
    <w:p>
      <w:pPr>
        <w:pStyle w:val="14"/>
        <w:adjustRightInd w:val="0"/>
        <w:spacing w:line="400" w:lineRule="exact"/>
        <w:rPr>
          <w:rFonts w:hint="eastAsia" w:ascii="宋体" w:hAnsi="宋体" w:cs="宋体"/>
          <w:color w:val="auto"/>
          <w:highlight w:val="none"/>
        </w:rPr>
      </w:pPr>
      <w:r>
        <w:rPr>
          <w:rFonts w:hint="eastAsia"/>
          <w:color w:val="auto"/>
          <w:highlight w:val="none"/>
          <w:lang w:eastAsia="zh-CN"/>
        </w:rPr>
        <w:t>每月采价两次（上下半个月各一次），当月配送物资采价地为甲方所在地周边的新世纪超市或永辉超市等大型商超或农产品批发市场，（选用以上地点的现场执行价，如现场有优惠按就低不就高的原则选择优惠价执行，但临期商品特殊降价除外）。结算单价=甲、乙方共同采价的单价*折扣率。</w:t>
      </w:r>
    </w:p>
    <w:p>
      <w:pPr>
        <w:pStyle w:val="14"/>
        <w:adjustRightInd w:val="0"/>
        <w:spacing w:line="400" w:lineRule="exact"/>
        <w:rPr>
          <w:rFonts w:ascii="宋体" w:hAnsi="宋体" w:cs="宋体"/>
          <w:color w:val="auto"/>
          <w:highlight w:val="none"/>
        </w:rPr>
      </w:pPr>
      <w:r>
        <w:rPr>
          <w:rFonts w:hint="eastAsia" w:ascii="宋体" w:hAnsi="宋体" w:cs="宋体"/>
          <w:color w:val="auto"/>
          <w:highlight w:val="none"/>
        </w:rPr>
        <w:t>2.3 比选范围：</w:t>
      </w:r>
    </w:p>
    <w:p>
      <w:pPr>
        <w:pStyle w:val="14"/>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首讯</w:t>
      </w:r>
      <w:r>
        <w:rPr>
          <w:rFonts w:hint="eastAsia" w:ascii="宋体" w:hAnsi="宋体" w:cs="宋体"/>
          <w:color w:val="auto"/>
          <w:szCs w:val="21"/>
          <w:highlight w:val="none"/>
        </w:rPr>
        <w:t>公司2023年至2024年食堂生鲜配送，服务期限两年（2023年2月2日至2025年2月1日），为公司本部及四公里基地职工食堂提供生鲜配送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包含但不限于蔬菜、干副、调料类物资（含水果、鸡蛋、牛奶及其制品等）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pStyle w:val="5"/>
        <w:spacing w:before="120" w:after="0" w:line="360" w:lineRule="auto"/>
        <w:rPr>
          <w:rFonts w:ascii="宋体" w:hAnsi="宋体" w:eastAsia="宋体" w:cs="宋体"/>
          <w:color w:val="auto"/>
          <w:highlight w:val="none"/>
        </w:rPr>
      </w:pPr>
      <w:bookmarkStart w:id="52" w:name="_Toc10171"/>
      <w:bookmarkStart w:id="53" w:name="_Toc179632530"/>
      <w:bookmarkStart w:id="54" w:name="_Toc30356"/>
      <w:bookmarkStart w:id="55" w:name="_Toc11329215"/>
      <w:bookmarkStart w:id="56" w:name="_Toc15568"/>
      <w:bookmarkStart w:id="57" w:name="_Toc247085674"/>
      <w:bookmarkStart w:id="58" w:name="_Toc15801"/>
      <w:bookmarkStart w:id="59" w:name="_Toc144974482"/>
      <w:bookmarkStart w:id="60" w:name="_Toc246996160"/>
      <w:bookmarkStart w:id="61" w:name="_Toc507319893"/>
      <w:bookmarkStart w:id="62" w:name="_Toc152042290"/>
      <w:bookmarkStart w:id="63" w:name="_Toc246996903"/>
      <w:bookmarkStart w:id="64" w:name="_Toc26728"/>
      <w:bookmarkStart w:id="65" w:name="_Toc152045514"/>
      <w:bookmarkStart w:id="66" w:name="_Toc1455"/>
      <w:bookmarkStart w:id="67" w:name="_Toc7065"/>
      <w:r>
        <w:rPr>
          <w:rFonts w:hint="eastAsia" w:ascii="宋体" w:hAnsi="宋体" w:eastAsia="宋体" w:cs="宋体"/>
          <w:color w:val="auto"/>
          <w:highlight w:val="none"/>
        </w:rPr>
        <w:t>3. 报价人资格要求</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pacing w:line="400" w:lineRule="exact"/>
        <w:ind w:firstLine="420" w:firstLineChars="200"/>
        <w:rPr>
          <w:rFonts w:ascii="宋体" w:hAnsi="宋体" w:cs="宋体"/>
          <w:color w:val="auto"/>
          <w:szCs w:val="21"/>
          <w:highlight w:val="none"/>
          <w:shd w:val="clear" w:color="auto" w:fill="FFFFFF"/>
        </w:rPr>
      </w:pPr>
      <w:bookmarkStart w:id="68" w:name="_Toc247085675"/>
      <w:bookmarkStart w:id="69" w:name="_Toc152042291"/>
      <w:bookmarkStart w:id="70" w:name="_Toc179632531"/>
      <w:bookmarkStart w:id="71" w:name="_Toc246996161"/>
      <w:bookmarkStart w:id="72" w:name="_Toc246996904"/>
      <w:bookmarkStart w:id="73" w:name="_Toc152045515"/>
      <w:bookmarkStart w:id="74" w:name="_Toc144974483"/>
      <w:r>
        <w:rPr>
          <w:rFonts w:hint="eastAsia" w:ascii="宋体" w:hAnsi="宋体" w:cs="宋体"/>
          <w:color w:val="auto"/>
          <w:szCs w:val="21"/>
          <w:highlight w:val="none"/>
          <w:shd w:val="clear" w:color="auto" w:fill="FFFFFF"/>
        </w:rPr>
        <w:t>3.1 资质要求（以下资质文件若因疫情影响过期无法办理延续手续，需附相关行政部门下发的延期办理文件）：</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（1）报价人须具有独立法人资格，具有有效的营业执照（经营范围包含农产品、蔬菜、水果、米面、水产品、食用油、生鲜肉类、农副产品生产或销售或配送等内容）；</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报价人须为具有相关食品销售或配送的ISO9001质量管理体系认证证书、ISO45001职业健康安全管理体系认证证书或OHSAS18001职业健康安全管理体系认证证书或ISO22000食品安全管理体系认证证书（证书在有效期内）。</w:t>
      </w:r>
    </w:p>
    <w:p>
      <w:pPr>
        <w:pStyle w:val="2"/>
        <w:ind w:left="0" w:leftChars="0" w:firstLine="0" w:firstLineChars="0"/>
        <w:rPr>
          <w:rFonts w:hint="default" w:eastAsia="宋体"/>
          <w:color w:val="auto"/>
          <w:lang w:val="en-US" w:eastAsia="zh-CN"/>
        </w:rPr>
      </w:pPr>
      <w:r>
        <w:rPr>
          <w:rFonts w:hint="eastAsia" w:ascii="宋体" w:hAnsi="宋体" w:cs="宋体"/>
          <w:color w:val="auto"/>
          <w:szCs w:val="21"/>
          <w:highlight w:val="none"/>
          <w:shd w:val="clear" w:color="auto" w:fill="FFFFFF"/>
          <w:lang w:val="en-US" w:eastAsia="zh-CN"/>
        </w:rPr>
        <w:t xml:space="preserve">    （3）报价人须已购买食品安全责任保险（保单累计责任限额不低于2000万元，每次事故责任限额不低于200万元），且在保险期间内。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w:t>
      </w:r>
      <w:r>
        <w:rPr>
          <w:rFonts w:hint="eastAsia" w:ascii="宋体" w:hAnsi="宋体" w:cs="宋体"/>
          <w:color w:val="auto"/>
          <w:szCs w:val="21"/>
          <w:highlight w:val="none"/>
          <w:shd w:val="clear" w:color="auto" w:fill="FFFFFF"/>
        </w:rPr>
        <w:t>业绩要求：2019年1月1日至今至少具有一个生鲜配送或食品销售业绩（需提供合同及发票，单个合同食品配送或销售金额不低于70万元（以发票金额为准））</w:t>
      </w:r>
      <w:r>
        <w:rPr>
          <w:rFonts w:hint="eastAsia" w:ascii="宋体" w:hAnsi="宋体" w:cs="宋体"/>
          <w:color w:val="auto"/>
          <w:szCs w:val="21"/>
          <w:highlight w:val="none"/>
        </w:rPr>
        <w:t>。</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3.3 信誉要求：在国家企业信用信息公示系统（http://www.gsxt.gov.cn/）中未被列入严重违法失信企业名单（黑名单）信息；在“信用中国”网站（http://www.creditchina.gov.cn/）中未被列入失信惩戒执行人名单。（需提供截图（至</w:t>
      </w:r>
      <w:r>
        <w:rPr>
          <w:rFonts w:hint="eastAsia" w:ascii="宋体" w:hAnsi="宋体" w:cs="宋体"/>
          <w:color w:val="auto"/>
          <w:szCs w:val="21"/>
          <w:highlight w:val="none"/>
        </w:rPr>
        <w:t>报价截止时间五天内的</w:t>
      </w:r>
      <w:r>
        <w:rPr>
          <w:rFonts w:hint="eastAsia" w:ascii="宋体" w:hAnsi="宋体" w:cs="宋体"/>
          <w:color w:val="auto"/>
          <w:szCs w:val="21"/>
          <w:highlight w:val="none"/>
          <w:shd w:val="clear" w:color="auto" w:fill="FFFFFF"/>
        </w:rPr>
        <w:t>查询结果）并加盖报价人单位公章）</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3.4 报价人须提供采购人要求的所有资质要求、业绩要求、信誉要求的复印件并加盖单位鲜公章。</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3.5 本次比选不接受联合体报价。</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3.6 单位负责人为同一人或者存在控股、管理关系的不同单位，不得同时参加本项目报价，否则均按无效报价处理。</w:t>
      </w:r>
    </w:p>
    <w:p>
      <w:pPr>
        <w:pStyle w:val="5"/>
        <w:spacing w:before="120" w:after="0" w:line="400" w:lineRule="exact"/>
        <w:rPr>
          <w:rFonts w:ascii="宋体" w:hAnsi="宋体" w:eastAsia="宋体" w:cs="宋体"/>
          <w:color w:val="auto"/>
          <w:highlight w:val="none"/>
        </w:rPr>
      </w:pPr>
      <w:bookmarkStart w:id="75" w:name="_Toc14361"/>
      <w:bookmarkStart w:id="76" w:name="_Toc25619"/>
      <w:bookmarkStart w:id="77" w:name="_Toc17747"/>
      <w:bookmarkStart w:id="78" w:name="_Toc6126"/>
      <w:bookmarkStart w:id="79" w:name="_Toc507319894"/>
      <w:bookmarkStart w:id="80" w:name="_Toc557"/>
      <w:bookmarkStart w:id="81" w:name="_Toc11329216"/>
      <w:bookmarkStart w:id="82" w:name="_Toc12460"/>
      <w:bookmarkStart w:id="83" w:name="_Toc850"/>
      <w:r>
        <w:rPr>
          <w:rFonts w:hint="eastAsia" w:ascii="宋体" w:hAnsi="宋体" w:eastAsia="宋体" w:cs="宋体"/>
          <w:color w:val="auto"/>
          <w:highlight w:val="none"/>
        </w:rPr>
        <w:t>4. 比选文件的获取</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spacing w:line="400" w:lineRule="exact"/>
        <w:ind w:firstLine="420" w:firstLineChars="200"/>
        <w:rPr>
          <w:rFonts w:ascii="宋体" w:hAnsi="宋体"/>
          <w:color w:val="auto"/>
          <w:szCs w:val="21"/>
          <w:highlight w:val="none"/>
        </w:rPr>
      </w:pPr>
      <w:bookmarkStart w:id="84" w:name="_Toc144974484"/>
      <w:bookmarkStart w:id="85" w:name="_Toc246996905"/>
      <w:bookmarkStart w:id="86" w:name="_Toc11329217"/>
      <w:bookmarkStart w:id="87" w:name="_Toc507319895"/>
      <w:bookmarkStart w:id="88" w:name="_Toc247085676"/>
      <w:bookmarkStart w:id="89" w:name="_Toc179632532"/>
      <w:bookmarkStart w:id="90" w:name="_Toc152042292"/>
      <w:bookmarkStart w:id="91" w:name="_Toc246996162"/>
      <w:bookmarkStart w:id="92" w:name="_Toc152045516"/>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olor w:val="auto"/>
          <w:szCs w:val="21"/>
          <w:highlight w:val="none"/>
          <w:u w:val="single"/>
        </w:rPr>
        <w:t xml:space="preserve"> 2022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23</w:t>
      </w:r>
      <w:r>
        <w:rPr>
          <w:rFonts w:hint="eastAsia" w:ascii="宋体" w:hAnsi="宋体"/>
          <w:color w:val="auto"/>
          <w:szCs w:val="21"/>
          <w:highlight w:val="none"/>
          <w:u w:val="single"/>
        </w:rPr>
        <w:t xml:space="preserve"> </w:t>
      </w:r>
      <w:r>
        <w:rPr>
          <w:rFonts w:hint="eastAsia" w:ascii="宋体" w:hAnsi="宋体"/>
          <w:color w:val="auto"/>
          <w:szCs w:val="21"/>
          <w:highlight w:val="none"/>
        </w:rPr>
        <w:t>日下午</w:t>
      </w:r>
      <w:r>
        <w:rPr>
          <w:rFonts w:hint="eastAsia" w:ascii="宋体" w:hAnsi="宋体" w:cs="宋体"/>
          <w:color w:val="auto"/>
          <w:szCs w:val="21"/>
          <w:highlight w:val="none"/>
          <w:u w:val="single"/>
        </w:rPr>
        <w:t xml:space="preserve"> 15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w:t>
      </w:r>
      <w:r>
        <w:rPr>
          <w:rFonts w:hint="eastAsia" w:ascii="宋体" w:hAnsi="宋体"/>
          <w:color w:val="auto"/>
          <w:szCs w:val="21"/>
          <w:highlight w:val="none"/>
        </w:rPr>
        <w:t>前在重庆高速集团官网平台上获取比选文件，各报价人应随时关注网上发布的竞争性比选文件答疑、补遗、澄清等文件内容，不管报价人是否下载，均视为已知晓竞争性比选文件的全部内容和有关事宜。</w:t>
      </w:r>
    </w:p>
    <w:p>
      <w:pPr>
        <w:pStyle w:val="5"/>
        <w:spacing w:before="120" w:after="0" w:line="400" w:lineRule="exact"/>
        <w:rPr>
          <w:rFonts w:ascii="宋体" w:hAnsi="宋体" w:eastAsia="宋体" w:cs="宋体"/>
          <w:color w:val="auto"/>
          <w:highlight w:val="none"/>
        </w:rPr>
      </w:pPr>
      <w:bookmarkStart w:id="93" w:name="_Toc9131"/>
      <w:bookmarkStart w:id="94" w:name="_Toc3356"/>
      <w:bookmarkStart w:id="95" w:name="_Toc27512"/>
      <w:bookmarkStart w:id="96" w:name="_Toc16686"/>
      <w:bookmarkStart w:id="97" w:name="_Toc2547"/>
      <w:bookmarkStart w:id="98" w:name="_Toc17845"/>
      <w:bookmarkStart w:id="99" w:name="_Toc31493"/>
      <w:r>
        <w:rPr>
          <w:rFonts w:hint="eastAsia" w:ascii="宋体" w:hAnsi="宋体" w:eastAsia="宋体" w:cs="宋体"/>
          <w:color w:val="auto"/>
          <w:highlight w:val="none"/>
        </w:rPr>
        <w:t>5. 竞争性比选响应文件的递交</w:t>
      </w:r>
      <w:bookmarkEnd w:id="84"/>
      <w:bookmarkEnd w:id="85"/>
      <w:bookmarkEnd w:id="86"/>
      <w:bookmarkEnd w:id="87"/>
      <w:bookmarkEnd w:id="88"/>
      <w:bookmarkEnd w:id="89"/>
      <w:bookmarkEnd w:id="90"/>
      <w:bookmarkEnd w:id="91"/>
      <w:bookmarkEnd w:id="92"/>
      <w:r>
        <w:rPr>
          <w:rFonts w:hint="eastAsia" w:ascii="宋体" w:hAnsi="宋体" w:eastAsia="宋体" w:cs="宋体"/>
          <w:color w:val="auto"/>
          <w:highlight w:val="none"/>
        </w:rPr>
        <w:t>及相关事宜</w:t>
      </w:r>
      <w:bookmarkEnd w:id="93"/>
      <w:bookmarkEnd w:id="94"/>
      <w:bookmarkEnd w:id="95"/>
      <w:bookmarkEnd w:id="96"/>
      <w:bookmarkEnd w:id="97"/>
      <w:bookmarkEnd w:id="98"/>
      <w:bookmarkEnd w:id="99"/>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5.1报价截止时间和开标时间：</w:t>
      </w:r>
      <w:r>
        <w:rPr>
          <w:rFonts w:hint="eastAsia" w:ascii="宋体" w:hAnsi="宋体"/>
          <w:color w:val="auto"/>
          <w:szCs w:val="21"/>
          <w:highlight w:val="none"/>
          <w:u w:val="single"/>
        </w:rPr>
        <w:t xml:space="preserve"> 2022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23</w:t>
      </w:r>
      <w:r>
        <w:rPr>
          <w:rFonts w:hint="eastAsia" w:ascii="宋体" w:hAnsi="宋体"/>
          <w:color w:val="auto"/>
          <w:szCs w:val="21"/>
          <w:highlight w:val="none"/>
          <w:u w:val="single"/>
        </w:rPr>
        <w:t xml:space="preserve"> </w:t>
      </w:r>
      <w:r>
        <w:rPr>
          <w:rFonts w:hint="eastAsia" w:ascii="宋体" w:hAnsi="宋体"/>
          <w:color w:val="auto"/>
          <w:szCs w:val="21"/>
          <w:highlight w:val="none"/>
        </w:rPr>
        <w:t>日下午</w:t>
      </w:r>
      <w:r>
        <w:rPr>
          <w:rFonts w:hint="eastAsia" w:ascii="宋体" w:hAnsi="宋体" w:cs="宋体"/>
          <w:color w:val="auto"/>
          <w:szCs w:val="21"/>
          <w:highlight w:val="none"/>
          <w:u w:val="single"/>
        </w:rPr>
        <w:t xml:space="preserve"> 15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分（北京时间）。</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5.2报价的递交：重庆市渝北区龙溪街道新南路52号东界龙湖一楼</w:t>
      </w:r>
      <w:r>
        <w:rPr>
          <w:rFonts w:hint="eastAsia" w:ascii="宋体" w:hAnsi="宋体"/>
          <w:color w:val="auto"/>
          <w:szCs w:val="21"/>
          <w:highlight w:val="none"/>
        </w:rPr>
        <w:t>。</w:t>
      </w:r>
    </w:p>
    <w:p>
      <w:pPr>
        <w:tabs>
          <w:tab w:val="left" w:pos="360"/>
        </w:tabs>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5.3逾期送达，或未送达指定地点，或未密封的竞争性比选响应文件，采购人不予受理</w:t>
      </w:r>
      <w:r>
        <w:rPr>
          <w:rFonts w:hint="eastAsia" w:ascii="宋体" w:hAnsi="宋体"/>
          <w:color w:val="auto"/>
          <w:szCs w:val="21"/>
          <w:highlight w:val="none"/>
        </w:rPr>
        <w:t>。</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5.4文件递交方式：在投标截止当天将比选响应文件送达并参与现场开标。</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5.5采购人不组织各</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进行现场踏勘，由各</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自行踏勘充分配送环境，设施、运输距离、安全及任何其它足以影响报价和方案编制的情况，无论</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是否踏勘过现场，均被认为在递交投标文件之前已经踏勘现场，对本合同项目的责任、风险和义务已经十分了解，并在其投标文件中已充分考虑了现场和环境条件。现场踏勘所发生的费用由</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承担，并自行负责在踏勘现场中所发生的人员伤亡和财产损失</w:t>
      </w:r>
      <w:r>
        <w:rPr>
          <w:rFonts w:ascii="宋体" w:hAnsi="宋体" w:cs="宋体"/>
          <w:color w:val="auto"/>
          <w:szCs w:val="21"/>
          <w:highlight w:val="none"/>
        </w:rPr>
        <w:t>。</w:t>
      </w:r>
    </w:p>
    <w:p>
      <w:pPr>
        <w:tabs>
          <w:tab w:val="left" w:pos="360"/>
        </w:tabs>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6报价</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到现场投标人员须符合采购人防疫要求并配合如实提供相关信息。</w:t>
      </w:r>
      <w:bookmarkStart w:id="320" w:name="_GoBack"/>
      <w:bookmarkEnd w:id="320"/>
    </w:p>
    <w:p>
      <w:pPr>
        <w:pStyle w:val="5"/>
        <w:spacing w:before="120" w:after="0" w:line="400" w:lineRule="exact"/>
        <w:rPr>
          <w:rFonts w:ascii="宋体" w:hAnsi="宋体" w:eastAsia="宋体" w:cs="宋体"/>
          <w:color w:val="auto"/>
          <w:highlight w:val="none"/>
        </w:rPr>
      </w:pPr>
      <w:bookmarkStart w:id="100" w:name="_Toc179632534"/>
      <w:bookmarkStart w:id="101" w:name="_Toc18402"/>
      <w:bookmarkStart w:id="102" w:name="_Toc14947"/>
      <w:bookmarkStart w:id="103" w:name="_Toc4284"/>
      <w:bookmarkStart w:id="104" w:name="_Toc247085678"/>
      <w:bookmarkStart w:id="105" w:name="_Toc152042293"/>
      <w:bookmarkStart w:id="106" w:name="_Toc152045517"/>
      <w:bookmarkStart w:id="107" w:name="_Toc144974485"/>
      <w:bookmarkStart w:id="108" w:name="_Toc393"/>
      <w:bookmarkStart w:id="109" w:name="_Toc5716"/>
      <w:bookmarkStart w:id="110" w:name="_Toc11329219"/>
      <w:bookmarkStart w:id="111" w:name="_Toc246996907"/>
      <w:bookmarkStart w:id="112" w:name="_Toc507319897"/>
      <w:bookmarkStart w:id="113" w:name="_Toc246996164"/>
      <w:bookmarkStart w:id="114" w:name="_Toc21615"/>
      <w:bookmarkStart w:id="115" w:name="_Toc14972"/>
      <w:r>
        <w:rPr>
          <w:rFonts w:hint="eastAsia" w:ascii="宋体" w:hAnsi="宋体" w:eastAsia="宋体" w:cs="宋体"/>
          <w:color w:val="auto"/>
          <w:highlight w:val="none"/>
        </w:rPr>
        <w:t>6. 联系方式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bl>
      <w:tblPr>
        <w:tblStyle w:val="44"/>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3"/>
              <w:spacing w:before="0" w:beforeAutospacing="0" w:after="0" w:afterAutospacing="0" w:line="400" w:lineRule="exact"/>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c>
          <w:tcPr>
            <w:tcW w:w="1415" w:type="dxa"/>
            <w:vAlign w:val="center"/>
          </w:tcPr>
          <w:p>
            <w:pPr>
              <w:pStyle w:val="103"/>
              <w:spacing w:before="0" w:beforeAutospacing="0" w:after="0" w:afterAutospacing="0" w:line="400" w:lineRule="exact"/>
              <w:ind w:firstLine="420" w:firstLineChars="200"/>
              <w:jc w:val="both"/>
              <w:rPr>
                <w:rFonts w:ascii="宋体" w:hAnsi="宋体" w:cs="宋体"/>
                <w:color w:val="auto"/>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color w:val="auto"/>
                <w:szCs w:val="21"/>
                <w:highlight w:val="none"/>
              </w:rPr>
            </w:pPr>
            <w:r>
              <w:rPr>
                <w:rFonts w:hint="eastAsia" w:ascii="宋体" w:hAnsi="宋体" w:cs="宋体"/>
                <w:color w:val="auto"/>
                <w:szCs w:val="21"/>
                <w:highlight w:val="none"/>
              </w:rPr>
              <w:t>地址：重庆市渝北区龙溪街道新南路52号东界龙湖三楼</w:t>
            </w:r>
          </w:p>
        </w:tc>
        <w:tc>
          <w:tcPr>
            <w:tcW w:w="1415" w:type="dxa"/>
            <w:vAlign w:val="center"/>
          </w:tcPr>
          <w:p>
            <w:pPr>
              <w:spacing w:line="400" w:lineRule="exact"/>
              <w:ind w:firstLine="420" w:firstLineChars="200"/>
              <w:rPr>
                <w:rFonts w:ascii="宋体" w:hAnsi="宋体" w:cs="宋体"/>
                <w:color w:val="auto"/>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技术联系人：</w:t>
            </w:r>
            <w:r>
              <w:rPr>
                <w:rFonts w:hint="eastAsia" w:ascii="宋体" w:hAnsi="宋体" w:cs="宋体"/>
                <w:color w:val="auto"/>
                <w:szCs w:val="21"/>
                <w:highlight w:val="none"/>
                <w:lang w:val="en-US" w:eastAsia="zh-CN"/>
              </w:rPr>
              <w:t>赵</w:t>
            </w:r>
            <w:r>
              <w:rPr>
                <w:rFonts w:hint="eastAsia" w:ascii="宋体" w:hAnsi="宋体" w:cs="宋体"/>
                <w:color w:val="auto"/>
                <w:szCs w:val="21"/>
                <w:highlight w:val="none"/>
              </w:rPr>
              <w:t>老师  电 话：13883053329</w:t>
            </w:r>
          </w:p>
        </w:tc>
        <w:tc>
          <w:tcPr>
            <w:tcW w:w="1415" w:type="dxa"/>
            <w:vAlign w:val="center"/>
          </w:tcPr>
          <w:p>
            <w:pPr>
              <w:spacing w:line="400" w:lineRule="exact"/>
              <w:ind w:firstLine="420" w:firstLineChars="200"/>
              <w:rPr>
                <w:rFonts w:ascii="宋体" w:hAnsi="宋体" w:cs="宋体"/>
                <w:color w:val="auto"/>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color w:val="auto"/>
                <w:highlight w:val="none"/>
              </w:rPr>
            </w:pPr>
            <w:r>
              <w:rPr>
                <w:rFonts w:hint="eastAsia" w:ascii="宋体" w:hAnsi="宋体" w:cs="宋体"/>
                <w:color w:val="auto"/>
                <w:szCs w:val="21"/>
                <w:highlight w:val="none"/>
              </w:rPr>
              <w:t>商务联系人：蒋老师  电 话：18523055172</w:t>
            </w:r>
          </w:p>
        </w:tc>
        <w:tc>
          <w:tcPr>
            <w:tcW w:w="1415" w:type="dxa"/>
            <w:vAlign w:val="center"/>
          </w:tcPr>
          <w:p>
            <w:pPr>
              <w:spacing w:line="400" w:lineRule="exact"/>
              <w:ind w:firstLine="420" w:firstLineChars="200"/>
              <w:rPr>
                <w:rFonts w:ascii="宋体" w:hAnsi="宋体" w:cs="宋体"/>
                <w:color w:val="auto"/>
                <w:szCs w:val="21"/>
                <w:highlight w:val="none"/>
              </w:rPr>
            </w:pPr>
          </w:p>
        </w:tc>
      </w:tr>
    </w:tbl>
    <w:p>
      <w:pPr>
        <w:pStyle w:val="30"/>
        <w:rPr>
          <w:color w:val="auto"/>
          <w:highlight w:val="none"/>
        </w:rPr>
      </w:pPr>
    </w:p>
    <w:bookmarkEnd w:id="17"/>
    <w:bookmarkEnd w:id="18"/>
    <w:p>
      <w:pPr>
        <w:pStyle w:val="4"/>
        <w:spacing w:before="0" w:after="0" w:line="360" w:lineRule="auto"/>
        <w:jc w:val="center"/>
        <w:rPr>
          <w:rFonts w:ascii="宋体" w:hAnsi="宋体" w:cs="宋体"/>
          <w:color w:val="auto"/>
          <w:highlight w:val="none"/>
        </w:rPr>
      </w:pPr>
      <w:bookmarkStart w:id="116" w:name="_Toc2000405"/>
      <w:bookmarkStart w:id="117" w:name="_Toc246996916"/>
      <w:bookmarkStart w:id="118" w:name="_Toc247085687"/>
      <w:bookmarkStart w:id="119" w:name="_Toc152042303"/>
      <w:bookmarkStart w:id="120" w:name="_Toc152045527"/>
      <w:bookmarkStart w:id="121" w:name="_Toc507319898"/>
      <w:bookmarkStart w:id="122" w:name="_Toc179632544"/>
      <w:bookmarkStart w:id="123" w:name="_Toc144974495"/>
      <w:bookmarkStart w:id="124" w:name="_Toc246996173"/>
      <w:r>
        <w:rPr>
          <w:rFonts w:hint="eastAsia" w:ascii="宋体" w:hAnsi="宋体" w:cs="宋体"/>
          <w:color w:val="auto"/>
          <w:highlight w:val="none"/>
        </w:rPr>
        <w:br w:type="page"/>
      </w:r>
      <w:bookmarkStart w:id="125" w:name="_Toc18539"/>
      <w:r>
        <w:rPr>
          <w:rFonts w:hint="eastAsia" w:ascii="宋体" w:hAnsi="宋体" w:cs="宋体"/>
          <w:color w:val="auto"/>
          <w:highlight w:val="none"/>
        </w:rPr>
        <w:t>第二章 报价人须知</w:t>
      </w:r>
      <w:bookmarkEnd w:id="116"/>
      <w:bookmarkEnd w:id="117"/>
      <w:bookmarkEnd w:id="118"/>
      <w:bookmarkEnd w:id="119"/>
      <w:bookmarkEnd w:id="120"/>
      <w:bookmarkEnd w:id="121"/>
      <w:bookmarkEnd w:id="122"/>
      <w:bookmarkEnd w:id="123"/>
      <w:bookmarkEnd w:id="124"/>
      <w:bookmarkEnd w:id="125"/>
    </w:p>
    <w:p>
      <w:pPr>
        <w:rPr>
          <w:color w:val="auto"/>
          <w:highlight w:val="none"/>
        </w:rPr>
      </w:pPr>
    </w:p>
    <w:tbl>
      <w:tblPr>
        <w:tblStyle w:val="4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color w:val="auto"/>
                <w:kern w:val="0"/>
                <w:szCs w:val="21"/>
                <w:highlight w:val="none"/>
              </w:rPr>
            </w:pPr>
            <w:bookmarkStart w:id="126" w:name="_Toc326760840"/>
            <w:r>
              <w:rPr>
                <w:rFonts w:hint="eastAsia" w:ascii="宋体" w:hAnsi="宋体" w:cs="宋体"/>
                <w:b/>
                <w:color w:val="auto"/>
                <w:kern w:val="0"/>
                <w:szCs w:val="21"/>
                <w:highlight w:val="none"/>
              </w:rPr>
              <w:t>序号</w:t>
            </w:r>
          </w:p>
        </w:tc>
        <w:tc>
          <w:tcPr>
            <w:tcW w:w="2106" w:type="dxa"/>
            <w:vAlign w:val="center"/>
          </w:tcPr>
          <w:p>
            <w:pPr>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pPr>
              <w:spacing w:line="400" w:lineRule="exact"/>
              <w:ind w:firstLine="422" w:firstLineChars="200"/>
              <w:jc w:val="center"/>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采购人：重庆首讯科技股份有限公司</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  址：重庆市渝北区龙溪街道新南路52号东界龙湖三楼</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联系人：蒋老师</w:t>
            </w:r>
          </w:p>
          <w:p>
            <w:pPr>
              <w:topLinePunct/>
              <w:spacing w:line="420" w:lineRule="exact"/>
              <w:ind w:firstLine="420" w:firstLineChars="200"/>
              <w:rPr>
                <w:color w:val="auto"/>
                <w:highlight w:val="none"/>
              </w:rPr>
            </w:pPr>
            <w:r>
              <w:rPr>
                <w:rFonts w:hint="eastAsia" w:ascii="宋体" w:hAnsi="宋体" w:cs="宋体"/>
                <w:color w:val="auto"/>
                <w:szCs w:val="21"/>
                <w:highlight w:val="none"/>
              </w:rPr>
              <w:t>电  话：18523055172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首讯公司2023-2024年职工食堂生鲜配送采购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项目地点</w:t>
            </w:r>
          </w:p>
        </w:tc>
        <w:tc>
          <w:tcPr>
            <w:tcW w:w="7104" w:type="dxa"/>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lang w:val="en-US" w:eastAsia="zh-CN"/>
              </w:rPr>
              <w:t>供货期</w:t>
            </w:r>
            <w:r>
              <w:rPr>
                <w:rFonts w:hint="eastAsia" w:ascii="宋体" w:hAnsi="宋体" w:cs="宋体"/>
                <w:color w:val="auto"/>
                <w:kern w:val="0"/>
                <w:szCs w:val="21"/>
                <w:highlight w:val="none"/>
              </w:rPr>
              <w:t>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104" w:type="dxa"/>
          </w:tcPr>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满足国家现行的相关技术标准及重庆首讯科技股份有限公司相关要求。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安全目标</w:t>
            </w:r>
          </w:p>
        </w:tc>
        <w:tc>
          <w:tcPr>
            <w:tcW w:w="7104" w:type="dxa"/>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（1）资质条件：见</w:t>
            </w:r>
            <w:r>
              <w:rPr>
                <w:rFonts w:hint="eastAsia" w:ascii="宋体" w:hAnsi="宋体" w:cs="宋体"/>
                <w:color w:val="auto"/>
                <w:szCs w:val="21"/>
                <w:highlight w:val="none"/>
                <w:lang w:val="en-US" w:eastAsia="zh-CN"/>
              </w:rPr>
              <w:t>比选公告3.</w:t>
            </w:r>
            <w:r>
              <w:rPr>
                <w:rFonts w:hint="eastAsia" w:ascii="宋体" w:hAnsi="宋体" w:cs="宋体"/>
                <w:color w:val="auto"/>
                <w:szCs w:val="21"/>
                <w:highlight w:val="none"/>
              </w:rPr>
              <w:t>1</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业绩</w:t>
            </w:r>
            <w:r>
              <w:rPr>
                <w:rFonts w:hint="eastAsia" w:ascii="宋体" w:hAnsi="宋体" w:cs="宋体"/>
                <w:color w:val="auto"/>
                <w:szCs w:val="21"/>
                <w:highlight w:val="none"/>
              </w:rPr>
              <w:t>要求：见</w:t>
            </w:r>
            <w:r>
              <w:rPr>
                <w:rFonts w:hint="eastAsia" w:ascii="宋体" w:hAnsi="宋体" w:cs="宋体"/>
                <w:color w:val="auto"/>
                <w:szCs w:val="21"/>
                <w:highlight w:val="none"/>
                <w:lang w:val="en-US" w:eastAsia="zh-CN"/>
              </w:rPr>
              <w:t>比选公告3.2</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）信誉要求：见</w:t>
            </w:r>
            <w:r>
              <w:rPr>
                <w:rFonts w:hint="eastAsia" w:ascii="宋体" w:hAnsi="宋体" w:cs="宋体"/>
                <w:color w:val="auto"/>
                <w:szCs w:val="21"/>
                <w:highlight w:val="none"/>
                <w:lang w:val="en-US" w:eastAsia="zh-CN"/>
              </w:rPr>
              <w:t>比选公告3.3</w:t>
            </w:r>
          </w:p>
          <w:p>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）项目主要人员要求：见附录</w:t>
            </w:r>
            <w:r>
              <w:rPr>
                <w:rFonts w:hint="eastAsia" w:ascii="宋体" w:hAnsi="宋体" w:cs="宋体"/>
                <w:color w:val="auto"/>
                <w:szCs w:val="21"/>
                <w:highlight w:val="none"/>
                <w:lang w:val="en-US" w:eastAsia="zh-CN"/>
              </w:rPr>
              <w:t>1</w:t>
            </w:r>
          </w:p>
          <w:p>
            <w:pPr>
              <w:autoSpaceDE w:val="0"/>
              <w:autoSpaceDN w:val="0"/>
              <w:adjustRightInd w:val="0"/>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）其他要求：见附录</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、见附录</w:t>
            </w: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pPr>
              <w:spacing w:line="400" w:lineRule="exact"/>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106" w:type="dxa"/>
            <w:vAlign w:val="center"/>
          </w:tcPr>
          <w:p>
            <w:pPr>
              <w:spacing w:line="44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采购人发布的补遗书、答疑、澄清、最高</w:t>
            </w:r>
            <w:r>
              <w:rPr>
                <w:rFonts w:hint="eastAsia" w:ascii="宋体" w:hAnsi="宋体" w:cs="宋体"/>
                <w:color w:val="auto"/>
                <w:szCs w:val="21"/>
                <w:highlight w:val="none"/>
                <w:lang w:eastAsia="zh-CN"/>
              </w:rPr>
              <w:t>限折扣率</w:t>
            </w:r>
            <w:r>
              <w:rPr>
                <w:rFonts w:hint="eastAsia" w:ascii="宋体" w:hAnsi="宋体" w:cs="宋体"/>
                <w:color w:val="auto"/>
                <w:szCs w:val="21"/>
                <w:highlight w:val="none"/>
              </w:rPr>
              <w:t>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color w:val="auto"/>
                <w:kern w:val="0"/>
                <w:szCs w:val="21"/>
                <w:highlight w:val="none"/>
              </w:rPr>
            </w:pPr>
            <w:bookmarkStart w:id="127" w:name="_Hlt227984024"/>
            <w:bookmarkEnd w:id="127"/>
            <w:r>
              <w:rPr>
                <w:rFonts w:hint="eastAsia" w:ascii="宋体" w:hAnsi="宋体" w:cs="宋体"/>
                <w:color w:val="auto"/>
                <w:kern w:val="0"/>
                <w:szCs w:val="21"/>
                <w:highlight w:val="none"/>
              </w:rPr>
              <w:t>14</w:t>
            </w:r>
          </w:p>
        </w:tc>
        <w:tc>
          <w:tcPr>
            <w:tcW w:w="210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pPr>
              <w:pStyle w:val="150"/>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106" w:type="dxa"/>
            <w:tcBorders>
              <w:bottom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报价清单的填写方式</w:t>
            </w:r>
          </w:p>
        </w:tc>
        <w:tc>
          <w:tcPr>
            <w:tcW w:w="7104" w:type="dxa"/>
            <w:tcBorders>
              <w:bottom w:val="single" w:color="auto" w:sz="4" w:space="0"/>
            </w:tcBorders>
          </w:tcPr>
          <w:p>
            <w:pPr>
              <w:spacing w:line="400" w:lineRule="exact"/>
              <w:ind w:firstLine="420" w:firstLineChars="200"/>
              <w:jc w:val="left"/>
              <w:rPr>
                <w:color w:val="auto"/>
                <w:highlight w:val="none"/>
              </w:rPr>
            </w:pPr>
            <w:r>
              <w:rPr>
                <w:rFonts w:hint="eastAsia"/>
                <w:color w:val="auto"/>
                <w:highlight w:val="none"/>
              </w:rPr>
              <w:t>报价人按采购人提供的清单进行填报。</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折扣比率</w:t>
            </w:r>
            <w:r>
              <w:rPr>
                <w:rFonts w:hint="eastAsia" w:ascii="宋体" w:hAnsi="宋体" w:cs="宋体"/>
                <w:b/>
                <w:color w:val="auto"/>
                <w:szCs w:val="21"/>
                <w:highlight w:val="none"/>
              </w:rPr>
              <w:t>取小数点后两位，小数点后第三位四舍五入。</w:t>
            </w:r>
          </w:p>
          <w:p>
            <w:pPr>
              <w:spacing w:line="400" w:lineRule="exact"/>
              <w:ind w:firstLine="422" w:firstLineChars="200"/>
              <w:rPr>
                <w:color w:val="auto"/>
                <w:highlight w:val="none"/>
              </w:rPr>
            </w:pPr>
            <w:r>
              <w:rPr>
                <w:rFonts w:hint="eastAsia" w:ascii="宋体" w:hAnsi="宋体" w:cs="宋体"/>
                <w:b/>
                <w:bCs/>
                <w:color w:val="auto"/>
                <w:szCs w:val="21"/>
                <w:highlight w:val="none"/>
              </w:rPr>
              <w:t>本项目清单及说明随比选文件一并发布，详见附件。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106" w:type="dxa"/>
            <w:tcBorders>
              <w:bottom w:val="single" w:color="auto" w:sz="4" w:space="0"/>
            </w:tcBorders>
            <w:vAlign w:val="center"/>
          </w:tcPr>
          <w:p>
            <w:pPr>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最高限</w:t>
            </w:r>
            <w:r>
              <w:rPr>
                <w:rFonts w:hint="eastAsia" w:ascii="宋体" w:hAnsi="宋体" w:cs="宋体"/>
                <w:color w:val="auto"/>
                <w:kern w:val="0"/>
                <w:szCs w:val="21"/>
                <w:highlight w:val="none"/>
                <w:lang w:val="en-US" w:eastAsia="zh-CN"/>
              </w:rPr>
              <w:t>折扣率</w:t>
            </w:r>
          </w:p>
        </w:tc>
        <w:tc>
          <w:tcPr>
            <w:tcW w:w="7104" w:type="dxa"/>
            <w:tcBorders>
              <w:bottom w:val="single" w:color="auto" w:sz="4" w:space="0"/>
            </w:tcBorders>
          </w:tcPr>
          <w:p>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最高限</w:t>
            </w:r>
            <w:r>
              <w:rPr>
                <w:rFonts w:hint="eastAsia" w:ascii="宋体" w:hAnsi="宋体"/>
                <w:b/>
                <w:bCs/>
                <w:color w:val="auto"/>
                <w:szCs w:val="21"/>
                <w:highlight w:val="none"/>
                <w:lang w:val="en-US" w:eastAsia="zh-CN"/>
              </w:rPr>
              <w:t>折扣率</w:t>
            </w:r>
            <w:r>
              <w:rPr>
                <w:rFonts w:hint="eastAsia" w:ascii="宋体" w:hAnsi="宋体"/>
                <w:b/>
                <w:bCs/>
                <w:color w:val="auto"/>
                <w:szCs w:val="21"/>
                <w:highlight w:val="none"/>
                <w:u w:val="single"/>
                <w:lang w:val="en-US" w:eastAsia="zh-CN"/>
              </w:rPr>
              <w:t>90.00%</w:t>
            </w:r>
            <w:r>
              <w:rPr>
                <w:rFonts w:hint="eastAsia" w:ascii="宋体" w:hAnsi="宋体"/>
                <w:b/>
                <w:bCs/>
                <w:color w:val="auto"/>
                <w:szCs w:val="21"/>
                <w:highlight w:val="none"/>
              </w:rPr>
              <w:t>；</w:t>
            </w:r>
          </w:p>
          <w:p>
            <w:pPr>
              <w:spacing w:line="400" w:lineRule="exact"/>
              <w:ind w:firstLine="422" w:firstLineChars="200"/>
              <w:rPr>
                <w:rFonts w:ascii="宋体" w:hAnsi="宋体" w:cs="宋体"/>
                <w:b/>
                <w:bCs/>
                <w:color w:val="auto"/>
                <w:kern w:val="0"/>
                <w:szCs w:val="21"/>
                <w:highlight w:val="none"/>
              </w:rPr>
            </w:pPr>
            <w:r>
              <w:rPr>
                <w:rFonts w:hint="eastAsia" w:ascii="宋体" w:hAnsi="宋体" w:cs="宋体"/>
                <w:b/>
                <w:color w:val="auto"/>
                <w:szCs w:val="21"/>
                <w:highlight w:val="none"/>
              </w:rPr>
              <w:t>报价人报价不得高于采购人发布的最高</w:t>
            </w:r>
            <w:r>
              <w:rPr>
                <w:rFonts w:hint="eastAsia" w:ascii="宋体" w:hAnsi="宋体" w:cs="宋体"/>
                <w:b/>
                <w:color w:val="auto"/>
                <w:szCs w:val="21"/>
                <w:highlight w:val="none"/>
                <w:lang w:eastAsia="zh-CN"/>
              </w:rPr>
              <w:t>限折扣率</w:t>
            </w:r>
            <w:r>
              <w:rPr>
                <w:rFonts w:hint="eastAsia" w:ascii="宋体" w:hAnsi="宋体" w:cs="宋体"/>
                <w:b/>
                <w:color w:val="auto"/>
                <w:szCs w:val="21"/>
                <w:highlight w:val="none"/>
              </w:rPr>
              <w:t>，否则其竞争性比选响应文件视为重大偏差，竞争性比选响应文件将按否决报价处理</w:t>
            </w:r>
            <w:r>
              <w:rPr>
                <w:rFonts w:hint="eastAsia" w:ascii="宋体" w:hAnsi="宋体" w:cs="宋体"/>
                <w:b/>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2106" w:type="dxa"/>
            <w:tcBorders>
              <w:bottom w:val="single" w:color="auto" w:sz="4" w:space="0"/>
            </w:tcBorders>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pPr>
              <w:spacing w:line="400" w:lineRule="exact"/>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）乙方需为甲方委托采购的食堂物资垫付当月采购费用，甲方在次月15个工作日内按结算单价计算当月结算费用并支付给乙方。</w:t>
            </w:r>
          </w:p>
          <w:p>
            <w:pPr>
              <w:spacing w:line="400" w:lineRule="exact"/>
              <w:ind w:firstLine="420" w:firstLineChars="200"/>
              <w:rPr>
                <w:color w:val="auto"/>
                <w:highlight w:val="none"/>
              </w:rPr>
            </w:pPr>
            <w:r>
              <w:rPr>
                <w:rFonts w:hint="eastAsia"/>
                <w:color w:val="auto"/>
                <w:highlight w:val="none"/>
              </w:rPr>
              <w:t>（2）乙方应在甲方付款前开具等额增值税专用发票（增值税）给甲方</w:t>
            </w:r>
            <w:r>
              <w:rPr>
                <w:rFonts w:hint="eastAsia"/>
                <w:color w:val="auto"/>
                <w:highlight w:val="none"/>
                <w:lang w:eastAsia="zh-CN"/>
              </w:rPr>
              <w:t>（</w:t>
            </w:r>
            <w:r>
              <w:rPr>
                <w:rFonts w:hint="eastAsia"/>
                <w:color w:val="auto"/>
                <w:highlight w:val="none"/>
                <w:lang w:val="en-US" w:eastAsia="zh-CN"/>
              </w:rPr>
              <w:t>如国家有相关规定的从其规定执行</w:t>
            </w:r>
            <w:r>
              <w:rPr>
                <w:rFonts w:hint="eastAsia"/>
                <w:color w:val="auto"/>
                <w:highlight w:val="none"/>
                <w:lang w:eastAsia="zh-CN"/>
              </w:rPr>
              <w:t>）</w:t>
            </w:r>
            <w:r>
              <w:rPr>
                <w:rFonts w:hint="eastAsia"/>
                <w:color w:val="auto"/>
                <w:highlight w:val="none"/>
              </w:rPr>
              <w:t>，否则甲方有权不予支付相应款项。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2106" w:type="dxa"/>
            <w:tcBorders>
              <w:bottom w:val="single" w:color="auto" w:sz="4" w:space="0"/>
            </w:tcBorders>
            <w:vAlign w:val="center"/>
          </w:tcPr>
          <w:p>
            <w:pPr>
              <w:spacing w:line="400" w:lineRule="exact"/>
              <w:jc w:val="center"/>
              <w:rPr>
                <w:rFonts w:ascii="宋体" w:hAnsi="宋体" w:cs="宋体"/>
                <w:color w:val="auto"/>
                <w:kern w:val="0"/>
                <w:szCs w:val="21"/>
                <w:highlight w:val="none"/>
              </w:rPr>
            </w:pPr>
            <w:r>
              <w:rPr>
                <w:rFonts w:hint="eastAsia"/>
                <w:color w:val="auto"/>
                <w:highlight w:val="none"/>
                <w:lang w:val="en-US" w:eastAsia="zh-CN"/>
              </w:rPr>
              <w:t>质量保证及售后服务</w:t>
            </w:r>
          </w:p>
        </w:tc>
        <w:tc>
          <w:tcPr>
            <w:tcW w:w="7104" w:type="dxa"/>
            <w:tcBorders>
              <w:bottom w:val="single" w:color="auto" w:sz="4" w:space="0"/>
            </w:tcBorders>
          </w:tcPr>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（一）质量保证</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1.所有商品因验收货物时不能直接判断质量的，在使用过程中发现不合格商品，中标人应作退货处理。</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2.因中标人原因（包括但不限于质量问题）发生的食品安全事故、食物中毒等事故，由中标人承担经济赔偿责任以及全部法律责任。</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3.如送货不及时或因质量问题不能达到要求影响开餐，每次中标人需承担人民币2000元违约金，且采购人有权单方解除合同。</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（二）售后服务内容</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1.因市场特殊原因，个别食材不能及时提供，中标人应主动与甲方采购人沟通协调，更换品种，满足需要。</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2.物资验收中发现的不合格产品，中标人应在采购人规定时间内进行调换，确保不影响正常工作。</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（三）知识产权</w:t>
            </w:r>
          </w:p>
          <w:p>
            <w:pPr>
              <w:spacing w:line="400" w:lineRule="exact"/>
              <w:ind w:firstLine="420" w:firstLineChars="200"/>
              <w:rPr>
                <w:color w:val="auto"/>
                <w:highlight w:val="none"/>
              </w:rPr>
            </w:pPr>
            <w:r>
              <w:rPr>
                <w:rFonts w:hint="eastAsia"/>
                <w:color w:val="auto"/>
                <w:highlight w:val="none"/>
                <w:lang w:val="en-US" w:eastAsia="zh-CN"/>
              </w:rPr>
              <w:t>采购人在中华人民共和国境内使用中标人提供的货物及服务时免受第三方提出的侵犯其专利权或其它知识产权的起诉。如果第三方提出侵权指控，中标人应承担由此而引起的一切法律责任和费用。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2106" w:type="dxa"/>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97"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spacing w:line="400" w:lineRule="exact"/>
              <w:ind w:firstLine="420" w:firstLineChars="200"/>
              <w:rPr>
                <w:rFonts w:hint="eastAsia"/>
                <w:color w:val="auto"/>
                <w:highlight w:val="none"/>
              </w:rPr>
            </w:pPr>
            <w:r>
              <w:rPr>
                <w:rFonts w:hint="eastAsia"/>
                <w:color w:val="auto"/>
                <w:highlight w:val="none"/>
                <w:lang w:val="en-US" w:eastAsia="zh-CN"/>
              </w:rPr>
              <w:t>一、</w:t>
            </w:r>
            <w:r>
              <w:rPr>
                <w:rFonts w:hint="eastAsia"/>
                <w:color w:val="auto"/>
                <w:highlight w:val="none"/>
              </w:rPr>
              <w:t>履约保证金</w:t>
            </w:r>
          </w:p>
          <w:p>
            <w:pPr>
              <w:spacing w:line="400" w:lineRule="exact"/>
              <w:ind w:firstLine="420" w:firstLineChars="200"/>
              <w:rPr>
                <w:rFonts w:hint="eastAsia"/>
                <w:color w:val="auto"/>
                <w:highlight w:val="none"/>
              </w:rPr>
            </w:pPr>
            <w:r>
              <w:rPr>
                <w:rFonts w:hint="eastAsia"/>
                <w:color w:val="auto"/>
                <w:highlight w:val="none"/>
              </w:rPr>
              <w:t>1、履约担保作为本项目合同附件。</w:t>
            </w:r>
          </w:p>
          <w:p>
            <w:pPr>
              <w:spacing w:line="400" w:lineRule="exact"/>
              <w:ind w:firstLine="420" w:firstLineChars="200"/>
              <w:rPr>
                <w:rFonts w:hint="eastAsia"/>
                <w:color w:val="auto"/>
                <w:highlight w:val="none"/>
              </w:rPr>
            </w:pPr>
            <w:r>
              <w:rPr>
                <w:rFonts w:hint="eastAsia"/>
                <w:color w:val="auto"/>
                <w:highlight w:val="none"/>
              </w:rPr>
              <w:t>2、履约保证金的金额：</w:t>
            </w:r>
            <w:r>
              <w:rPr>
                <w:rFonts w:hint="eastAsia"/>
                <w:color w:val="auto"/>
                <w:highlight w:val="none"/>
                <w:lang w:val="en-US" w:eastAsia="zh-CN"/>
              </w:rPr>
              <w:t>人民币</w:t>
            </w:r>
            <w:r>
              <w:rPr>
                <w:rFonts w:hint="eastAsia" w:ascii="宋体" w:hAnsi="宋体" w:eastAsia="宋体" w:cs="宋体"/>
                <w:color w:val="auto"/>
                <w:szCs w:val="21"/>
                <w:highlight w:val="none"/>
                <w:u w:val="single"/>
                <w:lang w:val="en-US" w:eastAsia="zh-CN"/>
              </w:rPr>
              <w:t>20000.00</w:t>
            </w:r>
            <w:r>
              <w:rPr>
                <w:rFonts w:hint="eastAsia" w:ascii="宋体" w:hAnsi="宋体" w:eastAsia="宋体" w:cs="宋体"/>
                <w:color w:val="auto"/>
                <w:szCs w:val="21"/>
                <w:highlight w:val="none"/>
                <w:u w:val="none"/>
                <w:lang w:val="en-US" w:eastAsia="zh-CN"/>
              </w:rPr>
              <w:t>元</w:t>
            </w:r>
            <w:r>
              <w:rPr>
                <w:rFonts w:hint="eastAsia"/>
                <w:color w:val="auto"/>
                <w:highlight w:val="none"/>
              </w:rPr>
              <w:t>。</w:t>
            </w:r>
          </w:p>
          <w:p>
            <w:pPr>
              <w:spacing w:line="400" w:lineRule="exact"/>
              <w:ind w:firstLine="420" w:firstLineChars="200"/>
              <w:rPr>
                <w:rFonts w:hint="eastAsia"/>
                <w:color w:val="auto"/>
                <w:highlight w:val="none"/>
              </w:rPr>
            </w:pPr>
            <w:r>
              <w:rPr>
                <w:rFonts w:hint="eastAsia"/>
                <w:color w:val="auto"/>
                <w:highlight w:val="none"/>
              </w:rPr>
              <w:t>3、履约保证金有效期：自双方签订的合同文件生效之日起，至合同约定的</w:t>
            </w:r>
            <w:r>
              <w:rPr>
                <w:rFonts w:hint="eastAsia"/>
                <w:color w:val="auto"/>
                <w:highlight w:val="none"/>
                <w:lang w:val="en-US" w:eastAsia="zh-CN"/>
              </w:rPr>
              <w:t>截止时间</w:t>
            </w:r>
            <w:r>
              <w:rPr>
                <w:rFonts w:hint="eastAsia"/>
                <w:color w:val="auto"/>
                <w:highlight w:val="none"/>
              </w:rPr>
              <w:t>止。</w:t>
            </w:r>
          </w:p>
          <w:p>
            <w:pPr>
              <w:spacing w:line="400" w:lineRule="exact"/>
              <w:ind w:firstLine="420" w:firstLineChars="200"/>
              <w:rPr>
                <w:rFonts w:hint="eastAsia" w:eastAsia="宋体"/>
                <w:color w:val="auto"/>
                <w:highlight w:val="none"/>
                <w:lang w:eastAsia="zh-CN"/>
              </w:rPr>
            </w:pPr>
            <w:r>
              <w:rPr>
                <w:rFonts w:hint="eastAsia"/>
                <w:color w:val="auto"/>
                <w:highlight w:val="none"/>
              </w:rPr>
              <w:t>4、履约保证金缴纳方式：现金或银行保函</w:t>
            </w:r>
            <w:r>
              <w:rPr>
                <w:rFonts w:hint="eastAsia"/>
                <w:color w:val="auto"/>
                <w:highlight w:val="none"/>
                <w:lang w:eastAsia="zh-CN"/>
              </w:rPr>
              <w:t>。</w:t>
            </w:r>
          </w:p>
          <w:p>
            <w:pPr>
              <w:spacing w:line="400" w:lineRule="exact"/>
              <w:ind w:firstLine="420" w:firstLineChars="200"/>
              <w:rPr>
                <w:rFonts w:hint="eastAsia"/>
                <w:color w:val="auto"/>
                <w:highlight w:val="none"/>
                <w:u w:val="single"/>
              </w:rPr>
            </w:pPr>
            <w:r>
              <w:rPr>
                <w:rFonts w:hint="eastAsia"/>
                <w:color w:val="auto"/>
                <w:highlight w:val="none"/>
              </w:rPr>
              <w:t>5、履约保证金的提交：在甲方发出中标通知书后5个工作日内，中标人向采购人提供履约保证金缴纳凭证。若缴纳现金的，则需备注，转款备注：</w:t>
            </w:r>
            <w:r>
              <w:rPr>
                <w:rFonts w:hint="eastAsia" w:ascii="宋体" w:hAnsi="宋体" w:cs="宋体"/>
                <w:color w:val="auto"/>
                <w:szCs w:val="21"/>
                <w:highlight w:val="none"/>
                <w:u w:val="single"/>
                <w:lang w:eastAsia="zh-CN"/>
              </w:rPr>
              <w:t>首讯公司2023-2024年职工食堂生鲜配送采购</w:t>
            </w:r>
            <w:r>
              <w:rPr>
                <w:rFonts w:hint="eastAsia"/>
                <w:color w:val="auto"/>
                <w:highlight w:val="none"/>
                <w:u w:val="single"/>
              </w:rPr>
              <w:t>履约保证金</w:t>
            </w:r>
          </w:p>
          <w:p>
            <w:pPr>
              <w:spacing w:line="400" w:lineRule="exact"/>
              <w:ind w:firstLine="420" w:firstLineChars="200"/>
              <w:rPr>
                <w:rFonts w:hint="eastAsia"/>
                <w:color w:val="auto"/>
                <w:highlight w:val="none"/>
              </w:rPr>
            </w:pPr>
            <w:r>
              <w:rPr>
                <w:rFonts w:hint="eastAsia"/>
                <w:color w:val="auto"/>
                <w:highlight w:val="none"/>
              </w:rPr>
              <w:t>6、履约保证金退还：缴纳现金保函的，在完成合同约定的全部工作内容后28天后无息退还剩余部分。</w:t>
            </w:r>
          </w:p>
          <w:p>
            <w:pPr>
              <w:spacing w:line="400" w:lineRule="exact"/>
              <w:ind w:firstLine="420" w:firstLineChars="200"/>
              <w:rPr>
                <w:rFonts w:hint="eastAsia"/>
                <w:color w:val="auto"/>
                <w:highlight w:val="none"/>
              </w:rPr>
            </w:pPr>
            <w:r>
              <w:rPr>
                <w:rFonts w:hint="eastAsia"/>
                <w:color w:val="auto"/>
                <w:highlight w:val="none"/>
                <w:lang w:val="en-US" w:eastAsia="zh-CN"/>
              </w:rPr>
              <w:t>二</w:t>
            </w:r>
            <w:r>
              <w:rPr>
                <w:rFonts w:hint="eastAsia"/>
                <w:color w:val="auto"/>
                <w:highlight w:val="none"/>
              </w:rPr>
              <w:t>、采购人指定的开户银行及账号如下：</w:t>
            </w:r>
          </w:p>
          <w:p>
            <w:pPr>
              <w:spacing w:line="400" w:lineRule="exact"/>
              <w:ind w:firstLine="420" w:firstLineChars="200"/>
              <w:rPr>
                <w:rFonts w:hint="eastAsia"/>
                <w:color w:val="auto"/>
                <w:highlight w:val="none"/>
              </w:rPr>
            </w:pPr>
            <w:r>
              <w:rPr>
                <w:rFonts w:hint="eastAsia"/>
                <w:color w:val="auto"/>
                <w:highlight w:val="none"/>
              </w:rPr>
              <w:t>账户名称：重庆首讯科技股份有限公司</w:t>
            </w:r>
          </w:p>
          <w:p>
            <w:pPr>
              <w:spacing w:line="400" w:lineRule="exact"/>
              <w:ind w:firstLine="420" w:firstLineChars="200"/>
              <w:rPr>
                <w:rFonts w:hint="eastAsia"/>
                <w:color w:val="auto"/>
                <w:highlight w:val="none"/>
              </w:rPr>
            </w:pPr>
            <w:r>
              <w:rPr>
                <w:rFonts w:hint="eastAsia"/>
                <w:color w:val="auto"/>
                <w:highlight w:val="none"/>
              </w:rPr>
              <w:t>开户银行：兴业银行重庆分行营业部</w:t>
            </w:r>
          </w:p>
          <w:p>
            <w:pPr>
              <w:spacing w:line="400" w:lineRule="exact"/>
              <w:ind w:firstLine="420" w:firstLineChars="200"/>
              <w:rPr>
                <w:rFonts w:hAnsi="宋体" w:cs="宋体"/>
                <w:color w:val="auto"/>
                <w:highlight w:val="none"/>
              </w:rPr>
            </w:pPr>
            <w:r>
              <w:rPr>
                <w:rFonts w:hint="eastAsia"/>
                <w:color w:val="auto"/>
                <w:highlight w:val="none"/>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Ansi="宋体"/>
                <w:color w:val="auto"/>
                <w:sz w:val="21"/>
                <w:szCs w:val="21"/>
                <w:highlight w:val="none"/>
              </w:rPr>
            </w:pPr>
            <w:r>
              <w:rPr>
                <w:rFonts w:hint="eastAsia" w:hAnsi="宋体"/>
                <w:color w:val="auto"/>
                <w:sz w:val="21"/>
                <w:szCs w:val="21"/>
                <w:highlight w:val="none"/>
              </w:rPr>
              <w:t>21</w:t>
            </w:r>
          </w:p>
        </w:tc>
        <w:tc>
          <w:tcPr>
            <w:tcW w:w="2106" w:type="dxa"/>
            <w:vAlign w:val="center"/>
          </w:tcPr>
          <w:p>
            <w:pPr>
              <w:pStyle w:val="150"/>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50"/>
              <w:spacing w:line="400" w:lineRule="exact"/>
              <w:ind w:firstLine="420" w:firstLineChars="200"/>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监督部门：重庆首讯科技股份有限公司</w:t>
            </w:r>
            <w:r>
              <w:rPr>
                <w:rFonts w:hint="eastAsia" w:hAnsi="宋体"/>
                <w:color w:val="auto"/>
                <w:kern w:val="2"/>
                <w:sz w:val="21"/>
                <w:szCs w:val="21"/>
                <w:highlight w:val="none"/>
                <w:lang w:eastAsia="zh-CN"/>
              </w:rPr>
              <w:t>合规监管部</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址：重庆市渝北区龙溪街道新南路52号东界龙湖三楼</w:t>
            </w:r>
          </w:p>
          <w:p>
            <w:pPr>
              <w:pStyle w:val="150"/>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Ansi="宋体"/>
                <w:color w:val="auto"/>
                <w:sz w:val="21"/>
                <w:szCs w:val="21"/>
                <w:highlight w:val="none"/>
              </w:rPr>
            </w:pPr>
            <w:r>
              <w:rPr>
                <w:rFonts w:hint="eastAsia" w:hAnsi="宋体"/>
                <w:color w:val="auto"/>
                <w:sz w:val="21"/>
                <w:szCs w:val="21"/>
                <w:highlight w:val="none"/>
              </w:rPr>
              <w:t>22</w:t>
            </w:r>
          </w:p>
        </w:tc>
        <w:tc>
          <w:tcPr>
            <w:tcW w:w="2106"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本次竞争性比选响应文件的组成</w:t>
            </w:r>
          </w:p>
        </w:tc>
        <w:tc>
          <w:tcPr>
            <w:tcW w:w="7104" w:type="dxa"/>
            <w:vAlign w:val="center"/>
          </w:tcPr>
          <w:p>
            <w:pPr>
              <w:pStyle w:val="150"/>
              <w:spacing w:line="400" w:lineRule="exact"/>
              <w:rPr>
                <w:rFonts w:hAnsi="宋体"/>
                <w:color w:val="auto"/>
                <w:kern w:val="2"/>
                <w:sz w:val="21"/>
                <w:szCs w:val="21"/>
                <w:highlight w:val="none"/>
              </w:rPr>
            </w:pPr>
            <w:r>
              <w:rPr>
                <w:rFonts w:hint="eastAsia" w:hAnsi="宋体"/>
                <w:color w:val="auto"/>
                <w:kern w:val="2"/>
                <w:sz w:val="21"/>
                <w:szCs w:val="21"/>
                <w:highlight w:val="none"/>
              </w:rPr>
              <w:t xml:space="preserve">   1.竞争性比选文件需加盖报价人的公章，竞争性比选响应文件提交正本1份，副本1份，副本可为正本的复印件，竞争性比选响应文件需装订成册；报价人应提供竞争性比选响应文件（盖章版）扫描版PDF电子文件1份（U盘1份，电子文件内容须包括竞争性比选响应文件全部内容）。当电子文件与纸质版竞争性比选响应文件不一致时，以纸质版竞争性比选响应文件为准，当正本与副本不一致时，以正本为准。</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2.竞争性比选响应声明书、报价函、资格要求材料、报价人认为需要提供的其他相关文件（注：以上所有文件均须逐页加盖报价人的公章）。</w:t>
            </w:r>
          </w:p>
          <w:p>
            <w:pPr>
              <w:pStyle w:val="150"/>
              <w:spacing w:line="400" w:lineRule="exact"/>
              <w:ind w:firstLine="420" w:firstLineChars="200"/>
              <w:rPr>
                <w:rFonts w:hAnsi="宋体"/>
                <w:color w:val="auto"/>
                <w:sz w:val="21"/>
                <w:szCs w:val="21"/>
                <w:highlight w:val="none"/>
              </w:rPr>
            </w:pPr>
            <w:r>
              <w:rPr>
                <w:rFonts w:hint="eastAsia" w:hAnsi="宋体"/>
                <w:color w:val="auto"/>
                <w:sz w:val="21"/>
                <w:szCs w:val="21"/>
                <w:highlight w:val="none"/>
              </w:rPr>
              <w:t>3.密封要求：</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u w:val="single"/>
                <w:lang w:eastAsia="zh-CN"/>
              </w:rPr>
              <w:t>首讯公司2023-2024年职工食堂生鲜配送采购</w:t>
            </w:r>
            <w:r>
              <w:rPr>
                <w:rFonts w:hint="eastAsia" w:hAnsi="宋体"/>
                <w:color w:val="auto"/>
                <w:kern w:val="2"/>
                <w:sz w:val="21"/>
                <w:szCs w:val="21"/>
                <w:highlight w:val="none"/>
                <w:u w:val="single"/>
              </w:rPr>
              <w:t>竞争性比选响应文件</w:t>
            </w:r>
            <w:r>
              <w:rPr>
                <w:rFonts w:hint="eastAsia" w:hAnsi="宋体"/>
                <w:color w:val="auto"/>
                <w:kern w:val="2"/>
                <w:sz w:val="21"/>
                <w:szCs w:val="21"/>
                <w:highlight w:val="none"/>
              </w:rPr>
              <w:t>（加盖报价人的公章）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Ansi="宋体"/>
                <w:color w:val="auto"/>
                <w:sz w:val="21"/>
                <w:szCs w:val="21"/>
                <w:highlight w:val="none"/>
              </w:rPr>
            </w:pPr>
            <w:r>
              <w:rPr>
                <w:rFonts w:hint="eastAsia" w:hAnsi="宋体"/>
                <w:color w:val="auto"/>
                <w:sz w:val="21"/>
                <w:szCs w:val="21"/>
                <w:highlight w:val="none"/>
              </w:rPr>
              <w:t>23</w:t>
            </w:r>
          </w:p>
        </w:tc>
        <w:tc>
          <w:tcPr>
            <w:tcW w:w="2106" w:type="dxa"/>
            <w:vAlign w:val="center"/>
          </w:tcPr>
          <w:p>
            <w:pPr>
              <w:pStyle w:val="150"/>
              <w:spacing w:line="400" w:lineRule="exact"/>
              <w:jc w:val="center"/>
              <w:rPr>
                <w:rFonts w:hAnsi="宋体"/>
                <w:color w:val="auto"/>
                <w:kern w:val="2"/>
                <w:sz w:val="21"/>
                <w:szCs w:val="21"/>
                <w:highlight w:val="none"/>
              </w:rPr>
            </w:pPr>
            <w:r>
              <w:rPr>
                <w:rFonts w:hint="eastAsia" w:hAnsi="宋体"/>
                <w:color w:val="auto"/>
                <w:sz w:val="21"/>
                <w:szCs w:val="21"/>
                <w:highlight w:val="none"/>
              </w:rPr>
              <w:t>中标候选人公示</w:t>
            </w:r>
          </w:p>
        </w:tc>
        <w:tc>
          <w:tcPr>
            <w:tcW w:w="7104" w:type="dxa"/>
            <w:vAlign w:val="center"/>
          </w:tcPr>
          <w:p>
            <w:pPr>
              <w:pStyle w:val="150"/>
              <w:spacing w:line="400" w:lineRule="exact"/>
              <w:ind w:firstLine="420" w:firstLineChars="200"/>
              <w:rPr>
                <w:rFonts w:hAnsi="宋体"/>
                <w:color w:val="auto"/>
                <w:kern w:val="2"/>
                <w:sz w:val="21"/>
                <w:szCs w:val="21"/>
                <w:highlight w:val="none"/>
              </w:rPr>
            </w:pPr>
            <w:r>
              <w:rPr>
                <w:rFonts w:hint="eastAsia" w:hAnsi="宋体"/>
                <w:color w:val="auto"/>
                <w:sz w:val="21"/>
                <w:szCs w:val="21"/>
                <w:highlight w:val="none"/>
              </w:rPr>
              <w:t>评标结果将在</w:t>
            </w:r>
            <w:r>
              <w:rPr>
                <w:rFonts w:hint="eastAsia" w:hAnsi="宋体"/>
                <w:color w:val="auto"/>
                <w:sz w:val="21"/>
                <w:szCs w:val="21"/>
                <w:highlight w:val="none"/>
                <w:u w:val="single"/>
              </w:rPr>
              <w:t>重庆高速集团官网（http://www.cegc.com.cn）</w:t>
            </w:r>
            <w:r>
              <w:rPr>
                <w:rFonts w:hint="eastAsia" w:hAnsi="宋体"/>
                <w:color w:val="auto"/>
                <w:sz w:val="21"/>
                <w:szCs w:val="21"/>
                <w:highlight w:val="none"/>
              </w:rPr>
              <w:t>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24</w:t>
            </w:r>
          </w:p>
        </w:tc>
        <w:tc>
          <w:tcPr>
            <w:tcW w:w="9210" w:type="dxa"/>
            <w:gridSpan w:val="2"/>
            <w:vAlign w:val="center"/>
          </w:tcPr>
          <w:p>
            <w:pPr>
              <w:pStyle w:val="150"/>
              <w:spacing w:line="400" w:lineRule="exact"/>
              <w:ind w:firstLine="482" w:firstLineChars="200"/>
              <w:jc w:val="center"/>
              <w:rPr>
                <w:rFonts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24.1</w:t>
            </w:r>
          </w:p>
        </w:tc>
        <w:tc>
          <w:tcPr>
            <w:tcW w:w="9210" w:type="dxa"/>
            <w:gridSpan w:val="2"/>
            <w:vAlign w:val="center"/>
          </w:tcPr>
          <w:p>
            <w:pPr>
              <w:pStyle w:val="150"/>
              <w:spacing w:line="400" w:lineRule="exact"/>
              <w:ind w:firstLine="420" w:firstLineChars="200"/>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int="default" w:hAnsi="宋体" w:eastAsia="宋体"/>
                <w:color w:val="auto"/>
                <w:kern w:val="2"/>
                <w:sz w:val="21"/>
                <w:szCs w:val="21"/>
                <w:highlight w:val="none"/>
                <w:lang w:val="en-US" w:eastAsia="zh-CN"/>
              </w:rPr>
            </w:pPr>
            <w:bookmarkStart w:id="128" w:name="_Toc2000406"/>
            <w:bookmarkStart w:id="129" w:name="_Toc246996973"/>
            <w:bookmarkStart w:id="130" w:name="_Toc152042364"/>
            <w:bookmarkStart w:id="131" w:name="_Toc152045587"/>
            <w:bookmarkStart w:id="132" w:name="_Toc179632605"/>
            <w:bookmarkStart w:id="133" w:name="_Toc246996230"/>
            <w:bookmarkStart w:id="134" w:name="_Toc247085745"/>
            <w:bookmarkStart w:id="135" w:name="_Toc144974554"/>
            <w:bookmarkStart w:id="136" w:name="_Toc507319957"/>
            <w:r>
              <w:rPr>
                <w:rFonts w:hint="eastAsia" w:hAnsi="宋体"/>
                <w:color w:val="auto"/>
                <w:kern w:val="2"/>
                <w:sz w:val="21"/>
                <w:szCs w:val="21"/>
                <w:highlight w:val="none"/>
                <w:lang w:val="en-US" w:eastAsia="zh-CN"/>
              </w:rPr>
              <w:t>24.2</w:t>
            </w:r>
          </w:p>
        </w:tc>
        <w:tc>
          <w:tcPr>
            <w:tcW w:w="9210" w:type="dxa"/>
            <w:gridSpan w:val="2"/>
            <w:vAlign w:val="center"/>
          </w:tcPr>
          <w:p>
            <w:pPr>
              <w:pStyle w:val="150"/>
              <w:spacing w:line="400" w:lineRule="exact"/>
              <w:ind w:firstLine="420" w:firstLineChars="200"/>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报价人须知中的所有要求均须满足，若不满足，作废标处理。</w:t>
            </w:r>
          </w:p>
        </w:tc>
      </w:tr>
      <w:bookmarkEnd w:id="126"/>
    </w:tbl>
    <w:p>
      <w:pPr>
        <w:rPr>
          <w:color w:val="auto"/>
          <w:highlight w:val="none"/>
        </w:rPr>
      </w:pPr>
      <w:r>
        <w:rPr>
          <w:rFonts w:hint="eastAsia"/>
          <w:color w:val="auto"/>
          <w:highlight w:val="none"/>
        </w:rPr>
        <w:br w:type="page"/>
      </w:r>
    </w:p>
    <w:bookmarkEnd w:id="128"/>
    <w:bookmarkEnd w:id="129"/>
    <w:bookmarkEnd w:id="130"/>
    <w:bookmarkEnd w:id="131"/>
    <w:bookmarkEnd w:id="132"/>
    <w:bookmarkEnd w:id="133"/>
    <w:bookmarkEnd w:id="134"/>
    <w:bookmarkEnd w:id="135"/>
    <w:bookmarkEnd w:id="136"/>
    <w:p>
      <w:pPr>
        <w:pStyle w:val="5"/>
        <w:jc w:val="center"/>
        <w:rPr>
          <w:rFonts w:hint="eastAsia" w:ascii="宋体" w:hAnsi="宋体" w:eastAsia="宋体" w:cs="宋体"/>
          <w:bCs w:val="0"/>
          <w:color w:val="auto"/>
          <w:sz w:val="28"/>
          <w:szCs w:val="28"/>
          <w:highlight w:val="none"/>
        </w:rPr>
      </w:pPr>
      <w:bookmarkStart w:id="137" w:name="_Toc11329222"/>
      <w:bookmarkStart w:id="138" w:name="_Toc17532"/>
      <w:bookmarkStart w:id="139" w:name="_Toc30198"/>
      <w:bookmarkStart w:id="140" w:name="_Toc11284"/>
      <w:bookmarkStart w:id="141" w:name="_Toc7682"/>
      <w:bookmarkStart w:id="142" w:name="_Toc20774"/>
      <w:r>
        <w:rPr>
          <w:rFonts w:hint="eastAsia" w:ascii="宋体" w:hAnsi="宋体" w:eastAsia="宋体" w:cs="宋体"/>
          <w:color w:val="auto"/>
          <w:sz w:val="28"/>
          <w:szCs w:val="28"/>
          <w:highlight w:val="none"/>
        </w:rPr>
        <w:t xml:space="preserve">附录1  </w:t>
      </w:r>
      <w:bookmarkEnd w:id="137"/>
      <w:bookmarkEnd w:id="138"/>
      <w:bookmarkEnd w:id="139"/>
      <w:bookmarkEnd w:id="140"/>
      <w:bookmarkStart w:id="143" w:name="_Toc27096"/>
      <w:bookmarkStart w:id="144" w:name="_Toc25591"/>
      <w:bookmarkStart w:id="145" w:name="_Toc11329226"/>
      <w:bookmarkStart w:id="146" w:name="_Toc12773"/>
      <w:r>
        <w:rPr>
          <w:rFonts w:hint="eastAsia" w:ascii="宋体" w:hAnsi="宋体" w:eastAsia="宋体" w:cs="宋体"/>
          <w:bCs w:val="0"/>
          <w:color w:val="auto"/>
          <w:sz w:val="28"/>
          <w:szCs w:val="28"/>
          <w:highlight w:val="none"/>
        </w:rPr>
        <w:t>资格审查文件（项目主要管理人员最低要求）</w:t>
      </w:r>
      <w:bookmarkEnd w:id="143"/>
      <w:bookmarkEnd w:id="144"/>
      <w:bookmarkEnd w:id="145"/>
      <w:bookmarkEnd w:id="146"/>
    </w:p>
    <w:p>
      <w:pPr>
        <w:spacing w:line="400" w:lineRule="exact"/>
        <w:jc w:val="center"/>
        <w:rPr>
          <w:rFonts w:hint="eastAsia"/>
          <w:color w:val="auto"/>
          <w:highlight w:val="none"/>
        </w:rPr>
      </w:pPr>
      <w:r>
        <w:rPr>
          <w:rFonts w:hint="eastAsia" w:ascii="宋体" w:hAnsi="宋体" w:cs="宋体"/>
          <w:b/>
          <w:color w:val="auto"/>
          <w:szCs w:val="21"/>
          <w:highlight w:val="none"/>
        </w:rPr>
        <w:t>主要管理人员最低要求</w:t>
      </w:r>
    </w:p>
    <w:tbl>
      <w:tblPr>
        <w:tblStyle w:val="44"/>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bookmarkStart w:id="147" w:name="_Toc388534043"/>
            <w:bookmarkStart w:id="148" w:name="_Toc387234996"/>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spacing w:before="0" w:beforeAutospacing="0" w:after="0" w:afterAutospacing="0"/>
              <w:ind w:right="0" w:rightChars="0"/>
              <w:jc w:val="both"/>
              <w:rPr>
                <w:rFonts w:hint="default"/>
                <w:color w:val="auto"/>
                <w:highlight w:val="none"/>
                <w:lang w:val="en-US" w:eastAsia="zh-CN"/>
              </w:rPr>
            </w:pPr>
            <w:r>
              <w:rPr>
                <w:rFonts w:hint="eastAsia" w:ascii="宋体" w:hAnsi="宋体" w:eastAsia="宋体" w:cs="宋体"/>
                <w:color w:val="auto"/>
                <w:szCs w:val="21"/>
                <w:highlight w:val="none"/>
                <w:lang w:val="en-US" w:eastAsia="zh-CN"/>
              </w:rPr>
              <w:t>/</w:t>
            </w:r>
          </w:p>
        </w:tc>
      </w:tr>
    </w:tbl>
    <w:p>
      <w:pPr>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w:t>
      </w:r>
    </w:p>
    <w:p>
      <w:pPr>
        <w:pStyle w:val="30"/>
        <w:rPr>
          <w:rFonts w:hint="eastAsia"/>
          <w:color w:val="auto"/>
          <w:highlight w:val="none"/>
        </w:rPr>
      </w:pPr>
    </w:p>
    <w:p>
      <w:pPr>
        <w:pStyle w:val="5"/>
        <w:jc w:val="center"/>
        <w:rPr>
          <w:rFonts w:hint="eastAsia" w:ascii="宋体" w:hAnsi="宋体" w:eastAsia="宋体" w:cs="宋体"/>
          <w:bCs w:val="0"/>
          <w:color w:val="auto"/>
          <w:sz w:val="28"/>
          <w:szCs w:val="28"/>
          <w:highlight w:val="none"/>
        </w:rPr>
      </w:pPr>
      <w:bookmarkStart w:id="149" w:name="_Toc8293"/>
      <w:bookmarkStart w:id="150" w:name="_Toc11329227"/>
      <w:bookmarkStart w:id="151" w:name="_Toc27148"/>
      <w:bookmarkStart w:id="152" w:name="_Toc21487"/>
      <w:r>
        <w:rPr>
          <w:rFonts w:hint="eastAsia" w:ascii="宋体" w:hAnsi="宋体" w:eastAsia="宋体" w:cs="宋体"/>
          <w:bCs w:val="0"/>
          <w:color w:val="auto"/>
          <w:sz w:val="28"/>
          <w:szCs w:val="28"/>
          <w:highlight w:val="none"/>
        </w:rPr>
        <w:t>附录</w:t>
      </w:r>
      <w:r>
        <w:rPr>
          <w:rFonts w:hint="eastAsia" w:ascii="宋体" w:hAnsi="宋体" w:eastAsia="宋体" w:cs="宋体"/>
          <w:bCs w:val="0"/>
          <w:color w:val="auto"/>
          <w:sz w:val="28"/>
          <w:szCs w:val="28"/>
          <w:highlight w:val="none"/>
          <w:lang w:val="en-US" w:eastAsia="zh-CN"/>
        </w:rPr>
        <w:t>2</w:t>
      </w:r>
      <w:r>
        <w:rPr>
          <w:rFonts w:hint="eastAsia" w:ascii="宋体" w:hAnsi="宋体" w:eastAsia="宋体" w:cs="宋体"/>
          <w:bCs w:val="0"/>
          <w:color w:val="auto"/>
          <w:sz w:val="28"/>
          <w:szCs w:val="28"/>
          <w:highlight w:val="none"/>
        </w:rPr>
        <w:t xml:space="preserve"> 资格审查文件（项目</w:t>
      </w:r>
      <w:r>
        <w:rPr>
          <w:rFonts w:hint="eastAsia" w:ascii="宋体" w:hAnsi="宋体" w:eastAsia="宋体" w:cs="宋体"/>
          <w:bCs w:val="0"/>
          <w:color w:val="auto"/>
          <w:sz w:val="28"/>
          <w:szCs w:val="28"/>
          <w:highlight w:val="none"/>
          <w:lang w:val="en-US" w:eastAsia="zh-CN"/>
        </w:rPr>
        <w:t>其他</w:t>
      </w:r>
      <w:r>
        <w:rPr>
          <w:rFonts w:hint="eastAsia" w:ascii="宋体" w:hAnsi="宋体" w:eastAsia="宋体" w:cs="宋体"/>
          <w:bCs w:val="0"/>
          <w:color w:val="auto"/>
          <w:sz w:val="28"/>
          <w:szCs w:val="28"/>
          <w:highlight w:val="none"/>
        </w:rPr>
        <w:t>人员</w:t>
      </w:r>
      <w:r>
        <w:rPr>
          <w:rFonts w:hint="eastAsia" w:ascii="宋体" w:hAnsi="宋体" w:eastAsia="宋体" w:cs="宋体"/>
          <w:bCs w:val="0"/>
          <w:color w:val="auto"/>
          <w:sz w:val="28"/>
          <w:szCs w:val="28"/>
          <w:highlight w:val="none"/>
          <w:lang w:val="en-US" w:eastAsia="zh-CN"/>
        </w:rPr>
        <w:t>最低</w:t>
      </w:r>
      <w:r>
        <w:rPr>
          <w:rFonts w:hint="eastAsia" w:ascii="宋体" w:hAnsi="宋体" w:eastAsia="宋体" w:cs="宋体"/>
          <w:bCs w:val="0"/>
          <w:color w:val="auto"/>
          <w:sz w:val="28"/>
          <w:szCs w:val="28"/>
          <w:highlight w:val="none"/>
        </w:rPr>
        <w:t>要求）</w:t>
      </w:r>
      <w:bookmarkEnd w:id="149"/>
      <w:bookmarkEnd w:id="150"/>
      <w:bookmarkEnd w:id="151"/>
      <w:bookmarkEnd w:id="152"/>
    </w:p>
    <w:tbl>
      <w:tblPr>
        <w:tblStyle w:val="4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color w:val="auto"/>
                <w:szCs w:val="21"/>
                <w:highlight w:val="none"/>
              </w:rPr>
            </w:pPr>
            <w:bookmarkStart w:id="153" w:name="_Toc413241584"/>
            <w:bookmarkStart w:id="154" w:name="_Toc23696"/>
            <w:bookmarkStart w:id="155" w:name="_Toc507319900"/>
            <w:r>
              <w:rPr>
                <w:rFonts w:hint="eastAsia" w:ascii="宋体" w:hAnsi="宋体" w:cs="宋体"/>
                <w:color w:val="auto"/>
                <w:szCs w:val="21"/>
                <w:highlight w:val="none"/>
                <w:lang w:val="en-US" w:eastAsia="zh-CN"/>
              </w:rPr>
              <w:t>项目其他人员</w:t>
            </w:r>
            <w:r>
              <w:rPr>
                <w:rFonts w:hint="eastAsia" w:ascii="宋体" w:hAnsi="宋体" w:cs="宋体"/>
                <w:color w:val="auto"/>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916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highlight w:val="none"/>
                <w:lang w:val="en-US" w:eastAsia="zh-CN"/>
              </w:rPr>
            </w:pPr>
            <w:r>
              <w:rPr>
                <w:rFonts w:hint="eastAsia" w:eastAsia="宋体"/>
                <w:color w:val="auto"/>
                <w:highlight w:val="none"/>
                <w:lang w:val="en-US" w:eastAsia="zh-CN"/>
              </w:rPr>
              <w:t>配送车辆及人员：中标人须配备配送人员1-2名，实行专人专车采购，并负责人员和车辆的安全和管理，保证人员和车辆遵守采购人相关规定。应提供健康证、相关证件资质等资料复印件。</w:t>
            </w:r>
          </w:p>
        </w:tc>
      </w:tr>
      <w:bookmarkEnd w:id="153"/>
      <w:bookmarkEnd w:id="154"/>
      <w:bookmarkEnd w:id="155"/>
    </w:tbl>
    <w:p>
      <w:pPr>
        <w:keepNext w:val="0"/>
        <w:keepLines w:val="0"/>
        <w:pageBreakBefore w:val="0"/>
        <w:widowControl w:val="0"/>
        <w:kinsoku/>
        <w:wordWrap/>
        <w:overflowPunct/>
        <w:topLinePunct w:val="0"/>
        <w:autoSpaceDE/>
        <w:autoSpaceDN/>
        <w:bidi w:val="0"/>
        <w:adjustRightInd/>
        <w:snapToGrid/>
        <w:ind w:left="105" w:leftChars="50"/>
        <w:textAlignment w:val="auto"/>
        <w:rPr>
          <w:rFonts w:hint="eastAsia" w:ascii="宋体" w:hAnsi="宋体" w:cs="宋体"/>
          <w:caps/>
          <w:color w:val="auto"/>
          <w:szCs w:val="21"/>
          <w:highlight w:val="none"/>
          <w:lang w:val="en-US" w:eastAsia="zh-CN"/>
        </w:rPr>
      </w:pPr>
      <w:r>
        <w:rPr>
          <w:rFonts w:hint="eastAsia" w:hAnsi="宋体" w:cs="Times New Roman"/>
          <w:b w:val="0"/>
          <w:bCs w:val="0"/>
          <w:color w:val="auto"/>
          <w:sz w:val="21"/>
          <w:szCs w:val="21"/>
          <w:highlight w:val="none"/>
          <w:lang w:val="en-US" w:eastAsia="zh-CN"/>
        </w:rPr>
        <w:t>注：需提供以上人员名单（表格形式），以上人员相关资质证件、身份证复印件及由社保局出具的报价人为以上人员缴纳近6个月内的连续三个月的养老保险证明（带有社保部门公章或社保部门的有效电子印章）</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r>
        <w:rPr>
          <w:rFonts w:hint="eastAsia" w:hAnsi="宋体"/>
          <w:b w:val="0"/>
          <w:bCs w:val="0"/>
          <w:color w:val="auto"/>
          <w:sz w:val="21"/>
          <w:szCs w:val="21"/>
          <w:highlight w:val="none"/>
          <w:lang w:val="en-US" w:eastAsia="zh-CN"/>
        </w:rPr>
        <w:t>。</w:t>
      </w:r>
    </w:p>
    <w:p>
      <w:pPr>
        <w:pStyle w:val="5"/>
        <w:rPr>
          <w:rStyle w:val="172"/>
          <w:rFonts w:hint="eastAsia" w:ascii="宋体" w:hAnsi="宋体" w:eastAsia="宋体" w:cs="宋体"/>
          <w:b w:val="0"/>
          <w:bCs w:val="0"/>
          <w:color w:val="auto"/>
          <w:sz w:val="28"/>
          <w:szCs w:val="28"/>
          <w:highlight w:val="none"/>
        </w:rPr>
      </w:pPr>
    </w:p>
    <w:p>
      <w:pPr>
        <w:pStyle w:val="5"/>
        <w:jc w:val="center"/>
        <w:rPr>
          <w:rFonts w:hint="eastAsia" w:hAnsi="宋体"/>
          <w:b w:val="0"/>
          <w:color w:val="auto"/>
          <w:sz w:val="28"/>
          <w:szCs w:val="28"/>
          <w:highlight w:val="none"/>
        </w:rPr>
      </w:pPr>
      <w:bookmarkStart w:id="156" w:name="_Toc6096"/>
      <w:bookmarkStart w:id="157" w:name="_Toc17384"/>
      <w:bookmarkStart w:id="158" w:name="_Toc4169"/>
      <w:r>
        <w:rPr>
          <w:rFonts w:hint="eastAsia" w:ascii="宋体" w:hAnsi="宋体" w:eastAsia="宋体" w:cs="宋体"/>
          <w:bCs w:val="0"/>
          <w:color w:val="auto"/>
          <w:sz w:val="28"/>
          <w:szCs w:val="28"/>
          <w:highlight w:val="none"/>
        </w:rPr>
        <w:t>附录</w:t>
      </w:r>
      <w:r>
        <w:rPr>
          <w:rFonts w:hint="eastAsia" w:ascii="宋体" w:hAnsi="宋体" w:eastAsia="宋体" w:cs="宋体"/>
          <w:bCs w:val="0"/>
          <w:color w:val="auto"/>
          <w:sz w:val="28"/>
          <w:szCs w:val="28"/>
          <w:highlight w:val="none"/>
          <w:lang w:val="en-US" w:eastAsia="zh-CN"/>
        </w:rPr>
        <w:t>3</w:t>
      </w:r>
      <w:r>
        <w:rPr>
          <w:rFonts w:hint="eastAsia" w:ascii="宋体" w:hAnsi="宋体" w:eastAsia="宋体" w:cs="宋体"/>
          <w:bCs w:val="0"/>
          <w:color w:val="auto"/>
          <w:sz w:val="28"/>
          <w:szCs w:val="28"/>
          <w:highlight w:val="none"/>
        </w:rPr>
        <w:t xml:space="preserve"> 资格审查文件（主要机械设备最低要求）</w:t>
      </w:r>
      <w:bookmarkEnd w:id="156"/>
      <w:bookmarkEnd w:id="157"/>
      <w:bookmarkEnd w:id="158"/>
    </w:p>
    <w:tbl>
      <w:tblPr>
        <w:tblStyle w:val="4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主要机械设备最低要求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60" w:type="dxa"/>
          </w:tcPr>
          <w:p>
            <w:pPr>
              <w:ind w:firstLine="420" w:firstLineChars="200"/>
              <w:rPr>
                <w:rFonts w:hint="default"/>
                <w:color w:val="auto"/>
                <w:highlight w:val="none"/>
                <w:lang w:val="en-US"/>
              </w:rPr>
            </w:pPr>
            <w:r>
              <w:rPr>
                <w:rFonts w:hint="eastAsia" w:eastAsia="宋体"/>
                <w:color w:val="auto"/>
                <w:highlight w:val="none"/>
                <w:lang w:val="en-US" w:eastAsia="zh-CN"/>
              </w:rPr>
              <w:t>配送车1辆（必须符合食品实时气候需求）。应提供配送车辆的行驶证复印件及车辆照片。</w:t>
            </w:r>
          </w:p>
        </w:tc>
      </w:tr>
      <w:bookmarkEnd w:id="147"/>
      <w:bookmarkEnd w:id="148"/>
    </w:tbl>
    <w:p>
      <w:pPr>
        <w:keepNext w:val="0"/>
        <w:keepLines w:val="0"/>
        <w:pageBreakBefore w:val="0"/>
        <w:widowControl w:val="0"/>
        <w:kinsoku/>
        <w:wordWrap/>
        <w:overflowPunct/>
        <w:topLinePunct w:val="0"/>
        <w:autoSpaceDE/>
        <w:autoSpaceDN/>
        <w:bidi w:val="0"/>
        <w:adjustRightInd/>
        <w:snapToGrid/>
        <w:ind w:left="105" w:leftChars="50"/>
        <w:textAlignment w:val="auto"/>
        <w:rPr>
          <w:rFonts w:hint="eastAsia" w:ascii="宋体" w:hAnsi="宋体" w:cs="宋体"/>
          <w:caps/>
          <w:color w:val="auto"/>
          <w:szCs w:val="21"/>
          <w:highlight w:val="none"/>
          <w:lang w:val="en-US" w:eastAsia="zh-CN"/>
        </w:rPr>
      </w:pPr>
      <w:r>
        <w:rPr>
          <w:rFonts w:hint="eastAsia" w:ascii="Times New Roman" w:hAnsi="宋体" w:cs="Times New Roman"/>
          <w:b w:val="0"/>
          <w:bCs w:val="0"/>
          <w:color w:val="auto"/>
          <w:sz w:val="21"/>
          <w:szCs w:val="21"/>
          <w:highlight w:val="none"/>
          <w:lang w:val="en-US" w:eastAsia="zh-CN"/>
        </w:rPr>
        <w:t>注：</w:t>
      </w:r>
      <w:r>
        <w:rPr>
          <w:rFonts w:hint="eastAsia" w:eastAsia="宋体"/>
          <w:color w:val="auto"/>
          <w:highlight w:val="none"/>
          <w:lang w:val="en-US" w:eastAsia="zh-CN"/>
        </w:rPr>
        <w:t>应提供配送车辆的行驶证复印件及车辆照片</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r>
        <w:rPr>
          <w:rFonts w:hint="eastAsia" w:ascii="宋体" w:hAnsi="宋体" w:cs="宋体"/>
          <w:caps/>
          <w:color w:val="auto"/>
          <w:szCs w:val="21"/>
          <w:highlight w:val="none"/>
          <w:lang w:eastAsia="zh-CN"/>
        </w:rPr>
        <w:t>。</w:t>
      </w:r>
    </w:p>
    <w:p>
      <w:pPr>
        <w:spacing w:line="440" w:lineRule="exact"/>
        <w:rPr>
          <w:rFonts w:hint="eastAsia" w:ascii="宋体" w:hAnsi="宋体" w:cs="宋体"/>
          <w:color w:val="auto"/>
          <w:szCs w:val="21"/>
          <w:highlight w:val="none"/>
        </w:rPr>
        <w:sectPr>
          <w:footerReference r:id="rId7" w:type="default"/>
          <w:pgSz w:w="11906" w:h="16838"/>
          <w:pgMar w:top="1440" w:right="1800" w:bottom="1440" w:left="1800" w:header="851" w:footer="992" w:gutter="0"/>
          <w:cols w:space="720" w:num="1"/>
          <w:titlePg/>
          <w:docGrid w:type="lines" w:linePitch="312" w:charSpace="0"/>
        </w:sectPr>
      </w:pPr>
    </w:p>
    <w:p>
      <w:pPr>
        <w:pStyle w:val="4"/>
        <w:spacing w:before="0" w:after="0" w:line="360" w:lineRule="auto"/>
        <w:jc w:val="center"/>
        <w:rPr>
          <w:rFonts w:ascii="宋体" w:hAnsi="宋体" w:cs="宋体"/>
          <w:color w:val="auto"/>
          <w:highlight w:val="none"/>
        </w:rPr>
      </w:pPr>
      <w:r>
        <w:rPr>
          <w:rFonts w:hint="eastAsia" w:ascii="宋体" w:hAnsi="宋体" w:cs="宋体"/>
          <w:color w:val="auto"/>
          <w:highlight w:val="none"/>
        </w:rPr>
        <w:t xml:space="preserve">第三章 </w:t>
      </w:r>
      <w:bookmarkEnd w:id="141"/>
      <w:bookmarkEnd w:id="142"/>
      <w:r>
        <w:rPr>
          <w:rFonts w:hint="eastAsia" w:ascii="宋体" w:hAnsi="宋体" w:cs="宋体"/>
          <w:color w:val="auto"/>
          <w:highlight w:val="none"/>
        </w:rPr>
        <w:t>评标办法（经评审的最低投标价法）</w:t>
      </w:r>
    </w:p>
    <w:tbl>
      <w:tblPr>
        <w:tblStyle w:val="44"/>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color w:val="auto"/>
                <w:highlight w:val="none"/>
              </w:rPr>
            </w:pPr>
            <w:r>
              <w:rPr>
                <w:b/>
                <w:color w:val="auto"/>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highlight w:val="none"/>
              </w:rPr>
            </w:pPr>
            <w:r>
              <w:rPr>
                <w:b/>
                <w:color w:val="auto"/>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color w:val="auto"/>
                <w:highlight w:val="none"/>
              </w:rPr>
            </w:pPr>
            <w:r>
              <w:rPr>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color w:val="auto"/>
                <w:highlight w:val="none"/>
              </w:rPr>
            </w:pPr>
            <w:r>
              <w:rPr>
                <w:rFonts w:hint="eastAsia" w:ascii="宋体" w:hAnsi="宋体" w:eastAsia="宋体"/>
                <w:color w:val="auto"/>
                <w:kern w:val="0"/>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color w:val="auto"/>
                <w:highlight w:val="none"/>
              </w:rPr>
            </w:pPr>
            <w:r>
              <w:rPr>
                <w:color w:val="auto"/>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color w:val="auto"/>
                <w:highlight w:val="none"/>
              </w:rPr>
            </w:pPr>
            <w:r>
              <w:rPr>
                <w:color w:val="auto"/>
                <w:highlight w:val="none"/>
              </w:rPr>
              <w:t>如出现报价相等时，评审小组按以下原则确定第一中标候选人：</w:t>
            </w:r>
          </w:p>
          <w:p>
            <w:pPr>
              <w:spacing w:line="360" w:lineRule="auto"/>
              <w:ind w:firstLine="210" w:firstLineChars="100"/>
              <w:rPr>
                <w:color w:val="auto"/>
                <w:highlight w:val="none"/>
              </w:rPr>
            </w:pPr>
            <w:r>
              <w:rPr>
                <w:rFonts w:hint="eastAsia"/>
                <w:color w:val="auto"/>
                <w:highlight w:val="none"/>
              </w:rPr>
              <w:t>以最早提交报价文件的</w:t>
            </w:r>
            <w:r>
              <w:rPr>
                <w:rFonts w:hint="eastAsia"/>
                <w:color w:val="auto"/>
                <w:highlight w:val="none"/>
                <w:lang w:eastAsia="zh-CN"/>
              </w:rPr>
              <w:t>报价人</w:t>
            </w:r>
            <w:r>
              <w:rPr>
                <w:rFonts w:hint="eastAsia"/>
                <w:color w:val="auto"/>
                <w:highlight w:val="none"/>
              </w:rPr>
              <w:t>为第一中标候选人</w:t>
            </w: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color w:val="auto"/>
                <w:highlight w:val="none"/>
              </w:rPr>
            </w:pPr>
            <w:r>
              <w:rPr>
                <w:rFonts w:hint="eastAsia" w:ascii="宋体" w:hAnsi="宋体"/>
                <w:color w:val="auto"/>
                <w:kern w:val="0"/>
                <w:highlight w:val="none"/>
              </w:rPr>
              <w:t>2.1</w:t>
            </w:r>
          </w:p>
        </w:tc>
        <w:tc>
          <w:tcPr>
            <w:tcW w:w="1124" w:type="dxa"/>
            <w:tcBorders>
              <w:top w:val="single" w:color="auto" w:sz="4" w:space="0"/>
              <w:left w:val="single" w:color="auto" w:sz="4" w:space="0"/>
              <w:right w:val="single" w:color="auto" w:sz="4" w:space="0"/>
            </w:tcBorders>
            <w:vAlign w:val="center"/>
          </w:tcPr>
          <w:p>
            <w:pPr>
              <w:spacing w:line="400" w:lineRule="exact"/>
              <w:jc w:val="center"/>
              <w:rPr>
                <w:color w:val="auto"/>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color w:val="auto"/>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color w:val="auto"/>
                <w:highlight w:val="none"/>
              </w:rPr>
            </w:pPr>
            <w:r>
              <w:rPr>
                <w:rFonts w:hint="eastAsia" w:ascii="宋体" w:hAnsi="宋体"/>
                <w:color w:val="auto"/>
                <w:kern w:val="0"/>
                <w:highlight w:val="none"/>
              </w:rPr>
              <w:t>对报价不高于</w:t>
            </w:r>
            <w:r>
              <w:rPr>
                <w:rFonts w:hint="eastAsia" w:ascii="宋体" w:hAnsi="宋体"/>
                <w:color w:val="auto"/>
                <w:kern w:val="0"/>
                <w:highlight w:val="none"/>
                <w:lang w:eastAsia="zh-CN"/>
              </w:rPr>
              <w:t>最高限折扣率</w:t>
            </w:r>
            <w:r>
              <w:rPr>
                <w:rFonts w:hint="eastAsia" w:ascii="宋体" w:hAnsi="宋体"/>
                <w:color w:val="auto"/>
                <w:kern w:val="0"/>
                <w:highlight w:val="none"/>
              </w:rPr>
              <w:t>的所有</w:t>
            </w:r>
            <w:r>
              <w:rPr>
                <w:rFonts w:hint="eastAsia" w:ascii="宋体" w:hAnsi="宋体"/>
                <w:color w:val="auto"/>
                <w:kern w:val="0"/>
                <w:highlight w:val="none"/>
                <w:lang w:eastAsia="zh-CN"/>
              </w:rPr>
              <w:t>报价人</w:t>
            </w:r>
            <w:r>
              <w:rPr>
                <w:rFonts w:hint="eastAsia" w:ascii="宋体" w:hAnsi="宋体"/>
                <w:color w:val="auto"/>
                <w:kern w:val="0"/>
                <w:highlight w:val="none"/>
              </w:rPr>
              <w:t>的投标文件，按照报价由低到高的顺序排序。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color w:val="auto"/>
                <w:highlight w:val="none"/>
              </w:rPr>
            </w:pPr>
            <w:r>
              <w:rPr>
                <w:rFonts w:hint="eastAsia" w:ascii="宋体" w:hAnsi="宋体"/>
                <w:color w:val="auto"/>
                <w:kern w:val="0"/>
                <w:highlight w:val="none"/>
                <w:lang w:val="en-US" w:eastAsia="zh-CN"/>
              </w:rPr>
              <w:t>2.2</w:t>
            </w:r>
          </w:p>
        </w:tc>
        <w:tc>
          <w:tcPr>
            <w:tcW w:w="1124" w:type="dxa"/>
            <w:tcBorders>
              <w:top w:val="single" w:color="auto" w:sz="4" w:space="0"/>
              <w:left w:val="single" w:color="auto" w:sz="4" w:space="0"/>
              <w:right w:val="single" w:color="auto" w:sz="4" w:space="0"/>
            </w:tcBorders>
            <w:vAlign w:val="center"/>
          </w:tcPr>
          <w:p>
            <w:pPr>
              <w:spacing w:line="400" w:lineRule="exact"/>
              <w:jc w:val="center"/>
              <w:rPr>
                <w:color w:val="auto"/>
                <w:highlight w:val="none"/>
              </w:rPr>
            </w:pPr>
            <w:r>
              <w:rPr>
                <w:rFonts w:hint="eastAsia" w:ascii="宋体" w:hAnsi="宋体"/>
                <w:color w:val="auto"/>
                <w:kern w:val="0"/>
                <w:highlight w:val="none"/>
              </w:rPr>
              <w:t>符合性审查</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取报价排序前□5</w:t>
            </w:r>
            <w:r>
              <w:rPr>
                <w:rFonts w:hint="eastAsia" w:ascii="宋体" w:hAnsi="宋体"/>
                <w:color w:val="auto"/>
                <w:kern w:val="0"/>
                <w:highlight w:val="none"/>
              </w:rPr>
              <w:sym w:font="Wingdings 2" w:char="00A3"/>
            </w:r>
            <w:r>
              <w:rPr>
                <w:rFonts w:hint="eastAsia" w:ascii="宋体" w:hAnsi="宋体"/>
                <w:color w:val="auto"/>
                <w:kern w:val="0"/>
                <w:highlight w:val="none"/>
              </w:rPr>
              <w:t>6</w:t>
            </w:r>
            <w:r>
              <w:rPr>
                <w:rFonts w:hint="eastAsia" w:ascii="宋体" w:hAnsi="宋体"/>
                <w:color w:val="auto"/>
                <w:kern w:val="0"/>
                <w:highlight w:val="none"/>
              </w:rPr>
              <w:sym w:font="Wingdings 2" w:char="0052"/>
            </w:r>
            <w:r>
              <w:rPr>
                <w:rFonts w:hint="eastAsia" w:ascii="宋体" w:hAnsi="宋体"/>
                <w:color w:val="auto"/>
                <w:kern w:val="0"/>
                <w:highlight w:val="none"/>
              </w:rPr>
              <w:t>7名（若实际</w:t>
            </w:r>
            <w:r>
              <w:rPr>
                <w:rFonts w:hint="eastAsia" w:ascii="宋体" w:hAnsi="宋体"/>
                <w:color w:val="auto"/>
                <w:kern w:val="0"/>
                <w:highlight w:val="none"/>
                <w:lang w:eastAsia="zh-CN"/>
              </w:rPr>
              <w:t>报价人</w:t>
            </w:r>
            <w:r>
              <w:rPr>
                <w:rFonts w:hint="eastAsia" w:ascii="宋体" w:hAnsi="宋体"/>
                <w:color w:val="auto"/>
                <w:kern w:val="0"/>
                <w:highlight w:val="none"/>
              </w:rPr>
              <w:t>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color w:val="auto"/>
                <w:spacing w:val="4"/>
                <w:kern w:val="0"/>
                <w:szCs w:val="21"/>
                <w:highlight w:val="none"/>
              </w:rPr>
              <w:sym w:font="Wingdings 2" w:char="00A3"/>
            </w:r>
            <w:r>
              <w:rPr>
                <w:rFonts w:hint="eastAsia" w:ascii="宋体" w:hAnsi="宋体"/>
                <w:color w:val="auto"/>
                <w:spacing w:val="4"/>
                <w:kern w:val="0"/>
                <w:szCs w:val="21"/>
                <w:highlight w:val="none"/>
              </w:rPr>
              <w:t>资格评审、形式评审、响应性评审、投标函部分及经济部分评审。符合性审查</w:t>
            </w:r>
            <w:r>
              <w:rPr>
                <w:rFonts w:hint="eastAsia" w:ascii="宋体" w:hAnsi="宋体"/>
                <w:color w:val="auto"/>
                <w:kern w:val="0"/>
                <w:highlight w:val="none"/>
              </w:rPr>
              <w:t>合格的</w:t>
            </w:r>
            <w:r>
              <w:rPr>
                <w:rFonts w:hint="eastAsia" w:ascii="宋体" w:hAnsi="宋体"/>
                <w:color w:val="auto"/>
                <w:kern w:val="0"/>
                <w:highlight w:val="none"/>
                <w:lang w:eastAsia="zh-CN"/>
              </w:rPr>
              <w:t>报价人</w:t>
            </w:r>
            <w:r>
              <w:rPr>
                <w:rFonts w:hint="eastAsia" w:ascii="宋体" w:hAnsi="宋体"/>
                <w:color w:val="auto"/>
                <w:kern w:val="0"/>
                <w:highlight w:val="none"/>
              </w:rPr>
              <w:t>中，报价最低的成为第一中标候选人，报价次低的成为第二中标候选人，依次类推。</w:t>
            </w:r>
          </w:p>
          <w:p>
            <w:pPr>
              <w:spacing w:line="400" w:lineRule="exact"/>
              <w:ind w:firstLine="420" w:firstLineChars="200"/>
              <w:jc w:val="left"/>
              <w:rPr>
                <w:rFonts w:hint="eastAsia"/>
                <w:color w:val="auto"/>
                <w:highlight w:val="none"/>
              </w:rPr>
            </w:pPr>
            <w:r>
              <w:rPr>
                <w:rFonts w:hint="eastAsia" w:ascii="宋体" w:hAnsi="宋体"/>
                <w:i/>
                <w:color w:val="auto"/>
                <w:kern w:val="0"/>
                <w:highlight w:val="none"/>
              </w:rPr>
              <w:t>[提示：勾选技术方案评审的，符合性审查应首先进行技术方案评审，再按照资格、形式、响应性、投标函部分及经济部分的顺序进行评审。]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color w:val="auto"/>
                <w:highlight w:val="none"/>
                <w:lang w:eastAsia="zh-CN"/>
              </w:rPr>
            </w:pPr>
            <w:r>
              <w:rPr>
                <w:rFonts w:hint="eastAsia"/>
                <w:color w:val="auto"/>
                <w:highlight w:val="none"/>
                <w:lang w:val="en-US" w:eastAsia="zh-CN"/>
              </w:rPr>
              <w:t>2.2.1</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color w:val="auto"/>
                <w:highlight w:val="none"/>
              </w:rPr>
            </w:pPr>
            <w:r>
              <w:rPr>
                <w:color w:val="auto"/>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报价</w:t>
            </w:r>
            <w:r>
              <w:rPr>
                <w:color w:val="auto"/>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报价</w:t>
            </w:r>
            <w:r>
              <w:rPr>
                <w:color w:val="auto"/>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竞争性</w:t>
            </w:r>
            <w:r>
              <w:rPr>
                <w:color w:val="auto"/>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符合第九章“</w:t>
            </w:r>
            <w:r>
              <w:rPr>
                <w:rFonts w:hint="eastAsia"/>
                <w:color w:val="auto"/>
                <w:highlight w:val="none"/>
              </w:rPr>
              <w:t>竞争性</w:t>
            </w:r>
            <w:r>
              <w:rPr>
                <w:color w:val="auto"/>
                <w:highlight w:val="none"/>
              </w:rPr>
              <w:t>比选响应文件格式”的要求，字迹清晰可辨。</w:t>
            </w:r>
          </w:p>
          <w:p>
            <w:pPr>
              <w:spacing w:line="400" w:lineRule="exact"/>
              <w:rPr>
                <w:color w:val="auto"/>
                <w:highlight w:val="none"/>
              </w:rPr>
            </w:pPr>
            <w:r>
              <w:rPr>
                <w:color w:val="auto"/>
                <w:highlight w:val="none"/>
              </w:rPr>
              <w:t>1.</w:t>
            </w:r>
            <w:r>
              <w:rPr>
                <w:rFonts w:hint="eastAsia"/>
                <w:color w:val="auto"/>
                <w:highlight w:val="none"/>
              </w:rPr>
              <w:t>报价</w:t>
            </w:r>
            <w:r>
              <w:rPr>
                <w:color w:val="auto"/>
                <w:highlight w:val="none"/>
              </w:rPr>
              <w:t>函的所有数据均符合</w:t>
            </w:r>
            <w:r>
              <w:rPr>
                <w:rFonts w:hint="eastAsia"/>
                <w:color w:val="auto"/>
                <w:highlight w:val="none"/>
              </w:rPr>
              <w:t>比选</w:t>
            </w:r>
            <w:r>
              <w:rPr>
                <w:color w:val="auto"/>
                <w:highlight w:val="none"/>
              </w:rPr>
              <w:t>文件的规定；</w:t>
            </w:r>
          </w:p>
          <w:p>
            <w:pPr>
              <w:spacing w:line="400" w:lineRule="exact"/>
              <w:rPr>
                <w:color w:val="auto"/>
                <w:highlight w:val="none"/>
              </w:rPr>
            </w:pPr>
            <w:r>
              <w:rPr>
                <w:color w:val="auto"/>
                <w:highlight w:val="none"/>
              </w:rPr>
              <w:t>2.</w:t>
            </w:r>
            <w:r>
              <w:rPr>
                <w:rFonts w:hint="eastAsia"/>
                <w:color w:val="auto"/>
                <w:highlight w:val="none"/>
              </w:rPr>
              <w:t>竞争性</w:t>
            </w:r>
            <w:r>
              <w:rPr>
                <w:color w:val="auto"/>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eastAsia="宋体"/>
                <w:color w:val="auto"/>
                <w:highlight w:val="none"/>
                <w:lang w:eastAsia="zh-CN"/>
              </w:rPr>
            </w:pPr>
            <w:r>
              <w:rPr>
                <w:color w:val="auto"/>
                <w:highlight w:val="none"/>
              </w:rPr>
              <w:t>已标价</w:t>
            </w:r>
            <w:r>
              <w:rPr>
                <w:rFonts w:hint="eastAsia"/>
                <w:color w:val="auto"/>
                <w:highlight w:val="none"/>
                <w:lang w:eastAsia="zh-CN"/>
              </w:rPr>
              <w:t>服务清单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color w:val="auto"/>
                <w:highlight w:val="none"/>
              </w:rPr>
            </w:pPr>
            <w:r>
              <w:rPr>
                <w:color w:val="auto"/>
                <w:highlight w:val="none"/>
              </w:rPr>
              <w:t>符合第五章“</w:t>
            </w:r>
            <w:r>
              <w:rPr>
                <w:rFonts w:hint="eastAsia"/>
                <w:color w:val="auto"/>
                <w:highlight w:val="none"/>
                <w:lang w:val="en-US" w:eastAsia="zh-CN"/>
              </w:rPr>
              <w:t>报价</w:t>
            </w:r>
            <w:r>
              <w:rPr>
                <w:rFonts w:hint="eastAsia"/>
                <w:color w:val="auto"/>
                <w:highlight w:val="none"/>
                <w:lang w:eastAsia="zh-CN"/>
              </w:rPr>
              <w:t>清单</w:t>
            </w:r>
            <w:r>
              <w:rPr>
                <w:color w:val="auto"/>
                <w:highlight w:val="none"/>
              </w:rPr>
              <w:t>”给出的范围及数量</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r>
              <w:rPr>
                <w:color w:val="auto"/>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color w:val="auto"/>
                <w:highlight w:val="none"/>
              </w:rPr>
            </w:pPr>
            <w:r>
              <w:rPr>
                <w:rFonts w:hint="eastAsia"/>
                <w:color w:val="auto"/>
                <w:highlight w:val="none"/>
              </w:rPr>
              <w:t>竞争性</w:t>
            </w:r>
            <w:r>
              <w:rPr>
                <w:color w:val="auto"/>
                <w:highlight w:val="none"/>
              </w:rPr>
              <w:t>比选响应文件报价表中的报价与</w:t>
            </w:r>
            <w:r>
              <w:rPr>
                <w:rFonts w:hint="eastAsia"/>
                <w:color w:val="auto"/>
                <w:highlight w:val="none"/>
              </w:rPr>
              <w:t>报价</w:t>
            </w:r>
            <w:r>
              <w:rPr>
                <w:color w:val="auto"/>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3" w:hRule="atLeast"/>
          <w:jc w:val="center"/>
        </w:trPr>
        <w:tc>
          <w:tcPr>
            <w:tcW w:w="900" w:type="dxa"/>
            <w:vMerge w:val="continue"/>
            <w:tcBorders>
              <w:right w:val="single" w:color="auto" w:sz="4" w:space="0"/>
            </w:tcBorders>
            <w:vAlign w:val="center"/>
          </w:tcPr>
          <w:p>
            <w:pPr>
              <w:spacing w:line="400" w:lineRule="exact"/>
              <w:jc w:val="center"/>
              <w:rPr>
                <w:color w:val="auto"/>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竞争性</w:t>
            </w:r>
            <w:r>
              <w:rPr>
                <w:color w:val="auto"/>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rFonts w:hint="eastAsia"/>
                <w:color w:val="auto"/>
                <w:highlight w:val="none"/>
              </w:rPr>
              <w:t>竞争性</w:t>
            </w:r>
            <w:r>
              <w:rPr>
                <w:color w:val="auto"/>
                <w:highlight w:val="none"/>
              </w:rPr>
              <w:t>比选响应文件正本中法定代表人或授权代理人签署姓名齐全，符合</w:t>
            </w:r>
            <w:r>
              <w:rPr>
                <w:rFonts w:hint="eastAsia"/>
                <w:color w:val="auto"/>
                <w:highlight w:val="none"/>
              </w:rPr>
              <w:t>比选</w:t>
            </w:r>
            <w:r>
              <w:rPr>
                <w:color w:val="auto"/>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6" w:hRule="atLeast"/>
          <w:jc w:val="center"/>
        </w:trPr>
        <w:tc>
          <w:tcPr>
            <w:tcW w:w="900" w:type="dxa"/>
            <w:vMerge w:val="continue"/>
            <w:tcBorders>
              <w:right w:val="single" w:color="auto" w:sz="4" w:space="0"/>
            </w:tcBorders>
            <w:vAlign w:val="center"/>
          </w:tcPr>
          <w:p>
            <w:pPr>
              <w:spacing w:line="400" w:lineRule="exact"/>
              <w:jc w:val="center"/>
              <w:rPr>
                <w:color w:val="auto"/>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auto"/>
                <w:highlight w:val="none"/>
              </w:rPr>
            </w:pPr>
            <w:r>
              <w:rPr>
                <w:color w:val="auto"/>
                <w:highlight w:val="none"/>
              </w:rPr>
              <w:t>其它材料</w:t>
            </w:r>
          </w:p>
        </w:tc>
        <w:tc>
          <w:tcPr>
            <w:tcW w:w="5004" w:type="dxa"/>
            <w:tcBorders>
              <w:top w:val="single" w:color="auto" w:sz="4" w:space="0"/>
              <w:left w:val="single" w:color="auto" w:sz="4" w:space="0"/>
            </w:tcBorders>
            <w:vAlign w:val="center"/>
          </w:tcPr>
          <w:p>
            <w:pPr>
              <w:spacing w:line="400" w:lineRule="exact"/>
              <w:rPr>
                <w:color w:val="auto"/>
                <w:highlight w:val="none"/>
              </w:rPr>
            </w:pPr>
            <w:r>
              <w:rPr>
                <w:color w:val="auto"/>
                <w:highlight w:val="none"/>
              </w:rPr>
              <w:t>单位负责人为同一人或者存在控股、管理关系的不同单位，不得同时参加</w:t>
            </w:r>
            <w:r>
              <w:rPr>
                <w:rFonts w:hint="eastAsia"/>
                <w:color w:val="auto"/>
                <w:highlight w:val="none"/>
              </w:rPr>
              <w:t>报价</w:t>
            </w:r>
            <w:r>
              <w:rPr>
                <w:color w:val="auto"/>
                <w:highlight w:val="none"/>
              </w:rPr>
              <w:t>，否则相关</w:t>
            </w:r>
            <w:r>
              <w:rPr>
                <w:rFonts w:hint="eastAsia"/>
                <w:color w:val="auto"/>
                <w:highlight w:val="none"/>
              </w:rPr>
              <w:t>报价</w:t>
            </w:r>
            <w:r>
              <w:rPr>
                <w:color w:val="auto"/>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color w:val="auto"/>
                <w:highlight w:val="none"/>
                <w:lang w:eastAsia="zh-CN"/>
              </w:rPr>
            </w:pPr>
            <w:r>
              <w:rPr>
                <w:rFonts w:hint="eastAsia"/>
                <w:color w:val="auto"/>
                <w:highlight w:val="none"/>
                <w:lang w:val="en-US" w:eastAsia="zh-CN"/>
              </w:rPr>
              <w:t>2.2.2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ascii="宋体" w:hAnsi="宋体" w:cs="宋体"/>
                <w:color w:val="auto"/>
                <w:szCs w:val="21"/>
                <w:highlight w:val="none"/>
                <w:lang w:val="en-US" w:eastAsia="zh-CN"/>
              </w:rPr>
              <w:t>项目主要管理人员</w:t>
            </w:r>
            <w:r>
              <w:rPr>
                <w:color w:val="auto"/>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人须知”前附表附录</w:t>
            </w:r>
            <w:r>
              <w:rPr>
                <w:rFonts w:hint="eastAsia"/>
                <w:color w:val="auto"/>
                <w:highlight w:val="none"/>
                <w:lang w:val="en-US" w:eastAsia="zh-CN"/>
              </w:rPr>
              <w:t>1</w:t>
            </w:r>
            <w:r>
              <w:rPr>
                <w:color w:val="auto"/>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ascii="宋体" w:hAnsi="宋体" w:cs="宋体"/>
                <w:color w:val="auto"/>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人须知”前附表附录</w:t>
            </w:r>
            <w:r>
              <w:rPr>
                <w:rFonts w:hint="eastAsia"/>
                <w:color w:val="auto"/>
                <w:highlight w:val="none"/>
                <w:lang w:val="en-US" w:eastAsia="zh-CN"/>
              </w:rPr>
              <w:t>2</w:t>
            </w:r>
            <w:r>
              <w:rPr>
                <w:color w:val="auto"/>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kern w:val="1"/>
                <w:highlight w:val="none"/>
              </w:rPr>
            </w:pPr>
            <w:r>
              <w:rPr>
                <w:color w:val="auto"/>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人须知”前附表附录</w:t>
            </w:r>
            <w:r>
              <w:rPr>
                <w:rFonts w:hint="eastAsia"/>
                <w:color w:val="auto"/>
                <w:highlight w:val="none"/>
                <w:lang w:val="en-US" w:eastAsia="zh-CN"/>
              </w:rPr>
              <w:t>3</w:t>
            </w:r>
            <w:r>
              <w:rPr>
                <w:color w:val="auto"/>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color w:val="auto"/>
                <w:highlight w:val="none"/>
                <w:lang w:eastAsia="zh-CN"/>
              </w:rPr>
            </w:pPr>
            <w:r>
              <w:rPr>
                <w:rFonts w:hint="eastAsia"/>
                <w:color w:val="auto"/>
                <w:highlight w:val="none"/>
                <w:lang w:val="en-US" w:eastAsia="zh-CN"/>
              </w:rPr>
              <w:t>2.2.3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color w:val="auto"/>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w:t>
            </w:r>
            <w:r>
              <w:rPr>
                <w:rFonts w:hint="eastAsia"/>
                <w:color w:val="auto"/>
                <w:highlight w:val="none"/>
                <w:lang w:eastAsia="zh-CN"/>
              </w:rPr>
              <w:t>最高限折扣率</w:t>
            </w:r>
            <w:r>
              <w:rPr>
                <w:color w:val="auto"/>
                <w:highlight w:val="none"/>
              </w:rPr>
              <w:t>，但也不得低于</w:t>
            </w:r>
            <w:r>
              <w:rPr>
                <w:rFonts w:hint="eastAsia"/>
                <w:color w:val="auto"/>
                <w:highlight w:val="none"/>
              </w:rPr>
              <w:t>报价</w:t>
            </w:r>
            <w:r>
              <w:rPr>
                <w:color w:val="auto"/>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color w:val="auto"/>
                <w:highlight w:val="none"/>
                <w:lang w:eastAsia="zh-CN"/>
              </w:rPr>
            </w:pPr>
            <w:r>
              <w:rPr>
                <w:rFonts w:hint="eastAsia"/>
                <w:color w:val="auto"/>
                <w:highlight w:val="none"/>
                <w:lang w:val="en-US" w:eastAsia="zh-CN"/>
              </w:rPr>
              <w:t>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color w:val="auto"/>
                <w:highlight w:val="none"/>
              </w:rPr>
            </w:pPr>
            <w:r>
              <w:rPr>
                <w:color w:val="auto"/>
                <w:highlight w:val="none"/>
              </w:rPr>
              <w:t>补充细化：</w:t>
            </w:r>
          </w:p>
          <w:p>
            <w:pPr>
              <w:spacing w:line="400" w:lineRule="exact"/>
              <w:ind w:firstLine="420" w:firstLineChars="200"/>
              <w:rPr>
                <w:color w:val="auto"/>
                <w:highlight w:val="none"/>
              </w:rPr>
            </w:pPr>
            <w:r>
              <w:rPr>
                <w:color w:val="auto"/>
                <w:highlight w:val="none"/>
              </w:rPr>
              <w:t>本项目评标采用经评审的最低投标价法，对通过初步评审、详细评审的</w:t>
            </w:r>
            <w:r>
              <w:rPr>
                <w:rFonts w:hint="eastAsia"/>
                <w:color w:val="auto"/>
                <w:highlight w:val="none"/>
              </w:rPr>
              <w:t>报价</w:t>
            </w:r>
            <w:r>
              <w:rPr>
                <w:color w:val="auto"/>
                <w:highlight w:val="none"/>
              </w:rPr>
              <w:t>人按照</w:t>
            </w:r>
            <w:r>
              <w:rPr>
                <w:rFonts w:hint="eastAsia"/>
                <w:color w:val="auto"/>
                <w:highlight w:val="none"/>
              </w:rPr>
              <w:t>报</w:t>
            </w:r>
            <w:r>
              <w:rPr>
                <w:color w:val="auto"/>
                <w:highlight w:val="none"/>
              </w:rPr>
              <w:t>价从低到高的先后顺序，</w:t>
            </w:r>
            <w:r>
              <w:rPr>
                <w:rFonts w:hint="eastAsia"/>
                <w:color w:val="auto"/>
                <w:highlight w:val="none"/>
                <w:lang w:val="en-US" w:eastAsia="zh-CN"/>
              </w:rPr>
              <w:t>每个标段</w:t>
            </w:r>
            <w:r>
              <w:rPr>
                <w:color w:val="auto"/>
                <w:highlight w:val="none"/>
              </w:rPr>
              <w:t>推荐</w:t>
            </w:r>
            <w:r>
              <w:rPr>
                <w:rFonts w:hint="eastAsia"/>
                <w:color w:val="auto"/>
                <w:highlight w:val="none"/>
                <w:lang w:val="en-US" w:eastAsia="zh-CN"/>
              </w:rPr>
              <w:t>2</w:t>
            </w:r>
            <w:r>
              <w:rPr>
                <w:color w:val="auto"/>
                <w:highlight w:val="none"/>
              </w:rPr>
              <w:t>名中标候选人。</w:t>
            </w:r>
          </w:p>
        </w:tc>
      </w:tr>
    </w:tbl>
    <w:p>
      <w:pPr>
        <w:pStyle w:val="5"/>
        <w:spacing w:before="0" w:after="0" w:line="360" w:lineRule="auto"/>
        <w:rPr>
          <w:rFonts w:hint="eastAsia" w:ascii="宋体" w:hAnsi="宋体" w:cs="宋体"/>
          <w:color w:val="auto"/>
          <w:sz w:val="28"/>
          <w:szCs w:val="28"/>
          <w:highlight w:val="none"/>
        </w:rPr>
      </w:pPr>
      <w:bookmarkStart w:id="159" w:name="_Toc6578"/>
      <w:bookmarkStart w:id="160" w:name="_Toc33106441"/>
      <w:bookmarkStart w:id="161" w:name="_Toc57795918"/>
      <w:r>
        <w:rPr>
          <w:rFonts w:hint="eastAsia" w:ascii="宋体" w:hAnsi="宋体" w:cs="宋体"/>
          <w:color w:val="auto"/>
          <w:sz w:val="28"/>
          <w:szCs w:val="28"/>
          <w:highlight w:val="none"/>
        </w:rPr>
        <w:t>1. 评标方法</w:t>
      </w:r>
      <w:bookmarkEnd w:id="159"/>
      <w:bookmarkEnd w:id="160"/>
      <w:bookmarkEnd w:id="161"/>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w:t>
      </w:r>
      <w:r>
        <w:rPr>
          <w:rFonts w:hint="eastAsia" w:ascii="宋体" w:hAnsi="宋体"/>
          <w:color w:val="auto"/>
          <w:highlight w:val="none"/>
          <w:lang w:eastAsia="zh-CN"/>
        </w:rPr>
        <w:t>报价人</w:t>
      </w:r>
      <w:r>
        <w:rPr>
          <w:rFonts w:hint="eastAsia" w:ascii="宋体" w:hAnsi="宋体"/>
          <w:color w:val="auto"/>
          <w:highlight w:val="none"/>
        </w:rPr>
        <w:t>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授权直接确定中标人。若出现</w:t>
      </w:r>
      <w:r>
        <w:rPr>
          <w:rFonts w:hint="eastAsia" w:ascii="宋体" w:hAnsi="宋体"/>
          <w:color w:val="auto"/>
          <w:highlight w:val="none"/>
          <w:lang w:eastAsia="zh-CN"/>
        </w:rPr>
        <w:t>报价人</w:t>
      </w:r>
      <w:r>
        <w:rPr>
          <w:rFonts w:hint="eastAsia" w:ascii="宋体" w:hAnsi="宋体"/>
          <w:color w:val="auto"/>
          <w:highlight w:val="none"/>
        </w:rPr>
        <w:t>投标报价相同的，以评标办法前附表约定的原则确定排序。</w:t>
      </w:r>
    </w:p>
    <w:p>
      <w:pPr>
        <w:pStyle w:val="5"/>
        <w:spacing w:before="0" w:after="0" w:line="360" w:lineRule="auto"/>
        <w:rPr>
          <w:rFonts w:hint="eastAsia" w:ascii="宋体" w:hAnsi="宋体" w:cs="宋体"/>
          <w:color w:val="auto"/>
          <w:sz w:val="28"/>
          <w:szCs w:val="28"/>
          <w:highlight w:val="none"/>
        </w:rPr>
      </w:pPr>
      <w:bookmarkStart w:id="162" w:name="_Toc57795919"/>
      <w:bookmarkStart w:id="163" w:name="_Toc33106442"/>
      <w:bookmarkStart w:id="164" w:name="_Toc2783"/>
      <w:r>
        <w:rPr>
          <w:rFonts w:hint="eastAsia" w:ascii="宋体" w:hAnsi="宋体" w:cs="宋体"/>
          <w:color w:val="auto"/>
          <w:sz w:val="28"/>
          <w:szCs w:val="28"/>
          <w:highlight w:val="none"/>
        </w:rPr>
        <w:t>2. 评审标准</w:t>
      </w:r>
      <w:bookmarkEnd w:id="162"/>
      <w:bookmarkEnd w:id="163"/>
      <w:bookmarkEnd w:id="164"/>
    </w:p>
    <w:p>
      <w:pPr>
        <w:pStyle w:val="6"/>
        <w:spacing w:before="0" w:after="0" w:line="360" w:lineRule="auto"/>
        <w:rPr>
          <w:rFonts w:hint="eastAsia" w:ascii="宋体" w:hAnsi="宋体" w:cs="宋体"/>
          <w:color w:val="auto"/>
          <w:sz w:val="21"/>
          <w:szCs w:val="21"/>
          <w:highlight w:val="none"/>
        </w:rPr>
      </w:pPr>
      <w:bookmarkStart w:id="165" w:name="_Toc33106443"/>
      <w:bookmarkStart w:id="166" w:name="_Toc57795920"/>
      <w:r>
        <w:rPr>
          <w:rFonts w:hint="eastAsia" w:ascii="宋体" w:hAnsi="宋体" w:cs="宋体"/>
          <w:color w:val="auto"/>
          <w:sz w:val="21"/>
          <w:szCs w:val="21"/>
          <w:highlight w:val="none"/>
        </w:rPr>
        <w:t>2.1报价排序</w:t>
      </w:r>
      <w:bookmarkEnd w:id="165"/>
      <w:r>
        <w:rPr>
          <w:rFonts w:hint="eastAsia" w:ascii="宋体" w:hAnsi="宋体" w:cs="宋体"/>
          <w:color w:val="auto"/>
          <w:sz w:val="21"/>
          <w:szCs w:val="21"/>
          <w:highlight w:val="none"/>
        </w:rPr>
        <w:t>标准</w:t>
      </w:r>
      <w:bookmarkEnd w:id="166"/>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6"/>
        <w:spacing w:before="0" w:after="0" w:line="360" w:lineRule="auto"/>
        <w:rPr>
          <w:rFonts w:ascii="宋体" w:hAnsi="宋体" w:cs="宋体"/>
          <w:color w:val="auto"/>
          <w:sz w:val="21"/>
          <w:szCs w:val="21"/>
          <w:highlight w:val="none"/>
        </w:rPr>
      </w:pPr>
      <w:bookmarkStart w:id="167" w:name="_Toc33106444"/>
      <w:bookmarkStart w:id="168"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67"/>
      <w:r>
        <w:rPr>
          <w:rFonts w:hint="eastAsia" w:ascii="宋体" w:hAnsi="宋体" w:cs="宋体"/>
          <w:color w:val="auto"/>
          <w:sz w:val="21"/>
          <w:szCs w:val="21"/>
          <w:highlight w:val="none"/>
        </w:rPr>
        <w:t>标准</w:t>
      </w:r>
      <w:bookmarkEnd w:id="168"/>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5"/>
        <w:spacing w:before="0" w:after="0" w:line="360" w:lineRule="auto"/>
        <w:rPr>
          <w:rFonts w:hint="eastAsia" w:ascii="宋体" w:hAnsi="宋体" w:cs="宋体"/>
          <w:color w:val="auto"/>
          <w:sz w:val="28"/>
          <w:szCs w:val="28"/>
          <w:highlight w:val="none"/>
        </w:rPr>
      </w:pPr>
      <w:bookmarkStart w:id="169" w:name="_Toc33106445"/>
      <w:bookmarkStart w:id="170" w:name="_Toc8634"/>
      <w:bookmarkStart w:id="171" w:name="_Toc57795922"/>
      <w:r>
        <w:rPr>
          <w:rFonts w:hint="eastAsia" w:ascii="宋体" w:hAnsi="宋体" w:cs="宋体"/>
          <w:color w:val="auto"/>
          <w:sz w:val="28"/>
          <w:szCs w:val="28"/>
          <w:highlight w:val="none"/>
        </w:rPr>
        <w:t>3. 评标程序</w:t>
      </w:r>
      <w:bookmarkEnd w:id="169"/>
      <w:bookmarkEnd w:id="170"/>
      <w:bookmarkEnd w:id="171"/>
    </w:p>
    <w:p>
      <w:pPr>
        <w:pStyle w:val="6"/>
        <w:spacing w:before="0" w:after="0" w:line="360" w:lineRule="auto"/>
        <w:rPr>
          <w:rFonts w:hint="eastAsia" w:ascii="宋体" w:hAnsi="宋体" w:cs="宋体"/>
          <w:color w:val="auto"/>
          <w:sz w:val="21"/>
          <w:szCs w:val="21"/>
          <w:highlight w:val="none"/>
        </w:rPr>
      </w:pPr>
      <w:bookmarkStart w:id="172" w:name="_Toc33106446"/>
      <w:bookmarkStart w:id="173" w:name="_Toc57795923"/>
      <w:r>
        <w:rPr>
          <w:rFonts w:hint="eastAsia" w:ascii="宋体" w:hAnsi="宋体" w:cs="宋体"/>
          <w:color w:val="auto"/>
          <w:sz w:val="21"/>
          <w:szCs w:val="21"/>
          <w:highlight w:val="none"/>
        </w:rPr>
        <w:t>3.1报价排序</w:t>
      </w:r>
      <w:bookmarkEnd w:id="172"/>
      <w:bookmarkEnd w:id="173"/>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w:t>
      </w:r>
      <w:r>
        <w:rPr>
          <w:rFonts w:hint="eastAsia" w:ascii="宋体" w:hAnsi="宋体" w:cs="宋体"/>
          <w:color w:val="auto"/>
          <w:szCs w:val="21"/>
          <w:highlight w:val="none"/>
          <w:lang w:eastAsia="zh-CN"/>
        </w:rPr>
        <w:t>最高限折扣率</w:t>
      </w:r>
      <w:r>
        <w:rPr>
          <w:rFonts w:hint="eastAsia" w:ascii="宋体" w:hAnsi="宋体" w:cs="宋体"/>
          <w:color w:val="auto"/>
          <w:szCs w:val="21"/>
          <w:highlight w:val="none"/>
        </w:rPr>
        <w:t>的所有</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的投标文件，按照报价由低到高的顺序排序。需技术方案评审的，由电子评标系统对技术方案进行自动随机编号。在投标函部分及经济部分评审前，推送给评标委员会的投标文件不得显示排序。</w:t>
      </w:r>
    </w:p>
    <w:p>
      <w:pPr>
        <w:pStyle w:val="6"/>
        <w:spacing w:before="0" w:after="0" w:line="360" w:lineRule="auto"/>
        <w:rPr>
          <w:rFonts w:hint="eastAsia" w:ascii="宋体" w:hAnsi="宋体" w:cs="宋体"/>
          <w:color w:val="auto"/>
          <w:sz w:val="21"/>
          <w:szCs w:val="21"/>
          <w:highlight w:val="none"/>
        </w:rPr>
      </w:pPr>
      <w:bookmarkStart w:id="174" w:name="_Toc57795924"/>
      <w:bookmarkStart w:id="175" w:name="_Toc33106447"/>
      <w:r>
        <w:rPr>
          <w:rFonts w:hint="eastAsia" w:ascii="宋体" w:hAnsi="宋体" w:cs="宋体"/>
          <w:color w:val="auto"/>
          <w:sz w:val="21"/>
          <w:szCs w:val="21"/>
          <w:highlight w:val="none"/>
        </w:rPr>
        <w:t>3.2符合性审查</w:t>
      </w:r>
      <w:bookmarkEnd w:id="174"/>
      <w:bookmarkEnd w:id="175"/>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s="宋体"/>
          <w:color w:val="auto"/>
          <w:szCs w:val="21"/>
          <w:highlight w:val="none"/>
          <w:lang w:eastAsia="zh-CN"/>
        </w:rPr>
        <w:t>报价人</w:t>
      </w:r>
      <w:r>
        <w:rPr>
          <w:rFonts w:ascii="宋体" w:hAnsi="宋体" w:cs="宋体"/>
          <w:color w:val="auto"/>
          <w:szCs w:val="21"/>
          <w:highlight w:val="none"/>
        </w:rPr>
        <w:t>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6"/>
        <w:spacing w:before="0" w:after="0" w:line="360" w:lineRule="auto"/>
        <w:rPr>
          <w:rFonts w:hint="eastAsia" w:ascii="宋体" w:hAnsi="宋体" w:cs="宋体"/>
          <w:color w:val="auto"/>
          <w:sz w:val="21"/>
          <w:szCs w:val="21"/>
          <w:highlight w:val="none"/>
        </w:rPr>
      </w:pPr>
      <w:bookmarkStart w:id="176" w:name="_Toc57795925"/>
      <w:bookmarkStart w:id="177" w:name="_Toc33106448"/>
      <w:r>
        <w:rPr>
          <w:rFonts w:hint="eastAsia" w:ascii="宋体" w:hAnsi="宋体" w:cs="宋体"/>
          <w:color w:val="auto"/>
          <w:sz w:val="21"/>
          <w:szCs w:val="21"/>
          <w:highlight w:val="none"/>
        </w:rPr>
        <w:t>3.3 投标文件的澄清和补正</w:t>
      </w:r>
      <w:bookmarkEnd w:id="176"/>
      <w:bookmarkEnd w:id="177"/>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对所提交投标文件中不明确的内容进行书面澄清或说明，或者对细微偏差进行补正。评标委员会不接受</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进一步澄清、说明或补正，直至满足评标委员会的要求。</w:t>
      </w:r>
    </w:p>
    <w:p>
      <w:pPr>
        <w:pStyle w:val="6"/>
        <w:spacing w:before="0" w:after="0" w:line="360" w:lineRule="auto"/>
        <w:rPr>
          <w:rFonts w:hint="eastAsia" w:ascii="宋体" w:hAnsi="宋体" w:cs="宋体"/>
          <w:color w:val="auto"/>
          <w:sz w:val="21"/>
          <w:szCs w:val="21"/>
          <w:highlight w:val="none"/>
        </w:rPr>
      </w:pPr>
      <w:bookmarkStart w:id="178" w:name="_Toc484465184"/>
      <w:bookmarkStart w:id="179" w:name="_Toc479262406"/>
      <w:bookmarkStart w:id="180" w:name="_Toc57795926"/>
      <w:bookmarkStart w:id="181" w:name="_Toc33106449"/>
      <w:r>
        <w:rPr>
          <w:rFonts w:hint="eastAsia" w:ascii="宋体" w:hAnsi="宋体" w:cs="宋体"/>
          <w:color w:val="auto"/>
          <w:sz w:val="21"/>
          <w:szCs w:val="21"/>
          <w:highlight w:val="none"/>
        </w:rPr>
        <w:t>3.4 评标结果</w:t>
      </w:r>
      <w:bookmarkEnd w:id="178"/>
      <w:bookmarkEnd w:id="179"/>
      <w:bookmarkEnd w:id="180"/>
      <w:bookmarkEnd w:id="181"/>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须知”前附表授权直接确定中标人外，评标委员会按经评审的最低投标价法推荐中标候选人。</w:t>
      </w:r>
    </w:p>
    <w:p>
      <w:pPr>
        <w:snapToGrid w:val="0"/>
        <w:spacing w:line="360" w:lineRule="auto"/>
        <w:ind w:firstLine="420" w:firstLineChars="200"/>
        <w:rPr>
          <w:rFonts w:asciiTheme="minorEastAsia" w:hAnsiTheme="minorEastAsia" w:eastAsiaTheme="minorEastAsia" w:cstheme="minorEastAsia"/>
          <w:color w:val="auto"/>
          <w:sz w:val="24"/>
          <w:szCs w:val="28"/>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r>
        <w:rPr>
          <w:rFonts w:hint="eastAsia"/>
          <w:color w:val="auto"/>
          <w:highlight w:val="none"/>
        </w:rPr>
        <w:br w:type="page"/>
      </w:r>
    </w:p>
    <w:p>
      <w:pPr>
        <w:pStyle w:val="30"/>
        <w:jc w:val="center"/>
        <w:outlineLvl w:val="0"/>
        <w:rPr>
          <w:color w:val="auto"/>
          <w:highlight w:val="none"/>
        </w:rPr>
      </w:pPr>
      <w:r>
        <w:rPr>
          <w:rFonts w:hint="eastAsia"/>
          <w:color w:val="auto"/>
          <w:highlight w:val="none"/>
        </w:rPr>
        <w:br w:type="page"/>
      </w:r>
      <w:bookmarkStart w:id="182" w:name="_Toc6879"/>
      <w:r>
        <w:rPr>
          <w:rStyle w:val="83"/>
          <w:rFonts w:hint="eastAsia"/>
          <w:b/>
          <w:bCs/>
          <w:color w:val="auto"/>
          <w:highlight w:val="none"/>
        </w:rPr>
        <w:t>第四章 报价说明</w:t>
      </w:r>
      <w:bookmarkEnd w:id="182"/>
    </w:p>
    <w:p>
      <w:pPr>
        <w:pStyle w:val="30"/>
        <w:spacing w:before="0" w:after="0" w:line="40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1、报价清单应与本项目竞争性比选文件、技术标准和要求等文件结合起来查阅与理解。</w:t>
      </w:r>
    </w:p>
    <w:p>
      <w:pPr>
        <w:pStyle w:val="30"/>
        <w:spacing w:before="0" w:after="0" w:line="40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对技术标准和要求及一般说明或规定，未重复写入报价清单内，在给报价清单各细目报价前，应参阅并满足竞争性比选文件中技术标准和要求的有关部分，如不满足相关技术标准和要求，由此对采购人造成的一切损失由报价人承担。</w:t>
      </w:r>
    </w:p>
    <w:p>
      <w:pPr>
        <w:pStyle w:val="30"/>
        <w:spacing w:before="0" w:after="0" w:line="40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3、对于符合要求的竞争性比选响应文件，在签订合同协议书前，如发现报价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30"/>
        <w:spacing w:before="0" w:after="0" w:line="400" w:lineRule="exact"/>
        <w:ind w:firstLine="420" w:firstLineChars="200"/>
        <w:rPr>
          <w:color w:val="auto"/>
          <w:highlight w:val="none"/>
        </w:rPr>
      </w:pPr>
      <w:r>
        <w:rPr>
          <w:rFonts w:hint="eastAsia" w:ascii="宋体" w:hAnsi="宋体" w:cs="宋体"/>
          <w:b w:val="0"/>
          <w:bCs w:val="0"/>
          <w:color w:val="auto"/>
          <w:sz w:val="21"/>
          <w:szCs w:val="21"/>
          <w:highlight w:val="none"/>
        </w:rPr>
        <w:t>4、</w:t>
      </w:r>
      <w:r>
        <w:rPr>
          <w:rFonts w:hint="eastAsia" w:ascii="宋体" w:hAnsi="宋体" w:cs="宋体"/>
          <w:b w:val="0"/>
          <w:bCs w:val="0"/>
          <w:color w:val="auto"/>
          <w:sz w:val="21"/>
          <w:szCs w:val="21"/>
          <w:highlight w:val="none"/>
          <w:lang w:val="en-US" w:eastAsia="zh-CN"/>
        </w:rPr>
        <w:t>报价人须严格按照要求填写报价清单，</w:t>
      </w:r>
      <w:r>
        <w:rPr>
          <w:rFonts w:hint="eastAsia" w:ascii="宋体" w:hAnsi="宋体" w:cs="宋体"/>
          <w:b w:val="0"/>
          <w:bCs w:val="0"/>
          <w:color w:val="auto"/>
          <w:sz w:val="21"/>
          <w:szCs w:val="21"/>
          <w:highlight w:val="none"/>
        </w:rPr>
        <w:t>报价清单中的任何内容不得随意删除或涂改，若有误，在有效时间内书面向采购人提出，以“补遗”资料为准。</w:t>
      </w:r>
    </w:p>
    <w:p>
      <w:pPr>
        <w:pStyle w:val="30"/>
        <w:spacing w:before="0" w:after="0" w:line="40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30"/>
        <w:spacing w:before="0" w:after="0" w:line="40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6、实际采购数量以采购人最终需求数量为准，报价清单中单价在合同执行过程中保持固定不变，报价人不得以实际采购数量的变化提出调整合同单价。</w:t>
      </w:r>
    </w:p>
    <w:p>
      <w:pPr>
        <w:pStyle w:val="30"/>
        <w:spacing w:before="0" w:after="0" w:line="40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7、报价清单中各项金额均以人民币（元）结算。</w:t>
      </w:r>
    </w:p>
    <w:p>
      <w:pPr>
        <w:pStyle w:val="30"/>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8、需缴纳的一切税费均由报价单位承担，所有税费均由服务单位自行缴纳。</w:t>
      </w:r>
    </w:p>
    <w:p>
      <w:pPr>
        <w:pStyle w:val="30"/>
        <w:spacing w:before="0" w:after="0" w:line="400" w:lineRule="exact"/>
        <w:ind w:firstLine="402" w:firstLineChars="200"/>
        <w:rPr>
          <w:color w:val="auto"/>
          <w:highlight w:val="none"/>
        </w:rPr>
      </w:pPr>
      <w:r>
        <w:rPr>
          <w:rFonts w:hint="eastAsia"/>
          <w:color w:val="auto"/>
          <w:highlight w:val="none"/>
        </w:rPr>
        <w:br w:type="page"/>
      </w:r>
    </w:p>
    <w:p>
      <w:pPr>
        <w:pStyle w:val="4"/>
        <w:spacing w:before="0" w:after="0" w:line="360" w:lineRule="auto"/>
        <w:jc w:val="center"/>
        <w:rPr>
          <w:rFonts w:ascii="宋体" w:hAnsi="宋体" w:cs="宋体"/>
          <w:color w:val="auto"/>
          <w:highlight w:val="none"/>
        </w:rPr>
      </w:pPr>
      <w:bookmarkStart w:id="183" w:name="_Toc247085855"/>
      <w:bookmarkStart w:id="184" w:name="_Toc246997083"/>
      <w:bookmarkStart w:id="185" w:name="_Toc514858705"/>
      <w:bookmarkStart w:id="186" w:name="_Toc152042554"/>
      <w:bookmarkStart w:id="187" w:name="_Toc144974834"/>
      <w:bookmarkStart w:id="188" w:name="_Toc179632789"/>
      <w:bookmarkStart w:id="189" w:name="_Toc152045772"/>
      <w:bookmarkStart w:id="190" w:name="_Toc2000409"/>
      <w:bookmarkStart w:id="191" w:name="_Toc246996340"/>
      <w:bookmarkStart w:id="192" w:name="_Toc4638"/>
      <w:bookmarkStart w:id="193" w:name="_Toc152042575"/>
      <w:bookmarkStart w:id="194" w:name="_Toc179632806"/>
      <w:bookmarkStart w:id="195" w:name="_Toc144974855"/>
      <w:bookmarkStart w:id="196" w:name="_Toc152045786"/>
      <w:bookmarkStart w:id="197" w:name="_Toc247085872"/>
      <w:bookmarkStart w:id="198" w:name="_Toc246996354"/>
      <w:bookmarkStart w:id="199" w:name="_Toc246997097"/>
      <w:r>
        <w:rPr>
          <w:rFonts w:hint="eastAsia" w:ascii="宋体" w:hAnsi="宋体" w:cs="宋体"/>
          <w:color w:val="auto"/>
          <w:highlight w:val="none"/>
        </w:rPr>
        <w:t xml:space="preserve">第五章 </w:t>
      </w:r>
      <w:bookmarkEnd w:id="183"/>
      <w:bookmarkEnd w:id="184"/>
      <w:bookmarkEnd w:id="185"/>
      <w:bookmarkEnd w:id="186"/>
      <w:bookmarkEnd w:id="187"/>
      <w:bookmarkEnd w:id="188"/>
      <w:bookmarkEnd w:id="189"/>
      <w:bookmarkEnd w:id="190"/>
      <w:bookmarkEnd w:id="191"/>
      <w:r>
        <w:rPr>
          <w:rFonts w:hint="eastAsia" w:ascii="宋体" w:hAnsi="宋体" w:cs="宋体"/>
          <w:color w:val="auto"/>
          <w:highlight w:val="none"/>
        </w:rPr>
        <w:t>报价清单</w:t>
      </w:r>
      <w:bookmarkEnd w:id="192"/>
    </w:p>
    <w:tbl>
      <w:tblPr>
        <w:tblStyle w:val="44"/>
        <w:tblW w:w="7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481"/>
        <w:gridCol w:w="2370"/>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leftChars="0" w:firstLine="0" w:firstLineChars="0"/>
              <w:jc w:val="center"/>
              <w:outlineLvl w:val="0"/>
              <w:rPr>
                <w:rFonts w:hint="eastAsia" w:ascii="宋体" w:hAnsi="宋体" w:eastAsia="宋体" w:cs="宋体"/>
                <w:b/>
                <w:color w:val="auto"/>
                <w:sz w:val="21"/>
                <w:szCs w:val="21"/>
                <w:highlight w:val="none"/>
              </w:rPr>
            </w:pPr>
            <w:bookmarkStart w:id="200" w:name="_Toc247085866"/>
            <w:bookmarkStart w:id="201" w:name="_Toc246996350"/>
            <w:bookmarkStart w:id="202" w:name="_Toc246997093"/>
            <w:bookmarkStart w:id="203" w:name="_Toc247096438"/>
            <w:bookmarkStart w:id="204" w:name="_Toc144974851"/>
            <w:bookmarkStart w:id="205" w:name="_Toc179632800"/>
            <w:bookmarkStart w:id="206" w:name="_Toc152042571"/>
            <w:bookmarkStart w:id="207" w:name="_Toc152045782"/>
            <w:r>
              <w:rPr>
                <w:rFonts w:hint="eastAsia" w:ascii="宋体" w:hAnsi="宋体" w:eastAsia="宋体" w:cs="宋体"/>
                <w:b/>
                <w:color w:val="auto"/>
                <w:sz w:val="21"/>
                <w:szCs w:val="21"/>
                <w:highlight w:val="none"/>
              </w:rPr>
              <w:t>序号</w:t>
            </w:r>
          </w:p>
        </w:tc>
        <w:tc>
          <w:tcPr>
            <w:tcW w:w="2481"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项目内容</w:t>
            </w:r>
          </w:p>
        </w:tc>
        <w:tc>
          <w:tcPr>
            <w:tcW w:w="2370"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leftChars="0" w:firstLine="0" w:firstLineChars="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折扣率</w:t>
            </w:r>
          </w:p>
        </w:tc>
        <w:tc>
          <w:tcPr>
            <w:tcW w:w="2262"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leftChars="0" w:firstLine="0" w:firstLineChars="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leftChars="0" w:firstLine="0" w:firstLineChars="0"/>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481"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jc w:val="center"/>
              <w:outlineLvl w:val="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首讯公司2023-2024年职工食堂生鲜配送</w:t>
            </w:r>
          </w:p>
        </w:tc>
        <w:tc>
          <w:tcPr>
            <w:tcW w:w="2370"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leftChars="0" w:firstLine="0" w:firstLineChars="0"/>
              <w:jc w:val="center"/>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例：</w:t>
            </w:r>
            <w:r>
              <w:rPr>
                <w:rFonts w:hint="eastAsia" w:ascii="宋体" w:hAnsi="宋体" w:eastAsia="宋体" w:cs="宋体"/>
                <w:bCs/>
                <w:color w:val="auto"/>
                <w:sz w:val="21"/>
                <w:szCs w:val="21"/>
                <w:highlight w:val="none"/>
                <w:u w:val="single"/>
                <w:lang w:val="en-US" w:eastAsia="zh-CN"/>
              </w:rPr>
              <w:t>90.00%</w:t>
            </w:r>
          </w:p>
        </w:tc>
        <w:tc>
          <w:tcPr>
            <w:tcW w:w="2262"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jc w:val="center"/>
              <w:outlineLvl w:val="0"/>
              <w:rPr>
                <w:rFonts w:hint="eastAsia" w:ascii="宋体" w:hAnsi="宋体" w:eastAsia="宋体" w:cs="宋体"/>
                <w:bCs/>
                <w:color w:val="auto"/>
                <w:sz w:val="21"/>
                <w:szCs w:val="21"/>
                <w:highlight w:val="none"/>
              </w:rPr>
            </w:pPr>
          </w:p>
        </w:tc>
      </w:tr>
    </w:tbl>
    <w:p>
      <w:pPr>
        <w:ind w:firstLine="420"/>
        <w:jc w:val="left"/>
        <w:rPr>
          <w:rFonts w:ascii="宋体" w:hAnsi="宋体" w:cs="宋体"/>
          <w:b/>
          <w:color w:val="auto"/>
          <w:highlight w:val="none"/>
        </w:rPr>
      </w:pPr>
    </w:p>
    <w:p>
      <w:pPr>
        <w:jc w:val="center"/>
        <w:rPr>
          <w:rFonts w:ascii="宋体" w:hAnsi="宋体" w:cs="宋体"/>
          <w:b/>
          <w:color w:val="auto"/>
          <w:highlight w:val="none"/>
        </w:rPr>
      </w:pPr>
    </w:p>
    <w:p>
      <w:pPr>
        <w:rPr>
          <w:color w:val="auto"/>
          <w:highlight w:val="none"/>
        </w:rPr>
      </w:pPr>
      <w:r>
        <w:rPr>
          <w:rFonts w:hint="eastAsia" w:ascii="宋体" w:hAnsi="宋体" w:cs="宋体"/>
          <w:b/>
          <w:color w:val="auto"/>
          <w:highlight w:val="none"/>
        </w:rPr>
        <w:br w:type="page"/>
      </w:r>
    </w:p>
    <w:p>
      <w:pPr>
        <w:pStyle w:val="4"/>
        <w:spacing w:before="0" w:after="0" w:line="360" w:lineRule="auto"/>
        <w:jc w:val="center"/>
        <w:rPr>
          <w:rFonts w:ascii="宋体" w:hAnsi="宋体" w:cs="宋体"/>
          <w:color w:val="auto"/>
          <w:highlight w:val="none"/>
        </w:rPr>
      </w:pPr>
      <w:bookmarkStart w:id="208" w:name="_Toc2000410"/>
      <w:bookmarkStart w:id="209" w:name="_Toc28333"/>
      <w:bookmarkStart w:id="210" w:name="_Toc503951042"/>
      <w:bookmarkStart w:id="211" w:name="_Toc513633963"/>
      <w:bookmarkStart w:id="212" w:name="_Toc514858706"/>
      <w:bookmarkStart w:id="213" w:name="_Toc447827048"/>
      <w:r>
        <w:rPr>
          <w:rFonts w:hint="eastAsia" w:ascii="宋体" w:hAnsi="宋体" w:cs="宋体"/>
          <w:color w:val="auto"/>
          <w:highlight w:val="none"/>
        </w:rPr>
        <w:t>第六章  图  纸</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jc w:val="center"/>
        <w:rPr>
          <w:rFonts w:ascii="宋体" w:hAnsi="宋体" w:cs="宋体"/>
          <w:b/>
          <w:color w:val="auto"/>
          <w:highlight w:val="none"/>
        </w:rPr>
      </w:pPr>
      <w:r>
        <w:rPr>
          <w:rFonts w:hint="eastAsia" w:ascii="宋体" w:hAnsi="宋体" w:cs="宋体"/>
          <w:b/>
          <w:color w:val="auto"/>
          <w:kern w:val="0"/>
          <w:sz w:val="24"/>
          <w:highlight w:val="none"/>
        </w:rPr>
        <w:t>无。</w:t>
      </w:r>
    </w:p>
    <w:p>
      <w:pPr>
        <w:spacing w:line="400" w:lineRule="exact"/>
        <w:rPr>
          <w:rFonts w:ascii="宋体" w:hAnsi="宋体" w:cs="宋体"/>
          <w:color w:val="auto"/>
          <w:highlight w:val="none"/>
        </w:rPr>
      </w:pPr>
      <w:r>
        <w:rPr>
          <w:rFonts w:hint="eastAsia" w:ascii="宋体" w:hAnsi="宋体" w:cs="宋体"/>
          <w:color w:val="auto"/>
          <w:highlight w:val="none"/>
        </w:rPr>
        <w:br w:type="page"/>
      </w:r>
      <w:bookmarkStart w:id="214" w:name="_Toc152042574"/>
      <w:bookmarkStart w:id="215" w:name="_Toc144974854"/>
      <w:bookmarkStart w:id="216" w:name="_Toc152045785"/>
    </w:p>
    <w:p>
      <w:pPr>
        <w:pStyle w:val="4"/>
        <w:spacing w:before="0" w:after="0" w:line="360" w:lineRule="auto"/>
        <w:jc w:val="center"/>
        <w:rPr>
          <w:rFonts w:ascii="宋体" w:hAnsi="宋体" w:cs="宋体"/>
          <w:color w:val="auto"/>
          <w:highlight w:val="none"/>
        </w:rPr>
      </w:pPr>
      <w:bookmarkStart w:id="217" w:name="_Toc514858707"/>
      <w:bookmarkStart w:id="218" w:name="_Toc2000411"/>
      <w:bookmarkStart w:id="219" w:name="_Toc447827049"/>
      <w:bookmarkStart w:id="220" w:name="_Toc179632804"/>
      <w:bookmarkStart w:id="221" w:name="_Toc246996353"/>
      <w:bookmarkStart w:id="222" w:name="_Toc247085870"/>
      <w:bookmarkStart w:id="223" w:name="_Toc503951043"/>
      <w:bookmarkStart w:id="224" w:name="_Toc904"/>
      <w:bookmarkStart w:id="225" w:name="_Toc246997096"/>
      <w:bookmarkStart w:id="226" w:name="_Toc513633964"/>
      <w:r>
        <w:rPr>
          <w:rFonts w:hint="eastAsia" w:ascii="宋体" w:hAnsi="宋体" w:cs="宋体"/>
          <w:color w:val="auto"/>
          <w:highlight w:val="none"/>
        </w:rPr>
        <w:t>第七章  技术标准和工作要求</w:t>
      </w:r>
      <w:bookmarkEnd w:id="214"/>
      <w:bookmarkEnd w:id="215"/>
      <w:bookmarkEnd w:id="216"/>
      <w:bookmarkEnd w:id="217"/>
      <w:bookmarkEnd w:id="218"/>
      <w:bookmarkEnd w:id="219"/>
      <w:bookmarkEnd w:id="220"/>
      <w:bookmarkEnd w:id="221"/>
      <w:bookmarkEnd w:id="222"/>
      <w:bookmarkEnd w:id="223"/>
      <w:bookmarkEnd w:id="224"/>
      <w:bookmarkEnd w:id="225"/>
      <w:bookmarkEnd w:id="226"/>
    </w:p>
    <w:bookmarkEnd w:id="193"/>
    <w:bookmarkEnd w:id="194"/>
    <w:bookmarkEnd w:id="195"/>
    <w:bookmarkEnd w:id="196"/>
    <w:bookmarkEnd w:id="197"/>
    <w:bookmarkEnd w:id="198"/>
    <w:bookmarkEnd w:id="199"/>
    <w:p>
      <w:pPr>
        <w:pStyle w:val="5"/>
        <w:spacing w:line="440" w:lineRule="exact"/>
        <w:ind w:firstLine="482" w:firstLineChars="200"/>
        <w:rPr>
          <w:rFonts w:hint="eastAsia" w:ascii="宋体" w:hAnsi="宋体" w:eastAsia="宋体" w:cs="宋体"/>
          <w:color w:val="auto"/>
          <w:sz w:val="24"/>
          <w:szCs w:val="24"/>
        </w:rPr>
      </w:pPr>
      <w:bookmarkStart w:id="227" w:name="_Toc20571"/>
      <w:bookmarkStart w:id="228" w:name="_Toc2000412"/>
      <w:bookmarkStart w:id="229" w:name="_Toc514858708"/>
      <w:bookmarkStart w:id="230" w:name="_Toc514430114"/>
      <w:bookmarkStart w:id="231" w:name="_Toc152045787"/>
      <w:bookmarkStart w:id="232" w:name="_Toc507320039"/>
      <w:bookmarkStart w:id="233" w:name="_Toc246997098"/>
      <w:bookmarkStart w:id="234" w:name="_Toc179632807"/>
      <w:bookmarkStart w:id="235" w:name="_Toc247085873"/>
      <w:bookmarkStart w:id="236" w:name="_Toc246996355"/>
      <w:bookmarkStart w:id="237" w:name="_Toc152042576"/>
      <w:bookmarkStart w:id="238" w:name="_Toc144974856"/>
      <w:r>
        <w:rPr>
          <w:rFonts w:hint="eastAsia" w:ascii="宋体" w:hAnsi="宋体" w:eastAsia="宋体" w:cs="宋体"/>
          <w:color w:val="auto"/>
          <w:sz w:val="24"/>
          <w:szCs w:val="24"/>
        </w:rPr>
        <w:t>一、采购项目情况一览表</w:t>
      </w:r>
      <w:bookmarkEnd w:id="227"/>
    </w:p>
    <w:tbl>
      <w:tblPr>
        <w:tblStyle w:val="44"/>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522"/>
        <w:gridCol w:w="1363"/>
        <w:gridCol w:w="1547"/>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leftChars="0" w:firstLine="0" w:firstLineChars="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522"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项目内容</w:t>
            </w:r>
          </w:p>
        </w:tc>
        <w:tc>
          <w:tcPr>
            <w:tcW w:w="1363"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单位</w:t>
            </w:r>
          </w:p>
        </w:tc>
        <w:tc>
          <w:tcPr>
            <w:tcW w:w="1616"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leftChars="0" w:firstLine="0" w:firstLineChars="0"/>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3522"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jc w:val="center"/>
              <w:outlineLvl w:val="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首讯公司2023-2024年职工食堂生鲜配送</w:t>
            </w:r>
            <w:r>
              <w:rPr>
                <w:rFonts w:hint="eastAsia" w:ascii="宋体" w:hAnsi="宋体" w:eastAsia="宋体" w:cs="宋体"/>
                <w:color w:val="auto"/>
                <w:kern w:val="0"/>
                <w:sz w:val="21"/>
                <w:szCs w:val="21"/>
                <w:highlight w:val="none"/>
              </w:rPr>
              <w:t xml:space="preserve"> </w:t>
            </w:r>
          </w:p>
        </w:tc>
        <w:tc>
          <w:tcPr>
            <w:tcW w:w="1363"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jc w:val="center"/>
              <w:outlineLvl w:val="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w:t>
            </w:r>
          </w:p>
        </w:tc>
        <w:tc>
          <w:tcPr>
            <w:tcW w:w="1616"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详见下文</w:t>
            </w:r>
          </w:p>
        </w:tc>
      </w:tr>
    </w:tbl>
    <w:p>
      <w:pPr>
        <w:pStyle w:val="5"/>
        <w:adjustRightInd/>
        <w:ind w:firstLine="422" w:firstLineChars="200"/>
        <w:rPr>
          <w:rFonts w:hint="eastAsia" w:ascii="宋体" w:hAnsi="宋体" w:eastAsia="宋体" w:cs="宋体"/>
          <w:color w:val="auto"/>
        </w:rPr>
      </w:pPr>
      <w:r>
        <w:rPr>
          <w:rFonts w:hint="eastAsia" w:ascii="宋体" w:hAnsi="宋体" w:eastAsia="宋体" w:cs="宋体"/>
          <w:color w:val="auto"/>
          <w:sz w:val="21"/>
          <w:szCs w:val="21"/>
        </w:rPr>
        <w:t>二、</w:t>
      </w:r>
      <w:r>
        <w:rPr>
          <w:rFonts w:hint="eastAsia" w:ascii="宋体" w:hAnsi="宋体" w:eastAsia="宋体" w:cs="宋体"/>
          <w:color w:val="auto"/>
          <w:sz w:val="24"/>
          <w:szCs w:val="24"/>
        </w:rPr>
        <w:t>采购内容及要求</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bookmarkStart w:id="239" w:name="_Toc26567"/>
      <w:r>
        <w:rPr>
          <w:rFonts w:hint="eastAsia" w:ascii="宋体" w:hAnsi="宋体" w:eastAsia="宋体" w:cs="宋体"/>
          <w:b w:val="0"/>
          <w:bCs w:val="0"/>
          <w:caps/>
          <w:color w:val="auto"/>
          <w:kern w:val="2"/>
          <w:sz w:val="21"/>
          <w:szCs w:val="21"/>
          <w:highlight w:val="none"/>
          <w:lang w:val="en-US" w:eastAsia="zh-CN" w:bidi="ar-SA"/>
        </w:rPr>
        <w:t>（一）肉类</w:t>
      </w:r>
    </w:p>
    <w:p>
      <w:pPr>
        <w:pStyle w:val="25"/>
        <w:spacing w:line="360" w:lineRule="auto"/>
        <w:ind w:firstLine="420" w:firstLineChars="200"/>
        <w:rPr>
          <w:rFonts w:hint="eastAsia" w:ascii="宋体" w:hAnsi="宋体" w:eastAsia="宋体" w:cs="宋体"/>
          <w:color w:val="auto"/>
          <w:sz w:val="24"/>
          <w:szCs w:val="24"/>
        </w:rPr>
      </w:pPr>
      <w:r>
        <w:rPr>
          <w:rFonts w:hint="eastAsia" w:ascii="宋体" w:hAnsi="宋体" w:eastAsia="宋体" w:cs="宋体"/>
          <w:b w:val="0"/>
          <w:bCs w:val="0"/>
          <w:caps/>
          <w:color w:val="auto"/>
          <w:kern w:val="2"/>
          <w:sz w:val="21"/>
          <w:szCs w:val="21"/>
          <w:highlight w:val="none"/>
          <w:lang w:val="en-US" w:eastAsia="zh-CN" w:bidi="ar-SA"/>
        </w:rPr>
        <w:t>肉质有弹性，手指轻按，凹陷地方马上恢复，脂肪为白色或乳白色，整体色泽光润，切面红色、微微湿润但不粘手；具有猪（牛、羊等）肉固有气味，无异味；无淤血、无注水，无寄生虫；配送的鲜肉类必须在定点屠宰场(或宰杀店)宰杀加工，并经动物卫生检疫机构检疫合格，加盖检疫合格印章和屠宰场印章，并附有《动物产品(B)检疫合格证明》。</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（二）家禽类</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1.鲜鸡肉类</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眼球饱满，皮肤有光泽，淡黄或灰白色，肌肉切而发亮；外表微干或微湿，不粘手，弹性良好，指压后凹陷立即恢复，正常气味；无长毛及毛、毛根、口腔及宰杀刀口无血污杂质，无紫斑瘀血，净腔禽腹内无过多脂肪，腹下刀口不过长，刀口整齐，重量≥0.85KG鲜鸡当天杀当天送，并附有《动物产品(B)检疫合格证明》，且符合国家及行业相关标准。</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2.鹅/鸭类</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 xml:space="preserve"> 眼球平坦，皮肤有光泽，乳白或淡红色，肌肉切而有光泽；外表稍湿润，不粘手，指压后凹陷立即恢复；鸭固有的正常气味，无长毛及绒毛，毛根口腔及宰杀刀口失血污、无紫斑瘀血、净膛、腹内无过多脂肪，腹下刀口不过长，刀口齐整，土番鸭重5-6斤左右，并附有《动物产品(B)检疫合格证明》，且符合国家及行业相关标准。</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（三）水产类</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1.鱼类：游水生猛，对外界刺激敏感，无翻肚；无嘴烂及其它外表损伤；鱼鳞完整有光泽，不易脱落，眼隔膜有光泽、透明，眼球突出；腹部坚实不膨胀，肛门内部洁净无异常红尾；大小均匀。</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2.虾类：游水快，对外界刺激敏感；头尾完整，有一定弯曲度；虾眼突起，虾身较挺，肉质坚实；虾壳发亮、发硬，呈青绿色或青白色。</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3.蛙类：大小均匀，没有伤痕，没有异味，表皮光滑，有较强的跳动活力。</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4.黄鳝：体色正常，体态完整，在水中头朝上直立，捞离水后，挣扎有力，身上黏度较多，个体较大。</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5.贝类：肉质新鲜，无臭味，两贝壳相碰发出实响，且响声均匀，在静水中会伸出触角；表面清洁完整，无寄生物，外观完美，有光泽。</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（四）粮油类</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1.大米为一级粳米、包装上必须注明生产日期、保质期、最佳食用期、规格、生产地等相关内容，外观应颗粒饱满，大小均匀，无虫害及霉变，无杂质，无陈米、酸败及其它异味，口感好，符合GB/T1354-2018相关国家标准；中标人配送货物时须向采购人提供所配送大米检验报告复印件，若未（不能）提供检测报告的，采购人有权单方面终止合同且不承担任何赔偿责任。</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2.面粉为优质特制一等（精制级）小麦粉，包装上必须注明生产日期、保质期、规格、生产地等相关内容，符合国家及行业相关标准；中标人配送货物时须向采购人提供所配送面粉检验报告复印件，若未（不能）提供检测报告的，采购人有权单方面终止合同且不承担任何赔偿责任。</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3.食用油为非转基因色拉油，包装上必须注明生产日期、保质期、规格、生产地址等相关内容，产品应具有色泽及透明度、气味，无焦臭、酸败及其他异味状态，无正常视力见的异物杂质、残渣，符合国家及行业相关标准。中标人配送货物时须向采购人提供所配送食用油的检验报告复印件，若未（不能）提供检测报告的，采购人有权单方面终止合同且不承担任何赔偿责任。</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（五）干副调料类</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1.非预包装干货调料品、汤料底料类、咸菜类包装上应注明的生产日期、保质期、规格、生产地等相关内容；干菜、大料、干货等散装的料品无发霉、变质的现象。</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2.预包装干货调料、生粉豆制品、半成品、调味品（食盐、味精、酱油、醋、糖等）等必须取得《食品生产许可证》，具有产品检验报告，有QS标志。</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（六）冻品类</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无杂质、异味，冻品物资包装完整，生产日期、保质期、生产厂家和QS标识齐全明晰。符合国家及行业相关标准，符合GB 16869-2005相关检查标准。</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（七）蔬菜类</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成熟适度、必须是24小时内收成、新鲜脆嫩、外形色泽良好清洁、无影响使用的病虫害、无机械损伤，去根帮和老叶，利用率在95%以上，去杂，洗净，不切，农药残留限量满足国家及行业相关标准。</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农药残留限量国家标准如下：</w:t>
      </w:r>
    </w:p>
    <w:tbl>
      <w:tblPr>
        <w:tblStyle w:val="44"/>
        <w:tblW w:w="8895" w:type="dxa"/>
        <w:jc w:val="center"/>
        <w:tblLayout w:type="fixed"/>
        <w:tblCellMar>
          <w:top w:w="0" w:type="dxa"/>
          <w:left w:w="108" w:type="dxa"/>
          <w:bottom w:w="0" w:type="dxa"/>
          <w:right w:w="108" w:type="dxa"/>
        </w:tblCellMar>
      </w:tblPr>
      <w:tblGrid>
        <w:gridCol w:w="2168"/>
        <w:gridCol w:w="1794"/>
        <w:gridCol w:w="2389"/>
        <w:gridCol w:w="2544"/>
      </w:tblGrid>
      <w:tr>
        <w:tblPrEx>
          <w:tblCellMar>
            <w:top w:w="0" w:type="dxa"/>
            <w:left w:w="108" w:type="dxa"/>
            <w:bottom w:w="0" w:type="dxa"/>
            <w:right w:w="108" w:type="dxa"/>
          </w:tblCellMar>
        </w:tblPrEx>
        <w:trPr>
          <w:trHeight w:val="285" w:hRule="atLeast"/>
          <w:jc w:val="center"/>
        </w:trPr>
        <w:tc>
          <w:tcPr>
            <w:tcW w:w="216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名 称</w:t>
            </w:r>
          </w:p>
        </w:tc>
        <w:tc>
          <w:tcPr>
            <w:tcW w:w="179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种 类</w:t>
            </w:r>
          </w:p>
        </w:tc>
        <w:tc>
          <w:tcPr>
            <w:tcW w:w="2388"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限量（mg / kg）</w:t>
            </w:r>
          </w:p>
        </w:tc>
        <w:tc>
          <w:tcPr>
            <w:tcW w:w="254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标准号</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滴滴涕</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0.1</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GB2763-</w:t>
            </w:r>
            <w:r>
              <w:rPr>
                <w:rFonts w:hint="eastAsia" w:ascii="宋体" w:hAnsi="宋体" w:eastAsia="宋体" w:cs="宋体"/>
                <w:color w:val="auto"/>
                <w:sz w:val="21"/>
                <w:szCs w:val="21"/>
                <w:lang w:val="en-US" w:eastAsia="zh-CN"/>
              </w:rPr>
              <w:t>2021</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六六六</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0.2</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GB2763-</w:t>
            </w:r>
            <w:r>
              <w:rPr>
                <w:rFonts w:hint="eastAsia" w:ascii="宋体" w:hAnsi="宋体" w:eastAsia="宋体" w:cs="宋体"/>
                <w:color w:val="auto"/>
                <w:sz w:val="21"/>
                <w:szCs w:val="21"/>
                <w:lang w:val="en-US" w:eastAsia="zh-CN"/>
              </w:rPr>
              <w:t>2021</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倍硫磷</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0.05</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GB4788-94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甲拌磷</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不得检出</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GB4788-94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杀螟硫磷</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0.5</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GB4788-94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敌敌畏</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0.2</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GB5127-1998</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硫磷</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不得检出</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GB5127-1998</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乐果</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GB5127-1998</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马拉硫磷</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不得检出</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GB5127-1998</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辛硫磷</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0.05</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GB14868-94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百菌清</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杀菌剂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GB14869-94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多菌灵</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杀菌剂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0.5</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GB14870-94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二氯苯醚菊酯</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GB14871-94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乙酰甲胺</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磷杀虫剂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0.5</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GB14872-94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甲胺磷</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不得检出</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GB14873-94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地亚农</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0.5</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GB14928.1-94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抗蚜威</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0.5</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GB14928.2-94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溴氰菊酯</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0.052</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GB14928.4-94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氰戊菊酯</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0.2</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GB14928.5-9</w:t>
            </w:r>
            <w:r>
              <w:rPr>
                <w:rFonts w:hint="eastAsia" w:ascii="宋体" w:hAnsi="宋体" w:eastAsia="宋体" w:cs="宋体"/>
                <w:color w:val="auto"/>
                <w:sz w:val="21"/>
                <w:szCs w:val="21"/>
                <w:lang w:val="en-US" w:eastAsia="zh-CN"/>
              </w:rPr>
              <w:t>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呋喃丹</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不得检出</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GB14928.7-94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水胺硫磷</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0.023</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GB14928.8-94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喹硫磷</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0.052</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GB14928.10-9</w:t>
            </w:r>
            <w:r>
              <w:rPr>
                <w:rFonts w:hint="eastAsia" w:ascii="宋体" w:hAnsi="宋体" w:eastAsia="宋体" w:cs="宋体"/>
                <w:color w:val="auto"/>
                <w:sz w:val="21"/>
                <w:szCs w:val="21"/>
                <w:lang w:val="en-US" w:eastAsia="zh-CN"/>
              </w:rPr>
              <w:t>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草甘磷</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除草剂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0.1</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GB14968-94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克线丹</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0.0052</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GB14969-9</w:t>
            </w:r>
            <w:r>
              <w:rPr>
                <w:rFonts w:hint="eastAsia" w:ascii="宋体" w:hAnsi="宋体" w:eastAsia="宋体" w:cs="宋体"/>
                <w:color w:val="auto"/>
                <w:sz w:val="21"/>
                <w:szCs w:val="21"/>
                <w:lang w:val="en-US" w:eastAsia="zh-CN"/>
              </w:rPr>
              <w:t>4</w:t>
            </w:r>
          </w:p>
        </w:tc>
      </w:tr>
      <w:tr>
        <w:tblPrEx>
          <w:tblCellMar>
            <w:top w:w="0" w:type="dxa"/>
            <w:left w:w="108" w:type="dxa"/>
            <w:bottom w:w="0" w:type="dxa"/>
            <w:right w:w="108" w:type="dxa"/>
          </w:tblCellMar>
        </w:tblPrEx>
        <w:trPr>
          <w:trHeight w:val="285" w:hRule="atLeast"/>
          <w:jc w:val="center"/>
        </w:trPr>
        <w:tc>
          <w:tcPr>
            <w:tcW w:w="2168" w:type="dxa"/>
            <w:tcBorders>
              <w:top w:val="nil"/>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西维因</w:t>
            </w:r>
          </w:p>
        </w:tc>
        <w:tc>
          <w:tcPr>
            <w:tcW w:w="179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杀虫剂</w:t>
            </w:r>
          </w:p>
        </w:tc>
        <w:tc>
          <w:tcPr>
            <w:tcW w:w="2388"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2543" w:type="dxa"/>
            <w:tcBorders>
              <w:top w:val="nil"/>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GB14971-94</w:t>
            </w:r>
          </w:p>
        </w:tc>
      </w:tr>
    </w:tbl>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（八）水果类</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成熟适度、新鲜脆嫩、外形色泽良好清洁、无影响使用的病虫害、无机械损伤。</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（九）饮料及奶制品类</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各种奶制品、饮料等，符合GB 7101-2015 食品安全国家标准。</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（十）一次性用品类</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一次性用品及易消耗品类（打包餐盒、打包碗、散纸、筷子、一次性勺子、垃圾袋、保鲜膜、食品袋等）。符合GB21660-2008号标准要求。</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（十一）配送车辆及人员要求</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配送车辆及人员：中标人须配备配送人员1-2名，配送车1辆（必须符合食品实时气候需求），实行专人专车采购，并负责人员和车辆的安全和管理，保证人员和车辆遵守采购人相关规定。中标后配备人员应提供、健康证、相关证件资质等资料复印件及配送车辆的行驶证复印件及车辆照片。</w:t>
      </w:r>
    </w:p>
    <w:p>
      <w:pPr>
        <w:pStyle w:val="5"/>
        <w:rPr>
          <w:rFonts w:hint="eastAsia" w:ascii="宋体" w:hAnsi="宋体" w:eastAsia="宋体" w:cs="宋体"/>
          <w:color w:val="auto"/>
          <w:sz w:val="24"/>
          <w:szCs w:val="24"/>
        </w:rPr>
      </w:pPr>
      <w:bookmarkStart w:id="240" w:name="_Toc7826"/>
      <w:r>
        <w:rPr>
          <w:rFonts w:hint="eastAsia" w:ascii="宋体" w:hAnsi="宋体" w:eastAsia="宋体" w:cs="宋体"/>
          <w:color w:val="auto"/>
          <w:sz w:val="24"/>
          <w:szCs w:val="24"/>
        </w:rPr>
        <w:t>三、其他要求</w:t>
      </w:r>
      <w:bookmarkEnd w:id="239"/>
      <w:bookmarkEnd w:id="240"/>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（一）报价人主要为食堂配送蔬菜、肉、家禽、水产品、水果、粮油调料等餐饮物资，餐饮物资在运输过程中必须分类存放，必要时冷链运输，保证食材品质。</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（二）报价人必须具有相应的资质条件和货源组织能力，有相当的经济实力能力向采购人食堂提供和保障所需的各类食品原材。</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（三）报价人所提供的服务应当符合《中华人民共和国食品安全法》的相关规定，符合国家及行业的相关标准。</w:t>
      </w:r>
    </w:p>
    <w:p>
      <w:pPr>
        <w:pStyle w:val="5"/>
        <w:spacing w:line="400" w:lineRule="exact"/>
        <w:rPr>
          <w:rFonts w:hint="eastAsia" w:ascii="宋体" w:hAnsi="宋体" w:eastAsia="宋体" w:cs="宋体"/>
          <w:color w:val="auto"/>
          <w:sz w:val="24"/>
          <w:szCs w:val="24"/>
        </w:rPr>
      </w:pPr>
      <w:bookmarkStart w:id="241" w:name="_Toc75793507"/>
      <w:bookmarkStart w:id="242" w:name="_Toc429584806"/>
      <w:bookmarkStart w:id="243" w:name="_Toc429584853"/>
      <w:r>
        <w:rPr>
          <w:rFonts w:hint="eastAsia" w:ascii="宋体" w:hAnsi="宋体" w:eastAsia="宋体" w:cs="宋体"/>
          <w:color w:val="auto"/>
          <w:sz w:val="24"/>
          <w:szCs w:val="24"/>
        </w:rPr>
        <w:t>四、</w:t>
      </w:r>
      <w:bookmarkEnd w:id="241"/>
      <w:bookmarkEnd w:id="242"/>
      <w:bookmarkEnd w:id="243"/>
      <w:r>
        <w:rPr>
          <w:rFonts w:hint="eastAsia" w:ascii="宋体" w:hAnsi="宋体" w:eastAsia="宋体" w:cs="宋体"/>
          <w:color w:val="auto"/>
          <w:sz w:val="24"/>
          <w:szCs w:val="24"/>
        </w:rPr>
        <w:t>采购计划及订单的确定</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（一）采购人在每天17：00日前，将次日的采购需求以电话、电子邮件、微信、QQ等形式通知中标人，订单内容包括名称、种类、规格、数量、运送时间、送达地点、订单联系人等具体要求。</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（二）最终采购数量以采购人每天下达订单的数量为准。</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（三）双方可根据季节、天气、市场价格情况等协商调整每期采购计划中各品种和数量。中标人必须保证能提供丰富的品种清单供采购人选择。</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（四）中标人接到采购人订单后，个别品种因缺货而无法提供的，中标人应在接到订单当天内及时告知采购人并协商好解决方法。</w:t>
      </w:r>
    </w:p>
    <w:p>
      <w:pPr>
        <w:pStyle w:val="25"/>
        <w:spacing w:line="360" w:lineRule="auto"/>
        <w:ind w:firstLine="420" w:firstLineChars="200"/>
        <w:rPr>
          <w:rFonts w:hint="eastAsia" w:ascii="宋体" w:hAnsi="宋体" w:eastAsia="宋体" w:cs="宋体"/>
          <w:color w:val="auto"/>
          <w:sz w:val="24"/>
          <w:szCs w:val="24"/>
        </w:rPr>
      </w:pPr>
      <w:r>
        <w:rPr>
          <w:rFonts w:hint="eastAsia" w:ascii="宋体" w:hAnsi="宋体" w:eastAsia="宋体" w:cs="宋体"/>
          <w:b w:val="0"/>
          <w:bCs w:val="0"/>
          <w:caps/>
          <w:color w:val="auto"/>
          <w:kern w:val="2"/>
          <w:sz w:val="21"/>
          <w:szCs w:val="21"/>
          <w:highlight w:val="none"/>
          <w:lang w:val="en-US" w:eastAsia="zh-CN" w:bidi="ar-SA"/>
        </w:rPr>
        <w:t>（五）采购人需临时补货时，中标人必须在60分钟内送达指定地点。</w:t>
      </w:r>
    </w:p>
    <w:p>
      <w:pPr>
        <w:pStyle w:val="5"/>
        <w:spacing w:line="400" w:lineRule="exact"/>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五、交货要求</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（一）中标人必须在规定时间（早上7：40时以前），将所有物品送到采购人指定的配送地点。</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二）货物到达现场后，由甲方验收人员进行感官检验、外观检验或试用检验，若产品外观、包装、质量不能达到收货标准，采购人拒收配送物资，中标人应无条件1个小时内补充合格产品，不得影响正常开餐。中标人提供《送货清单》、食材相关检验报告（肉类新鲜度/是否注水、农残检测等）一式两份，双方现场称重并签字确认，若暂时无法直接判断商品质量的或有其他问题的，采购方可不予签字，结算清单应包括并不限于产品名称、数量、金额、交接双方人员签字作结算凭证。</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（三）提供货物未达到合同规定要求，且对采购人造成损失的，由中标人承担一切责任，并赔偿所造成损失。</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（四）采购人定期或不定期对货品抽检和送检。除对检验不合格产品无条件退、换货外，另按双方约定予以处理。</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（五）验收货物时不能直接判断商品质量的，在使用过程中发现不合格商品，中标人应作退货处理外，另按双方约定予以处理。</w:t>
      </w:r>
    </w:p>
    <w:p>
      <w:pPr>
        <w:pStyle w:val="25"/>
        <w:spacing w:line="360" w:lineRule="auto"/>
        <w:ind w:firstLine="420" w:firstLineChars="200"/>
        <w:rPr>
          <w:rFonts w:hint="eastAsia" w:ascii="宋体" w:hAnsi="宋体" w:eastAsia="宋体" w:cs="宋体"/>
          <w:b w:val="0"/>
          <w:bCs w:val="0"/>
          <w:caps/>
          <w:color w:val="auto"/>
          <w:kern w:val="2"/>
          <w:sz w:val="21"/>
          <w:szCs w:val="21"/>
          <w:highlight w:val="none"/>
          <w:lang w:val="en-US" w:eastAsia="zh-CN" w:bidi="ar-SA"/>
        </w:rPr>
      </w:pPr>
      <w:r>
        <w:rPr>
          <w:rFonts w:hint="eastAsia" w:ascii="宋体" w:hAnsi="宋体" w:eastAsia="宋体" w:cs="宋体"/>
          <w:b w:val="0"/>
          <w:bCs w:val="0"/>
          <w:caps/>
          <w:color w:val="auto"/>
          <w:kern w:val="2"/>
          <w:sz w:val="21"/>
          <w:szCs w:val="21"/>
          <w:highlight w:val="none"/>
          <w:lang w:val="en-US" w:eastAsia="zh-CN" w:bidi="ar-SA"/>
        </w:rPr>
        <w:t>（六）中标人配送人员负责货物搬运过称，按采购人要求摆放到指定地点。所有品种以双方核准的除包装净重为准，双方签字确认作为结算凭证。</w:t>
      </w:r>
    </w:p>
    <w:p>
      <w:pPr>
        <w:pStyle w:val="5"/>
        <w:spacing w:line="40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、实施时间及验收方式</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（一）实施时间</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本项目服务期限共</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年，合同1年1签，经采购人考核合格后方可续签下一年度合同；在服务期内，中标人严格按照招标文件要求及行业相关要求提供服务，若考核不合格，采购人有权随时解除合同。</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（二）验收方式及标准</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1.验收方式</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（1）货物到达现场后，由甲方验收人员当面进行感官检验、外观检验或试用检验，若产品外观、包装、质量不能达到收货标准，采购人拒收配送物资，</w:t>
      </w:r>
      <w:r>
        <w:rPr>
          <w:rFonts w:hint="eastAsia" w:ascii="宋体" w:hAnsi="宋体" w:eastAsia="宋体" w:cs="宋体"/>
          <w:color w:val="auto"/>
          <w:kern w:val="0"/>
          <w:sz w:val="21"/>
          <w:szCs w:val="21"/>
          <w:lang w:eastAsia="zh-CN"/>
        </w:rPr>
        <w:t>中标人</w:t>
      </w:r>
      <w:r>
        <w:rPr>
          <w:rFonts w:hint="eastAsia" w:ascii="宋体" w:hAnsi="宋体" w:eastAsia="宋体" w:cs="宋体"/>
          <w:color w:val="auto"/>
          <w:kern w:val="0"/>
          <w:sz w:val="21"/>
          <w:szCs w:val="21"/>
        </w:rPr>
        <w:t>应无条件1小时内补充合格产品，不得影响正常开餐。对符合要求的产品当场作出记录，双方签字确认。。</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（2）提供货物未达到招标文件规定要求，且对采购人造成损失的，由</w:t>
      </w:r>
      <w:r>
        <w:rPr>
          <w:rFonts w:hint="eastAsia" w:ascii="宋体" w:hAnsi="宋体" w:eastAsia="宋体" w:cs="宋体"/>
          <w:color w:val="auto"/>
          <w:kern w:val="0"/>
          <w:sz w:val="21"/>
          <w:szCs w:val="21"/>
          <w:lang w:eastAsia="zh-CN"/>
        </w:rPr>
        <w:t>中标人</w:t>
      </w:r>
      <w:r>
        <w:rPr>
          <w:rFonts w:hint="eastAsia" w:ascii="宋体" w:hAnsi="宋体" w:eastAsia="宋体" w:cs="宋体"/>
          <w:color w:val="auto"/>
          <w:kern w:val="0"/>
          <w:sz w:val="21"/>
          <w:szCs w:val="21"/>
        </w:rPr>
        <w:t>承担一切责任，并赔偿所造成损失。</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（3）采购人组织定期或不定期货品抽检和送检。对检验不合格产品无条件退、换货外，需按双方约定予以处理。</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（4）因验收货物时不能直接判断质量的（如西瓜、苹果等等），在使用过程中发现不合格商品，中标人应作退货处理。</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（5）按双方约定的结算价，分品牌、品种、规格、型号、单价，计量、计价结算。</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（6）凡按重量计量物资，均以物品净重方式计量结算。</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2.验收标准</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肉和水产类须提供合法检验检疫证明；干副调料、冻品等物资包装完整，生产日期、保质期、生产厂家和QS标识齐全清晰；符合食品卫生安全要求和国家标准。</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（1）鲜肉和水产类：必须是放心肉，肉身须盖有卫生检疫章，提供有关检验合格证明；肉品须表皮洁净、新鲜、无异味；须为供货前12小时内宰杀; 符合食品卫生安全要求和国家标准。  </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（2）水产类：必须鲜活,按采购品种配送到采购人指定地点按要求现场宰杀干净。 </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（3）冻品类、粮油副食：需有出厂日期，保质期、品质优良、包装完好、无异味、无杂质；符合食品卫生安全要求和国家标准。</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（4）禽肉和水产类：新鲜、肌肉有弹性、内脏干净；须为供货前12小时内宰杀;符合食品卫生安全要求和国家标准。</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（5）禽蛋类：鲜新、无破损、无臭蛋、色泽光滑；符合食品卫生安全要求和国家标准。</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（6）蔬菜类：蔬菜须根据季节变换实施跟进，蔬菜类成熟度适中、新鲜脆嫩、无虫、无黄叶、无杂质，无农药残留超标；符合食品卫生安全要求和国家标准。</w:t>
      </w:r>
    </w:p>
    <w:p>
      <w:pPr>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（7）水果：水果须根据季节变换实施跟进，色泽鲜艳，形体完整，成熟度适中，无腐烂、异味、虫</w:t>
      </w:r>
      <w:r>
        <w:rPr>
          <w:rFonts w:hint="eastAsia" w:ascii="宋体" w:hAnsi="宋体" w:eastAsia="宋体" w:cs="宋体"/>
          <w:color w:val="auto"/>
          <w:kern w:val="0"/>
          <w:sz w:val="21"/>
          <w:szCs w:val="21"/>
          <w:highlight w:val="none"/>
        </w:rPr>
        <w:t>蛀、寄生虫等，产品质量必须符合食品卫生安全要求和国家标准。</w:t>
      </w:r>
    </w:p>
    <w:p>
      <w:pPr>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（8）奶制品</w:t>
      </w:r>
      <w:r>
        <w:rPr>
          <w:rFonts w:hint="eastAsia" w:ascii="宋体" w:hAnsi="宋体" w:eastAsia="宋体" w:cs="宋体"/>
          <w:color w:val="auto"/>
          <w:sz w:val="21"/>
          <w:szCs w:val="21"/>
          <w:highlight w:val="none"/>
        </w:rPr>
        <w:t>及饮料</w:t>
      </w:r>
      <w:r>
        <w:rPr>
          <w:rFonts w:hint="eastAsia" w:ascii="宋体" w:hAnsi="宋体" w:eastAsia="宋体" w:cs="宋体"/>
          <w:color w:val="auto"/>
          <w:kern w:val="0"/>
          <w:sz w:val="21"/>
          <w:szCs w:val="21"/>
          <w:highlight w:val="none"/>
        </w:rPr>
        <w:t>：有商标牌号，注明生产日期、产地、保质期、包装规格、有QS标志。不含非食品用化学物质、不掺假、不过期、不变质、不变味、无杂质、无毒害，包装完整。产品质量符合食品卫生安全要求和国家标准。</w:t>
      </w:r>
    </w:p>
    <w:p>
      <w:pPr>
        <w:pStyle w:val="175"/>
        <w:spacing w:beforeLines="0" w:afterLines="0"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color w:val="auto"/>
          <w:sz w:val="21"/>
          <w:szCs w:val="21"/>
          <w:highlight w:val="none"/>
        </w:rPr>
        <w:t>一次性用品：</w:t>
      </w:r>
      <w:r>
        <w:rPr>
          <w:rFonts w:hint="eastAsia" w:ascii="宋体" w:hAnsi="宋体" w:eastAsia="宋体" w:cs="宋体"/>
          <w:color w:val="auto"/>
          <w:kern w:val="0"/>
          <w:sz w:val="21"/>
          <w:szCs w:val="21"/>
          <w:highlight w:val="none"/>
        </w:rPr>
        <w:t>不含非食品用化学物质、不掺假、不过期、不变质、不变味、无杂质、无毒害，包装完整。产品质量符合食品卫生安全要求和国家标准。</w:t>
      </w:r>
      <w:bookmarkStart w:id="244" w:name="_Toc13303"/>
    </w:p>
    <w:p>
      <w:pPr>
        <w:pStyle w:val="175"/>
        <w:spacing w:beforeLines="0" w:afterLines="0" w:line="400" w:lineRule="exact"/>
        <w:ind w:firstLine="482"/>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七</w:t>
      </w:r>
      <w:r>
        <w:rPr>
          <w:rFonts w:hint="eastAsia" w:ascii="宋体" w:hAnsi="宋体" w:eastAsia="宋体" w:cs="宋体"/>
          <w:b/>
          <w:bCs/>
          <w:color w:val="auto"/>
          <w:kern w:val="0"/>
          <w:sz w:val="21"/>
          <w:szCs w:val="21"/>
        </w:rPr>
        <w:t>、考核标准</w:t>
      </w:r>
      <w:bookmarkEnd w:id="244"/>
    </w:p>
    <w:p>
      <w:pPr>
        <w:pStyle w:val="175"/>
        <w:spacing w:beforeLines="0" w:afterLines="0"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（一）发生因中标人原因（包括但不限于食材质量问题等）导致的食物中毒或其他相关食品安全事故，</w:t>
      </w:r>
      <w:r>
        <w:rPr>
          <w:rFonts w:hint="eastAsia" w:ascii="宋体" w:hAnsi="宋体" w:eastAsia="宋体" w:cs="宋体"/>
          <w:color w:val="auto"/>
          <w:kern w:val="0"/>
          <w:sz w:val="21"/>
          <w:szCs w:val="21"/>
          <w:lang w:eastAsia="zh-CN"/>
        </w:rPr>
        <w:t>中标</w:t>
      </w:r>
      <w:r>
        <w:rPr>
          <w:rFonts w:hint="eastAsia" w:ascii="宋体" w:hAnsi="宋体" w:eastAsia="宋体" w:cs="宋体"/>
          <w:color w:val="auto"/>
          <w:kern w:val="0"/>
          <w:sz w:val="21"/>
          <w:szCs w:val="21"/>
        </w:rPr>
        <w:t>人除必须承担相关法律责任和相应的医疗费用外，采购人直接扣除</w:t>
      </w:r>
      <w:r>
        <w:rPr>
          <w:rFonts w:hint="eastAsia" w:ascii="宋体" w:hAnsi="宋体" w:eastAsia="宋体" w:cs="宋体"/>
          <w:color w:val="auto"/>
          <w:kern w:val="0"/>
          <w:sz w:val="21"/>
          <w:szCs w:val="21"/>
          <w:lang w:eastAsia="zh-CN"/>
        </w:rPr>
        <w:t>中标</w:t>
      </w:r>
      <w:r>
        <w:rPr>
          <w:rFonts w:hint="eastAsia" w:ascii="宋体" w:hAnsi="宋体" w:eastAsia="宋体" w:cs="宋体"/>
          <w:color w:val="auto"/>
          <w:kern w:val="0"/>
          <w:sz w:val="21"/>
          <w:szCs w:val="21"/>
        </w:rPr>
        <w:t>人履约保证</w:t>
      </w:r>
      <w:r>
        <w:rPr>
          <w:rFonts w:hint="eastAsia" w:ascii="宋体" w:hAnsi="宋体" w:eastAsia="宋体" w:cs="宋体"/>
          <w:color w:val="auto"/>
          <w:kern w:val="0"/>
          <w:sz w:val="21"/>
          <w:szCs w:val="21"/>
        </w:rPr>
        <w:t>金，同时，采购人有权单方面解除双方合同关系。</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（二）中标人在合同执行期间必须接受采购人的考核（详见下表：《</w:t>
      </w:r>
      <w:r>
        <w:rPr>
          <w:rFonts w:hint="eastAsia" w:ascii="宋体" w:hAnsi="宋体" w:eastAsia="宋体" w:cs="宋体"/>
          <w:color w:val="auto"/>
          <w:kern w:val="0"/>
          <w:sz w:val="21"/>
          <w:szCs w:val="21"/>
          <w:lang w:eastAsia="zh-CN"/>
        </w:rPr>
        <w:t>重庆首讯科技股份有限公司生鲜配送</w:t>
      </w:r>
      <w:r>
        <w:rPr>
          <w:rFonts w:hint="eastAsia" w:ascii="宋体" w:hAnsi="宋体" w:eastAsia="宋体" w:cs="宋体"/>
          <w:color w:val="auto"/>
          <w:kern w:val="0"/>
          <w:sz w:val="21"/>
          <w:szCs w:val="21"/>
        </w:rPr>
        <w:t>规范及考核标准》），考核依据费用结算周期每1个月进行一次，考核结果作为对</w:t>
      </w:r>
      <w:r>
        <w:rPr>
          <w:rFonts w:hint="eastAsia" w:ascii="宋体" w:hAnsi="宋体" w:eastAsia="宋体" w:cs="宋体"/>
          <w:color w:val="auto"/>
          <w:kern w:val="0"/>
          <w:sz w:val="21"/>
          <w:szCs w:val="21"/>
          <w:lang w:eastAsia="zh-CN"/>
        </w:rPr>
        <w:t>中标人</w:t>
      </w:r>
      <w:r>
        <w:rPr>
          <w:rFonts w:hint="eastAsia" w:ascii="宋体" w:hAnsi="宋体" w:eastAsia="宋体" w:cs="宋体"/>
          <w:color w:val="auto"/>
          <w:kern w:val="0"/>
          <w:sz w:val="21"/>
          <w:szCs w:val="21"/>
        </w:rPr>
        <w:t>日常工作的跟踪评估依据，与支付结算费用挂钩。单月扣分达到40分或累计三个月被扣分值均高于30分（含30分），采购人有权终止合同；当月被扣分值高于15分（含15分）的，每多1分扣除结算费用100元。</w:t>
      </w:r>
    </w:p>
    <w:p>
      <w:pPr>
        <w:pStyle w:val="18"/>
        <w:ind w:firstLine="1897" w:firstLineChars="900"/>
        <w:rPr>
          <w:rFonts w:hint="eastAsia" w:ascii="宋体" w:hAnsi="宋体" w:eastAsia="宋体" w:cs="宋体"/>
          <w:color w:val="auto"/>
          <w:sz w:val="21"/>
          <w:szCs w:val="21"/>
        </w:rPr>
      </w:pPr>
      <w:r>
        <w:rPr>
          <w:rFonts w:hint="eastAsia" w:ascii="宋体" w:hAnsi="宋体" w:eastAsia="宋体" w:cs="宋体"/>
          <w:b/>
          <w:bCs/>
          <w:color w:val="auto"/>
          <w:kern w:val="0"/>
          <w:sz w:val="21"/>
          <w:szCs w:val="21"/>
          <w:lang w:eastAsia="zh-CN"/>
        </w:rPr>
        <w:t>重庆首讯科技股份有限公司</w:t>
      </w:r>
      <w:r>
        <w:rPr>
          <w:rFonts w:hint="eastAsia" w:ascii="宋体" w:hAnsi="宋体" w:eastAsia="宋体" w:cs="宋体"/>
          <w:b/>
          <w:bCs/>
          <w:color w:val="auto"/>
          <w:kern w:val="0"/>
          <w:sz w:val="21"/>
          <w:szCs w:val="21"/>
          <w:lang w:val="en-US" w:eastAsia="zh-CN"/>
        </w:rPr>
        <w:t>生鲜</w:t>
      </w:r>
      <w:r>
        <w:rPr>
          <w:rFonts w:hint="eastAsia" w:ascii="宋体" w:hAnsi="宋体" w:eastAsia="宋体" w:cs="宋体"/>
          <w:b/>
          <w:bCs/>
          <w:color w:val="auto"/>
          <w:kern w:val="0"/>
          <w:sz w:val="21"/>
          <w:szCs w:val="21"/>
        </w:rPr>
        <w:t>配送规范及考核标准</w:t>
      </w:r>
    </w:p>
    <w:tbl>
      <w:tblPr>
        <w:tblStyle w:val="44"/>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4978"/>
        <w:gridCol w:w="2715"/>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25" w:type="dxa"/>
            <w:vAlign w:val="center"/>
          </w:tcPr>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w:t>
            </w:r>
          </w:p>
        </w:tc>
        <w:tc>
          <w:tcPr>
            <w:tcW w:w="4978" w:type="dxa"/>
            <w:vAlign w:val="center"/>
          </w:tcPr>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检查具体内容</w:t>
            </w:r>
          </w:p>
        </w:tc>
        <w:tc>
          <w:tcPr>
            <w:tcW w:w="2715" w:type="dxa"/>
            <w:vAlign w:val="center"/>
          </w:tcPr>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考核评分标准</w:t>
            </w:r>
          </w:p>
        </w:tc>
        <w:tc>
          <w:tcPr>
            <w:tcW w:w="1256" w:type="dxa"/>
            <w:vAlign w:val="center"/>
          </w:tcPr>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打分（说明扣分原因）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Align w:val="center"/>
          </w:tcPr>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规章制度</w:t>
            </w:r>
          </w:p>
        </w:tc>
        <w:tc>
          <w:tcPr>
            <w:tcW w:w="4978" w:type="dxa"/>
            <w:vAlign w:val="center"/>
          </w:tcPr>
          <w:p>
            <w:pPr>
              <w:snapToGrid w:val="0"/>
              <w:ind w:left="-5" w:leftChars="-12" w:hanging="20" w:hangingChars="1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根据国家相关法律法规建立健全人事、食品安全、应急预案、进出货管理、防火防盗、卫生消毒、内部考核、人员培训等相关管理制度，同时各项制度必须上墙。</w:t>
            </w:r>
          </w:p>
        </w:tc>
        <w:tc>
          <w:tcPr>
            <w:tcW w:w="2715"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无相关管理制度，每缺一项，扣3分。</w:t>
            </w:r>
          </w:p>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制度未上墙，每缺一项，扣2分。</w:t>
            </w:r>
          </w:p>
        </w:tc>
        <w:tc>
          <w:tcPr>
            <w:tcW w:w="1256" w:type="dxa"/>
            <w:vAlign w:val="center"/>
          </w:tcPr>
          <w:p>
            <w:pPr>
              <w:snapToGrid w:val="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25" w:type="dxa"/>
            <w:vAlign w:val="center"/>
          </w:tcPr>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从业人员</w:t>
            </w:r>
          </w:p>
        </w:tc>
        <w:tc>
          <w:tcPr>
            <w:tcW w:w="4978" w:type="dxa"/>
            <w:tcBorders>
              <w:bottom w:val="single" w:color="auto" w:sz="4" w:space="0"/>
            </w:tcBorders>
            <w:vAlign w:val="center"/>
          </w:tcPr>
          <w:p>
            <w:pPr>
              <w:snapToGrid w:val="0"/>
              <w:ind w:left="-5" w:leftChars="-12" w:hanging="20" w:hangingChars="1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按照招标文件要求成立服务机构、人员并执有相关岗位资格证书等，将人员配置的基本信息、身份证复印件、相关岗位资格证书送达机关事务局备案，人员变更的，应在变更后5个工作日内，将新资料送达备案。不定期抽查人员配置情况。</w:t>
            </w:r>
          </w:p>
        </w:tc>
        <w:tc>
          <w:tcPr>
            <w:tcW w:w="2715"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人员配置不符合要求，每缺少1人次，扣3分。</w:t>
            </w:r>
          </w:p>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未按规定送达人员资料，每出现1次，扣2分。</w:t>
            </w:r>
          </w:p>
        </w:tc>
        <w:tc>
          <w:tcPr>
            <w:tcW w:w="1256" w:type="dxa"/>
            <w:vAlign w:val="center"/>
          </w:tcPr>
          <w:p>
            <w:pPr>
              <w:snapToGrid w:val="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25" w:type="dxa"/>
            <w:vAlign w:val="center"/>
          </w:tcPr>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岗位职责</w:t>
            </w:r>
          </w:p>
        </w:tc>
        <w:tc>
          <w:tcPr>
            <w:tcW w:w="4978" w:type="dxa"/>
            <w:tcBorders>
              <w:bottom w:val="single" w:color="auto" w:sz="4" w:space="0"/>
            </w:tcBorders>
            <w:vAlign w:val="center"/>
          </w:tcPr>
          <w:p>
            <w:pPr>
              <w:snapToGrid w:val="0"/>
              <w:ind w:left="-5" w:leftChars="-12" w:hanging="20" w:hangingChars="1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各类岗位职责（单位法人岗位职责、财务人员岗位职责、卫生安全管理人员岗位职责、仓库保管员岗位职责、送货员岗位职责等）齐全，并公布上墙、落实到人。</w:t>
            </w:r>
          </w:p>
        </w:tc>
        <w:tc>
          <w:tcPr>
            <w:tcW w:w="2715"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无岗位职责，每缺一项，扣3分。</w:t>
            </w:r>
          </w:p>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职责未上墙，每缺一项，扣2分。</w:t>
            </w:r>
          </w:p>
        </w:tc>
        <w:tc>
          <w:tcPr>
            <w:tcW w:w="1256" w:type="dxa"/>
            <w:vAlign w:val="center"/>
          </w:tcPr>
          <w:p>
            <w:pPr>
              <w:snapToGrid w:val="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25" w:type="dxa"/>
            <w:vMerge w:val="restart"/>
            <w:vAlign w:val="center"/>
          </w:tcPr>
          <w:p>
            <w:pPr>
              <w:snapToGrid w:val="0"/>
              <w:jc w:val="center"/>
              <w:rPr>
                <w:rFonts w:hint="eastAsia" w:ascii="宋体" w:hAnsi="宋体" w:eastAsia="宋体" w:cs="宋体"/>
                <w:color w:val="auto"/>
                <w:sz w:val="20"/>
                <w:szCs w:val="20"/>
                <w:highlight w:val="none"/>
              </w:rPr>
            </w:pPr>
          </w:p>
          <w:p>
            <w:pPr>
              <w:snapToGrid w:val="0"/>
              <w:jc w:val="center"/>
              <w:rPr>
                <w:rFonts w:hint="eastAsia" w:ascii="宋体" w:hAnsi="宋体" w:eastAsia="宋体" w:cs="宋体"/>
                <w:color w:val="auto"/>
                <w:sz w:val="20"/>
                <w:szCs w:val="20"/>
                <w:highlight w:val="none"/>
              </w:rPr>
            </w:pPr>
          </w:p>
          <w:p>
            <w:pPr>
              <w:snapToGrid w:val="0"/>
              <w:jc w:val="center"/>
              <w:rPr>
                <w:rFonts w:hint="eastAsia" w:ascii="宋体" w:hAnsi="宋体" w:eastAsia="宋体" w:cs="宋体"/>
                <w:color w:val="auto"/>
                <w:sz w:val="20"/>
                <w:szCs w:val="20"/>
                <w:highlight w:val="none"/>
              </w:rPr>
            </w:pPr>
          </w:p>
          <w:p>
            <w:pPr>
              <w:snapToGrid w:val="0"/>
              <w:jc w:val="center"/>
              <w:rPr>
                <w:rFonts w:hint="eastAsia" w:ascii="宋体" w:hAnsi="宋体" w:eastAsia="宋体" w:cs="宋体"/>
                <w:color w:val="auto"/>
                <w:sz w:val="20"/>
                <w:szCs w:val="20"/>
                <w:highlight w:val="none"/>
              </w:rPr>
            </w:pPr>
          </w:p>
          <w:p>
            <w:pPr>
              <w:snapToGrid w:val="0"/>
              <w:jc w:val="center"/>
              <w:rPr>
                <w:rFonts w:hint="eastAsia" w:ascii="宋体" w:hAnsi="宋体" w:eastAsia="宋体" w:cs="宋体"/>
                <w:color w:val="auto"/>
                <w:sz w:val="20"/>
                <w:szCs w:val="20"/>
                <w:highlight w:val="none"/>
              </w:rPr>
            </w:pPr>
          </w:p>
          <w:p>
            <w:pPr>
              <w:snapToGrid w:val="0"/>
              <w:jc w:val="center"/>
              <w:rPr>
                <w:rFonts w:hint="eastAsia" w:ascii="宋体" w:hAnsi="宋体" w:eastAsia="宋体" w:cs="宋体"/>
                <w:color w:val="auto"/>
                <w:sz w:val="20"/>
                <w:szCs w:val="20"/>
                <w:highlight w:val="none"/>
              </w:rPr>
            </w:pPr>
          </w:p>
          <w:p>
            <w:pPr>
              <w:snapToGrid w:val="0"/>
              <w:jc w:val="center"/>
              <w:rPr>
                <w:rFonts w:hint="eastAsia" w:ascii="宋体" w:hAnsi="宋体" w:eastAsia="宋体" w:cs="宋体"/>
                <w:color w:val="auto"/>
                <w:sz w:val="20"/>
                <w:szCs w:val="20"/>
                <w:highlight w:val="none"/>
              </w:rPr>
            </w:pPr>
          </w:p>
          <w:p>
            <w:pPr>
              <w:snapToGrid w:val="0"/>
              <w:jc w:val="center"/>
              <w:rPr>
                <w:rFonts w:hint="eastAsia" w:ascii="宋体" w:hAnsi="宋体" w:eastAsia="宋体" w:cs="宋体"/>
                <w:color w:val="auto"/>
                <w:sz w:val="20"/>
                <w:szCs w:val="20"/>
                <w:highlight w:val="none"/>
              </w:rPr>
            </w:pPr>
          </w:p>
          <w:p>
            <w:pPr>
              <w:snapToGrid w:val="0"/>
              <w:jc w:val="center"/>
              <w:rPr>
                <w:rFonts w:hint="eastAsia" w:ascii="宋体" w:hAnsi="宋体" w:eastAsia="宋体" w:cs="宋体"/>
                <w:color w:val="auto"/>
                <w:sz w:val="20"/>
                <w:szCs w:val="20"/>
                <w:highlight w:val="none"/>
              </w:rPr>
            </w:pPr>
          </w:p>
          <w:p>
            <w:pPr>
              <w:snapToGrid w:val="0"/>
              <w:jc w:val="center"/>
              <w:rPr>
                <w:rFonts w:hint="eastAsia" w:ascii="宋体" w:hAnsi="宋体" w:eastAsia="宋体" w:cs="宋体"/>
                <w:color w:val="auto"/>
                <w:sz w:val="20"/>
                <w:szCs w:val="20"/>
                <w:highlight w:val="none"/>
              </w:rPr>
            </w:pPr>
          </w:p>
          <w:p>
            <w:pPr>
              <w:snapToGrid w:val="0"/>
              <w:jc w:val="center"/>
              <w:rPr>
                <w:rFonts w:hint="eastAsia" w:ascii="宋体" w:hAnsi="宋体" w:eastAsia="宋体" w:cs="宋体"/>
                <w:color w:val="auto"/>
                <w:sz w:val="20"/>
                <w:szCs w:val="20"/>
                <w:highlight w:val="none"/>
              </w:rPr>
            </w:pPr>
          </w:p>
          <w:p>
            <w:pPr>
              <w:snapToGrid w:val="0"/>
              <w:jc w:val="center"/>
              <w:rPr>
                <w:rFonts w:hint="eastAsia" w:ascii="宋体" w:hAnsi="宋体" w:eastAsia="宋体" w:cs="宋体"/>
                <w:color w:val="auto"/>
                <w:sz w:val="20"/>
                <w:szCs w:val="20"/>
                <w:highlight w:val="none"/>
              </w:rPr>
            </w:pPr>
          </w:p>
          <w:p>
            <w:pPr>
              <w:snapToGrid w:val="0"/>
              <w:jc w:val="center"/>
              <w:rPr>
                <w:rFonts w:hint="eastAsia" w:ascii="宋体" w:hAnsi="宋体" w:eastAsia="宋体" w:cs="宋体"/>
                <w:color w:val="auto"/>
                <w:sz w:val="20"/>
                <w:szCs w:val="20"/>
                <w:highlight w:val="none"/>
              </w:rPr>
            </w:pPr>
          </w:p>
          <w:p>
            <w:pPr>
              <w:snapToGrid w:val="0"/>
              <w:jc w:val="center"/>
              <w:rPr>
                <w:rFonts w:hint="eastAsia" w:ascii="宋体" w:hAnsi="宋体" w:eastAsia="宋体" w:cs="宋体"/>
                <w:color w:val="auto"/>
                <w:sz w:val="20"/>
                <w:szCs w:val="20"/>
                <w:highlight w:val="none"/>
              </w:rPr>
            </w:pPr>
          </w:p>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原材料来源及质量保证</w:t>
            </w:r>
          </w:p>
        </w:tc>
        <w:tc>
          <w:tcPr>
            <w:tcW w:w="4978"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eastAsia="zh-CN"/>
              </w:rPr>
              <w:t>中标人</w:t>
            </w:r>
            <w:r>
              <w:rPr>
                <w:rFonts w:hint="eastAsia" w:ascii="宋体" w:hAnsi="宋体" w:eastAsia="宋体" w:cs="宋体"/>
                <w:color w:val="auto"/>
                <w:sz w:val="20"/>
                <w:szCs w:val="20"/>
                <w:highlight w:val="none"/>
              </w:rPr>
              <w:t>向食堂提供符合品相及规格要求的优质、新鲜货物。必须从符合规定资质的单位或地点进货，有相关品牌合作协议及资质证明材料等文件。产品证件（合格证、检验检疫证、检验报告等原件或复印件）齐全。</w:t>
            </w:r>
          </w:p>
        </w:tc>
        <w:tc>
          <w:tcPr>
            <w:tcW w:w="2715" w:type="dxa"/>
            <w:vMerge w:val="restart"/>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原材料验收时质量不符合要求（包括但不限于食材腐烂、变质、有异味、虫蛀等），配送公司无条件重新更换货物，更换后仍不符合要求，每出现一次，扣5分；影响食堂正常开餐造成严重后果的，每出现一次，扣20分，并按照招标文件相关条款处罚。</w:t>
            </w:r>
          </w:p>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预包装产品及散装货品验货时，如未达到要求的，视为不合格产品，每发现一次，扣5分，并按照招标文件相关条款处罚。</w:t>
            </w:r>
          </w:p>
        </w:tc>
        <w:tc>
          <w:tcPr>
            <w:tcW w:w="1256" w:type="dxa"/>
            <w:vMerge w:val="restart"/>
            <w:vAlign w:val="center"/>
          </w:tcPr>
          <w:p>
            <w:pPr>
              <w:snapToGrid w:val="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25" w:type="dxa"/>
            <w:vMerge w:val="continue"/>
            <w:vAlign w:val="center"/>
          </w:tcPr>
          <w:p>
            <w:pPr>
              <w:snapToGrid w:val="0"/>
              <w:jc w:val="center"/>
              <w:rPr>
                <w:rFonts w:hint="eastAsia" w:ascii="宋体" w:hAnsi="宋体" w:eastAsia="宋体" w:cs="宋体"/>
                <w:color w:val="auto"/>
                <w:sz w:val="20"/>
                <w:szCs w:val="20"/>
                <w:highlight w:val="none"/>
              </w:rPr>
            </w:pPr>
          </w:p>
        </w:tc>
        <w:tc>
          <w:tcPr>
            <w:tcW w:w="4978"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2.各类货物包装符合国家GB7718《预包装食品标签通则》、GBT17374《食用植物油销售包装》、GB18406《农产品安全质量》的规定和卫生要求，有注册商标和SC标志等，散装产品有质量合格证明或检验检疫证明等。</w:t>
            </w:r>
          </w:p>
        </w:tc>
        <w:tc>
          <w:tcPr>
            <w:tcW w:w="2715" w:type="dxa"/>
            <w:vMerge w:val="continue"/>
            <w:vAlign w:val="center"/>
          </w:tcPr>
          <w:p>
            <w:pPr>
              <w:snapToGrid w:val="0"/>
              <w:rPr>
                <w:rFonts w:hint="eastAsia" w:ascii="宋体" w:hAnsi="宋体" w:eastAsia="宋体" w:cs="宋体"/>
                <w:color w:val="auto"/>
                <w:sz w:val="20"/>
                <w:szCs w:val="20"/>
                <w:highlight w:val="none"/>
              </w:rPr>
            </w:pPr>
          </w:p>
        </w:tc>
        <w:tc>
          <w:tcPr>
            <w:tcW w:w="1256" w:type="dxa"/>
            <w:vMerge w:val="continue"/>
            <w:vAlign w:val="center"/>
          </w:tcPr>
          <w:p>
            <w:pPr>
              <w:snapToGrid w:val="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25" w:type="dxa"/>
            <w:vMerge w:val="continue"/>
            <w:vAlign w:val="center"/>
          </w:tcPr>
          <w:p>
            <w:pPr>
              <w:snapToGrid w:val="0"/>
              <w:jc w:val="center"/>
              <w:rPr>
                <w:rFonts w:hint="eastAsia" w:ascii="宋体" w:hAnsi="宋体" w:eastAsia="宋体" w:cs="宋体"/>
                <w:color w:val="auto"/>
                <w:sz w:val="20"/>
                <w:szCs w:val="20"/>
                <w:highlight w:val="none"/>
              </w:rPr>
            </w:pPr>
          </w:p>
        </w:tc>
        <w:tc>
          <w:tcPr>
            <w:tcW w:w="4978" w:type="dxa"/>
            <w:tcBorders>
              <w:top w:val="nil"/>
            </w:tcBorders>
            <w:vAlign w:val="center"/>
          </w:tcPr>
          <w:p>
            <w:pPr>
              <w:snapToGrid w:val="0"/>
              <w:rPr>
                <w:rFonts w:hint="eastAsia" w:ascii="宋体" w:hAnsi="宋体" w:eastAsia="宋体" w:cs="宋体"/>
                <w:color w:val="auto"/>
                <w:sz w:val="20"/>
                <w:szCs w:val="20"/>
                <w:highlight w:val="none"/>
              </w:rPr>
            </w:pPr>
          </w:p>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r>
              <w:rPr>
                <w:rFonts w:hint="eastAsia" w:ascii="宋体" w:hAnsi="宋体" w:eastAsia="宋体" w:cs="宋体"/>
                <w:color w:val="auto"/>
                <w:sz w:val="20"/>
                <w:szCs w:val="20"/>
                <w:highlight w:val="none"/>
                <w:lang w:eastAsia="zh-CN"/>
              </w:rPr>
              <w:t>中标人</w:t>
            </w:r>
            <w:r>
              <w:rPr>
                <w:rFonts w:hint="eastAsia" w:ascii="宋体" w:hAnsi="宋体" w:eastAsia="宋体" w:cs="宋体"/>
                <w:color w:val="auto"/>
                <w:sz w:val="20"/>
                <w:szCs w:val="20"/>
                <w:highlight w:val="none"/>
              </w:rPr>
              <w:t>须按采购方的要求，对其供应配送的货物和采购渠道及配送过程严把质量关。采购方对货物提出质量和数量异议的，</w:t>
            </w:r>
            <w:r>
              <w:rPr>
                <w:rFonts w:hint="eastAsia" w:ascii="宋体" w:hAnsi="宋体" w:eastAsia="宋体" w:cs="宋体"/>
                <w:color w:val="auto"/>
                <w:sz w:val="20"/>
                <w:szCs w:val="20"/>
                <w:highlight w:val="none"/>
                <w:lang w:eastAsia="zh-CN"/>
              </w:rPr>
              <w:t>中标人</w:t>
            </w:r>
            <w:r>
              <w:rPr>
                <w:rFonts w:hint="eastAsia" w:ascii="宋体" w:hAnsi="宋体" w:eastAsia="宋体" w:cs="宋体"/>
                <w:color w:val="auto"/>
                <w:sz w:val="20"/>
                <w:szCs w:val="20"/>
                <w:highlight w:val="none"/>
              </w:rPr>
              <w:t>无条件退换货。</w:t>
            </w:r>
          </w:p>
          <w:p>
            <w:pPr>
              <w:snapToGrid w:val="0"/>
              <w:rPr>
                <w:rFonts w:hint="eastAsia" w:ascii="宋体" w:hAnsi="宋体" w:eastAsia="宋体" w:cs="宋体"/>
                <w:color w:val="auto"/>
                <w:sz w:val="20"/>
                <w:szCs w:val="20"/>
                <w:highlight w:val="none"/>
              </w:rPr>
            </w:pPr>
          </w:p>
        </w:tc>
        <w:tc>
          <w:tcPr>
            <w:tcW w:w="2715"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无法提供货物合格证明、检验检疫证明等视货物为不合格产品，每出现一次，扣10分，并按照招标文件相关条款处罚。</w:t>
            </w:r>
          </w:p>
        </w:tc>
        <w:tc>
          <w:tcPr>
            <w:tcW w:w="1256" w:type="dxa"/>
            <w:vMerge w:val="continue"/>
            <w:vAlign w:val="center"/>
          </w:tcPr>
          <w:p>
            <w:pPr>
              <w:snapToGrid w:val="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25" w:type="dxa"/>
            <w:vMerge w:val="continue"/>
          </w:tcPr>
          <w:p>
            <w:pPr>
              <w:snapToGrid w:val="0"/>
              <w:jc w:val="center"/>
              <w:rPr>
                <w:rFonts w:hint="eastAsia" w:ascii="宋体" w:hAnsi="宋体" w:eastAsia="宋体" w:cs="宋体"/>
                <w:color w:val="auto"/>
                <w:sz w:val="20"/>
                <w:szCs w:val="20"/>
                <w:highlight w:val="none"/>
              </w:rPr>
            </w:pPr>
          </w:p>
        </w:tc>
        <w:tc>
          <w:tcPr>
            <w:tcW w:w="4978" w:type="dxa"/>
          </w:tcPr>
          <w:p>
            <w:pPr>
              <w:snapToGrid w:val="0"/>
              <w:rPr>
                <w:rFonts w:hint="eastAsia" w:ascii="宋体" w:hAnsi="宋体" w:eastAsia="宋体" w:cs="宋体"/>
                <w:color w:val="auto"/>
                <w:sz w:val="20"/>
                <w:szCs w:val="20"/>
                <w:highlight w:val="none"/>
              </w:rPr>
            </w:pPr>
          </w:p>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4.原材料验收时不得发生种类遗漏、斤两短缺，与实际清单送货数量不符的情况。</w:t>
            </w:r>
          </w:p>
        </w:tc>
        <w:tc>
          <w:tcPr>
            <w:tcW w:w="2715" w:type="dxa"/>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原材料验收时发生种类遗漏、斤两短缺，与实际清单送货数量不符的情况，视情节轻重，扣1-5分，并按照招标文件相关条款处罚。</w:t>
            </w:r>
          </w:p>
        </w:tc>
        <w:tc>
          <w:tcPr>
            <w:tcW w:w="1256" w:type="dxa"/>
            <w:vMerge w:val="continue"/>
          </w:tcPr>
          <w:p>
            <w:pPr>
              <w:snapToGrid w:val="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Merge w:val="continue"/>
            <w:vAlign w:val="center"/>
          </w:tcPr>
          <w:p>
            <w:pPr>
              <w:snapToGrid w:val="0"/>
              <w:jc w:val="center"/>
              <w:rPr>
                <w:rFonts w:hint="eastAsia" w:ascii="宋体" w:hAnsi="宋体" w:eastAsia="宋体" w:cs="宋体"/>
                <w:color w:val="auto"/>
                <w:sz w:val="20"/>
                <w:szCs w:val="20"/>
                <w:highlight w:val="none"/>
              </w:rPr>
            </w:pPr>
          </w:p>
        </w:tc>
        <w:tc>
          <w:tcPr>
            <w:tcW w:w="4978"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r>
              <w:rPr>
                <w:rFonts w:hint="eastAsia" w:ascii="宋体" w:hAnsi="宋体" w:eastAsia="宋体" w:cs="宋体"/>
                <w:color w:val="auto"/>
                <w:sz w:val="20"/>
                <w:szCs w:val="20"/>
                <w:highlight w:val="none"/>
                <w:lang w:eastAsia="zh-CN"/>
              </w:rPr>
              <w:t>中标人</w:t>
            </w:r>
            <w:r>
              <w:rPr>
                <w:rFonts w:hint="eastAsia" w:ascii="宋体" w:hAnsi="宋体" w:eastAsia="宋体" w:cs="宋体"/>
                <w:color w:val="auto"/>
                <w:sz w:val="20"/>
                <w:szCs w:val="20"/>
                <w:highlight w:val="none"/>
              </w:rPr>
              <w:t>要制订供货应急预案，明确各种因素造成不能按时送货的应对措施，确保食材供应。</w:t>
            </w:r>
          </w:p>
        </w:tc>
        <w:tc>
          <w:tcPr>
            <w:tcW w:w="2715"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未制定相应供货应急预案的，扣3分。</w:t>
            </w:r>
          </w:p>
        </w:tc>
        <w:tc>
          <w:tcPr>
            <w:tcW w:w="1256" w:type="dxa"/>
            <w:vMerge w:val="continue"/>
            <w:vAlign w:val="center"/>
          </w:tcPr>
          <w:p>
            <w:pPr>
              <w:snapToGrid w:val="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5" w:type="dxa"/>
            <w:vMerge w:val="continue"/>
            <w:vAlign w:val="center"/>
          </w:tcPr>
          <w:p>
            <w:pPr>
              <w:snapToGrid w:val="0"/>
              <w:jc w:val="center"/>
              <w:rPr>
                <w:rFonts w:hint="eastAsia" w:ascii="宋体" w:hAnsi="宋体" w:eastAsia="宋体" w:cs="宋体"/>
                <w:color w:val="auto"/>
                <w:sz w:val="20"/>
                <w:szCs w:val="20"/>
                <w:highlight w:val="none"/>
              </w:rPr>
            </w:pPr>
          </w:p>
        </w:tc>
        <w:tc>
          <w:tcPr>
            <w:tcW w:w="4978"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6.所有原材料每日均留存样品一份，保存时间48小时，接受食药监局定期检查和向相关职能检测部门不定期送检，送检开支等费用由供方承担。</w:t>
            </w:r>
          </w:p>
        </w:tc>
        <w:tc>
          <w:tcPr>
            <w:tcW w:w="2715"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原材料未按要求留存样品，每发现一次，扣5分；样品经相关部门检测为不合格产品的，每出现一次，扣10分，并按照招标文件相关条件处罚。</w:t>
            </w:r>
          </w:p>
        </w:tc>
        <w:tc>
          <w:tcPr>
            <w:tcW w:w="1256" w:type="dxa"/>
            <w:vMerge w:val="continue"/>
            <w:vAlign w:val="center"/>
          </w:tcPr>
          <w:p>
            <w:pPr>
              <w:snapToGrid w:val="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25" w:type="dxa"/>
            <w:vMerge w:val="restart"/>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各类台账记录</w:t>
            </w:r>
          </w:p>
        </w:tc>
        <w:tc>
          <w:tcPr>
            <w:tcW w:w="4978"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eastAsia="zh-CN"/>
              </w:rPr>
              <w:t>中标人</w:t>
            </w:r>
            <w:r>
              <w:rPr>
                <w:rFonts w:hint="eastAsia" w:ascii="宋体" w:hAnsi="宋体" w:eastAsia="宋体" w:cs="宋体"/>
                <w:color w:val="auto"/>
                <w:sz w:val="20"/>
                <w:szCs w:val="20"/>
                <w:highlight w:val="none"/>
              </w:rPr>
              <w:t>有进出库、退换货记录台账（送货单以同采购方商议的模板为准）。</w:t>
            </w:r>
          </w:p>
        </w:tc>
        <w:tc>
          <w:tcPr>
            <w:tcW w:w="2715" w:type="dxa"/>
            <w:vMerge w:val="restart"/>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不定期抽查，台账记录不全，视情节轻重，扣5-10分。</w:t>
            </w:r>
          </w:p>
        </w:tc>
        <w:tc>
          <w:tcPr>
            <w:tcW w:w="1256" w:type="dxa"/>
            <w:vMerge w:val="restart"/>
            <w:vAlign w:val="center"/>
          </w:tcPr>
          <w:p>
            <w:pPr>
              <w:snapToGrid w:val="0"/>
              <w:rPr>
                <w:rFonts w:hint="eastAsia" w:ascii="宋体" w:hAnsi="宋体" w:eastAsia="宋体" w:cs="宋体"/>
                <w:color w:val="auto"/>
                <w:sz w:val="20"/>
                <w:szCs w:val="20"/>
                <w:highlight w:val="none"/>
              </w:rPr>
            </w:pPr>
          </w:p>
          <w:p>
            <w:pPr>
              <w:snapToGrid w:val="0"/>
              <w:rPr>
                <w:rFonts w:hint="eastAsia" w:ascii="宋体" w:hAnsi="宋体" w:eastAsia="宋体" w:cs="宋体"/>
                <w:color w:val="auto"/>
                <w:sz w:val="20"/>
                <w:szCs w:val="20"/>
                <w:highlight w:val="none"/>
              </w:rPr>
            </w:pPr>
          </w:p>
          <w:p>
            <w:pPr>
              <w:snapToGrid w:val="0"/>
              <w:rPr>
                <w:rFonts w:hint="eastAsia" w:ascii="宋体" w:hAnsi="宋体" w:eastAsia="宋体" w:cs="宋体"/>
                <w:color w:val="auto"/>
                <w:sz w:val="20"/>
                <w:szCs w:val="20"/>
                <w:highlight w:val="none"/>
              </w:rPr>
            </w:pPr>
          </w:p>
          <w:p>
            <w:pPr>
              <w:snapToGrid w:val="0"/>
              <w:rPr>
                <w:rFonts w:hint="eastAsia" w:ascii="宋体" w:hAnsi="宋体" w:eastAsia="宋体" w:cs="宋体"/>
                <w:color w:val="auto"/>
                <w:sz w:val="20"/>
                <w:szCs w:val="20"/>
                <w:highlight w:val="none"/>
              </w:rPr>
            </w:pPr>
          </w:p>
          <w:p>
            <w:pPr>
              <w:snapToGrid w:val="0"/>
              <w:rPr>
                <w:rFonts w:hint="eastAsia" w:ascii="宋体" w:hAnsi="宋体" w:eastAsia="宋体" w:cs="宋体"/>
                <w:color w:val="auto"/>
                <w:sz w:val="20"/>
                <w:szCs w:val="20"/>
                <w:highlight w:val="none"/>
              </w:rPr>
            </w:pPr>
          </w:p>
          <w:p>
            <w:pPr>
              <w:snapToGrid w:val="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5" w:type="dxa"/>
            <w:vMerge w:val="continue"/>
            <w:vAlign w:val="center"/>
          </w:tcPr>
          <w:p>
            <w:pPr>
              <w:snapToGrid w:val="0"/>
              <w:jc w:val="center"/>
              <w:rPr>
                <w:rFonts w:hint="eastAsia" w:ascii="宋体" w:hAnsi="宋体" w:eastAsia="宋体" w:cs="宋体"/>
                <w:color w:val="auto"/>
                <w:sz w:val="20"/>
                <w:szCs w:val="20"/>
                <w:highlight w:val="none"/>
              </w:rPr>
            </w:pPr>
          </w:p>
        </w:tc>
        <w:tc>
          <w:tcPr>
            <w:tcW w:w="4978"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eastAsia="zh-CN"/>
              </w:rPr>
              <w:t>中标人</w:t>
            </w:r>
            <w:r>
              <w:rPr>
                <w:rFonts w:hint="eastAsia" w:ascii="宋体" w:hAnsi="宋体" w:eastAsia="宋体" w:cs="宋体"/>
                <w:color w:val="auto"/>
                <w:sz w:val="20"/>
                <w:szCs w:val="20"/>
                <w:highlight w:val="none"/>
              </w:rPr>
              <w:t>财会人员与采购方及时对账处理当月的配送清单(每月</w:t>
            </w:r>
            <w:r>
              <w:rPr>
                <w:rFonts w:hint="eastAsia" w:ascii="宋体" w:hAnsi="宋体" w:eastAsia="宋体" w:cs="宋体"/>
                <w:color w:val="auto"/>
                <w:sz w:val="20"/>
                <w:szCs w:val="20"/>
                <w:highlight w:val="none"/>
                <w:lang w:val="en-US" w:eastAsia="zh-CN"/>
              </w:rPr>
              <w:t>25</w:t>
            </w:r>
            <w:r>
              <w:rPr>
                <w:rFonts w:hint="eastAsia" w:ascii="宋体" w:hAnsi="宋体" w:eastAsia="宋体" w:cs="宋体"/>
                <w:color w:val="auto"/>
                <w:sz w:val="20"/>
                <w:szCs w:val="20"/>
                <w:highlight w:val="none"/>
              </w:rPr>
              <w:t>日</w:t>
            </w:r>
            <w:r>
              <w:rPr>
                <w:rFonts w:hint="eastAsia" w:ascii="宋体" w:hAnsi="宋体" w:eastAsia="宋体" w:cs="宋体"/>
                <w:color w:val="auto"/>
                <w:sz w:val="20"/>
                <w:szCs w:val="20"/>
                <w:highlight w:val="none"/>
                <w:lang w:val="en-US" w:eastAsia="zh-CN"/>
              </w:rPr>
              <w:t>之</w:t>
            </w:r>
            <w:r>
              <w:rPr>
                <w:rFonts w:hint="eastAsia" w:ascii="宋体" w:hAnsi="宋体" w:eastAsia="宋体" w:cs="宋体"/>
                <w:color w:val="auto"/>
                <w:sz w:val="20"/>
                <w:szCs w:val="20"/>
                <w:highlight w:val="none"/>
              </w:rPr>
              <w:t>前对账，送货单上的价格、月底结算价格与当月询价表上价格一致)。</w:t>
            </w:r>
          </w:p>
        </w:tc>
        <w:tc>
          <w:tcPr>
            <w:tcW w:w="2715" w:type="dxa"/>
            <w:vMerge w:val="continue"/>
            <w:vAlign w:val="center"/>
          </w:tcPr>
          <w:p>
            <w:pPr>
              <w:snapToGrid w:val="0"/>
              <w:rPr>
                <w:rFonts w:hint="eastAsia" w:ascii="宋体" w:hAnsi="宋体" w:eastAsia="宋体" w:cs="宋体"/>
                <w:color w:val="auto"/>
                <w:sz w:val="20"/>
                <w:szCs w:val="20"/>
                <w:highlight w:val="none"/>
              </w:rPr>
            </w:pPr>
          </w:p>
        </w:tc>
        <w:tc>
          <w:tcPr>
            <w:tcW w:w="1256" w:type="dxa"/>
            <w:vMerge w:val="continue"/>
            <w:vAlign w:val="center"/>
          </w:tcPr>
          <w:p>
            <w:pPr>
              <w:snapToGrid w:val="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725" w:type="dxa"/>
            <w:vMerge w:val="continue"/>
            <w:vAlign w:val="center"/>
          </w:tcPr>
          <w:p>
            <w:pPr>
              <w:snapToGrid w:val="0"/>
              <w:jc w:val="center"/>
              <w:rPr>
                <w:rFonts w:hint="eastAsia" w:ascii="宋体" w:hAnsi="宋体" w:eastAsia="宋体" w:cs="宋体"/>
                <w:color w:val="auto"/>
                <w:sz w:val="20"/>
                <w:szCs w:val="20"/>
                <w:highlight w:val="none"/>
              </w:rPr>
            </w:pPr>
          </w:p>
        </w:tc>
        <w:tc>
          <w:tcPr>
            <w:tcW w:w="4978"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r>
              <w:rPr>
                <w:rFonts w:hint="eastAsia" w:ascii="宋体" w:hAnsi="宋体" w:eastAsia="宋体" w:cs="宋体"/>
                <w:color w:val="auto"/>
                <w:sz w:val="20"/>
                <w:szCs w:val="20"/>
                <w:highlight w:val="none"/>
                <w:lang w:eastAsia="zh-CN"/>
              </w:rPr>
              <w:t>中标人</w:t>
            </w:r>
            <w:r>
              <w:rPr>
                <w:rFonts w:hint="eastAsia" w:ascii="宋体" w:hAnsi="宋体" w:eastAsia="宋体" w:cs="宋体"/>
                <w:color w:val="auto"/>
                <w:sz w:val="20"/>
                <w:szCs w:val="20"/>
                <w:highlight w:val="none"/>
              </w:rPr>
              <w:t>有水果、蔬菜残留农药检测记录台账。</w:t>
            </w:r>
          </w:p>
        </w:tc>
        <w:tc>
          <w:tcPr>
            <w:tcW w:w="2715" w:type="dxa"/>
            <w:vMerge w:val="continue"/>
            <w:vAlign w:val="center"/>
          </w:tcPr>
          <w:p>
            <w:pPr>
              <w:snapToGrid w:val="0"/>
              <w:rPr>
                <w:rFonts w:hint="eastAsia" w:ascii="宋体" w:hAnsi="宋体" w:eastAsia="宋体" w:cs="宋体"/>
                <w:color w:val="auto"/>
                <w:sz w:val="20"/>
                <w:szCs w:val="20"/>
                <w:highlight w:val="none"/>
              </w:rPr>
            </w:pPr>
          </w:p>
        </w:tc>
        <w:tc>
          <w:tcPr>
            <w:tcW w:w="1256" w:type="dxa"/>
            <w:vMerge w:val="continue"/>
            <w:vAlign w:val="center"/>
          </w:tcPr>
          <w:p>
            <w:pPr>
              <w:snapToGrid w:val="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25" w:type="dxa"/>
            <w:vMerge w:val="continue"/>
            <w:vAlign w:val="center"/>
          </w:tcPr>
          <w:p>
            <w:pPr>
              <w:snapToGrid w:val="0"/>
              <w:jc w:val="center"/>
              <w:rPr>
                <w:rFonts w:hint="eastAsia" w:ascii="宋体" w:hAnsi="宋体" w:eastAsia="宋体" w:cs="宋体"/>
                <w:color w:val="auto"/>
                <w:sz w:val="20"/>
                <w:szCs w:val="20"/>
                <w:highlight w:val="none"/>
              </w:rPr>
            </w:pPr>
          </w:p>
        </w:tc>
        <w:tc>
          <w:tcPr>
            <w:tcW w:w="4978"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r>
              <w:rPr>
                <w:rFonts w:hint="eastAsia" w:ascii="宋体" w:hAnsi="宋体" w:eastAsia="宋体" w:cs="宋体"/>
                <w:color w:val="auto"/>
                <w:sz w:val="20"/>
                <w:szCs w:val="20"/>
                <w:highlight w:val="none"/>
                <w:lang w:eastAsia="zh-CN"/>
              </w:rPr>
              <w:t>中标人</w:t>
            </w:r>
            <w:r>
              <w:rPr>
                <w:rFonts w:hint="eastAsia" w:ascii="宋体" w:hAnsi="宋体" w:eastAsia="宋体" w:cs="宋体"/>
                <w:color w:val="auto"/>
                <w:sz w:val="20"/>
                <w:szCs w:val="20"/>
                <w:highlight w:val="none"/>
              </w:rPr>
              <w:t>的加工配送、食物保存等重要部位应当有监控录像和不低于48小时的记录保存。</w:t>
            </w:r>
          </w:p>
        </w:tc>
        <w:tc>
          <w:tcPr>
            <w:tcW w:w="2715" w:type="dxa"/>
            <w:vMerge w:val="continue"/>
            <w:vAlign w:val="center"/>
          </w:tcPr>
          <w:p>
            <w:pPr>
              <w:snapToGrid w:val="0"/>
              <w:rPr>
                <w:rFonts w:hint="eastAsia" w:ascii="宋体" w:hAnsi="宋体" w:eastAsia="宋体" w:cs="宋体"/>
                <w:color w:val="auto"/>
                <w:sz w:val="20"/>
                <w:szCs w:val="20"/>
                <w:highlight w:val="none"/>
              </w:rPr>
            </w:pPr>
          </w:p>
        </w:tc>
        <w:tc>
          <w:tcPr>
            <w:tcW w:w="1256" w:type="dxa"/>
            <w:vMerge w:val="continue"/>
            <w:vAlign w:val="center"/>
          </w:tcPr>
          <w:p>
            <w:pPr>
              <w:snapToGrid w:val="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Merge w:val="restart"/>
            <w:vAlign w:val="center"/>
          </w:tcPr>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配送要求</w:t>
            </w:r>
          </w:p>
        </w:tc>
        <w:tc>
          <w:tcPr>
            <w:tcW w:w="4978"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eastAsia="zh-CN"/>
              </w:rPr>
              <w:t>中标人</w:t>
            </w:r>
            <w:r>
              <w:rPr>
                <w:rFonts w:hint="eastAsia" w:ascii="宋体" w:hAnsi="宋体" w:eastAsia="宋体" w:cs="宋体"/>
                <w:color w:val="auto"/>
                <w:sz w:val="20"/>
                <w:szCs w:val="20"/>
                <w:highlight w:val="none"/>
              </w:rPr>
              <w:t>接到</w:t>
            </w:r>
            <w:r>
              <w:rPr>
                <w:rFonts w:hint="eastAsia" w:ascii="宋体" w:hAnsi="宋体" w:eastAsia="宋体" w:cs="宋体"/>
                <w:color w:val="auto"/>
                <w:sz w:val="20"/>
                <w:szCs w:val="20"/>
                <w:highlight w:val="none"/>
                <w:lang w:eastAsia="zh-CN"/>
              </w:rPr>
              <w:t>采购人</w:t>
            </w:r>
            <w:r>
              <w:rPr>
                <w:rFonts w:hint="eastAsia" w:ascii="宋体" w:hAnsi="宋体" w:eastAsia="宋体" w:cs="宋体"/>
                <w:color w:val="auto"/>
                <w:sz w:val="20"/>
                <w:szCs w:val="20"/>
                <w:highlight w:val="none"/>
              </w:rPr>
              <w:t>的正式采购订单后及时备货，按合同要求并于规定时间保质保量按时配送给</w:t>
            </w:r>
            <w:r>
              <w:rPr>
                <w:rFonts w:hint="eastAsia" w:ascii="宋体" w:hAnsi="宋体" w:eastAsia="宋体" w:cs="宋体"/>
                <w:color w:val="auto"/>
                <w:sz w:val="20"/>
                <w:szCs w:val="20"/>
                <w:highlight w:val="none"/>
                <w:lang w:eastAsia="zh-CN"/>
              </w:rPr>
              <w:t>采购人</w:t>
            </w:r>
            <w:r>
              <w:rPr>
                <w:rFonts w:hint="eastAsia" w:ascii="宋体" w:hAnsi="宋体" w:eastAsia="宋体" w:cs="宋体"/>
                <w:color w:val="auto"/>
                <w:sz w:val="20"/>
                <w:szCs w:val="20"/>
                <w:highlight w:val="none"/>
              </w:rPr>
              <w:t>，不得延误、推诿扯皮及拒不送货；</w:t>
            </w:r>
            <w:r>
              <w:rPr>
                <w:rFonts w:hint="eastAsia" w:ascii="宋体" w:hAnsi="宋体" w:eastAsia="宋体" w:cs="宋体"/>
                <w:color w:val="auto"/>
                <w:sz w:val="20"/>
                <w:szCs w:val="20"/>
                <w:highlight w:val="none"/>
                <w:lang w:eastAsia="zh-CN"/>
              </w:rPr>
              <w:t>采购人</w:t>
            </w:r>
            <w:r>
              <w:rPr>
                <w:rFonts w:hint="eastAsia" w:ascii="宋体" w:hAnsi="宋体" w:eastAsia="宋体" w:cs="宋体"/>
                <w:color w:val="auto"/>
                <w:sz w:val="20"/>
                <w:szCs w:val="20"/>
                <w:highlight w:val="none"/>
              </w:rPr>
              <w:t>临时需要少量食材补送时，应在</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小时内确保配送到位。</w:t>
            </w:r>
          </w:p>
        </w:tc>
        <w:tc>
          <w:tcPr>
            <w:tcW w:w="2715"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原材料没有按时配送到位，影响食堂正常开餐，每出现一次，扣5分，并按照招标文件相关条款处罚。</w:t>
            </w:r>
          </w:p>
        </w:tc>
        <w:tc>
          <w:tcPr>
            <w:tcW w:w="1256" w:type="dxa"/>
            <w:vMerge w:val="restart"/>
            <w:vAlign w:val="center"/>
          </w:tcPr>
          <w:p>
            <w:pPr>
              <w:snapToGrid w:val="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5" w:type="dxa"/>
            <w:vMerge w:val="continue"/>
            <w:vAlign w:val="center"/>
          </w:tcPr>
          <w:p>
            <w:pPr>
              <w:snapToGrid w:val="0"/>
              <w:jc w:val="center"/>
              <w:rPr>
                <w:rFonts w:hint="eastAsia" w:ascii="宋体" w:hAnsi="宋体" w:eastAsia="宋体" w:cs="宋体"/>
                <w:color w:val="auto"/>
                <w:sz w:val="20"/>
                <w:szCs w:val="20"/>
                <w:highlight w:val="none"/>
              </w:rPr>
            </w:pPr>
          </w:p>
        </w:tc>
        <w:tc>
          <w:tcPr>
            <w:tcW w:w="4978"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eastAsia="zh-CN"/>
              </w:rPr>
              <w:t>中标人</w:t>
            </w:r>
            <w:r>
              <w:rPr>
                <w:rFonts w:hint="eastAsia" w:ascii="宋体" w:hAnsi="宋体" w:eastAsia="宋体" w:cs="宋体"/>
                <w:color w:val="auto"/>
                <w:sz w:val="20"/>
                <w:szCs w:val="20"/>
                <w:highlight w:val="none"/>
              </w:rPr>
              <w:t>应及时同</w:t>
            </w:r>
            <w:r>
              <w:rPr>
                <w:rFonts w:hint="eastAsia" w:ascii="宋体" w:hAnsi="宋体" w:eastAsia="宋体" w:cs="宋体"/>
                <w:color w:val="auto"/>
                <w:sz w:val="20"/>
                <w:szCs w:val="20"/>
                <w:highlight w:val="none"/>
                <w:lang w:eastAsia="zh-CN"/>
              </w:rPr>
              <w:t>采购人</w:t>
            </w:r>
            <w:r>
              <w:rPr>
                <w:rFonts w:hint="eastAsia" w:ascii="宋体" w:hAnsi="宋体" w:eastAsia="宋体" w:cs="宋体"/>
                <w:color w:val="auto"/>
                <w:sz w:val="20"/>
                <w:szCs w:val="20"/>
                <w:highlight w:val="none"/>
              </w:rPr>
              <w:t>沟通、反馈因特殊情况造成配送过程不畅或货品无法及时送达的原因。</w:t>
            </w:r>
          </w:p>
        </w:tc>
        <w:tc>
          <w:tcPr>
            <w:tcW w:w="2715"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因未及时沟通反馈影响食堂正常开餐的，扣5分。</w:t>
            </w:r>
          </w:p>
        </w:tc>
        <w:tc>
          <w:tcPr>
            <w:tcW w:w="1256" w:type="dxa"/>
            <w:vMerge w:val="continue"/>
            <w:vAlign w:val="center"/>
          </w:tcPr>
          <w:p>
            <w:pPr>
              <w:snapToGrid w:val="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725" w:type="dxa"/>
            <w:vAlign w:val="center"/>
          </w:tcPr>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服务要求</w:t>
            </w:r>
          </w:p>
        </w:tc>
        <w:tc>
          <w:tcPr>
            <w:tcW w:w="4978" w:type="dxa"/>
            <w:vAlign w:val="center"/>
          </w:tcPr>
          <w:p>
            <w:pPr>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1.模范遵守</w:t>
            </w:r>
            <w:r>
              <w:rPr>
                <w:rFonts w:hint="eastAsia" w:ascii="宋体" w:hAnsi="宋体" w:eastAsia="宋体" w:cs="宋体"/>
                <w:color w:val="auto"/>
                <w:sz w:val="20"/>
                <w:szCs w:val="20"/>
                <w:highlight w:val="none"/>
                <w:lang w:eastAsia="zh-CN"/>
              </w:rPr>
              <w:t>采购人</w:t>
            </w:r>
            <w:r>
              <w:rPr>
                <w:rFonts w:hint="eastAsia" w:ascii="宋体" w:hAnsi="宋体" w:eastAsia="宋体" w:cs="宋体"/>
                <w:color w:val="auto"/>
                <w:sz w:val="20"/>
                <w:szCs w:val="20"/>
                <w:highlight w:val="none"/>
              </w:rPr>
              <w:t>的相关管理制度，并接受</w:t>
            </w:r>
            <w:r>
              <w:rPr>
                <w:rFonts w:hint="eastAsia" w:ascii="宋体" w:hAnsi="宋体" w:eastAsia="宋体" w:cs="宋体"/>
                <w:color w:val="auto"/>
                <w:sz w:val="20"/>
                <w:szCs w:val="20"/>
                <w:highlight w:val="none"/>
                <w:lang w:eastAsia="zh-CN"/>
              </w:rPr>
              <w:t>采购人</w:t>
            </w:r>
            <w:r>
              <w:rPr>
                <w:rFonts w:hint="eastAsia" w:ascii="宋体" w:hAnsi="宋体" w:eastAsia="宋体" w:cs="宋体"/>
                <w:color w:val="auto"/>
                <w:sz w:val="20"/>
                <w:szCs w:val="20"/>
                <w:highlight w:val="none"/>
              </w:rPr>
              <w:t>的监督管理。</w:t>
            </w:r>
          </w:p>
          <w:p>
            <w:pPr>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2.中标人与采购人管理人员不得私下接触，不得有钱物或其他不正当往来。</w:t>
            </w:r>
          </w:p>
        </w:tc>
        <w:tc>
          <w:tcPr>
            <w:tcW w:w="2715"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中标人与采购人管理人员存在廉政问题的，发现1起，考核评分扣15分/次；中标人违反</w:t>
            </w:r>
            <w:r>
              <w:rPr>
                <w:rFonts w:hint="eastAsia" w:ascii="宋体" w:hAnsi="宋体" w:eastAsia="宋体" w:cs="宋体"/>
                <w:color w:val="auto"/>
                <w:sz w:val="20"/>
                <w:szCs w:val="20"/>
                <w:highlight w:val="none"/>
                <w:lang w:val="en-US" w:eastAsia="zh-CN"/>
              </w:rPr>
              <w:t>公司</w:t>
            </w:r>
            <w:r>
              <w:rPr>
                <w:rFonts w:hint="eastAsia" w:ascii="宋体" w:hAnsi="宋体" w:eastAsia="宋体" w:cs="宋体"/>
                <w:color w:val="auto"/>
                <w:sz w:val="20"/>
                <w:szCs w:val="20"/>
                <w:highlight w:val="none"/>
              </w:rPr>
              <w:t>的其他相关管理规定，视情节轻重，扣5-20分；不服从食堂管理方监督管理，视情节轻重，扣5-30分。</w:t>
            </w:r>
          </w:p>
        </w:tc>
        <w:tc>
          <w:tcPr>
            <w:tcW w:w="1256" w:type="dxa"/>
            <w:vAlign w:val="center"/>
          </w:tcPr>
          <w:p>
            <w:pPr>
              <w:snapToGrid w:val="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Align w:val="center"/>
          </w:tcPr>
          <w:p>
            <w:pPr>
              <w:snapToGrid w:val="0"/>
              <w:spacing w:line="30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解除合同</w:t>
            </w:r>
          </w:p>
        </w:tc>
        <w:tc>
          <w:tcPr>
            <w:tcW w:w="4978" w:type="dxa"/>
            <w:vAlign w:val="center"/>
          </w:tcPr>
          <w:p>
            <w:pPr>
              <w:numPr>
                <w:ilvl w:val="0"/>
                <w:numId w:val="2"/>
              </w:numPr>
              <w:spacing w:line="300" w:lineRule="exact"/>
              <w:jc w:val="left"/>
              <w:rPr>
                <w:rFonts w:hint="eastAsia" w:ascii="宋体" w:hAnsi="宋体" w:eastAsia="宋体" w:cs="宋体"/>
                <w:bCs/>
                <w:color w:val="auto"/>
                <w:sz w:val="20"/>
                <w:szCs w:val="20"/>
                <w:highlight w:val="none"/>
              </w:rPr>
            </w:pPr>
            <w:r>
              <w:rPr>
                <w:rFonts w:hint="eastAsia" w:ascii="宋体" w:hAnsi="宋体" w:eastAsia="宋体" w:cs="宋体"/>
                <w:color w:val="auto"/>
                <w:sz w:val="20"/>
                <w:szCs w:val="20"/>
                <w:highlight w:val="none"/>
                <w:lang w:eastAsia="zh-CN"/>
              </w:rPr>
              <w:t>中标人</w:t>
            </w:r>
            <w:r>
              <w:rPr>
                <w:rFonts w:hint="eastAsia" w:ascii="宋体" w:hAnsi="宋体" w:eastAsia="宋体" w:cs="宋体"/>
                <w:color w:val="auto"/>
                <w:sz w:val="20"/>
                <w:szCs w:val="20"/>
                <w:highlight w:val="none"/>
              </w:rPr>
              <w:t>在每月《</w:t>
            </w:r>
            <w:r>
              <w:rPr>
                <w:rFonts w:hint="eastAsia" w:ascii="宋体" w:hAnsi="宋体" w:eastAsia="宋体" w:cs="宋体"/>
                <w:bCs/>
                <w:color w:val="auto"/>
                <w:sz w:val="20"/>
                <w:szCs w:val="20"/>
                <w:highlight w:val="none"/>
              </w:rPr>
              <w:t>重庆首讯科技股份有限公司生鲜配送规范及考核标准》中有三个月考核分数都低于70分的，则</w:t>
            </w:r>
            <w:r>
              <w:rPr>
                <w:rFonts w:hint="eastAsia" w:ascii="宋体" w:hAnsi="宋体" w:eastAsia="宋体" w:cs="宋体"/>
                <w:bCs/>
                <w:color w:val="auto"/>
                <w:sz w:val="20"/>
                <w:szCs w:val="20"/>
                <w:highlight w:val="none"/>
                <w:lang w:eastAsia="zh-CN"/>
              </w:rPr>
              <w:t>采购人</w:t>
            </w:r>
            <w:r>
              <w:rPr>
                <w:rFonts w:hint="eastAsia" w:ascii="宋体" w:hAnsi="宋体" w:eastAsia="宋体" w:cs="宋体"/>
                <w:bCs/>
                <w:color w:val="auto"/>
                <w:sz w:val="20"/>
                <w:szCs w:val="20"/>
                <w:highlight w:val="none"/>
              </w:rPr>
              <w:t>可直接解除配送合同。</w:t>
            </w:r>
          </w:p>
          <w:p>
            <w:pPr>
              <w:numPr>
                <w:ilvl w:val="0"/>
                <w:numId w:val="2"/>
              </w:numPr>
              <w:spacing w:line="300" w:lineRule="exact"/>
              <w:jc w:val="left"/>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因配送食材的质量问题引发较大安全事故的（5人以上的食品中毒），则</w:t>
            </w:r>
            <w:r>
              <w:rPr>
                <w:rFonts w:hint="eastAsia" w:ascii="宋体" w:hAnsi="宋体" w:eastAsia="宋体" w:cs="宋体"/>
                <w:bCs/>
                <w:color w:val="auto"/>
                <w:sz w:val="20"/>
                <w:szCs w:val="20"/>
                <w:highlight w:val="none"/>
                <w:lang w:eastAsia="zh-CN"/>
              </w:rPr>
              <w:t>采购人</w:t>
            </w:r>
            <w:r>
              <w:rPr>
                <w:rFonts w:hint="eastAsia" w:ascii="宋体" w:hAnsi="宋体" w:eastAsia="宋体" w:cs="宋体"/>
                <w:bCs/>
                <w:color w:val="auto"/>
                <w:sz w:val="20"/>
                <w:szCs w:val="20"/>
                <w:highlight w:val="none"/>
              </w:rPr>
              <w:t>可直接解除配送合同。</w:t>
            </w:r>
          </w:p>
          <w:p>
            <w:pPr>
              <w:numPr>
                <w:ilvl w:val="0"/>
                <w:numId w:val="2"/>
              </w:numPr>
              <w:spacing w:line="300" w:lineRule="exact"/>
              <w:jc w:val="left"/>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rPr>
              <w:t>在配送过程中存在违法违规行为的，则</w:t>
            </w:r>
            <w:r>
              <w:rPr>
                <w:rFonts w:hint="eastAsia" w:ascii="宋体" w:hAnsi="宋体" w:eastAsia="宋体" w:cs="宋体"/>
                <w:bCs/>
                <w:color w:val="auto"/>
                <w:sz w:val="20"/>
                <w:szCs w:val="20"/>
                <w:highlight w:val="none"/>
                <w:lang w:eastAsia="zh-CN"/>
              </w:rPr>
              <w:t>采购人</w:t>
            </w:r>
            <w:r>
              <w:rPr>
                <w:rFonts w:hint="eastAsia" w:ascii="宋体" w:hAnsi="宋体" w:eastAsia="宋体" w:cs="宋体"/>
                <w:bCs/>
                <w:color w:val="auto"/>
                <w:sz w:val="20"/>
                <w:szCs w:val="20"/>
                <w:highlight w:val="none"/>
              </w:rPr>
              <w:t>可直接解除配送合同。</w:t>
            </w:r>
          </w:p>
        </w:tc>
        <w:tc>
          <w:tcPr>
            <w:tcW w:w="2715"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rPr>
              <w:t>解除配送合同</w:t>
            </w:r>
          </w:p>
        </w:tc>
        <w:tc>
          <w:tcPr>
            <w:tcW w:w="1256" w:type="dxa"/>
            <w:vAlign w:val="center"/>
          </w:tcPr>
          <w:p>
            <w:pPr>
              <w:snapToGrid w:val="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5" w:type="dxa"/>
            <w:vAlign w:val="center"/>
          </w:tcPr>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w:t>
            </w:r>
          </w:p>
        </w:tc>
        <w:tc>
          <w:tcPr>
            <w:tcW w:w="4978" w:type="dxa"/>
            <w:vAlign w:val="center"/>
          </w:tcPr>
          <w:p>
            <w:pPr>
              <w:snapToGrid w:val="0"/>
              <w:ind w:left="141" w:leftChars="6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本考核标准中未涉及相关法律法规的条款，按照《中华人民共和国食品安全法》等国家强制性标准予以执行。</w:t>
            </w:r>
          </w:p>
        </w:tc>
        <w:tc>
          <w:tcPr>
            <w:tcW w:w="2715"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最后得分：</w:t>
            </w:r>
          </w:p>
        </w:tc>
        <w:tc>
          <w:tcPr>
            <w:tcW w:w="1256" w:type="dxa"/>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总扣分：</w:t>
            </w:r>
          </w:p>
        </w:tc>
      </w:tr>
    </w:tbl>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（三）中标人应对扣分项目立即整改，拒不整改的，该扣分事项加倍扣分，发生2次拒不整改的，视为不能正常履行合同，采购人有权单方面解除双方合同关系。</w:t>
      </w:r>
    </w:p>
    <w:p>
      <w:pPr>
        <w:snapToGrid w:val="0"/>
        <w:spacing w:line="400" w:lineRule="exact"/>
        <w:ind w:firstLine="420" w:firstLineChars="200"/>
        <w:rPr>
          <w:rFonts w:ascii="方正仿宋_GBK" w:hAnsi="宋体" w:eastAsia="方正仿宋_GBK" w:cs="宋体"/>
          <w:color w:val="auto"/>
          <w:kern w:val="0"/>
          <w:sz w:val="24"/>
          <w:szCs w:val="24"/>
        </w:rPr>
      </w:pPr>
      <w:r>
        <w:rPr>
          <w:rFonts w:hint="eastAsia" w:ascii="宋体" w:hAnsi="宋体" w:eastAsia="宋体" w:cs="宋体"/>
          <w:color w:val="auto"/>
          <w:kern w:val="0"/>
          <w:sz w:val="21"/>
          <w:szCs w:val="21"/>
        </w:rPr>
        <w:t>本考核细则，</w:t>
      </w:r>
      <w:r>
        <w:rPr>
          <w:rFonts w:hint="eastAsia" w:ascii="宋体" w:hAnsi="宋体" w:eastAsia="宋体" w:cs="宋体"/>
          <w:color w:val="auto"/>
          <w:kern w:val="0"/>
          <w:sz w:val="21"/>
          <w:szCs w:val="21"/>
          <w:lang w:eastAsia="zh-CN"/>
        </w:rPr>
        <w:t>报价人</w:t>
      </w:r>
      <w:r>
        <w:rPr>
          <w:rFonts w:hint="eastAsia" w:ascii="宋体" w:hAnsi="宋体" w:eastAsia="宋体" w:cs="宋体"/>
          <w:color w:val="auto"/>
          <w:kern w:val="0"/>
          <w:sz w:val="21"/>
          <w:szCs w:val="21"/>
        </w:rPr>
        <w:t>与采购人签订合同时可进一步协商调整，但调整后的考核项目、考核标准、考核分值原则上不得低于考核细则（特殊情形除外）。</w:t>
      </w:r>
    </w:p>
    <w:p>
      <w:pPr>
        <w:pStyle w:val="25"/>
        <w:spacing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八</w:t>
      </w:r>
      <w:r>
        <w:rPr>
          <w:rFonts w:hint="eastAsia" w:ascii="宋体" w:hAnsi="宋体" w:cs="宋体"/>
          <w:b/>
          <w:bCs/>
          <w:color w:val="auto"/>
          <w:highlight w:val="none"/>
        </w:rPr>
        <w:t>、其他商务要求</w:t>
      </w:r>
    </w:p>
    <w:p>
      <w:pPr>
        <w:pStyle w:val="25"/>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一）若中标人所提供货物不符合合同及采购文件（合同）要求的质量、服务标准或履约过程中有违约行为的，采购人有权拒收，并有权单方面解除合同，同时保留追究由此给采购人造成损失的权利，且履约保证金不予退还；</w:t>
      </w:r>
    </w:p>
    <w:p>
      <w:pPr>
        <w:pStyle w:val="25"/>
        <w:spacing w:line="360" w:lineRule="auto"/>
        <w:ind w:left="0" w:leftChars="0" w:firstLine="420" w:firstLineChars="200"/>
        <w:rPr>
          <w:rFonts w:ascii="宋体" w:hAnsi="宋体" w:cs="宋体"/>
          <w:color w:val="auto"/>
          <w:highlight w:val="none"/>
        </w:rPr>
      </w:pPr>
      <w:r>
        <w:rPr>
          <w:rFonts w:hint="eastAsia" w:ascii="宋体" w:hAnsi="宋体" w:cs="宋体"/>
          <w:color w:val="auto"/>
          <w:highlight w:val="none"/>
        </w:rPr>
        <w:t>（二）合同签订后，采购人发现成交中标人虚假应标的，亦可单方终止合同，并上报监管部门依法处罚。</w:t>
      </w:r>
      <w:r>
        <w:rPr>
          <w:rFonts w:hint="eastAsia" w:ascii="宋体" w:hAnsi="宋体" w:cs="宋体"/>
          <w:color w:val="auto"/>
          <w:highlight w:val="none"/>
        </w:rPr>
        <w:br w:type="page"/>
      </w:r>
      <w:bookmarkEnd w:id="228"/>
      <w:bookmarkEnd w:id="229"/>
      <w:bookmarkEnd w:id="230"/>
      <w:bookmarkStart w:id="245" w:name="_Toc513633965"/>
    </w:p>
    <w:p>
      <w:pPr>
        <w:pStyle w:val="4"/>
        <w:spacing w:before="0" w:after="0" w:line="360" w:lineRule="auto"/>
        <w:jc w:val="center"/>
        <w:rPr>
          <w:rFonts w:ascii="宋体" w:hAnsi="宋体" w:cs="宋体"/>
          <w:color w:val="auto"/>
          <w:highlight w:val="none"/>
        </w:rPr>
      </w:pPr>
      <w:bookmarkStart w:id="246" w:name="_Toc15881"/>
      <w:bookmarkStart w:id="247" w:name="_Toc514858709"/>
      <w:bookmarkStart w:id="248" w:name="_Toc2000413"/>
      <w:r>
        <w:rPr>
          <w:rFonts w:hint="eastAsia" w:ascii="宋体" w:hAnsi="宋体" w:cs="宋体"/>
          <w:color w:val="auto"/>
          <w:highlight w:val="none"/>
        </w:rPr>
        <w:t>第八章  竞争性比选响应文件格式</w:t>
      </w:r>
      <w:bookmarkEnd w:id="245"/>
      <w:bookmarkEnd w:id="246"/>
      <w:bookmarkEnd w:id="247"/>
      <w:bookmarkEnd w:id="248"/>
    </w:p>
    <w:p>
      <w:pPr>
        <w:rPr>
          <w:color w:val="auto"/>
          <w:highlight w:val="none"/>
        </w:rPr>
      </w:pPr>
      <w:r>
        <w:rPr>
          <w:rFonts w:hint="eastAsia" w:ascii="宋体" w:hAnsi="宋体" w:cs="宋体"/>
          <w:color w:val="auto"/>
          <w:highlight w:val="none"/>
        </w:rPr>
        <w:br w:type="page"/>
      </w:r>
    </w:p>
    <w:p>
      <w:pPr>
        <w:jc w:val="center"/>
        <w:rPr>
          <w:rFonts w:ascii="宋体" w:hAnsi="宋体" w:cs="宋体"/>
          <w:color w:val="auto"/>
          <w:sz w:val="52"/>
          <w:szCs w:val="52"/>
          <w:highlight w:val="none"/>
          <w:u w:val="single"/>
        </w:rPr>
      </w:pPr>
      <w:bookmarkStart w:id="249" w:name="_Toc514858710"/>
      <w:bookmarkStart w:id="250" w:name="_Toc503951046"/>
      <w:bookmarkStart w:id="251" w:name="_Toc503971829"/>
      <w:bookmarkStart w:id="252" w:name="_Toc513633967"/>
      <w:bookmarkStart w:id="253" w:name="_Toc513646738"/>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249"/>
      <w:bookmarkEnd w:id="250"/>
      <w:bookmarkEnd w:id="251"/>
      <w:bookmarkEnd w:id="252"/>
      <w:bookmarkEnd w:id="253"/>
      <w:r>
        <w:rPr>
          <w:rFonts w:hint="eastAsia" w:ascii="宋体" w:hAnsi="宋体" w:cs="宋体"/>
          <w:color w:val="auto"/>
          <w:sz w:val="52"/>
          <w:szCs w:val="52"/>
          <w:highlight w:val="none"/>
          <w:u w:val="single"/>
        </w:rPr>
        <w:t xml:space="preserve"> </w:t>
      </w:r>
    </w:p>
    <w:p>
      <w:pPr>
        <w:rPr>
          <w:rFonts w:ascii="宋体" w:hAnsi="宋体" w:cs="宋体"/>
          <w:color w:val="auto"/>
          <w:sz w:val="20"/>
          <w:szCs w:val="20"/>
          <w:highlight w:val="none"/>
        </w:rPr>
      </w:pP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pPr>
        <w:jc w:val="center"/>
        <w:rPr>
          <w:rFonts w:ascii="宋体" w:hAnsi="宋体" w:cs="宋体"/>
          <w:b/>
          <w:color w:val="auto"/>
          <w:sz w:val="32"/>
          <w:szCs w:val="32"/>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30"/>
        <w:rPr>
          <w:color w:val="auto"/>
          <w:highlight w:val="none"/>
        </w:rPr>
      </w:pPr>
    </w:p>
    <w:p>
      <w:pPr>
        <w:rPr>
          <w:color w:val="auto"/>
          <w:highlight w:val="none"/>
        </w:rPr>
      </w:pPr>
    </w:p>
    <w:p>
      <w:pPr>
        <w:pStyle w:val="30"/>
        <w:rPr>
          <w:color w:val="auto"/>
          <w:highlight w:val="none"/>
        </w:rPr>
      </w:pPr>
    </w:p>
    <w:p>
      <w:pPr>
        <w:rPr>
          <w:color w:val="auto"/>
          <w:highlight w:val="none"/>
        </w:rPr>
      </w:pPr>
    </w:p>
    <w:p>
      <w:pPr>
        <w:pStyle w:val="30"/>
        <w:rPr>
          <w:color w:val="auto"/>
          <w:highlight w:val="none"/>
        </w:rPr>
      </w:pPr>
    </w:p>
    <w:p>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（盖单位鲜公章）</w:t>
      </w:r>
    </w:p>
    <w:p>
      <w:pPr>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jc w:val="center"/>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rPr>
          <w:color w:val="auto"/>
          <w:highlight w:val="none"/>
        </w:rPr>
      </w:pPr>
      <w:r>
        <w:rPr>
          <w:rFonts w:hint="eastAsia"/>
          <w:color w:val="auto"/>
          <w:highlight w:val="none"/>
        </w:rPr>
        <w:br w:type="page"/>
      </w:r>
    </w:p>
    <w:p>
      <w:pPr>
        <w:pStyle w:val="5"/>
        <w:jc w:val="center"/>
        <w:rPr>
          <w:rFonts w:ascii="宋体" w:hAnsi="宋体" w:eastAsia="宋体" w:cs="宋体"/>
          <w:color w:val="auto"/>
          <w:highlight w:val="none"/>
        </w:rPr>
      </w:pPr>
      <w:bookmarkStart w:id="254" w:name="_Toc5459"/>
      <w:bookmarkStart w:id="255" w:name="_Toc11329273"/>
      <w:bookmarkStart w:id="256" w:name="_Toc28780"/>
      <w:bookmarkStart w:id="257" w:name="_Toc3606"/>
      <w:bookmarkStart w:id="258" w:name="_Toc18761"/>
      <w:bookmarkStart w:id="259" w:name="_Toc1368"/>
      <w:bookmarkStart w:id="260" w:name="_Toc12189"/>
      <w:bookmarkStart w:id="261" w:name="_Toc27055"/>
      <w:r>
        <w:rPr>
          <w:rFonts w:hint="eastAsia" w:ascii="宋体" w:hAnsi="宋体" w:eastAsia="宋体" w:cs="宋体"/>
          <w:color w:val="auto"/>
          <w:highlight w:val="none"/>
        </w:rPr>
        <w:t>目    录</w:t>
      </w:r>
      <w:bookmarkEnd w:id="231"/>
      <w:bookmarkEnd w:id="232"/>
      <w:bookmarkEnd w:id="233"/>
      <w:bookmarkEnd w:id="234"/>
      <w:bookmarkEnd w:id="235"/>
      <w:bookmarkEnd w:id="236"/>
      <w:bookmarkEnd w:id="237"/>
      <w:bookmarkEnd w:id="238"/>
      <w:bookmarkEnd w:id="254"/>
      <w:bookmarkEnd w:id="255"/>
      <w:bookmarkEnd w:id="256"/>
      <w:bookmarkEnd w:id="257"/>
      <w:bookmarkEnd w:id="258"/>
      <w:bookmarkEnd w:id="259"/>
      <w:bookmarkEnd w:id="260"/>
      <w:bookmarkEnd w:id="261"/>
    </w:p>
    <w:p>
      <w:pPr>
        <w:numPr>
          <w:ilvl w:val="0"/>
          <w:numId w:val="3"/>
        </w:numPr>
        <w:spacing w:line="400" w:lineRule="exact"/>
        <w:rPr>
          <w:rFonts w:ascii="宋体" w:hAnsi="宋体" w:cs="宋体"/>
          <w:color w:val="auto"/>
          <w:highlight w:val="none"/>
        </w:rPr>
      </w:pPr>
      <w:r>
        <w:rPr>
          <w:rFonts w:hint="eastAsia" w:ascii="宋体" w:hAnsi="宋体" w:cs="宋体"/>
          <w:color w:val="auto"/>
          <w:highlight w:val="none"/>
        </w:rPr>
        <w:t>竞争性响应声明书</w:t>
      </w:r>
    </w:p>
    <w:p>
      <w:pPr>
        <w:numPr>
          <w:ilvl w:val="0"/>
          <w:numId w:val="3"/>
        </w:numPr>
        <w:spacing w:line="400" w:lineRule="exact"/>
        <w:rPr>
          <w:rFonts w:ascii="宋体" w:hAnsi="宋体" w:cs="宋体"/>
          <w:color w:val="auto"/>
          <w:highlight w:val="none"/>
        </w:rPr>
      </w:pPr>
      <w:r>
        <w:rPr>
          <w:rFonts w:ascii="宋体" w:hAnsi="宋体" w:cs="宋体"/>
          <w:color w:val="auto"/>
          <w:highlight w:val="none"/>
        </w:rPr>
        <w:t>法定代表人身份证明或法定代表人授权委托书</w:t>
      </w:r>
    </w:p>
    <w:p>
      <w:pPr>
        <w:spacing w:line="400" w:lineRule="exac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三、报价一览表</w:t>
      </w:r>
    </w:p>
    <w:p>
      <w:pPr>
        <w:spacing w:line="400" w:lineRule="exact"/>
        <w:rPr>
          <w:rFonts w:ascii="宋体" w:hAnsi="宋体" w:cs="宋体"/>
          <w:color w:val="auto"/>
          <w:highlight w:val="none"/>
        </w:rPr>
      </w:pPr>
      <w:r>
        <w:rPr>
          <w:rFonts w:hint="eastAsia" w:ascii="宋体" w:hAnsi="宋体" w:cs="宋体"/>
          <w:color w:val="auto"/>
          <w:highlight w:val="none"/>
          <w:lang w:val="en-US" w:eastAsia="zh-CN"/>
        </w:rPr>
        <w:t>四</w:t>
      </w:r>
      <w:r>
        <w:rPr>
          <w:rFonts w:hint="eastAsia" w:ascii="宋体" w:hAnsi="宋体" w:cs="宋体"/>
          <w:color w:val="auto"/>
          <w:highlight w:val="none"/>
        </w:rPr>
        <w:t>、资格审查资料</w:t>
      </w:r>
    </w:p>
    <w:p>
      <w:pPr>
        <w:spacing w:line="400" w:lineRule="exact"/>
        <w:rPr>
          <w:rFonts w:ascii="宋体" w:hAnsi="宋体" w:cs="宋体"/>
          <w:color w:val="auto"/>
          <w:highlight w:val="none"/>
        </w:rPr>
      </w:pPr>
      <w:r>
        <w:rPr>
          <w:rFonts w:hint="eastAsia" w:ascii="宋体" w:hAnsi="宋体" w:cs="宋体"/>
          <w:color w:val="auto"/>
          <w:highlight w:val="none"/>
          <w:lang w:val="en-US" w:eastAsia="zh-CN"/>
        </w:rPr>
        <w:t>五</w:t>
      </w:r>
      <w:r>
        <w:rPr>
          <w:rFonts w:hint="eastAsia" w:ascii="宋体" w:hAnsi="宋体" w:cs="宋体"/>
          <w:color w:val="auto"/>
          <w:highlight w:val="none"/>
        </w:rPr>
        <w:t>、</w:t>
      </w:r>
      <w:r>
        <w:rPr>
          <w:rFonts w:hint="eastAsia" w:ascii="宋体" w:hAnsi="宋体" w:cs="宋体"/>
          <w:color w:val="auto"/>
          <w:szCs w:val="21"/>
          <w:highlight w:val="none"/>
        </w:rPr>
        <w:t>报价人基本信息及其他材料</w:t>
      </w:r>
    </w:p>
    <w:p>
      <w:pPr>
        <w:spacing w:line="400" w:lineRule="exact"/>
        <w:rPr>
          <w:rFonts w:ascii="宋体" w:hAnsi="宋体" w:cs="宋体"/>
          <w:color w:val="auto"/>
          <w:highlight w:val="none"/>
        </w:rPr>
      </w:pPr>
      <w:r>
        <w:rPr>
          <w:rFonts w:ascii="宋体" w:hAnsi="宋体" w:cs="宋体"/>
          <w:color w:val="auto"/>
          <w:highlight w:val="none"/>
        </w:rPr>
        <w:br w:type="page"/>
      </w:r>
    </w:p>
    <w:p>
      <w:pPr>
        <w:pStyle w:val="5"/>
        <w:spacing w:before="0" w:after="0" w:line="360" w:lineRule="auto"/>
        <w:jc w:val="center"/>
        <w:rPr>
          <w:rFonts w:ascii="宋体" w:hAnsi="宋体" w:eastAsia="宋体" w:cs="宋体"/>
          <w:color w:val="auto"/>
          <w:sz w:val="28"/>
          <w:highlight w:val="none"/>
        </w:rPr>
      </w:pPr>
      <w:bookmarkStart w:id="262" w:name="_Toc11329274"/>
      <w:bookmarkStart w:id="263" w:name="_Toc8870"/>
      <w:bookmarkStart w:id="264" w:name="_Toc25874"/>
      <w:bookmarkStart w:id="265" w:name="_Toc26784"/>
      <w:bookmarkStart w:id="266" w:name="_Toc20552"/>
      <w:bookmarkStart w:id="267" w:name="_Toc28490"/>
      <w:bookmarkStart w:id="268" w:name="_Toc29547"/>
      <w:bookmarkStart w:id="269" w:name="_Toc15863"/>
      <w:bookmarkStart w:id="270" w:name="_Toc5274"/>
      <w:bookmarkStart w:id="271" w:name="_Toc447827053"/>
      <w:bookmarkStart w:id="272" w:name="_Toc503951048"/>
      <w:bookmarkStart w:id="273" w:name="_Toc513633969"/>
      <w:r>
        <w:rPr>
          <w:rFonts w:hint="eastAsia" w:ascii="宋体" w:hAnsi="宋体" w:eastAsia="宋体" w:cs="宋体"/>
          <w:color w:val="auto"/>
          <w:sz w:val="28"/>
          <w:highlight w:val="none"/>
        </w:rPr>
        <w:t>一、</w:t>
      </w:r>
      <w:bookmarkEnd w:id="262"/>
      <w:bookmarkEnd w:id="263"/>
      <w:r>
        <w:rPr>
          <w:rFonts w:hint="eastAsia" w:ascii="宋体" w:hAnsi="宋体" w:eastAsia="宋体" w:cs="宋体"/>
          <w:color w:val="auto"/>
          <w:sz w:val="28"/>
          <w:highlight w:val="none"/>
        </w:rPr>
        <w:t>竞争比选响应声明书</w:t>
      </w:r>
      <w:bookmarkEnd w:id="264"/>
      <w:bookmarkEnd w:id="265"/>
      <w:bookmarkEnd w:id="266"/>
      <w:bookmarkEnd w:id="267"/>
      <w:bookmarkEnd w:id="268"/>
      <w:bookmarkEnd w:id="269"/>
      <w:bookmarkEnd w:id="270"/>
    </w:p>
    <w:p>
      <w:pPr>
        <w:tabs>
          <w:tab w:val="left" w:pos="900"/>
        </w:tabs>
        <w:spacing w:line="300" w:lineRule="auto"/>
        <w:rPr>
          <w:rFonts w:ascii="Arial" w:hAnsi="Arial" w:cs="Arial"/>
          <w:color w:val="auto"/>
          <w:sz w:val="24"/>
          <w:highlight w:val="none"/>
        </w:rPr>
      </w:pPr>
      <w:r>
        <w:rPr>
          <w:rFonts w:ascii="Arial" w:hAnsi="Arial" w:cs="Arial"/>
          <w:color w:val="auto"/>
          <w:sz w:val="24"/>
          <w:highlight w:val="none"/>
        </w:rPr>
        <w:t xml:space="preserve"> </w:t>
      </w: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pPr>
        <w:spacing w:line="700" w:lineRule="atLeast"/>
        <w:ind w:firstLine="480" w:firstLineChars="200"/>
        <w:rPr>
          <w:rFonts w:ascii="Arial" w:hAnsi="Arial" w:cs="Arial"/>
          <w:color w:val="auto"/>
          <w:sz w:val="24"/>
          <w:highlight w:val="none"/>
        </w:rPr>
      </w:pPr>
      <w:r>
        <w:rPr>
          <w:rFonts w:hint="eastAsia" w:ascii="Arial" w:hAnsi="Arial" w:cs="Arial"/>
          <w:color w:val="auto"/>
          <w:sz w:val="24"/>
          <w:highlight w:val="none"/>
        </w:rPr>
        <w:t>根据贵方为</w:t>
      </w:r>
      <w:r>
        <w:rPr>
          <w:rFonts w:hint="eastAsia" w:ascii="Arial" w:hAnsi="Arial" w:cs="Arial"/>
          <w:color w:val="auto"/>
          <w:sz w:val="24"/>
          <w:highlight w:val="none"/>
          <w:u w:val="single"/>
          <w:lang w:eastAsia="zh-CN"/>
        </w:rPr>
        <w:t>首讯公司2023-2024年职工食堂生鲜配送采购</w:t>
      </w:r>
      <w:r>
        <w:rPr>
          <w:rFonts w:hint="eastAsia" w:ascii="Arial" w:hAnsi="Arial" w:cs="Arial"/>
          <w:color w:val="auto"/>
          <w:sz w:val="24"/>
          <w:highlight w:val="none"/>
        </w:rPr>
        <w:t>竞争比选项目及服务的竞争比选邀请，签字代表</w:t>
      </w:r>
      <w:r>
        <w:rPr>
          <w:rFonts w:ascii="Arial" w:hAnsi="Arial" w:cs="Arial"/>
          <w:color w:val="auto"/>
          <w:sz w:val="24"/>
          <w:highlight w:val="none"/>
          <w:u w:val="single"/>
        </w:rPr>
        <w:t xml:space="preserve">          </w:t>
      </w:r>
      <w:r>
        <w:rPr>
          <w:rFonts w:hint="eastAsia" w:ascii="Arial" w:hAnsi="Arial" w:cs="Arial"/>
          <w:color w:val="auto"/>
          <w:sz w:val="24"/>
          <w:highlight w:val="none"/>
          <w:u w:val="single"/>
        </w:rPr>
        <w:t>（全名、职务）</w:t>
      </w:r>
      <w:r>
        <w:rPr>
          <w:rFonts w:hint="eastAsia" w:ascii="Arial" w:hAnsi="Arial" w:cs="Arial"/>
          <w:color w:val="auto"/>
          <w:sz w:val="24"/>
          <w:highlight w:val="none"/>
        </w:rPr>
        <w:t>经正式授权并代表竞争比选响应单位</w:t>
      </w:r>
      <w:r>
        <w:rPr>
          <w:rFonts w:ascii="Arial" w:hAnsi="Arial" w:cs="Arial"/>
          <w:color w:val="auto"/>
          <w:sz w:val="24"/>
          <w:highlight w:val="none"/>
          <w:u w:val="single"/>
        </w:rPr>
        <w:t xml:space="preserve"> </w:t>
      </w:r>
      <w:r>
        <w:rPr>
          <w:rFonts w:hint="eastAsia" w:ascii="Arial" w:hAnsi="Arial" w:cs="Arial"/>
          <w:color w:val="auto"/>
          <w:sz w:val="24"/>
          <w:highlight w:val="none"/>
          <w:u w:val="single"/>
        </w:rPr>
        <w:t>（竞争比选响应单位名称）</w:t>
      </w:r>
      <w:r>
        <w:rPr>
          <w:rFonts w:ascii="Arial" w:hAnsi="Arial" w:cs="Arial"/>
          <w:color w:val="auto"/>
          <w:sz w:val="24"/>
          <w:highlight w:val="none"/>
          <w:u w:val="single"/>
        </w:rPr>
        <w:t xml:space="preserve"> </w:t>
      </w:r>
      <w:r>
        <w:rPr>
          <w:rFonts w:hint="eastAsia" w:ascii="Arial" w:hAnsi="Arial" w:cs="Arial"/>
          <w:color w:val="auto"/>
          <w:sz w:val="24"/>
          <w:highlight w:val="none"/>
        </w:rPr>
        <w:t>提交报价文件。</w:t>
      </w:r>
    </w:p>
    <w:p>
      <w:pPr>
        <w:spacing w:line="700" w:lineRule="atLeast"/>
        <w:ind w:firstLine="480" w:firstLineChars="200"/>
        <w:rPr>
          <w:rFonts w:ascii="Arial" w:hAnsi="Arial" w:cs="Arial"/>
          <w:color w:val="auto"/>
          <w:sz w:val="24"/>
          <w:highlight w:val="none"/>
          <w:u w:val="single"/>
        </w:rPr>
      </w:pPr>
      <w:r>
        <w:rPr>
          <w:rFonts w:hint="eastAsia" w:ascii="Arial" w:hAnsi="Arial" w:cs="Arial"/>
          <w:color w:val="auto"/>
          <w:sz w:val="24"/>
          <w:highlight w:val="none"/>
          <w:u w:val="single"/>
        </w:rPr>
        <w:t>我方愿以：</w:t>
      </w:r>
      <w:r>
        <w:rPr>
          <w:rFonts w:hint="eastAsia" w:ascii="Arial" w:hAnsi="Arial" w:cs="Arial"/>
          <w:color w:val="auto"/>
          <w:sz w:val="24"/>
          <w:highlight w:val="none"/>
          <w:u w:val="single"/>
        </w:rPr>
        <w:t xml:space="preserve">              元（大写              元）</w:t>
      </w:r>
      <w:r>
        <w:rPr>
          <w:rFonts w:hint="eastAsia" w:ascii="Arial" w:hAnsi="Arial" w:cs="Arial"/>
          <w:color w:val="auto"/>
          <w:sz w:val="24"/>
          <w:highlight w:val="none"/>
        </w:rPr>
        <w:t>的总报价（含增值税），按照竞争性比选文件的要求，承担本次竞争性比选含要求的</w:t>
      </w:r>
      <w:r>
        <w:rPr>
          <w:rFonts w:hint="eastAsia" w:ascii="Arial" w:hAnsi="Arial" w:cs="Arial"/>
          <w:color w:val="auto"/>
          <w:sz w:val="24"/>
          <w:highlight w:val="none"/>
          <w:lang w:val="en-US" w:eastAsia="zh-CN"/>
        </w:rPr>
        <w:t>配送</w:t>
      </w:r>
      <w:r>
        <w:rPr>
          <w:rFonts w:hint="eastAsia" w:ascii="Arial" w:hAnsi="Arial" w:cs="Arial"/>
          <w:color w:val="auto"/>
          <w:sz w:val="24"/>
          <w:highlight w:val="none"/>
        </w:rPr>
        <w:t>任务。</w:t>
      </w:r>
    </w:p>
    <w:p>
      <w:pPr>
        <w:tabs>
          <w:tab w:val="left" w:pos="540"/>
          <w:tab w:val="left" w:pos="900"/>
        </w:tabs>
        <w:spacing w:line="300" w:lineRule="auto"/>
        <w:rPr>
          <w:rFonts w:ascii="Arial" w:hAnsi="Arial" w:cs="Arial"/>
          <w:color w:val="auto"/>
          <w:sz w:val="24"/>
          <w:highlight w:val="none"/>
        </w:rPr>
      </w:pPr>
      <w:r>
        <w:rPr>
          <w:rFonts w:ascii="Arial" w:hAnsi="Arial" w:cs="Arial"/>
          <w:color w:val="auto"/>
          <w:sz w:val="24"/>
          <w:highlight w:val="none"/>
        </w:rPr>
        <w:t xml:space="preserve">    </w:t>
      </w:r>
    </w:p>
    <w:p>
      <w:pPr>
        <w:tabs>
          <w:tab w:val="left" w:pos="540"/>
          <w:tab w:val="left" w:pos="900"/>
        </w:tabs>
        <w:spacing w:line="300" w:lineRule="auto"/>
        <w:ind w:firstLine="480" w:firstLineChars="200"/>
        <w:rPr>
          <w:rFonts w:ascii="Arial" w:hAnsi="Arial" w:cs="Arial"/>
          <w:color w:val="auto"/>
          <w:sz w:val="24"/>
          <w:highlight w:val="none"/>
        </w:rPr>
      </w:pPr>
      <w:r>
        <w:rPr>
          <w:rFonts w:hint="eastAsia" w:ascii="Arial" w:hAnsi="Arial" w:cs="Arial"/>
          <w:color w:val="auto"/>
          <w:sz w:val="24"/>
          <w:highlight w:val="none"/>
        </w:rPr>
        <w:t>据此函，签字代表宣布同意如下：</w:t>
      </w:r>
    </w:p>
    <w:p>
      <w:pPr>
        <w:tabs>
          <w:tab w:val="left" w:pos="540"/>
          <w:tab w:val="left" w:pos="900"/>
        </w:tabs>
        <w:spacing w:line="300" w:lineRule="auto"/>
        <w:rPr>
          <w:rFonts w:ascii="Arial" w:hAnsi="Arial" w:cs="Arial"/>
          <w:color w:val="auto"/>
          <w:sz w:val="24"/>
          <w:highlight w:val="none"/>
        </w:rPr>
      </w:pPr>
      <w:r>
        <w:rPr>
          <w:rFonts w:ascii="Arial" w:hAnsi="Arial" w:cs="Arial"/>
          <w:color w:val="auto"/>
          <w:sz w:val="24"/>
          <w:highlight w:val="none"/>
        </w:rPr>
        <w:t>1</w:t>
      </w:r>
      <w:r>
        <w:rPr>
          <w:rFonts w:hint="eastAsia" w:ascii="Arial" w:hAnsi="Arial" w:cs="Arial"/>
          <w:color w:val="auto"/>
          <w:sz w:val="24"/>
          <w:highlight w:val="none"/>
        </w:rPr>
        <w:t>、竞争比选响应单位将按竞争比选文件规定履行合同责任和义务。</w:t>
      </w:r>
    </w:p>
    <w:p>
      <w:pPr>
        <w:tabs>
          <w:tab w:val="left" w:pos="900"/>
        </w:tabs>
        <w:spacing w:line="300" w:lineRule="auto"/>
        <w:rPr>
          <w:rFonts w:ascii="Arial" w:hAnsi="Arial" w:cs="Arial"/>
          <w:b/>
          <w:color w:val="auto"/>
          <w:sz w:val="24"/>
          <w:highlight w:val="none"/>
        </w:rPr>
      </w:pPr>
      <w:r>
        <w:rPr>
          <w:rFonts w:ascii="Arial" w:hAnsi="Arial" w:cs="Arial"/>
          <w:color w:val="auto"/>
          <w:sz w:val="24"/>
          <w:highlight w:val="none"/>
        </w:rPr>
        <w:t>2</w:t>
      </w:r>
      <w:r>
        <w:rPr>
          <w:rFonts w:hint="eastAsia" w:ascii="Arial" w:hAnsi="Arial" w:cs="Arial"/>
          <w:color w:val="auto"/>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auto"/>
          <w:sz w:val="24"/>
          <w:highlight w:val="none"/>
        </w:rPr>
      </w:pPr>
      <w:r>
        <w:rPr>
          <w:rFonts w:hint="eastAsia" w:ascii="Arial" w:hAnsi="Arial" w:cs="Arial"/>
          <w:color w:val="auto"/>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auto"/>
          <w:sz w:val="24"/>
          <w:highlight w:val="none"/>
        </w:rPr>
      </w:pPr>
      <w:r>
        <w:rPr>
          <w:rFonts w:hint="eastAsia" w:ascii="Arial" w:hAnsi="Arial" w:cs="Arial"/>
          <w:color w:val="auto"/>
          <w:sz w:val="24"/>
          <w:highlight w:val="none"/>
        </w:rPr>
        <w:t>4、与本竞争比选响应有关的一切正式往来通讯请寄：</w:t>
      </w:r>
    </w:p>
    <w:p>
      <w:pPr>
        <w:tabs>
          <w:tab w:val="left" w:pos="900"/>
        </w:tabs>
        <w:spacing w:line="300" w:lineRule="auto"/>
        <w:rPr>
          <w:rFonts w:ascii="Arial" w:hAnsi="Arial" w:cs="Arial"/>
          <w:b/>
          <w:color w:val="auto"/>
          <w:sz w:val="24"/>
          <w:highlight w:val="none"/>
        </w:rPr>
      </w:pPr>
      <w:r>
        <w:rPr>
          <w:rFonts w:hint="eastAsia" w:ascii="Arial" w:hAnsi="Arial" w:cs="Arial"/>
          <w:color w:val="auto"/>
          <w:sz w:val="24"/>
          <w:highlight w:val="none"/>
        </w:rPr>
        <w:t>地址：</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hint="eastAsia" w:ascii="Arial" w:hAnsi="Arial" w:cs="Arial"/>
          <w:color w:val="auto"/>
          <w:sz w:val="24"/>
          <w:highlight w:val="none"/>
        </w:rPr>
        <w:t>邮编：</w:t>
      </w:r>
      <w:r>
        <w:rPr>
          <w:rFonts w:ascii="Arial" w:hAnsi="Arial" w:cs="Arial"/>
          <w:color w:val="auto"/>
          <w:sz w:val="24"/>
          <w:highlight w:val="none"/>
          <w:u w:val="single"/>
        </w:rPr>
        <w:t xml:space="preserve">            </w:t>
      </w:r>
      <w:r>
        <w:rPr>
          <w:rFonts w:ascii="Arial" w:hAnsi="Arial" w:cs="Arial"/>
          <w:b/>
          <w:color w:val="auto"/>
          <w:sz w:val="24"/>
          <w:highlight w:val="none"/>
        </w:rPr>
        <w:t xml:space="preserve">  </w:t>
      </w:r>
    </w:p>
    <w:p>
      <w:pPr>
        <w:tabs>
          <w:tab w:val="left" w:pos="900"/>
        </w:tabs>
        <w:spacing w:line="300" w:lineRule="auto"/>
        <w:rPr>
          <w:rFonts w:ascii="Arial" w:hAnsi="Arial" w:cs="Arial"/>
          <w:color w:val="auto"/>
          <w:sz w:val="24"/>
          <w:highlight w:val="none"/>
          <w:u w:val="single"/>
        </w:rPr>
      </w:pPr>
      <w:r>
        <w:rPr>
          <w:rFonts w:hint="eastAsia" w:ascii="Arial" w:hAnsi="Arial" w:cs="Arial"/>
          <w:color w:val="auto"/>
          <w:sz w:val="24"/>
          <w:highlight w:val="none"/>
        </w:rPr>
        <w:t>电话：</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hint="eastAsia" w:ascii="Arial" w:hAnsi="Arial" w:cs="Arial"/>
          <w:color w:val="auto"/>
          <w:sz w:val="24"/>
          <w:highlight w:val="none"/>
        </w:rPr>
        <w:t>传真：</w:t>
      </w:r>
      <w:r>
        <w:rPr>
          <w:rFonts w:ascii="Arial" w:hAnsi="Arial" w:cs="Arial"/>
          <w:color w:val="auto"/>
          <w:sz w:val="24"/>
          <w:highlight w:val="none"/>
          <w:u w:val="singl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rPr>
        <w:t>竞争比选响应单位法定代表人或授权代表人（签字）：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rPr>
        <w:t>竞争比选响应单位法定代表人或授权代表人职务：</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rPr>
        <w:t>竞争比选响应单位名称（加盖鲜公章）：</w:t>
      </w:r>
      <w:r>
        <w:rPr>
          <w:rFonts w:ascii="Arial" w:hAnsi="Arial" w:cs="Arial"/>
          <w:color w:val="auto"/>
          <w:sz w:val="24"/>
          <w:highlight w:val="none"/>
          <w:u w:val="singl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rPr>
        <w:t>日期：</w:t>
      </w:r>
      <w:r>
        <w:rPr>
          <w:rFonts w:hint="eastAsia" w:ascii="Arial" w:hAnsi="Arial" w:cs="Arial"/>
          <w:color w:val="auto"/>
          <w:sz w:val="24"/>
          <w:highlight w:val="none"/>
          <w:u w:val="single"/>
        </w:rPr>
        <w:t xml:space="preserve">     </w:t>
      </w:r>
      <w:r>
        <w:rPr>
          <w:rFonts w:hint="eastAsia" w:ascii="Arial" w:hAnsi="Arial" w:cs="Arial"/>
          <w:color w:val="auto"/>
          <w:sz w:val="24"/>
          <w:highlight w:val="none"/>
        </w:rPr>
        <w:t>年</w:t>
      </w:r>
      <w:r>
        <w:rPr>
          <w:rFonts w:ascii="Arial" w:hAnsi="Arial" w:cs="Arial"/>
          <w:color w:val="auto"/>
          <w:sz w:val="24"/>
          <w:highlight w:val="none"/>
          <w:u w:val="single"/>
        </w:rPr>
        <w:t xml:space="preserve">      </w:t>
      </w:r>
      <w:r>
        <w:rPr>
          <w:rFonts w:hint="eastAsia" w:ascii="Arial" w:hAnsi="Arial" w:cs="Arial"/>
          <w:color w:val="auto"/>
          <w:sz w:val="24"/>
          <w:highlight w:val="none"/>
        </w:rPr>
        <w:t>月</w:t>
      </w:r>
      <w:r>
        <w:rPr>
          <w:rFonts w:ascii="Arial" w:hAnsi="Arial" w:cs="Arial"/>
          <w:color w:val="auto"/>
          <w:sz w:val="24"/>
          <w:highlight w:val="none"/>
          <w:u w:val="single"/>
        </w:rPr>
        <w:t xml:space="preserve">    </w:t>
      </w:r>
      <w:r>
        <w:rPr>
          <w:rFonts w:hint="eastAsia" w:ascii="Arial" w:hAnsi="Arial" w:cs="Arial"/>
          <w:color w:val="auto"/>
          <w:sz w:val="24"/>
          <w:highlight w:val="none"/>
          <w:u w:val="single"/>
        </w:rPr>
        <w:t xml:space="preserve">  </w:t>
      </w:r>
      <w:r>
        <w:rPr>
          <w:rFonts w:hint="eastAsia" w:ascii="Arial" w:hAnsi="Arial" w:cs="Arial"/>
          <w:color w:val="auto"/>
          <w:sz w:val="24"/>
          <w:highlight w:val="none"/>
        </w:rPr>
        <w:t>日</w:t>
      </w:r>
      <w:r>
        <w:rPr>
          <w:rFonts w:ascii="Arial" w:hAnsi="Arial" w:cs="Arial"/>
          <w:color w:val="auto"/>
          <w:sz w:val="24"/>
          <w:highlight w:val="none"/>
        </w:rPr>
        <w:t xml:space="preserve"> </w:t>
      </w:r>
      <w:bookmarkStart w:id="274" w:name="_Toc27815"/>
      <w:bookmarkStart w:id="275" w:name="_Toc491883232"/>
    </w:p>
    <w:p>
      <w:pPr>
        <w:rPr>
          <w:rFonts w:ascii="Arial" w:hAnsi="Arial" w:cs="Arial"/>
          <w:color w:val="auto"/>
          <w:sz w:val="24"/>
          <w:highlight w:val="none"/>
        </w:rPr>
      </w:pPr>
      <w:r>
        <w:rPr>
          <w:rFonts w:hint="eastAsia" w:ascii="Arial" w:hAnsi="Arial" w:cs="Arial"/>
          <w:color w:val="auto"/>
          <w:sz w:val="24"/>
          <w:highlight w:val="none"/>
        </w:rPr>
        <w:br w:type="page"/>
      </w:r>
    </w:p>
    <w:p>
      <w:pPr>
        <w:pStyle w:val="5"/>
        <w:jc w:val="center"/>
        <w:rPr>
          <w:rFonts w:ascii="宋体" w:hAnsi="宋体" w:eastAsia="宋体" w:cs="宋体"/>
          <w:color w:val="auto"/>
          <w:sz w:val="28"/>
          <w:szCs w:val="28"/>
          <w:highlight w:val="none"/>
        </w:rPr>
      </w:pPr>
      <w:bookmarkStart w:id="276" w:name="_Toc30192"/>
      <w:bookmarkStart w:id="277" w:name="_Toc736"/>
      <w:bookmarkStart w:id="278" w:name="_Toc3141"/>
      <w:bookmarkStart w:id="279" w:name="_Toc7724"/>
      <w:r>
        <w:rPr>
          <w:rFonts w:hint="eastAsia" w:ascii="宋体" w:hAnsi="宋体" w:eastAsia="宋体" w:cs="宋体"/>
          <w:color w:val="auto"/>
          <w:sz w:val="28"/>
          <w:szCs w:val="28"/>
          <w:highlight w:val="none"/>
        </w:rPr>
        <w:t>二、法定代表人身份证明或法定代表人授权委托书</w:t>
      </w:r>
      <w:bookmarkEnd w:id="274"/>
      <w:bookmarkEnd w:id="276"/>
      <w:bookmarkEnd w:id="277"/>
      <w:bookmarkEnd w:id="278"/>
      <w:bookmarkEnd w:id="279"/>
    </w:p>
    <w:p>
      <w:pPr>
        <w:pStyle w:val="5"/>
        <w:jc w:val="center"/>
        <w:rPr>
          <w:rFonts w:ascii="宋体" w:hAnsi="宋体" w:eastAsia="宋体" w:cs="宋体"/>
          <w:color w:val="auto"/>
          <w:sz w:val="24"/>
          <w:szCs w:val="24"/>
          <w:highlight w:val="none"/>
        </w:rPr>
      </w:pPr>
      <w:bookmarkStart w:id="280" w:name="_Toc15857"/>
      <w:bookmarkStart w:id="281" w:name="_Toc19701"/>
      <w:bookmarkStart w:id="282" w:name="_Toc14141"/>
      <w:bookmarkStart w:id="283" w:name="_Toc12240"/>
      <w:bookmarkStart w:id="284" w:name="_Toc5529"/>
      <w:r>
        <w:rPr>
          <w:rFonts w:hint="eastAsia" w:ascii="宋体" w:hAnsi="宋体" w:eastAsia="宋体" w:cs="宋体"/>
          <w:color w:val="auto"/>
          <w:sz w:val="24"/>
          <w:szCs w:val="24"/>
          <w:highlight w:val="none"/>
        </w:rPr>
        <w:t>（一）法定代表人身份证明</w:t>
      </w:r>
      <w:bookmarkEnd w:id="275"/>
      <w:bookmarkEnd w:id="280"/>
      <w:bookmarkEnd w:id="281"/>
      <w:bookmarkEnd w:id="282"/>
      <w:bookmarkEnd w:id="283"/>
      <w:bookmarkEnd w:id="284"/>
    </w:p>
    <w:p>
      <w:pPr>
        <w:spacing w:line="440" w:lineRule="exact"/>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pPr>
        <w:spacing w:line="440" w:lineRule="exact"/>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85" w:name="_Toc27897"/>
      <w:bookmarkStart w:id="286" w:name="_Toc369531698"/>
      <w:bookmarkStart w:id="287" w:name="_Toc352691662"/>
      <w:r>
        <w:rPr>
          <w:rFonts w:ascii="宋体" w:hAnsi="宋体"/>
          <w:color w:val="auto"/>
          <w:highlight w:val="none"/>
          <w:u w:val="single"/>
        </w:rPr>
        <w:t xml:space="preserve">        </w:t>
      </w:r>
      <w:r>
        <w:rPr>
          <w:rFonts w:ascii="宋体" w:hAnsi="宋体"/>
          <w:color w:val="auto"/>
          <w:highlight w:val="none"/>
        </w:rPr>
        <w:t>年</w:t>
      </w:r>
      <w:bookmarkEnd w:id="285"/>
      <w:bookmarkEnd w:id="286"/>
      <w:bookmarkEnd w:id="287"/>
      <w:r>
        <w:rPr>
          <w:rFonts w:ascii="宋体" w:hAnsi="宋体"/>
          <w:color w:val="auto"/>
          <w:highlight w:val="none"/>
        </w:rPr>
        <w:t>龄</w:t>
      </w:r>
      <w:bookmarkStart w:id="288" w:name="_Toc144974858"/>
      <w:bookmarkStart w:id="289" w:name="_Toc352691663"/>
      <w:bookmarkStart w:id="290" w:name="_Toc369531699"/>
      <w:bookmarkStart w:id="291" w:name="_Toc247527829"/>
      <w:bookmarkStart w:id="292" w:name="_Toc152045789"/>
      <w:bookmarkStart w:id="293" w:name="_Toc247514248"/>
      <w:bookmarkStart w:id="294" w:name="_Toc384308377"/>
      <w:bookmarkStart w:id="295" w:name="_Toc361508754"/>
      <w:bookmarkStart w:id="296" w:name="_Toc152042578"/>
      <w:bookmarkStart w:id="297" w:name="_Toc15573"/>
      <w:bookmarkStart w:id="298" w:name="_Toc300835211"/>
      <w:r>
        <w:rPr>
          <w:rFonts w:ascii="宋体" w:hAnsi="宋体"/>
          <w:color w:val="auto"/>
          <w:highlight w:val="none"/>
        </w:rPr>
        <w:t>：</w:t>
      </w:r>
      <w:bookmarkEnd w:id="288"/>
      <w:bookmarkEnd w:id="289"/>
      <w:bookmarkEnd w:id="290"/>
      <w:bookmarkEnd w:id="291"/>
      <w:bookmarkEnd w:id="292"/>
      <w:bookmarkEnd w:id="293"/>
      <w:bookmarkEnd w:id="294"/>
      <w:bookmarkEnd w:id="295"/>
      <w:bookmarkEnd w:id="296"/>
      <w:bookmarkEnd w:id="297"/>
      <w:bookmarkEnd w:id="298"/>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pPr>
        <w:spacing w:line="440" w:lineRule="exact"/>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pPr>
        <w:spacing w:line="440" w:lineRule="exact"/>
        <w:ind w:firstLine="420" w:firstLineChars="200"/>
        <w:rPr>
          <w:rFonts w:ascii="宋体" w:hAnsi="宋体"/>
          <w:color w:val="auto"/>
          <w:highlight w:val="none"/>
        </w:rPr>
      </w:pPr>
      <w:r>
        <w:rPr>
          <w:rFonts w:ascii="宋体" w:hAnsi="宋体"/>
          <w:color w:val="auto"/>
          <w:highlight w:val="none"/>
        </w:rPr>
        <w:t>特此证明。</w:t>
      </w:r>
    </w:p>
    <w:p>
      <w:pPr>
        <w:spacing w:line="440" w:lineRule="exact"/>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附：法定代表人身份证复印件</w:t>
      </w:r>
      <w:r>
        <w:rPr>
          <w:rFonts w:hint="eastAsia" w:ascii="宋体" w:hAnsi="宋体"/>
          <w:color w:val="auto"/>
          <w:highlight w:val="none"/>
        </w:rPr>
        <w:t>（正、反面）</w:t>
      </w:r>
      <w:r>
        <w:rPr>
          <w:rFonts w:ascii="宋体" w:hAnsi="宋体"/>
          <w:color w:val="auto"/>
          <w:highlight w:val="none"/>
        </w:rPr>
        <w:t>。</w:t>
      </w:r>
    </w:p>
    <w:tbl>
      <w:tblPr>
        <w:tblStyle w:val="4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gridSpan w:val="2"/>
            <w:tcBorders>
              <w:tl2br w:val="nil"/>
              <w:tr2bl w:val="nil"/>
            </w:tcBorders>
            <w:vAlign w:val="top"/>
          </w:tcPr>
          <w:p>
            <w:pPr>
              <w:spacing w:line="440" w:lineRule="exact"/>
              <w:jc w:val="center"/>
              <w:rPr>
                <w:rFonts w:ascii="宋体" w:hAnsi="宋体"/>
                <w:color w:val="auto"/>
                <w:highlight w:val="none"/>
                <w:vertAlign w:val="baseline"/>
              </w:rPr>
            </w:pPr>
            <w:r>
              <w:rPr>
                <w:rFonts w:ascii="宋体" w:hAnsi="宋体"/>
                <w:color w:val="auto"/>
                <w:highlight w:val="none"/>
              </w:rPr>
              <w:t>法定代表人身份证复印件</w:t>
            </w:r>
            <w:r>
              <w:rPr>
                <w:rFonts w:hint="eastAsia" w:ascii="宋体" w:hAnsi="宋体"/>
                <w:color w:val="auto"/>
                <w:highlight w:val="none"/>
              </w:rPr>
              <w:t>（正、反面）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3" w:hRule="atLeast"/>
        </w:trPr>
        <w:tc>
          <w:tcPr>
            <w:tcW w:w="4261" w:type="dxa"/>
            <w:tcBorders>
              <w:tl2br w:val="nil"/>
              <w:tr2bl w:val="nil"/>
            </w:tcBorders>
            <w:vAlign w:val="top"/>
          </w:tcPr>
          <w:p>
            <w:pPr>
              <w:spacing w:line="440" w:lineRule="exact"/>
              <w:jc w:val="center"/>
              <w:rPr>
                <w:rFonts w:ascii="宋体" w:hAnsi="宋体"/>
                <w:color w:val="auto"/>
                <w:highlight w:val="none"/>
                <w:vertAlign w:val="baseline"/>
              </w:rPr>
            </w:pPr>
          </w:p>
        </w:tc>
        <w:tc>
          <w:tcPr>
            <w:tcW w:w="4261" w:type="dxa"/>
            <w:tcBorders>
              <w:tl2br w:val="nil"/>
              <w:tr2bl w:val="nil"/>
            </w:tcBorders>
            <w:vAlign w:val="top"/>
          </w:tcPr>
          <w:p>
            <w:pPr>
              <w:spacing w:line="440" w:lineRule="exact"/>
              <w:jc w:val="center"/>
              <w:rPr>
                <w:rFonts w:ascii="宋体" w:hAnsi="宋体"/>
                <w:color w:val="auto"/>
                <w:highlight w:val="none"/>
                <w:vertAlign w:val="baseline"/>
              </w:rPr>
            </w:pPr>
          </w:p>
        </w:tc>
      </w:tr>
    </w:tbl>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鲜公章</w:t>
      </w:r>
      <w:r>
        <w:rPr>
          <w:rFonts w:ascii="宋体" w:hAnsi="宋体"/>
          <w:color w:val="auto"/>
          <w:highlight w:val="none"/>
        </w:rPr>
        <w:t>）</w:t>
      </w:r>
    </w:p>
    <w:p>
      <w:pPr>
        <w:spacing w:line="440" w:lineRule="exact"/>
        <w:rPr>
          <w:rFonts w:ascii="宋体" w:hAnsi="宋体"/>
          <w:color w:val="auto"/>
          <w:highlight w:val="none"/>
        </w:rPr>
      </w:pPr>
    </w:p>
    <w:p>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鲜公章</w:t>
      </w:r>
      <w:r>
        <w:rPr>
          <w:rFonts w:ascii="宋体" w:hAnsi="宋体"/>
          <w:color w:val="auto"/>
          <w:highlight w:val="none"/>
        </w:rPr>
        <w:t>。</w:t>
      </w:r>
    </w:p>
    <w:p>
      <w:pPr>
        <w:rPr>
          <w:color w:val="auto"/>
          <w:highlight w:val="none"/>
        </w:rPr>
      </w:pPr>
      <w:r>
        <w:rPr>
          <w:rFonts w:ascii="宋体" w:hAnsi="宋体"/>
          <w:color w:val="auto"/>
          <w:sz w:val="20"/>
          <w:highlight w:val="none"/>
        </w:rPr>
        <w:br w:type="page"/>
      </w:r>
    </w:p>
    <w:p>
      <w:pPr>
        <w:pStyle w:val="5"/>
        <w:jc w:val="center"/>
        <w:rPr>
          <w:rFonts w:ascii="宋体" w:hAnsi="宋体"/>
          <w:color w:val="auto"/>
          <w:sz w:val="28"/>
          <w:szCs w:val="28"/>
          <w:highlight w:val="none"/>
        </w:rPr>
      </w:pPr>
      <w:bookmarkStart w:id="299" w:name="_Toc491883233"/>
      <w:bookmarkStart w:id="300" w:name="_Toc2523"/>
      <w:bookmarkStart w:id="301" w:name="_Toc58"/>
      <w:bookmarkStart w:id="302" w:name="_Toc8768"/>
      <w:bookmarkStart w:id="303" w:name="_Toc23491"/>
      <w:bookmarkStart w:id="304" w:name="_Toc23815"/>
      <w:r>
        <w:rPr>
          <w:rFonts w:hint="eastAsia" w:ascii="宋体" w:hAnsi="宋体" w:eastAsia="宋体" w:cs="宋体"/>
          <w:color w:val="auto"/>
          <w:sz w:val="24"/>
          <w:szCs w:val="24"/>
          <w:highlight w:val="none"/>
        </w:rPr>
        <w:t>（二）</w:t>
      </w:r>
      <w:bookmarkEnd w:id="299"/>
      <w:r>
        <w:rPr>
          <w:rFonts w:hint="eastAsia" w:ascii="宋体" w:hAnsi="宋体" w:eastAsia="宋体" w:cs="宋体"/>
          <w:color w:val="auto"/>
          <w:sz w:val="24"/>
          <w:szCs w:val="24"/>
          <w:highlight w:val="none"/>
        </w:rPr>
        <w:t>法定代表人授权委托书</w:t>
      </w:r>
      <w:bookmarkEnd w:id="300"/>
      <w:bookmarkEnd w:id="301"/>
      <w:bookmarkEnd w:id="302"/>
      <w:bookmarkEnd w:id="303"/>
      <w:bookmarkEnd w:id="304"/>
    </w:p>
    <w:p>
      <w:pPr>
        <w:topLinePunct/>
        <w:spacing w:line="440" w:lineRule="exact"/>
        <w:ind w:firstLine="420" w:firstLineChars="200"/>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（姓名）为我方代理人。代理人根据授权，以我方名义签署、澄清确认、递交、撤回、修改招标项目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pPr>
        <w:spacing w:line="440" w:lineRule="exact"/>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pPr>
        <w:spacing w:line="440" w:lineRule="exact"/>
        <w:ind w:firstLine="420" w:firstLineChars="200"/>
        <w:rPr>
          <w:rFonts w:ascii="宋体" w:hAnsi="宋体"/>
          <w:color w:val="auto"/>
          <w:highlight w:val="none"/>
        </w:rPr>
      </w:pPr>
      <w:r>
        <w:rPr>
          <w:rFonts w:ascii="宋体" w:hAnsi="宋体"/>
          <w:color w:val="auto"/>
          <w:highlight w:val="none"/>
        </w:rPr>
        <w:t>代理人无转委托权。</w:t>
      </w:r>
    </w:p>
    <w:p>
      <w:pPr>
        <w:spacing w:line="440" w:lineRule="exact"/>
        <w:ind w:firstLine="420" w:firstLineChars="200"/>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color w:val="auto"/>
          <w:highlight w:val="none"/>
        </w:rPr>
        <w:t>（正、反面）</w:t>
      </w:r>
    </w:p>
    <w:tbl>
      <w:tblPr>
        <w:tblStyle w:val="4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gridSpan w:val="2"/>
            <w:tcBorders>
              <w:tl2br w:val="nil"/>
              <w:tr2bl w:val="nil"/>
            </w:tcBorders>
            <w:vAlign w:val="top"/>
          </w:tcPr>
          <w:p>
            <w:pPr>
              <w:spacing w:line="440" w:lineRule="exact"/>
              <w:jc w:val="center"/>
              <w:rPr>
                <w:rFonts w:ascii="宋体" w:hAnsi="宋体"/>
                <w:color w:val="auto"/>
                <w:highlight w:val="none"/>
                <w:vertAlign w:val="baseline"/>
              </w:rPr>
            </w:pPr>
            <w:r>
              <w:rPr>
                <w:rFonts w:ascii="宋体" w:hAnsi="宋体"/>
                <w:color w:val="auto"/>
                <w:highlight w:val="none"/>
              </w:rPr>
              <w:t>法定代表人身份证复印件</w:t>
            </w:r>
            <w:r>
              <w:rPr>
                <w:rFonts w:hint="eastAsia" w:ascii="宋体" w:hAnsi="宋体"/>
                <w:color w:val="auto"/>
                <w:highlight w:val="none"/>
              </w:rPr>
              <w:t>（正、反面）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3" w:hRule="atLeast"/>
        </w:trPr>
        <w:tc>
          <w:tcPr>
            <w:tcW w:w="4261" w:type="dxa"/>
            <w:tcBorders>
              <w:tl2br w:val="nil"/>
              <w:tr2bl w:val="nil"/>
            </w:tcBorders>
            <w:vAlign w:val="top"/>
          </w:tcPr>
          <w:p>
            <w:pPr>
              <w:spacing w:line="440" w:lineRule="exact"/>
              <w:jc w:val="center"/>
              <w:rPr>
                <w:rFonts w:ascii="宋体" w:hAnsi="宋体"/>
                <w:color w:val="auto"/>
                <w:highlight w:val="none"/>
                <w:vertAlign w:val="baseline"/>
              </w:rPr>
            </w:pPr>
          </w:p>
        </w:tc>
        <w:tc>
          <w:tcPr>
            <w:tcW w:w="4261" w:type="dxa"/>
            <w:tcBorders>
              <w:tl2br w:val="nil"/>
              <w:tr2bl w:val="nil"/>
            </w:tcBorders>
            <w:vAlign w:val="top"/>
          </w:tcPr>
          <w:p>
            <w:pPr>
              <w:spacing w:line="440" w:lineRule="exact"/>
              <w:jc w:val="center"/>
              <w:rPr>
                <w:rFonts w:ascii="宋体" w:hAnsi="宋体"/>
                <w:color w:val="auto"/>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Borders>
              <w:tl2br w:val="nil"/>
              <w:tr2bl w:val="nil"/>
            </w:tcBorders>
            <w:vAlign w:val="top"/>
          </w:tcPr>
          <w:p>
            <w:pPr>
              <w:spacing w:line="440" w:lineRule="exact"/>
              <w:jc w:val="center"/>
              <w:rPr>
                <w:rFonts w:ascii="宋体" w:hAnsi="宋体"/>
                <w:color w:val="auto"/>
                <w:highlight w:val="none"/>
                <w:vertAlign w:val="baseline"/>
              </w:rPr>
            </w:pPr>
            <w:r>
              <w:rPr>
                <w:rFonts w:ascii="宋体" w:hAnsi="宋体"/>
                <w:color w:val="auto"/>
                <w:highlight w:val="none"/>
              </w:rPr>
              <w:t>委托代理人身份证复印件</w:t>
            </w:r>
            <w:r>
              <w:rPr>
                <w:rFonts w:hint="eastAsia" w:ascii="宋体" w:hAnsi="宋体"/>
                <w:color w:val="auto"/>
                <w:highlight w:val="none"/>
              </w:rPr>
              <w:t>（正、反面）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1" w:hRule="atLeast"/>
        </w:trPr>
        <w:tc>
          <w:tcPr>
            <w:tcW w:w="4261" w:type="dxa"/>
            <w:tcBorders>
              <w:tl2br w:val="nil"/>
              <w:tr2bl w:val="nil"/>
            </w:tcBorders>
            <w:vAlign w:val="top"/>
          </w:tcPr>
          <w:p>
            <w:pPr>
              <w:spacing w:line="440" w:lineRule="exact"/>
              <w:rPr>
                <w:rFonts w:ascii="宋体" w:hAnsi="宋体"/>
                <w:color w:val="auto"/>
                <w:highlight w:val="none"/>
                <w:vertAlign w:val="baseline"/>
              </w:rPr>
            </w:pPr>
          </w:p>
        </w:tc>
        <w:tc>
          <w:tcPr>
            <w:tcW w:w="4261" w:type="dxa"/>
            <w:tcBorders>
              <w:tl2br w:val="nil"/>
              <w:tr2bl w:val="nil"/>
            </w:tcBorders>
            <w:vAlign w:val="top"/>
          </w:tcPr>
          <w:p>
            <w:pPr>
              <w:spacing w:line="440" w:lineRule="exact"/>
              <w:rPr>
                <w:rFonts w:ascii="宋体" w:hAnsi="宋体"/>
                <w:color w:val="auto"/>
                <w:highlight w:val="none"/>
                <w:vertAlign w:val="baseline"/>
              </w:rPr>
            </w:pPr>
          </w:p>
        </w:tc>
      </w:tr>
    </w:tbl>
    <w:p>
      <w:pPr>
        <w:spacing w:line="440" w:lineRule="exact"/>
        <w:rPr>
          <w:rFonts w:ascii="宋体" w:hAnsi="宋体"/>
          <w:color w:val="auto"/>
          <w:highlight w:val="none"/>
        </w:rPr>
      </w:pPr>
    </w:p>
    <w:p>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鲜公章</w:t>
      </w:r>
      <w:r>
        <w:rPr>
          <w:rFonts w:ascii="宋体" w:hAnsi="宋体"/>
          <w:color w:val="auto"/>
          <w:highlight w:val="none"/>
        </w:rPr>
        <w:t>）</w:t>
      </w:r>
    </w:p>
    <w:p>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ab/>
      </w:r>
      <w:r>
        <w:rPr>
          <w:rFonts w:ascii="宋体" w:hAnsi="宋体"/>
          <w:color w:val="auto"/>
          <w:highlight w:val="none"/>
        </w:rPr>
        <w:t>（签字</w:t>
      </w:r>
      <w:r>
        <w:rPr>
          <w:rFonts w:hint="eastAsia" w:ascii="宋体" w:hAnsi="宋体"/>
          <w:color w:val="auto"/>
          <w:highlight w:val="none"/>
        </w:rPr>
        <w:t xml:space="preserve"> </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（签字）</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p>
    <w:p>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鲜公章</w:t>
      </w:r>
      <w:r>
        <w:rPr>
          <w:rFonts w:ascii="宋体" w:hAnsi="宋体"/>
          <w:color w:val="auto"/>
          <w:highlight w:val="none"/>
        </w:rPr>
        <w:t>并由其法定代表人和委托代理人签字。</w:t>
      </w:r>
      <w:bookmarkStart w:id="305" w:name="_Toc11329275"/>
      <w:bookmarkStart w:id="306" w:name="_Toc10088"/>
    </w:p>
    <w:p>
      <w:pPr>
        <w:rPr>
          <w:color w:val="auto"/>
          <w:highlight w:val="none"/>
        </w:rPr>
      </w:pPr>
      <w:r>
        <w:rPr>
          <w:rFonts w:ascii="宋体" w:hAnsi="宋体"/>
          <w:color w:val="auto"/>
          <w:highlight w:val="none"/>
        </w:rPr>
        <w:br w:type="page"/>
      </w:r>
    </w:p>
    <w:bookmarkEnd w:id="271"/>
    <w:bookmarkEnd w:id="272"/>
    <w:bookmarkEnd w:id="273"/>
    <w:bookmarkEnd w:id="305"/>
    <w:bookmarkEnd w:id="306"/>
    <w:p>
      <w:pPr>
        <w:pStyle w:val="5"/>
        <w:spacing w:before="0" w:after="0" w:line="360" w:lineRule="auto"/>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rPr>
        <w:t>三、</w:t>
      </w:r>
      <w:r>
        <w:rPr>
          <w:rFonts w:hint="eastAsia" w:ascii="宋体" w:hAnsi="宋体" w:eastAsia="宋体" w:cs="宋体"/>
          <w:color w:val="auto"/>
          <w:sz w:val="28"/>
          <w:highlight w:val="none"/>
          <w:lang w:val="en-US" w:eastAsia="zh-CN"/>
        </w:rPr>
        <w:t>报价一览表</w:t>
      </w:r>
    </w:p>
    <w:tbl>
      <w:tblPr>
        <w:tblStyle w:val="44"/>
        <w:tblW w:w="7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643"/>
        <w:gridCol w:w="2208"/>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leftChars="0" w:firstLine="0" w:firstLineChars="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643"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项目内容</w:t>
            </w:r>
          </w:p>
        </w:tc>
        <w:tc>
          <w:tcPr>
            <w:tcW w:w="2208"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leftChars="0" w:firstLine="0" w:firstLineChars="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折扣率</w:t>
            </w:r>
          </w:p>
        </w:tc>
        <w:tc>
          <w:tcPr>
            <w:tcW w:w="2262"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leftChars="0" w:firstLine="0" w:firstLineChars="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leftChars="0" w:firstLine="0" w:firstLineChars="0"/>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643"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jc w:val="center"/>
              <w:outlineLvl w:val="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首讯公司2023-2024年职工食堂生鲜配送</w:t>
            </w:r>
          </w:p>
        </w:tc>
        <w:tc>
          <w:tcPr>
            <w:tcW w:w="2208"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leftChars="0" w:firstLine="0" w:firstLineChars="0"/>
              <w:jc w:val="center"/>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例：</w:t>
            </w:r>
            <w:r>
              <w:rPr>
                <w:rFonts w:hint="eastAsia" w:ascii="宋体" w:hAnsi="宋体" w:eastAsia="宋体" w:cs="宋体"/>
                <w:bCs/>
                <w:color w:val="auto"/>
                <w:sz w:val="21"/>
                <w:szCs w:val="21"/>
                <w:highlight w:val="none"/>
                <w:u w:val="single"/>
                <w:lang w:val="en-US" w:eastAsia="zh-CN"/>
              </w:rPr>
              <w:t>90.00%</w:t>
            </w:r>
          </w:p>
        </w:tc>
        <w:tc>
          <w:tcPr>
            <w:tcW w:w="2262" w:type="dxa"/>
            <w:tcBorders>
              <w:top w:val="single" w:color="auto" w:sz="4" w:space="0"/>
              <w:left w:val="single" w:color="auto" w:sz="4" w:space="0"/>
              <w:bottom w:val="single" w:color="auto" w:sz="4" w:space="0"/>
              <w:right w:val="single" w:color="auto" w:sz="4" w:space="0"/>
            </w:tcBorders>
            <w:vAlign w:val="center"/>
          </w:tcPr>
          <w:p>
            <w:pPr>
              <w:pStyle w:val="3"/>
              <w:spacing w:line="240" w:lineRule="atLeast"/>
              <w:ind w:left="0"/>
              <w:jc w:val="center"/>
              <w:outlineLvl w:val="0"/>
              <w:rPr>
                <w:rFonts w:hint="eastAsia" w:ascii="宋体" w:hAnsi="宋体" w:eastAsia="宋体" w:cs="宋体"/>
                <w:bCs/>
                <w:color w:val="auto"/>
                <w:sz w:val="21"/>
                <w:szCs w:val="21"/>
                <w:highlight w:val="none"/>
              </w:rPr>
            </w:pPr>
          </w:p>
        </w:tc>
      </w:tr>
    </w:tbl>
    <w:p>
      <w:pPr>
        <w:pStyle w:val="5"/>
        <w:spacing w:before="0" w:after="0" w:line="360" w:lineRule="auto"/>
        <w:jc w:val="center"/>
        <w:rPr>
          <w:rFonts w:hint="eastAsia" w:ascii="宋体" w:hAnsi="宋体" w:eastAsia="宋体" w:cs="宋体"/>
          <w:color w:val="auto"/>
          <w:sz w:val="28"/>
          <w:highlight w:val="none"/>
        </w:rPr>
      </w:pPr>
    </w:p>
    <w:p>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pPr>
        <w:pStyle w:val="5"/>
        <w:spacing w:before="0" w:after="0" w:line="360" w:lineRule="auto"/>
        <w:jc w:val="center"/>
        <w:rPr>
          <w:rFonts w:ascii="宋体" w:hAnsi="宋体" w:eastAsia="宋体" w:cs="宋体"/>
          <w:color w:val="auto"/>
          <w:sz w:val="28"/>
          <w:highlight w:val="none"/>
        </w:rPr>
      </w:pPr>
      <w:r>
        <w:rPr>
          <w:rFonts w:hint="eastAsia" w:ascii="宋体" w:hAnsi="宋体" w:eastAsia="宋体" w:cs="宋体"/>
          <w:color w:val="auto"/>
          <w:sz w:val="28"/>
          <w:highlight w:val="none"/>
          <w:lang w:val="en-US" w:eastAsia="zh-CN"/>
        </w:rPr>
        <w:t>四</w:t>
      </w:r>
      <w:r>
        <w:rPr>
          <w:rFonts w:hint="eastAsia" w:ascii="宋体" w:hAnsi="宋体" w:eastAsia="宋体" w:cs="宋体"/>
          <w:color w:val="auto"/>
          <w:sz w:val="28"/>
          <w:highlight w:val="none"/>
        </w:rPr>
        <w:t>、资格审查资料</w:t>
      </w:r>
    </w:p>
    <w:p>
      <w:pPr>
        <w:tabs>
          <w:tab w:val="left" w:pos="1680"/>
          <w:tab w:val="left" w:pos="4215"/>
          <w:tab w:val="left" w:pos="4305"/>
          <w:tab w:val="left" w:pos="8000"/>
        </w:tabs>
        <w:autoSpaceDE w:val="0"/>
        <w:autoSpaceDN w:val="0"/>
        <w:adjustRightInd w:val="0"/>
        <w:snapToGrid w:val="0"/>
        <w:spacing w:line="360" w:lineRule="auto"/>
        <w:rPr>
          <w:rFonts w:ascii="宋体" w:hAnsi="宋体" w:cs="宋体"/>
          <w:color w:val="auto"/>
          <w:kern w:val="0"/>
          <w:szCs w:val="21"/>
          <w:highlight w:val="none"/>
        </w:rPr>
      </w:pPr>
    </w:p>
    <w:p>
      <w:pPr>
        <w:jc w:val="center"/>
        <w:rPr>
          <w:rFonts w:hint="default"/>
          <w:b/>
          <w:bCs/>
          <w:color w:val="auto"/>
          <w:sz w:val="32"/>
          <w:szCs w:val="36"/>
          <w:lang w:val="en-US" w:eastAsia="zh-CN"/>
        </w:rPr>
      </w:pPr>
      <w:r>
        <w:rPr>
          <w:rFonts w:hint="eastAsia"/>
          <w:b/>
          <w:bCs/>
          <w:color w:val="auto"/>
          <w:sz w:val="32"/>
          <w:szCs w:val="36"/>
          <w:lang w:val="en-US" w:eastAsia="zh-CN"/>
        </w:rPr>
        <w:t>（一）响应性承诺书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lang w:val="en-US" w:eastAsia="zh-CN"/>
        </w:rPr>
      </w:pPr>
      <w:r>
        <w:rPr>
          <w:rFonts w:hint="eastAsia"/>
          <w:color w:val="auto"/>
          <w:sz w:val="24"/>
          <w:szCs w:val="28"/>
          <w:lang w:val="en-US" w:eastAsia="zh-CN"/>
        </w:rPr>
        <w:t>致：重庆首讯科技股份有限公司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u w:val="none"/>
          <w:lang w:val="en-US" w:eastAsia="zh-CN"/>
        </w:rPr>
      </w:pPr>
      <w:r>
        <w:rPr>
          <w:rFonts w:hint="eastAsia"/>
          <w:color w:val="auto"/>
          <w:sz w:val="24"/>
          <w:szCs w:val="28"/>
          <w:lang w:val="en-US" w:eastAsia="zh-CN"/>
        </w:rPr>
        <w:t>我公司对</w:t>
      </w:r>
      <w:r>
        <w:rPr>
          <w:rFonts w:hint="eastAsia"/>
          <w:color w:val="auto"/>
          <w:sz w:val="24"/>
          <w:szCs w:val="28"/>
          <w:u w:val="single"/>
          <w:lang w:val="en-US" w:eastAsia="zh-CN"/>
        </w:rPr>
        <w:t xml:space="preserve">                                 （项目名称）</w:t>
      </w:r>
      <w:r>
        <w:rPr>
          <w:rFonts w:hint="eastAsia"/>
          <w:color w:val="auto"/>
          <w:sz w:val="24"/>
          <w:szCs w:val="28"/>
          <w:u w:val="none"/>
          <w:lang w:val="en-US" w:eastAsia="zh-CN"/>
        </w:rPr>
        <w:t>竞争性比选文件中要求内容完全响应做出以下承诺：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u w:val="none"/>
          <w:lang w:val="en-US" w:eastAsia="zh-CN"/>
        </w:rPr>
      </w:pPr>
      <w:r>
        <w:rPr>
          <w:rFonts w:hint="eastAsia"/>
          <w:color w:val="auto"/>
          <w:sz w:val="24"/>
          <w:szCs w:val="28"/>
          <w:u w:val="none"/>
          <w:lang w:val="en-US" w:eastAsia="zh-CN"/>
        </w:rPr>
        <w:t>1、我方比选响应文件中所有资料都是真实、准确、完整的；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u w:val="none"/>
          <w:lang w:val="en-US" w:eastAsia="zh-CN"/>
        </w:rPr>
      </w:pPr>
      <w:r>
        <w:rPr>
          <w:rFonts w:hint="eastAsia"/>
          <w:color w:val="auto"/>
          <w:sz w:val="24"/>
          <w:szCs w:val="28"/>
          <w:u w:val="none"/>
          <w:lang w:val="en-US" w:eastAsia="zh-CN"/>
        </w:rPr>
        <w:t>2、我方不存在资质挂靠或参与串标、围标情形。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u w:val="none"/>
          <w:lang w:val="en-US" w:eastAsia="zh-CN"/>
        </w:rPr>
      </w:pPr>
      <w:r>
        <w:rPr>
          <w:rFonts w:hint="eastAsia"/>
          <w:color w:val="auto"/>
          <w:sz w:val="24"/>
          <w:szCs w:val="28"/>
          <w:u w:val="none"/>
          <w:lang w:val="en-US" w:eastAsia="zh-CN"/>
        </w:rPr>
        <w:t>3、完全响应竞争性比选文件中的人员要求、机械设备要求、投标内容要求、报价要求、供货期要求、质量标准、安全目标等要求；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u w:val="none"/>
          <w:lang w:val="en-US" w:eastAsia="zh-CN"/>
        </w:rPr>
      </w:pPr>
      <w:r>
        <w:rPr>
          <w:rFonts w:hint="eastAsia"/>
          <w:color w:val="auto"/>
          <w:sz w:val="24"/>
          <w:szCs w:val="28"/>
          <w:u w:val="none"/>
          <w:lang w:val="en-US" w:eastAsia="zh-CN"/>
        </w:rPr>
        <w:t>如我方违反上述承诺，隐瞒、提供虚假资料或不按竞争性比选文件要求组织实施，被贵方发现或被他人举报查实，无条件接受贵司的处罚，对造成的损失，任何法律和经济责任完全由我方承担。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u w:val="none"/>
          <w:lang w:val="en-US" w:eastAsia="zh-CN"/>
        </w:rPr>
      </w:pPr>
      <w:r>
        <w:rPr>
          <w:rFonts w:hint="eastAsia"/>
          <w:color w:val="auto"/>
          <w:sz w:val="24"/>
          <w:szCs w:val="28"/>
          <w:u w:val="none"/>
          <w:lang w:val="en-US" w:eastAsia="zh-CN"/>
        </w:rPr>
        <w:t xml:space="preserve">                    报价人（单位名称）：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szCs w:val="28"/>
          <w:highlight w:val="none"/>
          <w:lang w:eastAsia="zh-CN"/>
        </w:rPr>
      </w:pPr>
      <w:r>
        <w:rPr>
          <w:rFonts w:hint="eastAsia"/>
          <w:color w:val="auto"/>
          <w:sz w:val="24"/>
          <w:szCs w:val="28"/>
          <w:u w:val="none"/>
          <w:lang w:val="en-US" w:eastAsia="zh-CN"/>
        </w:rPr>
        <w:t xml:space="preserve">        </w:t>
      </w:r>
      <w:r>
        <w:rPr>
          <w:rFonts w:ascii="宋体" w:hAnsi="宋体"/>
          <w:color w:val="auto"/>
          <w:sz w:val="24"/>
          <w:szCs w:val="28"/>
          <w:highlight w:val="none"/>
        </w:rPr>
        <w:t>法定代表人</w:t>
      </w:r>
      <w:r>
        <w:rPr>
          <w:rFonts w:hint="eastAsia" w:ascii="宋体" w:hAnsi="宋体"/>
          <w:color w:val="auto"/>
          <w:sz w:val="24"/>
          <w:szCs w:val="28"/>
          <w:highlight w:val="none"/>
          <w:lang w:eastAsia="zh-CN"/>
        </w:rPr>
        <w:t>（</w:t>
      </w:r>
      <w:r>
        <w:rPr>
          <w:rFonts w:hint="eastAsia" w:ascii="宋体" w:hAnsi="宋体"/>
          <w:color w:val="auto"/>
          <w:sz w:val="24"/>
          <w:szCs w:val="28"/>
          <w:highlight w:val="none"/>
          <w:lang w:val="en-US" w:eastAsia="zh-CN"/>
        </w:rPr>
        <w:t>或</w:t>
      </w:r>
      <w:r>
        <w:rPr>
          <w:rFonts w:ascii="宋体" w:hAnsi="宋体"/>
          <w:color w:val="auto"/>
          <w:sz w:val="24"/>
          <w:szCs w:val="28"/>
          <w:highlight w:val="none"/>
        </w:rPr>
        <w:t>委托代理人</w:t>
      </w:r>
      <w:r>
        <w:rPr>
          <w:rFonts w:hint="eastAsia" w:ascii="宋体" w:hAnsi="宋体"/>
          <w:color w:val="auto"/>
          <w:sz w:val="24"/>
          <w:szCs w:val="28"/>
          <w:highlight w:val="none"/>
          <w:lang w:eastAsia="zh-CN"/>
        </w:rPr>
        <w:t>）</w:t>
      </w:r>
      <w:r>
        <w:rPr>
          <w:rFonts w:ascii="宋体" w:hAnsi="宋体"/>
          <w:color w:val="auto"/>
          <w:sz w:val="24"/>
          <w:szCs w:val="28"/>
          <w:highlight w:val="none"/>
        </w:rPr>
        <w:t>签字</w:t>
      </w:r>
      <w:r>
        <w:rPr>
          <w:rFonts w:hint="eastAsia" w:ascii="宋体" w:hAnsi="宋体"/>
          <w:color w:val="auto"/>
          <w:sz w:val="24"/>
          <w:szCs w:val="28"/>
          <w:highlight w:val="none"/>
          <w:lang w:eastAsia="zh-CN"/>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color w:val="auto"/>
          <w:kern w:val="0"/>
          <w:szCs w:val="21"/>
        </w:rPr>
      </w:pPr>
      <w:r>
        <w:rPr>
          <w:rFonts w:hint="eastAsia" w:ascii="宋体" w:hAnsi="宋体"/>
          <w:color w:val="auto"/>
          <w:sz w:val="24"/>
          <w:szCs w:val="28"/>
          <w:highlight w:val="none"/>
          <w:lang w:val="en-US" w:eastAsia="zh-CN"/>
        </w:rPr>
        <w:t xml:space="preserve">     日期：</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color w:val="auto"/>
          <w:kern w:val="0"/>
          <w:szCs w:val="21"/>
        </w:rPr>
      </w:pPr>
    </w:p>
    <w:p>
      <w:pPr>
        <w:rPr>
          <w:rFonts w:hint="eastAsia"/>
          <w:b/>
          <w:bCs/>
          <w:color w:val="auto"/>
          <w:sz w:val="32"/>
          <w:szCs w:val="36"/>
          <w:lang w:val="en-US" w:eastAsia="zh-CN"/>
        </w:rPr>
      </w:pPr>
      <w:r>
        <w:rPr>
          <w:rFonts w:hint="eastAsia"/>
          <w:b/>
          <w:bCs/>
          <w:color w:val="auto"/>
          <w:sz w:val="32"/>
          <w:szCs w:val="36"/>
          <w:lang w:val="en-US" w:eastAsia="zh-CN"/>
        </w:rPr>
        <w:br w:type="page"/>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color w:val="auto"/>
          <w:kern w:val="0"/>
          <w:szCs w:val="21"/>
        </w:rPr>
      </w:pPr>
      <w:r>
        <w:rPr>
          <w:rFonts w:hint="eastAsia"/>
          <w:b/>
          <w:bCs/>
          <w:color w:val="auto"/>
          <w:sz w:val="32"/>
          <w:szCs w:val="36"/>
          <w:lang w:val="en-US" w:eastAsia="zh-CN"/>
        </w:rPr>
        <w:t>（二）资格审查资料</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color w:val="auto"/>
          <w:kern w:val="0"/>
          <w:szCs w:val="21"/>
        </w:rPr>
      </w:pPr>
      <w:r>
        <w:rPr>
          <w:rFonts w:hint="eastAsia" w:ascii="宋体" w:hAnsi="宋体" w:cs="宋体"/>
          <w:color w:val="auto"/>
          <w:kern w:val="0"/>
          <w:szCs w:val="21"/>
        </w:rPr>
        <w:t>（报价人营业执照、资格证书等）</w:t>
      </w:r>
    </w:p>
    <w:p>
      <w:pPr>
        <w:pStyle w:val="2"/>
        <w:rPr>
          <w:rFonts w:hint="eastAsia" w:ascii="宋体" w:hAnsi="宋体" w:cs="宋体"/>
          <w:color w:val="auto"/>
          <w:kern w:val="0"/>
          <w:szCs w:val="21"/>
        </w:rPr>
      </w:pPr>
    </w:p>
    <w:p>
      <w:pPr>
        <w:pStyle w:val="2"/>
        <w:rPr>
          <w:rFonts w:hint="eastAsia" w:ascii="宋体" w:hAnsi="宋体" w:cs="宋体"/>
          <w:color w:val="auto"/>
          <w:kern w:val="0"/>
          <w:szCs w:val="21"/>
        </w:rPr>
      </w:pPr>
    </w:p>
    <w:p>
      <w:pPr>
        <w:pStyle w:val="2"/>
        <w:rPr>
          <w:rFonts w:hint="eastAsia" w:ascii="宋体" w:hAnsi="宋体" w:cs="宋体"/>
          <w:color w:val="auto"/>
          <w:kern w:val="0"/>
          <w:szCs w:val="21"/>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color w:val="auto"/>
          <w:kern w:val="0"/>
          <w:szCs w:val="21"/>
        </w:rPr>
      </w:pPr>
      <w:r>
        <w:rPr>
          <w:rFonts w:hint="eastAsia"/>
          <w:b/>
          <w:bCs/>
          <w:color w:val="auto"/>
          <w:sz w:val="32"/>
          <w:szCs w:val="36"/>
          <w:lang w:val="en-US" w:eastAsia="zh-CN"/>
        </w:rPr>
        <w:t>（三）人员、机具资料</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根据以下要求提供资料</w:t>
      </w:r>
      <w:r>
        <w:rPr>
          <w:rFonts w:hint="eastAsia" w:ascii="宋体" w:hAnsi="宋体" w:cs="宋体"/>
          <w:color w:val="auto"/>
          <w:kern w:val="0"/>
          <w:szCs w:val="21"/>
        </w:rPr>
        <w:t>）</w:t>
      </w:r>
    </w:p>
    <w:p>
      <w:pPr>
        <w:pStyle w:val="5"/>
        <w:jc w:val="center"/>
        <w:rPr>
          <w:rFonts w:hint="eastAsia" w:ascii="宋体" w:hAnsi="宋体" w:eastAsia="宋体" w:cs="宋体"/>
          <w:bCs w:val="0"/>
          <w:color w:val="auto"/>
          <w:sz w:val="28"/>
          <w:szCs w:val="28"/>
          <w:highlight w:val="none"/>
        </w:rPr>
      </w:pPr>
      <w:r>
        <w:rPr>
          <w:rFonts w:hint="eastAsia" w:ascii="宋体" w:hAnsi="宋体" w:eastAsia="宋体" w:cs="宋体"/>
          <w:color w:val="auto"/>
          <w:sz w:val="28"/>
          <w:szCs w:val="28"/>
          <w:highlight w:val="none"/>
        </w:rPr>
        <w:t xml:space="preserve">附录1  </w:t>
      </w:r>
      <w:r>
        <w:rPr>
          <w:rFonts w:hint="eastAsia" w:ascii="宋体" w:hAnsi="宋体" w:eastAsia="宋体" w:cs="宋体"/>
          <w:bCs w:val="0"/>
          <w:color w:val="auto"/>
          <w:sz w:val="28"/>
          <w:szCs w:val="28"/>
          <w:highlight w:val="none"/>
        </w:rPr>
        <w:t>资格审查文件（项目主要管理人员最低要求）</w:t>
      </w:r>
    </w:p>
    <w:p>
      <w:pPr>
        <w:spacing w:line="400" w:lineRule="exact"/>
        <w:jc w:val="center"/>
        <w:rPr>
          <w:rFonts w:hint="eastAsia"/>
          <w:color w:val="auto"/>
          <w:highlight w:val="none"/>
        </w:rPr>
      </w:pPr>
      <w:r>
        <w:rPr>
          <w:rFonts w:hint="eastAsia" w:ascii="宋体" w:hAnsi="宋体" w:cs="宋体"/>
          <w:b/>
          <w:color w:val="auto"/>
          <w:szCs w:val="21"/>
          <w:highlight w:val="none"/>
        </w:rPr>
        <w:t>主要管理人员最低要求</w:t>
      </w:r>
    </w:p>
    <w:tbl>
      <w:tblPr>
        <w:tblStyle w:val="44"/>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spacing w:before="0" w:beforeAutospacing="0" w:after="0" w:afterAutospacing="0"/>
              <w:ind w:right="0" w:rightChars="0"/>
              <w:jc w:val="both"/>
              <w:rPr>
                <w:rFonts w:hint="default"/>
                <w:color w:val="auto"/>
                <w:highlight w:val="none"/>
                <w:lang w:val="en-US" w:eastAsia="zh-CN"/>
              </w:rPr>
            </w:pPr>
            <w:r>
              <w:rPr>
                <w:rFonts w:hint="eastAsia" w:ascii="宋体" w:hAnsi="宋体" w:eastAsia="宋体" w:cs="宋体"/>
                <w:color w:val="auto"/>
                <w:szCs w:val="21"/>
                <w:highlight w:val="none"/>
                <w:lang w:val="en-US" w:eastAsia="zh-CN"/>
              </w:rPr>
              <w:t>/</w:t>
            </w:r>
          </w:p>
        </w:tc>
      </w:tr>
    </w:tbl>
    <w:p>
      <w:pPr>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w:t>
      </w:r>
    </w:p>
    <w:p>
      <w:pPr>
        <w:pStyle w:val="5"/>
        <w:jc w:val="center"/>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附录</w:t>
      </w:r>
      <w:r>
        <w:rPr>
          <w:rFonts w:hint="eastAsia" w:ascii="宋体" w:hAnsi="宋体" w:eastAsia="宋体" w:cs="宋体"/>
          <w:bCs w:val="0"/>
          <w:color w:val="auto"/>
          <w:sz w:val="28"/>
          <w:szCs w:val="28"/>
          <w:highlight w:val="none"/>
          <w:lang w:val="en-US" w:eastAsia="zh-CN"/>
        </w:rPr>
        <w:t>2</w:t>
      </w:r>
      <w:r>
        <w:rPr>
          <w:rFonts w:hint="eastAsia" w:ascii="宋体" w:hAnsi="宋体" w:eastAsia="宋体" w:cs="宋体"/>
          <w:bCs w:val="0"/>
          <w:color w:val="auto"/>
          <w:sz w:val="28"/>
          <w:szCs w:val="28"/>
          <w:highlight w:val="none"/>
        </w:rPr>
        <w:t xml:space="preserve"> 资格审查文件（项目</w:t>
      </w:r>
      <w:r>
        <w:rPr>
          <w:rFonts w:hint="eastAsia" w:ascii="宋体" w:hAnsi="宋体" w:eastAsia="宋体" w:cs="宋体"/>
          <w:bCs w:val="0"/>
          <w:color w:val="auto"/>
          <w:sz w:val="28"/>
          <w:szCs w:val="28"/>
          <w:highlight w:val="none"/>
          <w:lang w:val="en-US" w:eastAsia="zh-CN"/>
        </w:rPr>
        <w:t>其他</w:t>
      </w:r>
      <w:r>
        <w:rPr>
          <w:rFonts w:hint="eastAsia" w:ascii="宋体" w:hAnsi="宋体" w:eastAsia="宋体" w:cs="宋体"/>
          <w:bCs w:val="0"/>
          <w:color w:val="auto"/>
          <w:sz w:val="28"/>
          <w:szCs w:val="28"/>
          <w:highlight w:val="none"/>
        </w:rPr>
        <w:t>人员</w:t>
      </w:r>
      <w:r>
        <w:rPr>
          <w:rFonts w:hint="eastAsia" w:ascii="宋体" w:hAnsi="宋体" w:eastAsia="宋体" w:cs="宋体"/>
          <w:bCs w:val="0"/>
          <w:color w:val="auto"/>
          <w:sz w:val="28"/>
          <w:szCs w:val="28"/>
          <w:highlight w:val="none"/>
          <w:lang w:val="en-US" w:eastAsia="zh-CN"/>
        </w:rPr>
        <w:t>最低</w:t>
      </w:r>
      <w:r>
        <w:rPr>
          <w:rFonts w:hint="eastAsia" w:ascii="宋体" w:hAnsi="宋体" w:eastAsia="宋体" w:cs="宋体"/>
          <w:bCs w:val="0"/>
          <w:color w:val="auto"/>
          <w:sz w:val="28"/>
          <w:szCs w:val="28"/>
          <w:highlight w:val="none"/>
        </w:rPr>
        <w:t>要求）</w:t>
      </w:r>
    </w:p>
    <w:tbl>
      <w:tblPr>
        <w:tblStyle w:val="4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916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highlight w:val="none"/>
                <w:lang w:val="en-US" w:eastAsia="zh-CN"/>
              </w:rPr>
            </w:pPr>
            <w:r>
              <w:rPr>
                <w:rFonts w:hint="eastAsia" w:eastAsia="宋体"/>
                <w:color w:val="auto"/>
                <w:highlight w:val="none"/>
                <w:lang w:val="en-US" w:eastAsia="zh-CN"/>
              </w:rPr>
              <w:t>配送车辆及人员：中标人须配备配送人员1-2名，实行专人专车采购，并负责人员和车辆的安全和管理，保证人员和车辆遵守采购人相关规定。应提供健康证、相关证件资质等资料复印件。</w:t>
            </w:r>
          </w:p>
        </w:tc>
      </w:tr>
    </w:tbl>
    <w:p>
      <w:pPr>
        <w:keepNext w:val="0"/>
        <w:keepLines w:val="0"/>
        <w:pageBreakBefore w:val="0"/>
        <w:widowControl w:val="0"/>
        <w:kinsoku/>
        <w:wordWrap/>
        <w:overflowPunct/>
        <w:topLinePunct w:val="0"/>
        <w:autoSpaceDE/>
        <w:autoSpaceDN/>
        <w:bidi w:val="0"/>
        <w:adjustRightInd/>
        <w:snapToGrid/>
        <w:ind w:left="105" w:leftChars="50"/>
        <w:textAlignment w:val="auto"/>
        <w:rPr>
          <w:rFonts w:hint="eastAsia" w:ascii="宋体" w:hAnsi="宋体" w:cs="宋体"/>
          <w:caps/>
          <w:color w:val="auto"/>
          <w:szCs w:val="21"/>
          <w:highlight w:val="none"/>
          <w:lang w:val="en-US" w:eastAsia="zh-CN"/>
        </w:rPr>
      </w:pPr>
      <w:r>
        <w:rPr>
          <w:rFonts w:hint="eastAsia" w:hAnsi="宋体" w:cs="Times New Roman"/>
          <w:b w:val="0"/>
          <w:bCs w:val="0"/>
          <w:color w:val="auto"/>
          <w:sz w:val="21"/>
          <w:szCs w:val="21"/>
          <w:highlight w:val="none"/>
          <w:lang w:val="en-US" w:eastAsia="zh-CN"/>
        </w:rPr>
        <w:t>注：需提供以上人员名单（表格形式），以上人员相关资质证件、身份证复印件及由社保局出具的报价人为以上人员缴纳近6个月内的连续三个月的养老保险证明（带有社保部门公章或社保部门的有效电子印章）</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r>
        <w:rPr>
          <w:rFonts w:hint="eastAsia" w:hAnsi="宋体"/>
          <w:b w:val="0"/>
          <w:bCs w:val="0"/>
          <w:color w:val="auto"/>
          <w:sz w:val="21"/>
          <w:szCs w:val="21"/>
          <w:highlight w:val="none"/>
          <w:lang w:val="en-US" w:eastAsia="zh-CN"/>
        </w:rPr>
        <w:t>。</w:t>
      </w:r>
    </w:p>
    <w:p>
      <w:pPr>
        <w:pStyle w:val="5"/>
        <w:jc w:val="center"/>
        <w:rPr>
          <w:rFonts w:hint="eastAsia" w:hAnsi="宋体"/>
          <w:b w:val="0"/>
          <w:color w:val="auto"/>
          <w:sz w:val="28"/>
          <w:szCs w:val="28"/>
          <w:highlight w:val="none"/>
        </w:rPr>
      </w:pPr>
      <w:r>
        <w:rPr>
          <w:rFonts w:hint="eastAsia" w:ascii="宋体" w:hAnsi="宋体" w:eastAsia="宋体" w:cs="宋体"/>
          <w:bCs w:val="0"/>
          <w:color w:val="auto"/>
          <w:sz w:val="28"/>
          <w:szCs w:val="28"/>
          <w:highlight w:val="none"/>
        </w:rPr>
        <w:t>附录</w:t>
      </w:r>
      <w:r>
        <w:rPr>
          <w:rFonts w:hint="eastAsia" w:ascii="宋体" w:hAnsi="宋体" w:eastAsia="宋体" w:cs="宋体"/>
          <w:bCs w:val="0"/>
          <w:color w:val="auto"/>
          <w:sz w:val="28"/>
          <w:szCs w:val="28"/>
          <w:highlight w:val="none"/>
          <w:lang w:val="en-US" w:eastAsia="zh-CN"/>
        </w:rPr>
        <w:t>3</w:t>
      </w:r>
      <w:r>
        <w:rPr>
          <w:rFonts w:hint="eastAsia" w:ascii="宋体" w:hAnsi="宋体" w:eastAsia="宋体" w:cs="宋体"/>
          <w:bCs w:val="0"/>
          <w:color w:val="auto"/>
          <w:sz w:val="28"/>
          <w:szCs w:val="28"/>
          <w:highlight w:val="none"/>
        </w:rPr>
        <w:t xml:space="preserve"> 资格审查文件（主要机械设备最低要求）</w:t>
      </w:r>
    </w:p>
    <w:tbl>
      <w:tblPr>
        <w:tblStyle w:val="4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主要机械设备最低要求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60" w:type="dxa"/>
          </w:tcPr>
          <w:p>
            <w:pPr>
              <w:ind w:firstLine="420" w:firstLineChars="200"/>
              <w:rPr>
                <w:rFonts w:hint="default"/>
                <w:color w:val="auto"/>
                <w:highlight w:val="none"/>
                <w:lang w:val="en-US"/>
              </w:rPr>
            </w:pPr>
            <w:r>
              <w:rPr>
                <w:rFonts w:hint="eastAsia" w:eastAsia="宋体"/>
                <w:color w:val="auto"/>
                <w:highlight w:val="none"/>
                <w:lang w:val="en-US" w:eastAsia="zh-CN"/>
              </w:rPr>
              <w:t>配送车1辆（必须符合食品实时气候需求）。应提供配送车辆的行驶证复印件及车辆照片。</w:t>
            </w:r>
          </w:p>
        </w:tc>
      </w:tr>
    </w:tbl>
    <w:p>
      <w:pPr>
        <w:pStyle w:val="2"/>
        <w:rPr>
          <w:rFonts w:hint="eastAsia" w:ascii="宋体" w:hAnsi="宋体" w:cs="宋体"/>
          <w:color w:val="auto"/>
          <w:kern w:val="0"/>
          <w:szCs w:val="21"/>
        </w:rPr>
      </w:pPr>
      <w:r>
        <w:rPr>
          <w:rFonts w:hint="eastAsia" w:ascii="Times New Roman" w:hAnsi="宋体" w:cs="Times New Roman"/>
          <w:b w:val="0"/>
          <w:bCs w:val="0"/>
          <w:color w:val="auto"/>
          <w:sz w:val="21"/>
          <w:szCs w:val="21"/>
          <w:highlight w:val="none"/>
          <w:lang w:val="en-US" w:eastAsia="zh-CN"/>
        </w:rPr>
        <w:t>注：</w:t>
      </w:r>
      <w:r>
        <w:rPr>
          <w:rFonts w:hint="eastAsia" w:eastAsia="宋体"/>
          <w:color w:val="auto"/>
          <w:highlight w:val="none"/>
          <w:lang w:val="en-US" w:eastAsia="zh-CN"/>
        </w:rPr>
        <w:t>应提供配送车辆的行驶证复印件及车辆照片</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r>
        <w:rPr>
          <w:rFonts w:hint="eastAsia" w:ascii="宋体" w:hAnsi="宋体" w:cs="宋体"/>
          <w:caps/>
          <w:color w:val="auto"/>
          <w:szCs w:val="21"/>
          <w:highlight w:val="none"/>
          <w:lang w:eastAsia="zh-CN"/>
        </w:rPr>
        <w:t>。</w:t>
      </w:r>
    </w:p>
    <w:p>
      <w:pPr>
        <w:pStyle w:val="2"/>
        <w:ind w:left="0" w:leftChars="0" w:firstLine="0" w:firstLineChars="0"/>
        <w:rPr>
          <w:rFonts w:ascii="宋体" w:hAnsi="宋体" w:cs="宋体"/>
          <w:color w:val="auto"/>
          <w:szCs w:val="21"/>
          <w:highlight w:val="none"/>
        </w:rPr>
      </w:pPr>
    </w:p>
    <w:p>
      <w:pPr>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pStyle w:val="5"/>
        <w:spacing w:before="0" w:after="0" w:line="360" w:lineRule="auto"/>
        <w:jc w:val="center"/>
        <w:rPr>
          <w:rFonts w:ascii="宋体" w:hAnsi="宋体" w:cs="宋体"/>
          <w:color w:val="auto"/>
          <w:sz w:val="28"/>
          <w:highlight w:val="none"/>
        </w:rPr>
      </w:pPr>
      <w:bookmarkStart w:id="307" w:name="_Toc513633973"/>
      <w:bookmarkStart w:id="308" w:name="_Toc503951055"/>
      <w:bookmarkStart w:id="309" w:name="_Toc11243"/>
      <w:bookmarkStart w:id="310" w:name="_Toc11672"/>
      <w:bookmarkStart w:id="311" w:name="_Toc29559"/>
      <w:bookmarkStart w:id="312" w:name="_Toc447827068"/>
      <w:bookmarkStart w:id="313" w:name="_Toc11329281"/>
      <w:bookmarkStart w:id="314" w:name="_Toc30624"/>
      <w:bookmarkStart w:id="315" w:name="_Toc19964"/>
      <w:bookmarkStart w:id="316" w:name="_Toc10085"/>
      <w:bookmarkStart w:id="317" w:name="_Toc15250"/>
      <w:r>
        <w:rPr>
          <w:rFonts w:hint="eastAsia" w:ascii="宋体" w:hAnsi="宋体" w:eastAsia="宋体" w:cs="宋体"/>
          <w:color w:val="auto"/>
          <w:sz w:val="28"/>
          <w:highlight w:val="none"/>
          <w:lang w:val="en-US" w:eastAsia="zh-CN"/>
        </w:rPr>
        <w:t>五</w:t>
      </w:r>
      <w:r>
        <w:rPr>
          <w:rFonts w:hint="eastAsia" w:ascii="宋体" w:hAnsi="宋体" w:eastAsia="宋体" w:cs="宋体"/>
          <w:color w:val="auto"/>
          <w:sz w:val="28"/>
          <w:highlight w:val="none"/>
        </w:rPr>
        <w:t>、</w:t>
      </w:r>
      <w:bookmarkEnd w:id="307"/>
      <w:bookmarkEnd w:id="308"/>
      <w:bookmarkEnd w:id="309"/>
      <w:bookmarkEnd w:id="310"/>
      <w:bookmarkEnd w:id="311"/>
      <w:bookmarkEnd w:id="312"/>
      <w:bookmarkEnd w:id="313"/>
      <w:r>
        <w:rPr>
          <w:rFonts w:hint="eastAsia" w:ascii="宋体" w:hAnsi="宋体" w:eastAsia="宋体" w:cs="宋体"/>
          <w:color w:val="auto"/>
          <w:sz w:val="28"/>
          <w:highlight w:val="none"/>
        </w:rPr>
        <w:t>报价人基本信息及其他材料</w:t>
      </w:r>
      <w:bookmarkEnd w:id="314"/>
      <w:bookmarkEnd w:id="315"/>
      <w:bookmarkEnd w:id="316"/>
      <w:bookmarkEnd w:id="317"/>
      <w:bookmarkStart w:id="318" w:name="_Toc503951058"/>
      <w:bookmarkStart w:id="319" w:name="_Toc513633974"/>
    </w:p>
    <w:p>
      <w:pPr>
        <w:pStyle w:val="6"/>
        <w:spacing w:before="0" w:after="0" w:line="360" w:lineRule="auto"/>
        <w:jc w:val="center"/>
        <w:rPr>
          <w:color w:val="auto"/>
          <w:sz w:val="28"/>
          <w:szCs w:val="28"/>
          <w:highlight w:val="none"/>
        </w:rPr>
      </w:pPr>
      <w:r>
        <w:rPr>
          <w:rFonts w:hint="eastAsia"/>
          <w:color w:val="auto"/>
          <w:sz w:val="28"/>
          <w:szCs w:val="28"/>
          <w:highlight w:val="none"/>
        </w:rPr>
        <w:t>（一）报价人基本信息表</w:t>
      </w:r>
    </w:p>
    <w:p>
      <w:pPr>
        <w:pStyle w:val="27"/>
        <w:rPr>
          <w:color w:val="auto"/>
          <w:highlight w:val="none"/>
        </w:rPr>
      </w:pPr>
    </w:p>
    <w:tbl>
      <w:tblPr>
        <w:tblStyle w:val="4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bl>
    <w:p>
      <w:pPr>
        <w:pStyle w:val="5"/>
        <w:spacing w:before="0" w:after="0" w:line="360" w:lineRule="auto"/>
        <w:jc w:val="center"/>
        <w:rPr>
          <w:rFonts w:ascii="宋体" w:hAnsi="宋体" w:eastAsia="宋体" w:cs="宋体"/>
          <w:color w:val="auto"/>
          <w:sz w:val="28"/>
          <w:highlight w:val="none"/>
        </w:rPr>
      </w:pPr>
      <w:r>
        <w:rPr>
          <w:rFonts w:hint="eastAsia" w:ascii="宋体" w:hAnsi="宋体" w:cs="宋体"/>
          <w:color w:val="auto"/>
          <w:sz w:val="28"/>
          <w:highlight w:val="none"/>
        </w:rPr>
        <w:t>（二）其他材料</w:t>
      </w:r>
    </w:p>
    <w:bookmarkEnd w:id="318"/>
    <w:bookmarkEnd w:id="319"/>
    <w:p>
      <w:pPr>
        <w:pStyle w:val="30"/>
        <w:rPr>
          <w:color w:val="auto"/>
          <w:highlight w:val="none"/>
        </w:rPr>
      </w:pPr>
    </w:p>
    <w:p>
      <w:pPr>
        <w:rPr>
          <w:color w:val="auto"/>
          <w:highlight w:val="none"/>
        </w:rPr>
      </w:pPr>
    </w:p>
    <w:sectPr>
      <w:footerReference r:id="rId9" w:type="first"/>
      <w:footerReference r:id="rId8"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01971470-A1E9-4D46-B01C-E8A9090F8D3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embedRegular r:id="rId2" w:fontKey="{295B2685-F680-48AC-9AF8-734F0F824229}"/>
  </w:font>
  <w:font w:name="方正仿宋_GBK">
    <w:panose1 w:val="02000000000000000000"/>
    <w:charset w:val="86"/>
    <w:family w:val="script"/>
    <w:pitch w:val="default"/>
    <w:sig w:usb0="A00002BF" w:usb1="38CF7CFA" w:usb2="00082016" w:usb3="00000000" w:csb0="00040001" w:csb1="00000000"/>
    <w:embedRegular r:id="rId3" w:fontKey="{65162D9D-84BD-43F7-AAEA-2DE6DCD86672}"/>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lang w:val="en-US" w:eastAsia="zh-CN"/>
      </w:rPr>
      <w:t>73</w:t>
    </w:r>
    <w:r>
      <w:fldChar w:fldCharType="end"/>
    </w:r>
  </w:p>
  <w:p>
    <w:pPr>
      <w:pStyle w:val="27"/>
      <w:ind w:right="36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8"/>
                            </w:rPr>
                          </w:pPr>
                          <w:r>
                            <w:fldChar w:fldCharType="begin"/>
                          </w:r>
                          <w:r>
                            <w:rPr>
                              <w:rStyle w:val="48"/>
                            </w:rPr>
                            <w:instrText xml:space="preserve">PAGE  </w:instrText>
                          </w:r>
                          <w:r>
                            <w:fldChar w:fldCharType="separate"/>
                          </w:r>
                          <w:r>
                            <w:rPr>
                              <w:rStyle w:val="48"/>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8"/>
                      </w:rPr>
                    </w:pPr>
                    <w:r>
                      <w:fldChar w:fldCharType="begin"/>
                    </w:r>
                    <w:r>
                      <w:rPr>
                        <w:rStyle w:val="48"/>
                      </w:rPr>
                      <w:instrText xml:space="preserve">PAGE  </w:instrText>
                    </w:r>
                    <w:r>
                      <w:fldChar w:fldCharType="separate"/>
                    </w:r>
                    <w:r>
                      <w:rPr>
                        <w:rStyle w:val="48"/>
                      </w:rPr>
                      <w:t>95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A9179"/>
    <w:multiLevelType w:val="singleLevel"/>
    <w:tmpl w:val="8EFA9179"/>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0368"/>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47FC8"/>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86208"/>
    <w:rsid w:val="0019148A"/>
    <w:rsid w:val="001A0539"/>
    <w:rsid w:val="001A09DE"/>
    <w:rsid w:val="001A5CDC"/>
    <w:rsid w:val="001A7336"/>
    <w:rsid w:val="001B365F"/>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0D02"/>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1A"/>
    <w:rsid w:val="002B52E8"/>
    <w:rsid w:val="002B6790"/>
    <w:rsid w:val="002B6B13"/>
    <w:rsid w:val="002B6E57"/>
    <w:rsid w:val="002B72CF"/>
    <w:rsid w:val="002C2E51"/>
    <w:rsid w:val="002C471B"/>
    <w:rsid w:val="002C5A0E"/>
    <w:rsid w:val="002C7AB6"/>
    <w:rsid w:val="002D306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1E1"/>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2E64"/>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60D0"/>
    <w:rsid w:val="00527B46"/>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5A5A"/>
    <w:rsid w:val="007560DB"/>
    <w:rsid w:val="00756FB5"/>
    <w:rsid w:val="00756FFD"/>
    <w:rsid w:val="00760CE7"/>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13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BF"/>
    <w:rsid w:val="009756CC"/>
    <w:rsid w:val="00984865"/>
    <w:rsid w:val="00993114"/>
    <w:rsid w:val="009933AA"/>
    <w:rsid w:val="00993DE8"/>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795"/>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3224"/>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1A23"/>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40AB"/>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51D9D"/>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6241"/>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25A8"/>
    <w:rsid w:val="00E64D73"/>
    <w:rsid w:val="00E65B2B"/>
    <w:rsid w:val="00E84AD3"/>
    <w:rsid w:val="00E8555A"/>
    <w:rsid w:val="00E87D31"/>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6AD"/>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6FC9"/>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87D16"/>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83B"/>
    <w:rsid w:val="00FD4E1C"/>
    <w:rsid w:val="00FD5A4F"/>
    <w:rsid w:val="00FE041C"/>
    <w:rsid w:val="00FE3166"/>
    <w:rsid w:val="00FE3EEF"/>
    <w:rsid w:val="00FE5EBF"/>
    <w:rsid w:val="00FE7AEA"/>
    <w:rsid w:val="00FF3180"/>
    <w:rsid w:val="00FF4C28"/>
    <w:rsid w:val="00FF569F"/>
    <w:rsid w:val="00FF7182"/>
    <w:rsid w:val="010B1E00"/>
    <w:rsid w:val="015D18DC"/>
    <w:rsid w:val="017A38C2"/>
    <w:rsid w:val="01852BD3"/>
    <w:rsid w:val="018A0F14"/>
    <w:rsid w:val="018A6C3C"/>
    <w:rsid w:val="01A8609A"/>
    <w:rsid w:val="01C21D25"/>
    <w:rsid w:val="01E847E5"/>
    <w:rsid w:val="01FF31C9"/>
    <w:rsid w:val="02195A53"/>
    <w:rsid w:val="0231567C"/>
    <w:rsid w:val="026C6D7F"/>
    <w:rsid w:val="02910A6D"/>
    <w:rsid w:val="029D41FE"/>
    <w:rsid w:val="02A14C7A"/>
    <w:rsid w:val="02A800C5"/>
    <w:rsid w:val="02C6499B"/>
    <w:rsid w:val="02C91CAA"/>
    <w:rsid w:val="0343188F"/>
    <w:rsid w:val="034D7468"/>
    <w:rsid w:val="037D0CD2"/>
    <w:rsid w:val="038B3366"/>
    <w:rsid w:val="03981B5E"/>
    <w:rsid w:val="03996EAD"/>
    <w:rsid w:val="03C43707"/>
    <w:rsid w:val="03D472D2"/>
    <w:rsid w:val="03F60BFA"/>
    <w:rsid w:val="04023CC8"/>
    <w:rsid w:val="04114FD7"/>
    <w:rsid w:val="04226EB2"/>
    <w:rsid w:val="042674F4"/>
    <w:rsid w:val="042D3C13"/>
    <w:rsid w:val="044004C3"/>
    <w:rsid w:val="04557501"/>
    <w:rsid w:val="04557BDD"/>
    <w:rsid w:val="04722D72"/>
    <w:rsid w:val="047A0BBC"/>
    <w:rsid w:val="047F655D"/>
    <w:rsid w:val="048779BB"/>
    <w:rsid w:val="04BE3120"/>
    <w:rsid w:val="04C12ED8"/>
    <w:rsid w:val="04DC5749"/>
    <w:rsid w:val="04E26FED"/>
    <w:rsid w:val="04E41F94"/>
    <w:rsid w:val="04E71358"/>
    <w:rsid w:val="04F04544"/>
    <w:rsid w:val="04FD6633"/>
    <w:rsid w:val="05004428"/>
    <w:rsid w:val="052A7682"/>
    <w:rsid w:val="052E2B3B"/>
    <w:rsid w:val="05436F4F"/>
    <w:rsid w:val="054416D2"/>
    <w:rsid w:val="05507F0F"/>
    <w:rsid w:val="055E6E53"/>
    <w:rsid w:val="05871A0A"/>
    <w:rsid w:val="05A42E7B"/>
    <w:rsid w:val="05A70EA9"/>
    <w:rsid w:val="05CA6079"/>
    <w:rsid w:val="05D55D36"/>
    <w:rsid w:val="060C2525"/>
    <w:rsid w:val="060F639F"/>
    <w:rsid w:val="06253E14"/>
    <w:rsid w:val="062756FD"/>
    <w:rsid w:val="065F7A31"/>
    <w:rsid w:val="06615ED8"/>
    <w:rsid w:val="067C53E7"/>
    <w:rsid w:val="067D0139"/>
    <w:rsid w:val="067F3525"/>
    <w:rsid w:val="06820F5E"/>
    <w:rsid w:val="069F2AC2"/>
    <w:rsid w:val="06AE2ABA"/>
    <w:rsid w:val="06C75DF5"/>
    <w:rsid w:val="06DD02BB"/>
    <w:rsid w:val="06E32249"/>
    <w:rsid w:val="06E71F51"/>
    <w:rsid w:val="06F965AD"/>
    <w:rsid w:val="07050666"/>
    <w:rsid w:val="0717146F"/>
    <w:rsid w:val="071C4DB7"/>
    <w:rsid w:val="0735457E"/>
    <w:rsid w:val="07362674"/>
    <w:rsid w:val="073B195E"/>
    <w:rsid w:val="073B54B2"/>
    <w:rsid w:val="07537EF9"/>
    <w:rsid w:val="07686B6F"/>
    <w:rsid w:val="07815EE7"/>
    <w:rsid w:val="07B21C8F"/>
    <w:rsid w:val="07BA63F1"/>
    <w:rsid w:val="081748AE"/>
    <w:rsid w:val="08635851"/>
    <w:rsid w:val="0879136E"/>
    <w:rsid w:val="08A13C26"/>
    <w:rsid w:val="08C2359B"/>
    <w:rsid w:val="08E91129"/>
    <w:rsid w:val="09041814"/>
    <w:rsid w:val="0910197C"/>
    <w:rsid w:val="092D7BDC"/>
    <w:rsid w:val="09332D2B"/>
    <w:rsid w:val="093E2D64"/>
    <w:rsid w:val="09472203"/>
    <w:rsid w:val="098B1DA7"/>
    <w:rsid w:val="09907951"/>
    <w:rsid w:val="099F43E4"/>
    <w:rsid w:val="09A31A61"/>
    <w:rsid w:val="09BA7A85"/>
    <w:rsid w:val="09C83FDD"/>
    <w:rsid w:val="09D83A6D"/>
    <w:rsid w:val="09DC0EB0"/>
    <w:rsid w:val="09DE1094"/>
    <w:rsid w:val="09E2475B"/>
    <w:rsid w:val="0A100F2D"/>
    <w:rsid w:val="0A1E4380"/>
    <w:rsid w:val="0A3A1071"/>
    <w:rsid w:val="0A3F34B7"/>
    <w:rsid w:val="0A4B11BE"/>
    <w:rsid w:val="0A7B4003"/>
    <w:rsid w:val="0A8E5B8D"/>
    <w:rsid w:val="0AA240FA"/>
    <w:rsid w:val="0AAC0CBB"/>
    <w:rsid w:val="0ABA6D3B"/>
    <w:rsid w:val="0AD84BD3"/>
    <w:rsid w:val="0AE941D3"/>
    <w:rsid w:val="0B1061C6"/>
    <w:rsid w:val="0B2B08D5"/>
    <w:rsid w:val="0B472137"/>
    <w:rsid w:val="0B8A6552"/>
    <w:rsid w:val="0BA35012"/>
    <w:rsid w:val="0BB825ED"/>
    <w:rsid w:val="0BC0647C"/>
    <w:rsid w:val="0BCF34A4"/>
    <w:rsid w:val="0BD7624B"/>
    <w:rsid w:val="0BF26817"/>
    <w:rsid w:val="0C112E71"/>
    <w:rsid w:val="0C1E7DBD"/>
    <w:rsid w:val="0C22464A"/>
    <w:rsid w:val="0C2B72AE"/>
    <w:rsid w:val="0C2C7CAB"/>
    <w:rsid w:val="0C623EAC"/>
    <w:rsid w:val="0C9241DD"/>
    <w:rsid w:val="0C946488"/>
    <w:rsid w:val="0CAD24AF"/>
    <w:rsid w:val="0CB27F34"/>
    <w:rsid w:val="0D0D3F93"/>
    <w:rsid w:val="0D12389F"/>
    <w:rsid w:val="0D2713AC"/>
    <w:rsid w:val="0D2820B7"/>
    <w:rsid w:val="0D662EE5"/>
    <w:rsid w:val="0D860EC5"/>
    <w:rsid w:val="0D9339BE"/>
    <w:rsid w:val="0D9E6A67"/>
    <w:rsid w:val="0D9F0DC4"/>
    <w:rsid w:val="0DC02AA1"/>
    <w:rsid w:val="0DDE695A"/>
    <w:rsid w:val="0DF73A5B"/>
    <w:rsid w:val="0E053A26"/>
    <w:rsid w:val="0E1516A6"/>
    <w:rsid w:val="0E164CA8"/>
    <w:rsid w:val="0E231949"/>
    <w:rsid w:val="0E2D072E"/>
    <w:rsid w:val="0E3B295D"/>
    <w:rsid w:val="0E47249B"/>
    <w:rsid w:val="0E551882"/>
    <w:rsid w:val="0E622648"/>
    <w:rsid w:val="0E7306EC"/>
    <w:rsid w:val="0EB254B2"/>
    <w:rsid w:val="0ED85FFB"/>
    <w:rsid w:val="0ED939EE"/>
    <w:rsid w:val="0EF728F3"/>
    <w:rsid w:val="0EFB3F5D"/>
    <w:rsid w:val="0EFE3186"/>
    <w:rsid w:val="0F041CC7"/>
    <w:rsid w:val="0F042317"/>
    <w:rsid w:val="0F076264"/>
    <w:rsid w:val="0F1209F8"/>
    <w:rsid w:val="0F4C19DA"/>
    <w:rsid w:val="0F4C7D05"/>
    <w:rsid w:val="0F4F31AF"/>
    <w:rsid w:val="0F5F17BD"/>
    <w:rsid w:val="0F90531D"/>
    <w:rsid w:val="0FAD64B5"/>
    <w:rsid w:val="0FB21FD4"/>
    <w:rsid w:val="0FB8461F"/>
    <w:rsid w:val="0FC06B1C"/>
    <w:rsid w:val="0FC621C4"/>
    <w:rsid w:val="0FD9321F"/>
    <w:rsid w:val="0FFF5930"/>
    <w:rsid w:val="10020C1D"/>
    <w:rsid w:val="10033834"/>
    <w:rsid w:val="1021389E"/>
    <w:rsid w:val="103E7FAD"/>
    <w:rsid w:val="105F05EB"/>
    <w:rsid w:val="10634C16"/>
    <w:rsid w:val="106809B9"/>
    <w:rsid w:val="10727E4B"/>
    <w:rsid w:val="10981559"/>
    <w:rsid w:val="10A265EF"/>
    <w:rsid w:val="10AE0AAD"/>
    <w:rsid w:val="10DC09D3"/>
    <w:rsid w:val="10EC4A0F"/>
    <w:rsid w:val="10F42D61"/>
    <w:rsid w:val="11156FC6"/>
    <w:rsid w:val="11230124"/>
    <w:rsid w:val="11485B0D"/>
    <w:rsid w:val="114C7209"/>
    <w:rsid w:val="1154158B"/>
    <w:rsid w:val="117076B2"/>
    <w:rsid w:val="11842025"/>
    <w:rsid w:val="118865E2"/>
    <w:rsid w:val="119921B4"/>
    <w:rsid w:val="119E6579"/>
    <w:rsid w:val="11AF3DD5"/>
    <w:rsid w:val="11D435DD"/>
    <w:rsid w:val="11DA3C43"/>
    <w:rsid w:val="12125AF8"/>
    <w:rsid w:val="121360EF"/>
    <w:rsid w:val="1220326C"/>
    <w:rsid w:val="123A67B6"/>
    <w:rsid w:val="123B7AF5"/>
    <w:rsid w:val="125670E6"/>
    <w:rsid w:val="125E1A9C"/>
    <w:rsid w:val="126D6927"/>
    <w:rsid w:val="1276289F"/>
    <w:rsid w:val="1288522D"/>
    <w:rsid w:val="1288550F"/>
    <w:rsid w:val="129D6A95"/>
    <w:rsid w:val="12AF4046"/>
    <w:rsid w:val="12BF4258"/>
    <w:rsid w:val="12C37784"/>
    <w:rsid w:val="12CE506D"/>
    <w:rsid w:val="12E22E2E"/>
    <w:rsid w:val="12F65490"/>
    <w:rsid w:val="12F73D2A"/>
    <w:rsid w:val="12F9698E"/>
    <w:rsid w:val="13112273"/>
    <w:rsid w:val="131C7C5D"/>
    <w:rsid w:val="133E0119"/>
    <w:rsid w:val="13511DF6"/>
    <w:rsid w:val="13641CD2"/>
    <w:rsid w:val="138B4634"/>
    <w:rsid w:val="138F1214"/>
    <w:rsid w:val="13BF412F"/>
    <w:rsid w:val="13D101C7"/>
    <w:rsid w:val="1400440E"/>
    <w:rsid w:val="141445CA"/>
    <w:rsid w:val="142669A3"/>
    <w:rsid w:val="143805F9"/>
    <w:rsid w:val="143E60BA"/>
    <w:rsid w:val="14446C04"/>
    <w:rsid w:val="144729D8"/>
    <w:rsid w:val="145C5B42"/>
    <w:rsid w:val="147572D6"/>
    <w:rsid w:val="148E78CB"/>
    <w:rsid w:val="149F4D92"/>
    <w:rsid w:val="14A13E6D"/>
    <w:rsid w:val="14AB614D"/>
    <w:rsid w:val="14B96C2B"/>
    <w:rsid w:val="14E911D9"/>
    <w:rsid w:val="14F50E56"/>
    <w:rsid w:val="14FC7061"/>
    <w:rsid w:val="15113F9B"/>
    <w:rsid w:val="15233B0C"/>
    <w:rsid w:val="15311E8E"/>
    <w:rsid w:val="15436E45"/>
    <w:rsid w:val="15472F28"/>
    <w:rsid w:val="15507C7E"/>
    <w:rsid w:val="15664AEF"/>
    <w:rsid w:val="158E23E1"/>
    <w:rsid w:val="159D7EA6"/>
    <w:rsid w:val="159F1BF9"/>
    <w:rsid w:val="15A25A36"/>
    <w:rsid w:val="15B71B1D"/>
    <w:rsid w:val="15C520DD"/>
    <w:rsid w:val="15E63361"/>
    <w:rsid w:val="160B0227"/>
    <w:rsid w:val="162D644C"/>
    <w:rsid w:val="16532C2E"/>
    <w:rsid w:val="16585909"/>
    <w:rsid w:val="166D5E8F"/>
    <w:rsid w:val="16864176"/>
    <w:rsid w:val="16E04880"/>
    <w:rsid w:val="16E2350D"/>
    <w:rsid w:val="16F33791"/>
    <w:rsid w:val="16F86032"/>
    <w:rsid w:val="17041DF5"/>
    <w:rsid w:val="17081A7A"/>
    <w:rsid w:val="17147661"/>
    <w:rsid w:val="17292C0C"/>
    <w:rsid w:val="176F50FE"/>
    <w:rsid w:val="17CA65CA"/>
    <w:rsid w:val="17D10049"/>
    <w:rsid w:val="17DD0B49"/>
    <w:rsid w:val="17F1563C"/>
    <w:rsid w:val="17F23C73"/>
    <w:rsid w:val="180F3B80"/>
    <w:rsid w:val="181B1411"/>
    <w:rsid w:val="181C1400"/>
    <w:rsid w:val="18223BBF"/>
    <w:rsid w:val="18310248"/>
    <w:rsid w:val="18360724"/>
    <w:rsid w:val="18406E44"/>
    <w:rsid w:val="185B395E"/>
    <w:rsid w:val="185C1918"/>
    <w:rsid w:val="185F6723"/>
    <w:rsid w:val="1880349D"/>
    <w:rsid w:val="188433FC"/>
    <w:rsid w:val="189E6ABD"/>
    <w:rsid w:val="18D435BC"/>
    <w:rsid w:val="18E261BC"/>
    <w:rsid w:val="18FC2292"/>
    <w:rsid w:val="19135591"/>
    <w:rsid w:val="19136D59"/>
    <w:rsid w:val="19193365"/>
    <w:rsid w:val="19261639"/>
    <w:rsid w:val="195D5C0E"/>
    <w:rsid w:val="19640F3E"/>
    <w:rsid w:val="19B64CC2"/>
    <w:rsid w:val="19BA69A5"/>
    <w:rsid w:val="19CF1C75"/>
    <w:rsid w:val="19D07B0B"/>
    <w:rsid w:val="19DF6D3F"/>
    <w:rsid w:val="19E24459"/>
    <w:rsid w:val="1A2A28FB"/>
    <w:rsid w:val="1A305FF4"/>
    <w:rsid w:val="1A3D7EBE"/>
    <w:rsid w:val="1A4353A0"/>
    <w:rsid w:val="1A557489"/>
    <w:rsid w:val="1A650935"/>
    <w:rsid w:val="1A6525DA"/>
    <w:rsid w:val="1A704DC9"/>
    <w:rsid w:val="1A994A56"/>
    <w:rsid w:val="1AD60F9B"/>
    <w:rsid w:val="1AEA13C7"/>
    <w:rsid w:val="1AF13750"/>
    <w:rsid w:val="1AF45443"/>
    <w:rsid w:val="1AFF71FC"/>
    <w:rsid w:val="1B013E7C"/>
    <w:rsid w:val="1B075A0C"/>
    <w:rsid w:val="1B621C93"/>
    <w:rsid w:val="1B67066F"/>
    <w:rsid w:val="1B7229E4"/>
    <w:rsid w:val="1B7549F6"/>
    <w:rsid w:val="1B7627C1"/>
    <w:rsid w:val="1B7A5EC7"/>
    <w:rsid w:val="1B8E4B82"/>
    <w:rsid w:val="1B8E5EC0"/>
    <w:rsid w:val="1BA142A3"/>
    <w:rsid w:val="1BB90E2F"/>
    <w:rsid w:val="1BBC447B"/>
    <w:rsid w:val="1C087134"/>
    <w:rsid w:val="1C127CD4"/>
    <w:rsid w:val="1C54737D"/>
    <w:rsid w:val="1C6D5910"/>
    <w:rsid w:val="1C776E36"/>
    <w:rsid w:val="1CA078F9"/>
    <w:rsid w:val="1CA13D9D"/>
    <w:rsid w:val="1CB33990"/>
    <w:rsid w:val="1CD326F1"/>
    <w:rsid w:val="1CDA1572"/>
    <w:rsid w:val="1CF6260F"/>
    <w:rsid w:val="1CF83AEA"/>
    <w:rsid w:val="1CF911FC"/>
    <w:rsid w:val="1D13631D"/>
    <w:rsid w:val="1D291FA4"/>
    <w:rsid w:val="1D2F1366"/>
    <w:rsid w:val="1D6914D5"/>
    <w:rsid w:val="1D7C7A22"/>
    <w:rsid w:val="1D7E09CF"/>
    <w:rsid w:val="1D9F1A69"/>
    <w:rsid w:val="1DA949C5"/>
    <w:rsid w:val="1DB64010"/>
    <w:rsid w:val="1DBF20BB"/>
    <w:rsid w:val="1DE41480"/>
    <w:rsid w:val="1DF77DC1"/>
    <w:rsid w:val="1DF8756C"/>
    <w:rsid w:val="1DFE7D4B"/>
    <w:rsid w:val="1E2139B7"/>
    <w:rsid w:val="1E4364C2"/>
    <w:rsid w:val="1E472722"/>
    <w:rsid w:val="1E490AF9"/>
    <w:rsid w:val="1E644990"/>
    <w:rsid w:val="1E6B1BDF"/>
    <w:rsid w:val="1E7A14A8"/>
    <w:rsid w:val="1E7F32B0"/>
    <w:rsid w:val="1EB76C5D"/>
    <w:rsid w:val="1EBA058B"/>
    <w:rsid w:val="1EBB622E"/>
    <w:rsid w:val="1EEA13A6"/>
    <w:rsid w:val="1EFE64E9"/>
    <w:rsid w:val="1F0B19A2"/>
    <w:rsid w:val="1F1F369F"/>
    <w:rsid w:val="1F59624F"/>
    <w:rsid w:val="1F6207D0"/>
    <w:rsid w:val="1FC42F0B"/>
    <w:rsid w:val="1FD02D82"/>
    <w:rsid w:val="1FE1627D"/>
    <w:rsid w:val="1FEA603B"/>
    <w:rsid w:val="20016901"/>
    <w:rsid w:val="20133D98"/>
    <w:rsid w:val="20226856"/>
    <w:rsid w:val="20293E2F"/>
    <w:rsid w:val="20686E43"/>
    <w:rsid w:val="206E3E8E"/>
    <w:rsid w:val="207224C8"/>
    <w:rsid w:val="20735FD9"/>
    <w:rsid w:val="2076639A"/>
    <w:rsid w:val="2093114F"/>
    <w:rsid w:val="209B57AA"/>
    <w:rsid w:val="20A121FD"/>
    <w:rsid w:val="20AC7CC7"/>
    <w:rsid w:val="20C20004"/>
    <w:rsid w:val="20C94961"/>
    <w:rsid w:val="20D83D6E"/>
    <w:rsid w:val="20DE5531"/>
    <w:rsid w:val="20DE6AFC"/>
    <w:rsid w:val="20E1180E"/>
    <w:rsid w:val="20E93F65"/>
    <w:rsid w:val="20EA6084"/>
    <w:rsid w:val="20F01139"/>
    <w:rsid w:val="20F1461D"/>
    <w:rsid w:val="210C684B"/>
    <w:rsid w:val="212B522B"/>
    <w:rsid w:val="21451A43"/>
    <w:rsid w:val="21593573"/>
    <w:rsid w:val="21661C41"/>
    <w:rsid w:val="216D3F5C"/>
    <w:rsid w:val="21736537"/>
    <w:rsid w:val="21867A05"/>
    <w:rsid w:val="21977807"/>
    <w:rsid w:val="219A6D4B"/>
    <w:rsid w:val="219B0F11"/>
    <w:rsid w:val="21C2735E"/>
    <w:rsid w:val="21E12EE9"/>
    <w:rsid w:val="21E57FA3"/>
    <w:rsid w:val="21FB5A74"/>
    <w:rsid w:val="221B28B1"/>
    <w:rsid w:val="22334040"/>
    <w:rsid w:val="223B434C"/>
    <w:rsid w:val="22614853"/>
    <w:rsid w:val="226827C0"/>
    <w:rsid w:val="227C6EFF"/>
    <w:rsid w:val="22942795"/>
    <w:rsid w:val="22985136"/>
    <w:rsid w:val="22A10D06"/>
    <w:rsid w:val="22B665A5"/>
    <w:rsid w:val="22C63A72"/>
    <w:rsid w:val="22C925E0"/>
    <w:rsid w:val="22DB2627"/>
    <w:rsid w:val="22E46F4A"/>
    <w:rsid w:val="22F20159"/>
    <w:rsid w:val="22F37464"/>
    <w:rsid w:val="23005537"/>
    <w:rsid w:val="23103EFD"/>
    <w:rsid w:val="231C75B9"/>
    <w:rsid w:val="233C2C53"/>
    <w:rsid w:val="23486890"/>
    <w:rsid w:val="235C09CB"/>
    <w:rsid w:val="236F1F61"/>
    <w:rsid w:val="23AB4CDF"/>
    <w:rsid w:val="23C37A75"/>
    <w:rsid w:val="23E72D7E"/>
    <w:rsid w:val="23FD2236"/>
    <w:rsid w:val="24127E3E"/>
    <w:rsid w:val="24207C9D"/>
    <w:rsid w:val="24220F3E"/>
    <w:rsid w:val="2423604B"/>
    <w:rsid w:val="242565A4"/>
    <w:rsid w:val="243A3F7E"/>
    <w:rsid w:val="24436391"/>
    <w:rsid w:val="2450121E"/>
    <w:rsid w:val="2487622C"/>
    <w:rsid w:val="24973094"/>
    <w:rsid w:val="24985382"/>
    <w:rsid w:val="24A42016"/>
    <w:rsid w:val="24A76F10"/>
    <w:rsid w:val="24AD6D9A"/>
    <w:rsid w:val="24D3085A"/>
    <w:rsid w:val="24DB0068"/>
    <w:rsid w:val="24DD793C"/>
    <w:rsid w:val="24F66817"/>
    <w:rsid w:val="251418FC"/>
    <w:rsid w:val="251C4037"/>
    <w:rsid w:val="254A3495"/>
    <w:rsid w:val="259F294D"/>
    <w:rsid w:val="25A845B3"/>
    <w:rsid w:val="25DA3E7C"/>
    <w:rsid w:val="25E66CC5"/>
    <w:rsid w:val="25EB71B7"/>
    <w:rsid w:val="26154215"/>
    <w:rsid w:val="261A0BE6"/>
    <w:rsid w:val="263C7691"/>
    <w:rsid w:val="265D679B"/>
    <w:rsid w:val="265E2776"/>
    <w:rsid w:val="26666FDC"/>
    <w:rsid w:val="268153A1"/>
    <w:rsid w:val="269D2467"/>
    <w:rsid w:val="26AB763C"/>
    <w:rsid w:val="26B267E7"/>
    <w:rsid w:val="26CD258B"/>
    <w:rsid w:val="26D63A44"/>
    <w:rsid w:val="26F131DC"/>
    <w:rsid w:val="26F65310"/>
    <w:rsid w:val="27052D05"/>
    <w:rsid w:val="27082804"/>
    <w:rsid w:val="270832AE"/>
    <w:rsid w:val="27357F9F"/>
    <w:rsid w:val="2740286E"/>
    <w:rsid w:val="27677991"/>
    <w:rsid w:val="277327DA"/>
    <w:rsid w:val="279623B0"/>
    <w:rsid w:val="27A4553F"/>
    <w:rsid w:val="27B07189"/>
    <w:rsid w:val="27D35135"/>
    <w:rsid w:val="27DA0163"/>
    <w:rsid w:val="27DF283E"/>
    <w:rsid w:val="27EB0679"/>
    <w:rsid w:val="27EF069B"/>
    <w:rsid w:val="27EF1935"/>
    <w:rsid w:val="27FA08F6"/>
    <w:rsid w:val="2801540B"/>
    <w:rsid w:val="280A1B75"/>
    <w:rsid w:val="28206C63"/>
    <w:rsid w:val="283962F8"/>
    <w:rsid w:val="28435CE2"/>
    <w:rsid w:val="287A36F4"/>
    <w:rsid w:val="288458E7"/>
    <w:rsid w:val="28A33A20"/>
    <w:rsid w:val="28A47F17"/>
    <w:rsid w:val="28AA222B"/>
    <w:rsid w:val="28AA3EC8"/>
    <w:rsid w:val="28BF00E8"/>
    <w:rsid w:val="28C1211B"/>
    <w:rsid w:val="28ED2118"/>
    <w:rsid w:val="290212C1"/>
    <w:rsid w:val="290D5ED8"/>
    <w:rsid w:val="291F392A"/>
    <w:rsid w:val="294F2F3E"/>
    <w:rsid w:val="29656DCC"/>
    <w:rsid w:val="29656DCE"/>
    <w:rsid w:val="298B4B23"/>
    <w:rsid w:val="29915199"/>
    <w:rsid w:val="29980385"/>
    <w:rsid w:val="299A7528"/>
    <w:rsid w:val="29B71FDB"/>
    <w:rsid w:val="29CF18DD"/>
    <w:rsid w:val="29D273F6"/>
    <w:rsid w:val="29D65D23"/>
    <w:rsid w:val="29D875FE"/>
    <w:rsid w:val="29F130EF"/>
    <w:rsid w:val="2A00655D"/>
    <w:rsid w:val="2A024C96"/>
    <w:rsid w:val="2A095F13"/>
    <w:rsid w:val="2A194E5D"/>
    <w:rsid w:val="2A21554B"/>
    <w:rsid w:val="2A3C5F83"/>
    <w:rsid w:val="2A513AEC"/>
    <w:rsid w:val="2A594BC2"/>
    <w:rsid w:val="2A5A37DD"/>
    <w:rsid w:val="2A960C6E"/>
    <w:rsid w:val="2A9F7561"/>
    <w:rsid w:val="2AA64C74"/>
    <w:rsid w:val="2AA90FA0"/>
    <w:rsid w:val="2AAE38A4"/>
    <w:rsid w:val="2AB31CE2"/>
    <w:rsid w:val="2AB55266"/>
    <w:rsid w:val="2B1047B2"/>
    <w:rsid w:val="2B347A72"/>
    <w:rsid w:val="2B434271"/>
    <w:rsid w:val="2B487382"/>
    <w:rsid w:val="2B552F60"/>
    <w:rsid w:val="2B7841A6"/>
    <w:rsid w:val="2B885195"/>
    <w:rsid w:val="2BB331A5"/>
    <w:rsid w:val="2BB367B9"/>
    <w:rsid w:val="2BD66F2D"/>
    <w:rsid w:val="2BF37A45"/>
    <w:rsid w:val="2C0A746B"/>
    <w:rsid w:val="2C13380B"/>
    <w:rsid w:val="2C184D47"/>
    <w:rsid w:val="2C796A89"/>
    <w:rsid w:val="2C7C0AB6"/>
    <w:rsid w:val="2C9C56AD"/>
    <w:rsid w:val="2CA25143"/>
    <w:rsid w:val="2CAA6248"/>
    <w:rsid w:val="2CBD3A96"/>
    <w:rsid w:val="2CC74339"/>
    <w:rsid w:val="2CCC23F7"/>
    <w:rsid w:val="2CCE1414"/>
    <w:rsid w:val="2CEF46B1"/>
    <w:rsid w:val="2CF93ABF"/>
    <w:rsid w:val="2D1E27A3"/>
    <w:rsid w:val="2D394FF5"/>
    <w:rsid w:val="2D4C20AC"/>
    <w:rsid w:val="2D4C56CF"/>
    <w:rsid w:val="2D766528"/>
    <w:rsid w:val="2DED7BE2"/>
    <w:rsid w:val="2E230605"/>
    <w:rsid w:val="2E30169A"/>
    <w:rsid w:val="2E310CE0"/>
    <w:rsid w:val="2E33681F"/>
    <w:rsid w:val="2E6A704D"/>
    <w:rsid w:val="2E8A6255"/>
    <w:rsid w:val="2E99606A"/>
    <w:rsid w:val="2EAC5A26"/>
    <w:rsid w:val="2EF02962"/>
    <w:rsid w:val="2F0B1048"/>
    <w:rsid w:val="2F0E7D4A"/>
    <w:rsid w:val="2F141AAA"/>
    <w:rsid w:val="2F68074A"/>
    <w:rsid w:val="2FCA4353"/>
    <w:rsid w:val="2FE55D75"/>
    <w:rsid w:val="2FF17BCE"/>
    <w:rsid w:val="2FF23F99"/>
    <w:rsid w:val="30236367"/>
    <w:rsid w:val="30331BC6"/>
    <w:rsid w:val="303E7E03"/>
    <w:rsid w:val="304A182B"/>
    <w:rsid w:val="307003A6"/>
    <w:rsid w:val="30700C52"/>
    <w:rsid w:val="30757C00"/>
    <w:rsid w:val="307D5D65"/>
    <w:rsid w:val="3098505F"/>
    <w:rsid w:val="30B34CE3"/>
    <w:rsid w:val="30CB1C83"/>
    <w:rsid w:val="30CC2261"/>
    <w:rsid w:val="30ED2830"/>
    <w:rsid w:val="30FD0D95"/>
    <w:rsid w:val="31642CFA"/>
    <w:rsid w:val="316B2857"/>
    <w:rsid w:val="31832D29"/>
    <w:rsid w:val="319D5339"/>
    <w:rsid w:val="319F2F47"/>
    <w:rsid w:val="31B2754D"/>
    <w:rsid w:val="31CE4181"/>
    <w:rsid w:val="31D20CDE"/>
    <w:rsid w:val="31E60B34"/>
    <w:rsid w:val="31F37E23"/>
    <w:rsid w:val="31FE689A"/>
    <w:rsid w:val="320B2801"/>
    <w:rsid w:val="32223DC6"/>
    <w:rsid w:val="325A02A1"/>
    <w:rsid w:val="329032EF"/>
    <w:rsid w:val="329970EF"/>
    <w:rsid w:val="32A520FC"/>
    <w:rsid w:val="32B35AAA"/>
    <w:rsid w:val="33004250"/>
    <w:rsid w:val="33135210"/>
    <w:rsid w:val="331557C8"/>
    <w:rsid w:val="3326373F"/>
    <w:rsid w:val="33363F25"/>
    <w:rsid w:val="333D1567"/>
    <w:rsid w:val="333F453A"/>
    <w:rsid w:val="334459AC"/>
    <w:rsid w:val="33705A64"/>
    <w:rsid w:val="33790079"/>
    <w:rsid w:val="339B304D"/>
    <w:rsid w:val="33A055AF"/>
    <w:rsid w:val="33A51E80"/>
    <w:rsid w:val="33B42BA9"/>
    <w:rsid w:val="33EE589E"/>
    <w:rsid w:val="33F41ECB"/>
    <w:rsid w:val="33F470F7"/>
    <w:rsid w:val="33FD7097"/>
    <w:rsid w:val="340329A9"/>
    <w:rsid w:val="34113C0A"/>
    <w:rsid w:val="341838FD"/>
    <w:rsid w:val="3422536C"/>
    <w:rsid w:val="342645AD"/>
    <w:rsid w:val="342B057B"/>
    <w:rsid w:val="34335C8F"/>
    <w:rsid w:val="344C7528"/>
    <w:rsid w:val="34601B2A"/>
    <w:rsid w:val="34617CD8"/>
    <w:rsid w:val="34635BE4"/>
    <w:rsid w:val="34753860"/>
    <w:rsid w:val="34A61339"/>
    <w:rsid w:val="34AE3A24"/>
    <w:rsid w:val="34CC3006"/>
    <w:rsid w:val="34F11083"/>
    <w:rsid w:val="34F3793E"/>
    <w:rsid w:val="351C1918"/>
    <w:rsid w:val="35574E9C"/>
    <w:rsid w:val="35605BF1"/>
    <w:rsid w:val="35697F42"/>
    <w:rsid w:val="356A0417"/>
    <w:rsid w:val="35712E34"/>
    <w:rsid w:val="35887450"/>
    <w:rsid w:val="35A46254"/>
    <w:rsid w:val="35ED793B"/>
    <w:rsid w:val="35F84740"/>
    <w:rsid w:val="361B4091"/>
    <w:rsid w:val="36383125"/>
    <w:rsid w:val="366C082D"/>
    <w:rsid w:val="368C388A"/>
    <w:rsid w:val="369736C3"/>
    <w:rsid w:val="36B14785"/>
    <w:rsid w:val="36BA4838"/>
    <w:rsid w:val="36C90DD1"/>
    <w:rsid w:val="36E669DD"/>
    <w:rsid w:val="36EB0E1B"/>
    <w:rsid w:val="36EE2207"/>
    <w:rsid w:val="37410586"/>
    <w:rsid w:val="374634AB"/>
    <w:rsid w:val="375E22A0"/>
    <w:rsid w:val="37615DFD"/>
    <w:rsid w:val="37704489"/>
    <w:rsid w:val="37710026"/>
    <w:rsid w:val="37745B48"/>
    <w:rsid w:val="37847EBF"/>
    <w:rsid w:val="37925427"/>
    <w:rsid w:val="37A55DCC"/>
    <w:rsid w:val="37CA04FF"/>
    <w:rsid w:val="37D30771"/>
    <w:rsid w:val="37EC0BB8"/>
    <w:rsid w:val="3809330B"/>
    <w:rsid w:val="38174ABC"/>
    <w:rsid w:val="382C74E3"/>
    <w:rsid w:val="38A569B7"/>
    <w:rsid w:val="38AE3B6E"/>
    <w:rsid w:val="38F70143"/>
    <w:rsid w:val="394C68A5"/>
    <w:rsid w:val="394F0825"/>
    <w:rsid w:val="3950297B"/>
    <w:rsid w:val="395E479A"/>
    <w:rsid w:val="39675804"/>
    <w:rsid w:val="398377B4"/>
    <w:rsid w:val="398E6CC1"/>
    <w:rsid w:val="39A36C2D"/>
    <w:rsid w:val="39AA29B9"/>
    <w:rsid w:val="39AA6DB1"/>
    <w:rsid w:val="39DA2245"/>
    <w:rsid w:val="39E71AEC"/>
    <w:rsid w:val="39F60058"/>
    <w:rsid w:val="3A104089"/>
    <w:rsid w:val="3A8217DE"/>
    <w:rsid w:val="3A822B01"/>
    <w:rsid w:val="3A825D5D"/>
    <w:rsid w:val="3A8B1791"/>
    <w:rsid w:val="3AB8426E"/>
    <w:rsid w:val="3ACF765C"/>
    <w:rsid w:val="3AD278CD"/>
    <w:rsid w:val="3AD841A2"/>
    <w:rsid w:val="3AFA4BE5"/>
    <w:rsid w:val="3B2A44B8"/>
    <w:rsid w:val="3B2B6476"/>
    <w:rsid w:val="3B3C7398"/>
    <w:rsid w:val="3B5B1163"/>
    <w:rsid w:val="3B620744"/>
    <w:rsid w:val="3B64220D"/>
    <w:rsid w:val="3B8F6E75"/>
    <w:rsid w:val="3BBC038E"/>
    <w:rsid w:val="3BFE3F02"/>
    <w:rsid w:val="3C2972FD"/>
    <w:rsid w:val="3C304A35"/>
    <w:rsid w:val="3C5B4444"/>
    <w:rsid w:val="3C850BDC"/>
    <w:rsid w:val="3C852047"/>
    <w:rsid w:val="3C8666B4"/>
    <w:rsid w:val="3C9A3F1A"/>
    <w:rsid w:val="3CA13116"/>
    <w:rsid w:val="3CA5607A"/>
    <w:rsid w:val="3CA925AE"/>
    <w:rsid w:val="3CC2593E"/>
    <w:rsid w:val="3CF877AB"/>
    <w:rsid w:val="3D2B24EF"/>
    <w:rsid w:val="3D306CB2"/>
    <w:rsid w:val="3D32729D"/>
    <w:rsid w:val="3D485E54"/>
    <w:rsid w:val="3D667959"/>
    <w:rsid w:val="3D8230F2"/>
    <w:rsid w:val="3D886E2C"/>
    <w:rsid w:val="3D940555"/>
    <w:rsid w:val="3DAA5519"/>
    <w:rsid w:val="3DC413E8"/>
    <w:rsid w:val="3DCA34BB"/>
    <w:rsid w:val="3DD83D60"/>
    <w:rsid w:val="3E044CAE"/>
    <w:rsid w:val="3E0A667E"/>
    <w:rsid w:val="3E12201C"/>
    <w:rsid w:val="3E1C0F2E"/>
    <w:rsid w:val="3E244EE5"/>
    <w:rsid w:val="3E3913D7"/>
    <w:rsid w:val="3E427218"/>
    <w:rsid w:val="3E7E6AF2"/>
    <w:rsid w:val="3E947004"/>
    <w:rsid w:val="3E9D4832"/>
    <w:rsid w:val="3EA72ABE"/>
    <w:rsid w:val="3EA96969"/>
    <w:rsid w:val="3EAD4174"/>
    <w:rsid w:val="3EAD7F9C"/>
    <w:rsid w:val="3EB32892"/>
    <w:rsid w:val="3EBC3336"/>
    <w:rsid w:val="3EC71DED"/>
    <w:rsid w:val="3ED37070"/>
    <w:rsid w:val="3EDE79C6"/>
    <w:rsid w:val="3EF65530"/>
    <w:rsid w:val="3F064AE9"/>
    <w:rsid w:val="3F163D1F"/>
    <w:rsid w:val="3F3B0C43"/>
    <w:rsid w:val="3F3E7B79"/>
    <w:rsid w:val="3F4C62B0"/>
    <w:rsid w:val="3F7279F0"/>
    <w:rsid w:val="3F8F0AF3"/>
    <w:rsid w:val="3F8F525D"/>
    <w:rsid w:val="3F9717D1"/>
    <w:rsid w:val="3FB2485B"/>
    <w:rsid w:val="3FEC69F0"/>
    <w:rsid w:val="400D176C"/>
    <w:rsid w:val="402A34B8"/>
    <w:rsid w:val="402D7572"/>
    <w:rsid w:val="403326AF"/>
    <w:rsid w:val="40360CD1"/>
    <w:rsid w:val="40361D66"/>
    <w:rsid w:val="406060C3"/>
    <w:rsid w:val="40613E30"/>
    <w:rsid w:val="40736573"/>
    <w:rsid w:val="407B6F98"/>
    <w:rsid w:val="407D7357"/>
    <w:rsid w:val="409B4A07"/>
    <w:rsid w:val="40BF6E39"/>
    <w:rsid w:val="40C25B7F"/>
    <w:rsid w:val="40D73BA8"/>
    <w:rsid w:val="40DE1D45"/>
    <w:rsid w:val="40E63BC5"/>
    <w:rsid w:val="40F6517C"/>
    <w:rsid w:val="40F66678"/>
    <w:rsid w:val="410E1C56"/>
    <w:rsid w:val="411020CF"/>
    <w:rsid w:val="4120577A"/>
    <w:rsid w:val="41485875"/>
    <w:rsid w:val="415624BA"/>
    <w:rsid w:val="416C142E"/>
    <w:rsid w:val="417C08A3"/>
    <w:rsid w:val="418238EE"/>
    <w:rsid w:val="41A701CB"/>
    <w:rsid w:val="41A82C28"/>
    <w:rsid w:val="41B93320"/>
    <w:rsid w:val="41BB069A"/>
    <w:rsid w:val="41FD121E"/>
    <w:rsid w:val="42180C9A"/>
    <w:rsid w:val="421A7627"/>
    <w:rsid w:val="4233112B"/>
    <w:rsid w:val="42401E98"/>
    <w:rsid w:val="42423B6A"/>
    <w:rsid w:val="42811338"/>
    <w:rsid w:val="42872311"/>
    <w:rsid w:val="428A6978"/>
    <w:rsid w:val="428B5762"/>
    <w:rsid w:val="42A4583D"/>
    <w:rsid w:val="42D47C2B"/>
    <w:rsid w:val="42DA32B5"/>
    <w:rsid w:val="42E32F98"/>
    <w:rsid w:val="430C28C9"/>
    <w:rsid w:val="431840BE"/>
    <w:rsid w:val="433543AC"/>
    <w:rsid w:val="43420FE8"/>
    <w:rsid w:val="434513F0"/>
    <w:rsid w:val="4359377F"/>
    <w:rsid w:val="43702851"/>
    <w:rsid w:val="438003D7"/>
    <w:rsid w:val="438254A7"/>
    <w:rsid w:val="439A76A5"/>
    <w:rsid w:val="43C964C9"/>
    <w:rsid w:val="43CA4F48"/>
    <w:rsid w:val="43D971F8"/>
    <w:rsid w:val="43FF7B85"/>
    <w:rsid w:val="4424604A"/>
    <w:rsid w:val="442967DE"/>
    <w:rsid w:val="444437F4"/>
    <w:rsid w:val="445014AB"/>
    <w:rsid w:val="4450382F"/>
    <w:rsid w:val="44611A27"/>
    <w:rsid w:val="4467501D"/>
    <w:rsid w:val="44722751"/>
    <w:rsid w:val="44AB6CB7"/>
    <w:rsid w:val="44BA15F0"/>
    <w:rsid w:val="44CE660D"/>
    <w:rsid w:val="44E5468B"/>
    <w:rsid w:val="45032E9D"/>
    <w:rsid w:val="450F2962"/>
    <w:rsid w:val="45376B79"/>
    <w:rsid w:val="454F0B76"/>
    <w:rsid w:val="45795008"/>
    <w:rsid w:val="4579514B"/>
    <w:rsid w:val="457E2BBE"/>
    <w:rsid w:val="457F72E8"/>
    <w:rsid w:val="45AB3F41"/>
    <w:rsid w:val="45DE083B"/>
    <w:rsid w:val="45E076C0"/>
    <w:rsid w:val="45ED51BC"/>
    <w:rsid w:val="45F36067"/>
    <w:rsid w:val="460C0745"/>
    <w:rsid w:val="463122D8"/>
    <w:rsid w:val="4632053D"/>
    <w:rsid w:val="46577675"/>
    <w:rsid w:val="4662415A"/>
    <w:rsid w:val="4662498C"/>
    <w:rsid w:val="4681009E"/>
    <w:rsid w:val="46954FDF"/>
    <w:rsid w:val="46A022D9"/>
    <w:rsid w:val="46A9554B"/>
    <w:rsid w:val="46B21457"/>
    <w:rsid w:val="46BE1A6C"/>
    <w:rsid w:val="46BE6647"/>
    <w:rsid w:val="46EE3897"/>
    <w:rsid w:val="471B3499"/>
    <w:rsid w:val="4721080E"/>
    <w:rsid w:val="4730142A"/>
    <w:rsid w:val="473302F3"/>
    <w:rsid w:val="474918D0"/>
    <w:rsid w:val="476859BE"/>
    <w:rsid w:val="477E4B57"/>
    <w:rsid w:val="478E4BD2"/>
    <w:rsid w:val="47B512A0"/>
    <w:rsid w:val="47BA4C42"/>
    <w:rsid w:val="47D70B8B"/>
    <w:rsid w:val="47DD756D"/>
    <w:rsid w:val="47EB55C4"/>
    <w:rsid w:val="48037A8A"/>
    <w:rsid w:val="48190937"/>
    <w:rsid w:val="482C50CD"/>
    <w:rsid w:val="48377D23"/>
    <w:rsid w:val="484023B4"/>
    <w:rsid w:val="484D0E76"/>
    <w:rsid w:val="486634EE"/>
    <w:rsid w:val="48807890"/>
    <w:rsid w:val="48A57DFD"/>
    <w:rsid w:val="48A64B98"/>
    <w:rsid w:val="48BC156D"/>
    <w:rsid w:val="48D93D7E"/>
    <w:rsid w:val="48F765BE"/>
    <w:rsid w:val="48F801E9"/>
    <w:rsid w:val="490445F2"/>
    <w:rsid w:val="4927617E"/>
    <w:rsid w:val="49320F23"/>
    <w:rsid w:val="493F3E72"/>
    <w:rsid w:val="495D72B2"/>
    <w:rsid w:val="49AF5757"/>
    <w:rsid w:val="49B753C7"/>
    <w:rsid w:val="49DD73AE"/>
    <w:rsid w:val="49F95BD6"/>
    <w:rsid w:val="49FA6E23"/>
    <w:rsid w:val="4A0923DF"/>
    <w:rsid w:val="4A7A7858"/>
    <w:rsid w:val="4AA73240"/>
    <w:rsid w:val="4AAE2850"/>
    <w:rsid w:val="4AB53506"/>
    <w:rsid w:val="4AB72272"/>
    <w:rsid w:val="4AD703A4"/>
    <w:rsid w:val="4B0D56B0"/>
    <w:rsid w:val="4B305E1B"/>
    <w:rsid w:val="4B471718"/>
    <w:rsid w:val="4B663FE5"/>
    <w:rsid w:val="4B7F5343"/>
    <w:rsid w:val="4BB92D8E"/>
    <w:rsid w:val="4BD07B58"/>
    <w:rsid w:val="4BE87BA5"/>
    <w:rsid w:val="4BE91B3A"/>
    <w:rsid w:val="4BF62BB9"/>
    <w:rsid w:val="4C235CCD"/>
    <w:rsid w:val="4C3176AB"/>
    <w:rsid w:val="4C415DC1"/>
    <w:rsid w:val="4C48137E"/>
    <w:rsid w:val="4C52192A"/>
    <w:rsid w:val="4C6E278E"/>
    <w:rsid w:val="4C956F44"/>
    <w:rsid w:val="4CA50074"/>
    <w:rsid w:val="4CA961D2"/>
    <w:rsid w:val="4CAA39A1"/>
    <w:rsid w:val="4CB659EA"/>
    <w:rsid w:val="4CBF0399"/>
    <w:rsid w:val="4CC4400D"/>
    <w:rsid w:val="4CFF538B"/>
    <w:rsid w:val="4D4230D1"/>
    <w:rsid w:val="4D450975"/>
    <w:rsid w:val="4D4D7800"/>
    <w:rsid w:val="4D5F2E94"/>
    <w:rsid w:val="4D7112B5"/>
    <w:rsid w:val="4D7251FF"/>
    <w:rsid w:val="4D754306"/>
    <w:rsid w:val="4DA16835"/>
    <w:rsid w:val="4DB75AF6"/>
    <w:rsid w:val="4DDC79D2"/>
    <w:rsid w:val="4DE50C0B"/>
    <w:rsid w:val="4E11105D"/>
    <w:rsid w:val="4E16225A"/>
    <w:rsid w:val="4E204940"/>
    <w:rsid w:val="4E253AB8"/>
    <w:rsid w:val="4E472C92"/>
    <w:rsid w:val="4E4A131D"/>
    <w:rsid w:val="4E824D97"/>
    <w:rsid w:val="4E9D5C2D"/>
    <w:rsid w:val="4EBA57C1"/>
    <w:rsid w:val="4F047E0A"/>
    <w:rsid w:val="4F133DD7"/>
    <w:rsid w:val="4F2A57CF"/>
    <w:rsid w:val="4F477F24"/>
    <w:rsid w:val="4F923BD2"/>
    <w:rsid w:val="4F9F2878"/>
    <w:rsid w:val="4FA91AAC"/>
    <w:rsid w:val="4FBD0FF5"/>
    <w:rsid w:val="4FC854D7"/>
    <w:rsid w:val="4FE13ED5"/>
    <w:rsid w:val="4FE90FDC"/>
    <w:rsid w:val="50111814"/>
    <w:rsid w:val="50142DE1"/>
    <w:rsid w:val="5015687B"/>
    <w:rsid w:val="501926CA"/>
    <w:rsid w:val="503109FF"/>
    <w:rsid w:val="505750F0"/>
    <w:rsid w:val="505E3D68"/>
    <w:rsid w:val="50D13748"/>
    <w:rsid w:val="51031A0F"/>
    <w:rsid w:val="512C07D1"/>
    <w:rsid w:val="516A440A"/>
    <w:rsid w:val="517364CA"/>
    <w:rsid w:val="51856AE2"/>
    <w:rsid w:val="51BA5A6F"/>
    <w:rsid w:val="51BC0756"/>
    <w:rsid w:val="51C42E16"/>
    <w:rsid w:val="51C51AAA"/>
    <w:rsid w:val="51D23526"/>
    <w:rsid w:val="51D412F6"/>
    <w:rsid w:val="525351F4"/>
    <w:rsid w:val="525A6FBC"/>
    <w:rsid w:val="526C0997"/>
    <w:rsid w:val="52707792"/>
    <w:rsid w:val="52855A65"/>
    <w:rsid w:val="52A03358"/>
    <w:rsid w:val="52E87329"/>
    <w:rsid w:val="53254E69"/>
    <w:rsid w:val="53311AB3"/>
    <w:rsid w:val="53317F44"/>
    <w:rsid w:val="533D33D1"/>
    <w:rsid w:val="534907F0"/>
    <w:rsid w:val="53511F1B"/>
    <w:rsid w:val="53605111"/>
    <w:rsid w:val="53630F4A"/>
    <w:rsid w:val="53670B33"/>
    <w:rsid w:val="537735FB"/>
    <w:rsid w:val="53775B6A"/>
    <w:rsid w:val="537A7055"/>
    <w:rsid w:val="53852D75"/>
    <w:rsid w:val="538F5737"/>
    <w:rsid w:val="53D43855"/>
    <w:rsid w:val="53D6214F"/>
    <w:rsid w:val="53EE1101"/>
    <w:rsid w:val="53FC4E8E"/>
    <w:rsid w:val="5401256C"/>
    <w:rsid w:val="541717DC"/>
    <w:rsid w:val="54222D80"/>
    <w:rsid w:val="54271D5C"/>
    <w:rsid w:val="54722583"/>
    <w:rsid w:val="54976AA9"/>
    <w:rsid w:val="549A3F89"/>
    <w:rsid w:val="54B26300"/>
    <w:rsid w:val="54DE0134"/>
    <w:rsid w:val="54E1262F"/>
    <w:rsid w:val="550246E3"/>
    <w:rsid w:val="55046BCF"/>
    <w:rsid w:val="551D7BF3"/>
    <w:rsid w:val="55256476"/>
    <w:rsid w:val="553C46BA"/>
    <w:rsid w:val="55494082"/>
    <w:rsid w:val="554A7DEE"/>
    <w:rsid w:val="55721C48"/>
    <w:rsid w:val="557D5B60"/>
    <w:rsid w:val="5582509C"/>
    <w:rsid w:val="55834A19"/>
    <w:rsid w:val="559B4861"/>
    <w:rsid w:val="55F27046"/>
    <w:rsid w:val="55F526C6"/>
    <w:rsid w:val="56066DC9"/>
    <w:rsid w:val="563F4179"/>
    <w:rsid w:val="564E1228"/>
    <w:rsid w:val="56753820"/>
    <w:rsid w:val="56A6131D"/>
    <w:rsid w:val="56A82B00"/>
    <w:rsid w:val="56BC5AD0"/>
    <w:rsid w:val="56D00C68"/>
    <w:rsid w:val="57022BD1"/>
    <w:rsid w:val="57212B27"/>
    <w:rsid w:val="572809C2"/>
    <w:rsid w:val="573214BA"/>
    <w:rsid w:val="574519EF"/>
    <w:rsid w:val="57480C4D"/>
    <w:rsid w:val="574C27F3"/>
    <w:rsid w:val="57791B45"/>
    <w:rsid w:val="57895A45"/>
    <w:rsid w:val="57A916CC"/>
    <w:rsid w:val="57C5313B"/>
    <w:rsid w:val="57D003BF"/>
    <w:rsid w:val="57D807D4"/>
    <w:rsid w:val="57E00F16"/>
    <w:rsid w:val="57EA7969"/>
    <w:rsid w:val="57F740F4"/>
    <w:rsid w:val="57FA3D86"/>
    <w:rsid w:val="58131D55"/>
    <w:rsid w:val="58366D88"/>
    <w:rsid w:val="583B61DC"/>
    <w:rsid w:val="584D44F4"/>
    <w:rsid w:val="5858676E"/>
    <w:rsid w:val="58626B84"/>
    <w:rsid w:val="5865530E"/>
    <w:rsid w:val="58750691"/>
    <w:rsid w:val="58A304F0"/>
    <w:rsid w:val="58AB575D"/>
    <w:rsid w:val="58BC728D"/>
    <w:rsid w:val="58DD0763"/>
    <w:rsid w:val="58DD3F79"/>
    <w:rsid w:val="591F0ED8"/>
    <w:rsid w:val="59364F97"/>
    <w:rsid w:val="59415A4D"/>
    <w:rsid w:val="59445F91"/>
    <w:rsid w:val="59691E36"/>
    <w:rsid w:val="59715F35"/>
    <w:rsid w:val="59815208"/>
    <w:rsid w:val="59F001A4"/>
    <w:rsid w:val="5A0315C2"/>
    <w:rsid w:val="5A0F3CCD"/>
    <w:rsid w:val="5A1E2DE7"/>
    <w:rsid w:val="5A20427A"/>
    <w:rsid w:val="5A395FB6"/>
    <w:rsid w:val="5A3A1AFC"/>
    <w:rsid w:val="5A436A2D"/>
    <w:rsid w:val="5A7229EA"/>
    <w:rsid w:val="5A8A38B2"/>
    <w:rsid w:val="5B0A066E"/>
    <w:rsid w:val="5B123FA7"/>
    <w:rsid w:val="5B2335F4"/>
    <w:rsid w:val="5B5E18A4"/>
    <w:rsid w:val="5B613C0E"/>
    <w:rsid w:val="5B955E96"/>
    <w:rsid w:val="5B9B3675"/>
    <w:rsid w:val="5BA26571"/>
    <w:rsid w:val="5BCA6564"/>
    <w:rsid w:val="5BD66D67"/>
    <w:rsid w:val="5C107D40"/>
    <w:rsid w:val="5C1E3775"/>
    <w:rsid w:val="5C381264"/>
    <w:rsid w:val="5C4850FD"/>
    <w:rsid w:val="5C4D1947"/>
    <w:rsid w:val="5C516D01"/>
    <w:rsid w:val="5C573EDE"/>
    <w:rsid w:val="5C5F4C5A"/>
    <w:rsid w:val="5C666A3C"/>
    <w:rsid w:val="5C672644"/>
    <w:rsid w:val="5C8132C7"/>
    <w:rsid w:val="5C98591B"/>
    <w:rsid w:val="5CA23A25"/>
    <w:rsid w:val="5CA63ECF"/>
    <w:rsid w:val="5CAE513F"/>
    <w:rsid w:val="5CC26330"/>
    <w:rsid w:val="5CD67F41"/>
    <w:rsid w:val="5CDF760E"/>
    <w:rsid w:val="5D017C51"/>
    <w:rsid w:val="5D1C04EB"/>
    <w:rsid w:val="5D4165A3"/>
    <w:rsid w:val="5D463591"/>
    <w:rsid w:val="5D4F2A78"/>
    <w:rsid w:val="5D5741CB"/>
    <w:rsid w:val="5D792AE4"/>
    <w:rsid w:val="5D804F27"/>
    <w:rsid w:val="5D861A18"/>
    <w:rsid w:val="5D897BA9"/>
    <w:rsid w:val="5D972330"/>
    <w:rsid w:val="5DC25C67"/>
    <w:rsid w:val="5DCA795F"/>
    <w:rsid w:val="5DD97571"/>
    <w:rsid w:val="5DF5102F"/>
    <w:rsid w:val="5E0A643D"/>
    <w:rsid w:val="5E1169B2"/>
    <w:rsid w:val="5E1C73BD"/>
    <w:rsid w:val="5E2F58D3"/>
    <w:rsid w:val="5E5A06FD"/>
    <w:rsid w:val="5E7D65B8"/>
    <w:rsid w:val="5E9342EC"/>
    <w:rsid w:val="5EA27CF7"/>
    <w:rsid w:val="5EB033F0"/>
    <w:rsid w:val="5EBC3C1E"/>
    <w:rsid w:val="5EC80351"/>
    <w:rsid w:val="5EF3152F"/>
    <w:rsid w:val="5F3815EE"/>
    <w:rsid w:val="5F4D50E3"/>
    <w:rsid w:val="5F50072F"/>
    <w:rsid w:val="5F5C32D6"/>
    <w:rsid w:val="5F630463"/>
    <w:rsid w:val="5F840C85"/>
    <w:rsid w:val="5FAF097A"/>
    <w:rsid w:val="5FB10E83"/>
    <w:rsid w:val="5FCA512F"/>
    <w:rsid w:val="5FE45AFE"/>
    <w:rsid w:val="600E788A"/>
    <w:rsid w:val="60182CB2"/>
    <w:rsid w:val="60234C2A"/>
    <w:rsid w:val="604130CF"/>
    <w:rsid w:val="60663C94"/>
    <w:rsid w:val="60794FD4"/>
    <w:rsid w:val="60814FEF"/>
    <w:rsid w:val="60AE4E89"/>
    <w:rsid w:val="60D32F5A"/>
    <w:rsid w:val="60E973AF"/>
    <w:rsid w:val="610C47AA"/>
    <w:rsid w:val="610E2B4C"/>
    <w:rsid w:val="61201B0E"/>
    <w:rsid w:val="61652467"/>
    <w:rsid w:val="61862140"/>
    <w:rsid w:val="618D2F8B"/>
    <w:rsid w:val="619776D4"/>
    <w:rsid w:val="619945D7"/>
    <w:rsid w:val="61BA4586"/>
    <w:rsid w:val="61C24BFD"/>
    <w:rsid w:val="61DE43D4"/>
    <w:rsid w:val="61E06967"/>
    <w:rsid w:val="61ED083B"/>
    <w:rsid w:val="62112BCB"/>
    <w:rsid w:val="624216A0"/>
    <w:rsid w:val="626343A0"/>
    <w:rsid w:val="626736F9"/>
    <w:rsid w:val="626B4082"/>
    <w:rsid w:val="626B6B00"/>
    <w:rsid w:val="627C555A"/>
    <w:rsid w:val="628E1BE9"/>
    <w:rsid w:val="62B56103"/>
    <w:rsid w:val="62D06FF9"/>
    <w:rsid w:val="62D765EB"/>
    <w:rsid w:val="631D301E"/>
    <w:rsid w:val="63293243"/>
    <w:rsid w:val="63556A24"/>
    <w:rsid w:val="6356796F"/>
    <w:rsid w:val="635822A8"/>
    <w:rsid w:val="636B22CC"/>
    <w:rsid w:val="636C198B"/>
    <w:rsid w:val="63941C0D"/>
    <w:rsid w:val="63B65AC7"/>
    <w:rsid w:val="63C713E9"/>
    <w:rsid w:val="63C82E3E"/>
    <w:rsid w:val="63D62198"/>
    <w:rsid w:val="63D7428B"/>
    <w:rsid w:val="63DA6A02"/>
    <w:rsid w:val="63E92F01"/>
    <w:rsid w:val="63F71F71"/>
    <w:rsid w:val="640C4C0D"/>
    <w:rsid w:val="643B5584"/>
    <w:rsid w:val="64406FC4"/>
    <w:rsid w:val="645830D7"/>
    <w:rsid w:val="64606F6A"/>
    <w:rsid w:val="64675414"/>
    <w:rsid w:val="646C6DE3"/>
    <w:rsid w:val="646D768E"/>
    <w:rsid w:val="647258C3"/>
    <w:rsid w:val="64915A72"/>
    <w:rsid w:val="64932629"/>
    <w:rsid w:val="64AA2E73"/>
    <w:rsid w:val="64B8434A"/>
    <w:rsid w:val="64C5008F"/>
    <w:rsid w:val="64E8446E"/>
    <w:rsid w:val="64F735D8"/>
    <w:rsid w:val="651B7747"/>
    <w:rsid w:val="65376B47"/>
    <w:rsid w:val="654042F5"/>
    <w:rsid w:val="65475601"/>
    <w:rsid w:val="65BF1961"/>
    <w:rsid w:val="65D200F0"/>
    <w:rsid w:val="65F66C79"/>
    <w:rsid w:val="65FD7CC9"/>
    <w:rsid w:val="660447CA"/>
    <w:rsid w:val="661029C7"/>
    <w:rsid w:val="66380310"/>
    <w:rsid w:val="665622BC"/>
    <w:rsid w:val="66653739"/>
    <w:rsid w:val="666C4EE6"/>
    <w:rsid w:val="66792487"/>
    <w:rsid w:val="66A02FE8"/>
    <w:rsid w:val="66D15C09"/>
    <w:rsid w:val="66D317F2"/>
    <w:rsid w:val="66FB0FDC"/>
    <w:rsid w:val="66FC5AFF"/>
    <w:rsid w:val="6709462E"/>
    <w:rsid w:val="6748666C"/>
    <w:rsid w:val="676B07FC"/>
    <w:rsid w:val="6777196F"/>
    <w:rsid w:val="678A1ED0"/>
    <w:rsid w:val="679E4D0E"/>
    <w:rsid w:val="67AB61F8"/>
    <w:rsid w:val="67B35CFF"/>
    <w:rsid w:val="67BA7741"/>
    <w:rsid w:val="67D6379C"/>
    <w:rsid w:val="67E6170C"/>
    <w:rsid w:val="67E73BFB"/>
    <w:rsid w:val="680D0CA5"/>
    <w:rsid w:val="681014F3"/>
    <w:rsid w:val="682054F9"/>
    <w:rsid w:val="682B7F8C"/>
    <w:rsid w:val="6878475E"/>
    <w:rsid w:val="68A45648"/>
    <w:rsid w:val="68A5668C"/>
    <w:rsid w:val="68CE02CC"/>
    <w:rsid w:val="68D27297"/>
    <w:rsid w:val="68D35CA3"/>
    <w:rsid w:val="68DC2023"/>
    <w:rsid w:val="68FE0C44"/>
    <w:rsid w:val="6911241F"/>
    <w:rsid w:val="69307669"/>
    <w:rsid w:val="69903316"/>
    <w:rsid w:val="699E02E9"/>
    <w:rsid w:val="69B67115"/>
    <w:rsid w:val="69B82DF4"/>
    <w:rsid w:val="69EF53B4"/>
    <w:rsid w:val="6A126DD2"/>
    <w:rsid w:val="6A3F1ACC"/>
    <w:rsid w:val="6A420E56"/>
    <w:rsid w:val="6A840BF8"/>
    <w:rsid w:val="6A924E32"/>
    <w:rsid w:val="6A94008C"/>
    <w:rsid w:val="6AA638F9"/>
    <w:rsid w:val="6AC635A8"/>
    <w:rsid w:val="6AE37195"/>
    <w:rsid w:val="6AE60947"/>
    <w:rsid w:val="6AEF6EB8"/>
    <w:rsid w:val="6AF179D8"/>
    <w:rsid w:val="6B0B374F"/>
    <w:rsid w:val="6B0E6D92"/>
    <w:rsid w:val="6B17074E"/>
    <w:rsid w:val="6B1F0CCB"/>
    <w:rsid w:val="6B4B404C"/>
    <w:rsid w:val="6B6234E5"/>
    <w:rsid w:val="6BA95F10"/>
    <w:rsid w:val="6BAC2BAE"/>
    <w:rsid w:val="6BBD11F5"/>
    <w:rsid w:val="6BCE1834"/>
    <w:rsid w:val="6BD12800"/>
    <w:rsid w:val="6BF0181F"/>
    <w:rsid w:val="6C022DB1"/>
    <w:rsid w:val="6C0504CD"/>
    <w:rsid w:val="6C066D46"/>
    <w:rsid w:val="6C1208F3"/>
    <w:rsid w:val="6C5E02FC"/>
    <w:rsid w:val="6C691082"/>
    <w:rsid w:val="6C721812"/>
    <w:rsid w:val="6C8B0F52"/>
    <w:rsid w:val="6C97174C"/>
    <w:rsid w:val="6CDD07BE"/>
    <w:rsid w:val="6CDD0DD0"/>
    <w:rsid w:val="6CFA7DB1"/>
    <w:rsid w:val="6D0127E4"/>
    <w:rsid w:val="6D135E16"/>
    <w:rsid w:val="6D1C168A"/>
    <w:rsid w:val="6D347A31"/>
    <w:rsid w:val="6D3668DD"/>
    <w:rsid w:val="6D471CAB"/>
    <w:rsid w:val="6D4B0788"/>
    <w:rsid w:val="6D8617C0"/>
    <w:rsid w:val="6D936949"/>
    <w:rsid w:val="6D940381"/>
    <w:rsid w:val="6DAC0977"/>
    <w:rsid w:val="6DB941BD"/>
    <w:rsid w:val="6DC60F63"/>
    <w:rsid w:val="6DCF0C94"/>
    <w:rsid w:val="6DD76259"/>
    <w:rsid w:val="6DF40ED9"/>
    <w:rsid w:val="6E343B64"/>
    <w:rsid w:val="6E4C770B"/>
    <w:rsid w:val="6E5F1098"/>
    <w:rsid w:val="6E6F2793"/>
    <w:rsid w:val="6E703D8E"/>
    <w:rsid w:val="6E84323D"/>
    <w:rsid w:val="6E866AA3"/>
    <w:rsid w:val="6E942A76"/>
    <w:rsid w:val="6EA41FA2"/>
    <w:rsid w:val="6EB2181E"/>
    <w:rsid w:val="6EB44AD4"/>
    <w:rsid w:val="6EEB5D7F"/>
    <w:rsid w:val="6F313FE8"/>
    <w:rsid w:val="6F341EA2"/>
    <w:rsid w:val="6F381CAC"/>
    <w:rsid w:val="6F547DC8"/>
    <w:rsid w:val="6F555E8B"/>
    <w:rsid w:val="6F6128C1"/>
    <w:rsid w:val="6F9C6902"/>
    <w:rsid w:val="6FA0729C"/>
    <w:rsid w:val="6FD45156"/>
    <w:rsid w:val="6FF9096F"/>
    <w:rsid w:val="70070910"/>
    <w:rsid w:val="70100CA2"/>
    <w:rsid w:val="70106DE6"/>
    <w:rsid w:val="701B7EF3"/>
    <w:rsid w:val="702B1097"/>
    <w:rsid w:val="702B68F1"/>
    <w:rsid w:val="70393572"/>
    <w:rsid w:val="70741DA4"/>
    <w:rsid w:val="70782DDA"/>
    <w:rsid w:val="70932B72"/>
    <w:rsid w:val="70A24D48"/>
    <w:rsid w:val="70BA64EF"/>
    <w:rsid w:val="70C900DF"/>
    <w:rsid w:val="70E611B1"/>
    <w:rsid w:val="70EC49AE"/>
    <w:rsid w:val="70F80524"/>
    <w:rsid w:val="70FB5C41"/>
    <w:rsid w:val="710A2419"/>
    <w:rsid w:val="71326D32"/>
    <w:rsid w:val="714C2CD0"/>
    <w:rsid w:val="715A596A"/>
    <w:rsid w:val="717C247D"/>
    <w:rsid w:val="717F26E4"/>
    <w:rsid w:val="71816B8E"/>
    <w:rsid w:val="71832D29"/>
    <w:rsid w:val="71907818"/>
    <w:rsid w:val="71AA15B0"/>
    <w:rsid w:val="71B252F9"/>
    <w:rsid w:val="71CA611F"/>
    <w:rsid w:val="71CD7943"/>
    <w:rsid w:val="71E95916"/>
    <w:rsid w:val="71F950A9"/>
    <w:rsid w:val="7203413E"/>
    <w:rsid w:val="723C62EB"/>
    <w:rsid w:val="7250588C"/>
    <w:rsid w:val="7251838B"/>
    <w:rsid w:val="726F1340"/>
    <w:rsid w:val="726F5278"/>
    <w:rsid w:val="727E786A"/>
    <w:rsid w:val="72851E13"/>
    <w:rsid w:val="72887FD4"/>
    <w:rsid w:val="729A6D07"/>
    <w:rsid w:val="72A76461"/>
    <w:rsid w:val="72BD0544"/>
    <w:rsid w:val="72C0472D"/>
    <w:rsid w:val="72D11D5C"/>
    <w:rsid w:val="72E85DAD"/>
    <w:rsid w:val="732303D9"/>
    <w:rsid w:val="733A6AF9"/>
    <w:rsid w:val="735008A6"/>
    <w:rsid w:val="73522870"/>
    <w:rsid w:val="73532CC9"/>
    <w:rsid w:val="739E1612"/>
    <w:rsid w:val="739F3D64"/>
    <w:rsid w:val="73D73D11"/>
    <w:rsid w:val="73EA68D4"/>
    <w:rsid w:val="73FA5DFE"/>
    <w:rsid w:val="741015BE"/>
    <w:rsid w:val="744975DD"/>
    <w:rsid w:val="746920A5"/>
    <w:rsid w:val="747B75DF"/>
    <w:rsid w:val="74945DFE"/>
    <w:rsid w:val="74AE1D28"/>
    <w:rsid w:val="74B72C97"/>
    <w:rsid w:val="74B86703"/>
    <w:rsid w:val="74CB1EDB"/>
    <w:rsid w:val="74DE73F5"/>
    <w:rsid w:val="75185519"/>
    <w:rsid w:val="751E77AF"/>
    <w:rsid w:val="75385A96"/>
    <w:rsid w:val="753B4B84"/>
    <w:rsid w:val="75620003"/>
    <w:rsid w:val="7597473F"/>
    <w:rsid w:val="75D07F8B"/>
    <w:rsid w:val="75EE5669"/>
    <w:rsid w:val="764A7999"/>
    <w:rsid w:val="76571277"/>
    <w:rsid w:val="767821EC"/>
    <w:rsid w:val="76957051"/>
    <w:rsid w:val="76BD4232"/>
    <w:rsid w:val="76C10199"/>
    <w:rsid w:val="76C57BCB"/>
    <w:rsid w:val="76F927CD"/>
    <w:rsid w:val="770C0F88"/>
    <w:rsid w:val="771160B2"/>
    <w:rsid w:val="773A73E7"/>
    <w:rsid w:val="773B2934"/>
    <w:rsid w:val="773E064E"/>
    <w:rsid w:val="774E1211"/>
    <w:rsid w:val="77523BC8"/>
    <w:rsid w:val="77597468"/>
    <w:rsid w:val="777B71D8"/>
    <w:rsid w:val="77821DB2"/>
    <w:rsid w:val="77A54D53"/>
    <w:rsid w:val="77A64F39"/>
    <w:rsid w:val="77BF2228"/>
    <w:rsid w:val="77D75F2B"/>
    <w:rsid w:val="77FC6767"/>
    <w:rsid w:val="78016613"/>
    <w:rsid w:val="780249C4"/>
    <w:rsid w:val="7807758E"/>
    <w:rsid w:val="780D6694"/>
    <w:rsid w:val="781A0BEC"/>
    <w:rsid w:val="78202415"/>
    <w:rsid w:val="78213FC9"/>
    <w:rsid w:val="78472EBC"/>
    <w:rsid w:val="78701D9C"/>
    <w:rsid w:val="7898372A"/>
    <w:rsid w:val="78A1562B"/>
    <w:rsid w:val="78B032FC"/>
    <w:rsid w:val="78FA0671"/>
    <w:rsid w:val="790068CB"/>
    <w:rsid w:val="790A7F45"/>
    <w:rsid w:val="791B4C63"/>
    <w:rsid w:val="793A634F"/>
    <w:rsid w:val="79474F43"/>
    <w:rsid w:val="795F2F30"/>
    <w:rsid w:val="796B5873"/>
    <w:rsid w:val="798635EB"/>
    <w:rsid w:val="79991EA7"/>
    <w:rsid w:val="79A5750A"/>
    <w:rsid w:val="7A067F11"/>
    <w:rsid w:val="7A0C1011"/>
    <w:rsid w:val="7A0E7A81"/>
    <w:rsid w:val="7A276F33"/>
    <w:rsid w:val="7A321CDB"/>
    <w:rsid w:val="7A567B6E"/>
    <w:rsid w:val="7A57218E"/>
    <w:rsid w:val="7A6E32C8"/>
    <w:rsid w:val="7ABD4654"/>
    <w:rsid w:val="7AC900CF"/>
    <w:rsid w:val="7B052FBD"/>
    <w:rsid w:val="7B165244"/>
    <w:rsid w:val="7B397C08"/>
    <w:rsid w:val="7B5A5A6C"/>
    <w:rsid w:val="7B5C250E"/>
    <w:rsid w:val="7B5C38E7"/>
    <w:rsid w:val="7B6D0F87"/>
    <w:rsid w:val="7B6D7B5D"/>
    <w:rsid w:val="7B72691F"/>
    <w:rsid w:val="7B783FD8"/>
    <w:rsid w:val="7B9A3DB8"/>
    <w:rsid w:val="7BA113AB"/>
    <w:rsid w:val="7BD52290"/>
    <w:rsid w:val="7BD568A0"/>
    <w:rsid w:val="7BF20E1E"/>
    <w:rsid w:val="7C3A1BEA"/>
    <w:rsid w:val="7C5728ED"/>
    <w:rsid w:val="7C9408F4"/>
    <w:rsid w:val="7CAA0846"/>
    <w:rsid w:val="7CB14063"/>
    <w:rsid w:val="7CB83597"/>
    <w:rsid w:val="7CB90CC2"/>
    <w:rsid w:val="7CFB2CE9"/>
    <w:rsid w:val="7D0C34C4"/>
    <w:rsid w:val="7D1670F6"/>
    <w:rsid w:val="7D212CA5"/>
    <w:rsid w:val="7D255EE2"/>
    <w:rsid w:val="7D293184"/>
    <w:rsid w:val="7D4B3EE6"/>
    <w:rsid w:val="7D6112EF"/>
    <w:rsid w:val="7D68620F"/>
    <w:rsid w:val="7D69777E"/>
    <w:rsid w:val="7D7F0706"/>
    <w:rsid w:val="7D8F646F"/>
    <w:rsid w:val="7D927DC0"/>
    <w:rsid w:val="7DB34706"/>
    <w:rsid w:val="7DFB2CE1"/>
    <w:rsid w:val="7E0F41A9"/>
    <w:rsid w:val="7E1A0A9F"/>
    <w:rsid w:val="7E3C401A"/>
    <w:rsid w:val="7E641213"/>
    <w:rsid w:val="7E74499D"/>
    <w:rsid w:val="7E843482"/>
    <w:rsid w:val="7ED94253"/>
    <w:rsid w:val="7EE33139"/>
    <w:rsid w:val="7EF34773"/>
    <w:rsid w:val="7F0D08DC"/>
    <w:rsid w:val="7F173D26"/>
    <w:rsid w:val="7F2802D8"/>
    <w:rsid w:val="7F6531DB"/>
    <w:rsid w:val="7F663995"/>
    <w:rsid w:val="7F666017"/>
    <w:rsid w:val="7F6F8422"/>
    <w:rsid w:val="7F714EE5"/>
    <w:rsid w:val="7F7D2A23"/>
    <w:rsid w:val="7F7F2734"/>
    <w:rsid w:val="7F8244DD"/>
    <w:rsid w:val="7F8918FF"/>
    <w:rsid w:val="7F9D261C"/>
    <w:rsid w:val="7F9E22B0"/>
    <w:rsid w:val="7FA63F96"/>
    <w:rsid w:val="7FA7279D"/>
    <w:rsid w:val="7FB9287C"/>
    <w:rsid w:val="7FC55840"/>
    <w:rsid w:val="7FCC47FD"/>
    <w:rsid w:val="7FD31973"/>
    <w:rsid w:val="7FDD0ADF"/>
    <w:rsid w:val="7FE15B01"/>
    <w:rsid w:val="7FEB0EDD"/>
    <w:rsid w:val="7FFB1B6E"/>
    <w:rsid w:val="EBEEDD4E"/>
    <w:rsid w:val="FF3D1953"/>
    <w:rsid w:val="FFB68C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3"/>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172"/>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7"/>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92"/>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6"/>
    <w:basedOn w:val="1"/>
    <w:next w:val="1"/>
    <w:link w:val="5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9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next w:val="1"/>
    <w:link w:val="75"/>
    <w:qFormat/>
    <w:uiPriority w:val="0"/>
    <w:pPr>
      <w:spacing w:after="120"/>
      <w:ind w:left="420" w:leftChars="200"/>
    </w:pPr>
    <w:rPr>
      <w:kern w:val="0"/>
      <w:sz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69"/>
    <w:qFormat/>
    <w:uiPriority w:val="0"/>
    <w:pPr>
      <w:ind w:firstLine="420" w:firstLineChars="200"/>
    </w:pPr>
  </w:style>
  <w:style w:type="paragraph" w:styleId="15">
    <w:name w:val="Document Map"/>
    <w:basedOn w:val="1"/>
    <w:link w:val="76"/>
    <w:qFormat/>
    <w:uiPriority w:val="0"/>
    <w:pPr>
      <w:shd w:val="clear" w:color="auto" w:fill="000080"/>
    </w:pPr>
    <w:rPr>
      <w:kern w:val="0"/>
      <w:sz w:val="20"/>
    </w:rPr>
  </w:style>
  <w:style w:type="paragraph" w:styleId="16">
    <w:name w:val="annotation text"/>
    <w:basedOn w:val="1"/>
    <w:link w:val="58"/>
    <w:unhideWhenUsed/>
    <w:qFormat/>
    <w:uiPriority w:val="99"/>
    <w:pPr>
      <w:jc w:val="left"/>
    </w:pPr>
    <w:rPr>
      <w:kern w:val="0"/>
      <w:sz w:val="20"/>
    </w:rPr>
  </w:style>
  <w:style w:type="paragraph" w:styleId="17">
    <w:name w:val="Body Text 3"/>
    <w:basedOn w:val="1"/>
    <w:link w:val="62"/>
    <w:qFormat/>
    <w:uiPriority w:val="0"/>
    <w:rPr>
      <w:rFonts w:ascii="宋体"/>
      <w:kern w:val="0"/>
      <w:sz w:val="24"/>
      <w:szCs w:val="20"/>
    </w:rPr>
  </w:style>
  <w:style w:type="paragraph" w:styleId="18">
    <w:name w:val="Body Text"/>
    <w:basedOn w:val="1"/>
    <w:next w:val="1"/>
    <w:link w:val="65"/>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8"/>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2"/>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80"/>
    <w:qFormat/>
    <w:uiPriority w:val="0"/>
    <w:rPr>
      <w:kern w:val="0"/>
      <w:sz w:val="18"/>
      <w:szCs w:val="18"/>
    </w:rPr>
  </w:style>
  <w:style w:type="paragraph" w:styleId="27">
    <w:name w:val="footer"/>
    <w:basedOn w:val="1"/>
    <w:link w:val="94"/>
    <w:qFormat/>
    <w:uiPriority w:val="99"/>
    <w:pPr>
      <w:tabs>
        <w:tab w:val="center" w:pos="4153"/>
        <w:tab w:val="right" w:pos="8306"/>
      </w:tabs>
      <w:snapToGrid w:val="0"/>
      <w:jc w:val="left"/>
    </w:pPr>
    <w:rPr>
      <w:kern w:val="0"/>
      <w:sz w:val="18"/>
      <w:szCs w:val="18"/>
    </w:rPr>
  </w:style>
  <w:style w:type="paragraph" w:styleId="28">
    <w:name w:val="envelope return"/>
    <w:basedOn w:val="1"/>
    <w:unhideWhenUsed/>
    <w:qFormat/>
    <w:uiPriority w:val="99"/>
    <w:pPr>
      <w:snapToGrid w:val="0"/>
    </w:pPr>
    <w:rPr>
      <w:rFonts w:ascii="Arial" w:hAnsi="Arial"/>
    </w:rPr>
  </w:style>
  <w:style w:type="paragraph" w:styleId="29">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rFonts w:ascii="Calibri" w:hAnsi="Calibri"/>
      <w:b/>
      <w:bCs/>
      <w:caps/>
      <w:sz w:val="20"/>
      <w:szCs w:val="20"/>
    </w:rPr>
  </w:style>
  <w:style w:type="paragraph" w:styleId="31">
    <w:name w:val="toc 4"/>
    <w:basedOn w:val="1"/>
    <w:next w:val="1"/>
    <w:qFormat/>
    <w:uiPriority w:val="39"/>
    <w:pPr>
      <w:ind w:left="630"/>
      <w:jc w:val="left"/>
    </w:pPr>
    <w:rPr>
      <w:rFonts w:ascii="Calibri" w:hAnsi="Calibri"/>
      <w:sz w:val="18"/>
      <w:szCs w:val="18"/>
    </w:rPr>
  </w:style>
  <w:style w:type="paragraph" w:styleId="32">
    <w:name w:val="footnote text"/>
    <w:basedOn w:val="1"/>
    <w:link w:val="66"/>
    <w:qFormat/>
    <w:uiPriority w:val="0"/>
    <w:rPr>
      <w:kern w:val="0"/>
      <w:sz w:val="20"/>
      <w:szCs w:val="20"/>
    </w:rPr>
  </w:style>
  <w:style w:type="paragraph" w:styleId="33">
    <w:name w:val="toc 6"/>
    <w:basedOn w:val="1"/>
    <w:next w:val="1"/>
    <w:qFormat/>
    <w:uiPriority w:val="39"/>
    <w:pPr>
      <w:ind w:left="1050"/>
      <w:jc w:val="left"/>
    </w:pPr>
    <w:rPr>
      <w:rFonts w:ascii="Calibri" w:hAnsi="Calibri"/>
      <w:sz w:val="18"/>
      <w:szCs w:val="18"/>
    </w:rPr>
  </w:style>
  <w:style w:type="paragraph" w:styleId="34">
    <w:name w:val="Body Text Indent 3"/>
    <w:basedOn w:val="1"/>
    <w:link w:val="86"/>
    <w:qFormat/>
    <w:uiPriority w:val="0"/>
    <w:pPr>
      <w:spacing w:after="120"/>
      <w:ind w:left="420" w:leftChars="200"/>
    </w:pPr>
    <w:rPr>
      <w:kern w:val="0"/>
      <w:sz w:val="16"/>
      <w:szCs w:val="16"/>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ind w:left="210"/>
      <w:jc w:val="left"/>
    </w:pPr>
    <w:rPr>
      <w:rFonts w:ascii="Calibri" w:hAnsi="Calibri"/>
      <w:smallCaps/>
      <w:sz w:val="20"/>
      <w:szCs w:val="20"/>
    </w:rPr>
  </w:style>
  <w:style w:type="paragraph" w:styleId="37">
    <w:name w:val="toc 9"/>
    <w:basedOn w:val="1"/>
    <w:next w:val="1"/>
    <w:qFormat/>
    <w:uiPriority w:val="39"/>
    <w:pPr>
      <w:ind w:left="1680"/>
      <w:jc w:val="left"/>
    </w:pPr>
    <w:rPr>
      <w:rFonts w:ascii="Calibri" w:hAnsi="Calibri"/>
      <w:sz w:val="18"/>
      <w:szCs w:val="18"/>
    </w:rPr>
  </w:style>
  <w:style w:type="paragraph" w:styleId="38">
    <w:name w:val="HTML Preformatted"/>
    <w:basedOn w:val="1"/>
    <w:link w:val="9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semiHidden/>
    <w:qFormat/>
    <w:uiPriority w:val="0"/>
    <w:pPr>
      <w:spacing w:line="360" w:lineRule="auto"/>
      <w:jc w:val="center"/>
    </w:pPr>
    <w:rPr>
      <w:rFonts w:ascii="宋体" w:hAnsi="Arial" w:cs="Arial"/>
      <w:b/>
      <w:color w:val="000000"/>
      <w:sz w:val="24"/>
    </w:rPr>
  </w:style>
  <w:style w:type="paragraph" w:styleId="41">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6"/>
    <w:next w:val="16"/>
    <w:link w:val="68"/>
    <w:qFormat/>
    <w:uiPriority w:val="0"/>
    <w:rPr>
      <w:b/>
      <w:bCs/>
    </w:rPr>
  </w:style>
  <w:style w:type="paragraph" w:styleId="43">
    <w:name w:val="Body Text First Indent"/>
    <w:basedOn w:val="18"/>
    <w:qFormat/>
    <w:uiPriority w:val="0"/>
    <w:pPr>
      <w:adjustRightInd w:val="0"/>
      <w:spacing w:line="275" w:lineRule="atLeast"/>
      <w:ind w:firstLine="420"/>
      <w:textAlignment w:val="baseline"/>
    </w:pPr>
    <w:rPr>
      <w:rFonts w:ascii="宋体" w:eastAsia="楷体_GB2312"/>
      <w:sz w:val="24"/>
      <w:szCs w:val="20"/>
    </w:rPr>
  </w:style>
  <w:style w:type="table" w:styleId="45">
    <w:name w:val="Table Grid"/>
    <w:basedOn w:val="4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basedOn w:val="46"/>
    <w:qFormat/>
    <w:uiPriority w:val="0"/>
    <w:rPr>
      <w:rFonts w:hint="default" w:ascii="Arial" w:hAnsi="Arial" w:eastAsia="Arial" w:cs="Arial"/>
      <w:color w:val="333333"/>
      <w:sz w:val="21"/>
      <w:szCs w:val="21"/>
      <w:u w:val="none"/>
    </w:rPr>
  </w:style>
  <w:style w:type="character" w:styleId="50">
    <w:name w:val="Hyperlink"/>
    <w:basedOn w:val="46"/>
    <w:qFormat/>
    <w:uiPriority w:val="99"/>
    <w:rPr>
      <w:rFonts w:ascii="Arial" w:hAnsi="Arial" w:eastAsia="Arial" w:cs="Arial"/>
      <w:color w:val="333333"/>
      <w:sz w:val="21"/>
      <w:szCs w:val="21"/>
      <w:u w:val="non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apple-style-span"/>
    <w:qFormat/>
    <w:uiPriority w:val="0"/>
    <w:rPr>
      <w:rFonts w:ascii="Verdana" w:hAnsi="Verdana" w:eastAsia="宋体"/>
      <w:sz w:val="21"/>
      <w:lang w:val="en-US" w:eastAsia="en-US" w:bidi="ar-SA"/>
    </w:rPr>
  </w:style>
  <w:style w:type="character" w:customStyle="1" w:styleId="54">
    <w:name w:val="正文文本 3 Char1"/>
    <w:semiHidden/>
    <w:qFormat/>
    <w:uiPriority w:val="99"/>
    <w:rPr>
      <w:rFonts w:ascii="Times New Roman" w:hAnsi="Times New Roman" w:eastAsia="宋体" w:cs="Times New Roman"/>
      <w:sz w:val="16"/>
      <w:szCs w:val="16"/>
    </w:rPr>
  </w:style>
  <w:style w:type="character" w:customStyle="1" w:styleId="55">
    <w:name w:val="样式 宋体"/>
    <w:qFormat/>
    <w:uiPriority w:val="0"/>
    <w:rPr>
      <w:rFonts w:ascii="Times New Roman" w:hAnsi="Times New Roman" w:eastAsia="宋体"/>
      <w:sz w:val="21"/>
    </w:rPr>
  </w:style>
  <w:style w:type="character" w:customStyle="1" w:styleId="56">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7">
    <w:name w:val="标题 3 字符"/>
    <w:link w:val="6"/>
    <w:qFormat/>
    <w:uiPriority w:val="0"/>
    <w:rPr>
      <w:rFonts w:ascii="Times New Roman" w:hAnsi="Times New Roman" w:eastAsia="宋体" w:cs="Times New Roman"/>
      <w:b/>
      <w:bCs/>
      <w:sz w:val="32"/>
      <w:szCs w:val="32"/>
    </w:rPr>
  </w:style>
  <w:style w:type="character" w:customStyle="1" w:styleId="58">
    <w:name w:val="批注文字 字符"/>
    <w:link w:val="16"/>
    <w:semiHidden/>
    <w:qFormat/>
    <w:uiPriority w:val="99"/>
    <w:rPr>
      <w:rFonts w:ascii="Times New Roman" w:hAnsi="Times New Roman" w:eastAsia="宋体" w:cs="Times New Roman"/>
      <w:szCs w:val="24"/>
    </w:rPr>
  </w:style>
  <w:style w:type="character" w:customStyle="1" w:styleId="59">
    <w:name w:val="标题 6 字符"/>
    <w:link w:val="8"/>
    <w:qFormat/>
    <w:uiPriority w:val="0"/>
    <w:rPr>
      <w:rFonts w:ascii="Arial" w:hAnsi="Arial" w:eastAsia="黑体" w:cs="Times New Roman"/>
      <w:b/>
      <w:bCs/>
      <w:kern w:val="0"/>
      <w:sz w:val="24"/>
      <w:szCs w:val="24"/>
    </w:rPr>
  </w:style>
  <w:style w:type="character" w:customStyle="1" w:styleId="60">
    <w:name w:val="Char Char8"/>
    <w:qFormat/>
    <w:uiPriority w:val="0"/>
    <w:rPr>
      <w:rFonts w:ascii="Arial" w:hAnsi="Arial" w:eastAsia="黑体"/>
      <w:b/>
      <w:bCs/>
      <w:kern w:val="2"/>
      <w:sz w:val="32"/>
      <w:szCs w:val="32"/>
      <w:lang w:val="en-US" w:eastAsia="zh-CN" w:bidi="ar-SA"/>
    </w:rPr>
  </w:style>
  <w:style w:type="character" w:customStyle="1" w:styleId="61">
    <w:name w:val="脚注文本 Char1"/>
    <w:semiHidden/>
    <w:qFormat/>
    <w:uiPriority w:val="99"/>
    <w:rPr>
      <w:rFonts w:ascii="Times New Roman" w:hAnsi="Times New Roman" w:eastAsia="宋体" w:cs="Times New Roman"/>
      <w:sz w:val="18"/>
      <w:szCs w:val="18"/>
    </w:rPr>
  </w:style>
  <w:style w:type="character" w:customStyle="1" w:styleId="62">
    <w:name w:val="正文文本 3 字符"/>
    <w:link w:val="17"/>
    <w:qFormat/>
    <w:uiPriority w:val="0"/>
    <w:rPr>
      <w:rFonts w:ascii="宋体"/>
      <w:sz w:val="24"/>
    </w:rPr>
  </w:style>
  <w:style w:type="character" w:customStyle="1" w:styleId="63">
    <w:name w:val="页脚 Char1"/>
    <w:semiHidden/>
    <w:qFormat/>
    <w:uiPriority w:val="99"/>
    <w:rPr>
      <w:rFonts w:ascii="Times New Roman" w:hAnsi="Times New Roman" w:eastAsia="宋体" w:cs="Times New Roman"/>
      <w:sz w:val="18"/>
      <w:szCs w:val="18"/>
    </w:rPr>
  </w:style>
  <w:style w:type="character" w:customStyle="1" w:styleId="64">
    <w:name w:val="标题 Char1"/>
    <w:qFormat/>
    <w:uiPriority w:val="10"/>
    <w:rPr>
      <w:rFonts w:ascii="Calibri Light" w:hAnsi="Calibri Light" w:eastAsia="宋体" w:cs="Times New Roman"/>
      <w:b/>
      <w:bCs/>
      <w:sz w:val="32"/>
      <w:szCs w:val="32"/>
    </w:rPr>
  </w:style>
  <w:style w:type="character" w:customStyle="1" w:styleId="65">
    <w:name w:val="正文文本 字符"/>
    <w:link w:val="18"/>
    <w:qFormat/>
    <w:uiPriority w:val="0"/>
    <w:rPr>
      <w:rFonts w:eastAsia="宋体"/>
      <w:szCs w:val="24"/>
    </w:rPr>
  </w:style>
  <w:style w:type="character" w:customStyle="1" w:styleId="66">
    <w:name w:val="脚注文本 字符"/>
    <w:link w:val="32"/>
    <w:qFormat/>
    <w:uiPriority w:val="0"/>
    <w:rPr>
      <w:rFonts w:eastAsia="宋体"/>
    </w:rPr>
  </w:style>
  <w:style w:type="character" w:customStyle="1" w:styleId="67">
    <w:name w:val="纯文本 Char1"/>
    <w:semiHidden/>
    <w:qFormat/>
    <w:uiPriority w:val="99"/>
    <w:rPr>
      <w:rFonts w:ascii="宋体" w:hAnsi="Courier New" w:eastAsia="宋体" w:cs="Courier New"/>
      <w:szCs w:val="21"/>
    </w:rPr>
  </w:style>
  <w:style w:type="character" w:customStyle="1" w:styleId="68">
    <w:name w:val="批注主题 字符"/>
    <w:link w:val="42"/>
    <w:qFormat/>
    <w:uiPriority w:val="0"/>
    <w:rPr>
      <w:rFonts w:ascii="Times New Roman" w:hAnsi="Times New Roman" w:eastAsia="宋体" w:cs="Times New Roman"/>
      <w:b/>
      <w:bCs/>
      <w:szCs w:val="24"/>
    </w:rPr>
  </w:style>
  <w:style w:type="character" w:customStyle="1" w:styleId="69">
    <w:name w:val="正文缩进 字符"/>
    <w:link w:val="14"/>
    <w:qFormat/>
    <w:locked/>
    <w:uiPriority w:val="0"/>
    <w:rPr>
      <w:kern w:val="2"/>
      <w:sz w:val="21"/>
      <w:szCs w:val="24"/>
    </w:rPr>
  </w:style>
  <w:style w:type="character" w:customStyle="1" w:styleId="70">
    <w:name w:val="font11"/>
    <w:qFormat/>
    <w:uiPriority w:val="0"/>
    <w:rPr>
      <w:rFonts w:hint="default" w:ascii="Times New Roman" w:hAnsi="Times New Roman" w:cs="Times New Roman"/>
      <w:color w:val="000000"/>
      <w:sz w:val="22"/>
      <w:szCs w:val="22"/>
      <w:u w:val="none"/>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页眉 字符"/>
    <w:link w:val="29"/>
    <w:qFormat/>
    <w:uiPriority w:val="0"/>
    <w:rPr>
      <w:rFonts w:ascii="Times New Roman" w:hAnsi="Times New Roman" w:eastAsia="宋体" w:cs="Times New Roman"/>
      <w:sz w:val="18"/>
      <w:szCs w:val="18"/>
    </w:rPr>
  </w:style>
  <w:style w:type="character" w:customStyle="1" w:styleId="73">
    <w:name w:val="标题 9 字符"/>
    <w:link w:val="11"/>
    <w:qFormat/>
    <w:uiPriority w:val="0"/>
    <w:rPr>
      <w:rFonts w:ascii="Arial" w:hAnsi="Arial" w:eastAsia="黑体" w:cs="Times New Roman"/>
      <w:kern w:val="0"/>
      <w:szCs w:val="21"/>
    </w:rPr>
  </w:style>
  <w:style w:type="character" w:customStyle="1" w:styleId="74">
    <w:name w:val="标题 2 Char1"/>
    <w:qFormat/>
    <w:uiPriority w:val="0"/>
    <w:rPr>
      <w:rFonts w:ascii="Arial" w:hAnsi="Arial" w:eastAsia="黑体" w:cs="Times New Roman"/>
      <w:b/>
      <w:bCs/>
      <w:sz w:val="32"/>
      <w:szCs w:val="32"/>
      <w:lang w:val="en-US" w:eastAsia="en-US" w:bidi="ar-SA"/>
    </w:rPr>
  </w:style>
  <w:style w:type="character" w:customStyle="1" w:styleId="75">
    <w:name w:val="正文文本缩进 字符"/>
    <w:link w:val="3"/>
    <w:qFormat/>
    <w:uiPriority w:val="0"/>
    <w:rPr>
      <w:szCs w:val="24"/>
    </w:rPr>
  </w:style>
  <w:style w:type="character" w:customStyle="1" w:styleId="76">
    <w:name w:val="文档结构图 字符"/>
    <w:link w:val="15"/>
    <w:qFormat/>
    <w:uiPriority w:val="0"/>
    <w:rPr>
      <w:rFonts w:ascii="Times New Roman" w:hAnsi="Times New Roman" w:eastAsia="宋体" w:cs="Times New Roman"/>
      <w:szCs w:val="24"/>
      <w:shd w:val="clear" w:color="auto" w:fill="000080"/>
    </w:rPr>
  </w:style>
  <w:style w:type="character" w:customStyle="1" w:styleId="77">
    <w:name w:val="font161"/>
    <w:qFormat/>
    <w:uiPriority w:val="0"/>
    <w:rPr>
      <w:b/>
      <w:bCs/>
      <w:sz w:val="32"/>
      <w:szCs w:val="32"/>
    </w:rPr>
  </w:style>
  <w:style w:type="character" w:customStyle="1" w:styleId="78">
    <w:name w:val="标题 2 字符"/>
    <w:link w:val="5"/>
    <w:qFormat/>
    <w:uiPriority w:val="0"/>
    <w:rPr>
      <w:rFonts w:ascii="Arial" w:hAnsi="Arial" w:eastAsia="黑体" w:cs="Times New Roman"/>
      <w:b/>
      <w:bCs/>
      <w:sz w:val="32"/>
      <w:szCs w:val="32"/>
    </w:rPr>
  </w:style>
  <w:style w:type="character" w:customStyle="1" w:styleId="79">
    <w:name w:val="标题 字符"/>
    <w:link w:val="41"/>
    <w:qFormat/>
    <w:uiPriority w:val="0"/>
    <w:rPr>
      <w:rFonts w:ascii="Arial" w:hAnsi="Arial"/>
      <w:b/>
      <w:sz w:val="32"/>
    </w:rPr>
  </w:style>
  <w:style w:type="character" w:customStyle="1" w:styleId="80">
    <w:name w:val="批注框文本 字符"/>
    <w:link w:val="26"/>
    <w:qFormat/>
    <w:uiPriority w:val="0"/>
    <w:rPr>
      <w:rFonts w:ascii="Times New Roman" w:hAnsi="Times New Roman" w:eastAsia="宋体" w:cs="Times New Roman"/>
      <w:sz w:val="18"/>
      <w:szCs w:val="18"/>
    </w:rPr>
  </w:style>
  <w:style w:type="character" w:customStyle="1" w:styleId="81">
    <w:name w:val="标题 8 字符"/>
    <w:link w:val="10"/>
    <w:qFormat/>
    <w:uiPriority w:val="0"/>
    <w:rPr>
      <w:rFonts w:ascii="Arial" w:hAnsi="Arial" w:eastAsia="黑体" w:cs="Times New Roman"/>
      <w:kern w:val="0"/>
      <w:sz w:val="24"/>
      <w:szCs w:val="24"/>
    </w:rPr>
  </w:style>
  <w:style w:type="character" w:customStyle="1" w:styleId="82">
    <w:name w:val="日期 字符"/>
    <w:link w:val="24"/>
    <w:qFormat/>
    <w:uiPriority w:val="0"/>
    <w:rPr>
      <w:rFonts w:ascii="Times New Roman" w:hAnsi="Times New Roman" w:eastAsia="宋体" w:cs="Times New Roman"/>
      <w:sz w:val="24"/>
      <w:szCs w:val="20"/>
    </w:rPr>
  </w:style>
  <w:style w:type="character" w:customStyle="1" w:styleId="83">
    <w:name w:val="标题 1 字符"/>
    <w:link w:val="4"/>
    <w:qFormat/>
    <w:uiPriority w:val="0"/>
    <w:rPr>
      <w:rFonts w:ascii="Times New Roman" w:hAnsi="Times New Roman" w:eastAsia="宋体" w:cs="Times New Roman"/>
      <w:b/>
      <w:bCs/>
      <w:kern w:val="44"/>
      <w:sz w:val="44"/>
      <w:szCs w:val="44"/>
    </w:rPr>
  </w:style>
  <w:style w:type="character" w:customStyle="1" w:styleId="84">
    <w:name w:val="招标节 Char"/>
    <w:link w:val="85"/>
    <w:qFormat/>
    <w:locked/>
    <w:uiPriority w:val="0"/>
    <w:rPr>
      <w:b/>
      <w:sz w:val="24"/>
      <w:szCs w:val="24"/>
    </w:rPr>
  </w:style>
  <w:style w:type="paragraph" w:customStyle="1" w:styleId="85">
    <w:name w:val="招标节"/>
    <w:basedOn w:val="1"/>
    <w:next w:val="1"/>
    <w:link w:val="84"/>
    <w:qFormat/>
    <w:uiPriority w:val="0"/>
    <w:pPr>
      <w:spacing w:beforeLines="50" w:afterLines="50"/>
      <w:outlineLvl w:val="1"/>
    </w:pPr>
    <w:rPr>
      <w:b/>
      <w:kern w:val="0"/>
      <w:sz w:val="24"/>
    </w:rPr>
  </w:style>
  <w:style w:type="character" w:customStyle="1" w:styleId="86">
    <w:name w:val="正文文本缩进 3 字符"/>
    <w:link w:val="34"/>
    <w:qFormat/>
    <w:uiPriority w:val="0"/>
    <w:rPr>
      <w:rFonts w:ascii="Times New Roman" w:hAnsi="Times New Roman" w:eastAsia="宋体" w:cs="Times New Roman"/>
      <w:sz w:val="16"/>
      <w:szCs w:val="16"/>
    </w:rPr>
  </w:style>
  <w:style w:type="character" w:customStyle="1" w:styleId="87">
    <w:name w:val="tpc_content1"/>
    <w:qFormat/>
    <w:uiPriority w:val="0"/>
    <w:rPr>
      <w:sz w:val="20"/>
      <w:szCs w:val="20"/>
    </w:rPr>
  </w:style>
  <w:style w:type="character" w:customStyle="1" w:styleId="88">
    <w:name w:val="Char Char"/>
    <w:qFormat/>
    <w:uiPriority w:val="0"/>
    <w:rPr>
      <w:rFonts w:ascii="Arial" w:hAnsi="Arial" w:eastAsia="黑体"/>
      <w:b/>
      <w:bCs/>
      <w:kern w:val="2"/>
      <w:sz w:val="32"/>
      <w:szCs w:val="32"/>
      <w:lang w:val="en-US" w:eastAsia="zh-CN" w:bidi="ar-SA"/>
    </w:rPr>
  </w:style>
  <w:style w:type="character" w:customStyle="1" w:styleId="89">
    <w:name w:val="正文文本 Char1"/>
    <w:semiHidden/>
    <w:qFormat/>
    <w:uiPriority w:val="99"/>
    <w:rPr>
      <w:rFonts w:ascii="Times New Roman" w:hAnsi="Times New Roman" w:eastAsia="宋体" w:cs="Times New Roman"/>
      <w:szCs w:val="24"/>
    </w:rPr>
  </w:style>
  <w:style w:type="character" w:customStyle="1" w:styleId="90">
    <w:name w:val="Char Char2"/>
    <w:qFormat/>
    <w:uiPriority w:val="0"/>
    <w:rPr>
      <w:rFonts w:eastAsia="宋体"/>
      <w:kern w:val="2"/>
      <w:sz w:val="21"/>
      <w:szCs w:val="24"/>
      <w:lang w:val="en-US" w:eastAsia="zh-CN" w:bidi="ar-SA"/>
    </w:rPr>
  </w:style>
  <w:style w:type="character" w:customStyle="1" w:styleId="91">
    <w:name w:val="apple-converted-space"/>
    <w:qFormat/>
    <w:uiPriority w:val="0"/>
  </w:style>
  <w:style w:type="character" w:customStyle="1" w:styleId="92">
    <w:name w:val="标题 4 字符"/>
    <w:link w:val="7"/>
    <w:qFormat/>
    <w:uiPriority w:val="0"/>
    <w:rPr>
      <w:rFonts w:ascii="Arial" w:hAnsi="Arial" w:eastAsia="黑体" w:cs="Times New Roman"/>
      <w:b/>
      <w:bCs/>
      <w:sz w:val="28"/>
      <w:szCs w:val="28"/>
    </w:rPr>
  </w:style>
  <w:style w:type="character" w:customStyle="1" w:styleId="93">
    <w:name w:val="正文文本缩进 Char1"/>
    <w:semiHidden/>
    <w:qFormat/>
    <w:uiPriority w:val="99"/>
    <w:rPr>
      <w:rFonts w:ascii="Times New Roman" w:hAnsi="Times New Roman" w:eastAsia="宋体" w:cs="Times New Roman"/>
      <w:szCs w:val="24"/>
    </w:rPr>
  </w:style>
  <w:style w:type="character" w:customStyle="1" w:styleId="94">
    <w:name w:val="页脚 字符"/>
    <w:link w:val="27"/>
    <w:qFormat/>
    <w:uiPriority w:val="99"/>
    <w:rPr>
      <w:sz w:val="18"/>
      <w:szCs w:val="18"/>
    </w:rPr>
  </w:style>
  <w:style w:type="character" w:customStyle="1" w:styleId="95">
    <w:name w:val="Char Char7"/>
    <w:qFormat/>
    <w:uiPriority w:val="0"/>
    <w:rPr>
      <w:rFonts w:ascii="Arial" w:hAnsi="Arial" w:eastAsia="黑体"/>
      <w:b/>
      <w:bCs/>
      <w:kern w:val="2"/>
      <w:sz w:val="32"/>
      <w:szCs w:val="32"/>
      <w:lang w:val="en-US" w:eastAsia="zh-CN" w:bidi="ar-SA"/>
    </w:rPr>
  </w:style>
  <w:style w:type="character" w:customStyle="1" w:styleId="96">
    <w:name w:val="HTML 预设格式 字符"/>
    <w:link w:val="38"/>
    <w:qFormat/>
    <w:uiPriority w:val="0"/>
    <w:rPr>
      <w:rFonts w:ascii="微软雅黑" w:hAnsi="微软雅黑" w:eastAsia="微软雅黑" w:cs="Times New Roman"/>
      <w:kern w:val="0"/>
      <w:sz w:val="24"/>
      <w:szCs w:val="24"/>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纯文本 字符"/>
    <w:link w:val="22"/>
    <w:qFormat/>
    <w:uiPriority w:val="99"/>
    <w:rPr>
      <w:rFonts w:ascii="Courier New" w:hAnsi="Courier New"/>
    </w:rPr>
  </w:style>
  <w:style w:type="character" w:customStyle="1" w:styleId="99">
    <w:name w:val="标题 7 字符"/>
    <w:link w:val="9"/>
    <w:qFormat/>
    <w:uiPriority w:val="0"/>
    <w:rPr>
      <w:rFonts w:ascii="Times New Roman" w:hAnsi="Times New Roman" w:eastAsia="宋体" w:cs="Times New Roman"/>
      <w:b/>
      <w:bCs/>
      <w:kern w:val="0"/>
      <w:sz w:val="24"/>
      <w:szCs w:val="24"/>
    </w:rPr>
  </w:style>
  <w:style w:type="paragraph" w:customStyle="1" w:styleId="100">
    <w:name w:val="样式4"/>
    <w:basedOn w:val="6"/>
    <w:qFormat/>
    <w:uiPriority w:val="0"/>
    <w:rPr>
      <w:rFonts w:eastAsia="Arial"/>
    </w:rPr>
  </w:style>
  <w:style w:type="paragraph" w:customStyle="1" w:styleId="101">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font10"/>
    <w:basedOn w:val="1"/>
    <w:qFormat/>
    <w:uiPriority w:val="0"/>
    <w:pPr>
      <w:widowControl/>
      <w:spacing w:before="100" w:beforeAutospacing="1" w:after="100" w:afterAutospacing="1"/>
      <w:jc w:val="left"/>
    </w:pPr>
    <w:rPr>
      <w:kern w:val="0"/>
      <w:sz w:val="28"/>
      <w:szCs w:val="28"/>
    </w:rPr>
  </w:style>
  <w:style w:type="paragraph" w:customStyle="1" w:styleId="104">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样式1"/>
    <w:basedOn w:val="6"/>
    <w:qFormat/>
    <w:uiPriority w:val="0"/>
    <w:rPr>
      <w:rFonts w:eastAsia="Arial"/>
    </w:rPr>
  </w:style>
  <w:style w:type="paragraph" w:customStyle="1" w:styleId="107">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Char"/>
    <w:basedOn w:val="1"/>
    <w:qFormat/>
    <w:uiPriority w:val="0"/>
    <w:pPr>
      <w:tabs>
        <w:tab w:val="left" w:pos="360"/>
      </w:tabs>
    </w:pPr>
    <w:rPr>
      <w:sz w:val="24"/>
    </w:rPr>
  </w:style>
  <w:style w:type="paragraph" w:customStyle="1" w:styleId="110">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6">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列表段落1"/>
    <w:basedOn w:val="1"/>
    <w:qFormat/>
    <w:uiPriority w:val="34"/>
    <w:pPr>
      <w:ind w:firstLine="420" w:firstLineChars="200"/>
    </w:pPr>
    <w:rPr>
      <w:rFonts w:ascii="Calibri" w:hAnsi="Calibri"/>
      <w:szCs w:val="22"/>
    </w:rPr>
  </w:style>
  <w:style w:type="paragraph" w:customStyle="1" w:styleId="122">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3">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27">
    <w:name w:val="1"/>
    <w:basedOn w:val="1"/>
    <w:next w:val="1"/>
    <w:qFormat/>
    <w:uiPriority w:val="0"/>
  </w:style>
  <w:style w:type="paragraph" w:customStyle="1" w:styleId="128">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1">
    <w:name w:val="样式 标题 2 + Times New Roman 四号 非加粗 行距: 单倍行距"/>
    <w:basedOn w:val="5"/>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2">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3">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样式3"/>
    <w:basedOn w:val="6"/>
    <w:qFormat/>
    <w:uiPriority w:val="0"/>
    <w:rPr>
      <w:rFonts w:eastAsia="Arial"/>
    </w:rPr>
  </w:style>
  <w:style w:type="paragraph" w:customStyle="1" w:styleId="135">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0">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3">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4">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6">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8">
    <w:name w:val="第二"/>
    <w:basedOn w:val="1"/>
    <w:qFormat/>
    <w:uiPriority w:val="0"/>
    <w:pPr>
      <w:adjustRightInd w:val="0"/>
      <w:snapToGrid w:val="0"/>
      <w:spacing w:line="360" w:lineRule="auto"/>
      <w:ind w:right="-108" w:rightChars="-45" w:firstLine="482"/>
    </w:pPr>
    <w:rPr>
      <w:b/>
    </w:rPr>
  </w:style>
  <w:style w:type="paragraph" w:customStyle="1" w:styleId="149">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2">
    <w:name w:val="内容"/>
    <w:basedOn w:val="1"/>
    <w:qFormat/>
    <w:uiPriority w:val="0"/>
    <w:pPr>
      <w:spacing w:line="480" w:lineRule="exact"/>
      <w:ind w:firstLine="200" w:firstLineChars="200"/>
    </w:pPr>
  </w:style>
  <w:style w:type="paragraph" w:customStyle="1" w:styleId="15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列出段落1"/>
    <w:basedOn w:val="1"/>
    <w:qFormat/>
    <w:uiPriority w:val="99"/>
    <w:pPr>
      <w:ind w:firstLine="420" w:firstLineChars="200"/>
    </w:pPr>
  </w:style>
  <w:style w:type="paragraph" w:customStyle="1" w:styleId="156">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表格文字"/>
    <w:basedOn w:val="1"/>
    <w:qFormat/>
    <w:uiPriority w:val="0"/>
    <w:pPr>
      <w:adjustRightInd w:val="0"/>
      <w:spacing w:line="420" w:lineRule="atLeast"/>
      <w:jc w:val="left"/>
      <w:textAlignment w:val="baseline"/>
    </w:pPr>
    <w:rPr>
      <w:kern w:val="0"/>
      <w:szCs w:val="20"/>
    </w:rPr>
  </w:style>
  <w:style w:type="paragraph" w:customStyle="1" w:styleId="158">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9">
    <w:name w:val="样式2"/>
    <w:basedOn w:val="6"/>
    <w:qFormat/>
    <w:uiPriority w:val="0"/>
  </w:style>
  <w:style w:type="character" w:customStyle="1" w:styleId="160">
    <w:name w:val="after"/>
    <w:basedOn w:val="46"/>
    <w:qFormat/>
    <w:uiPriority w:val="0"/>
    <w:rPr>
      <w:bdr w:val="dashed" w:color="auto" w:sz="48" w:space="0"/>
    </w:rPr>
  </w:style>
  <w:style w:type="character" w:customStyle="1" w:styleId="161">
    <w:name w:val="before"/>
    <w:basedOn w:val="46"/>
    <w:qFormat/>
    <w:uiPriority w:val="0"/>
    <w:rPr>
      <w:bdr w:val="single" w:color="auto" w:sz="48" w:space="0"/>
    </w:rPr>
  </w:style>
  <w:style w:type="character" w:customStyle="1" w:styleId="162">
    <w:name w:val="hover48"/>
    <w:basedOn w:val="46"/>
    <w:qFormat/>
    <w:uiPriority w:val="0"/>
    <w:rPr>
      <w:shd w:val="clear" w:color="auto" w:fill="346AC3"/>
    </w:rPr>
  </w:style>
  <w:style w:type="character" w:customStyle="1" w:styleId="163">
    <w:name w:val="hover49"/>
    <w:basedOn w:val="46"/>
    <w:qFormat/>
    <w:uiPriority w:val="0"/>
  </w:style>
  <w:style w:type="character" w:customStyle="1" w:styleId="164">
    <w:name w:val="hover50"/>
    <w:basedOn w:val="46"/>
    <w:qFormat/>
    <w:uiPriority w:val="0"/>
    <w:rPr>
      <w:color w:val="4285F4"/>
      <w:u w:val="none"/>
    </w:rPr>
  </w:style>
  <w:style w:type="character" w:customStyle="1" w:styleId="165">
    <w:name w:val="hover51"/>
    <w:basedOn w:val="46"/>
    <w:qFormat/>
    <w:uiPriority w:val="0"/>
    <w:rPr>
      <w:color w:val="4285F4"/>
    </w:rPr>
  </w:style>
  <w:style w:type="character" w:customStyle="1" w:styleId="166">
    <w:name w:val="hover52"/>
    <w:basedOn w:val="46"/>
    <w:qFormat/>
    <w:uiPriority w:val="0"/>
    <w:rPr>
      <w:color w:val="1A85D7"/>
    </w:rPr>
  </w:style>
  <w:style w:type="character" w:customStyle="1" w:styleId="167">
    <w:name w:val="credit"/>
    <w:basedOn w:val="46"/>
    <w:qFormat/>
    <w:uiPriority w:val="0"/>
    <w:rPr>
      <w:sz w:val="18"/>
      <w:szCs w:val="18"/>
    </w:rPr>
  </w:style>
  <w:style w:type="character" w:customStyle="1" w:styleId="168">
    <w:name w:val="first-child"/>
    <w:basedOn w:val="46"/>
    <w:qFormat/>
    <w:uiPriority w:val="0"/>
  </w:style>
  <w:style w:type="character" w:customStyle="1" w:styleId="169">
    <w:name w:val="font31"/>
    <w:qFormat/>
    <w:uiPriority w:val="0"/>
    <w:rPr>
      <w:rFonts w:ascii="微软雅黑" w:hAnsi="微软雅黑" w:eastAsia="微软雅黑" w:cs="微软雅黑"/>
      <w:color w:val="000000"/>
      <w:sz w:val="22"/>
      <w:szCs w:val="22"/>
      <w:u w:val="none"/>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72">
    <w:name w:val="标题 2 Char"/>
    <w:link w:val="5"/>
    <w:qFormat/>
    <w:uiPriority w:val="0"/>
    <w:rPr>
      <w:rFonts w:ascii="Arial" w:hAnsi="Arial" w:eastAsia="黑体" w:cs="Times New Roman"/>
      <w:b/>
      <w:bCs/>
      <w:sz w:val="32"/>
      <w:szCs w:val="32"/>
    </w:rPr>
  </w:style>
  <w:style w:type="paragraph" w:customStyle="1" w:styleId="173">
    <w:name w:val="BodyText"/>
    <w:basedOn w:val="1"/>
    <w:next w:val="174"/>
    <w:qFormat/>
    <w:uiPriority w:val="0"/>
    <w:pPr>
      <w:textAlignment w:val="baseline"/>
    </w:pPr>
    <w:rPr>
      <w:rFonts w:ascii="仿宋_GB2312" w:eastAsia="仿宋_GB2312"/>
      <w:sz w:val="32"/>
    </w:rPr>
  </w:style>
  <w:style w:type="paragraph" w:customStyle="1" w:styleId="174">
    <w:name w:val="BodyTextIndent"/>
    <w:basedOn w:val="1"/>
    <w:qFormat/>
    <w:uiPriority w:val="0"/>
    <w:pPr>
      <w:spacing w:line="700" w:lineRule="exact"/>
      <w:ind w:left="960"/>
      <w:textAlignment w:val="baseline"/>
    </w:pPr>
    <w:rPr>
      <w:sz w:val="44"/>
    </w:rPr>
  </w:style>
  <w:style w:type="paragraph" w:customStyle="1" w:styleId="175">
    <w:name w:val="正文（缩进）"/>
    <w:basedOn w:val="1"/>
    <w:qFormat/>
    <w:uiPriority w:val="0"/>
    <w:pPr>
      <w:spacing w:beforeLines="50" w:afterLines="50" w:line="360" w:lineRule="auto"/>
      <w:ind w:firstLine="480" w:firstLineChars="20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15407</Words>
  <Characters>16342</Characters>
  <Lines>57</Lines>
  <Paragraphs>16</Paragraphs>
  <TotalTime>1</TotalTime>
  <ScaleCrop>false</ScaleCrop>
  <LinksUpToDate>false</LinksUpToDate>
  <CharactersWithSpaces>17300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2022-09-08T02:09:00Z</dcterms:created>
  <dc:creator>陈桂兰</dc:creator>
  <cp:lastModifiedBy>♂杰♂</cp:lastModifiedBy>
  <cp:lastPrinted>2020-05-11T23:11:00Z</cp:lastPrinted>
  <dcterms:modified xsi:type="dcterms:W3CDTF">2022-12-17T01:08:27Z</dcterms:modified>
  <dc:title>项目名称：2019年重庆市取消高速公路省界收费站项目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ED1152307E304A8AB7386522AE35BA3F</vt:lpwstr>
  </property>
</Properties>
</file>