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0"/>
          <w:szCs w:val="40"/>
        </w:rPr>
      </w:pPr>
    </w:p>
    <w:p>
      <w:pPr>
        <w:jc w:val="center"/>
        <w:rPr>
          <w:rFonts w:ascii="方正小标宋_GBK" w:eastAsia="方正小标宋_GBK"/>
          <w:color w:val="auto"/>
          <w:sz w:val="40"/>
          <w:szCs w:val="40"/>
        </w:rPr>
      </w:pPr>
      <w:r>
        <w:rPr>
          <w:rFonts w:hint="eastAsia" w:ascii="方正小标宋_GBK" w:eastAsia="方正小标宋_GBK"/>
          <w:color w:val="auto"/>
          <w:sz w:val="40"/>
          <w:szCs w:val="40"/>
        </w:rPr>
        <w:t>重庆航运建设发展（集团）有限公司</w:t>
      </w:r>
    </w:p>
    <w:p>
      <w:pPr>
        <w:jc w:val="center"/>
        <w:rPr>
          <w:rFonts w:ascii="方正小标宋_GBK" w:eastAsia="方正小标宋_GBK"/>
          <w:color w:val="auto"/>
          <w:sz w:val="40"/>
          <w:szCs w:val="40"/>
        </w:rPr>
      </w:pPr>
      <w:r>
        <w:rPr>
          <w:rFonts w:hint="eastAsia" w:ascii="方正小标宋_GBK" w:eastAsia="方正小标宋_GBK"/>
          <w:color w:val="auto"/>
          <w:sz w:val="40"/>
          <w:szCs w:val="40"/>
        </w:rPr>
        <w:t>《联合调度技术研究》科研项目限价</w:t>
      </w:r>
      <w:r>
        <w:rPr>
          <w:rFonts w:hint="eastAsia" w:ascii="方正小标宋_GBK" w:eastAsia="方正小标宋_GBK"/>
          <w:color w:val="auto"/>
          <w:sz w:val="40"/>
          <w:szCs w:val="40"/>
          <w:lang w:eastAsia="zh-CN"/>
        </w:rPr>
        <w:t>报告</w:t>
      </w:r>
      <w:r>
        <w:rPr>
          <w:rFonts w:hint="eastAsia" w:ascii="方正小标宋_GBK" w:eastAsia="方正小标宋_GBK"/>
          <w:color w:val="auto"/>
          <w:sz w:val="40"/>
          <w:szCs w:val="40"/>
        </w:rPr>
        <w:t>编制</w:t>
      </w:r>
    </w:p>
    <w:p>
      <w:pPr>
        <w:jc w:val="center"/>
        <w:rPr>
          <w:rFonts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ascii="方正小标宋_GBK" w:eastAsia="方正小标宋_GBK"/>
          <w:color w:val="auto"/>
          <w:sz w:val="56"/>
          <w:szCs w:val="44"/>
        </w:rPr>
      </w:pPr>
    </w:p>
    <w:p>
      <w:pPr>
        <w:jc w:val="both"/>
        <w:rPr>
          <w:rFonts w:ascii="方正小标宋_GBK" w:eastAsia="方正小标宋_GBK"/>
          <w:color w:val="auto"/>
          <w:sz w:val="72"/>
          <w:szCs w:val="44"/>
        </w:rPr>
      </w:pPr>
      <w:r>
        <w:rPr>
          <w:rFonts w:hint="eastAsia" w:ascii="方正小标宋_GBK" w:eastAsia="方正小标宋_GBK"/>
          <w:color w:val="auto"/>
          <w:sz w:val="72"/>
          <w:szCs w:val="44"/>
          <w:lang w:val="en-US" w:eastAsia="zh-CN"/>
        </w:rPr>
        <w:t xml:space="preserve">       </w:t>
      </w:r>
      <w:r>
        <w:rPr>
          <w:rFonts w:hint="eastAsia" w:ascii="方正小标宋_GBK" w:eastAsia="方正小标宋_GBK"/>
          <w:color w:val="auto"/>
          <w:sz w:val="72"/>
          <w:szCs w:val="44"/>
        </w:rPr>
        <w:t>询价文件</w:t>
      </w:r>
    </w:p>
    <w:p>
      <w:pPr>
        <w:jc w:val="center"/>
        <w:rPr>
          <w:rFonts w:ascii="方正小标宋_GBK" w:eastAsia="方正小标宋_GBK"/>
          <w:color w:val="auto"/>
          <w:sz w:val="56"/>
          <w:szCs w:val="44"/>
        </w:rPr>
      </w:pPr>
    </w:p>
    <w:p>
      <w:pPr>
        <w:jc w:val="center"/>
        <w:rPr>
          <w:rFonts w:ascii="方正小标宋_GBK" w:eastAsia="方正小标宋_GBK"/>
          <w:color w:val="auto"/>
          <w:sz w:val="56"/>
          <w:szCs w:val="44"/>
        </w:rPr>
      </w:pPr>
    </w:p>
    <w:p>
      <w:pPr>
        <w:jc w:val="center"/>
        <w:rPr>
          <w:rFonts w:ascii="方正仿宋_GBK" w:eastAsia="方正仿宋_GBK"/>
          <w:color w:val="auto"/>
          <w:sz w:val="32"/>
          <w:szCs w:val="32"/>
        </w:rPr>
      </w:pPr>
    </w:p>
    <w:p>
      <w:pPr>
        <w:jc w:val="center"/>
        <w:rPr>
          <w:rFonts w:ascii="方正仿宋_GBK" w:eastAsia="方正仿宋_GBK"/>
          <w:color w:val="auto"/>
          <w:sz w:val="32"/>
          <w:szCs w:val="32"/>
        </w:rPr>
      </w:pPr>
    </w:p>
    <w:p>
      <w:pPr>
        <w:jc w:val="center"/>
        <w:rPr>
          <w:rFonts w:ascii="方正仿宋_GBK" w:eastAsia="方正仿宋_GBK"/>
          <w:color w:val="auto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jc w:val="center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询价单位：重庆航运建设发展（集团）有限公司</w:t>
      </w:r>
    </w:p>
    <w:p>
      <w:pPr>
        <w:jc w:val="center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2020年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color w:val="auto"/>
          <w:sz w:val="32"/>
          <w:szCs w:val="32"/>
        </w:rPr>
        <w:t>月1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color w:val="auto"/>
          <w:sz w:val="32"/>
          <w:szCs w:val="32"/>
        </w:rPr>
        <w:t>日</w:t>
      </w:r>
    </w:p>
    <w:p>
      <w:pPr>
        <w:jc w:val="center"/>
        <w:rPr>
          <w:rFonts w:ascii="方正仿宋_GBK" w:eastAsia="方正仿宋_GBK"/>
          <w:color w:val="auto"/>
          <w:sz w:val="32"/>
          <w:szCs w:val="32"/>
        </w:rPr>
      </w:pPr>
    </w:p>
    <w:p>
      <w:pPr>
        <w:pStyle w:val="2"/>
        <w:rPr>
          <w:rFonts w:hint="eastAsia"/>
          <w:color w:val="auto"/>
        </w:rPr>
      </w:pPr>
      <w:bookmarkStart w:id="0" w:name="_Toc5716900"/>
    </w:p>
    <w:p>
      <w:pPr>
        <w:pStyle w:val="2"/>
        <w:rPr>
          <w:rFonts w:hint="eastAsia"/>
          <w:color w:val="auto"/>
        </w:rPr>
      </w:pPr>
    </w:p>
    <w:p>
      <w:pPr>
        <w:pStyle w:val="2"/>
        <w:rPr>
          <w:color w:val="auto"/>
        </w:rPr>
      </w:pPr>
      <w:r>
        <w:rPr>
          <w:rFonts w:hint="eastAsia"/>
          <w:color w:val="auto"/>
        </w:rPr>
        <w:t>第一章  询价邀请书</w:t>
      </w:r>
      <w:bookmarkEnd w:id="0"/>
    </w:p>
    <w:p>
      <w:pPr>
        <w:pStyle w:val="4"/>
        <w:spacing w:line="500" w:lineRule="exact"/>
        <w:rPr>
          <w:rFonts w:hAnsi="宋体"/>
          <w:color w:val="auto"/>
          <w:szCs w:val="21"/>
        </w:rPr>
      </w:pPr>
      <w:r>
        <w:rPr>
          <w:rFonts w:hint="eastAsia" w:hAnsi="宋体"/>
          <w:color w:val="auto"/>
          <w:szCs w:val="21"/>
          <w:u w:val="single"/>
        </w:rPr>
        <w:t xml:space="preserve">                 </w:t>
      </w:r>
      <w:r>
        <w:rPr>
          <w:rFonts w:hint="eastAsia" w:hAnsi="宋体"/>
          <w:color w:val="auto"/>
          <w:szCs w:val="21"/>
        </w:rPr>
        <w:t>:</w:t>
      </w:r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/>
          <w:color w:val="auto"/>
          <w:szCs w:val="21"/>
        </w:rPr>
        <w:t xml:space="preserve">     </w:t>
      </w:r>
      <w:r>
        <w:rPr>
          <w:rFonts w:hint="eastAsia" w:ascii="方正仿宋_GBK" w:eastAsia="方正仿宋_GBK"/>
          <w:color w:val="auto"/>
          <w:sz w:val="32"/>
          <w:szCs w:val="32"/>
        </w:rPr>
        <w:t>重庆航运建设发展（集团）有限公司拟对本司</w:t>
      </w:r>
      <w:r>
        <w:rPr>
          <w:rFonts w:hint="eastAsia" w:ascii="方正仿宋_GBK" w:eastAsia="方正仿宋_GBK"/>
          <w:color w:val="auto"/>
          <w:sz w:val="32"/>
          <w:szCs w:val="44"/>
        </w:rPr>
        <w:t>《联合调度技术研究》科研项目</w:t>
      </w:r>
      <w:r>
        <w:rPr>
          <w:rFonts w:hint="eastAsia" w:ascii="方正仿宋_GBK" w:eastAsia="方正仿宋_GBK"/>
          <w:color w:val="auto"/>
          <w:sz w:val="32"/>
          <w:szCs w:val="32"/>
        </w:rPr>
        <w:t>进行限价报告编制，特向贵单位发出报价邀请，欢迎贵方参加。</w:t>
      </w:r>
    </w:p>
    <w:p>
      <w:pPr>
        <w:rPr>
          <w:rFonts w:hint="eastAsia" w:ascii="方正仿宋_GBK" w:eastAsia="方正仿宋_GBK"/>
          <w:b/>
          <w:color w:val="auto"/>
          <w:sz w:val="32"/>
          <w:szCs w:val="32"/>
        </w:rPr>
      </w:pPr>
      <w:bookmarkStart w:id="1" w:name="_Toc5716901"/>
      <w:bookmarkStart w:id="2" w:name="_Toc444604176"/>
      <w:r>
        <w:rPr>
          <w:rFonts w:hint="eastAsia" w:ascii="方正仿宋_GBK" w:eastAsia="方正仿宋_GBK"/>
          <w:color w:val="auto"/>
          <w:sz w:val="32"/>
          <w:szCs w:val="32"/>
        </w:rPr>
        <w:t xml:space="preserve"> </w:t>
      </w:r>
      <w:r>
        <w:rPr>
          <w:rFonts w:hint="eastAsia" w:ascii="方正仿宋_GBK" w:eastAsia="方正仿宋_GBK"/>
          <w:b/>
          <w:color w:val="auto"/>
          <w:sz w:val="32"/>
          <w:szCs w:val="32"/>
        </w:rPr>
        <w:t xml:space="preserve">  1.项目概况</w:t>
      </w:r>
      <w:bookmarkEnd w:id="1"/>
      <w:bookmarkEnd w:id="2"/>
    </w:p>
    <w:p>
      <w:pPr>
        <w:rPr>
          <w:rFonts w:hint="eastAsia" w:ascii="方正仿宋_GBK" w:eastAsia="方正仿宋_GBK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28"/>
          <w:u w:val="single"/>
          <w:lang w:val="en-US" w:eastAsia="zh-CN"/>
        </w:rPr>
        <w:t xml:space="preserve">  </w:t>
      </w:r>
      <w:r>
        <w:rPr>
          <w:rFonts w:hint="eastAsia"/>
          <w:b/>
          <w:color w:val="auto"/>
          <w:sz w:val="28"/>
          <w:u w:val="single"/>
          <w:lang w:eastAsia="zh-CN"/>
        </w:rPr>
        <w:t>《</w:t>
      </w:r>
      <w:r>
        <w:rPr>
          <w:rFonts w:hint="eastAsia"/>
          <w:b/>
          <w:color w:val="auto"/>
          <w:sz w:val="28"/>
          <w:u w:val="single"/>
        </w:rPr>
        <w:t xml:space="preserve">重庆重要支流航道等级提升及联合调度技术研究 </w:t>
      </w:r>
      <w:r>
        <w:rPr>
          <w:rFonts w:hint="eastAsia"/>
          <w:b/>
          <w:color w:val="auto"/>
          <w:sz w:val="28"/>
          <w:u w:val="single"/>
          <w:lang w:eastAsia="zh-CN"/>
        </w:rPr>
        <w:t>》</w:t>
      </w:r>
      <w:r>
        <w:rPr>
          <w:rFonts w:hint="eastAsia"/>
          <w:b/>
          <w:color w:val="auto"/>
          <w:sz w:val="28"/>
          <w:u w:val="single"/>
          <w:lang w:val="en-US" w:eastAsia="zh-CN"/>
        </w:rPr>
        <w:t>科研课题已经重庆市交通局批准立项，本次即将编制限价报告的是联合调度技术研究部分，具体情况如下：</w:t>
      </w:r>
    </w:p>
    <w:p>
      <w:pPr>
        <w:spacing w:line="360" w:lineRule="auto"/>
        <w:ind w:right="567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</w:t>
      </w:r>
      <w:bookmarkStart w:id="3" w:name="_Toc5716902"/>
      <w:r>
        <w:rPr>
          <w:rFonts w:hint="eastAsia"/>
          <w:b/>
          <w:bCs/>
          <w:color w:val="auto"/>
          <w:sz w:val="28"/>
          <w:szCs w:val="28"/>
        </w:rPr>
        <w:t>枢纽联合调度主要研究内容及关键技术</w:t>
      </w:r>
    </w:p>
    <w:p>
      <w:pPr>
        <w:spacing w:line="360" w:lineRule="auto"/>
        <w:ind w:right="567"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流域梯级航电枢纽联合优化调度存在时间尺度多样化、空间尺度复杂化和目标准则多元化等特征，本研究针对这三方面特征针对性的开展多时间尺度、多空间尺度和多目标准则联合优化调度理论与方法研究，主要研究内容及关键技术如下：</w:t>
      </w:r>
    </w:p>
    <w:bookmarkEnd w:id="3"/>
    <w:tbl>
      <w:tblPr>
        <w:tblStyle w:val="10"/>
        <w:tblW w:w="82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3402"/>
        <w:gridCol w:w="708"/>
        <w:gridCol w:w="8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09" w:type="dxa"/>
          </w:tcPr>
          <w:p>
            <w:pPr>
              <w:jc w:val="center"/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编号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服务项目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主要内容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单价</w:t>
            </w:r>
          </w:p>
        </w:tc>
        <w:tc>
          <w:tcPr>
            <w:tcW w:w="851" w:type="dxa"/>
          </w:tcPr>
          <w:p>
            <w:pPr>
              <w:rPr>
                <w:rFonts w:hint="eastAsia" w:ascii="方正仿宋_GBK" w:eastAsia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709" w:type="dxa"/>
          </w:tcPr>
          <w:p>
            <w:pPr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both"/>
              <w:rPr>
                <w:rFonts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  <w:t>草街航电枢纽汛限水位动态控制研究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spacing w:beforeLines="50" w:line="360" w:lineRule="auto"/>
              <w:rPr>
                <w:rFonts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汛限水位动态控制方案研究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动态汛限水位风险分析及政策建议。</w:t>
            </w:r>
          </w:p>
        </w:tc>
        <w:tc>
          <w:tcPr>
            <w:tcW w:w="708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709" w:type="dxa"/>
          </w:tcPr>
          <w:p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  <w:t>梯级航电枢纽中期联合优化调度模型研究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spacing w:beforeLines="50" w:line="360" w:lineRule="auto"/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受顶托状态下电站流量-尾水位关系研究（水力学、统计学方法）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涪江、嘉陵江、乌江水面线及水流传播规律研究（水力学方法）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3、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汛期、非汛期联合优化调度模型研究开发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708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09" w:type="dxa"/>
          </w:tcPr>
          <w:p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  <w:t>梯级航电枢纽联合优化调度方案研究</w:t>
            </w:r>
          </w:p>
        </w:tc>
        <w:tc>
          <w:tcPr>
            <w:tcW w:w="340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梯级航电枢纽调度约束定量研究</w:t>
            </w:r>
          </w:p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rPr>
                <w:rFonts w:hint="eastAsia" w:ascii="方正仿宋_GBK" w:hAnsi="仿宋" w:eastAsia="方正仿宋_GBK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单目标、多目标联合优化调度方案求解技术研究开发</w:t>
            </w:r>
            <w:r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梯级枢纽设计功能的冲突特性及协调规则研究</w:t>
            </w:r>
            <w:r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708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ascii="方正仿宋_GBK" w:eastAsia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  <w:t>电力市场条件下梯级航电枢纽联合优化调度方案研究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hint="eastAsia"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</w:rPr>
              <w:t>电力市场条件下梯级航电枢纽联合优化调度模型研究</w:t>
            </w:r>
            <w:r>
              <w:rPr>
                <w:rFonts w:hint="eastAsia"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</w:rPr>
              <w:t>电力市场条件下梯级航电枢纽联合优化调度方案研究</w:t>
            </w:r>
            <w:r>
              <w:rPr>
                <w:rFonts w:hint="eastAsia"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708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709" w:type="dxa"/>
          </w:tcPr>
          <w:p>
            <w:pPr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发表论文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8"/>
                <w:szCs w:val="28"/>
              </w:rPr>
              <w:t>篇，申请发明专利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</w:rPr>
              <w:t>项申请软件著作权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</w:rPr>
              <w:t>项</w:t>
            </w:r>
          </w:p>
        </w:tc>
        <w:tc>
          <w:tcPr>
            <w:tcW w:w="340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/>
              <w:ind w:firstLine="0" w:firstLineChars="0"/>
              <w:jc w:val="both"/>
              <w:rPr>
                <w:rFonts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8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70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</w:rPr>
              <w:t>总价</w:t>
            </w:r>
          </w:p>
        </w:tc>
        <w:tc>
          <w:tcPr>
            <w:tcW w:w="2552" w:type="dxa"/>
            <w:tcBorders>
              <w:top w:val="single" w:color="auto" w:sz="4" w:space="0"/>
            </w:tcBorders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/>
              <w:ind w:firstLine="562"/>
              <w:jc w:val="center"/>
              <w:rPr>
                <w:rFonts w:hint="eastAsia" w:ascii="方正仿宋_GBK" w:eastAsia="方正仿宋_GBK"/>
                <w:b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402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beforeLines="50" w:line="360" w:lineRule="auto"/>
              <w:rPr>
                <w:rFonts w:hint="eastAsia" w:ascii="方正仿宋_GBK" w:hAnsi="仿宋" w:eastAsia="方正仿宋_GBK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8" w:type="dxa"/>
            <w:tcBorders>
              <w:top w:val="single" w:color="auto" w:sz="4" w:space="0"/>
            </w:tcBorders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方正仿宋_GBK" w:eastAsia="方正仿宋_GBK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b w:val="0"/>
          <w:bCs/>
          <w:color w:val="auto"/>
          <w:sz w:val="32"/>
          <w:szCs w:val="32"/>
          <w:lang w:val="en-US" w:eastAsia="zh-CN"/>
        </w:rPr>
        <w:t xml:space="preserve">  限价报告编制需符合科研课题费用计算的相关规定；有类似研究的参考类似研究计价；没有的参考市场价。</w:t>
      </w:r>
    </w:p>
    <w:p>
      <w:pPr>
        <w:numPr>
          <w:ilvl w:val="0"/>
          <w:numId w:val="1"/>
        </w:numPr>
        <w:rPr>
          <w:rFonts w:hint="eastAsia" w:ascii="方正仿宋_GBK" w:eastAsia="方正仿宋_GBK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</w:rPr>
        <w:t>被询价人资格要求</w:t>
      </w:r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3.1 报价人应为：造价咨询甲级资质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或大专院校及科研机构；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color w:val="auto"/>
          <w:sz w:val="32"/>
          <w:szCs w:val="32"/>
        </w:rPr>
        <w:t>年内应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开展过相关工作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。</w:t>
      </w:r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3.2 信誉要求：具有良好的商业信誉</w:t>
      </w:r>
    </w:p>
    <w:p>
      <w:pPr>
        <w:ind w:firstLine="640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3.3 项目负责人：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应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具有教高（或教授）及以上职称。</w:t>
      </w:r>
    </w:p>
    <w:p>
      <w:pPr>
        <w:rPr>
          <w:rFonts w:ascii="方正仿宋_GBK" w:eastAsia="方正仿宋_GBK"/>
          <w:b/>
          <w:color w:val="auto"/>
          <w:sz w:val="32"/>
          <w:szCs w:val="32"/>
        </w:rPr>
      </w:pPr>
      <w:bookmarkStart w:id="4" w:name="_Toc5716904"/>
      <w:bookmarkStart w:id="5" w:name="_Toc444604179"/>
      <w:r>
        <w:rPr>
          <w:rFonts w:hint="eastAsia" w:ascii="方正仿宋_GBK" w:eastAsia="方正仿宋_GBK"/>
          <w:b/>
          <w:color w:val="auto"/>
          <w:sz w:val="32"/>
          <w:szCs w:val="32"/>
        </w:rPr>
        <w:t xml:space="preserve">   4.询价文件的获取</w:t>
      </w:r>
      <w:bookmarkEnd w:id="4"/>
    </w:p>
    <w:p>
      <w:pPr>
        <w:spacing w:before="120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4.1询价文件获取时间为：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本文件挂网之日起。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  </w:t>
      </w:r>
    </w:p>
    <w:p>
      <w:pPr>
        <w:spacing w:before="120"/>
        <w:rPr>
          <w:rFonts w:ascii="方正仿宋_GBK" w:eastAsia="方正仿宋_GBK"/>
          <w:b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4.2询价文件获取地点：</w:t>
      </w:r>
      <w:bookmarkStart w:id="6" w:name="_Toc5716905"/>
      <w:r>
        <w:rPr>
          <w:rFonts w:hint="eastAsia" w:ascii="方正仿宋_GBK" w:eastAsia="方正仿宋_GBK"/>
          <w:color w:val="auto"/>
          <w:sz w:val="32"/>
          <w:szCs w:val="32"/>
        </w:rPr>
        <w:t>重庆高速集团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官网</w:t>
      </w:r>
      <w:r>
        <w:rPr>
          <w:rFonts w:hint="eastAsia" w:ascii="方正仿宋_GBK" w:eastAsia="方正仿宋_GBK"/>
          <w:color w:val="auto"/>
          <w:sz w:val="32"/>
          <w:szCs w:val="32"/>
        </w:rPr>
        <w:t>，网址：</w:t>
      </w:r>
      <w:r>
        <w:rPr>
          <w:rFonts w:hint="eastAsia" w:ascii="方正仿宋_GBK" w:eastAsia="方正仿宋_GBK"/>
          <w:b/>
          <w:color w:val="auto"/>
          <w:sz w:val="32"/>
          <w:szCs w:val="32"/>
        </w:rPr>
        <w:t xml:space="preserve"> http://www.cegc.com.cn/gw</w:t>
      </w:r>
    </w:p>
    <w:p>
      <w:pPr>
        <w:spacing w:before="120"/>
        <w:rPr>
          <w:rFonts w:ascii="方正仿宋_GBK" w:eastAsia="方正仿宋_GBK"/>
          <w:b/>
          <w:color w:val="auto"/>
          <w:sz w:val="32"/>
          <w:szCs w:val="32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</w:rPr>
        <w:t xml:space="preserve">   5.</w:t>
      </w:r>
      <w:bookmarkEnd w:id="5"/>
      <w:r>
        <w:rPr>
          <w:rFonts w:hint="eastAsia" w:ascii="方正仿宋_GBK" w:eastAsia="方正仿宋_GBK"/>
          <w:b/>
          <w:color w:val="auto"/>
          <w:sz w:val="32"/>
          <w:szCs w:val="32"/>
        </w:rPr>
        <w:t>报价文件递交时间、方式</w:t>
      </w:r>
      <w:bookmarkEnd w:id="6"/>
    </w:p>
    <w:p>
      <w:pPr>
        <w:spacing w:before="1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5.1 报价文件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暂定</w:t>
      </w:r>
      <w:bookmarkStart w:id="17" w:name="_GoBack"/>
      <w:bookmarkEnd w:id="17"/>
      <w:r>
        <w:rPr>
          <w:rFonts w:hint="eastAsia" w:ascii="方正仿宋_GBK" w:eastAsia="方正仿宋_GBK"/>
          <w:color w:val="auto"/>
          <w:sz w:val="32"/>
          <w:szCs w:val="32"/>
        </w:rPr>
        <w:t>递交截止时间：2020年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color w:val="auto"/>
          <w:sz w:val="32"/>
          <w:szCs w:val="32"/>
        </w:rPr>
        <w:t>月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26</w:t>
      </w:r>
      <w:r>
        <w:rPr>
          <w:rFonts w:hint="eastAsia" w:ascii="方正仿宋_GBK" w:eastAsia="方正仿宋_GBK"/>
          <w:color w:val="auto"/>
          <w:sz w:val="32"/>
          <w:szCs w:val="32"/>
        </w:rPr>
        <w:t>日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下午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16:00截止。若挂网时间不足3日，截止时期相应顺延。</w:t>
      </w:r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 5.2 报价文件递交地点：重庆航运建设发展（集团）有限公司科技环保部 (重庆市北部新区高新园星光大道76号天王星商务大厦B座22楼)。</w:t>
      </w:r>
    </w:p>
    <w:p>
      <w:pPr>
        <w:ind w:firstLine="640"/>
        <w:rPr>
          <w:rFonts w:hint="eastAsia" w:ascii="方正仿宋_GBK" w:eastAsia="方正仿宋_GBK"/>
          <w:color w:val="auto"/>
          <w:sz w:val="32"/>
          <w:szCs w:val="32"/>
        </w:rPr>
      </w:pPr>
      <w:bookmarkStart w:id="7" w:name="_Toc444604180"/>
      <w:r>
        <w:rPr>
          <w:rFonts w:hint="eastAsia" w:ascii="方正仿宋_GBK" w:eastAsia="方正仿宋_GBK"/>
          <w:color w:val="auto"/>
          <w:sz w:val="32"/>
          <w:szCs w:val="32"/>
        </w:rPr>
        <w:t>5.3 逾期送达或者不进行密封的报价文件，将被拒收。</w:t>
      </w:r>
    </w:p>
    <w:p>
      <w:pPr>
        <w:ind w:firstLine="640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5.4限价报告编制时间：</w:t>
      </w:r>
      <w:r>
        <w:rPr>
          <w:rFonts w:hint="eastAsia" w:ascii="方正仿宋_GBK" w:eastAsia="方正仿宋_GBK"/>
          <w:color w:val="auto"/>
          <w:sz w:val="32"/>
          <w:szCs w:val="32"/>
        </w:rPr>
        <w:t>报价文件递交截止时间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起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5个工作日。</w:t>
      </w:r>
    </w:p>
    <w:p>
      <w:pPr>
        <w:rPr>
          <w:rFonts w:ascii="方正仿宋_GBK" w:eastAsia="方正仿宋_GBK"/>
          <w:b/>
          <w:color w:val="auto"/>
          <w:sz w:val="32"/>
          <w:szCs w:val="32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</w:rPr>
        <w:t xml:space="preserve">   6.报价文件评审</w:t>
      </w:r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6.1评审工作由询价小组负责。询价小组根据询价文件规定的方法和标准独立评审。</w:t>
      </w:r>
    </w:p>
    <w:p>
      <w:pPr>
        <w:ind w:firstLine="640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6.2本次询价以符合询价要求的最低报价作为成交价。</w:t>
      </w:r>
    </w:p>
    <w:p>
      <w:pPr>
        <w:ind w:firstLine="640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6.3本次为第二次询价，若二次询价依旧不足三家，将在第一、二次参与询价的单位中进行比选确定成交候选人。</w:t>
      </w:r>
    </w:p>
    <w:p>
      <w:pPr>
        <w:rPr>
          <w:rFonts w:hint="eastAsia" w:ascii="方正仿宋_GBK" w:eastAsia="方正仿宋_GBK"/>
          <w:b/>
          <w:color w:val="auto"/>
          <w:sz w:val="32"/>
          <w:szCs w:val="32"/>
        </w:rPr>
      </w:pPr>
      <w:bookmarkStart w:id="8" w:name="_Toc5716906"/>
      <w:r>
        <w:rPr>
          <w:rFonts w:hint="eastAsia" w:ascii="方正仿宋_GBK" w:eastAsia="方正仿宋_GBK"/>
          <w:color w:val="auto"/>
          <w:sz w:val="32"/>
          <w:szCs w:val="32"/>
        </w:rPr>
        <w:t xml:space="preserve">   </w:t>
      </w:r>
      <w:r>
        <w:rPr>
          <w:rFonts w:hint="eastAsia" w:ascii="方正仿宋_GBK" w:eastAsia="方正仿宋_GBK"/>
          <w:b/>
          <w:color w:val="auto"/>
          <w:sz w:val="32"/>
          <w:szCs w:val="32"/>
        </w:rPr>
        <w:t>7.</w:t>
      </w:r>
      <w:r>
        <w:rPr>
          <w:rFonts w:hint="eastAsia" w:ascii="方正仿宋_GBK" w:eastAsia="方正仿宋_GBK"/>
          <w:b/>
          <w:color w:val="auto"/>
          <w:sz w:val="32"/>
          <w:szCs w:val="32"/>
          <w:lang w:eastAsia="zh-CN"/>
        </w:rPr>
        <w:t>支付方式</w:t>
      </w:r>
    </w:p>
    <w:p>
      <w:pPr>
        <w:rPr>
          <w:rFonts w:hint="eastAsia" w:ascii="方正仿宋_GBK" w:eastAsia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eastAsia="方正仿宋_GBK"/>
          <w:b w:val="0"/>
          <w:bCs/>
          <w:color w:val="auto"/>
          <w:sz w:val="32"/>
          <w:szCs w:val="32"/>
          <w:lang w:val="en-US" w:eastAsia="zh-CN"/>
        </w:rPr>
        <w:t>本次现价报告编制完成通过甲方评审后一次性支付服务费用。</w:t>
      </w:r>
    </w:p>
    <w:p>
      <w:pPr>
        <w:rPr>
          <w:rFonts w:ascii="方正仿宋_GBK" w:eastAsia="方正仿宋_GBK"/>
          <w:b/>
          <w:color w:val="auto"/>
          <w:sz w:val="32"/>
          <w:szCs w:val="32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eastAsia="方正仿宋_GBK"/>
          <w:b/>
          <w:color w:val="auto"/>
          <w:sz w:val="32"/>
          <w:szCs w:val="32"/>
        </w:rPr>
        <w:t>联系方式</w:t>
      </w:r>
      <w:bookmarkEnd w:id="7"/>
      <w:bookmarkEnd w:id="8"/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采购人：重庆航运建设发展（集团）有限公司</w:t>
      </w:r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地址：重庆市北部新区高新园星光大道76号天王星商务大厦B座22楼</w:t>
      </w:r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联系人：陶先生</w:t>
      </w:r>
    </w:p>
    <w:p>
      <w:pPr>
        <w:rPr>
          <w:rFonts w:ascii="方正仿宋_GBK" w:eastAsia="方正仿宋_GBK"/>
          <w:color w:val="auto"/>
          <w:sz w:val="32"/>
          <w:szCs w:val="32"/>
          <w:highlight w:val="yellow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 xml:space="preserve">    电话：023-89139872    传真：023-89139872</w:t>
      </w:r>
    </w:p>
    <w:p>
      <w:pPr>
        <w:spacing w:line="360" w:lineRule="auto"/>
        <w:ind w:firstLine="420" w:firstLineChars="200"/>
        <w:rPr>
          <w:rFonts w:ascii="方正仿宋_GBK" w:hAnsi="宋体" w:eastAsia="方正仿宋_GBK"/>
          <w:color w:val="auto"/>
          <w:szCs w:val="21"/>
          <w:highlight w:val="yellow"/>
        </w:rPr>
      </w:pP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附件1：询价响应文件格式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重庆航运建设发展（集团）有限公司</w:t>
      </w:r>
    </w:p>
    <w:p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《联合调度技术研究》科研项目限价</w:t>
      </w:r>
      <w:r>
        <w:rPr>
          <w:rFonts w:hint="eastAsia" w:ascii="方正小标宋_GBK" w:eastAsia="方正小标宋_GBK"/>
          <w:color w:val="auto"/>
          <w:sz w:val="44"/>
          <w:szCs w:val="44"/>
          <w:lang w:eastAsia="zh-CN"/>
        </w:rPr>
        <w:t>报告</w:t>
      </w:r>
      <w:r>
        <w:rPr>
          <w:rFonts w:hint="eastAsia" w:ascii="方正小标宋_GBK" w:eastAsia="方正小标宋_GBK"/>
          <w:color w:val="auto"/>
          <w:sz w:val="44"/>
          <w:szCs w:val="44"/>
        </w:rPr>
        <w:t>编制</w:t>
      </w: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jc w:val="center"/>
        <w:rPr>
          <w:rFonts w:hint="eastAsia" w:ascii="仿宋_GB2312" w:hAnsi="宋体" w:eastAsia="仿宋_GB2312"/>
          <w:b/>
          <w:color w:val="auto"/>
          <w:sz w:val="72"/>
          <w:szCs w:val="72"/>
        </w:rPr>
      </w:pPr>
      <w:r>
        <w:rPr>
          <w:rFonts w:hint="eastAsia" w:ascii="仿宋_GB2312" w:hAnsi="宋体" w:eastAsia="仿宋_GB2312"/>
          <w:b/>
          <w:color w:val="auto"/>
          <w:sz w:val="72"/>
          <w:szCs w:val="72"/>
        </w:rPr>
        <w:t>询价响应文件</w:t>
      </w:r>
    </w:p>
    <w:p>
      <w:pPr>
        <w:rPr>
          <w:rFonts w:hint="eastAsia" w:ascii="仿宋_GB2312" w:hAnsi="宋体" w:eastAsia="仿宋_GB2312"/>
          <w:color w:val="auto"/>
          <w:sz w:val="24"/>
        </w:rPr>
      </w:pPr>
    </w:p>
    <w:p>
      <w:pPr>
        <w:jc w:val="left"/>
        <w:rPr>
          <w:rFonts w:hint="eastAsia" w:ascii="仿宋_GB2312" w:hAnsi="宋体" w:eastAsia="仿宋_GB2312"/>
          <w:color w:val="auto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/>
          <w:color w:val="auto"/>
          <w:sz w:val="24"/>
        </w:rPr>
      </w:pPr>
    </w:p>
    <w:p>
      <w:pPr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ind w:firstLine="560" w:firstLineChars="200"/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供应商：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（盖单位章）</w:t>
      </w:r>
    </w:p>
    <w:p>
      <w:pPr>
        <w:spacing w:line="360" w:lineRule="exact"/>
        <w:ind w:firstLine="560" w:firstLineChars="200"/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月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日</w:t>
      </w:r>
      <w:bookmarkStart w:id="9" w:name="_Toc505178058"/>
      <w:bookmarkStart w:id="10" w:name="_Toc12549984"/>
      <w:bookmarkStart w:id="11" w:name="_Toc44493692"/>
      <w:bookmarkStart w:id="12" w:name="_Toc5109303"/>
      <w:bookmarkStart w:id="13" w:name="_Toc5259111"/>
      <w:bookmarkStart w:id="14" w:name="_Toc1462181"/>
    </w:p>
    <w:p>
      <w:pPr>
        <w:spacing w:line="360" w:lineRule="exact"/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snapToGrid w:val="0"/>
          <w:color w:val="auto"/>
          <w:kern w:val="0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snapToGrid w:val="0"/>
          <w:color w:val="auto"/>
          <w:kern w:val="0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snapToGrid w:val="0"/>
          <w:color w:val="auto"/>
          <w:kern w:val="0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snapToGrid w:val="0"/>
          <w:color w:val="auto"/>
          <w:kern w:val="0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snapToGrid w:val="0"/>
          <w:color w:val="auto"/>
          <w:kern w:val="0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snapToGrid w:val="0"/>
          <w:color w:val="auto"/>
          <w:kern w:val="0"/>
          <w:sz w:val="32"/>
          <w:szCs w:val="32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32"/>
          <w:szCs w:val="32"/>
        </w:rPr>
        <w:t>1、响应报价函</w:t>
      </w:r>
      <w:bookmarkEnd w:id="9"/>
      <w:bookmarkEnd w:id="10"/>
      <w:bookmarkEnd w:id="11"/>
      <w:bookmarkEnd w:id="12"/>
      <w:bookmarkEnd w:id="13"/>
      <w:bookmarkEnd w:id="14"/>
    </w:p>
    <w:p>
      <w:pPr>
        <w:pStyle w:val="3"/>
        <w:tabs>
          <w:tab w:val="left" w:leader="dot" w:pos="480"/>
          <w:tab w:val="left" w:pos="1991"/>
        </w:tabs>
        <w:ind w:right="107"/>
        <w:rPr>
          <w:rFonts w:hint="eastAsia" w:ascii="方正仿宋_GBK" w:hAnsi="方正仿宋_GBK" w:eastAsia="方正仿宋_GBK" w:cs="方正仿宋_GBK"/>
          <w:color w:val="auto"/>
        </w:rPr>
      </w:pPr>
      <w:bookmarkStart w:id="15" w:name="_bookmark196"/>
      <w:bookmarkEnd w:id="15"/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u w:val="singl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-3"/>
          <w:u w:val="single"/>
        </w:rPr>
        <w:t>采购人名</w:t>
      </w:r>
      <w:r>
        <w:rPr>
          <w:rFonts w:hint="eastAsia" w:ascii="方正仿宋_GBK" w:hAnsi="方正仿宋_GBK" w:eastAsia="方正仿宋_GBK" w:cs="方正仿宋_GBK"/>
          <w:color w:val="auto"/>
          <w:u w:val="single"/>
        </w:rPr>
        <w:t>称）:</w:t>
      </w:r>
    </w:p>
    <w:p>
      <w:pPr>
        <w:pStyle w:val="3"/>
        <w:numPr>
          <w:ilvl w:val="0"/>
          <w:numId w:val="2"/>
        </w:numPr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-11"/>
        </w:rPr>
        <w:t>我方已仔细研究了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pacing w:val="-6"/>
          <w:u w:val="single" w:color="000000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-6"/>
        </w:rPr>
        <w:t>项目名称）项目询价采购文件的全部内容，</w:t>
      </w:r>
      <w:r>
        <w:rPr>
          <w:rFonts w:hint="eastAsia" w:ascii="方正仿宋_GBK" w:hAnsi="方正仿宋_GBK" w:eastAsia="方正仿宋_GBK" w:cs="方正仿宋_GBK"/>
          <w:color w:val="auto"/>
          <w:spacing w:val="-4"/>
        </w:rPr>
        <w:t>愿意</w:t>
      </w:r>
      <w:r>
        <w:rPr>
          <w:rFonts w:hint="eastAsia" w:ascii="方正仿宋_GBK" w:hAnsi="方正仿宋_GBK" w:eastAsia="方正仿宋_GBK" w:cs="方正仿宋_GBK"/>
          <w:color w:val="auto"/>
          <w:spacing w:val="-4"/>
          <w:lang w:eastAsia="zh-CN"/>
        </w:rPr>
        <w:t>收取</w:t>
      </w:r>
      <w:r>
        <w:rPr>
          <w:rFonts w:hint="eastAsia" w:ascii="方正仿宋_GBK" w:hAnsi="方正仿宋_GBK" w:eastAsia="方正仿宋_GBK" w:cs="方正仿宋_GBK"/>
          <w:color w:val="auto"/>
          <w:spacing w:val="-5"/>
          <w:lang w:eastAsia="zh-CN"/>
        </w:rPr>
        <w:t>服务费</w:t>
      </w:r>
      <w:r>
        <w:rPr>
          <w:rFonts w:hint="eastAsia" w:ascii="方正仿宋_GBK" w:hAnsi="方正仿宋_GBK" w:eastAsia="方正仿宋_GBK" w:cs="方正仿宋_GBK"/>
          <w:color w:val="auto"/>
          <w:spacing w:val="-4"/>
        </w:rPr>
        <w:t>人民币（大写）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pacing w:val="-1"/>
        </w:rPr>
        <w:t>（¥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pacing w:val="-5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-5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-5"/>
        </w:rPr>
        <w:t>响应</w:t>
      </w:r>
      <w:r>
        <w:rPr>
          <w:rFonts w:hint="eastAsia" w:ascii="方正仿宋_GBK" w:hAnsi="方正仿宋_GBK" w:eastAsia="方正仿宋_GBK" w:cs="方正仿宋_GBK"/>
          <w:color w:val="auto"/>
          <w:spacing w:val="-5"/>
          <w:lang w:eastAsia="zh-CN"/>
        </w:rPr>
        <w:t>本次限价报告编制</w:t>
      </w:r>
      <w:r>
        <w:rPr>
          <w:rFonts w:hint="eastAsia" w:ascii="方正仿宋_GBK" w:hAnsi="方正仿宋_GBK" w:eastAsia="方正仿宋_GBK" w:cs="方正仿宋_GBK"/>
          <w:color w:val="auto"/>
        </w:rPr>
        <w:t>。</w:t>
      </w:r>
    </w:p>
    <w:tbl>
      <w:tblPr>
        <w:tblStyle w:val="10"/>
        <w:tblW w:w="82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3402"/>
        <w:gridCol w:w="708"/>
        <w:gridCol w:w="8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0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  <w:t>编号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  <w:t>服务项目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  <w:t>主要内容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  <w:t>单价</w:t>
            </w:r>
          </w:p>
        </w:tc>
        <w:tc>
          <w:tcPr>
            <w:tcW w:w="851" w:type="dxa"/>
          </w:tcPr>
          <w:p>
            <w:pP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709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草街航电枢纽汛限水位动态控制研究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spacing w:beforeLines="50" w:line="360" w:lineRule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汛限水位动态控制方案研究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动态汛限水位风险分析及政策建议。</w:t>
            </w:r>
          </w:p>
        </w:tc>
        <w:tc>
          <w:tcPr>
            <w:tcW w:w="70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70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梯级航电枢纽中期联合优化调度模型研究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spacing w:beforeLines="50" w:line="360" w:lineRule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受顶托状态下电站流量-尾水位关系研究（水力学、统计学方法）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涪江、嘉陵江、乌江水面线及水流传播规律研究（水力学方法）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汛期、非汛期联合优化调度模型研究开发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70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0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梯级航电枢纽联合优化调度方案研究</w:t>
            </w:r>
          </w:p>
        </w:tc>
        <w:tc>
          <w:tcPr>
            <w:tcW w:w="340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梯级航电枢纽调度约束定量研究</w:t>
            </w:r>
          </w:p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单目标、多目标联合优化调度方案求解技术研究开发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梯级枢纽设计功能的冲突特性及协调规则研究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70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电力市场条件下梯级航电枢纽联合优化调度方案研究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</w:rPr>
              <w:t>电力市场条件下梯级航电枢纽联合优化调度模型研究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</w:rPr>
              <w:t>电力市场条件下梯级航电枢纽联合优化调度方案研究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70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709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发表论文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篇，申请发明专利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项，申请软件著作权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项</w:t>
            </w:r>
          </w:p>
        </w:tc>
        <w:tc>
          <w:tcPr>
            <w:tcW w:w="340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70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  <w:t>总价</w:t>
            </w:r>
          </w:p>
        </w:tc>
        <w:tc>
          <w:tcPr>
            <w:tcW w:w="2552" w:type="dxa"/>
            <w:tcBorders>
              <w:top w:val="single" w:color="auto" w:sz="4" w:space="0"/>
            </w:tcBorders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/>
              <w:ind w:firstLine="562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402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beforeLines="50" w:line="360" w:lineRule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8" w:type="dxa"/>
            <w:tcBorders>
              <w:top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</w:tbl>
    <w:p>
      <w:pPr>
        <w:pStyle w:val="3"/>
        <w:numPr>
          <w:ilvl w:val="0"/>
          <w:numId w:val="0"/>
        </w:numPr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rightChars="0"/>
        <w:rPr>
          <w:rFonts w:hint="eastAsia" w:ascii="方正仿宋_GBK" w:hAnsi="方正仿宋_GBK" w:eastAsia="方正仿宋_GBK" w:cs="方正仿宋_GBK"/>
          <w:color w:val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</w:rPr>
        <w:t>《联合调度技术研究》科研项目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建议最高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限价为：人民币</w:t>
      </w:r>
      <w:r>
        <w:rPr>
          <w:rFonts w:hint="eastAsia" w:ascii="方正仿宋_GBK" w:hAnsi="方正仿宋_GBK" w:eastAsia="方正仿宋_GBK" w:cs="方正仿宋_GBK"/>
          <w:color w:val="auto"/>
          <w:u w:val="single"/>
          <w:lang w:val="en-US" w:eastAsia="zh-CN"/>
        </w:rPr>
        <w:t xml:space="preserve">      万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元（大写</w:t>
      </w:r>
      <w:r>
        <w:rPr>
          <w:rFonts w:hint="eastAsia" w:ascii="方正仿宋_GBK" w:hAnsi="方正仿宋_GBK" w:eastAsia="方正仿宋_GBK" w:cs="方正仿宋_GBK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）</w:t>
      </w:r>
    </w:p>
    <w:p>
      <w:pPr>
        <w:pStyle w:val="3"/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  <w:spacing w:val="-67"/>
        </w:rPr>
      </w:pPr>
      <w:r>
        <w:rPr>
          <w:rFonts w:hint="eastAsia" w:ascii="方正仿宋_GBK" w:hAnsi="方正仿宋_GBK" w:eastAsia="方正仿宋_GBK" w:cs="方正仿宋_GBK"/>
          <w:color w:val="auto"/>
        </w:rPr>
        <w:t>2．我方已详细阅读全部询价采购文件，包括澄清或者修改文件。</w:t>
      </w:r>
    </w:p>
    <w:p>
      <w:pPr>
        <w:pStyle w:val="3"/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3．如我方成为成交供应商，我方承诺：</w:t>
      </w:r>
    </w:p>
    <w:p>
      <w:pPr>
        <w:pStyle w:val="3"/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（1）在收到成交通知书后，在成交通知书规定的期限内与你方签订合同；</w:t>
      </w:r>
    </w:p>
    <w:p>
      <w:pPr>
        <w:pStyle w:val="3"/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（2）在签订合同时不向你方提出附加条件；</w:t>
      </w:r>
    </w:p>
    <w:p>
      <w:pPr>
        <w:pStyle w:val="3"/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（3）在合同约定的期限内完成合同规定的全部义务。</w:t>
      </w:r>
    </w:p>
    <w:p>
      <w:pPr>
        <w:pStyle w:val="3"/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-4"/>
        </w:rPr>
        <w:t>4．</w:t>
      </w:r>
      <w:r>
        <w:rPr>
          <w:rFonts w:hint="eastAsia" w:ascii="方正仿宋_GBK" w:hAnsi="方正仿宋_GBK" w:eastAsia="方正仿宋_GBK" w:cs="方正仿宋_GBK"/>
          <w:color w:val="auto"/>
        </w:rPr>
        <w:t>我方</w:t>
      </w:r>
      <w:r>
        <w:rPr>
          <w:rFonts w:hint="eastAsia" w:ascii="方正仿宋_GBK" w:hAnsi="方正仿宋_GBK" w:eastAsia="方正仿宋_GBK" w:cs="方正仿宋_GBK"/>
          <w:color w:val="auto"/>
          <w:spacing w:val="-4"/>
        </w:rPr>
        <w:t>在此声明，所递交的响应文件及有关资料内容完整、真实和准确</w:t>
      </w:r>
      <w:r>
        <w:rPr>
          <w:rFonts w:hint="eastAsia" w:ascii="方正仿宋_GBK" w:hAnsi="方正仿宋_GBK" w:eastAsia="方正仿宋_GBK" w:cs="方正仿宋_GBK"/>
          <w:color w:val="auto"/>
        </w:rPr>
        <w:t>。</w:t>
      </w:r>
    </w:p>
    <w:p>
      <w:pPr>
        <w:pStyle w:val="3"/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5．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auto"/>
        </w:rPr>
        <w:t>（其</w:t>
      </w:r>
      <w:r>
        <w:rPr>
          <w:rFonts w:hint="eastAsia" w:ascii="方正仿宋_GBK" w:hAnsi="方正仿宋_GBK" w:eastAsia="方正仿宋_GBK" w:cs="方正仿宋_GBK"/>
          <w:color w:val="auto"/>
          <w:spacing w:val="-3"/>
        </w:rPr>
        <w:t>他</w:t>
      </w:r>
      <w:r>
        <w:rPr>
          <w:rFonts w:hint="eastAsia" w:ascii="方正仿宋_GBK" w:hAnsi="方正仿宋_GBK" w:eastAsia="方正仿宋_GBK" w:cs="方正仿宋_GBK"/>
          <w:color w:val="auto"/>
        </w:rPr>
        <w:t>补</w:t>
      </w:r>
      <w:r>
        <w:rPr>
          <w:rFonts w:hint="eastAsia" w:ascii="方正仿宋_GBK" w:hAnsi="方正仿宋_GBK" w:eastAsia="方正仿宋_GBK" w:cs="方正仿宋_GBK"/>
          <w:color w:val="auto"/>
          <w:spacing w:val="-3"/>
        </w:rPr>
        <w:t>充</w:t>
      </w:r>
      <w:r>
        <w:rPr>
          <w:rFonts w:hint="eastAsia" w:ascii="方正仿宋_GBK" w:hAnsi="方正仿宋_GBK" w:eastAsia="方正仿宋_GBK" w:cs="方正仿宋_GBK"/>
          <w:color w:val="auto"/>
        </w:rPr>
        <w:t>说</w:t>
      </w:r>
      <w:r>
        <w:rPr>
          <w:rFonts w:hint="eastAsia" w:ascii="方正仿宋_GBK" w:hAnsi="方正仿宋_GBK" w:eastAsia="方正仿宋_GBK" w:cs="方正仿宋_GBK"/>
          <w:color w:val="auto"/>
          <w:spacing w:val="-3"/>
        </w:rPr>
        <w:t>明</w:t>
      </w:r>
      <w:r>
        <w:rPr>
          <w:rFonts w:hint="eastAsia" w:ascii="方正仿宋_GBK" w:hAnsi="方正仿宋_GBK" w:eastAsia="方正仿宋_GBK" w:cs="方正仿宋_GBK"/>
          <w:color w:val="auto"/>
          <w:spacing w:val="-106"/>
        </w:rPr>
        <w:t>）</w:t>
      </w:r>
      <w:r>
        <w:rPr>
          <w:rFonts w:hint="eastAsia" w:ascii="方正仿宋_GBK" w:hAnsi="方正仿宋_GBK" w:eastAsia="方正仿宋_GBK" w:cs="方正仿宋_GBK"/>
          <w:color w:val="auto"/>
        </w:rPr>
        <w:t>。</w:t>
      </w:r>
    </w:p>
    <w:p>
      <w:pPr>
        <w:pStyle w:val="3"/>
        <w:tabs>
          <w:tab w:val="left" w:leader="dot" w:pos="480"/>
          <w:tab w:val="left" w:pos="7241"/>
        </w:tabs>
        <w:spacing w:before="36"/>
        <w:ind w:right="107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供应商：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color w:val="auto"/>
        </w:rPr>
        <w:t>（盖单位章）</w:t>
      </w:r>
    </w:p>
    <w:p>
      <w:pPr>
        <w:pStyle w:val="3"/>
        <w:tabs>
          <w:tab w:val="left" w:leader="dot" w:pos="480"/>
          <w:tab w:val="left" w:pos="6381"/>
        </w:tabs>
        <w:spacing w:before="48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-2"/>
        </w:rPr>
        <w:t>法定代表人或其委托代理人：</w:t>
      </w:r>
      <w:r>
        <w:rPr>
          <w:rFonts w:hint="eastAsia" w:ascii="方正仿宋_GBK" w:hAnsi="方正仿宋_GBK" w:eastAsia="方正仿宋_GBK" w:cs="方正仿宋_GBK"/>
          <w:color w:val="auto"/>
          <w:spacing w:val="-2"/>
          <w:u w:val="single" w:color="000000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pacing w:val="-1"/>
        </w:rPr>
        <w:t>（签字）</w:t>
      </w:r>
    </w:p>
    <w:p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地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址：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</w:p>
    <w:p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址：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</w:p>
    <w:p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电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话：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</w:p>
    <w:p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传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真：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</w:p>
    <w:p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邮政编码：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</w:p>
    <w:p>
      <w:pPr>
        <w:pStyle w:val="3"/>
        <w:tabs>
          <w:tab w:val="left" w:leader="dot" w:pos="480"/>
          <w:tab w:val="left" w:pos="631"/>
          <w:tab w:val="left" w:pos="1471"/>
          <w:tab w:val="left" w:pos="2311"/>
        </w:tabs>
        <w:wordWrap w:val="0"/>
        <w:spacing w:before="36"/>
        <w:ind w:right="117"/>
        <w:jc w:val="right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ab/>
      </w:r>
      <w:r>
        <w:rPr>
          <w:rFonts w:hint="eastAsia" w:ascii="方正仿宋_GBK" w:hAnsi="方正仿宋_GBK" w:eastAsia="方正仿宋_GBK" w:cs="方正仿宋_GBK"/>
          <w:color w:val="auto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ab/>
      </w:r>
      <w:r>
        <w:rPr>
          <w:rFonts w:hint="eastAsia" w:ascii="方正仿宋_GBK" w:hAnsi="方正仿宋_GBK" w:eastAsia="方正仿宋_GBK" w:cs="方正仿宋_GBK"/>
          <w:color w:val="auto"/>
        </w:rPr>
        <w:t>日</w:t>
      </w:r>
    </w:p>
    <w:p>
      <w:pPr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br w:type="page"/>
      </w:r>
      <w:r>
        <w:rPr>
          <w:rFonts w:hint="eastAsia" w:ascii="仿宋_GB2312" w:hAnsi="宋体" w:eastAsia="仿宋_GB2312"/>
          <w:color w:val="auto"/>
          <w:sz w:val="28"/>
          <w:szCs w:val="28"/>
        </w:rPr>
        <w:t>2.营业执照</w:t>
      </w:r>
    </w:p>
    <w:p>
      <w:pPr>
        <w:jc w:val="center"/>
        <w:rPr>
          <w:rFonts w:hint="eastAsia" w:ascii="仿宋_GB2312" w:hAnsi="宋体" w:eastAsia="仿宋_GB2312"/>
          <w:color w:val="auto"/>
          <w:szCs w:val="21"/>
        </w:rPr>
      </w:pPr>
      <w:r>
        <w:rPr>
          <w:rFonts w:hint="eastAsia" w:ascii="仿宋_GB2312" w:hAnsi="宋体" w:eastAsia="仿宋_GB2312"/>
          <w:color w:val="auto"/>
          <w:szCs w:val="21"/>
        </w:rPr>
        <w:t>（附营业执照副本复印件）</w:t>
      </w:r>
    </w:p>
    <w:p>
      <w:pPr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br w:type="page"/>
      </w:r>
      <w:r>
        <w:rPr>
          <w:rFonts w:hint="eastAsia" w:ascii="仿宋_GB2312" w:hAnsi="宋体" w:eastAsia="仿宋_GB2312"/>
          <w:color w:val="auto"/>
          <w:sz w:val="28"/>
          <w:szCs w:val="28"/>
        </w:rPr>
        <w:t>3.项目负责人</w:t>
      </w:r>
    </w:p>
    <w:p>
      <w:pPr>
        <w:jc w:val="center"/>
        <w:rPr>
          <w:rFonts w:hint="eastAsia" w:ascii="仿宋_GB2312" w:hAnsi="宋体" w:eastAsia="仿宋_GB2312"/>
          <w:color w:val="auto"/>
          <w:szCs w:val="21"/>
        </w:rPr>
      </w:pPr>
      <w:r>
        <w:rPr>
          <w:rFonts w:hint="eastAsia" w:ascii="仿宋_GB2312" w:hAnsi="宋体" w:eastAsia="仿宋_GB2312"/>
          <w:color w:val="auto"/>
          <w:szCs w:val="21"/>
        </w:rPr>
        <w:t>（附项目负责人职称证书复印件）</w:t>
      </w:r>
    </w:p>
    <w:p>
      <w:pPr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Cs w:val="21"/>
        </w:rPr>
        <w:br w:type="page"/>
      </w:r>
      <w:r>
        <w:rPr>
          <w:rFonts w:hint="eastAsia" w:ascii="仿宋_GB2312" w:hAnsi="宋体" w:eastAsia="仿宋_GB2312"/>
          <w:color w:val="auto"/>
          <w:sz w:val="28"/>
          <w:szCs w:val="28"/>
        </w:rPr>
        <w:t>4.其他资料</w:t>
      </w:r>
    </w:p>
    <w:p>
      <w:pPr>
        <w:jc w:val="center"/>
        <w:rPr>
          <w:rFonts w:hint="eastAsia" w:ascii="仿宋_GB2312" w:hAnsi="宋体" w:eastAsia="仿宋_GB2312"/>
          <w:color w:val="auto"/>
          <w:szCs w:val="21"/>
        </w:rPr>
      </w:pPr>
      <w:r>
        <w:rPr>
          <w:rFonts w:hint="eastAsia" w:ascii="仿宋_GB2312" w:hAnsi="宋体" w:eastAsia="仿宋_GB2312"/>
          <w:color w:val="auto"/>
          <w:szCs w:val="21"/>
        </w:rPr>
        <w:t>（供应商认为有必要的其他资料）</w:t>
      </w:r>
      <w:bookmarkStart w:id="16" w:name="_bookmark178"/>
      <w:bookmarkEnd w:id="16"/>
    </w:p>
    <w:p>
      <w:pPr>
        <w:rPr>
          <w:rFonts w:ascii="方正仿宋_GBK" w:eastAsia="方正仿宋_GBK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yriad Pro Light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FC05B"/>
    <w:multiLevelType w:val="singleLevel"/>
    <w:tmpl w:val="5F9FC05B"/>
    <w:lvl w:ilvl="0" w:tentative="0">
      <w:start w:val="3"/>
      <w:numFmt w:val="decimal"/>
      <w:suff w:val="nothing"/>
      <w:lvlText w:val="%1."/>
      <w:lvlJc w:val="left"/>
    </w:lvl>
  </w:abstractNum>
  <w:abstractNum w:abstractNumId="1">
    <w:nsid w:val="5F9FC451"/>
    <w:multiLevelType w:val="singleLevel"/>
    <w:tmpl w:val="5F9FC451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6A"/>
    <w:rsid w:val="00031458"/>
    <w:rsid w:val="00054B5F"/>
    <w:rsid w:val="00060E96"/>
    <w:rsid w:val="00061BA4"/>
    <w:rsid w:val="00072624"/>
    <w:rsid w:val="000829EA"/>
    <w:rsid w:val="00087559"/>
    <w:rsid w:val="000A1C96"/>
    <w:rsid w:val="000C336A"/>
    <w:rsid w:val="000C380E"/>
    <w:rsid w:val="000C7BBD"/>
    <w:rsid w:val="000D0434"/>
    <w:rsid w:val="00114AE6"/>
    <w:rsid w:val="00117843"/>
    <w:rsid w:val="00124469"/>
    <w:rsid w:val="00145AE0"/>
    <w:rsid w:val="00175DEA"/>
    <w:rsid w:val="00190F4A"/>
    <w:rsid w:val="002227D3"/>
    <w:rsid w:val="00224F96"/>
    <w:rsid w:val="002251CA"/>
    <w:rsid w:val="00275420"/>
    <w:rsid w:val="00293AB3"/>
    <w:rsid w:val="002A2364"/>
    <w:rsid w:val="002A3E12"/>
    <w:rsid w:val="002C5323"/>
    <w:rsid w:val="002D5FA1"/>
    <w:rsid w:val="00303069"/>
    <w:rsid w:val="00321D8F"/>
    <w:rsid w:val="00362986"/>
    <w:rsid w:val="00377DAF"/>
    <w:rsid w:val="003A1FB7"/>
    <w:rsid w:val="003B1719"/>
    <w:rsid w:val="003B2972"/>
    <w:rsid w:val="003C394E"/>
    <w:rsid w:val="003E25A8"/>
    <w:rsid w:val="00430868"/>
    <w:rsid w:val="00436BAE"/>
    <w:rsid w:val="00453402"/>
    <w:rsid w:val="004536DA"/>
    <w:rsid w:val="00454A39"/>
    <w:rsid w:val="0047111E"/>
    <w:rsid w:val="00481C22"/>
    <w:rsid w:val="004822B7"/>
    <w:rsid w:val="00496FF9"/>
    <w:rsid w:val="004A5967"/>
    <w:rsid w:val="004B3BE5"/>
    <w:rsid w:val="004B3F1D"/>
    <w:rsid w:val="004D39F6"/>
    <w:rsid w:val="004F19C5"/>
    <w:rsid w:val="004F2161"/>
    <w:rsid w:val="00544F2C"/>
    <w:rsid w:val="005453CA"/>
    <w:rsid w:val="00550042"/>
    <w:rsid w:val="005625B3"/>
    <w:rsid w:val="00562D5B"/>
    <w:rsid w:val="005649E6"/>
    <w:rsid w:val="00590FDB"/>
    <w:rsid w:val="005A4547"/>
    <w:rsid w:val="00614751"/>
    <w:rsid w:val="00662760"/>
    <w:rsid w:val="006642AD"/>
    <w:rsid w:val="00690D65"/>
    <w:rsid w:val="006A00E9"/>
    <w:rsid w:val="006C4E12"/>
    <w:rsid w:val="006C5ED4"/>
    <w:rsid w:val="0070651B"/>
    <w:rsid w:val="0071272D"/>
    <w:rsid w:val="00750B4C"/>
    <w:rsid w:val="0075332C"/>
    <w:rsid w:val="007705DD"/>
    <w:rsid w:val="00793600"/>
    <w:rsid w:val="007A4883"/>
    <w:rsid w:val="007B0643"/>
    <w:rsid w:val="007B5D75"/>
    <w:rsid w:val="0084351C"/>
    <w:rsid w:val="008573AE"/>
    <w:rsid w:val="00880C87"/>
    <w:rsid w:val="008A666A"/>
    <w:rsid w:val="008B5509"/>
    <w:rsid w:val="008C3842"/>
    <w:rsid w:val="009428A8"/>
    <w:rsid w:val="00954F3E"/>
    <w:rsid w:val="009672F7"/>
    <w:rsid w:val="00974F94"/>
    <w:rsid w:val="00977F4B"/>
    <w:rsid w:val="009A0CA0"/>
    <w:rsid w:val="009F653D"/>
    <w:rsid w:val="00A305BE"/>
    <w:rsid w:val="00A36ED3"/>
    <w:rsid w:val="00A93218"/>
    <w:rsid w:val="00AA2601"/>
    <w:rsid w:val="00AC691C"/>
    <w:rsid w:val="00AD7F34"/>
    <w:rsid w:val="00AE5BFB"/>
    <w:rsid w:val="00AF1817"/>
    <w:rsid w:val="00B042A7"/>
    <w:rsid w:val="00B10021"/>
    <w:rsid w:val="00B26B9D"/>
    <w:rsid w:val="00B4658F"/>
    <w:rsid w:val="00B518C7"/>
    <w:rsid w:val="00B52947"/>
    <w:rsid w:val="00B559F3"/>
    <w:rsid w:val="00B61E52"/>
    <w:rsid w:val="00B675F1"/>
    <w:rsid w:val="00B8003E"/>
    <w:rsid w:val="00B93C4B"/>
    <w:rsid w:val="00B97937"/>
    <w:rsid w:val="00BE420A"/>
    <w:rsid w:val="00BE5946"/>
    <w:rsid w:val="00BF06FC"/>
    <w:rsid w:val="00C224AB"/>
    <w:rsid w:val="00C31858"/>
    <w:rsid w:val="00C67061"/>
    <w:rsid w:val="00C7096B"/>
    <w:rsid w:val="00C850F1"/>
    <w:rsid w:val="00CB2622"/>
    <w:rsid w:val="00CB4DB6"/>
    <w:rsid w:val="00CC1756"/>
    <w:rsid w:val="00CE071A"/>
    <w:rsid w:val="00CF1445"/>
    <w:rsid w:val="00D06FB5"/>
    <w:rsid w:val="00D418D8"/>
    <w:rsid w:val="00D57E02"/>
    <w:rsid w:val="00D67647"/>
    <w:rsid w:val="00D75BD4"/>
    <w:rsid w:val="00D87641"/>
    <w:rsid w:val="00DB77F2"/>
    <w:rsid w:val="00DD20BA"/>
    <w:rsid w:val="00DD7531"/>
    <w:rsid w:val="00E00CE8"/>
    <w:rsid w:val="00E0175A"/>
    <w:rsid w:val="00E033D2"/>
    <w:rsid w:val="00E06AC8"/>
    <w:rsid w:val="00E15F6D"/>
    <w:rsid w:val="00E16A01"/>
    <w:rsid w:val="00E22F73"/>
    <w:rsid w:val="00E56263"/>
    <w:rsid w:val="00E80DE1"/>
    <w:rsid w:val="00EA24B8"/>
    <w:rsid w:val="00ED4FFD"/>
    <w:rsid w:val="00F00C1D"/>
    <w:rsid w:val="00F15397"/>
    <w:rsid w:val="00F42043"/>
    <w:rsid w:val="00F52A7E"/>
    <w:rsid w:val="00F602D0"/>
    <w:rsid w:val="00F60B03"/>
    <w:rsid w:val="00FB6AC0"/>
    <w:rsid w:val="00FC7963"/>
    <w:rsid w:val="00FC7B9A"/>
    <w:rsid w:val="00FE12C4"/>
    <w:rsid w:val="00FF4926"/>
    <w:rsid w:val="00FF7C94"/>
    <w:rsid w:val="09AA7284"/>
    <w:rsid w:val="0B0B2640"/>
    <w:rsid w:val="12B46342"/>
    <w:rsid w:val="13F04242"/>
    <w:rsid w:val="19730191"/>
    <w:rsid w:val="19F94061"/>
    <w:rsid w:val="1EA25F6C"/>
    <w:rsid w:val="2D53180D"/>
    <w:rsid w:val="2E4F4730"/>
    <w:rsid w:val="2E7B1B61"/>
    <w:rsid w:val="2E9D0A8D"/>
    <w:rsid w:val="2F370DA2"/>
    <w:rsid w:val="34D2456D"/>
    <w:rsid w:val="350D602A"/>
    <w:rsid w:val="35FA76FF"/>
    <w:rsid w:val="38E070DD"/>
    <w:rsid w:val="3DA258DE"/>
    <w:rsid w:val="42A97C2F"/>
    <w:rsid w:val="456B12C2"/>
    <w:rsid w:val="48E05895"/>
    <w:rsid w:val="49FF3A3A"/>
    <w:rsid w:val="4A075A12"/>
    <w:rsid w:val="4D7679C3"/>
    <w:rsid w:val="4F6D4120"/>
    <w:rsid w:val="509A5300"/>
    <w:rsid w:val="5C303CB1"/>
    <w:rsid w:val="5C6C0942"/>
    <w:rsid w:val="5E3D75F3"/>
    <w:rsid w:val="69532BDE"/>
    <w:rsid w:val="6F347384"/>
    <w:rsid w:val="70E13178"/>
    <w:rsid w:val="7EFC02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360" w:lineRule="auto"/>
      <w:jc w:val="center"/>
      <w:outlineLvl w:val="0"/>
    </w:pPr>
    <w:rPr>
      <w:rFonts w:ascii="Calibri" w:hAnsi="Calibri" w:eastAsia="宋体" w:cs="Times New Roman"/>
      <w:b/>
      <w:bCs/>
      <w:kern w:val="44"/>
      <w:sz w:val="32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beforeLines="50" w:after="120" w:line="360" w:lineRule="auto"/>
      <w:ind w:firstLine="200" w:firstLineChars="200"/>
      <w:jc w:val="left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Plain Text"/>
    <w:basedOn w:val="1"/>
    <w:link w:val="14"/>
    <w:unhideWhenUsed/>
    <w:qFormat/>
    <w:uiPriority w:val="0"/>
    <w:rPr>
      <w:rFonts w:ascii="宋体"/>
    </w:rPr>
  </w:style>
  <w:style w:type="paragraph" w:styleId="5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日期 Char"/>
    <w:basedOn w:val="8"/>
    <w:link w:val="5"/>
    <w:semiHidden/>
    <w:qFormat/>
    <w:uiPriority w:val="99"/>
  </w:style>
  <w:style w:type="character" w:customStyle="1" w:styleId="12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32"/>
      <w:szCs w:val="44"/>
    </w:rPr>
  </w:style>
  <w:style w:type="character" w:customStyle="1" w:styleId="13">
    <w:name w:val="纯文本 Char"/>
    <w:link w:val="4"/>
    <w:qFormat/>
    <w:locked/>
    <w:uiPriority w:val="0"/>
    <w:rPr>
      <w:rFonts w:ascii="宋体"/>
    </w:rPr>
  </w:style>
  <w:style w:type="character" w:customStyle="1" w:styleId="14">
    <w:name w:val="纯文本 Char1"/>
    <w:basedOn w:val="8"/>
    <w:link w:val="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正文文本 Char"/>
    <w:basedOn w:val="8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8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8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278</Words>
  <Characters>1591</Characters>
  <Lines>13</Lines>
  <Paragraphs>3</Paragraphs>
  <ScaleCrop>false</ScaleCrop>
  <LinksUpToDate>false</LinksUpToDate>
  <CharactersWithSpaces>1866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2020-07-10T02:32:00Z</dcterms:created>
  <dc:creator>刘君</dc:creator>
  <cp:lastModifiedBy>Administrator</cp:lastModifiedBy>
  <dcterms:modified xsi:type="dcterms:W3CDTF">2020-11-20T02:08:11Z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