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imes New Roman" w:hAnsi="Times New Roman" w:eastAsia="方正小标宋_GBK" w:cs="Times New Roman"/>
          <w:bCs/>
          <w:sz w:val="48"/>
          <w:szCs w:val="48"/>
          <w:lang w:val="zh-CN" w:eastAsia="zh-CN"/>
        </w:rPr>
      </w:pPr>
    </w:p>
    <w:p>
      <w:pPr>
        <w:autoSpaceDE w:val="0"/>
        <w:autoSpaceDN w:val="0"/>
        <w:adjustRightInd w:val="0"/>
        <w:spacing w:line="360" w:lineRule="auto"/>
        <w:jc w:val="center"/>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重庆佛耳岩港海关监管作业场所</w:t>
      </w:r>
    </w:p>
    <w:p>
      <w:pPr>
        <w:autoSpaceDE w:val="0"/>
        <w:autoSpaceDN w:val="0"/>
        <w:adjustRightInd w:val="0"/>
        <w:spacing w:line="360" w:lineRule="auto"/>
        <w:jc w:val="center"/>
        <w:rPr>
          <w:rFonts w:ascii="Times New Roman" w:hAnsi="Times New Roman" w:eastAsia="方正小标宋_GBK" w:cs="Times New Roman"/>
          <w:sz w:val="20"/>
          <w:szCs w:val="20"/>
          <w:lang w:eastAsia="zh-CN"/>
        </w:rPr>
      </w:pPr>
      <w:r>
        <w:rPr>
          <w:rFonts w:hint="eastAsia" w:ascii="方正小标宋_GBK" w:hAnsi="方正小标宋_GBK" w:eastAsia="方正小标宋_GBK" w:cs="方正小标宋_GBK"/>
          <w:sz w:val="44"/>
          <w:szCs w:val="44"/>
          <w:lang w:eastAsia="zh-CN"/>
        </w:rPr>
        <w:t>工可咨询及设计</w:t>
      </w:r>
    </w:p>
    <w:p>
      <w:pPr>
        <w:autoSpaceDE w:val="0"/>
        <w:autoSpaceDN w:val="0"/>
        <w:adjustRightInd w:val="0"/>
        <w:spacing w:line="360" w:lineRule="auto"/>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第二次</w:t>
      </w:r>
      <w:r>
        <w:rPr>
          <w:rFonts w:hint="eastAsia" w:ascii="方正小标宋_GBK" w:hAnsi="方正小标宋_GBK" w:eastAsia="方正小标宋_GBK" w:cs="方正小标宋_GBK"/>
          <w:sz w:val="44"/>
          <w:szCs w:val="44"/>
          <w:lang w:eastAsia="zh-CN"/>
        </w:rPr>
        <w:t>）</w:t>
      </w: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jc w:val="center"/>
        <w:rPr>
          <w:rFonts w:ascii="Times New Roman" w:hAnsi="Times New Roman" w:eastAsia="方正小标宋_GBK" w:cs="Times New Roman"/>
          <w:bCs/>
          <w:sz w:val="72"/>
          <w:szCs w:val="72"/>
          <w:lang w:eastAsia="zh-CN"/>
        </w:rPr>
      </w:pPr>
      <w:r>
        <w:rPr>
          <w:rFonts w:ascii="Times New Roman" w:hAnsi="Times New Roman" w:eastAsia="方正小标宋_GBK" w:cs="Times New Roman"/>
          <w:bCs/>
          <w:sz w:val="72"/>
          <w:szCs w:val="72"/>
          <w:lang w:val="zh-CN" w:eastAsia="zh-CN"/>
        </w:rPr>
        <w:t>询价文件</w:t>
      </w:r>
    </w:p>
    <w:p>
      <w:pPr>
        <w:autoSpaceDE w:val="0"/>
        <w:autoSpaceDN w:val="0"/>
        <w:adjustRightInd w:val="0"/>
        <w:spacing w:line="360" w:lineRule="auto"/>
        <w:rPr>
          <w:rFonts w:ascii="Times New Roman" w:hAnsi="Times New Roman" w:cs="Times New Roman" w:eastAsiaTheme="minorEastAsia"/>
          <w:sz w:val="24"/>
          <w:szCs w:val="24"/>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jc w:val="center"/>
        <w:rPr>
          <w:rFonts w:ascii="Times New Roman" w:hAnsi="Times New Roman" w:eastAsia="方正小标宋_GBK" w:cs="Times New Roman"/>
          <w:sz w:val="36"/>
          <w:szCs w:val="36"/>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val="zh-CN" w:eastAsia="zh-CN"/>
              </w:rPr>
            </w:pPr>
          </w:p>
        </w:tc>
        <w:tc>
          <w:tcPr>
            <w:tcW w:w="654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val="zh-CN" w:eastAsia="zh-CN"/>
              </w:rPr>
            </w:pPr>
            <w:r>
              <w:rPr>
                <w:rFonts w:ascii="Times New Roman" w:hAnsi="Times New Roman" w:eastAsia="方正小标宋_GBK" w:cs="Times New Roman"/>
                <w:bCs/>
                <w:sz w:val="32"/>
                <w:szCs w:val="32"/>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val="zh-CN" w:eastAsia="zh-CN"/>
              </w:rPr>
            </w:pPr>
            <w:r>
              <w:rPr>
                <w:rFonts w:hint="eastAsia" w:ascii="Times New Roman" w:hAnsi="Times New Roman" w:eastAsia="方正小标宋_GBK" w:cs="Times New Roman"/>
                <w:bCs/>
                <w:sz w:val="32"/>
                <w:szCs w:val="32"/>
                <w:lang w:eastAsia="zh-CN"/>
              </w:rPr>
              <w:t>重庆航运建设发展（集团）有限公司</w:t>
            </w:r>
          </w:p>
        </w:tc>
      </w:tr>
    </w:tbl>
    <w:p>
      <w:pPr>
        <w:autoSpaceDE w:val="0"/>
        <w:autoSpaceDN w:val="0"/>
        <w:adjustRightInd w:val="0"/>
        <w:spacing w:line="360" w:lineRule="auto"/>
        <w:ind w:firstLine="1280" w:firstLineChars="400"/>
        <w:rPr>
          <w:rFonts w:ascii="Times New Roman" w:hAnsi="Times New Roman" w:eastAsia="方正小标宋_GBK" w:cs="Times New Roman"/>
          <w:bCs/>
          <w:sz w:val="32"/>
          <w:szCs w:val="32"/>
          <w:lang w:val="zh-CN" w:eastAsia="zh-CN"/>
        </w:rPr>
      </w:pPr>
    </w:p>
    <w:p>
      <w:pPr>
        <w:autoSpaceDE w:val="0"/>
        <w:autoSpaceDN w:val="0"/>
        <w:adjustRightInd w:val="0"/>
        <w:jc w:val="center"/>
        <w:rPr>
          <w:rFonts w:ascii="Times New Roman" w:hAnsi="Times New Roman" w:eastAsia="方正小标宋_GBK" w:cs="Times New Roman"/>
          <w:bCs/>
          <w:sz w:val="32"/>
          <w:szCs w:val="32"/>
          <w:lang w:val="zh-CN" w:eastAsia="zh-CN"/>
        </w:rPr>
        <w:sectPr>
          <w:headerReference r:id="rId5" w:type="first"/>
          <w:footerReference r:id="rId8" w:type="first"/>
          <w:headerReference r:id="rId3" w:type="default"/>
          <w:footerReference r:id="rId6" w:type="default"/>
          <w:headerReference r:id="rId4" w:type="even"/>
          <w:footerReference r:id="rId7" w:type="even"/>
          <w:pgSz w:w="12240" w:h="15840"/>
          <w:pgMar w:top="1418" w:right="1588" w:bottom="1134" w:left="1588" w:header="0" w:footer="919" w:gutter="0"/>
          <w:pgNumType w:start="1"/>
          <w:cols w:space="720" w:num="1"/>
          <w:titlePg/>
          <w:docGrid w:linePitch="299" w:charSpace="0"/>
        </w:sectPr>
      </w:pPr>
      <w:r>
        <w:rPr>
          <w:rFonts w:ascii="Times New Roman" w:hAnsi="Times New Roman" w:eastAsia="方正小标宋_GBK" w:cs="Times New Roman"/>
          <w:bCs/>
          <w:sz w:val="32"/>
          <w:szCs w:val="32"/>
          <w:lang w:eastAsia="zh-CN"/>
        </w:rPr>
        <w:t>202</w:t>
      </w:r>
      <w:r>
        <w:rPr>
          <w:rFonts w:hint="eastAsia" w:ascii="Times New Roman" w:hAnsi="Times New Roman" w:eastAsia="方正小标宋_GBK" w:cs="Times New Roman"/>
          <w:bCs/>
          <w:sz w:val="32"/>
          <w:szCs w:val="32"/>
          <w:lang w:val="en-US" w:eastAsia="zh-CN"/>
        </w:rPr>
        <w:t>3</w:t>
      </w:r>
      <w:r>
        <w:rPr>
          <w:rFonts w:ascii="Times New Roman" w:hAnsi="Times New Roman" w:eastAsia="方正小标宋_GBK" w:cs="Times New Roman"/>
          <w:bCs/>
          <w:sz w:val="32"/>
          <w:szCs w:val="32"/>
          <w:lang w:val="zh-CN" w:eastAsia="zh-CN"/>
        </w:rPr>
        <w:t>年</w:t>
      </w:r>
      <w:r>
        <w:rPr>
          <w:rFonts w:hint="eastAsia" w:ascii="Times New Roman" w:hAnsi="Times New Roman" w:eastAsia="方正小标宋_GBK" w:cs="Times New Roman"/>
          <w:bCs/>
          <w:sz w:val="32"/>
          <w:szCs w:val="32"/>
          <w:lang w:eastAsia="zh-CN"/>
        </w:rPr>
        <w:t>1</w:t>
      </w:r>
      <w:r>
        <w:rPr>
          <w:rFonts w:ascii="Times New Roman" w:hAnsi="Times New Roman" w:eastAsia="方正小标宋_GBK" w:cs="Times New Roman"/>
          <w:bCs/>
          <w:sz w:val="32"/>
          <w:szCs w:val="32"/>
          <w:lang w:val="zh-CN" w:eastAsia="zh-CN"/>
        </w:rPr>
        <w:t>月</w:t>
      </w:r>
    </w:p>
    <w:sdt>
      <w:sdtPr>
        <w:rPr>
          <w:rFonts w:ascii="Times New Roman" w:hAnsi="Times New Roman" w:eastAsia="宋体" w:cs="Times New Roman"/>
          <w:b w:val="0"/>
          <w:bCs w:val="0"/>
          <w:color w:val="auto"/>
          <w:sz w:val="22"/>
          <w:szCs w:val="22"/>
          <w:lang w:val="zh-CN" w:eastAsia="en-US"/>
        </w:rPr>
        <w:id w:val="-1379861479"/>
      </w:sdtPr>
      <w:sdtEndPr>
        <w:rPr>
          <w:rFonts w:ascii="Times New Roman" w:hAnsi="Times New Roman" w:eastAsia="宋体" w:cs="Times New Roman"/>
          <w:b w:val="0"/>
          <w:bCs w:val="0"/>
          <w:color w:val="auto"/>
          <w:sz w:val="32"/>
          <w:szCs w:val="32"/>
          <w:lang w:val="zh-CN" w:eastAsia="en-US"/>
        </w:rPr>
      </w:sdtEndPr>
      <w:sdtContent>
        <w:p>
          <w:pPr>
            <w:pStyle w:val="81"/>
            <w:jc w:val="center"/>
            <w:rPr>
              <w:rFonts w:ascii="Times New Roman" w:hAnsi="Times New Roman" w:eastAsia="宋体" w:cs="Times New Roman"/>
              <w:b w:val="0"/>
              <w:bCs w:val="0"/>
              <w:color w:val="auto"/>
              <w:sz w:val="22"/>
              <w:szCs w:val="22"/>
              <w:lang w:val="zh-CN"/>
            </w:rPr>
          </w:pPr>
          <w:r>
            <w:rPr>
              <w:rFonts w:ascii="Times New Roman" w:hAnsi="Times New Roman" w:cs="Times New Roman"/>
              <w:color w:val="auto"/>
              <w:lang w:val="zh-CN"/>
            </w:rPr>
            <w:t>目录</w:t>
          </w:r>
        </w:p>
        <w:p>
          <w:pPr>
            <w:pStyle w:val="30"/>
            <w:tabs>
              <w:tab w:val="right" w:leader="dot" w:pos="9064"/>
            </w:tabs>
            <w:spacing w:line="480" w:lineRule="auto"/>
            <w:rPr>
              <w:sz w:val="32"/>
              <w:szCs w:val="32"/>
            </w:rPr>
          </w:pPr>
          <w:r>
            <w:rPr>
              <w:rFonts w:ascii="Times New Roman" w:hAnsi="Times New Roman" w:eastAsia="方正小标宋_GBK" w:cs="Times New Roman"/>
              <w:sz w:val="32"/>
              <w:szCs w:val="32"/>
            </w:rPr>
            <w:fldChar w:fldCharType="begin"/>
          </w:r>
          <w:r>
            <w:rPr>
              <w:rFonts w:ascii="Times New Roman" w:hAnsi="Times New Roman" w:eastAsia="方正小标宋_GBK" w:cs="Times New Roman"/>
              <w:sz w:val="32"/>
              <w:szCs w:val="32"/>
            </w:rPr>
            <w:instrText xml:space="preserve"> TOC \o "1-3" \h \z \u </w:instrText>
          </w:r>
          <w:r>
            <w:rPr>
              <w:rFonts w:ascii="Times New Roman" w:hAnsi="Times New Roman" w:eastAsia="方正小标宋_GBK" w:cs="Times New Roman"/>
              <w:sz w:val="32"/>
              <w:szCs w:val="32"/>
            </w:rPr>
            <w:fldChar w:fldCharType="separate"/>
          </w:r>
          <w:r>
            <w:fldChar w:fldCharType="begin"/>
          </w:r>
          <w:r>
            <w:instrText xml:space="preserve"> HYPERLINK \l "_Toc25563" </w:instrText>
          </w:r>
          <w:r>
            <w:fldChar w:fldCharType="separate"/>
          </w:r>
          <w:r>
            <w:rPr>
              <w:rFonts w:ascii="Times New Roman" w:hAnsi="Times New Roman" w:eastAsia="方正小标宋_GBK" w:cs="Times New Roman"/>
              <w:bCs/>
              <w:sz w:val="32"/>
              <w:szCs w:val="32"/>
              <w:lang w:val="zh-CN" w:eastAsia="zh-CN"/>
            </w:rPr>
            <w:t>第一章 询价</w:t>
          </w:r>
          <w:r>
            <w:rPr>
              <w:rFonts w:hint="eastAsia" w:ascii="Times New Roman" w:hAnsi="Times New Roman" w:eastAsia="方正小标宋_GBK" w:cs="Times New Roman"/>
              <w:bCs/>
              <w:sz w:val="32"/>
              <w:szCs w:val="32"/>
              <w:lang w:eastAsia="zh-CN"/>
            </w:rPr>
            <w:t>函</w:t>
          </w:r>
          <w:r>
            <w:rPr>
              <w:sz w:val="32"/>
              <w:szCs w:val="32"/>
            </w:rPr>
            <w:tab/>
          </w:r>
          <w:r>
            <w:rPr>
              <w:sz w:val="32"/>
              <w:szCs w:val="32"/>
            </w:rPr>
            <w:fldChar w:fldCharType="begin"/>
          </w:r>
          <w:r>
            <w:rPr>
              <w:sz w:val="32"/>
              <w:szCs w:val="32"/>
            </w:rPr>
            <w:instrText xml:space="preserve"> PAGEREF _Toc25563 \h </w:instrText>
          </w:r>
          <w:r>
            <w:rPr>
              <w:sz w:val="32"/>
              <w:szCs w:val="32"/>
            </w:rPr>
            <w:fldChar w:fldCharType="separate"/>
          </w:r>
          <w:r>
            <w:rPr>
              <w:sz w:val="32"/>
              <w:szCs w:val="32"/>
            </w:rPr>
            <w:t>2</w:t>
          </w:r>
          <w:r>
            <w:rPr>
              <w:sz w:val="32"/>
              <w:szCs w:val="32"/>
            </w:rPr>
            <w:fldChar w:fldCharType="end"/>
          </w:r>
          <w:r>
            <w:rPr>
              <w:sz w:val="32"/>
              <w:szCs w:val="32"/>
            </w:rPr>
            <w:fldChar w:fldCharType="end"/>
          </w:r>
        </w:p>
        <w:p>
          <w:pPr>
            <w:pStyle w:val="36"/>
            <w:tabs>
              <w:tab w:val="right" w:leader="dot" w:pos="9064"/>
            </w:tabs>
            <w:spacing w:line="480" w:lineRule="auto"/>
            <w:rPr>
              <w:sz w:val="32"/>
              <w:szCs w:val="32"/>
            </w:rPr>
          </w:pPr>
          <w:r>
            <w:fldChar w:fldCharType="begin"/>
          </w:r>
          <w:r>
            <w:instrText xml:space="preserve"> HYPERLINK \l "_Toc14332" </w:instrText>
          </w:r>
          <w:r>
            <w:fldChar w:fldCharType="separate"/>
          </w:r>
          <w:r>
            <w:rPr>
              <w:rFonts w:ascii="Times New Roman" w:hAnsi="Times New Roman" w:eastAsia="黑体" w:cs="Times New Roman"/>
              <w:sz w:val="32"/>
              <w:szCs w:val="32"/>
              <w:lang w:eastAsia="zh-CN"/>
            </w:rPr>
            <w:t>1.询价条件</w:t>
          </w:r>
          <w:r>
            <w:rPr>
              <w:sz w:val="32"/>
              <w:szCs w:val="32"/>
            </w:rPr>
            <w:tab/>
          </w:r>
          <w:r>
            <w:rPr>
              <w:sz w:val="32"/>
              <w:szCs w:val="32"/>
            </w:rPr>
            <w:fldChar w:fldCharType="begin"/>
          </w:r>
          <w:r>
            <w:rPr>
              <w:sz w:val="32"/>
              <w:szCs w:val="32"/>
            </w:rPr>
            <w:instrText xml:space="preserve"> PAGEREF _Toc14332 \h </w:instrText>
          </w:r>
          <w:r>
            <w:rPr>
              <w:sz w:val="32"/>
              <w:szCs w:val="32"/>
            </w:rPr>
            <w:fldChar w:fldCharType="separate"/>
          </w:r>
          <w:r>
            <w:rPr>
              <w:sz w:val="32"/>
              <w:szCs w:val="32"/>
            </w:rPr>
            <w:t>2</w:t>
          </w:r>
          <w:r>
            <w:rPr>
              <w:sz w:val="32"/>
              <w:szCs w:val="32"/>
            </w:rPr>
            <w:fldChar w:fldCharType="end"/>
          </w:r>
          <w:r>
            <w:rPr>
              <w:sz w:val="32"/>
              <w:szCs w:val="32"/>
            </w:rPr>
            <w:fldChar w:fldCharType="end"/>
          </w:r>
        </w:p>
        <w:p>
          <w:pPr>
            <w:pStyle w:val="36"/>
            <w:tabs>
              <w:tab w:val="right" w:leader="dot" w:pos="9064"/>
            </w:tabs>
            <w:spacing w:line="480" w:lineRule="auto"/>
            <w:rPr>
              <w:sz w:val="32"/>
              <w:szCs w:val="32"/>
            </w:rPr>
          </w:pPr>
          <w:r>
            <w:fldChar w:fldCharType="begin"/>
          </w:r>
          <w:r>
            <w:instrText xml:space="preserve"> HYPERLINK \l "_Toc23083" </w:instrText>
          </w:r>
          <w:r>
            <w:fldChar w:fldCharType="separate"/>
          </w:r>
          <w:r>
            <w:rPr>
              <w:rFonts w:ascii="Times New Roman" w:hAnsi="Times New Roman" w:eastAsia="黑体" w:cs="Times New Roman"/>
              <w:sz w:val="32"/>
              <w:szCs w:val="32"/>
              <w:lang w:eastAsia="zh-CN"/>
            </w:rPr>
            <w:t>2.项目概况与询价工作范围</w:t>
          </w:r>
          <w:r>
            <w:rPr>
              <w:sz w:val="32"/>
              <w:szCs w:val="32"/>
            </w:rPr>
            <w:tab/>
          </w:r>
          <w:r>
            <w:rPr>
              <w:sz w:val="32"/>
              <w:szCs w:val="32"/>
            </w:rPr>
            <w:fldChar w:fldCharType="begin"/>
          </w:r>
          <w:r>
            <w:rPr>
              <w:sz w:val="32"/>
              <w:szCs w:val="32"/>
            </w:rPr>
            <w:instrText xml:space="preserve"> PAGEREF _Toc23083 \h </w:instrText>
          </w:r>
          <w:r>
            <w:rPr>
              <w:sz w:val="32"/>
              <w:szCs w:val="32"/>
            </w:rPr>
            <w:fldChar w:fldCharType="separate"/>
          </w:r>
          <w:r>
            <w:rPr>
              <w:sz w:val="32"/>
              <w:szCs w:val="32"/>
            </w:rPr>
            <w:t>2</w:t>
          </w:r>
          <w:r>
            <w:rPr>
              <w:sz w:val="32"/>
              <w:szCs w:val="32"/>
            </w:rPr>
            <w:fldChar w:fldCharType="end"/>
          </w:r>
          <w:r>
            <w:rPr>
              <w:sz w:val="32"/>
              <w:szCs w:val="32"/>
            </w:rPr>
            <w:fldChar w:fldCharType="end"/>
          </w:r>
        </w:p>
        <w:p>
          <w:pPr>
            <w:pStyle w:val="36"/>
            <w:tabs>
              <w:tab w:val="right" w:leader="dot" w:pos="9064"/>
            </w:tabs>
            <w:spacing w:line="480" w:lineRule="auto"/>
            <w:rPr>
              <w:sz w:val="32"/>
              <w:szCs w:val="32"/>
            </w:rPr>
          </w:pPr>
          <w:r>
            <w:fldChar w:fldCharType="begin"/>
          </w:r>
          <w:r>
            <w:instrText xml:space="preserve"> HYPERLINK \l "_Toc19223" </w:instrText>
          </w:r>
          <w:r>
            <w:fldChar w:fldCharType="separate"/>
          </w:r>
          <w:r>
            <w:rPr>
              <w:rFonts w:ascii="Times New Roman" w:hAnsi="Times New Roman" w:eastAsia="黑体" w:cs="Times New Roman"/>
              <w:sz w:val="32"/>
              <w:szCs w:val="32"/>
              <w:lang w:eastAsia="zh-CN"/>
            </w:rPr>
            <w:t>5.发布公告的媒介</w:t>
          </w:r>
          <w:r>
            <w:rPr>
              <w:sz w:val="32"/>
              <w:szCs w:val="32"/>
            </w:rPr>
            <w:tab/>
          </w:r>
          <w:r>
            <w:rPr>
              <w:sz w:val="32"/>
              <w:szCs w:val="32"/>
            </w:rPr>
            <w:fldChar w:fldCharType="begin"/>
          </w:r>
          <w:r>
            <w:rPr>
              <w:sz w:val="32"/>
              <w:szCs w:val="32"/>
            </w:rPr>
            <w:instrText xml:space="preserve"> PAGEREF _Toc19223 \h </w:instrText>
          </w:r>
          <w:r>
            <w:rPr>
              <w:sz w:val="32"/>
              <w:szCs w:val="32"/>
            </w:rPr>
            <w:fldChar w:fldCharType="separate"/>
          </w:r>
          <w:r>
            <w:rPr>
              <w:sz w:val="32"/>
              <w:szCs w:val="32"/>
            </w:rPr>
            <w:t>4</w:t>
          </w:r>
          <w:r>
            <w:rPr>
              <w:sz w:val="32"/>
              <w:szCs w:val="32"/>
            </w:rPr>
            <w:fldChar w:fldCharType="end"/>
          </w:r>
          <w:r>
            <w:rPr>
              <w:sz w:val="32"/>
              <w:szCs w:val="32"/>
            </w:rPr>
            <w:fldChar w:fldCharType="end"/>
          </w:r>
        </w:p>
        <w:p>
          <w:pPr>
            <w:pStyle w:val="36"/>
            <w:tabs>
              <w:tab w:val="right" w:leader="dot" w:pos="9064"/>
            </w:tabs>
            <w:spacing w:line="480" w:lineRule="auto"/>
            <w:rPr>
              <w:sz w:val="32"/>
              <w:szCs w:val="32"/>
            </w:rPr>
          </w:pPr>
          <w:r>
            <w:fldChar w:fldCharType="begin"/>
          </w:r>
          <w:r>
            <w:instrText xml:space="preserve"> HYPERLINK \l "_Toc6239" </w:instrText>
          </w:r>
          <w:r>
            <w:fldChar w:fldCharType="separate"/>
          </w:r>
          <w:r>
            <w:rPr>
              <w:rFonts w:ascii="Times New Roman" w:hAnsi="Times New Roman" w:eastAsia="黑体" w:cs="Times New Roman"/>
              <w:sz w:val="32"/>
              <w:szCs w:val="32"/>
              <w:lang w:eastAsia="zh-CN"/>
            </w:rPr>
            <w:t>6.联系方式</w:t>
          </w:r>
          <w:r>
            <w:rPr>
              <w:sz w:val="32"/>
              <w:szCs w:val="32"/>
            </w:rPr>
            <w:tab/>
          </w:r>
          <w:r>
            <w:rPr>
              <w:sz w:val="32"/>
              <w:szCs w:val="32"/>
            </w:rPr>
            <w:fldChar w:fldCharType="begin"/>
          </w:r>
          <w:r>
            <w:rPr>
              <w:sz w:val="32"/>
              <w:szCs w:val="32"/>
            </w:rPr>
            <w:instrText xml:space="preserve"> PAGEREF _Toc6239 \h </w:instrText>
          </w:r>
          <w:r>
            <w:rPr>
              <w:sz w:val="32"/>
              <w:szCs w:val="32"/>
            </w:rPr>
            <w:fldChar w:fldCharType="separate"/>
          </w:r>
          <w:r>
            <w:rPr>
              <w:sz w:val="32"/>
              <w:szCs w:val="32"/>
            </w:rPr>
            <w:t>5</w:t>
          </w:r>
          <w:r>
            <w:rPr>
              <w:sz w:val="32"/>
              <w:szCs w:val="32"/>
            </w:rPr>
            <w:fldChar w:fldCharType="end"/>
          </w:r>
          <w:r>
            <w:rPr>
              <w:sz w:val="32"/>
              <w:szCs w:val="32"/>
            </w:rPr>
            <w:fldChar w:fldCharType="end"/>
          </w:r>
        </w:p>
        <w:p>
          <w:pPr>
            <w:pStyle w:val="30"/>
            <w:tabs>
              <w:tab w:val="right" w:leader="dot" w:pos="9064"/>
            </w:tabs>
            <w:spacing w:line="480" w:lineRule="auto"/>
            <w:rPr>
              <w:sz w:val="32"/>
              <w:szCs w:val="32"/>
            </w:rPr>
          </w:pPr>
          <w:r>
            <w:fldChar w:fldCharType="begin"/>
          </w:r>
          <w:r>
            <w:instrText xml:space="preserve"> HYPERLINK \l "_Toc7444" </w:instrText>
          </w:r>
          <w:r>
            <w:fldChar w:fldCharType="separate"/>
          </w:r>
          <w:r>
            <w:rPr>
              <w:rFonts w:ascii="Times New Roman" w:hAnsi="Times New Roman" w:eastAsia="方正小标宋_GBK" w:cs="Times New Roman"/>
              <w:bCs/>
              <w:sz w:val="32"/>
              <w:szCs w:val="32"/>
              <w:lang w:val="zh-CN" w:eastAsia="zh-CN"/>
            </w:rPr>
            <w:t>第二章 报价文件要求与评审办法</w:t>
          </w:r>
          <w:r>
            <w:rPr>
              <w:sz w:val="32"/>
              <w:szCs w:val="32"/>
            </w:rPr>
            <w:tab/>
          </w:r>
          <w:r>
            <w:rPr>
              <w:sz w:val="32"/>
              <w:szCs w:val="32"/>
            </w:rPr>
            <w:fldChar w:fldCharType="begin"/>
          </w:r>
          <w:r>
            <w:rPr>
              <w:sz w:val="32"/>
              <w:szCs w:val="32"/>
            </w:rPr>
            <w:instrText xml:space="preserve"> PAGEREF _Toc7444 \h </w:instrText>
          </w:r>
          <w:r>
            <w:rPr>
              <w:sz w:val="32"/>
              <w:szCs w:val="32"/>
            </w:rPr>
            <w:fldChar w:fldCharType="separate"/>
          </w:r>
          <w:r>
            <w:rPr>
              <w:sz w:val="32"/>
              <w:szCs w:val="32"/>
            </w:rPr>
            <w:t>6</w:t>
          </w:r>
          <w:r>
            <w:rPr>
              <w:sz w:val="32"/>
              <w:szCs w:val="32"/>
            </w:rPr>
            <w:fldChar w:fldCharType="end"/>
          </w:r>
          <w:r>
            <w:rPr>
              <w:sz w:val="32"/>
              <w:szCs w:val="32"/>
            </w:rPr>
            <w:fldChar w:fldCharType="end"/>
          </w:r>
        </w:p>
        <w:p>
          <w:pPr>
            <w:pStyle w:val="36"/>
            <w:tabs>
              <w:tab w:val="right" w:leader="dot" w:pos="9064"/>
            </w:tabs>
            <w:spacing w:line="480" w:lineRule="auto"/>
            <w:rPr>
              <w:sz w:val="32"/>
              <w:szCs w:val="32"/>
            </w:rPr>
          </w:pPr>
          <w:r>
            <w:fldChar w:fldCharType="begin"/>
          </w:r>
          <w:r>
            <w:instrText xml:space="preserve"> HYPERLINK \l "_Toc9018" </w:instrText>
          </w:r>
          <w:r>
            <w:fldChar w:fldCharType="separate"/>
          </w:r>
          <w:r>
            <w:rPr>
              <w:rFonts w:ascii="Times New Roman" w:hAnsi="Times New Roman" w:eastAsia="黑体" w:cs="Times New Roman"/>
              <w:sz w:val="32"/>
              <w:szCs w:val="32"/>
              <w:lang w:eastAsia="zh-CN"/>
            </w:rPr>
            <w:t>1.报价文件要求</w:t>
          </w:r>
          <w:r>
            <w:rPr>
              <w:sz w:val="32"/>
              <w:szCs w:val="32"/>
            </w:rPr>
            <w:tab/>
          </w:r>
          <w:r>
            <w:rPr>
              <w:sz w:val="32"/>
              <w:szCs w:val="32"/>
            </w:rPr>
            <w:fldChar w:fldCharType="begin"/>
          </w:r>
          <w:r>
            <w:rPr>
              <w:sz w:val="32"/>
              <w:szCs w:val="32"/>
            </w:rPr>
            <w:instrText xml:space="preserve"> PAGEREF _Toc9018 \h </w:instrText>
          </w:r>
          <w:r>
            <w:rPr>
              <w:sz w:val="32"/>
              <w:szCs w:val="32"/>
            </w:rPr>
            <w:fldChar w:fldCharType="separate"/>
          </w:r>
          <w:r>
            <w:rPr>
              <w:sz w:val="32"/>
              <w:szCs w:val="32"/>
            </w:rPr>
            <w:t>6</w:t>
          </w:r>
          <w:r>
            <w:rPr>
              <w:sz w:val="32"/>
              <w:szCs w:val="32"/>
            </w:rPr>
            <w:fldChar w:fldCharType="end"/>
          </w:r>
          <w:r>
            <w:rPr>
              <w:sz w:val="32"/>
              <w:szCs w:val="32"/>
            </w:rPr>
            <w:fldChar w:fldCharType="end"/>
          </w:r>
        </w:p>
        <w:p>
          <w:pPr>
            <w:pStyle w:val="36"/>
            <w:tabs>
              <w:tab w:val="right" w:leader="dot" w:pos="9064"/>
            </w:tabs>
            <w:spacing w:line="480" w:lineRule="auto"/>
            <w:rPr>
              <w:sz w:val="32"/>
              <w:szCs w:val="32"/>
            </w:rPr>
          </w:pPr>
          <w:r>
            <w:fldChar w:fldCharType="begin"/>
          </w:r>
          <w:r>
            <w:instrText xml:space="preserve"> HYPERLINK \l "_Toc1574" </w:instrText>
          </w:r>
          <w:r>
            <w:fldChar w:fldCharType="separate"/>
          </w:r>
          <w:r>
            <w:rPr>
              <w:rFonts w:ascii="Times New Roman" w:hAnsi="Times New Roman" w:eastAsia="黑体" w:cs="Times New Roman"/>
              <w:sz w:val="32"/>
              <w:szCs w:val="32"/>
              <w:lang w:eastAsia="zh-CN"/>
            </w:rPr>
            <w:t>2.评审办法</w:t>
          </w:r>
          <w:r>
            <w:rPr>
              <w:sz w:val="32"/>
              <w:szCs w:val="32"/>
            </w:rPr>
            <w:tab/>
          </w:r>
          <w:r>
            <w:rPr>
              <w:sz w:val="32"/>
              <w:szCs w:val="32"/>
            </w:rPr>
            <w:fldChar w:fldCharType="begin"/>
          </w:r>
          <w:r>
            <w:rPr>
              <w:sz w:val="32"/>
              <w:szCs w:val="32"/>
            </w:rPr>
            <w:instrText xml:space="preserve"> PAGEREF _Toc1574 \h </w:instrText>
          </w:r>
          <w:r>
            <w:rPr>
              <w:sz w:val="32"/>
              <w:szCs w:val="32"/>
            </w:rPr>
            <w:fldChar w:fldCharType="separate"/>
          </w:r>
          <w:r>
            <w:rPr>
              <w:sz w:val="32"/>
              <w:szCs w:val="32"/>
            </w:rPr>
            <w:t>6</w:t>
          </w:r>
          <w:r>
            <w:rPr>
              <w:sz w:val="32"/>
              <w:szCs w:val="32"/>
            </w:rPr>
            <w:fldChar w:fldCharType="end"/>
          </w:r>
          <w:r>
            <w:rPr>
              <w:sz w:val="32"/>
              <w:szCs w:val="32"/>
            </w:rPr>
            <w:fldChar w:fldCharType="end"/>
          </w:r>
        </w:p>
        <w:p>
          <w:pPr>
            <w:spacing w:line="480" w:lineRule="auto"/>
            <w:rPr>
              <w:rFonts w:ascii="Times New Roman" w:hAnsi="Times New Roman" w:cs="Times New Roman"/>
              <w:sz w:val="32"/>
              <w:szCs w:val="32"/>
            </w:rPr>
          </w:pPr>
          <w:r>
            <w:rPr>
              <w:rFonts w:ascii="Times New Roman" w:hAnsi="Times New Roman" w:eastAsia="方正小标宋_GBK" w:cs="Times New Roman"/>
              <w:bCs/>
              <w:sz w:val="32"/>
              <w:szCs w:val="32"/>
              <w:lang w:val="zh-CN"/>
            </w:rPr>
            <w:fldChar w:fldCharType="end"/>
          </w:r>
        </w:p>
      </w:sdtContent>
    </w:sdt>
    <w:p>
      <w:pPr>
        <w:widowControl/>
        <w:spacing w:line="480" w:lineRule="auto"/>
        <w:rPr>
          <w:rFonts w:ascii="Times New Roman" w:hAnsi="Times New Roman" w:cs="Times New Roman" w:eastAsiaTheme="minorEastAsia"/>
          <w:b/>
          <w:bCs/>
          <w:sz w:val="32"/>
          <w:szCs w:val="32"/>
          <w:lang w:eastAsia="zh-CN"/>
        </w:rPr>
        <w:sectPr>
          <w:pgSz w:w="12240" w:h="15840"/>
          <w:pgMar w:top="1418" w:right="1588" w:bottom="1134" w:left="1588" w:header="0" w:footer="919" w:gutter="0"/>
          <w:pgNumType w:start="1"/>
          <w:cols w:space="720" w:num="1"/>
          <w:titlePg/>
          <w:docGrid w:linePitch="299" w:charSpace="0"/>
        </w:sectPr>
      </w:pPr>
    </w:p>
    <w:p>
      <w:pPr>
        <w:widowControl/>
        <w:rPr>
          <w:rFonts w:ascii="Times New Roman" w:hAnsi="Times New Roman" w:eastAsia="方正小标宋_GBK" w:cs="Times New Roman"/>
          <w:bCs/>
          <w:sz w:val="44"/>
          <w:szCs w:val="44"/>
          <w:lang w:val="zh-CN" w:eastAsia="zh-CN"/>
        </w:rPr>
      </w:pPr>
      <w:bookmarkStart w:id="0" w:name="_Toc29194680"/>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eastAsia="zh-CN"/>
        </w:rPr>
      </w:pPr>
      <w:bookmarkStart w:id="1" w:name="_Toc25563"/>
      <w:r>
        <w:rPr>
          <w:rFonts w:ascii="Times New Roman" w:hAnsi="Times New Roman" w:eastAsia="方正小标宋_GBK" w:cs="Times New Roman"/>
          <w:bCs/>
          <w:sz w:val="44"/>
          <w:szCs w:val="44"/>
          <w:lang w:val="zh-CN" w:eastAsia="zh-CN"/>
        </w:rPr>
        <w:t>第一章 询价</w:t>
      </w:r>
      <w:bookmarkEnd w:id="0"/>
      <w:r>
        <w:rPr>
          <w:rFonts w:hint="eastAsia" w:ascii="Times New Roman" w:hAnsi="Times New Roman" w:eastAsia="方正小标宋_GBK" w:cs="Times New Roman"/>
          <w:bCs/>
          <w:sz w:val="44"/>
          <w:szCs w:val="44"/>
          <w:lang w:eastAsia="zh-CN"/>
        </w:rPr>
        <w:t>函</w:t>
      </w:r>
      <w:bookmarkEnd w:id="1"/>
    </w:p>
    <w:p>
      <w:pPr>
        <w:autoSpaceDE w:val="0"/>
        <w:autoSpaceDN w:val="0"/>
        <w:adjustRightInd w:val="0"/>
        <w:spacing w:line="510" w:lineRule="exact"/>
        <w:ind w:right="117"/>
        <w:jc w:val="center"/>
        <w:outlineLvl w:val="0"/>
        <w:rPr>
          <w:rFonts w:ascii="Times New Roman" w:hAnsi="Times New Roman" w:cs="Times New Roman" w:eastAsiaTheme="minorEastAsia"/>
          <w:b/>
          <w:bCs/>
          <w:sz w:val="30"/>
          <w:szCs w:val="30"/>
          <w:lang w:eastAsia="zh-CN"/>
        </w:rPr>
      </w:pPr>
    </w:p>
    <w:p>
      <w:pPr>
        <w:spacing w:line="510" w:lineRule="exact"/>
        <w:jc w:val="center"/>
        <w:rPr>
          <w:rFonts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lang w:eastAsia="zh-CN"/>
        </w:rPr>
        <w:t>重庆佛耳岩港海关监管作业场所</w:t>
      </w:r>
    </w:p>
    <w:p>
      <w:pPr>
        <w:spacing w:line="510" w:lineRule="exact"/>
        <w:jc w:val="center"/>
        <w:rPr>
          <w:rFonts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lang w:eastAsia="zh-CN"/>
        </w:rPr>
        <w:t>工可咨询及设计</w:t>
      </w:r>
    </w:p>
    <w:p>
      <w:pPr>
        <w:spacing w:line="510" w:lineRule="exact"/>
        <w:jc w:val="center"/>
        <w:rPr>
          <w:rFonts w:asciiTheme="majorEastAsia" w:hAnsiTheme="majorEastAsia" w:eastAsiaTheme="majorEastAsia" w:cstheme="majorEastAsia"/>
          <w:sz w:val="30"/>
          <w:szCs w:val="30"/>
          <w:lang w:eastAsia="zh-CN"/>
        </w:rPr>
      </w:pPr>
    </w:p>
    <w:p>
      <w:pPr>
        <w:pStyle w:val="5"/>
        <w:spacing w:line="510" w:lineRule="exact"/>
        <w:rPr>
          <w:rFonts w:asciiTheme="minorEastAsia" w:hAnsiTheme="minorEastAsia" w:eastAsiaTheme="minorEastAsia" w:cstheme="minorEastAsia"/>
          <w:lang w:eastAsia="zh-CN"/>
        </w:rPr>
      </w:pPr>
      <w:bookmarkStart w:id="2" w:name="_Toc370126361"/>
      <w:bookmarkStart w:id="3" w:name="_Toc375641571"/>
      <w:bookmarkStart w:id="4" w:name="_Toc29194681"/>
      <w:bookmarkStart w:id="5" w:name="_Toc14332"/>
      <w:bookmarkStart w:id="6" w:name="_Toc6230450"/>
      <w:r>
        <w:rPr>
          <w:rFonts w:hint="eastAsia" w:asciiTheme="minorEastAsia" w:hAnsiTheme="minorEastAsia" w:eastAsiaTheme="minorEastAsia" w:cstheme="minorEastAsia"/>
          <w:lang w:eastAsia="zh-CN"/>
        </w:rPr>
        <w:t>1.询价条件</w:t>
      </w:r>
      <w:bookmarkEnd w:id="2"/>
      <w:bookmarkEnd w:id="3"/>
      <w:bookmarkEnd w:id="4"/>
      <w:bookmarkEnd w:id="5"/>
      <w:bookmarkEnd w:id="6"/>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本项目</w:t>
      </w:r>
      <w:r>
        <w:rPr>
          <w:rFonts w:hint="eastAsia" w:asciiTheme="minorEastAsia" w:hAnsiTheme="minorEastAsia" w:eastAsiaTheme="minorEastAsia" w:cstheme="minorEastAsia"/>
          <w:bCs/>
          <w:sz w:val="32"/>
          <w:szCs w:val="32"/>
          <w:u w:val="single"/>
          <w:lang w:eastAsia="zh-CN"/>
        </w:rPr>
        <w:t>重庆佛耳岩港海关监管作业场所工程可行性研究报告编制咨询及设计</w:t>
      </w:r>
      <w:r>
        <w:rPr>
          <w:rFonts w:hint="eastAsia" w:asciiTheme="minorEastAsia" w:hAnsiTheme="minorEastAsia" w:eastAsiaTheme="minorEastAsia" w:cstheme="minorEastAsia"/>
          <w:bCs/>
          <w:sz w:val="32"/>
          <w:szCs w:val="32"/>
          <w:lang w:eastAsia="zh-CN"/>
        </w:rPr>
        <w:t>已具备发包条件，发包人为</w:t>
      </w:r>
      <w:r>
        <w:rPr>
          <w:rFonts w:hint="eastAsia" w:asciiTheme="minorEastAsia" w:hAnsiTheme="minorEastAsia" w:eastAsiaTheme="minorEastAsia" w:cstheme="minorEastAsia"/>
          <w:bCs/>
          <w:sz w:val="32"/>
          <w:szCs w:val="32"/>
          <w:u w:val="single"/>
          <w:lang w:eastAsia="zh-CN"/>
        </w:rPr>
        <w:t>重庆航运建设发展（集团）有限公司</w:t>
      </w:r>
      <w:r>
        <w:rPr>
          <w:rFonts w:hint="eastAsia" w:asciiTheme="minorEastAsia" w:hAnsiTheme="minorEastAsia" w:eastAsiaTheme="minorEastAsia" w:cstheme="minorEastAsia"/>
          <w:bCs/>
          <w:sz w:val="32"/>
          <w:szCs w:val="32"/>
          <w:lang w:eastAsia="zh-CN"/>
        </w:rPr>
        <w:t>。根据实际工作需要，因该事项无合格供方库，现计划对该项目采取公开询价方式确定单位。</w:t>
      </w:r>
    </w:p>
    <w:p>
      <w:pPr>
        <w:pStyle w:val="5"/>
        <w:spacing w:line="510" w:lineRule="exact"/>
        <w:rPr>
          <w:rFonts w:asciiTheme="minorEastAsia" w:hAnsiTheme="minorEastAsia" w:eastAsiaTheme="minorEastAsia" w:cstheme="minorEastAsia"/>
          <w:bCs w:val="0"/>
          <w:lang w:eastAsia="zh-CN"/>
        </w:rPr>
      </w:pPr>
      <w:bookmarkStart w:id="7" w:name="_Toc23083"/>
      <w:bookmarkStart w:id="8" w:name="_Toc6230451"/>
      <w:bookmarkStart w:id="9" w:name="_Toc29194682"/>
      <w:r>
        <w:rPr>
          <w:rFonts w:hint="eastAsia" w:asciiTheme="minorEastAsia" w:hAnsiTheme="minorEastAsia" w:eastAsiaTheme="minorEastAsia" w:cstheme="minorEastAsia"/>
          <w:bCs w:val="0"/>
          <w:lang w:eastAsia="zh-CN"/>
        </w:rPr>
        <w:t>2.项目概况与询价工作范围</w:t>
      </w:r>
      <w:bookmarkEnd w:id="7"/>
      <w:bookmarkEnd w:id="8"/>
      <w:bookmarkEnd w:id="9"/>
    </w:p>
    <w:p>
      <w:pPr>
        <w:spacing w:line="510" w:lineRule="exact"/>
        <w:ind w:firstLine="640" w:firstLineChars="200"/>
        <w:jc w:val="both"/>
        <w:rPr>
          <w:rFonts w:asciiTheme="minorEastAsia" w:hAnsiTheme="minorEastAsia" w:eastAsiaTheme="minorEastAsia" w:cstheme="minorEastAsia"/>
          <w:bCs/>
          <w:sz w:val="32"/>
          <w:szCs w:val="32"/>
          <w:lang w:eastAsia="zh-CN"/>
        </w:rPr>
      </w:pPr>
      <w:bookmarkStart w:id="10" w:name="_Toc21092"/>
      <w:bookmarkStart w:id="11" w:name="_Toc323734100"/>
      <w:bookmarkStart w:id="12" w:name="_Toc324429695"/>
      <w:r>
        <w:rPr>
          <w:rFonts w:hint="eastAsia" w:asciiTheme="minorEastAsia" w:hAnsiTheme="minorEastAsia" w:eastAsiaTheme="minorEastAsia" w:cstheme="minorEastAsia"/>
          <w:bCs/>
          <w:sz w:val="32"/>
          <w:szCs w:val="32"/>
          <w:lang w:eastAsia="zh-CN"/>
        </w:rPr>
        <w:t xml:space="preserve">2.1项目地址：重庆市巴南区佛耳岩港                            </w:t>
      </w:r>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2.2项目概况：</w:t>
      </w:r>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佛耳岩港是巴南区积极打造铁公水多式联运体系，发挥巴南南向开放战略节点优势的重要载体，具有得天独厚的交通辐射优势。</w:t>
      </w:r>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本次海关监管作业场所建设项目，位于佛耳岩港一期工程范围，建设用地面积约14200㎡，应进行封闭及卡口设置、场地设置、场所用房、信息化系统等设计，并满足《海关监管作业场所（场地）设置规范》（海关总署2021年第 4 号公告）和发包人的改建要求。</w:t>
      </w:r>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2.3本次询价项目最高限价金额：</w:t>
      </w:r>
      <w:r>
        <w:rPr>
          <w:rFonts w:hint="eastAsia" w:asciiTheme="minorEastAsia" w:hAnsiTheme="minorEastAsia" w:eastAsiaTheme="minorEastAsia" w:cstheme="minorEastAsia"/>
          <w:bCs/>
          <w:sz w:val="32"/>
          <w:szCs w:val="32"/>
          <w:u w:val="single"/>
          <w:lang w:eastAsia="zh-CN"/>
        </w:rPr>
        <w:t>38万元。</w:t>
      </w:r>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2.4询价范围：</w:t>
      </w:r>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2.4.1工作内容具体包括工程可行性研究报告编制（含方案设计）、初步设计、施工图设计、初步设计概算编制、施工图预算编制及施工阶段至工程竣工验收合格期间的设计服务工作内容。</w:t>
      </w:r>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2.4.2质量要求：符合国家有关规程规范、技术标准要求等。满足《海关监管作业场所（场地）设置规范》（海关总署2021年第4号公告）和发包人的改建要求。</w:t>
      </w:r>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2.4.3本项目费用采取总价包干方式。在履行合同期间，询价人对因物价变动或其它因素而导致的人工、材料及其它费用的增加不予补偿；合同价不随政策性因素的变化而进行调整。供应商参考国家现行和其他的相关规定以及本询价采购文件规定的工作内容和计划工作量，自行测算费用。</w:t>
      </w:r>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响应报价为完成工作范围确定的所有工作内容的全部费用。供应商为完成合同工作内容所需的</w:t>
      </w:r>
      <w:r>
        <w:rPr>
          <w:rFonts w:hint="eastAsia" w:asciiTheme="minorEastAsia" w:hAnsiTheme="minorEastAsia" w:eastAsiaTheme="minorEastAsia" w:cstheme="minorEastAsia"/>
          <w:bCs/>
          <w:sz w:val="32"/>
          <w:szCs w:val="32"/>
          <w:lang w:val="en-US" w:eastAsia="zh-CN"/>
        </w:rPr>
        <w:t>设计费</w:t>
      </w:r>
      <w:r>
        <w:rPr>
          <w:rFonts w:hint="eastAsia" w:asciiTheme="minorEastAsia" w:hAnsiTheme="minorEastAsia" w:eastAsiaTheme="minorEastAsia" w:cstheme="minorEastAsia"/>
          <w:bCs/>
          <w:sz w:val="32"/>
          <w:szCs w:val="32"/>
          <w:lang w:eastAsia="zh-CN"/>
        </w:rPr>
        <w:t>、人员费、交通费、差旅费、保险费、调研费、复印费、培训费、服务费、一切税费和公司取费（企业管理费、利润等）等一切相关费用均由供应商承担，并包含在供应商的响应报价之内。</w:t>
      </w:r>
    </w:p>
    <w:p>
      <w:pPr>
        <w:spacing w:line="510" w:lineRule="exact"/>
        <w:ind w:firstLine="640" w:firstLineChars="200"/>
        <w:jc w:val="both"/>
        <w:rPr>
          <w:rFonts w:asciiTheme="minorEastAsia" w:hAnsiTheme="minorEastAsia" w:eastAsiaTheme="minorEastAsia" w:cstheme="minorEastAsia"/>
          <w:bCs/>
          <w:sz w:val="32"/>
          <w:szCs w:val="32"/>
          <w:u w:val="single"/>
          <w:lang w:eastAsia="zh-CN"/>
        </w:rPr>
      </w:pPr>
      <w:r>
        <w:rPr>
          <w:rFonts w:hint="eastAsia" w:asciiTheme="minorEastAsia" w:hAnsiTheme="minorEastAsia" w:eastAsiaTheme="minorEastAsia" w:cstheme="minorEastAsia"/>
          <w:bCs/>
          <w:sz w:val="32"/>
          <w:szCs w:val="32"/>
          <w:lang w:eastAsia="zh-CN"/>
        </w:rPr>
        <w:t>2.4.4工期：合同签订之日起7日（自然日）内，承包人提交</w:t>
      </w:r>
      <w:r>
        <w:rPr>
          <w:rFonts w:hint="eastAsia" w:asciiTheme="minorEastAsia" w:hAnsiTheme="minorEastAsia" w:eastAsiaTheme="minorEastAsia" w:cstheme="minorEastAsia"/>
          <w:bCs/>
          <w:sz w:val="32"/>
          <w:szCs w:val="32"/>
          <w:u w:val="single"/>
          <w:lang w:eastAsia="zh-CN"/>
        </w:rPr>
        <w:t>重庆佛耳岩港海关监管作业场所工程可行性研究报告</w:t>
      </w:r>
      <w:r>
        <w:rPr>
          <w:rFonts w:hint="eastAsia" w:asciiTheme="minorEastAsia" w:hAnsiTheme="minorEastAsia" w:eastAsiaTheme="minorEastAsia" w:cstheme="minorEastAsia"/>
          <w:bCs/>
          <w:sz w:val="32"/>
          <w:szCs w:val="32"/>
          <w:lang w:eastAsia="zh-CN"/>
        </w:rPr>
        <w:t>，工可报告经海关认可后报送巴南区发改委备案，备案后15日内同步提交</w:t>
      </w:r>
      <w:r>
        <w:rPr>
          <w:rFonts w:hint="eastAsia" w:asciiTheme="minorEastAsia" w:hAnsiTheme="minorEastAsia" w:eastAsiaTheme="minorEastAsia" w:cstheme="minorEastAsia"/>
          <w:bCs/>
          <w:sz w:val="32"/>
          <w:szCs w:val="32"/>
          <w:u w:val="single"/>
          <w:lang w:eastAsia="zh-CN"/>
        </w:rPr>
        <w:t>重庆佛耳岩港海关监管作业场所初步设计报告及概算，</w:t>
      </w:r>
      <w:r>
        <w:rPr>
          <w:rFonts w:hint="eastAsia" w:asciiTheme="minorEastAsia" w:hAnsiTheme="minorEastAsia" w:eastAsiaTheme="minorEastAsia" w:cstheme="minorEastAsia"/>
          <w:bCs/>
          <w:sz w:val="32"/>
          <w:szCs w:val="32"/>
          <w:lang w:eastAsia="zh-CN"/>
        </w:rPr>
        <w:t>及</w:t>
      </w:r>
      <w:r>
        <w:rPr>
          <w:rFonts w:hint="eastAsia" w:asciiTheme="minorEastAsia" w:hAnsiTheme="minorEastAsia" w:eastAsiaTheme="minorEastAsia" w:cstheme="minorEastAsia"/>
          <w:bCs/>
          <w:sz w:val="32"/>
          <w:szCs w:val="32"/>
          <w:u w:val="single"/>
          <w:lang w:eastAsia="zh-CN"/>
        </w:rPr>
        <w:t>重庆佛耳岩港海关监管作业场所施工图设计报告及预算</w:t>
      </w:r>
      <w:r>
        <w:rPr>
          <w:rFonts w:hint="eastAsia" w:asciiTheme="minorEastAsia" w:hAnsiTheme="minorEastAsia" w:eastAsiaTheme="minorEastAsia" w:cstheme="minorEastAsia"/>
          <w:bCs/>
          <w:sz w:val="32"/>
          <w:szCs w:val="32"/>
          <w:lang w:eastAsia="zh-CN"/>
        </w:rPr>
        <w:t>，设计文件经发包人审核及相关主管部门认可后，10日内修改完善形成最终稿。</w:t>
      </w:r>
    </w:p>
    <w:p>
      <w:pPr>
        <w:spacing w:line="510" w:lineRule="exact"/>
        <w:ind w:firstLine="640" w:firstLineChars="2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bCs/>
          <w:sz w:val="32"/>
          <w:szCs w:val="32"/>
          <w:lang w:eastAsia="zh-CN"/>
        </w:rPr>
        <w:t>2.4.5支付方式：合同签订后</w:t>
      </w:r>
      <w:r>
        <w:rPr>
          <w:rFonts w:hint="eastAsia" w:asciiTheme="minorEastAsia" w:hAnsiTheme="minorEastAsia" w:eastAsiaTheme="minorEastAsia" w:cstheme="minorEastAsia"/>
          <w:bCs/>
          <w:sz w:val="32"/>
          <w:szCs w:val="32"/>
          <w:lang w:val="zh-CN" w:eastAsia="zh-CN"/>
        </w:rPr>
        <w:t>，</w:t>
      </w:r>
      <w:r>
        <w:rPr>
          <w:rFonts w:hint="eastAsia" w:asciiTheme="minorEastAsia" w:hAnsiTheme="minorEastAsia" w:eastAsiaTheme="minorEastAsia" w:cstheme="minorEastAsia"/>
          <w:bCs/>
          <w:sz w:val="32"/>
          <w:szCs w:val="32"/>
          <w:lang w:eastAsia="zh-CN"/>
        </w:rPr>
        <w:t>支付合同总价10%的</w:t>
      </w:r>
      <w:r>
        <w:rPr>
          <w:rFonts w:hint="eastAsia" w:asciiTheme="minorEastAsia" w:hAnsiTheme="minorEastAsia" w:eastAsiaTheme="minorEastAsia" w:cstheme="minorEastAsia"/>
          <w:bCs/>
          <w:sz w:val="32"/>
          <w:szCs w:val="32"/>
          <w:u w:val="single"/>
          <w:lang w:eastAsia="zh-CN"/>
        </w:rPr>
        <w:t>预付款</w:t>
      </w:r>
      <w:r>
        <w:rPr>
          <w:rFonts w:hint="eastAsia" w:asciiTheme="minorEastAsia" w:hAnsiTheme="minorEastAsia" w:eastAsiaTheme="minorEastAsia" w:cstheme="minorEastAsia"/>
          <w:bCs/>
          <w:sz w:val="32"/>
          <w:szCs w:val="32"/>
          <w:lang w:eastAsia="zh-CN"/>
        </w:rPr>
        <w:t>；提交</w:t>
      </w:r>
      <w:r>
        <w:rPr>
          <w:rFonts w:hint="eastAsia" w:asciiTheme="minorEastAsia" w:hAnsiTheme="minorEastAsia" w:eastAsiaTheme="minorEastAsia" w:cstheme="minorEastAsia"/>
          <w:bCs/>
          <w:sz w:val="32"/>
          <w:szCs w:val="32"/>
          <w:u w:val="single"/>
          <w:lang w:eastAsia="zh-CN"/>
        </w:rPr>
        <w:t>工程可行性研究报告</w:t>
      </w:r>
      <w:r>
        <w:rPr>
          <w:rFonts w:hint="eastAsia" w:asciiTheme="minorEastAsia" w:hAnsiTheme="minorEastAsia" w:eastAsiaTheme="minorEastAsia" w:cstheme="minorEastAsia"/>
          <w:bCs/>
          <w:sz w:val="32"/>
          <w:szCs w:val="32"/>
          <w:lang w:eastAsia="zh-CN"/>
        </w:rPr>
        <w:t>最终成果后，支付合同总价的20%</w:t>
      </w:r>
      <w:r>
        <w:rPr>
          <w:rFonts w:hint="eastAsia" w:asciiTheme="minorEastAsia" w:hAnsiTheme="minorEastAsia" w:eastAsiaTheme="minorEastAsia" w:cstheme="minorEastAsia"/>
          <w:bCs/>
          <w:sz w:val="32"/>
          <w:szCs w:val="32"/>
          <w:lang w:val="zh-CN" w:eastAsia="zh-CN"/>
        </w:rPr>
        <w:t>；</w:t>
      </w:r>
      <w:r>
        <w:rPr>
          <w:rFonts w:hint="eastAsia" w:asciiTheme="minorEastAsia" w:hAnsiTheme="minorEastAsia" w:eastAsiaTheme="minorEastAsia" w:cstheme="minorEastAsia"/>
          <w:bCs/>
          <w:sz w:val="32"/>
          <w:szCs w:val="32"/>
          <w:lang w:eastAsia="zh-CN"/>
        </w:rPr>
        <w:t>提交</w:t>
      </w:r>
      <w:r>
        <w:rPr>
          <w:rFonts w:hint="eastAsia" w:asciiTheme="minorEastAsia" w:hAnsiTheme="minorEastAsia" w:eastAsiaTheme="minorEastAsia" w:cstheme="minorEastAsia"/>
          <w:bCs/>
          <w:sz w:val="32"/>
          <w:szCs w:val="32"/>
          <w:u w:val="single"/>
          <w:lang w:eastAsia="zh-CN"/>
        </w:rPr>
        <w:t>初步设计阶段文件</w:t>
      </w:r>
      <w:r>
        <w:rPr>
          <w:rFonts w:hint="eastAsia" w:asciiTheme="minorEastAsia" w:hAnsiTheme="minorEastAsia" w:eastAsiaTheme="minorEastAsia" w:cstheme="minorEastAsia"/>
          <w:bCs/>
          <w:sz w:val="32"/>
          <w:szCs w:val="32"/>
          <w:lang w:eastAsia="zh-CN"/>
        </w:rPr>
        <w:t>最终成果后，支付合同总价的20%</w:t>
      </w:r>
      <w:r>
        <w:rPr>
          <w:rFonts w:hint="eastAsia" w:asciiTheme="minorEastAsia" w:hAnsiTheme="minorEastAsia" w:eastAsiaTheme="minorEastAsia" w:cstheme="minorEastAsia"/>
          <w:bCs/>
          <w:sz w:val="32"/>
          <w:szCs w:val="32"/>
          <w:lang w:val="zh-CN" w:eastAsia="zh-CN"/>
        </w:rPr>
        <w:t>；</w:t>
      </w:r>
      <w:r>
        <w:rPr>
          <w:rFonts w:hint="eastAsia" w:asciiTheme="minorEastAsia" w:hAnsiTheme="minorEastAsia" w:eastAsiaTheme="minorEastAsia" w:cstheme="minorEastAsia"/>
          <w:bCs/>
          <w:sz w:val="32"/>
          <w:szCs w:val="32"/>
          <w:lang w:eastAsia="zh-CN"/>
        </w:rPr>
        <w:t>提交</w:t>
      </w:r>
      <w:r>
        <w:rPr>
          <w:rFonts w:hint="eastAsia" w:asciiTheme="minorEastAsia" w:hAnsiTheme="minorEastAsia" w:eastAsiaTheme="minorEastAsia" w:cstheme="minorEastAsia"/>
          <w:bCs/>
          <w:sz w:val="32"/>
          <w:szCs w:val="32"/>
          <w:u w:val="single"/>
          <w:lang w:eastAsia="zh-CN"/>
        </w:rPr>
        <w:t>施工图设计阶段文件</w:t>
      </w:r>
      <w:r>
        <w:rPr>
          <w:rFonts w:hint="eastAsia" w:asciiTheme="minorEastAsia" w:hAnsiTheme="minorEastAsia" w:eastAsiaTheme="minorEastAsia" w:cstheme="minorEastAsia"/>
          <w:bCs/>
          <w:sz w:val="32"/>
          <w:szCs w:val="32"/>
          <w:lang w:eastAsia="zh-CN"/>
        </w:rPr>
        <w:t>最终成果后，支付合同总价的40%；工程竣工验收合格后，支付合同总价剩余的10%。</w:t>
      </w:r>
    </w:p>
    <w:p>
      <w:pPr>
        <w:spacing w:line="510" w:lineRule="exact"/>
        <w:ind w:firstLine="643" w:firstLineChars="200"/>
        <w:jc w:val="both"/>
        <w:rPr>
          <w:rFonts w:asciiTheme="minorEastAsia" w:hAnsiTheme="minorEastAsia" w:eastAsiaTheme="minorEastAsia" w:cstheme="minorEastAsia"/>
          <w:b/>
          <w:sz w:val="32"/>
          <w:szCs w:val="32"/>
          <w:lang w:eastAsia="zh-CN"/>
        </w:rPr>
      </w:pPr>
      <w:bookmarkStart w:id="13" w:name="_Toc29194683"/>
      <w:bookmarkStart w:id="14" w:name="_Toc6230452"/>
      <w:r>
        <w:rPr>
          <w:rFonts w:hint="eastAsia" w:asciiTheme="minorEastAsia" w:hAnsiTheme="minorEastAsia" w:eastAsiaTheme="minorEastAsia" w:cstheme="minorEastAsia"/>
          <w:b/>
          <w:sz w:val="32"/>
          <w:szCs w:val="32"/>
          <w:lang w:eastAsia="zh-CN"/>
        </w:rPr>
        <w:t>3.报价人资格要求</w:t>
      </w:r>
      <w:bookmarkEnd w:id="10"/>
      <w:bookmarkEnd w:id="11"/>
      <w:bookmarkEnd w:id="12"/>
      <w:bookmarkEnd w:id="13"/>
      <w:bookmarkEnd w:id="14"/>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3.1报价人应同时满足下列资格条件：</w:t>
      </w:r>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（1）报价人为中国境内注册的独立法人企业，具有有效营业执照。</w:t>
      </w:r>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（2）报价人需要具备建筑工程设计行业甲级资质或工程设计综合甲级资质。</w:t>
      </w:r>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（3）报价人自2018年1月1日至报价截止日（以合同签订时间为准），至少具有_1_个海关监管区工可研究或设计的业绩。</w:t>
      </w:r>
    </w:p>
    <w:p>
      <w:pPr>
        <w:pStyle w:val="2"/>
        <w:ind w:left="0" w:leftChars="0" w:firstLine="640" w:firstLineChars="200"/>
      </w:pPr>
      <w:r>
        <w:rPr>
          <w:rFonts w:hint="eastAsia" w:asciiTheme="minorEastAsia" w:hAnsiTheme="minorEastAsia" w:eastAsiaTheme="minorEastAsia" w:cstheme="minorEastAsia"/>
          <w:bCs/>
          <w:sz w:val="32"/>
          <w:szCs w:val="32"/>
        </w:rPr>
        <w:t>（4）报价人拟委派的</w:t>
      </w:r>
      <w:r>
        <w:rPr>
          <w:rFonts w:hint="eastAsia" w:asciiTheme="minorEastAsia" w:hAnsiTheme="minorEastAsia" w:eastAsiaTheme="minorEastAsia" w:cstheme="minorEastAsia"/>
          <w:bCs/>
          <w:kern w:val="0"/>
          <w:sz w:val="32"/>
          <w:szCs w:val="32"/>
        </w:rPr>
        <w:t>设计负责人具备建筑类副高级工程师及以上职称。</w:t>
      </w:r>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3.2报价人没有被列入重庆高速公路集团有限公司黑名单。</w:t>
      </w:r>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3.3本项目不接受联合体报价。</w:t>
      </w:r>
      <w:bookmarkStart w:id="15" w:name="_Toc6230453"/>
      <w:bookmarkStart w:id="16" w:name="_Toc29194684"/>
      <w:bookmarkStart w:id="17" w:name="_Toc13014"/>
      <w:bookmarkStart w:id="18" w:name="_Toc324429696"/>
      <w:bookmarkStart w:id="19" w:name="_Toc323734101"/>
    </w:p>
    <w:p>
      <w:pPr>
        <w:spacing w:line="510" w:lineRule="exact"/>
        <w:ind w:firstLine="643" w:firstLineChars="200"/>
        <w:jc w:val="both"/>
        <w:rPr>
          <w:rFonts w:asciiTheme="minorEastAsia" w:hAnsiTheme="minorEastAsia" w:eastAsiaTheme="minorEastAsia" w:cstheme="minorEastAsia"/>
          <w:b/>
          <w:sz w:val="32"/>
          <w:szCs w:val="32"/>
          <w:lang w:eastAsia="zh-CN"/>
        </w:rPr>
      </w:pPr>
      <w:r>
        <w:rPr>
          <w:rFonts w:hint="eastAsia" w:asciiTheme="minorEastAsia" w:hAnsiTheme="minorEastAsia" w:eastAsiaTheme="minorEastAsia" w:cstheme="minorEastAsia"/>
          <w:b/>
          <w:sz w:val="32"/>
          <w:szCs w:val="32"/>
          <w:lang w:eastAsia="zh-CN"/>
        </w:rPr>
        <w:t>4. 报价文件的递交</w:t>
      </w:r>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4.1报价文件递交地点：重庆市渝北区星光大道76号天王星B座23楼总工办。</w:t>
      </w:r>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4.2报价文件递交截止时间：202</w:t>
      </w:r>
      <w:r>
        <w:rPr>
          <w:rFonts w:hint="eastAsia" w:asciiTheme="minorEastAsia" w:hAnsiTheme="minorEastAsia" w:eastAsiaTheme="minorEastAsia" w:cstheme="minorEastAsia"/>
          <w:bCs/>
          <w:sz w:val="32"/>
          <w:szCs w:val="32"/>
          <w:lang w:val="en-US" w:eastAsia="zh-CN"/>
        </w:rPr>
        <w:t>3</w:t>
      </w:r>
      <w:r>
        <w:rPr>
          <w:rFonts w:hint="eastAsia" w:asciiTheme="minorEastAsia" w:hAnsiTheme="minorEastAsia" w:eastAsiaTheme="minorEastAsia" w:cstheme="minorEastAsia"/>
          <w:bCs/>
          <w:sz w:val="32"/>
          <w:szCs w:val="32"/>
          <w:lang w:eastAsia="zh-CN"/>
        </w:rPr>
        <w:t>年_1_月_</w:t>
      </w:r>
      <w:r>
        <w:rPr>
          <w:rFonts w:hint="eastAsia" w:asciiTheme="minorEastAsia" w:hAnsiTheme="minorEastAsia" w:eastAsiaTheme="minorEastAsia" w:cstheme="minorEastAsia"/>
          <w:bCs/>
          <w:sz w:val="32"/>
          <w:szCs w:val="32"/>
          <w:lang w:val="en-US" w:eastAsia="zh-CN"/>
        </w:rPr>
        <w:t>17</w:t>
      </w:r>
      <w:r>
        <w:rPr>
          <w:rFonts w:hint="eastAsia" w:asciiTheme="minorEastAsia" w:hAnsiTheme="minorEastAsia" w:eastAsiaTheme="minorEastAsia" w:cstheme="minorEastAsia"/>
          <w:bCs/>
          <w:sz w:val="32"/>
          <w:szCs w:val="32"/>
          <w:lang w:eastAsia="zh-CN"/>
        </w:rPr>
        <w:t>_日_16_时00分（北京时间）。</w:t>
      </w:r>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4.3逾期送达的、未送达指定地点的或者不按照询价文件要求密封的报价文件，将予以拒收。</w:t>
      </w:r>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4.4纸质件按递交要求送达，采用邮寄等其他方式递交报价文件的，所有风险由报价人自行承担。</w:t>
      </w:r>
    </w:p>
    <w:p>
      <w:pPr>
        <w:spacing w:line="510" w:lineRule="exact"/>
        <w:ind w:firstLine="643" w:firstLineChars="200"/>
        <w:jc w:val="both"/>
        <w:rPr>
          <w:rFonts w:hint="eastAsia" w:asciiTheme="minorEastAsia" w:hAnsiTheme="minorEastAsia" w:eastAsiaTheme="minorEastAsia" w:cstheme="minorEastAsia"/>
          <w:b/>
          <w:sz w:val="32"/>
          <w:szCs w:val="32"/>
          <w:lang w:eastAsia="zh-CN"/>
        </w:rPr>
      </w:pPr>
      <w:bookmarkStart w:id="20" w:name="_Toc19223"/>
      <w:r>
        <w:rPr>
          <w:rFonts w:hint="eastAsia" w:asciiTheme="minorEastAsia" w:hAnsiTheme="minorEastAsia" w:eastAsiaTheme="minorEastAsia" w:cstheme="minorEastAsia"/>
          <w:b/>
          <w:sz w:val="32"/>
          <w:szCs w:val="32"/>
          <w:lang w:eastAsia="zh-CN"/>
        </w:rPr>
        <w:t>5.发布公告的媒介</w:t>
      </w:r>
      <w:bookmarkEnd w:id="20"/>
    </w:p>
    <w:p>
      <w:pPr>
        <w:wordWrap w:val="0"/>
        <w:spacing w:line="510" w:lineRule="exact"/>
        <w:ind w:firstLine="640" w:firstLineChars="200"/>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5.1本次询价公告及结果公示将在重庆高速公路集团官方网站（http://www.cegc.com.cn/gw/newsInfoMenu.html?id=42&amp;key=2）、重庆高速公路集团有限公司招投标管理平台（http://43.240.249.108:8088/PMS/）上发布。</w:t>
      </w:r>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spacing w:line="510" w:lineRule="exact"/>
        <w:ind w:firstLine="643" w:firstLineChars="200"/>
        <w:jc w:val="both"/>
        <w:rPr>
          <w:rFonts w:hint="eastAsia" w:asciiTheme="minorEastAsia" w:hAnsiTheme="minorEastAsia" w:eastAsiaTheme="minorEastAsia" w:cstheme="minorEastAsia"/>
          <w:b/>
          <w:sz w:val="32"/>
          <w:szCs w:val="32"/>
          <w:lang w:eastAsia="zh-CN"/>
        </w:rPr>
      </w:pPr>
      <w:bookmarkStart w:id="21" w:name="_Toc6239"/>
      <w:r>
        <w:rPr>
          <w:rFonts w:hint="eastAsia" w:asciiTheme="minorEastAsia" w:hAnsiTheme="minorEastAsia" w:eastAsiaTheme="minorEastAsia" w:cstheme="minorEastAsia"/>
          <w:b/>
          <w:sz w:val="32"/>
          <w:szCs w:val="32"/>
          <w:lang w:eastAsia="zh-CN"/>
        </w:rPr>
        <w:t>6.联系方式</w:t>
      </w:r>
      <w:bookmarkEnd w:id="21"/>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询价人：重庆航运建设发展（集团）有限公司</w:t>
      </w:r>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地  址：重庆市渝北区星光大道76号天王星B座23楼</w:t>
      </w:r>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联系人：吴先生</w:t>
      </w:r>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电  话：023-88734299</w:t>
      </w:r>
    </w:p>
    <w:p>
      <w:pPr>
        <w:spacing w:line="510" w:lineRule="exact"/>
        <w:jc w:val="both"/>
        <w:rPr>
          <w:rFonts w:asciiTheme="minorEastAsia" w:hAnsiTheme="minorEastAsia" w:eastAsiaTheme="minorEastAsia" w:cstheme="minorEastAsia"/>
          <w:bCs/>
          <w:sz w:val="32"/>
          <w:szCs w:val="32"/>
          <w:lang w:eastAsia="zh-CN"/>
        </w:rPr>
      </w:pPr>
    </w:p>
    <w:p>
      <w:pPr>
        <w:widowControl/>
        <w:jc w:val="right"/>
        <w:rPr>
          <w:lang w:eastAsia="zh-CN"/>
        </w:rPr>
      </w:pPr>
      <w:r>
        <w:rPr>
          <w:rFonts w:hint="eastAsia" w:asciiTheme="minorEastAsia" w:hAnsiTheme="minorEastAsia" w:eastAsiaTheme="minorEastAsia" w:cstheme="minorEastAsia"/>
          <w:bCs/>
          <w:sz w:val="32"/>
          <w:szCs w:val="32"/>
          <w:lang w:eastAsia="zh-CN"/>
        </w:rPr>
        <w:t>2022年1月</w:t>
      </w:r>
      <w:r>
        <w:rPr>
          <w:rFonts w:hint="eastAsia" w:asciiTheme="minorEastAsia" w:hAnsiTheme="minorEastAsia" w:eastAsiaTheme="minorEastAsia" w:cstheme="minorEastAsia"/>
          <w:bCs/>
          <w:sz w:val="32"/>
          <w:szCs w:val="32"/>
          <w:lang w:val="en-US" w:eastAsia="zh-CN"/>
        </w:rPr>
        <w:t>9</w:t>
      </w:r>
      <w:r>
        <w:rPr>
          <w:rFonts w:hint="eastAsia" w:asciiTheme="minorEastAsia" w:hAnsiTheme="minorEastAsia" w:eastAsiaTheme="minorEastAsia" w:cstheme="minorEastAsia"/>
          <w:bCs/>
          <w:sz w:val="32"/>
          <w:szCs w:val="32"/>
          <w:lang w:eastAsia="zh-CN"/>
        </w:rPr>
        <w:t>日</w:t>
      </w:r>
      <w:r>
        <w:rPr>
          <w:rFonts w:ascii="Times New Roman" w:hAnsi="Times New Roman" w:cs="Times New Roman" w:eastAsiaTheme="minorEastAsia"/>
          <w:sz w:val="24"/>
          <w:szCs w:val="21"/>
          <w:lang w:eastAsia="zh-CN"/>
        </w:rPr>
        <w:br w:type="page"/>
      </w: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bookmarkStart w:id="22" w:name="_Toc7444"/>
      <w:r>
        <w:rPr>
          <w:rFonts w:ascii="Times New Roman" w:hAnsi="Times New Roman" w:eastAsia="方正小标宋_GBK" w:cs="Times New Roman"/>
          <w:bCs/>
          <w:sz w:val="44"/>
          <w:szCs w:val="44"/>
          <w:lang w:val="zh-CN" w:eastAsia="zh-CN"/>
        </w:rPr>
        <w:t>第二章 报价文件要求与评审办法</w:t>
      </w:r>
      <w:bookmarkEnd w:id="22"/>
    </w:p>
    <w:p>
      <w:pPr>
        <w:pStyle w:val="5"/>
        <w:spacing w:line="510" w:lineRule="exact"/>
        <w:rPr>
          <w:rFonts w:ascii="Times New Roman" w:hAnsi="Times New Roman" w:eastAsia="黑体" w:cs="Times New Roman"/>
          <w:b w:val="0"/>
          <w:lang w:eastAsia="zh-CN"/>
        </w:rPr>
      </w:pPr>
    </w:p>
    <w:p>
      <w:pPr>
        <w:pStyle w:val="5"/>
        <w:spacing w:line="510" w:lineRule="exact"/>
        <w:ind w:firstLine="643" w:firstLineChars="200"/>
        <w:rPr>
          <w:rFonts w:ascii="宋体" w:hAnsi="宋体" w:eastAsia="宋体" w:cs="宋体"/>
          <w:bCs w:val="0"/>
          <w:lang w:eastAsia="zh-CN"/>
        </w:rPr>
      </w:pPr>
      <w:bookmarkStart w:id="23" w:name="_Toc9018"/>
      <w:r>
        <w:rPr>
          <w:rFonts w:hint="eastAsia" w:ascii="宋体" w:hAnsi="宋体" w:eastAsia="宋体" w:cs="宋体"/>
          <w:bCs w:val="0"/>
          <w:lang w:eastAsia="zh-CN"/>
        </w:rPr>
        <w:t>1.报价文件要求</w:t>
      </w:r>
      <w:bookmarkEnd w:id="23"/>
    </w:p>
    <w:p>
      <w:pPr>
        <w:spacing w:line="510" w:lineRule="exact"/>
        <w:ind w:firstLine="640" w:firstLineChars="200"/>
        <w:jc w:val="both"/>
        <w:rPr>
          <w:bCs/>
          <w:sz w:val="32"/>
          <w:szCs w:val="32"/>
          <w:lang w:eastAsia="zh-CN"/>
        </w:rPr>
      </w:pPr>
      <w:r>
        <w:rPr>
          <w:rFonts w:hint="eastAsia"/>
          <w:bCs/>
          <w:sz w:val="32"/>
          <w:szCs w:val="32"/>
          <w:lang w:eastAsia="zh-CN"/>
        </w:rPr>
        <w:t>1.1本项目总价最高限价为人民币____</w:t>
      </w:r>
      <w:r>
        <w:rPr>
          <w:rFonts w:hint="eastAsia"/>
          <w:bCs/>
          <w:sz w:val="32"/>
          <w:szCs w:val="32"/>
          <w:u w:val="single"/>
          <w:lang w:eastAsia="zh-CN"/>
        </w:rPr>
        <w:t>380000</w:t>
      </w:r>
      <w:r>
        <w:rPr>
          <w:rFonts w:hint="eastAsia"/>
          <w:bCs/>
          <w:sz w:val="32"/>
          <w:szCs w:val="32"/>
          <w:lang w:eastAsia="zh-CN"/>
        </w:rPr>
        <w:t>____元整（￥__</w:t>
      </w:r>
      <w:r>
        <w:rPr>
          <w:rFonts w:hint="eastAsia"/>
          <w:bCs/>
          <w:sz w:val="32"/>
          <w:szCs w:val="32"/>
          <w:u w:val="single"/>
          <w:lang w:eastAsia="zh-CN"/>
        </w:rPr>
        <w:t>38</w:t>
      </w:r>
      <w:r>
        <w:rPr>
          <w:rFonts w:hint="eastAsia"/>
          <w:bCs/>
          <w:sz w:val="32"/>
          <w:szCs w:val="32"/>
          <w:lang w:eastAsia="zh-CN"/>
        </w:rPr>
        <w:t>__万元）。报价人的报价不得高于最高限价，否则其报价文件将被否决。其它要求详见报价表中的报价说明。</w:t>
      </w:r>
    </w:p>
    <w:p>
      <w:pPr>
        <w:spacing w:line="510" w:lineRule="exact"/>
        <w:ind w:firstLine="640" w:firstLineChars="200"/>
        <w:jc w:val="both"/>
        <w:rPr>
          <w:bCs/>
          <w:sz w:val="32"/>
          <w:szCs w:val="32"/>
          <w:lang w:eastAsia="zh-CN"/>
        </w:rPr>
      </w:pPr>
      <w:r>
        <w:rPr>
          <w:rFonts w:hint="eastAsia"/>
          <w:bCs/>
          <w:sz w:val="32"/>
          <w:szCs w:val="32"/>
          <w:lang w:eastAsia="zh-CN"/>
        </w:rPr>
        <w:t>1.2报价文件内容格式：采用A4纸幅面。</w:t>
      </w:r>
    </w:p>
    <w:p>
      <w:pPr>
        <w:spacing w:line="510" w:lineRule="exact"/>
        <w:ind w:firstLine="640" w:firstLineChars="200"/>
        <w:jc w:val="both"/>
        <w:rPr>
          <w:bCs/>
          <w:sz w:val="32"/>
          <w:szCs w:val="32"/>
          <w:lang w:eastAsia="zh-CN"/>
        </w:rPr>
      </w:pPr>
      <w:r>
        <w:rPr>
          <w:rFonts w:hint="eastAsia"/>
          <w:bCs/>
          <w:sz w:val="32"/>
          <w:szCs w:val="32"/>
          <w:lang w:eastAsia="zh-CN"/>
        </w:rPr>
        <w:t>1.3每个单位递交报价文件1份。</w:t>
      </w:r>
    </w:p>
    <w:p>
      <w:pPr>
        <w:spacing w:line="510" w:lineRule="exact"/>
        <w:ind w:firstLine="640" w:firstLineChars="200"/>
        <w:jc w:val="both"/>
        <w:rPr>
          <w:bCs/>
          <w:sz w:val="32"/>
          <w:szCs w:val="32"/>
          <w:lang w:eastAsia="zh-CN"/>
        </w:rPr>
      </w:pPr>
      <w:r>
        <w:rPr>
          <w:rFonts w:hint="eastAsia"/>
          <w:bCs/>
          <w:sz w:val="32"/>
          <w:szCs w:val="32"/>
          <w:lang w:eastAsia="zh-CN"/>
        </w:rPr>
        <w:t>1.4报价文件装入一个封套中，密封完好并在封口处加盖报价人单位公章，否则其报价文件将被否决。封套上应注明：__</w:t>
      </w:r>
      <w:r>
        <w:rPr>
          <w:rFonts w:hint="eastAsia" w:asciiTheme="minorEastAsia" w:hAnsiTheme="minorEastAsia" w:eastAsiaTheme="minorEastAsia" w:cstheme="minorEastAsia"/>
          <w:bCs/>
          <w:sz w:val="32"/>
          <w:szCs w:val="32"/>
          <w:u w:val="single"/>
          <w:lang w:eastAsia="zh-CN"/>
        </w:rPr>
        <w:t>重庆佛耳岩港海关监管作业场所</w:t>
      </w:r>
      <w:r>
        <w:rPr>
          <w:rFonts w:hint="eastAsia"/>
          <w:bCs/>
          <w:sz w:val="32"/>
          <w:szCs w:val="32"/>
          <w:lang w:eastAsia="zh-CN"/>
        </w:rPr>
        <w:t>_项目，报价文件在</w:t>
      </w:r>
      <w:r>
        <w:rPr>
          <w:rFonts w:hint="eastAsia"/>
          <w:bCs/>
          <w:sz w:val="32"/>
          <w:szCs w:val="32"/>
          <w:u w:val="single"/>
          <w:lang w:eastAsia="zh-CN"/>
        </w:rPr>
        <w:t>202</w:t>
      </w:r>
      <w:r>
        <w:rPr>
          <w:rFonts w:hint="eastAsia"/>
          <w:bCs/>
          <w:sz w:val="32"/>
          <w:szCs w:val="32"/>
          <w:u w:val="single"/>
          <w:lang w:val="en-US" w:eastAsia="zh-CN"/>
        </w:rPr>
        <w:t>3</w:t>
      </w:r>
      <w:r>
        <w:rPr>
          <w:rFonts w:hint="eastAsia"/>
          <w:bCs/>
          <w:sz w:val="32"/>
          <w:szCs w:val="32"/>
          <w:u w:val="single"/>
          <w:lang w:eastAsia="zh-CN"/>
        </w:rPr>
        <w:t>年_1_月_</w:t>
      </w:r>
      <w:r>
        <w:rPr>
          <w:rFonts w:hint="eastAsia"/>
          <w:bCs/>
          <w:sz w:val="32"/>
          <w:szCs w:val="32"/>
          <w:u w:val="single"/>
          <w:lang w:val="en-US" w:eastAsia="zh-CN"/>
        </w:rPr>
        <w:t xml:space="preserve">17 </w:t>
      </w:r>
      <w:r>
        <w:rPr>
          <w:rFonts w:hint="eastAsia"/>
          <w:bCs/>
          <w:sz w:val="32"/>
          <w:szCs w:val="32"/>
          <w:u w:val="single"/>
          <w:lang w:eastAsia="zh-CN"/>
        </w:rPr>
        <w:t xml:space="preserve">日_16_时 00 </w:t>
      </w:r>
      <w:r>
        <w:rPr>
          <w:rFonts w:hint="eastAsia"/>
          <w:bCs/>
          <w:sz w:val="32"/>
          <w:szCs w:val="32"/>
          <w:lang w:eastAsia="zh-CN"/>
        </w:rPr>
        <w:t>分前不得开启。</w:t>
      </w:r>
    </w:p>
    <w:p>
      <w:pPr>
        <w:pStyle w:val="19"/>
        <w:ind w:firstLine="640"/>
        <w:rPr>
          <w:bCs/>
          <w:sz w:val="32"/>
          <w:szCs w:val="32"/>
          <w:lang w:eastAsia="zh-CN"/>
        </w:rPr>
      </w:pPr>
      <w:r>
        <w:rPr>
          <w:rFonts w:hint="eastAsia"/>
          <w:bCs/>
          <w:sz w:val="32"/>
          <w:szCs w:val="32"/>
          <w:lang w:eastAsia="zh-CN"/>
        </w:rPr>
        <w:t>1.5报价文件组成（包括但不限于）：</w:t>
      </w:r>
    </w:p>
    <w:p>
      <w:pPr>
        <w:pStyle w:val="19"/>
        <w:ind w:firstLine="640"/>
        <w:rPr>
          <w:bCs/>
          <w:sz w:val="32"/>
          <w:szCs w:val="32"/>
          <w:lang w:eastAsia="zh-CN"/>
        </w:rPr>
      </w:pPr>
      <w:r>
        <w:rPr>
          <w:rFonts w:hint="eastAsia"/>
          <w:bCs/>
          <w:sz w:val="32"/>
          <w:szCs w:val="32"/>
          <w:lang w:eastAsia="zh-CN"/>
        </w:rPr>
        <w:t>1.5.1 报价函，需加盖单位公章；</w:t>
      </w:r>
    </w:p>
    <w:p>
      <w:pPr>
        <w:pStyle w:val="19"/>
        <w:ind w:firstLine="640"/>
        <w:rPr>
          <w:bCs/>
          <w:sz w:val="32"/>
          <w:szCs w:val="32"/>
          <w:lang w:eastAsia="zh-CN"/>
        </w:rPr>
      </w:pPr>
      <w:r>
        <w:rPr>
          <w:rFonts w:hint="eastAsia"/>
          <w:bCs/>
          <w:sz w:val="32"/>
          <w:szCs w:val="32"/>
          <w:lang w:eastAsia="zh-CN"/>
        </w:rPr>
        <w:t>1.5.2 营业执照复印件或扫描件，需加盖单位公章；</w:t>
      </w:r>
    </w:p>
    <w:p>
      <w:pPr>
        <w:pStyle w:val="19"/>
        <w:ind w:firstLine="640"/>
        <w:rPr>
          <w:bCs/>
          <w:sz w:val="32"/>
          <w:szCs w:val="32"/>
          <w:lang w:eastAsia="zh-CN"/>
        </w:rPr>
      </w:pPr>
      <w:r>
        <w:rPr>
          <w:rFonts w:hint="eastAsia"/>
          <w:bCs/>
          <w:sz w:val="32"/>
          <w:szCs w:val="32"/>
          <w:lang w:eastAsia="zh-CN"/>
        </w:rPr>
        <w:t>1.5.3 资质及证书复印件或扫描件，需加盖单位公章；</w:t>
      </w:r>
    </w:p>
    <w:p>
      <w:pPr>
        <w:pStyle w:val="19"/>
        <w:ind w:firstLine="640"/>
        <w:rPr>
          <w:bCs/>
          <w:sz w:val="32"/>
          <w:szCs w:val="32"/>
          <w:lang w:eastAsia="zh-CN"/>
        </w:rPr>
      </w:pPr>
      <w:r>
        <w:rPr>
          <w:rFonts w:hint="eastAsia"/>
          <w:bCs/>
          <w:sz w:val="32"/>
          <w:szCs w:val="32"/>
          <w:lang w:eastAsia="zh-CN"/>
        </w:rPr>
        <w:t>1.5.4 业绩证明材料（合同协议书）；</w:t>
      </w:r>
    </w:p>
    <w:p>
      <w:pPr>
        <w:spacing w:line="510" w:lineRule="exact"/>
        <w:ind w:firstLine="640" w:firstLineChars="200"/>
        <w:jc w:val="both"/>
        <w:rPr>
          <w:bCs/>
          <w:sz w:val="32"/>
          <w:szCs w:val="32"/>
          <w:lang w:eastAsia="zh-CN"/>
        </w:rPr>
      </w:pPr>
      <w:r>
        <w:rPr>
          <w:rFonts w:hint="eastAsia"/>
          <w:bCs/>
          <w:sz w:val="32"/>
          <w:szCs w:val="32"/>
          <w:lang w:eastAsia="zh-CN"/>
        </w:rPr>
        <w:t>1.5.5 未被列入重庆高速公路集团有限公司黑名单承诺函（格式自拟）。</w:t>
      </w:r>
    </w:p>
    <w:p>
      <w:pPr>
        <w:pStyle w:val="5"/>
        <w:spacing w:line="510" w:lineRule="exact"/>
        <w:ind w:firstLine="643" w:firstLineChars="200"/>
        <w:rPr>
          <w:rFonts w:ascii="宋体" w:hAnsi="宋体" w:eastAsia="宋体" w:cs="宋体"/>
          <w:bCs w:val="0"/>
          <w:lang w:eastAsia="zh-CN"/>
        </w:rPr>
      </w:pPr>
      <w:bookmarkStart w:id="24" w:name="_Toc1574"/>
      <w:r>
        <w:rPr>
          <w:rFonts w:hint="eastAsia" w:ascii="宋体" w:hAnsi="宋体" w:eastAsia="宋体" w:cs="宋体"/>
          <w:bCs w:val="0"/>
          <w:lang w:eastAsia="zh-CN"/>
        </w:rPr>
        <w:t>2.评审办法</w:t>
      </w:r>
      <w:bookmarkEnd w:id="24"/>
    </w:p>
    <w:p>
      <w:pPr>
        <w:spacing w:line="510" w:lineRule="exact"/>
        <w:ind w:firstLine="640" w:firstLineChars="200"/>
        <w:jc w:val="both"/>
        <w:rPr>
          <w:bCs/>
          <w:sz w:val="32"/>
          <w:szCs w:val="32"/>
          <w:lang w:eastAsia="zh-CN"/>
        </w:rPr>
      </w:pPr>
      <w:r>
        <w:rPr>
          <w:rFonts w:hint="eastAsia"/>
          <w:bCs/>
          <w:sz w:val="32"/>
          <w:szCs w:val="32"/>
          <w:lang w:eastAsia="zh-CN"/>
        </w:rPr>
        <w:t>2.1本项目采用综合评估法。评标委员会按照本章第 2.2 款规定的评分标准进行打分，按得分由高到低顺序推荐中标候选人。综合评分相等时，以投标报价低的优先；投标报价也相等的，以技术得分高的优先；如果技术得分也相等，由评标委员会投票确定。</w:t>
      </w:r>
    </w:p>
    <w:p>
      <w:pPr>
        <w:spacing w:line="510" w:lineRule="exact"/>
        <w:ind w:firstLine="640" w:firstLineChars="200"/>
        <w:jc w:val="both"/>
        <w:rPr>
          <w:bCs/>
          <w:sz w:val="32"/>
          <w:szCs w:val="32"/>
          <w:lang w:eastAsia="zh-CN"/>
        </w:rPr>
      </w:pPr>
      <w:r>
        <w:rPr>
          <w:rFonts w:hint="eastAsia"/>
          <w:bCs/>
          <w:sz w:val="32"/>
          <w:szCs w:val="32"/>
          <w:lang w:eastAsia="zh-CN"/>
        </w:rPr>
        <w:t>2.2评分标准(综合评估法）</w:t>
      </w:r>
    </w:p>
    <w:p>
      <w:pPr>
        <w:pStyle w:val="2"/>
        <w:ind w:left="440"/>
      </w:pPr>
    </w:p>
    <w:tbl>
      <w:tblPr>
        <w:tblStyle w:val="44"/>
        <w:tblW w:w="81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Layout w:type="fixed"/>
        <w:tblCellMar>
          <w:top w:w="0" w:type="dxa"/>
          <w:left w:w="108" w:type="dxa"/>
          <w:bottom w:w="0" w:type="dxa"/>
          <w:right w:w="108" w:type="dxa"/>
        </w:tblCellMar>
      </w:tblPr>
      <w:tblGrid>
        <w:gridCol w:w="585"/>
        <w:gridCol w:w="1224"/>
        <w:gridCol w:w="849"/>
        <w:gridCol w:w="5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49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sz w:val="21"/>
                <w:szCs w:val="21"/>
                <w:lang w:eastAsia="zh-CN"/>
              </w:rPr>
            </w:pPr>
            <w:r>
              <w:rPr>
                <w:rFonts w:hint="eastAsia"/>
                <w:sz w:val="21"/>
                <w:szCs w:val="21"/>
                <w:lang w:eastAsia="zh-CN"/>
              </w:rPr>
              <w:t>序号</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sz w:val="21"/>
                <w:szCs w:val="21"/>
                <w:lang w:eastAsia="zh-CN"/>
              </w:rPr>
            </w:pPr>
            <w:r>
              <w:rPr>
                <w:rFonts w:hint="eastAsia"/>
                <w:sz w:val="21"/>
                <w:szCs w:val="21"/>
                <w:lang w:eastAsia="zh-CN"/>
              </w:rPr>
              <w:t>评分因素及权重</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sz w:val="21"/>
                <w:szCs w:val="21"/>
                <w:lang w:eastAsia="zh-CN"/>
              </w:rPr>
            </w:pPr>
            <w:r>
              <w:rPr>
                <w:rFonts w:hint="eastAsia"/>
                <w:sz w:val="21"/>
                <w:szCs w:val="21"/>
                <w:lang w:eastAsia="zh-CN"/>
              </w:rPr>
              <w:t>分值</w:t>
            </w:r>
          </w:p>
        </w:tc>
        <w:tc>
          <w:tcPr>
            <w:tcW w:w="5526" w:type="dxa"/>
            <w:tcBorders>
              <w:top w:val="single" w:color="000000" w:sz="4" w:space="0"/>
              <w:left w:val="single" w:color="000000" w:sz="4" w:space="0"/>
              <w:bottom w:val="single" w:color="000000" w:sz="4" w:space="0"/>
              <w:right w:val="single" w:color="auto" w:sz="4" w:space="0"/>
            </w:tcBorders>
            <w:shd w:val="clear" w:color="auto" w:fill="FFFFFF"/>
            <w:vAlign w:val="center"/>
          </w:tcPr>
          <w:p>
            <w:pPr>
              <w:spacing w:line="400" w:lineRule="exact"/>
              <w:jc w:val="center"/>
              <w:rPr>
                <w:sz w:val="21"/>
                <w:szCs w:val="21"/>
                <w:lang w:eastAsia="zh-CN"/>
              </w:rPr>
            </w:pPr>
            <w:r>
              <w:rPr>
                <w:rFonts w:hint="eastAsia"/>
                <w:sz w:val="21"/>
                <w:szCs w:val="21"/>
                <w:lang w:eastAsia="zh-CN"/>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847"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E599"/>
            <w:vAlign w:val="center"/>
          </w:tcPr>
          <w:p>
            <w:pPr>
              <w:spacing w:line="240" w:lineRule="atLeast"/>
              <w:ind w:firstLine="28"/>
              <w:jc w:val="center"/>
              <w:rPr>
                <w:sz w:val="21"/>
                <w:szCs w:val="21"/>
                <w:lang w:eastAsia="zh-CN"/>
              </w:rPr>
            </w:pPr>
            <w:r>
              <w:rPr>
                <w:rFonts w:hint="eastAsia"/>
                <w:sz w:val="21"/>
                <w:szCs w:val="21"/>
                <w:lang w:eastAsia="zh-CN"/>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E599"/>
            <w:vAlign w:val="center"/>
          </w:tcPr>
          <w:p>
            <w:pPr>
              <w:snapToGrid w:val="0"/>
              <w:spacing w:line="240" w:lineRule="atLeast"/>
              <w:ind w:firstLine="28"/>
              <w:jc w:val="center"/>
              <w:rPr>
                <w:sz w:val="21"/>
                <w:szCs w:val="21"/>
                <w:lang w:eastAsia="zh-CN"/>
              </w:rPr>
            </w:pPr>
            <w:r>
              <w:rPr>
                <w:rFonts w:hint="eastAsia"/>
                <w:sz w:val="21"/>
                <w:szCs w:val="21"/>
                <w:lang w:eastAsia="zh-CN"/>
              </w:rPr>
              <w:t>报价</w:t>
            </w:r>
          </w:p>
          <w:p>
            <w:pPr>
              <w:snapToGrid w:val="0"/>
              <w:spacing w:line="240" w:lineRule="atLeast"/>
              <w:ind w:firstLine="28"/>
              <w:jc w:val="center"/>
              <w:rPr>
                <w:sz w:val="21"/>
                <w:szCs w:val="21"/>
                <w:lang w:eastAsia="zh-CN"/>
              </w:rPr>
            </w:pPr>
            <w:r>
              <w:rPr>
                <w:rFonts w:hint="eastAsia"/>
                <w:sz w:val="21"/>
                <w:szCs w:val="21"/>
                <w:lang w:eastAsia="zh-CN"/>
              </w:rPr>
              <w:t>（50分）</w:t>
            </w:r>
          </w:p>
        </w:tc>
        <w:tc>
          <w:tcPr>
            <w:tcW w:w="6375" w:type="dxa"/>
            <w:gridSpan w:val="2"/>
            <w:tcBorders>
              <w:top w:val="single" w:color="000000" w:sz="4" w:space="0"/>
              <w:left w:val="single" w:color="000000" w:sz="4" w:space="0"/>
              <w:bottom w:val="single" w:color="000000" w:sz="4" w:space="0"/>
              <w:right w:val="single" w:color="auto" w:sz="4" w:space="0"/>
            </w:tcBorders>
            <w:shd w:val="clear" w:color="auto" w:fill="FFE599"/>
            <w:vAlign w:val="center"/>
          </w:tcPr>
          <w:p>
            <w:pPr>
              <w:spacing w:line="400" w:lineRule="exact"/>
              <w:rPr>
                <w:sz w:val="21"/>
                <w:szCs w:val="21"/>
                <w:lang w:eastAsia="zh-CN"/>
              </w:rPr>
            </w:pPr>
            <w:r>
              <w:rPr>
                <w:rFonts w:hint="eastAsia"/>
                <w:sz w:val="21"/>
                <w:szCs w:val="21"/>
                <w:lang w:eastAsia="zh-CN"/>
              </w:rPr>
              <w:t>①对所有有效报价进行算术平均，所得的算术平均值作为基准价。</w:t>
            </w:r>
          </w:p>
          <w:p>
            <w:pPr>
              <w:spacing w:line="400" w:lineRule="exact"/>
              <w:rPr>
                <w:sz w:val="21"/>
                <w:szCs w:val="21"/>
                <w:lang w:eastAsia="zh-CN"/>
              </w:rPr>
            </w:pPr>
            <w:r>
              <w:rPr>
                <w:rFonts w:hint="eastAsia"/>
                <w:sz w:val="21"/>
                <w:szCs w:val="21"/>
                <w:lang w:eastAsia="zh-CN"/>
              </w:rPr>
              <w:t>基准价：所有通过初步评审的总报价中去掉六分之一（不能整除的按小数点前整数取整，不足六家报价则不去掉）的最低价和相同家数的最高价后的，取算术平均值。</w:t>
            </w:r>
          </w:p>
          <w:p>
            <w:pPr>
              <w:spacing w:line="400" w:lineRule="exact"/>
              <w:rPr>
                <w:sz w:val="21"/>
                <w:szCs w:val="21"/>
                <w:lang w:eastAsia="zh-CN"/>
              </w:rPr>
            </w:pPr>
            <w:r>
              <w:rPr>
                <w:rFonts w:hint="eastAsia"/>
                <w:sz w:val="21"/>
                <w:szCs w:val="21"/>
                <w:lang w:eastAsia="zh-CN"/>
              </w:rPr>
              <w:t>②报价与基准价相比，等于基准价的得50分；每上浮1%扣1分，依此类推；每下浮1%扣0.5分，依此类推；不带整数的按插入法计算，结果保留小数点后两位。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2282" w:hRule="atLeast"/>
          <w:tblHeader/>
          <w:jc w:val="center"/>
        </w:trPr>
        <w:tc>
          <w:tcPr>
            <w:tcW w:w="585" w:type="dxa"/>
            <w:tcBorders>
              <w:top w:val="single" w:color="000000" w:sz="4" w:space="0"/>
              <w:left w:val="single" w:color="000000" w:sz="4" w:space="0"/>
              <w:right w:val="single" w:color="000000" w:sz="4" w:space="0"/>
            </w:tcBorders>
            <w:shd w:val="clear" w:color="auto" w:fill="FFE599"/>
            <w:vAlign w:val="center"/>
          </w:tcPr>
          <w:p>
            <w:pPr>
              <w:spacing w:line="240" w:lineRule="atLeast"/>
              <w:ind w:firstLine="28"/>
              <w:jc w:val="center"/>
              <w:rPr>
                <w:sz w:val="21"/>
                <w:szCs w:val="21"/>
                <w:lang w:eastAsia="zh-CN"/>
              </w:rPr>
            </w:pPr>
            <w:r>
              <w:rPr>
                <w:rFonts w:hint="eastAsia"/>
                <w:sz w:val="21"/>
                <w:szCs w:val="21"/>
                <w:lang w:eastAsia="zh-CN"/>
              </w:rPr>
              <w:t>2</w:t>
            </w:r>
          </w:p>
        </w:tc>
        <w:tc>
          <w:tcPr>
            <w:tcW w:w="1224" w:type="dxa"/>
            <w:tcBorders>
              <w:top w:val="single" w:color="000000" w:sz="4" w:space="0"/>
              <w:left w:val="single" w:color="000000" w:sz="4" w:space="0"/>
              <w:right w:val="single" w:color="000000" w:sz="4" w:space="0"/>
            </w:tcBorders>
            <w:shd w:val="clear" w:color="auto" w:fill="FFE599"/>
            <w:vAlign w:val="center"/>
          </w:tcPr>
          <w:p>
            <w:pPr>
              <w:snapToGrid w:val="0"/>
              <w:spacing w:line="240" w:lineRule="atLeast"/>
              <w:ind w:firstLine="28"/>
              <w:jc w:val="center"/>
              <w:rPr>
                <w:sz w:val="21"/>
                <w:szCs w:val="21"/>
                <w:lang w:eastAsia="zh-CN"/>
              </w:rPr>
            </w:pPr>
            <w:r>
              <w:rPr>
                <w:rFonts w:hint="eastAsia"/>
                <w:sz w:val="21"/>
                <w:szCs w:val="21"/>
                <w:lang w:eastAsia="zh-CN"/>
              </w:rPr>
              <w:t>技术部分</w:t>
            </w:r>
          </w:p>
          <w:p>
            <w:pPr>
              <w:snapToGrid w:val="0"/>
              <w:spacing w:line="240" w:lineRule="atLeast"/>
              <w:ind w:firstLine="28"/>
              <w:jc w:val="center"/>
              <w:rPr>
                <w:sz w:val="21"/>
                <w:szCs w:val="21"/>
                <w:lang w:eastAsia="zh-CN"/>
              </w:rPr>
            </w:pPr>
            <w:r>
              <w:rPr>
                <w:rFonts w:hint="eastAsia"/>
                <w:sz w:val="21"/>
                <w:szCs w:val="21"/>
                <w:lang w:eastAsia="zh-CN"/>
              </w:rPr>
              <w:t>（</w:t>
            </w:r>
            <w:r>
              <w:rPr>
                <w:rFonts w:hint="eastAsia"/>
                <w:sz w:val="21"/>
                <w:szCs w:val="21"/>
                <w:lang w:val="en-US" w:eastAsia="zh-CN"/>
              </w:rPr>
              <w:t>2</w:t>
            </w:r>
            <w:r>
              <w:rPr>
                <w:rFonts w:hint="eastAsia"/>
                <w:sz w:val="21"/>
                <w:szCs w:val="21"/>
                <w:lang w:eastAsia="zh-CN"/>
              </w:rPr>
              <w:t>0分）</w:t>
            </w:r>
          </w:p>
        </w:tc>
        <w:tc>
          <w:tcPr>
            <w:tcW w:w="6375" w:type="dxa"/>
            <w:gridSpan w:val="2"/>
            <w:tcBorders>
              <w:top w:val="single" w:color="000000" w:sz="4" w:space="0"/>
              <w:left w:val="single" w:color="000000" w:sz="4" w:space="0"/>
              <w:right w:val="single" w:color="auto" w:sz="4" w:space="0"/>
            </w:tcBorders>
            <w:shd w:val="clear" w:color="auto" w:fill="FFE599"/>
            <w:vAlign w:val="center"/>
          </w:tcPr>
          <w:p>
            <w:pPr>
              <w:spacing w:line="400" w:lineRule="exact"/>
              <w:rPr>
                <w:lang w:eastAsia="zh-CN"/>
              </w:rPr>
            </w:pPr>
            <w:r>
              <w:rPr>
                <w:rFonts w:hint="eastAsia"/>
                <w:lang w:eastAsia="zh-CN"/>
              </w:rPr>
              <w:t>（1）设计技术方案概况，思路，文字说明情况；</w:t>
            </w:r>
          </w:p>
          <w:p>
            <w:pPr>
              <w:spacing w:line="400" w:lineRule="exact"/>
              <w:rPr>
                <w:lang w:eastAsia="zh-CN"/>
              </w:rPr>
            </w:pPr>
            <w:r>
              <w:rPr>
                <w:rFonts w:hint="eastAsia"/>
                <w:lang w:eastAsia="zh-CN"/>
              </w:rPr>
              <w:t>优秀：7-10   一般：4-7 差：0-4</w:t>
            </w:r>
          </w:p>
          <w:p>
            <w:pPr>
              <w:spacing w:line="400" w:lineRule="exact"/>
              <w:rPr>
                <w:sz w:val="21"/>
                <w:szCs w:val="21"/>
                <w:lang w:eastAsia="zh-CN"/>
              </w:rPr>
            </w:pPr>
            <w:r>
              <w:rPr>
                <w:rFonts w:hint="eastAsia"/>
                <w:sz w:val="21"/>
                <w:szCs w:val="21"/>
                <w:lang w:eastAsia="zh-CN"/>
              </w:rPr>
              <w:t>（2）设计技术方案的详细情况，对于封闭及卡口设置、场地设置、场所用房、信息化系统的设计情况；</w:t>
            </w:r>
          </w:p>
          <w:p>
            <w:pPr>
              <w:spacing w:line="400" w:lineRule="exact"/>
              <w:rPr>
                <w:lang w:eastAsia="zh-CN"/>
              </w:rPr>
            </w:pPr>
            <w:r>
              <w:rPr>
                <w:rFonts w:hint="eastAsia"/>
                <w:sz w:val="21"/>
                <w:szCs w:val="21"/>
                <w:lang w:eastAsia="zh-CN"/>
              </w:rPr>
              <w:t>优秀：</w:t>
            </w:r>
            <w:r>
              <w:rPr>
                <w:rFonts w:hint="eastAsia"/>
                <w:sz w:val="21"/>
                <w:szCs w:val="21"/>
                <w:lang w:val="en-US" w:eastAsia="zh-CN"/>
              </w:rPr>
              <w:t>7</w:t>
            </w:r>
            <w:r>
              <w:rPr>
                <w:rFonts w:hint="eastAsia"/>
                <w:sz w:val="21"/>
                <w:szCs w:val="21"/>
                <w:lang w:eastAsia="zh-CN"/>
              </w:rPr>
              <w:t>-</w:t>
            </w:r>
            <w:r>
              <w:rPr>
                <w:rFonts w:hint="eastAsia"/>
                <w:sz w:val="21"/>
                <w:szCs w:val="21"/>
                <w:lang w:val="en-US" w:eastAsia="zh-CN"/>
              </w:rPr>
              <w:t>10</w:t>
            </w:r>
            <w:r>
              <w:rPr>
                <w:rFonts w:hint="eastAsia"/>
                <w:sz w:val="21"/>
                <w:szCs w:val="21"/>
                <w:lang w:eastAsia="zh-CN"/>
              </w:rPr>
              <w:t xml:space="preserve">  一般：</w:t>
            </w:r>
            <w:r>
              <w:rPr>
                <w:rFonts w:hint="eastAsia"/>
                <w:sz w:val="21"/>
                <w:szCs w:val="21"/>
                <w:lang w:val="en-US" w:eastAsia="zh-CN"/>
              </w:rPr>
              <w:t>4</w:t>
            </w:r>
            <w:r>
              <w:rPr>
                <w:rFonts w:hint="eastAsia"/>
                <w:sz w:val="21"/>
                <w:szCs w:val="21"/>
                <w:lang w:eastAsia="zh-CN"/>
              </w:rPr>
              <w:t>-</w:t>
            </w:r>
            <w:r>
              <w:rPr>
                <w:rFonts w:hint="eastAsia"/>
                <w:sz w:val="21"/>
                <w:szCs w:val="21"/>
                <w:lang w:val="en-US" w:eastAsia="zh-CN"/>
              </w:rPr>
              <w:t>7</w:t>
            </w:r>
            <w:r>
              <w:rPr>
                <w:rFonts w:hint="eastAsia"/>
                <w:sz w:val="21"/>
                <w:szCs w:val="21"/>
                <w:lang w:eastAsia="zh-CN"/>
              </w:rPr>
              <w:t xml:space="preserve">  差：0-</w:t>
            </w:r>
            <w:r>
              <w:rPr>
                <w:rFonts w:hint="eastAsia"/>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PrEx>
        <w:trPr>
          <w:trHeight w:val="1760" w:hRule="atLeast"/>
          <w:tblHeader/>
          <w:jc w:val="center"/>
        </w:trPr>
        <w:tc>
          <w:tcPr>
            <w:tcW w:w="585" w:type="dxa"/>
            <w:tcBorders>
              <w:top w:val="single" w:color="000000" w:sz="4" w:space="0"/>
              <w:left w:val="single" w:color="000000" w:sz="4" w:space="0"/>
              <w:right w:val="single" w:color="000000" w:sz="4" w:space="0"/>
            </w:tcBorders>
            <w:shd w:val="clear" w:color="auto" w:fill="FFE599"/>
            <w:vAlign w:val="center"/>
          </w:tcPr>
          <w:p>
            <w:pPr>
              <w:spacing w:line="400" w:lineRule="exact"/>
              <w:jc w:val="center"/>
              <w:rPr>
                <w:sz w:val="21"/>
                <w:szCs w:val="21"/>
                <w:lang w:eastAsia="zh-CN"/>
              </w:rPr>
            </w:pPr>
            <w:r>
              <w:rPr>
                <w:rFonts w:hint="eastAsia"/>
                <w:sz w:val="21"/>
                <w:szCs w:val="21"/>
                <w:lang w:eastAsia="zh-CN"/>
              </w:rPr>
              <w:t>3</w:t>
            </w:r>
          </w:p>
        </w:tc>
        <w:tc>
          <w:tcPr>
            <w:tcW w:w="1224" w:type="dxa"/>
            <w:tcBorders>
              <w:top w:val="single" w:color="000000" w:sz="4" w:space="0"/>
              <w:left w:val="single" w:color="000000" w:sz="4" w:space="0"/>
              <w:right w:val="single" w:color="000000" w:sz="4" w:space="0"/>
            </w:tcBorders>
            <w:shd w:val="clear" w:color="auto" w:fill="FFE599"/>
            <w:vAlign w:val="center"/>
          </w:tcPr>
          <w:p>
            <w:pPr>
              <w:spacing w:line="400" w:lineRule="exact"/>
              <w:jc w:val="center"/>
              <w:rPr>
                <w:sz w:val="21"/>
                <w:szCs w:val="21"/>
                <w:lang w:eastAsia="zh-CN"/>
              </w:rPr>
            </w:pPr>
            <w:r>
              <w:rPr>
                <w:rFonts w:hint="eastAsia"/>
                <w:sz w:val="21"/>
                <w:szCs w:val="21"/>
                <w:lang w:eastAsia="zh-CN"/>
              </w:rPr>
              <w:t>商务部分</w:t>
            </w:r>
          </w:p>
          <w:p>
            <w:pPr>
              <w:spacing w:line="400" w:lineRule="exact"/>
              <w:jc w:val="center"/>
              <w:rPr>
                <w:sz w:val="21"/>
                <w:szCs w:val="21"/>
                <w:lang w:eastAsia="zh-CN"/>
              </w:rPr>
            </w:pPr>
            <w:r>
              <w:rPr>
                <w:rFonts w:hint="eastAsia"/>
                <w:sz w:val="21"/>
                <w:szCs w:val="21"/>
                <w:lang w:eastAsia="zh-CN"/>
              </w:rPr>
              <w:t>（</w:t>
            </w:r>
            <w:r>
              <w:rPr>
                <w:rFonts w:hint="eastAsia"/>
                <w:sz w:val="21"/>
                <w:szCs w:val="21"/>
                <w:lang w:val="en-US" w:eastAsia="zh-CN"/>
              </w:rPr>
              <w:t>3</w:t>
            </w:r>
            <w:r>
              <w:rPr>
                <w:rFonts w:hint="eastAsia"/>
                <w:sz w:val="21"/>
                <w:szCs w:val="21"/>
                <w:lang w:eastAsia="zh-CN"/>
              </w:rPr>
              <w:t>0分）</w:t>
            </w:r>
          </w:p>
        </w:tc>
        <w:tc>
          <w:tcPr>
            <w:tcW w:w="6375" w:type="dxa"/>
            <w:gridSpan w:val="2"/>
            <w:tcBorders>
              <w:top w:val="single" w:color="000000" w:sz="4" w:space="0"/>
              <w:left w:val="single" w:color="000000" w:sz="4" w:space="0"/>
              <w:right w:val="single" w:color="auto" w:sz="4" w:space="0"/>
            </w:tcBorders>
            <w:shd w:val="clear" w:color="auto" w:fill="FFE599"/>
            <w:vAlign w:val="center"/>
          </w:tcPr>
          <w:p>
            <w:pPr>
              <w:spacing w:line="400" w:lineRule="exact"/>
              <w:rPr>
                <w:sz w:val="21"/>
                <w:szCs w:val="21"/>
                <w:lang w:eastAsia="zh-CN"/>
              </w:rPr>
            </w:pPr>
            <w:r>
              <w:rPr>
                <w:rFonts w:hint="eastAsia"/>
                <w:sz w:val="21"/>
                <w:szCs w:val="21"/>
                <w:lang w:eastAsia="zh-CN"/>
              </w:rPr>
              <w:t>资格条件业绩不参与评分：</w:t>
            </w:r>
          </w:p>
          <w:p>
            <w:pPr>
              <w:numPr>
                <w:ilvl w:val="0"/>
                <w:numId w:val="1"/>
              </w:numPr>
              <w:spacing w:line="400" w:lineRule="exact"/>
              <w:rPr>
                <w:sz w:val="21"/>
                <w:szCs w:val="21"/>
                <w:lang w:eastAsia="zh-CN"/>
              </w:rPr>
            </w:pPr>
            <w:r>
              <w:rPr>
                <w:rFonts w:hint="eastAsia"/>
                <w:sz w:val="21"/>
                <w:szCs w:val="21"/>
                <w:lang w:eastAsia="zh-CN"/>
              </w:rPr>
              <w:t>自2018年1月1日至报价截止日（以合同签订时间为准），每至少具有_1_个海关监管区工可研究或设计的业绩得5分，最多得</w:t>
            </w:r>
            <w:r>
              <w:rPr>
                <w:rFonts w:hint="eastAsia"/>
                <w:sz w:val="21"/>
                <w:szCs w:val="21"/>
                <w:lang w:val="en-US" w:eastAsia="zh-CN"/>
              </w:rPr>
              <w:t>20</w:t>
            </w:r>
            <w:r>
              <w:rPr>
                <w:rFonts w:hint="eastAsia"/>
                <w:sz w:val="21"/>
                <w:szCs w:val="21"/>
                <w:lang w:eastAsia="zh-CN"/>
              </w:rPr>
              <w:t>分。</w:t>
            </w:r>
          </w:p>
          <w:p>
            <w:pPr>
              <w:numPr>
                <w:ilvl w:val="0"/>
                <w:numId w:val="1"/>
              </w:numPr>
              <w:spacing w:line="400" w:lineRule="exact"/>
              <w:rPr>
                <w:sz w:val="21"/>
                <w:szCs w:val="21"/>
                <w:lang w:eastAsia="zh-CN"/>
              </w:rPr>
            </w:pPr>
            <w:r>
              <w:rPr>
                <w:rFonts w:hint="eastAsia"/>
                <w:sz w:val="21"/>
                <w:szCs w:val="21"/>
                <w:lang w:eastAsia="zh-CN"/>
              </w:rPr>
              <w:t>拟委派的设计负责人参与过1个海关监管区工可研究或设计得5分，最多得</w:t>
            </w:r>
            <w:r>
              <w:rPr>
                <w:rFonts w:hint="eastAsia"/>
                <w:sz w:val="21"/>
                <w:szCs w:val="21"/>
                <w:lang w:val="en-US" w:eastAsia="zh-CN"/>
              </w:rPr>
              <w:t>10</w:t>
            </w:r>
            <w:r>
              <w:rPr>
                <w:rFonts w:hint="eastAsia"/>
                <w:sz w:val="21"/>
                <w:szCs w:val="21"/>
                <w:lang w:eastAsia="zh-CN"/>
              </w:rPr>
              <w:t>分。</w:t>
            </w:r>
          </w:p>
        </w:tc>
      </w:tr>
    </w:tbl>
    <w:p>
      <w:pPr>
        <w:snapToGrid w:val="0"/>
        <w:spacing w:line="400" w:lineRule="exact"/>
        <w:jc w:val="center"/>
        <w:rPr>
          <w:rFonts w:hint="eastAsia"/>
          <w:b/>
          <w:sz w:val="21"/>
          <w:szCs w:val="21"/>
          <w:lang w:eastAsia="zh-CN"/>
        </w:rPr>
      </w:pPr>
      <w:r>
        <w:rPr>
          <w:rFonts w:hint="eastAsia"/>
          <w:b/>
          <w:sz w:val="21"/>
          <w:szCs w:val="21"/>
          <w:lang w:eastAsia="zh-CN"/>
        </w:rPr>
        <w:t>备注：以上所有证明材料均需提供复印件，并加盖公章，统一装订入报价文件</w:t>
      </w:r>
    </w:p>
    <w:p>
      <w:pPr>
        <w:spacing w:line="510" w:lineRule="exact"/>
        <w:ind w:firstLine="640" w:firstLineChars="200"/>
        <w:jc w:val="both"/>
        <w:rPr>
          <w:rFonts w:hint="default"/>
          <w:bCs/>
          <w:sz w:val="32"/>
          <w:szCs w:val="32"/>
          <w:lang w:val="en-US" w:eastAsia="zh-CN"/>
        </w:rPr>
      </w:pPr>
      <w:r>
        <w:rPr>
          <w:rFonts w:hint="eastAsia"/>
          <w:bCs/>
          <w:sz w:val="32"/>
          <w:szCs w:val="32"/>
          <w:lang w:val="en-US" w:eastAsia="zh-CN"/>
        </w:rPr>
        <w:t>2.3综合评估法会邀请专家进行评审，评审费用包括在报价人的合同总费用中。</w:t>
      </w:r>
    </w:p>
    <w:p>
      <w:pPr>
        <w:spacing w:line="510" w:lineRule="exact"/>
        <w:ind w:firstLine="640" w:firstLineChars="200"/>
        <w:jc w:val="both"/>
        <w:rPr>
          <w:bCs/>
          <w:sz w:val="32"/>
          <w:szCs w:val="32"/>
          <w:lang w:eastAsia="zh-CN"/>
        </w:rPr>
      </w:pPr>
      <w:r>
        <w:rPr>
          <w:rFonts w:hint="eastAsia"/>
          <w:bCs/>
          <w:sz w:val="32"/>
          <w:szCs w:val="32"/>
          <w:lang w:eastAsia="zh-CN"/>
        </w:rPr>
        <w:t>2.</w:t>
      </w:r>
      <w:r>
        <w:rPr>
          <w:rFonts w:hint="eastAsia"/>
          <w:bCs/>
          <w:sz w:val="32"/>
          <w:szCs w:val="32"/>
          <w:lang w:val="en-US" w:eastAsia="zh-CN"/>
        </w:rPr>
        <w:t>4</w:t>
      </w:r>
      <w:r>
        <w:rPr>
          <w:rFonts w:hint="eastAsia"/>
          <w:bCs/>
          <w:sz w:val="32"/>
          <w:szCs w:val="32"/>
          <w:lang w:eastAsia="zh-CN"/>
        </w:rPr>
        <w:t>若报价文件组成不全、未加盖单位公章、未满足资格要求，报价文件将被否决。</w:t>
      </w:r>
    </w:p>
    <w:p>
      <w:pPr>
        <w:spacing w:line="510" w:lineRule="exact"/>
        <w:ind w:firstLine="640" w:firstLineChars="200"/>
        <w:jc w:val="both"/>
        <w:rPr>
          <w:rFonts w:hint="eastAsia" w:ascii="宋体" w:hAnsi="宋体" w:eastAsia="宋体" w:cs="宋体"/>
          <w:bCs/>
          <w:sz w:val="32"/>
          <w:szCs w:val="32"/>
          <w:lang w:val="en-US" w:eastAsia="zh-CN"/>
        </w:rPr>
      </w:pPr>
      <w:r>
        <w:rPr>
          <w:rFonts w:hint="eastAsia" w:ascii="宋体" w:hAnsi="宋体" w:eastAsia="宋体" w:cs="宋体"/>
          <w:bCs/>
          <w:sz w:val="32"/>
          <w:szCs w:val="32"/>
          <w:lang w:val="en-US" w:eastAsia="zh-CN"/>
        </w:rPr>
        <w:t>2.5本次询价属于重新比选范畴，</w:t>
      </w:r>
      <w:r>
        <w:rPr>
          <w:rFonts w:hint="default" w:ascii="宋体" w:hAnsi="宋体" w:eastAsia="宋体" w:cs="宋体"/>
          <w:bCs/>
          <w:sz w:val="32"/>
          <w:szCs w:val="32"/>
          <w:lang w:val="en-US" w:eastAsia="zh-CN"/>
        </w:rPr>
        <w:t>重新比选仅有两家或一家有效报价人参与报价的，经评审可产生中选单位</w:t>
      </w:r>
      <w:bookmarkEnd w:id="15"/>
      <w:bookmarkEnd w:id="16"/>
      <w:bookmarkEnd w:id="17"/>
      <w:bookmarkEnd w:id="18"/>
      <w:bookmarkEnd w:id="19"/>
      <w:r>
        <w:rPr>
          <w:rFonts w:hint="eastAsia" w:ascii="宋体" w:hAnsi="宋体" w:eastAsia="宋体" w:cs="宋体"/>
          <w:bCs/>
          <w:sz w:val="32"/>
          <w:szCs w:val="32"/>
          <w:lang w:val="en-US" w:eastAsia="zh-CN"/>
        </w:rPr>
        <w:t>。</w:t>
      </w:r>
      <w:bookmarkStart w:id="25" w:name="_GoBack"/>
      <w:bookmarkEnd w:id="25"/>
    </w:p>
    <w:sectPr>
      <w:headerReference r:id="rId9" w:type="default"/>
      <w:footerReference r:id="rId10" w:type="default"/>
      <w:pgSz w:w="11907" w:h="16840"/>
      <w:pgMar w:top="1440" w:right="1797" w:bottom="1440" w:left="1797" w:header="851" w:footer="992" w:gutter="0"/>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DE60C9-AFEF-47EE-BC32-ECF17D55C3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0002A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8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altName w:val="黑体"/>
    <w:panose1 w:val="00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embedRegular r:id="rId2" w:fontKey="{91F2ED50-4C8E-40D5-9660-90B7F58B42CB}"/>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6A6D74"/>
    <w:multiLevelType w:val="singleLevel"/>
    <w:tmpl w:val="F96A6D7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HorizontalSpacing w:val="1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zNDg1MDk5NmUyYmRmNmNmMzhhYzAxZGRlYjcxZmQifQ=="/>
    <w:docVar w:name="KSO_WPS_MARK_KEY" w:val="97cedc81-4529-4975-a28c-f8f6bca8f704"/>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05E6C"/>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76F97"/>
    <w:rsid w:val="00386752"/>
    <w:rsid w:val="003B53AF"/>
    <w:rsid w:val="003D31A3"/>
    <w:rsid w:val="003D654C"/>
    <w:rsid w:val="003D6A6E"/>
    <w:rsid w:val="003F08D5"/>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3029"/>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93B5E"/>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71ECE"/>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33771DF"/>
    <w:rsid w:val="03F90AE6"/>
    <w:rsid w:val="04094C11"/>
    <w:rsid w:val="048A3FA3"/>
    <w:rsid w:val="04C75BA9"/>
    <w:rsid w:val="05046843"/>
    <w:rsid w:val="05CD3DA5"/>
    <w:rsid w:val="0636605F"/>
    <w:rsid w:val="066E658D"/>
    <w:rsid w:val="067A2C61"/>
    <w:rsid w:val="06ED263D"/>
    <w:rsid w:val="07501833"/>
    <w:rsid w:val="07502F82"/>
    <w:rsid w:val="07B745E5"/>
    <w:rsid w:val="08651193"/>
    <w:rsid w:val="08F93D5B"/>
    <w:rsid w:val="09CD7F8F"/>
    <w:rsid w:val="09D87D6A"/>
    <w:rsid w:val="0A95138C"/>
    <w:rsid w:val="0BB95CD2"/>
    <w:rsid w:val="0BFE4292"/>
    <w:rsid w:val="0C292867"/>
    <w:rsid w:val="0CD07E15"/>
    <w:rsid w:val="0CEF255C"/>
    <w:rsid w:val="0CFA4A65"/>
    <w:rsid w:val="0D406B8E"/>
    <w:rsid w:val="0E707BD8"/>
    <w:rsid w:val="0F4B532D"/>
    <w:rsid w:val="0F7A0D2D"/>
    <w:rsid w:val="0F9B23EB"/>
    <w:rsid w:val="0FB66909"/>
    <w:rsid w:val="1022461B"/>
    <w:rsid w:val="10A81391"/>
    <w:rsid w:val="11427629"/>
    <w:rsid w:val="117A6EEF"/>
    <w:rsid w:val="12711EC4"/>
    <w:rsid w:val="13B86C2F"/>
    <w:rsid w:val="14295DAF"/>
    <w:rsid w:val="142A7E51"/>
    <w:rsid w:val="159E24E8"/>
    <w:rsid w:val="15E37CB2"/>
    <w:rsid w:val="16156766"/>
    <w:rsid w:val="162417DF"/>
    <w:rsid w:val="16A76DEE"/>
    <w:rsid w:val="17AC5B95"/>
    <w:rsid w:val="19421CE6"/>
    <w:rsid w:val="198130EF"/>
    <w:rsid w:val="19AE416C"/>
    <w:rsid w:val="19DD43BA"/>
    <w:rsid w:val="1A4B45F5"/>
    <w:rsid w:val="1AEB3291"/>
    <w:rsid w:val="1AFA7273"/>
    <w:rsid w:val="1B163FDB"/>
    <w:rsid w:val="1BAC22F3"/>
    <w:rsid w:val="1C4D4E8D"/>
    <w:rsid w:val="1CEB3111"/>
    <w:rsid w:val="1D1E25DF"/>
    <w:rsid w:val="1D4E223C"/>
    <w:rsid w:val="1D652848"/>
    <w:rsid w:val="1D7F62E2"/>
    <w:rsid w:val="1DD736C3"/>
    <w:rsid w:val="214F773B"/>
    <w:rsid w:val="21CC3BA7"/>
    <w:rsid w:val="21E3769E"/>
    <w:rsid w:val="22102401"/>
    <w:rsid w:val="228765EB"/>
    <w:rsid w:val="234E4979"/>
    <w:rsid w:val="23F35FBC"/>
    <w:rsid w:val="241174C5"/>
    <w:rsid w:val="24304B96"/>
    <w:rsid w:val="24430E72"/>
    <w:rsid w:val="24B738C2"/>
    <w:rsid w:val="255178E6"/>
    <w:rsid w:val="255E1927"/>
    <w:rsid w:val="25F14B98"/>
    <w:rsid w:val="26710645"/>
    <w:rsid w:val="26971D6D"/>
    <w:rsid w:val="26A91696"/>
    <w:rsid w:val="26EA7C92"/>
    <w:rsid w:val="2702368A"/>
    <w:rsid w:val="272F2851"/>
    <w:rsid w:val="274F3DB2"/>
    <w:rsid w:val="279C6923"/>
    <w:rsid w:val="27BD1AEB"/>
    <w:rsid w:val="28FC289D"/>
    <w:rsid w:val="2914405B"/>
    <w:rsid w:val="29156EF2"/>
    <w:rsid w:val="293435B5"/>
    <w:rsid w:val="2B052B73"/>
    <w:rsid w:val="2B6948BD"/>
    <w:rsid w:val="2BF539B5"/>
    <w:rsid w:val="2C2963F3"/>
    <w:rsid w:val="2C61237F"/>
    <w:rsid w:val="2D280A7E"/>
    <w:rsid w:val="2FCD04BE"/>
    <w:rsid w:val="30770EFE"/>
    <w:rsid w:val="319A23E2"/>
    <w:rsid w:val="3206472E"/>
    <w:rsid w:val="320A5AE9"/>
    <w:rsid w:val="328937F3"/>
    <w:rsid w:val="32F017EB"/>
    <w:rsid w:val="32F120C8"/>
    <w:rsid w:val="33254D78"/>
    <w:rsid w:val="33C83BC3"/>
    <w:rsid w:val="33D85CE8"/>
    <w:rsid w:val="34165A38"/>
    <w:rsid w:val="35153592"/>
    <w:rsid w:val="35276BCD"/>
    <w:rsid w:val="35996867"/>
    <w:rsid w:val="37082FA1"/>
    <w:rsid w:val="37985144"/>
    <w:rsid w:val="387B5356"/>
    <w:rsid w:val="389F0583"/>
    <w:rsid w:val="3A5B7CB2"/>
    <w:rsid w:val="3B3B1938"/>
    <w:rsid w:val="3B536115"/>
    <w:rsid w:val="3B896557"/>
    <w:rsid w:val="3D12686E"/>
    <w:rsid w:val="3D18578A"/>
    <w:rsid w:val="3DA55E6C"/>
    <w:rsid w:val="3E0A4684"/>
    <w:rsid w:val="3E415AC4"/>
    <w:rsid w:val="3EC066EC"/>
    <w:rsid w:val="3ED20001"/>
    <w:rsid w:val="3EE322BE"/>
    <w:rsid w:val="3EED6A2E"/>
    <w:rsid w:val="3EF25A32"/>
    <w:rsid w:val="40201E32"/>
    <w:rsid w:val="4077182C"/>
    <w:rsid w:val="408814E1"/>
    <w:rsid w:val="418D49B0"/>
    <w:rsid w:val="41DC2462"/>
    <w:rsid w:val="42615AA3"/>
    <w:rsid w:val="426A5D19"/>
    <w:rsid w:val="42740C54"/>
    <w:rsid w:val="429947A2"/>
    <w:rsid w:val="42A713D5"/>
    <w:rsid w:val="42EE0B57"/>
    <w:rsid w:val="42FC2B26"/>
    <w:rsid w:val="43EF3495"/>
    <w:rsid w:val="453756CC"/>
    <w:rsid w:val="454A4722"/>
    <w:rsid w:val="455255E8"/>
    <w:rsid w:val="45912351"/>
    <w:rsid w:val="45B11EFA"/>
    <w:rsid w:val="45D85AE0"/>
    <w:rsid w:val="46E4318C"/>
    <w:rsid w:val="471F4D88"/>
    <w:rsid w:val="47584AE5"/>
    <w:rsid w:val="476F30CE"/>
    <w:rsid w:val="479E3A47"/>
    <w:rsid w:val="47D87266"/>
    <w:rsid w:val="48324764"/>
    <w:rsid w:val="48975CAF"/>
    <w:rsid w:val="48BD6EB4"/>
    <w:rsid w:val="49222A1C"/>
    <w:rsid w:val="49A2577D"/>
    <w:rsid w:val="4A321E22"/>
    <w:rsid w:val="4A3546F1"/>
    <w:rsid w:val="4B106456"/>
    <w:rsid w:val="4C6F2EDA"/>
    <w:rsid w:val="4DDF79D2"/>
    <w:rsid w:val="4E03626B"/>
    <w:rsid w:val="4E4C658E"/>
    <w:rsid w:val="4EBB21ED"/>
    <w:rsid w:val="4ECA3387"/>
    <w:rsid w:val="4F7B2533"/>
    <w:rsid w:val="508711A9"/>
    <w:rsid w:val="510E35CE"/>
    <w:rsid w:val="517B4EC0"/>
    <w:rsid w:val="51B322DA"/>
    <w:rsid w:val="51CC3CA7"/>
    <w:rsid w:val="51F850A8"/>
    <w:rsid w:val="526D2EBF"/>
    <w:rsid w:val="53366EE7"/>
    <w:rsid w:val="53A76132"/>
    <w:rsid w:val="54271112"/>
    <w:rsid w:val="54523A5C"/>
    <w:rsid w:val="555C3065"/>
    <w:rsid w:val="55987088"/>
    <w:rsid w:val="56A32E66"/>
    <w:rsid w:val="56E44605"/>
    <w:rsid w:val="56EF6751"/>
    <w:rsid w:val="577747A6"/>
    <w:rsid w:val="577A27D6"/>
    <w:rsid w:val="5821428A"/>
    <w:rsid w:val="582F5D29"/>
    <w:rsid w:val="58457A3A"/>
    <w:rsid w:val="584B30B0"/>
    <w:rsid w:val="593C56D0"/>
    <w:rsid w:val="593F171A"/>
    <w:rsid w:val="59E454CF"/>
    <w:rsid w:val="59F726F3"/>
    <w:rsid w:val="5B052582"/>
    <w:rsid w:val="5B297B8D"/>
    <w:rsid w:val="5B57543C"/>
    <w:rsid w:val="5BAF33C3"/>
    <w:rsid w:val="5BE066C1"/>
    <w:rsid w:val="5C1726A7"/>
    <w:rsid w:val="5C1B578B"/>
    <w:rsid w:val="5CA00DF1"/>
    <w:rsid w:val="5CFD0956"/>
    <w:rsid w:val="5D313A8F"/>
    <w:rsid w:val="5D32446E"/>
    <w:rsid w:val="5DA1040B"/>
    <w:rsid w:val="5DA77392"/>
    <w:rsid w:val="5DBD4136"/>
    <w:rsid w:val="5E7D7B12"/>
    <w:rsid w:val="5E96017E"/>
    <w:rsid w:val="5EAE4586"/>
    <w:rsid w:val="5EB934BF"/>
    <w:rsid w:val="5EE35962"/>
    <w:rsid w:val="5EF2527F"/>
    <w:rsid w:val="5F293FEF"/>
    <w:rsid w:val="5F4768A1"/>
    <w:rsid w:val="5F684F4C"/>
    <w:rsid w:val="5FA74DF5"/>
    <w:rsid w:val="60895210"/>
    <w:rsid w:val="60DC0379"/>
    <w:rsid w:val="60F91A9B"/>
    <w:rsid w:val="61033B4B"/>
    <w:rsid w:val="61681DAA"/>
    <w:rsid w:val="62137647"/>
    <w:rsid w:val="638216B1"/>
    <w:rsid w:val="63A44F4C"/>
    <w:rsid w:val="64761A1E"/>
    <w:rsid w:val="65585085"/>
    <w:rsid w:val="664F4D81"/>
    <w:rsid w:val="67015D83"/>
    <w:rsid w:val="676C3643"/>
    <w:rsid w:val="67B30A70"/>
    <w:rsid w:val="68466749"/>
    <w:rsid w:val="68562C5D"/>
    <w:rsid w:val="68762F5B"/>
    <w:rsid w:val="689313CC"/>
    <w:rsid w:val="69E81028"/>
    <w:rsid w:val="6C427458"/>
    <w:rsid w:val="6D541C74"/>
    <w:rsid w:val="6DAD722E"/>
    <w:rsid w:val="6DE06576"/>
    <w:rsid w:val="70656815"/>
    <w:rsid w:val="707B061D"/>
    <w:rsid w:val="70833368"/>
    <w:rsid w:val="709655A9"/>
    <w:rsid w:val="70D83866"/>
    <w:rsid w:val="710D7515"/>
    <w:rsid w:val="7139605B"/>
    <w:rsid w:val="71B25E42"/>
    <w:rsid w:val="72B14FD5"/>
    <w:rsid w:val="736D23B4"/>
    <w:rsid w:val="737F3A69"/>
    <w:rsid w:val="74181201"/>
    <w:rsid w:val="743D400A"/>
    <w:rsid w:val="74590E55"/>
    <w:rsid w:val="755A6876"/>
    <w:rsid w:val="755F3CFE"/>
    <w:rsid w:val="756555F5"/>
    <w:rsid w:val="760D0BC5"/>
    <w:rsid w:val="762D6621"/>
    <w:rsid w:val="76575395"/>
    <w:rsid w:val="77AC105E"/>
    <w:rsid w:val="77AD20AE"/>
    <w:rsid w:val="77B51620"/>
    <w:rsid w:val="77C850D7"/>
    <w:rsid w:val="78286988"/>
    <w:rsid w:val="7861167A"/>
    <w:rsid w:val="78E04108"/>
    <w:rsid w:val="797A11F6"/>
    <w:rsid w:val="7A0553E8"/>
    <w:rsid w:val="7A3E4002"/>
    <w:rsid w:val="7AAF6562"/>
    <w:rsid w:val="7C4D729D"/>
    <w:rsid w:val="7D100213"/>
    <w:rsid w:val="7DCC7838"/>
    <w:rsid w:val="7E4F19DC"/>
    <w:rsid w:val="7EBD184F"/>
    <w:rsid w:val="7F227A7B"/>
    <w:rsid w:val="7F49148B"/>
    <w:rsid w:val="7F7108CD"/>
    <w:rsid w:val="7FAF02EF"/>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85"/>
    <w:qFormat/>
    <w:uiPriority w:val="0"/>
    <w:rPr>
      <w:rFonts w:asciiTheme="minorHAnsi" w:hAnsiTheme="minorHAnsi" w:cstheme="minorBidi"/>
      <w:kern w:val="2"/>
      <w:sz w:val="21"/>
      <w:szCs w:val="24"/>
      <w:lang w:eastAsia="zh-CN"/>
    </w:rPr>
  </w:style>
  <w:style w:type="paragraph" w:styleId="18">
    <w:name w:val="Body Text 3"/>
    <w:basedOn w:val="1"/>
    <w:link w:val="100"/>
    <w:qFormat/>
    <w:uiPriority w:val="0"/>
    <w:pPr>
      <w:jc w:val="both"/>
    </w:pPr>
    <w:rPr>
      <w:rFonts w:hAnsiTheme="minorHAnsi" w:eastAsiaTheme="minorEastAsia" w:cstheme="minorBidi"/>
      <w:kern w:val="2"/>
      <w:sz w:val="24"/>
      <w:lang w:eastAsia="zh-CN"/>
    </w:rPr>
  </w:style>
  <w:style w:type="paragraph" w:styleId="19">
    <w:name w:val="Body Text"/>
    <w:basedOn w:val="1"/>
    <w:link w:val="55"/>
    <w:qFormat/>
    <w:uiPriority w:val="0"/>
    <w:rPr>
      <w:sz w:val="21"/>
      <w:szCs w:val="21"/>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7"/>
    <w:next w:val="17"/>
    <w:link w:val="96"/>
    <w:unhideWhenUsed/>
    <w:qFormat/>
    <w:uiPriority w:val="0"/>
    <w:rPr>
      <w:rFonts w:ascii="宋体" w:hAnsi="宋体" w:cs="宋体"/>
      <w:b/>
      <w:bCs/>
    </w:rPr>
  </w:style>
  <w:style w:type="paragraph" w:styleId="43">
    <w:name w:val="Body Text First Indent"/>
    <w:basedOn w:val="19"/>
    <w:link w:val="117"/>
    <w:qFormat/>
    <w:uiPriority w:val="0"/>
    <w:pPr>
      <w:spacing w:after="120"/>
      <w:ind w:firstLine="420" w:firstLineChars="100"/>
      <w:jc w:val="both"/>
    </w:pPr>
    <w:rPr>
      <w:rFonts w:asciiTheme="minorHAnsi" w:hAnsiTheme="minorHAnsi" w:cstheme="minorBidi"/>
      <w:kern w:val="2"/>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9"/>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8"/>
    <w:qFormat/>
    <w:uiPriority w:val="0"/>
    <w:rPr>
      <w:rFonts w:ascii="Times New Roman" w:hAnsi="Times New Roman" w:eastAsia="宋体" w:cs="Times New Roman"/>
      <w:b/>
      <w:bCs/>
      <w:sz w:val="28"/>
      <w:szCs w:val="28"/>
    </w:rPr>
  </w:style>
  <w:style w:type="character" w:customStyle="1" w:styleId="65">
    <w:name w:val="标题 6 Char"/>
    <w:basedOn w:val="46"/>
    <w:link w:val="9"/>
    <w:qFormat/>
    <w:uiPriority w:val="0"/>
    <w:rPr>
      <w:rFonts w:ascii="Arial" w:hAnsi="Arial" w:eastAsia="黑体" w:cs="Times New Roman"/>
      <w:b/>
      <w:bCs/>
      <w:kern w:val="0"/>
      <w:sz w:val="24"/>
      <w:szCs w:val="24"/>
    </w:rPr>
  </w:style>
  <w:style w:type="character" w:customStyle="1" w:styleId="66">
    <w:name w:val="标题 7 Char"/>
    <w:basedOn w:val="46"/>
    <w:link w:val="10"/>
    <w:qFormat/>
    <w:uiPriority w:val="0"/>
    <w:rPr>
      <w:rFonts w:ascii="Times New Roman" w:hAnsi="Times New Roman" w:eastAsia="宋体" w:cs="Times New Roman"/>
      <w:b/>
      <w:bCs/>
      <w:kern w:val="0"/>
      <w:sz w:val="24"/>
      <w:szCs w:val="24"/>
    </w:rPr>
  </w:style>
  <w:style w:type="character" w:customStyle="1" w:styleId="67">
    <w:name w:val="标题 8 Char"/>
    <w:basedOn w:val="46"/>
    <w:link w:val="11"/>
    <w:qFormat/>
    <w:uiPriority w:val="0"/>
    <w:rPr>
      <w:rFonts w:ascii="Arial" w:hAnsi="Arial" w:eastAsia="黑体" w:cs="Times New Roman"/>
      <w:kern w:val="0"/>
      <w:sz w:val="24"/>
      <w:szCs w:val="24"/>
    </w:rPr>
  </w:style>
  <w:style w:type="character" w:customStyle="1" w:styleId="68">
    <w:name w:val="标题 9 Char"/>
    <w:basedOn w:val="46"/>
    <w:link w:val="12"/>
    <w:qFormat/>
    <w:uiPriority w:val="0"/>
    <w:rPr>
      <w:rFonts w:ascii="Arial" w:hAnsi="Arial" w:eastAsia="黑体" w:cs="Times New Roman"/>
      <w:kern w:val="0"/>
      <w:szCs w:val="21"/>
    </w:rPr>
  </w:style>
  <w:style w:type="character" w:customStyle="1" w:styleId="69">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6"/>
    <w:qFormat/>
    <w:uiPriority w:val="0"/>
    <w:rPr>
      <w:rFonts w:ascii="宋体" w:hAnsi="宋体" w:eastAsia="宋体" w:cs="宋体"/>
      <w:kern w:val="0"/>
      <w:sz w:val="28"/>
      <w:szCs w:val="28"/>
      <w:lang w:eastAsia="en-US"/>
    </w:rPr>
  </w:style>
  <w:style w:type="character" w:customStyle="1" w:styleId="71">
    <w:name w:val="标题 4 Char1"/>
    <w:basedOn w:val="46"/>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3">
    <w:name w:val="列出段落1"/>
    <w:basedOn w:val="1"/>
    <w:qFormat/>
    <w:uiPriority w:val="1"/>
  </w:style>
  <w:style w:type="paragraph" w:customStyle="1" w:styleId="74">
    <w:name w:val="Table Paragraph"/>
    <w:basedOn w:val="1"/>
    <w:qFormat/>
    <w:uiPriority w:val="1"/>
  </w:style>
  <w:style w:type="character" w:customStyle="1" w:styleId="75">
    <w:name w:val="页眉 Char2"/>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标题1"/>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5"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7"/>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8"/>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3"/>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3"/>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6"/>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3"/>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6"/>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列出段落11"/>
    <w:basedOn w:val="1"/>
    <w:qFormat/>
    <w:uiPriority w:val="0"/>
    <w:rPr>
      <w:rFonts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57C47-FF9D-4985-8D61-FD8C6054291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2765</Words>
  <Characters>3072</Characters>
  <Lines>26</Lines>
  <Paragraphs>7</Paragraphs>
  <TotalTime>1</TotalTime>
  <ScaleCrop>false</ScaleCrop>
  <LinksUpToDate>false</LinksUpToDate>
  <CharactersWithSpaces>3153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2022-12-18T11:51:00Z</dcterms:created>
  <dc:creator>朱赵田</dc:creator>
  <cp:lastModifiedBy>顾铭</cp:lastModifiedBy>
  <cp:lastPrinted>2022-05-23T02:37:00Z</cp:lastPrinted>
  <dcterms:modified xsi:type="dcterms:W3CDTF">2023-01-09T07:23:31Z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A8A5C527455D4BA6A96959B435773A03</vt:lpwstr>
  </property>
</Properties>
</file>