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r>
        <w:rPr>
          <w:rFonts w:hint="eastAsia" w:ascii="宋体" w:hAnsi="宋体" w:cs="宋体"/>
          <w:b/>
          <w:sz w:val="48"/>
          <w:szCs w:val="48"/>
        </w:rPr>
        <w:t>重庆高速文化传媒股份有限公司</w:t>
      </w:r>
    </w:p>
    <w:p>
      <w:pPr>
        <w:jc w:val="center"/>
        <w:rPr>
          <w:rFonts w:ascii="宋体" w:hAnsi="宋体" w:eastAsia="宋体" w:cs="宋体"/>
          <w:b/>
          <w:spacing w:val="20"/>
          <w:sz w:val="72"/>
          <w:szCs w:val="72"/>
        </w:rPr>
      </w:pPr>
      <w:r>
        <w:rPr>
          <w:rFonts w:hint="eastAsia" w:ascii="宋体" w:hAnsi="宋体" w:cs="宋体"/>
          <w:b/>
          <w:sz w:val="48"/>
          <w:szCs w:val="48"/>
          <w:lang w:eastAsia="zh-CN"/>
        </w:rPr>
        <w:t>2022</w:t>
      </w:r>
      <w:r>
        <w:rPr>
          <w:rFonts w:hint="eastAsia" w:ascii="宋体" w:hAnsi="宋体" w:cs="宋体"/>
          <w:b/>
          <w:sz w:val="48"/>
          <w:szCs w:val="48"/>
        </w:rPr>
        <w:t>年广告牌修枝项目</w:t>
      </w:r>
    </w:p>
    <w:p>
      <w:pPr>
        <w:pStyle w:val="9"/>
        <w:rPr>
          <w:color w:val="auto"/>
        </w:rPr>
      </w:pPr>
    </w:p>
    <w:p>
      <w:pPr>
        <w:jc w:val="center"/>
        <w:rPr>
          <w:rFonts w:ascii="宋体" w:hAnsi="宋体" w:cs="宋体"/>
          <w:b/>
          <w:spacing w:val="20"/>
          <w:sz w:val="72"/>
          <w:szCs w:val="72"/>
        </w:rPr>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jc w:val="center"/>
        <w:rPr>
          <w:rFonts w:ascii="宋体" w:hAnsi="宋体" w:cs="宋体"/>
          <w:bCs/>
          <w:sz w:val="24"/>
          <w:szCs w:val="24"/>
        </w:rPr>
      </w:pPr>
      <w:r>
        <w:rPr>
          <w:rFonts w:ascii="宋体" w:hAnsi="宋体" w:cs="宋体"/>
          <w:bCs/>
          <w:sz w:val="24"/>
          <w:szCs w:val="24"/>
        </w:rPr>
        <w:t>(</w:t>
      </w:r>
      <w:r>
        <w:rPr>
          <w:rFonts w:hint="eastAsia" w:ascii="宋体" w:hAnsi="宋体" w:cs="宋体"/>
          <w:bCs/>
          <w:sz w:val="24"/>
          <w:szCs w:val="24"/>
        </w:rPr>
        <w:t>项目编号：</w:t>
      </w:r>
      <w:r>
        <w:rPr>
          <w:rFonts w:hint="eastAsia" w:ascii="宋体" w:hAnsi="宋体" w:cs="宋体"/>
          <w:bCs/>
          <w:sz w:val="24"/>
          <w:szCs w:val="24"/>
          <w:lang w:val="en-US" w:eastAsia="zh-CN"/>
        </w:rPr>
        <w:t xml:space="preserve"> </w:t>
      </w:r>
      <w:r>
        <w:rPr>
          <w:rFonts w:hint="eastAsia" w:ascii="宋体" w:hAnsi="宋体" w:cs="宋体"/>
          <w:bCs/>
          <w:sz w:val="24"/>
          <w:szCs w:val="24"/>
        </w:rPr>
        <w:t>)</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9"/>
        <w:rPr>
          <w:rFonts w:ascii="宋体" w:hAnsi="宋体" w:cs="宋体"/>
          <w:color w:val="auto"/>
          <w:szCs w:val="21"/>
        </w:rPr>
      </w:pPr>
    </w:p>
    <w:p>
      <w:pPr>
        <w:pStyle w:val="9"/>
        <w:rPr>
          <w:rFonts w:ascii="宋体" w:hAnsi="宋体" w:cs="宋体"/>
          <w:color w:val="auto"/>
          <w:szCs w:val="21"/>
        </w:rPr>
      </w:pPr>
    </w:p>
    <w:p>
      <w:pPr>
        <w:rPr>
          <w:rFonts w:ascii="宋体" w:hAnsi="宋体" w:cs="宋体"/>
          <w:szCs w:val="21"/>
        </w:rPr>
      </w:pPr>
    </w:p>
    <w:p>
      <w:pPr>
        <w:pStyle w:val="2"/>
        <w:rPr>
          <w:rFonts w:ascii="宋体" w:hAnsi="宋体" w:cs="宋体"/>
          <w:szCs w:val="21"/>
        </w:rPr>
      </w:pPr>
    </w:p>
    <w:p/>
    <w:p>
      <w:pPr>
        <w:rPr>
          <w:rFonts w:ascii="宋体" w:hAnsi="宋体" w:cs="宋体"/>
          <w:spacing w:val="100"/>
          <w:szCs w:val="21"/>
        </w:rPr>
      </w:pP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rPr>
        <w:t>重庆高速文化传媒股份有限公司</w:t>
      </w:r>
    </w:p>
    <w:p>
      <w:pPr>
        <w:pStyle w:val="3"/>
        <w:spacing w:line="360" w:lineRule="auto"/>
        <w:ind w:left="99" w:leftChars="47"/>
        <w:jc w:val="center"/>
        <w:rPr>
          <w:rFonts w:ascii="宋体" w:hAnsi="宋体" w:cs="宋体"/>
          <w:b/>
          <w:sz w:val="32"/>
          <w:szCs w:val="32"/>
        </w:rPr>
      </w:pPr>
      <w:r>
        <w:rPr>
          <w:rFonts w:hint="eastAsia" w:ascii="宋体" w:hAnsi="宋体" w:cs="宋体"/>
          <w:b/>
          <w:sz w:val="32"/>
          <w:szCs w:val="32"/>
          <w:lang w:eastAsia="zh-CN"/>
        </w:rPr>
        <w:t>202</w:t>
      </w:r>
      <w:r>
        <w:rPr>
          <w:rFonts w:hint="eastAsia" w:ascii="宋体" w:hAnsi="宋体" w:cs="宋体"/>
          <w:b/>
          <w:sz w:val="32"/>
          <w:szCs w:val="32"/>
          <w:lang w:val="en-US" w:eastAsia="zh-CN"/>
        </w:rPr>
        <w:t>1</w:t>
      </w:r>
      <w:r>
        <w:rPr>
          <w:rFonts w:hint="eastAsia" w:ascii="宋体" w:hAnsi="宋体" w:cs="宋体"/>
          <w:b/>
          <w:sz w:val="32"/>
          <w:szCs w:val="32"/>
        </w:rPr>
        <w:t>年</w:t>
      </w:r>
      <w:r>
        <w:rPr>
          <w:rFonts w:hint="eastAsia" w:ascii="宋体" w:hAnsi="宋体" w:cs="宋体"/>
          <w:b/>
          <w:sz w:val="32"/>
          <w:szCs w:val="32"/>
          <w:lang w:val="en-US" w:eastAsia="zh-CN"/>
        </w:rPr>
        <w:t xml:space="preserve">  </w:t>
      </w:r>
      <w:r>
        <w:rPr>
          <w:rFonts w:hint="eastAsia" w:ascii="宋体" w:hAnsi="宋体" w:cs="宋体"/>
          <w:b/>
          <w:sz w:val="32"/>
          <w:szCs w:val="32"/>
        </w:rPr>
        <w:t>月</w:t>
      </w:r>
    </w:p>
    <w:p>
      <w:pPr>
        <w:jc w:val="center"/>
        <w:rPr>
          <w:rFonts w:ascii="宋体" w:hAnsi="宋体" w:cs="宋体"/>
          <w:b/>
          <w:sz w:val="30"/>
          <w:szCs w:val="30"/>
        </w:rPr>
      </w:pPr>
    </w:p>
    <w:p>
      <w:pPr>
        <w:jc w:val="center"/>
        <w:rPr>
          <w:rFonts w:ascii="宋体" w:hAnsi="宋体" w:cs="宋体"/>
          <w:b/>
          <w:sz w:val="30"/>
          <w:szCs w:val="30"/>
        </w:rPr>
      </w:pPr>
    </w:p>
    <w:p>
      <w:pPr>
        <w:jc w:val="center"/>
        <w:rPr>
          <w:rFonts w:ascii="宋体" w:hAnsi="宋体" w:cs="宋体"/>
          <w:b/>
          <w:sz w:val="30"/>
          <w:szCs w:val="30"/>
        </w:rPr>
      </w:pPr>
      <w:r>
        <w:rPr>
          <w:rFonts w:hint="eastAsia" w:ascii="宋体" w:hAnsi="宋体" w:cs="宋体"/>
          <w:b/>
          <w:sz w:val="30"/>
          <w:szCs w:val="30"/>
        </w:rPr>
        <w:t>重庆高速文化传媒股份有限公司</w:t>
      </w:r>
      <w:r>
        <w:rPr>
          <w:rFonts w:hint="eastAsia" w:ascii="宋体" w:hAnsi="宋体" w:cs="宋体"/>
          <w:b/>
          <w:sz w:val="30"/>
          <w:szCs w:val="30"/>
          <w:lang w:eastAsia="zh-CN"/>
        </w:rPr>
        <w:t>2022</w:t>
      </w:r>
      <w:r>
        <w:rPr>
          <w:rFonts w:hint="eastAsia" w:ascii="宋体" w:hAnsi="宋体" w:cs="宋体"/>
          <w:b/>
          <w:sz w:val="30"/>
          <w:szCs w:val="30"/>
        </w:rPr>
        <w:t>年广告牌修枝项目</w:t>
      </w:r>
    </w:p>
    <w:p>
      <w:pPr>
        <w:jc w:val="center"/>
        <w:rPr>
          <w:rFonts w:ascii="宋体" w:hAnsi="宋体" w:cs="宋体"/>
          <w:b/>
          <w:sz w:val="30"/>
          <w:szCs w:val="30"/>
        </w:rPr>
      </w:pP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179632536"/>
      <w:bookmarkStart w:id="1" w:name="_Toc246996166"/>
      <w:bookmarkStart w:id="2" w:name="_Toc247085680"/>
      <w:bookmarkStart w:id="3" w:name="_Toc152045519"/>
      <w:bookmarkStart w:id="4" w:name="_Toc144974487"/>
      <w:bookmarkStart w:id="5" w:name="_Toc246996909"/>
      <w:bookmarkStart w:id="6" w:name="_Toc152042295"/>
      <w:bookmarkStart w:id="7" w:name="_Toc296602410"/>
    </w:p>
    <w:bookmarkEnd w:id="0"/>
    <w:bookmarkEnd w:id="1"/>
    <w:bookmarkEnd w:id="2"/>
    <w:bookmarkEnd w:id="3"/>
    <w:bookmarkEnd w:id="4"/>
    <w:bookmarkEnd w:id="5"/>
    <w:bookmarkEnd w:id="6"/>
    <w:bookmarkEnd w:id="7"/>
    <w:p>
      <w:pPr>
        <w:wordWrap w:val="0"/>
        <w:spacing w:line="400" w:lineRule="exact"/>
        <w:ind w:firstLine="420" w:firstLineChars="200"/>
        <w:jc w:val="left"/>
        <w:rPr>
          <w:szCs w:val="21"/>
        </w:rPr>
      </w:pPr>
      <w:bookmarkStart w:id="8" w:name="_Toc246996911"/>
      <w:bookmarkStart w:id="9" w:name="_Toc247085682"/>
      <w:bookmarkStart w:id="10" w:name="_Toc152042297"/>
      <w:bookmarkStart w:id="11" w:name="_Toc296602412"/>
      <w:bookmarkStart w:id="12" w:name="_Toc152045521"/>
      <w:bookmarkStart w:id="13" w:name="_Toc246996168"/>
      <w:bookmarkStart w:id="14" w:name="_Toc144974489"/>
      <w:bookmarkStart w:id="15" w:name="_Toc179632538"/>
      <w:r>
        <w:rPr>
          <w:szCs w:val="21"/>
        </w:rPr>
        <w:t>本项目</w:t>
      </w:r>
      <w:r>
        <w:rPr>
          <w:rFonts w:hint="eastAsia"/>
          <w:b/>
          <w:bCs/>
          <w:szCs w:val="21"/>
        </w:rPr>
        <w:t>重庆高速文化传媒股份有限公司</w:t>
      </w:r>
      <w:r>
        <w:rPr>
          <w:rFonts w:hint="eastAsia"/>
          <w:b/>
          <w:bCs/>
          <w:szCs w:val="21"/>
          <w:lang w:eastAsia="zh-CN"/>
        </w:rPr>
        <w:t>2022</w:t>
      </w:r>
      <w:r>
        <w:rPr>
          <w:rFonts w:hint="eastAsia"/>
          <w:b/>
          <w:bCs/>
          <w:szCs w:val="21"/>
        </w:rPr>
        <w:t>年广告牌修枝项目</w:t>
      </w:r>
      <w:r>
        <w:rPr>
          <w:szCs w:val="21"/>
        </w:rPr>
        <w:t>准备组织实施，重庆高速文化传媒股份有限公司计划以</w:t>
      </w:r>
      <w:r>
        <w:rPr>
          <w:rFonts w:hint="eastAsia"/>
          <w:szCs w:val="21"/>
        </w:rPr>
        <w:t>公开竞争性比选</w:t>
      </w:r>
      <w:r>
        <w:rPr>
          <w:szCs w:val="21"/>
        </w:rPr>
        <w:t>方式确定</w:t>
      </w:r>
      <w:r>
        <w:rPr>
          <w:rFonts w:hint="eastAsia"/>
          <w:szCs w:val="21"/>
        </w:rPr>
        <w:t>成交</w:t>
      </w:r>
      <w:r>
        <w:rPr>
          <w:szCs w:val="21"/>
        </w:rPr>
        <w:t>单位，具体情况如下：</w:t>
      </w:r>
    </w:p>
    <w:p>
      <w:pPr>
        <w:spacing w:line="400" w:lineRule="exact"/>
        <w:rPr>
          <w:b/>
          <w:szCs w:val="21"/>
        </w:rPr>
      </w:pPr>
      <w:bookmarkStart w:id="16" w:name="_Toc179632537"/>
      <w:bookmarkStart w:id="17" w:name="_Toc296602411"/>
      <w:bookmarkStart w:id="18" w:name="_Toc246996167"/>
      <w:bookmarkStart w:id="19" w:name="_Toc247085681"/>
      <w:bookmarkStart w:id="20" w:name="_Toc144974488"/>
      <w:bookmarkStart w:id="21" w:name="_Toc246996910"/>
      <w:bookmarkStart w:id="22" w:name="_Toc152042296"/>
      <w:bookmarkStart w:id="23" w:name="_Toc152045520"/>
      <w:r>
        <w:rPr>
          <w:b/>
          <w:szCs w:val="21"/>
        </w:rPr>
        <w:t>一、项目概况与</w:t>
      </w:r>
      <w:r>
        <w:rPr>
          <w:rFonts w:hint="eastAsia"/>
          <w:b/>
          <w:szCs w:val="21"/>
        </w:rPr>
        <w:t>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szCs w:val="21"/>
        </w:rPr>
      </w:pPr>
      <w:r>
        <w:rPr>
          <w:szCs w:val="21"/>
        </w:rPr>
        <w:t>本项目为</w:t>
      </w:r>
      <w:r>
        <w:rPr>
          <w:rFonts w:hint="eastAsia"/>
          <w:szCs w:val="21"/>
        </w:rPr>
        <w:t>重庆高速文化传媒股份有限公司</w:t>
      </w:r>
      <w:r>
        <w:rPr>
          <w:rFonts w:hint="eastAsia"/>
          <w:szCs w:val="21"/>
          <w:lang w:eastAsia="zh-CN"/>
        </w:rPr>
        <w:t>2022</w:t>
      </w:r>
      <w:r>
        <w:rPr>
          <w:rFonts w:hint="eastAsia"/>
          <w:szCs w:val="21"/>
        </w:rPr>
        <w:t>年广告牌修枝项目</w:t>
      </w:r>
      <w:r>
        <w:rPr>
          <w:szCs w:val="21"/>
        </w:rPr>
        <w:t>。本项目为一个</w:t>
      </w:r>
      <w:r>
        <w:rPr>
          <w:rFonts w:hint="eastAsia"/>
          <w:szCs w:val="21"/>
        </w:rPr>
        <w:t>标段实施，具体实施点位由比选人下发清单确定</w:t>
      </w:r>
      <w:r>
        <w:rPr>
          <w:szCs w:val="21"/>
        </w:rPr>
        <w:t>。</w:t>
      </w:r>
      <w:r>
        <w:rPr>
          <w:rFonts w:hint="eastAsia"/>
          <w:szCs w:val="21"/>
          <w:lang w:val="en-US" w:eastAsia="zh-CN"/>
        </w:rPr>
        <w:t>修枝数量和点位可根据具体情况进行调整。</w:t>
      </w:r>
    </w:p>
    <w:p>
      <w:pPr>
        <w:widowControl/>
        <w:spacing w:line="400" w:lineRule="exact"/>
        <w:ind w:firstLine="422" w:firstLineChars="200"/>
        <w:rPr>
          <w:b/>
          <w:bCs/>
          <w:szCs w:val="21"/>
        </w:rPr>
      </w:pPr>
      <w:r>
        <w:rPr>
          <w:b/>
          <w:bCs/>
          <w:szCs w:val="21"/>
        </w:rPr>
        <w:t>1、工程内容：</w:t>
      </w:r>
    </w:p>
    <w:p>
      <w:pPr>
        <w:spacing w:line="400" w:lineRule="exact"/>
        <w:ind w:firstLine="420" w:firstLineChars="200"/>
        <w:rPr>
          <w:color w:val="auto"/>
          <w:kern w:val="0"/>
          <w:szCs w:val="21"/>
        </w:rPr>
      </w:pPr>
      <w:r>
        <w:rPr>
          <w:color w:val="auto"/>
          <w:kern w:val="0"/>
          <w:szCs w:val="21"/>
        </w:rPr>
        <w:t>（1）</w:t>
      </w:r>
      <w:r>
        <w:rPr>
          <w:rFonts w:hint="eastAsia"/>
          <w:color w:val="auto"/>
          <w:kern w:val="0"/>
          <w:szCs w:val="21"/>
        </w:rPr>
        <w:t>施工</w:t>
      </w:r>
      <w:r>
        <w:rPr>
          <w:snapToGrid w:val="0"/>
          <w:color w:val="auto"/>
          <w:kern w:val="0"/>
          <w:szCs w:val="21"/>
        </w:rPr>
        <w:t>地点：</w:t>
      </w:r>
      <w:r>
        <w:rPr>
          <w:rFonts w:hint="eastAsia"/>
          <w:snapToGrid w:val="0"/>
          <w:color w:val="auto"/>
          <w:kern w:val="0"/>
          <w:szCs w:val="21"/>
        </w:rPr>
        <w:t>重庆绕城高速、渝黔高速、渝湘高速、沪蓉高速、沪渝高速、渝蓉高速、渝武高速</w:t>
      </w:r>
      <w:r>
        <w:rPr>
          <w:rFonts w:hint="eastAsia"/>
          <w:snapToGrid w:val="0"/>
          <w:color w:val="auto"/>
          <w:kern w:val="0"/>
          <w:szCs w:val="21"/>
          <w:lang w:eastAsia="zh-CN"/>
        </w:rPr>
        <w:t>、渝邻高速、成渝高速</w:t>
      </w:r>
      <w:r>
        <w:rPr>
          <w:rFonts w:hint="eastAsia"/>
          <w:snapToGrid w:val="0"/>
          <w:color w:val="auto"/>
          <w:kern w:val="0"/>
          <w:szCs w:val="21"/>
        </w:rPr>
        <w:t>等重庆高速公路境内</w:t>
      </w:r>
      <w:r>
        <w:rPr>
          <w:rFonts w:hint="eastAsia"/>
          <w:color w:val="auto"/>
          <w:kern w:val="0"/>
          <w:szCs w:val="21"/>
        </w:rPr>
        <w:t>。</w:t>
      </w:r>
    </w:p>
    <w:p>
      <w:pPr>
        <w:spacing w:line="400" w:lineRule="exact"/>
        <w:ind w:firstLine="420" w:firstLineChars="200"/>
        <w:rPr>
          <w:snapToGrid w:val="0"/>
          <w:color w:val="auto"/>
          <w:kern w:val="0"/>
          <w:szCs w:val="21"/>
        </w:rPr>
      </w:pPr>
      <w:r>
        <w:rPr>
          <w:rFonts w:hint="eastAsia"/>
          <w:color w:val="auto"/>
          <w:kern w:val="0"/>
          <w:szCs w:val="21"/>
        </w:rPr>
        <w:t>（2）施工</w:t>
      </w:r>
      <w:r>
        <w:rPr>
          <w:rFonts w:hint="eastAsia"/>
          <w:snapToGrid w:val="0"/>
          <w:color w:val="auto"/>
          <w:kern w:val="0"/>
          <w:szCs w:val="21"/>
        </w:rPr>
        <w:t>内容及范围：高速公路内（具体数量详见附件）比选人经营被绿化遮挡的广告媒体进行绿化修剪树枝遮挡修剪工作，要求</w:t>
      </w:r>
      <w:r>
        <w:rPr>
          <w:rFonts w:hint="eastAsia" w:ascii="宋体" w:hAnsi="宋体"/>
          <w:color w:val="auto"/>
          <w:szCs w:val="21"/>
        </w:rPr>
        <w:t>行车道上距离广告牌</w:t>
      </w:r>
      <w:r>
        <w:rPr>
          <w:rFonts w:hint="eastAsia" w:ascii="宋体" w:hAnsi="宋体"/>
          <w:color w:val="auto"/>
          <w:szCs w:val="21"/>
          <w:u w:val="single"/>
        </w:rPr>
        <w:t>300</w:t>
      </w:r>
      <w:r>
        <w:rPr>
          <w:rFonts w:hint="eastAsia"/>
          <w:bCs/>
          <w:color w:val="auto"/>
          <w:szCs w:val="21"/>
          <w:u w:val="single"/>
        </w:rPr>
        <w:t>~</w:t>
      </w:r>
      <w:r>
        <w:rPr>
          <w:rFonts w:hint="eastAsia" w:ascii="宋体" w:hAnsi="宋体"/>
          <w:color w:val="auto"/>
          <w:szCs w:val="21"/>
          <w:u w:val="single"/>
        </w:rPr>
        <w:t>500米</w:t>
      </w:r>
      <w:r>
        <w:rPr>
          <w:rFonts w:hint="eastAsia" w:ascii="宋体" w:hAnsi="宋体"/>
          <w:color w:val="auto"/>
          <w:szCs w:val="21"/>
        </w:rPr>
        <w:t>，直视可看完整广告牌。共</w:t>
      </w:r>
      <w:r>
        <w:rPr>
          <w:rFonts w:hint="eastAsia" w:ascii="宋体" w:hAnsi="宋体"/>
          <w:color w:val="auto"/>
          <w:szCs w:val="21"/>
          <w:lang w:val="en-US" w:eastAsia="zh-CN"/>
        </w:rPr>
        <w:t>100</w:t>
      </w:r>
      <w:r>
        <w:rPr>
          <w:rFonts w:hint="eastAsia" w:ascii="宋体" w:hAnsi="宋体"/>
          <w:color w:val="auto"/>
          <w:szCs w:val="21"/>
        </w:rPr>
        <w:t>处修枝，要求广告媒体的两侧均满足上述要求。报价采用综合单价，单价为包干价，包含了实施和完成工程所需的劳务、机械、协调、安全生产、质检（自检）、管理、保险、税费、利润、手续办理、交通组织、竣工文件编制和交竣工验收等费用。</w:t>
      </w:r>
    </w:p>
    <w:p>
      <w:pPr>
        <w:spacing w:line="400" w:lineRule="exact"/>
        <w:ind w:firstLine="420" w:firstLineChars="200"/>
        <w:rPr>
          <w:color w:val="auto"/>
          <w:kern w:val="0"/>
          <w:szCs w:val="21"/>
        </w:rPr>
      </w:pPr>
      <w:r>
        <w:rPr>
          <w:rFonts w:hint="eastAsia"/>
          <w:color w:val="auto"/>
          <w:kern w:val="0"/>
          <w:szCs w:val="21"/>
        </w:rPr>
        <w:t>（3）工期：按照比选人需求为准，原则上单点</w:t>
      </w:r>
      <w:r>
        <w:rPr>
          <w:rFonts w:hint="eastAsia"/>
          <w:color w:val="auto"/>
          <w:kern w:val="0"/>
          <w:szCs w:val="21"/>
          <w:lang w:val="en-US" w:eastAsia="zh-CN"/>
        </w:rPr>
        <w:t>位</w:t>
      </w:r>
      <w:r>
        <w:rPr>
          <w:rFonts w:hint="eastAsia"/>
          <w:color w:val="auto"/>
          <w:kern w:val="0"/>
          <w:szCs w:val="21"/>
        </w:rPr>
        <w:t>在3个工作日内完成。</w:t>
      </w:r>
    </w:p>
    <w:p>
      <w:pPr>
        <w:pStyle w:val="2"/>
        <w:ind w:left="0" w:firstLine="0"/>
        <w:rPr>
          <w:color w:val="auto"/>
        </w:rPr>
      </w:pPr>
      <w:r>
        <w:rPr>
          <w:rFonts w:hint="eastAsia"/>
          <w:color w:val="auto"/>
          <w:kern w:val="0"/>
          <w:szCs w:val="21"/>
        </w:rPr>
        <w:t xml:space="preserve">   </w:t>
      </w:r>
      <w:r>
        <w:rPr>
          <w:rFonts w:hint="eastAsia" w:asciiTheme="minorHAnsi" w:eastAsiaTheme="minorEastAsia"/>
          <w:b w:val="0"/>
          <w:color w:val="auto"/>
          <w:kern w:val="0"/>
          <w:sz w:val="21"/>
          <w:szCs w:val="21"/>
        </w:rPr>
        <w:t>（4）</w:t>
      </w:r>
      <w:r>
        <w:rPr>
          <w:rFonts w:hint="eastAsia" w:ascii="宋体" w:hAnsi="宋体" w:eastAsiaTheme="minorEastAsia"/>
          <w:b w:val="0"/>
          <w:color w:val="auto"/>
          <w:sz w:val="21"/>
          <w:szCs w:val="21"/>
        </w:rPr>
        <w:t>提示：修枝</w:t>
      </w:r>
      <w:r>
        <w:rPr>
          <w:rFonts w:hint="eastAsia" w:ascii="宋体" w:hAnsi="宋体" w:eastAsiaTheme="minorEastAsia"/>
          <w:b w:val="0"/>
          <w:color w:val="auto"/>
          <w:sz w:val="21"/>
          <w:szCs w:val="21"/>
          <w:lang w:val="en-US" w:eastAsia="zh-CN"/>
        </w:rPr>
        <w:t>点位</w:t>
      </w:r>
      <w:r>
        <w:rPr>
          <w:rFonts w:hint="eastAsia" w:ascii="宋体" w:hAnsi="宋体" w:eastAsiaTheme="minorEastAsia"/>
          <w:b w:val="0"/>
          <w:color w:val="auto"/>
          <w:sz w:val="21"/>
          <w:szCs w:val="21"/>
        </w:rPr>
        <w:t>以招标人下发的工程量清单为准。招标人有权对招标的修枝数量和点位进行调整，</w:t>
      </w:r>
      <w:r>
        <w:rPr>
          <w:rFonts w:hint="eastAsia" w:ascii="宋体" w:hAnsi="宋体" w:eastAsiaTheme="minorEastAsia"/>
          <w:b w:val="0"/>
          <w:color w:val="auto"/>
          <w:sz w:val="21"/>
          <w:szCs w:val="21"/>
          <w:lang w:val="en-US" w:eastAsia="zh-CN"/>
        </w:rPr>
        <w:t>对于单个点位</w:t>
      </w:r>
      <w:r>
        <w:rPr>
          <w:rFonts w:hint="eastAsia" w:ascii="宋体" w:hAnsi="宋体" w:eastAsiaTheme="minorEastAsia"/>
          <w:b w:val="0"/>
          <w:color w:val="auto"/>
          <w:sz w:val="21"/>
          <w:szCs w:val="21"/>
        </w:rPr>
        <w:t>由此所产生的一切费用招标人不单独增加或减少，须由比选申请人自行承担。</w:t>
      </w:r>
    </w:p>
    <w:p>
      <w:pPr>
        <w:widowControl/>
        <w:spacing w:line="400" w:lineRule="exact"/>
        <w:ind w:firstLine="422" w:firstLineChars="200"/>
        <w:rPr>
          <w:b/>
          <w:bCs/>
          <w:szCs w:val="21"/>
        </w:rPr>
      </w:pPr>
      <w:r>
        <w:rPr>
          <w:b/>
          <w:bCs/>
          <w:szCs w:val="21"/>
        </w:rPr>
        <w:t>2、支付条款：</w:t>
      </w:r>
    </w:p>
    <w:p>
      <w:pPr>
        <w:spacing w:line="400" w:lineRule="exact"/>
        <w:ind w:firstLine="420" w:firstLineChars="200"/>
        <w:rPr>
          <w:kern w:val="0"/>
          <w:szCs w:val="21"/>
        </w:rPr>
      </w:pPr>
      <w:r>
        <w:rPr>
          <w:rFonts w:hint="eastAsia"/>
          <w:szCs w:val="21"/>
        </w:rPr>
        <w:t>根据比选人下发的工程量清单，每半年支付一次进度款。</w:t>
      </w:r>
    </w:p>
    <w:p>
      <w:pPr>
        <w:spacing w:line="400" w:lineRule="exact"/>
        <w:rPr>
          <w:b/>
          <w:szCs w:val="21"/>
        </w:rPr>
      </w:pPr>
      <w:r>
        <w:rPr>
          <w:b/>
          <w:szCs w:val="21"/>
        </w:rPr>
        <w:t>二、</w:t>
      </w:r>
      <w:r>
        <w:rPr>
          <w:rFonts w:hint="eastAsia"/>
          <w:b/>
          <w:szCs w:val="21"/>
        </w:rPr>
        <w:t>比选申请</w:t>
      </w:r>
      <w:r>
        <w:rPr>
          <w:b/>
          <w:szCs w:val="21"/>
        </w:rPr>
        <w:t>要求（</w:t>
      </w:r>
      <w:r>
        <w:rPr>
          <w:rFonts w:hint="eastAsia"/>
          <w:b/>
          <w:szCs w:val="21"/>
        </w:rPr>
        <w:t>须同时满足以下资格要求）：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2" w:firstLineChars="200"/>
        <w:rPr>
          <w:rFonts w:ascii="宋体" w:hAnsi="宋体" w:eastAsia="宋体" w:cs="宋体"/>
          <w:b/>
          <w:szCs w:val="21"/>
        </w:rPr>
      </w:pPr>
      <w:r>
        <w:rPr>
          <w:rFonts w:hint="eastAsia" w:ascii="宋体" w:hAnsi="宋体" w:eastAsia="宋体" w:cs="宋体"/>
          <w:b/>
          <w:szCs w:val="21"/>
        </w:rPr>
        <w:t>1.资质要求</w:t>
      </w:r>
    </w:p>
    <w:p>
      <w:pPr>
        <w:spacing w:line="400" w:lineRule="exact"/>
        <w:ind w:firstLine="420" w:firstLineChars="200"/>
        <w:rPr>
          <w:color w:val="auto"/>
          <w:szCs w:val="21"/>
        </w:rPr>
      </w:pPr>
      <w:r>
        <w:rPr>
          <w:rFonts w:hint="eastAsia"/>
          <w:color w:val="auto"/>
          <w:szCs w:val="21"/>
        </w:rPr>
        <w:t>具有独立法人资格，具有有效的营业执照，并在人员、设备、资金等方面具有相应的施工能力；具备有效的安全生产许可证</w:t>
      </w:r>
      <w:r>
        <w:rPr>
          <w:rFonts w:hint="eastAsia"/>
          <w:color w:val="auto"/>
          <w:szCs w:val="21"/>
          <w:lang w:eastAsia="zh-CN"/>
        </w:rPr>
        <w:t>、银行开户许可证，</w:t>
      </w:r>
      <w:r>
        <w:rPr>
          <w:rFonts w:hint="eastAsia"/>
          <w:color w:val="auto"/>
          <w:szCs w:val="21"/>
        </w:rPr>
        <w:t>具备行政主管部门颁发的</w:t>
      </w:r>
      <w:r>
        <w:rPr>
          <w:rFonts w:hint="eastAsia"/>
          <w:color w:val="auto"/>
          <w:szCs w:val="21"/>
          <w:lang w:val="en-US" w:eastAsia="zh-CN"/>
        </w:rPr>
        <w:t>劳务</w:t>
      </w:r>
      <w:r>
        <w:rPr>
          <w:rFonts w:hint="eastAsia"/>
          <w:color w:val="auto"/>
          <w:szCs w:val="21"/>
        </w:rPr>
        <w:t>类相关资质。</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ascii="宋体" w:hAnsi="宋体" w:eastAsia="宋体"/>
          <w:szCs w:val="21"/>
        </w:rPr>
      </w:pPr>
      <w:r>
        <w:rPr>
          <w:rFonts w:hint="eastAsia" w:asciiTheme="minorHAnsi" w:hAnsiTheme="minorHAnsi" w:eastAsiaTheme="minorEastAsia" w:cstheme="minorBidi"/>
          <w:b/>
          <w:bCs/>
          <w:color w:val="auto"/>
          <w:kern w:val="2"/>
          <w:sz w:val="21"/>
          <w:szCs w:val="21"/>
        </w:rPr>
        <w:t>（注：</w:t>
      </w:r>
      <w:bookmarkStart w:id="24" w:name="_Hlk38439872"/>
      <w:r>
        <w:rPr>
          <w:rFonts w:hint="eastAsia" w:asciiTheme="minorHAnsi" w:hAnsiTheme="minorHAnsi" w:eastAsiaTheme="minorEastAsia" w:cstheme="minorBidi"/>
          <w:b/>
          <w:bCs/>
          <w:color w:val="auto"/>
          <w:kern w:val="2"/>
          <w:sz w:val="21"/>
          <w:szCs w:val="21"/>
        </w:rPr>
        <w:t>比选申请单位须</w:t>
      </w:r>
      <w:bookmarkEnd w:id="24"/>
      <w:r>
        <w:rPr>
          <w:rFonts w:hint="eastAsia" w:asciiTheme="minorHAnsi" w:hAnsiTheme="minorHAnsi" w:eastAsiaTheme="minorEastAsia" w:cstheme="minorBidi"/>
          <w:b/>
          <w:bCs/>
          <w:color w:val="auto"/>
          <w:kern w:val="2"/>
          <w:sz w:val="21"/>
          <w:szCs w:val="21"/>
        </w:rPr>
        <w:t>提供营业执照、安全生产许可证、</w:t>
      </w:r>
      <w:r>
        <w:rPr>
          <w:rFonts w:hint="eastAsia" w:asciiTheme="minorHAnsi" w:hAnsiTheme="minorHAnsi" w:eastAsiaTheme="minorEastAsia" w:cstheme="minorBidi"/>
          <w:b/>
          <w:bCs/>
          <w:color w:val="auto"/>
          <w:kern w:val="2"/>
          <w:sz w:val="21"/>
          <w:szCs w:val="21"/>
          <w:lang w:eastAsia="zh-CN"/>
        </w:rPr>
        <w:t>银行开户许可证、</w:t>
      </w:r>
      <w:r>
        <w:rPr>
          <w:rFonts w:hint="eastAsia" w:asciiTheme="minorHAnsi" w:hAnsiTheme="minorHAnsi" w:eastAsiaTheme="minorEastAsia" w:cstheme="minorBidi"/>
          <w:b/>
          <w:bCs/>
          <w:color w:val="auto"/>
          <w:kern w:val="2"/>
          <w:sz w:val="21"/>
          <w:szCs w:val="21"/>
        </w:rPr>
        <w:t>资质证书的复印件或扫描件，并加盖比选申请单位公章。）</w:t>
      </w:r>
    </w:p>
    <w:p>
      <w:pPr>
        <w:spacing w:line="440" w:lineRule="exact"/>
        <w:ind w:firstLine="422" w:firstLineChars="200"/>
        <w:rPr>
          <w:rFonts w:ascii="宋体" w:hAnsi="宋体" w:eastAsia="宋体" w:cs="宋体"/>
          <w:b/>
          <w:szCs w:val="21"/>
        </w:rPr>
      </w:pPr>
      <w:r>
        <w:rPr>
          <w:rFonts w:hint="eastAsia" w:ascii="宋体" w:hAnsi="宋体" w:eastAsia="宋体" w:cs="宋体"/>
          <w:b/>
          <w:szCs w:val="21"/>
          <w:lang w:val="en-US" w:eastAsia="zh-CN"/>
        </w:rPr>
        <w:t>2</w:t>
      </w:r>
      <w:r>
        <w:rPr>
          <w:rFonts w:hint="eastAsia" w:ascii="宋体" w:hAnsi="宋体" w:eastAsia="宋体" w:cs="宋体"/>
          <w:b/>
          <w:szCs w:val="21"/>
        </w:rPr>
        <w:t>.信誉要求</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ascii="宋体" w:hAnsi="宋体" w:eastAsia="宋体" w:cs="宋体"/>
          <w:szCs w:val="21"/>
        </w:rPr>
      </w:pPr>
      <w:bookmarkStart w:id="25" w:name="_Toc30019668"/>
      <w:bookmarkStart w:id="26" w:name="_Hlk37766340"/>
      <w:r>
        <w:rPr>
          <w:rFonts w:hint="eastAsia" w:ascii="宋体" w:hAnsi="宋体" w:eastAsia="宋体" w:cs="宋体"/>
          <w:szCs w:val="21"/>
        </w:rPr>
        <w:t>（1）201</w:t>
      </w:r>
      <w:r>
        <w:rPr>
          <w:rFonts w:hint="eastAsia" w:ascii="宋体" w:hAnsi="宋体" w:eastAsia="宋体" w:cs="宋体"/>
          <w:szCs w:val="21"/>
          <w:lang w:val="en-US" w:eastAsia="zh-CN"/>
        </w:rPr>
        <w:t>8</w:t>
      </w:r>
      <w:r>
        <w:rPr>
          <w:rFonts w:hint="eastAsia" w:ascii="宋体" w:hAnsi="宋体" w:eastAsia="宋体" w:cs="宋体"/>
          <w:szCs w:val="21"/>
        </w:rPr>
        <w:t>年01月01日起至今，没有重大质量、安全事故。</w:t>
      </w:r>
      <w:bookmarkEnd w:id="25"/>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ind w:firstLine="420" w:firstLineChars="200"/>
        <w:rPr>
          <w:rFonts w:ascii="宋体" w:hAnsi="宋体" w:eastAsia="宋体" w:cs="宋体"/>
          <w:szCs w:val="21"/>
        </w:rPr>
      </w:pPr>
      <w:bookmarkStart w:id="27" w:name="_Toc30019669"/>
      <w:r>
        <w:rPr>
          <w:rFonts w:hint="eastAsia" w:ascii="宋体" w:hAnsi="宋体" w:eastAsia="宋体" w:cs="宋体"/>
          <w:szCs w:val="21"/>
        </w:rPr>
        <w:t>（2）201</w:t>
      </w:r>
      <w:r>
        <w:rPr>
          <w:rFonts w:hint="eastAsia" w:ascii="宋体" w:hAnsi="宋体" w:eastAsia="宋体" w:cs="宋体"/>
          <w:szCs w:val="21"/>
          <w:lang w:val="en-US" w:eastAsia="zh-CN"/>
        </w:rPr>
        <w:t>8</w:t>
      </w:r>
      <w:r>
        <w:rPr>
          <w:rFonts w:hint="eastAsia" w:ascii="宋体" w:hAnsi="宋体" w:eastAsia="宋体" w:cs="宋体"/>
          <w:szCs w:val="21"/>
        </w:rPr>
        <w:t>年01月01日起至今，未被有关行政部门暂停投标资格，或被有关行政部门暂停投标资格期限已满，也无行贿犯罪记录。</w:t>
      </w:r>
      <w:bookmarkEnd w:id="27"/>
    </w:p>
    <w:bookmarkEnd w:id="26"/>
    <w:p>
      <w:pPr>
        <w:spacing w:line="400" w:lineRule="exact"/>
        <w:ind w:firstLine="422" w:firstLineChars="200"/>
        <w:outlineLvl w:val="0"/>
      </w:pPr>
      <w:bookmarkStart w:id="28" w:name="_Toc30019671"/>
      <w:r>
        <w:rPr>
          <w:rFonts w:hint="eastAsia"/>
          <w:b/>
          <w:bCs/>
          <w:szCs w:val="21"/>
        </w:rPr>
        <w:t>（注：</w:t>
      </w:r>
      <w:r>
        <w:rPr>
          <w:rFonts w:hint="eastAsia"/>
          <w:b/>
          <w:color w:val="auto"/>
          <w:szCs w:val="21"/>
          <w:highlight w:val="none"/>
        </w:rPr>
        <w:t>比选申请人</w:t>
      </w:r>
      <w:r>
        <w:rPr>
          <w:rFonts w:hint="eastAsia"/>
          <w:b/>
          <w:color w:val="auto"/>
          <w:szCs w:val="21"/>
          <w:highlight w:val="none"/>
          <w:lang w:eastAsia="zh-CN"/>
        </w:rPr>
        <w:t>需满第二大条的所有要求同时</w:t>
      </w:r>
      <w:r>
        <w:rPr>
          <w:rFonts w:hint="eastAsia"/>
          <w:b/>
          <w:color w:val="auto"/>
          <w:szCs w:val="21"/>
          <w:highlight w:val="none"/>
        </w:rPr>
        <w:t>竞标报价不得</w:t>
      </w:r>
      <w:r>
        <w:rPr>
          <w:b/>
          <w:color w:val="auto"/>
          <w:szCs w:val="21"/>
          <w:highlight w:val="none"/>
        </w:rPr>
        <w:t>超过</w:t>
      </w:r>
      <w:r>
        <w:rPr>
          <w:rFonts w:hint="eastAsia"/>
          <w:b/>
          <w:color w:val="auto"/>
          <w:szCs w:val="21"/>
          <w:highlight w:val="none"/>
        </w:rPr>
        <w:t>比选人公布的相应最高限价，否则作</w:t>
      </w:r>
      <w:r>
        <w:rPr>
          <w:b/>
          <w:color w:val="auto"/>
          <w:szCs w:val="21"/>
          <w:highlight w:val="none"/>
        </w:rPr>
        <w:t>无效</w:t>
      </w:r>
      <w:r>
        <w:rPr>
          <w:rFonts w:hint="eastAsia"/>
          <w:b/>
          <w:color w:val="auto"/>
          <w:szCs w:val="21"/>
          <w:highlight w:val="none"/>
        </w:rPr>
        <w:t>竞标处理</w:t>
      </w:r>
      <w:r>
        <w:rPr>
          <w:b/>
          <w:color w:val="auto"/>
          <w:szCs w:val="21"/>
          <w:highlight w: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40" w:lineRule="exact"/>
        <w:rPr>
          <w:b/>
          <w:bCs/>
          <w:szCs w:val="21"/>
        </w:rPr>
      </w:pPr>
      <w:r>
        <w:rPr>
          <w:rFonts w:hint="eastAsia"/>
          <w:b/>
          <w:bCs/>
          <w:szCs w:val="21"/>
        </w:rPr>
        <w:t>须对信誉要求作出承诺即可，并加盖比选申请单位公章。</w:t>
      </w:r>
      <w:bookmarkEnd w:id="28"/>
      <w:r>
        <w:rPr>
          <w:rFonts w:hint="eastAsia"/>
          <w:b/>
          <w:bCs/>
          <w:szCs w:val="21"/>
        </w:rPr>
        <w:t>）</w:t>
      </w:r>
    </w:p>
    <w:bookmarkEnd w:id="8"/>
    <w:bookmarkEnd w:id="9"/>
    <w:bookmarkEnd w:id="10"/>
    <w:bookmarkEnd w:id="11"/>
    <w:bookmarkEnd w:id="12"/>
    <w:bookmarkEnd w:id="13"/>
    <w:bookmarkEnd w:id="14"/>
    <w:bookmarkEnd w:id="15"/>
    <w:p>
      <w:pPr>
        <w:spacing w:line="400" w:lineRule="exact"/>
        <w:rPr>
          <w:b/>
          <w:szCs w:val="21"/>
        </w:rPr>
      </w:pPr>
      <w:bookmarkStart w:id="29" w:name="_Toc246996169"/>
      <w:bookmarkStart w:id="30" w:name="_Toc247085683"/>
      <w:bookmarkStart w:id="31" w:name="_Toc179632539"/>
      <w:bookmarkStart w:id="32" w:name="_Toc152045522"/>
      <w:bookmarkStart w:id="33" w:name="_Toc152042298"/>
      <w:bookmarkStart w:id="34" w:name="_Toc296602413"/>
      <w:bookmarkStart w:id="35" w:name="_Toc144974490"/>
      <w:bookmarkStart w:id="36" w:name="_Toc246996912"/>
      <w:r>
        <w:rPr>
          <w:b/>
          <w:szCs w:val="21"/>
        </w:rPr>
        <w:t>三、竞争性比选申请文件的相关要求：</w:t>
      </w:r>
    </w:p>
    <w:bookmarkEnd w:id="29"/>
    <w:bookmarkEnd w:id="30"/>
    <w:bookmarkEnd w:id="31"/>
    <w:bookmarkEnd w:id="32"/>
    <w:bookmarkEnd w:id="33"/>
    <w:bookmarkEnd w:id="34"/>
    <w:bookmarkEnd w:id="35"/>
    <w:bookmarkEnd w:id="36"/>
    <w:p>
      <w:pPr>
        <w:spacing w:line="400" w:lineRule="exact"/>
        <w:ind w:firstLine="420" w:firstLineChars="200"/>
        <w:outlineLvl w:val="0"/>
        <w:rPr>
          <w:szCs w:val="21"/>
        </w:rPr>
      </w:pPr>
      <w:r>
        <w:rPr>
          <w:rFonts w:hint="eastAsia"/>
          <w:szCs w:val="21"/>
        </w:rPr>
        <w:t>1、</w:t>
      </w:r>
      <w:r>
        <w:rPr>
          <w:szCs w:val="21"/>
        </w:rPr>
        <w:t>报价说明</w:t>
      </w:r>
    </w:p>
    <w:p>
      <w:pPr>
        <w:spacing w:line="400" w:lineRule="exact"/>
        <w:ind w:firstLine="420" w:firstLineChars="200"/>
        <w:outlineLvl w:val="0"/>
        <w:rPr>
          <w:szCs w:val="21"/>
        </w:rPr>
      </w:pPr>
      <w:r>
        <w:rPr>
          <w:rFonts w:hint="eastAsia"/>
          <w:szCs w:val="21"/>
        </w:rPr>
        <w:t>（1）报价书按规定格式填写，</w:t>
      </w:r>
      <w:r>
        <w:rPr>
          <w:szCs w:val="21"/>
        </w:rPr>
        <w:t>需盖</w:t>
      </w:r>
      <w:r>
        <w:rPr>
          <w:rFonts w:hint="eastAsia"/>
          <w:szCs w:val="21"/>
        </w:rPr>
        <w:t>比选申请</w:t>
      </w:r>
      <w:r>
        <w:rPr>
          <w:szCs w:val="21"/>
        </w:rPr>
        <w:t>单位鲜章。</w:t>
      </w:r>
    </w:p>
    <w:p>
      <w:pPr>
        <w:spacing w:line="400" w:lineRule="exact"/>
        <w:ind w:firstLine="420" w:firstLineChars="200"/>
        <w:outlineLvl w:val="0"/>
        <w:rPr>
          <w:szCs w:val="21"/>
        </w:rPr>
      </w:pPr>
      <w:r>
        <w:rPr>
          <w:rFonts w:hint="eastAsia"/>
          <w:szCs w:val="21"/>
        </w:rPr>
        <w:t>（2）</w:t>
      </w:r>
      <w:r>
        <w:rPr>
          <w:szCs w:val="21"/>
        </w:rPr>
        <w:t>如所有单位的报价经比选人组织的评</w:t>
      </w:r>
      <w:r>
        <w:rPr>
          <w:rFonts w:hint="eastAsia"/>
          <w:szCs w:val="21"/>
        </w:rPr>
        <w:t>价</w:t>
      </w:r>
      <w:r>
        <w:rPr>
          <w:szCs w:val="21"/>
        </w:rPr>
        <w:t>小组评审认定为明显高于市场价时，比选人有权拒绝所有单位报价，可重新组织</w:t>
      </w:r>
      <w:r>
        <w:rPr>
          <w:rFonts w:hint="eastAsia"/>
          <w:szCs w:val="21"/>
        </w:rPr>
        <w:t>竞争性比选</w:t>
      </w:r>
      <w:r>
        <w:rPr>
          <w:szCs w:val="21"/>
        </w:rPr>
        <w:t>。</w:t>
      </w:r>
    </w:p>
    <w:p>
      <w:pPr>
        <w:spacing w:line="400" w:lineRule="exact"/>
        <w:ind w:firstLine="420" w:firstLineChars="200"/>
        <w:outlineLvl w:val="0"/>
        <w:rPr>
          <w:szCs w:val="21"/>
        </w:rPr>
      </w:pPr>
      <w:r>
        <w:rPr>
          <w:rFonts w:hint="eastAsia"/>
          <w:szCs w:val="21"/>
        </w:rPr>
        <w:t>（3）本项目竞争最高总限价为：738000元（大写：</w:t>
      </w:r>
      <w:r>
        <w:rPr>
          <w:rFonts w:hint="eastAsia"/>
          <w:szCs w:val="21"/>
          <w:lang w:eastAsia="zh-CN"/>
        </w:rPr>
        <w:t>柒拾叁万捌仟元</w:t>
      </w:r>
      <w:r>
        <w:rPr>
          <w:rFonts w:hint="eastAsia"/>
          <w:szCs w:val="21"/>
        </w:rPr>
        <w:t>整），比选申请人的竞标总报价及单价报价均不得</w:t>
      </w:r>
      <w:r>
        <w:rPr>
          <w:szCs w:val="21"/>
        </w:rPr>
        <w:t>超过</w:t>
      </w:r>
      <w:r>
        <w:rPr>
          <w:rFonts w:hint="eastAsia"/>
          <w:szCs w:val="21"/>
        </w:rPr>
        <w:t>竞标</w:t>
      </w:r>
      <w:r>
        <w:rPr>
          <w:szCs w:val="21"/>
        </w:rPr>
        <w:t>总</w:t>
      </w:r>
      <w:r>
        <w:rPr>
          <w:rFonts w:hint="eastAsia"/>
          <w:szCs w:val="21"/>
        </w:rPr>
        <w:t>限</w:t>
      </w:r>
      <w:r>
        <w:rPr>
          <w:szCs w:val="21"/>
        </w:rPr>
        <w:t>价及</w:t>
      </w:r>
      <w:r>
        <w:rPr>
          <w:rFonts w:hint="eastAsia"/>
          <w:szCs w:val="21"/>
        </w:rPr>
        <w:t>单价</w:t>
      </w:r>
      <w:r>
        <w:rPr>
          <w:szCs w:val="21"/>
        </w:rPr>
        <w:t>限价（</w:t>
      </w:r>
      <w:r>
        <w:rPr>
          <w:rFonts w:hint="eastAsia"/>
          <w:szCs w:val="21"/>
        </w:rPr>
        <w:t>单价限价详见比选格式中“一、报价书”）</w:t>
      </w:r>
      <w:r>
        <w:rPr>
          <w:szCs w:val="21"/>
        </w:rPr>
        <w:t>，</w:t>
      </w:r>
      <w:r>
        <w:rPr>
          <w:rFonts w:hint="eastAsia"/>
          <w:szCs w:val="21"/>
        </w:rPr>
        <w:t>否则将视</w:t>
      </w:r>
      <w:r>
        <w:rPr>
          <w:szCs w:val="21"/>
        </w:rPr>
        <w:t>为无效</w:t>
      </w:r>
      <w:r>
        <w:rPr>
          <w:rFonts w:hint="eastAsia"/>
          <w:szCs w:val="21"/>
        </w:rPr>
        <w:t>竞标</w:t>
      </w:r>
      <w:r>
        <w:rPr>
          <w:szCs w:val="21"/>
        </w:rPr>
        <w:t>。</w:t>
      </w:r>
    </w:p>
    <w:p>
      <w:pPr>
        <w:spacing w:line="400" w:lineRule="exact"/>
        <w:ind w:firstLine="420" w:firstLineChars="200"/>
        <w:rPr>
          <w:szCs w:val="21"/>
        </w:rPr>
      </w:pPr>
      <w:r>
        <w:rPr>
          <w:rFonts w:hint="eastAsia"/>
          <w:szCs w:val="21"/>
        </w:rPr>
        <w:t>2、</w:t>
      </w:r>
      <w:r>
        <w:rPr>
          <w:szCs w:val="21"/>
        </w:rPr>
        <w:t>本次竞争性比选申请文件的组成：</w:t>
      </w:r>
    </w:p>
    <w:p>
      <w:pPr>
        <w:spacing w:line="400" w:lineRule="exact"/>
        <w:ind w:firstLine="735" w:firstLineChars="350"/>
        <w:rPr>
          <w:szCs w:val="21"/>
        </w:rPr>
      </w:pPr>
      <w:r>
        <w:rPr>
          <w:rFonts w:hint="eastAsia"/>
          <w:szCs w:val="21"/>
        </w:rPr>
        <w:t>①</w:t>
      </w:r>
      <w:r>
        <w:rPr>
          <w:szCs w:val="21"/>
        </w:rPr>
        <w:t>报价书；</w:t>
      </w:r>
    </w:p>
    <w:p>
      <w:pPr>
        <w:spacing w:line="400" w:lineRule="exact"/>
        <w:ind w:firstLine="735" w:firstLineChars="350"/>
        <w:rPr>
          <w:szCs w:val="21"/>
        </w:rPr>
      </w:pPr>
      <w:r>
        <w:rPr>
          <w:rFonts w:hint="eastAsia"/>
          <w:szCs w:val="21"/>
        </w:rPr>
        <w:t>②</w:t>
      </w:r>
      <w:r>
        <w:rPr>
          <w:szCs w:val="21"/>
        </w:rPr>
        <w:t>法定代表人身份证明及授权委托书；</w:t>
      </w:r>
    </w:p>
    <w:p>
      <w:pPr>
        <w:spacing w:line="400" w:lineRule="exact"/>
        <w:ind w:firstLine="735" w:firstLineChars="350"/>
        <w:rPr>
          <w:szCs w:val="21"/>
        </w:rPr>
      </w:pPr>
      <w:r>
        <w:rPr>
          <w:rFonts w:hint="eastAsia"/>
          <w:szCs w:val="21"/>
        </w:rPr>
        <w:t>③</w:t>
      </w:r>
      <w:bookmarkStart w:id="37" w:name="_Hlk36216534"/>
      <w:r>
        <w:rPr>
          <w:rFonts w:hint="eastAsia"/>
          <w:szCs w:val="21"/>
        </w:rPr>
        <w:t>比选申请</w:t>
      </w:r>
      <w:r>
        <w:rPr>
          <w:szCs w:val="21"/>
        </w:rPr>
        <w:t>单位有效的营业执照</w:t>
      </w:r>
      <w:r>
        <w:rPr>
          <w:rFonts w:hint="eastAsia"/>
          <w:szCs w:val="21"/>
        </w:rPr>
        <w:t>资料</w:t>
      </w:r>
      <w:bookmarkEnd w:id="37"/>
      <w:r>
        <w:rPr>
          <w:szCs w:val="21"/>
        </w:rPr>
        <w:t>；</w:t>
      </w:r>
    </w:p>
    <w:p>
      <w:pPr>
        <w:spacing w:line="400" w:lineRule="exact"/>
        <w:ind w:firstLine="735" w:firstLineChars="350"/>
        <w:rPr>
          <w:szCs w:val="21"/>
        </w:rPr>
      </w:pPr>
      <w:r>
        <w:rPr>
          <w:rFonts w:hint="eastAsia"/>
          <w:szCs w:val="21"/>
        </w:rPr>
        <w:t>④比选申请单位有效的安全生产许可证、资质证书资料</w:t>
      </w:r>
      <w:r>
        <w:rPr>
          <w:szCs w:val="21"/>
        </w:rPr>
        <w:t>；</w:t>
      </w:r>
    </w:p>
    <w:p>
      <w:pPr>
        <w:spacing w:line="400" w:lineRule="exact"/>
        <w:ind w:firstLine="735" w:firstLineChars="350"/>
        <w:rPr>
          <w:szCs w:val="21"/>
        </w:rPr>
      </w:pPr>
      <w:r>
        <w:rPr>
          <w:rFonts w:hint="eastAsia"/>
          <w:szCs w:val="21"/>
        </w:rPr>
        <w:t>⑤</w:t>
      </w:r>
      <w:bookmarkStart w:id="38" w:name="_Hlk36216554"/>
      <w:r>
        <w:rPr>
          <w:rFonts w:hint="eastAsia"/>
          <w:szCs w:val="21"/>
        </w:rPr>
        <w:t>比选申请单位的信誉承诺书</w:t>
      </w:r>
      <w:bookmarkEnd w:id="38"/>
      <w:r>
        <w:rPr>
          <w:rFonts w:hint="eastAsia"/>
          <w:szCs w:val="21"/>
        </w:rPr>
        <w:t>；</w:t>
      </w:r>
    </w:p>
    <w:p>
      <w:pPr>
        <w:spacing w:line="400" w:lineRule="exact"/>
        <w:ind w:firstLine="735" w:firstLineChars="350"/>
        <w:rPr>
          <w:szCs w:val="21"/>
        </w:rPr>
      </w:pPr>
      <w:r>
        <w:rPr>
          <w:rFonts w:hint="eastAsia"/>
          <w:szCs w:val="21"/>
        </w:rPr>
        <w:t>⑥其他相关资料。（若有）</w:t>
      </w:r>
    </w:p>
    <w:p>
      <w:pPr>
        <w:spacing w:line="400" w:lineRule="exact"/>
        <w:ind w:firstLine="420" w:firstLineChars="200"/>
        <w:rPr>
          <w:szCs w:val="21"/>
        </w:rPr>
      </w:pPr>
      <w:r>
        <w:rPr>
          <w:rFonts w:hint="eastAsia"/>
          <w:szCs w:val="21"/>
        </w:rPr>
        <w:t>3、</w:t>
      </w:r>
      <w:r>
        <w:rPr>
          <w:szCs w:val="21"/>
        </w:rPr>
        <w:t>竞争性比选申请文件的份数及编制要求</w:t>
      </w:r>
    </w:p>
    <w:p>
      <w:pPr>
        <w:autoSpaceDE w:val="0"/>
        <w:autoSpaceDN w:val="0"/>
        <w:spacing w:line="400" w:lineRule="exact"/>
        <w:ind w:firstLine="420" w:firstLineChars="200"/>
        <w:jc w:val="left"/>
        <w:rPr>
          <w:szCs w:val="21"/>
        </w:rPr>
      </w:pPr>
      <w:r>
        <w:rPr>
          <w:szCs w:val="21"/>
        </w:rPr>
        <w:t>竞争性比选申请文件正本1份，副本1份，</w:t>
      </w:r>
      <w:r>
        <w:rPr>
          <w:rFonts w:hint="eastAsia"/>
          <w:szCs w:val="21"/>
        </w:rPr>
        <w:t>（副本可为正本的完整复印件）</w:t>
      </w:r>
      <w:r>
        <w:rPr>
          <w:szCs w:val="21"/>
        </w:rPr>
        <w:t>竞争性比选申请文件按竞争性比选文件中规定格式排版，并应编制目录，逐页标注页码。</w:t>
      </w:r>
    </w:p>
    <w:p/>
    <w:p>
      <w:pPr>
        <w:spacing w:line="400" w:lineRule="exact"/>
        <w:rPr>
          <w:b/>
          <w:szCs w:val="21"/>
        </w:rPr>
      </w:pPr>
      <w:r>
        <w:rPr>
          <w:b/>
          <w:szCs w:val="21"/>
        </w:rPr>
        <w:t>四、评标办法（</w:t>
      </w:r>
      <w:r>
        <w:rPr>
          <w:rFonts w:hint="eastAsia"/>
          <w:b/>
          <w:szCs w:val="21"/>
        </w:rPr>
        <w:t>经评审的最低价法</w:t>
      </w:r>
      <w:r>
        <w:rPr>
          <w:b/>
          <w:szCs w:val="21"/>
        </w:rPr>
        <w:t>）：</w:t>
      </w:r>
    </w:p>
    <w:tbl>
      <w:tblPr>
        <w:tblStyle w:val="8"/>
        <w:tblW w:w="97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391"/>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条款号</w:t>
            </w:r>
          </w:p>
        </w:tc>
        <w:tc>
          <w:tcPr>
            <w:tcW w:w="139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条款名称</w:t>
            </w:r>
          </w:p>
        </w:tc>
        <w:tc>
          <w:tcPr>
            <w:tcW w:w="73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outlineLvl w:val="9"/>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9"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872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FF0000"/>
                <w:szCs w:val="21"/>
                <w:highlight w:val="none"/>
              </w:rPr>
              <w:t>本次评标采用经评审的</w:t>
            </w:r>
            <w:r>
              <w:rPr>
                <w:rFonts w:hint="eastAsia" w:ascii="Times New Roman" w:hAnsi="Times New Roman" w:cs="Times New Roman"/>
                <w:color w:val="FF0000"/>
                <w:szCs w:val="21"/>
                <w:highlight w:val="none"/>
                <w:lang w:val="en-US" w:eastAsia="zh-CN"/>
              </w:rPr>
              <w:t>最</w:t>
            </w:r>
            <w:r>
              <w:rPr>
                <w:rFonts w:hint="default" w:ascii="Times New Roman" w:hAnsi="Times New Roman" w:cs="Times New Roman"/>
                <w:color w:val="FF0000"/>
                <w:szCs w:val="21"/>
                <w:highlight w:val="none"/>
              </w:rPr>
              <w:t>低价法。</w:t>
            </w:r>
            <w:r>
              <w:rPr>
                <w:rFonts w:hint="default" w:ascii="Times New Roman" w:hAnsi="Times New Roman" w:cs="Times New Roman"/>
                <w:color w:val="auto"/>
                <w:szCs w:val="21"/>
                <w:highlight w:val="none"/>
              </w:rPr>
              <w:t>评标委员会对满足招标文件实质要求的投标文件，根据本章第2.2款规定的量化因素及量化标准进行价格计算，</w:t>
            </w:r>
            <w:r>
              <w:rPr>
                <w:rFonts w:hint="default" w:ascii="Times New Roman" w:hAnsi="Times New Roman" w:cs="Times New Roman"/>
                <w:color w:val="FF0000"/>
                <w:szCs w:val="21"/>
                <w:highlight w:val="none"/>
              </w:rPr>
              <w:t>按照经评审的投标报价得分由高到低的顺序推荐中标候选人</w:t>
            </w:r>
            <w:r>
              <w:rPr>
                <w:rFonts w:hint="default" w:ascii="Times New Roman" w:hAnsi="Times New Roman" w:cs="Times New Roman"/>
                <w:color w:val="auto"/>
                <w:szCs w:val="21"/>
                <w:highlight w:val="none"/>
              </w:rPr>
              <w:t>，但投标报价低于其成本的除外。</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经评审的投标报价得分相等时，按以下原则确定第一中标候选人：</w:t>
            </w:r>
          </w:p>
          <w:p>
            <w:pPr>
              <w:numPr>
                <w:ilvl w:val="0"/>
                <w:numId w:val="1"/>
              </w:num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如果投标报价相同，则以抽签的形式确定第一中标候选人。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2.1.1</w:t>
            </w:r>
          </w:p>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2.1.3</w:t>
            </w:r>
          </w:p>
        </w:tc>
        <w:tc>
          <w:tcPr>
            <w:tcW w:w="1391" w:type="dxa"/>
            <w:tcBorders>
              <w:top w:val="single" w:color="auto" w:sz="4" w:space="0"/>
              <w:left w:val="single" w:color="auto" w:sz="4" w:space="0"/>
              <w:bottom w:val="single" w:color="auto" w:sz="4" w:space="0"/>
              <w:right w:val="single" w:color="auto" w:sz="4" w:space="0"/>
            </w:tcBorders>
            <w:vAlign w:val="center"/>
          </w:tcPr>
          <w:p>
            <w:pPr>
              <w:pStyle w:val="10"/>
              <w:adjustRightInd/>
              <w:spacing w:line="360" w:lineRule="auto"/>
              <w:jc w:val="both"/>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形式评审与响应性评审标准（第一信封）</w:t>
            </w:r>
          </w:p>
          <w:p>
            <w:pPr>
              <w:spacing w:line="360" w:lineRule="auto"/>
              <w:rPr>
                <w:rFonts w:hint="default" w:ascii="Times New Roman" w:hAnsi="Times New Roman" w:cs="Times New Roman"/>
                <w:color w:val="auto"/>
                <w:szCs w:val="21"/>
                <w:highlight w:val="none"/>
              </w:rPr>
            </w:pP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（1）投标文件按照招标文件规定的格式、内容填写，字迹清晰可辨：</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a.投标函按招标文件规定填写了项目名称、标段（如有）、工期、工程质量要求及安全目标。</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b.投标文件组成齐全完整。</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（2）投标文件上法定代表人或其授权代理人的签字、投标人的单位章盖章齐全，符合招标文件规定：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投标函、承诺书应由投标人的法定代表人或其委托代理人逐页签署姓名（本页正文内容已由投标人的法定代表人或其委托代理人签署姓名的可不签署）并逐页加盖投标人单位章（本页正文内容已加盖投标人单位章除外）。</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（3）投标人按照招标文件规定的金额、形式、时效提供了投标担保：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a.投标担保的金额符合招标文件规定的金额；</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b.若采用电汇，投标人在招标文件前附表规定的时间之前，将投标保证金由投标人的基本账户一次性汇入招标人指定帐户。</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（4）投标人法定代表人的授权代理人，需提交附有法定代表人身份证明的授权委托书，并符合下列要求：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授权人和被授权人均在授权书上签名，未使用印章、签名章或其他电子制版签名；并附授权人和被授权人的身份证复印件。</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（5）投标人法定代表人若亲自签署投标文件的，提供了法定代表人身份证明，并符合下列要求：</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法定代表人在法定代表人身份证明上签名，未使用印章、签名章或其他电子制版签名。</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（6）投标文件载明的招标项目完成期限未超过招标文件规定的期限。</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（7）权利义务符合招标文件规定：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a. 投标人应接受招标文件规定的风险划分原则，未提出新的风险划分办法；</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b. 投标人未增加发包人的责任范围，也未减少投标人义务；</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c. 投标人未提出不同的工程验收、计量、支付办法；</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d. 投标人未对合同纠纷、事故处理办法提出异议；</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e. 投标人在投标活动中没有欺诈行为；</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f. 投标人对合同条款没有重要保留；</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（8）投标文件的正、副本份数不满足招标文件规定；</w:t>
            </w:r>
          </w:p>
          <w:p>
            <w:pPr>
              <w:spacing w:line="360" w:lineRule="auto"/>
              <w:ind w:firstLine="420"/>
              <w:rPr>
                <w:rFonts w:hint="default" w:ascii="Times New Roman" w:hAnsi="Times New Roman" w:cs="Times New Roman"/>
                <w:snapToGrid w:val="0"/>
                <w:color w:val="auto"/>
                <w:kern w:val="0"/>
                <w:szCs w:val="21"/>
                <w:highlight w:val="none"/>
              </w:rPr>
            </w:pPr>
            <w:r>
              <w:rPr>
                <w:rFonts w:hint="default" w:ascii="Times New Roman" w:hAnsi="Times New Roman" w:cs="Times New Roman"/>
                <w:snapToGrid w:val="0"/>
                <w:color w:val="auto"/>
                <w:kern w:val="0"/>
                <w:szCs w:val="21"/>
                <w:highlight w:val="none"/>
              </w:rPr>
              <w:t>以上各项中，有任何一项不符合评审标准的，作否决投标处理。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99" w:firstLineChars="95"/>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2.1.2</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资格评审</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（第一信封）</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（1）投标人具备有效的营业执照和基本账户开户许可证；</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（2）投标人的资质等级符合招标文件附录1规定；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（3）投标人的类似项目业绩符合招标文件附录2规定；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（4）投标人的主要人员资格符合招标文件附录3规定；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（5）投标人的信誉符合招标文件附录4规定；</w:t>
            </w:r>
          </w:p>
          <w:p>
            <w:pPr>
              <w:spacing w:line="360" w:lineRule="auto"/>
              <w:ind w:firstLine="315" w:firstLineChars="15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（6）投标人没有围标串标行为；</w:t>
            </w:r>
          </w:p>
          <w:p>
            <w:pPr>
              <w:spacing w:line="360" w:lineRule="auto"/>
              <w:ind w:firstLine="315" w:firstLineChars="150"/>
              <w:rPr>
                <w:rFonts w:hint="default" w:ascii="Times New Roman" w:hAnsi="Times New Roman" w:cs="Times New Roman"/>
                <w:color w:val="auto"/>
                <w:spacing w:val="-1"/>
                <w:szCs w:val="21"/>
                <w:highlight w:val="none"/>
              </w:rPr>
            </w:pPr>
            <w:r>
              <w:rPr>
                <w:rFonts w:hint="default" w:ascii="Times New Roman" w:hAnsi="Times New Roman" w:cs="Times New Roman"/>
                <w:color w:val="auto"/>
                <w:szCs w:val="21"/>
                <w:highlight w:val="none"/>
              </w:rPr>
              <w:t>（7</w:t>
            </w:r>
            <w:r>
              <w:rPr>
                <w:rFonts w:hint="default" w:ascii="Times New Roman" w:hAnsi="Times New Roman" w:cs="Times New Roman"/>
                <w:color w:val="auto"/>
                <w:spacing w:val="-1"/>
                <w:szCs w:val="21"/>
                <w:highlight w:val="none"/>
              </w:rPr>
              <w:t>）投标人不存在第二章</w:t>
            </w:r>
            <w:r>
              <w:rPr>
                <w:rFonts w:hint="default" w:ascii="Times New Roman" w:hAnsi="Times New Roman" w:cs="Times New Roman"/>
                <w:color w:val="auto"/>
                <w:szCs w:val="21"/>
                <w:highlight w:val="none"/>
              </w:rPr>
              <w:t>“</w:t>
            </w:r>
            <w:r>
              <w:rPr>
                <w:rFonts w:hint="default" w:ascii="Times New Roman" w:hAnsi="Times New Roman" w:cs="Times New Roman"/>
                <w:color w:val="auto"/>
                <w:spacing w:val="-1"/>
                <w:szCs w:val="21"/>
                <w:highlight w:val="none"/>
              </w:rPr>
              <w:t>投标人须知</w:t>
            </w:r>
            <w:r>
              <w:rPr>
                <w:rFonts w:hint="default" w:ascii="Times New Roman" w:hAnsi="Times New Roman" w:cs="Times New Roman"/>
                <w:color w:val="auto"/>
                <w:szCs w:val="21"/>
                <w:highlight w:val="none"/>
              </w:rPr>
              <w:t>”第</w:t>
            </w:r>
            <w:r>
              <w:rPr>
                <w:rFonts w:hint="default" w:ascii="Times New Roman" w:hAnsi="Times New Roman" w:cs="Times New Roman"/>
                <w:color w:val="auto"/>
                <w:spacing w:val="5"/>
                <w:szCs w:val="21"/>
                <w:highlight w:val="none"/>
              </w:rPr>
              <w:t xml:space="preserve"> </w:t>
            </w:r>
            <w:r>
              <w:rPr>
                <w:rFonts w:hint="default" w:ascii="Times New Roman" w:hAnsi="Times New Roman" w:cs="Times New Roman"/>
                <w:color w:val="auto"/>
                <w:spacing w:val="-1"/>
                <w:szCs w:val="21"/>
                <w:highlight w:val="none"/>
              </w:rPr>
              <w:t>1.4.3</w:t>
            </w:r>
            <w:r>
              <w:rPr>
                <w:rFonts w:hint="default" w:ascii="Times New Roman" w:hAnsi="Times New Roman" w:cs="Times New Roman"/>
                <w:color w:val="auto"/>
                <w:spacing w:val="6"/>
                <w:szCs w:val="21"/>
                <w:highlight w:val="none"/>
              </w:rPr>
              <w:t xml:space="preserve"> </w:t>
            </w:r>
            <w:r>
              <w:rPr>
                <w:rFonts w:hint="default" w:ascii="Times New Roman" w:hAnsi="Times New Roman" w:cs="Times New Roman"/>
                <w:color w:val="auto"/>
                <w:spacing w:val="-1"/>
                <w:szCs w:val="21"/>
                <w:highlight w:val="none"/>
              </w:rPr>
              <w:t>项或第</w:t>
            </w:r>
            <w:r>
              <w:rPr>
                <w:rFonts w:hint="default" w:ascii="Times New Roman" w:hAnsi="Times New Roman" w:cs="Times New Roman"/>
                <w:color w:val="auto"/>
                <w:spacing w:val="6"/>
                <w:szCs w:val="21"/>
                <w:highlight w:val="none"/>
              </w:rPr>
              <w:t xml:space="preserve"> </w:t>
            </w:r>
            <w:r>
              <w:rPr>
                <w:rFonts w:hint="default" w:ascii="Times New Roman" w:hAnsi="Times New Roman" w:cs="Times New Roman"/>
                <w:color w:val="auto"/>
                <w:szCs w:val="21"/>
                <w:highlight w:val="none"/>
              </w:rPr>
              <w:t>1.4.4</w:t>
            </w:r>
            <w:r>
              <w:rPr>
                <w:rFonts w:hint="default" w:ascii="Times New Roman" w:hAnsi="Times New Roman" w:cs="Times New Roman"/>
                <w:color w:val="auto"/>
                <w:spacing w:val="5"/>
                <w:szCs w:val="21"/>
                <w:highlight w:val="none"/>
              </w:rPr>
              <w:t xml:space="preserve"> </w:t>
            </w:r>
            <w:r>
              <w:rPr>
                <w:rFonts w:hint="default" w:ascii="Times New Roman" w:hAnsi="Times New Roman" w:cs="Times New Roman"/>
                <w:color w:val="auto"/>
                <w:spacing w:val="-1"/>
                <w:szCs w:val="21"/>
                <w:highlight w:val="none"/>
              </w:rPr>
              <w:t>项规定的任何一种情形。</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以上各项中，有任何一项不符合评审标准的，作否决投标处理。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81" w:hRule="atLeast"/>
          <w:jc w:val="center"/>
        </w:trPr>
        <w:tc>
          <w:tcPr>
            <w:tcW w:w="987"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条款号</w:t>
            </w:r>
          </w:p>
        </w:tc>
        <w:tc>
          <w:tcPr>
            <w:tcW w:w="1391" w:type="dxa"/>
            <w:tcBorders>
              <w:righ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条款内容</w:t>
            </w:r>
          </w:p>
        </w:tc>
        <w:tc>
          <w:tcPr>
            <w:tcW w:w="7337" w:type="dxa"/>
            <w:tcBorders>
              <w:left w:val="single" w:color="000000" w:sz="6"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outlineLvl w:val="9"/>
              <w:rPr>
                <w:rFonts w:hint="default" w:ascii="Times New Roman" w:hAnsi="Times New Roman" w:cs="Times New Roman"/>
                <w:b/>
                <w:bCs/>
                <w:color w:val="auto"/>
                <w:szCs w:val="21"/>
                <w:highlight w:val="none"/>
                <w:lang w:val="zh-CN" w:eastAsia="en-US"/>
              </w:rPr>
            </w:pPr>
            <w:r>
              <w:rPr>
                <w:rFonts w:hint="default" w:ascii="Times New Roman" w:hAnsi="Times New Roman" w:cs="Times New Roman"/>
                <w:b/>
                <w:bCs/>
                <w:color w:val="auto"/>
                <w:szCs w:val="21"/>
                <w:highlight w:val="none"/>
                <w:lang w:val="zh-CN" w:eastAsia="en-US"/>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jc w:val="center"/>
        </w:trPr>
        <w:tc>
          <w:tcPr>
            <w:tcW w:w="987" w:type="dxa"/>
            <w:vAlign w:val="center"/>
          </w:tcPr>
          <w:p>
            <w:pPr>
              <w:pStyle w:val="11"/>
              <w:autoSpaceDE w:val="0"/>
              <w:autoSpaceDN w:val="0"/>
              <w:spacing w:line="360" w:lineRule="auto"/>
              <w:jc w:val="center"/>
              <w:rPr>
                <w:rFonts w:hint="default" w:ascii="Times New Roman" w:hAnsi="Times New Roman" w:cs="Times New Roman"/>
                <w:color w:val="auto"/>
                <w:szCs w:val="21"/>
                <w:highlight w:val="none"/>
                <w:lang w:eastAsia="en-US"/>
              </w:rPr>
            </w:pPr>
            <w:r>
              <w:rPr>
                <w:rFonts w:hint="default" w:ascii="Times New Roman" w:hAnsi="Times New Roman" w:cs="Times New Roman"/>
                <w:color w:val="auto"/>
                <w:szCs w:val="21"/>
                <w:highlight w:val="none"/>
                <w:lang w:eastAsia="en-US"/>
              </w:rPr>
              <w:t>2.2</w:t>
            </w:r>
          </w:p>
        </w:tc>
        <w:tc>
          <w:tcPr>
            <w:tcW w:w="1391" w:type="dxa"/>
            <w:tcBorders>
              <w:right w:val="single" w:color="000000" w:sz="6"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分值构成</w:t>
            </w:r>
          </w:p>
        </w:tc>
        <w:tc>
          <w:tcPr>
            <w:tcW w:w="7337" w:type="dxa"/>
            <w:tcBorders>
              <w:left w:val="single" w:color="000000" w:sz="6" w:space="0"/>
            </w:tcBorders>
            <w:vAlign w:val="center"/>
          </w:tcPr>
          <w:p>
            <w:pPr>
              <w:spacing w:line="360" w:lineRule="auto"/>
              <w:ind w:firstLine="420" w:firstLineChars="20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评标价：100分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8"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302" w:firstLineChars="144"/>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2.3</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第二信封初步评审</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（1）第二信封（报价文件）按照招标文件规定的格式、内容填写，字迹清晰可辨，内容齐全完整；</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（2）第二信封（报价文件）中法定代表人或其授权的代理人的、投标人的单位章齐全，符合招标文件规定；</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（3）在报价函上填写了投标总价（包括大写金额和小写金额），投标总价不高于招标人公布的最高投标限价，且报价唯一；</w:t>
            </w:r>
          </w:p>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（4）未修改招标人给定的暂列金额（如有）；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98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3.8</w:t>
            </w:r>
          </w:p>
        </w:tc>
        <w:tc>
          <w:tcPr>
            <w:tcW w:w="139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评标结果</w:t>
            </w:r>
          </w:p>
        </w:tc>
        <w:tc>
          <w:tcPr>
            <w:tcW w:w="73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color w:val="FF0000"/>
                <w:szCs w:val="21"/>
                <w:highlight w:val="none"/>
              </w:rPr>
              <w:t>本项目评标采用</w:t>
            </w:r>
            <w:r>
              <w:rPr>
                <w:rFonts w:hint="eastAsia" w:ascii="Times New Roman" w:hAnsi="Times New Roman" w:cs="Times New Roman"/>
                <w:color w:val="FF0000"/>
                <w:szCs w:val="21"/>
                <w:highlight w:val="none"/>
                <w:lang w:val="en-US" w:eastAsia="zh-CN"/>
              </w:rPr>
              <w:t>经评审的最</w:t>
            </w:r>
            <w:r>
              <w:rPr>
                <w:rFonts w:hint="default" w:ascii="Times New Roman" w:hAnsi="Times New Roman" w:cs="Times New Roman"/>
                <w:color w:val="FF0000"/>
                <w:szCs w:val="21"/>
                <w:highlight w:val="none"/>
              </w:rPr>
              <w:t>低价法，</w:t>
            </w:r>
            <w:r>
              <w:rPr>
                <w:rFonts w:hint="default" w:ascii="Times New Roman" w:hAnsi="Times New Roman" w:cs="Times New Roman"/>
                <w:color w:val="auto"/>
                <w:szCs w:val="21"/>
                <w:highlight w:val="none"/>
              </w:rPr>
              <w:t>对通过初步评审、详细评审的投标人</w:t>
            </w:r>
            <w:r>
              <w:rPr>
                <w:rFonts w:hint="default" w:ascii="Times New Roman" w:hAnsi="Times New Roman" w:cs="Times New Roman"/>
                <w:color w:val="FF0000"/>
                <w:szCs w:val="21"/>
                <w:highlight w:val="none"/>
              </w:rPr>
              <w:t>按照经评审的投标报价得分由高到低的顺序依次推荐3名中标候选人</w:t>
            </w:r>
            <w:r>
              <w:rPr>
                <w:rFonts w:hint="default" w:ascii="Times New Roman" w:hAnsi="Times New Roman" w:cs="Times New Roman"/>
                <w:color w:val="auto"/>
                <w:szCs w:val="21"/>
                <w:highlight w:val="none"/>
              </w:rPr>
              <w:t>。若不足3名，则只选取相应的数量。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71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22"/>
              <w:jc w:val="left"/>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补充内容：</w:t>
            </w:r>
          </w:p>
          <w:p>
            <w:pPr>
              <w:spacing w:line="360" w:lineRule="auto"/>
              <w:ind w:firstLine="420"/>
              <w:rPr>
                <w:rFonts w:hint="default" w:ascii="Times New Roman" w:hAnsi="Times New Roman" w:cs="Times New Roman"/>
                <w:color w:val="auto"/>
                <w:szCs w:val="21"/>
                <w:highlight w:val="none"/>
              </w:rPr>
            </w:pPr>
            <w:r>
              <w:rPr>
                <w:rFonts w:hint="default" w:ascii="Times New Roman" w:hAnsi="Times New Roman" w:cs="Times New Roman"/>
                <w:b/>
                <w:color w:val="auto"/>
                <w:szCs w:val="21"/>
                <w:highlight w:val="none"/>
              </w:rPr>
              <w:t>评标办法前附表是评标办法正文的补充和细化，二者不一致时，以前附表为准。</w:t>
            </w:r>
          </w:p>
        </w:tc>
      </w:tr>
    </w:tbl>
    <w:p>
      <w:pPr>
        <w:spacing w:line="400" w:lineRule="exact"/>
        <w:rPr>
          <w:bCs/>
          <w:szCs w:val="21"/>
        </w:rPr>
      </w:pPr>
      <w:r>
        <w:rPr>
          <w:bCs/>
          <w:szCs w:val="21"/>
        </w:rPr>
        <w:t>五、</w:t>
      </w:r>
      <w:r>
        <w:rPr>
          <w:rFonts w:hint="eastAsia"/>
          <w:bCs/>
          <w:szCs w:val="21"/>
        </w:rPr>
        <w:t>竞争性比选须知</w:t>
      </w:r>
    </w:p>
    <w:p>
      <w:pPr>
        <w:spacing w:line="400" w:lineRule="exact"/>
        <w:ind w:firstLine="420" w:firstLineChars="200"/>
        <w:rPr>
          <w:bCs/>
          <w:szCs w:val="21"/>
        </w:rPr>
      </w:pPr>
      <w:r>
        <w:rPr>
          <w:bCs/>
          <w:szCs w:val="21"/>
        </w:rPr>
        <w:t>（</w:t>
      </w:r>
      <w:r>
        <w:rPr>
          <w:rFonts w:hint="eastAsia"/>
          <w:bCs/>
          <w:szCs w:val="21"/>
        </w:rPr>
        <w:t>一</w:t>
      </w:r>
      <w:r>
        <w:rPr>
          <w:bCs/>
          <w:szCs w:val="21"/>
        </w:rPr>
        <w:t>）竞争性比选文件</w:t>
      </w:r>
      <w:r>
        <w:rPr>
          <w:rFonts w:hint="eastAsia"/>
          <w:bCs/>
          <w:szCs w:val="21"/>
        </w:rPr>
        <w:t>发售</w:t>
      </w:r>
      <w:r>
        <w:rPr>
          <w:bCs/>
          <w:szCs w:val="21"/>
        </w:rPr>
        <w:t>时间：</w:t>
      </w:r>
      <w:r>
        <w:rPr>
          <w:rFonts w:hint="eastAsia"/>
          <w:bCs/>
          <w:szCs w:val="21"/>
          <w:lang w:eastAsia="zh-CN"/>
        </w:rPr>
        <w:t>202</w:t>
      </w:r>
      <w:r>
        <w:rPr>
          <w:rFonts w:hint="eastAsia"/>
          <w:bCs/>
          <w:szCs w:val="21"/>
          <w:lang w:val="en-US" w:eastAsia="zh-CN"/>
        </w:rPr>
        <w:t>1</w:t>
      </w:r>
      <w:r>
        <w:rPr>
          <w:bCs/>
          <w:szCs w:val="21"/>
        </w:rPr>
        <w:t>年</w:t>
      </w:r>
      <w:r>
        <w:rPr>
          <w:rFonts w:hint="eastAsia"/>
          <w:bCs/>
          <w:szCs w:val="21"/>
          <w:lang w:val="en-US" w:eastAsia="zh-CN"/>
        </w:rPr>
        <w:t>11</w:t>
      </w:r>
      <w:r>
        <w:rPr>
          <w:bCs/>
          <w:szCs w:val="21"/>
        </w:rPr>
        <w:t>月</w:t>
      </w:r>
      <w:r>
        <w:rPr>
          <w:rFonts w:hint="eastAsia"/>
          <w:bCs/>
          <w:szCs w:val="21"/>
          <w:lang w:val="en-US" w:eastAsia="zh-CN"/>
        </w:rPr>
        <w:t>1</w:t>
      </w:r>
      <w:r>
        <w:rPr>
          <w:bCs/>
          <w:szCs w:val="21"/>
        </w:rPr>
        <w:t>日</w:t>
      </w:r>
      <w:r>
        <w:rPr>
          <w:rFonts w:hint="eastAsia"/>
          <w:bCs/>
          <w:szCs w:val="21"/>
        </w:rPr>
        <w:t>9时00分</w:t>
      </w:r>
      <w:r>
        <w:rPr>
          <w:bCs/>
          <w:szCs w:val="21"/>
        </w:rPr>
        <w:t>-</w:t>
      </w:r>
      <w:r>
        <w:rPr>
          <w:rFonts w:hint="eastAsia"/>
          <w:bCs/>
          <w:szCs w:val="21"/>
          <w:lang w:eastAsia="zh-CN"/>
        </w:rPr>
        <w:t>202</w:t>
      </w:r>
      <w:r>
        <w:rPr>
          <w:rFonts w:hint="eastAsia"/>
          <w:bCs/>
          <w:szCs w:val="21"/>
          <w:lang w:val="en-US" w:eastAsia="zh-CN"/>
        </w:rPr>
        <w:t>1</w:t>
      </w:r>
      <w:r>
        <w:rPr>
          <w:bCs/>
          <w:szCs w:val="21"/>
        </w:rPr>
        <w:t>年</w:t>
      </w:r>
      <w:r>
        <w:rPr>
          <w:rFonts w:hint="eastAsia"/>
          <w:bCs/>
          <w:szCs w:val="21"/>
          <w:lang w:val="en-US" w:eastAsia="zh-CN"/>
        </w:rPr>
        <w:t>11</w:t>
      </w:r>
      <w:r>
        <w:rPr>
          <w:bCs/>
          <w:szCs w:val="21"/>
        </w:rPr>
        <w:t>月</w:t>
      </w:r>
      <w:r>
        <w:rPr>
          <w:rFonts w:hint="eastAsia"/>
          <w:bCs/>
          <w:szCs w:val="21"/>
          <w:lang w:val="en-US" w:eastAsia="zh-CN"/>
        </w:rPr>
        <w:t>3</w:t>
      </w:r>
      <w:r>
        <w:rPr>
          <w:bCs/>
          <w:szCs w:val="21"/>
        </w:rPr>
        <w:t>日</w:t>
      </w:r>
      <w:r>
        <w:rPr>
          <w:rFonts w:hint="eastAsia"/>
          <w:bCs/>
          <w:szCs w:val="21"/>
        </w:rPr>
        <w:t>17时00分</w:t>
      </w:r>
      <w:r>
        <w:rPr>
          <w:bCs/>
          <w:szCs w:val="21"/>
        </w:rPr>
        <w:t>内（法定公休日、法定节假日除外），过时不候。</w:t>
      </w:r>
      <w:r>
        <w:rPr>
          <w:rFonts w:hint="eastAsia"/>
          <w:bCs/>
          <w:szCs w:val="21"/>
        </w:rPr>
        <w:t>本次比选公告及比选结果公示中国招标投标公共服务平台（http://bulletin.cebpubservice.com/）、重庆高速公路集团有限公司招投标管理平台（http://43.240.249.108:8088/PMS/）和重庆高速集团官网上发布比选公告。</w:t>
      </w:r>
    </w:p>
    <w:p>
      <w:pPr>
        <w:spacing w:line="400" w:lineRule="exact"/>
        <w:ind w:firstLine="420" w:firstLineChars="200"/>
        <w:rPr>
          <w:bCs/>
          <w:szCs w:val="21"/>
        </w:rPr>
      </w:pPr>
      <w:r>
        <w:rPr>
          <w:bCs/>
          <w:szCs w:val="21"/>
        </w:rPr>
        <w:t>（二）</w:t>
      </w:r>
      <w:r>
        <w:rPr>
          <w:rFonts w:hint="eastAsia"/>
          <w:bCs/>
          <w:szCs w:val="21"/>
        </w:rPr>
        <w:t>竞争性比选文件发售：比选申请人</w:t>
      </w:r>
      <w:r>
        <w:rPr>
          <w:rFonts w:hint="eastAsia"/>
          <w:bCs/>
          <w:szCs w:val="21"/>
          <w:lang w:val="en-US" w:eastAsia="zh-CN"/>
        </w:rPr>
        <w:t>自行下载比选文件</w:t>
      </w:r>
      <w:r>
        <w:rPr>
          <w:rFonts w:hint="eastAsia"/>
          <w:bCs/>
          <w:szCs w:val="21"/>
        </w:rPr>
        <w:t>。</w:t>
      </w:r>
    </w:p>
    <w:p>
      <w:pPr>
        <w:pStyle w:val="9"/>
        <w:spacing w:line="400" w:lineRule="exact"/>
        <w:ind w:firstLine="420"/>
        <w:rPr>
          <w:rFonts w:ascii="Times New Roman" w:eastAsia="宋体" w:cs="Times New Roman"/>
          <w:color w:val="auto"/>
          <w:sz w:val="21"/>
          <w:szCs w:val="21"/>
        </w:rPr>
      </w:pPr>
      <w:r>
        <w:rPr>
          <w:rFonts w:ascii="Times New Roman" w:eastAsia="宋体" w:cs="Times New Roman"/>
          <w:color w:val="auto"/>
          <w:sz w:val="21"/>
          <w:szCs w:val="21"/>
        </w:rPr>
        <w:t>（</w:t>
      </w:r>
      <w:r>
        <w:rPr>
          <w:rFonts w:hint="eastAsia" w:ascii="Times New Roman" w:eastAsia="宋体" w:cs="Times New Roman"/>
          <w:color w:val="auto"/>
          <w:sz w:val="21"/>
          <w:szCs w:val="21"/>
        </w:rPr>
        <w:t>三</w:t>
      </w:r>
      <w:r>
        <w:rPr>
          <w:rFonts w:ascii="Times New Roman" w:eastAsia="宋体" w:cs="Times New Roman"/>
          <w:color w:val="auto"/>
          <w:sz w:val="21"/>
          <w:szCs w:val="21"/>
        </w:rPr>
        <w:t>）</w:t>
      </w:r>
      <w:r>
        <w:rPr>
          <w:rFonts w:hint="eastAsia" w:ascii="Times New Roman" w:eastAsia="宋体" w:cs="Times New Roman"/>
          <w:color w:val="auto"/>
          <w:sz w:val="21"/>
          <w:szCs w:val="21"/>
        </w:rPr>
        <w:t>竞争性比选地点：重庆</w:t>
      </w:r>
      <w:r>
        <w:rPr>
          <w:rFonts w:hint="eastAsia" w:ascii="Times New Roman" w:eastAsia="宋体" w:cs="Times New Roman"/>
          <w:color w:val="auto"/>
          <w:sz w:val="21"/>
          <w:szCs w:val="21"/>
          <w:lang w:val="en-US" w:eastAsia="zh-CN"/>
        </w:rPr>
        <w:t>高速集团1816室</w:t>
      </w:r>
      <w:r>
        <w:rPr>
          <w:rFonts w:hint="eastAsia" w:ascii="Times New Roman" w:eastAsia="宋体" w:cs="Times New Roman"/>
          <w:color w:val="auto"/>
          <w:sz w:val="21"/>
          <w:szCs w:val="21"/>
        </w:rPr>
        <w:t>。</w:t>
      </w:r>
    </w:p>
    <w:p>
      <w:pPr>
        <w:pStyle w:val="9"/>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（四）竞争性比选截止及开标时间：</w:t>
      </w:r>
      <w:r>
        <w:rPr>
          <w:rFonts w:hint="eastAsia" w:ascii="Times New Roman" w:eastAsia="宋体" w:cs="Times New Roman"/>
          <w:color w:val="auto"/>
          <w:sz w:val="21"/>
          <w:szCs w:val="21"/>
          <w:lang w:eastAsia="zh-CN"/>
        </w:rPr>
        <w:t>202</w:t>
      </w:r>
      <w:r>
        <w:rPr>
          <w:rFonts w:hint="eastAsia" w:ascii="Times New Roman" w:eastAsia="宋体" w:cs="Times New Roman"/>
          <w:color w:val="auto"/>
          <w:sz w:val="21"/>
          <w:szCs w:val="21"/>
          <w:lang w:val="en-US" w:eastAsia="zh-CN"/>
        </w:rPr>
        <w:t>1</w:t>
      </w:r>
      <w:r>
        <w:rPr>
          <w:rFonts w:hint="eastAsia" w:ascii="Times New Roman" w:eastAsia="宋体" w:cs="Times New Roman"/>
          <w:color w:val="auto"/>
          <w:sz w:val="21"/>
          <w:szCs w:val="21"/>
        </w:rPr>
        <w:t>年</w:t>
      </w:r>
      <w:r>
        <w:rPr>
          <w:rFonts w:hint="eastAsia" w:ascii="Times New Roman" w:eastAsia="宋体" w:cs="Times New Roman"/>
          <w:color w:val="auto"/>
          <w:sz w:val="21"/>
          <w:szCs w:val="21"/>
          <w:lang w:val="en-US" w:eastAsia="zh-CN"/>
        </w:rPr>
        <w:t>11</w:t>
      </w:r>
      <w:r>
        <w:rPr>
          <w:rFonts w:hint="eastAsia" w:ascii="Times New Roman" w:eastAsia="宋体" w:cs="Times New Roman"/>
          <w:color w:val="auto"/>
          <w:sz w:val="21"/>
          <w:szCs w:val="21"/>
        </w:rPr>
        <w:t>月</w:t>
      </w:r>
      <w:r>
        <w:rPr>
          <w:rFonts w:hint="eastAsia" w:ascii="Times New Roman" w:eastAsia="宋体" w:cs="Times New Roman"/>
          <w:color w:val="auto"/>
          <w:sz w:val="21"/>
          <w:szCs w:val="21"/>
          <w:lang w:val="en-US" w:eastAsia="zh-CN"/>
        </w:rPr>
        <w:t>4</w:t>
      </w:r>
      <w:r>
        <w:rPr>
          <w:rFonts w:hint="eastAsia" w:ascii="Times New Roman" w:eastAsia="宋体" w:cs="Times New Roman"/>
          <w:color w:val="auto"/>
          <w:sz w:val="21"/>
          <w:szCs w:val="21"/>
        </w:rPr>
        <w:t>日</w:t>
      </w:r>
      <w:r>
        <w:rPr>
          <w:rFonts w:ascii="Times New Roman" w:eastAsia="宋体" w:cs="Times New Roman"/>
          <w:color w:val="auto"/>
          <w:sz w:val="21"/>
          <w:szCs w:val="21"/>
        </w:rPr>
        <w:t xml:space="preserve"> 14 </w:t>
      </w:r>
      <w:r>
        <w:rPr>
          <w:rFonts w:hint="eastAsia" w:ascii="Times New Roman" w:eastAsia="宋体" w:cs="Times New Roman"/>
          <w:color w:val="auto"/>
          <w:sz w:val="21"/>
          <w:szCs w:val="21"/>
        </w:rPr>
        <w:t>时</w:t>
      </w:r>
      <w:r>
        <w:rPr>
          <w:rFonts w:ascii="Times New Roman" w:eastAsia="宋体" w:cs="Times New Roman"/>
          <w:color w:val="auto"/>
          <w:sz w:val="21"/>
          <w:szCs w:val="21"/>
        </w:rPr>
        <w:t xml:space="preserve"> 00 </w:t>
      </w:r>
      <w:r>
        <w:rPr>
          <w:rFonts w:hint="eastAsia" w:ascii="Times New Roman" w:eastAsia="宋体" w:cs="Times New Roman"/>
          <w:color w:val="auto"/>
          <w:sz w:val="21"/>
          <w:szCs w:val="21"/>
        </w:rPr>
        <w:t>分（北京时间）。</w:t>
      </w:r>
    </w:p>
    <w:p>
      <w:pPr>
        <w:spacing w:line="400" w:lineRule="exact"/>
        <w:ind w:firstLine="420" w:firstLineChars="200"/>
        <w:rPr>
          <w:rFonts w:ascii="Times New Roman" w:eastAsia="宋体" w:cs="Times New Roman"/>
          <w:szCs w:val="21"/>
        </w:rPr>
      </w:pPr>
      <w:r>
        <w:rPr>
          <w:szCs w:val="21"/>
        </w:rPr>
        <w:t>（</w:t>
      </w:r>
      <w:r>
        <w:rPr>
          <w:rFonts w:hint="eastAsia"/>
          <w:szCs w:val="21"/>
        </w:rPr>
        <w:t>五</w:t>
      </w:r>
      <w:r>
        <w:rPr>
          <w:szCs w:val="21"/>
        </w:rPr>
        <w:t>）</w:t>
      </w:r>
      <w:r>
        <w:rPr>
          <w:rFonts w:hint="eastAsia" w:ascii="Times New Roman" w:eastAsia="宋体" w:cs="Times New Roman"/>
          <w:szCs w:val="21"/>
        </w:rPr>
        <w:t>本项目的竞标保证金为1万元整。比选申请单位需在</w:t>
      </w:r>
      <w:r>
        <w:rPr>
          <w:rFonts w:hint="eastAsia" w:ascii="Times New Roman" w:eastAsia="宋体" w:cs="Times New Roman"/>
          <w:szCs w:val="21"/>
          <w:lang w:eastAsia="zh-CN"/>
        </w:rPr>
        <w:t>202</w:t>
      </w:r>
      <w:r>
        <w:rPr>
          <w:rFonts w:hint="eastAsia" w:ascii="Times New Roman" w:eastAsia="宋体" w:cs="Times New Roman"/>
          <w:szCs w:val="21"/>
          <w:lang w:val="en-US" w:eastAsia="zh-CN"/>
        </w:rPr>
        <w:t>1</w:t>
      </w:r>
      <w:r>
        <w:rPr>
          <w:rFonts w:ascii="Times New Roman" w:eastAsia="宋体" w:cs="Times New Roman"/>
          <w:szCs w:val="21"/>
        </w:rPr>
        <w:t>年</w:t>
      </w:r>
      <w:r>
        <w:rPr>
          <w:rFonts w:hint="eastAsia" w:ascii="Times New Roman" w:eastAsia="宋体" w:cs="Times New Roman"/>
          <w:szCs w:val="21"/>
          <w:lang w:val="en-US" w:eastAsia="zh-CN"/>
        </w:rPr>
        <w:t>11</w:t>
      </w:r>
      <w:r>
        <w:rPr>
          <w:rFonts w:ascii="Times New Roman" w:eastAsia="宋体" w:cs="Times New Roman"/>
          <w:szCs w:val="21"/>
        </w:rPr>
        <w:t>月</w:t>
      </w:r>
      <w:r>
        <w:rPr>
          <w:rFonts w:hint="eastAsia" w:ascii="Times New Roman" w:eastAsia="宋体" w:cs="Times New Roman"/>
          <w:szCs w:val="21"/>
          <w:lang w:val="en-US" w:eastAsia="zh-CN"/>
        </w:rPr>
        <w:t>4</w:t>
      </w:r>
      <w:r>
        <w:rPr>
          <w:rFonts w:ascii="Times New Roman" w:eastAsia="宋体" w:cs="Times New Roman"/>
          <w:szCs w:val="21"/>
        </w:rPr>
        <w:t>日1</w:t>
      </w:r>
      <w:r>
        <w:rPr>
          <w:rFonts w:hint="eastAsia" w:ascii="Times New Roman" w:eastAsia="宋体" w:cs="Times New Roman"/>
          <w:szCs w:val="21"/>
          <w:lang w:val="en-US" w:eastAsia="zh-CN"/>
        </w:rPr>
        <w:t>2</w:t>
      </w:r>
      <w:r>
        <w:rPr>
          <w:rFonts w:hint="eastAsia" w:ascii="Times New Roman" w:eastAsia="宋体" w:cs="Times New Roman"/>
          <w:szCs w:val="21"/>
        </w:rPr>
        <w:t>:00（北京时间）前将保证金交到比选人指定账户（比选人账户见下）。比选结果公布后，比选申请单位向比选人提出退保证金申请，</w:t>
      </w:r>
      <w:r>
        <w:rPr>
          <w:rFonts w:hint="eastAsia" w:ascii="Times New Roman" w:eastAsia="宋体" w:cs="Times New Roman"/>
          <w:szCs w:val="21"/>
          <w:lang w:eastAsia="zh-CN"/>
        </w:rPr>
        <w:t>并付收据，</w:t>
      </w:r>
      <w:bookmarkStart w:id="42" w:name="_GoBack"/>
      <w:bookmarkEnd w:id="42"/>
      <w:r>
        <w:rPr>
          <w:rFonts w:hint="eastAsia" w:ascii="Times New Roman" w:eastAsia="宋体" w:cs="Times New Roman"/>
          <w:szCs w:val="21"/>
        </w:rPr>
        <w:t>比选人在收到退保证金申请后的20个工作日内无息返还竞标保证金。（成交单位的竞标保证金自动转为履约保证金）</w:t>
      </w:r>
    </w:p>
    <w:p>
      <w:pPr>
        <w:pStyle w:val="9"/>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widowControl/>
        <w:spacing w:line="400" w:lineRule="exact"/>
        <w:jc w:val="left"/>
        <w:rPr>
          <w:kern w:val="0"/>
          <w:szCs w:val="21"/>
        </w:rPr>
      </w:pPr>
      <w:r>
        <w:rPr>
          <w:rFonts w:hint="eastAsia"/>
          <w:kern w:val="0"/>
          <w:szCs w:val="21"/>
        </w:rPr>
        <w:t xml:space="preserve">    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开户行、账号：兴业银行重庆分行营业部    346010100101099025</w:t>
      </w:r>
    </w:p>
    <w:p>
      <w:pPr>
        <w:spacing w:line="400" w:lineRule="exact"/>
        <w:ind w:firstLine="420" w:firstLineChars="200"/>
        <w:rPr>
          <w:szCs w:val="21"/>
        </w:rPr>
      </w:pPr>
      <w:r>
        <w:rPr>
          <w:szCs w:val="21"/>
        </w:rPr>
        <w:t>（</w:t>
      </w:r>
      <w:r>
        <w:rPr>
          <w:rFonts w:hint="eastAsia"/>
          <w:szCs w:val="21"/>
        </w:rPr>
        <w:t>六</w:t>
      </w:r>
      <w:r>
        <w:rPr>
          <w:szCs w:val="21"/>
        </w:rPr>
        <w:t>）各</w:t>
      </w:r>
      <w:r>
        <w:rPr>
          <w:rFonts w:hint="eastAsia"/>
          <w:szCs w:val="21"/>
        </w:rPr>
        <w:t>比选申请</w:t>
      </w:r>
      <w:r>
        <w:rPr>
          <w:szCs w:val="21"/>
        </w:rPr>
        <w:t>人应根据本次</w:t>
      </w:r>
      <w:r>
        <w:rPr>
          <w:rFonts w:hint="eastAsia"/>
          <w:szCs w:val="21"/>
        </w:rPr>
        <w:t>比选</w:t>
      </w:r>
      <w:r>
        <w:rPr>
          <w:szCs w:val="21"/>
        </w:rPr>
        <w:t>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szCs w:val="21"/>
        </w:rPr>
      </w:pPr>
      <w:r>
        <w:rPr>
          <w:szCs w:val="21"/>
        </w:rPr>
        <w:t>（</w:t>
      </w:r>
      <w:r>
        <w:rPr>
          <w:rFonts w:hint="eastAsia"/>
          <w:szCs w:val="21"/>
        </w:rPr>
        <w:t>七</w:t>
      </w:r>
      <w:r>
        <w:rPr>
          <w:szCs w:val="21"/>
        </w:rPr>
        <w:t>）密封要求：</w:t>
      </w:r>
    </w:p>
    <w:p>
      <w:pPr>
        <w:spacing w:line="400" w:lineRule="exact"/>
        <w:ind w:firstLine="420" w:firstLineChars="200"/>
        <w:rPr>
          <w:szCs w:val="21"/>
        </w:rPr>
      </w:pPr>
      <w:r>
        <w:rPr>
          <w:szCs w:val="21"/>
        </w:rPr>
        <w:t>按第三条要求制作的竞争性比选申请文件，将竞争性比选申请文件密封到一个封套中，再在封套上写明：</w:t>
      </w:r>
    </w:p>
    <w:p>
      <w:pPr>
        <w:spacing w:line="400" w:lineRule="exact"/>
        <w:ind w:firstLine="420" w:firstLineChars="200"/>
        <w:jc w:val="center"/>
        <w:rPr>
          <w:szCs w:val="21"/>
          <w:u w:val="single"/>
        </w:rPr>
      </w:pPr>
      <w:r>
        <w:rPr>
          <w:rFonts w:hint="eastAsia"/>
          <w:szCs w:val="21"/>
          <w:u w:val="single"/>
        </w:rPr>
        <w:t>重庆高速文化传媒股份有限公司</w:t>
      </w:r>
      <w:r>
        <w:rPr>
          <w:rFonts w:hint="eastAsia"/>
          <w:szCs w:val="21"/>
          <w:u w:val="single"/>
          <w:lang w:eastAsia="zh-CN"/>
        </w:rPr>
        <w:t>202</w:t>
      </w:r>
      <w:r>
        <w:rPr>
          <w:rFonts w:hint="eastAsia"/>
          <w:szCs w:val="21"/>
          <w:u w:val="single"/>
          <w:lang w:val="en-US" w:eastAsia="zh-CN"/>
        </w:rPr>
        <w:t>1</w:t>
      </w:r>
      <w:r>
        <w:rPr>
          <w:rFonts w:hint="eastAsia"/>
          <w:szCs w:val="21"/>
          <w:u w:val="single"/>
        </w:rPr>
        <w:t>年广告牌修枝项目竞争性比选申请</w:t>
      </w:r>
      <w:r>
        <w:rPr>
          <w:szCs w:val="21"/>
          <w:u w:val="single"/>
        </w:rPr>
        <w:t>文件</w:t>
      </w:r>
    </w:p>
    <w:p>
      <w:pPr>
        <w:spacing w:line="400" w:lineRule="exact"/>
        <w:ind w:firstLine="420" w:firstLineChars="200"/>
        <w:jc w:val="center"/>
        <w:rPr>
          <w:szCs w:val="21"/>
          <w:u w:val="single"/>
        </w:rPr>
      </w:pPr>
      <w:r>
        <w:rPr>
          <w:szCs w:val="21"/>
          <w:u w:val="single"/>
        </w:rPr>
        <w:t>在</w:t>
      </w:r>
      <w:r>
        <w:rPr>
          <w:rFonts w:hint="eastAsia"/>
          <w:szCs w:val="21"/>
          <w:u w:val="single"/>
          <w:lang w:eastAsia="zh-CN"/>
        </w:rPr>
        <w:t>202</w:t>
      </w:r>
      <w:r>
        <w:rPr>
          <w:rFonts w:hint="eastAsia"/>
          <w:szCs w:val="21"/>
          <w:u w:val="single"/>
          <w:lang w:val="en-US" w:eastAsia="zh-CN"/>
        </w:rPr>
        <w:t>1</w:t>
      </w:r>
      <w:r>
        <w:rPr>
          <w:szCs w:val="21"/>
          <w:u w:val="single"/>
        </w:rPr>
        <w:t>年</w:t>
      </w:r>
      <w:r>
        <w:rPr>
          <w:rFonts w:hint="eastAsia"/>
          <w:szCs w:val="21"/>
          <w:u w:val="single"/>
          <w:lang w:val="en-US" w:eastAsia="zh-CN"/>
        </w:rPr>
        <w:t>11</w:t>
      </w:r>
      <w:r>
        <w:rPr>
          <w:szCs w:val="21"/>
          <w:u w:val="single"/>
        </w:rPr>
        <w:t>月</w:t>
      </w:r>
      <w:r>
        <w:rPr>
          <w:rFonts w:hint="eastAsia"/>
          <w:szCs w:val="21"/>
          <w:u w:val="single"/>
          <w:lang w:val="en-US" w:eastAsia="zh-CN"/>
        </w:rPr>
        <w:t>4</w:t>
      </w:r>
      <w:r>
        <w:rPr>
          <w:szCs w:val="21"/>
          <w:u w:val="single"/>
        </w:rPr>
        <w:t>日14</w:t>
      </w:r>
      <w:r>
        <w:rPr>
          <w:rFonts w:hint="eastAsia"/>
          <w:szCs w:val="21"/>
          <w:u w:val="single"/>
        </w:rPr>
        <w:t>时</w:t>
      </w:r>
      <w:r>
        <w:rPr>
          <w:szCs w:val="21"/>
          <w:u w:val="single"/>
        </w:rPr>
        <w:t xml:space="preserve"> 00 </w:t>
      </w:r>
      <w:r>
        <w:rPr>
          <w:rFonts w:hint="eastAsia"/>
          <w:szCs w:val="21"/>
          <w:u w:val="single"/>
        </w:rPr>
        <w:t>分</w:t>
      </w:r>
      <w:r>
        <w:rPr>
          <w:szCs w:val="21"/>
          <w:u w:val="single"/>
        </w:rPr>
        <w:t>前不得开启</w:t>
      </w:r>
    </w:p>
    <w:p>
      <w:pPr>
        <w:spacing w:line="400" w:lineRule="exact"/>
        <w:ind w:firstLine="420" w:firstLineChars="200"/>
        <w:jc w:val="left"/>
        <w:rPr>
          <w:szCs w:val="21"/>
        </w:rPr>
      </w:pPr>
    </w:p>
    <w:p>
      <w:pPr>
        <w:spacing w:line="400" w:lineRule="exact"/>
        <w:ind w:firstLine="420" w:firstLineChars="200"/>
        <w:jc w:val="left"/>
        <w:rPr>
          <w:szCs w:val="21"/>
        </w:rPr>
      </w:pPr>
      <w:r>
        <w:rPr>
          <w:szCs w:val="21"/>
        </w:rPr>
        <w:t>比选人：重庆高速文化传媒股份有限公司</w:t>
      </w:r>
    </w:p>
    <w:p>
      <w:pPr>
        <w:spacing w:line="400" w:lineRule="exact"/>
        <w:ind w:left="420" w:leftChars="200"/>
        <w:jc w:val="left"/>
        <w:rPr>
          <w:szCs w:val="21"/>
        </w:rPr>
      </w:pPr>
      <w:r>
        <w:rPr>
          <w:szCs w:val="21"/>
        </w:rPr>
        <w:t>地址：渝北区银杉路66号主楼402室</w:t>
      </w:r>
      <w:r>
        <w:rPr>
          <w:szCs w:val="21"/>
        </w:rPr>
        <w:br w:type="textWrapping"/>
      </w:r>
      <w:r>
        <w:rPr>
          <w:szCs w:val="21"/>
        </w:rPr>
        <w:t xml:space="preserve">联系人：吴老师 </w:t>
      </w:r>
      <w:r>
        <w:rPr>
          <w:rFonts w:hint="eastAsia"/>
          <w:szCs w:val="21"/>
        </w:rPr>
        <w:t xml:space="preserve">   </w:t>
      </w:r>
      <w:r>
        <w:rPr>
          <w:szCs w:val="21"/>
        </w:rPr>
        <w:t xml:space="preserve"> 电话：</w:t>
      </w:r>
      <w:r>
        <w:rPr>
          <w:rFonts w:hint="eastAsia"/>
          <w:szCs w:val="21"/>
        </w:rPr>
        <w:t>023－89139739</w:t>
      </w:r>
    </w:p>
    <w:p>
      <w:pPr>
        <w:spacing w:line="400" w:lineRule="exact"/>
        <w:ind w:firstLine="420" w:firstLineChars="200"/>
        <w:jc w:val="left"/>
        <w:rPr>
          <w:sz w:val="22"/>
          <w:szCs w:val="24"/>
        </w:rPr>
      </w:pPr>
      <w:r>
        <w:rPr>
          <w:szCs w:val="21"/>
        </w:rPr>
        <w:t xml:space="preserve">   </w:t>
      </w:r>
      <w:r>
        <w:rPr>
          <w:sz w:val="22"/>
          <w:szCs w:val="24"/>
        </w:rPr>
        <w:br w:type="page"/>
      </w:r>
    </w:p>
    <w:p>
      <w:pPr>
        <w:jc w:val="center"/>
        <w:rPr>
          <w:rFonts w:ascii="宋体" w:hAnsi="宋体" w:cs="宋体"/>
          <w:b/>
          <w:sz w:val="24"/>
        </w:rPr>
      </w:pPr>
      <w:r>
        <w:rPr>
          <w:rFonts w:hint="eastAsia" w:ascii="宋体" w:hAnsi="宋体" w:cs="宋体"/>
          <w:b/>
          <w:sz w:val="24"/>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ind w:right="480" w:firstLine="2849" w:firstLineChars="946"/>
        <w:jc w:val="right"/>
        <w:rPr>
          <w:rFonts w:ascii="宋体" w:hAnsi="宋体" w:cs="宋体"/>
          <w:b/>
          <w:sz w:val="30"/>
          <w:szCs w:val="30"/>
        </w:rPr>
      </w:pPr>
      <w:r>
        <w:rPr>
          <w:rFonts w:hint="eastAsia" w:ascii="宋体" w:hAnsi="宋体" w:cs="宋体"/>
          <w:b/>
          <w:sz w:val="30"/>
          <w:szCs w:val="30"/>
        </w:rPr>
        <w:t>正本（或副本）</w:t>
      </w:r>
    </w:p>
    <w:p>
      <w:pPr>
        <w:pStyle w:val="9"/>
        <w:rPr>
          <w:color w:val="auto"/>
        </w:rPr>
      </w:pPr>
    </w:p>
    <w:p>
      <w:pPr>
        <w:rPr>
          <w:rFonts w:ascii="宋体" w:hAnsi="宋体" w:eastAsia="宋体" w:cs="宋体"/>
          <w:b/>
          <w:sz w:val="36"/>
          <w:szCs w:val="36"/>
          <w:u w:val="single"/>
        </w:rPr>
      </w:pPr>
      <w:r>
        <w:rPr>
          <w:rFonts w:hint="eastAsia" w:ascii="宋体" w:hAnsi="宋体" w:cs="宋体"/>
          <w:b/>
          <w:sz w:val="36"/>
          <w:szCs w:val="36"/>
          <w:u w:val="single"/>
        </w:rPr>
        <w:t>重庆高速文化传媒股份有限公司</w:t>
      </w:r>
      <w:r>
        <w:rPr>
          <w:rFonts w:hint="eastAsia" w:ascii="宋体" w:hAnsi="宋体" w:cs="宋体"/>
          <w:b/>
          <w:sz w:val="36"/>
          <w:szCs w:val="36"/>
          <w:u w:val="single"/>
          <w:lang w:eastAsia="zh-CN"/>
        </w:rPr>
        <w:t>2022</w:t>
      </w:r>
      <w:r>
        <w:rPr>
          <w:rFonts w:hint="eastAsia" w:ascii="宋体" w:hAnsi="宋体" w:cs="宋体"/>
          <w:b/>
          <w:sz w:val="36"/>
          <w:szCs w:val="36"/>
          <w:u w:val="single"/>
        </w:rPr>
        <w:t>年广告牌修枝项目</w:t>
      </w:r>
    </w:p>
    <w:p>
      <w:pPr>
        <w:jc w:val="center"/>
        <w:rPr>
          <w:rFonts w:ascii="宋体" w:hAnsi="宋体" w:cs="宋体"/>
          <w:b/>
          <w:sz w:val="44"/>
          <w:szCs w:val="44"/>
        </w:rPr>
      </w:pPr>
      <w:r>
        <w:rPr>
          <w:rFonts w:hint="eastAsia" w:ascii="宋体" w:hAnsi="宋体" w:cs="宋体"/>
          <w:b/>
          <w:sz w:val="44"/>
          <w:szCs w:val="44"/>
          <w:u w:val="single"/>
        </w:rPr>
        <w:t xml:space="preserve">竞争性比选申请文件 </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pStyle w:val="9"/>
        <w:rPr>
          <w:color w:val="auto"/>
        </w:rPr>
      </w:pPr>
    </w:p>
    <w:p>
      <w:pPr>
        <w:pStyle w:val="9"/>
        <w:rPr>
          <w:color w:val="auto"/>
        </w:rPr>
      </w:pPr>
    </w:p>
    <w:p>
      <w:pPr>
        <w:jc w:val="center"/>
        <w:rPr>
          <w:rFonts w:ascii="宋体" w:hAnsi="宋体" w:cs="宋体"/>
          <w:sz w:val="32"/>
          <w:szCs w:val="32"/>
          <w:u w:val="single"/>
        </w:rPr>
      </w:pPr>
    </w:p>
    <w:p>
      <w:pPr>
        <w:tabs>
          <w:tab w:val="left" w:pos="900"/>
          <w:tab w:val="left" w:pos="1080"/>
        </w:tabs>
        <w:spacing w:line="300" w:lineRule="auto"/>
        <w:jc w:val="center"/>
        <w:outlineLvl w:val="0"/>
        <w:rPr>
          <w:rFonts w:ascii="宋体" w:hAnsi="宋体" w:cs="宋体"/>
          <w:b/>
          <w:sz w:val="24"/>
        </w:rPr>
      </w:pPr>
      <w:r>
        <w:rPr>
          <w:rFonts w:hint="eastAsia" w:ascii="宋体" w:hAnsi="宋体" w:cs="宋体"/>
          <w:b/>
          <w:sz w:val="24"/>
        </w:rPr>
        <w:t>目  录</w:t>
      </w: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一、报价书；</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二、法定代表人身份证明及授权委托书；</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三、比选申请单位有效的营业执照资料；</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四、比选申请单位有效的安全生产许可证、资质证书资料；</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五、比选申请单位的业绩证明资料；</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六、比选申请单位的信誉承诺书；</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七、</w:t>
      </w:r>
      <w:r>
        <w:rPr>
          <w:rFonts w:ascii="宋体" w:hAnsi="宋体" w:cs="宋体"/>
          <w:sz w:val="24"/>
          <w:szCs w:val="24"/>
        </w:rPr>
        <w:t>技术部分</w:t>
      </w:r>
      <w:r>
        <w:rPr>
          <w:rFonts w:hint="eastAsia" w:ascii="宋体" w:hAnsi="宋体" w:cs="宋体"/>
          <w:sz w:val="24"/>
          <w:szCs w:val="24"/>
        </w:rPr>
        <w:t>；</w:t>
      </w:r>
    </w:p>
    <w:p>
      <w:pPr>
        <w:tabs>
          <w:tab w:val="left" w:pos="900"/>
          <w:tab w:val="left" w:pos="1080"/>
        </w:tabs>
        <w:spacing w:line="360" w:lineRule="auto"/>
        <w:outlineLvl w:val="0"/>
        <w:rPr>
          <w:rFonts w:ascii="宋体" w:hAnsi="宋体" w:cs="宋体"/>
          <w:sz w:val="24"/>
          <w:szCs w:val="24"/>
        </w:rPr>
      </w:pPr>
      <w:r>
        <w:rPr>
          <w:rFonts w:hint="eastAsia" w:ascii="宋体" w:hAnsi="宋体" w:cs="宋体"/>
          <w:sz w:val="24"/>
          <w:szCs w:val="24"/>
        </w:rPr>
        <w:t>八、其他相关资料。（若有）</w:t>
      </w: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jc w:val="center"/>
        <w:outlineLvl w:val="2"/>
        <w:rPr>
          <w:rFonts w:ascii="宋体" w:hAnsi="宋体" w:cs="宋体"/>
          <w:b/>
          <w:sz w:val="28"/>
          <w:szCs w:val="28"/>
        </w:rPr>
        <w:sectPr>
          <w:pgSz w:w="11906" w:h="16838"/>
          <w:pgMar w:top="1418" w:right="1361" w:bottom="1418" w:left="1361" w:header="851" w:footer="992" w:gutter="0"/>
          <w:cols w:space="720" w:num="1"/>
          <w:docGrid w:type="lines" w:linePitch="312" w:charSpace="0"/>
        </w:sectPr>
      </w:pPr>
      <w:bookmarkStart w:id="39"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9"/>
    </w:p>
    <w:p>
      <w:pPr>
        <w:spacing w:line="320" w:lineRule="exact"/>
        <w:rPr>
          <w:rFonts w:ascii="宋体" w:hAnsi="宋体" w:cs="宋体"/>
          <w:szCs w:val="21"/>
        </w:rPr>
      </w:pPr>
      <w:r>
        <w:rPr>
          <w:rFonts w:hint="eastAsia" w:ascii="宋体" w:hAnsi="宋体" w:cs="宋体"/>
          <w:b/>
          <w:u w:val="single"/>
        </w:rPr>
        <w:t>致：重庆高速文化传媒股份有限公司</w:t>
      </w:r>
    </w:p>
    <w:p>
      <w:pPr>
        <w:spacing w:line="320" w:lineRule="exact"/>
        <w:ind w:firstLine="420" w:firstLineChars="200"/>
        <w:rPr>
          <w:rFonts w:ascii="宋体" w:hAnsi="宋体" w:cs="宋体"/>
          <w:szCs w:val="21"/>
        </w:rPr>
      </w:pPr>
      <w:r>
        <w:rPr>
          <w:rFonts w:hint="eastAsia" w:ascii="宋体" w:hAnsi="宋体" w:cs="宋体"/>
          <w:szCs w:val="21"/>
        </w:rPr>
        <w:t>1．我方已仔细研究了</w:t>
      </w:r>
      <w:r>
        <w:rPr>
          <w:rFonts w:hint="eastAsia" w:ascii="宋体" w:hAnsi="宋体" w:cs="宋体"/>
          <w:b/>
          <w:szCs w:val="21"/>
          <w:u w:val="single"/>
        </w:rPr>
        <w:t>重庆高速文化传媒股份有限公司</w:t>
      </w:r>
      <w:r>
        <w:rPr>
          <w:rFonts w:hint="eastAsia" w:ascii="宋体" w:hAnsi="宋体" w:cs="宋体"/>
          <w:b/>
          <w:szCs w:val="21"/>
          <w:u w:val="single"/>
          <w:lang w:eastAsia="zh-CN"/>
        </w:rPr>
        <w:t>2022</w:t>
      </w:r>
      <w:r>
        <w:rPr>
          <w:rFonts w:hint="eastAsia" w:ascii="宋体" w:hAnsi="宋体" w:cs="宋体"/>
          <w:b/>
          <w:szCs w:val="21"/>
          <w:u w:val="single"/>
        </w:rPr>
        <w:t>年广告牌修枝项目竞争性比选文件</w:t>
      </w:r>
      <w:r>
        <w:rPr>
          <w:rFonts w:hint="eastAsia" w:ascii="宋体" w:hAnsi="宋体" w:cs="宋体"/>
          <w:szCs w:val="21"/>
        </w:rPr>
        <w:t>的全部内容，根据相关取费标准，愿意以竞标总报价</w:t>
      </w:r>
      <w:r>
        <w:rPr>
          <w:szCs w:val="21"/>
        </w:rPr>
        <w:t>（大写）</w:t>
      </w:r>
      <w:r>
        <w:rPr>
          <w:szCs w:val="21"/>
          <w:u w:val="single"/>
        </w:rPr>
        <w:t xml:space="preserve">         </w:t>
      </w:r>
      <w:r>
        <w:rPr>
          <w:szCs w:val="21"/>
        </w:rPr>
        <w:t>（¥</w:t>
      </w:r>
      <w:r>
        <w:rPr>
          <w:szCs w:val="21"/>
          <w:u w:val="single"/>
        </w:rPr>
        <w:t xml:space="preserve">           </w:t>
      </w:r>
      <w:r>
        <w:rPr>
          <w:rFonts w:hint="eastAsia"/>
          <w:szCs w:val="21"/>
          <w:u w:val="single"/>
        </w:rPr>
        <w:t>元</w:t>
      </w:r>
      <w:r>
        <w:rPr>
          <w:szCs w:val="21"/>
        </w:rPr>
        <w:t>）</w:t>
      </w:r>
      <w:r>
        <w:rPr>
          <w:rFonts w:hint="eastAsia" w:ascii="宋体" w:hAnsi="宋体" w:cs="宋体"/>
          <w:szCs w:val="21"/>
        </w:rPr>
        <w:t>，单价报价（详见下表），</w:t>
      </w:r>
      <w:r>
        <w:rPr>
          <w:rFonts w:hint="eastAsia"/>
          <w:szCs w:val="21"/>
        </w:rPr>
        <w:t>并按</w:t>
      </w:r>
      <w:r>
        <w:rPr>
          <w:szCs w:val="21"/>
        </w:rPr>
        <w:t>合同</w:t>
      </w:r>
      <w:r>
        <w:rPr>
          <w:rFonts w:hint="eastAsia"/>
          <w:szCs w:val="21"/>
        </w:rPr>
        <w:t>约定履行义务。</w:t>
      </w:r>
    </w:p>
    <w:p>
      <w:pPr>
        <w:spacing w:line="320" w:lineRule="exact"/>
        <w:ind w:firstLine="420" w:firstLineChars="200"/>
        <w:rPr>
          <w:rFonts w:ascii="宋体" w:hAnsi="宋体" w:cs="宋体"/>
          <w:szCs w:val="21"/>
        </w:rPr>
      </w:pPr>
      <w:r>
        <w:rPr>
          <w:rFonts w:hint="eastAsia" w:ascii="宋体" w:hAnsi="宋体" w:cs="宋体"/>
          <w:szCs w:val="21"/>
        </w:rPr>
        <w:t>2．</w:t>
      </w:r>
      <w:r>
        <w:rPr>
          <w:rFonts w:hint="eastAsia"/>
          <w:kern w:val="0"/>
          <w:szCs w:val="21"/>
        </w:rPr>
        <w:t>工期</w:t>
      </w:r>
      <w:r>
        <w:rPr>
          <w:rFonts w:hint="eastAsia" w:ascii="宋体" w:hAnsi="宋体" w:cs="宋体"/>
          <w:szCs w:val="21"/>
        </w:rPr>
        <w:t>：</w:t>
      </w:r>
      <w:r>
        <w:rPr>
          <w:rFonts w:hint="eastAsia"/>
          <w:kern w:val="0"/>
          <w:szCs w:val="21"/>
        </w:rPr>
        <w:t>按照比选人需求为准，原则上单点在__个工作日内完成</w:t>
      </w:r>
      <w:r>
        <w:rPr>
          <w:rFonts w:hint="eastAsia" w:ascii="宋体" w:hAnsi="宋体" w:cs="宋体"/>
          <w:szCs w:val="21"/>
        </w:rPr>
        <w:t>。</w:t>
      </w:r>
    </w:p>
    <w:p>
      <w:pPr>
        <w:spacing w:line="320" w:lineRule="exact"/>
        <w:ind w:firstLine="420" w:firstLineChars="200"/>
        <w:rPr>
          <w:rFonts w:ascii="宋体" w:hAnsi="宋体" w:cs="宋体"/>
          <w:szCs w:val="21"/>
        </w:rPr>
      </w:pPr>
      <w:r>
        <w:rPr>
          <w:rFonts w:hint="eastAsia" w:ascii="宋体" w:hAnsi="宋体" w:cs="宋体"/>
          <w:szCs w:val="21"/>
        </w:rPr>
        <w:t>3. 我方承诺在竞标有效期内不修改、撤销竞争性比选申请文件。</w:t>
      </w:r>
    </w:p>
    <w:p>
      <w:pPr>
        <w:spacing w:line="320" w:lineRule="exact"/>
        <w:ind w:firstLine="420" w:firstLineChars="200"/>
        <w:rPr>
          <w:rFonts w:ascii="宋体" w:hAnsi="宋体" w:cs="宋体"/>
          <w:szCs w:val="21"/>
        </w:rPr>
      </w:pPr>
      <w:r>
        <w:rPr>
          <w:rFonts w:hint="eastAsia" w:ascii="宋体" w:hAnsi="宋体" w:cs="宋体"/>
          <w:szCs w:val="21"/>
        </w:rPr>
        <w:t>4．</w:t>
      </w:r>
      <w:r>
        <w:rPr>
          <w:rFonts w:hint="eastAsia" w:ascii="宋体" w:hAnsi="宋体" w:cs="宋体"/>
        </w:rPr>
        <w:t>我方在此声明，所递交的竞争性比选申请文件及有关资料内容完整、真实和准确。</w:t>
      </w:r>
    </w:p>
    <w:p>
      <w:pPr>
        <w:spacing w:line="320" w:lineRule="exact"/>
        <w:ind w:firstLine="420" w:firstLineChars="200"/>
        <w:rPr>
          <w:rFonts w:ascii="宋体" w:hAnsi="宋体" w:cs="宋体"/>
          <w:szCs w:val="21"/>
        </w:rPr>
      </w:pPr>
      <w:r>
        <w:rPr>
          <w:rFonts w:hint="eastAsia" w:ascii="宋体" w:hAnsi="宋体" w:cs="宋体"/>
          <w:szCs w:val="21"/>
        </w:rPr>
        <w:t>5．在合同协议书正式签署生效之前，本报价书连同你方的成交通知书将构成我们双方之间共同遵守的文件。对双方具有约束力。</w:t>
      </w:r>
    </w:p>
    <w:p>
      <w:pPr>
        <w:pStyle w:val="2"/>
      </w:pPr>
    </w:p>
    <w:tbl>
      <w:tblPr>
        <w:tblStyle w:val="8"/>
        <w:tblW w:w="92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16"/>
        <w:gridCol w:w="1316"/>
        <w:gridCol w:w="1316"/>
        <w:gridCol w:w="1316"/>
        <w:gridCol w:w="1316"/>
        <w:gridCol w:w="131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92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重庆高速文化传媒股份有限公司2022年广告牌修枝项目报价清单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路段</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单价限价（元）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单价报价（元）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合计限价（元）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合计报价（元）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绕城高速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渝武高速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渝黔高速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渝湘高速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沪渝高速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沪蓉高速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渝蓉高速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綦万高速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成渝高速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29520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渝邻高速</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14760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机动点位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546120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39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 100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738000</w:t>
            </w:r>
          </w:p>
        </w:tc>
        <w:tc>
          <w:tcPr>
            <w:tcW w:w="13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spacing w:line="440" w:lineRule="exact"/>
        <w:ind w:firstLine="3675" w:firstLineChars="1750"/>
        <w:rPr>
          <w:rFonts w:ascii="宋体" w:hAnsi="宋体" w:cs="宋体"/>
          <w:szCs w:val="21"/>
        </w:rPr>
      </w:pPr>
      <w:r>
        <w:rPr>
          <w:rFonts w:hint="eastAsia" w:ascii="宋体" w:hAnsi="宋体" w:cs="宋体"/>
          <w:szCs w:val="21"/>
        </w:rPr>
        <w:t>比选申请人：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ind w:firstLine="3675" w:firstLineChars="1750"/>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440" w:lineRule="exact"/>
        <w:ind w:firstLine="3675" w:firstLineChars="1750"/>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spacing w:line="440" w:lineRule="exact"/>
        <w:ind w:firstLine="3675" w:firstLineChars="1750"/>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spacing w:line="400" w:lineRule="atLeast"/>
        <w:jc w:val="righ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40" w:lineRule="exact"/>
        <w:outlineLvl w:val="1"/>
        <w:rPr>
          <w:rFonts w:ascii="宋体" w:hAnsi="宋体" w:cs="宋体"/>
          <w:b/>
          <w:sz w:val="28"/>
          <w:szCs w:val="28"/>
        </w:rPr>
        <w:sectPr>
          <w:pgSz w:w="11906" w:h="16838"/>
          <w:pgMar w:top="1418" w:right="1361" w:bottom="1418" w:left="1361" w:header="851" w:footer="992" w:gutter="0"/>
          <w:cols w:space="720" w:num="1"/>
          <w:docGrid w:type="lines" w:linePitch="312" w:charSpace="0"/>
        </w:sectPr>
      </w:pPr>
    </w:p>
    <w:p>
      <w:pPr>
        <w:spacing w:line="440" w:lineRule="exact"/>
        <w:ind w:firstLine="1687" w:firstLineChars="60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rFonts w:ascii="宋体" w:hAnsi="宋体" w:cs="宋体"/>
          <w:b/>
          <w:szCs w:val="21"/>
        </w:rPr>
      </w:pPr>
      <w:bookmarkStart w:id="40" w:name="_Toc262547328"/>
      <w:r>
        <w:rPr>
          <w:rFonts w:hint="eastAsia" w:ascii="宋体" w:hAnsi="宋体" w:cs="宋体"/>
          <w:b/>
          <w:szCs w:val="21"/>
        </w:rPr>
        <w:t>（一）法定代表人身份证明</w:t>
      </w:r>
      <w:bookmarkEnd w:id="40"/>
    </w:p>
    <w:p>
      <w:pPr>
        <w:spacing w:line="440" w:lineRule="exact"/>
        <w:rPr>
          <w:rFonts w:ascii="宋体" w:hAnsi="宋体" w:cs="宋体"/>
          <w:szCs w:val="21"/>
        </w:rPr>
      </w:pPr>
      <w:r>
        <w:rPr>
          <w:rFonts w:hint="eastAsia" w:ascii="宋体" w:hAnsi="宋体" w:cs="宋体"/>
          <w:szCs w:val="21"/>
        </w:rPr>
        <w:t>比选申请人名称：</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hint="eastAsia" w:ascii="宋体" w:hAnsi="宋体" w:cs="宋体"/>
          <w:szCs w:val="21"/>
        </w:rPr>
        <w:t xml:space="preserve"> </w:t>
      </w:r>
    </w:p>
    <w:p>
      <w:pPr>
        <w:spacing w:line="440" w:lineRule="exact"/>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成立时间：</w:t>
      </w:r>
      <w:r>
        <w:rPr>
          <w:rFonts w:hint="eastAsia" w:ascii="宋体" w:hAnsi="宋体" w:cs="宋体"/>
          <w:szCs w:val="21"/>
          <w:u w:val="single"/>
        </w:rPr>
        <w:t xml:space="preserve">         </w:t>
      </w:r>
      <w:r>
        <w:rPr>
          <w:rFonts w:hint="eastAsia" w:ascii="宋体" w:hAnsi="宋体" w:cs="宋体"/>
          <w:szCs w:val="21"/>
        </w:rPr>
        <w:t xml:space="preserve"> 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 xml:space="preserve"> 日</w:t>
      </w:r>
    </w:p>
    <w:p>
      <w:pPr>
        <w:spacing w:line="440" w:lineRule="exact"/>
        <w:rPr>
          <w:rFonts w:ascii="宋体" w:hAnsi="宋体" w:cs="宋体"/>
          <w:szCs w:val="21"/>
        </w:rPr>
      </w:pPr>
      <w:r>
        <w:rPr>
          <w:rFonts w:hint="eastAsia" w:ascii="宋体" w:hAnsi="宋体" w:cs="宋体"/>
          <w:szCs w:val="21"/>
        </w:rPr>
        <w:t>经营期限：</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 xml:space="preserve">姓名： </w:t>
      </w:r>
      <w:r>
        <w:rPr>
          <w:rFonts w:hint="eastAsia" w:ascii="宋体" w:hAnsi="宋体" w:cs="宋体"/>
          <w:szCs w:val="21"/>
          <w:u w:val="single"/>
        </w:rPr>
        <w:t xml:space="preserve">           （法人手签）</w:t>
      </w:r>
      <w:r>
        <w:rPr>
          <w:rFonts w:hint="eastAsia" w:ascii="宋体" w:hAnsi="宋体" w:cs="宋体"/>
          <w:szCs w:val="21"/>
        </w:rPr>
        <w:t xml:space="preserve"> 性别：</w:t>
      </w:r>
      <w:r>
        <w:rPr>
          <w:rFonts w:hint="eastAsia" w:ascii="宋体" w:hAnsi="宋体" w:cs="宋体"/>
          <w:szCs w:val="21"/>
          <w:u w:val="single"/>
        </w:rPr>
        <w:t xml:space="preserve">         </w:t>
      </w:r>
      <w:r>
        <w:rPr>
          <w:rFonts w:hint="eastAsia" w:ascii="宋体" w:hAnsi="宋体" w:cs="宋体"/>
          <w:szCs w:val="21"/>
        </w:rPr>
        <w:t xml:space="preserve"> 年龄：</w:t>
      </w:r>
      <w:r>
        <w:rPr>
          <w:rFonts w:hint="eastAsia" w:ascii="宋体" w:hAnsi="宋体" w:cs="宋体"/>
          <w:szCs w:val="21"/>
          <w:u w:val="single"/>
        </w:rPr>
        <w:t xml:space="preserve">        </w:t>
      </w:r>
      <w:r>
        <w:rPr>
          <w:rFonts w:hint="eastAsia" w:ascii="宋体" w:hAnsi="宋体" w:cs="宋体"/>
          <w:szCs w:val="21"/>
        </w:rPr>
        <w:t>职务：</w:t>
      </w:r>
      <w:r>
        <w:rPr>
          <w:rFonts w:hint="eastAsia" w:ascii="宋体" w:hAnsi="宋体" w:cs="宋体"/>
          <w:szCs w:val="21"/>
          <w:u w:val="single"/>
        </w:rPr>
        <w:t xml:space="preserve">        </w:t>
      </w:r>
    </w:p>
    <w:p>
      <w:pPr>
        <w:spacing w:line="440" w:lineRule="exact"/>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hint="eastAsia" w:ascii="宋体" w:hAnsi="宋体" w:cs="宋体"/>
          <w:szCs w:val="21"/>
        </w:rPr>
        <w:t xml:space="preserve"> （比选申请人名称）的法定代表人。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                          比选申请人：</w:t>
      </w:r>
      <w:r>
        <w:rPr>
          <w:rFonts w:hint="eastAsia" w:ascii="宋体" w:hAnsi="宋体" w:cs="宋体"/>
          <w:szCs w:val="21"/>
          <w:u w:val="single"/>
        </w:rPr>
        <w:t xml:space="preserve">                 </w:t>
      </w:r>
      <w:r>
        <w:rPr>
          <w:rFonts w:hint="eastAsia" w:ascii="宋体" w:hAnsi="宋体" w:cs="宋体"/>
          <w:szCs w:val="21"/>
        </w:rPr>
        <w:t>（盖单位章）</w:t>
      </w:r>
    </w:p>
    <w:p>
      <w:pPr>
        <w:spacing w:line="440" w:lineRule="exact"/>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p>
    <w:p>
      <w:pPr>
        <w:ind w:firstLine="105" w:firstLineChars="50"/>
        <w:rPr>
          <w:rFonts w:ascii="宋体" w:hAnsi="宋体" w:cs="宋体"/>
          <w:szCs w:val="21"/>
        </w:rPr>
      </w:pPr>
    </w:p>
    <w:p>
      <w:pPr>
        <w:ind w:firstLine="105" w:firstLineChars="50"/>
        <w:rPr>
          <w:rFonts w:ascii="宋体" w:hAnsi="宋体" w:cs="宋体"/>
          <w:szCs w:val="21"/>
        </w:rPr>
      </w:pPr>
    </w:p>
    <w:p>
      <w:pPr>
        <w:pStyle w:val="9"/>
        <w:rPr>
          <w:rFonts w:ascii="宋体" w:hAnsi="宋体" w:cs="宋体"/>
          <w:color w:val="auto"/>
          <w:szCs w:val="21"/>
        </w:rPr>
      </w:pPr>
    </w:p>
    <w:p>
      <w:pPr>
        <w:pStyle w:val="9"/>
        <w:rPr>
          <w:rFonts w:ascii="宋体" w:hAnsi="宋体" w:cs="宋体"/>
          <w:color w:val="auto"/>
          <w:szCs w:val="21"/>
        </w:rPr>
      </w:pPr>
    </w:p>
    <w:p>
      <w:pPr>
        <w:pStyle w:val="9"/>
        <w:rPr>
          <w:rFonts w:ascii="宋体" w:hAnsi="宋体" w:cs="宋体"/>
          <w:color w:val="auto"/>
          <w:szCs w:val="21"/>
        </w:rPr>
      </w:pPr>
    </w:p>
    <w:p>
      <w:pPr>
        <w:ind w:firstLine="105" w:firstLineChars="50"/>
        <w:rPr>
          <w:rFonts w:ascii="宋体" w:hAnsi="宋体" w:cs="宋体"/>
          <w:szCs w:val="21"/>
        </w:rPr>
      </w:pPr>
    </w:p>
    <w:p>
      <w:pPr>
        <w:ind w:firstLine="105" w:firstLineChars="50"/>
        <w:rPr>
          <w:rFonts w:ascii="宋体" w:hAnsi="宋体" w:cs="宋体"/>
          <w:szCs w:val="21"/>
        </w:rPr>
      </w:pPr>
    </w:p>
    <w:p>
      <w:pPr>
        <w:ind w:firstLine="105" w:firstLineChars="50"/>
        <w:rPr>
          <w:rFonts w:ascii="宋体" w:hAnsi="宋体" w:cs="宋体"/>
          <w:szCs w:val="21"/>
        </w:rPr>
      </w:pPr>
      <w:r>
        <w:rPr>
          <w:rFonts w:hint="eastAsia" w:ascii="宋体" w:hAnsi="宋体" w:cs="宋体"/>
          <w:szCs w:val="21"/>
        </w:rPr>
        <w:t>注：法定代表人的签字必须是亲笔签名，不得用印章、签名章或其他电子制版签名。</w:t>
      </w:r>
    </w:p>
    <w:p>
      <w:pPr>
        <w:ind w:firstLine="105" w:firstLineChars="50"/>
        <w:rPr>
          <w:rFonts w:ascii="宋体" w:hAnsi="宋体" w:cs="宋体"/>
          <w:szCs w:val="21"/>
        </w:rPr>
      </w:pP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41" w:name="_Toc262547329"/>
      <w:r>
        <w:rPr>
          <w:rFonts w:hint="eastAsia" w:ascii="宋体" w:hAnsi="宋体" w:cs="宋体"/>
          <w:b/>
          <w:szCs w:val="21"/>
        </w:rPr>
        <w:t>（二）授权委托书</w:t>
      </w:r>
      <w:bookmarkEnd w:id="41"/>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ascii="宋体" w:hAnsi="宋体" w:cs="宋体"/>
          <w:w w:val="200"/>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ascii="宋体" w:hAnsi="宋体" w:cs="宋体"/>
          <w:w w:val="200"/>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w:t>
      </w:r>
      <w:r>
        <w:rPr>
          <w:rFonts w:hint="eastAsia" w:ascii="宋体" w:hAnsi="宋体" w:cs="宋体"/>
          <w:szCs w:val="21"/>
        </w:rPr>
        <w:t>比选申请人</w:t>
      </w:r>
      <w:r>
        <w:rPr>
          <w:rFonts w:hint="eastAsia" w:ascii="宋体" w:hAnsi="宋体" w:cs="宋体"/>
          <w:kern w:val="0"/>
          <w:szCs w:val="21"/>
        </w:rPr>
        <w:t>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w w:val="200"/>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（姓 名）为我方代理人。代理人根据授权，以我方名义签署、澄清、说明、补正、递交、撤回、修改</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（项</w:t>
      </w:r>
      <w:r>
        <w:rPr>
          <w:rFonts w:hint="eastAsia" w:ascii="宋体" w:hAnsi="宋体" w:cs="宋体"/>
          <w:spacing w:val="-1"/>
          <w:kern w:val="0"/>
          <w:szCs w:val="21"/>
        </w:rPr>
        <w:t>目</w:t>
      </w:r>
      <w:r>
        <w:rPr>
          <w:rFonts w:hint="eastAsia" w:ascii="宋体" w:hAnsi="宋体" w:cs="宋体"/>
          <w:kern w:val="0"/>
          <w:szCs w:val="21"/>
        </w:rPr>
        <w:t>名称）报价书、签订合同和处理有关事宜， 其法律后果由我方承担。</w:t>
      </w:r>
    </w:p>
    <w:p>
      <w:pPr>
        <w:tabs>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9"/>
        <w:rPr>
          <w:color w:val="auto"/>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sectPr>
          <w:headerReference r:id="rId5" w:type="default"/>
          <w:footerReference r:id="rId6" w:type="default"/>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三、比选申请单位有效的营业执照资料</w:t>
      </w: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left"/>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8"/>
          <w:szCs w:val="28"/>
        </w:rPr>
        <w:sectPr>
          <w:pgSz w:w="11906" w:h="16838"/>
          <w:pgMar w:top="1134" w:right="1803" w:bottom="992" w:left="1803" w:header="851" w:footer="992" w:gutter="0"/>
          <w:cols w:space="0" w:num="1"/>
          <w:docGrid w:type="lines" w:linePitch="319" w:charSpace="0"/>
        </w:sectPr>
      </w:pPr>
      <w:r>
        <w:rPr>
          <w:rFonts w:hint="eastAsia" w:ascii="宋体" w:hAnsi="宋体" w:cs="宋体"/>
          <w:b/>
          <w:sz w:val="28"/>
          <w:szCs w:val="28"/>
        </w:rPr>
        <w:t>四、比选申请单位有效的安全生产许可证、资质证书资料</w:t>
      </w:r>
    </w:p>
    <w:p>
      <w:pPr>
        <w:tabs>
          <w:tab w:val="left" w:pos="900"/>
          <w:tab w:val="left" w:pos="1080"/>
        </w:tabs>
        <w:spacing w:line="300" w:lineRule="auto"/>
        <w:jc w:val="center"/>
        <w:outlineLvl w:val="0"/>
        <w:rPr>
          <w:rFonts w:ascii="宋体" w:hAnsi="宋体" w:cs="宋体"/>
          <w:b/>
          <w:sz w:val="28"/>
          <w:szCs w:val="28"/>
        </w:rPr>
        <w:sectPr>
          <w:headerReference r:id="rId7" w:type="default"/>
          <w:footerReference r:id="rId8" w:type="default"/>
          <w:pgSz w:w="11906" w:h="16838"/>
          <w:pgMar w:top="1134" w:right="1803" w:bottom="992" w:left="1803" w:header="851" w:footer="992" w:gutter="0"/>
          <w:cols w:space="0" w:num="1"/>
          <w:docGrid w:type="lines" w:linePitch="319" w:charSpace="0"/>
        </w:sectPr>
      </w:pPr>
      <w:r>
        <w:rPr>
          <w:rFonts w:hint="eastAsia" w:ascii="宋体" w:hAnsi="宋体" w:cs="宋体"/>
          <w:b/>
          <w:sz w:val="28"/>
          <w:szCs w:val="28"/>
        </w:rPr>
        <w:t>五、比选申请单位的业绩证明资料</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六、比选申请单位的信誉承诺书</w:t>
      </w:r>
    </w:p>
    <w:p>
      <w:pPr>
        <w:jc w:val="center"/>
        <w:rPr>
          <w:b/>
          <w:bCs/>
          <w:sz w:val="40"/>
          <w:szCs w:val="40"/>
        </w:rPr>
      </w:pPr>
    </w:p>
    <w:p>
      <w:pPr>
        <w:tabs>
          <w:tab w:val="left" w:pos="900"/>
          <w:tab w:val="left" w:pos="1080"/>
        </w:tabs>
        <w:spacing w:line="300" w:lineRule="auto"/>
        <w:jc w:val="center"/>
        <w:outlineLvl w:val="0"/>
        <w:rPr>
          <w:rFonts w:ascii="宋体" w:hAnsi="宋体" w:cs="宋体"/>
          <w:b/>
          <w:sz w:val="28"/>
          <w:szCs w:val="28"/>
        </w:rPr>
      </w:pPr>
      <w:r>
        <w:rPr>
          <w:rFonts w:ascii="宋体" w:hAnsi="宋体" w:cs="宋体"/>
          <w:b/>
          <w:sz w:val="28"/>
          <w:szCs w:val="28"/>
        </w:rPr>
        <w:t>信誉</w:t>
      </w:r>
      <w:r>
        <w:rPr>
          <w:rFonts w:hint="eastAsia" w:ascii="宋体" w:hAnsi="宋体" w:cs="宋体"/>
          <w:b/>
          <w:sz w:val="28"/>
          <w:szCs w:val="28"/>
        </w:rPr>
        <w:t>承诺书</w:t>
      </w:r>
    </w:p>
    <w:p>
      <w:pPr>
        <w:spacing w:line="360" w:lineRule="auto"/>
        <w:jc w:val="left"/>
        <w:rPr>
          <w:sz w:val="24"/>
        </w:rPr>
      </w:pPr>
      <w:r>
        <w:rPr>
          <w:szCs w:val="21"/>
          <w:u w:val="single"/>
        </w:rPr>
        <w:t>（</w:t>
      </w:r>
      <w:r>
        <w:rPr>
          <w:rFonts w:hint="eastAsia"/>
          <w:szCs w:val="21"/>
          <w:u w:val="single"/>
        </w:rPr>
        <w:t>比选</w:t>
      </w:r>
      <w:r>
        <w:rPr>
          <w:szCs w:val="21"/>
          <w:u w:val="single"/>
        </w:rPr>
        <w:t>人名称）</w:t>
      </w:r>
      <w:r>
        <w:rPr>
          <w:sz w:val="24"/>
          <w:u w:val="single"/>
        </w:rPr>
        <w:t xml:space="preserve"> </w:t>
      </w:r>
      <w:r>
        <w:rPr>
          <w:rFonts w:hint="eastAsia"/>
          <w:sz w:val="24"/>
        </w:rPr>
        <w:t>：</w:t>
      </w:r>
    </w:p>
    <w:p>
      <w:pPr>
        <w:spacing w:line="360" w:lineRule="exact"/>
        <w:jc w:val="left"/>
        <w:rPr>
          <w:sz w:val="24"/>
        </w:rPr>
      </w:pPr>
    </w:p>
    <w:p>
      <w:pPr>
        <w:spacing w:line="360" w:lineRule="exact"/>
        <w:ind w:firstLine="420" w:firstLineChars="200"/>
        <w:rPr>
          <w:szCs w:val="21"/>
        </w:rPr>
      </w:pPr>
      <w:r>
        <w:rPr>
          <w:szCs w:val="21"/>
        </w:rPr>
        <w:t>我单位参加</w:t>
      </w:r>
      <w:r>
        <w:rPr>
          <w:szCs w:val="21"/>
          <w:u w:val="single"/>
        </w:rPr>
        <w:t xml:space="preserve">              </w:t>
      </w:r>
      <w:r>
        <w:rPr>
          <w:szCs w:val="21"/>
        </w:rPr>
        <w:t>（项目名称）的</w:t>
      </w:r>
      <w:r>
        <w:rPr>
          <w:rFonts w:hint="eastAsia"/>
          <w:szCs w:val="21"/>
        </w:rPr>
        <w:t>比选申请</w:t>
      </w:r>
      <w:r>
        <w:rPr>
          <w:szCs w:val="21"/>
        </w:rPr>
        <w:t>，对以下内容作出承诺：</w:t>
      </w:r>
    </w:p>
    <w:p>
      <w:pPr>
        <w:spacing w:line="360" w:lineRule="exact"/>
        <w:ind w:firstLine="420" w:firstLineChars="200"/>
        <w:rPr>
          <w:szCs w:val="21"/>
        </w:rPr>
      </w:pPr>
      <w:r>
        <w:rPr>
          <w:rFonts w:hint="eastAsia"/>
          <w:szCs w:val="21"/>
        </w:rPr>
        <w:t>（1）201</w:t>
      </w:r>
      <w:r>
        <w:rPr>
          <w:rFonts w:hint="eastAsia"/>
          <w:szCs w:val="21"/>
          <w:lang w:val="en-US" w:eastAsia="zh-CN"/>
        </w:rPr>
        <w:t>8</w:t>
      </w:r>
      <w:r>
        <w:rPr>
          <w:rFonts w:hint="eastAsia"/>
          <w:szCs w:val="21"/>
        </w:rPr>
        <w:t>年01月01日起至今，没有重大质量、安全事故。</w:t>
      </w:r>
    </w:p>
    <w:p>
      <w:pPr>
        <w:spacing w:line="360" w:lineRule="exact"/>
        <w:ind w:firstLine="420" w:firstLineChars="200"/>
        <w:rPr>
          <w:szCs w:val="21"/>
        </w:rPr>
      </w:pPr>
      <w:r>
        <w:rPr>
          <w:rFonts w:hint="eastAsia"/>
          <w:szCs w:val="21"/>
        </w:rPr>
        <w:t>（2）201</w:t>
      </w:r>
      <w:r>
        <w:rPr>
          <w:rFonts w:hint="eastAsia"/>
          <w:szCs w:val="21"/>
          <w:lang w:val="en-US" w:eastAsia="zh-CN"/>
        </w:rPr>
        <w:t>8</w:t>
      </w:r>
      <w:r>
        <w:rPr>
          <w:rFonts w:hint="eastAsia"/>
          <w:szCs w:val="21"/>
        </w:rPr>
        <w:t>年01月01日起至今，未被有关行政部门暂停投标资格，或被有关行政部门暂停投标资格期限已满，也无行贿犯罪记录。</w:t>
      </w:r>
    </w:p>
    <w:p>
      <w:pPr>
        <w:spacing w:line="360" w:lineRule="exact"/>
        <w:ind w:firstLine="420" w:firstLineChars="200"/>
        <w:rPr>
          <w:szCs w:val="21"/>
        </w:rPr>
      </w:pPr>
      <w:r>
        <w:rPr>
          <w:szCs w:val="21"/>
        </w:rPr>
        <w:t>…………</w:t>
      </w:r>
    </w:p>
    <w:p>
      <w:pPr>
        <w:spacing w:line="360" w:lineRule="exact"/>
        <w:ind w:firstLine="420" w:firstLineChars="200"/>
        <w:rPr>
          <w:szCs w:val="21"/>
        </w:rPr>
      </w:pPr>
      <w:r>
        <w:rPr>
          <w:szCs w:val="21"/>
        </w:rPr>
        <w:t>如我单位提供</w:t>
      </w:r>
      <w:r>
        <w:rPr>
          <w:rFonts w:hint="eastAsia"/>
          <w:szCs w:val="21"/>
        </w:rPr>
        <w:t>虚假承诺</w:t>
      </w:r>
      <w:r>
        <w:rPr>
          <w:szCs w:val="21"/>
        </w:rPr>
        <w:t>，</w:t>
      </w:r>
      <w:r>
        <w:rPr>
          <w:rFonts w:hint="eastAsia"/>
          <w:szCs w:val="21"/>
        </w:rPr>
        <w:t>比选</w:t>
      </w:r>
      <w:r>
        <w:rPr>
          <w:szCs w:val="21"/>
        </w:rPr>
        <w:t>人有权取消其</w:t>
      </w:r>
      <w:r>
        <w:rPr>
          <w:rFonts w:hint="eastAsia"/>
          <w:szCs w:val="21"/>
        </w:rPr>
        <w:t>成交</w:t>
      </w:r>
      <w:r>
        <w:rPr>
          <w:szCs w:val="21"/>
        </w:rPr>
        <w:t>资格，扣除</w:t>
      </w:r>
      <w:r>
        <w:rPr>
          <w:rFonts w:hint="eastAsia"/>
          <w:szCs w:val="21"/>
        </w:rPr>
        <w:t>竞标</w:t>
      </w:r>
      <w:r>
        <w:rPr>
          <w:szCs w:val="21"/>
        </w:rPr>
        <w:t>保证金；已签订合同的，</w:t>
      </w:r>
      <w:r>
        <w:rPr>
          <w:rFonts w:hint="eastAsia"/>
          <w:szCs w:val="21"/>
        </w:rPr>
        <w:t>比选</w:t>
      </w:r>
      <w:r>
        <w:rPr>
          <w:szCs w:val="21"/>
        </w:rPr>
        <w:t>人有权解除合同、扣除履约保证金并追究违约责任的后果。</w:t>
      </w:r>
    </w:p>
    <w:p>
      <w:pPr>
        <w:pStyle w:val="9"/>
        <w:spacing w:line="360" w:lineRule="auto"/>
        <w:ind w:firstLine="420" w:firstLineChars="200"/>
        <w:rPr>
          <w:rFonts w:ascii="Times New Roman" w:cs="Times New Roman"/>
          <w:color w:val="auto"/>
          <w:sz w:val="21"/>
          <w:szCs w:val="21"/>
        </w:rPr>
      </w:pPr>
    </w:p>
    <w:p>
      <w:pPr>
        <w:spacing w:line="380" w:lineRule="exact"/>
        <w:ind w:firstLine="3150" w:firstLineChars="1500"/>
        <w:rPr>
          <w:sz w:val="24"/>
          <w:u w:val="single"/>
        </w:rPr>
      </w:pPr>
      <w:r>
        <w:rPr>
          <w:rFonts w:hint="eastAsia" w:ascii="宋体" w:hAnsi="宋体" w:cs="宋体"/>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单位公章）</w:t>
      </w:r>
    </w:p>
    <w:p>
      <w:pPr>
        <w:spacing w:line="380" w:lineRule="exact"/>
        <w:ind w:firstLine="3150" w:firstLineChars="1500"/>
        <w:rPr>
          <w:rFonts w:ascii="宋体" w:hAnsi="宋体" w:cs="宋体"/>
          <w:szCs w:val="21"/>
        </w:rPr>
      </w:pPr>
      <w:r>
        <w:rPr>
          <w:rFonts w:ascii="宋体" w:hAnsi="宋体" w:cs="宋体"/>
          <w:szCs w:val="21"/>
        </w:rPr>
        <w:t xml:space="preserve">     年   月   日</w:t>
      </w:r>
    </w:p>
    <w:p>
      <w:pPr>
        <w:pStyle w:val="9"/>
        <w:spacing w:line="360" w:lineRule="exact"/>
        <w:rPr>
          <w:color w:val="auto"/>
        </w:rPr>
      </w:pPr>
    </w:p>
    <w:p>
      <w:pPr>
        <w:pStyle w:val="9"/>
        <w:spacing w:line="360" w:lineRule="exact"/>
        <w:rPr>
          <w:color w:val="auto"/>
        </w:rPr>
        <w:sectPr>
          <w:pgSz w:w="11906" w:h="16838"/>
          <w:pgMar w:top="1134" w:right="1803" w:bottom="992" w:left="1803" w:header="851" w:footer="992" w:gutter="0"/>
          <w:cols w:space="0" w:num="1"/>
          <w:docGrid w:type="lines" w:linePitch="319" w:charSpace="0"/>
        </w:sect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七、技术部分</w:t>
      </w:r>
    </w:p>
    <w:p>
      <w:pPr>
        <w:spacing w:before="159" w:beforeLines="50" w:line="360" w:lineRule="auto"/>
        <w:outlineLvl w:val="0"/>
        <w:rPr>
          <w:rFonts w:ascii="宋体" w:hAnsi="宋体" w:cs="宋体"/>
          <w:bCs/>
          <w:szCs w:val="21"/>
        </w:rPr>
      </w:pPr>
      <w:r>
        <w:rPr>
          <w:rFonts w:hint="eastAsia" w:ascii="宋体" w:hAnsi="宋体" w:cs="宋体"/>
          <w:bCs/>
          <w:szCs w:val="21"/>
        </w:rPr>
        <w:t>注：由比选申请人根据竞争性比选文件自行编制，格式自拟。</w:t>
      </w:r>
    </w:p>
    <w:p>
      <w:pPr>
        <w:outlineLvl w:val="0"/>
        <w:rPr>
          <w:rFonts w:ascii="宋体" w:hAnsi="宋体" w:cs="宋体"/>
          <w:b/>
          <w:sz w:val="24"/>
        </w:rPr>
      </w:pPr>
    </w:p>
    <w:p>
      <w:pPr>
        <w:ind w:right="700"/>
        <w:jc w:val="left"/>
        <w:rPr>
          <w:rFonts w:ascii="宋体" w:hAnsi="宋体" w:cs="宋体"/>
          <w:b/>
          <w:sz w:val="30"/>
          <w:szCs w:val="30"/>
        </w:rPr>
      </w:pPr>
    </w:p>
    <w:p>
      <w:pPr>
        <w:outlineLvl w:val="0"/>
        <w:rPr>
          <w:rFonts w:ascii="宋体" w:hAnsi="宋体" w:cs="宋体"/>
          <w:b/>
          <w:sz w:val="24"/>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jc w:val="center"/>
        <w:outlineLvl w:val="0"/>
        <w:rPr>
          <w:rFonts w:ascii="宋体" w:hAnsi="宋体" w:cs="宋体"/>
          <w:b/>
          <w:sz w:val="30"/>
          <w:szCs w:val="30"/>
        </w:rPr>
      </w:pPr>
    </w:p>
    <w:p>
      <w:pPr>
        <w:pStyle w:val="9"/>
        <w:rPr>
          <w:rFonts w:ascii="宋体" w:hAnsi="宋体" w:cs="宋体"/>
          <w:b/>
          <w:color w:val="auto"/>
          <w:sz w:val="30"/>
          <w:szCs w:val="30"/>
        </w:rPr>
      </w:pP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八．其他相关资料（若有）</w:t>
      </w:r>
    </w:p>
    <w:p>
      <w:pPr>
        <w:jc w:val="center"/>
        <w:outlineLvl w:val="0"/>
        <w:rPr>
          <w:rFonts w:ascii="宋体" w:hAnsi="宋体" w:cs="宋体"/>
          <w:b/>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pStyle w:val="9"/>
        <w:rPr>
          <w:rFonts w:ascii="宋体" w:hAnsi="宋体" w:cs="宋体"/>
          <w:b/>
          <w:color w:val="auto"/>
          <w:sz w:val="30"/>
          <w:szCs w:val="30"/>
        </w:rPr>
      </w:pPr>
    </w:p>
    <w:p>
      <w:pPr>
        <w:jc w:val="center"/>
      </w:pPr>
      <w:r>
        <w:rPr>
          <w:rFonts w:hint="eastAsia" w:ascii="宋体" w:hAnsi="宋体" w:cs="宋体"/>
          <w:bCs/>
          <w:sz w:val="24"/>
          <w:szCs w:val="24"/>
        </w:rPr>
        <w:t>（结束）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姚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9" w:usb3="00000000" w:csb0="200001FF" w:csb1="00000000"/>
  </w:font>
  <w:font w:name="+中文正文">
    <w:altName w:val="Segoe Print"/>
    <w:panose1 w:val="00000000000000000000"/>
    <w:charset w:val="00"/>
    <w:family w:val="auto"/>
    <w:pitch w:val="default"/>
    <w:sig w:usb0="00000000" w:usb1="00000000" w:usb2="00000000" w:usb3="00000000" w:csb0="00000000" w:csb1="00000000"/>
  </w:font>
  <w:font w:name="+西文正文">
    <w:altName w:val="Segoe Print"/>
    <w:panose1 w:val="00000000000000000000"/>
    <w:charset w:val="00"/>
    <w:family w:val="auto"/>
    <w:pitch w:val="default"/>
    <w:sig w:usb0="00000000" w:usb1="00000000" w:usb2="00000000" w:usb3="00000000" w:csb0="00000000" w:csb1="00000000"/>
  </w:font>
  <w:font w:name="日本青柳隷書">
    <w:altName w:val="MS UI Gothic"/>
    <w:panose1 w:val="02000600000000000000"/>
    <w:charset w:val="80"/>
    <w:family w:val="auto"/>
    <w:pitch w:val="default"/>
    <w:sig w:usb0="00000000" w:usb1="00000000" w:usb2="00000010"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S UI Gothic">
    <w:panose1 w:val="020B06000702050802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Romantic">
    <w:altName w:val="Segoe Print"/>
    <w:panose1 w:val="00000400000000000000"/>
    <w:charset w:val="02"/>
    <w:family w:val="auto"/>
    <w:pitch w:val="default"/>
    <w:sig w:usb0="00000000" w:usb1="00000000" w:usb2="00000000" w:usb3="00000000" w:csb0="80000000"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Swis721 Cn BT">
    <w:panose1 w:val="020B0506020202030204"/>
    <w:charset w:val="00"/>
    <w:family w:val="swiss"/>
    <w:pitch w:val="default"/>
    <w:sig w:usb0="800000AF" w:usb1="1000204A" w:usb2="00000000" w:usb3="00000000" w:csb0="00000011" w:csb1="00000000"/>
  </w:font>
  <w:font w:name="文鼎CS长美黑">
    <w:altName w:val="宋体"/>
    <w:panose1 w:val="02010609010001010101"/>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Malgun Gothic">
    <w:panose1 w:val="020B0503020000020004"/>
    <w:charset w:val="81"/>
    <w:family w:val="auto"/>
    <w:pitch w:val="default"/>
    <w:sig w:usb0="900002AF" w:usb1="01D77CFB" w:usb2="00000012" w:usb3="00000000" w:csb0="00080001" w:csb1="00000000"/>
  </w:font>
  <w:font w:name="Yu Gothic UI">
    <w:altName w:val="Meiryo UI"/>
    <w:panose1 w:val="020B05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1340935"/>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25</w:t>
                    </w:r>
                    <w:r>
                      <w:rPr>
                        <w:rFonts w:hint="eastAsia" w:eastAsia="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pStyle w:val="4"/>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A5F900"/>
    <w:multiLevelType w:val="singleLevel"/>
    <w:tmpl w:val="A1A5F9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005B28"/>
    <w:rsid w:val="40E073B8"/>
    <w:rsid w:val="4CB30D1E"/>
    <w:rsid w:val="5CC822DD"/>
    <w:rsid w:val="6A367D36"/>
    <w:rsid w:val="7D8027A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3"/>
    <w:basedOn w:val="1"/>
    <w:next w:val="1"/>
    <w:unhideWhenUsed/>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paragraph" w:customStyle="1" w:styleId="9">
    <w:name w:val="Default"/>
    <w:next w:val="1"/>
    <w:unhideWhenUsed/>
    <w:qFormat/>
    <w:uiPriority w:val="99"/>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10">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1">
    <w:name w:val="_Style 3"/>
    <w:qFormat/>
    <w:uiPriority w:val="0"/>
    <w:pPr>
      <w:widowControl w:val="0"/>
      <w:jc w:val="both"/>
    </w:pPr>
    <w:rPr>
      <w:rFonts w:ascii="Calibri" w:hAnsi="Calibr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Administrator.3GM-20180124NBK</dc:creator>
  <cp:lastModifiedBy>吴骏</cp:lastModifiedBy>
  <dcterms:modified xsi:type="dcterms:W3CDTF">2021-11-01T03:25:59Z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