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05"/>
          <w:tab w:val="left" w:pos="4640"/>
          <w:tab w:val="left" w:pos="7240"/>
        </w:tabs>
        <w:autoSpaceDE w:val="0"/>
        <w:autoSpaceDN w:val="0"/>
        <w:adjustRightInd w:val="0"/>
        <w:spacing w:line="400" w:lineRule="exact"/>
        <w:ind w:firstLine="420"/>
        <w:jc w:val="left"/>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rPr>
        <w:t>将</w:t>
      </w:r>
      <w:r>
        <w:rPr>
          <w:rFonts w:hint="eastAsia" w:ascii="方正仿宋_GBK" w:hAnsi="方正仿宋_GBK" w:eastAsia="方正仿宋_GBK" w:cs="方正仿宋_GBK"/>
          <w:sz w:val="32"/>
          <w:szCs w:val="40"/>
          <w:lang w:val="en-US" w:eastAsia="zh-CN"/>
        </w:rPr>
        <w:t>第三篇</w:t>
      </w:r>
    </w:p>
    <w:p>
      <w:pPr>
        <w:pageBreakBefore w:val="0"/>
        <w:kinsoku/>
        <w:wordWrap/>
        <w:overflowPunct/>
        <w:topLinePunct w:val="0"/>
        <w:autoSpaceDE/>
        <w:autoSpaceDN/>
        <w:bidi w:val="0"/>
        <w:spacing w:line="400" w:lineRule="exact"/>
        <w:ind w:left="0" w:leftChars="0" w:right="0" w:rightChars="0"/>
        <w:textAlignment w:val="auto"/>
        <w:rPr>
          <w:rFonts w:ascii="宋体" w:hAnsi="宋体"/>
          <w:b/>
          <w:bCs/>
          <w:sz w:val="32"/>
          <w:szCs w:val="32"/>
        </w:rPr>
      </w:pPr>
    </w:p>
    <w:tbl>
      <w:tblPr>
        <w:tblStyle w:val="4"/>
        <w:tblW w:w="13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00"/>
        <w:gridCol w:w="732"/>
        <w:gridCol w:w="1782"/>
        <w:gridCol w:w="9148"/>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0"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kern w:val="0"/>
                <w:szCs w:val="21"/>
              </w:rPr>
            </w:pPr>
            <w:r>
              <w:rPr>
                <w:rFonts w:hint="eastAsia"/>
                <w:szCs w:val="21"/>
              </w:rPr>
              <w:t>评审项</w:t>
            </w:r>
          </w:p>
        </w:tc>
        <w:tc>
          <w:tcPr>
            <w:tcW w:w="1000" w:type="dxa"/>
            <w:vAlign w:val="center"/>
          </w:tcPr>
          <w:p>
            <w:pPr>
              <w:pageBreakBefore w:val="0"/>
              <w:kinsoku/>
              <w:wordWrap/>
              <w:overflowPunct/>
              <w:topLinePunct w:val="0"/>
              <w:autoSpaceDE/>
              <w:autoSpaceDN/>
              <w:bidi w:val="0"/>
              <w:spacing w:line="400" w:lineRule="exact"/>
              <w:ind w:left="0" w:leftChars="0" w:right="0" w:rightChars="0"/>
              <w:contextualSpacing/>
              <w:jc w:val="center"/>
              <w:textAlignment w:val="auto"/>
              <w:rPr>
                <w:szCs w:val="21"/>
              </w:rPr>
            </w:pPr>
            <w:r>
              <w:rPr>
                <w:rFonts w:hint="eastAsia"/>
                <w:szCs w:val="21"/>
              </w:rPr>
              <w:t>评审因素</w:t>
            </w:r>
          </w:p>
        </w:tc>
        <w:tc>
          <w:tcPr>
            <w:tcW w:w="11662" w:type="dxa"/>
            <w:gridSpan w:val="3"/>
            <w:vAlign w:val="center"/>
          </w:tcPr>
          <w:p>
            <w:pPr>
              <w:pageBreakBefore w:val="0"/>
              <w:kinsoku/>
              <w:wordWrap/>
              <w:overflowPunct/>
              <w:topLinePunct w:val="0"/>
              <w:autoSpaceDE/>
              <w:autoSpaceDN/>
              <w:bidi w:val="0"/>
              <w:spacing w:line="400" w:lineRule="exact"/>
              <w:ind w:left="0" w:leftChars="0" w:right="0" w:rightChars="0"/>
              <w:contextualSpacing/>
              <w:jc w:val="center"/>
              <w:textAlignment w:val="auto"/>
              <w:rPr>
                <w:szCs w:val="21"/>
              </w:rPr>
            </w:pPr>
            <w:r>
              <w:rPr>
                <w:rFonts w:hint="eastAsia"/>
                <w:szCs w:val="21"/>
              </w:rPr>
              <w:t>评审标准</w:t>
            </w:r>
          </w:p>
        </w:tc>
        <w:tc>
          <w:tcPr>
            <w:tcW w:w="426" w:type="dxa"/>
            <w:vAlign w:val="center"/>
          </w:tcPr>
          <w:p>
            <w:pPr>
              <w:pageBreakBefore w:val="0"/>
              <w:kinsoku/>
              <w:wordWrap/>
              <w:overflowPunct/>
              <w:topLinePunct w:val="0"/>
              <w:autoSpaceDE/>
              <w:autoSpaceDN/>
              <w:bidi w:val="0"/>
              <w:spacing w:line="400" w:lineRule="exact"/>
              <w:ind w:left="0" w:leftChars="0" w:right="0" w:rightChars="0"/>
              <w:contextualSpacing/>
              <w:jc w:val="center"/>
              <w:textAlignment w:val="auto"/>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0"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检测方案</w:t>
            </w:r>
          </w:p>
        </w:tc>
        <w:tc>
          <w:tcPr>
            <w:tcW w:w="73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全面性</w:t>
            </w: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内容完整性和编制水平</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考察投标人编制的检测方案是否文字清晰、内容完整、编制合理，根据方案优劣给0-5分，得分可相同。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可行性</w:t>
            </w: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进度计划与措施</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拟定相关的进度计划和安排是否能够满足加油站检测工程建设重难点、关键节点的要求，并有具体相应的有效保证进度的措施。根据方案优劣给0-3分，得分可相同。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资源配备计划</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考察投标人在本项目中承诺投入的车辆的数量及稳定性，其中每提供一辆自购车得1分，每提供一辆租赁车得0.5分，本项最高得6分，提供公司车辆行驶证复印件或车辆租赁协议（协议有效期须覆盖合同有效期）、车辆照片。</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考察投标人对本项目拟配备项目组的资源配备能力，满足招标文件要求的2组项目组的基础上（每组内的人员配备须符合招标文件的要求），每增加一组得1分，本项最高得6分。</w:t>
            </w:r>
            <w:r>
              <w:rPr>
                <w:rFonts w:hint="eastAsia" w:ascii="宋体" w:hAnsi="宋体" w:cs="宋体"/>
                <w:kern w:val="0"/>
                <w:szCs w:val="21"/>
              </w:rPr>
              <w:br w:type="textWrapping"/>
            </w:r>
            <w:r>
              <w:rPr>
                <w:rFonts w:hint="eastAsia" w:ascii="宋体" w:hAnsi="宋体" w:cs="宋体"/>
                <w:kern w:val="0"/>
                <w:szCs w:val="21"/>
              </w:rPr>
              <w:t>注：1.提供人员配备表，提供相应的职业资格证书或上岗证、社保证明资料复印件等证明材料。</w:t>
            </w:r>
            <w:r>
              <w:rPr>
                <w:rFonts w:hint="eastAsia" w:ascii="宋体" w:hAnsi="宋体" w:cs="宋体"/>
                <w:kern w:val="0"/>
                <w:szCs w:val="21"/>
              </w:rPr>
              <w:br w:type="textWrapping"/>
            </w:r>
            <w:r>
              <w:rPr>
                <w:rFonts w:hint="eastAsia" w:ascii="宋体" w:hAnsi="宋体" w:cs="宋体"/>
                <w:kern w:val="0"/>
                <w:szCs w:val="21"/>
              </w:rPr>
              <w:t>2.须承诺为所配备的人员均购买“员工人身意外伤害保险”或其它相关人身意外伤害保险，保险赔付额度不低于100万元/人，且保险有效期涵盖合同有效期。</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确保检测方案质量的技术组织措施</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从加油站建设可行性、稳定性角度对检测对象进行详细描述；对防范质量安全事故提出建议，提出详细质量及服务保证措施和防范质量安全事故建议的。以上内容缺一不可，根据检测方案组织措施优劣得分0-3分，最优得3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restart"/>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针对性</w:t>
            </w: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确保安全、文明生产的技术组织措施</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1.考察投标人制定的生产管理流程与安全生产的技术组织措施（包含相关人员的安全培训措施、人员保险、人员安全生产承诺书、应急预案等）。评审组织措施是否适应工程的具体需要，对其提出的人员是否具有安全生产的保证。根据组织措施优劣给0-1分，得分可相同。</w:t>
            </w:r>
            <w:r>
              <w:rPr>
                <w:rFonts w:hint="eastAsia" w:ascii="宋体" w:hAnsi="宋体" w:cs="宋体"/>
                <w:kern w:val="0"/>
                <w:szCs w:val="21"/>
              </w:rPr>
              <w:br w:type="textWrapping"/>
            </w:r>
            <w:r>
              <w:rPr>
                <w:rFonts w:hint="eastAsia" w:ascii="宋体" w:hAnsi="宋体" w:cs="宋体"/>
                <w:kern w:val="0"/>
                <w:szCs w:val="21"/>
              </w:rPr>
              <w:t>2.考察投标人制定的生产管理流程与确保文明生产的技术组织措施对工程是否具有针对性，适应工程的具体需要，对其提出的人员是否具有文明生产的保证，根据组织措施优劣给0-1分，得分可相同。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工作的及时性</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根据投标人在不同区域项目的理解及自身区域优势，制定不同片区的检测工作及时性保障措施（含现场检测及后期支撑），考察是否具有针对性、可行性、完备性，根据措施优劣给0-1分，得分可相同。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工作的深度及准确性</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根据投标人对不同区域加油站检测工程环境的理解，制定不同片区的检测工作流程、工作质量保障措施及质量保障措施，考察是否具有针对性、可行性、完备性，根据措施优劣给0-1分，得分可相同。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782"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对加油站改造的建议</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根据投标人对加油站检测工程环境与重庆市各区域地质地貌、气候等条件的情况，提出对加油站检测工作相关建议。考察建议是否具有针对性、可行性、完备性，根据建议优劣给0-1分，得分可相同。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0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732"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1356" w:type="dxa"/>
            <w:gridSpan w:val="3"/>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注：因本类项目施工点多、量广、工期紧、协调难度大，同一投标人应针对不同区域检测环境做不同详细的描述，描述中应充分体现在不同区域中的自身优势，即同一单位同时投报不同标段时，施工组织方案“针对性”内容部分不应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0" w:type="dxa"/>
            <w:vMerge w:val="continue"/>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3514" w:type="dxa"/>
            <w:gridSpan w:val="3"/>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提供《检测报告》样本</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r>
              <w:rPr>
                <w:rFonts w:hint="eastAsia" w:ascii="宋体" w:hAnsi="宋体" w:cs="宋体"/>
                <w:kern w:val="0"/>
                <w:szCs w:val="21"/>
              </w:rPr>
              <w:t>针对钢结构检测、地基基础检测报告样本（各占1分），从内容全面性、深入性、格式规范性、签字盖章齐全等方面分别评审，每种报告最优得1分，其他得0-0.9分，得分可相同，不提供不得分。本项得分为两项检测报告合计得分，最高2分。</w:t>
            </w:r>
            <w:r>
              <w:rPr>
                <w:rFonts w:hint="eastAsia" w:ascii="宋体" w:hAnsi="宋体" w:cs="宋体"/>
                <w:kern w:val="0"/>
                <w:szCs w:val="21"/>
              </w:rPr>
              <w:br w:type="textWrapping"/>
            </w:r>
            <w:r>
              <w:rPr>
                <w:rFonts w:hint="eastAsia" w:ascii="宋体" w:hAnsi="宋体" w:cs="宋体"/>
                <w:kern w:val="0"/>
                <w:szCs w:val="21"/>
              </w:rPr>
              <w:t>注：本次提供的《检测报告》样本作为后续站点提交的范本执行。</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0"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3514" w:type="dxa"/>
            <w:gridSpan w:val="3"/>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w:t>
            </w:r>
          </w:p>
        </w:tc>
        <w:tc>
          <w:tcPr>
            <w:tcW w:w="9148"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项目检测人员中每具有一名正高级工程师，得1分。</w:t>
            </w:r>
          </w:p>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项目检测人员中每具有一名一级注册结构工程师，得1分。</w:t>
            </w:r>
          </w:p>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项目检测人员中每具有一名注册岩土工程师，得1分。</w:t>
            </w:r>
          </w:p>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hint="eastAsia" w:ascii="宋体" w:hAnsi="宋体" w:cs="宋体"/>
                <w:kern w:val="0"/>
                <w:szCs w:val="21"/>
              </w:rPr>
            </w:pPr>
            <w:r>
              <w:rPr>
                <w:rFonts w:hint="eastAsia" w:ascii="宋体" w:hAnsi="宋体" w:cs="宋体"/>
                <w:kern w:val="0"/>
                <w:szCs w:val="21"/>
              </w:rPr>
              <w:t>注：同一检测人员同时满足以上2条或3条的，得2分或3分。</w:t>
            </w:r>
          </w:p>
        </w:tc>
        <w:tc>
          <w:tcPr>
            <w:tcW w:w="426" w:type="dxa"/>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color w:val="FF0000"/>
                <w:kern w:val="0"/>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pPr>
              <w:pageBreakBefore w:val="0"/>
              <w:widowControl/>
              <w:kinsoku/>
              <w:wordWrap/>
              <w:overflowPunct/>
              <w:topLinePunct w:val="0"/>
              <w:autoSpaceDE/>
              <w:autoSpaceDN/>
              <w:bidi w:val="0"/>
              <w:spacing w:line="400" w:lineRule="exact"/>
              <w:ind w:left="0" w:leftChars="0" w:right="0" w:rightChars="0"/>
              <w:contextualSpacing/>
              <w:jc w:val="left"/>
              <w:textAlignment w:val="auto"/>
              <w:rPr>
                <w:rFonts w:ascii="宋体" w:hAnsi="宋体" w:cs="宋体"/>
                <w:kern w:val="0"/>
                <w:szCs w:val="21"/>
              </w:rPr>
            </w:pPr>
          </w:p>
        </w:tc>
        <w:tc>
          <w:tcPr>
            <w:tcW w:w="13088" w:type="dxa"/>
            <w:gridSpan w:val="5"/>
            <w:vAlign w:val="center"/>
          </w:tcPr>
          <w:p>
            <w:pPr>
              <w:pageBreakBefore w:val="0"/>
              <w:widowControl/>
              <w:kinsoku/>
              <w:wordWrap/>
              <w:overflowPunct/>
              <w:topLinePunct w:val="0"/>
              <w:autoSpaceDE/>
              <w:autoSpaceDN/>
              <w:bidi w:val="0"/>
              <w:spacing w:line="400" w:lineRule="exact"/>
              <w:ind w:left="0" w:leftChars="0" w:right="0" w:rightChars="0"/>
              <w:contextualSpacing/>
              <w:jc w:val="center"/>
              <w:textAlignment w:val="auto"/>
              <w:rPr>
                <w:rFonts w:ascii="宋体" w:hAnsi="宋体" w:cs="宋体"/>
                <w:kern w:val="0"/>
                <w:szCs w:val="21"/>
              </w:rPr>
            </w:pPr>
            <w:r>
              <w:rPr>
                <w:rFonts w:hint="eastAsia" w:ascii="宋体" w:hAnsi="宋体" w:cs="宋体"/>
                <w:kern w:val="0"/>
                <w:szCs w:val="21"/>
              </w:rPr>
              <w:t>共计30分</w:t>
            </w:r>
          </w:p>
        </w:tc>
      </w:tr>
    </w:tbl>
    <w:p>
      <w:pPr>
        <w:tabs>
          <w:tab w:val="left" w:pos="4305"/>
          <w:tab w:val="left" w:pos="4640"/>
          <w:tab w:val="left" w:pos="7240"/>
        </w:tabs>
        <w:autoSpaceDE w:val="0"/>
        <w:autoSpaceDN w:val="0"/>
        <w:adjustRightInd w:val="0"/>
        <w:spacing w:line="400" w:lineRule="exact"/>
        <w:ind w:firstLine="420"/>
        <w:jc w:val="left"/>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改为</w:t>
      </w:r>
    </w:p>
    <w:tbl>
      <w:tblPr>
        <w:tblStyle w:val="4"/>
        <w:tblW w:w="14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000"/>
        <w:gridCol w:w="732"/>
        <w:gridCol w:w="1782"/>
        <w:gridCol w:w="916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00" w:type="dxa"/>
            <w:vAlign w:val="center"/>
          </w:tcPr>
          <w:p>
            <w:pPr>
              <w:widowControl/>
              <w:spacing w:line="400" w:lineRule="exact"/>
              <w:contextualSpacing/>
              <w:jc w:val="center"/>
              <w:rPr>
                <w:kern w:val="0"/>
                <w:szCs w:val="21"/>
              </w:rPr>
            </w:pPr>
            <w:r>
              <w:rPr>
                <w:rFonts w:hint="eastAsia"/>
                <w:szCs w:val="21"/>
              </w:rPr>
              <w:t>评审项</w:t>
            </w:r>
          </w:p>
        </w:tc>
        <w:tc>
          <w:tcPr>
            <w:tcW w:w="1000" w:type="dxa"/>
            <w:vAlign w:val="center"/>
          </w:tcPr>
          <w:p>
            <w:pPr>
              <w:spacing w:line="400" w:lineRule="exact"/>
              <w:contextualSpacing/>
              <w:jc w:val="center"/>
              <w:rPr>
                <w:szCs w:val="21"/>
              </w:rPr>
            </w:pPr>
            <w:r>
              <w:rPr>
                <w:rFonts w:hint="eastAsia"/>
                <w:szCs w:val="21"/>
              </w:rPr>
              <w:t>评审因素</w:t>
            </w:r>
          </w:p>
        </w:tc>
        <w:tc>
          <w:tcPr>
            <w:tcW w:w="11681" w:type="dxa"/>
            <w:gridSpan w:val="3"/>
            <w:vAlign w:val="center"/>
          </w:tcPr>
          <w:p>
            <w:pPr>
              <w:spacing w:line="400" w:lineRule="exact"/>
              <w:contextualSpacing/>
              <w:jc w:val="center"/>
              <w:rPr>
                <w:szCs w:val="21"/>
              </w:rPr>
            </w:pPr>
            <w:r>
              <w:rPr>
                <w:rFonts w:hint="eastAsia"/>
                <w:szCs w:val="21"/>
              </w:rPr>
              <w:t>评审标准</w:t>
            </w:r>
          </w:p>
        </w:tc>
        <w:tc>
          <w:tcPr>
            <w:tcW w:w="708" w:type="dxa"/>
            <w:vAlign w:val="center"/>
          </w:tcPr>
          <w:p>
            <w:pPr>
              <w:spacing w:line="400" w:lineRule="exact"/>
              <w:contextualSpacing/>
              <w:jc w:val="center"/>
              <w:rPr>
                <w:szCs w:val="21"/>
              </w:rPr>
            </w:pPr>
            <w:r>
              <w:rPr>
                <w:rFonts w:hint="eastAsia"/>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0" w:type="dxa"/>
            <w:vMerge w:val="restart"/>
            <w:vAlign w:val="center"/>
          </w:tcPr>
          <w:p>
            <w:pPr>
              <w:widowControl/>
              <w:spacing w:line="400" w:lineRule="exact"/>
              <w:contextualSpacing/>
              <w:jc w:val="left"/>
              <w:rPr>
                <w:rFonts w:ascii="宋体" w:hAnsi="宋体" w:cs="宋体"/>
                <w:kern w:val="0"/>
                <w:szCs w:val="21"/>
              </w:rPr>
            </w:pPr>
          </w:p>
        </w:tc>
        <w:tc>
          <w:tcPr>
            <w:tcW w:w="1000" w:type="dxa"/>
            <w:vMerge w:val="restart"/>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检测方案</w:t>
            </w:r>
          </w:p>
        </w:tc>
        <w:tc>
          <w:tcPr>
            <w:tcW w:w="73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全面性</w:t>
            </w: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内容完整性和编制水平</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考察投标人编制的检测方案是否文字清晰、内容完整、编制合理，根据方案优劣给0-5分，得分可相同。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restart"/>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可行性</w:t>
            </w: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进度计划与措施</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拟定相关的进度计划和安排是否能</w:t>
            </w:r>
            <w:bookmarkStart w:id="0" w:name="_GoBack"/>
            <w:bookmarkEnd w:id="0"/>
            <w:r>
              <w:rPr>
                <w:rFonts w:hint="eastAsia" w:ascii="宋体" w:hAnsi="宋体" w:cs="宋体"/>
                <w:kern w:val="0"/>
                <w:szCs w:val="21"/>
              </w:rPr>
              <w:t>够满足加油站检测工程建设重难点、关键节点的要求，并有具体相应的有效保证进度的措施。根据方案优劣给0-3分，得分可相同。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782" w:type="dxa"/>
            <w:vMerge w:val="restart"/>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资源配备计划</w:t>
            </w:r>
          </w:p>
        </w:tc>
        <w:tc>
          <w:tcPr>
            <w:tcW w:w="9167" w:type="dxa"/>
            <w:vAlign w:val="center"/>
          </w:tcPr>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考察投标人在本项目中承诺投入的车辆的数量及稳定性，其中每提供一辆自购车得1分，每提供一辆租赁车得0.5分，本项最高得3分</w:t>
            </w:r>
            <w:r>
              <w:rPr>
                <w:rFonts w:hint="eastAsia" w:ascii="宋体" w:hAnsi="宋体" w:cs="宋体"/>
                <w:kern w:val="0"/>
                <w:szCs w:val="21"/>
              </w:rPr>
              <w:t>，提供公司车辆行驶证复印件或车辆租赁协议（协议有效期须覆盖合同有效期）、车辆照片。</w:t>
            </w:r>
          </w:p>
        </w:tc>
        <w:tc>
          <w:tcPr>
            <w:tcW w:w="708" w:type="dxa"/>
            <w:vMerge w:val="restart"/>
            <w:vAlign w:val="center"/>
          </w:tcPr>
          <w:p>
            <w:pPr>
              <w:spacing w:line="400" w:lineRule="exact"/>
              <w:contextualSpacing/>
              <w:jc w:val="center"/>
              <w:rPr>
                <w:rFonts w:ascii="宋体" w:hAnsi="宋体" w:cs="宋体"/>
                <w:color w:val="FF0000"/>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782" w:type="dxa"/>
            <w:vMerge w:val="continue"/>
            <w:vAlign w:val="center"/>
          </w:tcPr>
          <w:p>
            <w:pPr>
              <w:widowControl/>
              <w:spacing w:line="400" w:lineRule="exact"/>
              <w:contextualSpacing/>
              <w:jc w:val="left"/>
              <w:rPr>
                <w:rFonts w:ascii="宋体" w:hAnsi="宋体" w:cs="宋体"/>
                <w:kern w:val="0"/>
                <w:szCs w:val="21"/>
              </w:rPr>
            </w:pPr>
          </w:p>
        </w:tc>
        <w:tc>
          <w:tcPr>
            <w:tcW w:w="9167" w:type="dxa"/>
            <w:vAlign w:val="center"/>
          </w:tcPr>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考察投标人对本项目拟配备项目组的资源配备能力，满足招标文件要求的2组项目组的基础上（每组内的人员配备须符合招标文件的要求），每增加一组得1分，本项最高得3分</w:t>
            </w:r>
            <w:r>
              <w:rPr>
                <w:rFonts w:hint="eastAsia" w:ascii="宋体" w:hAnsi="宋体" w:cs="宋体"/>
                <w:kern w:val="0"/>
                <w:szCs w:val="21"/>
              </w:rPr>
              <w:t>。</w:t>
            </w:r>
            <w:r>
              <w:rPr>
                <w:rFonts w:hint="eastAsia" w:ascii="宋体" w:hAnsi="宋体" w:cs="宋体"/>
                <w:kern w:val="0"/>
                <w:szCs w:val="21"/>
              </w:rPr>
              <w:br w:type="textWrapping"/>
            </w:r>
            <w:r>
              <w:rPr>
                <w:rFonts w:hint="eastAsia" w:ascii="宋体" w:hAnsi="宋体" w:cs="宋体"/>
                <w:kern w:val="0"/>
                <w:szCs w:val="21"/>
              </w:rPr>
              <w:t>注：1.提供人员配备表，提供相应的职业资格证书或上岗证、社保证明资料复印件等证明材料。</w:t>
            </w:r>
            <w:r>
              <w:rPr>
                <w:rFonts w:hint="eastAsia" w:ascii="宋体" w:hAnsi="宋体" w:cs="宋体"/>
                <w:kern w:val="0"/>
                <w:szCs w:val="21"/>
              </w:rPr>
              <w:br w:type="textWrapping"/>
            </w:r>
            <w:r>
              <w:rPr>
                <w:rFonts w:hint="eastAsia" w:ascii="宋体" w:hAnsi="宋体" w:cs="宋体"/>
                <w:kern w:val="0"/>
                <w:szCs w:val="21"/>
              </w:rPr>
              <w:t>2.须承诺为所配备的人员均购买“员工人身意外伤害保险”或其它相关人身意外伤害保险，保险赔付额度不低于100万元/人，且保险有效期涵盖合同有效期。</w:t>
            </w:r>
          </w:p>
        </w:tc>
        <w:tc>
          <w:tcPr>
            <w:tcW w:w="708" w:type="dxa"/>
            <w:vMerge w:val="continue"/>
            <w:vAlign w:val="center"/>
          </w:tcPr>
          <w:p>
            <w:pPr>
              <w:widowControl/>
              <w:spacing w:line="400" w:lineRule="exact"/>
              <w:contextualSpacing/>
              <w:jc w:val="center"/>
              <w:rPr>
                <w:rFonts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确保检测方案质量的技术组织措施</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从加油站建设可行性、稳定性角度对检测对象进行详细描述；对防范质量安全事故提出建议，提出详细质量及服务保证措施和防范质量安全事故建议的。以上内容缺一不可，根据检测方案组织措施优劣得分0-3分，最优得3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restart"/>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针对性</w:t>
            </w: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确保安全、文明生产的技术组织措施</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1.考察投标人制定的生产管理流程与安全生产的技术组织措施（包含相关人员的安全培训措施、人员保险、人员安全生产承诺书、应急预案等）。评审组织措施是否适应工程的具体需要，对其提出的人员是否具有安全生产的保证。根据组织措施优劣给0-1分，得分可相同。</w:t>
            </w:r>
            <w:r>
              <w:rPr>
                <w:rFonts w:hint="eastAsia" w:ascii="宋体" w:hAnsi="宋体" w:cs="宋体"/>
                <w:kern w:val="0"/>
                <w:szCs w:val="21"/>
              </w:rPr>
              <w:br w:type="textWrapping"/>
            </w:r>
            <w:r>
              <w:rPr>
                <w:rFonts w:hint="eastAsia" w:ascii="宋体" w:hAnsi="宋体" w:cs="宋体"/>
                <w:kern w:val="0"/>
                <w:szCs w:val="21"/>
              </w:rPr>
              <w:t>2.考察投标人制定的生产管理流程与确保文明生产的技术组织措施对工程是否具有针对性，适应工程的具体需要，对其提出的人员是否具有文明生产的保证，根据组织措施优劣给0-1分，得分可相同。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工作的及时性</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根据投标人在不同区域项目的理解及自身区域优势，制定不同片区的检测工作及时性保障措施（含现场检测及后期支撑），考察是否具有针对性、可行性、完备性，根据措施优劣给0-1分，得分可相同。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工作的深度及准确性</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根据投标人对不同区域加油站检测工程环境的理解，制定不同片区的检测工作流程、工作质量保障措施及质量保障措施，考察是否具有针对性、可行性、完备性，根据措施优劣给0-1分，得分可相同。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782"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对加油站改造的建议</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根据投标人对加油站检测工程环境与重庆市各区域地质地貌、气候等条件的情况，提出对加油站检测工作相关建议。考察建议是否具有针对性、可行性、完备性，根据建议优劣给0-1分，得分可相同。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1000" w:type="dxa"/>
            <w:vMerge w:val="continue"/>
            <w:vAlign w:val="center"/>
          </w:tcPr>
          <w:p>
            <w:pPr>
              <w:widowControl/>
              <w:spacing w:line="400" w:lineRule="exact"/>
              <w:contextualSpacing/>
              <w:jc w:val="left"/>
              <w:rPr>
                <w:rFonts w:ascii="宋体" w:hAnsi="宋体" w:cs="宋体"/>
                <w:kern w:val="0"/>
                <w:szCs w:val="21"/>
              </w:rPr>
            </w:pPr>
          </w:p>
        </w:tc>
        <w:tc>
          <w:tcPr>
            <w:tcW w:w="732" w:type="dxa"/>
            <w:vMerge w:val="continue"/>
            <w:vAlign w:val="center"/>
          </w:tcPr>
          <w:p>
            <w:pPr>
              <w:widowControl/>
              <w:spacing w:line="400" w:lineRule="exact"/>
              <w:contextualSpacing/>
              <w:jc w:val="left"/>
              <w:rPr>
                <w:rFonts w:ascii="宋体" w:hAnsi="宋体" w:cs="宋体"/>
                <w:kern w:val="0"/>
                <w:szCs w:val="21"/>
              </w:rPr>
            </w:pPr>
          </w:p>
        </w:tc>
        <w:tc>
          <w:tcPr>
            <w:tcW w:w="11657" w:type="dxa"/>
            <w:gridSpan w:val="3"/>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注：因本类项目施工点多、量广、工期紧、协调难度大，同一投标人应针对不同区域检测环境做不同详细的描述，描述中应充分体现在不同区域中的自身优势，即同一单位同时投报不同标段时，施工组织方案“针对性”内容部分不应完全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0" w:type="dxa"/>
            <w:vMerge w:val="continue"/>
            <w:vAlign w:val="center"/>
          </w:tcPr>
          <w:p>
            <w:pPr>
              <w:widowControl/>
              <w:spacing w:line="400" w:lineRule="exact"/>
              <w:contextualSpacing/>
              <w:jc w:val="left"/>
              <w:rPr>
                <w:rFonts w:ascii="宋体" w:hAnsi="宋体" w:cs="宋体"/>
                <w:kern w:val="0"/>
                <w:szCs w:val="21"/>
              </w:rPr>
            </w:pPr>
          </w:p>
        </w:tc>
        <w:tc>
          <w:tcPr>
            <w:tcW w:w="3514" w:type="dxa"/>
            <w:gridSpan w:val="3"/>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提供《检测报告》样本</w:t>
            </w:r>
          </w:p>
        </w:tc>
        <w:tc>
          <w:tcPr>
            <w:tcW w:w="9167" w:type="dxa"/>
            <w:vAlign w:val="center"/>
          </w:tcPr>
          <w:p>
            <w:pPr>
              <w:widowControl/>
              <w:spacing w:line="400" w:lineRule="exact"/>
              <w:contextualSpacing/>
              <w:jc w:val="left"/>
              <w:rPr>
                <w:rFonts w:ascii="宋体" w:hAnsi="宋体" w:cs="宋体"/>
                <w:kern w:val="0"/>
                <w:szCs w:val="21"/>
              </w:rPr>
            </w:pPr>
            <w:r>
              <w:rPr>
                <w:rFonts w:hint="eastAsia" w:ascii="宋体" w:hAnsi="宋体" w:cs="宋体"/>
                <w:kern w:val="0"/>
                <w:szCs w:val="21"/>
              </w:rPr>
              <w:t>针对钢结构检测、地基基础检测报告样本（各占1分），从内容全面性、深入性、格式规范性、签字盖章齐全等方面分别评审，每种报告最优得1分，其他得0-0.9分，得分可相同，不提供不得分。本项得分为两项检测报告合计得分，最高2分。</w:t>
            </w:r>
            <w:r>
              <w:rPr>
                <w:rFonts w:hint="eastAsia" w:ascii="宋体" w:hAnsi="宋体" w:cs="宋体"/>
                <w:kern w:val="0"/>
                <w:szCs w:val="21"/>
              </w:rPr>
              <w:br w:type="textWrapping"/>
            </w:r>
            <w:r>
              <w:rPr>
                <w:rFonts w:hint="eastAsia" w:ascii="宋体" w:hAnsi="宋体" w:cs="宋体"/>
                <w:kern w:val="0"/>
                <w:szCs w:val="21"/>
              </w:rPr>
              <w:t>注：本次提供的《检测报告》样本作为后续站点提交的范本执行。</w:t>
            </w:r>
          </w:p>
        </w:tc>
        <w:tc>
          <w:tcPr>
            <w:tcW w:w="708" w:type="dxa"/>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800" w:type="dxa"/>
            <w:vAlign w:val="center"/>
          </w:tcPr>
          <w:p>
            <w:pPr>
              <w:widowControl/>
              <w:spacing w:line="400" w:lineRule="exact"/>
              <w:contextualSpacing/>
              <w:jc w:val="left"/>
              <w:rPr>
                <w:rFonts w:ascii="宋体" w:hAnsi="宋体" w:cs="宋体"/>
                <w:color w:val="FF0000"/>
                <w:kern w:val="0"/>
                <w:szCs w:val="21"/>
              </w:rPr>
            </w:pPr>
          </w:p>
        </w:tc>
        <w:tc>
          <w:tcPr>
            <w:tcW w:w="3514" w:type="dxa"/>
            <w:gridSpan w:val="3"/>
            <w:vAlign w:val="center"/>
          </w:tcPr>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项目检测人员</w:t>
            </w:r>
          </w:p>
        </w:tc>
        <w:tc>
          <w:tcPr>
            <w:tcW w:w="9167" w:type="dxa"/>
            <w:vAlign w:val="center"/>
          </w:tcPr>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项目检测人员中每具有一名正高级工程师，得2分。</w:t>
            </w:r>
          </w:p>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项目检测人员中每具有一名一级注册结构工程师，得2分。</w:t>
            </w:r>
          </w:p>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项目检测人员中每具有一名注册岩土工程师，得2分。</w:t>
            </w:r>
          </w:p>
        </w:tc>
        <w:tc>
          <w:tcPr>
            <w:tcW w:w="708" w:type="dxa"/>
            <w:vAlign w:val="center"/>
          </w:tcPr>
          <w:p>
            <w:pPr>
              <w:widowControl/>
              <w:spacing w:line="400" w:lineRule="exact"/>
              <w:contextualSpacing/>
              <w:jc w:val="left"/>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00" w:type="dxa"/>
            <w:vAlign w:val="center"/>
          </w:tcPr>
          <w:p>
            <w:pPr>
              <w:widowControl/>
              <w:spacing w:line="400" w:lineRule="exact"/>
              <w:contextualSpacing/>
              <w:jc w:val="left"/>
              <w:rPr>
                <w:rFonts w:ascii="宋体" w:hAnsi="宋体" w:cs="宋体"/>
                <w:kern w:val="0"/>
                <w:szCs w:val="21"/>
              </w:rPr>
            </w:pPr>
          </w:p>
        </w:tc>
        <w:tc>
          <w:tcPr>
            <w:tcW w:w="13389" w:type="dxa"/>
            <w:gridSpan w:val="5"/>
            <w:vAlign w:val="center"/>
          </w:tcPr>
          <w:p>
            <w:pPr>
              <w:widowControl/>
              <w:spacing w:line="400" w:lineRule="exact"/>
              <w:contextualSpacing/>
              <w:jc w:val="center"/>
              <w:rPr>
                <w:rFonts w:ascii="宋体" w:hAnsi="宋体" w:cs="宋体"/>
                <w:kern w:val="0"/>
                <w:szCs w:val="21"/>
              </w:rPr>
            </w:pPr>
            <w:r>
              <w:rPr>
                <w:rFonts w:hint="eastAsia" w:ascii="宋体" w:hAnsi="宋体" w:cs="宋体"/>
                <w:kern w:val="0"/>
                <w:szCs w:val="21"/>
              </w:rPr>
              <w:t>共计30分</w:t>
            </w:r>
          </w:p>
        </w:tc>
      </w:tr>
    </w:tbl>
    <w:p>
      <w:pPr>
        <w:tabs>
          <w:tab w:val="left" w:pos="4305"/>
          <w:tab w:val="left" w:pos="4640"/>
          <w:tab w:val="left" w:pos="7240"/>
        </w:tabs>
        <w:autoSpaceDE w:val="0"/>
        <w:autoSpaceDN w:val="0"/>
        <w:adjustRightInd w:val="0"/>
        <w:spacing w:line="400" w:lineRule="exact"/>
        <w:ind w:firstLine="420"/>
        <w:jc w:val="left"/>
        <w:rPr>
          <w:rFonts w:hint="default" w:ascii="方正仿宋_GBK" w:hAnsi="方正仿宋_GBK" w:eastAsia="方正仿宋_GBK" w:cs="方正仿宋_GBK"/>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6AB8"/>
    <w:rsid w:val="28C47CB5"/>
    <w:rsid w:val="44E571E2"/>
    <w:rsid w:val="49DD6790"/>
    <w:rsid w:val="50BD248D"/>
    <w:rsid w:val="5AD4265E"/>
    <w:rsid w:val="67DF5829"/>
    <w:rsid w:val="706F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2021-07-09T07:11:00Z</dcterms:created>
  <dc:creator>admin</dc:creator>
  <cp:lastModifiedBy>WPS_1606287783</cp:lastModifiedBy>
  <dcterms:modified xsi:type="dcterms:W3CDTF">2021-09-23T09:34:43Z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