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szCs w:val="21"/>
          <w14:textFill>
            <w14:solidFill>
              <w14:schemeClr w14:val="tx1"/>
            </w14:solidFill>
          </w14:textFill>
        </w:rPr>
      </w:pPr>
    </w:p>
    <w:p>
      <w:pPr>
        <w:pStyle w:val="2"/>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pStyle w:val="2"/>
        <w:rPr>
          <w:rFonts w:ascii="宋体" w:hAnsi="宋体"/>
          <w:color w:val="000000" w:themeColor="text1"/>
          <w:szCs w:val="21"/>
          <w14:textFill>
            <w14:solidFill>
              <w14:schemeClr w14:val="tx1"/>
            </w14:solidFill>
          </w14:textFill>
        </w:rPr>
      </w:pPr>
    </w:p>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bookmarkStart w:id="0" w:name="OLE_LINK4"/>
      <w:r>
        <w:rPr>
          <w:rFonts w:hint="eastAsia" w:ascii="宋体" w:hAnsi="宋体"/>
          <w:b/>
          <w:color w:val="000000" w:themeColor="text1"/>
          <w:spacing w:val="20"/>
          <w:sz w:val="72"/>
          <w:szCs w:val="72"/>
          <w:lang w:val="en-US" w:eastAsia="zh-CN"/>
          <w14:textFill>
            <w14:solidFill>
              <w14:schemeClr w14:val="tx1"/>
            </w14:solidFill>
          </w14:textFill>
        </w:rPr>
        <w:t>重庆首讯科技股份有限</w:t>
      </w:r>
      <w:r>
        <w:rPr>
          <w:rFonts w:hint="eastAsia" w:ascii="宋体" w:hAnsi="宋体"/>
          <w:b/>
          <w:color w:val="000000" w:themeColor="text1"/>
          <w:spacing w:val="20"/>
          <w:sz w:val="72"/>
          <w:szCs w:val="72"/>
          <w14:textFill>
            <w14:solidFill>
              <w14:schemeClr w14:val="tx1"/>
            </w14:solidFill>
          </w14:textFill>
        </w:rPr>
        <w:t>公司上市内控建设服务</w:t>
      </w:r>
      <w:r>
        <w:rPr>
          <w:rFonts w:hint="eastAsia" w:ascii="宋体" w:hAnsi="宋体"/>
          <w:b/>
          <w:color w:val="000000" w:themeColor="text1"/>
          <w:spacing w:val="20"/>
          <w:sz w:val="72"/>
          <w:szCs w:val="72"/>
          <w:lang w:val="en-US" w:eastAsia="zh-CN"/>
          <w14:textFill>
            <w14:solidFill>
              <w14:schemeClr w14:val="tx1"/>
            </w14:solidFill>
          </w14:textFill>
        </w:rPr>
        <w:t>项目</w:t>
      </w:r>
      <w:r>
        <w:rPr>
          <w:rFonts w:hint="eastAsia" w:ascii="宋体" w:hAnsi="宋体"/>
          <w:b/>
          <w:color w:val="000000" w:themeColor="text1"/>
          <w:spacing w:val="20"/>
          <w:sz w:val="72"/>
          <w:szCs w:val="72"/>
          <w14:textFill>
            <w14:solidFill>
              <w14:schemeClr w14:val="tx1"/>
            </w14:solidFill>
          </w14:textFill>
        </w:rPr>
        <w:t>采购</w:t>
      </w:r>
      <w:bookmarkEnd w:id="0"/>
    </w:p>
    <w:p>
      <w:pPr>
        <w:jc w:val="center"/>
        <w:rPr>
          <w:rFonts w:ascii="宋体" w:hAnsi="宋体"/>
          <w:b/>
          <w:color w:val="000000" w:themeColor="text1"/>
          <w:spacing w:val="20"/>
          <w:sz w:val="72"/>
          <w:szCs w:val="72"/>
          <w14:textFill>
            <w14:solidFill>
              <w14:schemeClr w14:val="tx1"/>
            </w14:solidFill>
          </w14:textFill>
        </w:rPr>
      </w:pPr>
    </w:p>
    <w:p>
      <w:pPr>
        <w:rPr>
          <w:rFonts w:ascii="宋体" w:hAnsi="宋体"/>
          <w:color w:val="000000" w:themeColor="text1"/>
          <w:szCs w:val="21"/>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r>
        <w:rPr>
          <w:rFonts w:hint="eastAsia" w:ascii="宋体" w:hAnsi="宋体"/>
          <w:b/>
          <w:color w:val="000000" w:themeColor="text1"/>
          <w:spacing w:val="20"/>
          <w:sz w:val="72"/>
          <w:szCs w:val="72"/>
          <w14:textFill>
            <w14:solidFill>
              <w14:schemeClr w14:val="tx1"/>
            </w14:solidFill>
          </w14:textFill>
        </w:rPr>
        <w:t>竞争性比选文件</w:t>
      </w: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pStyle w:val="9"/>
        <w:snapToGrid w:val="0"/>
        <w:ind w:firstLine="577"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重庆首讯科技股份有限公司</w:t>
      </w:r>
    </w:p>
    <w:p>
      <w:pPr>
        <w:pStyle w:val="9"/>
        <w:snapToGrid w:val="0"/>
        <w:ind w:firstLine="577"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10</w:t>
      </w:r>
      <w:r>
        <w:rPr>
          <w:rFonts w:hint="eastAsia" w:ascii="宋体" w:hAnsi="宋体"/>
          <w:color w:val="000000" w:themeColor="text1"/>
          <w:sz w:val="32"/>
          <w:szCs w:val="32"/>
          <w14:textFill>
            <w14:solidFill>
              <w14:schemeClr w14:val="tx1"/>
            </w14:solidFill>
          </w14:textFill>
        </w:rPr>
        <w:t>月</w:t>
      </w: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type="linesAndChars" w:linePitch="317" w:charSpace="640"/>
        </w:sectPr>
      </w:pPr>
    </w:p>
    <w:p>
      <w:pPr>
        <w:pStyle w:val="3"/>
        <w:spacing w:before="0" w:after="0" w:line="360" w:lineRule="auto"/>
        <w:rPr>
          <w:rFonts w:ascii="宋体" w:hAnsi="宋体" w:cs="宋体"/>
          <w:bCs/>
          <w:sz w:val="48"/>
          <w:szCs w:val="48"/>
        </w:rPr>
      </w:pPr>
      <w:r>
        <w:rPr>
          <w:rFonts w:hint="eastAsia"/>
          <w:color w:val="000000" w:themeColor="text1"/>
          <w:spacing w:val="10"/>
          <w:sz w:val="48"/>
          <w:szCs w:val="48"/>
          <w14:textFill>
            <w14:solidFill>
              <w14:schemeClr w14:val="tx1"/>
            </w14:solidFill>
          </w14:textFill>
        </w:rPr>
        <w:t>第一章 竞争性比选公告</w:t>
      </w:r>
    </w:p>
    <w:p>
      <w:pPr>
        <w:spacing w:line="360" w:lineRule="auto"/>
        <w:ind w:firstLine="486" w:firstLineChars="200"/>
        <w:rPr>
          <w:color w:val="000000" w:themeColor="text1"/>
          <w:sz w:val="24"/>
          <w:szCs w:val="28"/>
          <w14:textFill>
            <w14:solidFill>
              <w14:schemeClr w14:val="tx1"/>
            </w14:solidFill>
          </w14:textFill>
        </w:rPr>
      </w:pPr>
    </w:p>
    <w:p>
      <w:pPr>
        <w:pStyle w:val="4"/>
        <w:spacing w:before="0" w:after="0" w:line="360" w:lineRule="auto"/>
        <w:rPr>
          <w:rFonts w:ascii="宋体" w:hAnsi="宋体" w:cs="宋体"/>
        </w:rPr>
      </w:pPr>
      <w:bookmarkStart w:id="1" w:name="_Toc152042288"/>
      <w:bookmarkStart w:id="2" w:name="_Toc24874"/>
      <w:bookmarkStart w:id="3" w:name="_Toc246996901"/>
      <w:bookmarkStart w:id="4" w:name="_Toc144974480"/>
      <w:bookmarkStart w:id="5" w:name="_Toc247085672"/>
      <w:bookmarkStart w:id="6" w:name="_Toc11329213"/>
      <w:bookmarkStart w:id="7" w:name="_Toc246996158"/>
      <w:bookmarkStart w:id="8" w:name="_Toc152045512"/>
      <w:bookmarkStart w:id="9" w:name="_Toc10076"/>
      <w:bookmarkStart w:id="10" w:name="_Toc507319891"/>
      <w:bookmarkStart w:id="11" w:name="_Toc179632528"/>
      <w:bookmarkStart w:id="12" w:name="_Toc6549"/>
      <w:bookmarkStart w:id="13" w:name="_Toc12048"/>
      <w:r>
        <w:rPr>
          <w:rFonts w:hint="eastAsia" w:ascii="宋体" w:hAnsi="宋体" w:cs="宋体"/>
        </w:rPr>
        <w:t>1.比选条件</w:t>
      </w:r>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本竞争性比选项目</w:t>
      </w:r>
      <w:r>
        <w:rPr>
          <w:rFonts w:hint="eastAsia"/>
          <w:color w:val="000000" w:themeColor="text1"/>
          <w:sz w:val="24"/>
          <w:szCs w:val="28"/>
          <w:u w:val="single"/>
          <w:lang w:eastAsia="zh-CN"/>
          <w14:textFill>
            <w14:solidFill>
              <w14:schemeClr w14:val="tx1"/>
            </w14:solidFill>
          </w14:textFill>
        </w:rPr>
        <w:t>重庆首讯科技股份有限公司上市内控建设服务项目</w:t>
      </w:r>
      <w:r>
        <w:rPr>
          <w:rFonts w:hint="eastAsia"/>
          <w:color w:val="000000" w:themeColor="text1"/>
          <w:sz w:val="24"/>
          <w:szCs w:val="28"/>
          <w14:textFill>
            <w14:solidFill>
              <w14:schemeClr w14:val="tx1"/>
            </w14:solidFill>
          </w14:textFill>
        </w:rPr>
        <w:t>，采购人为</w:t>
      </w:r>
      <w:r>
        <w:rPr>
          <w:rFonts w:hint="eastAsia"/>
          <w:color w:val="000000" w:themeColor="text1"/>
          <w:sz w:val="24"/>
          <w:szCs w:val="28"/>
          <w:u w:val="single"/>
          <w14:textFill>
            <w14:solidFill>
              <w14:schemeClr w14:val="tx1"/>
            </w14:solidFill>
          </w14:textFill>
        </w:rPr>
        <w:t>重庆首讯科技股份有限公司</w:t>
      </w:r>
      <w:r>
        <w:rPr>
          <w:rFonts w:hint="eastAsia"/>
          <w:color w:val="000000" w:themeColor="text1"/>
          <w:sz w:val="24"/>
          <w:szCs w:val="28"/>
          <w14:textFill>
            <w14:solidFill>
              <w14:schemeClr w14:val="tx1"/>
            </w14:solidFill>
          </w14:textFill>
        </w:rPr>
        <w:t>，该项目已具备比选条件，现对该项目进行竞争性比选。</w:t>
      </w:r>
    </w:p>
    <w:p>
      <w:pPr>
        <w:pStyle w:val="4"/>
        <w:spacing w:before="0" w:after="0" w:line="360" w:lineRule="auto"/>
        <w:rPr>
          <w:rFonts w:ascii="宋体" w:hAnsi="宋体" w:cs="宋体"/>
        </w:rPr>
      </w:pPr>
      <w:r>
        <w:rPr>
          <w:rFonts w:hint="eastAsia" w:ascii="宋体" w:hAnsi="宋体" w:cs="宋体"/>
        </w:rPr>
        <w:t>2.项目概述</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2.1服务内容：</w:t>
      </w:r>
      <w:r>
        <w:rPr>
          <w:rFonts w:hint="eastAsia"/>
          <w:color w:val="000000" w:themeColor="text1"/>
          <w:sz w:val="24"/>
          <w:szCs w:val="28"/>
          <w14:textFill>
            <w14:solidFill>
              <w14:schemeClr w14:val="tx1"/>
            </w14:solidFill>
          </w14:textFill>
        </w:rPr>
        <w:br w:type="textWrapping"/>
      </w:r>
      <w:r>
        <w:rPr>
          <w:rFonts w:hint="eastAsia"/>
          <w:color w:val="000000" w:themeColor="text1"/>
          <w:sz w:val="24"/>
          <w:szCs w:val="28"/>
          <w:lang w:val="en-US" w:eastAsia="zh-CN"/>
          <w14:textFill>
            <w14:solidFill>
              <w14:schemeClr w14:val="tx1"/>
            </w14:solidFill>
          </w14:textFill>
        </w:rPr>
        <w:t xml:space="preserve">   </w:t>
      </w:r>
      <w:r>
        <w:rPr>
          <w:rFonts w:hint="eastAsia"/>
          <w:color w:val="000000" w:themeColor="text1"/>
          <w:sz w:val="24"/>
          <w:szCs w:val="28"/>
          <w:lang w:eastAsia="zh-CN"/>
          <w14:textFill>
            <w14:solidFill>
              <w14:schemeClr w14:val="tx1"/>
            </w14:solidFill>
          </w14:textFill>
        </w:rPr>
        <w:t>（</w:t>
      </w:r>
      <w:r>
        <w:rPr>
          <w:rFonts w:hint="eastAsia"/>
          <w:color w:val="000000" w:themeColor="text1"/>
          <w:sz w:val="24"/>
          <w:szCs w:val="28"/>
          <w14:textFill>
            <w14:solidFill>
              <w14:schemeClr w14:val="tx1"/>
            </w14:solidFill>
          </w14:textFill>
        </w:rPr>
        <w:t>1）内控诊断与设计</w:t>
      </w:r>
      <w:r>
        <w:rPr>
          <w:rFonts w:hint="eastAsia"/>
          <w:color w:val="000000" w:themeColor="text1"/>
          <w:sz w:val="24"/>
          <w:szCs w:val="28"/>
          <w:lang w:eastAsia="zh-CN"/>
          <w14:textFill>
            <w14:solidFill>
              <w14:schemeClr w14:val="tx1"/>
            </w14:solidFill>
          </w14:textFill>
        </w:rPr>
        <w:t>：</w:t>
      </w:r>
      <w:r>
        <w:rPr>
          <w:rFonts w:hint="eastAsia"/>
          <w:color w:val="000000" w:themeColor="text1"/>
          <w:sz w:val="24"/>
          <w:szCs w:val="28"/>
          <w14:textFill>
            <w14:solidFill>
              <w14:schemeClr w14:val="tx1"/>
            </w14:solidFill>
          </w14:textFill>
        </w:rPr>
        <w:t>组织成立内控建设小组，对我司各业务部门相关人员进行访谈，对历史期间发生的业务资料进行穿行测试，根据现场访谈及穿行测试了解的情况，出具IPO内控诊断报告，并与我司沟通后明确整改方向，并形成内控手册，具体内控涉及的一级流程应当满足IPO对内控制度的要求。</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color w:val="000000" w:themeColor="text1"/>
          <w:sz w:val="24"/>
          <w:szCs w:val="28"/>
          <w14:textFill>
            <w14:solidFill>
              <w14:schemeClr w14:val="tx1"/>
            </w14:solidFill>
          </w14:textFill>
        </w:rPr>
        <w:t>涉及的二级流程及三级流程，需在初步调研及诊断报告出具之后进行拟定，并与我司确认后，编制相关文档。</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 xml:space="preserve">   </w:t>
      </w:r>
      <w:r>
        <w:rPr>
          <w:rFonts w:hint="eastAsia"/>
          <w:color w:val="000000" w:themeColor="text1"/>
          <w:sz w:val="24"/>
          <w:szCs w:val="28"/>
          <w:lang w:eastAsia="zh-CN"/>
          <w14:textFill>
            <w14:solidFill>
              <w14:schemeClr w14:val="tx1"/>
            </w14:solidFill>
          </w14:textFill>
        </w:rPr>
        <w:t>（</w:t>
      </w:r>
      <w:r>
        <w:rPr>
          <w:rFonts w:hint="eastAsia"/>
          <w:color w:val="000000" w:themeColor="text1"/>
          <w:sz w:val="24"/>
          <w:szCs w:val="28"/>
          <w:lang w:val="en-US" w:eastAsia="zh-CN"/>
          <w14:textFill>
            <w14:solidFill>
              <w14:schemeClr w14:val="tx1"/>
            </w14:solidFill>
          </w14:textFill>
        </w:rPr>
        <w:t>2）内控手册宣贯（培训）：由我司组织各部门人员及安排场地，投标人进行内控手册新业务流程培训，培训课时不低于3课时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color w:val="000000" w:themeColor="text1"/>
          <w:sz w:val="24"/>
          <w:szCs w:val="28"/>
          <w:lang w:val="en-US" w:eastAsia="zh-CN"/>
          <w14:textFill>
            <w14:solidFill>
              <w14:schemeClr w14:val="tx1"/>
            </w14:solidFill>
          </w14:textFill>
        </w:rPr>
        <w:t xml:space="preserve">   （3）内控实施评价：内控手册定稿并开始实施后，预计购买3次评价服务，每次服务需对内控手册的执行情况进行重点评价，评价的程序包括但不限于访谈、穿行测试、控制测试等。</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2.2服务地点：</w:t>
      </w:r>
      <w:r>
        <w:rPr>
          <w:rFonts w:hint="eastAsia"/>
          <w:color w:val="000000" w:themeColor="text1"/>
          <w:sz w:val="24"/>
          <w:szCs w:val="28"/>
          <w:lang w:val="en-US" w:eastAsia="zh-CN"/>
          <w14:textFill>
            <w14:solidFill>
              <w14:schemeClr w14:val="tx1"/>
            </w14:solidFill>
          </w14:textFill>
        </w:rPr>
        <w:t>重庆首讯科技股份有限公司</w:t>
      </w:r>
      <w:r>
        <w:rPr>
          <w:rFonts w:hint="eastAsia"/>
          <w:color w:val="000000" w:themeColor="text1"/>
          <w:sz w:val="24"/>
          <w:szCs w:val="28"/>
          <w14:textFill>
            <w14:solidFill>
              <w14:schemeClr w14:val="tx1"/>
            </w14:solidFill>
          </w14:textFill>
        </w:rPr>
        <w:t>。</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2.3服务期：2021年12月31日</w:t>
      </w:r>
      <w:r>
        <w:rPr>
          <w:rFonts w:hint="eastAsia"/>
          <w:color w:val="000000" w:themeColor="text1"/>
          <w:sz w:val="24"/>
          <w:szCs w:val="28"/>
          <w:lang w:val="en-US" w:eastAsia="zh-CN"/>
          <w14:textFill>
            <w14:solidFill>
              <w14:schemeClr w14:val="tx1"/>
            </w14:solidFill>
          </w14:textFill>
        </w:rPr>
        <w:t>前完成制度建设相关工作</w:t>
      </w:r>
      <w:r>
        <w:rPr>
          <w:rFonts w:hint="eastAsia"/>
          <w:color w:val="000000" w:themeColor="text1"/>
          <w:sz w:val="24"/>
          <w:szCs w:val="28"/>
          <w14:textFill>
            <w14:solidFill>
              <w14:schemeClr w14:val="tx1"/>
            </w14:solidFill>
          </w14:textFill>
        </w:rPr>
        <w:t>。</w:t>
      </w:r>
    </w:p>
    <w:p>
      <w:pPr>
        <w:pStyle w:val="4"/>
        <w:spacing w:before="0" w:after="0" w:line="360" w:lineRule="auto"/>
        <w:rPr>
          <w:rFonts w:ascii="宋体" w:hAnsi="宋体" w:cs="宋体"/>
        </w:rPr>
      </w:pPr>
      <w:r>
        <w:rPr>
          <w:rFonts w:hint="eastAsia" w:ascii="宋体" w:hAnsi="宋体" w:cs="宋体"/>
        </w:rPr>
        <w:t>3.报价人资格要求</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3.1资质要求：</w:t>
      </w:r>
    </w:p>
    <w:p>
      <w:pPr>
        <w:numPr>
          <w:ilvl w:val="0"/>
          <w:numId w:val="1"/>
        </w:num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具有独立法人资格，具有有效的营业执照；</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2</w:t>
      </w:r>
      <w:r>
        <w:rPr>
          <w:rFonts w:hint="eastAsia"/>
          <w:color w:val="000000" w:themeColor="text1"/>
          <w:sz w:val="24"/>
          <w:szCs w:val="28"/>
          <w14:textFill>
            <w14:solidFill>
              <w14:schemeClr w14:val="tx1"/>
            </w14:solidFill>
          </w14:textFill>
        </w:rPr>
        <w:t>．信誉良好：在国家企业信用信息公示系统（http://www.gsxt.gov.cn/）中未被列入严重违法失信企业名单（黑名单）信息；在“信用中国”网站（http://www.creditchina.gov.cn/）中未被列入失信惩戒执行人名单；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3.2 本次比选不接受联合体报价。</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14:textFill>
            <w14:solidFill>
              <w14:schemeClr w14:val="tx1"/>
            </w14:solidFill>
          </w14:textFill>
        </w:rPr>
        <w:t>3.3与采购人存在利害关系可能影响比选公正性的法人、其他组织或者个人，不得参加本项</w:t>
      </w:r>
      <w:r>
        <w:rPr>
          <w:rFonts w:hint="eastAsia"/>
          <w:color w:val="000000" w:themeColor="text1"/>
          <w:sz w:val="24"/>
          <w:szCs w:val="28"/>
          <w:highlight w:val="none"/>
          <w14:textFill>
            <w14:solidFill>
              <w14:schemeClr w14:val="tx1"/>
            </w14:solidFill>
          </w14:textFill>
        </w:rPr>
        <w:t>目报价；单位负责人为同一人或者存在控股、管理关系的不同单位，不得同时参加本项目报价，否则均按无效报价处理。</w:t>
      </w:r>
    </w:p>
    <w:p>
      <w:pPr>
        <w:pStyle w:val="4"/>
        <w:spacing w:before="120" w:after="0" w:line="400" w:lineRule="exact"/>
        <w:rPr>
          <w:rFonts w:ascii="宋体" w:hAnsi="宋体" w:cs="宋体"/>
          <w:highlight w:val="none"/>
        </w:rPr>
      </w:pPr>
      <w:bookmarkStart w:id="14" w:name="_Toc25619"/>
      <w:bookmarkStart w:id="15" w:name="_Toc14361"/>
      <w:bookmarkStart w:id="16" w:name="_Toc12460"/>
      <w:bookmarkStart w:id="17" w:name="_Toc17662"/>
      <w:bookmarkStart w:id="18" w:name="_Toc11329216"/>
      <w:bookmarkStart w:id="19" w:name="_Toc507319894"/>
      <w:r>
        <w:rPr>
          <w:rFonts w:hint="eastAsia" w:ascii="宋体" w:hAnsi="宋体" w:cs="宋体"/>
          <w:highlight w:val="none"/>
        </w:rPr>
        <w:t>4. 比选文件的获取</w:t>
      </w:r>
      <w:bookmarkEnd w:id="14"/>
      <w:bookmarkEnd w:id="15"/>
      <w:bookmarkEnd w:id="16"/>
      <w:bookmarkEnd w:id="17"/>
      <w:bookmarkEnd w:id="18"/>
      <w:bookmarkEnd w:id="19"/>
    </w:p>
    <w:p>
      <w:pPr>
        <w:spacing w:line="360" w:lineRule="auto"/>
        <w:ind w:firstLine="486" w:firstLineChars="200"/>
        <w:rPr>
          <w:rFonts w:ascii="宋体" w:hAnsi="宋体"/>
          <w:sz w:val="24"/>
          <w:highlight w:val="none"/>
        </w:rPr>
      </w:pPr>
      <w:bookmarkStart w:id="20" w:name="_Toc152042292"/>
      <w:bookmarkStart w:id="21" w:name="_Toc247085676"/>
      <w:bookmarkStart w:id="22" w:name="_Toc152045516"/>
      <w:bookmarkStart w:id="23" w:name="_Toc246996162"/>
      <w:bookmarkStart w:id="24" w:name="_Toc144974484"/>
      <w:bookmarkStart w:id="25" w:name="_Toc11329217"/>
      <w:bookmarkStart w:id="26" w:name="_Toc179632532"/>
      <w:bookmarkStart w:id="27" w:name="_Toc507319895"/>
      <w:bookmarkStart w:id="28" w:name="_Toc246996905"/>
      <w:r>
        <w:rPr>
          <w:rFonts w:ascii="宋体" w:hAnsi="宋体"/>
          <w:sz w:val="24"/>
          <w:highlight w:val="none"/>
        </w:rPr>
        <w:t>凡愿意参加的潜在</w:t>
      </w:r>
      <w:r>
        <w:rPr>
          <w:rFonts w:hint="eastAsia" w:ascii="宋体" w:hAnsi="宋体"/>
          <w:sz w:val="24"/>
          <w:highlight w:val="none"/>
        </w:rPr>
        <w:t>报价</w:t>
      </w:r>
      <w:r>
        <w:rPr>
          <w:rFonts w:ascii="宋体" w:hAnsi="宋体"/>
          <w:sz w:val="24"/>
          <w:highlight w:val="none"/>
        </w:rPr>
        <w:t>人，</w:t>
      </w:r>
      <w:r>
        <w:rPr>
          <w:rFonts w:hint="eastAsia" w:ascii="宋体" w:hAnsi="宋体"/>
          <w:sz w:val="24"/>
          <w:highlight w:val="none"/>
        </w:rPr>
        <w:t>在2021年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4</w:t>
      </w:r>
      <w:r>
        <w:rPr>
          <w:rFonts w:hint="eastAsia" w:ascii="宋体" w:hAnsi="宋体"/>
          <w:sz w:val="24"/>
          <w:highlight w:val="none"/>
        </w:rPr>
        <w:t>日上午11:00前在重庆高速集团官网上获取比选文件，各报价人应随时关注网上发布的竞争性比选文件答疑、补遗、澄清等文件内容，不管报价人是否下载，均视为已知晓竞争性比选文件的全部内容和有关事宜。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cs="宋体"/>
          <w:highlight w:val="none"/>
        </w:rPr>
      </w:pPr>
      <w:bookmarkStart w:id="29" w:name="_Toc6426"/>
      <w:bookmarkStart w:id="30" w:name="_Toc16686"/>
      <w:bookmarkStart w:id="31" w:name="_Toc31493"/>
      <w:bookmarkStart w:id="32" w:name="_Toc9131"/>
      <w:r>
        <w:rPr>
          <w:rFonts w:hint="eastAsia" w:ascii="宋体" w:hAnsi="宋体" w:cs="宋体"/>
          <w:highlight w:val="none"/>
        </w:rPr>
        <w:t>5. 竞争性比选响应文件的递交</w:t>
      </w:r>
      <w:bookmarkEnd w:id="20"/>
      <w:bookmarkEnd w:id="21"/>
      <w:bookmarkEnd w:id="22"/>
      <w:bookmarkEnd w:id="23"/>
      <w:bookmarkEnd w:id="24"/>
      <w:bookmarkEnd w:id="25"/>
      <w:bookmarkEnd w:id="26"/>
      <w:bookmarkEnd w:id="27"/>
      <w:bookmarkEnd w:id="28"/>
      <w:r>
        <w:rPr>
          <w:rFonts w:hint="eastAsia" w:ascii="宋体" w:hAnsi="宋体" w:cs="宋体"/>
          <w:highlight w:val="none"/>
        </w:rPr>
        <w:t>及相关事宜</w:t>
      </w:r>
      <w:bookmarkEnd w:id="29"/>
      <w:bookmarkEnd w:id="30"/>
      <w:bookmarkEnd w:id="31"/>
      <w:bookmarkEnd w:id="32"/>
    </w:p>
    <w:p>
      <w:pPr>
        <w:spacing w:line="360" w:lineRule="auto"/>
        <w:ind w:firstLine="486" w:firstLineChars="200"/>
        <w:rPr>
          <w:rFonts w:ascii="宋体" w:hAnsi="宋体"/>
          <w:sz w:val="24"/>
          <w:highlight w:val="none"/>
        </w:rPr>
      </w:pPr>
      <w:r>
        <w:rPr>
          <w:rFonts w:hint="eastAsia" w:ascii="宋体" w:hAnsi="宋体"/>
          <w:sz w:val="24"/>
          <w:highlight w:val="none"/>
        </w:rPr>
        <w:t>5.1报价截止时间和开标时间：2021年</w:t>
      </w:r>
      <w:r>
        <w:rPr>
          <w:rFonts w:hint="eastAsia" w:ascii="宋体" w:hAnsi="宋体"/>
          <w:sz w:val="24"/>
          <w:highlight w:val="none"/>
          <w:lang w:val="en-US" w:eastAsia="zh-CN"/>
        </w:rPr>
        <w:t>11</w:t>
      </w:r>
      <w:r>
        <w:rPr>
          <w:rFonts w:hint="eastAsia" w:ascii="宋体" w:hAnsi="宋体"/>
          <w:sz w:val="24"/>
          <w:highlight w:val="none"/>
        </w:rPr>
        <w:t xml:space="preserve">月 </w:t>
      </w:r>
      <w:r>
        <w:rPr>
          <w:rFonts w:hint="eastAsia" w:ascii="宋体" w:hAnsi="宋体"/>
          <w:sz w:val="24"/>
          <w:highlight w:val="none"/>
          <w:lang w:val="en-US" w:eastAsia="zh-CN"/>
        </w:rPr>
        <w:t>4</w:t>
      </w:r>
      <w:r>
        <w:rPr>
          <w:rFonts w:hint="eastAsia" w:ascii="宋体" w:hAnsi="宋体"/>
          <w:sz w:val="24"/>
          <w:highlight w:val="none"/>
        </w:rPr>
        <w:t>日上午 11 时 00 分（北京时间）。</w:t>
      </w:r>
    </w:p>
    <w:p>
      <w:pPr>
        <w:spacing w:line="360" w:lineRule="auto"/>
        <w:ind w:firstLine="486" w:firstLineChars="200"/>
        <w:rPr>
          <w:rFonts w:ascii="宋体" w:hAnsi="宋体"/>
          <w:sz w:val="24"/>
        </w:rPr>
      </w:pPr>
      <w:r>
        <w:rPr>
          <w:rFonts w:hint="eastAsia" w:ascii="宋体" w:hAnsi="宋体"/>
          <w:sz w:val="24"/>
        </w:rPr>
        <w:t>5.2报价的递交：重庆市南岸区四公里内环入口200米处重庆首讯科技大楼</w:t>
      </w:r>
    </w:p>
    <w:p>
      <w:pPr>
        <w:tabs>
          <w:tab w:val="left" w:pos="360"/>
        </w:tabs>
        <w:spacing w:line="400" w:lineRule="exact"/>
        <w:ind w:firstLine="486" w:firstLineChars="200"/>
        <w:rPr>
          <w:rFonts w:ascii="宋体" w:hAnsi="宋体" w:cs="宋体"/>
          <w:sz w:val="24"/>
        </w:rPr>
      </w:pPr>
      <w:r>
        <w:rPr>
          <w:rFonts w:hint="eastAsia" w:ascii="宋体" w:hAnsi="宋体" w:cs="宋体"/>
          <w:sz w:val="24"/>
        </w:rPr>
        <w:t>5.3</w:t>
      </w:r>
      <w:r>
        <w:rPr>
          <w:rFonts w:ascii="宋体" w:hAnsi="宋体" w:cs="宋体"/>
          <w:sz w:val="24"/>
        </w:rPr>
        <w:t>采购人不组织工程现场踏勘，不召开报价预备会。</w:t>
      </w:r>
    </w:p>
    <w:p>
      <w:pPr>
        <w:pStyle w:val="4"/>
        <w:spacing w:before="120" w:after="0" w:line="400" w:lineRule="exact"/>
        <w:rPr>
          <w:rFonts w:ascii="宋体" w:hAnsi="宋体" w:cs="宋体"/>
        </w:rPr>
      </w:pPr>
      <w:bookmarkStart w:id="33" w:name="_Toc246996907"/>
      <w:bookmarkStart w:id="34" w:name="_Toc152045517"/>
      <w:bookmarkStart w:id="35" w:name="_Toc21615"/>
      <w:bookmarkStart w:id="36" w:name="_Toc11329219"/>
      <w:bookmarkStart w:id="37" w:name="_Toc152042293"/>
      <w:bookmarkStart w:id="38" w:name="_Toc507319897"/>
      <w:bookmarkStart w:id="39" w:name="_Toc393"/>
      <w:bookmarkStart w:id="40" w:name="_Toc3341"/>
      <w:bookmarkStart w:id="41" w:name="_Toc144974485"/>
      <w:bookmarkStart w:id="42" w:name="_Toc246996164"/>
      <w:bookmarkStart w:id="43" w:name="_Toc247085678"/>
      <w:bookmarkStart w:id="44" w:name="_Toc18402"/>
      <w:bookmarkStart w:id="45" w:name="_Toc179632534"/>
      <w:r>
        <w:rPr>
          <w:rFonts w:hint="eastAsia" w:ascii="宋体" w:hAnsi="宋体" w:cs="宋体"/>
        </w:rPr>
        <w:t>6. 联系方式</w:t>
      </w:r>
      <w:bookmarkEnd w:id="33"/>
      <w:bookmarkEnd w:id="34"/>
      <w:bookmarkEnd w:id="35"/>
      <w:bookmarkEnd w:id="36"/>
      <w:bookmarkEnd w:id="37"/>
      <w:bookmarkEnd w:id="38"/>
      <w:bookmarkEnd w:id="39"/>
      <w:bookmarkEnd w:id="40"/>
      <w:bookmarkEnd w:id="41"/>
      <w:bookmarkEnd w:id="42"/>
      <w:bookmarkEnd w:id="43"/>
      <w:bookmarkEnd w:id="44"/>
      <w:bookmarkEnd w:id="45"/>
    </w:p>
    <w:tbl>
      <w:tblPr>
        <w:tblStyle w:val="19"/>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29"/>
              <w:spacing w:before="0" w:beforeAutospacing="0" w:after="0" w:afterAutospacing="0" w:line="400" w:lineRule="exact"/>
              <w:ind w:firstLine="486" w:firstLineChars="200"/>
              <w:jc w:val="both"/>
              <w:rPr>
                <w:rFonts w:ascii="宋体" w:hAnsi="宋体" w:cs="宋体"/>
                <w:kern w:val="2"/>
                <w:sz w:val="24"/>
                <w:szCs w:val="24"/>
              </w:rPr>
            </w:pPr>
            <w:r>
              <w:rPr>
                <w:rFonts w:hint="eastAsia" w:ascii="宋体" w:hAnsi="宋体" w:cs="宋体"/>
                <w:kern w:val="2"/>
                <w:sz w:val="24"/>
                <w:szCs w:val="24"/>
              </w:rPr>
              <w:t>采购人：重庆首讯科技股份有限公司</w:t>
            </w:r>
          </w:p>
        </w:tc>
        <w:tc>
          <w:tcPr>
            <w:tcW w:w="1415" w:type="dxa"/>
            <w:vAlign w:val="center"/>
          </w:tcPr>
          <w:p>
            <w:pPr>
              <w:pStyle w:val="29"/>
              <w:spacing w:before="0" w:beforeAutospacing="0" w:after="0" w:afterAutospacing="0" w:line="400" w:lineRule="exact"/>
              <w:ind w:firstLine="486" w:firstLineChars="200"/>
              <w:jc w:val="both"/>
              <w:rPr>
                <w:rFonts w:ascii="宋体" w:hAnsi="宋体" w:cs="宋体"/>
                <w:kern w:val="2"/>
                <w:sz w:val="24"/>
                <w:szCs w:val="24"/>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155" w:leftChars="200" w:hanging="729" w:hangingChars="3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地址：重庆市南岸区四公里内环入口高速集团首讯科技大楼</w:t>
            </w:r>
          </w:p>
        </w:tc>
        <w:tc>
          <w:tcPr>
            <w:tcW w:w="1415" w:type="dxa"/>
            <w:vAlign w:val="center"/>
          </w:tcPr>
          <w:p>
            <w:pPr>
              <w:spacing w:line="400" w:lineRule="exact"/>
              <w:ind w:firstLine="486" w:firstLineChars="200"/>
              <w:rPr>
                <w:rFonts w:ascii="宋体" w:hAnsi="宋体" w:cs="宋体"/>
                <w:sz w:val="24"/>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86" w:firstLineChars="200"/>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赵</w:t>
            </w:r>
            <w:r>
              <w:rPr>
                <w:rFonts w:hint="eastAsia" w:ascii="宋体" w:hAnsi="宋体" w:cs="宋体"/>
                <w:sz w:val="24"/>
              </w:rPr>
              <w:t>老师/蒋老师</w:t>
            </w:r>
          </w:p>
        </w:tc>
        <w:tc>
          <w:tcPr>
            <w:tcW w:w="1415" w:type="dxa"/>
            <w:vAlign w:val="center"/>
          </w:tcPr>
          <w:p>
            <w:pPr>
              <w:spacing w:line="400" w:lineRule="exact"/>
              <w:ind w:firstLine="486" w:firstLineChars="200"/>
              <w:rPr>
                <w:rFonts w:ascii="宋体" w:hAnsi="宋体" w:cs="宋体"/>
                <w:sz w:val="24"/>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86" w:firstLineChars="200"/>
              <w:rPr>
                <w:sz w:val="24"/>
              </w:rPr>
            </w:pPr>
            <w:r>
              <w:rPr>
                <w:rFonts w:hint="eastAsia" w:ascii="宋体" w:hAnsi="宋体" w:cs="宋体"/>
                <w:sz w:val="24"/>
              </w:rPr>
              <w:t>电 话：</w:t>
            </w:r>
            <w:r>
              <w:rPr>
                <w:rFonts w:hint="eastAsia" w:ascii="宋体" w:hAnsi="宋体"/>
                <w:color w:val="000000" w:themeColor="text1"/>
                <w:sz w:val="24"/>
                <w:lang w:val="en-US" w:eastAsia="zh-CN"/>
                <w14:textFill>
                  <w14:solidFill>
                    <w14:schemeClr w14:val="tx1"/>
                  </w14:solidFill>
                </w14:textFill>
              </w:rPr>
              <w:t>13896136157</w:t>
            </w:r>
            <w:r>
              <w:rPr>
                <w:rFonts w:hint="eastAsia" w:ascii="宋体" w:hAnsi="宋体"/>
                <w:color w:val="000000" w:themeColor="text1"/>
                <w:sz w:val="24"/>
                <w14:textFill>
                  <w14:solidFill>
                    <w14:schemeClr w14:val="tx1"/>
                  </w14:solidFill>
                </w14:textFill>
              </w:rPr>
              <w:t xml:space="preserve">/17783017837   </w:t>
            </w:r>
          </w:p>
        </w:tc>
        <w:tc>
          <w:tcPr>
            <w:tcW w:w="1415" w:type="dxa"/>
            <w:vAlign w:val="center"/>
          </w:tcPr>
          <w:p>
            <w:pPr>
              <w:spacing w:line="400" w:lineRule="exact"/>
              <w:ind w:firstLine="486" w:firstLineChars="200"/>
              <w:rPr>
                <w:rFonts w:ascii="宋体" w:hAnsi="宋体" w:cs="宋体"/>
                <w:sz w:val="24"/>
              </w:rPr>
            </w:pPr>
          </w:p>
        </w:tc>
      </w:tr>
    </w:tbl>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Pr>
        <w:widowControl/>
        <w:jc w:val="left"/>
      </w:pPr>
      <w:r>
        <w:br w:type="page"/>
      </w:r>
    </w:p>
    <w:p/>
    <w:p>
      <w:pPr>
        <w:pStyle w:val="3"/>
        <w:spacing w:before="0" w:after="0" w:line="360" w:lineRule="auto"/>
        <w:rPr>
          <w:color w:val="000000" w:themeColor="text1"/>
          <w:spacing w:val="10"/>
          <w:sz w:val="48"/>
          <w:szCs w:val="48"/>
          <w14:textFill>
            <w14:solidFill>
              <w14:schemeClr w14:val="tx1"/>
            </w14:solidFill>
          </w14:textFill>
        </w:rPr>
      </w:pPr>
      <w:r>
        <w:rPr>
          <w:rFonts w:hint="eastAsia"/>
          <w:color w:val="000000" w:themeColor="text1"/>
          <w:spacing w:val="10"/>
          <w:sz w:val="48"/>
          <w:szCs w:val="48"/>
          <w14:textFill>
            <w14:solidFill>
              <w14:schemeClr w14:val="tx1"/>
            </w14:solidFill>
          </w14:textFill>
        </w:rPr>
        <w:t>第二章 报价人须知</w:t>
      </w:r>
    </w:p>
    <w:p>
      <w:pPr>
        <w:pStyle w:val="4"/>
        <w:spacing w:before="120" w:after="0" w:line="400" w:lineRule="exact"/>
        <w:rPr>
          <w:rFonts w:hint="eastAsia" w:ascii="宋体" w:hAnsi="宋体" w:cs="宋体"/>
          <w:sz w:val="24"/>
          <w:szCs w:val="24"/>
        </w:rPr>
      </w:pPr>
      <w:r>
        <w:rPr>
          <w:rFonts w:hint="eastAsia" w:ascii="宋体" w:hAnsi="宋体" w:cs="宋体"/>
          <w:sz w:val="24"/>
          <w:szCs w:val="24"/>
        </w:rPr>
        <w:t>1.服务内容</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sz w:val="24"/>
          <w:szCs w:val="28"/>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 xml:space="preserve">   </w:t>
      </w:r>
      <w:r>
        <w:rPr>
          <w:rFonts w:hint="eastAsia"/>
          <w:color w:val="000000" w:themeColor="text1"/>
          <w:sz w:val="24"/>
          <w:szCs w:val="28"/>
          <w:lang w:eastAsia="zh-CN"/>
          <w14:textFill>
            <w14:solidFill>
              <w14:schemeClr w14:val="tx1"/>
            </w14:solidFill>
          </w14:textFill>
        </w:rPr>
        <w:t>（</w:t>
      </w:r>
      <w:r>
        <w:rPr>
          <w:rFonts w:hint="eastAsia"/>
          <w:color w:val="000000" w:themeColor="text1"/>
          <w:sz w:val="24"/>
          <w:szCs w:val="28"/>
          <w14:textFill>
            <w14:solidFill>
              <w14:schemeClr w14:val="tx1"/>
            </w14:solidFill>
          </w14:textFill>
        </w:rPr>
        <w:t>1）内控诊断与设计</w:t>
      </w:r>
      <w:r>
        <w:rPr>
          <w:rFonts w:hint="eastAsia"/>
          <w:color w:val="000000" w:themeColor="text1"/>
          <w:sz w:val="24"/>
          <w:szCs w:val="28"/>
          <w:lang w:eastAsia="zh-CN"/>
          <w14:textFill>
            <w14:solidFill>
              <w14:schemeClr w14:val="tx1"/>
            </w14:solidFill>
          </w14:textFill>
        </w:rPr>
        <w:t>：</w:t>
      </w:r>
      <w:r>
        <w:rPr>
          <w:rFonts w:hint="eastAsia"/>
          <w:color w:val="000000" w:themeColor="text1"/>
          <w:sz w:val="24"/>
          <w:szCs w:val="28"/>
          <w14:textFill>
            <w14:solidFill>
              <w14:schemeClr w14:val="tx1"/>
            </w14:solidFill>
          </w14:textFill>
        </w:rPr>
        <w:t>组织成立内控建设小组，对我司各业务部门相关人员进行访谈，对历史期间发生的业务资料进行穿行测试，根据现场访谈及穿行测试了解的情况，出具IPO内控诊断报告，并与我司沟通后明确整改方向，并形成内控手册，具体内控涉及的一级流程应当满足IPO对内控制度的要求。</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color w:val="000000" w:themeColor="text1"/>
          <w:sz w:val="24"/>
          <w:szCs w:val="28"/>
          <w14:textFill>
            <w14:solidFill>
              <w14:schemeClr w14:val="tx1"/>
            </w14:solidFill>
          </w14:textFill>
        </w:rPr>
        <w:t>涉及的二级流程及三级流程，需在初步调研及诊断报告出具之后进行拟定，并与我司确认后，编制相关文档。</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 xml:space="preserve">   </w:t>
      </w:r>
      <w:r>
        <w:rPr>
          <w:rFonts w:hint="eastAsia"/>
          <w:color w:val="000000" w:themeColor="text1"/>
          <w:sz w:val="24"/>
          <w:szCs w:val="28"/>
          <w:lang w:eastAsia="zh-CN"/>
          <w14:textFill>
            <w14:solidFill>
              <w14:schemeClr w14:val="tx1"/>
            </w14:solidFill>
          </w14:textFill>
        </w:rPr>
        <w:t>（</w:t>
      </w:r>
      <w:r>
        <w:rPr>
          <w:rFonts w:hint="eastAsia"/>
          <w:color w:val="000000" w:themeColor="text1"/>
          <w:sz w:val="24"/>
          <w:szCs w:val="28"/>
          <w:lang w:val="en-US" w:eastAsia="zh-CN"/>
          <w14:textFill>
            <w14:solidFill>
              <w14:schemeClr w14:val="tx1"/>
            </w14:solidFill>
          </w14:textFill>
        </w:rPr>
        <w:t>2）内控手册宣贯（培训）：由我司组织各部门人员及安排场地，投标人进行内控手册新业务流程培训，培训课时不低于3课时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color w:val="000000" w:themeColor="text1"/>
          <w:sz w:val="24"/>
          <w:szCs w:val="28"/>
          <w:lang w:val="en-US" w:eastAsia="zh-CN"/>
          <w14:textFill>
            <w14:solidFill>
              <w14:schemeClr w14:val="tx1"/>
            </w14:solidFill>
          </w14:textFill>
        </w:rPr>
        <w:t xml:space="preserve">   （3）内控实施评价：内控手册定稿并开始实施后，预计购买3次评价服务，每次服务需对内控手册的执行情况进行重点评价，评价的程序包括但不限于访谈、穿行测试、控制测试等。</w:t>
      </w:r>
    </w:p>
    <w:p>
      <w:pPr>
        <w:pStyle w:val="2"/>
        <w:numPr>
          <w:ilvl w:val="0"/>
          <w:numId w:val="2"/>
        </w:numPr>
        <w:rPr>
          <w:rFonts w:hint="eastAsia"/>
          <w:color w:val="000000" w:themeColor="text1"/>
          <w:sz w:val="24"/>
          <w:szCs w:val="28"/>
          <w:lang w:val="en-US" w:eastAsia="zh-CN"/>
          <w14:textFill>
            <w14:solidFill>
              <w14:schemeClr w14:val="tx1"/>
            </w14:solidFill>
          </w14:textFill>
        </w:rPr>
      </w:pPr>
      <w:r>
        <w:rPr>
          <w:rFonts w:hint="eastAsia" w:ascii="宋体" w:hAnsi="宋体" w:eastAsia="宋体" w:cs="宋体"/>
          <w:b/>
          <w:bCs/>
          <w:kern w:val="0"/>
          <w:sz w:val="24"/>
          <w:szCs w:val="24"/>
          <w:lang w:val="en-US" w:eastAsia="zh-CN" w:bidi="ar-SA"/>
        </w:rPr>
        <w:t xml:space="preserve">成果提交  </w:t>
      </w:r>
      <w:r>
        <w:rPr>
          <w:rFonts w:hint="eastAsia"/>
          <w:color w:val="000000" w:themeColor="text1"/>
          <w:sz w:val="24"/>
          <w:szCs w:val="28"/>
          <w:lang w:val="en-US" w:eastAsia="zh-CN"/>
          <w14:textFill>
            <w14:solidFill>
              <w14:schemeClr w14:val="tx1"/>
            </w14:solidFill>
          </w14:textFill>
        </w:rPr>
        <w:t xml:space="preserve"> </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（1）包含当前内控现状问题及整改方向的内控现状诊断报告（PDF版）。</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（2）包含分权手册、流程图、控制矩阵、流程说明、表单模板的内控手册（PDF版）。</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（3）内控基础知识及方法论培训课件（PDF版）。</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r>
        <w:rPr>
          <w:rFonts w:hint="eastAsia"/>
          <w:color w:val="000000" w:themeColor="text1"/>
          <w:sz w:val="24"/>
          <w:szCs w:val="28"/>
          <w:lang w:val="en-US" w:eastAsia="zh-CN"/>
          <w14:textFill>
            <w14:solidFill>
              <w14:schemeClr w14:val="tx1"/>
            </w14:solidFill>
          </w14:textFill>
        </w:rPr>
        <w:t>（4）提交内控实施情况检查整改报告。</w:t>
      </w:r>
    </w:p>
    <w:p>
      <w:pPr>
        <w:pStyle w:val="16"/>
        <w:numPr>
          <w:ilvl w:val="0"/>
          <w:numId w:val="0"/>
        </w:numPr>
        <w:spacing w:before="0"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本项目支付方式</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（1）建设期：乙方单位进场当月支付建设期金额的30%，制度建设完成以及完成内控手册宣贯后支付到建设期金额的90%,制度运行后进行效果评价及调整完成后支付到建设期金额的100%；</w:t>
      </w:r>
    </w:p>
    <w:p>
      <w:pPr>
        <w:keepNext w:val="0"/>
        <w:keepLines w:val="0"/>
        <w:pageBreakBefore w:val="0"/>
        <w:widowControl w:val="0"/>
        <w:tabs>
          <w:tab w:val="left" w:pos="3621"/>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 xml:space="preserve"> （2）服务期：按次支付评价服务费，完成一次评价鉴证服务，提交内控实施情况检查整改报告的次月支付当次的评价服务费。</w:t>
      </w:r>
    </w:p>
    <w:p>
      <w:pPr>
        <w:numPr>
          <w:ilvl w:val="0"/>
          <w:numId w:val="0"/>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14:textFill>
            <w14:solidFill>
              <w14:schemeClr w14:val="tx1"/>
            </w14:solidFill>
          </w14:textFill>
        </w:rPr>
        <w:t>本项目最高限价9</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50</w:t>
      </w:r>
      <w:r>
        <w:rPr>
          <w:rFonts w:hint="eastAsia" w:asciiTheme="minorEastAsia" w:hAnsiTheme="minorEastAsia" w:eastAsiaTheme="minorEastAsia" w:cstheme="minorEastAsia"/>
          <w:b/>
          <w:bCs/>
          <w:color w:val="000000" w:themeColor="text1"/>
          <w:sz w:val="24"/>
          <w14:textFill>
            <w14:solidFill>
              <w14:schemeClr w14:val="tx1"/>
            </w14:solidFill>
          </w14:textFill>
        </w:rPr>
        <w:t>000元，</w:t>
      </w:r>
      <w:r>
        <w:rPr>
          <w:rFonts w:hint="eastAsia" w:asciiTheme="minorEastAsia" w:hAnsiTheme="minorEastAsia" w:eastAsiaTheme="minorEastAsia" w:cstheme="minorEastAsia"/>
          <w:color w:val="000000" w:themeColor="text1"/>
          <w:sz w:val="24"/>
          <w14:textFill>
            <w14:solidFill>
              <w14:schemeClr w14:val="tx1"/>
            </w14:solidFill>
          </w14:textFill>
        </w:rPr>
        <w:t>报</w:t>
      </w:r>
      <w:r>
        <w:rPr>
          <w:rFonts w:hint="eastAsia" w:asciiTheme="minorEastAsia" w:hAnsiTheme="minorEastAsia" w:eastAsiaTheme="minorEastAsia" w:cstheme="minorEastAsia"/>
          <w:sz w:val="24"/>
        </w:rPr>
        <w:t>价人总价及单项目报价均不得高于采购人发布的最高限价和单项目限价，否则其竞争性比选响应文件视为重大偏差，竞争性比选响应文件将按否决报价处理</w:t>
      </w:r>
      <w:r>
        <w:rPr>
          <w:rFonts w:hint="eastAsia" w:asciiTheme="minorEastAsia" w:hAnsiTheme="minorEastAsia" w:eastAsiaTheme="minorEastAsia" w:cstheme="minorEastAsia"/>
          <w:kern w:val="0"/>
          <w:sz w:val="24"/>
        </w:rPr>
        <w:t>。</w:t>
      </w:r>
    </w:p>
    <w:p>
      <w:pPr>
        <w:pStyle w:val="2"/>
        <w:numPr>
          <w:ilvl w:val="0"/>
          <w:numId w:val="0"/>
        </w:numPr>
        <w:spacing w:line="360" w:lineRule="auto"/>
        <w:rPr>
          <w:rFonts w:asciiTheme="minorEastAsia" w:hAnsiTheme="minorEastAsia" w:eastAsiaTheme="minorEastAsia" w:cstheme="minorEastAsia"/>
          <w:sz w:val="24"/>
        </w:rPr>
      </w:pPr>
      <w:r>
        <w:rPr>
          <w:rFonts w:hint="eastAsia" w:cs="Times New Roman"/>
          <w:color w:val="FF0000"/>
          <w:kern w:val="2"/>
          <w:sz w:val="24"/>
          <w:szCs w:val="28"/>
          <w:lang w:val="en-US" w:eastAsia="zh-CN" w:bidi="ar-SA"/>
        </w:rPr>
        <w:t>5.</w:t>
      </w:r>
      <w:r>
        <w:rPr>
          <w:rFonts w:hint="eastAsia" w:ascii="Times New Roman" w:hAnsi="Times New Roman" w:eastAsia="宋体" w:cs="Times New Roman"/>
          <w:color w:val="FF0000"/>
          <w:kern w:val="2"/>
          <w:sz w:val="24"/>
          <w:szCs w:val="28"/>
          <w:lang w:val="en-US" w:eastAsia="zh-CN" w:bidi="ar-SA"/>
        </w:rPr>
        <w:t>如果项目存在重大问题不符合监管要求，不满足采购人的实际需求，将视情况采取扣除部分费用、不予支付费用或追缴已支付的费用等处罚措施，并保留追究因工作失误而给采购人造成相应经济损失的权利</w:t>
      </w:r>
      <w:r>
        <w:rPr>
          <w:rFonts w:hint="eastAsia" w:asciiTheme="minorEastAsia" w:hAnsiTheme="minorEastAsia" w:eastAsiaTheme="minorEastAsia" w:cstheme="minorEastAsia"/>
          <w:sz w:val="24"/>
        </w:rPr>
        <w:t>。</w:t>
      </w:r>
    </w:p>
    <w:p>
      <w:pPr>
        <w:pStyle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 xml:space="preserve">    6.</w:t>
      </w:r>
      <w:r>
        <w:rPr>
          <w:rFonts w:hint="eastAsia" w:asciiTheme="minorEastAsia" w:hAnsiTheme="minorEastAsia" w:eastAsiaTheme="minorEastAsia" w:cstheme="minorEastAsia"/>
          <w:b/>
          <w:bCs/>
          <w:sz w:val="24"/>
        </w:rPr>
        <w:t>资格要求：详见附录</w:t>
      </w:r>
    </w:p>
    <w:p>
      <w:pPr>
        <w:pStyle w:val="4"/>
        <w:jc w:val="center"/>
        <w:rPr>
          <w:rFonts w:ascii="宋体" w:hAnsi="宋体" w:cs="宋体"/>
          <w:sz w:val="24"/>
          <w:szCs w:val="24"/>
        </w:rPr>
      </w:pPr>
      <w:bookmarkStart w:id="46" w:name="_Toc17532"/>
      <w:bookmarkStart w:id="47" w:name="_Toc11284"/>
      <w:bookmarkStart w:id="48" w:name="_Toc31095"/>
      <w:bookmarkStart w:id="49" w:name="_Toc11329222"/>
      <w:bookmarkStart w:id="50" w:name="_Toc30198"/>
      <w:r>
        <w:rPr>
          <w:rFonts w:hint="eastAsia" w:ascii="宋体" w:hAnsi="宋体" w:cs="宋体"/>
          <w:sz w:val="24"/>
          <w:szCs w:val="24"/>
        </w:rPr>
        <w:t>附录1  资格审查条件（资质最低要求）</w:t>
      </w:r>
      <w:bookmarkEnd w:id="46"/>
      <w:bookmarkEnd w:id="47"/>
      <w:bookmarkEnd w:id="48"/>
      <w:bookmarkEnd w:id="49"/>
      <w:bookmarkEnd w:id="50"/>
    </w:p>
    <w:tbl>
      <w:tblPr>
        <w:tblStyle w:val="19"/>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108" w:type="dxa"/>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rPr>
              <w:t>具有独立法人资格，具有有效的营业执照</w:t>
            </w:r>
            <w:r>
              <w:rPr>
                <w:rFonts w:hint="eastAsia" w:asciiTheme="minorEastAsia" w:hAnsiTheme="minorEastAsia" w:eastAsiaTheme="minorEastAsia" w:cstheme="minorEastAsia"/>
                <w:sz w:val="24"/>
                <w:szCs w:val="32"/>
                <w:lang w:eastAsia="zh-CN"/>
              </w:rPr>
              <w:t>。</w:t>
            </w:r>
          </w:p>
        </w:tc>
      </w:tr>
    </w:tbl>
    <w:p>
      <w:pPr>
        <w:spacing w:line="360" w:lineRule="auto"/>
        <w:rPr>
          <w:rFonts w:hint="eastAsia" w:asciiTheme="minorEastAsia" w:hAnsiTheme="minorEastAsia" w:eastAsiaTheme="minorEastAsia" w:cstheme="minorEastAsia"/>
          <w:b/>
          <w:bCs/>
          <w:caps/>
          <w:szCs w:val="21"/>
          <w:lang w:val="en-US" w:eastAsia="zh-CN"/>
        </w:rPr>
      </w:pPr>
      <w:bookmarkStart w:id="51" w:name="_Toc11329225"/>
      <w:bookmarkStart w:id="52" w:name="_Toc12296"/>
      <w:bookmarkStart w:id="53" w:name="_Toc10083"/>
      <w:bookmarkStart w:id="54" w:name="_Toc2766"/>
      <w:bookmarkStart w:id="55" w:name="_Toc26749"/>
      <w:r>
        <w:rPr>
          <w:rFonts w:hint="eastAsia"/>
          <w:lang w:val="en-US" w:eastAsia="zh-CN"/>
        </w:rPr>
        <w:t xml:space="preserve">   </w:t>
      </w:r>
      <w:r>
        <w:rPr>
          <w:rFonts w:hint="eastAsia" w:asciiTheme="minorEastAsia" w:hAnsiTheme="minorEastAsia" w:eastAsiaTheme="minorEastAsia" w:cstheme="minorEastAsia"/>
          <w:lang w:val="en-US" w:eastAsia="zh-CN"/>
        </w:rPr>
        <w:t xml:space="preserve"> 注：</w:t>
      </w:r>
      <w:r>
        <w:rPr>
          <w:rFonts w:hint="eastAsia" w:asciiTheme="minorEastAsia" w:hAnsiTheme="minorEastAsia" w:eastAsiaTheme="minorEastAsia" w:cstheme="minorEastAsia"/>
          <w:b/>
          <w:bCs/>
          <w:caps/>
          <w:szCs w:val="21"/>
          <w:lang w:val="en-US" w:eastAsia="zh-CN"/>
        </w:rPr>
        <w:t>1.提供营业执照复印件</w:t>
      </w:r>
    </w:p>
    <w:p>
      <w:pPr>
        <w:spacing w:line="360" w:lineRule="auto"/>
        <w:ind w:firstLine="428" w:firstLineChars="200"/>
        <w:rPr>
          <w:rFonts w:hint="eastAsia" w:asciiTheme="minorEastAsia" w:hAnsiTheme="minorEastAsia" w:eastAsiaTheme="minorEastAsia" w:cstheme="minorEastAsia"/>
          <w:b/>
          <w:bCs/>
          <w:caps/>
          <w:szCs w:val="21"/>
        </w:rPr>
      </w:pPr>
      <w:r>
        <w:rPr>
          <w:rFonts w:hint="eastAsia" w:asciiTheme="minorEastAsia" w:hAnsiTheme="minorEastAsia" w:eastAsiaTheme="minorEastAsia" w:cstheme="minorEastAsia"/>
          <w:b/>
          <w:bCs/>
          <w:caps/>
          <w:szCs w:val="21"/>
          <w:lang w:val="en-US" w:eastAsia="zh-CN"/>
        </w:rPr>
        <w:t xml:space="preserve">    </w:t>
      </w:r>
    </w:p>
    <w:p>
      <w:pPr>
        <w:pStyle w:val="4"/>
        <w:jc w:val="center"/>
        <w:rPr>
          <w:rFonts w:ascii="宋体" w:hAnsi="宋体" w:cs="宋体"/>
          <w:sz w:val="24"/>
          <w:szCs w:val="24"/>
        </w:rPr>
      </w:pPr>
      <w:r>
        <w:rPr>
          <w:rFonts w:hint="eastAsia" w:ascii="宋体" w:hAnsi="宋体" w:cs="宋体"/>
          <w:sz w:val="24"/>
          <w:szCs w:val="24"/>
        </w:rPr>
        <w:t>附录2资格审查条件（信誉最低要求）</w:t>
      </w:r>
      <w:bookmarkEnd w:id="51"/>
      <w:bookmarkEnd w:id="52"/>
      <w:bookmarkEnd w:id="53"/>
      <w:bookmarkEnd w:id="54"/>
      <w:bookmarkEnd w:id="55"/>
    </w:p>
    <w:tbl>
      <w:tblPr>
        <w:tblStyle w:val="19"/>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rPr>
            </w:pPr>
            <w:r>
              <w:rPr>
                <w:rFonts w:hint="eastAsia" w:ascii="宋体" w:hAnsi="宋体" w:cs="宋体"/>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213" w:type="dxa"/>
          </w:tcPr>
          <w:p>
            <w:pPr>
              <w:spacing w:line="360" w:lineRule="auto"/>
              <w:jc w:val="left"/>
              <w:rPr>
                <w:rFonts w:ascii="宋体" w:hAnsi="宋体" w:cs="宋体"/>
                <w:sz w:val="24"/>
                <w:szCs w:val="32"/>
              </w:rPr>
            </w:pPr>
            <w:r>
              <w:rPr>
                <w:rFonts w:hint="eastAsia" w:ascii="宋体" w:hAnsi="宋体" w:cs="宋体"/>
                <w:sz w:val="24"/>
                <w:szCs w:val="32"/>
              </w:rPr>
              <w:t>1、在国家企业信用信息公示系统（http://www.gsxt.gov.cn/）中未被列入严重违法失信企业名单（</w:t>
            </w:r>
            <w:r>
              <w:rPr>
                <w:rFonts w:ascii="宋体" w:hAnsi="宋体" w:cs="宋体"/>
                <w:sz w:val="24"/>
                <w:szCs w:val="32"/>
              </w:rPr>
              <w:t>黑名单）信息</w:t>
            </w:r>
            <w:r>
              <w:rPr>
                <w:rFonts w:hint="eastAsia" w:ascii="宋体" w:hAnsi="宋体" w:cs="宋体"/>
                <w:sz w:val="24"/>
                <w:szCs w:val="32"/>
              </w:rPr>
              <w:t>；</w:t>
            </w:r>
          </w:p>
          <w:p>
            <w:pPr>
              <w:spacing w:line="360" w:lineRule="auto"/>
              <w:rPr>
                <w:rFonts w:ascii="宋体" w:hAnsi="宋体" w:cs="宋体"/>
                <w:szCs w:val="21"/>
                <w:shd w:val="clear" w:color="auto" w:fill="FFFFFF"/>
              </w:rPr>
            </w:pPr>
            <w:r>
              <w:rPr>
                <w:rFonts w:hint="eastAsia" w:ascii="宋体" w:hAnsi="宋体" w:cs="宋体"/>
                <w:sz w:val="24"/>
                <w:szCs w:val="32"/>
              </w:rPr>
              <w:t>2、在“信用中国”网站（http://www.creditchina.gov.cn/）中未被列入失信惩戒执行人名单。</w:t>
            </w:r>
          </w:p>
        </w:tc>
      </w:tr>
    </w:tbl>
    <w:p>
      <w:pPr>
        <w:spacing w:line="360" w:lineRule="auto"/>
        <w:ind w:firstLine="428" w:firstLineChars="200"/>
        <w:rPr>
          <w:rFonts w:hint="eastAsia" w:ascii="宋体" w:hAnsi="宋体"/>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bCs/>
          <w:caps/>
          <w:szCs w:val="21"/>
        </w:rPr>
        <w:t>注：须提供以上材料的截图的扫描件或复印件，加盖单位公章，并加盖单位鲜公章。</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160" w:beforeLines="50" w:line="360" w:lineRule="auto"/>
        <w:ind w:left="0" w:leftChars="0" w:right="0" w:rightChars="0" w:firstLine="486" w:firstLineChars="200"/>
        <w:jc w:val="both"/>
        <w:textAlignment w:val="auto"/>
        <w:outlineLvl w:val="9"/>
        <w:rPr>
          <w:rFonts w:ascii="宋体" w:hAnsi="宋体"/>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7.</w:t>
      </w:r>
      <w:r>
        <w:rPr>
          <w:rFonts w:hint="eastAsia" w:ascii="宋体" w:hAnsi="宋体"/>
          <w:b/>
          <w:bCs/>
          <w:color w:val="000000" w:themeColor="text1"/>
          <w:sz w:val="24"/>
          <w14:textFill>
            <w14:solidFill>
              <w14:schemeClr w14:val="tx1"/>
            </w14:solidFill>
          </w14:textFill>
        </w:rPr>
        <w:t>竞争性比选文</w:t>
      </w:r>
      <w:r>
        <w:rPr>
          <w:rFonts w:hint="eastAsia" w:ascii="宋体" w:hAnsi="宋体"/>
          <w:b/>
          <w:bCs/>
          <w:color w:val="000000" w:themeColor="text1"/>
          <w:sz w:val="24"/>
          <w:lang w:val="en-US" w:eastAsia="zh-CN"/>
          <w14:textFill>
            <w14:solidFill>
              <w14:schemeClr w14:val="tx1"/>
            </w14:solidFill>
          </w14:textFill>
        </w:rPr>
        <w:t>件份数</w:t>
      </w:r>
    </w:p>
    <w:p>
      <w:pPr>
        <w:keepNext w:val="0"/>
        <w:keepLines w:val="0"/>
        <w:pageBreakBefore w:val="0"/>
        <w:widowControl w:val="0"/>
        <w:kinsoku/>
        <w:wordWrap/>
        <w:overflowPunct/>
        <w:topLinePunct w:val="0"/>
        <w:autoSpaceDE/>
        <w:autoSpaceDN/>
        <w:bidi w:val="0"/>
        <w:adjustRightInd/>
        <w:snapToGrid/>
        <w:spacing w:before="160" w:beforeLines="50" w:line="360" w:lineRule="auto"/>
        <w:ind w:left="0" w:leftChars="0" w:right="0" w:rightChars="0" w:firstLine="486" w:firstLineChars="200"/>
        <w:jc w:val="both"/>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争性比选响应文件提交正本1份，副本2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pStyle w:val="16"/>
        <w:spacing w:before="0" w:after="0" w:line="360" w:lineRule="auto"/>
        <w:ind w:firstLine="486" w:firstLineChars="200"/>
        <w:jc w:val="left"/>
        <w:rPr>
          <w:rFonts w:ascii="宋体" w:hAnsi="宋体"/>
          <w:color w:val="000000" w:themeColor="text1"/>
          <w:sz w:val="24"/>
          <w:szCs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b w:val="0"/>
          <w:bCs w:val="0"/>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本次竞争性比选响应文件的组成</w:t>
      </w:r>
    </w:p>
    <w:p>
      <w:pPr>
        <w:spacing w:line="360" w:lineRule="auto"/>
        <w:ind w:firstLine="486" w:firstLineChars="200"/>
      </w:pPr>
      <w:r>
        <w:rPr>
          <w:rFonts w:hint="eastAsia" w:ascii="宋体" w:hAnsi="宋体"/>
          <w:color w:val="000000" w:themeColor="text1"/>
          <w:sz w:val="24"/>
          <w14:textFill>
            <w14:solidFill>
              <w14:schemeClr w14:val="tx1"/>
            </w14:solidFill>
          </w14:textFill>
        </w:rPr>
        <w:t>竞争性比选响应声明书、法定代表人身份证明和法定代表人授权委托书、报价一览表、资格要求材料、承诺书、报价人认为需要提供的其他相关文件（注：以上所有文件均须加盖报价人的公章）。</w:t>
      </w:r>
    </w:p>
    <w:p>
      <w:pPr>
        <w:pStyle w:val="16"/>
        <w:spacing w:before="0" w:after="0" w:line="360" w:lineRule="auto"/>
        <w:ind w:firstLine="486" w:firstLineChars="200"/>
        <w:jc w:val="left"/>
        <w:rPr>
          <w:rFonts w:ascii="宋体" w:hAnsi="宋体"/>
          <w:color w:val="000000" w:themeColor="text1"/>
          <w:sz w:val="24"/>
          <w:szCs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9</w:t>
      </w:r>
      <w:r>
        <w:rPr>
          <w:rFonts w:hint="eastAsia" w:ascii="宋体" w:hAnsi="宋体"/>
          <w:b w:val="0"/>
          <w:bCs w:val="0"/>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密封要求</w:t>
      </w:r>
    </w:p>
    <w:p>
      <w:pPr>
        <w:spacing w:line="360" w:lineRule="auto"/>
        <w:ind w:firstLine="486"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竞争性比选响应文件密封到一个封袋中，在封套上写明：</w:t>
      </w:r>
    </w:p>
    <w:p>
      <w:pPr>
        <w:spacing w:line="360" w:lineRule="auto"/>
        <w:ind w:firstLine="486"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重庆首讯科技股份有限公司上市内控建设服务项目竞争性比选响应文件</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在202</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日11：00时前不得开启</w:t>
      </w:r>
    </w:p>
    <w:p>
      <w:pPr>
        <w:pStyle w:val="16"/>
        <w:spacing w:before="0" w:after="0" w:line="360" w:lineRule="auto"/>
        <w:ind w:firstLine="486"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10</w:t>
      </w:r>
      <w:r>
        <w:rPr>
          <w:rFonts w:hint="eastAsia" w:ascii="宋体" w:hAnsi="宋体"/>
          <w:b w:val="0"/>
          <w:bCs w:val="0"/>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竞争性</w:t>
      </w:r>
      <w:r>
        <w:rPr>
          <w:rFonts w:ascii="宋体" w:hAnsi="宋体"/>
          <w:color w:val="000000" w:themeColor="text1"/>
          <w:sz w:val="24"/>
          <w:szCs w:val="24"/>
          <w:highlight w:val="none"/>
          <w14:textFill>
            <w14:solidFill>
              <w14:schemeClr w14:val="tx1"/>
            </w14:solidFill>
          </w14:textFill>
        </w:rPr>
        <w:t>比选响应文件的递交</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报价截止时间和开标时间：2021年</w:t>
      </w:r>
      <w:r>
        <w:rPr>
          <w:rFonts w:hint="eastAsia" w:ascii="宋体" w:hAnsi="宋体"/>
          <w:color w:val="000000" w:themeColor="text1"/>
          <w:sz w:val="24"/>
          <w:highlight w:val="none"/>
          <w:u w:val="single"/>
          <w:lang w:val="en-US" w:eastAsia="zh-CN"/>
          <w14:textFill>
            <w14:solidFill>
              <w14:schemeClr w14:val="tx1"/>
            </w14:solidFill>
          </w14:textFill>
        </w:rPr>
        <w:t>11</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4</w:t>
      </w:r>
      <w:r>
        <w:rPr>
          <w:rFonts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14:textFill>
            <w14:solidFill>
              <w14:schemeClr w14:val="tx1"/>
            </w14:solidFill>
          </w14:textFill>
        </w:rPr>
        <w:t>1:00</w:t>
      </w:r>
      <w:r>
        <w:rPr>
          <w:rFonts w:ascii="宋体" w:hAnsi="宋体"/>
          <w:color w:val="000000" w:themeColor="text1"/>
          <w:sz w:val="24"/>
          <w:highlight w:val="none"/>
          <w14:textFill>
            <w14:solidFill>
              <w14:schemeClr w14:val="tx1"/>
            </w14:solidFill>
          </w14:textFill>
        </w:rPr>
        <w:t>分（北京时间）。</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报价地点和开标地点：</w:t>
      </w:r>
      <w:r>
        <w:rPr>
          <w:rFonts w:hint="eastAsia" w:ascii="宋体" w:hAnsi="宋体"/>
          <w:color w:val="000000" w:themeColor="text1"/>
          <w:sz w:val="24"/>
          <w:highlight w:val="none"/>
          <w14:textFill>
            <w14:solidFill>
              <w14:schemeClr w14:val="tx1"/>
            </w14:solidFill>
          </w14:textFill>
        </w:rPr>
        <w:t>重庆市南岸区四</w:t>
      </w:r>
      <w:bookmarkStart w:id="74" w:name="_GoBack"/>
      <w:bookmarkEnd w:id="74"/>
      <w:r>
        <w:rPr>
          <w:rFonts w:hint="eastAsia" w:ascii="宋体" w:hAnsi="宋体"/>
          <w:color w:val="000000" w:themeColor="text1"/>
          <w:sz w:val="24"/>
          <w:highlight w:val="none"/>
          <w14:textFill>
            <w14:solidFill>
              <w14:schemeClr w14:val="tx1"/>
            </w14:solidFill>
          </w14:textFill>
        </w:rPr>
        <w:t>公里内环入口200米处重庆首讯科技大楼</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楼</w:t>
      </w:r>
      <w:r>
        <w:rPr>
          <w:rFonts w:hint="eastAsia" w:ascii="宋体" w:hAnsi="宋体"/>
          <w:color w:val="000000" w:themeColor="text1"/>
          <w:sz w:val="24"/>
          <w:highlight w:val="none"/>
          <w:lang w:val="en-US" w:eastAsia="zh-CN"/>
          <w14:textFill>
            <w14:solidFill>
              <w14:schemeClr w14:val="tx1"/>
            </w14:solidFill>
          </w14:textFill>
        </w:rPr>
        <w:t>205</w:t>
      </w:r>
      <w:r>
        <w:rPr>
          <w:rFonts w:hint="eastAsia" w:ascii="宋体" w:hAnsi="宋体"/>
          <w:color w:val="000000" w:themeColor="text1"/>
          <w:sz w:val="24"/>
          <w:highlight w:val="none"/>
          <w14:textFill>
            <w14:solidFill>
              <w14:schemeClr w14:val="tx1"/>
            </w14:solidFill>
          </w14:textFill>
        </w:rPr>
        <w:t>会议室</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逾期送达，或未送达指定地点，或未密封的竞争性比选响应文件，采购</w:t>
      </w:r>
      <w:r>
        <w:rPr>
          <w:rFonts w:ascii="宋体" w:hAnsi="宋体"/>
          <w:color w:val="000000" w:themeColor="text1"/>
          <w:sz w:val="24"/>
          <w14:textFill>
            <w14:solidFill>
              <w14:schemeClr w14:val="tx1"/>
            </w14:solidFill>
          </w14:textFill>
        </w:rPr>
        <w:t>人不予受理。</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）递交报价文件时，报价文件递交人员须出示由采购人出具的盖有采购人公章及有邀请单位名称文件。</w:t>
      </w:r>
    </w:p>
    <w:p>
      <w:pPr>
        <w:pStyle w:val="16"/>
        <w:spacing w:before="0" w:after="0" w:line="360" w:lineRule="auto"/>
        <w:jc w:val="left"/>
        <w:rPr>
          <w:rFonts w:ascii="宋体" w:hAnsi="宋体" w:cs="宋体"/>
          <w:sz w:val="24"/>
          <w:szCs w:val="24"/>
        </w:rPr>
      </w:pPr>
      <w:r>
        <w:rPr>
          <w:rFonts w:hint="eastAsia" w:ascii="宋体" w:hAnsi="宋体"/>
          <w:b w:val="0"/>
          <w:bCs w:val="0"/>
          <w:color w:val="000000" w:themeColor="text1"/>
          <w:sz w:val="24"/>
          <w:szCs w:val="24"/>
          <w14:textFill>
            <w14:solidFill>
              <w14:schemeClr w14:val="tx1"/>
            </w14:solidFill>
          </w14:textFill>
        </w:rPr>
        <w:t xml:space="preserve">   10.</w:t>
      </w:r>
      <w:r>
        <w:rPr>
          <w:rFonts w:hint="eastAsia" w:ascii="宋体" w:hAnsi="宋体"/>
          <w:color w:val="000000" w:themeColor="text1"/>
          <w:sz w:val="24"/>
          <w:szCs w:val="24"/>
          <w14:textFill>
            <w14:solidFill>
              <w14:schemeClr w14:val="tx1"/>
            </w14:solidFill>
          </w14:textFill>
        </w:rPr>
        <w:t>联系方式</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赵</w:t>
      </w:r>
      <w:r>
        <w:rPr>
          <w:rFonts w:hint="eastAsia" w:ascii="宋体" w:hAnsi="宋体"/>
          <w:color w:val="000000" w:themeColor="text1"/>
          <w:sz w:val="24"/>
          <w14:textFill>
            <w14:solidFill>
              <w14:schemeClr w14:val="tx1"/>
            </w14:solidFill>
          </w14:textFill>
        </w:rPr>
        <w:t xml:space="preserve">老师/蒋老师       </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电话：13</w:t>
      </w:r>
      <w:r>
        <w:rPr>
          <w:rFonts w:hint="eastAsia" w:ascii="宋体" w:hAnsi="宋体"/>
          <w:color w:val="000000" w:themeColor="text1"/>
          <w:sz w:val="24"/>
          <w:lang w:val="en-US" w:eastAsia="zh-CN"/>
          <w14:textFill>
            <w14:solidFill>
              <w14:schemeClr w14:val="tx1"/>
            </w14:solidFill>
          </w14:textFill>
        </w:rPr>
        <w:t>896136157</w:t>
      </w:r>
      <w:r>
        <w:rPr>
          <w:rFonts w:hint="eastAsia" w:ascii="宋体" w:hAnsi="宋体"/>
          <w:color w:val="000000" w:themeColor="text1"/>
          <w:sz w:val="24"/>
          <w14:textFill>
            <w14:solidFill>
              <w14:schemeClr w14:val="tx1"/>
            </w14:solidFill>
          </w14:textFill>
        </w:rPr>
        <w:t xml:space="preserve">/17783017837   </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邮箱：</w:t>
      </w:r>
      <w:r>
        <w:rPr>
          <w:rFonts w:hint="eastAsia" w:ascii="宋体" w:hAnsi="宋体"/>
          <w:color w:val="000000" w:themeColor="text1"/>
          <w:sz w:val="24"/>
          <w:lang w:val="en-US" w:eastAsia="zh-CN"/>
          <w14:textFill>
            <w14:solidFill>
              <w14:schemeClr w14:val="tx1"/>
            </w14:solidFill>
          </w14:textFill>
        </w:rPr>
        <w:t>610831078@qq.com</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监督电话：023</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89021335  </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lang w:val="en-US" w:eastAsia="zh-CN"/>
          <w14:textFill>
            <w14:solidFill>
              <w14:schemeClr w14:val="tx1"/>
            </w14:solidFill>
          </w14:textFill>
        </w:rPr>
        <w:t>重</w:t>
      </w:r>
      <w:r>
        <w:rPr>
          <w:rFonts w:hint="eastAsia" w:ascii="宋体" w:hAnsi="宋体"/>
          <w:color w:val="000000" w:themeColor="text1"/>
          <w:sz w:val="24"/>
          <w14:textFill>
            <w14:solidFill>
              <w14:schemeClr w14:val="tx1"/>
            </w14:solidFill>
          </w14:textFill>
        </w:rPr>
        <w:t>庆市南岸区四公里内环入口200米处重庆首讯科技大楼</w:t>
      </w:r>
    </w:p>
    <w:p/>
    <w:p>
      <w:pPr>
        <w:jc w:val="center"/>
      </w:pPr>
    </w:p>
    <w:p/>
    <w:p>
      <w:pPr>
        <w:widowControl/>
        <w:jc w:val="left"/>
        <w:rPr>
          <w:rFonts w:ascii="宋体" w:hAnsi="宋体" w:cs="宋体"/>
          <w:smallCaps/>
          <w:sz w:val="48"/>
          <w:szCs w:val="48"/>
        </w:rPr>
      </w:pPr>
      <w:r>
        <w:br w:type="page"/>
      </w:r>
    </w:p>
    <w:p>
      <w:pPr>
        <w:pStyle w:val="3"/>
        <w:spacing w:before="0" w:after="0" w:line="360" w:lineRule="auto"/>
        <w:rPr>
          <w:color w:val="000000" w:themeColor="text1"/>
          <w:spacing w:val="10"/>
          <w:sz w:val="48"/>
          <w:szCs w:val="48"/>
          <w14:textFill>
            <w14:solidFill>
              <w14:schemeClr w14:val="tx1"/>
            </w14:solidFill>
          </w14:textFill>
        </w:rPr>
      </w:pPr>
      <w:r>
        <w:rPr>
          <w:rFonts w:hint="eastAsia"/>
          <w:color w:val="000000" w:themeColor="text1"/>
          <w:spacing w:val="10"/>
          <w:sz w:val="48"/>
          <w:szCs w:val="48"/>
          <w14:textFill>
            <w14:solidFill>
              <w14:schemeClr w14:val="tx1"/>
            </w14:solidFill>
          </w14:textFill>
        </w:rPr>
        <w:t>第三章 评标办法（综合评估法）</w:t>
      </w:r>
    </w:p>
    <w:tbl>
      <w:tblPr>
        <w:tblStyle w:val="19"/>
        <w:tblpPr w:leftFromText="180" w:rightFromText="180" w:vertAnchor="text" w:horzAnchor="page" w:tblpX="1369" w:tblpY="470"/>
        <w:tblOverlap w:val="never"/>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77"/>
        <w:gridCol w:w="352"/>
        <w:gridCol w:w="767"/>
        <w:gridCol w:w="405"/>
        <w:gridCol w:w="1172"/>
        <w:gridCol w:w="5755"/>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条款号</w:t>
            </w:r>
          </w:p>
        </w:tc>
        <w:tc>
          <w:tcPr>
            <w:tcW w:w="1496" w:type="dxa"/>
            <w:gridSpan w:val="3"/>
            <w:vAlign w:val="center"/>
          </w:tcPr>
          <w:p>
            <w:pPr>
              <w:snapToGrid w:val="0"/>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条款名称</w:t>
            </w:r>
          </w:p>
        </w:tc>
        <w:tc>
          <w:tcPr>
            <w:tcW w:w="7392" w:type="dxa"/>
            <w:gridSpan w:val="4"/>
            <w:vAlign w:val="center"/>
          </w:tcPr>
          <w:p>
            <w:pPr>
              <w:snapToGrid w:val="0"/>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p>
        </w:tc>
        <w:tc>
          <w:tcPr>
            <w:tcW w:w="8888" w:type="dxa"/>
            <w:gridSpan w:val="7"/>
            <w:vAlign w:val="center"/>
          </w:tcPr>
          <w:p>
            <w:pPr>
              <w:snapToGrid w:val="0"/>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如出现得分(精确到小数点后两位)相等时，按以下原则确定第一中标候选人：</w:t>
            </w:r>
          </w:p>
          <w:p>
            <w:pPr>
              <w:snapToGrid w:val="0"/>
              <w:spacing w:line="40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（1）以评标价低的报价人优先；</w:t>
            </w:r>
          </w:p>
          <w:p>
            <w:pPr>
              <w:snapToGrid w:val="0"/>
              <w:spacing w:line="40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（2）如评标价也相同时，以技术得分较高的报价人优先；</w:t>
            </w:r>
          </w:p>
          <w:p>
            <w:pPr>
              <w:snapToGrid w:val="0"/>
              <w:spacing w:line="40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（3）如技术得分也相同时，以商务得分高的优先；</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sz w:val="24"/>
                <w:szCs w:val="24"/>
              </w:rPr>
              <w:t>如商务得分也相同时，由评标委员会投票决定。</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条款号</w:t>
            </w:r>
          </w:p>
        </w:tc>
        <w:tc>
          <w:tcPr>
            <w:tcW w:w="1901" w:type="dxa"/>
            <w:gridSpan w:val="4"/>
            <w:vAlign w:val="center"/>
          </w:tcPr>
          <w:p>
            <w:pPr>
              <w:snapToGrid w:val="0"/>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评审因素</w:t>
            </w:r>
          </w:p>
        </w:tc>
        <w:tc>
          <w:tcPr>
            <w:tcW w:w="6987" w:type="dxa"/>
            <w:gridSpan w:val="3"/>
            <w:vAlign w:val="center"/>
          </w:tcPr>
          <w:p>
            <w:pPr>
              <w:snapToGrid w:val="0"/>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1022" w:type="dxa"/>
            <w:vMerge w:val="restart"/>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2.1.1</w:t>
            </w:r>
          </w:p>
        </w:tc>
        <w:tc>
          <w:tcPr>
            <w:tcW w:w="377" w:type="dxa"/>
            <w:vMerge w:val="restart"/>
            <w:textDirection w:val="tbRlV"/>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资格评审</w:t>
            </w:r>
          </w:p>
        </w:tc>
        <w:tc>
          <w:tcPr>
            <w:tcW w:w="1524" w:type="dxa"/>
            <w:gridSpan w:val="3"/>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报价人名称</w:t>
            </w:r>
          </w:p>
        </w:tc>
        <w:tc>
          <w:tcPr>
            <w:tcW w:w="6987" w:type="dxa"/>
            <w:gridSpan w:val="3"/>
            <w:vAlign w:val="center"/>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022" w:type="dxa"/>
            <w:vMerge w:val="continue"/>
          </w:tcPr>
          <w:p>
            <w:pPr>
              <w:snapToGrid w:val="0"/>
              <w:spacing w:line="400" w:lineRule="exact"/>
              <w:rPr>
                <w:rFonts w:hint="eastAsia" w:asciiTheme="minorEastAsia" w:hAnsiTheme="minorEastAsia" w:eastAsiaTheme="minorEastAsia" w:cstheme="minorEastAsia"/>
                <w:sz w:val="24"/>
                <w:szCs w:val="24"/>
              </w:rPr>
            </w:pPr>
          </w:p>
        </w:tc>
        <w:tc>
          <w:tcPr>
            <w:tcW w:w="377" w:type="dxa"/>
            <w:vMerge w:val="continue"/>
          </w:tcPr>
          <w:p>
            <w:pPr>
              <w:snapToGrid w:val="0"/>
              <w:spacing w:line="400" w:lineRule="exact"/>
              <w:rPr>
                <w:rFonts w:hint="eastAsia" w:asciiTheme="minorEastAsia" w:hAnsiTheme="minorEastAsia" w:eastAsiaTheme="minorEastAsia" w:cstheme="minorEastAsia"/>
                <w:sz w:val="24"/>
                <w:szCs w:val="24"/>
              </w:rPr>
            </w:pPr>
          </w:p>
        </w:tc>
        <w:tc>
          <w:tcPr>
            <w:tcW w:w="1524" w:type="dxa"/>
            <w:gridSpan w:val="3"/>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报价文件签字盖章</w:t>
            </w:r>
          </w:p>
        </w:tc>
        <w:tc>
          <w:tcPr>
            <w:tcW w:w="6987" w:type="dxa"/>
            <w:gridSpan w:val="3"/>
            <w:vAlign w:val="center"/>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1022" w:type="dxa"/>
            <w:vMerge w:val="continue"/>
          </w:tcPr>
          <w:p>
            <w:pPr>
              <w:snapToGrid w:val="0"/>
              <w:spacing w:line="400" w:lineRule="exact"/>
              <w:rPr>
                <w:rFonts w:hint="eastAsia" w:asciiTheme="minorEastAsia" w:hAnsiTheme="minorEastAsia" w:eastAsiaTheme="minorEastAsia" w:cstheme="minorEastAsia"/>
                <w:sz w:val="24"/>
                <w:szCs w:val="24"/>
              </w:rPr>
            </w:pPr>
          </w:p>
        </w:tc>
        <w:tc>
          <w:tcPr>
            <w:tcW w:w="377" w:type="dxa"/>
            <w:vMerge w:val="continue"/>
          </w:tcPr>
          <w:p>
            <w:pPr>
              <w:snapToGrid w:val="0"/>
              <w:spacing w:line="400" w:lineRule="exact"/>
              <w:rPr>
                <w:rFonts w:hint="eastAsia" w:asciiTheme="minorEastAsia" w:hAnsiTheme="minorEastAsia" w:eastAsiaTheme="minorEastAsia" w:cstheme="minorEastAsia"/>
                <w:sz w:val="24"/>
                <w:szCs w:val="24"/>
              </w:rPr>
            </w:pPr>
          </w:p>
        </w:tc>
        <w:tc>
          <w:tcPr>
            <w:tcW w:w="1524" w:type="dxa"/>
            <w:gridSpan w:val="3"/>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报价唯一</w:t>
            </w:r>
          </w:p>
        </w:tc>
        <w:tc>
          <w:tcPr>
            <w:tcW w:w="6987" w:type="dxa"/>
            <w:gridSpan w:val="3"/>
            <w:vAlign w:val="center"/>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只能有一个有效报价，在竞争性比选文件没有规定的情况下，不得提交选择性报价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trPr>
        <w:tc>
          <w:tcPr>
            <w:tcW w:w="1022" w:type="dxa"/>
            <w:vMerge w:val="continue"/>
          </w:tcPr>
          <w:p>
            <w:pPr>
              <w:snapToGrid w:val="0"/>
              <w:spacing w:line="400" w:lineRule="exact"/>
              <w:rPr>
                <w:rFonts w:hint="eastAsia" w:asciiTheme="minorEastAsia" w:hAnsiTheme="minorEastAsia" w:eastAsiaTheme="minorEastAsia" w:cstheme="minorEastAsia"/>
                <w:sz w:val="24"/>
                <w:szCs w:val="24"/>
              </w:rPr>
            </w:pPr>
          </w:p>
        </w:tc>
        <w:tc>
          <w:tcPr>
            <w:tcW w:w="377" w:type="dxa"/>
            <w:vMerge w:val="continue"/>
          </w:tcPr>
          <w:p>
            <w:pPr>
              <w:snapToGrid w:val="0"/>
              <w:spacing w:line="400" w:lineRule="exact"/>
              <w:rPr>
                <w:rFonts w:hint="eastAsia" w:asciiTheme="minorEastAsia" w:hAnsiTheme="minorEastAsia" w:eastAsiaTheme="minorEastAsia" w:cstheme="minorEastAsia"/>
                <w:sz w:val="24"/>
                <w:szCs w:val="24"/>
              </w:rPr>
            </w:pPr>
          </w:p>
        </w:tc>
        <w:tc>
          <w:tcPr>
            <w:tcW w:w="1524" w:type="dxa"/>
            <w:gridSpan w:val="3"/>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投标文件的签署</w:t>
            </w:r>
          </w:p>
        </w:tc>
        <w:tc>
          <w:tcPr>
            <w:tcW w:w="6987" w:type="dxa"/>
            <w:gridSpan w:val="3"/>
            <w:vAlign w:val="center"/>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trPr>
        <w:tc>
          <w:tcPr>
            <w:tcW w:w="1022" w:type="dxa"/>
            <w:vMerge w:val="continue"/>
          </w:tcPr>
          <w:p>
            <w:pPr>
              <w:snapToGrid w:val="0"/>
              <w:spacing w:line="400" w:lineRule="exact"/>
              <w:rPr>
                <w:rFonts w:hint="eastAsia" w:asciiTheme="minorEastAsia" w:hAnsiTheme="minorEastAsia" w:eastAsiaTheme="minorEastAsia" w:cstheme="minorEastAsia"/>
                <w:sz w:val="24"/>
                <w:szCs w:val="24"/>
              </w:rPr>
            </w:pPr>
          </w:p>
        </w:tc>
        <w:tc>
          <w:tcPr>
            <w:tcW w:w="377" w:type="dxa"/>
            <w:vMerge w:val="continue"/>
          </w:tcPr>
          <w:p>
            <w:pPr>
              <w:snapToGrid w:val="0"/>
              <w:spacing w:line="400" w:lineRule="exact"/>
              <w:rPr>
                <w:rFonts w:hint="eastAsia" w:asciiTheme="minorEastAsia" w:hAnsiTheme="minorEastAsia" w:eastAsiaTheme="minorEastAsia" w:cstheme="minorEastAsia"/>
                <w:sz w:val="24"/>
                <w:szCs w:val="24"/>
              </w:rPr>
            </w:pPr>
          </w:p>
        </w:tc>
        <w:tc>
          <w:tcPr>
            <w:tcW w:w="1524" w:type="dxa"/>
            <w:gridSpan w:val="3"/>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委托代理人</w:t>
            </w:r>
          </w:p>
        </w:tc>
        <w:tc>
          <w:tcPr>
            <w:tcW w:w="6987" w:type="dxa"/>
            <w:gridSpan w:val="3"/>
            <w:vAlign w:val="center"/>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022" w:type="dxa"/>
            <w:vMerge w:val="restart"/>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2.1.2</w:t>
            </w:r>
          </w:p>
        </w:tc>
        <w:tc>
          <w:tcPr>
            <w:tcW w:w="377" w:type="dxa"/>
            <w:vMerge w:val="continue"/>
            <w:textDirection w:val="tbRlV"/>
            <w:vAlign w:val="center"/>
          </w:tcPr>
          <w:p>
            <w:pPr>
              <w:snapToGrid w:val="0"/>
              <w:spacing w:line="400" w:lineRule="exact"/>
              <w:jc w:val="center"/>
              <w:rPr>
                <w:rFonts w:hint="eastAsia" w:asciiTheme="minorEastAsia" w:hAnsiTheme="minorEastAsia" w:eastAsiaTheme="minorEastAsia" w:cstheme="minorEastAsia"/>
                <w:kern w:val="0"/>
                <w:sz w:val="24"/>
                <w:szCs w:val="24"/>
              </w:rPr>
            </w:pPr>
          </w:p>
        </w:tc>
        <w:tc>
          <w:tcPr>
            <w:tcW w:w="1524" w:type="dxa"/>
            <w:gridSpan w:val="3"/>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营业执照</w:t>
            </w:r>
          </w:p>
        </w:tc>
        <w:tc>
          <w:tcPr>
            <w:tcW w:w="6987" w:type="dxa"/>
            <w:gridSpan w:val="3"/>
            <w:vAlign w:val="center"/>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1022" w:type="dxa"/>
            <w:vMerge w:val="continue"/>
            <w:vAlign w:val="center"/>
          </w:tcPr>
          <w:p>
            <w:pPr>
              <w:snapToGrid w:val="0"/>
              <w:spacing w:line="400" w:lineRule="exact"/>
              <w:jc w:val="center"/>
              <w:rPr>
                <w:rFonts w:hint="eastAsia" w:asciiTheme="minorEastAsia" w:hAnsiTheme="minorEastAsia" w:eastAsiaTheme="minorEastAsia" w:cstheme="minorEastAsia"/>
                <w:kern w:val="0"/>
                <w:sz w:val="24"/>
                <w:szCs w:val="24"/>
              </w:rPr>
            </w:pPr>
          </w:p>
        </w:tc>
        <w:tc>
          <w:tcPr>
            <w:tcW w:w="377" w:type="dxa"/>
            <w:vMerge w:val="continue"/>
            <w:textDirection w:val="tbRlV"/>
            <w:vAlign w:val="center"/>
          </w:tcPr>
          <w:p>
            <w:pPr>
              <w:snapToGrid w:val="0"/>
              <w:spacing w:line="400" w:lineRule="exact"/>
              <w:jc w:val="center"/>
              <w:rPr>
                <w:rFonts w:hint="eastAsia" w:asciiTheme="minorEastAsia" w:hAnsiTheme="minorEastAsia" w:eastAsiaTheme="minorEastAsia" w:cstheme="minorEastAsia"/>
                <w:kern w:val="0"/>
                <w:sz w:val="24"/>
                <w:szCs w:val="24"/>
              </w:rPr>
            </w:pPr>
          </w:p>
        </w:tc>
        <w:tc>
          <w:tcPr>
            <w:tcW w:w="1524" w:type="dxa"/>
            <w:gridSpan w:val="3"/>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资质要求</w:t>
            </w:r>
          </w:p>
        </w:tc>
        <w:tc>
          <w:tcPr>
            <w:tcW w:w="6987" w:type="dxa"/>
            <w:gridSpan w:val="3"/>
            <w:vAlign w:val="center"/>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符合第二章“报价人须知”规定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022" w:type="dxa"/>
            <w:vAlign w:val="center"/>
          </w:tcPr>
          <w:p>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2.2.1</w:t>
            </w:r>
          </w:p>
        </w:tc>
        <w:tc>
          <w:tcPr>
            <w:tcW w:w="1901" w:type="dxa"/>
            <w:gridSpan w:val="4"/>
            <w:vAlign w:val="center"/>
          </w:tcPr>
          <w:p>
            <w:pPr>
              <w:tabs>
                <w:tab w:val="left" w:pos="1875"/>
              </w:tabs>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分值构成 (总分1OO分)</w:t>
            </w:r>
          </w:p>
        </w:tc>
        <w:tc>
          <w:tcPr>
            <w:tcW w:w="6987" w:type="dxa"/>
            <w:gridSpan w:val="3"/>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投标报价50分；</w:t>
            </w:r>
          </w:p>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B：商务部分</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0分；</w:t>
            </w:r>
          </w:p>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C：技术部分</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022" w:type="dxa"/>
            <w:vAlign w:val="center"/>
          </w:tcPr>
          <w:p>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w:t>
            </w:r>
          </w:p>
        </w:tc>
        <w:tc>
          <w:tcPr>
            <w:tcW w:w="1901" w:type="dxa"/>
            <w:gridSpan w:val="4"/>
            <w:vAlign w:val="center"/>
          </w:tcPr>
          <w:p>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报价</w:t>
            </w:r>
          </w:p>
        </w:tc>
        <w:tc>
          <w:tcPr>
            <w:tcW w:w="6987" w:type="dxa"/>
            <w:gridSpan w:val="3"/>
          </w:tcPr>
          <w:p>
            <w:pPr>
              <w:wordWrap w:val="0"/>
              <w:adjustRightInd w:val="0"/>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1.满足竞争性比选文件要求，有效的投标报价的平均值为评标基准价。</w:t>
            </w:r>
          </w:p>
          <w:p>
            <w:pPr>
              <w:wordWrap w:val="0"/>
              <w:adjustRightInd w:val="0"/>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2.偏差率=100%×（投标人报价－评标基准价）/评标基准价。</w:t>
            </w:r>
          </w:p>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3.经评审的有效投标报价与评标基准价相比，等于基准价的得50分，每增加1%扣0.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分，每减少1%扣0.2分，扣完为止。</w:t>
            </w:r>
          </w:p>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022" w:type="dxa"/>
            <w:vMerge w:val="restart"/>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2.2.3</w:t>
            </w:r>
          </w:p>
        </w:tc>
        <w:tc>
          <w:tcPr>
            <w:tcW w:w="729" w:type="dxa"/>
            <w:gridSpan w:val="2"/>
            <w:vMerge w:val="restart"/>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商务部分评分标准（</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0分）</w:t>
            </w:r>
          </w:p>
        </w:tc>
        <w:tc>
          <w:tcPr>
            <w:tcW w:w="1172" w:type="dxa"/>
            <w:gridSpan w:val="2"/>
            <w:vAlign w:val="center"/>
          </w:tcPr>
          <w:p>
            <w:pPr>
              <w:snapToGrid w:val="0"/>
              <w:spacing w:line="400" w:lineRule="exact"/>
              <w:jc w:val="center"/>
              <w:rPr>
                <w:rFonts w:hint="eastAsia" w:asciiTheme="minorEastAsia" w:hAnsiTheme="minorEastAsia" w:eastAsiaTheme="minorEastAsia" w:cstheme="minorEastAsia"/>
                <w:sz w:val="24"/>
                <w:szCs w:val="24"/>
                <w:shd w:val="clear" w:color="FFFFFF" w:fill="auto"/>
              </w:rPr>
            </w:pPr>
            <w:r>
              <w:rPr>
                <w:rFonts w:hint="eastAsia" w:asciiTheme="minorEastAsia" w:hAnsiTheme="minorEastAsia" w:eastAsiaTheme="minorEastAsia" w:cstheme="minorEastAsia"/>
                <w:sz w:val="24"/>
                <w:szCs w:val="24"/>
                <w:shd w:val="clear" w:color="FFFFFF" w:fill="auto"/>
                <w:lang w:val="en-US" w:eastAsia="zh-CN"/>
              </w:rPr>
              <w:t>业绩</w:t>
            </w:r>
            <w:r>
              <w:rPr>
                <w:rFonts w:hint="eastAsia" w:asciiTheme="minorEastAsia" w:hAnsiTheme="minorEastAsia" w:eastAsiaTheme="minorEastAsia" w:cstheme="minorEastAsia"/>
                <w:sz w:val="24"/>
                <w:szCs w:val="24"/>
                <w:shd w:val="clear" w:color="FFFFFF" w:fill="auto"/>
              </w:rPr>
              <w:t>（</w:t>
            </w:r>
            <w:r>
              <w:rPr>
                <w:rFonts w:hint="eastAsia" w:asciiTheme="minorEastAsia" w:hAnsiTheme="minorEastAsia" w:eastAsiaTheme="minorEastAsia" w:cstheme="minorEastAsia"/>
                <w:sz w:val="24"/>
                <w:szCs w:val="24"/>
                <w:shd w:val="clear" w:color="FFFFFF" w:fill="auto"/>
                <w:lang w:val="en-US" w:eastAsia="zh-CN"/>
              </w:rPr>
              <w:t>20</w:t>
            </w:r>
            <w:r>
              <w:rPr>
                <w:rFonts w:hint="eastAsia" w:asciiTheme="minorEastAsia" w:hAnsiTheme="minorEastAsia" w:eastAsiaTheme="minorEastAsia" w:cstheme="minorEastAsia"/>
                <w:sz w:val="24"/>
                <w:szCs w:val="24"/>
                <w:shd w:val="clear" w:color="FFFFFF" w:fill="auto"/>
              </w:rPr>
              <w:t>分）</w:t>
            </w:r>
          </w:p>
        </w:tc>
        <w:tc>
          <w:tcPr>
            <w:tcW w:w="6987" w:type="dxa"/>
            <w:gridSpan w:val="3"/>
            <w:vAlign w:val="center"/>
          </w:tcPr>
          <w:p>
            <w:pPr>
              <w:spacing w:before="156" w:beforeLines="50" w:after="156" w:afterLines="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1.2018年1月1日至报价截止日，报价人具有IPO内控建设咨询业绩或IPO业财融合流程优化咨询业绩，每有1个得2分，满分10分。</w:t>
            </w:r>
          </w:p>
          <w:p>
            <w:pPr>
              <w:pStyle w:val="8"/>
              <w:numPr>
                <w:ilvl w:val="0"/>
                <w:numId w:val="0"/>
              </w:num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2.2018年1月1日以来，报价人具有主持完成的有IPO内控建设咨询服务对象或IPO业财融合流程优化服务对象成功上市的得2分，满分6分。</w:t>
            </w:r>
          </w:p>
          <w:p>
            <w:pPr>
              <w:pStyle w:val="8"/>
              <w:numPr>
                <w:ilvl w:val="0"/>
                <w:numId w:val="0"/>
              </w:num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kern w:val="2"/>
                <w:sz w:val="24"/>
                <w:szCs w:val="24"/>
                <w:lang w:val="en-US" w:eastAsia="zh-CN" w:bidi="ar-SA"/>
              </w:rPr>
              <w:t>2018年1月1日至报价截止日，</w:t>
            </w:r>
            <w:r>
              <w:rPr>
                <w:rFonts w:hint="eastAsia" w:asciiTheme="minorEastAsia" w:hAnsiTheme="minorEastAsia" w:eastAsiaTheme="minorEastAsia" w:cstheme="minorEastAsia"/>
                <w:sz w:val="24"/>
                <w:szCs w:val="24"/>
                <w:lang w:val="en-US" w:eastAsia="zh-CN"/>
              </w:rPr>
              <w:t>报价人具有同行业（各省交通系统下属信息工程类企业）内控建设咨询经验的，每一个得2分，满分4分。</w:t>
            </w:r>
          </w:p>
          <w:p>
            <w:pPr>
              <w:pStyle w:val="8"/>
              <w:spacing w:line="400" w:lineRule="exact"/>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提供业绩合同扫描件，</w:t>
            </w:r>
            <w:r>
              <w:rPr>
                <w:rFonts w:hint="eastAsia" w:asciiTheme="minorEastAsia" w:hAnsiTheme="minorEastAsia" w:eastAsiaTheme="minorEastAsia" w:cstheme="minorEastAsia"/>
                <w:b/>
                <w:bCs/>
                <w:sz w:val="24"/>
                <w:szCs w:val="24"/>
              </w:rPr>
              <w:t>提供合同文本复印件</w:t>
            </w:r>
            <w:r>
              <w:rPr>
                <w:rFonts w:hint="eastAsia" w:asciiTheme="minorEastAsia" w:hAnsiTheme="minorEastAsia" w:eastAsiaTheme="minorEastAsia" w:cstheme="minorEastAsia"/>
                <w:b/>
                <w:bCs/>
                <w:sz w:val="24"/>
                <w:szCs w:val="24"/>
                <w:lang w:val="en-US" w:eastAsia="zh-CN"/>
              </w:rPr>
              <w:t>并加盖报价人公章</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服务对象上市成功案例需提供上市成功网页截图资料并加盖报价人公章。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1022" w:type="dxa"/>
            <w:vMerge w:val="continue"/>
            <w:vAlign w:val="center"/>
          </w:tcPr>
          <w:p>
            <w:pPr>
              <w:snapToGrid w:val="0"/>
              <w:spacing w:line="400" w:lineRule="exact"/>
              <w:jc w:val="center"/>
              <w:rPr>
                <w:rFonts w:hint="eastAsia" w:asciiTheme="minorEastAsia" w:hAnsiTheme="minorEastAsia" w:eastAsiaTheme="minorEastAsia" w:cstheme="minorEastAsia"/>
                <w:kern w:val="0"/>
                <w:sz w:val="24"/>
                <w:szCs w:val="24"/>
              </w:rPr>
            </w:pPr>
          </w:p>
        </w:tc>
        <w:tc>
          <w:tcPr>
            <w:tcW w:w="729" w:type="dxa"/>
            <w:gridSpan w:val="2"/>
            <w:vMerge w:val="continue"/>
            <w:vAlign w:val="center"/>
          </w:tcPr>
          <w:p>
            <w:pPr>
              <w:snapToGrid w:val="0"/>
              <w:spacing w:line="400" w:lineRule="exact"/>
              <w:jc w:val="center"/>
              <w:rPr>
                <w:rFonts w:hint="eastAsia" w:asciiTheme="minorEastAsia" w:hAnsiTheme="minorEastAsia" w:eastAsiaTheme="minorEastAsia" w:cstheme="minorEastAsia"/>
                <w:sz w:val="24"/>
                <w:szCs w:val="24"/>
              </w:rPr>
            </w:pPr>
          </w:p>
        </w:tc>
        <w:tc>
          <w:tcPr>
            <w:tcW w:w="1172" w:type="dxa"/>
            <w:gridSpan w:val="2"/>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项目团队（</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c>
          <w:tcPr>
            <w:tcW w:w="6987" w:type="dxa"/>
            <w:gridSpan w:val="3"/>
            <w:vAlign w:val="center"/>
          </w:tcPr>
          <w:p>
            <w:pPr>
              <w:pStyle w:val="8"/>
              <w:numPr>
                <w:ilvl w:val="0"/>
                <w:numId w:val="0"/>
              </w:num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1.项目负责人具有主持完成（作为项目负责人）2个风险或内控咨询项目，且同时具有注册会计师资格的得4分，缺一项不得分，每多一个项目多得1分，满分6分。</w:t>
            </w:r>
          </w:p>
          <w:p>
            <w:pPr>
              <w:pStyle w:val="8"/>
              <w:numPr>
                <w:ilvl w:val="0"/>
                <w:numId w:val="0"/>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若</w:t>
            </w:r>
            <w:r>
              <w:rPr>
                <w:rFonts w:hint="eastAsia" w:asciiTheme="minorEastAsia" w:hAnsiTheme="minorEastAsia" w:eastAsiaTheme="minorEastAsia" w:cstheme="minorEastAsia"/>
                <w:sz w:val="24"/>
                <w:szCs w:val="24"/>
                <w:lang w:val="en-US" w:eastAsia="zh-CN"/>
              </w:rPr>
              <w:t>作为项目负责人具有同行业（各省交通系统下属信息工程类企业）内控建设咨询经验的</w:t>
            </w:r>
            <w:r>
              <w:rPr>
                <w:rFonts w:hint="eastAsia" w:asciiTheme="minorEastAsia" w:hAnsiTheme="minorEastAsia" w:eastAsiaTheme="minorEastAsia" w:cstheme="minorEastAsia"/>
                <w:sz w:val="24"/>
                <w:szCs w:val="24"/>
              </w:rPr>
              <w:t>，每有1个得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满分2分。</w:t>
            </w:r>
          </w:p>
          <w:p>
            <w:pPr>
              <w:pStyle w:val="8"/>
              <w:numPr>
                <w:ilvl w:val="0"/>
                <w:numId w:val="0"/>
              </w:numPr>
              <w:spacing w:line="40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3.拟派项目成员中（负责人外），每增1名中企联公示的中小企业咨询专家得1分，满分2分。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注：1.</w:t>
            </w:r>
            <w:r>
              <w:rPr>
                <w:rFonts w:hint="eastAsia" w:asciiTheme="minorEastAsia" w:hAnsiTheme="minorEastAsia" w:eastAsiaTheme="minorEastAsia" w:cstheme="minorEastAsia"/>
                <w:b/>
                <w:bCs/>
                <w:sz w:val="24"/>
                <w:szCs w:val="24"/>
              </w:rPr>
              <w:t>需提供合同文本复印件</w:t>
            </w:r>
            <w:r>
              <w:rPr>
                <w:rFonts w:hint="eastAsia" w:asciiTheme="minorEastAsia" w:hAnsiTheme="minorEastAsia" w:eastAsiaTheme="minorEastAsia" w:cstheme="minorEastAsia"/>
                <w:b/>
                <w:bCs/>
                <w:sz w:val="24"/>
                <w:szCs w:val="24"/>
                <w:lang w:val="en-US" w:eastAsia="zh-CN"/>
              </w:rPr>
              <w:t>并加盖报价人公章，若合同文本中不能体现项目负责人身份的，则需提供业主盖章的业主证明材料并加盖报价人公章。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提供证书或提供资质证书扫描件或网站公示截图加盖报价人公章。</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3.提供项目团队成员身份证及2021年6月至2021年9月社保证明（养老保险即可）。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1022" w:type="dxa"/>
            <w:vMerge w:val="restart"/>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2.2.4</w:t>
            </w:r>
          </w:p>
        </w:tc>
        <w:tc>
          <w:tcPr>
            <w:tcW w:w="729" w:type="dxa"/>
            <w:gridSpan w:val="2"/>
            <w:vMerge w:val="restart"/>
            <w:textDirection w:val="tbLrV"/>
            <w:vAlign w:val="center"/>
          </w:tcPr>
          <w:p>
            <w:pPr>
              <w:snapToGrid w:val="0"/>
              <w:spacing w:line="400" w:lineRule="exact"/>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技术部分评分标准（</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0分）</w:t>
            </w:r>
          </w:p>
        </w:tc>
        <w:tc>
          <w:tcPr>
            <w:tcW w:w="1172" w:type="dxa"/>
            <w:gridSpan w:val="2"/>
            <w:vAlign w:val="center"/>
          </w:tcPr>
          <w:p>
            <w:pPr>
              <w:widowControl/>
              <w:spacing w:before="156"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内控诊断及设计</w:t>
            </w:r>
            <w:r>
              <w:rPr>
                <w:rFonts w:hint="eastAsia" w:asciiTheme="minorEastAsia" w:hAnsiTheme="minorEastAsia" w:eastAsiaTheme="minorEastAsia" w:cstheme="minorEastAsia"/>
                <w:sz w:val="24"/>
                <w:szCs w:val="24"/>
              </w:rPr>
              <w:t>实施方案(15分)</w:t>
            </w:r>
          </w:p>
        </w:tc>
        <w:tc>
          <w:tcPr>
            <w:tcW w:w="6987" w:type="dxa"/>
            <w:gridSpan w:val="3"/>
          </w:tcPr>
          <w:p>
            <w:pPr>
              <w:spacing w:line="240" w:lineRule="atLeast"/>
              <w:ind w:firstLine="426"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报价人应对</w:t>
            </w:r>
            <w:r>
              <w:rPr>
                <w:rFonts w:hint="eastAsia" w:asciiTheme="minorEastAsia" w:hAnsiTheme="minorEastAsia" w:eastAsiaTheme="minorEastAsia" w:cstheme="minorEastAsia"/>
                <w:sz w:val="24"/>
                <w:szCs w:val="24"/>
              </w:rPr>
              <w:t>对项目理解准确、到位；对关键业务流程及控制点的识别</w:t>
            </w:r>
            <w:r>
              <w:rPr>
                <w:rFonts w:hint="eastAsia" w:asciiTheme="minorEastAsia" w:hAnsiTheme="minorEastAsia" w:eastAsiaTheme="minorEastAsia" w:cstheme="minorEastAsia"/>
                <w:sz w:val="24"/>
                <w:szCs w:val="24"/>
                <w:lang w:val="en-US" w:eastAsia="zh-CN"/>
              </w:rPr>
              <w:t>准确</w:t>
            </w:r>
            <w:r>
              <w:rPr>
                <w:rFonts w:hint="eastAsia" w:asciiTheme="minorEastAsia" w:hAnsiTheme="minorEastAsia" w:eastAsiaTheme="minorEastAsia" w:cstheme="minorEastAsia"/>
                <w:sz w:val="24"/>
                <w:szCs w:val="24"/>
              </w:rPr>
              <w:t>、对工作重点分析到位、全面、合理、科学、适应及可操作；进度安排科学合理；工作成果符合项目目的；能够有效控制项目质量，项目整体具有系统性、合理性、科学性，并具有很强的可操作性</w:t>
            </w:r>
            <w:r>
              <w:rPr>
                <w:rFonts w:hint="eastAsia" w:asciiTheme="minorEastAsia" w:hAnsiTheme="minorEastAsia" w:eastAsiaTheme="minorEastAsia" w:cstheme="minorEastAsia"/>
                <w:sz w:val="24"/>
                <w:szCs w:val="24"/>
                <w:lang w:eastAsia="zh-CN"/>
              </w:rPr>
              <w:t>。</w:t>
            </w:r>
          </w:p>
          <w:p>
            <w:pPr>
              <w:spacing w:line="240" w:lineRule="atLeast"/>
              <w:ind w:firstLine="426" w:firstLineChars="200"/>
              <w:rPr>
                <w:rFonts w:hint="eastAsia" w:asciiTheme="minorEastAsia" w:hAnsiTheme="minorEastAsia" w:eastAsiaTheme="minorEastAsia" w:cstheme="minorEastAsia"/>
                <w:sz w:val="24"/>
                <w:szCs w:val="24"/>
              </w:rPr>
            </w:pPr>
          </w:p>
          <w:p>
            <w:pPr>
              <w:spacing w:line="240" w:lineRule="atLeast"/>
              <w:ind w:firstLine="42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val="en-US" w:eastAsia="zh-CN"/>
              </w:rPr>
              <w:t>报价人</w:t>
            </w:r>
            <w:r>
              <w:rPr>
                <w:rFonts w:hint="eastAsia" w:asciiTheme="minorEastAsia" w:hAnsiTheme="minorEastAsia" w:eastAsiaTheme="minorEastAsia" w:cstheme="minorEastAsia"/>
                <w:sz w:val="24"/>
                <w:szCs w:val="24"/>
              </w:rPr>
              <w:t>提供的项目方案与本项目的吻合度情况进行</w:t>
            </w:r>
            <w:r>
              <w:rPr>
                <w:rFonts w:hint="eastAsia" w:asciiTheme="minorEastAsia" w:hAnsiTheme="minorEastAsia" w:eastAsiaTheme="minorEastAsia" w:cstheme="minorEastAsia"/>
                <w:sz w:val="24"/>
                <w:szCs w:val="24"/>
                <w:lang w:val="en-US" w:eastAsia="zh-CN"/>
              </w:rPr>
              <w:t>综合比较打分，方案较好15~13.5分，一般13.5~12分，较差12~9分。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2" w:type="dxa"/>
            <w:vMerge w:val="continue"/>
            <w:vAlign w:val="center"/>
          </w:tcPr>
          <w:p>
            <w:pPr>
              <w:snapToGrid w:val="0"/>
              <w:spacing w:line="400" w:lineRule="exact"/>
              <w:jc w:val="center"/>
              <w:rPr>
                <w:rFonts w:hint="eastAsia" w:asciiTheme="minorEastAsia" w:hAnsiTheme="minorEastAsia" w:eastAsiaTheme="minorEastAsia" w:cstheme="minorEastAsia"/>
                <w:kern w:val="0"/>
                <w:sz w:val="24"/>
                <w:szCs w:val="24"/>
              </w:rPr>
            </w:pPr>
          </w:p>
        </w:tc>
        <w:tc>
          <w:tcPr>
            <w:tcW w:w="729" w:type="dxa"/>
            <w:gridSpan w:val="2"/>
            <w:vMerge w:val="continue"/>
            <w:vAlign w:val="center"/>
          </w:tcPr>
          <w:p>
            <w:pPr>
              <w:snapToGrid w:val="0"/>
              <w:spacing w:line="400" w:lineRule="exact"/>
              <w:jc w:val="center"/>
              <w:rPr>
                <w:rFonts w:hint="eastAsia" w:asciiTheme="minorEastAsia" w:hAnsiTheme="minorEastAsia" w:eastAsiaTheme="minorEastAsia" w:cstheme="minorEastAsia"/>
                <w:sz w:val="24"/>
                <w:szCs w:val="24"/>
              </w:rPr>
            </w:pPr>
          </w:p>
        </w:tc>
        <w:tc>
          <w:tcPr>
            <w:tcW w:w="1172" w:type="dxa"/>
            <w:gridSpan w:val="2"/>
            <w:vAlign w:val="center"/>
          </w:tcPr>
          <w:p>
            <w:pPr>
              <w:widowControl/>
              <w:spacing w:before="156"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内控实施评价</w:t>
            </w:r>
            <w:r>
              <w:rPr>
                <w:rFonts w:hint="eastAsia" w:asciiTheme="minorEastAsia" w:hAnsiTheme="minorEastAsia" w:eastAsiaTheme="minorEastAsia" w:cstheme="minorEastAsia"/>
                <w:sz w:val="24"/>
                <w:szCs w:val="24"/>
                <w:lang w:val="en-US" w:eastAsia="zh-CN"/>
              </w:rPr>
              <w:t>方案</w:t>
            </w:r>
            <w:r>
              <w:rPr>
                <w:rFonts w:hint="eastAsia" w:asciiTheme="minorEastAsia" w:hAnsiTheme="minorEastAsia" w:eastAsiaTheme="minorEastAsia" w:cstheme="minorEastAsia"/>
                <w:sz w:val="24"/>
                <w:szCs w:val="24"/>
              </w:rPr>
              <w:t>（5分）</w:t>
            </w:r>
          </w:p>
        </w:tc>
        <w:tc>
          <w:tcPr>
            <w:tcW w:w="6987" w:type="dxa"/>
            <w:gridSpan w:val="3"/>
            <w:vAlign w:val="center"/>
          </w:tcPr>
          <w:p>
            <w:pPr>
              <w:spacing w:before="156"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报价人</w:t>
            </w:r>
            <w:r>
              <w:rPr>
                <w:rFonts w:hint="eastAsia" w:asciiTheme="minorEastAsia" w:hAnsiTheme="minorEastAsia" w:eastAsiaTheme="minorEastAsia" w:cstheme="minorEastAsia"/>
                <w:sz w:val="24"/>
                <w:szCs w:val="24"/>
              </w:rPr>
              <w:t>提供完整的</w:t>
            </w:r>
            <w:r>
              <w:rPr>
                <w:rFonts w:hint="eastAsia" w:asciiTheme="minorEastAsia" w:hAnsiTheme="minorEastAsia" w:eastAsiaTheme="minorEastAsia" w:cstheme="minorEastAsia"/>
                <w:sz w:val="24"/>
                <w:szCs w:val="24"/>
                <w:lang w:val="en-US" w:eastAsia="zh-CN"/>
              </w:rPr>
              <w:t>内控实施评价方案</w:t>
            </w:r>
            <w:r>
              <w:rPr>
                <w:rFonts w:hint="eastAsia" w:asciiTheme="minorEastAsia" w:hAnsiTheme="minorEastAsia" w:eastAsiaTheme="minorEastAsia" w:cstheme="minorEastAsia"/>
                <w:sz w:val="24"/>
                <w:szCs w:val="24"/>
              </w:rPr>
              <w:t>，可完全覆盖</w:t>
            </w:r>
            <w:r>
              <w:rPr>
                <w:rFonts w:hint="eastAsia" w:asciiTheme="minorEastAsia" w:hAnsiTheme="minorEastAsia" w:eastAsiaTheme="minorEastAsia" w:cstheme="minorEastAsia"/>
                <w:sz w:val="24"/>
                <w:szCs w:val="24"/>
                <w:lang w:val="en-US" w:eastAsia="zh-CN"/>
              </w:rPr>
              <w:t>竞争性比选得</w:t>
            </w:r>
            <w:r>
              <w:rPr>
                <w:rFonts w:hint="eastAsia" w:asciiTheme="minorEastAsia" w:hAnsiTheme="minorEastAsia" w:eastAsiaTheme="minorEastAsia" w:cstheme="minorEastAsia"/>
                <w:sz w:val="24"/>
                <w:szCs w:val="24"/>
              </w:rPr>
              <w:t>要求，对</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人现状及业务有较深的理解，能够站在</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人角度合理规划工作定位，为</w:t>
            </w:r>
            <w:r>
              <w:rPr>
                <w:rFonts w:hint="eastAsia" w:asciiTheme="minorEastAsia" w:hAnsiTheme="minorEastAsia" w:eastAsiaTheme="minorEastAsia" w:cstheme="minorEastAsia"/>
                <w:sz w:val="24"/>
                <w:szCs w:val="24"/>
                <w:lang w:val="en-US" w:eastAsia="zh-CN"/>
              </w:rPr>
              <w:t>内控实施评价</w:t>
            </w:r>
            <w:r>
              <w:rPr>
                <w:rFonts w:hint="eastAsia" w:asciiTheme="minorEastAsia" w:hAnsiTheme="minorEastAsia" w:eastAsiaTheme="minorEastAsia" w:cstheme="minorEastAsia"/>
                <w:sz w:val="24"/>
                <w:szCs w:val="24"/>
              </w:rPr>
              <w:t>工作提供有价值的建议。</w:t>
            </w:r>
            <w:r>
              <w:rPr>
                <w:rFonts w:hint="eastAsia" w:asciiTheme="minorEastAsia" w:hAnsiTheme="minorEastAsia" w:eastAsiaTheme="minorEastAsia" w:cstheme="minorEastAsia"/>
                <w:color w:val="000000"/>
                <w:sz w:val="24"/>
                <w:szCs w:val="24"/>
                <w:shd w:val="clear" w:color="auto" w:fill="FFFFFF"/>
              </w:rPr>
              <w:t>提出完善的方案，并对项目风险管理、沟通管理等有明确的质量控制方法。</w:t>
            </w:r>
          </w:p>
          <w:p>
            <w:pPr>
              <w:pStyle w:val="27"/>
              <w:adjustRightInd w:val="0"/>
              <w:snapToGrid w:val="0"/>
              <w:spacing w:before="158" w:line="400" w:lineRule="exact"/>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综合比较打分：方案较好：</w:t>
            </w:r>
            <w:r>
              <w:rPr>
                <w:rFonts w:hint="eastAsia" w:asciiTheme="minorEastAsia" w:hAnsiTheme="minorEastAsia" w:eastAsiaTheme="minorEastAsia" w:cstheme="minorEastAsia"/>
                <w:color w:val="000000"/>
                <w:sz w:val="24"/>
                <w:szCs w:val="24"/>
                <w:shd w:val="clear" w:color="auto" w:fill="FFFFFF"/>
              </w:rPr>
              <w:t>4</w:t>
            </w:r>
            <w:r>
              <w:rPr>
                <w:rFonts w:hint="eastAsia" w:asciiTheme="minorEastAsia" w:hAnsiTheme="minorEastAsia" w:eastAsiaTheme="minorEastAsia" w:cstheme="minorEastAsia"/>
                <w:color w:val="000000"/>
                <w:sz w:val="24"/>
                <w:szCs w:val="24"/>
                <w:shd w:val="clear" w:color="auto" w:fill="FFFFFF"/>
                <w:lang w:val="en-US"/>
              </w:rPr>
              <w:t>.5</w:t>
            </w:r>
            <w:r>
              <w:rPr>
                <w:rFonts w:hint="eastAsia" w:asciiTheme="minorEastAsia" w:hAnsiTheme="minorEastAsia" w:eastAsiaTheme="minorEastAsia" w:cstheme="minorEastAsia"/>
                <w:sz w:val="24"/>
                <w:szCs w:val="24"/>
              </w:rPr>
              <w:t>-5分，一般：</w:t>
            </w:r>
            <w:r>
              <w:rPr>
                <w:rFonts w:hint="eastAsia" w:asciiTheme="minorEastAsia" w:hAnsiTheme="minorEastAsia" w:eastAsiaTheme="minorEastAsia" w:cstheme="minorEastAsia"/>
                <w:sz w:val="24"/>
                <w:szCs w:val="24"/>
                <w:lang w:val="en-US"/>
              </w:rPr>
              <w:t>4-4.5分，</w:t>
            </w:r>
            <w:r>
              <w:rPr>
                <w:rFonts w:hint="eastAsia" w:asciiTheme="minorEastAsia" w:hAnsiTheme="minorEastAsia" w:eastAsiaTheme="minorEastAsia" w:cstheme="minorEastAsia"/>
                <w:sz w:val="24"/>
                <w:szCs w:val="24"/>
                <w:lang w:val="en-US" w:eastAsia="zh-CN"/>
              </w:rPr>
              <w:t>较差4.5-3分</w:t>
            </w:r>
            <w:r>
              <w:rPr>
                <w:rFonts w:hint="eastAsia" w:asciiTheme="minorEastAsia" w:hAnsiTheme="minorEastAsia" w:eastAsiaTheme="minorEastAsia" w:cstheme="minorEastAsia"/>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022" w:type="dxa"/>
            <w:tcBorders>
              <w:bottom w:val="single" w:color="auto" w:sz="4" w:space="0"/>
            </w:tcBorders>
          </w:tcPr>
          <w:p>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条款号</w:t>
            </w:r>
          </w:p>
        </w:tc>
        <w:tc>
          <w:tcPr>
            <w:tcW w:w="8888" w:type="dxa"/>
            <w:gridSpan w:val="7"/>
            <w:vAlign w:val="center"/>
          </w:tcPr>
          <w:p>
            <w:pPr>
              <w:spacing w:line="400" w:lineRule="exact"/>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kern w:val="0"/>
                <w:sz w:val="24"/>
                <w:szCs w:val="24"/>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22" w:type="dxa"/>
            <w:vAlign w:val="center"/>
          </w:tcPr>
          <w:p>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3.1</w:t>
            </w:r>
          </w:p>
        </w:tc>
        <w:tc>
          <w:tcPr>
            <w:tcW w:w="1496" w:type="dxa"/>
            <w:gridSpan w:val="3"/>
            <w:textDirection w:val="tbRlV"/>
            <w:vAlign w:val="center"/>
          </w:tcPr>
          <w:p>
            <w:pPr>
              <w:spacing w:line="400" w:lineRule="exact"/>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评标程序</w:t>
            </w:r>
          </w:p>
        </w:tc>
        <w:tc>
          <w:tcPr>
            <w:tcW w:w="7392" w:type="dxa"/>
            <w:gridSpan w:val="4"/>
          </w:tcPr>
          <w:p>
            <w:pPr>
              <w:wordWrap w:val="0"/>
              <w:adjustRightInd w:val="0"/>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1.初步评审前，按规定对投标报价有算术性错误的进行算术性错误修正，并对所有报价人递交的竞争性比选响应文件进行初步评审（形式、资格、响应评审）。</w:t>
            </w:r>
          </w:p>
          <w:p>
            <w:pPr>
              <w:wordWrap w:val="0"/>
              <w:adjustRightInd w:val="0"/>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2.初步评审合格的才进行详细评审。</w:t>
            </w:r>
          </w:p>
          <w:p>
            <w:pPr>
              <w:wordWrap w:val="0"/>
              <w:adjustRightInd w:val="0"/>
              <w:snapToGrid w:val="0"/>
              <w:spacing w:line="400" w:lineRule="exac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3.根据综合得分由高至低进行排序，推荐1家合格的中标候选人。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85" w:hRule="atLeast"/>
        </w:trPr>
        <w:tc>
          <w:tcPr>
            <w:tcW w:w="2518" w:type="dxa"/>
            <w:gridSpan w:val="4"/>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w:t>
            </w:r>
          </w:p>
        </w:tc>
        <w:tc>
          <w:tcPr>
            <w:tcW w:w="1577" w:type="dxa"/>
            <w:gridSpan w:val="2"/>
            <w:vAlign w:val="center"/>
          </w:tcPr>
          <w:p>
            <w:pPr>
              <w:adjustRightInd w:val="0"/>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报价人得分</w:t>
            </w:r>
          </w:p>
        </w:tc>
        <w:tc>
          <w:tcPr>
            <w:tcW w:w="5755" w:type="dxa"/>
            <w:vAlign w:val="center"/>
          </w:tcPr>
          <w:p>
            <w:pPr>
              <w:pStyle w:val="3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报价人得分=A+B+C，对通过初步评审的报价人按照投标总得分（商务+技术+报价）得分由从高到低的先后顺序推荐1名中标候选人。保留2位小数。</w:t>
            </w:r>
          </w:p>
        </w:tc>
      </w:tr>
    </w:tbl>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本项目采用综合评估法进行评标。</w:t>
      </w:r>
    </w:p>
    <w:p>
      <w:pPr>
        <w:spacing w:line="360" w:lineRule="auto"/>
        <w:ind w:firstLine="486"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评分法，是指投标文件满足竞争性比选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486"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（一）符合性审查</w:t>
      </w:r>
    </w:p>
    <w:p>
      <w:pPr>
        <w:snapToGrid w:val="0"/>
        <w:spacing w:line="360" w:lineRule="auto"/>
        <w:ind w:firstLine="486"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评标委员会应当对符合资格的报价人的投标文件进行符合性审查，以确定其是否满足竞争性比选文件的实质性要求。</w:t>
      </w:r>
    </w:p>
    <w:p>
      <w:pPr>
        <w:snapToGrid w:val="0"/>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snapToGrid w:val="0"/>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（三）比较与评价。按竞争性比选文件中规定的评标方法和标准，对资格审查和符合性审查合格的投标文件进行商务和技术评估。</w:t>
      </w:r>
    </w:p>
    <w:p>
      <w:pPr>
        <w:snapToGrid w:val="0"/>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snapToGrid w:val="0"/>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复核后，评标委员会汇总每个报价人每项评分因素的得分。</w:t>
      </w:r>
    </w:p>
    <w:p>
      <w:pPr>
        <w:snapToGrid w:val="0"/>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（四）推荐中标候选人名单。</w:t>
      </w:r>
    </w:p>
    <w:p>
      <w:pPr>
        <w:snapToGrid w:val="0"/>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按评审后得分由高到低的排列顺序推荐综合得分排名第一的报价人为本项目中标候选人。</w:t>
      </w:r>
    </w:p>
    <w:p>
      <w:pPr>
        <w:pStyle w:val="14"/>
        <w:spacing w:line="360" w:lineRule="auto"/>
        <w:ind w:firstLine="486"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六、无效投标条款</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报价人或其投标文件出现下列情况之一者，应为无效投标：</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（一）投标文件未按竞争性比选文件要求签署、盖章的；</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（二）不具备竞争性比选文件中规定的资格要求的；</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（三）报价超过竞争性比选文件中规定的预算金额或者最高限价的；</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（四）投标文件含有采购人不能接受的附加条件的；</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（五）报价人串通投标的；</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（六）报价人组成联合体投标的；</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（七）法律、法规和竞争性比选文件规定的其他无效情形。</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七、废标条款</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评标委员会评审时出现以下情况之一的，应予废标：</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（一）符合专业条件的报价人或者对竞争性比选文件作实质响应的报价人不足三家的；</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（二）报价人的报价均超过了采购预算，采购人不能支付的；</w:t>
      </w:r>
    </w:p>
    <w:p>
      <w:pPr>
        <w:spacing w:line="360" w:lineRule="auto"/>
        <w:ind w:firstLine="48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（三）出现影响采购公正的违法、违规行为的；</w:t>
      </w:r>
    </w:p>
    <w:p>
      <w:pPr>
        <w:spacing w:line="360" w:lineRule="auto"/>
        <w:ind w:firstLine="486"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（四）因重大变故，采购任务取消的。</w:t>
      </w:r>
    </w:p>
    <w:p>
      <w:pPr>
        <w:spacing w:line="360" w:lineRule="auto"/>
        <w:jc w:val="center"/>
        <w:rPr>
          <w:rFonts w:asciiTheme="majorEastAsia" w:hAnsiTheme="majorEastAsia" w:eastAsiaTheme="majorEastAsia" w:cstheme="majorEastAsia"/>
          <w:b/>
          <w:bCs/>
          <w:color w:val="000000" w:themeColor="text1"/>
          <w:sz w:val="48"/>
          <w:szCs w:val="48"/>
          <w14:textFill>
            <w14:solidFill>
              <w14:schemeClr w14:val="tx1"/>
            </w14:solidFill>
          </w14:textFill>
        </w:rPr>
      </w:pPr>
    </w:p>
    <w:p>
      <w:pPr>
        <w:widowControl/>
        <w:jc w:val="left"/>
        <w:rPr>
          <w:rFonts w:hint="eastAsia"/>
          <w:color w:val="000000" w:themeColor="text1"/>
          <w:spacing w:val="10"/>
          <w:sz w:val="48"/>
          <w:szCs w:val="48"/>
          <w14:textFill>
            <w14:solidFill>
              <w14:schemeClr w14:val="tx1"/>
            </w14:solidFill>
          </w14:textFill>
        </w:rPr>
      </w:pPr>
    </w:p>
    <w:p>
      <w:pPr>
        <w:pStyle w:val="2"/>
        <w:rPr>
          <w:rFonts w:hint="eastAsia"/>
          <w:color w:val="000000" w:themeColor="text1"/>
          <w:spacing w:val="10"/>
          <w:sz w:val="48"/>
          <w:szCs w:val="48"/>
          <w14:textFill>
            <w14:solidFill>
              <w14:schemeClr w14:val="tx1"/>
            </w14:solidFill>
          </w14:textFill>
        </w:rPr>
      </w:pPr>
    </w:p>
    <w:p>
      <w:pPr>
        <w:rPr>
          <w:rFonts w:hint="eastAsia"/>
          <w:color w:val="000000" w:themeColor="text1"/>
          <w:spacing w:val="10"/>
          <w:sz w:val="48"/>
          <w:szCs w:val="48"/>
          <w14:textFill>
            <w14:solidFill>
              <w14:schemeClr w14:val="tx1"/>
            </w14:solidFill>
          </w14:textFill>
        </w:rPr>
      </w:pPr>
    </w:p>
    <w:p>
      <w:pPr>
        <w:pStyle w:val="2"/>
        <w:rPr>
          <w:rFonts w:hint="eastAsia"/>
          <w:color w:val="000000" w:themeColor="text1"/>
          <w:spacing w:val="10"/>
          <w:sz w:val="48"/>
          <w:szCs w:val="48"/>
          <w14:textFill>
            <w14:solidFill>
              <w14:schemeClr w14:val="tx1"/>
            </w14:solidFill>
          </w14:textFill>
        </w:rPr>
      </w:pPr>
    </w:p>
    <w:p>
      <w:pPr>
        <w:rPr>
          <w:rFonts w:hint="eastAsia"/>
          <w:color w:val="000000" w:themeColor="text1"/>
          <w:spacing w:val="10"/>
          <w:sz w:val="48"/>
          <w:szCs w:val="48"/>
          <w14:textFill>
            <w14:solidFill>
              <w14:schemeClr w14:val="tx1"/>
            </w14:solidFill>
          </w14:textFill>
        </w:rPr>
      </w:pPr>
    </w:p>
    <w:p>
      <w:pPr>
        <w:pStyle w:val="2"/>
        <w:rPr>
          <w:rFonts w:hint="eastAsia"/>
          <w:color w:val="000000" w:themeColor="text1"/>
          <w:spacing w:val="10"/>
          <w:sz w:val="48"/>
          <w:szCs w:val="48"/>
          <w14:textFill>
            <w14:solidFill>
              <w14:schemeClr w14:val="tx1"/>
            </w14:solidFill>
          </w14:textFill>
        </w:rPr>
      </w:pPr>
    </w:p>
    <w:p>
      <w:pPr>
        <w:rPr>
          <w:rFonts w:hint="eastAsia"/>
          <w:color w:val="000000" w:themeColor="text1"/>
          <w:spacing w:val="10"/>
          <w:sz w:val="48"/>
          <w:szCs w:val="48"/>
          <w14:textFill>
            <w14:solidFill>
              <w14:schemeClr w14:val="tx1"/>
            </w14:solidFill>
          </w14:textFill>
        </w:rPr>
      </w:pPr>
    </w:p>
    <w:p>
      <w:pPr>
        <w:pStyle w:val="2"/>
        <w:rPr>
          <w:rFonts w:hint="eastAsia"/>
          <w:color w:val="000000" w:themeColor="text1"/>
          <w:spacing w:val="10"/>
          <w:sz w:val="48"/>
          <w:szCs w:val="48"/>
          <w14:textFill>
            <w14:solidFill>
              <w14:schemeClr w14:val="tx1"/>
            </w14:solidFill>
          </w14:textFill>
        </w:rPr>
      </w:pPr>
    </w:p>
    <w:p>
      <w:pPr>
        <w:rPr>
          <w:rFonts w:hint="eastAsia"/>
          <w:color w:val="000000" w:themeColor="text1"/>
          <w:spacing w:val="10"/>
          <w:sz w:val="48"/>
          <w:szCs w:val="48"/>
          <w14:textFill>
            <w14:solidFill>
              <w14:schemeClr w14:val="tx1"/>
            </w14:solidFill>
          </w14:textFill>
        </w:rPr>
      </w:pPr>
    </w:p>
    <w:p>
      <w:pPr>
        <w:pStyle w:val="2"/>
        <w:rPr>
          <w:rFonts w:hint="eastAsia"/>
          <w:color w:val="000000" w:themeColor="text1"/>
          <w:spacing w:val="10"/>
          <w:sz w:val="48"/>
          <w:szCs w:val="48"/>
          <w14:textFill>
            <w14:solidFill>
              <w14:schemeClr w14:val="tx1"/>
            </w14:solidFill>
          </w14:textFill>
        </w:rPr>
      </w:pPr>
    </w:p>
    <w:p>
      <w:pPr>
        <w:rPr>
          <w:rFonts w:hint="eastAsia"/>
          <w:color w:val="000000" w:themeColor="text1"/>
          <w:spacing w:val="10"/>
          <w:sz w:val="48"/>
          <w:szCs w:val="48"/>
          <w14:textFill>
            <w14:solidFill>
              <w14:schemeClr w14:val="tx1"/>
            </w14:solidFill>
          </w14:textFill>
        </w:rPr>
      </w:pPr>
    </w:p>
    <w:p>
      <w:pPr>
        <w:pStyle w:val="2"/>
        <w:rPr>
          <w:rFonts w:hint="eastAsia"/>
          <w:color w:val="000000" w:themeColor="text1"/>
          <w:spacing w:val="10"/>
          <w:sz w:val="48"/>
          <w:szCs w:val="48"/>
          <w14:textFill>
            <w14:solidFill>
              <w14:schemeClr w14:val="tx1"/>
            </w14:solidFill>
          </w14:textFill>
        </w:rPr>
      </w:pPr>
    </w:p>
    <w:p>
      <w:pPr>
        <w:rPr>
          <w:rFonts w:hint="eastAsia"/>
          <w:color w:val="000000" w:themeColor="text1"/>
          <w:spacing w:val="10"/>
          <w:sz w:val="48"/>
          <w:szCs w:val="48"/>
          <w14:textFill>
            <w14:solidFill>
              <w14:schemeClr w14:val="tx1"/>
            </w14:solidFill>
          </w14:textFill>
        </w:rPr>
      </w:pPr>
    </w:p>
    <w:p>
      <w:pPr>
        <w:pStyle w:val="2"/>
        <w:rPr>
          <w:rFonts w:hint="eastAsia"/>
          <w:color w:val="000000" w:themeColor="text1"/>
          <w:spacing w:val="10"/>
          <w:sz w:val="48"/>
          <w:szCs w:val="48"/>
          <w14:textFill>
            <w14:solidFill>
              <w14:schemeClr w14:val="tx1"/>
            </w14:solidFill>
          </w14:textFill>
        </w:rPr>
      </w:pPr>
    </w:p>
    <w:p>
      <w:pPr>
        <w:rPr>
          <w:rFonts w:hint="eastAsia"/>
          <w:color w:val="000000" w:themeColor="text1"/>
          <w:spacing w:val="10"/>
          <w:sz w:val="48"/>
          <w:szCs w:val="48"/>
          <w14:textFill>
            <w14:solidFill>
              <w14:schemeClr w14:val="tx1"/>
            </w14:solidFill>
          </w14:textFill>
        </w:rPr>
      </w:pPr>
    </w:p>
    <w:p>
      <w:pPr>
        <w:rPr>
          <w:rFonts w:hint="eastAsia"/>
        </w:rPr>
      </w:pPr>
    </w:p>
    <w:p>
      <w:pPr>
        <w:widowControl/>
        <w:jc w:val="center"/>
        <w:rPr>
          <w:color w:val="000000" w:themeColor="text1"/>
          <w:spacing w:val="10"/>
          <w:sz w:val="48"/>
          <w:szCs w:val="48"/>
          <w14:textFill>
            <w14:solidFill>
              <w14:schemeClr w14:val="tx1"/>
            </w14:solidFill>
          </w14:textFill>
        </w:rPr>
      </w:pPr>
      <w:r>
        <w:rPr>
          <w:rFonts w:hint="eastAsia"/>
          <w:color w:val="000000" w:themeColor="text1"/>
          <w:spacing w:val="10"/>
          <w:sz w:val="48"/>
          <w:szCs w:val="48"/>
          <w14:textFill>
            <w14:solidFill>
              <w14:schemeClr w14:val="tx1"/>
            </w14:solidFill>
          </w14:textFill>
        </w:rPr>
        <w:t>第四章  投标报价</w:t>
      </w:r>
    </w:p>
    <w:p>
      <w:pPr>
        <w:pStyle w:val="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1.报价说明</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（2）报价人在分项报价表中填报的综合单价承包到现场所产生的路费、差旅费等。</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（3）报价有算术错误的，评审小组按以下原则对报价进行修正，修正的价格经报价人书面确认后具有约束力。报价人不接受修正价格的，其报价应当予以否决。</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①竞争性比选响应文件中的大写金额与小写金额不一致的，以大写金额为准；</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②总价金额与依据单价计算出的结果不一致的，以单价金额为准修正总价，但单价金额小数点有明显错误的除外。</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（4）实际采购数量以采购人最终需求数量为准</w:t>
      </w:r>
      <w:r>
        <w:rPr>
          <w:rFonts w:hint="eastAsia" w:asciiTheme="minorEastAsia" w:hAnsiTheme="minorEastAsia" w:eastAsiaTheme="minorEastAsia" w:cstheme="minorEastAsia"/>
          <w:b/>
          <w:color w:val="000000" w:themeColor="text1"/>
          <w:sz w:val="24"/>
          <w:szCs w:val="28"/>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报价清单中单价在合同执行过程中保持固定不变，报价人不得以实际采购数量的变化提出调整合同单价。</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（5）报价清单中各项金额均以人民币（元）结算。</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（6）需缴纳的一切税费均由报价单位承担，所有税费均由供货单位自行缴纳</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w:t>
      </w:r>
    </w:p>
    <w:p>
      <w:pPr>
        <w:rPr>
          <w:rFonts w:asciiTheme="minorEastAsia" w:hAnsiTheme="minorEastAsia" w:eastAsiaTheme="minorEastAsia" w:cstheme="minorEastAsia"/>
          <w:color w:val="000000" w:themeColor="text1"/>
          <w:sz w:val="24"/>
          <w14:textFill>
            <w14:solidFill>
              <w14:schemeClr w14:val="tx1"/>
            </w14:solidFill>
          </w14:textFill>
        </w:rPr>
      </w:pPr>
    </w:p>
    <w:p>
      <w:pPr>
        <w:widowControl/>
        <w:jc w:val="left"/>
      </w:pPr>
      <w:r>
        <w:br w:type="page"/>
      </w:r>
    </w:p>
    <w:p/>
    <w:p>
      <w:pPr>
        <w:spacing w:line="360" w:lineRule="auto"/>
        <w:jc w:val="cente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2.报价一览表</w:t>
      </w:r>
    </w:p>
    <w:tbl>
      <w:tblPr>
        <w:tblStyle w:val="20"/>
        <w:tblpPr w:leftFromText="180" w:rightFromText="180" w:vertAnchor="text" w:horzAnchor="page" w:tblpX="898" w:tblpY="178"/>
        <w:tblOverlap w:val="never"/>
        <w:tblW w:w="10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427"/>
        <w:gridCol w:w="1338"/>
        <w:gridCol w:w="294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68"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序号</w:t>
            </w:r>
          </w:p>
        </w:tc>
        <w:tc>
          <w:tcPr>
            <w:tcW w:w="2427"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服务内容</w:t>
            </w:r>
          </w:p>
        </w:tc>
        <w:tc>
          <w:tcPr>
            <w:tcW w:w="1338"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数量</w:t>
            </w:r>
          </w:p>
        </w:tc>
        <w:tc>
          <w:tcPr>
            <w:tcW w:w="2940"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单价（元）</w:t>
            </w:r>
          </w:p>
        </w:tc>
        <w:tc>
          <w:tcPr>
            <w:tcW w:w="2445"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068"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1</w:t>
            </w:r>
          </w:p>
        </w:tc>
        <w:tc>
          <w:tcPr>
            <w:tcW w:w="2427"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内控制度建设</w:t>
            </w:r>
          </w:p>
        </w:tc>
        <w:tc>
          <w:tcPr>
            <w:tcW w:w="1338"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1</w:t>
            </w:r>
          </w:p>
        </w:tc>
        <w:tc>
          <w:tcPr>
            <w:tcW w:w="2940"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p>
        </w:tc>
        <w:tc>
          <w:tcPr>
            <w:tcW w:w="2445"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068"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2</w:t>
            </w:r>
          </w:p>
        </w:tc>
        <w:tc>
          <w:tcPr>
            <w:tcW w:w="2427"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内控实施评价</w:t>
            </w:r>
          </w:p>
        </w:tc>
        <w:tc>
          <w:tcPr>
            <w:tcW w:w="1338"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3</w:t>
            </w:r>
          </w:p>
        </w:tc>
        <w:tc>
          <w:tcPr>
            <w:tcW w:w="2940"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p>
        </w:tc>
        <w:tc>
          <w:tcPr>
            <w:tcW w:w="2445"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7773" w:type="dxa"/>
            <w:gridSpan w:val="4"/>
            <w:vAlign w:val="center"/>
          </w:tcPr>
          <w:p>
            <w:pPr>
              <w:spacing w:line="360" w:lineRule="auto"/>
              <w:jc w:val="left"/>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合计（元）：大写XXX</w:t>
            </w:r>
          </w:p>
        </w:tc>
        <w:tc>
          <w:tcPr>
            <w:tcW w:w="2445" w:type="dxa"/>
            <w:vAlign w:val="center"/>
          </w:tcPr>
          <w:p>
            <w:pPr>
              <w:spacing w:line="360" w:lineRule="auto"/>
              <w:jc w:val="center"/>
              <w:rPr>
                <w:rFonts w:hint="eastAsia" w:asciiTheme="minorEastAsia" w:hAnsiTheme="minorEastAsia" w:eastAsiaTheme="minorEastAsia" w:cstheme="minorEastAsia"/>
                <w:b/>
                <w:bCs/>
                <w:sz w:val="24"/>
                <w:szCs w:val="32"/>
                <w:vertAlign w:val="baseline"/>
                <w:lang w:val="en-US" w:eastAsia="zh-CN"/>
              </w:rPr>
            </w:pPr>
          </w:p>
        </w:tc>
      </w:tr>
    </w:tbl>
    <w:p/>
    <w:p>
      <w:pPr>
        <w:pStyle w:val="2"/>
      </w:pPr>
      <w:r>
        <w:br w:type="page"/>
      </w:r>
    </w:p>
    <w:p/>
    <w:p>
      <w:pPr>
        <w:pStyle w:val="3"/>
        <w:numPr>
          <w:ilvl w:val="0"/>
          <w:numId w:val="4"/>
        </w:numPr>
        <w:spacing w:before="0" w:after="0" w:line="360" w:lineRule="auto"/>
        <w:rPr>
          <w:rFonts w:hint="eastAsia"/>
          <w:color w:val="000000" w:themeColor="text1"/>
          <w:spacing w:val="10"/>
          <w:sz w:val="48"/>
          <w:szCs w:val="48"/>
          <w14:textFill>
            <w14:solidFill>
              <w14:schemeClr w14:val="tx1"/>
            </w14:solidFill>
          </w14:textFill>
        </w:rPr>
      </w:pPr>
      <w:r>
        <w:rPr>
          <w:rFonts w:hint="eastAsia"/>
          <w:color w:val="000000" w:themeColor="text1"/>
          <w:spacing w:val="10"/>
          <w:sz w:val="48"/>
          <w:szCs w:val="48"/>
          <w14:textFill>
            <w14:solidFill>
              <w14:schemeClr w14:val="tx1"/>
            </w14:solidFill>
          </w14:textFill>
        </w:rPr>
        <w:t xml:space="preserve"> 技术标准和要求</w:t>
      </w:r>
    </w:p>
    <w:p>
      <w:pPr>
        <w:numPr>
          <w:ilvl w:val="0"/>
          <w:numId w:val="0"/>
        </w:numPr>
      </w:pPr>
    </w:p>
    <w:p>
      <w:pPr>
        <w:rPr>
          <w:b/>
          <w:bCs/>
          <w:sz w:val="24"/>
          <w:szCs w:val="24"/>
        </w:rPr>
      </w:pPr>
      <w:r>
        <w:rPr>
          <w:rFonts w:hint="eastAsia"/>
          <w:sz w:val="24"/>
          <w:szCs w:val="24"/>
        </w:rPr>
        <w:t>详见第二章报价人须知</w:t>
      </w:r>
      <w:r>
        <w:rPr>
          <w:rFonts w:hint="eastAsia"/>
          <w:sz w:val="24"/>
          <w:szCs w:val="24"/>
          <w:lang w:val="en-US" w:eastAsia="zh-CN"/>
        </w:rPr>
        <w:t>服务</w:t>
      </w:r>
      <w:r>
        <w:rPr>
          <w:rFonts w:hint="eastAsia"/>
          <w:sz w:val="24"/>
          <w:szCs w:val="24"/>
        </w:rPr>
        <w:t>内容及相关要求。</w:t>
      </w:r>
    </w:p>
    <w:p>
      <w:pPr>
        <w:rPr>
          <w:sz w:val="24"/>
          <w:szCs w:val="32"/>
        </w:rPr>
      </w:pPr>
    </w:p>
    <w:p/>
    <w:p>
      <w:pPr>
        <w:widowControl/>
        <w:jc w:val="left"/>
      </w:pPr>
      <w:r>
        <w:br w:type="page"/>
      </w:r>
    </w:p>
    <w:p/>
    <w:p>
      <w:pPr>
        <w:pStyle w:val="3"/>
        <w:spacing w:before="0" w:after="0" w:line="360" w:lineRule="auto"/>
        <w:rPr>
          <w:rFonts w:asciiTheme="majorEastAsia" w:hAnsiTheme="majorEastAsia" w:eastAsiaTheme="majorEastAsia" w:cstheme="majorEastAsia"/>
          <w:b w:val="0"/>
          <w:bCs/>
          <w:sz w:val="52"/>
          <w:szCs w:val="52"/>
        </w:rPr>
      </w:pPr>
      <w:r>
        <w:rPr>
          <w:rFonts w:hint="eastAsia"/>
          <w:color w:val="000000" w:themeColor="text1"/>
          <w:spacing w:val="10"/>
          <w:sz w:val="48"/>
          <w:szCs w:val="48"/>
          <w14:textFill>
            <w14:solidFill>
              <w14:schemeClr w14:val="tx1"/>
            </w14:solidFill>
          </w14:textFill>
        </w:rPr>
        <w:t>第六章  竞争性比选响应文件格式</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参考格式</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竞争性比选响应文件封面</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（以下内容为示例）</w:t>
      </w:r>
    </w:p>
    <w:p>
      <w:pPr>
        <w:jc w:val="center"/>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r>
        <w:rPr>
          <w:rFonts w:hint="eastAsia"/>
          <w:b/>
          <w:color w:val="000000" w:themeColor="text1"/>
          <w:sz w:val="40"/>
          <w14:textFill>
            <w14:solidFill>
              <w14:schemeClr w14:val="tx1"/>
            </w14:solidFill>
          </w14:textFill>
        </w:rPr>
        <w:t>（正本或副本）</w:t>
      </w: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center"/>
        <w:rPr>
          <w:b/>
          <w:color w:val="000000" w:themeColor="text1"/>
          <w:sz w:val="52"/>
          <w:szCs w:val="52"/>
          <w14:textFill>
            <w14:solidFill>
              <w14:schemeClr w14:val="tx1"/>
            </w14:solidFill>
          </w14:textFill>
        </w:rPr>
      </w:pPr>
      <w:r>
        <w:rPr>
          <w:rFonts w:hint="eastAsia" w:ascii="宋体"/>
          <w:b/>
          <w:color w:val="000000" w:themeColor="text1"/>
          <w:sz w:val="52"/>
          <w:szCs w:val="52"/>
          <w14:textFill>
            <w14:solidFill>
              <w14:schemeClr w14:val="tx1"/>
            </w14:solidFill>
          </w14:textFill>
        </w:rPr>
        <w:t>重庆首讯科技股份有限公司上市内控建设服务项目</w:t>
      </w:r>
    </w:p>
    <w:p>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竞争性比选响应文件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u w:val="single"/>
          <w14:textFill>
            <w14:solidFill>
              <w14:schemeClr w14:val="tx1"/>
            </w14:solidFill>
          </w14:textFill>
        </w:rPr>
      </w:pPr>
      <w:r>
        <w:rPr>
          <w:rFonts w:hint="eastAsia"/>
          <w:color w:val="000000" w:themeColor="text1"/>
          <w:sz w:val="32"/>
          <w:szCs w:val="32"/>
          <w:u w:val="single"/>
          <w14:textFill>
            <w14:solidFill>
              <w14:schemeClr w14:val="tx1"/>
            </w14:solidFill>
          </w14:textFill>
        </w:rPr>
        <w:t>报价人名称全称（盖单位公章）</w:t>
      </w:r>
    </w:p>
    <w:p>
      <w:pPr>
        <w:pStyle w:val="9"/>
        <w:snapToGrid w:val="0"/>
        <w:ind w:firstLine="577"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10</w:t>
      </w:r>
      <w:r>
        <w:rPr>
          <w:rFonts w:hint="eastAsia" w:ascii="宋体" w:hAnsi="宋体"/>
          <w:color w:val="000000" w:themeColor="text1"/>
          <w:sz w:val="32"/>
          <w:szCs w:val="32"/>
          <w14:textFill>
            <w14:solidFill>
              <w14:schemeClr w14:val="tx1"/>
            </w14:solidFill>
          </w14:textFill>
        </w:rPr>
        <w:t>月</w:t>
      </w:r>
    </w:p>
    <w:p>
      <w:pPr>
        <w:pStyle w:val="16"/>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一、竞争性比选响应声明书</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w:t>
      </w:r>
      <w:r>
        <w:rPr>
          <w:rFonts w:hint="eastAsia" w:ascii="宋体" w:hAnsi="宋体"/>
          <w:color w:val="000000" w:themeColor="text1"/>
          <w:sz w:val="24"/>
          <w:u w:val="single"/>
          <w14:textFill>
            <w14:solidFill>
              <w14:schemeClr w14:val="tx1"/>
            </w14:solidFill>
          </w14:textFill>
        </w:rPr>
        <w:t>重庆首讯科技股份有限公司上市内控建设服务项目</w:t>
      </w:r>
      <w:r>
        <w:rPr>
          <w:rFonts w:hint="eastAsia" w:ascii="Arial" w:hAnsi="Arial" w:cs="Arial"/>
          <w:color w:val="000000" w:themeColor="text1"/>
          <w:sz w:val="24"/>
          <w14:textFill>
            <w14:solidFill>
              <w14:schemeClr w14:val="tx1"/>
            </w14:solidFill>
          </w14:textFill>
        </w:rPr>
        <w:t>竞争性比选文件要求，签字代表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经正式授权并代表报价人</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（报价人名称、地址）</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提交以下文件正本一份、副本两份和电子文件1份。</w:t>
      </w:r>
    </w:p>
    <w:p>
      <w:pPr>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我方愿以人民币：              元（大写              元）</w:t>
      </w:r>
      <w:r>
        <w:rPr>
          <w:rFonts w:hint="eastAsia" w:ascii="Arial" w:hAnsi="Arial" w:cs="Arial"/>
          <w:color w:val="000000" w:themeColor="text1"/>
          <w:sz w:val="24"/>
          <w14:textFill>
            <w14:solidFill>
              <w14:schemeClr w14:val="tx1"/>
            </w14:solidFill>
          </w14:textFill>
        </w:rPr>
        <w:t>的总报价（含6%增值税），按照竞争性比选文件的要求，承担本次竞争性比选文件要求的设备及售后服务。</w:t>
      </w:r>
    </w:p>
    <w:p>
      <w:pPr>
        <w:tabs>
          <w:tab w:val="left" w:pos="540"/>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、报价人将按竞争性比选文件规定履行合同责任和义务。</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3、报价人同意提供采购人可能要求的与其竞争性比选响应文件有关的一切数据或资料。</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4、与本竞争性比选响应有关的一切正式往来通讯请寄：</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报价人法定代表人或授权代表人职务：</w:t>
      </w:r>
      <w:r>
        <w:rPr>
          <w:rFonts w:ascii="Arial" w:hAnsi="Arial" w:cs="Arial"/>
          <w:b/>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60" w:lineRule="auto"/>
        <w:ind w:firstLine="488" w:firstLineChars="200"/>
        <w:rPr>
          <w:rFonts w:ascii="Arial" w:hAnsi="Arial" w:cs="Arial"/>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14:textFill>
            <w14:solidFill>
              <w14:schemeClr w14:val="tx1"/>
            </w14:solidFill>
          </w14:textFill>
        </w:rPr>
        <w:t xml:space="preserve">  </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p>
    <w:p>
      <w:pPr>
        <w:tabs>
          <w:tab w:val="left" w:pos="900"/>
        </w:tabs>
        <w:spacing w:line="300" w:lineRule="auto"/>
        <w:rPr>
          <w:rFonts w:ascii="Arial" w:hAnsi="Arial" w:cs="Arial"/>
          <w:color w:val="000000" w:themeColor="text1"/>
          <w:sz w:val="24"/>
          <w14:textFill>
            <w14:solidFill>
              <w14:schemeClr w14:val="tx1"/>
            </w14:solidFill>
          </w14:textFill>
        </w:rPr>
      </w:pPr>
    </w:p>
    <w:p>
      <w:pPr>
        <w:pStyle w:val="9"/>
        <w:snapToGrid w:val="0"/>
        <w:jc w:val="left"/>
        <w:rPr>
          <w:rFonts w:ascii="宋体" w:hAnsi="宋体"/>
          <w:color w:val="000000" w:themeColor="text1"/>
          <w14:textFill>
            <w14:solidFill>
              <w14:schemeClr w14:val="tx1"/>
            </w14:solidFill>
          </w14:textFill>
        </w:rPr>
      </w:pPr>
      <w:bookmarkStart w:id="56" w:name="_Toc491883232"/>
    </w:p>
    <w:p>
      <w:pPr>
        <w:pStyle w:val="1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val="0"/>
          <w:color w:val="000000" w:themeColor="text1"/>
          <w14:textFill>
            <w14:solidFill>
              <w14:schemeClr w14:val="tx1"/>
            </w14:solidFill>
          </w14:textFill>
        </w:rPr>
        <w:t>二</w:t>
      </w:r>
      <w:r>
        <w:rPr>
          <w:rFonts w:ascii="宋体" w:hAnsi="宋体"/>
          <w:bCs w:val="0"/>
          <w:color w:val="000000" w:themeColor="text1"/>
          <w14:textFill>
            <w14:solidFill>
              <w14:schemeClr w14:val="tx1"/>
            </w14:solidFill>
          </w14:textFill>
        </w:rPr>
        <w:t>、</w:t>
      </w:r>
      <w:r>
        <w:rPr>
          <w:rFonts w:hint="eastAsia" w:ascii="宋体" w:hAnsi="宋体"/>
          <w:bCs w:val="0"/>
          <w:color w:val="000000" w:themeColor="text1"/>
          <w14:textFill>
            <w14:solidFill>
              <w14:schemeClr w14:val="tx1"/>
            </w14:solidFill>
          </w14:textFill>
        </w:rPr>
        <w:t>法定代表人身份证明和法定代表人授权委托书</w:t>
      </w:r>
    </w:p>
    <w:p>
      <w:pPr>
        <w:pStyle w:val="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ascii="宋体" w:hAnsi="宋体"/>
          <w:color w:val="000000" w:themeColor="text1"/>
          <w:sz w:val="28"/>
          <w:szCs w:val="28"/>
          <w14:textFill>
            <w14:solidFill>
              <w14:schemeClr w14:val="tx1"/>
            </w14:solidFill>
          </w14:textFill>
        </w:rPr>
        <w:t>法定代表人身份证明</w:t>
      </w:r>
      <w:bookmarkEnd w:id="56"/>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报价人名称：</w:t>
      </w:r>
      <w:r>
        <w:rPr>
          <w:rFonts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姓名：</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性别：</w:t>
      </w:r>
      <w:bookmarkStart w:id="57" w:name="_Toc27897"/>
      <w:bookmarkStart w:id="58" w:name="_Toc369531698"/>
      <w:bookmarkStart w:id="59" w:name="_Toc352691662"/>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bookmarkEnd w:id="57"/>
      <w:bookmarkEnd w:id="58"/>
      <w:bookmarkEnd w:id="59"/>
      <w:r>
        <w:rPr>
          <w:rFonts w:ascii="宋体" w:hAnsi="宋体"/>
          <w:color w:val="000000" w:themeColor="text1"/>
          <w:sz w:val="24"/>
          <w14:textFill>
            <w14:solidFill>
              <w14:schemeClr w14:val="tx1"/>
            </w14:solidFill>
          </w14:textFill>
        </w:rPr>
        <w:t>龄</w:t>
      </w:r>
      <w:bookmarkStart w:id="60" w:name="_Toc144974858"/>
      <w:bookmarkStart w:id="61" w:name="_Toc369531699"/>
      <w:bookmarkStart w:id="62" w:name="_Toc247527829"/>
      <w:bookmarkStart w:id="63" w:name="_Toc384308377"/>
      <w:bookmarkStart w:id="64" w:name="_Toc300835211"/>
      <w:bookmarkStart w:id="65" w:name="_Toc352691663"/>
      <w:bookmarkStart w:id="66" w:name="_Toc152045789"/>
      <w:bookmarkStart w:id="67" w:name="_Toc15573"/>
      <w:bookmarkStart w:id="68" w:name="_Toc247514248"/>
      <w:bookmarkStart w:id="69" w:name="_Toc361508754"/>
      <w:bookmarkStart w:id="70" w:name="_Toc152042578"/>
      <w:r>
        <w:rPr>
          <w:rFonts w:ascii="宋体" w:hAnsi="宋体"/>
          <w:color w:val="000000" w:themeColor="text1"/>
          <w:sz w:val="24"/>
          <w14:textFill>
            <w14:solidFill>
              <w14:schemeClr w14:val="tx1"/>
            </w14:solidFill>
          </w14:textFill>
        </w:rPr>
        <w:t>：</w:t>
      </w:r>
      <w:bookmarkEnd w:id="60"/>
      <w:bookmarkEnd w:id="61"/>
      <w:bookmarkEnd w:id="62"/>
      <w:bookmarkEnd w:id="63"/>
      <w:bookmarkEnd w:id="64"/>
      <w:bookmarkEnd w:id="65"/>
      <w:bookmarkEnd w:id="66"/>
      <w:bookmarkEnd w:id="67"/>
      <w:bookmarkEnd w:id="68"/>
      <w:bookmarkEnd w:id="69"/>
      <w:bookmarkEnd w:id="70"/>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职务：</w:t>
      </w:r>
      <w:r>
        <w:rPr>
          <w:rFonts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（报价人名称）的法定代表人。</w:t>
      </w:r>
    </w:p>
    <w:p>
      <w:pPr>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特此证明。</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附：法定代表人身份证复印件。</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pStyle w:val="14"/>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14"/>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报价人：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盖</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rPr>
          <w:rFonts w:ascii="宋体" w:hAnsi="宋体"/>
          <w:color w:val="000000" w:themeColor="text1"/>
          <w:sz w:val="24"/>
          <w14:textFill>
            <w14:solidFill>
              <w14:schemeClr w14:val="tx1"/>
            </w14:solidFill>
          </w14:textFill>
        </w:rPr>
      </w:pPr>
    </w:p>
    <w:p>
      <w:pPr>
        <w:spacing w:line="440" w:lineRule="exact"/>
        <w:ind w:firstLine="5349" w:firstLineChars="2200"/>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注：本身份证明需由报价人加盖单位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71" w:name="_Toc491883233"/>
      <w:r>
        <w:rPr>
          <w:rFonts w:hint="eastAsia" w:ascii="宋体" w:hAnsi="宋体"/>
          <w:color w:val="000000" w:themeColor="text1"/>
          <w:sz w:val="28"/>
          <w:szCs w:val="28"/>
          <w14:textFill>
            <w14:solidFill>
              <w14:schemeClr w14:val="tx1"/>
            </w14:solidFill>
          </w14:textFill>
        </w:rPr>
        <w:t>（二）</w:t>
      </w:r>
      <w:bookmarkEnd w:id="71"/>
      <w:r>
        <w:rPr>
          <w:rFonts w:hint="eastAsia" w:ascii="宋体" w:hAnsi="宋体"/>
          <w:color w:val="000000" w:themeColor="text1"/>
          <w:sz w:val="28"/>
          <w:szCs w:val="28"/>
          <w14:textFill>
            <w14:solidFill>
              <w14:schemeClr w14:val="tx1"/>
            </w14:solidFill>
          </w14:textFill>
        </w:rPr>
        <w:t>法定代表人授权委托书</w:t>
      </w:r>
    </w:p>
    <w:p>
      <w:pPr>
        <w:spacing w:line="440" w:lineRule="exact"/>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360" w:lineRule="auto"/>
        <w:ind w:left="0" w:leftChars="0" w:right="0" w:rightChars="0" w:firstLine="486" w:firstLineChars="200"/>
        <w:jc w:val="both"/>
        <w:textAlignment w:val="auto"/>
        <w:outlineLvl w:val="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（报价人名称）的法定代表人，现委托</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（姓名）为我方代理人。代理人根据授权，以我方名义签署、澄清确认、递交、撤回、修改</w:t>
      </w:r>
      <w:r>
        <w:rPr>
          <w:rFonts w:hint="eastAsia" w:ascii="宋体" w:hAnsi="宋体"/>
          <w:color w:val="000000" w:themeColor="text1"/>
          <w:sz w:val="24"/>
          <w:u w:val="single"/>
          <w14:textFill>
            <w14:solidFill>
              <w14:schemeClr w14:val="tx1"/>
            </w14:solidFill>
          </w14:textFill>
        </w:rPr>
        <w:t>重庆首讯科技股份有限公司上市内控建设服务项目</w:t>
      </w:r>
      <w:r>
        <w:rPr>
          <w:rFonts w:ascii="宋体" w:hAnsi="宋体"/>
          <w:color w:val="000000" w:themeColor="text1"/>
          <w:sz w:val="24"/>
          <w14:textFill>
            <w14:solidFill>
              <w14:schemeClr w14:val="tx1"/>
            </w14:solidFill>
          </w14:textFill>
        </w:rPr>
        <w:t>竞争性比选响应文件、签订合同和处理有关事宜，其法律后果由我方承担。</w:t>
      </w:r>
    </w:p>
    <w:p>
      <w:pPr>
        <w:keepNext w:val="0"/>
        <w:keepLines w:val="0"/>
        <w:pageBreakBefore w:val="0"/>
        <w:widowControl w:val="0"/>
        <w:kinsoku/>
        <w:wordWrap/>
        <w:overflowPunct/>
        <w:autoSpaceDE/>
        <w:autoSpaceDN/>
        <w:bidi w:val="0"/>
        <w:adjustRightInd/>
        <w:snapToGrid/>
        <w:spacing w:line="360" w:lineRule="auto"/>
        <w:ind w:left="0" w:leftChars="0" w:right="0" w:rightChars="0"/>
        <w:jc w:val="both"/>
        <w:textAlignment w:val="auto"/>
        <w:outlineLvl w:val="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360" w:lineRule="auto"/>
        <w:ind w:left="0" w:leftChars="0" w:right="0" w:rightChars="0" w:firstLine="486" w:firstLineChars="200"/>
        <w:jc w:val="both"/>
        <w:textAlignment w:val="auto"/>
        <w:outlineLvl w:val="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代理人无转委托权。</w:t>
      </w:r>
    </w:p>
    <w:p>
      <w:pPr>
        <w:keepNext w:val="0"/>
        <w:keepLines w:val="0"/>
        <w:pageBreakBefore w:val="0"/>
        <w:widowControl w:val="0"/>
        <w:kinsoku/>
        <w:wordWrap/>
        <w:overflowPunct/>
        <w:autoSpaceDE/>
        <w:autoSpaceDN/>
        <w:bidi w:val="0"/>
        <w:adjustRightInd/>
        <w:snapToGrid/>
        <w:spacing w:line="360" w:lineRule="auto"/>
        <w:ind w:left="0" w:leftChars="0" w:right="0" w:rightChars="0" w:firstLine="486" w:firstLineChars="200"/>
        <w:jc w:val="both"/>
        <w:textAlignment w:val="auto"/>
        <w:outlineLvl w:val="9"/>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360" w:lineRule="auto"/>
        <w:ind w:left="0" w:leftChars="0" w:right="0" w:rightChars="0"/>
        <w:jc w:val="both"/>
        <w:textAlignment w:val="auto"/>
        <w:outlineLvl w:val="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附：法定代表人身份证复印件及委托代理人身份证复印件</w:t>
      </w:r>
    </w:p>
    <w:p>
      <w:pPr>
        <w:spacing w:line="440" w:lineRule="exact"/>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报  价</w:t>
      </w:r>
      <w:r>
        <w:rPr>
          <w:rFonts w:ascii="宋体" w:hAnsi="宋体"/>
          <w:color w:val="000000" w:themeColor="text1"/>
          <w:sz w:val="24"/>
          <w14:textFill>
            <w14:solidFill>
              <w14:schemeClr w14:val="tx1"/>
            </w14:solidFill>
          </w14:textFill>
        </w:rPr>
        <w:t xml:space="preserve">  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盖</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（签字</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委托代理人：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p>
    <w:p>
      <w:pPr>
        <w:spacing w:line="440" w:lineRule="exact"/>
        <w:ind w:firstLine="3117" w:firstLineChars="1282"/>
        <w:rPr>
          <w:rFonts w:ascii="宋体" w:hAnsi="宋体"/>
          <w:color w:val="000000" w:themeColor="text1"/>
          <w:sz w:val="24"/>
          <w14:textFill>
            <w14:solidFill>
              <w14:schemeClr w14:val="tx1"/>
            </w14:solidFill>
          </w14:textFill>
        </w:rPr>
      </w:pPr>
    </w:p>
    <w:p>
      <w:pPr>
        <w:spacing w:line="440" w:lineRule="exact"/>
        <w:ind w:firstLine="4697" w:firstLineChars="1932"/>
        <w:jc w:val="right"/>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注：本授权委托书需由报价人加盖单位</w:t>
      </w:r>
      <w:r>
        <w:rPr>
          <w:rFonts w:hint="eastAsia" w:ascii="宋体" w:hAnsi="宋体"/>
          <w:bCs/>
          <w:color w:val="000000" w:themeColor="text1"/>
          <w:sz w:val="24"/>
          <w14:textFill>
            <w14:solidFill>
              <w14:schemeClr w14:val="tx1"/>
            </w14:solidFill>
          </w14:textFill>
        </w:rPr>
        <w:t>鲜</w:t>
      </w:r>
      <w:r>
        <w:rPr>
          <w:rFonts w:ascii="宋体" w:hAnsi="宋体"/>
          <w:bCs/>
          <w:color w:val="000000" w:themeColor="text1"/>
          <w:sz w:val="24"/>
          <w14:textFill>
            <w14:solidFill>
              <w14:schemeClr w14:val="tx1"/>
            </w14:solidFill>
          </w14:textFill>
        </w:rPr>
        <w:t>公章并由其法定代表人和委托代理人签字。</w:t>
      </w:r>
    </w:p>
    <w:p>
      <w:pPr>
        <w:pStyle w:val="16"/>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三、报价一览表</w:t>
      </w:r>
    </w:p>
    <w:p>
      <w:pPr>
        <w:pStyle w:val="15"/>
        <w:ind w:firstLine="488"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spacing w:line="360" w:lineRule="auto"/>
        <w:ind w:firstLine="486"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在研究了竞争性比选文件中所有文件后，我司对</w:t>
      </w:r>
      <w:r>
        <w:rPr>
          <w:rFonts w:hint="eastAsia" w:ascii="宋体" w:hAnsi="宋体"/>
          <w:color w:val="000000" w:themeColor="text1"/>
          <w:sz w:val="24"/>
          <w:u w:val="single"/>
          <w14:textFill>
            <w14:solidFill>
              <w14:schemeClr w14:val="tx1"/>
            </w14:solidFill>
          </w14:textFill>
        </w:rPr>
        <w:t>重庆首讯科技股份有限公司上市内控建设服务项目</w:t>
      </w:r>
      <w:r>
        <w:rPr>
          <w:rFonts w:hint="eastAsia" w:ascii="宋体" w:hAnsi="宋体"/>
          <w:color w:val="000000" w:themeColor="text1"/>
          <w:sz w:val="24"/>
          <w14:textFill>
            <w14:solidFill>
              <w14:schemeClr w14:val="tx1"/>
            </w14:solidFill>
          </w14:textFill>
        </w:rPr>
        <w:t>竞争性比选响应报价如下：</w:t>
      </w:r>
    </w:p>
    <w:p>
      <w:pPr>
        <w:pStyle w:val="2"/>
      </w:pPr>
    </w:p>
    <w:p>
      <w:pPr>
        <w:spacing w:line="360"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报价一览表</w:t>
      </w:r>
    </w:p>
    <w:tbl>
      <w:tblPr>
        <w:tblStyle w:val="20"/>
        <w:tblpPr w:leftFromText="180" w:rightFromText="180" w:vertAnchor="text" w:horzAnchor="page" w:tblpX="1666" w:tblpY="178"/>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433"/>
        <w:gridCol w:w="1233"/>
        <w:gridCol w:w="2189"/>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50"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序号</w:t>
            </w:r>
          </w:p>
        </w:tc>
        <w:tc>
          <w:tcPr>
            <w:tcW w:w="2433"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服务内容</w:t>
            </w:r>
          </w:p>
        </w:tc>
        <w:tc>
          <w:tcPr>
            <w:tcW w:w="1233"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数量</w:t>
            </w:r>
          </w:p>
        </w:tc>
        <w:tc>
          <w:tcPr>
            <w:tcW w:w="2189"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单价（元）</w:t>
            </w:r>
          </w:p>
        </w:tc>
        <w:tc>
          <w:tcPr>
            <w:tcW w:w="2445"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150"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1</w:t>
            </w:r>
          </w:p>
        </w:tc>
        <w:tc>
          <w:tcPr>
            <w:tcW w:w="2433"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内控制度建设</w:t>
            </w:r>
          </w:p>
        </w:tc>
        <w:tc>
          <w:tcPr>
            <w:tcW w:w="1233"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1</w:t>
            </w:r>
          </w:p>
        </w:tc>
        <w:tc>
          <w:tcPr>
            <w:tcW w:w="2189"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p>
        </w:tc>
        <w:tc>
          <w:tcPr>
            <w:tcW w:w="2445"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150"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2</w:t>
            </w:r>
          </w:p>
        </w:tc>
        <w:tc>
          <w:tcPr>
            <w:tcW w:w="2433"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内控实施评价</w:t>
            </w:r>
          </w:p>
        </w:tc>
        <w:tc>
          <w:tcPr>
            <w:tcW w:w="1233"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3</w:t>
            </w:r>
          </w:p>
        </w:tc>
        <w:tc>
          <w:tcPr>
            <w:tcW w:w="2189"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p>
        </w:tc>
        <w:tc>
          <w:tcPr>
            <w:tcW w:w="2445" w:type="dxa"/>
            <w:vAlign w:val="center"/>
          </w:tcPr>
          <w:p>
            <w:pPr>
              <w:spacing w:line="360" w:lineRule="auto"/>
              <w:jc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7005" w:type="dxa"/>
            <w:gridSpan w:val="4"/>
            <w:vAlign w:val="center"/>
          </w:tcPr>
          <w:p>
            <w:pPr>
              <w:spacing w:line="360" w:lineRule="auto"/>
              <w:jc w:val="left"/>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合计（元）：大写</w:t>
            </w:r>
          </w:p>
        </w:tc>
        <w:tc>
          <w:tcPr>
            <w:tcW w:w="2445" w:type="dxa"/>
            <w:vAlign w:val="center"/>
          </w:tcPr>
          <w:p>
            <w:pPr>
              <w:spacing w:line="360" w:lineRule="auto"/>
              <w:jc w:val="center"/>
              <w:rPr>
                <w:rFonts w:hint="eastAsia" w:asciiTheme="minorEastAsia" w:hAnsiTheme="minorEastAsia" w:eastAsiaTheme="minorEastAsia" w:cstheme="minorEastAsia"/>
                <w:b/>
                <w:bCs/>
                <w:sz w:val="24"/>
                <w:szCs w:val="32"/>
                <w:vertAlign w:val="baseline"/>
                <w:lang w:val="en-US" w:eastAsia="zh-CN"/>
              </w:rPr>
            </w:pPr>
          </w:p>
        </w:tc>
      </w:tr>
    </w:tbl>
    <w:p>
      <w:pPr>
        <w:pStyle w:val="2"/>
      </w:pPr>
    </w:p>
    <w:p>
      <w:pPr>
        <w:pStyle w:val="2"/>
        <w:rPr>
          <w:rFonts w:ascii="宋体" w:hAnsi="宋体"/>
          <w:color w:val="000000" w:themeColor="text1"/>
          <w:sz w:val="24"/>
          <w14:textFill>
            <w14:solidFill>
              <w14:schemeClr w14:val="tx1"/>
            </w14:solidFill>
          </w14:textFill>
        </w:rPr>
      </w:pP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8"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16"/>
        <w:rPr>
          <w:b w:val="0"/>
          <w:color w:val="000000" w:themeColor="text1"/>
          <w:sz w:val="24"/>
          <w14:textFill>
            <w14:solidFill>
              <w14:schemeClr w14:val="tx1"/>
            </w14:solidFill>
          </w14:textFill>
        </w:rPr>
      </w:pPr>
      <w:r>
        <w:rPr>
          <w:b w:val="0"/>
          <w:color w:val="000000" w:themeColor="text1"/>
          <w:sz w:val="24"/>
          <w14:textFill>
            <w14:solidFill>
              <w14:schemeClr w14:val="tx1"/>
            </w14:solidFill>
          </w14:textFill>
        </w:rPr>
        <w:br w:type="page"/>
      </w:r>
    </w:p>
    <w:p>
      <w:pPr>
        <w:widowControl/>
        <w:jc w:val="center"/>
        <w:rPr>
          <w:rFonts w:ascii="Cambria" w:hAnsi="Cambria"/>
          <w:b/>
          <w:bCs/>
          <w:color w:val="000000" w:themeColor="text1"/>
          <w:sz w:val="32"/>
          <w:szCs w:val="32"/>
          <w14:textFill>
            <w14:solidFill>
              <w14:schemeClr w14:val="tx1"/>
            </w14:solidFill>
          </w14:textFill>
        </w:rPr>
      </w:pPr>
      <w:r>
        <w:rPr>
          <w:rFonts w:hint="eastAsia" w:ascii="Cambria" w:hAnsi="Cambria"/>
          <w:b/>
          <w:bCs/>
          <w:color w:val="000000" w:themeColor="text1"/>
          <w:sz w:val="32"/>
          <w:szCs w:val="32"/>
          <w14:textFill>
            <w14:solidFill>
              <w14:schemeClr w14:val="tx1"/>
            </w14:solidFill>
          </w14:textFill>
        </w:rPr>
        <w:t>四、资格要求材料</w:t>
      </w:r>
    </w:p>
    <w:p>
      <w:pPr>
        <w:spacing w:line="360" w:lineRule="auto"/>
        <w:rPr>
          <w:rFonts w:ascii="宋体" w:hAnsi="宋体" w:cs="宋体"/>
          <w:color w:val="000000" w:themeColor="text1"/>
          <w:sz w:val="24"/>
          <w:szCs w:val="28"/>
          <w14:textFill>
            <w14:solidFill>
              <w14:schemeClr w14:val="tx1"/>
            </w14:solidFill>
          </w14:textFill>
        </w:rPr>
      </w:pPr>
    </w:p>
    <w:p>
      <w:pPr>
        <w:spacing w:line="360" w:lineRule="auto"/>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（一）资格条件</w:t>
      </w:r>
    </w:p>
    <w:p>
      <w:pPr>
        <w:spacing w:line="360" w:lineRule="auto"/>
        <w:ind w:firstLine="488"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1．具有独立法人资格，具有有效的营业执照；</w:t>
      </w:r>
    </w:p>
    <w:p>
      <w:pPr>
        <w:spacing w:line="360" w:lineRule="auto"/>
        <w:ind w:firstLine="488" w:firstLineChars="200"/>
        <w:rPr>
          <w:rFonts w:hint="eastAsia"/>
          <w:color w:val="000000" w:themeColor="text1"/>
          <w:sz w:val="24"/>
          <w:szCs w:val="28"/>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2</w:t>
      </w:r>
      <w:r>
        <w:rPr>
          <w:rFonts w:hint="eastAsia"/>
          <w:color w:val="000000" w:themeColor="text1"/>
          <w:sz w:val="24"/>
          <w:szCs w:val="28"/>
          <w14:textFill>
            <w14:solidFill>
              <w14:schemeClr w14:val="tx1"/>
            </w14:solidFill>
          </w14:textFill>
        </w:rPr>
        <w:t>．信誉良好：在国家企业信用信息公示系统（http://www.gsxt.gov.cn/）中未被列入严重违法失信企业名单（黑名单）信息；在“信用中国”网站（http://www.creditchina.gov.cn/）中未被列入失信惩戒执行人名单；</w:t>
      </w:r>
    </w:p>
    <w:p>
      <w:pPr>
        <w:spacing w:line="360" w:lineRule="auto"/>
        <w:ind w:firstLine="488" w:firstLineChars="200"/>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注：提供以上</w:t>
      </w:r>
      <w:r>
        <w:rPr>
          <w:rFonts w:hint="eastAsia" w:ascii="宋体" w:hAnsi="宋体" w:cs="宋体"/>
          <w:b/>
          <w:bCs/>
          <w:color w:val="000000" w:themeColor="text1"/>
          <w:sz w:val="24"/>
          <w:szCs w:val="28"/>
          <w:lang w:val="en-US" w:eastAsia="zh-CN"/>
          <w14:textFill>
            <w14:solidFill>
              <w14:schemeClr w14:val="tx1"/>
            </w14:solidFill>
          </w14:textFill>
        </w:rPr>
        <w:t>营业执照、资质证书复印件，</w:t>
      </w:r>
      <w:r>
        <w:rPr>
          <w:rFonts w:hint="eastAsia" w:ascii="宋体" w:hAnsi="宋体" w:cs="宋体"/>
          <w:b/>
          <w:bCs/>
          <w:color w:val="000000" w:themeColor="text1"/>
          <w:sz w:val="24"/>
          <w:szCs w:val="28"/>
          <w14:textFill>
            <w14:solidFill>
              <w14:schemeClr w14:val="tx1"/>
            </w14:solidFill>
          </w14:textFill>
        </w:rPr>
        <w:t>网站查询结果截图</w:t>
      </w:r>
      <w:r>
        <w:rPr>
          <w:rFonts w:hint="eastAsia" w:ascii="宋体" w:hAnsi="宋体" w:cs="宋体"/>
          <w:b/>
          <w:bCs/>
          <w:color w:val="000000" w:themeColor="text1"/>
          <w:sz w:val="24"/>
          <w:szCs w:val="28"/>
          <w:lang w:val="en-US" w:eastAsia="zh-CN"/>
          <w14:textFill>
            <w14:solidFill>
              <w14:schemeClr w14:val="tx1"/>
            </w14:solidFill>
          </w14:textFill>
        </w:rPr>
        <w:t>加盖报价人公章</w:t>
      </w:r>
      <w:r>
        <w:rPr>
          <w:rFonts w:hint="eastAsia" w:ascii="宋体" w:hAnsi="宋体" w:cs="宋体"/>
          <w:b/>
          <w:bCs/>
          <w:color w:val="000000" w:themeColor="text1"/>
          <w:sz w:val="24"/>
          <w:szCs w:val="28"/>
          <w:lang w:eastAsia="zh-CN"/>
          <w14:textFill>
            <w14:solidFill>
              <w14:schemeClr w14:val="tx1"/>
            </w14:solidFill>
          </w14:textFill>
        </w:rPr>
        <w:t>。</w:t>
      </w:r>
    </w:p>
    <w:p>
      <w:pPr>
        <w:widowControl/>
        <w:jc w:val="left"/>
        <w:rPr>
          <w:rFonts w:ascii="宋体" w:hAnsi="宋体" w:cs="宋体"/>
          <w:b/>
          <w:bCs/>
          <w:color w:val="000000" w:themeColor="text1"/>
          <w:sz w:val="24"/>
          <w:szCs w:val="28"/>
          <w14:textFill>
            <w14:solidFill>
              <w14:schemeClr w14:val="tx1"/>
            </w14:solidFill>
          </w14:textFill>
        </w:rPr>
      </w:pPr>
      <w:r>
        <w:rPr>
          <w:rFonts w:ascii="宋体" w:hAnsi="宋体" w:cs="宋体"/>
          <w:b/>
          <w:bCs/>
          <w:color w:val="000000" w:themeColor="text1"/>
          <w:sz w:val="24"/>
          <w:szCs w:val="28"/>
          <w14:textFill>
            <w14:solidFill>
              <w14:schemeClr w14:val="tx1"/>
            </w14:solidFill>
          </w14:textFill>
        </w:rPr>
        <w:br w:type="page"/>
      </w:r>
    </w:p>
    <w:p>
      <w:pPr>
        <w:rPr>
          <w:rFonts w:ascii="宋体" w:hAnsi="宋体" w:cs="宋体"/>
          <w:b/>
          <w:bCs/>
          <w:color w:val="000000" w:themeColor="text1"/>
          <w:sz w:val="24"/>
          <w:szCs w:val="28"/>
          <w14:textFill>
            <w14:solidFill>
              <w14:schemeClr w14:val="tx1"/>
            </w14:solidFill>
          </w14:textFill>
        </w:rPr>
      </w:pPr>
    </w:p>
    <w:p>
      <w:pPr>
        <w:spacing w:line="360" w:lineRule="auto"/>
        <w:jc w:val="center"/>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（二）商务及技术评分资料</w:t>
      </w:r>
    </w:p>
    <w:p>
      <w:pPr>
        <w:spacing w:line="360" w:lineRule="auto"/>
        <w:jc w:val="center"/>
        <w:outlineLvl w:val="2"/>
        <w:rPr>
          <w:b/>
          <w:sz w:val="24"/>
        </w:rPr>
      </w:pPr>
      <w:bookmarkStart w:id="72" w:name="OLE_LINK34"/>
      <w:r>
        <w:rPr>
          <w:rFonts w:hint="eastAsia"/>
          <w:bCs/>
          <w:sz w:val="24"/>
        </w:rPr>
        <w:t>商务及技术部分</w:t>
      </w:r>
      <w:bookmarkEnd w:id="72"/>
      <w:r>
        <w:rPr>
          <w:rFonts w:hint="eastAsia"/>
          <w:bCs/>
          <w:sz w:val="24"/>
        </w:rPr>
        <w:t>资料目录</w:t>
      </w:r>
    </w:p>
    <w:tbl>
      <w:tblPr>
        <w:tblStyle w:val="19"/>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23" w:type="dxa"/>
            <w:vAlign w:val="center"/>
          </w:tcPr>
          <w:p>
            <w:pPr>
              <w:pStyle w:val="33"/>
              <w:spacing w:line="360" w:lineRule="auto"/>
              <w:jc w:val="center"/>
              <w:rPr>
                <w:rFonts w:asciiTheme="minorEastAsia" w:hAnsiTheme="minorEastAsia" w:eastAsiaTheme="minorEastAsia" w:cstheme="minorEastAsia"/>
                <w:b w:val="0"/>
                <w:kern w:val="0"/>
                <w:sz w:val="21"/>
                <w:szCs w:val="21"/>
              </w:rPr>
            </w:pPr>
            <w:r>
              <w:rPr>
                <w:rFonts w:hint="eastAsia" w:asciiTheme="minorEastAsia" w:hAnsiTheme="minorEastAsia" w:eastAsiaTheme="minorEastAsia" w:cstheme="minorEastAsia"/>
                <w:b w:val="0"/>
                <w:kern w:val="0"/>
                <w:sz w:val="21"/>
                <w:szCs w:val="21"/>
              </w:rPr>
              <w:t>序号</w:t>
            </w:r>
          </w:p>
        </w:tc>
        <w:tc>
          <w:tcPr>
            <w:tcW w:w="1519" w:type="dxa"/>
            <w:vAlign w:val="center"/>
          </w:tcPr>
          <w:p>
            <w:pPr>
              <w:pStyle w:val="33"/>
              <w:spacing w:line="360" w:lineRule="auto"/>
              <w:jc w:val="center"/>
              <w:rPr>
                <w:rFonts w:asciiTheme="minorEastAsia" w:hAnsiTheme="minorEastAsia" w:eastAsiaTheme="minorEastAsia" w:cstheme="minorEastAsia"/>
                <w:b w:val="0"/>
                <w:kern w:val="0"/>
                <w:sz w:val="21"/>
                <w:szCs w:val="21"/>
              </w:rPr>
            </w:pPr>
            <w:r>
              <w:rPr>
                <w:rFonts w:hint="eastAsia" w:asciiTheme="minorEastAsia" w:hAnsiTheme="minorEastAsia" w:eastAsiaTheme="minorEastAsia" w:cstheme="minorEastAsia"/>
                <w:b w:val="0"/>
                <w:bCs/>
                <w:sz w:val="21"/>
                <w:szCs w:val="21"/>
              </w:rPr>
              <w:t>对应评分标准</w:t>
            </w:r>
          </w:p>
        </w:tc>
        <w:tc>
          <w:tcPr>
            <w:tcW w:w="3030" w:type="dxa"/>
            <w:vAlign w:val="center"/>
          </w:tcPr>
          <w:p>
            <w:pPr>
              <w:pStyle w:val="33"/>
              <w:spacing w:line="360" w:lineRule="auto"/>
              <w:jc w:val="center"/>
              <w:rPr>
                <w:rFonts w:asciiTheme="minorEastAsia" w:hAnsiTheme="minorEastAsia" w:eastAsiaTheme="minorEastAsia" w:cstheme="minorEastAsia"/>
                <w:b w:val="0"/>
                <w:kern w:val="0"/>
                <w:sz w:val="21"/>
                <w:szCs w:val="21"/>
              </w:rPr>
            </w:pPr>
            <w:r>
              <w:rPr>
                <w:rFonts w:hint="eastAsia" w:asciiTheme="minorEastAsia" w:hAnsiTheme="minorEastAsia" w:eastAsiaTheme="minorEastAsia" w:cstheme="minorEastAsia"/>
                <w:b w:val="0"/>
                <w:kern w:val="0"/>
                <w:sz w:val="21"/>
                <w:szCs w:val="21"/>
              </w:rPr>
              <w:t>对应评分细则</w:t>
            </w:r>
          </w:p>
        </w:tc>
        <w:tc>
          <w:tcPr>
            <w:tcW w:w="2895" w:type="dxa"/>
            <w:vAlign w:val="center"/>
          </w:tcPr>
          <w:p>
            <w:pPr>
              <w:pStyle w:val="33"/>
              <w:spacing w:line="360" w:lineRule="auto"/>
              <w:jc w:val="center"/>
              <w:rPr>
                <w:rFonts w:asciiTheme="minorEastAsia" w:hAnsiTheme="minorEastAsia" w:eastAsiaTheme="minorEastAsia" w:cstheme="minorEastAsia"/>
                <w:b w:val="0"/>
                <w:kern w:val="0"/>
                <w:sz w:val="21"/>
                <w:szCs w:val="21"/>
              </w:rPr>
            </w:pPr>
            <w:r>
              <w:rPr>
                <w:rFonts w:hint="eastAsia" w:asciiTheme="minorEastAsia" w:hAnsiTheme="minorEastAsia" w:eastAsiaTheme="minorEastAsia" w:cstheme="minorEastAsia"/>
                <w:b w:val="0"/>
                <w:kern w:val="0"/>
                <w:sz w:val="21"/>
                <w:szCs w:val="21"/>
              </w:rPr>
              <w:t>证明材料名称</w:t>
            </w:r>
          </w:p>
        </w:tc>
        <w:tc>
          <w:tcPr>
            <w:tcW w:w="1194" w:type="dxa"/>
            <w:vAlign w:val="center"/>
          </w:tcPr>
          <w:p>
            <w:pPr>
              <w:pStyle w:val="33"/>
              <w:spacing w:line="360" w:lineRule="auto"/>
              <w:jc w:val="center"/>
              <w:rPr>
                <w:rFonts w:asciiTheme="minorEastAsia" w:hAnsiTheme="minorEastAsia" w:eastAsiaTheme="minorEastAsia" w:cstheme="minorEastAsia"/>
                <w:b w:val="0"/>
                <w:kern w:val="0"/>
                <w:sz w:val="21"/>
                <w:szCs w:val="21"/>
              </w:rPr>
            </w:pPr>
            <w:r>
              <w:rPr>
                <w:rFonts w:hint="eastAsia" w:asciiTheme="minorEastAsia" w:hAnsiTheme="minorEastAsia" w:eastAsiaTheme="minorEastAsia" w:cstheme="minorEastAsia"/>
                <w:b w:val="0"/>
                <w:kern w:val="0"/>
                <w:sz w:val="21"/>
                <w:szCs w:val="21"/>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23" w:type="dxa"/>
          </w:tcPr>
          <w:p>
            <w:pPr>
              <w:snapToGrid w:val="0"/>
              <w:spacing w:line="400" w:lineRule="exact"/>
              <w:jc w:val="center"/>
              <w:rPr>
                <w:rFonts w:asciiTheme="minorEastAsia" w:hAnsiTheme="minorEastAsia" w:eastAsiaTheme="minorEastAsia" w:cstheme="minorEastAsia"/>
                <w:color w:val="FF0000"/>
                <w:sz w:val="18"/>
                <w:szCs w:val="18"/>
              </w:rPr>
            </w:pPr>
          </w:p>
        </w:tc>
        <w:tc>
          <w:tcPr>
            <w:tcW w:w="1519" w:type="dxa"/>
          </w:tcPr>
          <w:p>
            <w:pPr>
              <w:spacing w:line="360" w:lineRule="auto"/>
              <w:jc w:val="center"/>
              <w:outlineLvl w:val="2"/>
              <w:rPr>
                <w:rFonts w:asciiTheme="minorEastAsia" w:hAnsiTheme="minorEastAsia" w:eastAsiaTheme="minorEastAsia" w:cstheme="minorEastAsia"/>
                <w:b/>
                <w:color w:val="FF0000"/>
                <w:sz w:val="18"/>
                <w:szCs w:val="18"/>
              </w:rPr>
            </w:pPr>
          </w:p>
        </w:tc>
        <w:tc>
          <w:tcPr>
            <w:tcW w:w="3030" w:type="dxa"/>
          </w:tcPr>
          <w:p>
            <w:pPr>
              <w:spacing w:line="360" w:lineRule="auto"/>
              <w:jc w:val="center"/>
              <w:outlineLvl w:val="2"/>
              <w:rPr>
                <w:rFonts w:asciiTheme="minorEastAsia" w:hAnsiTheme="minorEastAsia" w:eastAsiaTheme="minorEastAsia" w:cstheme="minorEastAsia"/>
                <w:b/>
                <w:color w:val="FF0000"/>
                <w:sz w:val="18"/>
                <w:szCs w:val="18"/>
              </w:rPr>
            </w:pPr>
          </w:p>
        </w:tc>
        <w:tc>
          <w:tcPr>
            <w:tcW w:w="2895" w:type="dxa"/>
          </w:tcPr>
          <w:p>
            <w:pPr>
              <w:spacing w:line="360" w:lineRule="auto"/>
              <w:jc w:val="center"/>
              <w:outlineLvl w:val="2"/>
              <w:rPr>
                <w:rFonts w:asciiTheme="minorEastAsia" w:hAnsiTheme="minorEastAsia" w:eastAsiaTheme="minorEastAsia" w:cstheme="minorEastAsia"/>
                <w:b/>
                <w:color w:val="FF0000"/>
                <w:sz w:val="18"/>
                <w:szCs w:val="18"/>
              </w:rPr>
            </w:pPr>
          </w:p>
        </w:tc>
        <w:tc>
          <w:tcPr>
            <w:tcW w:w="1194" w:type="dxa"/>
          </w:tcPr>
          <w:p>
            <w:pPr>
              <w:spacing w:line="360" w:lineRule="auto"/>
              <w:jc w:val="center"/>
              <w:outlineLvl w:val="2"/>
              <w:rPr>
                <w:rFonts w:asciiTheme="minorEastAsia" w:hAnsiTheme="minorEastAsia" w:eastAsia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color w:val="FF0000"/>
                <w:sz w:val="18"/>
                <w:szCs w:val="18"/>
              </w:rPr>
            </w:pPr>
          </w:p>
        </w:tc>
        <w:tc>
          <w:tcPr>
            <w:tcW w:w="1519" w:type="dxa"/>
            <w:vAlign w:val="center"/>
          </w:tcPr>
          <w:p>
            <w:pPr>
              <w:snapToGrid w:val="0"/>
              <w:spacing w:line="400" w:lineRule="exact"/>
              <w:jc w:val="center"/>
              <w:rPr>
                <w:rFonts w:asciiTheme="minorEastAsia" w:hAnsiTheme="minorEastAsia" w:eastAsiaTheme="minorEastAsia" w:cstheme="minorEastAsia"/>
                <w:b/>
                <w:color w:val="FF0000"/>
                <w:sz w:val="18"/>
                <w:szCs w:val="18"/>
              </w:rPr>
            </w:pPr>
          </w:p>
        </w:tc>
        <w:tc>
          <w:tcPr>
            <w:tcW w:w="3030" w:type="dxa"/>
            <w:vAlign w:val="center"/>
          </w:tcPr>
          <w:p>
            <w:pPr>
              <w:spacing w:line="360" w:lineRule="auto"/>
              <w:jc w:val="center"/>
              <w:outlineLvl w:val="2"/>
              <w:rPr>
                <w:rFonts w:asciiTheme="minorEastAsia" w:hAnsiTheme="minorEastAsia" w:eastAsiaTheme="minorEastAsia" w:cstheme="minorEastAsia"/>
                <w:b/>
                <w:color w:val="FF0000"/>
                <w:sz w:val="18"/>
                <w:szCs w:val="18"/>
              </w:rPr>
            </w:pPr>
          </w:p>
        </w:tc>
        <w:tc>
          <w:tcPr>
            <w:tcW w:w="2895" w:type="dxa"/>
            <w:vAlign w:val="center"/>
          </w:tcPr>
          <w:p>
            <w:pPr>
              <w:spacing w:line="360" w:lineRule="auto"/>
              <w:jc w:val="center"/>
              <w:outlineLvl w:val="2"/>
              <w:rPr>
                <w:rFonts w:asciiTheme="minorEastAsia" w:hAnsiTheme="minorEastAsia" w:eastAsiaTheme="minorEastAsia" w:cstheme="minorEastAsia"/>
                <w:b/>
                <w:color w:val="FF0000"/>
                <w:sz w:val="18"/>
                <w:szCs w:val="18"/>
              </w:rPr>
            </w:pPr>
          </w:p>
        </w:tc>
        <w:tc>
          <w:tcPr>
            <w:tcW w:w="1194" w:type="dxa"/>
            <w:vAlign w:val="center"/>
          </w:tcPr>
          <w:p>
            <w:pPr>
              <w:spacing w:line="360" w:lineRule="auto"/>
              <w:jc w:val="center"/>
              <w:outlineLvl w:val="2"/>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bl>
    <w:p/>
    <w:p>
      <w:pPr>
        <w:pStyle w:val="2"/>
      </w:pPr>
    </w:p>
    <w:p/>
    <w:p>
      <w:pPr>
        <w:pStyle w:val="2"/>
      </w:pPr>
    </w:p>
    <w:p/>
    <w:p>
      <w:pPr>
        <w:pStyle w:val="2"/>
      </w:pPr>
    </w:p>
    <w:p/>
    <w:p>
      <w:pPr>
        <w:pStyle w:val="5"/>
        <w:jc w:val="center"/>
        <w:rPr>
          <w:sz w:val="24"/>
          <w:szCs w:val="24"/>
        </w:rPr>
      </w:pPr>
      <w:r>
        <w:rPr>
          <w:rFonts w:hint="eastAsia"/>
          <w:sz w:val="24"/>
          <w:szCs w:val="24"/>
        </w:rPr>
        <w:t>（三）技术方案</w:t>
      </w:r>
    </w:p>
    <w:p>
      <w:pPr>
        <w:rPr>
          <w:color w:val="000000" w:themeColor="text1"/>
          <w14:textFill>
            <w14:solidFill>
              <w14:schemeClr w14:val="tx1"/>
            </w14:solidFill>
          </w14:textFill>
        </w:rPr>
      </w:pPr>
    </w:p>
    <w:p/>
    <w:p/>
    <w:p/>
    <w:p/>
    <w:p/>
    <w:p/>
    <w:p/>
    <w:p>
      <w:pPr>
        <w:widowControl/>
        <w:jc w:val="left"/>
      </w:pPr>
      <w:r>
        <w:br w:type="page"/>
      </w:r>
    </w:p>
    <w:p>
      <w:pPr>
        <w:pStyle w:val="16"/>
        <w:jc w:val="center"/>
        <w:rPr>
          <w:rFonts w:ascii="宋体" w:hAnsi="宋体" w:cs="宋体"/>
          <w:b/>
          <w:bCs/>
          <w:color w:val="000000" w:themeColor="text1"/>
          <w:sz w:val="44"/>
          <w:szCs w:val="44"/>
          <w14:textFill>
            <w14:solidFill>
              <w14:schemeClr w14:val="tx1"/>
            </w14:solidFill>
          </w14:textFill>
        </w:rPr>
      </w:pPr>
      <w:r>
        <w:rPr>
          <w:rFonts w:hint="eastAsia"/>
          <w:color w:val="000000" w:themeColor="text1"/>
          <w14:textFill>
            <w14:solidFill>
              <w14:schemeClr w14:val="tx1"/>
            </w14:solidFill>
          </w14:textFill>
        </w:rPr>
        <w:t>五、承诺书</w:t>
      </w:r>
    </w:p>
    <w:p>
      <w:pPr>
        <w:spacing w:line="360" w:lineRule="auto"/>
        <w:ind w:firstLine="486"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我公司郑重承诺：</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 xml:space="preserve">第一条：保密信息 </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本合同中所指的保密</w:t>
      </w:r>
      <w:bookmarkStart w:id="73" w:name="OLE_LINK1"/>
      <w:r>
        <w:rPr>
          <w:rFonts w:ascii="宋体" w:hAnsi="宋体" w:cs="宋体"/>
          <w:color w:val="000000" w:themeColor="text1"/>
          <w:sz w:val="24"/>
          <w:szCs w:val="28"/>
          <w14:textFill>
            <w14:solidFill>
              <w14:schemeClr w14:val="tx1"/>
            </w14:solidFill>
          </w14:textFill>
        </w:rPr>
        <w:t>信息</w:t>
      </w:r>
      <w:bookmarkEnd w:id="73"/>
      <w:r>
        <w:rPr>
          <w:rFonts w:ascii="宋体" w:hAnsi="宋体" w:cs="宋体"/>
          <w:color w:val="000000" w:themeColor="text1"/>
          <w:sz w:val="24"/>
          <w:szCs w:val="28"/>
          <w14:textFill>
            <w14:solidFill>
              <w14:schemeClr w14:val="tx1"/>
            </w14:solidFill>
          </w14:textFill>
        </w:rPr>
        <w:t>包括了</w:t>
      </w:r>
      <w:r>
        <w:rPr>
          <w:rFonts w:hint="eastAsia" w:ascii="宋体" w:hAnsi="宋体" w:cs="宋体"/>
          <w:color w:val="000000" w:themeColor="text1"/>
          <w:sz w:val="24"/>
          <w:szCs w:val="28"/>
          <w14:textFill>
            <w14:solidFill>
              <w14:schemeClr w14:val="tx1"/>
            </w14:solidFill>
          </w14:textFill>
        </w:rPr>
        <w:t>任何一</w:t>
      </w:r>
      <w:r>
        <w:rPr>
          <w:rFonts w:ascii="宋体" w:hAnsi="宋体" w:cs="宋体"/>
          <w:color w:val="000000" w:themeColor="text1"/>
          <w:sz w:val="24"/>
          <w:szCs w:val="28"/>
          <w14:textFill>
            <w14:solidFill>
              <w14:schemeClr w14:val="tx1"/>
            </w14:solidFill>
          </w14:textFill>
        </w:rPr>
        <w:t>方在方案决定前期以及实施过程</w:t>
      </w:r>
      <w:r>
        <w:rPr>
          <w:rFonts w:hint="eastAsia" w:ascii="宋体" w:hAnsi="宋体" w:cs="宋体"/>
          <w:color w:val="000000" w:themeColor="text1"/>
          <w:sz w:val="24"/>
          <w:szCs w:val="28"/>
          <w14:textFill>
            <w14:solidFill>
              <w14:schemeClr w14:val="tx1"/>
            </w14:solidFill>
          </w14:textFill>
        </w:rPr>
        <w:t>中</w:t>
      </w:r>
      <w:r>
        <w:rPr>
          <w:rFonts w:ascii="宋体" w:hAnsi="宋体" w:cs="宋体"/>
          <w:color w:val="000000" w:themeColor="text1"/>
          <w:sz w:val="24"/>
          <w:szCs w:val="28"/>
          <w14:textFill>
            <w14:solidFill>
              <w14:schemeClr w14:val="tx1"/>
            </w14:solidFill>
          </w14:textFill>
        </w:rPr>
        <w:t>向</w:t>
      </w:r>
      <w:r>
        <w:rPr>
          <w:rFonts w:hint="eastAsia" w:ascii="宋体" w:hAnsi="宋体" w:cs="宋体"/>
          <w:color w:val="000000" w:themeColor="text1"/>
          <w:sz w:val="24"/>
          <w:szCs w:val="28"/>
          <w14:textFill>
            <w14:solidFill>
              <w14:schemeClr w14:val="tx1"/>
            </w14:solidFill>
          </w14:textFill>
        </w:rPr>
        <w:t>对</w:t>
      </w:r>
      <w:r>
        <w:rPr>
          <w:rFonts w:ascii="宋体" w:hAnsi="宋体" w:cs="宋体"/>
          <w:color w:val="000000" w:themeColor="text1"/>
          <w:sz w:val="24"/>
          <w:szCs w:val="28"/>
          <w14:textFill>
            <w14:solidFill>
              <w14:schemeClr w14:val="tx1"/>
            </w14:solidFill>
          </w14:textFill>
        </w:rPr>
        <w:t>方提供的任何技术上、商业上或贸易上的具有经济价值的以书面、口头或任何其他方式提供给对方的所有非公开资料。</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第二条：保密处理方法</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在本项目执行过程中，任何一方在未获对方书面同意的条件下，不得将从任何一方获得的保密信息泄露给第三方。任何一方不得将保密信息利用于与本项目无关的任何方面。获得信息的任何一方只能向有必要知道保密信息的双方雇员透露，并且仅透露相关必要内容。</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依据此条款，双方需要与知道保密信息的雇员同时签</w:t>
      </w:r>
      <w:r>
        <w:rPr>
          <w:rFonts w:hint="eastAsia" w:ascii="宋体" w:hAnsi="宋体" w:cs="宋体"/>
          <w:color w:val="000000" w:themeColor="text1"/>
          <w:sz w:val="24"/>
          <w:szCs w:val="28"/>
          <w14:textFill>
            <w14:solidFill>
              <w14:schemeClr w14:val="tx1"/>
            </w14:solidFill>
          </w14:textFill>
        </w:rPr>
        <w:t>订</w:t>
      </w:r>
      <w:r>
        <w:rPr>
          <w:rFonts w:ascii="宋体" w:hAnsi="宋体" w:cs="宋体"/>
          <w:color w:val="000000" w:themeColor="text1"/>
          <w:sz w:val="24"/>
          <w:szCs w:val="28"/>
          <w14:textFill>
            <w14:solidFill>
              <w14:schemeClr w14:val="tx1"/>
            </w14:solidFill>
          </w14:textFill>
        </w:rPr>
        <w:t>保密合同。如果一方雇员违反此合同，向未经授权的第三方泄露保密信息或者把保密信息用于执行项目以外的用途，雇主同雇员需要承担连带责任。</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第三条：被迫公开</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如果一方由于法律要求被迫公开对方的保密信息，则应该及时通知对方，使得对方能与作出法定强制行为的机构进行协商处理。</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 xml:space="preserve">第四条：协商内容 </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 xml:space="preserve">除了法律要求或得到对方书面许可外，任何一方讨论或谈判都在双方之间进行，任何一方不得向任何个人或团体透露双方讨论、协商的任何内容，以及条件和条款中涉及符合保密要求的内容。 </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第五条：条款期限和终止</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如果双方无法达成该项目的合意合同，此合同将自动终止。在此种情况下，根据本合同规定所提供的所有书面或有形的数据或拷贝都仍属于各自双方自用的产权</w:t>
      </w:r>
      <w:r>
        <w:rPr>
          <w:rFonts w:hint="eastAsia" w:ascii="宋体" w:hAnsi="宋体" w:cs="宋体"/>
          <w:color w:val="000000" w:themeColor="text1"/>
          <w:sz w:val="24"/>
          <w:szCs w:val="28"/>
          <w14:textFill>
            <w14:solidFill>
              <w14:schemeClr w14:val="tx1"/>
            </w14:solidFill>
          </w14:textFill>
        </w:rPr>
        <w:t>，</w:t>
      </w:r>
      <w:r>
        <w:rPr>
          <w:rFonts w:ascii="宋体" w:hAnsi="宋体" w:cs="宋体"/>
          <w:color w:val="000000" w:themeColor="text1"/>
          <w:sz w:val="24"/>
          <w:szCs w:val="28"/>
          <w14:textFill>
            <w14:solidFill>
              <w14:schemeClr w14:val="tx1"/>
            </w14:solidFill>
          </w14:textFill>
        </w:rPr>
        <w:t>并且相关书面或有形的数据或拷贝必须及时退回给对方或者根据对方的书面意见由自方销毁。然而，尽管合同终止，在合同中关于保密义务是永久性的，除非上述保密信息已成为公知信息。</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第六条：更改</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本合同在没有双方书面签字的情况下不得修改或调整。本合同由双方共同执行，文件由双方共同制订并各自约束。</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第七条：违约识别与责任承担</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任何一方违反保密义务泄露对方保密信息的，</w:t>
      </w:r>
      <w:r>
        <w:rPr>
          <w:rFonts w:hint="eastAsia" w:ascii="宋体" w:hAnsi="宋体" w:cs="宋体"/>
          <w:color w:val="000000" w:themeColor="text1"/>
          <w:sz w:val="24"/>
          <w:szCs w:val="28"/>
          <w14:textFill>
            <w14:solidFill>
              <w14:schemeClr w14:val="tx1"/>
            </w14:solidFill>
          </w14:textFill>
        </w:rPr>
        <w:t>应向对方支付</w:t>
      </w:r>
      <w:r>
        <w:rPr>
          <w:rFonts w:ascii="宋体" w:hAnsi="宋体" w:cs="宋体"/>
          <w:color w:val="000000" w:themeColor="text1"/>
          <w:sz w:val="24"/>
          <w:szCs w:val="28"/>
          <w14:textFill>
            <w14:solidFill>
              <w14:schemeClr w14:val="tx1"/>
            </w14:solidFill>
          </w14:textFill>
        </w:rPr>
        <w:t>违约金</w:t>
      </w:r>
      <w:r>
        <w:rPr>
          <w:rFonts w:hint="eastAsia" w:ascii="宋体" w:hAnsi="宋体" w:cs="宋体"/>
          <w:color w:val="000000" w:themeColor="text1"/>
          <w:sz w:val="24"/>
          <w:szCs w:val="28"/>
          <w14:textFill>
            <w14:solidFill>
              <w14:schemeClr w14:val="tx1"/>
            </w14:solidFill>
          </w14:textFill>
        </w:rPr>
        <w:t>壹万</w:t>
      </w:r>
      <w:r>
        <w:rPr>
          <w:rFonts w:ascii="宋体" w:hAnsi="宋体" w:cs="宋体"/>
          <w:color w:val="000000" w:themeColor="text1"/>
          <w:sz w:val="24"/>
          <w:szCs w:val="28"/>
          <w14:textFill>
            <w14:solidFill>
              <w14:schemeClr w14:val="tx1"/>
            </w14:solidFill>
          </w14:textFill>
        </w:rPr>
        <w:t>元人民币</w:t>
      </w:r>
      <w:r>
        <w:rPr>
          <w:rFonts w:hint="eastAsia" w:ascii="宋体" w:hAnsi="宋体" w:cs="宋体"/>
          <w:color w:val="000000" w:themeColor="text1"/>
          <w:sz w:val="24"/>
          <w:szCs w:val="28"/>
          <w14:textFill>
            <w14:solidFill>
              <w14:schemeClr w14:val="tx1"/>
            </w14:solidFill>
          </w14:textFill>
        </w:rPr>
        <w:t>；</w:t>
      </w:r>
      <w:r>
        <w:rPr>
          <w:rFonts w:ascii="宋体" w:hAnsi="宋体" w:cs="宋体"/>
          <w:color w:val="000000" w:themeColor="text1"/>
          <w:sz w:val="24"/>
          <w:szCs w:val="28"/>
          <w14:textFill>
            <w14:solidFill>
              <w14:schemeClr w14:val="tx1"/>
            </w14:solidFill>
          </w14:textFill>
        </w:rPr>
        <w:t>若因此给对方造成的损失超过违约金金额的</w:t>
      </w:r>
      <w:r>
        <w:rPr>
          <w:rFonts w:hint="eastAsia" w:ascii="宋体" w:hAnsi="宋体" w:cs="宋体"/>
          <w:color w:val="000000" w:themeColor="text1"/>
          <w:sz w:val="24"/>
          <w:szCs w:val="28"/>
          <w14:textFill>
            <w14:solidFill>
              <w14:schemeClr w14:val="tx1"/>
            </w14:solidFill>
          </w14:textFill>
        </w:rPr>
        <w:t>，</w:t>
      </w:r>
      <w:r>
        <w:rPr>
          <w:rFonts w:ascii="宋体" w:hAnsi="宋体" w:cs="宋体"/>
          <w:color w:val="000000" w:themeColor="text1"/>
          <w:sz w:val="24"/>
          <w:szCs w:val="28"/>
          <w14:textFill>
            <w14:solidFill>
              <w14:schemeClr w14:val="tx1"/>
            </w14:solidFill>
          </w14:textFill>
        </w:rPr>
        <w:t>违约方还应就差额承担赔偿</w:t>
      </w:r>
      <w:r>
        <w:rPr>
          <w:rFonts w:hint="eastAsia" w:ascii="宋体" w:hAnsi="宋体" w:cs="宋体"/>
          <w:color w:val="000000" w:themeColor="text1"/>
          <w:sz w:val="24"/>
          <w:szCs w:val="28"/>
          <w14:textFill>
            <w14:solidFill>
              <w14:schemeClr w14:val="tx1"/>
            </w14:solidFill>
          </w14:textFill>
        </w:rPr>
        <w:t>。前述损失包括但不限于实际损失、可得利益损失，对第三方承担的赔偿，因主张权利支出的律师费、调查费、诉讼费等。任何一方违反保密义务的的，对方亦有权立即解除合同。</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任何一方不得因对方的违约或侵权行为而泄露对方的保密信息。</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第八条：管辖</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双方应尽最大努力友好协商解决与合同或与合同执行有关所产生的任何争议。如果未能友好解决，双方可向乙方所在地有管辖权的人民法院提起诉讼。</w:t>
      </w:r>
    </w:p>
    <w:p>
      <w:pPr>
        <w:spacing w:line="360" w:lineRule="auto"/>
        <w:ind w:firstLine="486" w:firstLineChars="200"/>
        <w:jc w:val="right"/>
        <w:rPr>
          <w:rFonts w:ascii="宋体" w:hAnsi="宋体" w:cs="宋体"/>
          <w:color w:val="000000" w:themeColor="text1"/>
          <w:sz w:val="24"/>
          <w:szCs w:val="28"/>
          <w14:textFill>
            <w14:solidFill>
              <w14:schemeClr w14:val="tx1"/>
            </w14:solidFill>
          </w14:textFill>
        </w:rPr>
      </w:pPr>
    </w:p>
    <w:p>
      <w:pPr>
        <w:tabs>
          <w:tab w:val="left" w:pos="900"/>
        </w:tabs>
        <w:spacing w:line="360" w:lineRule="auto"/>
        <w:ind w:firstLine="488"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14:textFill>
            <w14:solidFill>
              <w14:schemeClr w14:val="tx1"/>
            </w14:solidFill>
          </w14:textFill>
        </w:rPr>
        <w:t xml:space="preserve">  </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486" w:firstLineChars="200"/>
        <w:jc w:val="right"/>
        <w:rPr>
          <w:color w:val="000000" w:themeColor="text1"/>
          <w14:textFill>
            <w14:solidFill>
              <w14:schemeClr w14:val="tx1"/>
            </w14:solidFill>
          </w14:textFill>
        </w:rPr>
      </w:pPr>
      <w:r>
        <w:rPr>
          <w:rFonts w:ascii="宋体" w:hAnsi="宋体" w:cs="宋体"/>
          <w:color w:val="000000" w:themeColor="text1"/>
          <w:sz w:val="24"/>
          <w:szCs w:val="28"/>
          <w14:textFill>
            <w14:solidFill>
              <w14:schemeClr w14:val="tx1"/>
            </w14:solidFill>
          </w14:textFill>
        </w:rPr>
        <w:br w:type="page"/>
      </w:r>
    </w:p>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六、其他材料</w:t>
      </w:r>
    </w:p>
    <w:p>
      <w:pPr>
        <w:spacing w:line="360" w:lineRule="auto"/>
        <w:ind w:firstLine="486" w:firstLineChars="200"/>
        <w:rPr>
          <w:rFonts w:ascii="宋体" w:hAnsi="宋体" w:cs="宋体"/>
          <w:color w:val="000000" w:themeColor="text1"/>
          <w:sz w:val="24"/>
          <w:szCs w:val="28"/>
          <w14:textFill>
            <w14:solidFill>
              <w14:schemeClr w14:val="tx1"/>
            </w14:solidFill>
          </w14:textFill>
        </w:rPr>
      </w:pPr>
    </w:p>
    <w:p/>
    <w:sectPr>
      <w:footerReference r:id="rId5" w:type="default"/>
      <w:pgSz w:w="11906" w:h="16838"/>
      <w:pgMar w:top="1440" w:right="1274" w:bottom="1440" w:left="1418" w:header="851" w:footer="992" w:gutter="0"/>
      <w:pgNumType w:start="1"/>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martSimSun">
    <w:altName w:val="宋体"/>
    <w:panose1 w:val="02010600030101010101"/>
    <w:charset w:val="86"/>
    <w:family w:val="auto"/>
    <w:pitch w:val="default"/>
    <w:sig w:usb0="00000000" w:usb1="00000000" w:usb2="00000010" w:usb3="00000000" w:csb0="00040001" w:csb1="00000000"/>
  </w:font>
  <w:font w:name="宋体 (正文)">
    <w:altName w:val="宋体"/>
    <w:panose1 w:val="00000000000000000000"/>
    <w:charset w:val="86"/>
    <w:family w:val="roma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22</w:t>
    </w:r>
    <w:r>
      <w:rPr>
        <w:b/>
        <w:sz w:val="21"/>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7B8B1"/>
    <w:multiLevelType w:val="singleLevel"/>
    <w:tmpl w:val="60E7B8B1"/>
    <w:lvl w:ilvl="0" w:tentative="0">
      <w:start w:val="1"/>
      <w:numFmt w:val="decimal"/>
      <w:suff w:val="nothing"/>
      <w:lvlText w:val="%1．"/>
      <w:lvlJc w:val="left"/>
    </w:lvl>
  </w:abstractNum>
  <w:abstractNum w:abstractNumId="1">
    <w:nsid w:val="61791E1B"/>
    <w:multiLevelType w:val="singleLevel"/>
    <w:tmpl w:val="61791E1B"/>
    <w:lvl w:ilvl="0" w:tentative="0">
      <w:start w:val="2"/>
      <w:numFmt w:val="decimal"/>
      <w:suff w:val="nothing"/>
      <w:lvlText w:val="%1."/>
      <w:lvlJc w:val="left"/>
    </w:lvl>
  </w:abstractNum>
  <w:abstractNum w:abstractNumId="2">
    <w:nsid w:val="617A03E4"/>
    <w:multiLevelType w:val="singleLevel"/>
    <w:tmpl w:val="617A03E4"/>
    <w:lvl w:ilvl="0" w:tentative="0">
      <w:start w:val="2"/>
      <w:numFmt w:val="decimal"/>
      <w:suff w:val="nothing"/>
      <w:lvlText w:val="%1."/>
      <w:lvlJc w:val="left"/>
    </w:lvl>
  </w:abstractNum>
  <w:abstractNum w:abstractNumId="3">
    <w:nsid w:val="617A5D32"/>
    <w:multiLevelType w:val="singleLevel"/>
    <w:tmpl w:val="617A5D32"/>
    <w:lvl w:ilvl="0" w:tentative="0">
      <w:start w:val="5"/>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D3"/>
    <w:rsid w:val="00047E3E"/>
    <w:rsid w:val="00053747"/>
    <w:rsid w:val="000A5A19"/>
    <w:rsid w:val="000B16A2"/>
    <w:rsid w:val="000C38DA"/>
    <w:rsid w:val="001137F5"/>
    <w:rsid w:val="00135F0C"/>
    <w:rsid w:val="00143E4F"/>
    <w:rsid w:val="00187D20"/>
    <w:rsid w:val="001973FC"/>
    <w:rsid w:val="001B0E2A"/>
    <w:rsid w:val="001B3A56"/>
    <w:rsid w:val="001B6AF8"/>
    <w:rsid w:val="00212C30"/>
    <w:rsid w:val="00217FA0"/>
    <w:rsid w:val="00256F4B"/>
    <w:rsid w:val="00296769"/>
    <w:rsid w:val="002B1EC8"/>
    <w:rsid w:val="002B7539"/>
    <w:rsid w:val="002C1A46"/>
    <w:rsid w:val="002C714C"/>
    <w:rsid w:val="002E3462"/>
    <w:rsid w:val="00306D62"/>
    <w:rsid w:val="00332C78"/>
    <w:rsid w:val="0036153C"/>
    <w:rsid w:val="00361E78"/>
    <w:rsid w:val="00396E79"/>
    <w:rsid w:val="003A1210"/>
    <w:rsid w:val="003B13F0"/>
    <w:rsid w:val="003B2144"/>
    <w:rsid w:val="003F70D1"/>
    <w:rsid w:val="00444DCF"/>
    <w:rsid w:val="0045406D"/>
    <w:rsid w:val="004B1BAE"/>
    <w:rsid w:val="004E3919"/>
    <w:rsid w:val="00502CE7"/>
    <w:rsid w:val="005073F6"/>
    <w:rsid w:val="00553590"/>
    <w:rsid w:val="00557CB5"/>
    <w:rsid w:val="00565EB0"/>
    <w:rsid w:val="00567446"/>
    <w:rsid w:val="0058789F"/>
    <w:rsid w:val="005D29E8"/>
    <w:rsid w:val="005D3FA4"/>
    <w:rsid w:val="006229F7"/>
    <w:rsid w:val="00660430"/>
    <w:rsid w:val="00665E55"/>
    <w:rsid w:val="00670829"/>
    <w:rsid w:val="00673AD8"/>
    <w:rsid w:val="006B4543"/>
    <w:rsid w:val="006C33D7"/>
    <w:rsid w:val="006F406B"/>
    <w:rsid w:val="006F5778"/>
    <w:rsid w:val="007119F9"/>
    <w:rsid w:val="00716AB6"/>
    <w:rsid w:val="0075479A"/>
    <w:rsid w:val="00760315"/>
    <w:rsid w:val="0076105A"/>
    <w:rsid w:val="0076351B"/>
    <w:rsid w:val="007873C6"/>
    <w:rsid w:val="00791A92"/>
    <w:rsid w:val="00797D28"/>
    <w:rsid w:val="007A108B"/>
    <w:rsid w:val="007A26D8"/>
    <w:rsid w:val="007D089F"/>
    <w:rsid w:val="007D0DAB"/>
    <w:rsid w:val="00830735"/>
    <w:rsid w:val="0085082E"/>
    <w:rsid w:val="00851AD9"/>
    <w:rsid w:val="00853D29"/>
    <w:rsid w:val="008549CD"/>
    <w:rsid w:val="00882B69"/>
    <w:rsid w:val="00887BEC"/>
    <w:rsid w:val="00890980"/>
    <w:rsid w:val="008941E1"/>
    <w:rsid w:val="008D5138"/>
    <w:rsid w:val="008D6890"/>
    <w:rsid w:val="009000AB"/>
    <w:rsid w:val="009542D8"/>
    <w:rsid w:val="00956042"/>
    <w:rsid w:val="0098219F"/>
    <w:rsid w:val="00983ED2"/>
    <w:rsid w:val="009840B5"/>
    <w:rsid w:val="0099629E"/>
    <w:rsid w:val="009C74EE"/>
    <w:rsid w:val="009C7BF2"/>
    <w:rsid w:val="009E1361"/>
    <w:rsid w:val="00A02618"/>
    <w:rsid w:val="00A05D9C"/>
    <w:rsid w:val="00A45A3C"/>
    <w:rsid w:val="00A636C1"/>
    <w:rsid w:val="00A84E00"/>
    <w:rsid w:val="00A8782D"/>
    <w:rsid w:val="00AA1CF2"/>
    <w:rsid w:val="00AB3A04"/>
    <w:rsid w:val="00AB5FD3"/>
    <w:rsid w:val="00AC0A12"/>
    <w:rsid w:val="00AD5647"/>
    <w:rsid w:val="00AE0D83"/>
    <w:rsid w:val="00AE2114"/>
    <w:rsid w:val="00AF63F7"/>
    <w:rsid w:val="00B3615B"/>
    <w:rsid w:val="00B40537"/>
    <w:rsid w:val="00B56F1C"/>
    <w:rsid w:val="00B67EBD"/>
    <w:rsid w:val="00B94E0E"/>
    <w:rsid w:val="00BB5F18"/>
    <w:rsid w:val="00BC20A9"/>
    <w:rsid w:val="00BD087D"/>
    <w:rsid w:val="00BF01B4"/>
    <w:rsid w:val="00C33C91"/>
    <w:rsid w:val="00C33D73"/>
    <w:rsid w:val="00C34518"/>
    <w:rsid w:val="00C84BA1"/>
    <w:rsid w:val="00CC4F07"/>
    <w:rsid w:val="00CE60B1"/>
    <w:rsid w:val="00D67598"/>
    <w:rsid w:val="00D67D90"/>
    <w:rsid w:val="00D710E8"/>
    <w:rsid w:val="00D806B7"/>
    <w:rsid w:val="00DB7CA1"/>
    <w:rsid w:val="00DD3971"/>
    <w:rsid w:val="00DE12DE"/>
    <w:rsid w:val="00DE329A"/>
    <w:rsid w:val="00E2177E"/>
    <w:rsid w:val="00E24D8F"/>
    <w:rsid w:val="00E54177"/>
    <w:rsid w:val="00E651F9"/>
    <w:rsid w:val="00E65E6C"/>
    <w:rsid w:val="00E77200"/>
    <w:rsid w:val="00E7781A"/>
    <w:rsid w:val="00E805EF"/>
    <w:rsid w:val="00E86ED7"/>
    <w:rsid w:val="00EA61B3"/>
    <w:rsid w:val="00EB71B9"/>
    <w:rsid w:val="00F05739"/>
    <w:rsid w:val="00F4772E"/>
    <w:rsid w:val="00F47D3B"/>
    <w:rsid w:val="00F51514"/>
    <w:rsid w:val="00F839ED"/>
    <w:rsid w:val="00F87B03"/>
    <w:rsid w:val="00F94301"/>
    <w:rsid w:val="00FD2D1E"/>
    <w:rsid w:val="00FE1ECD"/>
    <w:rsid w:val="01FE761B"/>
    <w:rsid w:val="02F9047E"/>
    <w:rsid w:val="048727E8"/>
    <w:rsid w:val="05267384"/>
    <w:rsid w:val="060B1092"/>
    <w:rsid w:val="06774181"/>
    <w:rsid w:val="068565C2"/>
    <w:rsid w:val="09273780"/>
    <w:rsid w:val="0B1C0A69"/>
    <w:rsid w:val="0BC5061B"/>
    <w:rsid w:val="0C471F60"/>
    <w:rsid w:val="0D8E3DEF"/>
    <w:rsid w:val="11FD78F4"/>
    <w:rsid w:val="14C37206"/>
    <w:rsid w:val="1B534B8F"/>
    <w:rsid w:val="1BD31DF0"/>
    <w:rsid w:val="1CEB4526"/>
    <w:rsid w:val="1DA6688B"/>
    <w:rsid w:val="1E7B4662"/>
    <w:rsid w:val="1FBD11EF"/>
    <w:rsid w:val="202C579E"/>
    <w:rsid w:val="207254F7"/>
    <w:rsid w:val="21392C61"/>
    <w:rsid w:val="214B061E"/>
    <w:rsid w:val="22E8783A"/>
    <w:rsid w:val="24472032"/>
    <w:rsid w:val="253337E6"/>
    <w:rsid w:val="26461C8B"/>
    <w:rsid w:val="267C3DA0"/>
    <w:rsid w:val="27224189"/>
    <w:rsid w:val="28944033"/>
    <w:rsid w:val="29BE03F5"/>
    <w:rsid w:val="2A893E03"/>
    <w:rsid w:val="2B0E7679"/>
    <w:rsid w:val="2CA75C5D"/>
    <w:rsid w:val="2DC75262"/>
    <w:rsid w:val="2E0E3741"/>
    <w:rsid w:val="31BE68A9"/>
    <w:rsid w:val="324F64A1"/>
    <w:rsid w:val="32F90E42"/>
    <w:rsid w:val="346557FB"/>
    <w:rsid w:val="34BC1FD0"/>
    <w:rsid w:val="374D2FAB"/>
    <w:rsid w:val="37BA600D"/>
    <w:rsid w:val="3861785A"/>
    <w:rsid w:val="3D6B68F4"/>
    <w:rsid w:val="3D870E00"/>
    <w:rsid w:val="3E6732EE"/>
    <w:rsid w:val="3EC573F2"/>
    <w:rsid w:val="3F602707"/>
    <w:rsid w:val="42911529"/>
    <w:rsid w:val="42A338D3"/>
    <w:rsid w:val="443E656A"/>
    <w:rsid w:val="46A541AB"/>
    <w:rsid w:val="4E681D8A"/>
    <w:rsid w:val="4EA6046E"/>
    <w:rsid w:val="51944F62"/>
    <w:rsid w:val="51AA1825"/>
    <w:rsid w:val="54FF4158"/>
    <w:rsid w:val="56B75168"/>
    <w:rsid w:val="5AAC1011"/>
    <w:rsid w:val="5CA371A4"/>
    <w:rsid w:val="5D496ADA"/>
    <w:rsid w:val="5D560EC4"/>
    <w:rsid w:val="5DA917FA"/>
    <w:rsid w:val="5E97143B"/>
    <w:rsid w:val="5F682F8F"/>
    <w:rsid w:val="602360DE"/>
    <w:rsid w:val="60E81E47"/>
    <w:rsid w:val="61F213D3"/>
    <w:rsid w:val="63D635C4"/>
    <w:rsid w:val="661D19E1"/>
    <w:rsid w:val="681024F1"/>
    <w:rsid w:val="68813129"/>
    <w:rsid w:val="6AF54EEF"/>
    <w:rsid w:val="6B250AE6"/>
    <w:rsid w:val="6B496B0B"/>
    <w:rsid w:val="6CD5065E"/>
    <w:rsid w:val="6D342A32"/>
    <w:rsid w:val="6E8369E8"/>
    <w:rsid w:val="6F0E3290"/>
    <w:rsid w:val="737A42CF"/>
    <w:rsid w:val="739771D8"/>
    <w:rsid w:val="755A2E50"/>
    <w:rsid w:val="756D1B58"/>
    <w:rsid w:val="77CD74C6"/>
    <w:rsid w:val="79176F93"/>
    <w:rsid w:val="7A8916E4"/>
    <w:rsid w:val="7AAD1B2A"/>
    <w:rsid w:val="7AF30E31"/>
    <w:rsid w:val="7B9759EE"/>
    <w:rsid w:val="7EFD7C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subject"/>
    <w:basedOn w:val="7"/>
    <w:next w:val="7"/>
    <w:link w:val="25"/>
    <w:qFormat/>
    <w:uiPriority w:val="0"/>
    <w:rPr>
      <w:b/>
      <w:bCs/>
    </w:rPr>
  </w:style>
  <w:style w:type="paragraph" w:styleId="7">
    <w:name w:val="annotation text"/>
    <w:basedOn w:val="1"/>
    <w:link w:val="24"/>
    <w:qFormat/>
    <w:uiPriority w:val="99"/>
    <w:pPr>
      <w:jc w:val="left"/>
    </w:pPr>
  </w:style>
  <w:style w:type="paragraph" w:styleId="8">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9">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0">
    <w:name w:val="Body Text Indent 2"/>
    <w:basedOn w:val="1"/>
    <w:qFormat/>
    <w:uiPriority w:val="0"/>
    <w:pPr>
      <w:widowControl/>
      <w:spacing w:line="480" w:lineRule="auto"/>
      <w:ind w:firstLine="560"/>
      <w:jc w:val="left"/>
    </w:pPr>
    <w:rPr>
      <w:sz w:val="28"/>
    </w:rPr>
  </w:style>
  <w:style w:type="paragraph" w:styleId="11">
    <w:name w:val="Balloon Text"/>
    <w:basedOn w:val="1"/>
    <w:link w:val="26"/>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index 1"/>
    <w:basedOn w:val="1"/>
    <w:next w:val="1"/>
    <w:semiHidden/>
    <w:qFormat/>
    <w:uiPriority w:val="0"/>
    <w:pPr>
      <w:spacing w:line="360" w:lineRule="auto"/>
      <w:jc w:val="center"/>
    </w:pPr>
    <w:rPr>
      <w:rFonts w:ascii="宋体" w:hAnsi="Arial" w:cs="Arial"/>
      <w:b/>
      <w:color w:val="00000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character" w:styleId="18">
    <w:name w:val="annotation reference"/>
    <w:qFormat/>
    <w:uiPriority w:val="99"/>
    <w:rPr>
      <w:rFonts w:cs="Times New Roman"/>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表段落1"/>
    <w:basedOn w:val="1"/>
    <w:qFormat/>
    <w:uiPriority w:val="99"/>
    <w:pPr>
      <w:ind w:firstLine="420" w:firstLineChars="200"/>
    </w:pPr>
    <w:rPr>
      <w:rFonts w:asciiTheme="minorHAnsi" w:hAnsiTheme="minorHAnsi" w:eastAsiaTheme="minorEastAsia" w:cstheme="minorBidi"/>
    </w:rPr>
  </w:style>
  <w:style w:type="paragraph" w:customStyle="1" w:styleId="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
    <w:name w:val="Normal Paragraph"/>
    <w:basedOn w:val="1"/>
    <w:qFormat/>
    <w:uiPriority w:val="0"/>
    <w:pPr>
      <w:widowControl/>
      <w:spacing w:before="120"/>
      <w:ind w:firstLine="425"/>
    </w:pPr>
    <w:rPr>
      <w:kern w:val="0"/>
      <w:sz w:val="24"/>
    </w:rPr>
  </w:style>
  <w:style w:type="character" w:customStyle="1" w:styleId="24">
    <w:name w:val="批注文字 字符"/>
    <w:basedOn w:val="17"/>
    <w:link w:val="7"/>
    <w:qFormat/>
    <w:uiPriority w:val="99"/>
    <w:rPr>
      <w:kern w:val="2"/>
      <w:sz w:val="21"/>
      <w:szCs w:val="24"/>
    </w:rPr>
  </w:style>
  <w:style w:type="character" w:customStyle="1" w:styleId="25">
    <w:name w:val="批注主题 字符"/>
    <w:basedOn w:val="24"/>
    <w:link w:val="6"/>
    <w:qFormat/>
    <w:uiPriority w:val="0"/>
    <w:rPr>
      <w:b/>
      <w:bCs/>
      <w:kern w:val="2"/>
      <w:sz w:val="21"/>
      <w:szCs w:val="24"/>
    </w:rPr>
  </w:style>
  <w:style w:type="character" w:customStyle="1" w:styleId="26">
    <w:name w:val="批注框文本 字符"/>
    <w:basedOn w:val="17"/>
    <w:link w:val="11"/>
    <w:qFormat/>
    <w:uiPriority w:val="0"/>
    <w:rPr>
      <w:kern w:val="2"/>
      <w:sz w:val="18"/>
      <w:szCs w:val="18"/>
    </w:rPr>
  </w:style>
  <w:style w:type="paragraph" w:customStyle="1" w:styleId="27">
    <w:name w:val="符号列表"/>
    <w:basedOn w:val="1"/>
    <w:next w:val="21"/>
    <w:link w:val="28"/>
    <w:qFormat/>
    <w:uiPriority w:val="34"/>
    <w:pPr>
      <w:spacing w:beforeLines="50"/>
      <w:ind w:firstLine="420" w:firstLineChars="200"/>
    </w:pPr>
    <w:rPr>
      <w:rFonts w:ascii="Calibri" w:hAnsi="Calibri"/>
      <w:sz w:val="24"/>
      <w:szCs w:val="22"/>
      <w:lang w:val="zh-CN"/>
    </w:rPr>
  </w:style>
  <w:style w:type="character" w:customStyle="1" w:styleId="28">
    <w:name w:val="列出段落 Char"/>
    <w:link w:val="27"/>
    <w:qFormat/>
    <w:uiPriority w:val="34"/>
    <w:rPr>
      <w:rFonts w:ascii="Calibri" w:hAnsi="Calibri"/>
      <w:kern w:val="2"/>
      <w:sz w:val="24"/>
      <w:szCs w:val="22"/>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内正文，无编号"/>
    <w:basedOn w:val="1"/>
    <w:qFormat/>
    <w:uiPriority w:val="0"/>
    <w:pPr>
      <w:spacing w:line="400" w:lineRule="exact"/>
      <w:ind w:firstLine="643" w:firstLineChars="200"/>
    </w:pPr>
  </w:style>
  <w:style w:type="character" w:customStyle="1" w:styleId="32">
    <w:name w:val="font21"/>
    <w:qFormat/>
    <w:uiPriority w:val="0"/>
    <w:rPr>
      <w:rFonts w:hint="eastAsia" w:ascii="宋体" w:hAnsi="宋体" w:eastAsia="宋体" w:cs="宋体"/>
      <w:color w:val="000000"/>
      <w:sz w:val="21"/>
      <w:szCs w:val="21"/>
      <w:u w:val="none"/>
    </w:rPr>
  </w:style>
  <w:style w:type="paragraph" w:customStyle="1" w:styleId="33">
    <w:name w:val="表体"/>
    <w:basedOn w:val="1"/>
    <w:next w:val="1"/>
    <w:qFormat/>
    <w:uiPriority w:val="0"/>
    <w:pPr>
      <w:snapToGrid w:val="0"/>
      <w:spacing w:line="0" w:lineRule="atLeast"/>
    </w:pPr>
    <w:rPr>
      <w:b/>
      <w:szCs w:val="20"/>
    </w:rPr>
  </w:style>
  <w:style w:type="paragraph" w:customStyle="1" w:styleId="34">
    <w:name w:val="列表段落2"/>
    <w:basedOn w:val="1"/>
    <w:qFormat/>
    <w:uiPriority w:val="99"/>
    <w:pPr>
      <w:ind w:firstLine="420" w:firstLineChars="200"/>
    </w:pPr>
  </w:style>
  <w:style w:type="table" w:customStyle="1" w:styleId="35">
    <w:name w:val="网格型1"/>
    <w:basedOn w:val="1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311A5-D091-4D50-B68C-388AA9917048}">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1832</Words>
  <Characters>10447</Characters>
  <Lines>87</Lines>
  <Paragraphs>24</Paragraphs>
  <ScaleCrop>false</ScaleCrop>
  <LinksUpToDate>false</LinksUpToDate>
  <CharactersWithSpaces>12255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2021-07-09T06:20:00Z</dcterms:created>
  <dc:creator>admin</dc:creator>
  <cp:lastModifiedBy>蒋淇</cp:lastModifiedBy>
  <dcterms:modified xsi:type="dcterms:W3CDTF">2021-11-01T01:14:29Z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6CBCD4C056E44C3F9D2F3BE5581C30D2</vt:lpwstr>
  </property>
</Properties>
</file>