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pacing w:val="20"/>
          <w:sz w:val="48"/>
          <w:szCs w:val="48"/>
        </w:rPr>
      </w:pPr>
      <w:r>
        <w:rPr>
          <w:rFonts w:hint="eastAsia" w:ascii="宋体"/>
          <w:b/>
          <w:sz w:val="48"/>
          <w:szCs w:val="48"/>
        </w:rPr>
        <w:t>重庆高速公路集团有限公司东北营运分公司</w:t>
      </w:r>
      <w:r>
        <w:rPr>
          <w:rFonts w:hint="eastAsia" w:ascii="宋体" w:hAnsi="Times New Roman" w:cs="Times New Roman"/>
          <w:b/>
          <w:sz w:val="48"/>
          <w:szCs w:val="48"/>
          <w:lang w:val="en-US" w:eastAsia="zh-CN"/>
        </w:rPr>
        <w:t>服务区污水处理设备日常维护</w:t>
      </w:r>
      <w:r>
        <w:rPr>
          <w:rFonts w:hint="eastAsia" w:ascii="宋体"/>
          <w:b/>
          <w:sz w:val="48"/>
          <w:szCs w:val="48"/>
        </w:rPr>
        <w:t>项目</w:t>
      </w:r>
    </w:p>
    <w:p>
      <w:pPr>
        <w:jc w:val="center"/>
        <w:rPr>
          <w:rFonts w:hint="eastAsia" w:ascii="宋体" w:hAnsi="宋体"/>
          <w:b/>
          <w:spacing w:val="20"/>
          <w:sz w:val="72"/>
          <w:szCs w:val="72"/>
        </w:rPr>
      </w:pPr>
    </w:p>
    <w:p>
      <w:pPr>
        <w:jc w:val="center"/>
        <w:rPr>
          <w:rFonts w:hint="eastAsia" w:ascii="宋体" w:hAnsi="宋体"/>
          <w:b/>
          <w:spacing w:val="20"/>
          <w:sz w:val="72"/>
          <w:szCs w:val="72"/>
        </w:rPr>
      </w:pPr>
    </w:p>
    <w:p>
      <w:pPr>
        <w:jc w:val="center"/>
        <w:rPr>
          <w:rFonts w:hint="eastAsia" w:ascii="宋体" w:hAnsi="宋体"/>
          <w:b/>
          <w:spacing w:val="20"/>
          <w:sz w:val="72"/>
          <w:szCs w:val="72"/>
        </w:rPr>
      </w:pPr>
    </w:p>
    <w:p>
      <w:pPr>
        <w:jc w:val="center"/>
        <w:rPr>
          <w:rFonts w:hint="eastAsia" w:ascii="宋体" w:hAnsi="宋体"/>
          <w:b/>
          <w:spacing w:val="20"/>
          <w:sz w:val="72"/>
          <w:szCs w:val="72"/>
        </w:rPr>
      </w:pPr>
    </w:p>
    <w:p>
      <w:pPr>
        <w:jc w:val="center"/>
        <w:rPr>
          <w:rFonts w:ascii="宋体" w:hAnsi="宋体"/>
          <w:b/>
          <w:spacing w:val="20"/>
          <w:sz w:val="72"/>
          <w:szCs w:val="72"/>
        </w:rPr>
      </w:pPr>
      <w:r>
        <w:rPr>
          <w:rFonts w:hint="eastAsia" w:ascii="宋体" w:hAnsi="宋体"/>
          <w:b/>
          <w:spacing w:val="20"/>
          <w:sz w:val="72"/>
          <w:szCs w:val="72"/>
          <w:lang w:eastAsia="zh-CN"/>
        </w:rPr>
        <w:t>竞争性比选</w:t>
      </w:r>
      <w:r>
        <w:rPr>
          <w:rFonts w:hint="eastAsia" w:ascii="宋体" w:hAnsi="宋体"/>
          <w:b/>
          <w:spacing w:val="20"/>
          <w:sz w:val="72"/>
          <w:szCs w:val="72"/>
        </w:rPr>
        <w:t>函</w:t>
      </w:r>
    </w:p>
    <w:p>
      <w:pPr>
        <w:rPr>
          <w:rFonts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pacing w:val="100"/>
          <w:szCs w:val="21"/>
        </w:rPr>
      </w:pPr>
    </w:p>
    <w:p>
      <w:pPr>
        <w:pStyle w:val="5"/>
        <w:snapToGrid w:val="0"/>
        <w:ind w:left="99" w:leftChars="47"/>
        <w:jc w:val="center"/>
        <w:rPr>
          <w:rFonts w:hint="eastAsia" w:ascii="宋体" w:hAnsi="宋体"/>
          <w:b/>
          <w:sz w:val="32"/>
          <w:szCs w:val="32"/>
        </w:rPr>
      </w:pPr>
      <w:r>
        <w:rPr>
          <w:rFonts w:hint="eastAsia" w:ascii="宋体" w:hAnsi="宋体"/>
          <w:b/>
          <w:sz w:val="32"/>
          <w:szCs w:val="32"/>
        </w:rPr>
        <w:t>重庆高速公路集团有限公司东北营运分公司</w:t>
      </w:r>
    </w:p>
    <w:p>
      <w:pPr>
        <w:pStyle w:val="5"/>
        <w:snapToGrid w:val="0"/>
        <w:ind w:left="99" w:leftChars="47"/>
        <w:jc w:val="center"/>
        <w:rPr>
          <w:rFonts w:hint="default" w:ascii="宋体" w:hAnsi="宋体" w:eastAsia="宋体"/>
          <w:b/>
          <w:sz w:val="32"/>
          <w:szCs w:val="32"/>
          <w:lang w:val="en-US" w:eastAsia="zh-CN"/>
        </w:rPr>
      </w:pPr>
      <w:r>
        <w:rPr>
          <w:rFonts w:hint="eastAsia" w:ascii="宋体" w:hAnsi="宋体"/>
          <w:b/>
          <w:sz w:val="32"/>
          <w:szCs w:val="32"/>
        </w:rPr>
        <w:t>20</w:t>
      </w:r>
      <w:r>
        <w:rPr>
          <w:rFonts w:hint="eastAsia" w:ascii="宋体" w:hAnsi="宋体"/>
          <w:b/>
          <w:sz w:val="32"/>
          <w:szCs w:val="32"/>
          <w:lang w:val="en-US" w:eastAsia="zh-CN"/>
        </w:rPr>
        <w:t>22</w:t>
      </w:r>
      <w:r>
        <w:rPr>
          <w:rFonts w:hint="eastAsia" w:ascii="宋体" w:hAnsi="宋体"/>
          <w:b/>
          <w:sz w:val="32"/>
          <w:szCs w:val="32"/>
        </w:rPr>
        <w:t>年</w:t>
      </w:r>
      <w:r>
        <w:rPr>
          <w:rFonts w:hint="eastAsia" w:ascii="宋体" w:hAnsi="宋体"/>
          <w:b/>
          <w:sz w:val="32"/>
          <w:szCs w:val="32"/>
          <w:lang w:val="en-US" w:eastAsia="zh-CN"/>
        </w:rPr>
        <w:t>9月</w:t>
      </w:r>
    </w:p>
    <w:p>
      <w:pPr>
        <w:jc w:val="center"/>
        <w:rPr>
          <w:rFonts w:hint="eastAsia"/>
          <w:b/>
          <w:sz w:val="30"/>
          <w:szCs w:val="30"/>
        </w:rPr>
      </w:pPr>
    </w:p>
    <w:p>
      <w:pPr>
        <w:jc w:val="center"/>
        <w:rPr>
          <w:rFonts w:hint="eastAsia"/>
          <w:b/>
          <w:sz w:val="30"/>
          <w:szCs w:val="30"/>
        </w:rPr>
      </w:pPr>
    </w:p>
    <w:p>
      <w:pPr>
        <w:jc w:val="center"/>
        <w:rPr>
          <w:rFonts w:hint="eastAsia" w:ascii="宋体" w:hAnsi="Times New Roman" w:cs="Times New Roman"/>
          <w:b/>
          <w:sz w:val="30"/>
          <w:szCs w:val="30"/>
        </w:rPr>
      </w:pPr>
      <w:r>
        <w:rPr>
          <w:rFonts w:hint="eastAsia" w:ascii="宋体"/>
          <w:b/>
          <w:sz w:val="30"/>
          <w:szCs w:val="30"/>
        </w:rPr>
        <w:t>重庆高速公路集团有限公司东北营运分公司</w:t>
      </w:r>
      <w:r>
        <w:rPr>
          <w:rFonts w:hint="eastAsia" w:ascii="宋体" w:hAnsi="Times New Roman" w:cs="Times New Roman"/>
          <w:b/>
          <w:sz w:val="30"/>
          <w:szCs w:val="30"/>
          <w:lang w:val="en-US" w:eastAsia="zh-CN"/>
        </w:rPr>
        <w:t>服务区污水处理设备日常维护</w:t>
      </w:r>
      <w:r>
        <w:rPr>
          <w:rFonts w:hint="eastAsia" w:ascii="宋体" w:hAnsi="Times New Roman" w:cs="Times New Roman"/>
          <w:b/>
          <w:sz w:val="30"/>
          <w:szCs w:val="30"/>
        </w:rPr>
        <w:t>项目</w:t>
      </w:r>
      <w:r>
        <w:rPr>
          <w:rFonts w:hint="eastAsia" w:ascii="宋体" w:cs="Times New Roman"/>
          <w:b/>
          <w:sz w:val="30"/>
          <w:szCs w:val="30"/>
          <w:lang w:eastAsia="zh-CN"/>
        </w:rPr>
        <w:t>竞争性比选</w:t>
      </w:r>
      <w:r>
        <w:rPr>
          <w:rFonts w:hint="eastAsia" w:ascii="宋体" w:hAnsi="Times New Roman" w:cs="Times New Roman"/>
          <w:b/>
          <w:sz w:val="30"/>
          <w:szCs w:val="30"/>
        </w:rPr>
        <w:t>函</w:t>
      </w:r>
    </w:p>
    <w:p>
      <w:pPr>
        <w:spacing w:line="400" w:lineRule="exact"/>
        <w:ind w:firstLine="120" w:firstLineChars="50"/>
        <w:rPr>
          <w:rFonts w:hint="eastAsia" w:ascii="宋体" w:hAnsi="宋体"/>
          <w:sz w:val="24"/>
          <w:szCs w:val="24"/>
        </w:rPr>
      </w:pPr>
      <w:bookmarkStart w:id="0" w:name="_Toc247085680"/>
      <w:bookmarkStart w:id="1" w:name="_Toc179632536"/>
      <w:bookmarkStart w:id="2" w:name="_Toc246996166"/>
      <w:bookmarkStart w:id="3" w:name="_Toc296602410"/>
      <w:bookmarkStart w:id="4" w:name="_Toc246996909"/>
      <w:bookmarkStart w:id="5" w:name="_Toc152042295"/>
      <w:bookmarkStart w:id="6" w:name="_Toc144974487"/>
      <w:bookmarkStart w:id="7" w:name="_Toc152045519"/>
      <w:r>
        <w:rPr>
          <w:rFonts w:hint="eastAsia" w:ascii="宋体" w:hAnsi="宋体"/>
          <w:sz w:val="24"/>
          <w:szCs w:val="24"/>
          <w:u w:val="single"/>
        </w:rPr>
        <w:t xml:space="preserve">           </w:t>
      </w:r>
      <w:r>
        <w:rPr>
          <w:rFonts w:hint="eastAsia" w:ascii="宋体" w:hAnsi="宋体"/>
          <w:sz w:val="24"/>
          <w:szCs w:val="24"/>
        </w:rPr>
        <w:t>（被邀请单位名称）：</w:t>
      </w:r>
      <w:bookmarkEnd w:id="0"/>
      <w:bookmarkEnd w:id="1"/>
      <w:bookmarkEnd w:id="2"/>
      <w:bookmarkEnd w:id="3"/>
      <w:bookmarkEnd w:id="4"/>
      <w:bookmarkEnd w:id="5"/>
      <w:bookmarkEnd w:id="6"/>
      <w:bookmarkEnd w:id="7"/>
    </w:p>
    <w:p>
      <w:pPr>
        <w:wordWrap w:val="0"/>
        <w:spacing w:line="360" w:lineRule="auto"/>
        <w:ind w:firstLine="480" w:firstLineChars="200"/>
        <w:jc w:val="left"/>
        <w:rPr>
          <w:rFonts w:hint="eastAsia" w:ascii="宋体" w:hAnsi="宋体" w:eastAsia="宋体" w:cs="宋体"/>
          <w:sz w:val="24"/>
          <w:szCs w:val="24"/>
        </w:rPr>
      </w:pPr>
      <w:bookmarkStart w:id="8" w:name="_Toc296602412"/>
      <w:bookmarkStart w:id="9" w:name="_Toc179632538"/>
      <w:bookmarkStart w:id="10" w:name="_Toc247085682"/>
      <w:bookmarkStart w:id="11" w:name="_Toc152045521"/>
      <w:bookmarkStart w:id="12" w:name="_Toc246996168"/>
      <w:bookmarkStart w:id="13" w:name="_Toc144974489"/>
      <w:bookmarkStart w:id="14" w:name="_Toc246996911"/>
      <w:bookmarkStart w:id="15" w:name="_Toc152042297"/>
      <w:r>
        <w:rPr>
          <w:rFonts w:hint="eastAsia" w:ascii="宋体" w:hAnsi="宋体" w:eastAsia="宋体" w:cs="宋体"/>
          <w:color w:val="000000"/>
          <w:spacing w:val="0"/>
          <w:sz w:val="24"/>
          <w:szCs w:val="24"/>
          <w:highlight w:val="none"/>
          <w:lang w:val="en-US" w:eastAsia="zh-CN"/>
        </w:rPr>
        <w:t>为解决我司服务区污水处理设备日常运营维护难点，使服务区污水处理设备运维及时、高效、专业，</w:t>
      </w:r>
      <w:r>
        <w:rPr>
          <w:rFonts w:hint="eastAsia" w:ascii="宋体" w:hAnsi="宋体" w:eastAsia="宋体" w:cs="宋体"/>
          <w:sz w:val="24"/>
          <w:szCs w:val="24"/>
        </w:rPr>
        <w:t>拟</w:t>
      </w:r>
      <w:r>
        <w:rPr>
          <w:rFonts w:hint="eastAsia" w:ascii="宋体" w:hAnsi="宋体" w:eastAsia="宋体" w:cs="宋体"/>
          <w:sz w:val="24"/>
          <w:szCs w:val="24"/>
          <w:lang w:val="en-US" w:eastAsia="zh-CN"/>
        </w:rPr>
        <w:t>通过</w:t>
      </w:r>
      <w:r>
        <w:rPr>
          <w:rFonts w:hint="eastAsia" w:ascii="宋体" w:hAnsi="宋体" w:cs="宋体"/>
          <w:sz w:val="24"/>
          <w:szCs w:val="24"/>
          <w:lang w:val="en-US" w:eastAsia="zh-CN"/>
        </w:rPr>
        <w:t>竞争性比选</w:t>
      </w:r>
      <w:r>
        <w:rPr>
          <w:rFonts w:hint="eastAsia" w:ascii="宋体" w:hAnsi="宋体" w:eastAsia="宋体" w:cs="宋体"/>
          <w:sz w:val="24"/>
          <w:szCs w:val="24"/>
          <w:lang w:val="en-US" w:eastAsia="zh-CN"/>
        </w:rPr>
        <w:t>确定具备相应资质的施工单位</w:t>
      </w:r>
      <w:r>
        <w:rPr>
          <w:rFonts w:hint="eastAsia" w:ascii="宋体" w:hAnsi="宋体" w:eastAsia="宋体" w:cs="宋体"/>
          <w:sz w:val="24"/>
          <w:szCs w:val="24"/>
        </w:rPr>
        <w:t>，</w:t>
      </w:r>
      <w:r>
        <w:rPr>
          <w:rFonts w:hint="eastAsia" w:ascii="宋体" w:hAnsi="宋体" w:eastAsia="宋体" w:cs="宋体"/>
          <w:color w:val="000000"/>
          <w:spacing w:val="0"/>
          <w:sz w:val="24"/>
          <w:szCs w:val="24"/>
          <w:highlight w:val="none"/>
          <w:lang w:val="en-US" w:eastAsia="zh-CN"/>
        </w:rPr>
        <w:t>在重庆高速公路集团招投标平台合格供方库的“施工方向”的“环保工程类”中随机选取不低于3家单位进行</w:t>
      </w:r>
      <w:r>
        <w:rPr>
          <w:rFonts w:hint="eastAsia" w:ascii="宋体" w:hAnsi="宋体" w:cs="宋体"/>
          <w:color w:val="000000"/>
          <w:spacing w:val="0"/>
          <w:sz w:val="24"/>
          <w:szCs w:val="24"/>
          <w:highlight w:val="none"/>
          <w:lang w:val="en-US" w:eastAsia="zh-CN"/>
        </w:rPr>
        <w:t>竞争性比选</w:t>
      </w:r>
      <w:r>
        <w:rPr>
          <w:rFonts w:hint="eastAsia" w:ascii="宋体" w:hAnsi="宋体" w:eastAsia="宋体" w:cs="宋体"/>
          <w:sz w:val="24"/>
          <w:szCs w:val="24"/>
        </w:rPr>
        <w:t>，具体要求如下：</w:t>
      </w:r>
    </w:p>
    <w:p>
      <w:pPr>
        <w:numPr>
          <w:ilvl w:val="0"/>
          <w:numId w:val="0"/>
        </w:numPr>
        <w:spacing w:line="360" w:lineRule="auto"/>
        <w:ind w:leftChars="0"/>
        <w:rPr>
          <w:rFonts w:ascii="宋体" w:hAnsi="宋体"/>
          <w:b/>
          <w:sz w:val="24"/>
          <w:szCs w:val="24"/>
        </w:rPr>
      </w:pPr>
      <w:bookmarkStart w:id="16" w:name="_Toc246996167"/>
      <w:bookmarkStart w:id="17" w:name="_Toc152045520"/>
      <w:bookmarkStart w:id="18" w:name="_Toc246996910"/>
      <w:bookmarkStart w:id="19" w:name="_Toc152042296"/>
      <w:bookmarkStart w:id="20" w:name="_Toc179632537"/>
      <w:bookmarkStart w:id="21" w:name="_Toc296602411"/>
      <w:bookmarkStart w:id="22" w:name="_Toc247085681"/>
      <w:bookmarkStart w:id="23" w:name="_Toc144974488"/>
      <w:r>
        <w:rPr>
          <w:rFonts w:hint="eastAsia" w:ascii="宋体" w:hAnsi="宋体"/>
          <w:b/>
          <w:sz w:val="24"/>
          <w:szCs w:val="24"/>
          <w:lang w:val="en-US" w:eastAsia="zh-CN"/>
        </w:rPr>
        <w:t>一、</w:t>
      </w:r>
      <w:r>
        <w:rPr>
          <w:rFonts w:hint="eastAsia" w:ascii="宋体" w:hAnsi="宋体"/>
          <w:b/>
          <w:sz w:val="24"/>
          <w:szCs w:val="24"/>
        </w:rPr>
        <w:t>项目概况与</w:t>
      </w:r>
      <w:r>
        <w:rPr>
          <w:rFonts w:hint="eastAsia" w:ascii="宋体" w:hAnsi="宋体"/>
          <w:b/>
          <w:sz w:val="24"/>
          <w:szCs w:val="24"/>
          <w:lang w:eastAsia="zh-CN"/>
        </w:rPr>
        <w:t>竞争性比选</w:t>
      </w:r>
      <w:r>
        <w:rPr>
          <w:rFonts w:hint="eastAsia" w:ascii="宋体" w:hAnsi="宋体"/>
          <w:b/>
          <w:sz w:val="24"/>
          <w:szCs w:val="24"/>
        </w:rPr>
        <w:t>范围</w:t>
      </w:r>
      <w:bookmarkEnd w:id="16"/>
      <w:bookmarkEnd w:id="17"/>
      <w:bookmarkEnd w:id="18"/>
      <w:bookmarkEnd w:id="19"/>
      <w:bookmarkEnd w:id="20"/>
      <w:bookmarkEnd w:id="21"/>
      <w:bookmarkEnd w:id="22"/>
      <w:bookmarkEnd w:id="2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cs="宋体"/>
          <w:sz w:val="24"/>
          <w:szCs w:val="24"/>
          <w:lang w:eastAsia="zh-CN"/>
        </w:rPr>
        <w:t>竞争性比选</w:t>
      </w:r>
      <w:r>
        <w:rPr>
          <w:rFonts w:hint="eastAsia" w:ascii="宋体" w:hAnsi="宋体" w:eastAsia="宋体" w:cs="宋体"/>
          <w:sz w:val="24"/>
          <w:szCs w:val="24"/>
        </w:rPr>
        <w:t>项目为</w:t>
      </w:r>
      <w:r>
        <w:rPr>
          <w:rFonts w:hint="eastAsia" w:ascii="宋体" w:hAnsi="宋体" w:eastAsia="宋体" w:cs="宋体"/>
          <w:sz w:val="24"/>
          <w:szCs w:val="24"/>
          <w:lang w:val="en-US" w:eastAsia="zh-CN"/>
        </w:rPr>
        <w:t>环保运维服务</w:t>
      </w:r>
      <w:r>
        <w:rPr>
          <w:rFonts w:hint="eastAsia" w:ascii="宋体" w:hAnsi="宋体" w:eastAsia="宋体" w:cs="宋体"/>
          <w:sz w:val="24"/>
          <w:szCs w:val="24"/>
        </w:rPr>
        <w:t>工程，主要目的为提</w:t>
      </w:r>
      <w:r>
        <w:rPr>
          <w:rFonts w:hint="eastAsia" w:ascii="宋体" w:hAnsi="宋体" w:eastAsia="宋体" w:cs="宋体"/>
          <w:sz w:val="24"/>
          <w:szCs w:val="24"/>
          <w:lang w:val="en-US" w:eastAsia="zh-CN"/>
        </w:rPr>
        <w:t>升服务区污水处理能力</w:t>
      </w:r>
      <w:r>
        <w:rPr>
          <w:rFonts w:hint="eastAsia" w:ascii="宋体" w:hAnsi="宋体" w:eastAsia="宋体" w:cs="宋体"/>
          <w:sz w:val="24"/>
          <w:szCs w:val="24"/>
        </w:rPr>
        <w:t>，</w:t>
      </w:r>
      <w:r>
        <w:rPr>
          <w:rFonts w:hint="eastAsia" w:ascii="宋体" w:hAnsi="宋体" w:eastAsia="宋体" w:cs="宋体"/>
          <w:sz w:val="24"/>
          <w:szCs w:val="24"/>
          <w:lang w:val="en-US" w:eastAsia="zh-CN"/>
        </w:rPr>
        <w:t>达到相关法律法规的环保要求</w:t>
      </w:r>
      <w:r>
        <w:rPr>
          <w:rFonts w:hint="eastAsia" w:ascii="宋体" w:hAnsi="宋体" w:eastAsia="宋体" w:cs="宋体"/>
          <w:sz w:val="24"/>
          <w:szCs w:val="24"/>
        </w:rPr>
        <w:t>。项目工程量为</w:t>
      </w:r>
      <w:r>
        <w:rPr>
          <w:rFonts w:hint="eastAsia" w:ascii="宋体" w:hAnsi="宋体" w:cs="宋体"/>
          <w:sz w:val="24"/>
          <w:szCs w:val="24"/>
          <w:lang w:eastAsia="zh-CN"/>
        </w:rPr>
        <w:t>万州、</w:t>
      </w:r>
      <w:r>
        <w:rPr>
          <w:rFonts w:hint="eastAsia" w:ascii="宋体" w:hAnsi="宋体" w:eastAsia="宋体" w:cs="宋体"/>
          <w:bCs/>
          <w:sz w:val="24"/>
          <w:szCs w:val="24"/>
          <w:lang w:val="en-US" w:eastAsia="zh-CN"/>
        </w:rPr>
        <w:t>云阳、奉节、巫山</w:t>
      </w:r>
      <w:r>
        <w:rPr>
          <w:rFonts w:hint="eastAsia" w:ascii="宋体" w:hAnsi="宋体" w:cs="宋体"/>
          <w:bCs/>
          <w:sz w:val="24"/>
          <w:szCs w:val="24"/>
          <w:lang w:val="en-US" w:eastAsia="zh-CN"/>
        </w:rPr>
        <w:t>四</w:t>
      </w:r>
      <w:r>
        <w:rPr>
          <w:rFonts w:hint="eastAsia" w:ascii="宋体" w:hAnsi="宋体" w:eastAsia="宋体" w:cs="宋体"/>
          <w:bCs/>
          <w:sz w:val="24"/>
          <w:szCs w:val="24"/>
          <w:lang w:val="en-US" w:eastAsia="zh-CN"/>
        </w:rPr>
        <w:t>对服务区（</w:t>
      </w:r>
      <w:r>
        <w:rPr>
          <w:rFonts w:hint="eastAsia" w:ascii="宋体" w:hAnsi="宋体" w:cs="宋体"/>
          <w:bCs/>
          <w:sz w:val="24"/>
          <w:szCs w:val="24"/>
          <w:lang w:val="en-US" w:eastAsia="zh-CN"/>
        </w:rPr>
        <w:t>四</w:t>
      </w:r>
      <w:r>
        <w:rPr>
          <w:rFonts w:hint="eastAsia" w:ascii="宋体" w:hAnsi="宋体" w:eastAsia="宋体" w:cs="宋体"/>
          <w:bCs/>
          <w:sz w:val="24"/>
          <w:szCs w:val="24"/>
          <w:lang w:val="en-US" w:eastAsia="zh-CN"/>
        </w:rPr>
        <w:t>对服务区共</w:t>
      </w:r>
      <w:r>
        <w:rPr>
          <w:rFonts w:hint="eastAsia" w:ascii="宋体" w:hAnsi="宋体" w:cs="宋体"/>
          <w:bCs/>
          <w:sz w:val="24"/>
          <w:szCs w:val="24"/>
          <w:lang w:val="en-US" w:eastAsia="zh-CN"/>
        </w:rPr>
        <w:t>八</w:t>
      </w:r>
      <w:r>
        <w:rPr>
          <w:rFonts w:hint="eastAsia" w:ascii="宋体" w:hAnsi="宋体" w:eastAsia="宋体" w:cs="宋体"/>
          <w:bCs/>
          <w:sz w:val="24"/>
          <w:szCs w:val="24"/>
          <w:lang w:val="en-US" w:eastAsia="zh-CN"/>
        </w:rPr>
        <w:t>侧）</w:t>
      </w:r>
      <w:r>
        <w:rPr>
          <w:rFonts w:hint="eastAsia" w:ascii="宋体" w:hAnsi="宋体" w:eastAsia="宋体" w:cs="宋体"/>
          <w:sz w:val="24"/>
          <w:szCs w:val="24"/>
        </w:rPr>
        <w:t>。</w:t>
      </w:r>
    </w:p>
    <w:p>
      <w:pPr>
        <w:numPr>
          <w:ilvl w:val="0"/>
          <w:numId w:val="1"/>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cs="宋体"/>
          <w:sz w:val="24"/>
          <w:szCs w:val="24"/>
          <w:lang w:eastAsia="zh-CN"/>
        </w:rPr>
        <w:t>万州、</w:t>
      </w:r>
      <w:r>
        <w:rPr>
          <w:rFonts w:hint="eastAsia" w:ascii="宋体" w:hAnsi="宋体" w:eastAsia="宋体" w:cs="宋体"/>
          <w:bCs/>
          <w:sz w:val="24"/>
          <w:szCs w:val="24"/>
          <w:lang w:val="en-US" w:eastAsia="zh-CN"/>
        </w:rPr>
        <w:t>云阳、奉节、巫山</w:t>
      </w:r>
      <w:r>
        <w:rPr>
          <w:rFonts w:hint="eastAsia" w:ascii="宋体" w:hAnsi="宋体" w:cs="宋体"/>
          <w:bCs/>
          <w:sz w:val="24"/>
          <w:szCs w:val="24"/>
          <w:lang w:val="en-US" w:eastAsia="zh-CN"/>
        </w:rPr>
        <w:t>四</w:t>
      </w:r>
      <w:r>
        <w:rPr>
          <w:rFonts w:hint="eastAsia" w:ascii="宋体" w:hAnsi="宋体" w:eastAsia="宋体" w:cs="宋体"/>
          <w:bCs/>
          <w:sz w:val="24"/>
          <w:szCs w:val="24"/>
          <w:lang w:val="en-US" w:eastAsia="zh-CN"/>
        </w:rPr>
        <w:t>对服务区（</w:t>
      </w:r>
      <w:r>
        <w:rPr>
          <w:rFonts w:hint="eastAsia" w:ascii="宋体" w:hAnsi="宋体" w:cs="宋体"/>
          <w:bCs/>
          <w:sz w:val="24"/>
          <w:szCs w:val="24"/>
          <w:lang w:val="en-US" w:eastAsia="zh-CN"/>
        </w:rPr>
        <w:t>四</w:t>
      </w:r>
      <w:r>
        <w:rPr>
          <w:rFonts w:hint="eastAsia" w:ascii="宋体" w:hAnsi="宋体" w:eastAsia="宋体" w:cs="宋体"/>
          <w:bCs/>
          <w:sz w:val="24"/>
          <w:szCs w:val="24"/>
          <w:lang w:val="en-US" w:eastAsia="zh-CN"/>
        </w:rPr>
        <w:t>对服务区共</w:t>
      </w:r>
      <w:r>
        <w:rPr>
          <w:rFonts w:hint="eastAsia" w:ascii="宋体" w:hAnsi="宋体" w:cs="宋体"/>
          <w:bCs/>
          <w:sz w:val="24"/>
          <w:szCs w:val="24"/>
          <w:lang w:val="en-US" w:eastAsia="zh-CN"/>
        </w:rPr>
        <w:t>八</w:t>
      </w:r>
      <w:r>
        <w:rPr>
          <w:rFonts w:hint="eastAsia" w:ascii="宋体" w:hAnsi="宋体" w:eastAsia="宋体" w:cs="宋体"/>
          <w:bCs/>
          <w:sz w:val="24"/>
          <w:szCs w:val="24"/>
          <w:lang w:val="en-US" w:eastAsia="zh-CN"/>
        </w:rPr>
        <w:t>侧）</w:t>
      </w:r>
      <w:r>
        <w:rPr>
          <w:rFonts w:hint="eastAsia" w:ascii="宋体" w:hAnsi="宋体" w:eastAsia="宋体" w:cs="宋体"/>
          <w:sz w:val="24"/>
          <w:szCs w:val="24"/>
        </w:rPr>
        <w:t>。</w:t>
      </w:r>
    </w:p>
    <w:tbl>
      <w:tblPr>
        <w:tblStyle w:val="8"/>
        <w:tblW w:w="90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717"/>
        <w:gridCol w:w="3455"/>
        <w:gridCol w:w="1178"/>
        <w:gridCol w:w="397"/>
        <w:gridCol w:w="60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4" w:type="dxa"/>
            <w:vAlign w:val="center"/>
          </w:tcPr>
          <w:p>
            <w:pPr>
              <w:widowControl w:val="0"/>
              <w:spacing w:line="240" w:lineRule="auto"/>
              <w:jc w:val="center"/>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序号</w:t>
            </w:r>
          </w:p>
        </w:tc>
        <w:tc>
          <w:tcPr>
            <w:tcW w:w="1717" w:type="dxa"/>
            <w:vAlign w:val="center"/>
          </w:tcPr>
          <w:p>
            <w:pPr>
              <w:widowControl w:val="0"/>
              <w:spacing w:line="240" w:lineRule="auto"/>
              <w:ind w:firstLine="560" w:firstLineChars="200"/>
              <w:jc w:val="center"/>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地点</w:t>
            </w:r>
          </w:p>
        </w:tc>
        <w:tc>
          <w:tcPr>
            <w:tcW w:w="3455"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设备名称</w:t>
            </w:r>
          </w:p>
        </w:tc>
        <w:tc>
          <w:tcPr>
            <w:tcW w:w="1178"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处理量</w:t>
            </w:r>
          </w:p>
        </w:tc>
        <w:tc>
          <w:tcPr>
            <w:tcW w:w="397"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单位</w:t>
            </w:r>
          </w:p>
        </w:tc>
        <w:tc>
          <w:tcPr>
            <w:tcW w:w="600"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数量</w:t>
            </w:r>
          </w:p>
        </w:tc>
        <w:tc>
          <w:tcPr>
            <w:tcW w:w="840"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84" w:type="dxa"/>
            <w:vAlign w:val="center"/>
          </w:tcPr>
          <w:p>
            <w:pPr>
              <w:widowControl w:val="0"/>
              <w:spacing w:line="240" w:lineRule="auto"/>
              <w:jc w:val="center"/>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1</w:t>
            </w:r>
          </w:p>
        </w:tc>
        <w:tc>
          <w:tcPr>
            <w:tcW w:w="1717" w:type="dxa"/>
            <w:vAlign w:val="center"/>
          </w:tcPr>
          <w:p>
            <w:pPr>
              <w:widowControl w:val="0"/>
              <w:spacing w:line="240" w:lineRule="auto"/>
              <w:jc w:val="center"/>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万州服务区</w:t>
            </w:r>
          </w:p>
        </w:tc>
        <w:tc>
          <w:tcPr>
            <w:tcW w:w="3455"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智能一体化</w:t>
            </w:r>
            <w:r>
              <w:rPr>
                <w:rFonts w:hint="eastAsia" w:ascii="方正仿宋_GBK" w:hAnsi="方正仿宋_GBK" w:eastAsia="方正仿宋_GBK" w:cs="方正仿宋_GBK"/>
                <w:kern w:val="2"/>
                <w:sz w:val="28"/>
                <w:szCs w:val="24"/>
                <w:lang w:val="en-US" w:eastAsia="zh-CN"/>
              </w:rPr>
              <w:t>污水处理设备</w:t>
            </w:r>
          </w:p>
        </w:tc>
        <w:tc>
          <w:tcPr>
            <w:tcW w:w="1178" w:type="dxa"/>
            <w:vAlign w:val="center"/>
          </w:tcPr>
          <w:p>
            <w:pPr>
              <w:widowControl w:val="0"/>
              <w:spacing w:line="240" w:lineRule="auto"/>
              <w:jc w:val="both"/>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10</w:t>
            </w:r>
            <w:r>
              <w:rPr>
                <w:rFonts w:hint="eastAsia" w:ascii="方正仿宋_GBK" w:hAnsi="方正仿宋_GBK" w:eastAsia="方正仿宋_GBK" w:cs="方正仿宋_GBK"/>
                <w:kern w:val="2"/>
                <w:sz w:val="28"/>
                <w:szCs w:val="24"/>
              </w:rPr>
              <w:t>0m³/d</w:t>
            </w:r>
          </w:p>
        </w:tc>
        <w:tc>
          <w:tcPr>
            <w:tcW w:w="397" w:type="dxa"/>
            <w:vAlign w:val="center"/>
          </w:tcPr>
          <w:p>
            <w:pPr>
              <w:widowControl w:val="0"/>
              <w:spacing w:line="240" w:lineRule="auto"/>
              <w:jc w:val="center"/>
              <w:rPr>
                <w:rFonts w:hint="eastAsia" w:ascii="方正仿宋_GBK" w:hAnsi="方正仿宋_GBK" w:eastAsia="方正仿宋_GBK" w:cs="方正仿宋_GBK"/>
                <w:kern w:val="2"/>
                <w:sz w:val="28"/>
                <w:szCs w:val="24"/>
                <w:lang w:eastAsia="zh-CN"/>
              </w:rPr>
            </w:pPr>
            <w:r>
              <w:rPr>
                <w:rFonts w:hint="eastAsia" w:ascii="方正仿宋_GBK" w:hAnsi="方正仿宋_GBK" w:eastAsia="方正仿宋_GBK" w:cs="方正仿宋_GBK"/>
                <w:kern w:val="2"/>
                <w:sz w:val="28"/>
                <w:szCs w:val="24"/>
                <w:lang w:eastAsia="zh-CN"/>
              </w:rPr>
              <w:t>套</w:t>
            </w:r>
          </w:p>
        </w:tc>
        <w:tc>
          <w:tcPr>
            <w:tcW w:w="600" w:type="dxa"/>
            <w:vAlign w:val="center"/>
          </w:tcPr>
          <w:p>
            <w:pPr>
              <w:widowControl w:val="0"/>
              <w:spacing w:line="240" w:lineRule="auto"/>
              <w:jc w:val="center"/>
              <w:rPr>
                <w:rFonts w:hint="default"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2</w:t>
            </w:r>
          </w:p>
        </w:tc>
        <w:tc>
          <w:tcPr>
            <w:tcW w:w="840" w:type="dxa"/>
            <w:vAlign w:val="center"/>
          </w:tcPr>
          <w:p>
            <w:pPr>
              <w:widowControl w:val="0"/>
              <w:spacing w:line="240" w:lineRule="auto"/>
              <w:jc w:val="center"/>
              <w:rPr>
                <w:rFonts w:hint="eastAsia" w:ascii="方正仿宋_GBK" w:hAnsi="方正仿宋_GBK" w:eastAsia="方正仿宋_GBK" w:cs="方正仿宋_GBK"/>
                <w:kern w:val="2"/>
                <w:sz w:val="2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84" w:type="dxa"/>
            <w:vAlign w:val="center"/>
          </w:tcPr>
          <w:p>
            <w:pPr>
              <w:widowControl w:val="0"/>
              <w:spacing w:line="240" w:lineRule="auto"/>
              <w:jc w:val="center"/>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2</w:t>
            </w:r>
          </w:p>
        </w:tc>
        <w:tc>
          <w:tcPr>
            <w:tcW w:w="1717" w:type="dxa"/>
            <w:vAlign w:val="center"/>
          </w:tcPr>
          <w:p>
            <w:pPr>
              <w:widowControl w:val="0"/>
              <w:spacing w:line="240" w:lineRule="auto"/>
              <w:jc w:val="center"/>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云阳服务区</w:t>
            </w:r>
          </w:p>
        </w:tc>
        <w:tc>
          <w:tcPr>
            <w:tcW w:w="3455" w:type="dxa"/>
            <w:vAlign w:val="center"/>
          </w:tcPr>
          <w:p>
            <w:pPr>
              <w:widowControl w:val="0"/>
              <w:spacing w:line="240" w:lineRule="auto"/>
              <w:jc w:val="both"/>
              <w:rPr>
                <w:rFonts w:hint="eastAsia" w:ascii="方正仿宋_GBK" w:hAnsi="方正仿宋_GBK" w:eastAsia="方正仿宋_GBK" w:cs="方正仿宋_GBK"/>
                <w:kern w:val="2"/>
                <w:sz w:val="28"/>
                <w:szCs w:val="24"/>
                <w:lang w:val="en-US"/>
              </w:rPr>
            </w:pPr>
            <w:r>
              <w:rPr>
                <w:rFonts w:hint="eastAsia" w:ascii="方正仿宋_GBK" w:hAnsi="方正仿宋_GBK" w:eastAsia="方正仿宋_GBK" w:cs="方正仿宋_GBK"/>
                <w:kern w:val="2"/>
                <w:sz w:val="28"/>
                <w:szCs w:val="24"/>
              </w:rPr>
              <w:t>智能一体化</w:t>
            </w:r>
            <w:r>
              <w:rPr>
                <w:rFonts w:hint="eastAsia" w:ascii="方正仿宋_GBK" w:hAnsi="方正仿宋_GBK" w:eastAsia="方正仿宋_GBK" w:cs="方正仿宋_GBK"/>
                <w:kern w:val="2"/>
                <w:sz w:val="28"/>
                <w:szCs w:val="24"/>
                <w:lang w:val="en-US" w:eastAsia="zh-CN"/>
              </w:rPr>
              <w:t>污水处理设备</w:t>
            </w:r>
          </w:p>
        </w:tc>
        <w:tc>
          <w:tcPr>
            <w:tcW w:w="1178"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lang w:val="en-US" w:eastAsia="zh-CN"/>
              </w:rPr>
              <w:t>10</w:t>
            </w:r>
            <w:r>
              <w:rPr>
                <w:rFonts w:hint="eastAsia" w:ascii="方正仿宋_GBK" w:hAnsi="方正仿宋_GBK" w:eastAsia="方正仿宋_GBK" w:cs="方正仿宋_GBK"/>
                <w:kern w:val="2"/>
                <w:sz w:val="28"/>
                <w:szCs w:val="24"/>
              </w:rPr>
              <w:t>0m³/d</w:t>
            </w:r>
          </w:p>
        </w:tc>
        <w:tc>
          <w:tcPr>
            <w:tcW w:w="397" w:type="dxa"/>
            <w:vAlign w:val="center"/>
          </w:tcPr>
          <w:p>
            <w:pPr>
              <w:widowControl w:val="0"/>
              <w:spacing w:line="240" w:lineRule="auto"/>
              <w:jc w:val="center"/>
              <w:rPr>
                <w:rFonts w:hint="eastAsia" w:ascii="方正仿宋_GBK" w:hAnsi="方正仿宋_GBK" w:eastAsia="方正仿宋_GBK" w:cs="方正仿宋_GBK"/>
                <w:kern w:val="2"/>
                <w:sz w:val="28"/>
                <w:szCs w:val="24"/>
              </w:rPr>
            </w:pPr>
            <w:bookmarkStart w:id="24" w:name="RANGE_E7"/>
            <w:r>
              <w:rPr>
                <w:rFonts w:hint="eastAsia" w:ascii="方正仿宋_GBK" w:hAnsi="方正仿宋_GBK" w:eastAsia="方正仿宋_GBK" w:cs="方正仿宋_GBK"/>
                <w:kern w:val="2"/>
                <w:sz w:val="28"/>
                <w:szCs w:val="24"/>
              </w:rPr>
              <w:t>套</w:t>
            </w:r>
            <w:bookmarkEnd w:id="24"/>
          </w:p>
        </w:tc>
        <w:tc>
          <w:tcPr>
            <w:tcW w:w="600" w:type="dxa"/>
            <w:vAlign w:val="center"/>
          </w:tcPr>
          <w:p>
            <w:pPr>
              <w:widowControl w:val="0"/>
              <w:spacing w:line="240" w:lineRule="auto"/>
              <w:jc w:val="center"/>
              <w:rPr>
                <w:rFonts w:hint="eastAsia" w:ascii="方正仿宋_GBK" w:hAnsi="方正仿宋_GBK" w:eastAsia="方正仿宋_GBK" w:cs="方正仿宋_GBK"/>
                <w:kern w:val="2"/>
                <w:sz w:val="28"/>
                <w:szCs w:val="24"/>
                <w:lang w:eastAsia="zh-CN"/>
              </w:rPr>
            </w:pPr>
            <w:r>
              <w:rPr>
                <w:rFonts w:hint="eastAsia" w:ascii="方正仿宋_GBK" w:hAnsi="方正仿宋_GBK" w:eastAsia="方正仿宋_GBK" w:cs="方正仿宋_GBK"/>
                <w:kern w:val="2"/>
                <w:sz w:val="28"/>
                <w:szCs w:val="24"/>
                <w:lang w:val="en-US" w:eastAsia="zh-CN"/>
              </w:rPr>
              <w:t>2</w:t>
            </w:r>
          </w:p>
        </w:tc>
        <w:tc>
          <w:tcPr>
            <w:tcW w:w="840" w:type="dxa"/>
            <w:vAlign w:val="center"/>
          </w:tcPr>
          <w:p>
            <w:pPr>
              <w:widowControl w:val="0"/>
              <w:spacing w:line="240" w:lineRule="auto"/>
              <w:jc w:val="center"/>
              <w:rPr>
                <w:rFonts w:hint="eastAsia" w:ascii="方正仿宋_GBK" w:hAnsi="方正仿宋_GBK" w:eastAsia="方正仿宋_GBK" w:cs="方正仿宋_GBK"/>
                <w:kern w:val="2"/>
                <w:sz w:val="2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4" w:type="dxa"/>
            <w:vAlign w:val="center"/>
          </w:tcPr>
          <w:p>
            <w:pPr>
              <w:widowControl w:val="0"/>
              <w:spacing w:line="240" w:lineRule="auto"/>
              <w:jc w:val="center"/>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3</w:t>
            </w:r>
          </w:p>
        </w:tc>
        <w:tc>
          <w:tcPr>
            <w:tcW w:w="1717" w:type="dxa"/>
            <w:vAlign w:val="center"/>
          </w:tcPr>
          <w:p>
            <w:pPr>
              <w:widowControl w:val="0"/>
              <w:spacing w:line="240" w:lineRule="auto"/>
              <w:jc w:val="center"/>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奉节服务区</w:t>
            </w:r>
          </w:p>
        </w:tc>
        <w:tc>
          <w:tcPr>
            <w:tcW w:w="3455"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智能一体化</w:t>
            </w:r>
            <w:r>
              <w:rPr>
                <w:rFonts w:hint="eastAsia" w:ascii="方正仿宋_GBK" w:hAnsi="方正仿宋_GBK" w:eastAsia="方正仿宋_GBK" w:cs="方正仿宋_GBK"/>
                <w:kern w:val="2"/>
                <w:sz w:val="28"/>
                <w:szCs w:val="24"/>
                <w:lang w:val="en-US" w:eastAsia="zh-CN"/>
              </w:rPr>
              <w:t>污水处理设备</w:t>
            </w:r>
          </w:p>
        </w:tc>
        <w:tc>
          <w:tcPr>
            <w:tcW w:w="1178" w:type="dxa"/>
            <w:vAlign w:val="center"/>
          </w:tcPr>
          <w:p>
            <w:pPr>
              <w:widowControl w:val="0"/>
              <w:spacing w:line="240" w:lineRule="auto"/>
              <w:jc w:val="both"/>
              <w:rPr>
                <w:rFonts w:hint="eastAsia" w:ascii="方正仿宋_GBK" w:hAnsi="方正仿宋_GBK" w:eastAsia="方正仿宋_GBK" w:cs="方正仿宋_GBK"/>
                <w:kern w:val="2"/>
                <w:sz w:val="28"/>
                <w:szCs w:val="24"/>
              </w:rPr>
            </w:pPr>
            <w:bookmarkStart w:id="25" w:name="RANGE_D11"/>
            <w:r>
              <w:rPr>
                <w:rFonts w:hint="eastAsia" w:ascii="方正仿宋_GBK" w:hAnsi="方正仿宋_GBK" w:eastAsia="方正仿宋_GBK" w:cs="方正仿宋_GBK"/>
                <w:kern w:val="2"/>
                <w:sz w:val="28"/>
                <w:szCs w:val="24"/>
                <w:lang w:val="en-US" w:eastAsia="zh-CN"/>
              </w:rPr>
              <w:t>10</w:t>
            </w:r>
            <w:r>
              <w:rPr>
                <w:rFonts w:hint="eastAsia" w:ascii="方正仿宋_GBK" w:hAnsi="方正仿宋_GBK" w:eastAsia="方正仿宋_GBK" w:cs="方正仿宋_GBK"/>
                <w:kern w:val="2"/>
                <w:sz w:val="28"/>
                <w:szCs w:val="24"/>
              </w:rPr>
              <w:t>0m³/d</w:t>
            </w:r>
            <w:bookmarkEnd w:id="25"/>
          </w:p>
        </w:tc>
        <w:tc>
          <w:tcPr>
            <w:tcW w:w="397" w:type="dxa"/>
            <w:vAlign w:val="center"/>
          </w:tcPr>
          <w:p>
            <w:pPr>
              <w:widowControl w:val="0"/>
              <w:spacing w:line="240" w:lineRule="auto"/>
              <w:jc w:val="center"/>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套</w:t>
            </w:r>
          </w:p>
        </w:tc>
        <w:tc>
          <w:tcPr>
            <w:tcW w:w="600" w:type="dxa"/>
            <w:vAlign w:val="center"/>
          </w:tcPr>
          <w:p>
            <w:pPr>
              <w:widowControl w:val="0"/>
              <w:spacing w:line="240" w:lineRule="auto"/>
              <w:jc w:val="center"/>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2</w:t>
            </w:r>
          </w:p>
        </w:tc>
        <w:tc>
          <w:tcPr>
            <w:tcW w:w="840" w:type="dxa"/>
            <w:vAlign w:val="center"/>
          </w:tcPr>
          <w:p>
            <w:pPr>
              <w:widowControl w:val="0"/>
              <w:spacing w:line="240" w:lineRule="auto"/>
              <w:jc w:val="center"/>
              <w:rPr>
                <w:rFonts w:hint="eastAsia" w:ascii="方正仿宋_GBK" w:hAnsi="方正仿宋_GBK" w:eastAsia="方正仿宋_GBK" w:cs="方正仿宋_GBK"/>
                <w:kern w:val="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84" w:type="dxa"/>
            <w:vAlign w:val="center"/>
          </w:tcPr>
          <w:p>
            <w:pPr>
              <w:widowControl w:val="0"/>
              <w:spacing w:line="240" w:lineRule="auto"/>
              <w:jc w:val="center"/>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4</w:t>
            </w:r>
          </w:p>
        </w:tc>
        <w:tc>
          <w:tcPr>
            <w:tcW w:w="1717" w:type="dxa"/>
            <w:vAlign w:val="center"/>
          </w:tcPr>
          <w:p>
            <w:pPr>
              <w:widowControl w:val="0"/>
              <w:spacing w:line="240" w:lineRule="auto"/>
              <w:jc w:val="center"/>
              <w:rPr>
                <w:rFonts w:hint="eastAsia" w:ascii="方正仿宋_GBK" w:hAnsi="方正仿宋_GBK" w:eastAsia="方正仿宋_GBK" w:cs="方正仿宋_GBK"/>
                <w:kern w:val="2"/>
                <w:sz w:val="28"/>
                <w:szCs w:val="24"/>
                <w:lang w:val="en-US" w:eastAsia="zh-CN"/>
              </w:rPr>
            </w:pPr>
            <w:r>
              <w:rPr>
                <w:rFonts w:hint="eastAsia" w:ascii="方正仿宋_GBK" w:hAnsi="方正仿宋_GBK" w:eastAsia="方正仿宋_GBK" w:cs="方正仿宋_GBK"/>
                <w:kern w:val="2"/>
                <w:sz w:val="28"/>
                <w:szCs w:val="24"/>
                <w:lang w:val="en-US" w:eastAsia="zh-CN"/>
              </w:rPr>
              <w:t>巫山服务区</w:t>
            </w:r>
          </w:p>
        </w:tc>
        <w:tc>
          <w:tcPr>
            <w:tcW w:w="3455"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智能一体化</w:t>
            </w:r>
            <w:r>
              <w:rPr>
                <w:rFonts w:hint="eastAsia" w:ascii="方正仿宋_GBK" w:hAnsi="方正仿宋_GBK" w:eastAsia="方正仿宋_GBK" w:cs="方正仿宋_GBK"/>
                <w:kern w:val="2"/>
                <w:sz w:val="28"/>
                <w:szCs w:val="24"/>
                <w:lang w:val="en-US" w:eastAsia="zh-CN"/>
              </w:rPr>
              <w:t>污水处理设备</w:t>
            </w:r>
          </w:p>
        </w:tc>
        <w:tc>
          <w:tcPr>
            <w:tcW w:w="1178" w:type="dxa"/>
            <w:vAlign w:val="center"/>
          </w:tcPr>
          <w:p>
            <w:pPr>
              <w:widowControl w:val="0"/>
              <w:spacing w:line="240" w:lineRule="auto"/>
              <w:jc w:val="both"/>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lang w:val="en-US" w:eastAsia="zh-CN"/>
              </w:rPr>
              <w:t>24</w:t>
            </w:r>
            <w:r>
              <w:rPr>
                <w:rFonts w:hint="eastAsia" w:ascii="方正仿宋_GBK" w:hAnsi="方正仿宋_GBK" w:eastAsia="方正仿宋_GBK" w:cs="方正仿宋_GBK"/>
                <w:kern w:val="2"/>
                <w:sz w:val="28"/>
                <w:szCs w:val="24"/>
              </w:rPr>
              <w:t>0m³/d</w:t>
            </w:r>
          </w:p>
        </w:tc>
        <w:tc>
          <w:tcPr>
            <w:tcW w:w="397" w:type="dxa"/>
            <w:vAlign w:val="center"/>
          </w:tcPr>
          <w:p>
            <w:pPr>
              <w:widowControl w:val="0"/>
              <w:spacing w:line="240" w:lineRule="auto"/>
              <w:jc w:val="center"/>
              <w:rPr>
                <w:rFonts w:hint="eastAsia" w:ascii="方正仿宋_GBK" w:hAnsi="方正仿宋_GBK" w:eastAsia="方正仿宋_GBK" w:cs="方正仿宋_GBK"/>
                <w:kern w:val="2"/>
                <w:sz w:val="28"/>
                <w:szCs w:val="24"/>
              </w:rPr>
            </w:pPr>
            <w:r>
              <w:rPr>
                <w:rFonts w:hint="eastAsia" w:ascii="方正仿宋_GBK" w:hAnsi="方正仿宋_GBK" w:eastAsia="方正仿宋_GBK" w:cs="方正仿宋_GBK"/>
                <w:kern w:val="2"/>
                <w:sz w:val="28"/>
                <w:szCs w:val="24"/>
              </w:rPr>
              <w:t>套</w:t>
            </w:r>
          </w:p>
        </w:tc>
        <w:tc>
          <w:tcPr>
            <w:tcW w:w="600" w:type="dxa"/>
            <w:vAlign w:val="center"/>
          </w:tcPr>
          <w:p>
            <w:pPr>
              <w:widowControl w:val="0"/>
              <w:spacing w:line="240" w:lineRule="auto"/>
              <w:jc w:val="center"/>
              <w:rPr>
                <w:rFonts w:hint="eastAsia" w:ascii="方正仿宋_GBK" w:hAnsi="方正仿宋_GBK" w:eastAsia="方正仿宋_GBK" w:cs="方正仿宋_GBK"/>
                <w:kern w:val="2"/>
                <w:sz w:val="28"/>
                <w:szCs w:val="24"/>
                <w:lang w:eastAsia="zh-CN"/>
              </w:rPr>
            </w:pPr>
            <w:r>
              <w:rPr>
                <w:rFonts w:hint="eastAsia" w:ascii="方正仿宋_GBK" w:hAnsi="方正仿宋_GBK" w:eastAsia="方正仿宋_GBK" w:cs="方正仿宋_GBK"/>
                <w:kern w:val="2"/>
                <w:sz w:val="28"/>
                <w:szCs w:val="24"/>
                <w:lang w:val="en-US" w:eastAsia="zh-CN"/>
              </w:rPr>
              <w:t>2</w:t>
            </w:r>
          </w:p>
        </w:tc>
        <w:tc>
          <w:tcPr>
            <w:tcW w:w="840" w:type="dxa"/>
            <w:vAlign w:val="center"/>
          </w:tcPr>
          <w:p>
            <w:pPr>
              <w:widowControl w:val="0"/>
              <w:spacing w:line="240" w:lineRule="auto"/>
              <w:jc w:val="center"/>
              <w:rPr>
                <w:rFonts w:hint="eastAsia" w:ascii="方正仿宋_GBK" w:hAnsi="方正仿宋_GBK" w:eastAsia="方正仿宋_GBK" w:cs="方正仿宋_GBK"/>
                <w:kern w:val="2"/>
                <w:sz w:val="28"/>
                <w:szCs w:val="24"/>
              </w:rPr>
            </w:pPr>
          </w:p>
        </w:tc>
      </w:tr>
    </w:tbl>
    <w:p>
      <w:pPr>
        <w:pStyle w:val="6"/>
        <w:numPr>
          <w:ilvl w:val="0"/>
          <w:numId w:val="0"/>
        </w:numPr>
        <w:rPr>
          <w:rFonts w:hint="eastAsia"/>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 招标上限价：</w:t>
      </w:r>
      <w:r>
        <w:rPr>
          <w:rFonts w:hint="eastAsia" w:ascii="宋体" w:hAnsi="宋体" w:cs="宋体"/>
          <w:sz w:val="24"/>
          <w:szCs w:val="24"/>
          <w:lang w:val="en-US" w:eastAsia="zh-CN"/>
        </w:rPr>
        <w:t>4</w:t>
      </w:r>
      <w:r>
        <w:rPr>
          <w:rFonts w:hint="eastAsia" w:ascii="宋体" w:hAnsi="宋体" w:cs="宋体"/>
          <w:sz w:val="24"/>
          <w:szCs w:val="24"/>
          <w:highlight w:val="none"/>
          <w:lang w:val="en-US" w:eastAsia="zh-CN"/>
        </w:rPr>
        <w:t>15102</w:t>
      </w:r>
      <w:r>
        <w:rPr>
          <w:rFonts w:hint="eastAsia" w:ascii="宋体" w:hAnsi="宋体" w:eastAsia="宋体" w:cs="宋体"/>
          <w:sz w:val="24"/>
          <w:szCs w:val="24"/>
          <w:highlight w:val="none"/>
        </w:rPr>
        <w:t>元</w:t>
      </w:r>
      <w:r>
        <w:rPr>
          <w:rFonts w:hint="eastAsia" w:ascii="宋体" w:hAnsi="宋体" w:eastAsia="宋体" w:cs="宋体"/>
          <w:sz w:val="24"/>
          <w:szCs w:val="24"/>
        </w:rPr>
        <w:t>。</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cs="宋体"/>
          <w:sz w:val="24"/>
          <w:szCs w:val="24"/>
          <w:lang w:eastAsia="zh-CN"/>
        </w:rPr>
        <w:t>维护时间</w:t>
      </w:r>
      <w:r>
        <w:rPr>
          <w:rFonts w:hint="eastAsia" w:ascii="宋体" w:hAnsi="宋体" w:eastAsia="宋体" w:cs="宋体"/>
          <w:sz w:val="24"/>
          <w:szCs w:val="24"/>
        </w:rPr>
        <w:t>：</w:t>
      </w:r>
      <w:r>
        <w:rPr>
          <w:rFonts w:hint="eastAsia" w:ascii="宋体" w:hAnsi="宋体" w:cs="宋体"/>
          <w:sz w:val="24"/>
          <w:szCs w:val="24"/>
          <w:lang w:eastAsia="zh-CN"/>
        </w:rPr>
        <w:t>万州服务区</w:t>
      </w:r>
      <w:r>
        <w:rPr>
          <w:rFonts w:hint="eastAsia" w:ascii="宋体" w:hAnsi="宋体" w:cs="宋体"/>
          <w:sz w:val="24"/>
          <w:szCs w:val="24"/>
          <w:lang w:val="en-US" w:eastAsia="zh-CN"/>
        </w:rPr>
        <w:t>6个月（万州服务区污水系统建设后，质保期两年，</w:t>
      </w:r>
      <w:r>
        <w:rPr>
          <w:rFonts w:hint="eastAsia" w:ascii="宋体" w:hAnsi="宋体" w:cs="宋体"/>
          <w:sz w:val="24"/>
          <w:szCs w:val="24"/>
          <w:highlight w:val="none"/>
          <w:lang w:val="en-US" w:eastAsia="zh-CN"/>
        </w:rPr>
        <w:t>于2023年3月到期），云</w:t>
      </w:r>
      <w:r>
        <w:rPr>
          <w:rFonts w:hint="eastAsia" w:ascii="宋体" w:hAnsi="宋体" w:cs="宋体"/>
          <w:sz w:val="24"/>
          <w:szCs w:val="24"/>
          <w:lang w:val="en-US" w:eastAsia="zh-CN"/>
        </w:rPr>
        <w:t>阳、奉节、巫山服务区12个月。</w:t>
      </w:r>
    </w:p>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合同期内日常维护要求</w:t>
      </w:r>
      <w:r>
        <w:rPr>
          <w:rFonts w:hint="eastAsia" w:ascii="宋体" w:hAnsi="宋体" w:cs="宋体"/>
          <w:sz w:val="24"/>
          <w:szCs w:val="24"/>
          <w:lang w:val="en-US" w:eastAsia="zh-CN"/>
        </w:rPr>
        <w:t>（详见东北公司服务区污水处理设备日常维护需求方案）</w:t>
      </w:r>
      <w:r>
        <w:rPr>
          <w:rFonts w:hint="eastAsia" w:ascii="宋体" w:hAnsi="宋体" w:eastAsia="宋体" w:cs="宋体"/>
          <w:sz w:val="24"/>
          <w:szCs w:val="24"/>
          <w:lang w:val="en-US" w:eastAsia="zh-CN"/>
        </w:rPr>
        <w:t>：</w:t>
      </w:r>
    </w:p>
    <w:p>
      <w:pPr>
        <w:pStyle w:val="6"/>
        <w:rPr>
          <w:rFonts w:hint="eastAsia" w:ascii="宋体" w:hAnsi="宋体" w:eastAsia="宋体" w:cs="宋体"/>
          <w:sz w:val="24"/>
          <w:szCs w:val="24"/>
          <w:lang w:val="en-US" w:eastAsia="zh-CN"/>
        </w:rPr>
      </w:pPr>
    </w:p>
    <w:tbl>
      <w:tblPr>
        <w:tblStyle w:val="8"/>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88"/>
        <w:gridCol w:w="5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序号</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维护服务工作要求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为避免操作失误及操作安全事故的生产，维修、维保中标单位需定期对操作人员进行岗位培训和安全防护培训，</w:t>
            </w:r>
            <w:r>
              <w:rPr>
                <w:rFonts w:hint="eastAsia" w:ascii="宋体" w:hAnsi="宋体" w:eastAsia="宋体" w:cs="宋体"/>
                <w:color w:val="000000"/>
                <w:kern w:val="0"/>
                <w:sz w:val="20"/>
                <w:szCs w:val="20"/>
                <w:lang w:val="en-US" w:eastAsia="zh-CN" w:bidi="ar"/>
              </w:rPr>
              <w:t>包括：</w:t>
            </w:r>
            <w:r>
              <w:rPr>
                <w:rFonts w:hint="eastAsia" w:ascii="宋体" w:hAnsi="宋体" w:eastAsia="宋体" w:cs="宋体"/>
                <w:color w:val="000000"/>
                <w:kern w:val="0"/>
                <w:sz w:val="20"/>
                <w:szCs w:val="20"/>
                <w:u w:val="none"/>
                <w:lang w:bidi="ar"/>
              </w:rPr>
              <w:t>水处理技术培训；水质检测培训；化学品管理和控制培训；密闭空间作业培训；噪声防护培训；职业健康培训</w:t>
            </w:r>
            <w:r>
              <w:rPr>
                <w:rFonts w:hint="eastAsia" w:ascii="宋体" w:hAnsi="宋体" w:eastAsia="宋体" w:cs="宋体"/>
                <w:color w:val="000000"/>
                <w:kern w:val="0"/>
                <w:sz w:val="20"/>
                <w:szCs w:val="20"/>
                <w:u w:val="none"/>
                <w:lang w:eastAsia="zh-CN" w:bidi="ar"/>
              </w:rPr>
              <w:t>，</w:t>
            </w:r>
            <w:r>
              <w:rPr>
                <w:rFonts w:hint="eastAsia" w:ascii="宋体" w:hAnsi="宋体" w:eastAsia="宋体" w:cs="宋体"/>
                <w:color w:val="000000"/>
                <w:kern w:val="0"/>
                <w:sz w:val="20"/>
                <w:szCs w:val="20"/>
                <w:lang w:bidi="ar"/>
              </w:rPr>
              <w:t>并作好</w:t>
            </w:r>
            <w:r>
              <w:rPr>
                <w:rFonts w:hint="eastAsia" w:ascii="宋体" w:hAnsi="宋体" w:eastAsia="宋体" w:cs="宋体"/>
                <w:color w:val="000000"/>
                <w:kern w:val="0"/>
                <w:sz w:val="20"/>
                <w:szCs w:val="20"/>
                <w:lang w:val="en-US" w:eastAsia="zh-CN" w:bidi="ar"/>
              </w:rPr>
              <w:t>各类培训</w:t>
            </w:r>
            <w:r>
              <w:rPr>
                <w:rFonts w:hint="eastAsia" w:ascii="宋体" w:hAnsi="宋体" w:eastAsia="宋体" w:cs="宋体"/>
                <w:color w:val="000000"/>
                <w:kern w:val="0"/>
                <w:sz w:val="20"/>
                <w:szCs w:val="20"/>
                <w:lang w:bidi="ar"/>
              </w:rPr>
              <w:t>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val="0"/>
                <w:color w:val="000000"/>
                <w:kern w:val="0"/>
                <w:sz w:val="20"/>
                <w:szCs w:val="20"/>
                <w:u w:val="none"/>
                <w:lang w:bidi="ar"/>
              </w:rPr>
              <w:t>编制完善运行操作和维护手册</w:t>
            </w:r>
            <w:r>
              <w:rPr>
                <w:rFonts w:hint="eastAsia" w:ascii="宋体" w:hAnsi="宋体" w:eastAsia="宋体" w:cs="宋体"/>
                <w:b w:val="0"/>
                <w:bCs w:val="0"/>
                <w:color w:val="000000"/>
                <w:kern w:val="0"/>
                <w:sz w:val="20"/>
                <w:szCs w:val="20"/>
                <w:u w:val="none"/>
                <w:lang w:eastAsia="zh-CN" w:bidi="ar"/>
              </w:rPr>
              <w:t>，</w:t>
            </w:r>
            <w:r>
              <w:rPr>
                <w:rFonts w:hint="eastAsia" w:ascii="宋体" w:hAnsi="宋体" w:eastAsia="宋体" w:cs="宋体"/>
                <w:color w:val="000000"/>
                <w:kern w:val="0"/>
                <w:sz w:val="20"/>
                <w:szCs w:val="20"/>
                <w:u w:val="none"/>
                <w:lang w:bidi="ar"/>
              </w:rPr>
              <w:t>规范操作人员运行操作，有利于系统的稳定运行。编制手册包括：岗位操作手册、安全防护手册、岗位责任制、运行记录、设备维修管理手册等等。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val="0"/>
                <w:color w:val="000000"/>
                <w:kern w:val="0"/>
                <w:sz w:val="20"/>
                <w:szCs w:val="20"/>
                <w:u w:val="none"/>
                <w:lang w:val="en-US" w:eastAsia="zh-CN" w:bidi="ar"/>
              </w:rPr>
              <w:t>能及时</w:t>
            </w:r>
            <w:r>
              <w:rPr>
                <w:rFonts w:hint="eastAsia" w:ascii="宋体" w:hAnsi="宋体" w:eastAsia="宋体" w:cs="宋体"/>
                <w:b w:val="0"/>
                <w:bCs w:val="0"/>
                <w:color w:val="000000"/>
                <w:kern w:val="0"/>
                <w:sz w:val="20"/>
                <w:szCs w:val="20"/>
                <w:u w:val="none"/>
                <w:lang w:bidi="ar"/>
              </w:rPr>
              <w:t>处理突变情况，采取相应措施</w:t>
            </w:r>
            <w:r>
              <w:rPr>
                <w:rFonts w:hint="eastAsia" w:ascii="宋体" w:hAnsi="宋体" w:eastAsia="宋体" w:cs="宋体"/>
                <w:b w:val="0"/>
                <w:bCs w:val="0"/>
                <w:color w:val="000000"/>
                <w:kern w:val="0"/>
                <w:sz w:val="20"/>
                <w:szCs w:val="20"/>
                <w:u w:val="none"/>
                <w:lang w:eastAsia="zh-CN" w:bidi="ar"/>
              </w:rPr>
              <w:t>，</w:t>
            </w:r>
            <w:r>
              <w:rPr>
                <w:rFonts w:hint="eastAsia" w:ascii="宋体" w:hAnsi="宋体" w:eastAsia="宋体" w:cs="宋体"/>
                <w:b w:val="0"/>
                <w:bCs w:val="0"/>
                <w:color w:val="000000"/>
                <w:kern w:val="0"/>
                <w:sz w:val="20"/>
                <w:szCs w:val="20"/>
                <w:u w:val="none"/>
                <w:lang w:val="en-US" w:eastAsia="zh-CN" w:bidi="ar"/>
              </w:rPr>
              <w:t>如设备</w:t>
            </w:r>
            <w:r>
              <w:rPr>
                <w:rFonts w:hint="eastAsia" w:ascii="宋体" w:hAnsi="宋体" w:eastAsia="宋体" w:cs="宋体"/>
                <w:color w:val="000000"/>
                <w:kern w:val="0"/>
                <w:sz w:val="20"/>
                <w:szCs w:val="20"/>
                <w:u w:val="none"/>
                <w:lang w:bidi="ar"/>
              </w:rPr>
              <w:t>运行时如有发现异常，操作人员将对突变情况进行调查，并针对突变原因及时处理</w:t>
            </w:r>
            <w:r>
              <w:rPr>
                <w:rFonts w:hint="eastAsia" w:ascii="宋体" w:hAnsi="宋体" w:eastAsia="宋体" w:cs="宋体"/>
                <w:color w:val="000000"/>
                <w:kern w:val="0"/>
                <w:sz w:val="20"/>
                <w:szCs w:val="20"/>
                <w:u w:val="none"/>
                <w:lang w:eastAsia="zh-CN" w:bidi="ar"/>
              </w:rPr>
              <w:t>，</w:t>
            </w:r>
            <w:r>
              <w:rPr>
                <w:rFonts w:hint="eastAsia" w:ascii="宋体" w:hAnsi="宋体" w:eastAsia="宋体" w:cs="宋体"/>
                <w:color w:val="000000"/>
                <w:kern w:val="0"/>
                <w:sz w:val="20"/>
                <w:szCs w:val="20"/>
                <w:u w:val="none"/>
                <w:lang w:val="en-US" w:eastAsia="zh-CN" w:bidi="ar"/>
              </w:rPr>
              <w:t>及时有效开展</w:t>
            </w:r>
            <w:r>
              <w:rPr>
                <w:rFonts w:hint="eastAsia" w:ascii="宋体" w:hAnsi="宋体" w:eastAsia="宋体" w:cs="宋体"/>
                <w:color w:val="000000"/>
                <w:kern w:val="0"/>
                <w:sz w:val="20"/>
                <w:szCs w:val="20"/>
                <w:u w:val="none"/>
                <w:lang w:bidi="ar"/>
              </w:rPr>
              <w:t>突发环境事件应急处理</w:t>
            </w:r>
            <w:r>
              <w:rPr>
                <w:rFonts w:hint="eastAsia" w:ascii="宋体" w:hAnsi="宋体" w:eastAsia="宋体" w:cs="宋体"/>
                <w:color w:val="000000"/>
                <w:kern w:val="0"/>
                <w:sz w:val="20"/>
                <w:szCs w:val="20"/>
                <w:u w:val="none"/>
                <w:lang w:eastAsia="zh-CN" w:bidi="ar"/>
              </w:rPr>
              <w:t>。</w:t>
            </w:r>
            <w:r>
              <w:rPr>
                <w:rFonts w:hint="eastAsia" w:ascii="宋体" w:hAnsi="宋体" w:eastAsia="宋体" w:cs="宋体"/>
                <w:color w:val="000000"/>
                <w:kern w:val="0"/>
                <w:sz w:val="20"/>
                <w:szCs w:val="20"/>
                <w:lang w:bidi="ar"/>
              </w:rPr>
              <w:t>编制突发环境事件应急预案，并定期(半年一次）</w:t>
            </w:r>
            <w:r>
              <w:rPr>
                <w:rFonts w:hint="eastAsia" w:ascii="宋体" w:hAnsi="宋体" w:eastAsia="宋体" w:cs="宋体"/>
                <w:color w:val="000000"/>
                <w:kern w:val="0"/>
                <w:sz w:val="20"/>
                <w:szCs w:val="20"/>
                <w:u w:val="none"/>
                <w:lang w:val="en-US" w:eastAsia="zh-CN" w:bidi="ar"/>
              </w:rPr>
              <w:t>做好日常异常情况应急演练，包括</w:t>
            </w:r>
            <w:r>
              <w:rPr>
                <w:rFonts w:hint="eastAsia" w:ascii="宋体" w:hAnsi="宋体" w:eastAsia="宋体" w:cs="宋体"/>
                <w:color w:val="000000"/>
                <w:kern w:val="0"/>
                <w:sz w:val="20"/>
                <w:szCs w:val="20"/>
                <w:u w:val="none"/>
                <w:lang w:bidi="ar"/>
              </w:rPr>
              <w:t>防火及逃生演练</w:t>
            </w:r>
            <w:r>
              <w:rPr>
                <w:rFonts w:hint="eastAsia" w:ascii="宋体" w:hAnsi="宋体" w:eastAsia="宋体" w:cs="宋体"/>
                <w:color w:val="000000"/>
                <w:kern w:val="0"/>
                <w:sz w:val="20"/>
                <w:szCs w:val="20"/>
                <w:u w:val="none"/>
                <w:lang w:eastAsia="zh-CN" w:bidi="ar"/>
              </w:rPr>
              <w:t>，</w:t>
            </w:r>
            <w:r>
              <w:rPr>
                <w:rFonts w:hint="eastAsia" w:ascii="宋体" w:hAnsi="宋体" w:eastAsia="宋体" w:cs="宋体"/>
                <w:color w:val="000000"/>
                <w:kern w:val="0"/>
                <w:sz w:val="20"/>
                <w:szCs w:val="20"/>
                <w:u w:val="none"/>
                <w:lang w:bidi="ar"/>
              </w:rPr>
              <w:t>提交</w:t>
            </w:r>
            <w:r>
              <w:rPr>
                <w:rFonts w:hint="eastAsia" w:ascii="宋体" w:hAnsi="宋体" w:eastAsia="宋体" w:cs="宋体"/>
                <w:color w:val="000000"/>
                <w:kern w:val="0"/>
                <w:sz w:val="20"/>
                <w:szCs w:val="20"/>
                <w:u w:val="none"/>
                <w:lang w:val="en-US" w:eastAsia="zh-CN" w:bidi="ar"/>
              </w:rPr>
              <w:t>演练</w:t>
            </w:r>
            <w:r>
              <w:rPr>
                <w:rFonts w:hint="eastAsia" w:ascii="宋体" w:hAnsi="宋体" w:eastAsia="宋体" w:cs="宋体"/>
                <w:color w:val="000000"/>
                <w:kern w:val="0"/>
                <w:sz w:val="20"/>
                <w:szCs w:val="20"/>
                <w:u w:val="none"/>
                <w:lang w:bidi="ar"/>
              </w:rPr>
              <w:t>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val="0"/>
                <w:color w:val="000000"/>
                <w:kern w:val="0"/>
                <w:sz w:val="20"/>
                <w:szCs w:val="20"/>
                <w:u w:val="none"/>
                <w:lang w:bidi="ar"/>
              </w:rPr>
              <w:t>定期向业主通报运行效果和运行参数</w:t>
            </w:r>
            <w:r>
              <w:rPr>
                <w:rFonts w:hint="eastAsia" w:ascii="宋体" w:hAnsi="宋体" w:eastAsia="宋体" w:cs="宋体"/>
                <w:b w:val="0"/>
                <w:bCs w:val="0"/>
                <w:color w:val="000000"/>
                <w:kern w:val="0"/>
                <w:sz w:val="20"/>
                <w:szCs w:val="20"/>
                <w:u w:val="none"/>
                <w:lang w:eastAsia="zh-CN" w:bidi="ar"/>
              </w:rPr>
              <w:t>，</w:t>
            </w:r>
            <w:r>
              <w:rPr>
                <w:rFonts w:hint="eastAsia" w:ascii="宋体" w:hAnsi="宋体" w:eastAsia="宋体" w:cs="宋体"/>
                <w:color w:val="000000"/>
                <w:kern w:val="0"/>
                <w:sz w:val="20"/>
                <w:szCs w:val="20"/>
                <w:u w:val="none"/>
                <w:lang w:bidi="ar"/>
              </w:rPr>
              <w:t>每月根据实际运行情况向业主通报运行情况及运行参数。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对污水处理设备</w:t>
            </w:r>
            <w:r>
              <w:rPr>
                <w:rFonts w:hint="eastAsia" w:ascii="宋体" w:hAnsi="宋体" w:eastAsia="宋体" w:cs="宋体"/>
                <w:color w:val="000000"/>
                <w:kern w:val="0"/>
                <w:sz w:val="20"/>
                <w:szCs w:val="20"/>
                <w:lang w:bidi="ar"/>
              </w:rPr>
              <w:t>日常处理操作内容包括操作控制、水质监视、运行记录、化验分析工作。制定标准的安全操作流程</w:t>
            </w:r>
            <w:r>
              <w:rPr>
                <w:rFonts w:hint="eastAsia" w:ascii="宋体" w:hAnsi="宋体" w:eastAsia="宋体" w:cs="宋体"/>
                <w:color w:val="000000"/>
                <w:kern w:val="0"/>
                <w:sz w:val="20"/>
                <w:szCs w:val="20"/>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每月有专门的技术人员对设备进行巡检，</w:t>
            </w:r>
            <w:r>
              <w:rPr>
                <w:rFonts w:hint="eastAsia" w:ascii="宋体" w:hAnsi="宋体" w:eastAsia="宋体" w:cs="宋体"/>
                <w:color w:val="000000"/>
                <w:kern w:val="0"/>
                <w:sz w:val="20"/>
                <w:szCs w:val="20"/>
                <w:highlight w:val="none"/>
                <w:lang w:val="en-US" w:eastAsia="zh-CN" w:bidi="ar"/>
              </w:rPr>
              <w:t>技术</w:t>
            </w:r>
            <w:r>
              <w:rPr>
                <w:rFonts w:hint="eastAsia" w:ascii="宋体" w:hAnsi="宋体" w:eastAsia="宋体" w:cs="宋体"/>
                <w:color w:val="000000"/>
                <w:kern w:val="0"/>
                <w:sz w:val="20"/>
                <w:szCs w:val="20"/>
                <w:highlight w:val="none"/>
                <w:lang w:bidi="ar"/>
              </w:rPr>
              <w:t>人员保证</w:t>
            </w:r>
            <w:r>
              <w:rPr>
                <w:rFonts w:hint="eastAsia" w:ascii="宋体" w:hAnsi="宋体" w:eastAsia="宋体" w:cs="宋体"/>
                <w:color w:val="000000"/>
                <w:kern w:val="0"/>
                <w:sz w:val="20"/>
                <w:szCs w:val="20"/>
                <w:highlight w:val="none"/>
                <w:lang w:val="en-US" w:eastAsia="zh-CN" w:bidi="ar"/>
              </w:rPr>
              <w:t>每月</w:t>
            </w:r>
            <w:r>
              <w:rPr>
                <w:rFonts w:hint="eastAsia" w:ascii="宋体" w:hAnsi="宋体" w:eastAsia="宋体" w:cs="宋体"/>
                <w:color w:val="000000"/>
                <w:kern w:val="0"/>
                <w:sz w:val="20"/>
                <w:szCs w:val="20"/>
                <w:highlight w:val="none"/>
                <w:lang w:bidi="ar"/>
              </w:rPr>
              <w:t>不少于</w:t>
            </w:r>
            <w:r>
              <w:rPr>
                <w:rFonts w:hint="eastAsia" w:ascii="宋体" w:hAnsi="宋体" w:eastAsia="宋体" w:cs="宋体"/>
                <w:color w:val="000000"/>
                <w:kern w:val="0"/>
                <w:sz w:val="20"/>
                <w:szCs w:val="20"/>
                <w:highlight w:val="none"/>
                <w:lang w:eastAsia="zh-CN" w:bidi="ar"/>
              </w:rPr>
              <w:t>1</w:t>
            </w:r>
            <w:r>
              <w:rPr>
                <w:rFonts w:hint="eastAsia" w:ascii="宋体" w:hAnsi="宋体" w:eastAsia="宋体" w:cs="宋体"/>
                <w:color w:val="000000"/>
                <w:kern w:val="0"/>
                <w:sz w:val="20"/>
                <w:szCs w:val="20"/>
                <w:highlight w:val="none"/>
                <w:lang w:bidi="ar"/>
              </w:rPr>
              <w:t>次对废水处理各处理单元巡察，保证废水处理效果稳定。如有异常情况，汇报业主，由业主决定处理。</w:t>
            </w:r>
            <w:r>
              <w:rPr>
                <w:rFonts w:hint="eastAsia" w:ascii="宋体" w:hAnsi="宋体" w:eastAsia="宋体" w:cs="宋体"/>
                <w:color w:val="000000"/>
                <w:kern w:val="0"/>
                <w:sz w:val="20"/>
                <w:szCs w:val="20"/>
                <w:highlight w:val="none"/>
                <w:lang w:val="en-US" w:eastAsia="zh-CN" w:bidi="ar"/>
              </w:rPr>
              <w:t>如</w:t>
            </w:r>
            <w:r>
              <w:rPr>
                <w:rFonts w:hint="eastAsia" w:ascii="宋体" w:hAnsi="宋体" w:eastAsia="宋体" w:cs="宋体"/>
                <w:color w:val="000000"/>
                <w:kern w:val="0"/>
                <w:sz w:val="20"/>
                <w:szCs w:val="20"/>
                <w:lang w:val="en-US" w:eastAsia="zh-CN" w:bidi="ar"/>
              </w:rPr>
              <w:t>开展</w:t>
            </w:r>
            <w:r>
              <w:rPr>
                <w:rFonts w:hint="eastAsia" w:ascii="宋体" w:hAnsi="宋体" w:eastAsia="宋体" w:cs="宋体"/>
                <w:i w:val="0"/>
                <w:color w:val="000000"/>
                <w:kern w:val="0"/>
                <w:sz w:val="20"/>
                <w:szCs w:val="20"/>
                <w:u w:val="none"/>
                <w:lang w:val="en-US" w:eastAsia="zh-CN" w:bidi="ar"/>
              </w:rPr>
              <w:t>维护，全程接受服务区现场管理人员的监督并签字确认，次月提供详细的数据报告。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维护单位根据我司需求，提供年维护费的报价。所有维护费用均包含在年费中，1000元以下的</w:t>
            </w:r>
            <w:r>
              <w:rPr>
                <w:rFonts w:hint="eastAsia" w:ascii="宋体" w:hAnsi="宋体" w:eastAsia="宋体" w:cs="宋体"/>
                <w:i w:val="0"/>
                <w:color w:val="000000"/>
                <w:kern w:val="0"/>
                <w:sz w:val="20"/>
                <w:szCs w:val="20"/>
                <w:highlight w:val="none"/>
                <w:u w:val="none"/>
                <w:lang w:val="en-US" w:eastAsia="zh-CN" w:bidi="ar"/>
              </w:rPr>
              <w:t>易损件及消耗品由乙方负责，超过1000元费用另行计算。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能提供远程技术指导：基础故障，配合服务区现场人员进行远程技术指导，直至修复完成。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定期检修，做好污水处理设备的维护保养工作，</w:t>
            </w:r>
            <w:r>
              <w:rPr>
                <w:rFonts w:hint="eastAsia" w:ascii="宋体" w:hAnsi="宋体" w:eastAsia="宋体" w:cs="宋体"/>
                <w:color w:val="000000"/>
                <w:kern w:val="0"/>
                <w:sz w:val="20"/>
                <w:szCs w:val="20"/>
                <w:lang w:bidi="ar"/>
              </w:rPr>
              <w:t>根据各类设备的要求定期进行维护保养，维护保养项目包括：更换润滑油、设备外部刷漆防锈、设备清洁工作</w:t>
            </w:r>
            <w:r>
              <w:rPr>
                <w:rFonts w:hint="eastAsia" w:ascii="宋体" w:hAnsi="宋体" w:eastAsia="宋体" w:cs="宋体"/>
                <w:color w:val="000000"/>
                <w:kern w:val="0"/>
                <w:sz w:val="20"/>
                <w:szCs w:val="20"/>
                <w:lang w:eastAsia="zh-CN" w:bidi="ar"/>
              </w:rPr>
              <w:t>、</w:t>
            </w:r>
            <w:r>
              <w:rPr>
                <w:rFonts w:hint="eastAsia" w:ascii="宋体" w:hAnsi="宋体" w:eastAsia="宋体" w:cs="宋体"/>
                <w:i w:val="0"/>
                <w:color w:val="000000"/>
                <w:kern w:val="0"/>
                <w:sz w:val="20"/>
                <w:szCs w:val="20"/>
                <w:u w:val="none"/>
                <w:lang w:val="en-US" w:eastAsia="zh-CN" w:bidi="ar"/>
              </w:rPr>
              <w:t>更换易损配件等日常维护内容。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设备的维护检修</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分为大修和小修。</w:t>
            </w:r>
          </w:p>
          <w:p>
            <w:pPr>
              <w:widowControl/>
              <w:ind w:firstLine="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小修主要对电源柜、电机控制柜、动力设备类作一般性检查，不作大的拆卸，其项目包括：</w:t>
            </w:r>
            <w:r>
              <w:rPr>
                <w:rFonts w:hint="eastAsia" w:ascii="宋体" w:hAnsi="宋体" w:eastAsia="宋体" w:cs="宋体"/>
                <w:color w:val="000000"/>
                <w:kern w:val="0"/>
                <w:sz w:val="20"/>
                <w:szCs w:val="20"/>
                <w:lang w:val="en-US" w:eastAsia="zh-CN" w:bidi="ar"/>
              </w:rPr>
              <w:t>①</w:t>
            </w:r>
            <w:r>
              <w:rPr>
                <w:rFonts w:hint="eastAsia" w:ascii="宋体" w:hAnsi="宋体" w:eastAsia="宋体" w:cs="宋体"/>
                <w:color w:val="000000"/>
                <w:kern w:val="0"/>
                <w:sz w:val="20"/>
                <w:szCs w:val="20"/>
                <w:lang w:bidi="ar"/>
              </w:rPr>
              <w:t>清洁和检查电源柜、电机控制柜、清除接触器、热继电器、接线端等电器元件的灰尘、检查接线头有无烧示或电蚀。</w:t>
            </w:r>
            <w:r>
              <w:rPr>
                <w:rFonts w:hint="eastAsia" w:ascii="宋体" w:hAnsi="宋体" w:eastAsia="宋体" w:cs="宋体"/>
                <w:color w:val="000000"/>
                <w:kern w:val="0"/>
                <w:sz w:val="20"/>
                <w:szCs w:val="20"/>
                <w:lang w:val="en-US" w:eastAsia="zh-CN" w:bidi="ar"/>
              </w:rPr>
              <w:t>②</w:t>
            </w:r>
            <w:r>
              <w:rPr>
                <w:rFonts w:hint="eastAsia" w:ascii="宋体" w:hAnsi="宋体" w:eastAsia="宋体" w:cs="宋体"/>
                <w:color w:val="000000"/>
                <w:kern w:val="0"/>
                <w:sz w:val="20"/>
                <w:szCs w:val="20"/>
                <w:lang w:bidi="ar"/>
              </w:rPr>
              <w:t>检查和清洁机电设备。检查固定螺栓松紧度、减震垫效果、泵类密封性能等；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bidi="ar"/>
              </w:rPr>
              <w:t>大修主要对电动机及运作机械作全面检查，彻底修理和更换易损件及已损坏部件。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操作人员根据废水处理系统设计要求对污水处理系统进行正确操作，对发现的问题及时反馈及时处理，确保污水设备正常运行，泵、设备、电气系统维修：设备配件故障时进行维修。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加药：定期对设备投放规定的药品。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ind w:firstLine="0"/>
              <w:jc w:val="both"/>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根据合同约定的水样采集时间、地点、次数、检测项目完成水质检测工作，</w:t>
            </w:r>
            <w:r>
              <w:rPr>
                <w:rFonts w:hint="eastAsia" w:ascii="宋体" w:hAnsi="宋体" w:eastAsia="宋体" w:cs="宋体"/>
                <w:i w:val="0"/>
                <w:color w:val="000000"/>
                <w:kern w:val="0"/>
                <w:sz w:val="20"/>
                <w:szCs w:val="20"/>
                <w:u w:val="none"/>
                <w:lang w:val="en-US" w:eastAsia="zh-CN" w:bidi="ar"/>
              </w:rPr>
              <w:t>每半年出具一次污水质量报告检测类型符合路网或上级检测标准，经处理后排放的污水需达到国家城镇污水处理厂污染物排放标准(GB18918—2002 )一级A标准。检测时间：上半年在4月左右、下半年在11月左右检验设备运行处理情况（或按甲方指定时间每年开展2次检测，并出具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ind w:firstLine="0"/>
              <w:jc w:val="both"/>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定期</w:t>
            </w:r>
            <w:r>
              <w:rPr>
                <w:rFonts w:hint="eastAsia" w:ascii="宋体" w:hAnsi="宋体" w:eastAsia="宋体" w:cs="宋体"/>
                <w:color w:val="000000"/>
                <w:kern w:val="0"/>
                <w:sz w:val="20"/>
                <w:szCs w:val="20"/>
                <w:lang w:bidi="ar"/>
              </w:rPr>
              <w:t>对采集到的水样进行数据分析检测服务。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设备日常检查频次较大的项目（例如每周需要1、2次的项目），维护单位还需提供培训服务，定期对操作人员进行岗位培训和安全防护培训，负责对服务区相关人员操作进行指导监督，以加强服务区现场工作人员的应急处理能力，也作为日常维护的补充，并按照公司培训要求做好培训记录，交服务区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维护单位协助营运公司对污水处理相关制度进行修订，满足国家要求。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维护单位应有采取远程监控等手段能随时查看设备运转情况的有效方式对设备进行监督，有能提前发现设备故障的方法。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能针对设备运行不畅的情况，提出有效、科学、性价比高的多套整改方案。整改方案由营运单位决定选择。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维护报价中包含技术人员劳保、办公用品、交通、电话通讯以及利润、税金、管理费、差旅费等各项费用，不再另行支付其他费用。</w:t>
            </w:r>
          </w:p>
        </w:tc>
      </w:tr>
    </w:tbl>
    <w:p>
      <w:pPr>
        <w:pStyle w:val="6"/>
        <w:rPr>
          <w:rFonts w:hint="default" w:ascii="宋体" w:hAnsi="宋体" w:eastAsia="宋体" w:cs="宋体"/>
          <w:sz w:val="24"/>
          <w:szCs w:val="24"/>
          <w:lang w:val="en-US" w:eastAsia="zh-CN"/>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二、报价人要求</w:t>
      </w:r>
    </w:p>
    <w:bookmarkEnd w:id="8"/>
    <w:bookmarkEnd w:id="9"/>
    <w:bookmarkEnd w:id="10"/>
    <w:bookmarkEnd w:id="11"/>
    <w:bookmarkEnd w:id="12"/>
    <w:bookmarkEnd w:id="13"/>
    <w:bookmarkEnd w:id="14"/>
    <w:bookmarkEnd w:id="15"/>
    <w:p>
      <w:pPr>
        <w:spacing w:line="360" w:lineRule="auto"/>
        <w:ind w:firstLine="480" w:firstLineChars="200"/>
        <w:rPr>
          <w:rFonts w:hint="eastAsia" w:ascii="宋体" w:hAnsi="宋体"/>
          <w:sz w:val="24"/>
          <w:szCs w:val="24"/>
          <w:lang w:val="en-US" w:eastAsia="zh-CN"/>
        </w:rPr>
      </w:pPr>
      <w:bookmarkStart w:id="26" w:name="_Toc144974490"/>
      <w:bookmarkStart w:id="27" w:name="_Toc179632539"/>
      <w:bookmarkStart w:id="28" w:name="_Toc152045522"/>
      <w:bookmarkStart w:id="29" w:name="_Toc296602413"/>
      <w:bookmarkStart w:id="30" w:name="_Toc246996169"/>
      <w:bookmarkStart w:id="31" w:name="_Toc152042298"/>
      <w:bookmarkStart w:id="32" w:name="_Toc247085683"/>
      <w:bookmarkStart w:id="33" w:name="_Toc246996912"/>
      <w:r>
        <w:rPr>
          <w:rFonts w:hint="eastAsia" w:ascii="宋体" w:hAnsi="宋体"/>
          <w:sz w:val="24"/>
          <w:szCs w:val="24"/>
          <w:lang w:val="en-US" w:eastAsia="zh-CN"/>
        </w:rPr>
        <w:t>重庆高速集团招标平台合格供方库里的环保类施工单位。</w:t>
      </w:r>
    </w:p>
    <w:tbl>
      <w:tblPr>
        <w:tblStyle w:val="8"/>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88"/>
        <w:gridCol w:w="5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序号</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一、对维护单位的资质要求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具有独立承担民事责任的能力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具备环保工程专业承包三级及以上资质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具有良好的商业信誉和健全的财务会计制度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在重庆高速公路集团招投标平台合格供方库中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具备ISO9001;2015质量管理体系认证证书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2019年1月1日至今承担过1个以上（含1个）高速公路污水处理运营维护环保工程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项目负责人具有丰富的污水处理经验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公司注册资金500万及以上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bidi="ar"/>
              </w:rPr>
              <w:t>未被“信用中国”网站(www.creditchina.gov.cn/)中列入失信被执行人名单。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序号</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二、日常管理配备要求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每次检查配备一名安全员，需提供安全生产考核合格证书；工作人员需具备电工证、焊工证、污废水处理工技培训证书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5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巡检时应有工程车巡检，保证对沿线污水</w:t>
            </w:r>
            <w:r>
              <w:rPr>
                <w:rFonts w:hint="eastAsia" w:ascii="宋体" w:hAnsi="宋体" w:eastAsia="宋体" w:cs="宋体"/>
                <w:i w:val="0"/>
                <w:color w:val="000000"/>
                <w:kern w:val="0"/>
                <w:sz w:val="20"/>
                <w:szCs w:val="20"/>
                <w:highlight w:val="none"/>
                <w:u w:val="none"/>
                <w:lang w:val="en-US" w:eastAsia="zh-CN" w:bidi="ar"/>
              </w:rPr>
              <w:t>处理设备的定点处理，出现问题能快速到达现场</w:t>
            </w:r>
            <w:r>
              <w:rPr>
                <w:rFonts w:hint="eastAsia" w:ascii="宋体" w:hAnsi="宋体" w:cs="宋体"/>
                <w:i w:val="0"/>
                <w:color w:val="000000"/>
                <w:kern w:val="0"/>
                <w:sz w:val="20"/>
                <w:szCs w:val="20"/>
                <w:highlight w:val="none"/>
                <w:u w:val="none"/>
                <w:lang w:val="en-US" w:eastAsia="zh-CN" w:bidi="ar"/>
              </w:rPr>
              <w:t xml:space="preserve"> </w:t>
            </w:r>
            <w:r>
              <w:rPr>
                <w:rFonts w:hint="eastAsia" w:ascii="宋体" w:hAnsi="宋体" w:cs="宋体"/>
                <w:i w:val="0"/>
                <w:color w:val="0000FF"/>
                <w:kern w:val="0"/>
                <w:sz w:val="20"/>
                <w:szCs w:val="20"/>
                <w:highlight w:val="none"/>
                <w:u w:val="none"/>
                <w:lang w:val="en-US" w:eastAsia="zh-CN" w:bidi="ar"/>
              </w:rPr>
              <w:t xml:space="preserve"> </w:t>
            </w:r>
          </w:p>
        </w:tc>
      </w:tr>
    </w:tbl>
    <w:p>
      <w:pPr>
        <w:spacing w:line="360" w:lineRule="auto"/>
        <w:ind w:firstLine="480" w:firstLineChars="200"/>
        <w:rPr>
          <w:rFonts w:hint="eastAsia" w:ascii="宋体" w:hAnsi="宋体"/>
          <w:sz w:val="24"/>
          <w:szCs w:val="24"/>
          <w:lang w:val="en-US" w:eastAsia="zh-CN"/>
        </w:rPr>
      </w:pPr>
    </w:p>
    <w:p>
      <w:pPr>
        <w:spacing w:line="360" w:lineRule="auto"/>
        <w:rPr>
          <w:rFonts w:hint="eastAsia" w:ascii="宋体" w:hAnsi="宋体" w:cs="宋体"/>
          <w:b/>
          <w:sz w:val="24"/>
          <w:szCs w:val="24"/>
        </w:rPr>
      </w:pPr>
      <w:r>
        <w:rPr>
          <w:rFonts w:hint="eastAsia" w:ascii="宋体" w:hAnsi="宋体" w:cs="宋体"/>
          <w:b/>
          <w:sz w:val="24"/>
          <w:szCs w:val="24"/>
        </w:rPr>
        <w:t>三、</w:t>
      </w:r>
      <w:r>
        <w:rPr>
          <w:rFonts w:hint="eastAsia" w:ascii="宋体" w:hAnsi="宋体" w:cs="宋体"/>
          <w:b/>
          <w:sz w:val="24"/>
          <w:szCs w:val="24"/>
          <w:lang w:eastAsia="zh-CN"/>
        </w:rPr>
        <w:t>竞争性比选</w:t>
      </w:r>
      <w:r>
        <w:rPr>
          <w:rFonts w:hint="eastAsia" w:ascii="宋体" w:hAnsi="宋体" w:cs="宋体"/>
          <w:b/>
          <w:sz w:val="24"/>
          <w:szCs w:val="24"/>
        </w:rPr>
        <w:t>响应文件的</w:t>
      </w:r>
      <w:r>
        <w:rPr>
          <w:rFonts w:hint="eastAsia" w:ascii="宋体" w:hAnsi="宋体" w:cs="宋体"/>
          <w:b/>
          <w:sz w:val="24"/>
          <w:szCs w:val="24"/>
          <w:lang w:val="en-US" w:eastAsia="zh-CN"/>
        </w:rPr>
        <w:t>组成</w:t>
      </w:r>
      <w:r>
        <w:rPr>
          <w:rFonts w:hint="eastAsia" w:ascii="宋体" w:hAnsi="宋体" w:cs="宋体"/>
          <w:b/>
          <w:sz w:val="24"/>
          <w:szCs w:val="24"/>
        </w:rPr>
        <w:t>：</w:t>
      </w:r>
    </w:p>
    <w:bookmarkEnd w:id="26"/>
    <w:bookmarkEnd w:id="27"/>
    <w:bookmarkEnd w:id="28"/>
    <w:bookmarkEnd w:id="29"/>
    <w:bookmarkEnd w:id="30"/>
    <w:bookmarkEnd w:id="31"/>
    <w:bookmarkEnd w:id="32"/>
    <w:bookmarkEnd w:id="33"/>
    <w:p>
      <w:pPr>
        <w:spacing w:line="360" w:lineRule="auto"/>
        <w:ind w:firstLine="720" w:firstLineChars="300"/>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一</w:t>
      </w:r>
      <w:r>
        <w:rPr>
          <w:rFonts w:hint="eastAsia" w:ascii="宋体" w:hAnsi="宋体" w:cs="宋体"/>
          <w:b w:val="0"/>
          <w:bCs w:val="0"/>
          <w:sz w:val="24"/>
          <w:szCs w:val="24"/>
          <w:lang w:eastAsia="zh-CN"/>
        </w:rPr>
        <w:t>）</w:t>
      </w:r>
      <w:r>
        <w:rPr>
          <w:rFonts w:hint="eastAsia" w:ascii="宋体" w:hAnsi="宋体" w:cs="宋体"/>
          <w:b w:val="0"/>
          <w:bCs w:val="0"/>
          <w:sz w:val="24"/>
          <w:szCs w:val="24"/>
        </w:rPr>
        <w:t>第一卷：商务文件</w:t>
      </w:r>
    </w:p>
    <w:p>
      <w:pPr>
        <w:spacing w:line="360" w:lineRule="auto"/>
        <w:ind w:firstLine="720" w:firstLineChars="3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法定代表人身份证明及授权委托书</w:t>
      </w:r>
    </w:p>
    <w:p>
      <w:pPr>
        <w:spacing w:line="360" w:lineRule="auto"/>
        <w:ind w:firstLine="720" w:firstLineChars="3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竞争性比选</w:t>
      </w:r>
      <w:r>
        <w:rPr>
          <w:rFonts w:hint="eastAsia" w:ascii="宋体" w:hAnsi="宋体" w:cs="宋体"/>
          <w:b w:val="0"/>
          <w:bCs w:val="0"/>
          <w:sz w:val="24"/>
          <w:szCs w:val="24"/>
        </w:rPr>
        <w:t>响应单位的工商营业执照</w:t>
      </w:r>
      <w:r>
        <w:rPr>
          <w:rFonts w:hint="eastAsia" w:ascii="宋体" w:hAnsi="宋体" w:cs="宋体"/>
          <w:b w:val="0"/>
          <w:bCs w:val="0"/>
          <w:sz w:val="24"/>
          <w:szCs w:val="24"/>
          <w:lang w:val="en-US" w:eastAsia="zh-CN"/>
        </w:rPr>
        <w:t>等</w:t>
      </w:r>
      <w:r>
        <w:rPr>
          <w:rFonts w:hint="eastAsia" w:ascii="宋体" w:hAnsi="宋体" w:cs="宋体"/>
          <w:b w:val="0"/>
          <w:bCs w:val="0"/>
          <w:sz w:val="24"/>
          <w:szCs w:val="24"/>
        </w:rPr>
        <w:t>有效复印件</w:t>
      </w:r>
    </w:p>
    <w:p>
      <w:pPr>
        <w:spacing w:line="360" w:lineRule="auto"/>
        <w:ind w:firstLine="720" w:firstLineChars="3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单位资质证明文件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具备环保工程专业承包三级及以上资质）。</w:t>
      </w:r>
    </w:p>
    <w:p>
      <w:pPr>
        <w:spacing w:line="360" w:lineRule="auto"/>
        <w:ind w:firstLine="720" w:firstLineChars="300"/>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已标价工程量清单</w:t>
      </w:r>
    </w:p>
    <w:p>
      <w:pPr>
        <w:spacing w:line="360" w:lineRule="auto"/>
        <w:ind w:firstLine="723" w:firstLineChars="300"/>
        <w:rPr>
          <w:rFonts w:hint="eastAsia" w:ascii="宋体" w:hAnsi="宋体" w:cs="宋体"/>
          <w:b/>
          <w:sz w:val="24"/>
          <w:szCs w:val="24"/>
        </w:rPr>
      </w:pPr>
      <w:r>
        <w:rPr>
          <w:rFonts w:hint="eastAsia" w:ascii="宋体" w:hAnsi="宋体" w:cs="宋体"/>
          <w:b/>
          <w:sz w:val="24"/>
          <w:szCs w:val="24"/>
        </w:rPr>
        <w:t>（注：以上所有文件均须</w:t>
      </w:r>
      <w:r>
        <w:rPr>
          <w:rFonts w:hint="eastAsia" w:ascii="宋体" w:hAnsi="宋体"/>
          <w:b/>
          <w:sz w:val="24"/>
        </w:rPr>
        <w:t>报价单位法定代表人或其授权代理人签署并加盖单位公章</w:t>
      </w:r>
      <w:r>
        <w:rPr>
          <w:rFonts w:hint="eastAsia" w:ascii="宋体" w:hAnsi="宋体" w:cs="宋体"/>
          <w:b/>
          <w:sz w:val="24"/>
          <w:szCs w:val="24"/>
        </w:rPr>
        <w:t>）</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第二卷：项目建议书</w:t>
      </w:r>
    </w:p>
    <w:p>
      <w:pPr>
        <w:spacing w:line="360" w:lineRule="auto"/>
        <w:ind w:firstLine="600" w:firstLineChars="250"/>
        <w:rPr>
          <w:rFonts w:hint="eastAsia" w:ascii="宋体" w:hAnsi="宋体" w:cs="宋体"/>
          <w:sz w:val="24"/>
          <w:szCs w:val="24"/>
        </w:rPr>
      </w:pPr>
      <w:r>
        <w:rPr>
          <w:rFonts w:hint="eastAsia" w:ascii="宋体" w:hAnsi="宋体" w:cs="宋体"/>
          <w:sz w:val="24"/>
          <w:szCs w:val="24"/>
        </w:rPr>
        <w:t>报价人根据</w:t>
      </w:r>
      <w:r>
        <w:rPr>
          <w:rFonts w:hint="eastAsia" w:ascii="宋体" w:hAnsi="宋体" w:cs="宋体"/>
          <w:sz w:val="24"/>
          <w:szCs w:val="24"/>
          <w:lang w:eastAsia="zh-CN"/>
        </w:rPr>
        <w:t>竞争性比选</w:t>
      </w:r>
      <w:r>
        <w:rPr>
          <w:rFonts w:hint="eastAsia" w:ascii="宋体" w:hAnsi="宋体" w:cs="宋体"/>
          <w:sz w:val="24"/>
          <w:szCs w:val="24"/>
        </w:rPr>
        <w:t>方提供的相关资料对待维修的</w:t>
      </w:r>
      <w:r>
        <w:rPr>
          <w:rFonts w:hint="eastAsia" w:ascii="宋体" w:hAnsi="宋体" w:cs="宋体"/>
          <w:sz w:val="24"/>
          <w:szCs w:val="24"/>
          <w:lang w:eastAsia="zh-CN"/>
        </w:rPr>
        <w:t>设备</w:t>
      </w:r>
      <w:r>
        <w:rPr>
          <w:rFonts w:hint="eastAsia" w:ascii="宋体" w:hAnsi="宋体" w:cs="宋体"/>
          <w:sz w:val="24"/>
          <w:szCs w:val="24"/>
        </w:rPr>
        <w:t>进行维修处治，具体应包括以下内容：项目建议书（含简易方案）：包括施工组织、</w:t>
      </w:r>
      <w:r>
        <w:rPr>
          <w:rFonts w:hint="eastAsia" w:ascii="宋体" w:hAnsi="宋体" w:cs="宋体"/>
          <w:sz w:val="24"/>
          <w:szCs w:val="24"/>
          <w:lang w:val="en-US" w:eastAsia="zh-CN"/>
        </w:rPr>
        <w:t>简易</w:t>
      </w:r>
      <w:r>
        <w:rPr>
          <w:rFonts w:hint="eastAsia" w:ascii="宋体" w:hAnsi="宋体" w:cs="宋体"/>
          <w:sz w:val="24"/>
          <w:szCs w:val="24"/>
        </w:rPr>
        <w:t>交通组织，施工组织方案中应体现标准化施工、工期等优化措施。施工方案应包含工程量清单中项目特征中的材质、工序要求。</w:t>
      </w:r>
    </w:p>
    <w:p>
      <w:pPr>
        <w:numPr>
          <w:ilvl w:val="0"/>
          <w:numId w:val="2"/>
        </w:numPr>
        <w:spacing w:line="360" w:lineRule="auto"/>
        <w:rPr>
          <w:rFonts w:hint="eastAsia" w:ascii="宋体" w:hAnsi="宋体" w:cs="宋体"/>
          <w:b/>
          <w:sz w:val="24"/>
          <w:szCs w:val="24"/>
        </w:rPr>
      </w:pPr>
      <w:r>
        <w:rPr>
          <w:rFonts w:hint="eastAsia" w:ascii="宋体" w:hAnsi="宋体" w:cs="宋体"/>
          <w:b/>
          <w:sz w:val="24"/>
          <w:szCs w:val="24"/>
        </w:rPr>
        <w:t>评标办法</w:t>
      </w:r>
      <w:r>
        <w:rPr>
          <w:rFonts w:hint="eastAsia" w:ascii="宋体" w:hAnsi="宋体"/>
          <w:szCs w:val="21"/>
        </w:rPr>
        <w:t>（本项目采用</w:t>
      </w:r>
      <w:r>
        <w:rPr>
          <w:rFonts w:hint="eastAsia" w:ascii="宋体" w:hAnsi="宋体"/>
          <w:szCs w:val="21"/>
          <w:lang w:val="en-US" w:eastAsia="zh-CN"/>
        </w:rPr>
        <w:t>经评审的最</w:t>
      </w:r>
      <w:r>
        <w:rPr>
          <w:rFonts w:hint="eastAsia" w:ascii="宋体" w:hAnsi="宋体"/>
          <w:szCs w:val="21"/>
        </w:rPr>
        <w:t>低价</w:t>
      </w:r>
      <w:r>
        <w:rPr>
          <w:rFonts w:hint="eastAsia" w:ascii="宋体" w:hAnsi="宋体"/>
          <w:szCs w:val="21"/>
          <w:lang w:eastAsia="zh-CN"/>
        </w:rPr>
        <w:t>中标</w:t>
      </w:r>
      <w:r>
        <w:rPr>
          <w:rFonts w:hint="eastAsia" w:ascii="宋体" w:hAnsi="宋体"/>
          <w:szCs w:val="21"/>
        </w:rPr>
        <w:t>法）</w:t>
      </w:r>
      <w:r>
        <w:rPr>
          <w:rFonts w:hint="eastAsia" w:ascii="宋体" w:hAnsi="宋体" w:cs="宋体"/>
          <w:bCs/>
          <w:sz w:val="24"/>
          <w:szCs w:val="24"/>
        </w:rPr>
        <w:t>：</w:t>
      </w:r>
    </w:p>
    <w:tbl>
      <w:tblPr>
        <w:tblStyle w:val="8"/>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2"/>
        <w:gridCol w:w="570"/>
        <w:gridCol w:w="519"/>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40" w:type="dxa"/>
            <w:vAlign w:val="center"/>
          </w:tcPr>
          <w:p>
            <w:pPr>
              <w:jc w:val="center"/>
              <w:rPr>
                <w:rFonts w:ascii="宋体" w:hAnsi="宋体"/>
                <w:b/>
                <w:szCs w:val="21"/>
              </w:rPr>
            </w:pPr>
            <w:r>
              <w:rPr>
                <w:rFonts w:ascii="宋体" w:hAnsi="宋体"/>
                <w:b/>
                <w:szCs w:val="21"/>
              </w:rPr>
              <w:t>条款名称</w:t>
            </w:r>
          </w:p>
        </w:tc>
        <w:tc>
          <w:tcPr>
            <w:tcW w:w="7116" w:type="dxa"/>
            <w:gridSpan w:val="4"/>
            <w:vAlign w:val="center"/>
          </w:tcPr>
          <w:p>
            <w:pPr>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jc w:val="center"/>
        </w:trPr>
        <w:tc>
          <w:tcPr>
            <w:tcW w:w="1340" w:type="dxa"/>
            <w:vAlign w:val="center"/>
          </w:tcPr>
          <w:p>
            <w:pPr>
              <w:jc w:val="center"/>
              <w:rPr>
                <w:rFonts w:ascii="宋体" w:hAnsi="宋体"/>
                <w:szCs w:val="21"/>
              </w:rPr>
            </w:pPr>
            <w:r>
              <w:rPr>
                <w:rFonts w:ascii="宋体" w:hAnsi="宋体"/>
                <w:szCs w:val="21"/>
              </w:rPr>
              <w:t>初步评审</w:t>
            </w:r>
          </w:p>
        </w:tc>
        <w:tc>
          <w:tcPr>
            <w:tcW w:w="7116" w:type="dxa"/>
            <w:gridSpan w:val="4"/>
            <w:vAlign w:val="center"/>
          </w:tcPr>
          <w:p>
            <w:pPr>
              <w:spacing w:line="324" w:lineRule="auto"/>
              <w:rPr>
                <w:rFonts w:hint="eastAsia" w:ascii="宋体" w:hAnsi="宋体"/>
                <w:szCs w:val="21"/>
              </w:rPr>
            </w:pPr>
            <w:r>
              <w:rPr>
                <w:rFonts w:hint="eastAsia" w:ascii="宋体" w:hAnsi="宋体"/>
                <w:szCs w:val="21"/>
              </w:rPr>
              <w:t>（1）</w:t>
            </w:r>
            <w:r>
              <w:rPr>
                <w:rFonts w:ascii="宋体" w:hAnsi="宋体"/>
                <w:szCs w:val="21"/>
              </w:rPr>
              <w:t>投标文件按照</w:t>
            </w:r>
            <w:r>
              <w:rPr>
                <w:rFonts w:hint="eastAsia" w:ascii="宋体" w:hAnsi="宋体"/>
                <w:szCs w:val="21"/>
                <w:lang w:val="en-US" w:eastAsia="zh-CN"/>
              </w:rPr>
              <w:t>竞争性比选函</w:t>
            </w:r>
            <w:r>
              <w:rPr>
                <w:rFonts w:ascii="宋体" w:hAnsi="宋体"/>
                <w:szCs w:val="21"/>
              </w:rPr>
              <w:t>规定的格式、内容填写，字迹清晰可辨；</w:t>
            </w:r>
            <w:r>
              <w:rPr>
                <w:rFonts w:hint="eastAsia" w:ascii="宋体" w:hAnsi="宋体"/>
                <w:szCs w:val="21"/>
              </w:rPr>
              <w:t xml:space="preserve"> </w:t>
            </w:r>
          </w:p>
          <w:p>
            <w:pPr>
              <w:spacing w:line="324" w:lineRule="auto"/>
              <w:rPr>
                <w:rFonts w:hint="eastAsia" w:ascii="宋体" w:hAnsi="宋体"/>
                <w:szCs w:val="21"/>
              </w:rPr>
            </w:pPr>
            <w:r>
              <w:rPr>
                <w:rFonts w:hint="eastAsia" w:ascii="宋体" w:hAnsi="宋体"/>
                <w:szCs w:val="21"/>
              </w:rPr>
              <w:t>（2）</w:t>
            </w:r>
            <w:r>
              <w:rPr>
                <w:rFonts w:ascii="宋体" w:hAnsi="宋体"/>
                <w:szCs w:val="21"/>
              </w:rPr>
              <w:t>投标文件上法定代表人或其授权代理人的签字、投标人的单位章齐全，符合</w:t>
            </w:r>
            <w:r>
              <w:rPr>
                <w:rFonts w:hint="eastAsia" w:ascii="宋体" w:hAnsi="宋体"/>
                <w:szCs w:val="21"/>
                <w:lang w:val="en-US" w:eastAsia="zh-CN"/>
              </w:rPr>
              <w:t>竞争性比选函</w:t>
            </w:r>
            <w:r>
              <w:rPr>
                <w:rFonts w:ascii="宋体" w:hAnsi="宋体"/>
                <w:szCs w:val="21"/>
              </w:rPr>
              <w:t>规定；</w:t>
            </w:r>
          </w:p>
          <w:p>
            <w:pPr>
              <w:spacing w:line="324" w:lineRule="auto"/>
              <w:rPr>
                <w:rFonts w:hint="eastAsia" w:ascii="宋体" w:hAnsi="宋体"/>
                <w:szCs w:val="21"/>
              </w:rPr>
            </w:pPr>
            <w:r>
              <w:rPr>
                <w:rFonts w:hint="eastAsia" w:ascii="宋体" w:hAnsi="宋体"/>
                <w:szCs w:val="21"/>
              </w:rPr>
              <w:t>（3）投标人按照前述要求提供</w:t>
            </w:r>
            <w:r>
              <w:rPr>
                <w:rFonts w:ascii="宋体" w:hAnsi="宋体"/>
                <w:szCs w:val="21"/>
              </w:rPr>
              <w:t xml:space="preserve"> </w:t>
            </w:r>
            <w:r>
              <w:rPr>
                <w:rFonts w:hint="eastAsia" w:ascii="宋体" w:hAnsi="宋体"/>
                <w:szCs w:val="21"/>
              </w:rPr>
              <w:t>了法定代表人的授权委托书或法定代表人身份证明。</w:t>
            </w:r>
          </w:p>
          <w:p>
            <w:pPr>
              <w:spacing w:line="400" w:lineRule="exact"/>
              <w:ind w:right="420" w:rightChars="200"/>
              <w:rPr>
                <w:rFonts w:hint="eastAsia" w:ascii="宋体" w:hAnsi="宋体"/>
                <w:szCs w:val="21"/>
              </w:rPr>
            </w:pPr>
            <w:r>
              <w:rPr>
                <w:rFonts w:hint="eastAsia" w:ascii="宋体" w:hAnsi="宋体"/>
                <w:szCs w:val="21"/>
              </w:rPr>
              <w:t>（4）</w:t>
            </w:r>
            <w:r>
              <w:rPr>
                <w:rFonts w:hint="eastAsia" w:ascii="宋体" w:hAnsi="宋体"/>
                <w:szCs w:val="21"/>
                <w:lang w:val="en-US" w:eastAsia="zh-CN"/>
              </w:rPr>
              <w:t>审查资质及业绩证明，</w:t>
            </w:r>
            <w:r>
              <w:rPr>
                <w:rFonts w:hint="eastAsia" w:ascii="宋体" w:hAnsi="宋体"/>
                <w:szCs w:val="21"/>
              </w:rPr>
              <w:t>投标人未提供虚假资料；</w:t>
            </w:r>
          </w:p>
          <w:p>
            <w:pPr>
              <w:spacing w:line="400" w:lineRule="exact"/>
              <w:ind w:right="420" w:right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）报价清单按照</w:t>
            </w:r>
            <w:r>
              <w:rPr>
                <w:rFonts w:hint="eastAsia" w:ascii="宋体" w:hAnsi="宋体"/>
                <w:szCs w:val="21"/>
                <w:lang w:eastAsia="zh-CN"/>
              </w:rPr>
              <w:t>竞争性比选</w:t>
            </w:r>
            <w:r>
              <w:rPr>
                <w:rFonts w:hint="eastAsia" w:ascii="宋体" w:hAnsi="宋体"/>
                <w:szCs w:val="21"/>
              </w:rPr>
              <w:t>文件规定的格式、内容填写，字迹清晰可辨，内容齐全完整；</w:t>
            </w:r>
          </w:p>
          <w:p>
            <w:pPr>
              <w:spacing w:line="400" w:lineRule="exact"/>
              <w:ind w:right="420" w:rightChars="200"/>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）报价清单中法定代表人或其授权代理人签、投标</w:t>
            </w:r>
            <w:r>
              <w:rPr>
                <w:rFonts w:ascii="宋体" w:hAnsi="宋体"/>
                <w:szCs w:val="21"/>
              </w:rPr>
              <w:t xml:space="preserve"> </w:t>
            </w:r>
            <w:r>
              <w:rPr>
                <w:rFonts w:hint="eastAsia" w:ascii="宋体" w:hAnsi="宋体"/>
                <w:szCs w:val="21"/>
              </w:rPr>
              <w:t>人的单位章齐全，符合招标文件规定；</w:t>
            </w:r>
          </w:p>
          <w:p>
            <w:pPr>
              <w:spacing w:line="400" w:lineRule="exact"/>
              <w:ind w:right="420" w:rightChars="20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）在报价函上填写了投标总价（包括大写金额和小写金额），投标总价不高于招标人公布的最高投标限价，且报价唯一；</w:t>
            </w:r>
          </w:p>
          <w:p>
            <w:pPr>
              <w:spacing w:line="324" w:lineRule="auto"/>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）投标人没有围标串标行为。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40" w:type="dxa"/>
            <w:vAlign w:val="center"/>
          </w:tcPr>
          <w:p>
            <w:pPr>
              <w:spacing w:line="400" w:lineRule="exact"/>
              <w:jc w:val="center"/>
              <w:rPr>
                <w:rFonts w:hint="eastAsia" w:ascii="宋体" w:hAnsi="宋体"/>
                <w:szCs w:val="21"/>
              </w:rPr>
            </w:pPr>
            <w:r>
              <w:rPr>
                <w:rFonts w:ascii="宋体" w:hAnsi="宋体"/>
                <w:szCs w:val="21"/>
              </w:rPr>
              <w:t xml:space="preserve"> </w:t>
            </w:r>
            <w:r>
              <w:rPr>
                <w:rFonts w:hint="eastAsia" w:ascii="宋体" w:hAnsi="宋体"/>
                <w:szCs w:val="21"/>
              </w:rPr>
              <w:t>澄清</w:t>
            </w:r>
          </w:p>
        </w:tc>
        <w:tc>
          <w:tcPr>
            <w:tcW w:w="7116" w:type="dxa"/>
            <w:gridSpan w:val="4"/>
            <w:vAlign w:val="center"/>
          </w:tcPr>
          <w:p>
            <w:pPr>
              <w:spacing w:line="400" w:lineRule="exact"/>
              <w:ind w:right="420" w:rightChars="200"/>
              <w:rPr>
                <w:rFonts w:ascii="宋体" w:hAnsi="宋体"/>
                <w:szCs w:val="21"/>
              </w:rPr>
            </w:pPr>
            <w:r>
              <w:rPr>
                <w:rFonts w:hint="eastAsia" w:ascii="宋体" w:hAnsi="宋体"/>
                <w:szCs w:val="21"/>
              </w:rPr>
              <w:t>发生以下任一情形的，作废标处理：</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w:t>
            </w:r>
            <w:r>
              <w:rPr>
                <w:rFonts w:hint="eastAsia" w:ascii="宋体" w:hAnsi="宋体"/>
                <w:szCs w:val="21"/>
                <w:lang w:eastAsia="zh-CN"/>
              </w:rPr>
              <w:t>提供虚假资料</w:t>
            </w:r>
            <w:r>
              <w:rPr>
                <w:rFonts w:hint="eastAsia" w:ascii="宋体" w:hAnsi="宋体"/>
                <w:szCs w:val="21"/>
              </w:rPr>
              <w:t>；</w:t>
            </w:r>
          </w:p>
          <w:p>
            <w:pPr>
              <w:spacing w:line="400" w:lineRule="exact"/>
              <w:ind w:right="420" w:right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）最终投标报价超过最高投标限价；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40" w:type="dxa"/>
            <w:vAlign w:val="center"/>
          </w:tcPr>
          <w:p>
            <w:pPr>
              <w:spacing w:line="400" w:lineRule="exact"/>
              <w:jc w:val="center"/>
              <w:rPr>
                <w:rFonts w:hint="eastAsia" w:ascii="宋体" w:hAnsi="宋体"/>
                <w:szCs w:val="21"/>
              </w:rPr>
            </w:pPr>
            <w:r>
              <w:rPr>
                <w:rFonts w:hint="eastAsia" w:ascii="宋体" w:hAnsi="宋体"/>
                <w:szCs w:val="21"/>
              </w:rPr>
              <w:t>详细评审</w:t>
            </w:r>
          </w:p>
        </w:tc>
        <w:tc>
          <w:tcPr>
            <w:tcW w:w="7116" w:type="dxa"/>
            <w:gridSpan w:val="4"/>
            <w:vAlign w:val="center"/>
          </w:tcPr>
          <w:p>
            <w:pPr>
              <w:spacing w:line="400" w:lineRule="exact"/>
              <w:ind w:right="420" w:rightChars="200"/>
              <w:rPr>
                <w:rFonts w:ascii="宋体" w:hAnsi="宋体"/>
                <w:b/>
                <w:szCs w:val="21"/>
              </w:rPr>
            </w:pPr>
            <w:r>
              <w:rPr>
                <w:rFonts w:hint="eastAsia" w:ascii="宋体" w:hAnsi="宋体"/>
                <w:b/>
                <w:szCs w:val="21"/>
              </w:rPr>
              <w:t>评审因素</w:t>
            </w:r>
            <w:r>
              <w:rPr>
                <w:rFonts w:ascii="宋体" w:hAnsi="宋体"/>
                <w:b/>
                <w:szCs w:val="21"/>
              </w:rPr>
              <w:tab/>
            </w:r>
            <w:r>
              <w:rPr>
                <w:rFonts w:hint="eastAsia" w:ascii="宋体" w:hAnsi="宋体"/>
                <w:b/>
                <w:szCs w:val="21"/>
              </w:rPr>
              <w:t xml:space="preserve">                          评份值</w:t>
            </w:r>
          </w:p>
          <w:p>
            <w:pPr>
              <w:spacing w:line="400" w:lineRule="exact"/>
              <w:ind w:right="420" w:rightChars="200"/>
              <w:rPr>
                <w:rFonts w:hint="eastAsia" w:ascii="宋体" w:hAnsi="宋体" w:eastAsia="宋体"/>
                <w:szCs w:val="21"/>
                <w:lang w:eastAsia="zh-CN"/>
              </w:rPr>
            </w:pPr>
            <w:r>
              <w:rPr>
                <w:rFonts w:hint="eastAsia" w:ascii="宋体" w:hAnsi="宋体"/>
                <w:szCs w:val="21"/>
              </w:rPr>
              <w:t>（</w:t>
            </w:r>
            <w:r>
              <w:rPr>
                <w:rFonts w:ascii="宋体" w:hAnsi="宋体"/>
                <w:szCs w:val="21"/>
              </w:rPr>
              <w:t>3</w:t>
            </w:r>
            <w:r>
              <w:rPr>
                <w:rFonts w:hint="eastAsia" w:ascii="宋体" w:hAnsi="宋体"/>
                <w:szCs w:val="21"/>
              </w:rPr>
              <w:t>）投标报价：</w:t>
            </w:r>
            <w:r>
              <w:rPr>
                <w:rFonts w:ascii="宋体" w:hAnsi="宋体"/>
                <w:szCs w:val="21"/>
              </w:rPr>
              <w:tab/>
            </w:r>
            <w:r>
              <w:rPr>
                <w:rFonts w:hint="eastAsia" w:ascii="宋体" w:hAnsi="宋体"/>
                <w:szCs w:val="21"/>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lang w:eastAsia="zh-CN"/>
              </w:rPr>
              <w:t>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340" w:type="dxa"/>
            <w:vAlign w:val="center"/>
          </w:tcPr>
          <w:p>
            <w:pPr>
              <w:spacing w:line="400" w:lineRule="exact"/>
              <w:jc w:val="center"/>
              <w:rPr>
                <w:rFonts w:hint="eastAsia" w:ascii="宋体" w:hAnsi="宋体"/>
                <w:szCs w:val="21"/>
              </w:rPr>
            </w:pPr>
            <w:r>
              <w:rPr>
                <w:rFonts w:hint="eastAsia" w:ascii="宋体" w:hAnsi="宋体"/>
                <w:szCs w:val="21"/>
              </w:rPr>
              <w:t>视为投标人相互串通投标的情形</w:t>
            </w:r>
          </w:p>
        </w:tc>
        <w:tc>
          <w:tcPr>
            <w:tcW w:w="7116" w:type="dxa"/>
            <w:gridSpan w:val="4"/>
            <w:vAlign w:val="center"/>
          </w:tcPr>
          <w:p>
            <w:pPr>
              <w:spacing w:line="400" w:lineRule="exact"/>
              <w:ind w:right="420" w:rightChars="200"/>
              <w:rPr>
                <w:rFonts w:hint="eastAsia" w:ascii="宋体" w:hAnsi="宋体"/>
                <w:b/>
                <w:szCs w:val="21"/>
              </w:rPr>
            </w:pPr>
            <w:r>
              <w:rPr>
                <w:rFonts w:hint="eastAsia" w:ascii="宋体" w:hAnsi="宋体"/>
                <w:b/>
                <w:szCs w:val="21"/>
              </w:rPr>
              <w:t>有下列情况之一的，视为投标人相互串通投标，做废标处理。</w:t>
            </w:r>
          </w:p>
          <w:p>
            <w:pPr>
              <w:numPr>
                <w:ilvl w:val="0"/>
                <w:numId w:val="3"/>
              </w:numPr>
              <w:spacing w:line="400" w:lineRule="exact"/>
              <w:ind w:right="420" w:rightChars="200"/>
              <w:rPr>
                <w:rFonts w:hint="eastAsia" w:ascii="宋体" w:hAnsi="宋体"/>
                <w:szCs w:val="21"/>
              </w:rPr>
            </w:pPr>
            <w:r>
              <w:rPr>
                <w:rFonts w:hint="eastAsia" w:ascii="宋体" w:hAnsi="宋体"/>
                <w:szCs w:val="21"/>
              </w:rPr>
              <w:t>不同投标人的投标文件由同一单位或者个人编制；</w:t>
            </w:r>
          </w:p>
          <w:p>
            <w:pPr>
              <w:numPr>
                <w:ilvl w:val="0"/>
                <w:numId w:val="3"/>
              </w:numPr>
              <w:spacing w:line="400" w:lineRule="exact"/>
              <w:ind w:right="420" w:rightChars="200"/>
              <w:rPr>
                <w:rFonts w:hint="eastAsia" w:ascii="宋体" w:hAnsi="宋体"/>
                <w:szCs w:val="21"/>
              </w:rPr>
            </w:pPr>
            <w:r>
              <w:rPr>
                <w:rFonts w:hint="eastAsia" w:ascii="宋体" w:hAnsi="宋体"/>
                <w:szCs w:val="21"/>
              </w:rPr>
              <w:t>不同投标人委托同一单位或者个人办理投标事宜；</w:t>
            </w:r>
          </w:p>
          <w:p>
            <w:pPr>
              <w:numPr>
                <w:ilvl w:val="0"/>
                <w:numId w:val="3"/>
              </w:numPr>
              <w:spacing w:line="400" w:lineRule="exact"/>
              <w:ind w:right="420" w:rightChars="200"/>
              <w:rPr>
                <w:rFonts w:hint="eastAsia" w:ascii="宋体" w:hAnsi="宋体"/>
                <w:szCs w:val="21"/>
              </w:rPr>
            </w:pPr>
            <w:r>
              <w:rPr>
                <w:rFonts w:hint="eastAsia" w:ascii="宋体" w:hAnsi="宋体"/>
                <w:szCs w:val="21"/>
              </w:rPr>
              <w:t>不同投标人的投标文件载明的项目管理成员为同一人；</w:t>
            </w:r>
          </w:p>
          <w:p>
            <w:pPr>
              <w:numPr>
                <w:ilvl w:val="0"/>
                <w:numId w:val="3"/>
              </w:numPr>
              <w:spacing w:line="400" w:lineRule="exact"/>
              <w:ind w:right="420" w:rightChars="200"/>
              <w:rPr>
                <w:rFonts w:hint="eastAsia" w:ascii="宋体" w:hAnsi="宋体"/>
                <w:szCs w:val="21"/>
              </w:rPr>
            </w:pPr>
            <w:r>
              <w:rPr>
                <w:rFonts w:hint="eastAsia" w:ascii="宋体" w:hAnsi="宋体"/>
                <w:szCs w:val="21"/>
              </w:rPr>
              <w:t>不同投标人的投标文件异常一致或者投标报价呈规律性差异；</w:t>
            </w:r>
          </w:p>
          <w:p>
            <w:pPr>
              <w:numPr>
                <w:ilvl w:val="0"/>
                <w:numId w:val="3"/>
              </w:numPr>
              <w:spacing w:line="400" w:lineRule="exact"/>
              <w:ind w:right="420" w:rightChars="200"/>
              <w:rPr>
                <w:rFonts w:hint="eastAsia" w:ascii="宋体" w:hAnsi="宋体"/>
                <w:szCs w:val="21"/>
              </w:rPr>
            </w:pPr>
            <w:r>
              <w:rPr>
                <w:rFonts w:hint="eastAsia" w:ascii="宋体" w:hAnsi="宋体"/>
                <w:szCs w:val="21"/>
              </w:rPr>
              <w:t>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451" w:type="dxa"/>
            <w:gridSpan w:val="4"/>
            <w:vAlign w:val="center"/>
          </w:tcPr>
          <w:p>
            <w:pPr>
              <w:spacing w:line="360" w:lineRule="exact"/>
              <w:jc w:val="center"/>
              <w:rPr>
                <w:rFonts w:ascii="宋体" w:hAnsi="宋体"/>
                <w:b/>
                <w:szCs w:val="21"/>
              </w:rPr>
            </w:pPr>
            <w:r>
              <w:rPr>
                <w:rFonts w:ascii="宋体" w:hAnsi="宋体"/>
                <w:b/>
                <w:szCs w:val="21"/>
              </w:rPr>
              <w:t>评审因素</w:t>
            </w:r>
          </w:p>
        </w:tc>
        <w:tc>
          <w:tcPr>
            <w:tcW w:w="6005" w:type="dxa"/>
            <w:vAlign w:val="center"/>
          </w:tcPr>
          <w:p>
            <w:pPr>
              <w:spacing w:line="360" w:lineRule="exac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62" w:type="dxa"/>
            <w:gridSpan w:val="2"/>
            <w:vAlign w:val="center"/>
          </w:tcPr>
          <w:p>
            <w:pPr>
              <w:spacing w:line="240" w:lineRule="exact"/>
              <w:jc w:val="center"/>
              <w:rPr>
                <w:rFonts w:hint="eastAsia" w:ascii="宋体" w:hAnsi="宋体"/>
                <w:b/>
                <w:szCs w:val="21"/>
              </w:rPr>
            </w:pPr>
            <w:r>
              <w:rPr>
                <w:rFonts w:ascii="宋体" w:hAnsi="宋体"/>
                <w:b/>
                <w:szCs w:val="21"/>
              </w:rPr>
              <w:t>评审</w:t>
            </w:r>
          </w:p>
          <w:p>
            <w:pPr>
              <w:spacing w:line="240" w:lineRule="exact"/>
              <w:jc w:val="center"/>
              <w:rPr>
                <w:rFonts w:ascii="宋体" w:hAnsi="宋体"/>
                <w:b/>
                <w:szCs w:val="21"/>
              </w:rPr>
            </w:pPr>
            <w:r>
              <w:rPr>
                <w:rFonts w:ascii="宋体" w:hAnsi="宋体"/>
                <w:b/>
                <w:szCs w:val="21"/>
              </w:rPr>
              <w:t>因素</w:t>
            </w:r>
          </w:p>
        </w:tc>
        <w:tc>
          <w:tcPr>
            <w:tcW w:w="1089" w:type="dxa"/>
            <w:gridSpan w:val="2"/>
            <w:vAlign w:val="center"/>
          </w:tcPr>
          <w:p>
            <w:pPr>
              <w:spacing w:line="240" w:lineRule="exact"/>
              <w:jc w:val="center"/>
              <w:rPr>
                <w:rFonts w:ascii="宋体" w:hAnsi="宋体"/>
                <w:b/>
                <w:szCs w:val="21"/>
              </w:rPr>
            </w:pPr>
            <w:r>
              <w:rPr>
                <w:rFonts w:ascii="宋体" w:hAnsi="宋体"/>
                <w:b/>
                <w:szCs w:val="21"/>
              </w:rPr>
              <w:t>评审因素评分值</w:t>
            </w:r>
          </w:p>
        </w:tc>
        <w:tc>
          <w:tcPr>
            <w:tcW w:w="6005" w:type="dxa"/>
            <w:vAlign w:val="center"/>
          </w:tcPr>
          <w:p>
            <w:pPr>
              <w:spacing w:line="360" w:lineRule="exact"/>
              <w:ind w:firstLine="210" w:firstLineChars="100"/>
              <w:rPr>
                <w:rFonts w:hint="eastAsia" w:ascii="宋体" w:hAnsi="宋体" w:eastAsia="宋体"/>
                <w:szCs w:val="21"/>
                <w:lang w:eastAsia="zh-CN"/>
              </w:rPr>
            </w:pPr>
            <w:r>
              <w:rPr>
                <w:rFonts w:hint="eastAsia" w:ascii="宋体" w:hAnsi="宋体"/>
                <w:szCs w:val="21"/>
                <w:lang w:val="en-US" w:eastAsia="zh-CN"/>
              </w:rPr>
              <w:t>经评审的</w:t>
            </w:r>
            <w:r>
              <w:rPr>
                <w:rFonts w:hint="eastAsia" w:ascii="宋体" w:hAnsi="宋体"/>
                <w:szCs w:val="21"/>
                <w:lang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2" w:type="dxa"/>
            <w:gridSpan w:val="2"/>
            <w:vAlign w:val="center"/>
          </w:tcPr>
          <w:p>
            <w:pPr>
              <w:spacing w:line="324" w:lineRule="auto"/>
              <w:rPr>
                <w:rFonts w:hint="eastAsia" w:ascii="宋体" w:hAnsi="宋体" w:cs="宋体"/>
                <w:kern w:val="0"/>
                <w:szCs w:val="21"/>
              </w:rPr>
            </w:pPr>
          </w:p>
        </w:tc>
        <w:tc>
          <w:tcPr>
            <w:tcW w:w="1089" w:type="dxa"/>
            <w:gridSpan w:val="2"/>
            <w:vAlign w:val="center"/>
          </w:tcPr>
          <w:p>
            <w:pPr>
              <w:spacing w:line="324" w:lineRule="auto"/>
              <w:rPr>
                <w:rFonts w:hint="eastAsia" w:ascii="宋体" w:hAnsi="宋体" w:cs="宋体"/>
                <w:kern w:val="0"/>
                <w:szCs w:val="21"/>
              </w:rPr>
            </w:pPr>
          </w:p>
        </w:tc>
        <w:tc>
          <w:tcPr>
            <w:tcW w:w="6005" w:type="dxa"/>
            <w:vAlign w:val="top"/>
          </w:tcPr>
          <w:p>
            <w:pPr>
              <w:pStyle w:val="4"/>
              <w:spacing w:line="360" w:lineRule="auto"/>
              <w:rPr>
                <w:rFonts w:hint="eastAsia" w:hAnsi="宋体"/>
              </w:rPr>
            </w:pPr>
            <w:r>
              <w:rPr>
                <w:rFonts w:hint="eastAsia" w:hAnsi="宋体"/>
                <w:b/>
              </w:rPr>
              <w:t>A、</w:t>
            </w:r>
            <w:r>
              <w:rPr>
                <w:rFonts w:hint="eastAsia" w:hAnsi="宋体"/>
              </w:rPr>
              <w:t>最高投标限价：</w:t>
            </w:r>
            <w:r>
              <w:rPr>
                <w:rFonts w:hint="eastAsia" w:hAnsi="宋体"/>
                <w:lang w:val="en-US" w:eastAsia="zh-CN"/>
              </w:rPr>
              <w:t>415102</w:t>
            </w:r>
            <w:r>
              <w:rPr>
                <w:rFonts w:hint="eastAsia" w:hAnsi="宋体"/>
              </w:rPr>
              <w:t>元</w:t>
            </w:r>
            <w:bookmarkStart w:id="35" w:name="_GoBack"/>
            <w:bookmarkEnd w:id="35"/>
            <w:r>
              <w:rPr>
                <w:rFonts w:hint="eastAsia" w:hAnsi="宋体"/>
              </w:rPr>
              <w:t>。</w:t>
            </w:r>
          </w:p>
          <w:p>
            <w:pPr>
              <w:pStyle w:val="4"/>
              <w:spacing w:line="360" w:lineRule="auto"/>
              <w:rPr>
                <w:rFonts w:hint="eastAsia" w:hAnsi="宋体"/>
              </w:rPr>
            </w:pPr>
            <w:r>
              <w:rPr>
                <w:rFonts w:hint="eastAsia" w:hAnsi="宋体"/>
                <w:b/>
              </w:rPr>
              <w:t>B、</w:t>
            </w:r>
            <w:r>
              <w:rPr>
                <w:rFonts w:hAnsi="宋体"/>
              </w:rPr>
              <w:t>投标价得分的计算程序：</w:t>
            </w:r>
          </w:p>
          <w:p>
            <w:pPr>
              <w:pStyle w:val="4"/>
              <w:spacing w:line="360" w:lineRule="auto"/>
              <w:rPr>
                <w:rFonts w:hint="eastAsia" w:hAnsi="宋体" w:eastAsia="宋体"/>
                <w:lang w:eastAsia="zh-CN"/>
              </w:rPr>
            </w:pPr>
            <w:r>
              <w:rPr>
                <w:rFonts w:hint="eastAsia" w:hAnsi="宋体"/>
              </w:rPr>
              <w:t>（1）有效投标价的确定：不大于最高投标限价A的投标报价，高于最高投标限价的投标报价按废标处理，不予进一步评审</w:t>
            </w:r>
            <w:r>
              <w:rPr>
                <w:rFonts w:hint="eastAsia" w:hAnsi="宋体"/>
                <w:lang w:eastAsia="zh-CN"/>
              </w:rPr>
              <w:t>。</w:t>
            </w:r>
          </w:p>
          <w:p>
            <w:pPr>
              <w:spacing w:line="324" w:lineRule="auto"/>
              <w:rPr>
                <w:rFonts w:hint="eastAsia" w:ascii="宋体" w:hAnsi="宋体" w:cs="宋体"/>
                <w:kern w:val="0"/>
                <w:szCs w:val="21"/>
              </w:rPr>
            </w:pPr>
            <w:r>
              <w:rPr>
                <w:rFonts w:hint="eastAsia" w:ascii="宋体" w:hAnsi="宋体" w:eastAsia="宋体" w:cs="Times New Roman"/>
                <w:b/>
                <w:kern w:val="2"/>
                <w:sz w:val="21"/>
                <w:szCs w:val="21"/>
                <w:lang w:val="en-US" w:eastAsia="zh-CN" w:bidi="ar-SA"/>
              </w:rPr>
              <w:t>C</w:t>
            </w:r>
            <w:r>
              <w:rPr>
                <w:rFonts w:hint="eastAsia" w:ascii="宋体" w:hAnsi="宋体" w:eastAsia="宋体" w:cs="Times New Roman"/>
                <w:kern w:val="2"/>
                <w:sz w:val="21"/>
                <w:szCs w:val="21"/>
                <w:lang w:val="en-US" w:eastAsia="zh-CN" w:bidi="ar-SA"/>
              </w:rPr>
              <w:t>、特殊情况处理：若投标人少于3家或所有投标均被否决的，进行第二次比选；若第二次比选投标人仍然少于3家，可邀请有效报价较低的申请人进行谈判，确定项目承担单位</w:t>
            </w:r>
            <w:r>
              <w:rPr>
                <w:rFonts w:hint="eastAsia" w:ascii="宋体" w:hAnsi="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32" w:type="dxa"/>
            <w:gridSpan w:val="3"/>
            <w:vAlign w:val="center"/>
          </w:tcPr>
          <w:p>
            <w:pPr>
              <w:spacing w:line="324" w:lineRule="auto"/>
              <w:rPr>
                <w:rFonts w:hint="eastAsia" w:ascii="宋体" w:hAnsi="宋体" w:cs="宋体"/>
                <w:kern w:val="0"/>
                <w:szCs w:val="21"/>
              </w:rPr>
            </w:pPr>
            <w:r>
              <w:rPr>
                <w:rFonts w:hint="eastAsia"/>
                <w:szCs w:val="21"/>
              </w:rPr>
              <w:t>中标候选人</w:t>
            </w:r>
          </w:p>
        </w:tc>
        <w:tc>
          <w:tcPr>
            <w:tcW w:w="6524" w:type="dxa"/>
            <w:gridSpan w:val="2"/>
            <w:vAlign w:val="center"/>
          </w:tcPr>
          <w:p>
            <w:pPr>
              <w:spacing w:line="324" w:lineRule="auto"/>
              <w:rPr>
                <w:rFonts w:hint="eastAsia" w:ascii="宋体" w:hAnsi="宋体" w:cs="宋体"/>
                <w:kern w:val="0"/>
                <w:szCs w:val="21"/>
              </w:rPr>
            </w:pPr>
            <w:r>
              <w:rPr>
                <w:rFonts w:hint="eastAsia" w:ascii="宋体" w:hAnsi="宋体"/>
                <w:szCs w:val="21"/>
                <w:lang w:eastAsia="zh-CN"/>
              </w:rPr>
              <w:t>最低价</w:t>
            </w:r>
            <w:r>
              <w:rPr>
                <w:rFonts w:hint="eastAsia" w:ascii="宋体" w:hAnsi="宋体"/>
                <w:szCs w:val="21"/>
              </w:rPr>
              <w:t>投标人</w:t>
            </w:r>
          </w:p>
        </w:tc>
      </w:tr>
    </w:tbl>
    <w:p>
      <w:pPr>
        <w:ind w:left="-283" w:leftChars="-135" w:firstLine="283" w:firstLineChars="135"/>
        <w:rPr>
          <w:rFonts w:ascii="宋体" w:hAnsi="宋体"/>
        </w:rPr>
      </w:pPr>
    </w:p>
    <w:p>
      <w:pPr>
        <w:ind w:left="-283" w:leftChars="-135" w:firstLine="283" w:firstLineChars="135"/>
        <w:rPr>
          <w:rFonts w:hint="eastAsia" w:ascii="宋体" w:hAnsi="宋体"/>
        </w:rPr>
      </w:pPr>
    </w:p>
    <w:p>
      <w:pPr>
        <w:numPr>
          <w:ilvl w:val="0"/>
          <w:numId w:val="4"/>
        </w:numPr>
        <w:spacing w:line="360" w:lineRule="auto"/>
        <w:rPr>
          <w:rFonts w:hint="eastAsia" w:ascii="宋体" w:hAnsi="宋体" w:cs="宋体"/>
          <w:b/>
          <w:sz w:val="24"/>
          <w:szCs w:val="24"/>
        </w:rPr>
      </w:pPr>
      <w:r>
        <w:rPr>
          <w:rFonts w:hint="eastAsia" w:ascii="宋体" w:hAnsi="宋体" w:cs="宋体"/>
          <w:b/>
          <w:sz w:val="24"/>
          <w:szCs w:val="24"/>
        </w:rPr>
        <w:t>费用结算原则</w:t>
      </w:r>
    </w:p>
    <w:p>
      <w:pPr>
        <w:spacing w:line="360" w:lineRule="auto"/>
        <w:ind w:firstLine="600" w:firstLineChars="250"/>
        <w:rPr>
          <w:rFonts w:hint="default" w:ascii="宋体" w:hAnsi="宋体" w:eastAsia="宋体" w:cs="宋体"/>
          <w:sz w:val="24"/>
          <w:szCs w:val="24"/>
          <w:lang w:val="en-US" w:eastAsia="zh-CN"/>
        </w:rPr>
      </w:pPr>
      <w:r>
        <w:rPr>
          <w:rFonts w:hint="eastAsia" w:ascii="宋体" w:hAnsi="宋体" w:cs="宋体"/>
          <w:sz w:val="24"/>
          <w:szCs w:val="24"/>
        </w:rPr>
        <w:t>本项目按业主签认的工程量及承包单位的</w:t>
      </w:r>
      <w:r>
        <w:rPr>
          <w:rFonts w:hint="eastAsia" w:ascii="宋体" w:hAnsi="宋体" w:cs="宋体"/>
          <w:sz w:val="24"/>
          <w:szCs w:val="24"/>
          <w:lang w:eastAsia="zh-CN"/>
        </w:rPr>
        <w:t>中标</w:t>
      </w:r>
      <w:r>
        <w:rPr>
          <w:rFonts w:hint="eastAsia" w:ascii="宋体" w:hAnsi="宋体" w:cs="宋体"/>
          <w:sz w:val="24"/>
          <w:szCs w:val="24"/>
        </w:rPr>
        <w:t>单价进行</w:t>
      </w:r>
      <w:r>
        <w:rPr>
          <w:rFonts w:hint="eastAsia" w:ascii="宋体" w:hAnsi="宋体" w:cs="宋体"/>
          <w:sz w:val="24"/>
          <w:szCs w:val="24"/>
          <w:lang w:eastAsia="zh-CN"/>
        </w:rPr>
        <w:t>一个季度</w:t>
      </w:r>
      <w:r>
        <w:rPr>
          <w:rFonts w:hint="eastAsia" w:ascii="宋体" w:hAnsi="宋体" w:cs="宋体"/>
          <w:sz w:val="24"/>
          <w:szCs w:val="24"/>
        </w:rPr>
        <w:t>结算</w:t>
      </w:r>
      <w:r>
        <w:rPr>
          <w:rFonts w:hint="eastAsia" w:ascii="宋体" w:hAnsi="宋体" w:cs="宋体"/>
          <w:sz w:val="24"/>
          <w:szCs w:val="24"/>
          <w:lang w:eastAsia="zh-CN"/>
        </w:rPr>
        <w:t>一次</w:t>
      </w:r>
      <w:r>
        <w:rPr>
          <w:rFonts w:hint="eastAsia" w:ascii="宋体" w:hAnsi="宋体" w:cs="宋体"/>
          <w:sz w:val="24"/>
          <w:szCs w:val="24"/>
        </w:rPr>
        <w:t>。</w:t>
      </w:r>
      <w:r>
        <w:rPr>
          <w:rFonts w:hint="eastAsia" w:ascii="宋体" w:hAnsi="宋体" w:cs="宋体"/>
          <w:sz w:val="24"/>
          <w:szCs w:val="24"/>
          <w:lang w:eastAsia="zh-CN"/>
        </w:rPr>
        <w:t>一年共</w:t>
      </w:r>
      <w:r>
        <w:rPr>
          <w:rFonts w:hint="eastAsia" w:ascii="宋体" w:hAnsi="宋体" w:cs="宋体"/>
          <w:sz w:val="24"/>
          <w:szCs w:val="24"/>
          <w:lang w:val="en-US" w:eastAsia="zh-CN"/>
        </w:rPr>
        <w:t>4次。</w:t>
      </w:r>
    </w:p>
    <w:p>
      <w:pPr>
        <w:spacing w:line="360" w:lineRule="auto"/>
        <w:ind w:firstLine="600" w:firstLineChars="250"/>
        <w:rPr>
          <w:rFonts w:hint="eastAsia" w:ascii="宋体" w:hAnsi="宋体" w:cs="宋体"/>
          <w:sz w:val="24"/>
          <w:szCs w:val="24"/>
        </w:rPr>
      </w:pPr>
    </w:p>
    <w:p>
      <w:pPr>
        <w:spacing w:line="360" w:lineRule="auto"/>
        <w:rPr>
          <w:rFonts w:hint="eastAsia" w:ascii="宋体" w:hAnsi="宋体" w:cs="宋体"/>
          <w:b/>
          <w:sz w:val="24"/>
          <w:szCs w:val="24"/>
        </w:rPr>
      </w:pPr>
      <w:r>
        <w:rPr>
          <w:rFonts w:hint="eastAsia" w:ascii="宋体" w:hAnsi="宋体" w:cs="宋体"/>
          <w:b/>
          <w:sz w:val="24"/>
          <w:szCs w:val="24"/>
        </w:rPr>
        <w:t>六、</w:t>
      </w:r>
      <w:r>
        <w:rPr>
          <w:rFonts w:hint="eastAsia" w:ascii="宋体" w:hAnsi="宋体" w:cs="宋体"/>
          <w:b/>
          <w:sz w:val="24"/>
          <w:szCs w:val="24"/>
          <w:lang w:eastAsia="zh-CN"/>
        </w:rPr>
        <w:t>竞争性比选</w:t>
      </w:r>
      <w:r>
        <w:rPr>
          <w:rFonts w:hint="eastAsia" w:ascii="宋体" w:hAnsi="宋体" w:cs="宋体"/>
          <w:b/>
          <w:sz w:val="24"/>
          <w:szCs w:val="24"/>
        </w:rPr>
        <w:t>须知</w:t>
      </w:r>
    </w:p>
    <w:p>
      <w:pPr>
        <w:ind w:firstLine="480" w:firstLineChars="200"/>
        <w:rPr>
          <w:rFonts w:hint="eastAsia" w:ascii="宋体" w:hAnsi="宋体" w:cs="宋体"/>
          <w:sz w:val="24"/>
          <w:szCs w:val="24"/>
          <w:lang w:val="en-US" w:eastAsia="zh-CN"/>
        </w:rPr>
      </w:pPr>
      <w:r>
        <w:rPr>
          <w:rFonts w:hint="eastAsia" w:ascii="宋体" w:hAnsi="宋体" w:cs="宋体"/>
          <w:sz w:val="24"/>
          <w:szCs w:val="24"/>
          <w:lang w:eastAsia="zh-CN"/>
        </w:rPr>
        <w:t>（一）竞争性比选</w:t>
      </w:r>
      <w:r>
        <w:rPr>
          <w:rFonts w:hint="eastAsia" w:ascii="宋体" w:hAnsi="宋体" w:cs="宋体"/>
          <w:sz w:val="24"/>
          <w:szCs w:val="24"/>
        </w:rPr>
        <w:t>文件领取地点：</w:t>
      </w:r>
      <w:r>
        <w:rPr>
          <w:rFonts w:hint="eastAsia" w:ascii="宋体" w:hAnsi="宋体" w:cs="宋体"/>
          <w:sz w:val="24"/>
          <w:szCs w:val="24"/>
          <w:lang w:val="en-US" w:eastAsia="zh-CN"/>
        </w:rPr>
        <w:t>重庆高速集团招投标平台下载</w:t>
      </w:r>
    </w:p>
    <w:p>
      <w:pPr>
        <w:pStyle w:val="6"/>
        <w:rPr>
          <w:rFonts w:hint="eastAsia"/>
        </w:rPr>
      </w:pPr>
    </w:p>
    <w:p>
      <w:pPr>
        <w:widowControl/>
        <w:spacing w:line="48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（二）</w:t>
      </w:r>
      <w:r>
        <w:rPr>
          <w:rFonts w:hint="eastAsia" w:ascii="宋体" w:hAnsi="宋体" w:cs="宋体"/>
          <w:sz w:val="24"/>
          <w:szCs w:val="24"/>
        </w:rPr>
        <w:t>投标地点：重庆市</w:t>
      </w:r>
      <w:r>
        <w:rPr>
          <w:rFonts w:hint="eastAsia" w:ascii="宋体" w:hAnsi="宋体" w:cs="宋体"/>
          <w:sz w:val="24"/>
          <w:szCs w:val="24"/>
          <w:lang w:eastAsia="zh-CN"/>
        </w:rPr>
        <w:t>渝北区银杉路</w:t>
      </w:r>
      <w:r>
        <w:rPr>
          <w:rFonts w:hint="eastAsia" w:ascii="宋体" w:hAnsi="宋体" w:cs="宋体"/>
          <w:sz w:val="24"/>
          <w:szCs w:val="24"/>
          <w:lang w:val="en-US" w:eastAsia="zh-CN"/>
        </w:rPr>
        <w:t>66号重庆高速集团1401室</w:t>
      </w:r>
      <w:r>
        <w:rPr>
          <w:rFonts w:hint="eastAsia" w:ascii="宋体" w:hAnsi="宋体" w:cs="宋体"/>
          <w:sz w:val="24"/>
          <w:szCs w:val="24"/>
        </w:rPr>
        <w:t>现场递交</w:t>
      </w:r>
    </w:p>
    <w:p>
      <w:pPr>
        <w:numPr>
          <w:ilvl w:val="0"/>
          <w:numId w:val="0"/>
        </w:numPr>
        <w:ind w:leftChars="0"/>
        <w:rPr>
          <w:rFonts w:hint="eastAsia" w:ascii="宋体" w:hAnsi="宋体" w:cs="宋体"/>
          <w:sz w:val="24"/>
          <w:szCs w:val="24"/>
        </w:rPr>
      </w:pPr>
    </w:p>
    <w:p>
      <w:pPr>
        <w:pStyle w:val="6"/>
        <w:numPr>
          <w:ilvl w:val="0"/>
          <w:numId w:val="0"/>
        </w:numPr>
        <w:ind w:leftChars="0"/>
        <w:rPr>
          <w:rFonts w:hint="eastAsia"/>
          <w:lang w:val="en-US" w:eastAsia="zh-CN"/>
        </w:rPr>
      </w:pPr>
    </w:p>
    <w:p>
      <w:pPr>
        <w:numPr>
          <w:ilvl w:val="0"/>
          <w:numId w:val="0"/>
        </w:numPr>
        <w:ind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投标截止时间：20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9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22 </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 xml:space="preserve">  12 </w:t>
      </w:r>
      <w:r>
        <w:rPr>
          <w:rFonts w:hint="eastAsia" w:ascii="宋体" w:hAnsi="宋体" w:cs="宋体"/>
          <w:color w:val="auto"/>
          <w:sz w:val="24"/>
          <w:szCs w:val="24"/>
          <w:highlight w:val="none"/>
        </w:rPr>
        <w:t>时。</w:t>
      </w:r>
    </w:p>
    <w:p>
      <w:pPr>
        <w:pStyle w:val="6"/>
        <w:numPr>
          <w:ilvl w:val="0"/>
          <w:numId w:val="0"/>
        </w:numPr>
        <w:ind w:leftChars="0"/>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（四）各报价人应根据本次</w:t>
      </w:r>
      <w:r>
        <w:rPr>
          <w:rFonts w:hint="eastAsia" w:ascii="宋体" w:hAnsi="宋体" w:cs="宋体"/>
          <w:sz w:val="24"/>
          <w:szCs w:val="24"/>
          <w:lang w:eastAsia="zh-CN"/>
        </w:rPr>
        <w:t>竞争性比选</w:t>
      </w:r>
      <w:r>
        <w:rPr>
          <w:rFonts w:hint="eastAsia" w:ascii="宋体" w:hAnsi="宋体" w:cs="宋体"/>
          <w:sz w:val="24"/>
          <w:szCs w:val="24"/>
        </w:rPr>
        <w:t>的具体要求，编制规范的</w:t>
      </w:r>
      <w:r>
        <w:rPr>
          <w:rFonts w:hint="eastAsia" w:ascii="宋体" w:hAnsi="宋体" w:cs="宋体"/>
          <w:sz w:val="24"/>
          <w:szCs w:val="24"/>
          <w:lang w:eastAsia="zh-CN"/>
        </w:rPr>
        <w:t>竞争性比选</w:t>
      </w:r>
      <w:r>
        <w:rPr>
          <w:rFonts w:hint="eastAsia" w:ascii="宋体" w:hAnsi="宋体" w:cs="宋体"/>
          <w:sz w:val="24"/>
          <w:szCs w:val="24"/>
        </w:rPr>
        <w:t>响应文件（</w:t>
      </w:r>
      <w:r>
        <w:rPr>
          <w:rFonts w:hint="eastAsia" w:ascii="宋体" w:hAnsi="宋体" w:cs="宋体"/>
          <w:sz w:val="24"/>
          <w:szCs w:val="24"/>
          <w:lang w:eastAsia="zh-CN"/>
        </w:rPr>
        <w:t>竞争性比选</w:t>
      </w:r>
      <w:r>
        <w:rPr>
          <w:rFonts w:hint="eastAsia" w:ascii="宋体" w:hAnsi="宋体" w:cs="宋体"/>
          <w:sz w:val="24"/>
          <w:szCs w:val="24"/>
        </w:rPr>
        <w:t>响应文件，要求填写规范，密封完好并在封口处加盖公章，所有</w:t>
      </w:r>
      <w:r>
        <w:rPr>
          <w:rFonts w:hint="eastAsia" w:ascii="宋体" w:hAnsi="宋体" w:cs="宋体"/>
          <w:sz w:val="24"/>
          <w:szCs w:val="24"/>
          <w:lang w:eastAsia="zh-CN"/>
        </w:rPr>
        <w:t>竞争性比选</w:t>
      </w:r>
      <w:r>
        <w:rPr>
          <w:rFonts w:hint="eastAsia" w:ascii="宋体" w:hAnsi="宋体" w:cs="宋体"/>
          <w:sz w:val="24"/>
          <w:szCs w:val="24"/>
        </w:rPr>
        <w:t>响应文件均只能作一次性提交，提交后不得更改。）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（五）密封要求：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按第三条要求制作的</w:t>
      </w:r>
      <w:r>
        <w:rPr>
          <w:rFonts w:hint="eastAsia" w:ascii="宋体" w:hAnsi="宋体" w:cs="宋体"/>
          <w:sz w:val="24"/>
          <w:szCs w:val="24"/>
          <w:lang w:eastAsia="zh-CN"/>
        </w:rPr>
        <w:t>竞争性比选</w:t>
      </w:r>
      <w:r>
        <w:rPr>
          <w:rFonts w:hint="eastAsia" w:ascii="宋体" w:hAnsi="宋体" w:cs="宋体"/>
          <w:sz w:val="24"/>
          <w:szCs w:val="24"/>
        </w:rPr>
        <w:t>响应文件，将商务文件和项目建议书密封到一个封套中，再在封套上写明</w:t>
      </w:r>
    </w:p>
    <w:p>
      <w:pPr>
        <w:spacing w:line="360" w:lineRule="auto"/>
        <w:ind w:firstLine="480" w:firstLineChars="200"/>
        <w:jc w:val="center"/>
        <w:rPr>
          <w:rFonts w:hint="eastAsia" w:ascii="宋体" w:hAnsi="宋体" w:eastAsia="宋体" w:cs="宋体"/>
          <w:b w:val="0"/>
          <w:bCs/>
          <w:sz w:val="24"/>
          <w:szCs w:val="24"/>
          <w:u w:val="single"/>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single"/>
        </w:rPr>
        <w:t>重庆高速公路集团有限公司东北营运分公司</w:t>
      </w:r>
      <w:r>
        <w:rPr>
          <w:rFonts w:hint="eastAsia" w:ascii="宋体" w:hAnsi="宋体" w:eastAsia="宋体" w:cs="宋体"/>
          <w:b w:val="0"/>
          <w:bCs/>
          <w:kern w:val="2"/>
          <w:sz w:val="24"/>
          <w:szCs w:val="24"/>
          <w:u w:val="single"/>
          <w:lang w:val="en-US" w:eastAsia="zh-CN" w:bidi="ar-SA"/>
        </w:rPr>
        <w:t>服务区污水处理设备日常维护</w:t>
      </w:r>
      <w:r>
        <w:rPr>
          <w:rFonts w:hint="eastAsia" w:ascii="宋体" w:hAnsi="宋体" w:eastAsia="宋体" w:cs="宋体"/>
          <w:b w:val="0"/>
          <w:bCs/>
          <w:sz w:val="24"/>
          <w:szCs w:val="24"/>
          <w:u w:val="single"/>
        </w:rPr>
        <w:t>项目</w:t>
      </w:r>
      <w:r>
        <w:rPr>
          <w:rFonts w:hint="eastAsia" w:ascii="宋体" w:hAnsi="宋体" w:cs="宋体"/>
          <w:b w:val="0"/>
          <w:bCs/>
          <w:sz w:val="24"/>
          <w:szCs w:val="24"/>
          <w:u w:val="single"/>
          <w:lang w:eastAsia="zh-CN"/>
        </w:rPr>
        <w:t>竞争性比选</w:t>
      </w:r>
      <w:r>
        <w:rPr>
          <w:rFonts w:hint="eastAsia" w:ascii="宋体" w:hAnsi="宋体" w:eastAsia="宋体" w:cs="宋体"/>
          <w:b w:val="0"/>
          <w:bCs/>
          <w:sz w:val="24"/>
          <w:szCs w:val="24"/>
          <w:u w:val="single"/>
        </w:rPr>
        <w:t>响应性文件</w:t>
      </w:r>
    </w:p>
    <w:p>
      <w:pPr>
        <w:spacing w:line="360" w:lineRule="auto"/>
        <w:ind w:firstLine="480" w:firstLineChars="200"/>
        <w:jc w:val="center"/>
        <w:rPr>
          <w:rFonts w:hint="eastAsia" w:ascii="宋体" w:hAnsi="宋体" w:cs="宋体"/>
          <w:sz w:val="24"/>
          <w:szCs w:val="24"/>
          <w:highlight w:val="none"/>
          <w:u w:val="single"/>
        </w:rPr>
      </w:pPr>
      <w:r>
        <w:rPr>
          <w:rFonts w:hint="eastAsia" w:ascii="宋体" w:hAnsi="宋体" w:cs="宋体"/>
          <w:sz w:val="24"/>
          <w:szCs w:val="24"/>
          <w:highlight w:val="none"/>
          <w:u w:val="single"/>
        </w:rPr>
        <w:t>在</w:t>
      </w:r>
      <w:r>
        <w:rPr>
          <w:rFonts w:hint="eastAsia" w:ascii="宋体" w:hAnsi="宋体" w:cs="宋体"/>
          <w:sz w:val="24"/>
          <w:szCs w:val="24"/>
          <w:highlight w:val="none"/>
          <w:u w:val="single"/>
          <w:lang w:val="en-US" w:eastAsia="zh-CN"/>
        </w:rPr>
        <w:t>2022</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 xml:space="preserve">  9 </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 xml:space="preserve">22  </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 xml:space="preserve">  12   </w:t>
      </w:r>
      <w:r>
        <w:rPr>
          <w:rFonts w:hint="eastAsia" w:ascii="宋体" w:hAnsi="宋体" w:cs="宋体"/>
          <w:sz w:val="24"/>
          <w:szCs w:val="24"/>
          <w:highlight w:val="none"/>
          <w:u w:val="single"/>
        </w:rPr>
        <w:t>时前不得开启</w:t>
      </w:r>
    </w:p>
    <w:p>
      <w:pPr>
        <w:rPr>
          <w:rFonts w:hint="eastAsia" w:ascii="仿宋_GB2312" w:eastAsia="仿宋_GB2312"/>
          <w:b/>
          <w:sz w:val="28"/>
          <w:szCs w:val="28"/>
          <w:highlight w:val="none"/>
        </w:rPr>
      </w:pP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rPr>
        <w:t xml:space="preserve">联系人: </w:t>
      </w:r>
      <w:r>
        <w:rPr>
          <w:rFonts w:hint="eastAsia" w:ascii="方正仿宋_GBK" w:hAnsi="方正仿宋_GBK" w:eastAsia="方正仿宋_GBK" w:cs="方正仿宋_GBK"/>
          <w:color w:val="auto"/>
          <w:sz w:val="32"/>
          <w:szCs w:val="32"/>
          <w:highlight w:val="none"/>
          <w:lang w:val="en-US" w:eastAsia="zh-CN"/>
        </w:rPr>
        <w:t>谢</w:t>
      </w:r>
      <w:r>
        <w:rPr>
          <w:rFonts w:hint="eastAsia" w:ascii="方正仿宋_GBK" w:hAnsi="方正仿宋_GBK" w:eastAsia="方正仿宋_GBK" w:cs="方正仿宋_GBK"/>
          <w:color w:val="auto"/>
          <w:sz w:val="32"/>
          <w:szCs w:val="32"/>
          <w:highlight w:val="none"/>
        </w:rPr>
        <w:t>老师</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仿宋_GB2312" w:eastAsia="仿宋_GB2312"/>
          <w:b/>
          <w:sz w:val="28"/>
          <w:szCs w:val="28"/>
          <w:highlight w:val="none"/>
        </w:rPr>
        <w:t xml:space="preserve"> </w:t>
      </w:r>
      <w:r>
        <w:rPr>
          <w:rFonts w:hint="eastAsia" w:ascii="仿宋_GB2312" w:eastAsia="仿宋_GB2312"/>
          <w:b/>
          <w:sz w:val="28"/>
          <w:szCs w:val="28"/>
          <w:highlight w:val="none"/>
          <w:lang w:val="en-US" w:eastAsia="zh-CN"/>
        </w:rPr>
        <w:t xml:space="preserve">     </w:t>
      </w:r>
      <w:r>
        <w:rPr>
          <w:rFonts w:hint="eastAsia" w:ascii="仿宋_GB2312" w:eastAsia="仿宋_GB2312"/>
          <w:b/>
          <w:sz w:val="28"/>
          <w:szCs w:val="28"/>
          <w:highlight w:val="none"/>
        </w:rPr>
        <w:t xml:space="preserve"> 电话：</w:t>
      </w:r>
      <w:r>
        <w:rPr>
          <w:rFonts w:hint="eastAsia" w:ascii="方正仿宋_GBK" w:hAnsi="方正仿宋_GBK" w:eastAsia="方正仿宋_GBK" w:cs="方正仿宋_GBK"/>
          <w:color w:val="auto"/>
          <w:sz w:val="32"/>
          <w:szCs w:val="32"/>
          <w:highlight w:val="none"/>
          <w:lang w:val="en-US" w:eastAsia="zh-CN"/>
        </w:rPr>
        <w:t xml:space="preserve">（023）58338310 </w:t>
      </w:r>
    </w:p>
    <w:p>
      <w:pPr>
        <w:widowControl/>
        <w:spacing w:line="480" w:lineRule="exact"/>
        <w:rPr>
          <w:rFonts w:hint="default" w:ascii="方正仿宋_GBK" w:hAnsi="方正仿宋_GBK" w:eastAsia="方正仿宋_GBK" w:cs="方正仿宋_GBK"/>
          <w:color w:val="auto"/>
          <w:sz w:val="32"/>
          <w:szCs w:val="32"/>
          <w:highlight w:val="none"/>
          <w:lang w:val="en-US" w:eastAsia="zh-CN"/>
        </w:rPr>
      </w:pPr>
      <w:r>
        <w:rPr>
          <w:rFonts w:hint="eastAsia" w:ascii="仿宋_GB2312" w:eastAsia="仿宋_GB2312"/>
          <w:b/>
          <w:sz w:val="28"/>
          <w:szCs w:val="28"/>
        </w:rPr>
        <w:t>地</w:t>
      </w:r>
      <w:r>
        <w:rPr>
          <w:rFonts w:hint="eastAsia" w:ascii="仿宋_GB2312" w:eastAsia="仿宋_GB2312"/>
          <w:b/>
          <w:sz w:val="28"/>
          <w:szCs w:val="28"/>
          <w:lang w:val="en-US" w:eastAsia="zh-CN"/>
        </w:rPr>
        <w:t xml:space="preserve">  </w:t>
      </w:r>
      <w:r>
        <w:rPr>
          <w:rFonts w:hint="eastAsia" w:ascii="仿宋_GB2312" w:eastAsia="仿宋_GB2312"/>
          <w:b/>
          <w:sz w:val="28"/>
          <w:szCs w:val="28"/>
        </w:rPr>
        <w:t>址：</w:t>
      </w:r>
      <w:r>
        <w:rPr>
          <w:rFonts w:hint="eastAsia" w:ascii="方正仿宋_GBK" w:hAnsi="方正仿宋_GBK" w:eastAsia="方正仿宋_GBK" w:cs="方正仿宋_GBK"/>
          <w:color w:val="auto"/>
          <w:sz w:val="32"/>
          <w:szCs w:val="32"/>
          <w:highlight w:val="none"/>
        </w:rPr>
        <w:t>重庆市</w:t>
      </w:r>
      <w:r>
        <w:rPr>
          <w:rFonts w:hint="eastAsia" w:ascii="方正仿宋_GBK" w:hAnsi="方正仿宋_GBK" w:eastAsia="方正仿宋_GBK" w:cs="方正仿宋_GBK"/>
          <w:color w:val="auto"/>
          <w:sz w:val="32"/>
          <w:szCs w:val="32"/>
          <w:highlight w:val="none"/>
          <w:lang w:eastAsia="zh-CN"/>
        </w:rPr>
        <w:t>渝北区银杉路</w:t>
      </w:r>
      <w:r>
        <w:rPr>
          <w:rFonts w:hint="eastAsia" w:ascii="方正仿宋_GBK" w:hAnsi="方正仿宋_GBK" w:eastAsia="方正仿宋_GBK" w:cs="方正仿宋_GBK"/>
          <w:color w:val="auto"/>
          <w:sz w:val="32"/>
          <w:szCs w:val="32"/>
          <w:highlight w:val="none"/>
          <w:lang w:val="en-US" w:eastAsia="zh-CN"/>
        </w:rPr>
        <w:t>66号重庆高速集团东北分公司</w:t>
      </w:r>
    </w:p>
    <w:p>
      <w:pPr>
        <w:spacing w:line="360" w:lineRule="auto"/>
        <w:rPr>
          <w:rFonts w:hint="default" w:ascii="宋体" w:hAnsi="宋体" w:eastAsia="微软雅黑" w:cs="宋体"/>
          <w:sz w:val="24"/>
          <w:szCs w:val="24"/>
          <w:lang w:val="en-US" w:eastAsia="zh-CN"/>
        </w:rPr>
      </w:pPr>
    </w:p>
    <w:p>
      <w:pPr>
        <w:tabs>
          <w:tab w:val="left" w:pos="1507"/>
        </w:tabs>
        <w:spacing w:line="360" w:lineRule="exact"/>
        <w:ind w:right="480"/>
        <w:rPr>
          <w:rFonts w:ascii="宋体" w:hAnsi="宋体"/>
          <w:sz w:val="24"/>
          <w:szCs w:val="24"/>
        </w:rPr>
      </w:pPr>
      <w:r>
        <w:rPr>
          <w:rFonts w:ascii="宋体" w:hAnsi="宋体"/>
          <w:sz w:val="24"/>
          <w:szCs w:val="24"/>
        </w:rPr>
        <w:t xml:space="preserve">     </w:t>
      </w:r>
    </w:p>
    <w:p>
      <w:pPr>
        <w:tabs>
          <w:tab w:val="left" w:pos="1507"/>
        </w:tabs>
        <w:spacing w:line="360" w:lineRule="exact"/>
        <w:ind w:right="480"/>
        <w:rPr>
          <w:rFonts w:hint="eastAsia"/>
          <w:sz w:val="24"/>
          <w:szCs w:val="24"/>
        </w:rPr>
      </w:pPr>
      <w:r>
        <w:rPr>
          <w:rFonts w:hint="eastAsia"/>
          <w:sz w:val="24"/>
          <w:szCs w:val="24"/>
        </w:rPr>
        <w:t>附件1：</w:t>
      </w:r>
    </w:p>
    <w:p>
      <w:pPr>
        <w:pStyle w:val="3"/>
        <w:bidi w:val="0"/>
        <w:jc w:val="center"/>
        <w:rPr>
          <w:rFonts w:hint="eastAsia"/>
        </w:rPr>
      </w:pPr>
      <w:r>
        <w:rPr>
          <w:rFonts w:hint="eastAsia"/>
        </w:rPr>
        <w:t>报价函</w:t>
      </w:r>
    </w:p>
    <w:p>
      <w:pPr>
        <w:spacing w:line="360" w:lineRule="auto"/>
        <w:rPr>
          <w:szCs w:val="21"/>
        </w:rPr>
      </w:pPr>
      <w:r>
        <w:rPr>
          <w:rFonts w:hint="eastAsia" w:ascii="宋体" w:hAnsi="宋体"/>
          <w:b/>
          <w:u w:val="single"/>
        </w:rPr>
        <w:t>重庆高速公路集团有限公司东北营运分公司：</w:t>
      </w:r>
    </w:p>
    <w:p>
      <w:pPr>
        <w:spacing w:line="360" w:lineRule="auto"/>
        <w:ind w:firstLine="435"/>
        <w:rPr>
          <w:szCs w:val="21"/>
        </w:rPr>
      </w:pPr>
      <w:r>
        <w:rPr>
          <w:szCs w:val="21"/>
        </w:rPr>
        <w:t>1．我方已仔细研究了</w:t>
      </w:r>
      <w:r>
        <w:rPr>
          <w:rFonts w:hint="eastAsia" w:ascii="宋体" w:hAnsi="宋体"/>
          <w:sz w:val="24"/>
          <w:szCs w:val="24"/>
          <w:lang w:eastAsia="zh-CN"/>
        </w:rPr>
        <w:t>竞争性比选</w:t>
      </w:r>
      <w:r>
        <w:rPr>
          <w:szCs w:val="21"/>
        </w:rPr>
        <w:t>文件的全部内容，</w:t>
      </w:r>
      <w:r>
        <w:rPr>
          <w:rFonts w:hint="eastAsia"/>
          <w:szCs w:val="21"/>
        </w:rPr>
        <w:t>在考察工程现场后，</w:t>
      </w:r>
      <w:r>
        <w:rPr>
          <w:szCs w:val="21"/>
        </w:rPr>
        <w:t>愿意以人民币（大写）</w:t>
      </w:r>
      <w:r>
        <w:rPr>
          <w:szCs w:val="21"/>
          <w:u w:val="single"/>
        </w:rPr>
        <w:t xml:space="preserve">         </w:t>
      </w:r>
      <w:r>
        <w:rPr>
          <w:szCs w:val="21"/>
        </w:rPr>
        <w:t>元（¥</w:t>
      </w:r>
      <w:r>
        <w:rPr>
          <w:szCs w:val="21"/>
          <w:u w:val="single"/>
        </w:rPr>
        <w:t xml:space="preserve">           </w:t>
      </w:r>
      <w:r>
        <w:rPr>
          <w:szCs w:val="21"/>
        </w:rPr>
        <w:t>）的总报价，</w:t>
      </w:r>
      <w:r>
        <w:rPr>
          <w:rFonts w:hint="eastAsia"/>
          <w:szCs w:val="21"/>
        </w:rPr>
        <w:t>工期</w:t>
      </w:r>
      <w:r>
        <w:rPr>
          <w:rFonts w:hint="eastAsia"/>
          <w:szCs w:val="21"/>
          <w:u w:val="single"/>
        </w:rPr>
        <w:t xml:space="preserve">          </w:t>
      </w:r>
      <w:r>
        <w:rPr>
          <w:rFonts w:hint="eastAsia"/>
          <w:szCs w:val="21"/>
        </w:rPr>
        <w:t xml:space="preserve"> 日历天，</w:t>
      </w:r>
      <w:r>
        <w:rPr>
          <w:szCs w:val="21"/>
        </w:rPr>
        <w:t>按合同约定实施和完成承包</w:t>
      </w:r>
      <w:r>
        <w:rPr>
          <w:rFonts w:hint="eastAsia"/>
          <w:szCs w:val="21"/>
        </w:rPr>
        <w:t>________项目</w:t>
      </w:r>
      <w:r>
        <w:rPr>
          <w:rFonts w:hint="eastAsia"/>
          <w:szCs w:val="21"/>
          <w:u w:val="single"/>
        </w:rPr>
        <w:t>　　　</w:t>
      </w:r>
      <w:r>
        <w:rPr>
          <w:rFonts w:hint="eastAsia"/>
          <w:szCs w:val="21"/>
        </w:rPr>
        <w:t>合同段</w:t>
      </w:r>
      <w:r>
        <w:rPr>
          <w:szCs w:val="21"/>
        </w:rPr>
        <w:t>，工程质量达到</w:t>
      </w:r>
      <w:r>
        <w:rPr>
          <w:szCs w:val="21"/>
          <w:u w:val="single"/>
        </w:rPr>
        <w:t xml:space="preserve">           </w:t>
      </w:r>
      <w:r>
        <w:rPr>
          <w:szCs w:val="21"/>
        </w:rPr>
        <w:t xml:space="preserve"> 。</w:t>
      </w:r>
    </w:p>
    <w:p>
      <w:pPr>
        <w:spacing w:line="440" w:lineRule="exact"/>
        <w:ind w:firstLine="420" w:firstLineChars="200"/>
        <w:rPr>
          <w:szCs w:val="21"/>
        </w:rPr>
      </w:pPr>
      <w:r>
        <w:rPr>
          <w:szCs w:val="21"/>
        </w:rPr>
        <w:t>2．我方承诺在</w:t>
      </w:r>
      <w:r>
        <w:rPr>
          <w:rFonts w:hint="eastAsia"/>
          <w:szCs w:val="21"/>
        </w:rPr>
        <w:t>报价</w:t>
      </w:r>
      <w:r>
        <w:rPr>
          <w:szCs w:val="21"/>
        </w:rPr>
        <w:t>有效期内不修改、撤销</w:t>
      </w:r>
      <w:r>
        <w:rPr>
          <w:rFonts w:hint="eastAsia"/>
          <w:szCs w:val="21"/>
        </w:rPr>
        <w:t>报价</w:t>
      </w:r>
      <w:r>
        <w:rPr>
          <w:szCs w:val="21"/>
        </w:rPr>
        <w:t>文件。</w:t>
      </w:r>
    </w:p>
    <w:p>
      <w:pPr>
        <w:spacing w:line="440" w:lineRule="exact"/>
        <w:ind w:firstLine="420" w:firstLineChars="200"/>
        <w:rPr>
          <w:szCs w:val="21"/>
        </w:rPr>
      </w:pPr>
      <w:r>
        <w:rPr>
          <w:rFonts w:hint="eastAsia"/>
          <w:szCs w:val="21"/>
        </w:rPr>
        <w:t>3</w:t>
      </w:r>
      <w:r>
        <w:rPr>
          <w:szCs w:val="21"/>
        </w:rPr>
        <w:t>．如我方中标：</w:t>
      </w:r>
    </w:p>
    <w:p>
      <w:pPr>
        <w:spacing w:line="440" w:lineRule="exact"/>
        <w:ind w:firstLine="718" w:firstLineChars="342"/>
        <w:rPr>
          <w:szCs w:val="21"/>
        </w:rPr>
      </w:pPr>
      <w:r>
        <w:rPr>
          <w:szCs w:val="21"/>
        </w:rPr>
        <w:t>（1）我方承诺在收到中标通知书后，在中标通知书规定的期限内与你方签订合同。</w:t>
      </w:r>
    </w:p>
    <w:p>
      <w:pPr>
        <w:spacing w:line="440" w:lineRule="exact"/>
        <w:ind w:firstLine="718" w:firstLineChars="342"/>
        <w:rPr>
          <w:szCs w:val="21"/>
        </w:rPr>
      </w:pPr>
      <w:r>
        <w:rPr>
          <w:szCs w:val="21"/>
        </w:rPr>
        <w:t>（2）随同本</w:t>
      </w:r>
      <w:r>
        <w:rPr>
          <w:rFonts w:hint="eastAsia"/>
          <w:szCs w:val="21"/>
        </w:rPr>
        <w:t>报价</w:t>
      </w:r>
      <w:r>
        <w:rPr>
          <w:szCs w:val="21"/>
        </w:rPr>
        <w:t>函递交的</w:t>
      </w:r>
      <w:r>
        <w:rPr>
          <w:rFonts w:hint="eastAsia"/>
          <w:szCs w:val="21"/>
        </w:rPr>
        <w:t>报价</w:t>
      </w:r>
      <w:r>
        <w:rPr>
          <w:szCs w:val="21"/>
        </w:rPr>
        <w:t>函附录属于合同文件的组成部分。</w:t>
      </w:r>
    </w:p>
    <w:p>
      <w:pPr>
        <w:spacing w:line="440" w:lineRule="exact"/>
        <w:ind w:firstLine="718" w:firstLineChars="342"/>
        <w:rPr>
          <w:szCs w:val="21"/>
        </w:rPr>
      </w:pPr>
      <w:r>
        <w:rPr>
          <w:szCs w:val="21"/>
        </w:rPr>
        <w:t>（3）我方承诺按照</w:t>
      </w:r>
      <w:r>
        <w:rPr>
          <w:rFonts w:hint="eastAsia"/>
          <w:szCs w:val="21"/>
          <w:lang w:eastAsia="zh-CN"/>
        </w:rPr>
        <w:t>竞争性比选</w:t>
      </w:r>
      <w:r>
        <w:rPr>
          <w:szCs w:val="21"/>
        </w:rPr>
        <w:t>文件规定向你方递交履约担保。</w:t>
      </w:r>
    </w:p>
    <w:p>
      <w:pPr>
        <w:spacing w:line="440" w:lineRule="exact"/>
        <w:ind w:firstLine="718" w:firstLineChars="342"/>
        <w:rPr>
          <w:szCs w:val="21"/>
        </w:rPr>
      </w:pPr>
      <w:r>
        <w:rPr>
          <w:szCs w:val="21"/>
        </w:rPr>
        <w:t>（4）我方承诺在合同约定的期限内完成并移交全部</w:t>
      </w:r>
      <w:r>
        <w:rPr>
          <w:rFonts w:hint="eastAsia"/>
          <w:szCs w:val="21"/>
        </w:rPr>
        <w:t>工程资料</w:t>
      </w:r>
      <w:r>
        <w:rPr>
          <w:szCs w:val="21"/>
        </w:rPr>
        <w:t>。</w:t>
      </w:r>
    </w:p>
    <w:p>
      <w:pPr>
        <w:spacing w:line="440" w:lineRule="exact"/>
        <w:ind w:firstLine="420" w:firstLineChars="200"/>
        <w:rPr>
          <w:rFonts w:hint="eastAsia"/>
          <w:szCs w:val="21"/>
        </w:rPr>
      </w:pPr>
      <w:r>
        <w:rPr>
          <w:rFonts w:hint="eastAsia"/>
          <w:szCs w:val="21"/>
        </w:rPr>
        <w:t>4</w:t>
      </w:r>
      <w:r>
        <w:rPr>
          <w:szCs w:val="21"/>
        </w:rPr>
        <w:t>．</w:t>
      </w:r>
      <w:r>
        <w:rPr>
          <w:rFonts w:hint="eastAsia"/>
        </w:rPr>
        <w:t>我方在此声明，所递交的报价文件及有关资料内容完整、真实和准确。</w:t>
      </w:r>
    </w:p>
    <w:p>
      <w:pPr>
        <w:spacing w:line="440" w:lineRule="exact"/>
        <w:ind w:firstLine="420" w:firstLineChars="200"/>
        <w:rPr>
          <w:szCs w:val="21"/>
        </w:rPr>
      </w:pPr>
      <w:r>
        <w:rPr>
          <w:rFonts w:hint="eastAsia"/>
          <w:szCs w:val="21"/>
        </w:rPr>
        <w:t>5．在合同协议书正式签署生效之前，本报价函连同你方的中标通知书将构成我们双方之间共同遵守的文件。对双方具有约束力。</w:t>
      </w:r>
    </w:p>
    <w:p>
      <w:pPr>
        <w:spacing w:line="440" w:lineRule="exact"/>
        <w:rPr>
          <w:szCs w:val="21"/>
        </w:rPr>
      </w:pPr>
    </w:p>
    <w:p>
      <w:pPr>
        <w:spacing w:line="440" w:lineRule="exact"/>
        <w:ind w:firstLine="3675" w:firstLineChars="1750"/>
        <w:rPr>
          <w:szCs w:val="21"/>
        </w:rPr>
      </w:pPr>
      <w:r>
        <w:rPr>
          <w:rFonts w:hint="eastAsia"/>
          <w:szCs w:val="21"/>
        </w:rPr>
        <w:t>报</w:t>
      </w:r>
      <w:r>
        <w:rPr>
          <w:szCs w:val="21"/>
        </w:rPr>
        <w:t xml:space="preserve"> </w:t>
      </w:r>
      <w:r>
        <w:rPr>
          <w:rFonts w:hint="eastAsia"/>
          <w:szCs w:val="21"/>
        </w:rPr>
        <w:t>价</w:t>
      </w:r>
      <w:r>
        <w:rPr>
          <w:szCs w:val="21"/>
        </w:rPr>
        <w:t xml:space="preserve">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b/>
          <w:i/>
          <w:kern w:val="0"/>
        </w:rPr>
      </w:pPr>
      <w:r>
        <w:rPr>
          <w:rFonts w:hint="eastAsia" w:ascii="宋体" w:hAnsi="宋体"/>
          <w:b/>
          <w:i/>
          <w:kern w:val="0"/>
        </w:rPr>
        <w:t>注：如无单位盖章及</w:t>
      </w:r>
      <w:r>
        <w:rPr>
          <w:b/>
          <w:i/>
          <w:szCs w:val="21"/>
        </w:rPr>
        <w:t>法定代表人或其委托代理人</w:t>
      </w:r>
      <w:r>
        <w:rPr>
          <w:rFonts w:hint="eastAsia"/>
          <w:b/>
          <w:i/>
          <w:szCs w:val="21"/>
        </w:rPr>
        <w:t>签名，报价文件作废处理。</w:t>
      </w:r>
    </w:p>
    <w:p>
      <w:pPr>
        <w:spacing w:line="440" w:lineRule="exact"/>
        <w:rPr>
          <w:rFonts w:hint="eastAsia"/>
          <w:sz w:val="24"/>
          <w:szCs w:val="24"/>
        </w:rPr>
      </w:pPr>
      <w:r>
        <w:rPr>
          <w:rFonts w:hint="eastAsia"/>
          <w:sz w:val="24"/>
          <w:szCs w:val="24"/>
        </w:rPr>
        <w:br w:type="page"/>
      </w:r>
      <w:r>
        <w:rPr>
          <w:rFonts w:hint="eastAsia"/>
          <w:sz w:val="24"/>
          <w:szCs w:val="24"/>
        </w:rPr>
        <w:t>附件2：</w:t>
      </w:r>
    </w:p>
    <w:p>
      <w:pPr>
        <w:rPr>
          <w:sz w:val="24"/>
          <w:szCs w:val="24"/>
        </w:rPr>
      </w:pPr>
    </w:p>
    <w:p>
      <w:pPr>
        <w:rPr>
          <w:rFonts w:hint="eastAsia"/>
          <w:sz w:val="24"/>
          <w:szCs w:val="24"/>
        </w:rPr>
      </w:pPr>
    </w:p>
    <w:p>
      <w:pPr>
        <w:rPr>
          <w:rFonts w:hint="eastAsia"/>
          <w:sz w:val="24"/>
          <w:szCs w:val="24"/>
        </w:rPr>
      </w:pPr>
    </w:p>
    <w:p>
      <w:pPr>
        <w:rPr>
          <w:rFonts w:hint="eastAsia"/>
          <w:sz w:val="24"/>
          <w:szCs w:val="24"/>
        </w:rPr>
      </w:pPr>
    </w:p>
    <w:p>
      <w:pPr>
        <w:jc w:val="both"/>
        <w:rPr>
          <w:rFonts w:hint="eastAsia" w:ascii="宋体" w:hAnsi="宋体"/>
          <w:b/>
          <w:spacing w:val="20"/>
          <w:sz w:val="48"/>
          <w:szCs w:val="48"/>
        </w:rPr>
      </w:pPr>
      <w:r>
        <w:rPr>
          <w:rFonts w:hint="eastAsia" w:ascii="宋体"/>
          <w:b/>
          <w:sz w:val="48"/>
          <w:szCs w:val="48"/>
        </w:rPr>
        <w:t>重庆高速公路集团有限公司东北营运分公司</w:t>
      </w:r>
      <w:r>
        <w:rPr>
          <w:rFonts w:hint="eastAsia" w:ascii="宋体" w:hAnsi="Times New Roman" w:cs="Times New Roman"/>
          <w:b/>
          <w:sz w:val="48"/>
          <w:szCs w:val="48"/>
          <w:lang w:val="en-US" w:eastAsia="zh-CN"/>
        </w:rPr>
        <w:t>服务区污水处理设备日常维护</w:t>
      </w:r>
      <w:r>
        <w:rPr>
          <w:rFonts w:hint="eastAsia" w:ascii="宋体"/>
          <w:b/>
          <w:sz w:val="48"/>
          <w:szCs w:val="48"/>
        </w:rPr>
        <w:t>项目</w:t>
      </w:r>
    </w:p>
    <w:p>
      <w:pPr>
        <w:jc w:val="center"/>
        <w:rPr>
          <w:rFonts w:hint="eastAsia"/>
          <w:b/>
          <w:sz w:val="52"/>
          <w:szCs w:val="52"/>
        </w:rPr>
      </w:pPr>
      <w:r>
        <w:rPr>
          <w:rFonts w:hint="eastAsia"/>
          <w:b/>
          <w:sz w:val="52"/>
          <w:szCs w:val="52"/>
          <w:lang w:eastAsia="zh-CN"/>
        </w:rPr>
        <w:t>竞争性比选</w:t>
      </w:r>
      <w:r>
        <w:rPr>
          <w:rFonts w:hint="eastAsia"/>
          <w:b/>
          <w:sz w:val="52"/>
          <w:szCs w:val="52"/>
        </w:rPr>
        <w:t>响应文件</w:t>
      </w:r>
    </w:p>
    <w:p>
      <w:pPr>
        <w:jc w:val="center"/>
        <w:rPr>
          <w:rFonts w:hint="eastAsia"/>
          <w:sz w:val="32"/>
          <w:szCs w:val="32"/>
        </w:rPr>
      </w:pPr>
    </w:p>
    <w:p>
      <w:pPr>
        <w:jc w:val="center"/>
        <w:rPr>
          <w:rFonts w:hint="eastAsia"/>
          <w:sz w:val="32"/>
          <w:szCs w:val="32"/>
        </w:rPr>
      </w:pPr>
    </w:p>
    <w:p>
      <w:pPr>
        <w:rPr>
          <w:rFonts w:hint="eastAsia"/>
          <w:sz w:val="32"/>
          <w:szCs w:val="32"/>
        </w:rPr>
      </w:pPr>
    </w:p>
    <w:p>
      <w:pPr>
        <w:jc w:val="center"/>
        <w:rPr>
          <w:rFonts w:hint="eastAsia"/>
          <w:sz w:val="32"/>
          <w:szCs w:val="32"/>
        </w:rPr>
      </w:pPr>
    </w:p>
    <w:p>
      <w:pPr>
        <w:jc w:val="center"/>
        <w:rPr>
          <w:rFonts w:hint="eastAsia"/>
          <w:sz w:val="32"/>
          <w:szCs w:val="32"/>
          <w:u w:val="single"/>
        </w:rPr>
      </w:pPr>
      <w:r>
        <w:rPr>
          <w:rFonts w:hint="eastAsia"/>
          <w:sz w:val="32"/>
          <w:szCs w:val="32"/>
          <w:u w:val="single"/>
          <w:lang w:eastAsia="zh-CN"/>
        </w:rPr>
        <w:t>竞争性比选</w:t>
      </w:r>
      <w:r>
        <w:rPr>
          <w:rFonts w:hint="eastAsia"/>
          <w:sz w:val="32"/>
          <w:szCs w:val="32"/>
          <w:u w:val="single"/>
        </w:rPr>
        <w:t>响应单位名称全称（盖单位公章）</w:t>
      </w:r>
    </w:p>
    <w:p>
      <w:pPr>
        <w:jc w:val="center"/>
        <w:rPr>
          <w:rFonts w:hint="eastAsia"/>
          <w:sz w:val="32"/>
          <w:szCs w:val="32"/>
          <w:u w:val="single"/>
        </w:rPr>
      </w:pPr>
    </w:p>
    <w:p>
      <w:pPr>
        <w:spacing w:line="400" w:lineRule="exact"/>
        <w:rPr>
          <w:rFonts w:hint="eastAsia"/>
          <w:sz w:val="28"/>
          <w:szCs w:val="28"/>
        </w:rPr>
      </w:pPr>
    </w:p>
    <w:p>
      <w:pPr>
        <w:spacing w:line="400" w:lineRule="exact"/>
        <w:rPr>
          <w:rFonts w:hint="eastAsia"/>
          <w:sz w:val="28"/>
          <w:szCs w:val="28"/>
        </w:rPr>
      </w:pPr>
    </w:p>
    <w:p>
      <w:pPr>
        <w:spacing w:line="400" w:lineRule="exact"/>
        <w:rPr>
          <w:rFonts w:hint="eastAsia"/>
          <w:sz w:val="28"/>
          <w:szCs w:val="28"/>
        </w:rPr>
      </w:pPr>
    </w:p>
    <w:p>
      <w:pPr>
        <w:spacing w:line="400" w:lineRule="exact"/>
        <w:rPr>
          <w:rFonts w:hint="eastAsia"/>
          <w:sz w:val="28"/>
          <w:szCs w:val="28"/>
        </w:rPr>
      </w:pPr>
    </w:p>
    <w:p>
      <w:pPr>
        <w:spacing w:line="400" w:lineRule="exact"/>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spacing w:line="440" w:lineRule="exact"/>
        <w:jc w:val="center"/>
        <w:outlineLvl w:val="1"/>
        <w:rPr>
          <w:rFonts w:ascii="方正小标宋简体" w:hAnsi="宋体" w:eastAsia="方正小标宋简体" w:cs="宋体"/>
          <w:b/>
          <w:bCs/>
          <w:kern w:val="0"/>
          <w:sz w:val="28"/>
          <w:szCs w:val="28"/>
        </w:rPr>
      </w:pPr>
    </w:p>
    <w:p>
      <w:pPr>
        <w:spacing w:line="440" w:lineRule="exact"/>
        <w:outlineLvl w:val="1"/>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一、法定代表人身份证明及授权委托书</w:t>
      </w:r>
    </w:p>
    <w:p>
      <w:pPr>
        <w:spacing w:line="440" w:lineRule="exact"/>
        <w:rPr>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报价人名称：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（报价人名称）的法定代表人。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投标人：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topLinePunct/>
        <w:spacing w:line="440" w:lineRule="exact"/>
        <w:ind w:firstLine="400" w:firstLineChars="200"/>
        <w:outlineLvl w:val="2"/>
        <w:rPr>
          <w:sz w:val="20"/>
        </w:rPr>
      </w:pPr>
    </w:p>
    <w:p>
      <w:pPr>
        <w:topLinePunct/>
        <w:spacing w:line="440" w:lineRule="exact"/>
        <w:ind w:firstLine="3400" w:firstLineChars="1700"/>
        <w:outlineLvl w:val="2"/>
        <w:rPr>
          <w:rFonts w:hint="eastAsia"/>
          <w:b/>
          <w:szCs w:val="21"/>
        </w:rPr>
      </w:pPr>
      <w:r>
        <w:rPr>
          <w:rFonts w:hint="eastAsia"/>
          <w:sz w:val="20"/>
        </w:rPr>
        <w:t>（二）</w:t>
      </w:r>
      <w:r>
        <w:rPr>
          <w:rFonts w:hint="eastAsia"/>
          <w:b/>
          <w:szCs w:val="21"/>
        </w:rPr>
        <w:t>授权委托书</w:t>
      </w:r>
      <w:r>
        <w:rPr>
          <w:b/>
          <w:szCs w:val="21"/>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hint="eastAsia" w:ascii="宋体" w:hAnsi="宋体" w:cs="MingLiU"/>
          <w:kern w:val="0"/>
          <w:sz w:val="20"/>
        </w:rPr>
      </w:pPr>
    </w:p>
    <w:p>
      <w:pPr>
        <w:autoSpaceDE w:val="0"/>
        <w:autoSpaceDN w:val="0"/>
        <w:adjustRightInd w:val="0"/>
        <w:snapToGrid w:val="0"/>
        <w:spacing w:line="360" w:lineRule="auto"/>
        <w:jc w:val="left"/>
        <w:rPr>
          <w:rFonts w:hint="eastAsia"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报价</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名称）监理报价文件、签订合同和处理有关事宜，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rPr>
        <w:t xml:space="preserve"> </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hint="eastAsia" w:ascii="宋体" w:hAnsi="宋体" w:cs="MingLiU"/>
          <w:kern w:val="0"/>
          <w:sz w:val="12"/>
          <w:szCs w:val="12"/>
        </w:rPr>
      </w:pPr>
    </w:p>
    <w:p>
      <w:pPr>
        <w:autoSpaceDE w:val="0"/>
        <w:autoSpaceDN w:val="0"/>
        <w:adjustRightInd w:val="0"/>
        <w:snapToGrid w:val="0"/>
        <w:spacing w:line="360" w:lineRule="auto"/>
        <w:jc w:val="left"/>
        <w:rPr>
          <w:rFonts w:hint="eastAsia"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报  价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hint="eastAsia" w:ascii="宋体" w:hAnsi="宋体" w:cs="MingLiU"/>
          <w:kern w:val="0"/>
          <w:sz w:val="20"/>
        </w:rPr>
      </w:pPr>
    </w:p>
    <w:p>
      <w:pPr>
        <w:autoSpaceDE w:val="0"/>
        <w:autoSpaceDN w:val="0"/>
        <w:adjustRightInd w:val="0"/>
        <w:snapToGrid w:val="0"/>
        <w:spacing w:line="360" w:lineRule="auto"/>
        <w:jc w:val="left"/>
        <w:rPr>
          <w:rFonts w:hint="eastAsia" w:ascii="宋体" w:hAnsi="宋体" w:cs="MingLiU"/>
          <w:kern w:val="0"/>
          <w:sz w:val="20"/>
        </w:rPr>
      </w:pPr>
    </w:p>
    <w:p>
      <w:pPr>
        <w:autoSpaceDE w:val="0"/>
        <w:autoSpaceDN w:val="0"/>
        <w:adjustRightInd w:val="0"/>
        <w:snapToGrid w:val="0"/>
        <w:spacing w:line="360" w:lineRule="auto"/>
        <w:jc w:val="left"/>
        <w:rPr>
          <w:rFonts w:hint="eastAsia" w:ascii="宋体" w:hAnsi="宋体" w:cs="MingLiU"/>
          <w:kern w:val="0"/>
          <w:sz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
      <w:pPr>
        <w:rPr>
          <w:rFonts w:hint="eastAsia"/>
          <w:sz w:val="28"/>
          <w:szCs w:val="28"/>
        </w:rPr>
      </w:pPr>
      <w:r>
        <w:rPr>
          <w:rFonts w:hint="eastAsia"/>
          <w:sz w:val="28"/>
          <w:szCs w:val="28"/>
        </w:rPr>
        <w:t>注：须附上授权人及被授权人身份证复印件。</w:t>
      </w:r>
    </w:p>
    <w:p>
      <w:pPr>
        <w:spacing w:line="360" w:lineRule="auto"/>
        <w:ind w:left="480"/>
        <w:rPr>
          <w:rFonts w:hint="eastAsia"/>
          <w:szCs w:val="21"/>
          <w:u w:val="single"/>
        </w:rPr>
      </w:pPr>
    </w:p>
    <w:p>
      <w:pPr>
        <w:spacing w:line="360" w:lineRule="auto"/>
        <w:ind w:left="480"/>
        <w:rPr>
          <w:rFonts w:hint="eastAsia"/>
          <w:szCs w:val="21"/>
          <w:u w:val="single"/>
        </w:rPr>
      </w:pPr>
    </w:p>
    <w:p>
      <w:pPr>
        <w:spacing w:line="360" w:lineRule="auto"/>
        <w:ind w:left="480"/>
        <w:rPr>
          <w:rFonts w:hint="eastAsia"/>
          <w:szCs w:val="21"/>
          <w:u w:val="single"/>
        </w:rPr>
      </w:pPr>
    </w:p>
    <w:p>
      <w:pPr>
        <w:spacing w:line="360" w:lineRule="auto"/>
        <w:ind w:left="480"/>
        <w:rPr>
          <w:rFonts w:hint="eastAsia"/>
          <w:szCs w:val="21"/>
          <w:u w:val="single"/>
        </w:rPr>
      </w:pPr>
    </w:p>
    <w:p>
      <w:pPr>
        <w:spacing w:line="360" w:lineRule="auto"/>
        <w:ind w:left="480"/>
        <w:rPr>
          <w:rFonts w:hint="eastAsia"/>
          <w:szCs w:val="21"/>
          <w:u w:val="single"/>
        </w:rPr>
      </w:pPr>
    </w:p>
    <w:p>
      <w:pPr>
        <w:spacing w:line="360" w:lineRule="auto"/>
        <w:rPr>
          <w:rFonts w:hint="eastAsia"/>
          <w:b/>
          <w:sz w:val="24"/>
        </w:rPr>
      </w:pPr>
    </w:p>
    <w:p>
      <w:pPr>
        <w:spacing w:line="360" w:lineRule="auto"/>
        <w:rPr>
          <w:rFonts w:hint="eastAsia"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二、公司营业执照、资质证书、安全生产许可证、组织机构代码证、税务登记证及开户许可证</w:t>
      </w:r>
      <w:r>
        <w:rPr>
          <w:rFonts w:hint="eastAsia" w:ascii="方正小标宋简体" w:hAnsi="宋体" w:eastAsia="方正小标宋简体" w:cs="宋体"/>
          <w:b/>
          <w:bCs/>
          <w:kern w:val="0"/>
          <w:sz w:val="28"/>
          <w:szCs w:val="28"/>
          <w:lang w:eastAsia="zh-CN"/>
        </w:rPr>
        <w:t>、</w:t>
      </w:r>
      <w:r>
        <w:rPr>
          <w:rFonts w:hint="eastAsia" w:ascii="方正小标宋简体" w:hAnsi="宋体" w:eastAsia="方正小标宋简体" w:cs="宋体"/>
          <w:b/>
          <w:bCs/>
          <w:kern w:val="0"/>
          <w:sz w:val="28"/>
          <w:szCs w:val="28"/>
          <w:lang w:val="en-US" w:eastAsia="zh-CN"/>
        </w:rPr>
        <w:t>重庆高速公路集团有限公司环保工程业绩证明等</w:t>
      </w:r>
      <w:r>
        <w:rPr>
          <w:rFonts w:hint="eastAsia" w:ascii="方正小标宋简体" w:hAnsi="宋体" w:eastAsia="方正小标宋简体" w:cs="宋体"/>
          <w:b/>
          <w:bCs/>
          <w:kern w:val="0"/>
          <w:sz w:val="28"/>
          <w:szCs w:val="28"/>
        </w:rPr>
        <w:t>复印件</w: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b/>
          <w:sz w:val="24"/>
        </w:rPr>
        <w:sectPr>
          <w:headerReference r:id="rId3" w:type="default"/>
          <w:pgSz w:w="11906" w:h="16838"/>
          <w:pgMar w:top="1440" w:right="1800" w:bottom="1440" w:left="1800" w:header="851" w:footer="992" w:gutter="0"/>
          <w:cols w:space="720" w:num="1"/>
          <w:docGrid w:type="lines" w:linePitch="312" w:charSpace="0"/>
        </w:sectPr>
      </w:pPr>
    </w:p>
    <w:p>
      <w:pPr>
        <w:spacing w:line="360" w:lineRule="auto"/>
        <w:rPr>
          <w:rFonts w:hint="eastAsia"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lang w:eastAsia="zh-CN"/>
        </w:rPr>
        <w:t>三</w:t>
      </w:r>
      <w:r>
        <w:rPr>
          <w:rFonts w:hint="eastAsia" w:ascii="方正小标宋简体" w:hAnsi="宋体" w:eastAsia="方正小标宋简体" w:cs="宋体"/>
          <w:b/>
          <w:bCs/>
          <w:kern w:val="0"/>
          <w:sz w:val="28"/>
          <w:szCs w:val="28"/>
        </w:rPr>
        <w:t>、投标报价清单</w:t>
      </w:r>
    </w:p>
    <w:tbl>
      <w:tblPr>
        <w:tblStyle w:val="8"/>
        <w:tblW w:w="13100" w:type="dxa"/>
        <w:tblInd w:w="108" w:type="dxa"/>
        <w:tblLayout w:type="fixed"/>
        <w:tblCellMar>
          <w:top w:w="0" w:type="dxa"/>
          <w:left w:w="108" w:type="dxa"/>
          <w:bottom w:w="0" w:type="dxa"/>
          <w:right w:w="108" w:type="dxa"/>
        </w:tblCellMar>
      </w:tblPr>
      <w:tblGrid>
        <w:gridCol w:w="4320"/>
        <w:gridCol w:w="5240"/>
        <w:gridCol w:w="3540"/>
      </w:tblGrid>
      <w:tr>
        <w:tblPrEx>
          <w:tblCellMar>
            <w:top w:w="0" w:type="dxa"/>
            <w:left w:w="108" w:type="dxa"/>
            <w:bottom w:w="0" w:type="dxa"/>
            <w:right w:w="108" w:type="dxa"/>
          </w:tblCellMar>
        </w:tblPrEx>
        <w:trPr>
          <w:trHeight w:val="585" w:hRule="atLeast"/>
        </w:trPr>
        <w:tc>
          <w:tcPr>
            <w:tcW w:w="13100" w:type="dxa"/>
            <w:gridSpan w:val="3"/>
            <w:tcBorders>
              <w:top w:val="nil"/>
              <w:left w:val="nil"/>
              <w:bottom w:val="nil"/>
              <w:right w:val="nil"/>
            </w:tcBorders>
            <w:shd w:val="clear" w:color="FFFFFF" w:fill="FFFFFF"/>
            <w:vAlign w:val="center"/>
          </w:tcPr>
          <w:p>
            <w:pPr>
              <w:widowControl/>
              <w:jc w:val="center"/>
              <w:rPr>
                <w:rFonts w:hint="eastAsia" w:ascii="宋体" w:hAnsi="宋体" w:eastAsia="宋体" w:cs="宋体"/>
                <w:b/>
                <w:bCs/>
                <w:color w:val="000000"/>
                <w:kern w:val="0"/>
                <w:sz w:val="40"/>
                <w:szCs w:val="40"/>
                <w:lang w:eastAsia="zh-CN"/>
              </w:rPr>
            </w:pPr>
            <w:r>
              <w:rPr>
                <w:rFonts w:hint="eastAsia" w:ascii="宋体" w:hAnsi="宋体" w:cs="宋体"/>
                <w:b/>
                <w:bCs/>
                <w:color w:val="000000"/>
                <w:kern w:val="0"/>
                <w:sz w:val="40"/>
                <w:szCs w:val="40"/>
                <w:lang w:val="en-US" w:eastAsia="zh-CN"/>
              </w:rPr>
              <w:t>东北公司服务区污水处理设备日常维护报价清单</w:t>
            </w:r>
          </w:p>
        </w:tc>
      </w:tr>
      <w:tr>
        <w:tblPrEx>
          <w:tblCellMar>
            <w:top w:w="0" w:type="dxa"/>
            <w:left w:w="108" w:type="dxa"/>
            <w:bottom w:w="0" w:type="dxa"/>
            <w:right w:w="108" w:type="dxa"/>
          </w:tblCellMar>
        </w:tblPrEx>
        <w:trPr>
          <w:trHeight w:val="300" w:hRule="atLeast"/>
        </w:trPr>
        <w:tc>
          <w:tcPr>
            <w:tcW w:w="4320" w:type="dxa"/>
            <w:tcBorders>
              <w:top w:val="nil"/>
              <w:left w:val="nil"/>
              <w:bottom w:val="nil"/>
              <w:right w:val="nil"/>
            </w:tcBorders>
            <w:shd w:val="clear" w:color="FFFFFF" w:fill="FFFFFF"/>
            <w:vAlign w:val="center"/>
          </w:tcPr>
          <w:p>
            <w:pPr>
              <w:widowControl/>
              <w:jc w:val="left"/>
              <w:rPr>
                <w:rFonts w:hint="eastAsia" w:ascii="宋体" w:hAnsi="宋体" w:cs="宋体"/>
                <w:color w:val="000000"/>
                <w:kern w:val="0"/>
                <w:sz w:val="18"/>
                <w:szCs w:val="18"/>
              </w:rPr>
            </w:pPr>
          </w:p>
        </w:tc>
        <w:tc>
          <w:tcPr>
            <w:tcW w:w="5240" w:type="dxa"/>
            <w:tcBorders>
              <w:top w:val="nil"/>
              <w:left w:val="nil"/>
              <w:bottom w:val="nil"/>
              <w:right w:val="nil"/>
            </w:tcBorders>
            <w:shd w:val="clear" w:color="FFFFFF"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540" w:type="dxa"/>
            <w:tcBorders>
              <w:top w:val="nil"/>
              <w:left w:val="nil"/>
              <w:bottom w:val="nil"/>
              <w:right w:val="nil"/>
            </w:tcBorders>
            <w:shd w:val="clear" w:color="FFFFFF" w:fill="FFFFFF"/>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bl>
    <w:tbl>
      <w:tblPr>
        <w:tblStyle w:val="9"/>
        <w:tblW w:w="13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1412"/>
        <w:gridCol w:w="1569"/>
        <w:gridCol w:w="2421"/>
        <w:gridCol w:w="237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1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维保项目</w:t>
            </w:r>
          </w:p>
        </w:tc>
        <w:tc>
          <w:tcPr>
            <w:tcW w:w="1412"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单位</w:t>
            </w:r>
          </w:p>
        </w:tc>
        <w:tc>
          <w:tcPr>
            <w:tcW w:w="1569"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数量</w:t>
            </w:r>
          </w:p>
        </w:tc>
        <w:tc>
          <w:tcPr>
            <w:tcW w:w="2421"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单价（元）</w:t>
            </w:r>
          </w:p>
        </w:tc>
        <w:tc>
          <w:tcPr>
            <w:tcW w:w="237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总价（元）</w:t>
            </w:r>
          </w:p>
        </w:tc>
        <w:tc>
          <w:tcPr>
            <w:tcW w:w="284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81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维保专业人员人工费</w:t>
            </w:r>
          </w:p>
        </w:tc>
        <w:tc>
          <w:tcPr>
            <w:tcW w:w="1412"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月</w:t>
            </w:r>
          </w:p>
        </w:tc>
        <w:tc>
          <w:tcPr>
            <w:tcW w:w="1569"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8</w:t>
            </w:r>
          </w:p>
        </w:tc>
        <w:tc>
          <w:tcPr>
            <w:tcW w:w="2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37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84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iCs w:val="0"/>
                <w:color w:val="000000"/>
                <w:kern w:val="0"/>
                <w:sz w:val="20"/>
                <w:szCs w:val="20"/>
                <w:u w:val="none"/>
                <w:lang w:val="en-US" w:eastAsia="zh-CN" w:bidi="ar"/>
              </w:rPr>
              <w:t>总价为8套设备全年（万州服务区6个月，其余3对服务区12个月，每月2次）计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81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维保车辆使用费</w:t>
            </w:r>
          </w:p>
        </w:tc>
        <w:tc>
          <w:tcPr>
            <w:tcW w:w="1412"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月</w:t>
            </w:r>
          </w:p>
        </w:tc>
        <w:tc>
          <w:tcPr>
            <w:tcW w:w="1569"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2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37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84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iCs w:val="0"/>
                <w:color w:val="000000"/>
                <w:kern w:val="0"/>
                <w:sz w:val="20"/>
                <w:szCs w:val="20"/>
                <w:u w:val="none"/>
                <w:lang w:val="en-US" w:eastAsia="zh-CN" w:bidi="ar"/>
              </w:rPr>
              <w:t>总价为8套设备全年，每月2次计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16"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风机润滑油（1L）</w:t>
            </w:r>
          </w:p>
        </w:tc>
        <w:tc>
          <w:tcPr>
            <w:tcW w:w="1412"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桶</w:t>
            </w:r>
          </w:p>
        </w:tc>
        <w:tc>
          <w:tcPr>
            <w:tcW w:w="1569"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cs="宋体"/>
                <w:i w:val="0"/>
                <w:color w:val="000000"/>
                <w:kern w:val="0"/>
                <w:sz w:val="22"/>
                <w:szCs w:val="22"/>
                <w:u w:val="none"/>
                <w:lang w:val="en-US" w:eastAsia="zh-CN" w:bidi="ar"/>
              </w:rPr>
              <w:t>42</w:t>
            </w:r>
          </w:p>
        </w:tc>
        <w:tc>
          <w:tcPr>
            <w:tcW w:w="2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37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846" w:type="dxa"/>
            <w:vAlign w:val="center"/>
          </w:tcPr>
          <w:p>
            <w:pPr>
              <w:jc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iCs w:val="0"/>
                <w:color w:val="000000"/>
                <w:kern w:val="0"/>
                <w:sz w:val="20"/>
                <w:szCs w:val="20"/>
                <w:u w:val="none"/>
                <w:lang w:val="en-US" w:eastAsia="zh-CN" w:bidi="ar"/>
              </w:rPr>
              <w:t>万州服务区6桶，其余3对服务区36桶。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1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MBR膜清洗</w:t>
            </w:r>
          </w:p>
        </w:tc>
        <w:tc>
          <w:tcPr>
            <w:tcW w:w="1412"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次</w:t>
            </w:r>
          </w:p>
        </w:tc>
        <w:tc>
          <w:tcPr>
            <w:tcW w:w="1569"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w:t>
            </w:r>
          </w:p>
        </w:tc>
        <w:tc>
          <w:tcPr>
            <w:tcW w:w="2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37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84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iCs w:val="0"/>
                <w:color w:val="000000"/>
                <w:kern w:val="0"/>
                <w:sz w:val="20"/>
                <w:szCs w:val="20"/>
                <w:u w:val="none"/>
                <w:lang w:val="en-US" w:eastAsia="zh-CN" w:bidi="ar"/>
              </w:rPr>
              <w:t>总价为8套设</w:t>
            </w:r>
            <w:r>
              <w:rPr>
                <w:rFonts w:hint="eastAsia" w:ascii="宋体" w:hAnsi="宋体" w:eastAsia="宋体" w:cs="宋体"/>
                <w:i w:val="0"/>
                <w:iCs w:val="0"/>
                <w:color w:val="000000"/>
                <w:kern w:val="0"/>
                <w:sz w:val="20"/>
                <w:szCs w:val="20"/>
                <w:highlight w:val="none"/>
                <w:u w:val="none"/>
                <w:lang w:val="en-US" w:eastAsia="zh-CN" w:bidi="ar"/>
              </w:rPr>
              <w:t>备全年（万州服务区2套设备，半年清洗1次，其余3对服务区6套设备。每套设备每年清洗2次，共计14次。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1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管理费</w:t>
            </w:r>
          </w:p>
        </w:tc>
        <w:tc>
          <w:tcPr>
            <w:tcW w:w="1412"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月</w:t>
            </w:r>
          </w:p>
        </w:tc>
        <w:tc>
          <w:tcPr>
            <w:tcW w:w="1569"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8</w:t>
            </w:r>
          </w:p>
        </w:tc>
        <w:tc>
          <w:tcPr>
            <w:tcW w:w="2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37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846" w:type="dxa"/>
            <w:vAlign w:val="center"/>
          </w:tcPr>
          <w:p>
            <w:pPr>
              <w:jc w:val="center"/>
              <w:rPr>
                <w:rFonts w:hint="eastAsia" w:ascii="宋体" w:hAnsi="宋体" w:eastAsia="宋体" w:cs="宋体"/>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1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检测费</w:t>
            </w:r>
          </w:p>
        </w:tc>
        <w:tc>
          <w:tcPr>
            <w:tcW w:w="1412"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0"/>
                <w:szCs w:val="20"/>
                <w:u w:val="none"/>
                <w:lang w:val="en-US" w:eastAsia="zh-CN" w:bidi="ar"/>
              </w:rPr>
              <w:t>次</w:t>
            </w:r>
          </w:p>
        </w:tc>
        <w:tc>
          <w:tcPr>
            <w:tcW w:w="1569"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w:t>
            </w:r>
          </w:p>
        </w:tc>
        <w:tc>
          <w:tcPr>
            <w:tcW w:w="2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37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84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i w:val="0"/>
                <w:iCs w:val="0"/>
                <w:color w:val="000000"/>
                <w:kern w:val="0"/>
                <w:sz w:val="20"/>
                <w:szCs w:val="20"/>
                <w:u w:val="none"/>
                <w:lang w:val="en-US" w:eastAsia="zh-CN" w:bidi="ar"/>
              </w:rPr>
              <w:t>8套设备，万州服务区单套每6个月1次，共2次；其余3对服务区单套每年2次，共12次。总计14次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16"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i w:val="0"/>
                <w:color w:val="000000"/>
                <w:kern w:val="0"/>
                <w:sz w:val="20"/>
                <w:szCs w:val="20"/>
                <w:u w:val="none"/>
                <w:lang w:val="en-US" w:eastAsia="zh-CN" w:bidi="ar"/>
              </w:rPr>
              <w:t>全年维护费合计</w:t>
            </w:r>
          </w:p>
        </w:tc>
        <w:tc>
          <w:tcPr>
            <w:tcW w:w="1412"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i w:val="0"/>
                <w:color w:val="000000"/>
                <w:kern w:val="0"/>
                <w:sz w:val="20"/>
                <w:szCs w:val="20"/>
                <w:u w:val="none"/>
                <w:lang w:val="en-US" w:eastAsia="zh-CN" w:bidi="ar"/>
              </w:rPr>
              <w:t>月</w:t>
            </w:r>
          </w:p>
        </w:tc>
        <w:tc>
          <w:tcPr>
            <w:tcW w:w="1569" w:type="dxa"/>
            <w:vAlign w:val="center"/>
          </w:tcPr>
          <w:p>
            <w:pPr>
              <w:keepNext w:val="0"/>
              <w:keepLines w:val="0"/>
              <w:widowControl/>
              <w:suppressLineNumbers w:val="0"/>
              <w:jc w:val="center"/>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i w:val="0"/>
                <w:color w:val="000000"/>
                <w:kern w:val="0"/>
                <w:sz w:val="22"/>
                <w:szCs w:val="22"/>
                <w:u w:val="none"/>
                <w:lang w:val="en-US" w:eastAsia="zh-CN" w:bidi="ar"/>
              </w:rPr>
              <w:t>12</w:t>
            </w:r>
          </w:p>
        </w:tc>
        <w:tc>
          <w:tcPr>
            <w:tcW w:w="2421" w:type="dxa"/>
            <w:vAlign w:val="center"/>
          </w:tcPr>
          <w:p>
            <w:pPr>
              <w:jc w:val="center"/>
              <w:rPr>
                <w:rFonts w:hint="default" w:ascii="宋体" w:hAnsi="宋体" w:eastAsia="宋体" w:cs="宋体"/>
                <w:b w:val="0"/>
                <w:bCs w:val="0"/>
                <w:color w:val="auto"/>
                <w:sz w:val="30"/>
                <w:szCs w:val="30"/>
                <w:vertAlign w:val="baseline"/>
                <w:lang w:val="en-US" w:eastAsia="zh-CN"/>
              </w:rPr>
            </w:pPr>
          </w:p>
        </w:tc>
        <w:tc>
          <w:tcPr>
            <w:tcW w:w="237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30"/>
                <w:szCs w:val="30"/>
                <w:vertAlign w:val="baseline"/>
                <w:lang w:val="en-US" w:eastAsia="zh-CN"/>
              </w:rPr>
            </w:pPr>
          </w:p>
        </w:tc>
        <w:tc>
          <w:tcPr>
            <w:tcW w:w="2846" w:type="dxa"/>
            <w:vAlign w:val="center"/>
          </w:tcPr>
          <w:p>
            <w:pPr>
              <w:keepNext w:val="0"/>
              <w:keepLines w:val="0"/>
              <w:widowControl/>
              <w:suppressLineNumbers w:val="0"/>
              <w:jc w:val="center"/>
              <w:textAlignment w:val="center"/>
              <w:rPr>
                <w:rFonts w:hint="eastAsia" w:ascii="宋体" w:hAnsi="宋体" w:eastAsia="宋体" w:cs="宋体"/>
                <w:b w:val="0"/>
                <w:bCs w:val="0"/>
                <w:sz w:val="30"/>
                <w:szCs w:val="30"/>
                <w:vertAlign w:val="baseline"/>
                <w:lang w:val="en-US" w:eastAsia="zh-CN"/>
              </w:rPr>
            </w:pPr>
            <w:r>
              <w:rPr>
                <w:rFonts w:hint="eastAsia" w:ascii="宋体" w:hAnsi="宋体" w:cs="宋体"/>
                <w:b/>
                <w:i w:val="0"/>
                <w:color w:val="000000"/>
                <w:kern w:val="0"/>
                <w:sz w:val="20"/>
                <w:szCs w:val="20"/>
                <w:u w:val="none"/>
                <w:lang w:val="en-US" w:eastAsia="zh-CN" w:bidi="ar"/>
              </w:rPr>
              <w:t>4</w:t>
            </w:r>
            <w:r>
              <w:rPr>
                <w:rFonts w:hint="eastAsia" w:ascii="宋体" w:hAnsi="宋体" w:eastAsia="宋体" w:cs="宋体"/>
                <w:b/>
                <w:i w:val="0"/>
                <w:color w:val="000000"/>
                <w:kern w:val="0"/>
                <w:sz w:val="20"/>
                <w:szCs w:val="20"/>
                <w:u w:val="none"/>
                <w:lang w:val="en-US" w:eastAsia="zh-CN" w:bidi="ar"/>
              </w:rPr>
              <w:t>对服务区</w:t>
            </w:r>
            <w:r>
              <w:rPr>
                <w:rFonts w:hint="eastAsia" w:ascii="宋体" w:hAnsi="宋体" w:cs="宋体"/>
                <w:b/>
                <w:i w:val="0"/>
                <w:color w:val="000000"/>
                <w:kern w:val="0"/>
                <w:sz w:val="20"/>
                <w:szCs w:val="20"/>
                <w:u w:val="none"/>
                <w:lang w:val="en-US" w:eastAsia="zh-CN" w:bidi="ar"/>
              </w:rPr>
              <w:t>8</w:t>
            </w:r>
            <w:r>
              <w:rPr>
                <w:rFonts w:hint="eastAsia" w:ascii="宋体" w:hAnsi="宋体" w:eastAsia="宋体" w:cs="宋体"/>
                <w:b/>
                <w:i w:val="0"/>
                <w:color w:val="000000"/>
                <w:kern w:val="0"/>
                <w:sz w:val="20"/>
                <w:szCs w:val="20"/>
                <w:u w:val="none"/>
                <w:lang w:val="en-US" w:eastAsia="zh-CN" w:bidi="ar"/>
              </w:rPr>
              <w:t>个单侧</w:t>
            </w:r>
          </w:p>
        </w:tc>
      </w:tr>
    </w:tbl>
    <w:p>
      <w:pPr>
        <w:rPr>
          <w:rFonts w:hint="eastAsia"/>
        </w:rPr>
      </w:pPr>
    </w:p>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姚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singleLevel"/>
    <w:tmpl w:val="00000003"/>
    <w:lvl w:ilvl="0" w:tentative="0">
      <w:start w:val="4"/>
      <w:numFmt w:val="chineseCounting"/>
      <w:suff w:val="nothing"/>
      <w:lvlText w:val="%1、"/>
      <w:lvlJc w:val="left"/>
    </w:lvl>
  </w:abstractNum>
  <w:abstractNum w:abstractNumId="2">
    <w:nsid w:val="00000004"/>
    <w:multiLevelType w:val="singleLevel"/>
    <w:tmpl w:val="00000004"/>
    <w:lvl w:ilvl="0" w:tentative="0">
      <w:start w:val="5"/>
      <w:numFmt w:val="chineseCounting"/>
      <w:suff w:val="nothing"/>
      <w:lvlText w:val="%1、"/>
      <w:lvlJc w:val="left"/>
    </w:lvl>
  </w:abstractNum>
  <w:abstractNum w:abstractNumId="3">
    <w:nsid w:val="0BE5B2FB"/>
    <w:multiLevelType w:val="singleLevel"/>
    <w:tmpl w:val="0BE5B2FB"/>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TE1YzA2YWUzYWZhZTM5MDVlY2ZjZTczNzlhMjYifQ=="/>
  </w:docVars>
  <w:rsids>
    <w:rsidRoot w:val="070F7B03"/>
    <w:rsid w:val="070F7B03"/>
    <w:rsid w:val="0C915B5C"/>
    <w:rsid w:val="0CC2495B"/>
    <w:rsid w:val="0ECB7FA5"/>
    <w:rsid w:val="0FFB311B"/>
    <w:rsid w:val="103F4781"/>
    <w:rsid w:val="104D12B7"/>
    <w:rsid w:val="159C7909"/>
    <w:rsid w:val="17026939"/>
    <w:rsid w:val="1BF22C47"/>
    <w:rsid w:val="1D26257A"/>
    <w:rsid w:val="1E020F2C"/>
    <w:rsid w:val="1F350BC6"/>
    <w:rsid w:val="208B36EE"/>
    <w:rsid w:val="262065EF"/>
    <w:rsid w:val="28CD43B7"/>
    <w:rsid w:val="29F319B0"/>
    <w:rsid w:val="2D984D48"/>
    <w:rsid w:val="2F12338A"/>
    <w:rsid w:val="30677DCA"/>
    <w:rsid w:val="30F10D02"/>
    <w:rsid w:val="39B03E9B"/>
    <w:rsid w:val="39EF0CA0"/>
    <w:rsid w:val="43210EE4"/>
    <w:rsid w:val="4361643E"/>
    <w:rsid w:val="47F73D83"/>
    <w:rsid w:val="49496C46"/>
    <w:rsid w:val="4B7830DF"/>
    <w:rsid w:val="4B993804"/>
    <w:rsid w:val="57B22162"/>
    <w:rsid w:val="58EB6783"/>
    <w:rsid w:val="5EA86B16"/>
    <w:rsid w:val="64CA7671"/>
    <w:rsid w:val="64E2086B"/>
    <w:rsid w:val="65530F79"/>
    <w:rsid w:val="69EB50E2"/>
    <w:rsid w:val="6E8E6B7E"/>
    <w:rsid w:val="70F52D39"/>
    <w:rsid w:val="72D67607"/>
    <w:rsid w:val="7686417E"/>
    <w:rsid w:val="79D72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Times New Roman"/>
      <w:szCs w:val="21"/>
    </w:rPr>
  </w:style>
  <w:style w:type="paragraph" w:styleId="5">
    <w:name w:val="Date"/>
    <w:basedOn w:val="1"/>
    <w:next w:val="1"/>
    <w:qFormat/>
    <w:uiPriority w:val="0"/>
    <w:pPr>
      <w:ind w:left="100" w:leftChars="25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5068</Words>
  <Characters>5234</Characters>
  <Lines>0</Lines>
  <Paragraphs>0</Paragraphs>
  <TotalTime>34</TotalTime>
  <ScaleCrop>false</ScaleCrop>
  <LinksUpToDate>false</LinksUpToDate>
  <CharactersWithSpaces>6045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2022-08-29T07:43:00Z</dcterms:created>
  <dc:creator>欢欢</dc:creator>
  <cp:lastModifiedBy>L®</cp:lastModifiedBy>
  <dcterms:modified xsi:type="dcterms:W3CDTF">2022-09-15T08:51:13Z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2A38252C6EE94A2481357DE2ECC40356</vt:lpwstr>
  </property>
</Properties>
</file>