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cs="宋体"/>
          <w:b/>
          <w:bCs/>
          <w:color w:val="auto"/>
          <w:kern w:val="2"/>
          <w:sz w:val="28"/>
          <w:szCs w:val="28"/>
          <w:highlight w:val="none"/>
          <w:lang w:eastAsia="zh-CN"/>
        </w:rPr>
      </w:pPr>
      <w:r>
        <w:rPr>
          <w:rFonts w:hint="eastAsia" w:ascii="宋体" w:hAnsi="Times New Roman" w:cs="宋体"/>
          <w:b/>
          <w:bCs/>
          <w:color w:val="auto"/>
          <w:kern w:val="2"/>
          <w:sz w:val="28"/>
          <w:szCs w:val="28"/>
          <w:highlight w:val="none"/>
          <w:lang w:eastAsia="zh-CN"/>
        </w:rPr>
        <w:t>渝湘高速公路复线（巴南至彭水段、彭水至酉阳段、武隆至道真（重庆段））高速公路项目交工验收工程质量检测</w:t>
      </w:r>
      <w:r>
        <w:rPr>
          <w:rFonts w:hint="eastAsia" w:ascii="宋体" w:hAnsi="Times New Roman" w:cs="宋体"/>
          <w:b/>
          <w:bCs/>
          <w:color w:val="auto"/>
          <w:kern w:val="2"/>
          <w:sz w:val="28"/>
          <w:szCs w:val="28"/>
          <w:highlight w:val="none"/>
          <w:lang w:val="en-US" w:eastAsia="zh-CN"/>
        </w:rPr>
        <w:t>WD</w:t>
      </w:r>
      <w:r>
        <w:rPr>
          <w:rFonts w:hint="eastAsia" w:ascii="宋体" w:hAnsi="Times New Roman" w:cs="宋体"/>
          <w:b/>
          <w:bCs/>
          <w:color w:val="auto"/>
          <w:kern w:val="2"/>
          <w:sz w:val="28"/>
          <w:szCs w:val="28"/>
          <w:highlight w:val="none"/>
          <w:lang w:eastAsia="zh-CN"/>
        </w:rPr>
        <w:t>JG合同段</w:t>
      </w:r>
    </w:p>
    <w:p>
      <w:pPr>
        <w:jc w:val="center"/>
        <w:rPr>
          <w:rFonts w:hint="eastAsia" w:ascii="宋体" w:hAnsi="Times New Roman" w:cs="宋体"/>
          <w:b/>
          <w:bCs/>
          <w:color w:val="auto"/>
          <w:kern w:val="2"/>
          <w:sz w:val="28"/>
          <w:szCs w:val="28"/>
          <w:highlight w:val="none"/>
          <w:lang w:eastAsia="zh-CN"/>
        </w:rPr>
      </w:pPr>
      <w:r>
        <w:rPr>
          <w:rFonts w:hint="eastAsia" w:ascii="宋体" w:hAnsi="Times New Roman" w:cs="宋体"/>
          <w:b/>
          <w:bCs/>
          <w:color w:val="auto"/>
          <w:kern w:val="2"/>
          <w:sz w:val="28"/>
          <w:szCs w:val="28"/>
          <w:highlight w:val="none"/>
          <w:lang w:eastAsia="zh-CN"/>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10</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20 </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10</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24 </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09"/>
        <w:gridCol w:w="1409"/>
        <w:gridCol w:w="441"/>
        <w:gridCol w:w="330"/>
        <w:gridCol w:w="744"/>
        <w:gridCol w:w="989"/>
        <w:gridCol w:w="700"/>
        <w:gridCol w:w="104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渝湘高速公路复线（巴南至彭水段、彭水至酉阳段、武隆至道真（重庆段））高速公路项目交工验收工程质量检测</w:t>
            </w:r>
            <w:r>
              <w:rPr>
                <w:rFonts w:hint="eastAsia" w:ascii="宋体" w:hAnsi="宋体" w:eastAsia="宋体" w:cs="宋体"/>
                <w:color w:val="000000"/>
                <w:kern w:val="0"/>
                <w:sz w:val="20"/>
                <w:szCs w:val="20"/>
                <w:lang w:val="en-US" w:eastAsia="zh-CN"/>
              </w:rPr>
              <w:t>WD</w:t>
            </w:r>
            <w:r>
              <w:rPr>
                <w:rFonts w:hint="eastAsia" w:ascii="宋体" w:hAnsi="宋体" w:eastAsia="宋体" w:cs="宋体"/>
                <w:color w:val="000000"/>
                <w:kern w:val="0"/>
                <w:sz w:val="20"/>
                <w:szCs w:val="20"/>
                <w:lang w:eastAsia="zh-CN"/>
              </w:rPr>
              <w:t>JG合同段</w:t>
            </w:r>
            <w:r>
              <w:rPr>
                <w:rFonts w:hint="eastAsia" w:ascii="宋体" w:hAnsi="宋体" w:eastAsia="宋体" w:cs="宋体"/>
                <w:color w:val="000000"/>
                <w:kern w:val="0"/>
                <w:sz w:val="20"/>
                <w:szCs w:val="20"/>
              </w:rPr>
              <w:t>　</w:t>
            </w:r>
          </w:p>
        </w:tc>
        <w:tc>
          <w:tcPr>
            <w:tcW w:w="1689"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3117" w:type="dxa"/>
            <w:gridSpan w:val="2"/>
            <w:vMerge w:val="restart"/>
            <w:shd w:val="clear" w:color="auto" w:fill="auto"/>
            <w:vAlign w:val="center"/>
          </w:tcPr>
          <w:p>
            <w:pPr>
              <w:widowControl/>
              <w:ind w:firstLine="200" w:firstLineChars="100"/>
              <w:jc w:val="both"/>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val="en-US" w:eastAsia="zh-CN"/>
              </w:rPr>
              <w:t>6849593.00元</w:t>
            </w:r>
            <w:r>
              <w:rPr>
                <w:rFonts w:ascii="Calibri" w:hAnsi="Calibri" w:eastAsia="宋体" w:cs="Calibri"/>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FG2200160676A</w:t>
            </w:r>
          </w:p>
        </w:tc>
        <w:tc>
          <w:tcPr>
            <w:tcW w:w="168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117"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68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117"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13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Times New Roman" w:hAnsi="Times New Roman" w:eastAsia="宋体" w:cs="Times New Roman"/>
                <w:color w:val="auto"/>
                <w:szCs w:val="21"/>
                <w:highlight w:val="none"/>
                <w:lang w:val="en-US" w:eastAsia="zh-CN" w:bidi="ar-SA"/>
              </w:rPr>
              <w:t>重庆渝湘复线高速公路有限公司</w:t>
            </w:r>
            <w:r>
              <w:rPr>
                <w:rFonts w:ascii="Calibri" w:hAnsi="Calibri" w:eastAsia="宋体" w:cs="Calibri"/>
                <w:color w:val="000000"/>
                <w:kern w:val="0"/>
                <w:sz w:val="20"/>
                <w:szCs w:val="20"/>
              </w:rPr>
              <w:t>　</w:t>
            </w:r>
          </w:p>
        </w:tc>
        <w:tc>
          <w:tcPr>
            <w:tcW w:w="168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3117" w:type="dxa"/>
            <w:gridSpan w:val="2"/>
            <w:shd w:val="clear" w:color="auto" w:fill="auto"/>
            <w:vAlign w:val="center"/>
          </w:tcPr>
          <w:p>
            <w:pPr>
              <w:widowControl/>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r>
              <w:rPr>
                <w:rFonts w:hint="eastAsia" w:asciiTheme="majorEastAsia" w:hAnsiTheme="majorEastAsia" w:eastAsiaTheme="majorEastAsia" w:cstheme="majorEastAsia"/>
                <w:color w:val="auto"/>
                <w:szCs w:val="21"/>
                <w:highlight w:val="none"/>
                <w:lang w:val="en-US" w:eastAsia="zh-CN" w:bidi="ar-SA"/>
              </w:rPr>
              <w:t>023-89136372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13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Times New Roman" w:hAnsi="Times New Roman" w:eastAsia="宋体" w:cs="Times New Roman"/>
                <w:color w:val="auto"/>
                <w:szCs w:val="21"/>
                <w:highlight w:val="none"/>
                <w:lang w:val="en-US" w:eastAsia="zh-CN" w:bidi="ar-SA"/>
              </w:rPr>
              <w:t>重庆国际投资咨询集团有限公司</w:t>
            </w:r>
            <w:r>
              <w:rPr>
                <w:rFonts w:ascii="Calibri" w:hAnsi="Calibri" w:eastAsia="宋体" w:cs="Calibri"/>
                <w:color w:val="000000"/>
                <w:kern w:val="0"/>
                <w:sz w:val="20"/>
                <w:szCs w:val="20"/>
              </w:rPr>
              <w:t>　</w:t>
            </w:r>
          </w:p>
        </w:tc>
        <w:tc>
          <w:tcPr>
            <w:tcW w:w="168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3117" w:type="dxa"/>
            <w:gridSpan w:val="2"/>
            <w:shd w:val="clear" w:color="auto" w:fill="auto"/>
            <w:vAlign w:val="center"/>
          </w:tcPr>
          <w:p>
            <w:pPr>
              <w:widowControl/>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r>
              <w:rPr>
                <w:rFonts w:hint="eastAsia" w:asciiTheme="majorEastAsia" w:hAnsiTheme="majorEastAsia" w:eastAsiaTheme="majorEastAsia" w:cstheme="majorEastAsia"/>
                <w:color w:val="auto"/>
                <w:szCs w:val="21"/>
                <w:highlight w:val="none"/>
                <w:lang w:val="en-US" w:eastAsia="zh-CN" w:bidi="ar-SA"/>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1"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得分</w:t>
            </w:r>
            <w:r>
              <w:rPr>
                <w:rFonts w:hint="eastAsia" w:ascii="宋体" w:hAnsi="宋体" w:eastAsia="宋体" w:cs="宋体"/>
                <w:color w:val="000000"/>
                <w:kern w:val="0"/>
                <w:sz w:val="22"/>
              </w:rPr>
              <w:t>排序</w:t>
            </w:r>
          </w:p>
        </w:tc>
        <w:tc>
          <w:tcPr>
            <w:tcW w:w="1209"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09"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771"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服务周期</w:t>
            </w:r>
          </w:p>
        </w:tc>
        <w:tc>
          <w:tcPr>
            <w:tcW w:w="744" w:type="dxa"/>
            <w:vMerge w:val="restart"/>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val="en-US" w:eastAsia="zh-CN"/>
              </w:rPr>
              <w:t>要求</w:t>
            </w:r>
          </w:p>
        </w:tc>
        <w:tc>
          <w:tcPr>
            <w:tcW w:w="4806"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1" w:type="dxa"/>
            <w:vMerge w:val="continue"/>
            <w:vAlign w:val="center"/>
          </w:tcPr>
          <w:p>
            <w:pPr>
              <w:widowControl/>
              <w:jc w:val="left"/>
              <w:rPr>
                <w:rFonts w:ascii="宋体" w:hAnsi="宋体" w:eastAsia="宋体" w:cs="宋体"/>
                <w:color w:val="000000"/>
                <w:kern w:val="0"/>
                <w:sz w:val="22"/>
              </w:rPr>
            </w:pPr>
          </w:p>
        </w:tc>
        <w:tc>
          <w:tcPr>
            <w:tcW w:w="1209" w:type="dxa"/>
            <w:vMerge w:val="continue"/>
            <w:vAlign w:val="center"/>
          </w:tcPr>
          <w:p>
            <w:pPr>
              <w:widowControl/>
              <w:jc w:val="left"/>
              <w:rPr>
                <w:rFonts w:ascii="宋体" w:hAnsi="宋体" w:eastAsia="宋体" w:cs="宋体"/>
                <w:color w:val="000000"/>
                <w:kern w:val="0"/>
                <w:sz w:val="22"/>
              </w:rPr>
            </w:pPr>
          </w:p>
        </w:tc>
        <w:tc>
          <w:tcPr>
            <w:tcW w:w="1409" w:type="dxa"/>
            <w:vMerge w:val="continue"/>
            <w:vAlign w:val="center"/>
          </w:tcPr>
          <w:p>
            <w:pPr>
              <w:widowControl/>
              <w:jc w:val="left"/>
              <w:rPr>
                <w:rFonts w:ascii="宋体" w:hAnsi="宋体" w:eastAsia="宋体" w:cs="宋体"/>
                <w:color w:val="000000"/>
                <w:kern w:val="0"/>
                <w:sz w:val="22"/>
              </w:rPr>
            </w:pPr>
          </w:p>
        </w:tc>
        <w:tc>
          <w:tcPr>
            <w:tcW w:w="771" w:type="dxa"/>
            <w:gridSpan w:val="2"/>
            <w:vMerge w:val="continue"/>
            <w:vAlign w:val="center"/>
          </w:tcPr>
          <w:p>
            <w:pPr>
              <w:widowControl/>
              <w:jc w:val="left"/>
              <w:rPr>
                <w:rFonts w:ascii="宋体" w:hAnsi="宋体" w:eastAsia="宋体" w:cs="宋体"/>
                <w:color w:val="000000"/>
                <w:kern w:val="0"/>
                <w:sz w:val="22"/>
              </w:rPr>
            </w:pPr>
          </w:p>
        </w:tc>
        <w:tc>
          <w:tcPr>
            <w:tcW w:w="744" w:type="dxa"/>
            <w:vMerge w:val="continue"/>
            <w:vAlign w:val="center"/>
          </w:tcPr>
          <w:p>
            <w:pPr>
              <w:widowControl/>
              <w:jc w:val="left"/>
              <w:rPr>
                <w:rFonts w:ascii="宋体" w:hAnsi="宋体" w:eastAsia="宋体" w:cs="宋体"/>
                <w:color w:val="000000"/>
                <w:kern w:val="0"/>
                <w:sz w:val="22"/>
              </w:rPr>
            </w:pPr>
          </w:p>
        </w:tc>
        <w:tc>
          <w:tcPr>
            <w:tcW w:w="989"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742"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2075" w:type="dxa"/>
            <w:shd w:val="clear" w:color="auto" w:fill="auto"/>
            <w:vAlign w:val="center"/>
          </w:tcPr>
          <w:p>
            <w:pPr>
              <w:widowControl/>
              <w:jc w:val="center"/>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证书编号</w:t>
            </w:r>
            <w:r>
              <w:rPr>
                <w:rFonts w:hint="eastAsia" w:ascii="Calibri" w:hAnsi="Calibri" w:eastAsia="宋体" w:cs="Calibri"/>
                <w:color w:val="000000"/>
                <w:kern w:val="0"/>
                <w:sz w:val="22"/>
                <w:lang w:val="en-US" w:eastAsia="zh-CN"/>
              </w:rPr>
              <w:t>/管理号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苏交科集团检测认证有限公司</w:t>
            </w:r>
          </w:p>
        </w:tc>
        <w:tc>
          <w:tcPr>
            <w:tcW w:w="140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5959317.60</w:t>
            </w:r>
          </w:p>
        </w:tc>
        <w:tc>
          <w:tcPr>
            <w:tcW w:w="771" w:type="dxa"/>
            <w:gridSpan w:val="2"/>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朱晓文</w:t>
            </w:r>
          </w:p>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rPr>
              <w:t xml:space="preserve"> </w:t>
            </w:r>
          </w:p>
        </w:tc>
        <w:tc>
          <w:tcPr>
            <w:tcW w:w="1742" w:type="dxa"/>
            <w:gridSpan w:val="2"/>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color w:val="auto"/>
                <w:highlight w:val="none"/>
                <w:lang w:eastAsia="zh-CN"/>
              </w:rPr>
              <w:t>公路工程试验检测工程师。</w:t>
            </w:r>
          </w:p>
        </w:tc>
        <w:tc>
          <w:tcPr>
            <w:tcW w:w="2075" w:type="dxa"/>
            <w:shd w:val="clear" w:color="auto" w:fill="auto"/>
            <w:vAlign w:val="center"/>
          </w:tcPr>
          <w:p>
            <w:pPr>
              <w:widowControl/>
              <w:jc w:val="left"/>
              <w:rPr>
                <w:rFonts w:hint="default" w:ascii="Times New Roman" w:hAnsi="Times New Roman" w:eastAsia="宋体" w:cs="Times New Roman"/>
                <w:b/>
                <w:bCs/>
                <w:color w:val="000000"/>
                <w:kern w:val="0"/>
                <w:sz w:val="22"/>
                <w:lang w:val="en-US" w:eastAsia="zh-CN"/>
              </w:rPr>
            </w:pPr>
            <w:r>
              <w:rPr>
                <w:rFonts w:hint="eastAsia" w:ascii="Calibri" w:hAnsi="Calibri" w:eastAsia="宋体" w:cs="Calibri"/>
                <w:color w:val="000000"/>
                <w:kern w:val="0"/>
                <w:sz w:val="22"/>
                <w:lang w:val="en-US" w:eastAsia="zh-CN"/>
              </w:rPr>
              <w:t>（公路）检师0601740Q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重庆市交通规划和技术发展中心</w:t>
            </w:r>
          </w:p>
        </w:tc>
        <w:tc>
          <w:tcPr>
            <w:tcW w:w="140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default" w:ascii="Calibri" w:hAnsi="Calibri" w:eastAsia="宋体" w:cs="Calibri"/>
                <w:color w:val="000000"/>
                <w:kern w:val="0"/>
                <w:sz w:val="22"/>
                <w:lang w:val="en-US" w:eastAsia="zh-CN"/>
              </w:rPr>
              <w:t>5822605</w:t>
            </w:r>
            <w:r>
              <w:rPr>
                <w:rFonts w:hint="eastAsia" w:ascii="Calibri" w:hAnsi="Calibri" w:eastAsia="宋体" w:cs="Calibri"/>
                <w:color w:val="000000"/>
                <w:kern w:val="0"/>
                <w:sz w:val="22"/>
                <w:lang w:val="en-US" w:eastAsia="zh-CN"/>
              </w:rPr>
              <w:t>.00</w:t>
            </w:r>
          </w:p>
        </w:tc>
        <w:tc>
          <w:tcPr>
            <w:tcW w:w="771"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赵汗清</w:t>
            </w:r>
          </w:p>
        </w:tc>
        <w:tc>
          <w:tcPr>
            <w:tcW w:w="1742"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公路水运工程试验检测师。</w:t>
            </w:r>
          </w:p>
        </w:tc>
        <w:tc>
          <w:tcPr>
            <w:tcW w:w="2075"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31620201101040019625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贵州宏信创达工程检测咨询有限公司</w:t>
            </w:r>
          </w:p>
        </w:tc>
        <w:tc>
          <w:tcPr>
            <w:tcW w:w="140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rPr>
              <w:t>6000095</w:t>
            </w:r>
            <w:r>
              <w:rPr>
                <w:rFonts w:hint="eastAsia" w:ascii="Calibri" w:hAnsi="Calibri" w:eastAsia="宋体" w:cs="Calibri"/>
                <w:color w:val="000000"/>
                <w:kern w:val="0"/>
                <w:sz w:val="22"/>
                <w:lang w:val="en-US" w:eastAsia="zh-CN"/>
              </w:rPr>
              <w:t>.00</w:t>
            </w:r>
          </w:p>
        </w:tc>
        <w:tc>
          <w:tcPr>
            <w:tcW w:w="771"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苏龙</w:t>
            </w:r>
          </w:p>
        </w:tc>
        <w:tc>
          <w:tcPr>
            <w:tcW w:w="1742"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公路水运工程试验检测师。</w:t>
            </w:r>
          </w:p>
        </w:tc>
        <w:tc>
          <w:tcPr>
            <w:tcW w:w="2075"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31620191101010020736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221" w:type="dxa"/>
            <w:shd w:val="clear" w:color="auto" w:fill="auto"/>
            <w:vAlign w:val="center"/>
          </w:tcPr>
          <w:p>
            <w:pPr>
              <w:widowControl/>
              <w:jc w:val="center"/>
              <w:rPr>
                <w:rFonts w:ascii="宋体" w:hAnsi="宋体" w:eastAsia="宋体" w:cs="宋体"/>
                <w:color w:val="000000"/>
                <w:kern w:val="0"/>
                <w:sz w:val="22"/>
              </w:rPr>
            </w:pPr>
            <w:bookmarkStart w:id="0" w:name="_GoBack"/>
            <w:bookmarkEnd w:id="0"/>
            <w:r>
              <w:rPr>
                <w:rFonts w:hint="eastAsia" w:ascii="宋体" w:hAnsi="宋体" w:eastAsia="宋体" w:cs="宋体"/>
                <w:color w:val="000000"/>
                <w:kern w:val="0"/>
                <w:sz w:val="22"/>
              </w:rPr>
              <w:t>中标候选人响应招标文件要求的资格能力条件</w:t>
            </w:r>
          </w:p>
        </w:tc>
        <w:tc>
          <w:tcPr>
            <w:tcW w:w="8939" w:type="dxa"/>
            <w:gridSpan w:val="9"/>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val="0"/>
                <w:bCs w:val="0"/>
                <w:color w:val="000000"/>
                <w:kern w:val="0"/>
                <w:sz w:val="22"/>
                <w:lang w:val="en-US"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939" w:type="dxa"/>
            <w:gridSpan w:val="9"/>
            <w:shd w:val="clear" w:color="auto" w:fill="auto"/>
            <w:vAlign w:val="center"/>
          </w:tcPr>
          <w:p>
            <w:pPr>
              <w:widowControl/>
              <w:numPr>
                <w:ilvl w:val="0"/>
                <w:numId w:val="1"/>
              </w:numPr>
              <w:jc w:val="both"/>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业绩：</w:t>
            </w:r>
          </w:p>
          <w:p>
            <w:pPr>
              <w:widowControl/>
              <w:numPr>
                <w:ilvl w:val="0"/>
                <w:numId w:val="0"/>
              </w:numPr>
              <w:jc w:val="both"/>
              <w:rPr>
                <w:rFonts w:hint="eastAsia" w:ascii="宋体" w:hAnsi="宋体" w:eastAsia="宋体" w:cs="宋体"/>
                <w:b w:val="0"/>
                <w:bCs w:val="0"/>
                <w:color w:val="000000"/>
                <w:kern w:val="0"/>
                <w:sz w:val="22"/>
                <w:lang w:val="en-US" w:eastAsia="zh-CN"/>
              </w:rPr>
            </w:pPr>
            <w:r>
              <w:rPr>
                <w:rFonts w:hint="eastAsia" w:ascii="Calibri" w:hAnsi="Calibri" w:eastAsia="宋体" w:cs="Calibri"/>
                <w:color w:val="000000"/>
                <w:kern w:val="0"/>
                <w:sz w:val="22"/>
              </w:rPr>
              <w:t>苏交科集团检测认证有限公司</w:t>
            </w:r>
            <w:r>
              <w:rPr>
                <w:rFonts w:hint="eastAsia" w:ascii="宋体" w:hAnsi="宋体" w:eastAsia="宋体" w:cs="宋体"/>
                <w:b w:val="0"/>
                <w:bCs w:val="0"/>
                <w:color w:val="000000"/>
                <w:kern w:val="0"/>
                <w:sz w:val="22"/>
                <w:lang w:val="en-US" w:eastAsia="zh-CN"/>
              </w:rPr>
              <w:t>：</w:t>
            </w:r>
          </w:p>
          <w:p>
            <w:pPr>
              <w:widowControl/>
              <w:numPr>
                <w:ilvl w:val="0"/>
                <w:numId w:val="0"/>
              </w:numPr>
              <w:jc w:val="both"/>
              <w:rPr>
                <w:rFonts w:hint="eastAsia" w:ascii="宋体" w:hAnsi="宋体" w:eastAsia="宋体" w:cs="宋体"/>
                <w:b w:val="0"/>
                <w:bCs w:val="0"/>
                <w:color w:val="000000"/>
                <w:kern w:val="0"/>
                <w:sz w:val="22"/>
                <w:lang w:val="en-US" w:eastAsia="zh-CN"/>
              </w:rPr>
            </w:pPr>
            <w:r>
              <w:rPr>
                <w:rFonts w:hint="eastAsia" w:ascii="Calibri" w:hAnsi="Calibri" w:eastAsia="宋体" w:cs="Calibri"/>
                <w:color w:val="000000"/>
                <w:kern w:val="0"/>
                <w:sz w:val="22"/>
                <w:lang w:eastAsia="zh-CN"/>
              </w:rPr>
              <w:t>仁怀至遵义高速公路桥梁荷载试验、桥梁外观与实体检测及交（竣）工验收试验检测服务（第 RZJJGJC 合同段）；曲靖三宝至昆明清水高速公路（曲靖段）工程交工验收检测；云南省墨江至临沧公路项目交工质量检测 JGJC2 合同段；G30 连霍高速公路清水驿至忠和段扩容改造工程交工验收质量检测 ；S10 凤县（陕西）至合作（甘肃）高速公路卓尼至合作段一期工程交工验收质量检测；广西自治区荔浦至玉林公路竣（交）工实体工程质量检测服务 NO.JC1 合同段。</w:t>
            </w:r>
          </w:p>
          <w:p>
            <w:pPr>
              <w:widowControl/>
              <w:numPr>
                <w:ilvl w:val="0"/>
                <w:numId w:val="0"/>
              </w:numPr>
              <w:jc w:val="both"/>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rPr>
              <w:t>重庆市交通规划和技术发展中心</w:t>
            </w:r>
            <w:r>
              <w:rPr>
                <w:rFonts w:hint="eastAsia" w:ascii="Calibri" w:hAnsi="Calibri" w:eastAsia="宋体" w:cs="Calibri"/>
                <w:color w:val="000000"/>
                <w:kern w:val="0"/>
                <w:sz w:val="22"/>
                <w:lang w:eastAsia="zh-CN"/>
              </w:rPr>
              <w:t>：</w:t>
            </w:r>
          </w:p>
          <w:p>
            <w:pPr>
              <w:widowControl/>
              <w:numPr>
                <w:ilvl w:val="0"/>
                <w:numId w:val="0"/>
              </w:numPr>
              <w:jc w:val="both"/>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重庆江津至贵州习水高速公路（重庆境）工程交工验收工程质量检测；南（川）~涪（陵）高速公路竣工验收工程质量检测；重庆南川至贵州道真高速公路交工验收工程质量检测；重庆合川至四川安岳（重庆段） 高速公路交工验收工程质量检测第 JGJC02 合同段；重庆三环高速公路合川至长寿段项目交工验收试验检测HCJG-2 合同段。</w:t>
            </w:r>
          </w:p>
          <w:p>
            <w:pPr>
              <w:widowControl/>
              <w:numPr>
                <w:ilvl w:val="0"/>
                <w:numId w:val="0"/>
              </w:numPr>
              <w:jc w:val="both"/>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rPr>
              <w:t>贵州宏信创达工程检测咨询有限公司</w:t>
            </w:r>
            <w:r>
              <w:rPr>
                <w:rFonts w:hint="eastAsia" w:ascii="Calibri" w:hAnsi="Calibri" w:eastAsia="宋体" w:cs="Calibri"/>
                <w:color w:val="000000"/>
                <w:kern w:val="0"/>
                <w:sz w:val="22"/>
                <w:lang w:eastAsia="zh-CN"/>
              </w:rPr>
              <w:t>：</w:t>
            </w:r>
          </w:p>
          <w:p>
            <w:pPr>
              <w:widowControl/>
              <w:numPr>
                <w:ilvl w:val="0"/>
                <w:numId w:val="0"/>
              </w:numPr>
              <w:jc w:val="both"/>
              <w:rPr>
                <w:rFonts w:hint="eastAsia" w:ascii="Calibri" w:hAnsi="Calibri" w:eastAsia="宋体" w:cs="Calibri"/>
                <w:color w:val="000000"/>
                <w:kern w:val="0"/>
                <w:sz w:val="22"/>
                <w:lang w:val="en-US" w:eastAsia="zh-CN"/>
              </w:rPr>
            </w:pPr>
            <w:r>
              <w:rPr>
                <w:rFonts w:hint="eastAsia" w:ascii="宋体" w:hAnsi="宋体" w:eastAsia="宋体" w:cs="宋体"/>
                <w:b w:val="0"/>
                <w:bCs w:val="0"/>
                <w:color w:val="000000"/>
                <w:kern w:val="0"/>
                <w:sz w:val="22"/>
                <w:lang w:val="en-US" w:eastAsia="zh-CN"/>
              </w:rPr>
              <w:t>遵义市乐理至冷水坪高速公路桥梁荷载试验检测及工程竣（交）工验收检测；宜宾至六盘水高速公路镇雄(滇黔界)至赫章段交(竣)工验收及桥梁荷载检测第ZHJC-01标段；都(匀)香(格里拉)高速公路贵州境六盘水至威宁(黔滇界)段桥梁荷载试验、桥梁外观与实体检测及交(竣)工验收试验检测合同第LWF-3标段；贵州省荔波至榕江高速公路桥梁荷载试验检测。</w:t>
            </w:r>
          </w:p>
          <w:p>
            <w:pPr>
              <w:widowControl/>
              <w:numPr>
                <w:ilvl w:val="0"/>
                <w:numId w:val="1"/>
              </w:numPr>
              <w:jc w:val="both"/>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939" w:type="dxa"/>
            <w:gridSpan w:val="9"/>
            <w:shd w:val="clear" w:color="auto" w:fill="auto"/>
            <w:vAlign w:val="center"/>
          </w:tcPr>
          <w:p>
            <w:pPr>
              <w:widowControl/>
              <w:jc w:val="both"/>
              <w:rPr>
                <w:rFonts w:hint="default" w:ascii="宋体" w:hAnsi="宋体" w:eastAsia="宋体" w:cs="宋体"/>
                <w:b/>
                <w:bCs/>
                <w:color w:val="000000"/>
                <w:kern w:val="0"/>
                <w:sz w:val="22"/>
                <w:lang w:val="en-US" w:eastAsia="zh-CN"/>
              </w:rPr>
            </w:pPr>
            <w:r>
              <w:rPr>
                <w:rFonts w:hint="eastAsia" w:ascii="宋体" w:hAnsi="宋体" w:eastAsia="宋体" w:cs="宋体"/>
                <w:b w:val="0"/>
                <w:bCs w:val="0"/>
                <w:color w:val="000000"/>
                <w:kern w:val="0"/>
                <w:sz w:val="22"/>
                <w:lang w:val="en-US" w:eastAsia="zh-CN"/>
              </w:rPr>
              <w:t>资格、形式、响应性评审均合格。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939"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重庆渝湘复线高速公路有限公司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王老师</w:t>
            </w:r>
            <w:r>
              <w:rPr>
                <w:rFonts w:hint="eastAsia" w:ascii="宋体" w:hAnsi="宋体" w:eastAsia="宋体" w:cs="宋体"/>
                <w:color w:val="000000"/>
                <w:kern w:val="0"/>
                <w:sz w:val="22"/>
              </w:rPr>
              <w:t>，联系电话：</w:t>
            </w:r>
            <w:r>
              <w:rPr>
                <w:rFonts w:hint="eastAsia" w:ascii="宋体" w:hAnsi="宋体" w:eastAsia="宋体" w:cs="宋体"/>
                <w:color w:val="000000"/>
                <w:kern w:val="0"/>
                <w:sz w:val="22"/>
                <w:lang w:val="en-US" w:eastAsia="zh-CN"/>
              </w:rPr>
              <w:t>023-89136372</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280" w:type="dxa"/>
            <w:gridSpan w:val="4"/>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both"/>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2022年10</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 xml:space="preserve"> 20 </w:t>
            </w:r>
            <w:r>
              <w:rPr>
                <w:rFonts w:hint="eastAsia" w:ascii="宋体" w:hAnsi="宋体" w:eastAsia="宋体" w:cs="Calibri"/>
                <w:color w:val="000000"/>
                <w:kern w:val="0"/>
                <w:sz w:val="22"/>
              </w:rPr>
              <w:t xml:space="preserve">日    </w:t>
            </w:r>
          </w:p>
        </w:tc>
        <w:tc>
          <w:tcPr>
            <w:tcW w:w="5880"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 xml:space="preserve"> 20 </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33CD4"/>
    <w:multiLevelType w:val="singleLevel"/>
    <w:tmpl w:val="ADC33C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3MmQzOGVlYzA2MmUyOTZlMDVkNzkxZjFiNGNhZGEifQ=="/>
  </w:docVars>
  <w:rsids>
    <w:rsidRoot w:val="005F7769"/>
    <w:rsid w:val="0055752E"/>
    <w:rsid w:val="005F7769"/>
    <w:rsid w:val="0063236D"/>
    <w:rsid w:val="006A71D4"/>
    <w:rsid w:val="007C4F8D"/>
    <w:rsid w:val="00901BDE"/>
    <w:rsid w:val="00943760"/>
    <w:rsid w:val="01887A37"/>
    <w:rsid w:val="019B2FDC"/>
    <w:rsid w:val="020D770A"/>
    <w:rsid w:val="02154E6B"/>
    <w:rsid w:val="04553F6E"/>
    <w:rsid w:val="047F1DAB"/>
    <w:rsid w:val="081253C0"/>
    <w:rsid w:val="08F21A03"/>
    <w:rsid w:val="09834A1F"/>
    <w:rsid w:val="0A0C3409"/>
    <w:rsid w:val="0A0E7791"/>
    <w:rsid w:val="0AFE4225"/>
    <w:rsid w:val="0C774C9E"/>
    <w:rsid w:val="0D97201F"/>
    <w:rsid w:val="0E090577"/>
    <w:rsid w:val="0E95291F"/>
    <w:rsid w:val="0EA358F0"/>
    <w:rsid w:val="0F7110E9"/>
    <w:rsid w:val="14425B91"/>
    <w:rsid w:val="160805D7"/>
    <w:rsid w:val="166B41F1"/>
    <w:rsid w:val="17C074F9"/>
    <w:rsid w:val="1EBB4EBE"/>
    <w:rsid w:val="1EBE0C60"/>
    <w:rsid w:val="22D42911"/>
    <w:rsid w:val="2591508D"/>
    <w:rsid w:val="26BD4A48"/>
    <w:rsid w:val="27762747"/>
    <w:rsid w:val="2CEA4F93"/>
    <w:rsid w:val="2F334741"/>
    <w:rsid w:val="2FA64465"/>
    <w:rsid w:val="331A7D37"/>
    <w:rsid w:val="336F02F9"/>
    <w:rsid w:val="34310729"/>
    <w:rsid w:val="38E92A42"/>
    <w:rsid w:val="39BA0B22"/>
    <w:rsid w:val="3A1B6D32"/>
    <w:rsid w:val="3B03685C"/>
    <w:rsid w:val="3D3B0A08"/>
    <w:rsid w:val="3DF92F26"/>
    <w:rsid w:val="3F925873"/>
    <w:rsid w:val="3FE82344"/>
    <w:rsid w:val="3FF575B6"/>
    <w:rsid w:val="41594560"/>
    <w:rsid w:val="47FA230E"/>
    <w:rsid w:val="4812474D"/>
    <w:rsid w:val="4A8453A8"/>
    <w:rsid w:val="4AC9760C"/>
    <w:rsid w:val="4C7B50C0"/>
    <w:rsid w:val="4CA511AB"/>
    <w:rsid w:val="4D300D98"/>
    <w:rsid w:val="4ED32720"/>
    <w:rsid w:val="4EFE2381"/>
    <w:rsid w:val="4FFA0C30"/>
    <w:rsid w:val="4FFB3C11"/>
    <w:rsid w:val="53956916"/>
    <w:rsid w:val="574B7F6D"/>
    <w:rsid w:val="58D30652"/>
    <w:rsid w:val="59BE6F2B"/>
    <w:rsid w:val="5D6879E4"/>
    <w:rsid w:val="5D694D67"/>
    <w:rsid w:val="5F976C40"/>
    <w:rsid w:val="61670F69"/>
    <w:rsid w:val="620D6DAC"/>
    <w:rsid w:val="63F20A4B"/>
    <w:rsid w:val="63F86CD6"/>
    <w:rsid w:val="657C50E7"/>
    <w:rsid w:val="65AF2D06"/>
    <w:rsid w:val="67147067"/>
    <w:rsid w:val="7031057E"/>
    <w:rsid w:val="71066FB1"/>
    <w:rsid w:val="76B24303"/>
    <w:rsid w:val="797B6503"/>
    <w:rsid w:val="7A963F73"/>
    <w:rsid w:val="7B354132"/>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FollowedHyperlink"/>
    <w:basedOn w:val="3"/>
    <w:semiHidden/>
    <w:unhideWhenUsed/>
    <w:qFormat/>
    <w:uiPriority w:val="99"/>
    <w:rPr>
      <w:color w:val="800080"/>
      <w:u w:val="none"/>
    </w:rPr>
  </w:style>
  <w:style w:type="character" w:styleId="6">
    <w:name w:val="Emphasis"/>
    <w:basedOn w:val="3"/>
    <w:qFormat/>
    <w:uiPriority w:val="20"/>
    <w:rPr>
      <w:b/>
      <w:bCs/>
    </w:rPr>
  </w:style>
  <w:style w:type="character" w:styleId="7">
    <w:name w:val="HTML Definition"/>
    <w:basedOn w:val="3"/>
    <w:semiHidden/>
    <w:unhideWhenUsed/>
    <w:uiPriority w:val="99"/>
  </w:style>
  <w:style w:type="character" w:styleId="8">
    <w:name w:val="HTML Typewriter"/>
    <w:basedOn w:val="3"/>
    <w:semiHidden/>
    <w:unhideWhenUsed/>
    <w:qFormat/>
    <w:uiPriority w:val="99"/>
    <w:rPr>
      <w:rFonts w:hint="default" w:ascii="monospace" w:hAnsi="monospace" w:eastAsia="monospace" w:cs="monospace"/>
      <w:sz w:val="20"/>
    </w:rPr>
  </w:style>
  <w:style w:type="character" w:styleId="9">
    <w:name w:val="HTML Acronym"/>
    <w:basedOn w:val="3"/>
    <w:semiHidden/>
    <w:unhideWhenUsed/>
    <w:qFormat/>
    <w:uiPriority w:val="99"/>
  </w:style>
  <w:style w:type="character" w:styleId="10">
    <w:name w:val="HTML Variable"/>
    <w:basedOn w:val="3"/>
    <w:semiHidden/>
    <w:unhideWhenUsed/>
    <w:qFormat/>
    <w:uiPriority w:val="99"/>
  </w:style>
  <w:style w:type="character" w:styleId="11">
    <w:name w:val="Hyperlink"/>
    <w:basedOn w:val="3"/>
    <w:semiHidden/>
    <w:unhideWhenUsed/>
    <w:qFormat/>
    <w:uiPriority w:val="99"/>
    <w:rPr>
      <w:color w:val="0000FF"/>
      <w:u w:val="none"/>
    </w:rPr>
  </w:style>
  <w:style w:type="character" w:styleId="12">
    <w:name w:val="HTML Code"/>
    <w:basedOn w:val="3"/>
    <w:semiHidden/>
    <w:unhideWhenUsed/>
    <w:qFormat/>
    <w:uiPriority w:val="99"/>
    <w:rPr>
      <w:rFonts w:hint="default" w:ascii="monospace" w:hAnsi="monospace" w:eastAsia="monospace" w:cs="monospace"/>
      <w:sz w:val="20"/>
    </w:rPr>
  </w:style>
  <w:style w:type="character" w:styleId="13">
    <w:name w:val="HTML Cite"/>
    <w:basedOn w:val="3"/>
    <w:semiHidden/>
    <w:unhideWhenUsed/>
    <w:qFormat/>
    <w:uiPriority w:val="99"/>
    <w:rPr>
      <w:rFonts w:ascii="ActionIcon ! important" w:hAnsi="ActionIcon ! important" w:eastAsia="ActionIcon ! important" w:cs="ActionIcon ! important"/>
      <w:color w:val="3D4B62"/>
      <w:sz w:val="24"/>
      <w:szCs w:val="24"/>
    </w:rPr>
  </w:style>
  <w:style w:type="character" w:styleId="14">
    <w:name w:val="HTML Keyboard"/>
    <w:basedOn w:val="3"/>
    <w:semiHidden/>
    <w:unhideWhenUsed/>
    <w:qFormat/>
    <w:uiPriority w:val="99"/>
    <w:rPr>
      <w:rFonts w:ascii="monospace" w:hAnsi="monospace" w:eastAsia="monospace" w:cs="monospace"/>
      <w:sz w:val="20"/>
    </w:rPr>
  </w:style>
  <w:style w:type="character" w:styleId="15">
    <w:name w:val="HTML Sample"/>
    <w:basedOn w:val="3"/>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1428</Words>
  <Characters>1653</Characters>
  <Lines>5</Lines>
  <Paragraphs>1</Paragraphs>
  <TotalTime>2</TotalTime>
  <ScaleCrop>false</ScaleCrop>
  <LinksUpToDate>false</LinksUpToDate>
  <CharactersWithSpaces>1782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2022-10-19T10:53:14Z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13E531705D504F8F8A19355103B29F77</vt:lpwstr>
  </property>
</Properties>
</file>