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16" w:hanging="1810" w:hangingChars="500"/>
        <w:jc w:val="left"/>
        <w:rPr>
          <w:rFonts w:hint="eastAsia" w:ascii="方正小标宋_GBK" w:hAnsi="方正小标宋_GBK" w:eastAsia="方正小标宋_GBK" w:cs="方正小标宋_GBK"/>
          <w:b w:val="0"/>
          <w:bCs/>
          <w:spacing w:val="21"/>
          <w:kern w:val="1"/>
          <w:sz w:val="32"/>
          <w:szCs w:val="52"/>
          <w:shd w:val="clear" w:color="auto" w:fill="FFFFFF"/>
        </w:rPr>
      </w:pPr>
      <w:r>
        <w:rPr>
          <w:rFonts w:hint="eastAsia" w:ascii="方正小标宋_GBK" w:hAnsi="方正小标宋_GBK" w:eastAsia="方正小标宋_GBK" w:cs="方正小标宋_GBK"/>
          <w:b w:val="0"/>
          <w:bCs/>
          <w:spacing w:val="21"/>
          <w:kern w:val="1"/>
          <w:sz w:val="32"/>
          <w:szCs w:val="52"/>
          <w:shd w:val="clear" w:color="auto" w:fill="FFFFFF"/>
        </w:rPr>
        <w:t>项目名称：高速国储投营加油站环境突发事件应急预案及</w:t>
      </w:r>
      <w:r>
        <w:rPr>
          <w:rFonts w:hint="eastAsia" w:ascii="方正小标宋_GBK" w:hAnsi="方正小标宋_GBK" w:eastAsia="方正小标宋_GBK" w:cs="方正小标宋_GBK"/>
          <w:b w:val="0"/>
          <w:bCs/>
          <w:spacing w:val="21"/>
          <w:kern w:val="1"/>
          <w:sz w:val="32"/>
          <w:szCs w:val="52"/>
          <w:shd w:val="clear" w:color="auto" w:fill="FFFFFF"/>
          <w:lang w:val="en-US" w:eastAsia="zh-CN"/>
        </w:rPr>
        <w:t>突发环境风险评估</w:t>
      </w:r>
      <w:r>
        <w:rPr>
          <w:rFonts w:hint="eastAsia" w:ascii="方正小标宋_GBK" w:hAnsi="方正小标宋_GBK" w:eastAsia="方正小标宋_GBK" w:cs="方正小标宋_GBK"/>
          <w:b w:val="0"/>
          <w:bCs/>
          <w:spacing w:val="21"/>
          <w:kern w:val="1"/>
          <w:sz w:val="32"/>
          <w:szCs w:val="52"/>
          <w:shd w:val="clear" w:color="auto" w:fill="FFFFFF"/>
        </w:rPr>
        <w:t>报告进行编制、备案项目</w:t>
      </w: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hint="eastAsia" w:ascii="宋体" w:hAnsi="宋体" w:cs="宋体"/>
          <w:b/>
          <w:spacing w:val="21"/>
          <w:kern w:val="1"/>
          <w:sz w:val="52"/>
          <w:szCs w:val="52"/>
          <w:shd w:val="clear" w:color="auto" w:fill="FFFFFF"/>
        </w:rPr>
      </w:pPr>
    </w:p>
    <w:p>
      <w:pPr>
        <w:jc w:val="center"/>
        <w:rPr>
          <w:rFonts w:hint="eastAsia"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rPr>
        <w:t>竞争性比选</w:t>
      </w:r>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hint="eastAsia"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jc w:val="center"/>
        <w:rPr>
          <w:rFonts w:hint="eastAsia" w:ascii="方正小标宋_GBK" w:hAnsi="方正小标宋_GBK" w:eastAsia="方正小标宋_GBK" w:cs="方正小标宋_GBK"/>
          <w:b w:val="0"/>
          <w:bCs w:val="0"/>
          <w:kern w:val="1"/>
          <w:sz w:val="32"/>
          <w:szCs w:val="32"/>
          <w:shd w:val="clear" w:color="auto" w:fill="FFFFFF"/>
        </w:rPr>
      </w:pPr>
      <w:r>
        <w:rPr>
          <w:rFonts w:hint="eastAsia" w:ascii="方正小标宋_GBK" w:hAnsi="方正小标宋_GBK" w:eastAsia="方正小标宋_GBK" w:cs="方正小标宋_GBK"/>
          <w:b w:val="0"/>
          <w:bCs w:val="0"/>
          <w:kern w:val="1"/>
          <w:sz w:val="32"/>
          <w:szCs w:val="32"/>
          <w:shd w:val="clear" w:color="auto" w:fill="FFFFFF"/>
        </w:rPr>
        <w:t>比选人：重庆高速国储能源投资有限公司</w:t>
      </w:r>
    </w:p>
    <w:p>
      <w:pPr>
        <w:pStyle w:val="12"/>
        <w:rPr>
          <w:rFonts w:hint="eastAsia" w:ascii="宋体" w:hAnsi="宋体" w:eastAsia="宋体" w:cs="宋体"/>
          <w:b/>
          <w:bCs/>
          <w:color w:val="auto"/>
          <w:kern w:val="1"/>
          <w:sz w:val="32"/>
          <w:szCs w:val="32"/>
          <w:shd w:val="clear" w:color="auto" w:fill="FFFFFF"/>
        </w:rPr>
      </w:pPr>
      <w:r>
        <w:rPr>
          <w:rFonts w:hint="eastAsia"/>
        </w:rPr>
        <w:t xml:space="preserve"> </w:t>
      </w:r>
      <w:r>
        <w:t xml:space="preserve">         </w:t>
      </w:r>
    </w:p>
    <w:p>
      <w:pPr>
        <w:pStyle w:val="12"/>
        <w:jc w:val="center"/>
        <w:rPr>
          <w:rFonts w:hint="eastAsia" w:ascii="宋体" w:hAnsi="宋体" w:eastAsia="宋体" w:cs="宋体"/>
          <w:b/>
          <w:bCs/>
          <w:color w:val="auto"/>
          <w:kern w:val="1"/>
          <w:sz w:val="32"/>
          <w:szCs w:val="32"/>
          <w:shd w:val="clear" w:color="auto" w:fill="FFFFFF"/>
        </w:rPr>
      </w:pPr>
      <w:r>
        <w:rPr>
          <w:rFonts w:hint="eastAsia" w:ascii="宋体" w:hAnsi="宋体" w:eastAsia="宋体" w:cs="宋体"/>
          <w:b/>
          <w:bCs/>
          <w:color w:val="auto"/>
          <w:kern w:val="1"/>
          <w:sz w:val="32"/>
          <w:szCs w:val="32"/>
          <w:shd w:val="clear" w:color="auto" w:fill="FFFFFF"/>
        </w:rPr>
        <w:t xml:space="preserve"> </w:t>
      </w:r>
      <w:r>
        <w:rPr>
          <w:rFonts w:ascii="宋体" w:hAnsi="宋体" w:eastAsia="宋体" w:cs="宋体"/>
          <w:b/>
          <w:bCs/>
          <w:color w:val="auto"/>
          <w:kern w:val="1"/>
          <w:sz w:val="32"/>
          <w:szCs w:val="32"/>
          <w:shd w:val="clear" w:color="auto" w:fill="FFFFFF"/>
        </w:rPr>
        <w:t xml:space="preserve">     </w:t>
      </w:r>
    </w:p>
    <w:p>
      <w:pPr>
        <w:rPr>
          <w:rFonts w:ascii="宋体" w:hAnsi="宋体" w:cs="宋体"/>
          <w:color w:val="000000"/>
          <w:spacing w:val="93"/>
          <w:kern w:val="1"/>
          <w:szCs w:val="21"/>
          <w:shd w:val="clear" w:color="auto" w:fill="FFFFFF"/>
        </w:rPr>
      </w:pPr>
    </w:p>
    <w:p>
      <w:pPr>
        <w:pStyle w:val="6"/>
        <w:spacing w:line="360" w:lineRule="auto"/>
        <w:ind w:left="96"/>
        <w:jc w:val="center"/>
        <w:rPr>
          <w:rFonts w:ascii="宋体" w:hAnsi="宋体"/>
          <w:b/>
          <w:sz w:val="36"/>
          <w:szCs w:val="30"/>
          <w:shd w:val="clear" w:color="auto" w:fill="FFFFFF"/>
        </w:rPr>
      </w:pPr>
      <w:r>
        <w:rPr>
          <w:rFonts w:ascii="宋体" w:hAnsi="宋体" w:cs="宋体"/>
          <w:b/>
          <w:sz w:val="36"/>
          <w:szCs w:val="32"/>
          <w:shd w:val="clear" w:color="auto" w:fill="FFFFFF"/>
        </w:rPr>
        <w:t>202</w:t>
      </w:r>
      <w:r>
        <w:rPr>
          <w:rFonts w:hint="eastAsia" w:ascii="宋体" w:hAnsi="宋体" w:cs="宋体"/>
          <w:b/>
          <w:sz w:val="36"/>
          <w:szCs w:val="32"/>
          <w:shd w:val="clear" w:color="auto" w:fill="FFFFFF"/>
          <w:lang w:val="en-US" w:eastAsia="zh-CN"/>
        </w:rPr>
        <w:t>2</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6</w:t>
      </w:r>
      <w:r>
        <w:rPr>
          <w:rFonts w:ascii="宋体" w:hAnsi="宋体" w:cs="宋体"/>
          <w:b/>
          <w:sz w:val="36"/>
          <w:szCs w:val="32"/>
          <w:shd w:val="clear" w:color="auto" w:fill="FFFFFF"/>
        </w:rPr>
        <w:t>月</w:t>
      </w:r>
    </w:p>
    <w:p>
      <w:pPr>
        <w:jc w:val="center"/>
        <w:rPr>
          <w:rFonts w:ascii="宋体" w:hAnsi="宋体"/>
          <w:b/>
          <w:color w:val="000000"/>
          <w:sz w:val="36"/>
          <w:szCs w:val="36"/>
        </w:rPr>
        <w:sectPr>
          <w:headerReference r:id="rId3" w:type="default"/>
          <w:pgSz w:w="11906" w:h="16838"/>
          <w:pgMar w:top="567" w:right="1797" w:bottom="1276" w:left="1797" w:header="851" w:footer="992" w:gutter="0"/>
          <w:cols w:space="720" w:num="1"/>
          <w:docGrid w:type="lines" w:linePitch="312" w:charSpace="0"/>
        </w:sect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bookmarkStart w:id="0" w:name="_Toc18337216"/>
      <w:bookmarkStart w:id="1" w:name="_Toc364092047"/>
      <w:bookmarkStart w:id="2" w:name="_Toc363658624"/>
      <w:bookmarkStart w:id="3" w:name="_Toc363658041"/>
      <w:r>
        <w:rPr>
          <w:rFonts w:hint="eastAsia" w:ascii="宋体" w:hAnsi="宋体" w:eastAsia="宋体" w:cs="宋体"/>
          <w:b/>
          <w:bCs/>
          <w:kern w:val="1"/>
          <w:sz w:val="28"/>
          <w:szCs w:val="28"/>
          <w:shd w:val="clear" w:color="auto" w:fill="FFFFFF"/>
          <w:lang w:val="en-US" w:eastAsia="zh-CN"/>
        </w:rPr>
        <w:t>一、比选条件</w:t>
      </w:r>
      <w:bookmarkEnd w:id="0"/>
      <w:bookmarkEnd w:id="1"/>
      <w:bookmarkEnd w:id="2"/>
      <w:bookmarkEnd w:id="3"/>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竞争性比选项目高速国储投营加油站环境突发事件应急预案及突发环境评估报告进行编制、备案项目，项目业主和比选人为重庆高速国储能源投资有限公司。建设资金来自业主自筹，项目已具备竞争性比选条件，现欢迎各潜在比选申请人参加本项目的公开竞争性比选报价。</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bookmarkStart w:id="4" w:name="_Toc144974481"/>
      <w:bookmarkStart w:id="5" w:name="_Toc18337217"/>
      <w:bookmarkStart w:id="6" w:name="_Toc363658626"/>
      <w:bookmarkStart w:id="7" w:name="_Toc152045513"/>
      <w:bookmarkStart w:id="8" w:name="_Toc363658043"/>
      <w:bookmarkStart w:id="9" w:name="_Toc152042289"/>
      <w:bookmarkStart w:id="10" w:name="_Toc364092049"/>
      <w:r>
        <w:rPr>
          <w:rFonts w:hint="eastAsia" w:ascii="宋体" w:hAnsi="宋体" w:eastAsia="宋体" w:cs="宋体"/>
          <w:b/>
          <w:bCs/>
          <w:kern w:val="1"/>
          <w:sz w:val="28"/>
          <w:szCs w:val="28"/>
          <w:shd w:val="clear" w:color="auto" w:fill="FFFFFF"/>
          <w:lang w:val="en-US" w:eastAsia="zh-CN"/>
        </w:rPr>
        <w:t>二、项目概况</w:t>
      </w:r>
      <w:bookmarkEnd w:id="4"/>
      <w:bookmarkEnd w:id="5"/>
      <w:bookmarkEnd w:id="6"/>
      <w:bookmarkEnd w:id="7"/>
      <w:bookmarkEnd w:id="8"/>
      <w:bookmarkEnd w:id="9"/>
      <w:bookmarkEnd w:id="10"/>
      <w:r>
        <w:rPr>
          <w:rFonts w:hint="eastAsia" w:ascii="宋体" w:hAnsi="宋体" w:eastAsia="宋体" w:cs="宋体"/>
          <w:b/>
          <w:bCs/>
          <w:kern w:val="1"/>
          <w:sz w:val="28"/>
          <w:szCs w:val="28"/>
          <w:shd w:val="clear" w:color="auto" w:fill="FFFFFF"/>
          <w:lang w:val="en-US" w:eastAsia="zh-CN"/>
        </w:rPr>
        <w:t>及比选范围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1、项目概况及比选范围：重庆高速国储能源投资有限公司投营加油站：包括双槐加油站（对站）、巫山加油站（对站），共计：4座。现需要根据《突发环境事件应急管理办法》，编制《加油站突发环境事件应急预案》、《突发环境风险评估报告》报告，并报相关部门备案。</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2、项目名称：高速国储投营加油站环境突发事件应急预案及风险评估报告进行编制、备案项目</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3、项目地点： 重庆</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4、最高限价：单价：2.3万/座 ， 合计9.2万。</w:t>
      </w:r>
    </w:p>
    <w:p>
      <w:pPr>
        <w:keepNext w:val="0"/>
        <w:keepLines w:val="0"/>
        <w:pageBreakBefore w:val="0"/>
        <w:widowControl w:val="0"/>
        <w:kinsoku/>
        <w:wordWrap/>
        <w:overflowPunct/>
        <w:topLinePunct w:val="0"/>
        <w:autoSpaceDE/>
        <w:autoSpaceDN/>
        <w:bidi w:val="0"/>
        <w:spacing w:line="520" w:lineRule="exact"/>
        <w:ind w:right="0" w:rightChars="0" w:firstLine="600" w:firstLineChars="2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 5. 服务周期：根据项目要求，编制加油站突发环境事件应急预案、突发环境风险评估报告，并取得备案回执单。</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6、本次竞争性比选不接受联合体。</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r>
        <w:rPr>
          <w:rFonts w:hint="eastAsia" w:ascii="宋体" w:hAnsi="宋体" w:eastAsia="宋体" w:cs="宋体"/>
          <w:b/>
          <w:bCs/>
          <w:kern w:val="1"/>
          <w:sz w:val="28"/>
          <w:szCs w:val="28"/>
          <w:shd w:val="clear" w:color="auto" w:fill="FFFFFF"/>
          <w:lang w:val="en-US" w:eastAsia="zh-CN"/>
        </w:rPr>
        <w:t>三、竞争性比选申请人资格要求：</w:t>
      </w:r>
      <w:bookmarkStart w:id="11" w:name="_Toc152042298"/>
      <w:bookmarkEnd w:id="11"/>
      <w:bookmarkStart w:id="12" w:name="_Toc246996912"/>
      <w:bookmarkEnd w:id="12"/>
      <w:bookmarkStart w:id="13" w:name="_Toc144974490"/>
      <w:bookmarkEnd w:id="13"/>
      <w:bookmarkStart w:id="14" w:name="_Toc179632539"/>
      <w:bookmarkEnd w:id="14"/>
      <w:bookmarkStart w:id="15" w:name="_Toc296602413"/>
      <w:bookmarkEnd w:id="15"/>
      <w:bookmarkStart w:id="16" w:name="_Toc246996169"/>
      <w:bookmarkEnd w:id="16"/>
      <w:bookmarkStart w:id="17" w:name="_Toc247085683"/>
      <w:bookmarkEnd w:id="17"/>
      <w:bookmarkStart w:id="18" w:name="_Toc152045522"/>
      <w:bookmarkEnd w:id="18"/>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1.竞标人应是中华人民共和国的独立法人单位，必须遵守有关法律法规的规定，所提供的成果应符合国家规范、标准以及招标人的要求。</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2.具备有效的营业执照。</w:t>
      </w:r>
    </w:p>
    <w:p>
      <w:pPr>
        <w:spacing w:line="400" w:lineRule="exact"/>
        <w:ind w:firstLine="562" w:firstLineChars="200"/>
        <w:rPr>
          <w:rFonts w:hint="eastAsia" w:ascii="宋体" w:hAnsi="宋体" w:eastAsia="宋体" w:cs="宋体"/>
          <w:b/>
          <w:bCs/>
          <w:kern w:val="1"/>
          <w:sz w:val="28"/>
          <w:szCs w:val="28"/>
          <w:shd w:val="clear" w:color="auto" w:fill="FFFFFF"/>
          <w:lang w:val="en-US" w:eastAsia="zh-CN"/>
        </w:rPr>
      </w:pPr>
      <w:r>
        <w:rPr>
          <w:rFonts w:hint="eastAsia" w:ascii="宋体" w:hAnsi="宋体" w:eastAsia="宋体" w:cs="宋体"/>
          <w:b/>
          <w:bCs/>
          <w:kern w:val="1"/>
          <w:sz w:val="28"/>
          <w:szCs w:val="28"/>
          <w:shd w:val="clear" w:color="auto" w:fill="FFFFFF"/>
          <w:lang w:val="en-US" w:eastAsia="zh-CN"/>
        </w:rPr>
        <w:t>四、业绩要求：</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1、2018年1月1日至比选截止日止（以合同签订时间为准），完成环境突发事件应急预案、突发环境风险评估报告编制业绩达到2个及以上。</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FF0000"/>
          <w:sz w:val="30"/>
          <w:szCs w:val="30"/>
          <w:highlight w:val="none"/>
          <w:lang w:val="en-US" w:eastAsia="zh-CN"/>
        </w:rPr>
      </w:pPr>
    </w:p>
    <w:p>
      <w:pPr>
        <w:spacing w:line="400" w:lineRule="exact"/>
        <w:ind w:firstLine="562" w:firstLineChars="200"/>
        <w:rPr>
          <w:rFonts w:hint="default"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五</w:t>
      </w:r>
      <w:r>
        <w:rPr>
          <w:rFonts w:hint="eastAsia" w:ascii="宋体" w:hAnsi="宋体" w:cs="宋体"/>
          <w:b/>
          <w:bCs/>
          <w:kern w:val="1"/>
          <w:sz w:val="28"/>
          <w:szCs w:val="28"/>
          <w:shd w:val="clear" w:color="auto" w:fill="FFFFFF"/>
          <w:lang w:eastAsia="zh-CN"/>
        </w:rPr>
        <w:t>、</w:t>
      </w:r>
      <w:r>
        <w:rPr>
          <w:rFonts w:hint="eastAsia" w:ascii="宋体" w:hAnsi="宋体" w:cs="宋体"/>
          <w:b/>
          <w:bCs/>
          <w:kern w:val="1"/>
          <w:sz w:val="28"/>
          <w:szCs w:val="28"/>
          <w:shd w:val="clear" w:color="auto" w:fill="FFFFFF"/>
          <w:lang w:val="en-US" w:eastAsia="zh-CN"/>
        </w:rPr>
        <w:t>报价须知</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项目拟根据国家现行法律法规、《重庆市招标投标条例》及高速集团、资产公司相关规定，并结合公司具体情况，本项目拟在高速集团招投标平台公开挂网竞争性比选。高速集团官网：http://www.cegc.com.cn/gw/inde高速集团招投标平台：</w:t>
      </w:r>
      <w:r>
        <w:rPr>
          <w:rFonts w:hint="eastAsia" w:ascii="方正仿宋_GBK" w:hAnsi="方正仿宋_GBK" w:eastAsia="方正仿宋_GBK" w:cs="方正仿宋_GBK"/>
          <w:color w:val="000000"/>
          <w:sz w:val="30"/>
          <w:szCs w:val="30"/>
          <w:highlight w:val="none"/>
          <w:lang w:val="en-US" w:eastAsia="zh-CN"/>
        </w:rPr>
        <w:fldChar w:fldCharType="begin"/>
      </w:r>
      <w:r>
        <w:rPr>
          <w:rFonts w:hint="eastAsia" w:ascii="方正仿宋_GBK" w:hAnsi="方正仿宋_GBK" w:eastAsia="方正仿宋_GBK" w:cs="方正仿宋_GBK"/>
          <w:color w:val="000000"/>
          <w:sz w:val="30"/>
          <w:szCs w:val="30"/>
          <w:highlight w:val="none"/>
          <w:lang w:val="en-US" w:eastAsia="zh-CN"/>
        </w:rPr>
        <w:instrText xml:space="preserve"> HYPERLINK "http://43.240.249.108:8088" </w:instrText>
      </w:r>
      <w:r>
        <w:rPr>
          <w:rFonts w:hint="eastAsia" w:ascii="方正仿宋_GBK" w:hAnsi="方正仿宋_GBK" w:eastAsia="方正仿宋_GBK" w:cs="方正仿宋_GBK"/>
          <w:color w:val="000000"/>
          <w:sz w:val="30"/>
          <w:szCs w:val="30"/>
          <w:highlight w:val="none"/>
          <w:lang w:val="en-US" w:eastAsia="zh-CN"/>
        </w:rPr>
        <w:fldChar w:fldCharType="separate"/>
      </w:r>
      <w:r>
        <w:rPr>
          <w:rFonts w:hint="eastAsia" w:ascii="方正仿宋_GBK" w:hAnsi="方正仿宋_GBK" w:eastAsia="方正仿宋_GBK" w:cs="方正仿宋_GBK"/>
          <w:color w:val="000000"/>
          <w:sz w:val="30"/>
          <w:szCs w:val="30"/>
          <w:highlight w:val="none"/>
          <w:lang w:val="en-US" w:eastAsia="zh-CN"/>
        </w:rPr>
        <w:t>http://43.240.249.108:8088</w:t>
      </w:r>
      <w:r>
        <w:rPr>
          <w:rFonts w:hint="eastAsia" w:ascii="方正仿宋_GBK" w:hAnsi="方正仿宋_GBK" w:eastAsia="方正仿宋_GBK" w:cs="方正仿宋_GBK"/>
          <w:color w:val="000000"/>
          <w:sz w:val="30"/>
          <w:szCs w:val="30"/>
          <w:highlight w:val="none"/>
          <w:lang w:val="en-US" w:eastAsia="zh-CN"/>
        </w:rPr>
        <w:fldChar w:fldCharType="end"/>
      </w:r>
      <w:r>
        <w:rPr>
          <w:rFonts w:hint="eastAsia" w:ascii="方正仿宋_GBK" w:hAnsi="方正仿宋_GBK" w:eastAsia="方正仿宋_GBK" w:cs="方正仿宋_GBK"/>
          <w:color w:val="000000"/>
          <w:sz w:val="30"/>
          <w:szCs w:val="30"/>
          <w:highlight w:val="none"/>
          <w:lang w:val="en-US" w:eastAsia="zh-CN"/>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（一）比选申请人按照比选人给出的要求提供加油站环境突发事件应急预案及突发环境评估报告进行编制、备案服务，比选申请人按比选文件给定的报价清单进行报价，不得改动。</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（二）因承包本合同服务需缴纳的一切税费均由比选申请人承担（含税金），在服务过程中所有税费均由比选申请人自行缴纳，费用包含在价格中，不再进行单独报价；</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（三）竞争性比选申请人不得修改服务内容及暂定金额。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 w:hAnsi="楷体" w:eastAsia="楷体" w:cs="楷体"/>
          <w:b w:val="0"/>
          <w:bCs w:val="0"/>
          <w:color w:val="000000"/>
          <w:sz w:val="32"/>
          <w:szCs w:val="32"/>
          <w:lang w:val="en-US" w:eastAsia="zh-CN"/>
        </w:rPr>
      </w:pPr>
      <w:r>
        <w:rPr>
          <w:rFonts w:hint="eastAsia" w:ascii="宋体" w:hAnsi="宋体" w:cs="宋体"/>
          <w:b/>
          <w:bCs/>
          <w:kern w:val="1"/>
          <w:sz w:val="28"/>
          <w:szCs w:val="28"/>
          <w:shd w:val="clear" w:color="auto" w:fill="FFFFFF"/>
          <w:lang w:val="en-US" w:eastAsia="zh-CN"/>
        </w:rPr>
        <w:t xml:space="preserve">六、付款方式 </w:t>
      </w:r>
      <w:r>
        <w:rPr>
          <w:rFonts w:hint="eastAsia" w:ascii="楷体" w:hAnsi="楷体" w:eastAsia="楷体" w:cs="楷体"/>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本合同签订后，编制过程中甲方不向乙方支付项目任何进度款项，待乙方完成《加油站突发环境事件应急预案》、《突发环境影响评价报告》编制工作并取得属地职能部门备案回执后,甲方应在10个工作日内向乙方支付合同所有款项，甲方支付款项前，乙方应提供合法有效等额的增值税专用发票及付款申请，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宋体" w:hAnsi="宋体" w:cs="宋体"/>
          <w:b/>
          <w:bCs/>
          <w:kern w:val="1"/>
          <w:sz w:val="28"/>
          <w:szCs w:val="28"/>
          <w:shd w:val="clear" w:color="auto" w:fill="FFFFFF"/>
          <w:lang w:val="en-US" w:eastAsia="zh-CN"/>
        </w:rPr>
      </w:pPr>
      <w:r>
        <w:rPr>
          <w:rFonts w:hint="eastAsia" w:ascii="楷体" w:hAnsi="楷体" w:eastAsia="楷体" w:cs="楷体"/>
          <w:color w:val="000000"/>
          <w:sz w:val="32"/>
          <w:szCs w:val="32"/>
          <w:lang w:val="en-US" w:eastAsia="zh-CN"/>
        </w:rPr>
        <w:t xml:space="preserve">    </w:t>
      </w:r>
      <w:r>
        <w:rPr>
          <w:rFonts w:hint="eastAsia" w:ascii="宋体" w:hAnsi="宋体" w:cs="宋体"/>
          <w:b/>
          <w:bCs/>
          <w:kern w:val="1"/>
          <w:sz w:val="28"/>
          <w:szCs w:val="28"/>
          <w:shd w:val="clear" w:color="auto" w:fill="FFFFFF"/>
          <w:lang w:val="en-US" w:eastAsia="zh-CN"/>
        </w:rPr>
        <w:t>七、廉政约定</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举报传真：86063759</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我司承诺：对所有举报信息及时调查处理，对举报来源严格保守秘密，对举报单位因举报所可能遭受的利益损害采取特别措施予以保护。</w:t>
      </w:r>
    </w:p>
    <w:p>
      <w:pPr>
        <w:pStyle w:val="2"/>
        <w:keepNext w:val="0"/>
        <w:keepLines w:val="0"/>
        <w:pageBreakBefore w:val="0"/>
        <w:widowControl w:val="0"/>
        <w:numPr>
          <w:ilvl w:val="0"/>
          <w:numId w:val="1"/>
        </w:numPr>
        <w:kinsoku/>
        <w:wordWrap/>
        <w:overflowPunct/>
        <w:topLinePunct w:val="0"/>
        <w:autoSpaceDE/>
        <w:autoSpaceDN/>
        <w:bidi w:val="0"/>
        <w:adjustRightInd/>
        <w:snapToGrid/>
        <w:ind w:firstLine="602" w:firstLineChars="2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其他约定</w:t>
      </w:r>
    </w:p>
    <w:p>
      <w:pPr>
        <w:pStyle w:val="2"/>
        <w:keepNext w:val="0"/>
        <w:keepLines w:val="0"/>
        <w:pageBreakBefore w:val="0"/>
        <w:widowControl w:val="0"/>
        <w:numPr>
          <w:numId w:val="0"/>
        </w:numPr>
        <w:kinsoku/>
        <w:wordWrap/>
        <w:overflowPunct/>
        <w:topLinePunct w:val="0"/>
        <w:autoSpaceDE/>
        <w:autoSpaceDN/>
        <w:bidi w:val="0"/>
        <w:adjustRightInd/>
        <w:snapToGrid/>
        <w:ind w:firstLine="562" w:firstLineChars="200"/>
        <w:textAlignment w:val="auto"/>
        <w:rPr>
          <w:rFonts w:hint="eastAsia"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以下原因造成的经济损失由乙方全权承担：</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textAlignment w:val="auto"/>
        <w:rPr>
          <w:rFonts w:hint="eastAsia" w:ascii="方正仿宋_GBK" w:hAnsi="方正仿宋_GBK" w:eastAsia="方正仿宋_GBK" w:cs="方正仿宋_GBK"/>
          <w:b w:val="0"/>
          <w:bCs w:val="0"/>
          <w:caps w:val="0"/>
          <w:color w:val="000000"/>
          <w:kern w:val="2"/>
          <w:sz w:val="30"/>
          <w:szCs w:val="30"/>
          <w:highlight w:val="none"/>
          <w:lang w:val="en-US" w:eastAsia="zh-CN" w:bidi="ar-SA"/>
        </w:rPr>
      </w:pPr>
      <w:r>
        <w:rPr>
          <w:rFonts w:hint="eastAsia" w:ascii="方正仿宋_GBK" w:hAnsi="方正仿宋_GBK" w:eastAsia="方正仿宋_GBK" w:cs="方正仿宋_GBK"/>
          <w:b w:val="0"/>
          <w:bCs w:val="0"/>
          <w:caps w:val="0"/>
          <w:color w:val="000000"/>
          <w:kern w:val="2"/>
          <w:sz w:val="30"/>
          <w:szCs w:val="30"/>
          <w:highlight w:val="none"/>
          <w:lang w:val="en-US" w:eastAsia="zh-CN" w:bidi="ar-SA"/>
        </w:rPr>
        <w:t>乙方未按时完成加油站环境突发事件应急预案及突发环境评估报告进行编制、备案项目，导致甲方受到相应职能部门处罚；</w:t>
      </w:r>
    </w:p>
    <w:p>
      <w:pPr>
        <w:keepNext w:val="0"/>
        <w:keepLines w:val="0"/>
        <w:pageBreakBefore w:val="0"/>
        <w:widowControl w:val="0"/>
        <w:numPr>
          <w:ilvl w:val="0"/>
          <w:numId w:val="2"/>
        </w:numPr>
        <w:kinsoku/>
        <w:wordWrap/>
        <w:overflowPunct/>
        <w:topLinePunct w:val="0"/>
        <w:autoSpaceDE/>
        <w:autoSpaceDN/>
        <w:bidi w:val="0"/>
        <w:adjustRightInd/>
        <w:snapToGrid/>
        <w:ind w:firstLine="600" w:firstLineChars="200"/>
        <w:textAlignment w:val="auto"/>
        <w:rPr>
          <w:rFonts w:hint="default" w:ascii="方正仿宋_GBK" w:hAnsi="方正仿宋_GBK" w:eastAsia="方正仿宋_GBK" w:cs="方正仿宋_GBK"/>
          <w:b w:val="0"/>
          <w:bCs w:val="0"/>
          <w:caps w:val="0"/>
          <w:color w:val="000000"/>
          <w:kern w:val="2"/>
          <w:sz w:val="30"/>
          <w:szCs w:val="30"/>
          <w:highlight w:val="none"/>
          <w:lang w:val="en-US" w:eastAsia="zh-CN" w:bidi="ar-SA"/>
        </w:rPr>
      </w:pPr>
      <w:r>
        <w:rPr>
          <w:rFonts w:hint="eastAsia" w:ascii="方正仿宋_GBK" w:hAnsi="方正仿宋_GBK" w:eastAsia="方正仿宋_GBK" w:cs="方正仿宋_GBK"/>
          <w:b w:val="0"/>
          <w:bCs w:val="0"/>
          <w:caps w:val="0"/>
          <w:color w:val="000000"/>
          <w:kern w:val="2"/>
          <w:sz w:val="30"/>
          <w:szCs w:val="30"/>
          <w:highlight w:val="none"/>
          <w:lang w:val="en-US" w:eastAsia="zh-CN" w:bidi="ar-SA"/>
        </w:rPr>
        <w:t>乙方所编制的加油站环境突发事件应急预案及突发环境评估报告不符合相关规定，导致甲方受到相应职能部门处罚；</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lang w:val="en-US" w:eastAsia="zh-CN"/>
        </w:rPr>
      </w:pPr>
      <w:r>
        <w:rPr>
          <w:rFonts w:hint="eastAsia" w:ascii="方正仿宋_GBK" w:hAnsi="方正仿宋_GBK" w:eastAsia="方正仿宋_GBK" w:cs="方正仿宋_GBK"/>
          <w:color w:val="000000"/>
          <w:sz w:val="30"/>
          <w:szCs w:val="30"/>
          <w:highlight w:val="none"/>
          <w:lang w:val="en-US" w:eastAsia="zh-CN"/>
        </w:rPr>
        <w:t>（三）乙方所编制的加油站环境突发事件应急预案及突发环境评估报告不符合相关规定，导致甲方加油站停业的经济损失。</w:t>
      </w:r>
    </w:p>
    <w:p>
      <w:pPr>
        <w:pStyle w:val="2"/>
        <w:keepNext w:val="0"/>
        <w:keepLines w:val="0"/>
        <w:pageBreakBefore w:val="0"/>
        <w:widowControl w:val="0"/>
        <w:numPr>
          <w:numId w:val="0"/>
        </w:numPr>
        <w:kinsoku/>
        <w:wordWrap/>
        <w:overflowPunct/>
        <w:topLinePunct w:val="0"/>
        <w:autoSpaceDE/>
        <w:autoSpaceDN/>
        <w:bidi w:val="0"/>
        <w:adjustRightInd/>
        <w:snapToGrid/>
        <w:ind w:firstLine="562" w:firstLineChars="2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宋体" w:hAnsi="宋体" w:cs="宋体"/>
          <w:b/>
          <w:bCs/>
          <w:kern w:val="1"/>
          <w:sz w:val="28"/>
          <w:szCs w:val="28"/>
          <w:shd w:val="clear" w:color="auto" w:fill="FFFFFF"/>
          <w:lang w:val="en-US" w:eastAsia="zh-CN"/>
        </w:rPr>
        <w:t>九、联系方式</w:t>
      </w:r>
    </w:p>
    <w:p>
      <w:pPr>
        <w:spacing w:line="360" w:lineRule="exact"/>
        <w:ind w:firstLine="1200" w:firstLineChars="400"/>
        <w:jc w:val="left"/>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经办联系人：刘老师           </w:t>
      </w:r>
    </w:p>
    <w:p>
      <w:pPr>
        <w:spacing w:line="360" w:lineRule="exact"/>
        <w:ind w:firstLine="1200" w:firstLineChars="400"/>
        <w:jc w:val="left"/>
        <w:rPr>
          <w:rFonts w:hint="default"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联系电话：13883822053</w:t>
      </w:r>
    </w:p>
    <w:p>
      <w:pPr>
        <w:keepNext w:val="0"/>
        <w:keepLines w:val="0"/>
        <w:pageBreakBefore w:val="0"/>
        <w:widowControl w:val="0"/>
        <w:kinsoku/>
        <w:wordWrap/>
        <w:overflowPunct/>
        <w:topLinePunct w:val="0"/>
        <w:autoSpaceDE/>
        <w:autoSpaceDN/>
        <w:bidi w:val="0"/>
        <w:spacing w:line="520" w:lineRule="exact"/>
        <w:ind w:right="0" w:rightChars="0" w:firstLine="1200" w:firstLineChars="4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地址：渝北区龙山街道龙脊路248号附6号3-1</w:t>
      </w:r>
    </w:p>
    <w:p>
      <w:pPr>
        <w:keepNext w:val="0"/>
        <w:keepLines w:val="0"/>
        <w:pageBreakBefore w:val="0"/>
        <w:widowControl w:val="0"/>
        <w:kinsoku/>
        <w:wordWrap/>
        <w:overflowPunct/>
        <w:topLinePunct w:val="0"/>
        <w:autoSpaceDE/>
        <w:autoSpaceDN/>
        <w:bidi w:val="0"/>
        <w:spacing w:line="520" w:lineRule="exact"/>
        <w:ind w:right="0" w:rightChars="0" w:firstLine="1200" w:firstLineChars="400"/>
        <w:textAlignment w:val="auto"/>
        <w:rPr>
          <w:rFonts w:hint="eastAsia" w:ascii="宋体" w:hAnsi="宋体" w:cs="宋体"/>
          <w:b/>
          <w:bCs/>
          <w:kern w:val="1"/>
          <w:sz w:val="28"/>
          <w:szCs w:val="28"/>
          <w:shd w:val="clear" w:color="auto" w:fill="FFFFFF"/>
          <w:lang w:val="en-US" w:eastAsia="zh-CN"/>
        </w:rPr>
      </w:pPr>
      <w:r>
        <w:rPr>
          <w:rFonts w:hint="eastAsia" w:ascii="方正仿宋_GBK" w:hAnsi="方正仿宋_GBK" w:eastAsia="方正仿宋_GBK" w:cs="方正仿宋_GBK"/>
          <w:color w:val="000000"/>
          <w:sz w:val="30"/>
          <w:szCs w:val="30"/>
          <w:highlight w:val="none"/>
          <w:lang w:val="en-US" w:eastAsia="zh-CN"/>
        </w:rPr>
        <w:t>邮编：400000</w:t>
      </w:r>
    </w:p>
    <w:p>
      <w:pPr>
        <w:spacing w:line="400" w:lineRule="exact"/>
        <w:ind w:firstLine="562" w:firstLineChars="200"/>
        <w:rPr>
          <w:rFonts w:hint="eastAsia" w:ascii="宋体" w:hAnsi="宋体" w:cs="宋体"/>
          <w:b/>
          <w:bCs/>
          <w:kern w:val="1"/>
          <w:sz w:val="28"/>
          <w:szCs w:val="28"/>
          <w:shd w:val="clear" w:color="auto" w:fill="FFFFFF"/>
          <w:lang w:val="en-US" w:eastAsia="zh-CN"/>
        </w:rPr>
      </w:pPr>
      <w:r>
        <w:rPr>
          <w:rFonts w:hint="eastAsia" w:ascii="宋体" w:hAnsi="宋体" w:cs="宋体"/>
          <w:b/>
          <w:bCs/>
          <w:kern w:val="1"/>
          <w:sz w:val="28"/>
          <w:szCs w:val="28"/>
          <w:shd w:val="clear" w:color="auto" w:fill="FFFFFF"/>
          <w:lang w:val="en-US" w:eastAsia="zh-CN"/>
        </w:rPr>
        <w:t>十、报价文件递交时间及开标时间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（一）报价文件</w:t>
      </w:r>
      <w:bookmarkStart w:id="23" w:name="_GoBack"/>
      <w:bookmarkEnd w:id="23"/>
      <w:r>
        <w:rPr>
          <w:rFonts w:hint="eastAsia" w:ascii="方正仿宋_GBK" w:hAnsi="方正仿宋_GBK" w:eastAsia="方正仿宋_GBK" w:cs="方正仿宋_GBK"/>
          <w:color w:val="000000"/>
          <w:sz w:val="30"/>
          <w:szCs w:val="30"/>
          <w:highlight w:val="none"/>
          <w:lang w:val="en-US" w:eastAsia="zh-CN"/>
        </w:rPr>
        <w:t>递交时间</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2022年6月16日，截止时间为上午10：00(北京时间)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（二）报价文件递交地点</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重庆高速国储能源投资有限公司大会议室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（三）报价文件开标时间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 xml:space="preserve"> 2022年6月16日上午10:00（北京时间）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（四）报价文件开标地点</w:t>
      </w:r>
    </w:p>
    <w:p>
      <w:pPr>
        <w:keepNext w:val="0"/>
        <w:keepLines w:val="0"/>
        <w:pageBreakBefore w:val="0"/>
        <w:widowControl w:val="0"/>
        <w:kinsoku/>
        <w:wordWrap/>
        <w:overflowPunct/>
        <w:topLinePunct w:val="0"/>
        <w:autoSpaceDE/>
        <w:autoSpaceDN/>
        <w:bidi w:val="0"/>
        <w:spacing w:line="520" w:lineRule="exact"/>
        <w:ind w:right="0" w:rightChars="0" w:firstLine="900" w:firstLineChars="300"/>
        <w:textAlignment w:val="auto"/>
        <w:rPr>
          <w:rFonts w:hint="eastAsia" w:ascii="方正仿宋_GBK" w:hAnsi="方正仿宋_GBK" w:eastAsia="方正仿宋_GBK" w:cs="方正仿宋_GBK"/>
          <w:color w:val="000000"/>
          <w:sz w:val="30"/>
          <w:szCs w:val="30"/>
          <w:highlight w:val="none"/>
          <w:lang w:val="en-US" w:eastAsia="zh-CN"/>
        </w:rPr>
      </w:pPr>
      <w:r>
        <w:rPr>
          <w:rFonts w:hint="eastAsia" w:ascii="方正仿宋_GBK" w:hAnsi="方正仿宋_GBK" w:eastAsia="方正仿宋_GBK" w:cs="方正仿宋_GBK"/>
          <w:color w:val="000000"/>
          <w:sz w:val="30"/>
          <w:szCs w:val="30"/>
          <w:highlight w:val="none"/>
          <w:lang w:val="en-US" w:eastAsia="zh-CN"/>
        </w:rPr>
        <w:t>重庆高速国储能源投资有限公司大会议室</w:t>
      </w: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ascii="方正仿宋_GBK" w:hAnsi="方正仿宋_GBK" w:eastAsia="方正仿宋_GBK" w:cs="方正仿宋_GBK"/>
          <w:color w:val="000000"/>
          <w:sz w:val="30"/>
          <w:szCs w:val="30"/>
          <w:highlight w:val="none"/>
          <w:lang w:val="en-US" w:eastAsia="zh-CN"/>
        </w:rPr>
      </w:pPr>
    </w:p>
    <w:p>
      <w:pPr>
        <w:rPr>
          <w:rFonts w:hint="eastAsia" w:ascii="方正仿宋_GBK" w:hAnsi="方正仿宋_GBK" w:eastAsia="方正仿宋_GBK" w:cs="方正仿宋_GBK"/>
          <w:color w:val="000000"/>
          <w:sz w:val="30"/>
          <w:szCs w:val="30"/>
          <w:highlight w:val="none"/>
          <w:lang w:val="en-US" w:eastAsia="zh-CN"/>
        </w:rPr>
      </w:pPr>
    </w:p>
    <w:p>
      <w:pPr>
        <w:pStyle w:val="2"/>
        <w:rPr>
          <w:rFonts w:hint="eastAsia"/>
          <w:lang w:val="en-US" w:eastAsia="zh-CN"/>
        </w:rPr>
      </w:pPr>
    </w:p>
    <w:p>
      <w:pPr>
        <w:pStyle w:val="3"/>
        <w:keepLines w:val="0"/>
        <w:numPr>
          <w:ilvl w:val="0"/>
          <w:numId w:val="3"/>
        </w:numPr>
        <w:tabs>
          <w:tab w:val="left" w:pos="1530"/>
          <w:tab w:val="left" w:pos="3360"/>
          <w:tab w:val="left" w:pos="4082"/>
        </w:tabs>
        <w:snapToGrid w:val="0"/>
        <w:spacing w:before="0" w:after="0" w:line="360" w:lineRule="auto"/>
        <w:jc w:val="center"/>
      </w:pPr>
      <w:r>
        <w:rPr>
          <w:rFonts w:hint="eastAsia" w:ascii="宋体" w:hAnsi="宋体"/>
          <w:shd w:val="clear" w:color="auto" w:fill="FFFFFF"/>
        </w:rPr>
        <w:t>评标办法</w:t>
      </w:r>
    </w:p>
    <w:p>
      <w:pPr>
        <w:spacing w:line="400" w:lineRule="exact"/>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评标办法（本项目采用综合评估法）：</w:t>
      </w:r>
    </w:p>
    <w:tbl>
      <w:tblPr>
        <w:tblStyle w:val="10"/>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初步评审</w:t>
            </w:r>
          </w:p>
        </w:tc>
        <w:tc>
          <w:tcPr>
            <w:tcW w:w="8221" w:type="dxa"/>
            <w:gridSpan w:val="3"/>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（1）竞争性比选申请文件按照竞争性比选文件规定的格式、内容填写，字迹清晰可辨； </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（2）竞争性比选申请文件上法定代表人或其授权代理人的签字、比选申请人的单位公章齐全，符合竞争性比选文件规定；</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（3）比选申请人按照前述要求提供了法定代表人的授权委托书或法定代表人身份证明；</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（4）比选申请人资格符合竞争性比选文件规定的资格要求；</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（5）比选申请人未提供虚假资料；</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（6）在报价书上填写了竞标总价（包括大写金额和小写金额），竞标总价和全费用综合单价不得高于比选人公布的相应最高限价，且报价唯一；</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详细评审</w:t>
            </w:r>
          </w:p>
        </w:tc>
        <w:tc>
          <w:tcPr>
            <w:tcW w:w="8221" w:type="dxa"/>
            <w:gridSpan w:val="3"/>
            <w:vAlign w:val="center"/>
          </w:tcPr>
          <w:p>
            <w:pPr>
              <w:spacing w:line="400" w:lineRule="exact"/>
              <w:jc w:val="left"/>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w:t>
            </w:r>
            <w:r>
              <w:rPr>
                <w:rFonts w:hint="eastAsia" w:ascii="楷体" w:hAnsi="楷体" w:eastAsia="楷体" w:cs="楷体"/>
                <w:color w:val="000000" w:themeColor="text1"/>
                <w:szCs w:val="21"/>
                <w:highlight w:val="none"/>
                <w14:textFill>
                  <w14:solidFill>
                    <w14:schemeClr w14:val="tx1"/>
                  </w14:solidFill>
                </w14:textFill>
              </w:rPr>
              <w:tab/>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b/>
                <w:color w:val="000000" w:themeColor="text1"/>
                <w:szCs w:val="21"/>
                <w:highlight w:val="none"/>
                <w14:textFill>
                  <w14:solidFill>
                    <w14:schemeClr w14:val="tx1"/>
                  </w14:solidFill>
                </w14:textFill>
              </w:rPr>
              <w:t>评分值</w:t>
            </w:r>
          </w:p>
          <w:p>
            <w:pPr>
              <w:spacing w:line="400" w:lineRule="exact"/>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 xml:space="preserve">（一）技术部分：                            </w:t>
            </w:r>
            <w:r>
              <w:rPr>
                <w:rFonts w:hint="eastAsia" w:ascii="楷体" w:hAnsi="楷体" w:eastAsia="楷体" w:cs="楷体"/>
                <w:color w:val="000000" w:themeColor="text1"/>
                <w:highlight w:val="none"/>
                <w:u w:val="single"/>
                <w:lang w:val="en-US" w:eastAsia="zh-CN"/>
                <w14:textFill>
                  <w14:solidFill>
                    <w14:schemeClr w14:val="tx1"/>
                  </w14:solidFill>
                </w14:textFill>
              </w:rPr>
              <w:t>20</w:t>
            </w:r>
            <w:r>
              <w:rPr>
                <w:rFonts w:hint="eastAsia" w:ascii="楷体" w:hAnsi="楷体" w:eastAsia="楷体" w:cs="楷体"/>
                <w:color w:val="000000" w:themeColor="text1"/>
                <w:highlight w:val="none"/>
                <w:u w:val="single"/>
                <w14:textFill>
                  <w14:solidFill>
                    <w14:schemeClr w14:val="tx1"/>
                  </w14:solidFill>
                </w14:textFill>
              </w:rPr>
              <w:t>分</w:t>
            </w:r>
          </w:p>
          <w:p>
            <w:pPr>
              <w:spacing w:line="400" w:lineRule="exact"/>
              <w:rPr>
                <w:rFonts w:hint="eastAsia" w:ascii="楷体" w:hAnsi="楷体" w:eastAsia="楷体" w:cs="楷体"/>
                <w:color w:val="000000" w:themeColor="text1"/>
                <w:highlight w:val="none"/>
                <w:u w:val="single"/>
                <w:lang w:val="en-US" w:eastAsia="zh-CN"/>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（二）</w:t>
            </w:r>
            <w:r>
              <w:rPr>
                <w:rFonts w:hint="eastAsia" w:ascii="楷体" w:hAnsi="楷体" w:eastAsia="楷体" w:cs="楷体"/>
                <w:color w:val="000000" w:themeColor="text1"/>
                <w:szCs w:val="21"/>
                <w:highlight w:val="none"/>
                <w:lang w:val="en-US" w:eastAsia="zh-CN"/>
                <w14:textFill>
                  <w14:solidFill>
                    <w14:schemeClr w14:val="tx1"/>
                  </w14:solidFill>
                </w14:textFill>
              </w:rPr>
              <w:t xml:space="preserve">商务部分                            </w:t>
            </w:r>
            <w:r>
              <w:rPr>
                <w:rFonts w:hint="eastAsia" w:ascii="楷体" w:hAnsi="楷体" w:eastAsia="楷体" w:cs="楷体"/>
                <w:color w:val="000000" w:themeColor="text1"/>
                <w:szCs w:val="21"/>
                <w:highlight w:val="none"/>
                <w:u w:val="single"/>
                <w:lang w:val="en-US" w:eastAsia="zh-CN"/>
                <w14:textFill>
                  <w14:solidFill>
                    <w14:schemeClr w14:val="tx1"/>
                  </w14:solidFill>
                </w14:textFill>
              </w:rPr>
              <w:t xml:space="preserve">  30分</w:t>
            </w:r>
          </w:p>
          <w:p>
            <w:pPr>
              <w:spacing w:line="400" w:lineRule="exact"/>
              <w:rPr>
                <w:rFonts w:hint="eastAsia" w:ascii="楷体" w:hAnsi="楷体" w:eastAsia="楷体" w:cs="楷体"/>
                <w:color w:val="000000" w:themeColor="text1"/>
                <w:szCs w:val="21"/>
                <w:highlight w:val="none"/>
                <w:u w:val="singl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（三）竞</w:t>
            </w:r>
            <w:r>
              <w:rPr>
                <w:rFonts w:hint="eastAsia" w:ascii="楷体" w:hAnsi="楷体" w:eastAsia="楷体" w:cs="楷体"/>
                <w:color w:val="000000" w:themeColor="text1"/>
                <w:szCs w:val="21"/>
                <w:highlight w:val="none"/>
                <w14:textFill>
                  <w14:solidFill>
                    <w14:schemeClr w14:val="tx1"/>
                  </w14:solidFill>
                </w14:textFill>
              </w:rPr>
              <w:t>标总报价：</w:t>
            </w:r>
            <w:r>
              <w:rPr>
                <w:rFonts w:hint="eastAsia" w:ascii="楷体" w:hAnsi="楷体" w:eastAsia="楷体" w:cs="楷体"/>
                <w:color w:val="000000" w:themeColor="text1"/>
                <w:szCs w:val="21"/>
                <w:highlight w:val="none"/>
                <w14:textFill>
                  <w14:solidFill>
                    <w14:schemeClr w14:val="tx1"/>
                  </w14:solidFill>
                </w14:textFill>
              </w:rPr>
              <w:tab/>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color w:val="000000" w:themeColor="text1"/>
                <w:szCs w:val="22"/>
                <w:highlight w:val="none"/>
                <w14:textFill>
                  <w14:solidFill>
                    <w14:schemeClr w14:val="tx1"/>
                  </w14:solidFill>
                </w14:textFill>
              </w:rPr>
              <w:t xml:space="preserve"> </w:t>
            </w:r>
            <w:r>
              <w:rPr>
                <w:rFonts w:hint="eastAsia" w:ascii="楷体" w:hAnsi="楷体" w:eastAsia="楷体" w:cs="楷体"/>
                <w:color w:val="000000" w:themeColor="text1"/>
                <w:szCs w:val="22"/>
                <w:highlight w:val="none"/>
                <w:u w:val="single"/>
                <w:lang w:val="en-US" w:eastAsia="zh-CN"/>
                <w14:textFill>
                  <w14:solidFill>
                    <w14:schemeClr w14:val="tx1"/>
                  </w14:solidFill>
                </w14:textFill>
              </w:rPr>
              <w:t>50</w:t>
            </w:r>
            <w:r>
              <w:rPr>
                <w:rFonts w:hint="eastAsia" w:ascii="楷体" w:hAnsi="楷体" w:eastAsia="楷体" w:cs="楷体"/>
                <w:color w:val="000000" w:themeColor="text1"/>
                <w:szCs w:val="22"/>
                <w:highlight w:val="none"/>
                <w:u w:val="singl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澄清</w:t>
            </w:r>
          </w:p>
        </w:tc>
        <w:tc>
          <w:tcPr>
            <w:tcW w:w="8221" w:type="dxa"/>
            <w:gridSpan w:val="3"/>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发生以下任意一情形的，作否决竞标处理：</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（1）竞标人拒绝确认算术性修正后的报价；</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（2）修正后的最终竞标报价超过最高限价；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视为竞标人相互串通竞标的情形</w:t>
            </w:r>
          </w:p>
        </w:tc>
        <w:tc>
          <w:tcPr>
            <w:tcW w:w="8221" w:type="dxa"/>
            <w:gridSpan w:val="3"/>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有下列情况之一的，视为竞标人相互串通竞标，做否决竞标处理。</w:t>
            </w:r>
          </w:p>
          <w:p>
            <w:pPr>
              <w:numPr>
                <w:ilvl w:val="0"/>
                <w:numId w:val="4"/>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不同比选申请人的竞争性比选申请文件由同一单位或者个人编制；</w:t>
            </w:r>
          </w:p>
          <w:p>
            <w:pPr>
              <w:numPr>
                <w:ilvl w:val="0"/>
                <w:numId w:val="4"/>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不同比选申请人委托同一单位或者个人办理竞标事宜；</w:t>
            </w:r>
          </w:p>
          <w:p>
            <w:pPr>
              <w:numPr>
                <w:ilvl w:val="0"/>
                <w:numId w:val="4"/>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载明的项目管理成员为同一人；</w:t>
            </w:r>
          </w:p>
          <w:p>
            <w:pPr>
              <w:numPr>
                <w:ilvl w:val="0"/>
                <w:numId w:val="4"/>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异常一致或者竞标报价呈规律性差异；</w:t>
            </w:r>
          </w:p>
          <w:p>
            <w:pPr>
              <w:numPr>
                <w:ilvl w:val="0"/>
                <w:numId w:val="4"/>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评审因素与评分值</w:t>
            </w:r>
          </w:p>
        </w:tc>
        <w:tc>
          <w:tcPr>
            <w:tcW w:w="5528" w:type="dxa"/>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序号</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w:t>
            </w:r>
          </w:p>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因素</w:t>
            </w:r>
          </w:p>
        </w:tc>
        <w:tc>
          <w:tcPr>
            <w:tcW w:w="1990"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评审因素评分值</w:t>
            </w:r>
          </w:p>
        </w:tc>
        <w:tc>
          <w:tcPr>
            <w:tcW w:w="5528" w:type="dxa"/>
            <w:vMerge w:val="continue"/>
            <w:vAlign w:val="center"/>
          </w:tcPr>
          <w:p>
            <w:pPr>
              <w:spacing w:line="400" w:lineRule="exact"/>
              <w:ind w:firstLine="210" w:firstLineChars="100"/>
              <w:rPr>
                <w:rFonts w:hint="eastAsia" w:ascii="楷体" w:hAnsi="楷体" w:eastAsia="楷体" w:cs="楷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（一）</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技术部分</w:t>
            </w:r>
          </w:p>
        </w:tc>
        <w:tc>
          <w:tcPr>
            <w:tcW w:w="1990" w:type="dxa"/>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编制内容全面性、工作程序及方法</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20</w:t>
            </w:r>
            <w:r>
              <w:rPr>
                <w:rFonts w:hint="eastAsia" w:ascii="楷体" w:hAnsi="楷体" w:eastAsia="楷体" w:cs="楷体"/>
                <w:color w:val="000000" w:themeColor="text1"/>
                <w:szCs w:val="21"/>
                <w:highlight w:val="none"/>
                <w14:textFill>
                  <w14:solidFill>
                    <w14:schemeClr w14:val="tx1"/>
                  </w14:solidFill>
                </w14:textFill>
              </w:rPr>
              <w:t>分）</w:t>
            </w:r>
          </w:p>
        </w:tc>
        <w:tc>
          <w:tcPr>
            <w:tcW w:w="5528" w:type="dxa"/>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方案内容齐全、表述清晰、符合国家有关的方针、政策</w:t>
            </w:r>
            <w:r>
              <w:rPr>
                <w:rFonts w:hint="eastAsia" w:ascii="楷体" w:hAnsi="楷体" w:eastAsia="楷体" w:cs="楷体"/>
                <w:color w:val="000000" w:themeColor="text1"/>
                <w:szCs w:val="21"/>
                <w:highlight w:val="none"/>
                <w:lang w:val="en-US" w:eastAsia="zh-CN"/>
                <w14:textFill>
                  <w14:solidFill>
                    <w14:schemeClr w14:val="tx1"/>
                  </w14:solidFill>
                </w14:textFill>
              </w:rPr>
              <w:t>1-20</w:t>
            </w:r>
            <w:r>
              <w:rPr>
                <w:rFonts w:hint="eastAsia" w:ascii="楷体" w:hAnsi="楷体" w:eastAsia="楷体" w:cs="楷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lang w:val="en-US" w:eastAsia="zh-CN"/>
                <w14:textFill>
                  <w14:solidFill>
                    <w14:schemeClr w14:val="tx1"/>
                  </w14:solidFill>
                </w14:textFill>
              </w:rPr>
            </w:pPr>
            <w:r>
              <w:rPr>
                <w:rFonts w:hint="eastAsia" w:ascii="楷体" w:hAnsi="楷体" w:eastAsia="楷体" w:cs="楷体"/>
                <w:b/>
                <w:color w:val="000000" w:themeColor="text1"/>
                <w:szCs w:val="21"/>
                <w:highlight w:val="none"/>
                <w:lang w:val="en-US" w:eastAsia="zh-CN"/>
                <w14:textFill>
                  <w14:solidFill>
                    <w14:schemeClr w14:val="tx1"/>
                  </w14:solidFill>
                </w14:textFill>
              </w:rPr>
              <w:t>（二）</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lang w:val="en-US" w:eastAsia="zh-CN"/>
                <w14:textFill>
                  <w14:solidFill>
                    <w14:schemeClr w14:val="tx1"/>
                  </w14:solidFill>
                </w14:textFill>
              </w:rPr>
            </w:pPr>
            <w:r>
              <w:rPr>
                <w:rFonts w:hint="eastAsia" w:ascii="楷体" w:hAnsi="楷体" w:eastAsia="楷体" w:cs="楷体"/>
                <w:b/>
                <w:color w:val="000000" w:themeColor="text1"/>
                <w:szCs w:val="21"/>
                <w:highlight w:val="none"/>
                <w:lang w:val="en-US" w:eastAsia="zh-CN"/>
                <w14:textFill>
                  <w14:solidFill>
                    <w14:schemeClr w14:val="tx1"/>
                  </w14:solidFill>
                </w14:textFill>
              </w:rPr>
              <w:t>商务部分</w:t>
            </w:r>
          </w:p>
        </w:tc>
        <w:tc>
          <w:tcPr>
            <w:tcW w:w="1990" w:type="dxa"/>
            <w:vAlign w:val="center"/>
          </w:tcPr>
          <w:p>
            <w:pPr>
              <w:spacing w:line="400" w:lineRule="exact"/>
              <w:jc w:val="center"/>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30分</w:t>
            </w:r>
          </w:p>
        </w:tc>
        <w:tc>
          <w:tcPr>
            <w:tcW w:w="5528" w:type="dxa"/>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满足业绩要求：</w:t>
            </w:r>
            <w:r>
              <w:rPr>
                <w:rFonts w:hint="eastAsia" w:ascii="楷体" w:hAnsi="楷体" w:eastAsia="楷体" w:cs="楷体"/>
                <w:color w:val="000000" w:themeColor="text1"/>
                <w:highlight w:val="none"/>
                <w:lang w:val="en-US" w:eastAsia="zh-CN"/>
                <w14:textFill>
                  <w14:solidFill>
                    <w14:schemeClr w14:val="tx1"/>
                  </w14:solidFill>
                </w14:textFill>
              </w:rPr>
              <w:t>2018年10月1至投标截止日期止（以合同签订时间为准）每提供一个符合要求的业绩得5分，满30分后，多出的业绩不加分</w:t>
            </w:r>
            <w:r>
              <w:rPr>
                <w:rFonts w:hint="eastAsia" w:ascii="楷体" w:hAnsi="楷体" w:eastAsia="楷体" w:cs="楷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w:t>
            </w:r>
            <w:r>
              <w:rPr>
                <w:rFonts w:hint="eastAsia" w:ascii="楷体" w:hAnsi="楷体" w:eastAsia="楷体" w:cs="楷体"/>
                <w:b/>
                <w:color w:val="000000" w:themeColor="text1"/>
                <w:szCs w:val="21"/>
                <w:highlight w:val="none"/>
                <w:lang w:val="en-US" w:eastAsia="zh-CN"/>
                <w14:textFill>
                  <w14:solidFill>
                    <w14:schemeClr w14:val="tx1"/>
                  </w14:solidFill>
                </w14:textFill>
              </w:rPr>
              <w:t>三</w:t>
            </w:r>
            <w:r>
              <w:rPr>
                <w:rFonts w:hint="eastAsia" w:ascii="楷体" w:hAnsi="楷体" w:eastAsia="楷体" w:cs="楷体"/>
                <w:b/>
                <w:color w:val="000000" w:themeColor="text1"/>
                <w:szCs w:val="21"/>
                <w:highlight w:val="none"/>
                <w14:textFill>
                  <w14:solidFill>
                    <w14:schemeClr w14:val="tx1"/>
                  </w14:solidFill>
                </w14:textFill>
              </w:rPr>
              <w:t>）</w:t>
            </w:r>
          </w:p>
        </w:tc>
        <w:tc>
          <w:tcPr>
            <w:tcW w:w="1270" w:type="dxa"/>
            <w:gridSpan w:val="2"/>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竞标总报价</w:t>
            </w:r>
          </w:p>
        </w:tc>
        <w:tc>
          <w:tcPr>
            <w:tcW w:w="1990" w:type="dxa"/>
            <w:vMerge w:val="restart"/>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50</w:t>
            </w:r>
            <w:r>
              <w:rPr>
                <w:rFonts w:hint="eastAsia" w:ascii="楷体" w:hAnsi="楷体" w:eastAsia="楷体" w:cs="楷体"/>
                <w:color w:val="000000" w:themeColor="text1"/>
                <w:szCs w:val="21"/>
                <w:highlight w:val="none"/>
                <w14:textFill>
                  <w14:solidFill>
                    <w14:schemeClr w14:val="tx1"/>
                  </w14:solidFill>
                </w14:textFill>
              </w:rPr>
              <w:t>分</w:t>
            </w:r>
          </w:p>
        </w:tc>
        <w:tc>
          <w:tcPr>
            <w:tcW w:w="5528" w:type="dxa"/>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竞标价的确定：竞标价＝报价书文字报价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1270" w:type="dxa"/>
            <w:gridSpan w:val="2"/>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1990" w:type="dxa"/>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5528" w:type="dxa"/>
          </w:tcPr>
          <w:p>
            <w:pPr>
              <w:pStyle w:val="5"/>
              <w:spacing w:line="400" w:lineRule="exact"/>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报价得分的计算程序：</w:t>
            </w:r>
          </w:p>
          <w:p>
            <w:pPr>
              <w:pStyle w:val="5"/>
              <w:spacing w:line="400" w:lineRule="exact"/>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（1）有效报价的确定：未通过初步评审的报价按否决竞标处理，不进行后续评审，并且不参与本项目评标基准价的计算。</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（2）报价基准价（D）的计算：</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a、有效报价大于5家时：所有被宣读报价（应为经修正后的）在有效报价范围内的竞标人报价，去掉一个最高报价和一个最低报价的算术平均值即为报价基准价（D）；</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b、有效报价小于或等于5家时：所有被宣读报价在有效报价范围内的竞标人报价的算术平均值即为报价基准价（D）； </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（3）当竞标人报价等于D时得满分（</w:t>
            </w:r>
            <w:r>
              <w:rPr>
                <w:rFonts w:hint="eastAsia" w:ascii="楷体" w:hAnsi="楷体" w:eastAsia="楷体" w:cs="楷体"/>
                <w:color w:val="000000" w:themeColor="text1"/>
                <w:szCs w:val="21"/>
                <w:highlight w:val="none"/>
                <w:lang w:val="en-US"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0分），</w:t>
            </w:r>
            <w:r>
              <w:rPr>
                <w:rFonts w:hint="eastAsia" w:ascii="楷体" w:hAnsi="楷体" w:eastAsia="楷体" w:cs="楷体"/>
                <w:color w:val="000000" w:themeColor="text1"/>
                <w:szCs w:val="21"/>
                <w14:textFill>
                  <w14:solidFill>
                    <w14:schemeClr w14:val="tx1"/>
                  </w14:solidFill>
                </w14:textFill>
              </w:rPr>
              <w:t>在此基础上，投标总报价与评标准基价相比，每增加1%扣</w:t>
            </w:r>
            <w:r>
              <w:rPr>
                <w:rFonts w:hint="eastAsia" w:ascii="楷体" w:hAnsi="楷体" w:eastAsia="楷体" w:cs="楷体"/>
                <w:color w:val="000000" w:themeColor="text1"/>
                <w:szCs w:val="21"/>
                <w:u w:val="single"/>
                <w14:textFill>
                  <w14:solidFill>
                    <w14:schemeClr w14:val="tx1"/>
                  </w14:solidFill>
                </w14:textFill>
              </w:rPr>
              <w:t>0.2</w:t>
            </w:r>
            <w:r>
              <w:rPr>
                <w:rFonts w:hint="eastAsia" w:ascii="楷体" w:hAnsi="楷体" w:eastAsia="楷体" w:cs="楷体"/>
                <w:color w:val="000000" w:themeColor="text1"/>
                <w:szCs w:val="21"/>
                <w14:textFill>
                  <w14:solidFill>
                    <w14:schemeClr w14:val="tx1"/>
                  </w14:solidFill>
                </w14:textFill>
              </w:rPr>
              <w:t>分，每减少1%扣</w:t>
            </w:r>
            <w:r>
              <w:rPr>
                <w:rFonts w:hint="eastAsia" w:ascii="楷体" w:hAnsi="楷体" w:eastAsia="楷体" w:cs="楷体"/>
                <w:color w:val="000000" w:themeColor="text1"/>
                <w:szCs w:val="21"/>
                <w:u w:val="single"/>
                <w14:textFill>
                  <w14:solidFill>
                    <w14:schemeClr w14:val="tx1"/>
                  </w14:solidFill>
                </w14:textFill>
              </w:rPr>
              <w:t>0.1</w:t>
            </w:r>
            <w:r>
              <w:rPr>
                <w:rFonts w:hint="eastAsia" w:ascii="楷体" w:hAnsi="楷体" w:eastAsia="楷体" w:cs="楷体"/>
                <w:color w:val="000000" w:themeColor="text1"/>
                <w:szCs w:val="21"/>
                <w14:textFill>
                  <w14:solidFill>
                    <w14:schemeClr w14:val="tx1"/>
                  </w14:solidFill>
                </w14:textFill>
              </w:rPr>
              <w:t>分。</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报价得分用公式表示如下：</w:t>
            </w:r>
          </w:p>
          <w:p>
            <w:pPr>
              <w:spacing w:line="400" w:lineRule="exact"/>
              <w:ind w:firstLine="480"/>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2"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5"/>
                          <pic:cNvPicPr>
                            <a:picLocks noChangeAspect="1"/>
                          </pic:cNvPicPr>
                        </pic:nvPicPr>
                        <pic:blipFill>
                          <a:blip r:embed="rId7"/>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p>
          <w:p>
            <w:pPr>
              <w:pStyle w:val="12"/>
              <w:rPr>
                <w:rFonts w:hint="eastAsia" w:ascii="楷体" w:hAnsi="楷体" w:eastAsia="楷体" w:cs="楷体"/>
                <w:color w:val="000000" w:themeColor="text1"/>
                <w:highlight w:val="none"/>
                <w14:textFill>
                  <w14:solidFill>
                    <w14:schemeClr w14:val="tx1"/>
                  </w14:solidFill>
                </w14:textFill>
              </w:rPr>
            </w:pP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式中：F</w:t>
            </w:r>
            <w:r>
              <w:rPr>
                <w:rFonts w:hint="eastAsia" w:ascii="楷体" w:hAnsi="楷体" w:eastAsia="楷体" w:cs="楷体"/>
                <w:color w:val="000000" w:themeColor="text1"/>
                <w:szCs w:val="21"/>
                <w:highlight w:val="none"/>
                <w:vertAlign w:val="subscript"/>
                <w14:textFill>
                  <w14:solidFill>
                    <w14:schemeClr w14:val="tx1"/>
                  </w14:solidFill>
                </w14:textFill>
              </w:rPr>
              <w:t>1</w:t>
            </w:r>
            <w:r>
              <w:rPr>
                <w:rFonts w:hint="eastAsia" w:ascii="楷体" w:hAnsi="楷体" w:eastAsia="楷体" w:cs="楷体"/>
                <w:color w:val="000000" w:themeColor="text1"/>
                <w:szCs w:val="21"/>
                <w:highlight w:val="none"/>
                <w14:textFill>
                  <w14:solidFill>
                    <w14:schemeClr w14:val="tx1"/>
                  </w14:solidFill>
                </w14:textFill>
              </w:rPr>
              <w:t>=报价得分；</w:t>
            </w:r>
          </w:p>
          <w:p>
            <w:pPr>
              <w:tabs>
                <w:tab w:val="left" w:pos="5060"/>
              </w:tabs>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F=</w:t>
            </w:r>
            <w:r>
              <w:rPr>
                <w:rFonts w:hint="eastAsia" w:ascii="楷体" w:hAnsi="楷体" w:eastAsia="楷体" w:cs="楷体"/>
                <w:color w:val="000000" w:themeColor="text1"/>
                <w:szCs w:val="21"/>
                <w:highlight w:val="none"/>
                <w:lang w:val="en-US" w:eastAsia="zh-CN"/>
                <w14:textFill>
                  <w14:solidFill>
                    <w14:schemeClr w14:val="tx1"/>
                  </w14:solidFill>
                </w14:textFill>
              </w:rPr>
              <w:t>5</w:t>
            </w:r>
            <w:r>
              <w:rPr>
                <w:rFonts w:hint="eastAsia" w:ascii="楷体" w:hAnsi="楷体" w:eastAsia="楷体" w:cs="楷体"/>
                <w:color w:val="000000" w:themeColor="text1"/>
                <w:szCs w:val="21"/>
                <w:highlight w:val="none"/>
                <w14:textFill>
                  <w14:solidFill>
                    <w14:schemeClr w14:val="tx1"/>
                  </w14:solidFill>
                </w14:textFill>
              </w:rPr>
              <w:t>0；</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D</w:t>
            </w:r>
            <w:r>
              <w:rPr>
                <w:rFonts w:hint="eastAsia" w:ascii="楷体" w:hAnsi="楷体" w:eastAsia="楷体" w:cs="楷体"/>
                <w:color w:val="000000" w:themeColor="text1"/>
                <w:szCs w:val="21"/>
                <w:highlight w:val="none"/>
                <w:vertAlign w:val="subscript"/>
                <w14:textFill>
                  <w14:solidFill>
                    <w14:schemeClr w14:val="tx1"/>
                  </w14:solidFill>
                </w14:textFill>
              </w:rPr>
              <w:t>1</w:t>
            </w:r>
            <w:r>
              <w:rPr>
                <w:rFonts w:hint="eastAsia" w:ascii="楷体" w:hAnsi="楷体" w:eastAsia="楷体" w:cs="楷体"/>
                <w:color w:val="000000" w:themeColor="text1"/>
                <w:szCs w:val="21"/>
                <w:highlight w:val="none"/>
                <w14:textFill>
                  <w14:solidFill>
                    <w14:schemeClr w14:val="tx1"/>
                  </w14:solidFill>
                </w14:textFill>
              </w:rPr>
              <w:t>=竞标人的报价；</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D=报价基准价。</w:t>
            </w:r>
          </w:p>
          <w:p>
            <w:pPr>
              <w:tabs>
                <w:tab w:val="left" w:pos="5920"/>
              </w:tabs>
              <w:spacing w:line="400" w:lineRule="exact"/>
              <w:ind w:firstLine="480"/>
              <w:rPr>
                <w:rFonts w:hint="eastAsia" w:ascii="楷体" w:hAnsi="楷体" w:eastAsia="楷体" w:cs="楷体"/>
                <w:color w:val="000000" w:themeColor="text1"/>
                <w:kern w:val="0"/>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若D</w:t>
            </w:r>
            <w:r>
              <w:rPr>
                <w:rFonts w:hint="eastAsia" w:ascii="楷体" w:hAnsi="楷体" w:eastAsia="楷体" w:cs="楷体"/>
                <w:b/>
                <w:bCs/>
                <w:color w:val="000000" w:themeColor="text1"/>
                <w:szCs w:val="21"/>
                <w:highlight w:val="none"/>
                <w:vertAlign w:val="subscript"/>
                <w14:textFill>
                  <w14:solidFill>
                    <w14:schemeClr w14:val="tx1"/>
                  </w14:solidFill>
                </w14:textFill>
              </w:rPr>
              <w:t>1</w:t>
            </w:r>
            <w:r>
              <w:rPr>
                <w:rFonts w:hint="eastAsia" w:ascii="楷体" w:hAnsi="楷体" w:eastAsia="楷体" w:cs="楷体"/>
                <w:b/>
                <w:bCs/>
                <w:color w:val="000000" w:themeColor="text1"/>
                <w:szCs w:val="21"/>
                <w:highlight w:val="none"/>
                <w14:textFill>
                  <w14:solidFill>
                    <w14:schemeClr w14:val="tx1"/>
                  </w14:solidFill>
                </w14:textFill>
              </w:rPr>
              <w:sym w:font="Symbol" w:char="F0B3"/>
            </w:r>
            <w:r>
              <w:rPr>
                <w:rFonts w:hint="eastAsia" w:ascii="楷体" w:hAnsi="楷体" w:eastAsia="楷体" w:cs="楷体"/>
                <w:b/>
                <w:bCs/>
                <w:color w:val="000000" w:themeColor="text1"/>
                <w:szCs w:val="21"/>
                <w:highlight w:val="none"/>
                <w14:textFill>
                  <w14:solidFill>
                    <w14:schemeClr w14:val="tx1"/>
                  </w14:solidFill>
                </w14:textFill>
              </w:rPr>
              <w:t>D，则E=</w:t>
            </w:r>
            <w:r>
              <w:rPr>
                <w:rFonts w:hint="eastAsia" w:ascii="楷体" w:hAnsi="楷体" w:eastAsia="楷体" w:cs="楷体"/>
                <w:b/>
                <w:bCs/>
                <w:color w:val="000000" w:themeColor="text1"/>
                <w:szCs w:val="21"/>
                <w:highlight w:val="none"/>
                <w:lang w:val="en-US" w:eastAsia="zh-CN"/>
                <w14:textFill>
                  <w14:solidFill>
                    <w14:schemeClr w14:val="tx1"/>
                  </w14:solidFill>
                </w14:textFill>
              </w:rPr>
              <w:t>0.2</w:t>
            </w:r>
            <w:r>
              <w:rPr>
                <w:rFonts w:hint="eastAsia" w:ascii="楷体" w:hAnsi="楷体" w:eastAsia="楷体" w:cs="楷体"/>
                <w:b/>
                <w:bCs/>
                <w:color w:val="000000" w:themeColor="text1"/>
                <w:szCs w:val="21"/>
                <w:highlight w:val="none"/>
                <w14:textFill>
                  <w14:solidFill>
                    <w14:schemeClr w14:val="tx1"/>
                  </w14:solidFill>
                </w14:textFill>
              </w:rPr>
              <w:t>；若D</w:t>
            </w:r>
            <w:r>
              <w:rPr>
                <w:rFonts w:hint="eastAsia" w:ascii="楷体" w:hAnsi="楷体" w:eastAsia="楷体" w:cs="楷体"/>
                <w:b/>
                <w:bCs/>
                <w:color w:val="000000" w:themeColor="text1"/>
                <w:szCs w:val="21"/>
                <w:highlight w:val="none"/>
                <w:vertAlign w:val="subscript"/>
                <w14:textFill>
                  <w14:solidFill>
                    <w14:schemeClr w14:val="tx1"/>
                  </w14:solidFill>
                </w14:textFill>
              </w:rPr>
              <w:t>1</w:t>
            </w:r>
            <w:r>
              <w:rPr>
                <w:rFonts w:hint="eastAsia" w:ascii="楷体" w:hAnsi="楷体" w:eastAsia="楷体" w:cs="楷体"/>
                <w:b/>
                <w:bCs/>
                <w:color w:val="000000" w:themeColor="text1"/>
                <w:szCs w:val="21"/>
                <w:highlight w:val="none"/>
                <w14:textFill>
                  <w14:solidFill>
                    <w14:schemeClr w14:val="tx1"/>
                  </w14:solidFill>
                </w14:textFill>
              </w:rPr>
              <w:t>&lt;D，则E=</w:t>
            </w:r>
            <w:r>
              <w:rPr>
                <w:rFonts w:hint="eastAsia" w:ascii="楷体" w:hAnsi="楷体" w:eastAsia="楷体" w:cs="楷体"/>
                <w:b/>
                <w:bCs/>
                <w:color w:val="000000" w:themeColor="text1"/>
                <w:szCs w:val="21"/>
                <w:highlight w:val="none"/>
                <w:lang w:val="en-US" w:eastAsia="zh-CN"/>
                <w14:textFill>
                  <w14:solidFill>
                    <w14:schemeClr w14:val="tx1"/>
                  </w14:solidFill>
                </w14:textFill>
              </w:rPr>
              <w:t>0.1</w:t>
            </w:r>
            <w:r>
              <w:rPr>
                <w:rFonts w:hint="eastAsia" w:ascii="楷体" w:hAnsi="楷体" w:eastAsia="楷体" w:cs="楷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评标结果</w:t>
            </w:r>
          </w:p>
        </w:tc>
        <w:tc>
          <w:tcPr>
            <w:tcW w:w="8788" w:type="dxa"/>
            <w:gridSpan w:val="4"/>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本项目评标采用综合评估法，对通过初步评审、详细评审的比选申请人按照综合得分（技术得分+报价得分）由高到底的先后顺序，推荐3名成交候选人，不足3名则按相应家数推荐成交候选人。</w:t>
            </w:r>
          </w:p>
        </w:tc>
      </w:tr>
    </w:tbl>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highlight w:val="none"/>
          <w14:textFill>
            <w14:solidFill>
              <w14:schemeClr w14:val="tx1"/>
            </w14:solidFill>
          </w14:textFill>
        </w:rPr>
        <w:t>2、有下列情况之一者投标无效：</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A、投标人法定代表人或法人授权代表未按时参加开标会；</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B、投标人无法定代表人的授权委托书；</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C、投标人不具备合格供应商资质的；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D、未按《招标文件》要求提供必要有效证明文件或提供了虚假文件的；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E、投标人在投标时，出现违规的情况。</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3、如有下列情况之一为废标：</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A、唱标报告没有按照要求由投标人加盖公章；</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B、唱标报告没有按照要求由投标法人代表或授权代表签字；</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C、投标文件未按规定格式和要求填写，内容不全或字迹模糊，辨认不清而影响评标定标；</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D、投标文件未按要求装订的；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E、投标附有招标人不能接受的条件；</w:t>
      </w:r>
    </w:p>
    <w:p>
      <w:pPr>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F、投标人报价均超过使用单位预算，采购人不能支付的。</w:t>
      </w:r>
    </w:p>
    <w:p>
      <w:pPr>
        <w:spacing w:line="420" w:lineRule="exact"/>
        <w:rPr>
          <w:rFonts w:hint="eastAsia" w:ascii="宋体" w:hAnsi="宋体" w:cs="宋体"/>
          <w:b/>
          <w:sz w:val="24"/>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hint="eastAsia" w:ascii="宋体" w:hAnsi="宋体"/>
          <w:shd w:val="clear" w:color="auto" w:fill="FFFFFF"/>
        </w:rPr>
      </w:pPr>
    </w:p>
    <w:p>
      <w:pPr>
        <w:jc w:val="right"/>
        <w:rPr>
          <w:rFonts w:ascii="宋体" w:hAnsi="宋体"/>
          <w:b/>
          <w:kern w:val="1"/>
          <w:sz w:val="24"/>
          <w:shd w:val="clear" w:color="auto" w:fill="FFFFFF"/>
        </w:rPr>
      </w:pPr>
    </w:p>
    <w:p>
      <w:pPr>
        <w:rPr>
          <w:rFonts w:hint="default" w:ascii="宋体" w:hAnsi="宋体" w:eastAsia="宋体"/>
          <w:shd w:val="clear" w:color="auto" w:fill="FFFFFF"/>
          <w:lang w:val="en-US" w:eastAsia="zh-CN"/>
        </w:rPr>
      </w:pPr>
    </w:p>
    <w:p>
      <w:pPr>
        <w:pStyle w:val="2"/>
        <w:rPr>
          <w:rFonts w:hint="default" w:ascii="宋体" w:hAnsi="宋体" w:eastAsia="宋体"/>
          <w:shd w:val="clear" w:color="auto" w:fill="FFFFFF"/>
          <w:lang w:val="en-US" w:eastAsia="zh-CN"/>
        </w:rPr>
      </w:pPr>
    </w:p>
    <w:p>
      <w:pPr>
        <w:rPr>
          <w:rFonts w:hint="default" w:ascii="宋体" w:hAnsi="宋体" w:eastAsia="宋体"/>
          <w:shd w:val="clear" w:color="auto" w:fill="FFFFFF"/>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eastAsia" w:ascii="宋体" w:hAnsi="宋体"/>
          <w:shd w:val="clear" w:color="auto" w:fill="FFFFFF"/>
        </w:rPr>
      </w:pPr>
    </w:p>
    <w:p>
      <w:pPr>
        <w:rPr>
          <w:rFonts w:hint="eastAsia" w:ascii="宋体" w:hAnsi="宋体"/>
          <w:shd w:val="clear" w:color="auto" w:fill="FFFFFF"/>
        </w:rPr>
      </w:pPr>
    </w:p>
    <w:p>
      <w:pPr>
        <w:pStyle w:val="2"/>
        <w:rPr>
          <w:rFonts w:hint="eastAsia"/>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第三篇 竞争性比选申请</w:t>
      </w:r>
      <w:r>
        <w:rPr>
          <w:rFonts w:ascii="宋体" w:hAnsi="宋体"/>
          <w:shd w:val="clear" w:color="auto" w:fill="FFFFFF"/>
        </w:rPr>
        <w:t>文件格式</w:t>
      </w:r>
    </w:p>
    <w:p>
      <w:pPr>
        <w:pStyle w:val="12"/>
      </w:pPr>
    </w:p>
    <w:p>
      <w:pPr>
        <w:pStyle w:val="12"/>
      </w:pPr>
    </w:p>
    <w:p>
      <w:pPr>
        <w:pStyle w:val="12"/>
      </w:pPr>
    </w:p>
    <w:p>
      <w:pPr>
        <w:pStyle w:val="12"/>
      </w:pPr>
    </w:p>
    <w:p>
      <w:pPr>
        <w:pStyle w:val="12"/>
      </w:pPr>
    </w:p>
    <w:p>
      <w:pPr>
        <w:pStyle w:val="12"/>
        <w:rPr>
          <w:rFonts w:hint="eastAsia"/>
        </w:rPr>
      </w:pP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竞争性比选申请</w:t>
      </w:r>
      <w:r>
        <w:rPr>
          <w:rFonts w:ascii="宋体" w:hAnsi="宋体"/>
          <w:b/>
          <w:kern w:val="1"/>
          <w:sz w:val="24"/>
          <w:shd w:val="clear" w:color="auto" w:fill="FFFFFF"/>
        </w:rPr>
        <w:t>文件封面</w:t>
      </w:r>
    </w:p>
    <w:p>
      <w:pPr>
        <w:jc w:val="center"/>
        <w:outlineLvl w:val="0"/>
        <w:rPr>
          <w:rFonts w:ascii="宋体" w:hAnsi="宋体"/>
          <w:b/>
          <w:kern w:val="1"/>
          <w:sz w:val="24"/>
          <w:shd w:val="clear" w:color="auto" w:fill="FFFFFF"/>
        </w:rPr>
      </w:pPr>
      <w:r>
        <w:rPr>
          <w:rFonts w:ascii="宋体" w:hAnsi="宋体"/>
          <w:b/>
          <w:kern w:val="1"/>
          <w:sz w:val="24"/>
          <w:shd w:val="clear" w:color="auto" w:fill="FFFFFF"/>
        </w:rPr>
        <w:t>（以下内容为示例）</w:t>
      </w:r>
    </w:p>
    <w:p>
      <w:pPr>
        <w:ind w:right="480" w:firstLine="2849"/>
        <w:rPr>
          <w:rFonts w:ascii="宋体" w:hAnsi="宋体"/>
          <w:b/>
          <w:kern w:val="1"/>
          <w:sz w:val="30"/>
          <w:szCs w:val="30"/>
          <w:shd w:val="clear" w:color="auto" w:fill="FFFFFF"/>
        </w:rPr>
      </w:pPr>
    </w:p>
    <w:p>
      <w:pPr>
        <w:pStyle w:val="4"/>
        <w:rPr>
          <w:rFonts w:ascii="宋体" w:hAnsi="宋体"/>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hint="default" w:ascii="宋体" w:hAnsi="宋体" w:eastAsia="宋体"/>
          <w:b/>
          <w:kern w:val="1"/>
          <w:sz w:val="30"/>
          <w:szCs w:val="30"/>
          <w:shd w:val="clear" w:color="auto" w:fill="FFFFFF"/>
          <w:lang w:val="en-US" w:eastAsia="zh-CN"/>
        </w:rPr>
      </w:pPr>
      <w:r>
        <w:rPr>
          <w:rFonts w:hint="eastAsia" w:ascii="宋体" w:hAnsi="宋体"/>
          <w:b/>
          <w:kern w:val="1"/>
          <w:sz w:val="30"/>
          <w:szCs w:val="30"/>
          <w:shd w:val="clear" w:color="auto" w:fill="FFFFFF"/>
          <w:lang w:val="en-US" w:eastAsia="zh-CN"/>
        </w:rPr>
        <w:t xml:space="preserve">   </w:t>
      </w: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ind w:right="480" w:firstLine="2849"/>
        <w:rPr>
          <w:rFonts w:ascii="宋体" w:hAnsi="宋体"/>
          <w:b/>
          <w:kern w:val="1"/>
          <w:sz w:val="30"/>
          <w:szCs w:val="30"/>
          <w:shd w:val="clear" w:color="auto" w:fill="FFFFFF"/>
        </w:rPr>
      </w:pPr>
    </w:p>
    <w:p>
      <w:pPr>
        <w:jc w:val="right"/>
        <w:rPr>
          <w:rFonts w:ascii="宋体" w:hAnsi="宋体"/>
          <w:b/>
          <w:kern w:val="1"/>
          <w:sz w:val="24"/>
          <w:shd w:val="clear" w:color="auto" w:fill="FFFFFF"/>
        </w:rPr>
      </w:pPr>
    </w:p>
    <w:p>
      <w:pPr>
        <w:ind w:right="239" w:firstLine="2279" w:firstLineChars="946"/>
        <w:jc w:val="right"/>
        <w:rPr>
          <w:rFonts w:ascii="宋体" w:hAnsi="宋体" w:cs="宋体"/>
          <w:b/>
          <w:sz w:val="30"/>
          <w:szCs w:val="30"/>
        </w:rPr>
      </w:pPr>
      <w:r>
        <w:rPr>
          <w:rFonts w:ascii="宋体" w:hAnsi="宋体"/>
          <w:b/>
          <w:kern w:val="1"/>
          <w:sz w:val="24"/>
          <w:shd w:val="clear" w:color="auto" w:fill="FFFFFF"/>
        </w:rPr>
        <w:br w:type="page"/>
      </w:r>
      <w:r>
        <w:rPr>
          <w:rFonts w:hint="eastAsia" w:ascii="宋体" w:hAnsi="宋体"/>
          <w:b/>
          <w:kern w:val="1"/>
          <w:sz w:val="24"/>
          <w:shd w:val="clear" w:color="auto" w:fill="FFFFFF"/>
        </w:rPr>
        <w:t xml:space="preserve"> </w:t>
      </w:r>
      <w:r>
        <w:rPr>
          <w:rFonts w:hint="eastAsia" w:ascii="宋体" w:hAnsi="宋体" w:cs="宋体"/>
          <w:b/>
          <w:sz w:val="30"/>
          <w:szCs w:val="30"/>
        </w:rPr>
        <w:t>正本（或副本）</w:t>
      </w:r>
    </w:p>
    <w:p>
      <w:pPr>
        <w:jc w:val="right"/>
        <w:rPr>
          <w:rFonts w:hint="eastAsia" w:ascii="宋体" w:hAnsi="宋体"/>
          <w:b/>
          <w:kern w:val="1"/>
          <w:sz w:val="24"/>
          <w:shd w:val="clear" w:color="auto" w:fill="FFFFFF"/>
        </w:rPr>
      </w:pPr>
    </w:p>
    <w:p>
      <w:pPr>
        <w:pStyle w:val="12"/>
        <w:rPr>
          <w:rFonts w:hint="eastAsia"/>
        </w:rPr>
      </w:pPr>
    </w:p>
    <w:p>
      <w:pPr>
        <w:pStyle w:val="12"/>
      </w:pPr>
    </w:p>
    <w:p>
      <w:pPr>
        <w:pStyle w:val="12"/>
      </w:pPr>
    </w:p>
    <w:p>
      <w:pPr>
        <w:pStyle w:val="12"/>
      </w:pPr>
    </w:p>
    <w:p>
      <w:pPr>
        <w:pStyle w:val="12"/>
        <w:rPr>
          <w:rFonts w:hint="eastAsia"/>
        </w:rPr>
      </w:pPr>
    </w:p>
    <w:p>
      <w:pPr>
        <w:pStyle w:val="12"/>
        <w:ind w:left="2570" w:hanging="2570" w:hangingChars="800"/>
      </w:pPr>
      <w:r>
        <w:rPr>
          <w:rFonts w:hint="eastAsia" w:ascii="宋体" w:hAnsi="宋体" w:eastAsia="宋体" w:cs="Times New Roman"/>
          <w:b/>
          <w:color w:val="auto"/>
          <w:kern w:val="1"/>
          <w:sz w:val="32"/>
          <w:szCs w:val="32"/>
          <w:shd w:val="clear" w:color="auto" w:fill="FFFFFF"/>
        </w:rPr>
        <w:t>高速国储投营加油站环境突发事件应急预案及风险评估报告进行编制、备案项目</w:t>
      </w:r>
    </w:p>
    <w:p>
      <w:pPr>
        <w:pStyle w:val="12"/>
      </w:pPr>
    </w:p>
    <w:p>
      <w:pPr>
        <w:pStyle w:val="12"/>
      </w:pPr>
    </w:p>
    <w:p>
      <w:pPr>
        <w:pStyle w:val="12"/>
      </w:pPr>
    </w:p>
    <w:p>
      <w:pPr>
        <w:pStyle w:val="12"/>
        <w:rPr>
          <w:rFonts w:hint="eastAsia"/>
        </w:rPr>
      </w:pPr>
    </w:p>
    <w:p>
      <w:pPr>
        <w:jc w:val="center"/>
        <w:rPr>
          <w:rFonts w:ascii="宋体" w:hAnsi="宋体"/>
          <w:b/>
          <w:kern w:val="1"/>
          <w:sz w:val="40"/>
          <w:szCs w:val="40"/>
          <w:shd w:val="clear" w:color="auto" w:fill="FFFFFF"/>
        </w:rPr>
      </w:pPr>
      <w:r>
        <w:rPr>
          <w:rFonts w:hint="eastAsia" w:ascii="宋体" w:hAnsi="宋体"/>
          <w:b/>
          <w:kern w:val="1"/>
          <w:sz w:val="40"/>
          <w:szCs w:val="40"/>
          <w:shd w:val="clear" w:color="auto" w:fill="FFFFFF"/>
        </w:rPr>
        <w:t>竞争性比选申请</w:t>
      </w:r>
      <w:r>
        <w:rPr>
          <w:rFonts w:ascii="宋体" w:hAnsi="宋体"/>
          <w:b/>
          <w:kern w:val="1"/>
          <w:sz w:val="40"/>
          <w:szCs w:val="40"/>
          <w:shd w:val="clear" w:color="auto" w:fill="FFFFFF"/>
        </w:rPr>
        <w:t>文件</w:t>
      </w:r>
    </w:p>
    <w:p>
      <w:pPr>
        <w:jc w:val="center"/>
        <w:rPr>
          <w:rFonts w:ascii="宋体" w:hAnsi="宋体"/>
          <w:b/>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pStyle w:val="4"/>
        <w:rPr>
          <w:rFonts w:hint="eastAsia" w:ascii="宋体" w:hAnsi="宋体"/>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ascii="宋体" w:hAnsi="宋体"/>
          <w:kern w:val="1"/>
          <w:sz w:val="32"/>
          <w:szCs w:val="32"/>
          <w:u w:val="single"/>
          <w:shd w:val="clear" w:color="auto" w:fill="FFFFFF"/>
        </w:rPr>
        <w:t>比选</w:t>
      </w:r>
      <w:r>
        <w:rPr>
          <w:rFonts w:hint="eastAsia" w:ascii="宋体" w:hAnsi="宋体"/>
          <w:kern w:val="1"/>
          <w:sz w:val="32"/>
          <w:szCs w:val="32"/>
          <w:u w:val="single"/>
          <w:shd w:val="clear" w:color="auto" w:fill="FFFFFF"/>
        </w:rPr>
        <w:t>申请单位名称</w:t>
      </w:r>
      <w:r>
        <w:rPr>
          <w:rFonts w:ascii="宋体" w:hAnsi="宋体"/>
          <w:kern w:val="1"/>
          <w:sz w:val="32"/>
          <w:szCs w:val="32"/>
          <w:u w:val="single"/>
          <w:shd w:val="clear" w:color="auto" w:fill="FFFFFF"/>
        </w:rPr>
        <w:t>全称（盖单位</w:t>
      </w:r>
      <w:r>
        <w:rPr>
          <w:rFonts w:hint="eastAsia" w:ascii="宋体" w:hAnsi="宋体"/>
          <w:kern w:val="1"/>
          <w:sz w:val="32"/>
          <w:szCs w:val="32"/>
          <w:u w:val="single"/>
          <w:shd w:val="clear" w:color="auto" w:fill="FFFFFF"/>
        </w:rPr>
        <w:t>鲜</w:t>
      </w:r>
      <w:r>
        <w:rPr>
          <w:rFonts w:ascii="宋体" w:hAnsi="宋体"/>
          <w:kern w:val="1"/>
          <w:sz w:val="32"/>
          <w:szCs w:val="32"/>
          <w:u w:val="single"/>
          <w:shd w:val="clear" w:color="auto" w:fill="FFFFFF"/>
        </w:rPr>
        <w:t>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2</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w:t>
      </w:r>
      <w:r>
        <w:rPr>
          <w:rFonts w:hint="eastAsia" w:ascii="宋体" w:hAnsi="宋体" w:cs="Arial"/>
          <w:b/>
          <w:kern w:val="1"/>
          <w:sz w:val="24"/>
          <w:shd w:val="clear" w:color="auto" w:fill="FFFFFF"/>
        </w:rPr>
        <w:t xml:space="preserve"> </w:t>
      </w:r>
      <w:r>
        <w:rPr>
          <w:rFonts w:ascii="宋体" w:hAnsi="宋体" w:cs="Arial"/>
          <w:b/>
          <w:kern w:val="1"/>
          <w:sz w:val="24"/>
          <w:shd w:val="clear" w:color="auto" w:fill="FFFFFF"/>
        </w:rPr>
        <w:t xml:space="preserve"> 录</w:t>
      </w:r>
    </w:p>
    <w:p>
      <w:pPr>
        <w:tabs>
          <w:tab w:val="left" w:pos="900"/>
          <w:tab w:val="left" w:pos="1080"/>
        </w:tabs>
        <w:spacing w:line="300" w:lineRule="auto"/>
        <w:jc w:val="center"/>
        <w:outlineLvl w:val="0"/>
        <w:rPr>
          <w:rFonts w:ascii="宋体" w:hAnsi="宋体" w:cs="Arial"/>
          <w:b/>
          <w:kern w:val="1"/>
          <w:sz w:val="24"/>
          <w:shd w:val="clear" w:color="auto" w:fill="FFFFFF"/>
        </w:rPr>
      </w:pPr>
      <w:bookmarkStart w:id="19" w:name="_Hlk43303401"/>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ascii="宋体" w:hAnsi="宋体" w:cs="Arial"/>
          <w:b/>
          <w:kern w:val="1"/>
          <w:sz w:val="24"/>
          <w:shd w:val="clear" w:color="auto" w:fill="FFFFFF"/>
        </w:rPr>
        <w:t>报价函</w:t>
      </w:r>
    </w:p>
    <w:p>
      <w:pPr>
        <w:spacing w:line="360" w:lineRule="auto"/>
        <w:rPr>
          <w:rFonts w:hint="eastAsia"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tabs>
          <w:tab w:val="left" w:pos="900"/>
          <w:tab w:val="left" w:pos="1080"/>
        </w:tabs>
        <w:spacing w:line="300" w:lineRule="auto"/>
        <w:outlineLvl w:val="0"/>
        <w:rPr>
          <w:rFonts w:ascii="宋体" w:hAnsi="宋体"/>
          <w:b/>
          <w:kern w:val="1"/>
          <w:sz w:val="24"/>
          <w:shd w:val="clear" w:color="auto" w:fill="FFFFFF"/>
        </w:rPr>
      </w:pPr>
      <w:r>
        <w:rPr>
          <w:rFonts w:hint="eastAsia" w:ascii="宋体" w:hAnsi="宋体"/>
          <w:b/>
          <w:kern w:val="1"/>
          <w:sz w:val="24"/>
          <w:shd w:val="clear" w:color="auto" w:fill="FFFFFF"/>
        </w:rPr>
        <w:t>三</w:t>
      </w:r>
      <w:r>
        <w:rPr>
          <w:rFonts w:ascii="宋体" w:hAnsi="宋体"/>
          <w:b/>
          <w:kern w:val="1"/>
          <w:sz w:val="24"/>
          <w:shd w:val="clear" w:color="auto" w:fill="FFFFFF"/>
        </w:rPr>
        <w:t>、</w:t>
      </w:r>
      <w:r>
        <w:rPr>
          <w:rFonts w:hint="eastAsia" w:ascii="宋体" w:hAnsi="宋体"/>
          <w:b/>
          <w:kern w:val="1"/>
          <w:sz w:val="24"/>
          <w:shd w:val="clear" w:color="auto" w:fill="FFFFFF"/>
        </w:rPr>
        <w:t>有效的营业执照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四、业绩证明</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五、商务部分</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六、技术资料</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七、其他</w:t>
      </w:r>
      <w:bookmarkEnd w:id="19"/>
      <w:r>
        <w:rPr>
          <w:rFonts w:hint="eastAsia" w:ascii="宋体" w:hAnsi="宋体"/>
          <w:b/>
          <w:kern w:val="1"/>
          <w:sz w:val="24"/>
          <w:shd w:val="clear" w:color="auto" w:fill="FFFFFF"/>
        </w:rPr>
        <w:t>相关资料</w:t>
      </w: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440" w:lineRule="exact"/>
        <w:ind w:firstLine="2003"/>
        <w:outlineLvl w:val="1"/>
        <w:rPr>
          <w:rFonts w:ascii="宋体" w:hAnsi="宋体"/>
          <w:b/>
          <w:kern w:val="1"/>
          <w:shd w:val="clear" w:color="auto" w:fill="FFFFFF"/>
        </w:rPr>
      </w:pPr>
    </w:p>
    <w:p>
      <w:pPr>
        <w:spacing w:line="440" w:lineRule="exact"/>
        <w:jc w:val="center"/>
        <w:outlineLvl w:val="1"/>
        <w:rPr>
          <w:rFonts w:hint="eastAsia" w:ascii="宋体" w:hAnsi="宋体" w:cs="Arial"/>
          <w:b/>
          <w:kern w:val="1"/>
          <w:sz w:val="32"/>
          <w:szCs w:val="22"/>
          <w:shd w:val="clear" w:color="auto" w:fill="FFFFFF"/>
        </w:rPr>
      </w:pPr>
      <w:r>
        <w:rPr>
          <w:rFonts w:ascii="宋体" w:hAnsi="宋体"/>
          <w:b/>
          <w:kern w:val="1"/>
          <w:shd w:val="clear" w:color="auto" w:fill="FFFFFF"/>
        </w:rPr>
        <w:br w:type="page"/>
      </w:r>
      <w:r>
        <w:rPr>
          <w:rFonts w:hint="eastAsia" w:ascii="宋体" w:hAnsi="宋体" w:cs="Arial"/>
          <w:b/>
          <w:kern w:val="1"/>
          <w:sz w:val="32"/>
          <w:szCs w:val="22"/>
          <w:shd w:val="clear" w:color="auto" w:fill="FFFFFF"/>
        </w:rPr>
        <w:t>一、报价函</w:t>
      </w:r>
    </w:p>
    <w:p>
      <w:pPr>
        <w:pStyle w:val="9"/>
        <w:jc w:val="both"/>
        <w:rPr>
          <w:u w:val="single"/>
          <w:shd w:val="clear" w:color="auto" w:fill="FFFFFF"/>
        </w:rPr>
      </w:pPr>
    </w:p>
    <w:p>
      <w:pPr>
        <w:pStyle w:val="9"/>
        <w:jc w:val="both"/>
        <w:rPr>
          <w:rFonts w:cs="宋体"/>
          <w:shd w:val="clear" w:color="auto" w:fill="FFFFFF"/>
        </w:rPr>
      </w:pPr>
      <w:r>
        <w:rPr>
          <w:rFonts w:hint="eastAsia"/>
          <w:bCs/>
          <w:u w:val="single"/>
          <w:shd w:val="clear" w:color="auto" w:fill="FFFFFF"/>
        </w:rPr>
        <w:t>重庆高速国储能源投资有限公司</w:t>
      </w:r>
      <w:r>
        <w:rPr>
          <w:rFonts w:cs="宋体"/>
          <w:shd w:val="clear" w:color="auto" w:fill="FFFFFF"/>
        </w:rPr>
        <w:t>：</w:t>
      </w:r>
    </w:p>
    <w:p>
      <w:pPr>
        <w:spacing w:line="400" w:lineRule="atLeast"/>
        <w:ind w:firstLine="420" w:firstLineChars="200"/>
        <w:rPr>
          <w:rFonts w:ascii="宋体" w:hAnsi="宋体" w:cs="宋体"/>
          <w:kern w:val="1"/>
          <w:u w:val="single"/>
          <w:shd w:val="clear" w:color="auto" w:fill="FFFFFF"/>
        </w:rPr>
      </w:pPr>
      <w:r>
        <w:rPr>
          <w:rFonts w:ascii="宋体" w:hAnsi="宋体"/>
          <w:kern w:val="1"/>
          <w:shd w:val="clear" w:color="auto" w:fill="FFFFFF"/>
        </w:rPr>
        <w:t>1</w:t>
      </w:r>
      <w:r>
        <w:rPr>
          <w:rFonts w:hint="eastAsia" w:ascii="宋体" w:hAnsi="宋体" w:cs="宋体"/>
          <w:kern w:val="1"/>
          <w:shd w:val="clear" w:color="auto" w:fill="FFFFFF"/>
        </w:rPr>
        <w:t>．我方已仔细研究</w:t>
      </w:r>
      <w:r>
        <w:rPr>
          <w:rFonts w:hint="eastAsia" w:ascii="宋体" w:hAnsi="宋体" w:cs="宋体"/>
          <w:b/>
          <w:bCs/>
          <w:kern w:val="1"/>
          <w:shd w:val="clear" w:color="auto" w:fill="FFFFFF"/>
        </w:rPr>
        <w:t>《</w:t>
      </w:r>
      <w:r>
        <w:rPr>
          <w:rFonts w:hint="eastAsia" w:ascii="宋体" w:hAnsi="宋体" w:cs="PMingLiU-ExtB"/>
          <w:b/>
          <w:bCs/>
          <w:szCs w:val="21"/>
          <w:shd w:val="clear" w:color="auto" w:fill="FFFFFF"/>
        </w:rPr>
        <w:t>高速国储投营加油站环境突发事件应急预案及风险评估报告进行编制、备案项目》</w:t>
      </w:r>
      <w:r>
        <w:rPr>
          <w:rFonts w:hint="eastAsia" w:ascii="宋体" w:hAnsi="宋体" w:cs="宋体"/>
          <w:kern w:val="1"/>
          <w:shd w:val="clear" w:color="auto" w:fill="FFFFFF"/>
        </w:rPr>
        <w:t>竞争性比选文件的全部内容，愿意以人民币（大写）</w:t>
      </w:r>
      <w:r>
        <w:rPr>
          <w:rFonts w:hint="eastAsia" w:ascii="宋体" w:hAnsi="宋体" w:cs="宋体"/>
          <w:b/>
          <w:bCs/>
          <w:kern w:val="1"/>
          <w:u w:val="single"/>
          <w:shd w:val="clear" w:color="auto" w:fill="FFFFFF"/>
        </w:rPr>
        <w:t xml:space="preserve">      </w:t>
      </w:r>
      <w:r>
        <w:rPr>
          <w:rFonts w:hint="eastAsia" w:ascii="宋体" w:hAnsi="宋体" w:cs="宋体"/>
          <w:kern w:val="1"/>
          <w:shd w:val="clear" w:color="auto" w:fill="FFFFFF"/>
        </w:rPr>
        <w:t>元（¥</w:t>
      </w:r>
      <w:r>
        <w:rPr>
          <w:rFonts w:ascii="宋体" w:hAnsi="宋体" w:cs="宋体"/>
          <w:kern w:val="1"/>
          <w:u w:val="single"/>
          <w:shd w:val="clear" w:color="auto" w:fill="FFFFFF"/>
        </w:rPr>
        <w:t xml:space="preserve">       </w:t>
      </w:r>
      <w:r>
        <w:rPr>
          <w:rFonts w:hint="eastAsia" w:ascii="宋体" w:hAnsi="宋体" w:cs="宋体"/>
          <w:kern w:val="1"/>
          <w:shd w:val="clear" w:color="auto" w:fill="FFFFFF"/>
        </w:rPr>
        <w:t>）作为本</w:t>
      </w:r>
      <w:r>
        <w:rPr>
          <w:rFonts w:ascii="宋体" w:hAnsi="宋体" w:cs="宋体"/>
          <w:kern w:val="1"/>
          <w:shd w:val="clear" w:color="auto" w:fill="FFFFFF"/>
        </w:rPr>
        <w:t>项目的</w:t>
      </w:r>
      <w:r>
        <w:rPr>
          <w:rFonts w:hint="eastAsia" w:ascii="宋体" w:hAnsi="宋体" w:cs="宋体"/>
          <w:kern w:val="1"/>
          <w:shd w:val="clear" w:color="auto" w:fill="FFFFFF"/>
        </w:rPr>
        <w:t>竞标总报价，单价报价为：</w:t>
      </w:r>
      <w:r>
        <w:rPr>
          <w:rFonts w:hint="eastAsia" w:ascii="宋体" w:hAnsi="宋体" w:cs="宋体"/>
          <w:b/>
          <w:bCs/>
          <w:kern w:val="1"/>
          <w:u w:val="single"/>
          <w:shd w:val="clear" w:color="auto" w:fill="FFFFFF"/>
        </w:rPr>
        <w:t xml:space="preserve">      元/座。</w:t>
      </w:r>
      <w:r>
        <w:rPr>
          <w:rFonts w:ascii="宋体" w:hAnsi="宋体" w:cs="宋体"/>
          <w:kern w:val="1"/>
          <w:u w:val="single"/>
          <w:shd w:val="clear" w:color="auto" w:fill="FFFFFF"/>
        </w:rPr>
        <w:t xml:space="preserve">         </w:t>
      </w:r>
    </w:p>
    <w:p>
      <w:pPr>
        <w:spacing w:line="400" w:lineRule="atLeast"/>
        <w:ind w:firstLine="420" w:firstLineChars="200"/>
        <w:rPr>
          <w:rFonts w:ascii="宋体" w:hAnsi="宋体" w:cs="宋体"/>
          <w:kern w:val="1"/>
          <w:shd w:val="clear" w:color="auto" w:fill="FFFFFF"/>
        </w:rPr>
      </w:pPr>
      <w:r>
        <w:rPr>
          <w:rFonts w:ascii="宋体" w:hAnsi="宋体" w:cs="宋体"/>
          <w:kern w:val="1"/>
          <w:shd w:val="clear" w:color="auto" w:fill="FFFFFF"/>
        </w:rPr>
        <w:t>2</w:t>
      </w:r>
      <w:r>
        <w:rPr>
          <w:rFonts w:hint="eastAsia" w:ascii="宋体" w:hAnsi="宋体" w:cs="宋体"/>
          <w:kern w:val="1"/>
          <w:shd w:val="clear" w:color="auto" w:fill="FFFFFF"/>
        </w:rPr>
        <w:t>．在合同协议书正式签署生效之前，本报价文件连同你方的成交通知书将构成我们双方之间共同遵守的文件，对双方具有约束力。</w:t>
      </w:r>
    </w:p>
    <w:p>
      <w:pPr>
        <w:spacing w:line="400" w:lineRule="atLeast"/>
        <w:ind w:firstLine="420" w:firstLineChars="200"/>
        <w:rPr>
          <w:rFonts w:ascii="宋体" w:hAnsi="宋体" w:cs="宋体"/>
          <w:kern w:val="1"/>
          <w:shd w:val="clear" w:color="auto" w:fill="FFFFFF"/>
        </w:rPr>
      </w:pPr>
      <w:r>
        <w:rPr>
          <w:rFonts w:ascii="宋体" w:hAnsi="宋体" w:cs="宋体"/>
          <w:kern w:val="1"/>
          <w:shd w:val="clear" w:color="auto" w:fill="FFFFFF"/>
        </w:rPr>
        <w:t>3</w:t>
      </w:r>
      <w:r>
        <w:rPr>
          <w:rFonts w:hint="eastAsia" w:ascii="宋体" w:hAnsi="宋体" w:cs="宋体"/>
          <w:kern w:val="1"/>
          <w:shd w:val="clear" w:color="auto" w:fill="FFFFFF"/>
        </w:rPr>
        <w:t>．（其他补充说明）。</w:t>
      </w: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cs="宋体"/>
          <w:kern w:val="1"/>
          <w:shd w:val="clear" w:color="auto" w:fill="FFFFFF"/>
        </w:rPr>
      </w:pP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比选申请人：（盖单位鲜公章）</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法定代表人或</w:t>
      </w:r>
      <w:bookmarkStart w:id="20" w:name="_Hlk43303041"/>
      <w:r>
        <w:rPr>
          <w:rFonts w:hint="eastAsia" w:ascii="宋体" w:hAnsi="宋体" w:cs="宋体"/>
          <w:kern w:val="1"/>
          <w:shd w:val="clear" w:color="auto" w:fill="FFFFFF"/>
        </w:rPr>
        <w:t>其委托代理人</w:t>
      </w:r>
      <w:bookmarkEnd w:id="20"/>
      <w:r>
        <w:rPr>
          <w:rFonts w:hint="eastAsia" w:ascii="宋体" w:hAnsi="宋体" w:cs="宋体"/>
          <w:kern w:val="1"/>
          <w:shd w:val="clear" w:color="auto" w:fill="FFFFFF"/>
        </w:rPr>
        <w:t>：（签字）</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地址：</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电话：</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传真：</w:t>
      </w:r>
    </w:p>
    <w:p>
      <w:pPr>
        <w:spacing w:line="400" w:lineRule="atLeast"/>
        <w:ind w:firstLine="4672"/>
        <w:rPr>
          <w:rFonts w:ascii="宋体" w:hAnsi="宋体"/>
          <w:kern w:val="1"/>
          <w:shd w:val="clear" w:color="auto" w:fill="FFFFFF"/>
        </w:rPr>
      </w:pPr>
      <w:r>
        <w:rPr>
          <w:rFonts w:hint="eastAsia" w:ascii="宋体" w:hAnsi="宋体" w:cs="宋体"/>
          <w:kern w:val="1"/>
          <w:shd w:val="clear" w:color="auto" w:fill="FFFFFF"/>
        </w:rPr>
        <w:t>邮政编码：</w:t>
      </w:r>
    </w:p>
    <w:p>
      <w:pPr>
        <w:spacing w:line="400" w:lineRule="atLeast"/>
        <w:ind w:firstLine="2992"/>
        <w:rPr>
          <w:rFonts w:ascii="宋体" w:hAnsi="宋体"/>
          <w:kern w:val="1"/>
          <w:shd w:val="clear" w:color="auto" w:fill="FFFFFF"/>
        </w:rPr>
      </w:pPr>
    </w:p>
    <w:p>
      <w:pPr>
        <w:spacing w:line="400" w:lineRule="atLeast"/>
        <w:ind w:firstLine="5617"/>
        <w:rPr>
          <w:rFonts w:ascii="宋体" w:hAnsi="宋体"/>
          <w:b/>
          <w:kern w:val="1"/>
          <w:u w:val="single"/>
          <w:shd w:val="clear" w:color="auto" w:fill="FFFFFF"/>
        </w:rPr>
      </w:pPr>
      <w:r>
        <w:rPr>
          <w:rFonts w:hint="eastAsia" w:ascii="宋体" w:hAnsi="宋体" w:cs="宋体"/>
          <w:kern w:val="1"/>
          <w:shd w:val="clear" w:color="auto" w:fill="FFFFFF"/>
        </w:rPr>
        <w:t>年   月   日</w:t>
      </w:r>
    </w:p>
    <w:p>
      <w:pPr>
        <w:spacing w:line="440" w:lineRule="exact"/>
        <w:ind w:firstLine="400"/>
        <w:jc w:val="center"/>
        <w:outlineLvl w:val="2"/>
        <w:rPr>
          <w:rFonts w:ascii="宋体" w:hAnsi="宋体"/>
          <w:kern w:val="1"/>
          <w:sz w:val="20"/>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440" w:lineRule="exact"/>
        <w:ind w:firstLine="480"/>
        <w:jc w:val="center"/>
        <w:outlineLvl w:val="2"/>
        <w:rPr>
          <w:rFonts w:hint="eastAsia" w:ascii="宋体" w:hAnsi="宋体"/>
          <w:kern w:val="1"/>
          <w:sz w:val="24"/>
          <w:shd w:val="clear" w:color="auto" w:fill="FFFFFF"/>
        </w:rPr>
      </w:pPr>
    </w:p>
    <w:p>
      <w:pPr>
        <w:spacing w:line="600" w:lineRule="exact"/>
        <w:jc w:val="center"/>
        <w:rPr>
          <w:rFonts w:ascii="宋体" w:hAnsi="宋体" w:cs="Arial"/>
          <w:b/>
          <w:kern w:val="1"/>
          <w:sz w:val="32"/>
          <w:szCs w:val="22"/>
          <w:shd w:val="clear" w:color="auto" w:fill="FFFFFF"/>
        </w:rPr>
      </w:pPr>
      <w:r>
        <w:rPr>
          <w:rFonts w:ascii="宋体" w:hAnsi="宋体"/>
          <w:kern w:val="1"/>
          <w:sz w:val="28"/>
          <w:szCs w:val="28"/>
          <w:shd w:val="clear" w:color="auto" w:fill="FFFFFF"/>
        </w:rPr>
        <w:br w:type="page"/>
      </w: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法定代表人身份证明及授权委托书</w:t>
      </w:r>
    </w:p>
    <w:p>
      <w:pPr>
        <w:pStyle w:val="12"/>
        <w:rPr>
          <w:rFonts w:hint="eastAsia"/>
        </w:rPr>
      </w:pPr>
    </w:p>
    <w:p>
      <w:pPr>
        <w:pStyle w:val="12"/>
        <w:rPr>
          <w:rFonts w:hint="eastAsia"/>
        </w:rPr>
      </w:pPr>
    </w:p>
    <w:p>
      <w:pPr>
        <w:spacing w:line="600" w:lineRule="exact"/>
        <w:jc w:val="center"/>
        <w:rPr>
          <w:rFonts w:hint="eastAsia" w:ascii="宋体" w:hAnsi="宋体" w:cs="Arial"/>
          <w:b/>
          <w:kern w:val="1"/>
          <w:sz w:val="28"/>
          <w:szCs w:val="28"/>
          <w:shd w:val="clear" w:color="auto" w:fill="FFFFFF"/>
        </w:rPr>
      </w:pPr>
      <w:r>
        <w:rPr>
          <w:rFonts w:hint="eastAsia" w:ascii="宋体" w:hAnsi="宋体" w:cs="Arial"/>
          <w:b/>
          <w:kern w:val="1"/>
          <w:sz w:val="28"/>
          <w:szCs w:val="28"/>
          <w:shd w:val="clear" w:color="auto" w:fill="FFFFFF"/>
        </w:rPr>
        <w:t>（一）</w:t>
      </w:r>
      <w:bookmarkStart w:id="21" w:name="_Hlk43303178"/>
      <w:r>
        <w:rPr>
          <w:rFonts w:hint="eastAsia" w:ascii="宋体" w:hAnsi="宋体" w:cs="Arial"/>
          <w:b/>
          <w:kern w:val="1"/>
          <w:sz w:val="28"/>
          <w:szCs w:val="28"/>
          <w:shd w:val="clear" w:color="auto" w:fill="FFFFFF"/>
        </w:rPr>
        <w:t>法定代表人身份证明</w:t>
      </w:r>
      <w:bookmarkEnd w:id="21"/>
      <w:r>
        <w:rPr>
          <w:rFonts w:hint="eastAsia" w:ascii="宋体" w:hAnsi="宋体" w:cs="Arial"/>
          <w:b/>
          <w:kern w:val="1"/>
          <w:sz w:val="28"/>
          <w:szCs w:val="28"/>
          <w:shd w:val="clear" w:color="auto" w:fill="FFFFFF"/>
        </w:rPr>
        <w:t>及授权委托书</w:t>
      </w:r>
    </w:p>
    <w:p>
      <w:pPr>
        <w:spacing w:line="440" w:lineRule="exact"/>
        <w:rPr>
          <w:rFonts w:ascii="宋体" w:hAnsi="宋体"/>
          <w:kern w:val="1"/>
          <w:sz w:val="24"/>
          <w:shd w:val="clear" w:color="auto" w:fill="FFFFFF"/>
        </w:rPr>
      </w:pP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比选申请人名称：</w:t>
      </w:r>
      <w:r>
        <w:rPr>
          <w:rFonts w:ascii="宋体" w:hAnsi="宋体"/>
          <w:kern w:val="1"/>
          <w:sz w:val="24"/>
          <w:u w:val="single"/>
          <w:shd w:val="clear" w:color="auto" w:fill="FFFFFF"/>
        </w:rPr>
        <w:t xml:space="preserve">                          </w:t>
      </w:r>
      <w:r>
        <w:rPr>
          <w:rFonts w:hint="eastAsia" w:ascii="宋体" w:hAnsi="宋体"/>
          <w:kern w:val="1"/>
          <w:sz w:val="24"/>
          <w:u w:val="single"/>
          <w:shd w:val="clear" w:color="auto" w:fill="FFFFFF"/>
        </w:rPr>
        <w:t xml:space="preserve"> </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单位性质：</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地址：</w:t>
      </w:r>
      <w:r>
        <w:rPr>
          <w:rFonts w:ascii="宋体" w:hAnsi="宋体"/>
          <w:kern w:val="1"/>
          <w:sz w:val="24"/>
          <w:u w:val="single"/>
          <w:shd w:val="clear" w:color="auto" w:fill="FFFFFF"/>
        </w:rPr>
        <w:t xml:space="preserve">                                   </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成立时间：</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年</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月</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日</w:t>
      </w:r>
    </w:p>
    <w:p>
      <w:pPr>
        <w:spacing w:line="440" w:lineRule="exact"/>
        <w:ind w:firstLine="720" w:firstLineChars="300"/>
        <w:rPr>
          <w:rFonts w:ascii="宋体" w:hAnsi="宋体"/>
          <w:kern w:val="1"/>
          <w:sz w:val="24"/>
          <w:shd w:val="clear" w:color="auto" w:fill="FFFFFF"/>
        </w:rPr>
      </w:pPr>
      <w:r>
        <w:rPr>
          <w:rFonts w:hint="eastAsia" w:ascii="宋体" w:hAnsi="宋体"/>
          <w:kern w:val="1"/>
          <w:sz w:val="24"/>
          <w:shd w:val="clear" w:color="auto" w:fill="FFFFFF"/>
        </w:rPr>
        <w:t>经营期限：</w:t>
      </w:r>
      <w:r>
        <w:rPr>
          <w:rFonts w:ascii="宋体" w:hAnsi="宋体"/>
          <w:kern w:val="1"/>
          <w:sz w:val="24"/>
          <w:u w:val="single"/>
          <w:shd w:val="clear" w:color="auto" w:fill="FFFFFF"/>
        </w:rPr>
        <w:t xml:space="preserve">                               </w:t>
      </w:r>
    </w:p>
    <w:p>
      <w:pPr>
        <w:spacing w:line="440" w:lineRule="exact"/>
        <w:ind w:left="718" w:leftChars="342"/>
        <w:rPr>
          <w:rFonts w:ascii="宋体" w:hAnsi="宋体"/>
          <w:kern w:val="1"/>
          <w:sz w:val="24"/>
          <w:u w:val="single"/>
          <w:shd w:val="clear" w:color="auto" w:fill="FFFFFF"/>
        </w:rPr>
      </w:pPr>
      <w:r>
        <w:rPr>
          <w:rFonts w:hint="eastAsia" w:ascii="宋体" w:hAnsi="宋体"/>
          <w:kern w:val="1"/>
          <w:sz w:val="24"/>
          <w:shd w:val="clear" w:color="auto" w:fill="FFFFFF"/>
        </w:rPr>
        <w:t>姓名：</w:t>
      </w:r>
      <w:r>
        <w:rPr>
          <w:rFonts w:ascii="宋体" w:hAnsi="宋体"/>
          <w:kern w:val="1"/>
          <w:sz w:val="24"/>
          <w:u w:val="single"/>
          <w:shd w:val="clear" w:color="auto" w:fill="FFFFFF"/>
        </w:rPr>
        <w:t xml:space="preserve">     </w:t>
      </w:r>
      <w:r>
        <w:rPr>
          <w:rFonts w:hint="eastAsia" w:ascii="宋体" w:hAnsi="宋体"/>
          <w:kern w:val="1"/>
          <w:sz w:val="24"/>
          <w:u w:val="single"/>
          <w:shd w:val="clear" w:color="auto" w:fill="FFFFFF"/>
        </w:rPr>
        <w:t xml:space="preserve">   （法人手签）</w:t>
      </w:r>
      <w:r>
        <w:rPr>
          <w:rFonts w:ascii="宋体" w:hAnsi="宋体"/>
          <w:kern w:val="1"/>
          <w:sz w:val="24"/>
          <w:shd w:val="clear" w:color="auto" w:fill="FFFFFF"/>
        </w:rPr>
        <w:t xml:space="preserve"> </w:t>
      </w:r>
      <w:r>
        <w:rPr>
          <w:rFonts w:hint="eastAsia" w:ascii="宋体" w:hAnsi="宋体"/>
          <w:kern w:val="1"/>
          <w:sz w:val="24"/>
          <w:shd w:val="clear" w:color="auto" w:fill="FFFFFF"/>
        </w:rPr>
        <w:t>性别：</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年龄：</w:t>
      </w:r>
      <w:r>
        <w:rPr>
          <w:rFonts w:ascii="宋体" w:hAnsi="宋体"/>
          <w:kern w:val="1"/>
          <w:sz w:val="24"/>
          <w:u w:val="single"/>
          <w:shd w:val="clear" w:color="auto" w:fill="FFFFFF"/>
        </w:rPr>
        <w:t xml:space="preserve">      </w:t>
      </w:r>
      <w:r>
        <w:rPr>
          <w:rFonts w:hint="eastAsia" w:ascii="宋体" w:hAnsi="宋体"/>
          <w:kern w:val="1"/>
          <w:sz w:val="24"/>
          <w:shd w:val="clear" w:color="auto" w:fill="FFFFFF"/>
        </w:rPr>
        <w:t>职务：</w:t>
      </w:r>
      <w:r>
        <w:rPr>
          <w:rFonts w:ascii="宋体" w:hAnsi="宋体"/>
          <w:kern w:val="1"/>
          <w:sz w:val="24"/>
          <w:u w:val="single"/>
          <w:shd w:val="clear" w:color="auto" w:fill="FFFFFF"/>
        </w:rPr>
        <w:t xml:space="preserve">    </w:t>
      </w:r>
    </w:p>
    <w:p>
      <w:pPr>
        <w:spacing w:line="440" w:lineRule="exact"/>
        <w:rPr>
          <w:rFonts w:ascii="宋体" w:hAnsi="宋体"/>
          <w:kern w:val="1"/>
          <w:sz w:val="24"/>
          <w:shd w:val="clear" w:color="auto" w:fill="FFFFFF"/>
        </w:rPr>
      </w:pPr>
      <w:r>
        <w:rPr>
          <w:rFonts w:hint="eastAsia" w:ascii="宋体" w:hAnsi="宋体"/>
          <w:kern w:val="1"/>
          <w:sz w:val="24"/>
          <w:shd w:val="clear" w:color="auto" w:fill="FFFFFF"/>
        </w:rPr>
        <w:t>系</w:t>
      </w:r>
      <w:r>
        <w:rPr>
          <w:rFonts w:ascii="宋体" w:hAnsi="宋体"/>
          <w:kern w:val="1"/>
          <w:sz w:val="24"/>
          <w:u w:val="single"/>
          <w:shd w:val="clear" w:color="auto" w:fill="FFFFFF"/>
        </w:rPr>
        <w:t xml:space="preserve">                             </w:t>
      </w:r>
      <w:r>
        <w:rPr>
          <w:rFonts w:ascii="宋体" w:hAnsi="宋体"/>
          <w:kern w:val="1"/>
          <w:sz w:val="24"/>
          <w:shd w:val="clear" w:color="auto" w:fill="FFFFFF"/>
        </w:rPr>
        <w:t xml:space="preserve"> </w:t>
      </w:r>
      <w:r>
        <w:rPr>
          <w:rFonts w:hint="eastAsia" w:ascii="宋体" w:hAnsi="宋体"/>
          <w:kern w:val="1"/>
          <w:sz w:val="24"/>
          <w:shd w:val="clear" w:color="auto" w:fill="FFFFFF"/>
        </w:rPr>
        <w:t>（比选申请人名称）的法定代表人。</w:t>
      </w:r>
    </w:p>
    <w:p>
      <w:pPr>
        <w:spacing w:line="440" w:lineRule="exact"/>
        <w:ind w:firstLine="960" w:firstLineChars="400"/>
        <w:rPr>
          <w:rFonts w:ascii="宋体" w:hAnsi="宋体"/>
          <w:kern w:val="1"/>
          <w:sz w:val="24"/>
          <w:shd w:val="clear" w:color="auto" w:fill="FFFFFF"/>
        </w:rPr>
      </w:pPr>
      <w:r>
        <w:rPr>
          <w:rFonts w:hint="eastAsia" w:ascii="宋体" w:hAnsi="宋体"/>
          <w:kern w:val="1"/>
          <w:sz w:val="24"/>
          <w:shd w:val="clear" w:color="auto" w:fill="FFFFFF"/>
        </w:rPr>
        <w:t>特此证明。</w:t>
      </w:r>
    </w:p>
    <w:p>
      <w:pPr>
        <w:spacing w:line="440" w:lineRule="exact"/>
        <w:rPr>
          <w:rFonts w:ascii="宋体" w:hAnsi="宋体"/>
          <w:b/>
          <w:bCs/>
          <w:kern w:val="1"/>
          <w:sz w:val="24"/>
          <w:shd w:val="clear" w:color="auto" w:fill="FFFFFF"/>
        </w:rPr>
      </w:pPr>
      <w:r>
        <w:rPr>
          <w:rFonts w:hint="eastAsia" w:ascii="宋体" w:hAnsi="宋体"/>
          <w:b/>
          <w:bCs/>
          <w:kern w:val="1"/>
          <w:sz w:val="24"/>
          <w:shd w:val="clear" w:color="auto" w:fill="FFFFFF"/>
        </w:rPr>
        <w:t>附：法定代表人身份证明。</w:t>
      </w:r>
    </w:p>
    <w:p>
      <w:pPr>
        <w:pStyle w:val="12"/>
      </w:pPr>
    </w:p>
    <w:p>
      <w:pPr>
        <w:pStyle w:val="12"/>
        <w:rPr>
          <w:rFonts w:hint="eastAsia"/>
        </w:rPr>
      </w:pPr>
    </w:p>
    <w:p>
      <w:pPr>
        <w:spacing w:line="440" w:lineRule="exact"/>
        <w:rPr>
          <w:rFonts w:ascii="宋体" w:hAnsi="宋体"/>
          <w:kern w:val="1"/>
          <w:sz w:val="24"/>
          <w:shd w:val="clear" w:color="auto" w:fill="FFFFFF"/>
        </w:rPr>
      </w:pPr>
      <w:r>
        <w:rPr>
          <w:rFonts w:ascii="宋体" w:hAnsi="宋体"/>
          <w:kern w:val="1"/>
          <w:sz w:val="24"/>
          <w:shd w:val="clear" w:color="auto" w:fill="FFFFFF"/>
        </w:rPr>
        <w:t xml:space="preserve">                          </w:t>
      </w:r>
      <w:bookmarkStart w:id="22" w:name="_Hlk43303134"/>
      <w:r>
        <w:rPr>
          <w:rFonts w:hint="eastAsia" w:ascii="宋体" w:hAnsi="宋体"/>
          <w:kern w:val="1"/>
          <w:sz w:val="24"/>
          <w:shd w:val="clear" w:color="auto" w:fill="FFFFFF"/>
        </w:rPr>
        <w:t>比选申请人</w:t>
      </w:r>
      <w:bookmarkEnd w:id="22"/>
      <w:r>
        <w:rPr>
          <w:rFonts w:hint="eastAsia" w:ascii="宋体" w:hAnsi="宋体"/>
          <w:kern w:val="1"/>
          <w:sz w:val="24"/>
          <w:shd w:val="clear" w:color="auto" w:fill="FFFFFF"/>
        </w:rPr>
        <w:t>：</w:t>
      </w:r>
      <w:r>
        <w:rPr>
          <w:rFonts w:ascii="宋体" w:hAnsi="宋体"/>
          <w:kern w:val="1"/>
          <w:sz w:val="24"/>
          <w:u w:val="single"/>
          <w:shd w:val="clear" w:color="auto" w:fill="FFFFFF"/>
        </w:rPr>
        <w:t xml:space="preserve">                 </w:t>
      </w:r>
      <w:r>
        <w:rPr>
          <w:rFonts w:hint="eastAsia" w:ascii="宋体" w:hAnsi="宋体"/>
          <w:kern w:val="1"/>
          <w:sz w:val="24"/>
          <w:shd w:val="clear" w:color="auto" w:fill="FFFFFF"/>
        </w:rPr>
        <w:t>（盖单位鲜公章）</w:t>
      </w:r>
    </w:p>
    <w:p>
      <w:pPr>
        <w:spacing w:line="440" w:lineRule="exact"/>
        <w:rPr>
          <w:rFonts w:ascii="宋体" w:hAnsi="宋体"/>
          <w:kern w:val="1"/>
          <w:szCs w:val="21"/>
          <w:shd w:val="clear" w:color="auto" w:fill="FFFFFF"/>
        </w:rPr>
      </w:pPr>
      <w:r>
        <w:rPr>
          <w:rFonts w:ascii="宋体" w:hAnsi="宋体"/>
          <w:kern w:val="1"/>
          <w:sz w:val="24"/>
          <w:shd w:val="clear" w:color="auto" w:fill="FFFFFF"/>
        </w:rPr>
        <w:t xml:space="preserve">                                   </w:t>
      </w:r>
      <w:r>
        <w:rPr>
          <w:rFonts w:ascii="宋体" w:hAnsi="宋体"/>
          <w:kern w:val="1"/>
          <w:sz w:val="24"/>
          <w:u w:val="single"/>
          <w:shd w:val="clear" w:color="auto" w:fill="FFFFFF"/>
        </w:rPr>
        <w:t xml:space="preserve">       </w:t>
      </w:r>
      <w:r>
        <w:rPr>
          <w:rFonts w:hint="eastAsia" w:ascii="宋体" w:hAnsi="宋体"/>
          <w:kern w:val="1"/>
          <w:sz w:val="24"/>
          <w:shd w:val="clear" w:color="auto" w:fill="FFFFFF"/>
        </w:rPr>
        <w:t>年</w:t>
      </w:r>
      <w:r>
        <w:rPr>
          <w:rFonts w:ascii="宋体" w:hAnsi="宋体"/>
          <w:kern w:val="1"/>
          <w:sz w:val="24"/>
          <w:u w:val="single"/>
          <w:shd w:val="clear" w:color="auto" w:fill="FFFFFF"/>
        </w:rPr>
        <w:t xml:space="preserve">       </w:t>
      </w:r>
      <w:r>
        <w:rPr>
          <w:rFonts w:hint="eastAsia" w:ascii="宋体" w:hAnsi="宋体"/>
          <w:kern w:val="1"/>
          <w:sz w:val="24"/>
          <w:shd w:val="clear" w:color="auto" w:fill="FFFFFF"/>
        </w:rPr>
        <w:t>月</w:t>
      </w:r>
      <w:r>
        <w:rPr>
          <w:rFonts w:ascii="宋体" w:hAnsi="宋体"/>
          <w:kern w:val="1"/>
          <w:sz w:val="24"/>
          <w:u w:val="single"/>
          <w:shd w:val="clear" w:color="auto" w:fill="FFFFFF"/>
        </w:rPr>
        <w:t xml:space="preserve">       </w:t>
      </w:r>
      <w:r>
        <w:rPr>
          <w:rFonts w:hint="eastAsia" w:ascii="宋体" w:hAnsi="宋体"/>
          <w:kern w:val="1"/>
          <w:sz w:val="24"/>
          <w:shd w:val="clear" w:color="auto" w:fill="FFFFFF"/>
        </w:rPr>
        <w:t>日</w:t>
      </w:r>
      <w:r>
        <w:rPr>
          <w:rFonts w:ascii="宋体" w:hAnsi="宋体"/>
          <w:kern w:val="1"/>
          <w:sz w:val="24"/>
          <w:shd w:val="clear" w:color="auto" w:fill="FFFFFF"/>
        </w:rPr>
        <w:t xml:space="preserve">    </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80"/>
        <w:jc w:val="center"/>
        <w:outlineLvl w:val="2"/>
        <w:rPr>
          <w:rFonts w:ascii="宋体" w:hAnsi="宋体"/>
          <w:b/>
          <w:kern w:val="1"/>
          <w:sz w:val="24"/>
          <w:shd w:val="clear" w:color="auto" w:fill="FFFFFF"/>
        </w:rPr>
      </w:pPr>
      <w:r>
        <w:rPr>
          <w:rFonts w:ascii="宋体" w:hAnsi="宋体" w:cs="宋体"/>
          <w:kern w:val="1"/>
          <w:szCs w:val="21"/>
          <w:shd w:val="clear" w:color="auto" w:fill="FFFFFF"/>
        </w:rPr>
        <w:br w:type="page"/>
      </w:r>
      <w:r>
        <w:rPr>
          <w:rFonts w:hint="eastAsia" w:ascii="宋体" w:hAnsi="宋体" w:cs="Arial"/>
          <w:b/>
          <w:kern w:val="1"/>
          <w:sz w:val="28"/>
          <w:szCs w:val="28"/>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spacing w:line="360" w:lineRule="auto"/>
        <w:ind w:firstLine="420"/>
        <w:rPr>
          <w:rFonts w:ascii="宋体" w:hAnsi="宋体" w:cs="PMingLiU-ExtB"/>
          <w:sz w:val="24"/>
          <w:shd w:val="clear" w:color="auto" w:fill="FFFFFF"/>
        </w:rPr>
      </w:pPr>
      <w:r>
        <w:rPr>
          <w:rFonts w:ascii="宋体" w:hAnsi="宋体" w:cs="PMingLiU-ExtB"/>
          <w:sz w:val="24"/>
          <w:shd w:val="clear" w:color="auto" w:fill="FFFFFF"/>
        </w:rPr>
        <w:t>本人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（姓名）系</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w:t>
      </w:r>
      <w:r>
        <w:rPr>
          <w:rFonts w:hint="eastAsia" w:ascii="宋体" w:hAnsi="宋体" w:cs="PMingLiU-ExtB"/>
          <w:spacing w:val="-1"/>
          <w:sz w:val="24"/>
          <w:shd w:val="clear" w:color="auto" w:fill="FFFFFF"/>
        </w:rPr>
        <w:t>比选申请人</w:t>
      </w:r>
      <w:r>
        <w:rPr>
          <w:rFonts w:ascii="宋体" w:hAnsi="宋体" w:cs="PMingLiU-ExtB"/>
          <w:sz w:val="24"/>
          <w:shd w:val="clear" w:color="auto" w:fill="FFFFFF"/>
        </w:rPr>
        <w:t>名称</w:t>
      </w:r>
      <w:r>
        <w:rPr>
          <w:rFonts w:ascii="宋体" w:hAnsi="宋体" w:cs="PMingLiU-ExtB"/>
          <w:spacing w:val="1"/>
          <w:sz w:val="24"/>
          <w:shd w:val="clear" w:color="auto" w:fill="FFFFFF"/>
        </w:rPr>
        <w:t>）</w:t>
      </w:r>
      <w:r>
        <w:rPr>
          <w:rFonts w:ascii="宋体" w:hAnsi="宋体" w:cs="PMingLiU-ExtB"/>
          <w:sz w:val="24"/>
          <w:shd w:val="clear" w:color="auto" w:fill="FFFFFF"/>
        </w:rPr>
        <w:t>的法定代</w:t>
      </w:r>
      <w:r>
        <w:rPr>
          <w:rFonts w:ascii="宋体" w:hAnsi="宋体" w:cs="PMingLiU-ExtB"/>
          <w:spacing w:val="1"/>
          <w:sz w:val="24"/>
          <w:shd w:val="clear" w:color="auto" w:fill="FFFFFF"/>
        </w:rPr>
        <w:t>表</w:t>
      </w:r>
      <w:r>
        <w:rPr>
          <w:rFonts w:ascii="宋体" w:hAnsi="宋体" w:cs="PMingLiU-ExtB"/>
          <w:sz w:val="24"/>
          <w:shd w:val="clear" w:color="auto" w:fill="FFFFFF"/>
        </w:rPr>
        <w:t>人，现委托</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（姓</w:t>
      </w:r>
      <w:r>
        <w:rPr>
          <w:rFonts w:ascii="宋体" w:hAnsi="宋体" w:cs="宋体"/>
          <w:sz w:val="24"/>
          <w:shd w:val="clear" w:color="auto" w:fill="FFFFFF"/>
        </w:rPr>
        <w:t xml:space="preserve"> </w:t>
      </w:r>
      <w:r>
        <w:rPr>
          <w:rFonts w:ascii="宋体" w:hAnsi="宋体" w:cs="PMingLiU-ExtB"/>
          <w:sz w:val="24"/>
          <w:shd w:val="clear" w:color="auto" w:fill="FFFFFF"/>
        </w:rPr>
        <w:t>名）为我方代理人。代理人根据授权，以我方名义签署、澄清、说明、补正、递交、撤回、</w:t>
      </w:r>
      <w:r>
        <w:rPr>
          <w:rFonts w:ascii="宋体" w:hAnsi="宋体" w:cs="宋体"/>
          <w:sz w:val="24"/>
          <w:shd w:val="clear" w:color="auto" w:fill="FFFFFF"/>
        </w:rPr>
        <w:t xml:space="preserve"> </w:t>
      </w:r>
      <w:r>
        <w:rPr>
          <w:rFonts w:ascii="宋体" w:hAnsi="宋体" w:cs="PMingLiU-ExtB"/>
          <w:sz w:val="24"/>
          <w:shd w:val="clear" w:color="auto" w:fill="FFFFFF"/>
        </w:rPr>
        <w:t>修改《</w:t>
      </w:r>
      <w:r>
        <w:rPr>
          <w:rFonts w:hint="eastAsia" w:ascii="宋体" w:hAnsi="宋体" w:cs="PMingLiU-ExtB"/>
          <w:sz w:val="24"/>
          <w:shd w:val="clear" w:color="auto" w:fill="FFFFFF"/>
        </w:rPr>
        <w:t>高速国储投营加油站环境突发事件应急预案及风险评估报告进行编制、备案项目</w:t>
      </w:r>
      <w:r>
        <w:rPr>
          <w:rFonts w:ascii="宋体" w:hAnsi="宋体" w:cs="PMingLiU-ExtB"/>
          <w:sz w:val="24"/>
          <w:shd w:val="clear" w:color="auto" w:fill="FFFFFF"/>
        </w:rPr>
        <w:t>》报价文件、签订合同和处理有关事宜，</w:t>
      </w:r>
      <w:r>
        <w:rPr>
          <w:rFonts w:ascii="宋体" w:hAnsi="宋体" w:cs="宋体"/>
          <w:sz w:val="24"/>
          <w:shd w:val="clear" w:color="auto" w:fill="FFFFFF"/>
        </w:rPr>
        <w:t xml:space="preserve"> </w:t>
      </w:r>
      <w:r>
        <w:rPr>
          <w:rFonts w:ascii="宋体" w:hAnsi="宋体" w:cs="PMingLiU-ExtB"/>
          <w:sz w:val="24"/>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 w:val="24"/>
          <w:shd w:val="clear" w:color="auto" w:fill="FFFFFF"/>
        </w:rPr>
      </w:pPr>
      <w:r>
        <w:rPr>
          <w:rFonts w:ascii="宋体" w:hAnsi="宋体" w:cs="PMingLiU-ExtB"/>
          <w:sz w:val="24"/>
          <w:shd w:val="clear" w:color="auto" w:fill="FFFFFF"/>
        </w:rPr>
        <w:t>委托</w:t>
      </w:r>
      <w:r>
        <w:rPr>
          <w:rFonts w:ascii="宋体" w:hAnsi="宋体" w:cs="PMingLiU-ExtB"/>
          <w:spacing w:val="-1"/>
          <w:sz w:val="24"/>
          <w:shd w:val="clear" w:color="auto" w:fill="FFFFFF"/>
        </w:rPr>
        <w:t>期</w:t>
      </w:r>
      <w:r>
        <w:rPr>
          <w:rFonts w:ascii="宋体" w:hAnsi="宋体" w:cs="PMingLiU-ExtB"/>
          <w:sz w:val="24"/>
          <w:shd w:val="clear" w:color="auto" w:fill="FFFFFF"/>
        </w:rPr>
        <w:t>限：</w:t>
      </w:r>
      <w:r>
        <w:rPr>
          <w:rFonts w:ascii="宋体" w:hAnsi="宋体" w:cs="PMingLiU-ExtB"/>
          <w:w w:val="200"/>
          <w:sz w:val="24"/>
          <w:shd w:val="clear" w:color="auto" w:fill="FFFFFF"/>
        </w:rPr>
        <w:t xml:space="preserve"> </w:t>
      </w:r>
      <w:r>
        <w:rPr>
          <w:rFonts w:ascii="宋体" w:hAnsi="宋体" w:cs="PMingLiU-ExtB"/>
          <w:sz w:val="24"/>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 w:val="24"/>
          <w:shd w:val="clear" w:color="auto" w:fill="FFFFFF"/>
        </w:rPr>
      </w:pPr>
      <w:r>
        <w:rPr>
          <w:rFonts w:ascii="宋体" w:hAnsi="宋体" w:cs="PMingLiU-ExtB"/>
          <w:sz w:val="24"/>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b/>
          <w:bCs/>
          <w:sz w:val="24"/>
          <w:shd w:val="clear" w:color="auto" w:fill="FFFFFF"/>
        </w:rPr>
      </w:pPr>
      <w:r>
        <w:rPr>
          <w:rFonts w:ascii="宋体" w:hAnsi="宋体" w:cs="PMingLiU-ExtB"/>
          <w:b/>
          <w:bCs/>
          <w:sz w:val="24"/>
          <w:shd w:val="clear" w:color="auto" w:fill="FFFFFF"/>
        </w:rPr>
        <w:t>附：法定代表人身份证明</w:t>
      </w:r>
      <w:r>
        <w:rPr>
          <w:rFonts w:hint="eastAsia" w:ascii="宋体" w:hAnsi="宋体" w:cs="PMingLiU-ExtB"/>
          <w:b/>
          <w:bCs/>
          <w:sz w:val="24"/>
          <w:shd w:val="clear" w:color="auto" w:fill="FFFFFF"/>
        </w:rPr>
        <w:t>及委托代理人身份证明</w:t>
      </w:r>
      <w:r>
        <w:rPr>
          <w:rFonts w:ascii="宋体" w:hAnsi="宋体" w:cs="PMingLiU-ExtB"/>
          <w:b/>
          <w:bCs/>
          <w:sz w:val="24"/>
          <w:shd w:val="clear" w:color="auto" w:fill="FFFFFF"/>
        </w:rPr>
        <w:t>。</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 w:val="24"/>
          <w:shd w:val="clear" w:color="auto" w:fill="FFFFFF"/>
        </w:rPr>
      </w:pPr>
      <w:r>
        <w:rPr>
          <w:rFonts w:hint="eastAsia" w:ascii="宋体" w:hAnsi="宋体" w:cs="PMingLiU-ExtB"/>
          <w:sz w:val="24"/>
          <w:shd w:val="clear" w:color="auto" w:fill="FFFFFF"/>
        </w:rPr>
        <w:t>比选申请人</w:t>
      </w:r>
      <w:r>
        <w:rPr>
          <w:rFonts w:ascii="宋体" w:hAnsi="宋体" w:cs="PMingLiU-ExtB"/>
          <w:sz w:val="24"/>
          <w:shd w:val="clear" w:color="auto" w:fill="FFFFFF"/>
        </w:rPr>
        <w:t>：</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宋体"/>
          <w:sz w:val="24"/>
          <w:u w:val="single"/>
          <w:shd w:val="clear" w:color="auto" w:fill="FFFFFF"/>
        </w:rPr>
        <w:t xml:space="preserve">    </w:t>
      </w:r>
      <w:r>
        <w:rPr>
          <w:rFonts w:ascii="宋体" w:hAnsi="宋体" w:cs="PMingLiU-ExtB"/>
          <w:sz w:val="24"/>
          <w:shd w:val="clear" w:color="auto" w:fill="FFFFFF"/>
        </w:rPr>
        <w:t>（</w:t>
      </w:r>
      <w:r>
        <w:rPr>
          <w:rFonts w:ascii="宋体" w:hAnsi="宋体" w:cs="PMingLiU-ExtB"/>
          <w:spacing w:val="-1"/>
          <w:sz w:val="24"/>
          <w:shd w:val="clear" w:color="auto" w:fill="FFFFFF"/>
        </w:rPr>
        <w:t>盖</w:t>
      </w:r>
      <w:r>
        <w:rPr>
          <w:rFonts w:ascii="宋体" w:hAnsi="宋体" w:cs="PMingLiU-ExtB"/>
          <w:sz w:val="24"/>
          <w:shd w:val="clear" w:color="auto" w:fill="FFFFFF"/>
        </w:rPr>
        <w:t>单位</w:t>
      </w:r>
      <w:r>
        <w:rPr>
          <w:rFonts w:hint="eastAsia" w:ascii="宋体" w:hAnsi="宋体" w:cs="PMingLiU-ExtB"/>
          <w:sz w:val="24"/>
          <w:shd w:val="clear" w:color="auto" w:fill="FFFFFF"/>
        </w:rPr>
        <w:t>鲜</w:t>
      </w:r>
      <w:r>
        <w:rPr>
          <w:rFonts w:ascii="宋体" w:hAnsi="宋体" w:cs="PMingLiU-ExtB"/>
          <w:sz w:val="24"/>
          <w:shd w:val="clear" w:color="auto" w:fill="FFFFFF"/>
        </w:rPr>
        <w:t>公章）</w:t>
      </w:r>
      <w:r>
        <w:rPr>
          <w:rFonts w:ascii="宋体" w:hAnsi="宋体" w:cs="宋体"/>
          <w:sz w:val="24"/>
          <w:shd w:val="clear" w:color="auto" w:fill="FFFFFF"/>
        </w:rPr>
        <w:t xml:space="preserve"> </w:t>
      </w:r>
    </w:p>
    <w:p>
      <w:pPr>
        <w:tabs>
          <w:tab w:val="left" w:pos="630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法定代表人：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宋体"/>
          <w:sz w:val="24"/>
          <w:u w:val="single"/>
          <w:shd w:val="clear" w:color="auto" w:fill="FFFFFF"/>
        </w:rPr>
        <w:t xml:space="preserve">   </w:t>
      </w:r>
      <w:r>
        <w:rPr>
          <w:rFonts w:ascii="宋体" w:hAnsi="宋体" w:cs="PMingLiU-ExtB"/>
          <w:sz w:val="24"/>
          <w:shd w:val="clear" w:color="auto" w:fill="FFFFFF"/>
        </w:rPr>
        <w:t>（签字）</w:t>
      </w:r>
    </w:p>
    <w:p>
      <w:pPr>
        <w:tabs>
          <w:tab w:val="left" w:pos="526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身份证号码：</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p>
    <w:p>
      <w:pPr>
        <w:tabs>
          <w:tab w:val="left" w:pos="6720"/>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委托代理人：</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（签</w:t>
      </w:r>
      <w:r>
        <w:rPr>
          <w:rFonts w:ascii="宋体" w:hAnsi="宋体" w:cs="PMingLiU-ExtB"/>
          <w:spacing w:val="-1"/>
          <w:sz w:val="24"/>
          <w:shd w:val="clear" w:color="auto" w:fill="FFFFFF"/>
        </w:rPr>
        <w:t>字</w:t>
      </w:r>
      <w:r>
        <w:rPr>
          <w:rFonts w:ascii="宋体" w:hAnsi="宋体" w:cs="PMingLiU-ExtB"/>
          <w:sz w:val="24"/>
          <w:shd w:val="clear" w:color="auto" w:fill="FFFFFF"/>
        </w:rPr>
        <w:t>）</w:t>
      </w:r>
    </w:p>
    <w:p>
      <w:pPr>
        <w:tabs>
          <w:tab w:val="left" w:pos="6825"/>
        </w:tabs>
        <w:spacing w:line="360" w:lineRule="auto"/>
        <w:ind w:firstLine="1680"/>
        <w:jc w:val="left"/>
        <w:rPr>
          <w:rFonts w:ascii="宋体" w:hAnsi="宋体" w:cs="PMingLiU-ExtB"/>
          <w:sz w:val="24"/>
          <w:shd w:val="clear" w:color="auto" w:fill="FFFFFF"/>
        </w:rPr>
      </w:pPr>
      <w:r>
        <w:rPr>
          <w:rFonts w:ascii="宋体" w:hAnsi="宋体" w:cs="PMingLiU-ExtB"/>
          <w:sz w:val="24"/>
          <w:shd w:val="clear" w:color="auto" w:fill="FFFFFF"/>
        </w:rPr>
        <w:t>身份证号码：</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
      <w:pPr>
        <w:spacing w:line="360" w:lineRule="auto"/>
        <w:ind w:firstLine="720" w:firstLineChars="224"/>
        <w:jc w:val="center"/>
        <w:rPr>
          <w:rFonts w:ascii="宋体" w:hAnsi="宋体" w:cs="Arial"/>
          <w:b/>
          <w:kern w:val="1"/>
          <w:sz w:val="32"/>
          <w:szCs w:val="22"/>
          <w:shd w:val="clear" w:color="auto" w:fill="FFFFFF"/>
        </w:rPr>
      </w:pPr>
    </w:p>
    <w:p>
      <w:pPr>
        <w:spacing w:line="360" w:lineRule="auto"/>
        <w:ind w:firstLine="720" w:firstLineChars="224"/>
        <w:jc w:val="center"/>
        <w:rPr>
          <w:rFonts w:ascii="宋体" w:hAnsi="宋体" w:cs="Arial"/>
          <w:b/>
          <w:kern w:val="1"/>
          <w:sz w:val="32"/>
          <w:szCs w:val="22"/>
          <w:shd w:val="clear" w:color="auto" w:fill="FFFFFF"/>
        </w:rPr>
        <w:sectPr>
          <w:pgSz w:w="11906" w:h="16838"/>
          <w:pgMar w:top="1440" w:right="1800" w:bottom="1440" w:left="1800" w:header="851" w:footer="992" w:gutter="0"/>
          <w:cols w:space="720" w:num="1"/>
        </w:sectPr>
      </w:pPr>
    </w:p>
    <w:p>
      <w:pPr>
        <w:spacing w:line="360" w:lineRule="auto"/>
        <w:ind w:firstLine="720" w:firstLineChars="224"/>
        <w:jc w:val="center"/>
        <w:rPr>
          <w:rFonts w:hint="eastAsia" w:ascii="宋体" w:hAnsi="宋体"/>
          <w:b/>
          <w:kern w:val="1"/>
          <w:sz w:val="24"/>
          <w:shd w:val="clear" w:color="auto" w:fill="FFFFFF"/>
        </w:rPr>
      </w:pPr>
      <w:r>
        <w:rPr>
          <w:rFonts w:hint="eastAsia" w:ascii="宋体" w:hAnsi="宋体" w:cs="Arial"/>
          <w:b/>
          <w:kern w:val="1"/>
          <w:sz w:val="32"/>
          <w:szCs w:val="22"/>
          <w:shd w:val="clear" w:color="auto" w:fill="FFFFFF"/>
        </w:rPr>
        <w:t>三、有效的营业执照</w:t>
      </w:r>
    </w:p>
    <w:p>
      <w:pPr>
        <w:spacing w:line="360" w:lineRule="auto"/>
        <w:ind w:firstLine="720" w:firstLineChars="224"/>
        <w:jc w:val="center"/>
        <w:rPr>
          <w:rFonts w:ascii="宋体" w:hAnsi="宋体" w:cs="Arial"/>
          <w:b/>
          <w:kern w:val="1"/>
          <w:sz w:val="32"/>
          <w:szCs w:val="22"/>
          <w:shd w:val="clear" w:color="auto" w:fill="FFFFFF"/>
        </w:rPr>
      </w:pPr>
    </w:p>
    <w:p>
      <w:pPr>
        <w:spacing w:line="600" w:lineRule="exact"/>
        <w:jc w:val="center"/>
        <w:rPr>
          <w:rFonts w:ascii="宋体" w:hAnsi="宋体" w:cs="Arial"/>
          <w:b/>
          <w:kern w:val="1"/>
          <w:sz w:val="32"/>
          <w:szCs w:val="22"/>
          <w:shd w:val="clear" w:color="auto" w:fill="FFFFFF"/>
        </w:rPr>
        <w:sectPr>
          <w:pgSz w:w="11906" w:h="16838"/>
          <w:pgMar w:top="1440" w:right="1800" w:bottom="1440" w:left="1800" w:header="851" w:footer="992" w:gutter="0"/>
          <w:cols w:space="720" w:num="1"/>
        </w:sectPr>
      </w:pPr>
    </w:p>
    <w:p>
      <w:pPr>
        <w:spacing w:line="600" w:lineRule="exact"/>
        <w:jc w:val="center"/>
        <w:rPr>
          <w:rFonts w:hint="eastAsia"/>
        </w:rPr>
      </w:pPr>
      <w:r>
        <w:rPr>
          <w:rFonts w:hint="eastAsia" w:ascii="宋体" w:hAnsi="宋体" w:cs="Arial"/>
          <w:b/>
          <w:kern w:val="1"/>
          <w:sz w:val="32"/>
          <w:szCs w:val="22"/>
          <w:shd w:val="clear" w:color="auto" w:fill="FFFFFF"/>
        </w:rPr>
        <w:t>四、业绩证明</w:t>
      </w: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pStyle w:val="4"/>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r>
        <w:rPr>
          <w:rFonts w:hint="eastAsia"/>
        </w:rPr>
        <w:t xml:space="preserve"> </w:t>
      </w:r>
      <w:r>
        <w:t xml:space="preserve">                           </w:t>
      </w:r>
    </w:p>
    <w:p>
      <w:pPr>
        <w:pStyle w:val="12"/>
      </w:pPr>
    </w:p>
    <w:p>
      <w:pPr>
        <w:pStyle w:val="12"/>
      </w:pPr>
    </w:p>
    <w:p>
      <w:pPr>
        <w:spacing w:line="600" w:lineRule="exact"/>
        <w:jc w:val="center"/>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五、商务部分</w:t>
      </w:r>
    </w:p>
    <w:p>
      <w:pPr>
        <w:spacing w:line="600" w:lineRule="exact"/>
        <w:jc w:val="center"/>
      </w:pPr>
    </w:p>
    <w:p>
      <w:pPr>
        <w:spacing w:line="600" w:lineRule="exact"/>
        <w:jc w:val="center"/>
      </w:pPr>
    </w:p>
    <w:p>
      <w:pPr>
        <w:spacing w:line="600" w:lineRule="exact"/>
        <w:jc w:val="center"/>
      </w:pPr>
      <w:r>
        <w:rPr>
          <w:rFonts w:hint="eastAsia"/>
        </w:rPr>
        <w:t xml:space="preserve"> </w:t>
      </w:r>
      <w:r>
        <w:t xml:space="preserve">               </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line="600" w:lineRule="exact"/>
        <w:jc w:val="center"/>
        <w:rPr>
          <w:rFonts w:ascii="宋体" w:hAnsi="宋体" w:cs="Arial"/>
          <w:b/>
          <w:kern w:val="1"/>
          <w:sz w:val="32"/>
          <w:szCs w:val="22"/>
          <w:shd w:val="clear" w:color="auto" w:fill="FFFFFF"/>
        </w:rPr>
      </w:pPr>
    </w:p>
    <w:p>
      <w:pPr>
        <w:spacing w:line="600" w:lineRule="exact"/>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六、技术部分</w:t>
      </w:r>
    </w:p>
    <w:p>
      <w:pPr>
        <w:pStyle w:val="12"/>
      </w:pPr>
    </w:p>
    <w:p>
      <w:pPr>
        <w:pStyle w:val="12"/>
        <w:rPr>
          <w:rFonts w:hint="eastAsia"/>
        </w:rPr>
      </w:pPr>
      <w:r>
        <w:rPr>
          <w:rFonts w:hint="eastAsia"/>
        </w:rPr>
        <w:t>根据技术部分内容自行编写，格式自拟</w:t>
      </w: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spacing w:line="600" w:lineRule="exact"/>
        <w:jc w:val="center"/>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七、其他相关资料</w:t>
      </w:r>
    </w:p>
    <w:p/>
    <w:p>
      <w:pPr>
        <w:pStyle w:val="12"/>
        <w:rPr>
          <w:rFonts w:hint="default"/>
          <w:lang w:val="en-US" w:eastAsia="zh-CN"/>
        </w:rPr>
      </w:pPr>
    </w:p>
    <w:p/>
    <w:sectPr>
      <w:headerReference r:id="rId4" w:type="default"/>
      <w:footerReference r:id="rId5" w:type="default"/>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760"/>
      <w:rPr>
        <w:rFonts w:asci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98FEE2"/>
    <w:multiLevelType w:val="singleLevel"/>
    <w:tmpl w:val="EE98FEE2"/>
    <w:lvl w:ilvl="0" w:tentative="0">
      <w:start w:val="1"/>
      <w:numFmt w:val="chineseCounting"/>
      <w:suff w:val="nothing"/>
      <w:lvlText w:val="（%1）"/>
      <w:lvlJc w:val="left"/>
      <w:rPr>
        <w:rFonts w:hint="eastAsia"/>
      </w:rPr>
    </w:lvl>
  </w:abstractNum>
  <w:abstractNum w:abstractNumId="1">
    <w:nsid w:val="02C41CE1"/>
    <w:multiLevelType w:val="singleLevel"/>
    <w:tmpl w:val="02C41CE1"/>
    <w:lvl w:ilvl="0" w:tentative="0">
      <w:start w:val="2"/>
      <w:numFmt w:val="chineseCounting"/>
      <w:suff w:val="space"/>
      <w:lvlText w:val="第%1篇"/>
      <w:lvlJc w:val="left"/>
      <w:rPr>
        <w:rFonts w:hint="eastAsia"/>
      </w:rPr>
    </w:lvl>
  </w:abstractNum>
  <w:abstractNum w:abstractNumId="2">
    <w:nsid w:val="1DBD933A"/>
    <w:multiLevelType w:val="singleLevel"/>
    <w:tmpl w:val="1DBD933A"/>
    <w:lvl w:ilvl="0" w:tentative="0">
      <w:start w:val="8"/>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42286"/>
    <w:rsid w:val="1B65225A"/>
    <w:rsid w:val="50E64C91"/>
    <w:rsid w:val="61E422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Plain Text"/>
    <w:basedOn w:val="1"/>
    <w:unhideWhenUsed/>
    <w:qFormat/>
    <w:uiPriority w:val="99"/>
    <w:rPr>
      <w:rFonts w:ascii="宋体" w:hAnsi="Courier New"/>
      <w:szCs w:val="21"/>
    </w:rPr>
  </w:style>
  <w:style w:type="paragraph" w:styleId="6">
    <w:name w:val="Date"/>
    <w:basedOn w:val="1"/>
    <w:next w:val="1"/>
    <w:qFormat/>
    <w:uiPriority w:val="7"/>
    <w:pPr>
      <w:ind w:left="100"/>
    </w:pPr>
    <w:rPr>
      <w:kern w:val="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index 1"/>
    <w:basedOn w:val="1"/>
    <w:next w:val="1"/>
    <w:qFormat/>
    <w:uiPriority w:val="6"/>
    <w:pPr>
      <w:spacing w:line="360" w:lineRule="auto"/>
      <w:jc w:val="center"/>
    </w:pPr>
    <w:rPr>
      <w:rFonts w:ascii="宋体" w:hAnsi="宋体" w:cs="Arial"/>
      <w:b/>
      <w:kern w:val="1"/>
      <w:sz w:val="24"/>
      <w:szCs w:val="24"/>
    </w:rPr>
  </w:style>
  <w:style w:type="paragraph" w:customStyle="1" w:styleId="1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2022-06-06T06:29:00Z</dcterms:created>
  <dc:creator>pc</dc:creator>
  <cp:lastModifiedBy>pc</cp:lastModifiedBy>
  <cp:lastPrinted>2022-06-13T06:03:17Z</cp:lastPrinted>
  <dcterms:modified xsi:type="dcterms:W3CDTF">2022-06-13T07:06:38Z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BC4E1435922844ABA856E1EEC6D5E719</vt:lpwstr>
  </property>
</Properties>
</file>