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80" w:firstLineChars="150"/>
        <w:jc w:val="center"/>
        <w:rPr>
          <w:rFonts w:ascii="Times New Roman" w:hAnsi="Times New Roman" w:eastAsia="黑体"/>
          <w:sz w:val="32"/>
          <w:szCs w:val="32"/>
        </w:rPr>
      </w:pPr>
    </w:p>
    <w:p>
      <w:pPr>
        <w:spacing w:line="560" w:lineRule="exact"/>
        <w:ind w:firstLine="480" w:firstLineChars="150"/>
        <w:jc w:val="center"/>
        <w:rPr>
          <w:rFonts w:ascii="Times New Roman" w:hAnsi="Times New Roman" w:eastAsia="黑体"/>
          <w:sz w:val="32"/>
          <w:szCs w:val="32"/>
        </w:rPr>
      </w:pPr>
      <w:r>
        <w:rPr>
          <w:rFonts w:hint="eastAsia" w:ascii="Times New Roman" w:hAnsi="Times New Roman" w:eastAsia="黑体"/>
          <w:sz w:val="32"/>
          <w:szCs w:val="32"/>
        </w:rPr>
        <w:t>G85 银昆高速、G93 成渝地区环线高速重庆高新区至荣昌区（川渝界）段改扩建工程+重庆市垫江至丰都至武隆高速公路</w:t>
      </w:r>
      <w:r>
        <w:rPr>
          <w:rFonts w:hint="eastAsia" w:ascii="Times New Roman" w:hAnsi="Times New Roman" w:eastAsia="黑体"/>
          <w:sz w:val="32"/>
          <w:szCs w:val="32"/>
          <w:lang w:val="en-US" w:eastAsia="zh-CN"/>
        </w:rPr>
        <w:t>PPP</w:t>
      </w:r>
      <w:r>
        <w:rPr>
          <w:rFonts w:ascii="Times New Roman" w:hAnsi="Times New Roman" w:eastAsia="黑体"/>
          <w:sz w:val="32"/>
          <w:szCs w:val="32"/>
        </w:rPr>
        <w:t>项目</w:t>
      </w:r>
      <w:r>
        <w:rPr>
          <w:rFonts w:hint="eastAsia" w:ascii="Times New Roman" w:hAnsi="Times New Roman" w:eastAsia="黑体"/>
          <w:sz w:val="32"/>
          <w:szCs w:val="32"/>
        </w:rPr>
        <w:t>社会资本</w:t>
      </w:r>
      <w:r>
        <w:rPr>
          <w:rFonts w:ascii="Times New Roman" w:hAnsi="Times New Roman" w:eastAsia="黑体"/>
          <w:sz w:val="32"/>
          <w:szCs w:val="32"/>
        </w:rPr>
        <w:t>合作人</w:t>
      </w:r>
    </w:p>
    <w:p>
      <w:pPr>
        <w:spacing w:line="560" w:lineRule="exact"/>
        <w:ind w:firstLine="480" w:firstLineChars="150"/>
        <w:jc w:val="center"/>
        <w:rPr>
          <w:rFonts w:ascii="Times New Roman" w:hAnsi="Times New Roman" w:eastAsia="黑体"/>
          <w:sz w:val="32"/>
          <w:szCs w:val="32"/>
        </w:rPr>
      </w:pPr>
    </w:p>
    <w:p>
      <w:pPr>
        <w:spacing w:line="560" w:lineRule="exact"/>
        <w:ind w:firstLine="480" w:firstLineChars="150"/>
        <w:jc w:val="center"/>
        <w:rPr>
          <w:rFonts w:ascii="Times New Roman" w:hAnsi="Times New Roman" w:eastAsia="黑体"/>
          <w:sz w:val="32"/>
          <w:szCs w:val="32"/>
        </w:rPr>
      </w:pPr>
    </w:p>
    <w:p>
      <w:pPr>
        <w:spacing w:line="560" w:lineRule="exact"/>
        <w:ind w:firstLine="480" w:firstLineChars="150"/>
        <w:jc w:val="center"/>
        <w:rPr>
          <w:rFonts w:ascii="Times New Roman" w:hAnsi="Times New Roman" w:eastAsia="黑体"/>
          <w:sz w:val="32"/>
          <w:szCs w:val="32"/>
        </w:rPr>
      </w:pPr>
    </w:p>
    <w:p>
      <w:pPr>
        <w:spacing w:line="560" w:lineRule="exact"/>
        <w:ind w:firstLine="480" w:firstLineChars="150"/>
        <w:jc w:val="center"/>
        <w:rPr>
          <w:rFonts w:ascii="Times New Roman" w:hAnsi="Times New Roman" w:eastAsia="黑体"/>
          <w:sz w:val="32"/>
          <w:szCs w:val="32"/>
        </w:rPr>
      </w:pPr>
    </w:p>
    <w:p>
      <w:pPr>
        <w:spacing w:line="560" w:lineRule="exact"/>
        <w:ind w:firstLine="480" w:firstLineChars="150"/>
        <w:jc w:val="center"/>
        <w:rPr>
          <w:rFonts w:ascii="Times New Roman" w:hAnsi="Times New Roman" w:eastAsia="黑体"/>
          <w:sz w:val="32"/>
          <w:szCs w:val="32"/>
        </w:rPr>
      </w:pPr>
    </w:p>
    <w:p>
      <w:pPr>
        <w:spacing w:line="560" w:lineRule="exact"/>
        <w:ind w:firstLine="480" w:firstLineChars="150"/>
        <w:jc w:val="center"/>
        <w:rPr>
          <w:rFonts w:ascii="Times New Roman" w:hAnsi="Times New Roman" w:eastAsia="黑体"/>
          <w:sz w:val="32"/>
          <w:szCs w:val="32"/>
        </w:rPr>
      </w:pPr>
    </w:p>
    <w:p>
      <w:pPr>
        <w:spacing w:line="560" w:lineRule="exact"/>
        <w:ind w:firstLine="480" w:firstLineChars="150"/>
        <w:jc w:val="center"/>
        <w:rPr>
          <w:rFonts w:ascii="Times New Roman" w:hAnsi="Times New Roman" w:eastAsia="黑体"/>
          <w:sz w:val="32"/>
          <w:szCs w:val="32"/>
        </w:rPr>
      </w:pPr>
      <w:r>
        <w:rPr>
          <w:rFonts w:ascii="Times New Roman" w:hAnsi="Times New Roman" w:eastAsia="黑体"/>
          <w:sz w:val="32"/>
          <w:szCs w:val="32"/>
        </w:rPr>
        <w:t>遴</w:t>
      </w:r>
      <w:r>
        <w:rPr>
          <w:rFonts w:hint="eastAsia" w:ascii="Times New Roman" w:hAnsi="Times New Roman" w:eastAsia="黑体"/>
          <w:sz w:val="32"/>
          <w:szCs w:val="32"/>
        </w:rPr>
        <w:t xml:space="preserve">  </w:t>
      </w:r>
      <w:r>
        <w:rPr>
          <w:rFonts w:ascii="Times New Roman" w:hAnsi="Times New Roman" w:eastAsia="黑体"/>
          <w:sz w:val="32"/>
          <w:szCs w:val="32"/>
        </w:rPr>
        <w:t>选</w:t>
      </w:r>
      <w:r>
        <w:rPr>
          <w:rFonts w:hint="eastAsia" w:ascii="Times New Roman" w:hAnsi="Times New Roman" w:eastAsia="黑体"/>
          <w:sz w:val="32"/>
          <w:szCs w:val="32"/>
        </w:rPr>
        <w:t xml:space="preserve">  </w:t>
      </w:r>
      <w:r>
        <w:rPr>
          <w:rFonts w:ascii="Times New Roman" w:hAnsi="Times New Roman" w:eastAsia="黑体"/>
          <w:sz w:val="32"/>
          <w:szCs w:val="32"/>
        </w:rPr>
        <w:t>文</w:t>
      </w:r>
      <w:r>
        <w:rPr>
          <w:rFonts w:hint="eastAsia" w:ascii="Times New Roman" w:hAnsi="Times New Roman" w:eastAsia="黑体"/>
          <w:sz w:val="32"/>
          <w:szCs w:val="32"/>
        </w:rPr>
        <w:t xml:space="preserve">  </w:t>
      </w:r>
      <w:r>
        <w:rPr>
          <w:rFonts w:ascii="Times New Roman" w:hAnsi="Times New Roman" w:eastAsia="黑体"/>
          <w:sz w:val="32"/>
          <w:szCs w:val="32"/>
        </w:rPr>
        <w:t>件</w:t>
      </w:r>
    </w:p>
    <w:p>
      <w:pPr>
        <w:spacing w:line="560" w:lineRule="exact"/>
        <w:ind w:firstLine="480" w:firstLineChars="150"/>
        <w:jc w:val="center"/>
        <w:rPr>
          <w:rFonts w:ascii="Times New Roman" w:hAnsi="Times New Roman" w:eastAsia="黑体"/>
          <w:sz w:val="32"/>
          <w:szCs w:val="32"/>
        </w:rPr>
      </w:pPr>
    </w:p>
    <w:p>
      <w:pPr>
        <w:spacing w:line="560" w:lineRule="exact"/>
        <w:ind w:firstLine="480" w:firstLineChars="150"/>
        <w:jc w:val="center"/>
        <w:rPr>
          <w:rFonts w:ascii="Times New Roman" w:hAnsi="Times New Roman" w:eastAsia="黑体"/>
          <w:sz w:val="32"/>
          <w:szCs w:val="32"/>
        </w:rPr>
      </w:pPr>
    </w:p>
    <w:p>
      <w:pPr>
        <w:spacing w:line="560" w:lineRule="exact"/>
        <w:ind w:firstLine="480" w:firstLineChars="150"/>
        <w:jc w:val="center"/>
        <w:rPr>
          <w:rFonts w:ascii="Times New Roman" w:hAnsi="Times New Roman" w:eastAsia="黑体"/>
          <w:sz w:val="32"/>
          <w:szCs w:val="32"/>
        </w:rPr>
      </w:pPr>
      <w:r>
        <w:rPr>
          <w:rFonts w:ascii="Times New Roman" w:hAnsi="Times New Roman" w:eastAsia="黑体"/>
          <w:sz w:val="32"/>
          <w:szCs w:val="32"/>
        </w:rPr>
        <w:t xml:space="preserve">    </w:t>
      </w:r>
    </w:p>
    <w:p>
      <w:pPr>
        <w:spacing w:line="560" w:lineRule="exact"/>
        <w:ind w:firstLine="480" w:firstLineChars="150"/>
        <w:jc w:val="center"/>
        <w:rPr>
          <w:rFonts w:ascii="Times New Roman" w:hAnsi="Times New Roman" w:eastAsia="黑体"/>
          <w:sz w:val="32"/>
          <w:szCs w:val="32"/>
        </w:rPr>
      </w:pPr>
    </w:p>
    <w:p>
      <w:pPr>
        <w:spacing w:line="560" w:lineRule="exact"/>
        <w:ind w:firstLine="480" w:firstLineChars="150"/>
        <w:jc w:val="center"/>
        <w:rPr>
          <w:rFonts w:ascii="Times New Roman" w:hAnsi="Times New Roman" w:eastAsia="黑体"/>
          <w:sz w:val="32"/>
          <w:szCs w:val="32"/>
        </w:rPr>
      </w:pPr>
    </w:p>
    <w:p>
      <w:pPr>
        <w:spacing w:line="560" w:lineRule="exact"/>
        <w:ind w:firstLine="480" w:firstLineChars="150"/>
        <w:jc w:val="center"/>
        <w:rPr>
          <w:rFonts w:ascii="Times New Roman" w:hAnsi="Times New Roman" w:eastAsia="黑体"/>
          <w:sz w:val="32"/>
          <w:szCs w:val="32"/>
        </w:rPr>
      </w:pPr>
    </w:p>
    <w:p>
      <w:pPr>
        <w:spacing w:line="560" w:lineRule="exact"/>
        <w:ind w:firstLine="480" w:firstLineChars="150"/>
        <w:jc w:val="center"/>
        <w:rPr>
          <w:rFonts w:ascii="Times New Roman" w:hAnsi="Times New Roman" w:eastAsia="黑体"/>
          <w:sz w:val="32"/>
          <w:szCs w:val="32"/>
        </w:rPr>
      </w:pPr>
    </w:p>
    <w:p>
      <w:pPr>
        <w:spacing w:line="560" w:lineRule="exact"/>
        <w:ind w:firstLine="480" w:firstLineChars="150"/>
        <w:jc w:val="center"/>
        <w:rPr>
          <w:rFonts w:ascii="Times New Roman" w:hAnsi="Times New Roman" w:eastAsia="黑体"/>
          <w:sz w:val="32"/>
          <w:szCs w:val="32"/>
        </w:rPr>
      </w:pPr>
    </w:p>
    <w:p>
      <w:pPr>
        <w:spacing w:line="560" w:lineRule="exact"/>
        <w:ind w:firstLine="1440" w:firstLineChars="450"/>
        <w:jc w:val="both"/>
        <w:rPr>
          <w:rFonts w:ascii="Times New Roman" w:hAnsi="Times New Roman" w:eastAsia="黑体"/>
          <w:sz w:val="32"/>
          <w:szCs w:val="32"/>
        </w:rPr>
      </w:pPr>
      <w:r>
        <w:rPr>
          <w:rFonts w:hint="eastAsia" w:ascii="Times New Roman" w:hAnsi="Times New Roman" w:eastAsia="黑体"/>
          <w:sz w:val="32"/>
          <w:szCs w:val="32"/>
        </w:rPr>
        <w:t>遴选人：</w:t>
      </w:r>
      <w:r>
        <w:rPr>
          <w:rFonts w:ascii="Times New Roman" w:hAnsi="Times New Roman" w:eastAsia="黑体"/>
          <w:sz w:val="32"/>
          <w:szCs w:val="32"/>
        </w:rPr>
        <w:t>重庆高速公路集团有限公司</w:t>
      </w:r>
    </w:p>
    <w:p>
      <w:pPr>
        <w:spacing w:line="560" w:lineRule="exact"/>
        <w:ind w:firstLine="480" w:firstLineChars="150"/>
        <w:jc w:val="center"/>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中国铁建股份有限公司</w:t>
      </w:r>
    </w:p>
    <w:p>
      <w:pPr>
        <w:spacing w:line="560" w:lineRule="exact"/>
        <w:ind w:firstLine="480" w:firstLineChars="150"/>
        <w:jc w:val="center"/>
        <w:rPr>
          <w:rFonts w:hint="default" w:ascii="Times New Roman" w:hAnsi="Times New Roman" w:eastAsia="黑体"/>
          <w:sz w:val="32"/>
          <w:szCs w:val="32"/>
          <w:lang w:val="en-US" w:eastAsia="zh-CN"/>
        </w:rPr>
      </w:pPr>
      <w:r>
        <w:rPr>
          <w:rFonts w:hint="eastAsia" w:ascii="Times New Roman" w:hAnsi="Times New Roman" w:eastAsia="黑体"/>
          <w:sz w:val="32"/>
          <w:szCs w:val="32"/>
          <w:lang w:val="en-US" w:eastAsia="zh-CN"/>
        </w:rPr>
        <w:t>中交路桥建设有限公司</w:t>
      </w:r>
    </w:p>
    <w:p>
      <w:pPr>
        <w:spacing w:line="560" w:lineRule="exact"/>
        <w:ind w:firstLine="480" w:firstLineChars="150"/>
        <w:jc w:val="center"/>
        <w:rPr>
          <w:rFonts w:ascii="Times New Roman" w:hAnsi="Times New Roman" w:eastAsia="黑体"/>
          <w:sz w:val="32"/>
          <w:szCs w:val="32"/>
        </w:rPr>
      </w:pPr>
      <w:r>
        <w:rPr>
          <w:rFonts w:ascii="Times New Roman" w:hAnsi="Times New Roman" w:eastAsia="黑体"/>
          <w:sz w:val="32"/>
          <w:szCs w:val="32"/>
        </w:rPr>
        <w:t>20</w:t>
      </w:r>
      <w:r>
        <w:rPr>
          <w:rFonts w:hint="eastAsia" w:ascii="Times New Roman" w:hAnsi="Times New Roman" w:eastAsia="黑体"/>
          <w:sz w:val="32"/>
          <w:szCs w:val="32"/>
          <w:lang w:val="en-US" w:eastAsia="zh-CN"/>
        </w:rPr>
        <w:t>22</w:t>
      </w:r>
      <w:r>
        <w:rPr>
          <w:rFonts w:ascii="Times New Roman" w:hAnsi="Times New Roman" w:eastAsia="黑体"/>
          <w:sz w:val="32"/>
          <w:szCs w:val="32"/>
        </w:rPr>
        <w:t>年10月</w:t>
      </w:r>
    </w:p>
    <w:p>
      <w:pPr>
        <w:spacing w:line="560" w:lineRule="exact"/>
        <w:ind w:firstLine="420" w:firstLineChars="150"/>
        <w:jc w:val="center"/>
        <w:rPr>
          <w:rFonts w:ascii="Times New Roman" w:hAnsi="Times New Roman" w:eastAsia="黑体"/>
          <w:sz w:val="28"/>
          <w:szCs w:val="28"/>
        </w:rPr>
      </w:pPr>
      <w:r>
        <w:rPr>
          <w:rFonts w:ascii="Times New Roman" w:hAnsi="Times New Roman" w:eastAsia="黑体"/>
          <w:sz w:val="28"/>
          <w:szCs w:val="28"/>
        </w:rPr>
        <w:br w:type="page"/>
      </w:r>
    </w:p>
    <w:p>
      <w:pPr>
        <w:spacing w:line="560" w:lineRule="exact"/>
        <w:ind w:firstLine="420" w:firstLineChars="150"/>
        <w:jc w:val="center"/>
        <w:rPr>
          <w:rFonts w:ascii="Times New Roman" w:hAnsi="Times New Roman" w:eastAsia="黑体"/>
          <w:sz w:val="28"/>
          <w:szCs w:val="28"/>
        </w:rPr>
      </w:pPr>
    </w:p>
    <w:p>
      <w:pPr>
        <w:spacing w:line="560" w:lineRule="exact"/>
        <w:ind w:firstLine="420" w:firstLineChars="150"/>
        <w:jc w:val="center"/>
        <w:rPr>
          <w:rFonts w:ascii="Times New Roman" w:hAnsi="Times New Roman" w:eastAsia="黑体"/>
          <w:sz w:val="28"/>
          <w:szCs w:val="28"/>
        </w:rPr>
      </w:pPr>
      <w:r>
        <w:rPr>
          <w:rFonts w:hint="eastAsia" w:ascii="Times New Roman" w:hAnsi="Times New Roman" w:eastAsia="黑体"/>
          <w:sz w:val="28"/>
          <w:szCs w:val="28"/>
        </w:rPr>
        <w:t>目  录</w:t>
      </w:r>
    </w:p>
    <w:p>
      <w:pPr>
        <w:spacing w:line="560" w:lineRule="exact"/>
        <w:ind w:firstLine="420" w:firstLineChars="150"/>
        <w:jc w:val="center"/>
        <w:rPr>
          <w:rFonts w:ascii="Times New Roman" w:hAnsi="Times New Roman" w:eastAsia="黑体"/>
          <w:sz w:val="28"/>
          <w:szCs w:val="28"/>
        </w:rPr>
      </w:pPr>
    </w:p>
    <w:p>
      <w:pPr>
        <w:spacing w:line="560" w:lineRule="exact"/>
        <w:ind w:firstLine="420" w:firstLineChars="150"/>
        <w:jc w:val="center"/>
        <w:rPr>
          <w:rFonts w:ascii="Times New Roman" w:hAnsi="Times New Roman" w:eastAsia="黑体"/>
          <w:sz w:val="28"/>
          <w:szCs w:val="28"/>
        </w:rPr>
      </w:pPr>
    </w:p>
    <w:p>
      <w:pPr>
        <w:numPr>
          <w:ilvl w:val="0"/>
          <w:numId w:val="1"/>
        </w:numPr>
        <w:spacing w:line="560" w:lineRule="exact"/>
        <w:ind w:firstLine="420" w:firstLineChars="150"/>
        <w:jc w:val="left"/>
        <w:rPr>
          <w:rFonts w:ascii="宋体" w:hAnsi="宋体" w:cs="宋体"/>
          <w:sz w:val="28"/>
          <w:szCs w:val="28"/>
        </w:rPr>
      </w:pPr>
      <w:r>
        <w:rPr>
          <w:rFonts w:hint="eastAsia" w:ascii="宋体" w:hAnsi="宋体" w:cs="宋体"/>
          <w:sz w:val="28"/>
          <w:szCs w:val="28"/>
        </w:rPr>
        <w:t>遴选公告 ....................................1</w:t>
      </w:r>
    </w:p>
    <w:p>
      <w:pPr>
        <w:spacing w:line="560" w:lineRule="exact"/>
        <w:jc w:val="left"/>
        <w:rPr>
          <w:rFonts w:ascii="宋体" w:hAnsi="宋体" w:cs="宋体"/>
          <w:sz w:val="28"/>
          <w:szCs w:val="28"/>
        </w:rPr>
      </w:pPr>
      <w:r>
        <w:rPr>
          <w:rFonts w:hint="eastAsia" w:ascii="宋体" w:hAnsi="宋体" w:cs="宋体"/>
          <w:sz w:val="28"/>
          <w:szCs w:val="28"/>
        </w:rPr>
        <w:t xml:space="preserve">   第二章 遴选合作人须知 ..............................3</w:t>
      </w:r>
    </w:p>
    <w:p>
      <w:pPr>
        <w:spacing w:line="560" w:lineRule="exact"/>
        <w:jc w:val="left"/>
        <w:rPr>
          <w:rFonts w:ascii="宋体" w:hAnsi="宋体" w:cs="宋体"/>
          <w:sz w:val="28"/>
          <w:szCs w:val="28"/>
        </w:rPr>
      </w:pPr>
      <w:r>
        <w:rPr>
          <w:rFonts w:hint="eastAsia" w:ascii="Times New Roman" w:hAnsi="Times New Roman" w:eastAsia="黑体"/>
          <w:sz w:val="28"/>
          <w:szCs w:val="28"/>
        </w:rPr>
        <w:t xml:space="preserve">   </w:t>
      </w:r>
      <w:r>
        <w:rPr>
          <w:rFonts w:ascii="宋体" w:hAnsi="宋体" w:cs="宋体"/>
          <w:sz w:val="28"/>
          <w:szCs w:val="28"/>
        </w:rPr>
        <w:t>第</w:t>
      </w:r>
      <w:r>
        <w:rPr>
          <w:rFonts w:hint="eastAsia" w:ascii="宋体" w:hAnsi="宋体" w:cs="宋体"/>
          <w:sz w:val="28"/>
          <w:szCs w:val="28"/>
        </w:rPr>
        <w:t>三</w:t>
      </w:r>
      <w:r>
        <w:rPr>
          <w:rFonts w:ascii="宋体" w:hAnsi="宋体" w:cs="宋体"/>
          <w:sz w:val="28"/>
          <w:szCs w:val="28"/>
        </w:rPr>
        <w:t>章 遴选</w:t>
      </w:r>
      <w:r>
        <w:rPr>
          <w:rFonts w:hint="eastAsia" w:ascii="宋体" w:hAnsi="宋体" w:cs="宋体"/>
          <w:sz w:val="28"/>
          <w:szCs w:val="28"/>
        </w:rPr>
        <w:t>合作文件格式 ............................9</w:t>
      </w:r>
    </w:p>
    <w:p>
      <w:pPr>
        <w:spacing w:line="560" w:lineRule="exact"/>
        <w:jc w:val="left"/>
        <w:rPr>
          <w:rFonts w:ascii="宋体" w:hAnsi="宋体" w:cs="宋体"/>
          <w:sz w:val="28"/>
          <w:szCs w:val="28"/>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r>
        <w:rPr>
          <w:rFonts w:hint="eastAsia" w:ascii="宋体" w:hAnsi="宋体" w:cs="宋体"/>
          <w:sz w:val="28"/>
          <w:szCs w:val="28"/>
        </w:rPr>
        <w:t xml:space="preserve"> </w:t>
      </w:r>
    </w:p>
    <w:p>
      <w:pPr>
        <w:spacing w:line="560" w:lineRule="exact"/>
        <w:ind w:firstLine="420" w:firstLineChars="150"/>
        <w:jc w:val="center"/>
        <w:rPr>
          <w:rFonts w:ascii="Times New Roman" w:hAnsi="Times New Roman" w:eastAsia="黑体"/>
          <w:sz w:val="28"/>
          <w:szCs w:val="28"/>
        </w:rPr>
      </w:pPr>
      <w:r>
        <w:rPr>
          <w:rFonts w:ascii="Times New Roman" w:hAnsi="Times New Roman" w:eastAsia="黑体"/>
          <w:sz w:val="28"/>
          <w:szCs w:val="28"/>
        </w:rPr>
        <w:t>第一章 遴选</w:t>
      </w:r>
      <w:r>
        <w:rPr>
          <w:rFonts w:hint="eastAsia" w:ascii="Times New Roman" w:hAnsi="Times New Roman" w:eastAsia="黑体"/>
          <w:sz w:val="28"/>
          <w:szCs w:val="28"/>
        </w:rPr>
        <w:t>公告</w:t>
      </w:r>
    </w:p>
    <w:p>
      <w:pPr>
        <w:snapToGrid w:val="0"/>
        <w:spacing w:line="312" w:lineRule="auto"/>
        <w:ind w:firstLine="560"/>
        <w:jc w:val="center"/>
        <w:rPr>
          <w:rFonts w:ascii="Times New Roman" w:hAnsi="Times New Roman"/>
          <w:sz w:val="28"/>
          <w:szCs w:val="28"/>
        </w:rPr>
      </w:pPr>
    </w:p>
    <w:p>
      <w:pPr>
        <w:snapToGrid w:val="0"/>
        <w:spacing w:line="312" w:lineRule="auto"/>
        <w:ind w:firstLine="560"/>
        <w:jc w:val="center"/>
        <w:rPr>
          <w:rFonts w:hint="eastAsia" w:ascii="Times New Roman" w:hAnsi="Times New Roman"/>
          <w:sz w:val="28"/>
          <w:szCs w:val="28"/>
        </w:rPr>
      </w:pPr>
      <w:r>
        <w:rPr>
          <w:rFonts w:hint="eastAsia" w:ascii="Times New Roman" w:hAnsi="Times New Roman"/>
          <w:sz w:val="28"/>
          <w:szCs w:val="28"/>
        </w:rPr>
        <w:t>G85 银昆高速、G93 成渝地区环线高速重庆高新区至荣昌区（川渝界）段改扩建工程+重庆市垫江至丰都至武隆高速公路PPP项目</w:t>
      </w:r>
    </w:p>
    <w:p>
      <w:pPr>
        <w:snapToGrid w:val="0"/>
        <w:spacing w:line="312" w:lineRule="auto"/>
        <w:ind w:firstLine="560"/>
        <w:jc w:val="center"/>
        <w:rPr>
          <w:rFonts w:ascii="Times New Roman" w:hAnsi="Times New Roman"/>
          <w:sz w:val="28"/>
          <w:szCs w:val="28"/>
        </w:rPr>
      </w:pPr>
      <w:r>
        <w:rPr>
          <w:rFonts w:hint="eastAsia" w:ascii="Times New Roman" w:hAnsi="Times New Roman"/>
          <w:sz w:val="28"/>
          <w:szCs w:val="28"/>
        </w:rPr>
        <w:t>社会资本</w:t>
      </w:r>
      <w:r>
        <w:rPr>
          <w:rFonts w:ascii="Times New Roman" w:hAnsi="Times New Roman"/>
          <w:sz w:val="28"/>
          <w:szCs w:val="28"/>
        </w:rPr>
        <w:t>合作人遴选</w:t>
      </w:r>
      <w:r>
        <w:rPr>
          <w:rFonts w:hint="eastAsia" w:ascii="Times New Roman" w:hAnsi="Times New Roman"/>
          <w:sz w:val="28"/>
          <w:szCs w:val="28"/>
        </w:rPr>
        <w:t>公告</w:t>
      </w:r>
    </w:p>
    <w:p>
      <w:pPr>
        <w:snapToGrid w:val="0"/>
        <w:spacing w:line="312" w:lineRule="auto"/>
        <w:rPr>
          <w:rFonts w:ascii="Times New Roman" w:hAnsi="Times New Roman" w:eastAsia="黑体"/>
          <w:sz w:val="32"/>
          <w:szCs w:val="32"/>
        </w:rPr>
      </w:pPr>
    </w:p>
    <w:p>
      <w:pPr>
        <w:snapToGrid w:val="0"/>
        <w:spacing w:line="360" w:lineRule="auto"/>
        <w:jc w:val="left"/>
        <w:rPr>
          <w:rFonts w:ascii="Times New Roman" w:hAnsi="Times New Roman"/>
          <w:sz w:val="24"/>
          <w:szCs w:val="24"/>
        </w:rPr>
      </w:pPr>
      <w:r>
        <w:rPr>
          <w:rFonts w:hint="eastAsia" w:ascii="黑体" w:hAnsi="黑体" w:eastAsia="黑体" w:cs="黑体"/>
          <w:sz w:val="24"/>
          <w:szCs w:val="24"/>
        </w:rPr>
        <w:t>1 遴选目的</w:t>
      </w:r>
    </w:p>
    <w:p>
      <w:pPr>
        <w:snapToGrid w:val="0"/>
        <w:spacing w:line="360" w:lineRule="auto"/>
        <w:ind w:firstLine="480"/>
        <w:jc w:val="left"/>
        <w:rPr>
          <w:rFonts w:hint="eastAsia" w:ascii="Times New Roman" w:hAnsi="Times New Roman"/>
          <w:sz w:val="24"/>
          <w:szCs w:val="24"/>
        </w:rPr>
      </w:pPr>
      <w:r>
        <w:rPr>
          <w:rFonts w:hint="eastAsia" w:ascii="Times New Roman" w:hAnsi="Times New Roman"/>
          <w:sz w:val="24"/>
          <w:szCs w:val="24"/>
        </w:rPr>
        <w:t>G85 银昆高速、G93 成渝地区环线高速重庆高新区至荣昌区（川渝界）段改扩建工程</w:t>
      </w:r>
      <w:r>
        <w:rPr>
          <w:rFonts w:hint="eastAsia" w:ascii="Times New Roman" w:hAnsi="Times New Roman"/>
          <w:sz w:val="24"/>
          <w:szCs w:val="24"/>
          <w:lang w:eastAsia="zh-CN"/>
        </w:rPr>
        <w:t>（</w:t>
      </w:r>
      <w:r>
        <w:rPr>
          <w:rFonts w:hint="eastAsia" w:ascii="Times New Roman" w:hAnsi="Times New Roman"/>
          <w:sz w:val="24"/>
          <w:szCs w:val="24"/>
          <w:lang w:val="en-US" w:eastAsia="zh-CN"/>
        </w:rPr>
        <w:t>以下简称“成渝扩能”</w:t>
      </w:r>
      <w:r>
        <w:rPr>
          <w:rFonts w:hint="eastAsia" w:ascii="Times New Roman" w:hAnsi="Times New Roman"/>
          <w:sz w:val="24"/>
          <w:szCs w:val="24"/>
          <w:lang w:eastAsia="zh-CN"/>
        </w:rPr>
        <w:t>）</w:t>
      </w:r>
      <w:r>
        <w:rPr>
          <w:rFonts w:hint="eastAsia" w:ascii="Times New Roman" w:hAnsi="Times New Roman"/>
          <w:sz w:val="24"/>
          <w:szCs w:val="24"/>
        </w:rPr>
        <w:t>+重庆市垫江至丰都至武隆高速公路</w:t>
      </w:r>
      <w:r>
        <w:rPr>
          <w:rFonts w:hint="eastAsia" w:ascii="Times New Roman" w:hAnsi="Times New Roman"/>
          <w:sz w:val="24"/>
          <w:szCs w:val="24"/>
          <w:lang w:eastAsia="zh-CN"/>
        </w:rPr>
        <w:t>（</w:t>
      </w:r>
      <w:r>
        <w:rPr>
          <w:rFonts w:hint="eastAsia" w:ascii="Times New Roman" w:hAnsi="Times New Roman"/>
          <w:sz w:val="24"/>
          <w:szCs w:val="24"/>
          <w:lang w:val="en-US" w:eastAsia="zh-CN"/>
        </w:rPr>
        <w:t>以下简称“垫丰武”</w:t>
      </w:r>
      <w:r>
        <w:rPr>
          <w:rFonts w:hint="eastAsia" w:ascii="Times New Roman" w:hAnsi="Times New Roman"/>
          <w:sz w:val="24"/>
          <w:szCs w:val="24"/>
          <w:lang w:eastAsia="zh-CN"/>
        </w:rPr>
        <w:t>）</w:t>
      </w:r>
      <w:r>
        <w:rPr>
          <w:rFonts w:hint="eastAsia" w:ascii="Times New Roman" w:hAnsi="Times New Roman"/>
          <w:sz w:val="24"/>
          <w:szCs w:val="24"/>
        </w:rPr>
        <w:t>PPP项目，已经重庆市政府同意采用政府和社会资本合作（PPP）模式建设。为合理选择社会资本合作人组建联合体，共同参与项目投资、融资、施工图勘察设计、建设、运营、维护及移交，</w:t>
      </w:r>
      <w:r>
        <w:rPr>
          <w:rFonts w:ascii="Times New Roman" w:hAnsi="Times New Roman"/>
          <w:sz w:val="24"/>
          <w:szCs w:val="24"/>
        </w:rPr>
        <w:t>重庆高速公路集团有限公司</w:t>
      </w:r>
      <w:r>
        <w:rPr>
          <w:rFonts w:hint="eastAsia" w:ascii="Times New Roman" w:hAnsi="Times New Roman"/>
          <w:sz w:val="24"/>
          <w:szCs w:val="24"/>
          <w:lang w:val="en-US" w:eastAsia="zh-CN"/>
        </w:rPr>
        <w:t>联合中国铁建股份有限公司以及中交路桥建设有限公司</w:t>
      </w:r>
      <w:r>
        <w:rPr>
          <w:rFonts w:hint="eastAsia" w:ascii="Times New Roman" w:hAnsi="Times New Roman"/>
          <w:sz w:val="24"/>
          <w:szCs w:val="24"/>
        </w:rPr>
        <w:t>对</w:t>
      </w:r>
      <w:r>
        <w:rPr>
          <w:rFonts w:hint="eastAsia" w:ascii="Times New Roman" w:hAnsi="Times New Roman"/>
          <w:sz w:val="24"/>
          <w:szCs w:val="24"/>
          <w:lang w:val="en-US" w:eastAsia="zh-CN"/>
        </w:rPr>
        <w:t>出资比例小于5%的</w:t>
      </w:r>
      <w:r>
        <w:rPr>
          <w:rFonts w:hint="eastAsia" w:ascii="Times New Roman" w:hAnsi="Times New Roman"/>
          <w:sz w:val="24"/>
          <w:szCs w:val="24"/>
        </w:rPr>
        <w:t>社会资本合作人进行公开遴选。遴选出资比例</w:t>
      </w:r>
      <w:r>
        <w:rPr>
          <w:rFonts w:hint="eastAsia" w:ascii="Times New Roman" w:hAnsi="Times New Roman"/>
          <w:sz w:val="24"/>
          <w:szCs w:val="24"/>
          <w:lang w:val="en-US" w:eastAsia="zh-CN"/>
        </w:rPr>
        <w:t>小</w:t>
      </w:r>
      <w:r>
        <w:rPr>
          <w:rFonts w:hint="eastAsia" w:ascii="Times New Roman" w:hAnsi="Times New Roman"/>
          <w:sz w:val="24"/>
          <w:szCs w:val="24"/>
        </w:rPr>
        <w:t>于5%的</w:t>
      </w:r>
      <w:r>
        <w:rPr>
          <w:rFonts w:hint="eastAsia" w:ascii="Times New Roman" w:hAnsi="Times New Roman"/>
          <w:sz w:val="24"/>
          <w:szCs w:val="24"/>
          <w:lang w:val="en-US" w:eastAsia="zh-CN"/>
        </w:rPr>
        <w:t>7</w:t>
      </w:r>
      <w:r>
        <w:rPr>
          <w:rFonts w:hint="eastAsia" w:ascii="Times New Roman" w:hAnsi="Times New Roman"/>
          <w:sz w:val="24"/>
          <w:szCs w:val="24"/>
        </w:rPr>
        <w:t>家，</w:t>
      </w:r>
      <w:r>
        <w:rPr>
          <w:rFonts w:hint="eastAsia" w:ascii="Times New Roman" w:hAnsi="Times New Roman"/>
          <w:sz w:val="24"/>
          <w:szCs w:val="24"/>
          <w:highlight w:val="none"/>
          <w:lang w:val="en-US" w:eastAsia="zh-CN"/>
        </w:rPr>
        <w:t>7</w:t>
      </w:r>
      <w:r>
        <w:rPr>
          <w:rFonts w:ascii="Times New Roman" w:hAnsi="Times New Roman"/>
          <w:sz w:val="24"/>
          <w:szCs w:val="24"/>
          <w:highlight w:val="none"/>
        </w:rPr>
        <w:t>家投资合作人不允许联合</w:t>
      </w:r>
      <w:r>
        <w:rPr>
          <w:rFonts w:hint="eastAsia" w:ascii="Times New Roman" w:hAnsi="Times New Roman"/>
          <w:sz w:val="24"/>
          <w:szCs w:val="24"/>
          <w:highlight w:val="none"/>
          <w:lang w:val="en-US" w:eastAsia="zh-CN"/>
        </w:rPr>
        <w:t>体</w:t>
      </w:r>
      <w:r>
        <w:rPr>
          <w:rFonts w:ascii="Times New Roman" w:hAnsi="Times New Roman"/>
          <w:sz w:val="24"/>
          <w:szCs w:val="24"/>
          <w:highlight w:val="none"/>
        </w:rPr>
        <w:t>参与遴选</w:t>
      </w:r>
      <w:r>
        <w:rPr>
          <w:rFonts w:hint="eastAsia" w:ascii="Times New Roman" w:hAnsi="Times New Roman"/>
          <w:sz w:val="24"/>
          <w:szCs w:val="24"/>
          <w:highlight w:val="none"/>
          <w:lang w:eastAsia="zh-CN"/>
        </w:rPr>
        <w:t>，</w:t>
      </w:r>
      <w:r>
        <w:rPr>
          <w:rFonts w:hint="eastAsia" w:ascii="Times New Roman" w:hAnsi="Times New Roman"/>
          <w:sz w:val="24"/>
          <w:szCs w:val="24"/>
          <w:lang w:val="en-US" w:eastAsia="zh-CN"/>
        </w:rPr>
        <w:t>每家持股比例4.49%</w:t>
      </w:r>
      <w:r>
        <w:rPr>
          <w:rFonts w:hint="eastAsia" w:ascii="Times New Roman" w:hAnsi="Times New Roman"/>
          <w:sz w:val="24"/>
          <w:szCs w:val="24"/>
        </w:rPr>
        <w:t>。</w:t>
      </w:r>
    </w:p>
    <w:p>
      <w:pPr>
        <w:snapToGrid w:val="0"/>
        <w:spacing w:line="360" w:lineRule="auto"/>
        <w:jc w:val="left"/>
        <w:rPr>
          <w:rFonts w:ascii="Times New Roman" w:hAnsi="Times New Roman"/>
          <w:sz w:val="24"/>
          <w:szCs w:val="24"/>
        </w:rPr>
      </w:pPr>
      <w:r>
        <w:rPr>
          <w:rFonts w:hint="eastAsia" w:ascii="黑体" w:hAnsi="黑体" w:eastAsia="黑体" w:cs="黑体"/>
          <w:sz w:val="24"/>
          <w:szCs w:val="24"/>
        </w:rPr>
        <w:t>2 项目概况</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sz w:val="24"/>
          <w:szCs w:val="24"/>
        </w:rPr>
      </w:pPr>
      <w:r>
        <w:rPr>
          <w:rFonts w:hint="eastAsia" w:ascii="Times New Roman" w:hAnsi="Times New Roman"/>
          <w:sz w:val="24"/>
          <w:szCs w:val="24"/>
        </w:rPr>
        <w:t>2.1 建设地点：重庆市高新区、九龙坡区、璧山区、永川区、大足区、荣昌区及垫江县、丰都县、武隆区境内。</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sz w:val="24"/>
          <w:szCs w:val="24"/>
        </w:rPr>
      </w:pPr>
      <w:r>
        <w:rPr>
          <w:rFonts w:hint="eastAsia" w:ascii="Times New Roman" w:hAnsi="Times New Roman"/>
          <w:sz w:val="24"/>
          <w:szCs w:val="24"/>
        </w:rPr>
        <w:t>2.2 建设规模：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sz w:val="24"/>
          <w:szCs w:val="24"/>
        </w:rPr>
      </w:pPr>
      <w:r>
        <w:rPr>
          <w:rFonts w:hint="eastAsia" w:ascii="Times New Roman" w:hAnsi="Times New Roman"/>
          <w:sz w:val="24"/>
          <w:szCs w:val="24"/>
        </w:rPr>
        <w:t>本项目共包含两个子项目。子项目 1 为</w:t>
      </w:r>
      <w:r>
        <w:rPr>
          <w:rFonts w:hint="eastAsia" w:ascii="Times New Roman" w:hAnsi="Times New Roman"/>
          <w:sz w:val="24"/>
          <w:szCs w:val="24"/>
          <w:lang w:val="en-US" w:eastAsia="zh-CN"/>
        </w:rPr>
        <w:t>成渝扩能</w:t>
      </w:r>
      <w:r>
        <w:rPr>
          <w:rFonts w:hint="eastAsia" w:ascii="Times New Roman" w:hAnsi="Times New Roman"/>
          <w:sz w:val="24"/>
          <w:szCs w:val="24"/>
        </w:rPr>
        <w:t>；子项目 2 为</w:t>
      </w:r>
      <w:r>
        <w:rPr>
          <w:rFonts w:hint="eastAsia" w:ascii="Times New Roman" w:hAnsi="Times New Roman"/>
          <w:sz w:val="24"/>
          <w:szCs w:val="24"/>
          <w:lang w:val="en-US" w:eastAsia="zh-CN"/>
        </w:rPr>
        <w:t>垫丰武</w:t>
      </w:r>
      <w:r>
        <w:rPr>
          <w:rFonts w:hint="eastAsia" w:ascii="Times New Roman" w:hAnsi="Times New Roman"/>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sz w:val="24"/>
          <w:szCs w:val="24"/>
        </w:rPr>
      </w:pPr>
      <w:r>
        <w:rPr>
          <w:rFonts w:hint="eastAsia" w:ascii="Times New Roman" w:hAnsi="Times New Roman"/>
          <w:sz w:val="24"/>
          <w:szCs w:val="24"/>
        </w:rPr>
        <w:t>子项目 1：起点为既有成渝高速公路含谷立交，经重庆高新区含谷镇、白市驿镇、走马镇至璧山区来凤街道后向西北方向新建新线，从重庆新机场规划区北侧绕行后向再向南布线，在马坊回归到既有成渝高速；然后沿既有成渝高速经小坎枢纽互通、永川区大安镇在七一水库附近分出，新建路线经孙家口水库南侧、石梁桥水库北侧在观音堂附近穿箕山，随后从韩家沟附近出洞后，在三环高速公路双石服务区南侧与三环高速公路相交，经双石镇南面上跨成渝铁路后回归既有成渝高速；在大足区邮亭镇南侧新建路线至荣昌区水坝村附近回归既有成渝高速；最后沿既有成渝高速经荣昌区峰高街道、昌州街道、昌元街道、荣隆镇，止于川渝界桑家坡，线路总里程约为 99.64km。项目起点至青杠段路线长 14.815km，设计速度 80km/h，路基宽度 40.5m；青杠至终点段路线长 84.825km，设计速度 100km/h，路基宽度41m。全线共设置桥梁 10236m/63 座，其中大桥 8687m/25 座，中桥 1000m/18 座，小桥 549m/20 座；新建隧道 6543m/2 座，其中特长隧道 3998m/1 座，长隧道 2545m/1座；互通式立交 16 座，其中枢纽互通 6 座，一般互通 10 座；分离式立体交叉 24处；服务区 3 处、停车区 1 处（利用原荣隆服务区）。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sz w:val="24"/>
          <w:szCs w:val="24"/>
        </w:rPr>
      </w:pPr>
      <w:r>
        <w:rPr>
          <w:rFonts w:hint="eastAsia" w:ascii="Times New Roman" w:hAnsi="Times New Roman"/>
          <w:sz w:val="24"/>
          <w:szCs w:val="24"/>
        </w:rPr>
        <w:t>子项目 2：起于垫江新民镇北侧川祖庙附近的川渝省界，与四川大竹至重庆垫江高速公路（四川段）相接，向南经垫江新民、高安、杠家、裴兴等乡镇进入丰都境内，向南经许明寺、三元、保合、社坛、树人等乡镇后跨越长江，在长江南岸与沿江高速公路（G69）相交；再经兴义、双路、栗子、暨龙进入武隆境内；继续向南经武隆接龙、土地、火炉等乡镇后至巷口镇中咀附近，与武隆至道真高速公路对接，线路总里程约为 164.98km。项目起点至沿江高速段，路线长 76.051km，设计速度100km/h，路基宽度 26m；沿江高速至终点段，路线长 88.929km，采用设计速度80km/h，路基宽度 25.5m。全线设置桥梁 55285.5m/138 座，其中特大桥 13804m/10 座，大中桥41481.5m/128 座；隧道 55142m/24 座，其中特长隧道 37391m/6 座，长隧道12299m/7 座，中、短隧道 5452m/11 座；互通式立交 13 处，其中枢纽互通 4 处，一般互通 9 处；B 类服务区 2 处（其中三元服务区为开放式服务区）、C 类服务区 2处。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sz w:val="24"/>
          <w:szCs w:val="24"/>
        </w:rPr>
      </w:pPr>
      <w:r>
        <w:rPr>
          <w:rFonts w:hint="eastAsia" w:ascii="Times New Roman" w:hAnsi="Times New Roman"/>
          <w:sz w:val="24"/>
          <w:szCs w:val="24"/>
        </w:rPr>
        <w:t>说明：上述内容均来自本项目工可报告内容，仅供参考。应自行核实、评估。</w:t>
      </w:r>
    </w:p>
    <w:p>
      <w:pPr>
        <w:snapToGrid w:val="0"/>
        <w:spacing w:line="360" w:lineRule="auto"/>
        <w:jc w:val="left"/>
        <w:rPr>
          <w:rFonts w:ascii="Times New Roman" w:hAnsi="Times New Roman"/>
          <w:sz w:val="24"/>
          <w:szCs w:val="24"/>
        </w:rPr>
      </w:pPr>
      <w:r>
        <w:rPr>
          <w:rFonts w:hint="eastAsia" w:ascii="黑体" w:hAnsi="黑体" w:eastAsia="黑体" w:cs="黑体"/>
          <w:sz w:val="24"/>
          <w:szCs w:val="24"/>
        </w:rPr>
        <w:t>3 遴选合作人资格要求</w:t>
      </w:r>
    </w:p>
    <w:p>
      <w:pPr>
        <w:numPr>
          <w:ilvl w:val="0"/>
          <w:numId w:val="0"/>
        </w:numPr>
        <w:snapToGrid w:val="0"/>
        <w:spacing w:line="360" w:lineRule="auto"/>
        <w:ind w:firstLine="480" w:firstLineChars="200"/>
        <w:jc w:val="left"/>
        <w:rPr>
          <w:rFonts w:hint="eastAsia"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z w:val="24"/>
          <w:szCs w:val="24"/>
          <w:lang w:val="en-US" w:eastAsia="zh-CN"/>
        </w:rPr>
        <w:t>1</w:t>
      </w:r>
      <w:r>
        <w:rPr>
          <w:rFonts w:hint="eastAsia" w:ascii="Times New Roman" w:hAnsi="Times New Roman"/>
          <w:sz w:val="24"/>
          <w:szCs w:val="24"/>
          <w:lang w:eastAsia="zh-CN"/>
        </w:rPr>
        <w:t>）</w:t>
      </w:r>
      <w:r>
        <w:rPr>
          <w:rFonts w:hint="eastAsia" w:ascii="Times New Roman" w:hAnsi="Times New Roman"/>
          <w:sz w:val="24"/>
          <w:szCs w:val="24"/>
        </w:rPr>
        <w:t>在中国境内/境外依法注册的企业法人。</w:t>
      </w:r>
    </w:p>
    <w:p>
      <w:pPr>
        <w:numPr>
          <w:ilvl w:val="0"/>
          <w:numId w:val="0"/>
        </w:numPr>
        <w:snapToGrid w:val="0"/>
        <w:spacing w:line="360" w:lineRule="auto"/>
        <w:ind w:firstLine="480" w:firstLineChars="200"/>
        <w:jc w:val="left"/>
        <w:rPr>
          <w:rFonts w:hint="eastAsia" w:ascii="Times New Roman" w:hAnsi="Times New Roman"/>
          <w:sz w:val="24"/>
          <w:szCs w:val="24"/>
        </w:rPr>
      </w:pP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w:t>
      </w:r>
      <w:r>
        <w:rPr>
          <w:rFonts w:hint="default" w:ascii="Times New Roman" w:hAnsi="Times New Roman"/>
          <w:sz w:val="24"/>
          <w:szCs w:val="24"/>
          <w:lang w:val="en-US" w:eastAsia="zh-CN"/>
        </w:rPr>
        <w:t>20</w:t>
      </w:r>
      <w:r>
        <w:rPr>
          <w:rFonts w:hint="eastAsia" w:ascii="Times New Roman" w:hAnsi="Times New Roman"/>
          <w:sz w:val="24"/>
          <w:szCs w:val="24"/>
          <w:lang w:val="en-US" w:eastAsia="zh-CN"/>
        </w:rPr>
        <w:t>19年至</w:t>
      </w:r>
      <w:r>
        <w:rPr>
          <w:rFonts w:hint="default" w:ascii="Times New Roman" w:hAnsi="Times New Roman"/>
          <w:sz w:val="24"/>
          <w:szCs w:val="24"/>
          <w:lang w:val="en-US" w:eastAsia="zh-CN"/>
        </w:rPr>
        <w:t>20</w:t>
      </w:r>
      <w:r>
        <w:rPr>
          <w:rFonts w:hint="eastAsia" w:ascii="Times New Roman" w:hAnsi="Times New Roman"/>
          <w:sz w:val="24"/>
          <w:szCs w:val="24"/>
          <w:lang w:val="en-US" w:eastAsia="zh-CN"/>
        </w:rPr>
        <w:t>21年连续三年（如投标人存续期不足</w:t>
      </w:r>
      <w:r>
        <w:rPr>
          <w:rFonts w:hint="default" w:ascii="Times New Roman" w:hAnsi="Times New Roman"/>
          <w:sz w:val="24"/>
          <w:szCs w:val="24"/>
          <w:lang w:val="en-US" w:eastAsia="zh-CN"/>
        </w:rPr>
        <w:t>3</w:t>
      </w:r>
      <w:r>
        <w:rPr>
          <w:rFonts w:hint="eastAsia" w:ascii="Times New Roman" w:hAnsi="Times New Roman"/>
          <w:sz w:val="24"/>
          <w:szCs w:val="24"/>
          <w:lang w:val="en-US" w:eastAsia="zh-CN"/>
        </w:rPr>
        <w:t>年，则为自注册之日起的所有年度）每年均为盈利，且年度财务报告应当经具有法定资格的中介机构审计。</w:t>
      </w:r>
    </w:p>
    <w:p>
      <w:pPr>
        <w:numPr>
          <w:ilvl w:val="0"/>
          <w:numId w:val="0"/>
        </w:numPr>
        <w:snapToGrid w:val="0"/>
        <w:spacing w:line="360" w:lineRule="auto"/>
        <w:ind w:firstLine="480" w:firstLineChars="200"/>
        <w:jc w:val="left"/>
        <w:rPr>
          <w:rFonts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z w:val="24"/>
          <w:szCs w:val="24"/>
          <w:lang w:val="en-US" w:eastAsia="zh-CN"/>
        </w:rPr>
        <w:t>3</w:t>
      </w:r>
      <w:r>
        <w:rPr>
          <w:rFonts w:hint="eastAsia" w:ascii="Times New Roman" w:hAnsi="Times New Roman"/>
          <w:sz w:val="24"/>
          <w:szCs w:val="24"/>
          <w:lang w:eastAsia="zh-CN"/>
        </w:rPr>
        <w:t>）</w:t>
      </w:r>
      <w:r>
        <w:rPr>
          <w:rFonts w:hint="eastAsia" w:ascii="Times New Roman" w:hAnsi="Times New Roman"/>
          <w:sz w:val="24"/>
          <w:szCs w:val="24"/>
        </w:rPr>
        <w:t>20</w:t>
      </w:r>
      <w:r>
        <w:rPr>
          <w:rFonts w:hint="eastAsia" w:ascii="Times New Roman" w:hAnsi="Times New Roman"/>
          <w:sz w:val="24"/>
          <w:szCs w:val="24"/>
          <w:lang w:val="en-US" w:eastAsia="zh-CN"/>
        </w:rPr>
        <w:t>21</w:t>
      </w:r>
      <w:r>
        <w:rPr>
          <w:rFonts w:hint="eastAsia" w:ascii="Times New Roman" w:hAnsi="Times New Roman"/>
          <w:sz w:val="24"/>
          <w:szCs w:val="24"/>
        </w:rPr>
        <w:t>年末企业总资产不得低于</w:t>
      </w:r>
      <w:r>
        <w:rPr>
          <w:rFonts w:hint="eastAsia" w:ascii="Times New Roman" w:hAnsi="Times New Roman"/>
          <w:sz w:val="24"/>
          <w:szCs w:val="24"/>
          <w:lang w:val="en-US" w:eastAsia="zh-CN"/>
        </w:rPr>
        <w:t>512</w:t>
      </w:r>
      <w:r>
        <w:rPr>
          <w:rFonts w:hint="eastAsia" w:ascii="Times New Roman" w:hAnsi="Times New Roman"/>
          <w:sz w:val="24"/>
          <w:szCs w:val="24"/>
        </w:rPr>
        <w:t>亿元×出资比例；</w:t>
      </w:r>
    </w:p>
    <w:p>
      <w:pPr>
        <w:snapToGrid w:val="0"/>
        <w:spacing w:line="360" w:lineRule="auto"/>
        <w:ind w:firstLine="480" w:firstLineChars="200"/>
        <w:jc w:val="left"/>
        <w:rPr>
          <w:rFonts w:hint="eastAsia" w:ascii="Times New Roman" w:hAnsi="Times New Roman"/>
          <w:sz w:val="24"/>
          <w:szCs w:val="24"/>
        </w:rPr>
      </w:pPr>
      <w:r>
        <w:rPr>
          <w:rFonts w:hint="eastAsia" w:ascii="Times New Roman" w:hAnsi="Times New Roman"/>
          <w:sz w:val="24"/>
          <w:szCs w:val="24"/>
        </w:rPr>
        <w:t>（</w:t>
      </w:r>
      <w:r>
        <w:rPr>
          <w:rFonts w:hint="eastAsia" w:ascii="Times New Roman" w:hAnsi="Times New Roman"/>
          <w:sz w:val="24"/>
          <w:szCs w:val="24"/>
          <w:lang w:val="en-US" w:eastAsia="zh-CN"/>
        </w:rPr>
        <w:t>4</w:t>
      </w:r>
      <w:r>
        <w:rPr>
          <w:rFonts w:hint="eastAsia" w:ascii="Times New Roman" w:hAnsi="Times New Roman"/>
          <w:sz w:val="24"/>
          <w:szCs w:val="24"/>
        </w:rPr>
        <w:t>）20</w:t>
      </w:r>
      <w:r>
        <w:rPr>
          <w:rFonts w:hint="eastAsia" w:ascii="Times New Roman" w:hAnsi="Times New Roman"/>
          <w:sz w:val="24"/>
          <w:szCs w:val="24"/>
          <w:lang w:val="en-US" w:eastAsia="zh-CN"/>
        </w:rPr>
        <w:t>21</w:t>
      </w:r>
      <w:r>
        <w:rPr>
          <w:rFonts w:hint="eastAsia" w:ascii="Times New Roman" w:hAnsi="Times New Roman"/>
          <w:sz w:val="24"/>
          <w:szCs w:val="24"/>
        </w:rPr>
        <w:t>年末企业资产负债率不得大于90%；</w:t>
      </w:r>
    </w:p>
    <w:p>
      <w:pPr>
        <w:snapToGrid w:val="0"/>
        <w:spacing w:line="360" w:lineRule="auto"/>
        <w:ind w:firstLine="480" w:firstLineChars="200"/>
        <w:jc w:val="left"/>
        <w:rPr>
          <w:rFonts w:hint="eastAsia" w:ascii="Times New Roman" w:hAnsi="Times New Roman"/>
          <w:sz w:val="24"/>
          <w:szCs w:val="24"/>
          <w:lang w:eastAsia="zh-CN"/>
        </w:rPr>
      </w:pPr>
      <w:r>
        <w:rPr>
          <w:rFonts w:hint="eastAsia" w:ascii="Times New Roman" w:hAnsi="Times New Roman"/>
          <w:sz w:val="24"/>
          <w:szCs w:val="24"/>
          <w:lang w:val="en-US" w:eastAsia="zh-CN"/>
        </w:rPr>
        <w:t>（5）</w:t>
      </w:r>
      <w:r>
        <w:rPr>
          <w:rFonts w:hint="default" w:ascii="Times New Roman" w:hAnsi="Times New Roman"/>
          <w:sz w:val="24"/>
          <w:szCs w:val="24"/>
          <w:lang w:val="en-US" w:eastAsia="zh-CN"/>
        </w:rPr>
        <w:t>2021</w:t>
      </w:r>
      <w:r>
        <w:rPr>
          <w:rFonts w:hint="eastAsia" w:ascii="Times New Roman" w:hAnsi="Times New Roman"/>
          <w:sz w:val="24"/>
          <w:szCs w:val="24"/>
          <w:lang w:val="en-US" w:eastAsia="zh-CN"/>
        </w:rPr>
        <w:t xml:space="preserve">年末净资产不低于 </w:t>
      </w:r>
      <w:r>
        <w:rPr>
          <w:rFonts w:hint="default" w:ascii="Times New Roman" w:hAnsi="Times New Roman"/>
          <w:sz w:val="24"/>
          <w:szCs w:val="24"/>
          <w:lang w:val="en-US" w:eastAsia="zh-CN"/>
        </w:rPr>
        <w:t xml:space="preserve">179 </w:t>
      </w:r>
      <w:r>
        <w:rPr>
          <w:rFonts w:hint="eastAsia" w:ascii="Times New Roman" w:hAnsi="Times New Roman"/>
          <w:sz w:val="24"/>
          <w:szCs w:val="24"/>
          <w:lang w:val="en-US" w:eastAsia="zh-CN"/>
        </w:rPr>
        <w:t>亿元人民币</w:t>
      </w:r>
      <w:r>
        <w:rPr>
          <w:rFonts w:hint="eastAsia" w:ascii="Times New Roman" w:hAnsi="Times New Roman"/>
          <w:sz w:val="24"/>
          <w:szCs w:val="24"/>
        </w:rPr>
        <w:t>×出资比例</w:t>
      </w:r>
      <w:r>
        <w:rPr>
          <w:rFonts w:hint="eastAsia" w:ascii="Times New Roman" w:hAnsi="Times New Roman"/>
          <w:sz w:val="24"/>
          <w:szCs w:val="24"/>
          <w:lang w:eastAsia="zh-CN"/>
        </w:rPr>
        <w:t>，</w:t>
      </w:r>
      <w:r>
        <w:rPr>
          <w:rFonts w:hint="eastAsia" w:ascii="Times New Roman" w:hAnsi="Times New Roman"/>
          <w:sz w:val="24"/>
          <w:szCs w:val="24"/>
          <w:lang w:val="en-US" w:eastAsia="zh-CN"/>
        </w:rPr>
        <w:t>且大于出资额</w:t>
      </w:r>
      <w:r>
        <w:rPr>
          <w:rFonts w:hint="eastAsia" w:ascii="Times New Roman" w:hAnsi="Times New Roman"/>
          <w:sz w:val="24"/>
          <w:szCs w:val="24"/>
          <w:lang w:eastAsia="zh-CN"/>
        </w:rPr>
        <w:t>；</w:t>
      </w:r>
    </w:p>
    <w:p>
      <w:pPr>
        <w:snapToGrid w:val="0"/>
        <w:spacing w:line="360" w:lineRule="auto"/>
        <w:ind w:firstLine="480" w:firstLineChars="20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w:t>
      </w:r>
      <w:r>
        <w:rPr>
          <w:rFonts w:hint="eastAsia" w:ascii="Times New Roman" w:hAnsi="Times New Roman" w:cs="Times New Roman"/>
          <w:sz w:val="24"/>
          <w:szCs w:val="24"/>
          <w:lang w:val="en-US" w:eastAsia="zh-CN"/>
        </w:rPr>
        <w:t xml:space="preserve"> </w:t>
      </w:r>
      <w:r>
        <w:rPr>
          <w:rFonts w:hint="eastAsia" w:ascii="Times New Roman" w:hAnsi="Times New Roman" w:eastAsia="宋体" w:cs="Times New Roman"/>
          <w:sz w:val="24"/>
          <w:szCs w:val="24"/>
          <w:lang w:val="en-US" w:eastAsia="zh-CN"/>
        </w:rPr>
        <w:t>2021年末企业货币资金不得低于25亿×出资比例。</w:t>
      </w:r>
    </w:p>
    <w:p>
      <w:pPr>
        <w:snapToGrid w:val="0"/>
        <w:spacing w:line="360" w:lineRule="auto"/>
        <w:ind w:firstLine="480" w:firstLineChars="20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（7）具备相应的施工资质。</w:t>
      </w:r>
    </w:p>
    <w:p>
      <w:pPr>
        <w:snapToGrid w:val="0"/>
        <w:spacing w:line="360" w:lineRule="auto"/>
        <w:ind w:firstLine="480" w:firstLineChars="200"/>
        <w:jc w:val="left"/>
        <w:rPr>
          <w:rFonts w:hint="eastAsia" w:ascii="Times New Roman" w:hAnsi="Times New Roman"/>
          <w:sz w:val="24"/>
          <w:szCs w:val="24"/>
        </w:rPr>
      </w:pPr>
      <w:r>
        <w:rPr>
          <w:rFonts w:hint="eastAsia" w:ascii="Times New Roman" w:hAnsi="Times New Roman" w:eastAsia="宋体" w:cs="Times New Roman"/>
          <w:sz w:val="24"/>
          <w:szCs w:val="24"/>
          <w:lang w:val="en-US" w:eastAsia="zh-CN"/>
        </w:rPr>
        <w:t>（8）商业信誉良好，在经济活动中无重大违法违规行为；2019年至 2021 年财务会计资料无虚假记载、银行和税务信用评价系统中无不良记录；近三年内未被交通运输部、重庆</w:t>
      </w:r>
      <w:r>
        <w:rPr>
          <w:rFonts w:hint="eastAsia" w:ascii="Times New Roman" w:hAnsi="Times New Roman"/>
          <w:sz w:val="24"/>
          <w:szCs w:val="24"/>
        </w:rPr>
        <w:t>市交通局取消投标资格或禁止进入公路建设市场且处罚期未满的；合法存续，没有处于被吊销营业执照、责令关闭或者被撤销等不良状态；财务状况良好，没有处于财产被接管、冻结、破产等状态</w:t>
      </w:r>
      <w:r>
        <w:rPr>
          <w:rFonts w:hint="eastAsia" w:ascii="Times New Roman" w:hAnsi="Times New Roman"/>
          <w:sz w:val="24"/>
          <w:szCs w:val="24"/>
          <w:lang w:eastAsia="zh-CN"/>
        </w:rPr>
        <w:t>。</w:t>
      </w:r>
    </w:p>
    <w:p>
      <w:pPr>
        <w:snapToGrid w:val="0"/>
        <w:spacing w:line="360" w:lineRule="auto"/>
        <w:ind w:firstLine="480" w:firstLineChars="200"/>
        <w:jc w:val="left"/>
        <w:rPr>
          <w:rFonts w:hint="eastAsia" w:ascii="Times New Roman" w:hAnsi="Times New Roman"/>
          <w:sz w:val="24"/>
          <w:szCs w:val="24"/>
          <w:lang w:eastAsia="zh-CN"/>
        </w:rPr>
      </w:pPr>
      <w:r>
        <w:rPr>
          <w:rFonts w:hint="eastAsia" w:ascii="Times New Roman" w:hAnsi="Times New Roman" w:eastAsia="宋体" w:cs="Times New Roman"/>
          <w:sz w:val="24"/>
          <w:szCs w:val="24"/>
          <w:lang w:val="en-US" w:eastAsia="zh-CN"/>
        </w:rPr>
        <w:t>（9）</w:t>
      </w:r>
      <w:r>
        <w:rPr>
          <w:rFonts w:hint="eastAsia" w:ascii="Times New Roman" w:hAnsi="Times New Roman"/>
          <w:sz w:val="24"/>
          <w:szCs w:val="24"/>
        </w:rPr>
        <w:t xml:space="preserve">在国家企业信用信息公示系统（http:// </w:t>
      </w:r>
      <w:r>
        <w:rPr>
          <w:rFonts w:hint="eastAsia" w:ascii="Times New Roman" w:hAnsi="Times New Roman"/>
          <w:sz w:val="24"/>
          <w:szCs w:val="24"/>
        </w:rPr>
        <w:fldChar w:fldCharType="begin"/>
      </w:r>
      <w:r>
        <w:rPr>
          <w:rFonts w:hint="eastAsia" w:ascii="Times New Roman" w:hAnsi="Times New Roman"/>
          <w:sz w:val="24"/>
          <w:szCs w:val="24"/>
        </w:rPr>
        <w:instrText xml:space="preserve"> HYPERLINK "http://www.gsxt.gov.cn/）中未被列入严重违法失信企业名单、在\“信用中国\”网站（http:/www.creditchina.gov.cn/）中未被列入失信被执行人名单。" </w:instrText>
      </w:r>
      <w:r>
        <w:rPr>
          <w:rFonts w:hint="eastAsia" w:ascii="Times New Roman" w:hAnsi="Times New Roman"/>
          <w:sz w:val="24"/>
          <w:szCs w:val="24"/>
        </w:rPr>
        <w:fldChar w:fldCharType="separate"/>
      </w:r>
      <w:r>
        <w:rPr>
          <w:rFonts w:hint="eastAsia" w:ascii="Times New Roman" w:hAnsi="Times New Roman"/>
          <w:sz w:val="24"/>
          <w:szCs w:val="24"/>
        </w:rPr>
        <w:t>www.gsxt.gov.cn/）中未被列入严重违法失信企业名单、在“信用中国”网站（http://www.creditchina.gov.cn/）中未被列入失信被执行人名单</w:t>
      </w:r>
      <w:r>
        <w:rPr>
          <w:rFonts w:hint="eastAsia" w:ascii="Times New Roman" w:hAnsi="Times New Roman"/>
          <w:sz w:val="24"/>
          <w:szCs w:val="24"/>
          <w:lang w:eastAsia="zh-CN"/>
        </w:rPr>
        <w:t>。</w:t>
      </w:r>
      <w:r>
        <w:rPr>
          <w:rFonts w:hint="eastAsia" w:ascii="Times New Roman" w:hAnsi="Times New Roman"/>
          <w:sz w:val="24"/>
          <w:szCs w:val="24"/>
        </w:rPr>
        <w:fldChar w:fldCharType="end"/>
      </w:r>
    </w:p>
    <w:p>
      <w:pPr>
        <w:snapToGrid w:val="0"/>
        <w:spacing w:line="360" w:lineRule="auto"/>
        <w:ind w:firstLine="480" w:firstLineChars="200"/>
        <w:jc w:val="left"/>
        <w:rPr>
          <w:rFonts w:hint="eastAsia" w:ascii="Times New Roman" w:hAnsi="Times New Roman"/>
          <w:sz w:val="24"/>
          <w:szCs w:val="24"/>
          <w:lang w:eastAsia="zh-CN"/>
        </w:rPr>
      </w:pPr>
      <w:r>
        <w:rPr>
          <w:rFonts w:hint="eastAsia" w:ascii="Times New Roman" w:hAnsi="Times New Roman"/>
          <w:sz w:val="24"/>
          <w:szCs w:val="24"/>
          <w:lang w:eastAsia="zh-CN"/>
        </w:rPr>
        <w:t>（</w:t>
      </w:r>
      <w:r>
        <w:rPr>
          <w:rFonts w:hint="eastAsia" w:ascii="Times New Roman" w:hAnsi="Times New Roman"/>
          <w:sz w:val="24"/>
          <w:szCs w:val="24"/>
          <w:lang w:val="en-US" w:eastAsia="zh-CN"/>
        </w:rPr>
        <w:t>10</w:t>
      </w:r>
      <w:r>
        <w:rPr>
          <w:rFonts w:hint="eastAsia" w:ascii="Times New Roman" w:hAnsi="Times New Roman"/>
          <w:sz w:val="24"/>
          <w:szCs w:val="24"/>
          <w:lang w:eastAsia="zh-CN"/>
        </w:rPr>
        <w:t>）</w:t>
      </w:r>
      <w:r>
        <w:rPr>
          <w:rFonts w:hint="eastAsia" w:ascii="Times New Roman" w:hAnsi="Times New Roman"/>
          <w:sz w:val="24"/>
          <w:szCs w:val="24"/>
          <w:lang w:val="en-US" w:eastAsia="zh-CN"/>
        </w:rPr>
        <w:t>遴选人子分公司或同系统单位，不应参与本次遴选</w:t>
      </w:r>
    </w:p>
    <w:p>
      <w:pPr>
        <w:snapToGrid w:val="0"/>
        <w:spacing w:line="360" w:lineRule="auto"/>
        <w:ind w:firstLine="480" w:firstLineChars="200"/>
        <w:jc w:val="left"/>
        <w:rPr>
          <w:rFonts w:hint="eastAsia" w:ascii="Times New Roman" w:hAnsi="Times New Roman"/>
          <w:sz w:val="24"/>
          <w:szCs w:val="24"/>
        </w:rPr>
      </w:pPr>
      <w:r>
        <w:rPr>
          <w:rFonts w:hint="eastAsia" w:ascii="Times New Roman" w:hAnsi="Times New Roman"/>
          <w:sz w:val="24"/>
          <w:szCs w:val="24"/>
          <w:lang w:val="en-US" w:eastAsia="zh-CN"/>
        </w:rPr>
        <w:t>（11）满足招标文件约定的其他要求。</w:t>
      </w:r>
    </w:p>
    <w:p>
      <w:pPr>
        <w:snapToGrid w:val="0"/>
        <w:spacing w:line="360" w:lineRule="auto"/>
        <w:jc w:val="left"/>
        <w:rPr>
          <w:rFonts w:ascii="黑体" w:hAnsi="黑体" w:eastAsia="黑体" w:cs="黑体"/>
          <w:sz w:val="24"/>
          <w:szCs w:val="24"/>
        </w:rPr>
      </w:pPr>
      <w:r>
        <w:rPr>
          <w:rFonts w:hint="eastAsia" w:ascii="黑体" w:hAnsi="黑体" w:eastAsia="黑体" w:cs="黑体"/>
          <w:sz w:val="24"/>
          <w:szCs w:val="24"/>
        </w:rPr>
        <w:t>4 遴选文件的获取</w:t>
      </w:r>
    </w:p>
    <w:p>
      <w:pPr>
        <w:snapToGrid w:val="0"/>
        <w:spacing w:line="360" w:lineRule="auto"/>
        <w:ind w:firstLine="560"/>
        <w:jc w:val="left"/>
        <w:rPr>
          <w:rFonts w:ascii="Times New Roman" w:hAnsi="Times New Roman"/>
          <w:sz w:val="24"/>
          <w:szCs w:val="24"/>
        </w:rPr>
      </w:pPr>
      <w:r>
        <w:rPr>
          <w:rFonts w:hint="eastAsia" w:ascii="Times New Roman" w:hAnsi="Times New Roman"/>
          <w:sz w:val="24"/>
          <w:szCs w:val="24"/>
        </w:rPr>
        <w:t>有意向的遴选</w:t>
      </w:r>
      <w:r>
        <w:rPr>
          <w:rFonts w:hint="eastAsia" w:ascii="Times New Roman" w:hAnsi="Times New Roman"/>
          <w:sz w:val="24"/>
          <w:szCs w:val="24"/>
          <w:lang w:val="en-US" w:eastAsia="zh-CN"/>
        </w:rPr>
        <w:t>投资</w:t>
      </w:r>
      <w:r>
        <w:rPr>
          <w:rFonts w:hint="eastAsia" w:ascii="Times New Roman" w:hAnsi="Times New Roman"/>
          <w:sz w:val="24"/>
          <w:szCs w:val="24"/>
        </w:rPr>
        <w:t>合作人，可</w:t>
      </w:r>
      <w:r>
        <w:rPr>
          <w:rFonts w:hint="eastAsia" w:ascii="Times New Roman" w:hAnsi="Times New Roman"/>
          <w:sz w:val="24"/>
          <w:szCs w:val="24"/>
          <w:lang w:val="en-US" w:eastAsia="zh-CN"/>
        </w:rPr>
        <w:t>自行下载遴选文件或</w:t>
      </w:r>
      <w:r>
        <w:rPr>
          <w:rFonts w:hint="eastAsia" w:ascii="Times New Roman" w:hAnsi="Times New Roman"/>
          <w:sz w:val="24"/>
          <w:szCs w:val="24"/>
        </w:rPr>
        <w:t>联系遴选人获取遴选文件。</w:t>
      </w:r>
    </w:p>
    <w:p>
      <w:pPr>
        <w:snapToGrid w:val="0"/>
        <w:spacing w:line="360" w:lineRule="auto"/>
        <w:jc w:val="left"/>
        <w:rPr>
          <w:rFonts w:ascii="黑体" w:hAnsi="黑体" w:eastAsia="黑体" w:cs="黑体"/>
          <w:sz w:val="24"/>
          <w:szCs w:val="24"/>
        </w:rPr>
      </w:pPr>
      <w:r>
        <w:rPr>
          <w:rFonts w:hint="eastAsia" w:ascii="黑体" w:hAnsi="黑体" w:eastAsia="黑体" w:cs="黑体"/>
          <w:sz w:val="24"/>
          <w:szCs w:val="24"/>
        </w:rPr>
        <w:t>5 遴选合作文件的递交</w:t>
      </w:r>
    </w:p>
    <w:p>
      <w:pPr>
        <w:snapToGrid w:val="0"/>
        <w:spacing w:line="360" w:lineRule="auto"/>
        <w:ind w:firstLine="560"/>
        <w:jc w:val="left"/>
        <w:rPr>
          <w:rFonts w:hint="default" w:ascii="Times New Roman" w:hAnsi="Times New Roman" w:eastAsia="宋体"/>
          <w:sz w:val="24"/>
          <w:szCs w:val="24"/>
          <w:lang w:val="en-US" w:eastAsia="zh-CN"/>
        </w:rPr>
      </w:pPr>
      <w:r>
        <w:rPr>
          <w:rFonts w:hint="eastAsia" w:ascii="Times New Roman" w:hAnsi="Times New Roman"/>
          <w:sz w:val="24"/>
          <w:szCs w:val="24"/>
        </w:rPr>
        <w:t>遴选合作文件递交截止时间为20</w:t>
      </w:r>
      <w:r>
        <w:rPr>
          <w:rFonts w:hint="eastAsia" w:ascii="Times New Roman" w:hAnsi="Times New Roman"/>
          <w:sz w:val="24"/>
          <w:szCs w:val="24"/>
          <w:lang w:val="en-US" w:eastAsia="zh-CN"/>
        </w:rPr>
        <w:t>22</w:t>
      </w:r>
      <w:r>
        <w:rPr>
          <w:rFonts w:hint="eastAsia" w:ascii="Times New Roman" w:hAnsi="Times New Roman"/>
          <w:sz w:val="24"/>
          <w:szCs w:val="24"/>
        </w:rPr>
        <w:t>年</w:t>
      </w:r>
      <w:r>
        <w:rPr>
          <w:rFonts w:hint="eastAsia" w:ascii="Times New Roman" w:hAnsi="Times New Roman"/>
          <w:sz w:val="24"/>
          <w:szCs w:val="24"/>
          <w:lang w:val="en-US" w:eastAsia="zh-CN"/>
        </w:rPr>
        <w:t>11</w:t>
      </w:r>
      <w:r>
        <w:rPr>
          <w:rFonts w:hint="eastAsia" w:ascii="Times New Roman" w:hAnsi="Times New Roman"/>
          <w:sz w:val="24"/>
          <w:szCs w:val="24"/>
        </w:rPr>
        <w:t>月</w:t>
      </w:r>
      <w:r>
        <w:rPr>
          <w:rFonts w:hint="eastAsia" w:ascii="Times New Roman" w:hAnsi="Times New Roman"/>
          <w:sz w:val="24"/>
          <w:szCs w:val="24"/>
          <w:lang w:val="en-US" w:eastAsia="zh-CN"/>
        </w:rPr>
        <w:t>4</w:t>
      </w:r>
      <w:r>
        <w:rPr>
          <w:rFonts w:hint="eastAsia" w:ascii="Times New Roman" w:hAnsi="Times New Roman"/>
          <w:sz w:val="24"/>
          <w:szCs w:val="24"/>
        </w:rPr>
        <w:t>日10时，送达至重庆高速公路集团有限公司</w:t>
      </w:r>
      <w:r>
        <w:rPr>
          <w:rFonts w:hint="eastAsia" w:ascii="Times New Roman" w:hAnsi="Times New Roman"/>
          <w:sz w:val="24"/>
          <w:szCs w:val="24"/>
          <w:lang w:val="en-US" w:eastAsia="zh-CN"/>
        </w:rPr>
        <w:t>2109</w:t>
      </w:r>
      <w:r>
        <w:rPr>
          <w:rFonts w:hint="eastAsia" w:ascii="Times New Roman" w:hAnsi="Times New Roman"/>
          <w:sz w:val="24"/>
          <w:szCs w:val="24"/>
        </w:rPr>
        <w:t>室（地址：</w:t>
      </w:r>
      <w:r>
        <w:rPr>
          <w:rFonts w:ascii="Times New Roman" w:hAnsi="Times New Roman"/>
          <w:sz w:val="24"/>
          <w:szCs w:val="24"/>
        </w:rPr>
        <w:t>重庆市渝北区银杉路66号</w:t>
      </w:r>
      <w:r>
        <w:rPr>
          <w:rFonts w:hint="eastAsia" w:ascii="Times New Roman" w:hAnsi="Times New Roman"/>
          <w:sz w:val="24"/>
          <w:szCs w:val="24"/>
        </w:rPr>
        <w:t>）。逾期送达的或者未送达指定地点的，遴选人不予受理。</w:t>
      </w:r>
      <w:r>
        <w:rPr>
          <w:rFonts w:hint="eastAsia" w:ascii="Times New Roman" w:hAnsi="Times New Roman"/>
          <w:sz w:val="24"/>
          <w:szCs w:val="24"/>
          <w:lang w:val="en-US" w:eastAsia="zh-CN"/>
        </w:rPr>
        <w:t>请提前在微信高速集团公众号进行访客预约并遵守疫情防控相关政策。</w:t>
      </w:r>
    </w:p>
    <w:p>
      <w:pPr>
        <w:snapToGrid w:val="0"/>
        <w:spacing w:line="360" w:lineRule="auto"/>
        <w:jc w:val="left"/>
        <w:rPr>
          <w:rFonts w:ascii="黑体" w:hAnsi="黑体" w:eastAsia="黑体" w:cs="黑体"/>
          <w:sz w:val="24"/>
          <w:szCs w:val="24"/>
        </w:rPr>
      </w:pPr>
      <w:r>
        <w:rPr>
          <w:rFonts w:hint="eastAsia" w:ascii="黑体" w:hAnsi="黑体" w:eastAsia="黑体" w:cs="黑体"/>
          <w:sz w:val="24"/>
          <w:szCs w:val="24"/>
        </w:rPr>
        <w:t>6 发布公告听媒介</w:t>
      </w:r>
    </w:p>
    <w:p>
      <w:pPr>
        <w:snapToGrid w:val="0"/>
        <w:spacing w:line="360" w:lineRule="auto"/>
        <w:ind w:firstLine="560"/>
        <w:jc w:val="left"/>
        <w:rPr>
          <w:rFonts w:ascii="Times New Roman" w:hAnsi="Times New Roman"/>
          <w:sz w:val="24"/>
          <w:szCs w:val="24"/>
        </w:rPr>
      </w:pPr>
      <w:r>
        <w:rPr>
          <w:rFonts w:hint="eastAsia" w:ascii="Times New Roman" w:hAnsi="Times New Roman"/>
          <w:sz w:val="24"/>
          <w:szCs w:val="24"/>
        </w:rPr>
        <w:t>本次公告在重庆高速公路集团有限公司</w:t>
      </w:r>
      <w:r>
        <w:rPr>
          <w:rFonts w:hint="eastAsia" w:ascii="Times New Roman" w:hAnsi="Times New Roman"/>
          <w:sz w:val="24"/>
          <w:szCs w:val="24"/>
          <w:lang w:val="en-US" w:eastAsia="zh-CN"/>
        </w:rPr>
        <w:t>网站</w:t>
      </w:r>
      <w:r>
        <w:rPr>
          <w:rFonts w:hint="eastAsia" w:ascii="Times New Roman" w:hAnsi="Times New Roman"/>
          <w:sz w:val="24"/>
          <w:szCs w:val="24"/>
        </w:rPr>
        <w:t>发布。</w:t>
      </w:r>
    </w:p>
    <w:p>
      <w:pPr>
        <w:snapToGrid w:val="0"/>
        <w:spacing w:line="360" w:lineRule="auto"/>
        <w:jc w:val="left"/>
        <w:rPr>
          <w:rFonts w:ascii="Times New Roman" w:hAnsi="Times New Roman"/>
          <w:sz w:val="24"/>
          <w:szCs w:val="24"/>
        </w:rPr>
      </w:pPr>
      <w:r>
        <w:rPr>
          <w:rFonts w:hint="eastAsia" w:ascii="黑体" w:hAnsi="黑体" w:eastAsia="黑体" w:cs="黑体"/>
          <w:sz w:val="24"/>
          <w:szCs w:val="24"/>
        </w:rPr>
        <w:t>7联系方式</w:t>
      </w:r>
    </w:p>
    <w:p>
      <w:pPr>
        <w:snapToGrid w:val="0"/>
        <w:spacing w:line="360" w:lineRule="auto"/>
        <w:ind w:firstLine="480" w:firstLineChars="200"/>
        <w:jc w:val="left"/>
        <w:rPr>
          <w:rFonts w:ascii="Times New Roman" w:hAnsi="Times New Roman"/>
          <w:sz w:val="24"/>
          <w:szCs w:val="24"/>
        </w:rPr>
      </w:pPr>
      <w:r>
        <w:rPr>
          <w:rFonts w:ascii="Times New Roman" w:hAnsi="Times New Roman"/>
          <w:sz w:val="24"/>
          <w:szCs w:val="24"/>
        </w:rPr>
        <w:t>遴选人：重庆高速公路集团有限公司</w:t>
      </w:r>
      <w:r>
        <w:rPr>
          <w:rFonts w:hint="eastAsia" w:ascii="Times New Roman" w:hAnsi="Times New Roman"/>
          <w:sz w:val="24"/>
          <w:szCs w:val="24"/>
          <w:lang w:eastAsia="zh-CN"/>
        </w:rPr>
        <w:t>、</w:t>
      </w:r>
      <w:r>
        <w:rPr>
          <w:rFonts w:hint="eastAsia" w:ascii="Times New Roman" w:hAnsi="Times New Roman"/>
          <w:sz w:val="24"/>
          <w:szCs w:val="24"/>
        </w:rPr>
        <w:t>中国铁建股份有限公司</w:t>
      </w:r>
      <w:r>
        <w:rPr>
          <w:rFonts w:hint="eastAsia" w:ascii="Times New Roman" w:hAnsi="Times New Roman"/>
          <w:sz w:val="24"/>
          <w:szCs w:val="24"/>
          <w:lang w:eastAsia="zh-CN"/>
        </w:rPr>
        <w:t>、</w:t>
      </w:r>
      <w:r>
        <w:rPr>
          <w:rFonts w:hint="eastAsia" w:ascii="Times New Roman" w:hAnsi="Times New Roman"/>
          <w:sz w:val="24"/>
          <w:szCs w:val="24"/>
        </w:rPr>
        <w:t>中交路桥建设有限公司</w:t>
      </w:r>
    </w:p>
    <w:p>
      <w:pPr>
        <w:snapToGrid w:val="0"/>
        <w:spacing w:line="360" w:lineRule="auto"/>
        <w:ind w:firstLine="480" w:firstLineChars="200"/>
        <w:jc w:val="left"/>
        <w:rPr>
          <w:rFonts w:ascii="Times New Roman" w:hAnsi="Times New Roman"/>
          <w:sz w:val="24"/>
          <w:szCs w:val="24"/>
        </w:rPr>
      </w:pPr>
      <w:r>
        <w:rPr>
          <w:rFonts w:ascii="Times New Roman" w:hAnsi="Times New Roman"/>
          <w:sz w:val="24"/>
          <w:szCs w:val="24"/>
        </w:rPr>
        <w:t>地  址：重庆市渝北区银杉路66号</w:t>
      </w:r>
      <w:bookmarkStart w:id="0" w:name="_GoBack"/>
      <w:bookmarkEnd w:id="0"/>
    </w:p>
    <w:p>
      <w:pPr>
        <w:snapToGrid w:val="0"/>
        <w:spacing w:line="360" w:lineRule="auto"/>
        <w:ind w:firstLine="480" w:firstLineChars="200"/>
        <w:jc w:val="left"/>
        <w:rPr>
          <w:rFonts w:hint="default" w:ascii="Times New Roman" w:hAnsi="Times New Roman" w:eastAsia="宋体"/>
          <w:sz w:val="24"/>
          <w:szCs w:val="24"/>
          <w:lang w:val="en-US" w:eastAsia="zh-CN"/>
        </w:rPr>
      </w:pPr>
      <w:r>
        <w:rPr>
          <w:rFonts w:ascii="Times New Roman" w:hAnsi="Times New Roman"/>
          <w:sz w:val="24"/>
          <w:szCs w:val="24"/>
        </w:rPr>
        <w:t>联系人：</w:t>
      </w:r>
      <w:r>
        <w:rPr>
          <w:rFonts w:hint="eastAsia" w:ascii="Times New Roman" w:hAnsi="Times New Roman"/>
          <w:sz w:val="24"/>
          <w:szCs w:val="24"/>
          <w:lang w:val="en-US" w:eastAsia="zh-CN"/>
        </w:rPr>
        <w:t>彭先生、安先生</w:t>
      </w:r>
    </w:p>
    <w:p>
      <w:pPr>
        <w:snapToGrid w:val="0"/>
        <w:spacing w:line="360" w:lineRule="auto"/>
        <w:ind w:firstLine="480" w:firstLineChars="200"/>
        <w:jc w:val="left"/>
        <w:rPr>
          <w:rFonts w:hint="default" w:ascii="Times New Roman" w:hAnsi="Times New Roman" w:eastAsia="宋体"/>
          <w:sz w:val="24"/>
          <w:szCs w:val="24"/>
          <w:lang w:val="en-US" w:eastAsia="zh-CN"/>
        </w:rPr>
      </w:pPr>
      <w:r>
        <w:rPr>
          <w:rFonts w:ascii="Times New Roman" w:hAnsi="Times New Roman"/>
          <w:sz w:val="24"/>
          <w:szCs w:val="24"/>
        </w:rPr>
        <w:t>电  话：</w:t>
      </w:r>
      <w:r>
        <w:rPr>
          <w:rFonts w:hint="eastAsia" w:ascii="Times New Roman" w:hAnsi="Times New Roman"/>
          <w:sz w:val="24"/>
          <w:szCs w:val="24"/>
        </w:rPr>
        <w:t>023-89138</w:t>
      </w:r>
      <w:r>
        <w:rPr>
          <w:rFonts w:hint="eastAsia" w:ascii="Times New Roman" w:hAnsi="Times New Roman"/>
          <w:sz w:val="24"/>
          <w:szCs w:val="24"/>
          <w:lang w:val="en-US" w:eastAsia="zh-CN"/>
        </w:rPr>
        <w:t>352、023-89138635</w:t>
      </w:r>
    </w:p>
    <w:p>
      <w:pPr>
        <w:snapToGrid w:val="0"/>
        <w:spacing w:line="312" w:lineRule="auto"/>
        <w:jc w:val="center"/>
        <w:rPr>
          <w:rFonts w:ascii="Times New Roman" w:hAnsi="Times New Roman" w:eastAsia="黑体"/>
          <w:sz w:val="28"/>
          <w:szCs w:val="28"/>
        </w:rPr>
      </w:pPr>
      <w:r>
        <w:rPr>
          <w:rFonts w:ascii="Times New Roman" w:hAnsi="Times New Roman" w:eastAsia="黑体"/>
          <w:sz w:val="24"/>
          <w:szCs w:val="24"/>
        </w:rPr>
        <w:br w:type="page"/>
      </w:r>
      <w:r>
        <w:rPr>
          <w:rFonts w:ascii="Times New Roman" w:hAnsi="Times New Roman" w:eastAsia="黑体"/>
          <w:sz w:val="28"/>
          <w:szCs w:val="28"/>
        </w:rPr>
        <w:t>第二章 遴选</w:t>
      </w:r>
      <w:r>
        <w:rPr>
          <w:rFonts w:hint="eastAsia" w:ascii="Times New Roman" w:hAnsi="Times New Roman" w:eastAsia="黑体"/>
          <w:sz w:val="28"/>
          <w:szCs w:val="28"/>
        </w:rPr>
        <w:t>合作人</w:t>
      </w:r>
      <w:r>
        <w:rPr>
          <w:rFonts w:ascii="Times New Roman" w:hAnsi="Times New Roman" w:eastAsia="黑体"/>
          <w:sz w:val="28"/>
          <w:szCs w:val="28"/>
        </w:rPr>
        <w:t>须知</w:t>
      </w:r>
    </w:p>
    <w:p>
      <w:pPr>
        <w:spacing w:line="560" w:lineRule="exact"/>
        <w:ind w:firstLine="420" w:firstLineChars="150"/>
        <w:jc w:val="center"/>
        <w:rPr>
          <w:rFonts w:ascii="Times New Roman" w:hAnsi="Times New Roman"/>
          <w:sz w:val="28"/>
          <w:szCs w:val="28"/>
        </w:rPr>
      </w:pPr>
    </w:p>
    <w:p>
      <w:pPr>
        <w:widowControl/>
        <w:shd w:val="clear" w:color="auto" w:fill="FFFFFF"/>
        <w:snapToGrid w:val="0"/>
        <w:spacing w:line="360" w:lineRule="auto"/>
        <w:jc w:val="left"/>
        <w:outlineLvl w:val="0"/>
        <w:rPr>
          <w:rFonts w:ascii="Times New Roman" w:hAnsi="Times New Roman" w:eastAsia="黑体"/>
          <w:sz w:val="24"/>
          <w:szCs w:val="24"/>
        </w:rPr>
      </w:pPr>
      <w:r>
        <w:rPr>
          <w:rFonts w:ascii="Times New Roman" w:hAnsi="Times New Roman" w:eastAsia="黑体"/>
          <w:sz w:val="24"/>
          <w:szCs w:val="24"/>
        </w:rPr>
        <w:t xml:space="preserve">1 项目概况 </w:t>
      </w:r>
    </w:p>
    <w:p>
      <w:pPr>
        <w:widowControl/>
        <w:shd w:val="clear" w:color="auto" w:fill="FFFFFF"/>
        <w:snapToGrid w:val="0"/>
        <w:spacing w:line="360" w:lineRule="auto"/>
        <w:jc w:val="left"/>
        <w:outlineLvl w:val="0"/>
        <w:rPr>
          <w:rFonts w:ascii="Times New Roman" w:hAnsi="Times New Roman"/>
          <w:sz w:val="24"/>
          <w:szCs w:val="24"/>
        </w:rPr>
      </w:pPr>
      <w:r>
        <w:rPr>
          <w:rFonts w:hint="eastAsia" w:ascii="Times New Roman" w:hAnsi="Times New Roman" w:eastAsia="黑体"/>
          <w:sz w:val="24"/>
          <w:szCs w:val="24"/>
        </w:rPr>
        <w:t xml:space="preserve">  </w:t>
      </w:r>
      <w:r>
        <w:rPr>
          <w:rFonts w:hint="eastAsia" w:ascii="Times New Roman" w:hAnsi="Times New Roman"/>
          <w:sz w:val="24"/>
          <w:szCs w:val="24"/>
        </w:rPr>
        <w:t xml:space="preserve"> </w:t>
      </w:r>
      <w:r>
        <w:rPr>
          <w:rFonts w:hint="eastAsia" w:ascii="Times New Roman" w:hAnsi="Times New Roman"/>
          <w:sz w:val="24"/>
          <w:szCs w:val="24"/>
          <w:lang w:val="en-US" w:eastAsia="zh-CN"/>
        </w:rPr>
        <w:t xml:space="preserve"> </w:t>
      </w:r>
      <w:r>
        <w:rPr>
          <w:rFonts w:hint="eastAsia" w:ascii="Times New Roman" w:hAnsi="Times New Roman"/>
          <w:sz w:val="24"/>
          <w:szCs w:val="24"/>
        </w:rPr>
        <w:t>本项目估算总投资：约为人民币 5114144 万元，其中子项目 1 估算总投资约人民币 1916502 万元；子项目 2 估算总投资约人民币 3197642 万元。</w:t>
      </w:r>
    </w:p>
    <w:p>
      <w:pPr>
        <w:snapToGrid w:val="0"/>
        <w:spacing w:before="156" w:beforeLines="50" w:line="360" w:lineRule="auto"/>
        <w:jc w:val="left"/>
        <w:rPr>
          <w:rFonts w:ascii="Times New Roman" w:hAnsi="Times New Roman"/>
          <w:sz w:val="24"/>
          <w:szCs w:val="24"/>
        </w:rPr>
      </w:pPr>
      <w:r>
        <w:rPr>
          <w:rFonts w:hint="eastAsia" w:ascii="黑体" w:hAnsi="黑体" w:eastAsia="黑体" w:cs="黑体"/>
          <w:sz w:val="24"/>
          <w:szCs w:val="24"/>
        </w:rPr>
        <w:t>2 遴选合作人资格要求</w:t>
      </w:r>
    </w:p>
    <w:p>
      <w:pPr>
        <w:snapToGrid w:val="0"/>
        <w:spacing w:line="360" w:lineRule="auto"/>
        <w:jc w:val="left"/>
        <w:rPr>
          <w:rFonts w:ascii="Times New Roman" w:hAnsi="Times New Roman"/>
          <w:sz w:val="24"/>
          <w:szCs w:val="24"/>
        </w:rPr>
      </w:pPr>
      <w:r>
        <w:rPr>
          <w:rFonts w:hint="eastAsia" w:ascii="Times New Roman" w:hAnsi="Times New Roman"/>
          <w:sz w:val="24"/>
          <w:szCs w:val="24"/>
        </w:rPr>
        <w:t xml:space="preserve">    2.1遴选出资比例</w:t>
      </w:r>
      <w:r>
        <w:rPr>
          <w:rFonts w:hint="eastAsia" w:ascii="Times New Roman" w:hAnsi="Times New Roman"/>
          <w:sz w:val="24"/>
          <w:szCs w:val="24"/>
          <w:lang w:val="en-US" w:eastAsia="zh-CN"/>
        </w:rPr>
        <w:t>小</w:t>
      </w:r>
      <w:r>
        <w:rPr>
          <w:rFonts w:hint="eastAsia" w:ascii="Times New Roman" w:hAnsi="Times New Roman"/>
          <w:sz w:val="24"/>
          <w:szCs w:val="24"/>
        </w:rPr>
        <w:t>于5%的投资合作人应具备以下条件：</w:t>
      </w:r>
    </w:p>
    <w:p>
      <w:pPr>
        <w:snapToGrid w:val="0"/>
        <w:spacing w:line="360" w:lineRule="auto"/>
        <w:jc w:val="left"/>
        <w:rPr>
          <w:rFonts w:ascii="Times New Roman" w:hAnsi="Times New Roman"/>
          <w:sz w:val="24"/>
          <w:szCs w:val="24"/>
        </w:rPr>
      </w:pPr>
      <w:r>
        <w:rPr>
          <w:rFonts w:hint="eastAsia" w:ascii="Times New Roman" w:hAnsi="Times New Roman"/>
          <w:sz w:val="24"/>
          <w:szCs w:val="24"/>
        </w:rPr>
        <w:t xml:space="preserve">   （1）20</w:t>
      </w:r>
      <w:r>
        <w:rPr>
          <w:rFonts w:hint="eastAsia" w:ascii="Times New Roman" w:hAnsi="Times New Roman"/>
          <w:sz w:val="24"/>
          <w:szCs w:val="24"/>
          <w:lang w:val="en-US" w:eastAsia="zh-CN"/>
        </w:rPr>
        <w:t>21</w:t>
      </w:r>
      <w:r>
        <w:rPr>
          <w:rFonts w:hint="eastAsia" w:ascii="Times New Roman" w:hAnsi="Times New Roman"/>
          <w:sz w:val="24"/>
          <w:szCs w:val="24"/>
        </w:rPr>
        <w:t>年末企业总资产不得低于</w:t>
      </w:r>
      <w:r>
        <w:rPr>
          <w:rFonts w:hint="eastAsia" w:ascii="Times New Roman" w:hAnsi="Times New Roman"/>
          <w:sz w:val="24"/>
          <w:szCs w:val="24"/>
          <w:lang w:val="en-US" w:eastAsia="zh-CN"/>
        </w:rPr>
        <w:t>512</w:t>
      </w:r>
      <w:r>
        <w:rPr>
          <w:rFonts w:hint="eastAsia" w:ascii="Times New Roman" w:hAnsi="Times New Roman"/>
          <w:sz w:val="24"/>
          <w:szCs w:val="24"/>
        </w:rPr>
        <w:t>亿元×出资比例；</w:t>
      </w:r>
    </w:p>
    <w:p>
      <w:pPr>
        <w:snapToGrid w:val="0"/>
        <w:spacing w:line="360" w:lineRule="auto"/>
        <w:jc w:val="left"/>
        <w:rPr>
          <w:rFonts w:hint="eastAsia" w:ascii="Times New Roman" w:hAnsi="Times New Roman"/>
          <w:sz w:val="24"/>
          <w:szCs w:val="24"/>
        </w:rPr>
      </w:pPr>
      <w:r>
        <w:rPr>
          <w:rFonts w:hint="eastAsia" w:ascii="Times New Roman" w:hAnsi="Times New Roman"/>
          <w:sz w:val="24"/>
          <w:szCs w:val="24"/>
        </w:rPr>
        <w:t xml:space="preserve">   （2）20</w:t>
      </w:r>
      <w:r>
        <w:rPr>
          <w:rFonts w:hint="eastAsia" w:ascii="Times New Roman" w:hAnsi="Times New Roman"/>
          <w:sz w:val="24"/>
          <w:szCs w:val="24"/>
          <w:lang w:val="en-US" w:eastAsia="zh-CN"/>
        </w:rPr>
        <w:t>21</w:t>
      </w:r>
      <w:r>
        <w:rPr>
          <w:rFonts w:hint="eastAsia" w:ascii="Times New Roman" w:hAnsi="Times New Roman"/>
          <w:sz w:val="24"/>
          <w:szCs w:val="24"/>
        </w:rPr>
        <w:t>年末企业净资产不得低于</w:t>
      </w:r>
      <w:r>
        <w:rPr>
          <w:rFonts w:hint="eastAsia" w:ascii="Times New Roman" w:hAnsi="Times New Roman"/>
          <w:sz w:val="24"/>
          <w:szCs w:val="24"/>
          <w:lang w:val="en-US" w:eastAsia="zh-CN"/>
        </w:rPr>
        <w:t>179</w:t>
      </w:r>
      <w:r>
        <w:rPr>
          <w:rFonts w:hint="eastAsia" w:ascii="Times New Roman" w:hAnsi="Times New Roman"/>
          <w:sz w:val="24"/>
          <w:szCs w:val="24"/>
        </w:rPr>
        <w:t>亿元×出资比例</w:t>
      </w:r>
      <w:r>
        <w:rPr>
          <w:rFonts w:hint="eastAsia" w:ascii="Times New Roman" w:hAnsi="Times New Roman"/>
          <w:sz w:val="24"/>
          <w:szCs w:val="24"/>
          <w:lang w:eastAsia="zh-CN"/>
        </w:rPr>
        <w:t>，</w:t>
      </w:r>
      <w:r>
        <w:rPr>
          <w:rFonts w:hint="eastAsia" w:ascii="Times New Roman" w:hAnsi="Times New Roman"/>
          <w:sz w:val="24"/>
          <w:szCs w:val="24"/>
          <w:lang w:val="en-US" w:eastAsia="zh-CN"/>
        </w:rPr>
        <w:t>且大于认缴出资额</w:t>
      </w:r>
      <w:r>
        <w:rPr>
          <w:rFonts w:hint="eastAsia" w:ascii="Times New Roman" w:hAnsi="Times New Roman"/>
          <w:sz w:val="24"/>
          <w:szCs w:val="24"/>
        </w:rPr>
        <w:t>；</w:t>
      </w:r>
    </w:p>
    <w:p>
      <w:pPr>
        <w:snapToGrid w:val="0"/>
        <w:spacing w:line="360" w:lineRule="auto"/>
        <w:jc w:val="left"/>
        <w:rPr>
          <w:rFonts w:hint="eastAsia" w:ascii="Times New Roman" w:hAnsi="Times New Roman"/>
          <w:sz w:val="24"/>
          <w:szCs w:val="24"/>
        </w:rPr>
      </w:pPr>
      <w:r>
        <w:rPr>
          <w:rFonts w:hint="eastAsia" w:ascii="Times New Roman" w:hAnsi="Times New Roman"/>
          <w:sz w:val="24"/>
          <w:szCs w:val="24"/>
        </w:rPr>
        <w:t xml:space="preserve">   （</w:t>
      </w:r>
      <w:r>
        <w:rPr>
          <w:rFonts w:hint="eastAsia" w:ascii="Times New Roman" w:hAnsi="Times New Roman"/>
          <w:sz w:val="24"/>
          <w:szCs w:val="24"/>
          <w:lang w:val="en-US" w:eastAsia="zh-CN"/>
        </w:rPr>
        <w:t>3</w:t>
      </w:r>
      <w:r>
        <w:rPr>
          <w:rFonts w:hint="eastAsia" w:ascii="Times New Roman" w:hAnsi="Times New Roman"/>
          <w:sz w:val="24"/>
          <w:szCs w:val="24"/>
        </w:rPr>
        <w:t>）20</w:t>
      </w:r>
      <w:r>
        <w:rPr>
          <w:rFonts w:hint="eastAsia" w:ascii="Times New Roman" w:hAnsi="Times New Roman"/>
          <w:sz w:val="24"/>
          <w:szCs w:val="24"/>
          <w:lang w:val="en-US" w:eastAsia="zh-CN"/>
        </w:rPr>
        <w:t>21</w:t>
      </w:r>
      <w:r>
        <w:rPr>
          <w:rFonts w:hint="eastAsia" w:ascii="Times New Roman" w:hAnsi="Times New Roman"/>
          <w:sz w:val="24"/>
          <w:szCs w:val="24"/>
        </w:rPr>
        <w:t>年末企业资产负债率不得大于90%；</w:t>
      </w:r>
    </w:p>
    <w:p>
      <w:pPr>
        <w:snapToGrid w:val="0"/>
        <w:spacing w:line="360" w:lineRule="auto"/>
        <w:jc w:val="left"/>
        <w:rPr>
          <w:rFonts w:hint="eastAsia" w:ascii="Times New Roman" w:hAnsi="Times New Roman"/>
          <w:sz w:val="24"/>
          <w:szCs w:val="24"/>
        </w:rPr>
      </w:pPr>
      <w:r>
        <w:rPr>
          <w:rFonts w:hint="eastAsia" w:ascii="Times New Roman" w:hAnsi="Times New Roman"/>
          <w:sz w:val="24"/>
          <w:szCs w:val="24"/>
        </w:rPr>
        <w:t xml:space="preserve">   （</w:t>
      </w:r>
      <w:r>
        <w:rPr>
          <w:rFonts w:hint="eastAsia" w:ascii="Times New Roman" w:hAnsi="Times New Roman"/>
          <w:sz w:val="24"/>
          <w:szCs w:val="24"/>
          <w:lang w:val="en-US" w:eastAsia="zh-CN"/>
        </w:rPr>
        <w:t>4</w:t>
      </w:r>
      <w:r>
        <w:rPr>
          <w:rFonts w:hint="eastAsia" w:ascii="Times New Roman" w:hAnsi="Times New Roman"/>
          <w:sz w:val="24"/>
          <w:szCs w:val="24"/>
        </w:rPr>
        <w:t>）具备公路工程施工总承包一级及以上资质。</w:t>
      </w:r>
    </w:p>
    <w:p>
      <w:pPr>
        <w:snapToGrid w:val="0"/>
        <w:spacing w:line="360" w:lineRule="auto"/>
        <w:jc w:val="left"/>
        <w:rPr>
          <w:rFonts w:hint="eastAsia" w:ascii="Times New Roman" w:hAnsi="Times New Roman"/>
          <w:sz w:val="24"/>
          <w:szCs w:val="24"/>
          <w:highlight w:val="none"/>
        </w:rPr>
      </w:pPr>
      <w:r>
        <w:rPr>
          <w:rFonts w:hint="eastAsia" w:ascii="Times New Roman" w:hAnsi="Times New Roman"/>
          <w:sz w:val="24"/>
          <w:szCs w:val="24"/>
        </w:rPr>
        <w:t xml:space="preserve">   </w:t>
      </w:r>
      <w:r>
        <w:rPr>
          <w:rFonts w:hint="eastAsia" w:ascii="Times New Roman" w:hAnsi="Times New Roman"/>
          <w:sz w:val="24"/>
          <w:szCs w:val="24"/>
          <w:highlight w:val="none"/>
        </w:rPr>
        <w:t>（</w:t>
      </w:r>
      <w:r>
        <w:rPr>
          <w:rFonts w:hint="eastAsia" w:ascii="Times New Roman" w:hAnsi="Times New Roman"/>
          <w:sz w:val="24"/>
          <w:szCs w:val="24"/>
          <w:highlight w:val="none"/>
          <w:lang w:val="en-US" w:eastAsia="zh-CN"/>
        </w:rPr>
        <w:t>5</w:t>
      </w:r>
      <w:r>
        <w:rPr>
          <w:rFonts w:hint="eastAsia" w:ascii="Times New Roman" w:hAnsi="Times New Roman"/>
          <w:sz w:val="24"/>
          <w:szCs w:val="24"/>
          <w:highlight w:val="none"/>
        </w:rPr>
        <w:t>）20</w:t>
      </w:r>
      <w:r>
        <w:rPr>
          <w:rFonts w:hint="eastAsia" w:ascii="Times New Roman" w:hAnsi="Times New Roman"/>
          <w:sz w:val="24"/>
          <w:szCs w:val="24"/>
          <w:highlight w:val="none"/>
          <w:lang w:val="en-US" w:eastAsia="zh-CN"/>
        </w:rPr>
        <w:t>21</w:t>
      </w:r>
      <w:r>
        <w:rPr>
          <w:rFonts w:hint="eastAsia" w:ascii="Times New Roman" w:hAnsi="Times New Roman"/>
          <w:sz w:val="24"/>
          <w:szCs w:val="24"/>
          <w:highlight w:val="none"/>
        </w:rPr>
        <w:t>年末企业</w:t>
      </w:r>
      <w:r>
        <w:rPr>
          <w:rFonts w:hint="eastAsia" w:ascii="Times New Roman" w:hAnsi="Times New Roman"/>
          <w:sz w:val="24"/>
          <w:szCs w:val="24"/>
          <w:highlight w:val="none"/>
          <w:lang w:val="en-US" w:eastAsia="zh-CN"/>
        </w:rPr>
        <w:t>货币资金</w:t>
      </w:r>
      <w:r>
        <w:rPr>
          <w:rFonts w:hint="eastAsia" w:ascii="Times New Roman" w:hAnsi="Times New Roman"/>
          <w:sz w:val="24"/>
          <w:szCs w:val="24"/>
          <w:highlight w:val="none"/>
        </w:rPr>
        <w:t>不得低于</w:t>
      </w:r>
      <w:r>
        <w:rPr>
          <w:rFonts w:hint="eastAsia" w:ascii="Times New Roman" w:hAnsi="Times New Roman"/>
          <w:sz w:val="24"/>
          <w:szCs w:val="24"/>
          <w:highlight w:val="none"/>
          <w:lang w:val="en-US" w:eastAsia="zh-CN"/>
        </w:rPr>
        <w:t>25亿</w:t>
      </w:r>
      <w:r>
        <w:rPr>
          <w:rFonts w:hint="eastAsia" w:ascii="Times New Roman" w:hAnsi="Times New Roman"/>
          <w:sz w:val="24"/>
          <w:szCs w:val="24"/>
          <w:highlight w:val="none"/>
        </w:rPr>
        <w:t>元</w:t>
      </w:r>
      <w:r>
        <w:rPr>
          <w:rFonts w:hint="eastAsia" w:ascii="Times New Roman" w:hAnsi="Times New Roman"/>
          <w:sz w:val="24"/>
          <w:szCs w:val="24"/>
        </w:rPr>
        <w:t>×出资比例</w:t>
      </w:r>
      <w:r>
        <w:rPr>
          <w:rFonts w:hint="eastAsia" w:ascii="Times New Roman" w:hAnsi="Times New Roman"/>
          <w:sz w:val="24"/>
          <w:szCs w:val="24"/>
          <w:highlight w:val="none"/>
        </w:rPr>
        <w:t>。</w:t>
      </w:r>
    </w:p>
    <w:p>
      <w:pPr>
        <w:snapToGrid w:val="0"/>
        <w:spacing w:line="360" w:lineRule="auto"/>
        <w:ind w:firstLine="480" w:firstLineChars="200"/>
        <w:jc w:val="left"/>
        <w:rPr>
          <w:rFonts w:hint="default" w:ascii="Times New Roman" w:hAnsi="Times New Roman"/>
          <w:sz w:val="24"/>
          <w:szCs w:val="24"/>
          <w:lang w:val="en-US" w:eastAsia="zh-CN"/>
        </w:rPr>
      </w:pPr>
      <w:r>
        <w:rPr>
          <w:rFonts w:hint="eastAsia" w:ascii="Times New Roman" w:hAnsi="Times New Roman"/>
          <w:sz w:val="24"/>
          <w:szCs w:val="24"/>
          <w:lang w:val="en-US" w:eastAsia="zh-CN"/>
        </w:rPr>
        <w:t>2.2 遴选人子分公司或同系统单位，不应参与本次遴选。</w:t>
      </w:r>
    </w:p>
    <w:p>
      <w:pPr>
        <w:widowControl/>
        <w:shd w:val="clear" w:color="auto" w:fill="FFFFFF"/>
        <w:snapToGrid w:val="0"/>
        <w:spacing w:before="156" w:beforeLines="50" w:line="360" w:lineRule="auto"/>
        <w:jc w:val="left"/>
        <w:outlineLvl w:val="0"/>
        <w:rPr>
          <w:rFonts w:ascii="Times New Roman" w:hAnsi="Times New Roman"/>
          <w:sz w:val="24"/>
          <w:szCs w:val="24"/>
        </w:rPr>
      </w:pPr>
      <w:r>
        <w:rPr>
          <w:rFonts w:hint="eastAsia" w:ascii="Times New Roman" w:hAnsi="Times New Roman" w:eastAsia="黑体"/>
          <w:sz w:val="24"/>
          <w:szCs w:val="24"/>
        </w:rPr>
        <w:t>3</w:t>
      </w:r>
      <w:r>
        <w:rPr>
          <w:rFonts w:ascii="Times New Roman" w:hAnsi="Times New Roman" w:eastAsia="黑体"/>
          <w:sz w:val="24"/>
          <w:szCs w:val="24"/>
        </w:rPr>
        <w:t xml:space="preserve"> 遴选原则</w:t>
      </w:r>
      <w:r>
        <w:rPr>
          <w:rFonts w:ascii="Times New Roman" w:hAnsi="Times New Roman"/>
          <w:sz w:val="24"/>
          <w:szCs w:val="24"/>
        </w:rPr>
        <w:t xml:space="preserve"> </w:t>
      </w:r>
    </w:p>
    <w:p>
      <w:pPr>
        <w:snapToGrid w:val="0"/>
        <w:spacing w:line="360" w:lineRule="auto"/>
        <w:jc w:val="left"/>
        <w:rPr>
          <w:rFonts w:ascii="Times New Roman" w:hAnsi="Times New Roman"/>
          <w:sz w:val="24"/>
          <w:szCs w:val="24"/>
        </w:rPr>
      </w:pPr>
      <w:r>
        <w:rPr>
          <w:rFonts w:hint="eastAsia" w:ascii="Times New Roman" w:hAnsi="Times New Roman"/>
          <w:sz w:val="24"/>
          <w:szCs w:val="24"/>
        </w:rPr>
        <w:t xml:space="preserve">    3.1</w:t>
      </w:r>
      <w:r>
        <w:rPr>
          <w:rFonts w:ascii="Times New Roman" w:hAnsi="Times New Roman"/>
          <w:sz w:val="24"/>
          <w:szCs w:val="24"/>
        </w:rPr>
        <w:t>重庆高速公路集团有限公司（以下简称“高速集团”）相对控股，总出资比例</w:t>
      </w:r>
      <w:r>
        <w:rPr>
          <w:rFonts w:hint="eastAsia" w:ascii="Times New Roman" w:hAnsi="Times New Roman"/>
          <w:sz w:val="24"/>
          <w:szCs w:val="24"/>
          <w:lang w:val="en-US" w:eastAsia="zh-CN"/>
        </w:rPr>
        <w:t>34.07</w:t>
      </w:r>
      <w:r>
        <w:rPr>
          <w:rFonts w:ascii="Times New Roman" w:hAnsi="Times New Roman"/>
          <w:sz w:val="24"/>
          <w:szCs w:val="24"/>
        </w:rPr>
        <w:t>%</w:t>
      </w:r>
      <w:r>
        <w:rPr>
          <w:rFonts w:hint="eastAsia" w:ascii="Times New Roman" w:hAnsi="Times New Roman"/>
          <w:sz w:val="24"/>
          <w:szCs w:val="24"/>
        </w:rPr>
        <w:t>。</w:t>
      </w:r>
    </w:p>
    <w:p>
      <w:pPr>
        <w:snapToGrid w:val="0"/>
        <w:spacing w:line="360" w:lineRule="auto"/>
        <w:ind w:firstLine="480"/>
        <w:jc w:val="left"/>
        <w:rPr>
          <w:rFonts w:ascii="Times New Roman" w:hAnsi="Times New Roman"/>
          <w:sz w:val="24"/>
          <w:szCs w:val="24"/>
        </w:rPr>
      </w:pPr>
      <w:r>
        <w:rPr>
          <w:rFonts w:hint="eastAsia" w:ascii="Times New Roman" w:hAnsi="Times New Roman"/>
          <w:sz w:val="24"/>
          <w:szCs w:val="24"/>
        </w:rPr>
        <w:t>3.2高速集团</w:t>
      </w:r>
      <w:r>
        <w:rPr>
          <w:rFonts w:ascii="Times New Roman" w:hAnsi="Times New Roman"/>
          <w:sz w:val="24"/>
          <w:szCs w:val="24"/>
        </w:rPr>
        <w:t>作为联合体牵头单位</w:t>
      </w:r>
      <w:r>
        <w:rPr>
          <w:rFonts w:hint="eastAsia" w:ascii="Times New Roman" w:hAnsi="Times New Roman"/>
          <w:sz w:val="24"/>
          <w:szCs w:val="24"/>
          <w:lang w:val="en-US" w:eastAsia="zh-CN"/>
        </w:rPr>
        <w:t>与中国铁建股份有限公司以及中交路桥建设有限公司</w:t>
      </w:r>
      <w:r>
        <w:rPr>
          <w:rFonts w:ascii="Times New Roman" w:hAnsi="Times New Roman"/>
          <w:sz w:val="24"/>
          <w:szCs w:val="24"/>
        </w:rPr>
        <w:t>，通过综合评价的方式</w:t>
      </w:r>
      <w:r>
        <w:rPr>
          <w:rFonts w:hint="eastAsia" w:ascii="Times New Roman" w:hAnsi="Times New Roman"/>
          <w:sz w:val="24"/>
          <w:szCs w:val="24"/>
          <w:lang w:val="en-US" w:eastAsia="zh-CN"/>
        </w:rPr>
        <w:t>联合</w:t>
      </w:r>
      <w:r>
        <w:rPr>
          <w:rFonts w:ascii="Times New Roman" w:hAnsi="Times New Roman"/>
          <w:sz w:val="24"/>
          <w:szCs w:val="24"/>
        </w:rPr>
        <w:t>遴选</w:t>
      </w:r>
      <w:r>
        <w:rPr>
          <w:rFonts w:hint="eastAsia" w:ascii="Times New Roman" w:hAnsi="Times New Roman"/>
          <w:sz w:val="24"/>
          <w:szCs w:val="24"/>
          <w:lang w:val="en-US" w:eastAsia="zh-CN"/>
        </w:rPr>
        <w:t>出资比例小于5%的</w:t>
      </w:r>
      <w:r>
        <w:rPr>
          <w:rFonts w:hint="eastAsia" w:ascii="Times New Roman" w:hAnsi="Times New Roman"/>
          <w:sz w:val="24"/>
          <w:szCs w:val="24"/>
        </w:rPr>
        <w:t>投资合作人作为</w:t>
      </w:r>
      <w:r>
        <w:rPr>
          <w:rFonts w:ascii="Times New Roman" w:hAnsi="Times New Roman"/>
          <w:sz w:val="24"/>
          <w:szCs w:val="24"/>
        </w:rPr>
        <w:t>联合体成员。</w:t>
      </w:r>
    </w:p>
    <w:p>
      <w:pPr>
        <w:snapToGrid w:val="0"/>
        <w:spacing w:line="360" w:lineRule="auto"/>
        <w:ind w:firstLine="480"/>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3.3中标后联合体与重庆市人民政府</w:t>
      </w:r>
      <w:r>
        <w:rPr>
          <w:rFonts w:hint="eastAsia" w:ascii="Times New Roman" w:hAnsi="Times New Roman" w:cs="Times New Roman"/>
          <w:sz w:val="24"/>
          <w:szCs w:val="24"/>
          <w:lang w:val="en-US" w:eastAsia="zh-CN"/>
        </w:rPr>
        <w:t>或其指定单位</w:t>
      </w:r>
      <w:r>
        <w:rPr>
          <w:rFonts w:hint="eastAsia" w:ascii="Times New Roman" w:hAnsi="Times New Roman" w:eastAsia="宋体" w:cs="Times New Roman"/>
          <w:sz w:val="24"/>
          <w:szCs w:val="24"/>
          <w:lang w:val="en-US" w:eastAsia="zh-CN"/>
        </w:rPr>
        <w:t>签订《投资协议》，并按照遴选文件约定的出资比例共同出资组建项目公司。</w:t>
      </w:r>
    </w:p>
    <w:p>
      <w:pPr>
        <w:widowControl/>
        <w:shd w:val="clear" w:color="auto" w:fill="FFFFFF"/>
        <w:snapToGrid w:val="0"/>
        <w:spacing w:before="156" w:beforeLines="50" w:line="360" w:lineRule="auto"/>
        <w:jc w:val="left"/>
        <w:outlineLvl w:val="0"/>
        <w:rPr>
          <w:rFonts w:ascii="Times New Roman" w:hAnsi="Times New Roman" w:eastAsia="黑体"/>
          <w:sz w:val="24"/>
          <w:szCs w:val="24"/>
        </w:rPr>
      </w:pPr>
      <w:r>
        <w:rPr>
          <w:rFonts w:hint="eastAsia" w:ascii="Times New Roman" w:hAnsi="Times New Roman" w:eastAsia="黑体"/>
          <w:sz w:val="24"/>
          <w:szCs w:val="24"/>
        </w:rPr>
        <w:t>4</w:t>
      </w:r>
      <w:r>
        <w:rPr>
          <w:rFonts w:ascii="Times New Roman" w:hAnsi="Times New Roman" w:eastAsia="黑体"/>
          <w:sz w:val="24"/>
          <w:szCs w:val="24"/>
        </w:rPr>
        <w:t xml:space="preserve"> 遴选数量</w:t>
      </w:r>
    </w:p>
    <w:p>
      <w:pPr>
        <w:widowControl/>
        <w:shd w:val="clear" w:color="auto" w:fill="FFFFFF"/>
        <w:snapToGrid w:val="0"/>
        <w:spacing w:line="360" w:lineRule="auto"/>
        <w:ind w:firstLine="480" w:firstLineChars="200"/>
        <w:jc w:val="left"/>
        <w:outlineLvl w:val="0"/>
        <w:rPr>
          <w:rFonts w:ascii="Times New Roman" w:hAnsi="Times New Roman"/>
          <w:sz w:val="24"/>
          <w:szCs w:val="24"/>
          <w:highlight w:val="none"/>
        </w:rPr>
      </w:pPr>
      <w:r>
        <w:rPr>
          <w:rFonts w:ascii="Times New Roman" w:hAnsi="Times New Roman"/>
          <w:sz w:val="24"/>
          <w:szCs w:val="24"/>
          <w:highlight w:val="none"/>
        </w:rPr>
        <w:t>遴选出资比例小于5%的</w:t>
      </w:r>
      <w:r>
        <w:rPr>
          <w:rFonts w:hint="eastAsia" w:ascii="Times New Roman" w:hAnsi="Times New Roman"/>
          <w:sz w:val="24"/>
          <w:szCs w:val="24"/>
          <w:highlight w:val="none"/>
          <w:lang w:val="en-US" w:eastAsia="zh-CN"/>
        </w:rPr>
        <w:t>7</w:t>
      </w:r>
      <w:r>
        <w:rPr>
          <w:rFonts w:ascii="Times New Roman" w:hAnsi="Times New Roman"/>
          <w:sz w:val="24"/>
          <w:szCs w:val="24"/>
          <w:highlight w:val="none"/>
        </w:rPr>
        <w:t>家，</w:t>
      </w:r>
      <w:r>
        <w:rPr>
          <w:rFonts w:hint="eastAsia" w:ascii="Times New Roman" w:hAnsi="Times New Roman"/>
          <w:sz w:val="24"/>
          <w:szCs w:val="24"/>
          <w:highlight w:val="none"/>
          <w:lang w:val="en-US" w:eastAsia="zh-CN"/>
        </w:rPr>
        <w:t>7</w:t>
      </w:r>
      <w:r>
        <w:rPr>
          <w:rFonts w:ascii="Times New Roman" w:hAnsi="Times New Roman"/>
          <w:sz w:val="24"/>
          <w:szCs w:val="24"/>
          <w:highlight w:val="none"/>
        </w:rPr>
        <w:t>家投资合作人不允许联合参与遴选</w:t>
      </w:r>
      <w:r>
        <w:rPr>
          <w:rFonts w:hint="eastAsia" w:ascii="Times New Roman" w:hAnsi="Times New Roman"/>
          <w:sz w:val="24"/>
          <w:szCs w:val="24"/>
          <w:highlight w:val="none"/>
          <w:lang w:eastAsia="zh-CN"/>
        </w:rPr>
        <w:t>，</w:t>
      </w:r>
      <w:r>
        <w:rPr>
          <w:rFonts w:hint="eastAsia" w:ascii="Times New Roman" w:hAnsi="Times New Roman"/>
          <w:sz w:val="24"/>
          <w:szCs w:val="24"/>
          <w:highlight w:val="none"/>
          <w:lang w:val="en-US" w:eastAsia="zh-CN"/>
        </w:rPr>
        <w:t>每家投资合作人持股4.49%</w:t>
      </w:r>
      <w:r>
        <w:rPr>
          <w:rFonts w:ascii="Times New Roman" w:hAnsi="Times New Roman"/>
          <w:sz w:val="24"/>
          <w:szCs w:val="24"/>
          <w:highlight w:val="none"/>
        </w:rPr>
        <w:t>。</w:t>
      </w:r>
      <w:r>
        <w:rPr>
          <w:rFonts w:hint="eastAsia" w:ascii="Times New Roman" w:hAnsi="Times New Roman"/>
          <w:sz w:val="24"/>
          <w:szCs w:val="24"/>
          <w:highlight w:val="none"/>
        </w:rPr>
        <w:t xml:space="preserve"> </w:t>
      </w:r>
    </w:p>
    <w:p>
      <w:pPr>
        <w:widowControl/>
        <w:shd w:val="clear" w:color="auto" w:fill="FFFFFF"/>
        <w:snapToGrid w:val="0"/>
        <w:spacing w:before="156" w:beforeLines="50" w:line="360" w:lineRule="auto"/>
        <w:jc w:val="left"/>
        <w:outlineLvl w:val="0"/>
        <w:rPr>
          <w:rFonts w:hint="eastAsia" w:ascii="Times New Roman" w:hAnsi="Times New Roman" w:eastAsia="黑体"/>
          <w:sz w:val="24"/>
          <w:szCs w:val="24"/>
          <w:lang w:eastAsia="zh-CN"/>
        </w:rPr>
      </w:pPr>
      <w:r>
        <w:rPr>
          <w:rFonts w:hint="eastAsia" w:ascii="Times New Roman" w:hAnsi="Times New Roman" w:eastAsia="黑体"/>
          <w:sz w:val="24"/>
          <w:szCs w:val="24"/>
        </w:rPr>
        <w:t xml:space="preserve">5 </w:t>
      </w:r>
      <w:r>
        <w:rPr>
          <w:rFonts w:ascii="Times New Roman" w:hAnsi="Times New Roman" w:eastAsia="黑体"/>
          <w:sz w:val="24"/>
          <w:szCs w:val="24"/>
        </w:rPr>
        <w:t>任务分配</w:t>
      </w:r>
    </w:p>
    <w:p>
      <w:pPr>
        <w:widowControl/>
        <w:shd w:val="clear" w:color="auto" w:fill="FFFFFF"/>
        <w:snapToGrid w:val="0"/>
        <w:spacing w:line="360" w:lineRule="auto"/>
        <w:ind w:firstLine="480"/>
        <w:jc w:val="left"/>
        <w:outlineLvl w:val="0"/>
        <w:rPr>
          <w:rFonts w:hint="eastAsia" w:ascii="Times New Roman" w:hAnsi="Times New Roman"/>
          <w:sz w:val="24"/>
          <w:szCs w:val="24"/>
        </w:rPr>
      </w:pPr>
      <w:r>
        <w:rPr>
          <w:rFonts w:hint="eastAsia" w:ascii="Times New Roman" w:hAnsi="Times New Roman"/>
          <w:sz w:val="24"/>
          <w:szCs w:val="24"/>
        </w:rPr>
        <w:t>各遴选合作人应本着相互理解和友好协商的原则，积极支持和配合高速集团作为牵头人对任务进行统筹分配</w:t>
      </w:r>
      <w:r>
        <w:rPr>
          <w:rFonts w:hint="eastAsia" w:ascii="Times New Roman" w:hAnsi="Times New Roman"/>
          <w:sz w:val="24"/>
          <w:szCs w:val="24"/>
          <w:lang w:eastAsia="zh-CN"/>
        </w:rPr>
        <w:t>，</w:t>
      </w:r>
      <w:r>
        <w:rPr>
          <w:rFonts w:hint="eastAsia" w:ascii="Times New Roman" w:hAnsi="Times New Roman"/>
          <w:sz w:val="24"/>
          <w:szCs w:val="24"/>
          <w:highlight w:val="none"/>
        </w:rPr>
        <w:t>按</w:t>
      </w:r>
      <w:r>
        <w:rPr>
          <w:rFonts w:hint="eastAsia" w:ascii="Times New Roman" w:hAnsi="Times New Roman"/>
          <w:sz w:val="24"/>
          <w:szCs w:val="24"/>
          <w:highlight w:val="none"/>
          <w:lang w:val="en-US" w:eastAsia="zh-CN"/>
        </w:rPr>
        <w:t>便利、合理等原则协商划分</w:t>
      </w:r>
      <w:r>
        <w:rPr>
          <w:rFonts w:hint="eastAsia" w:ascii="Times New Roman" w:hAnsi="Times New Roman"/>
          <w:sz w:val="24"/>
          <w:szCs w:val="24"/>
        </w:rPr>
        <w:t>。</w:t>
      </w:r>
      <w:r>
        <w:rPr>
          <w:rFonts w:hint="eastAsia" w:asciiTheme="minorEastAsia" w:hAnsiTheme="minorEastAsia" w:eastAsiaTheme="minorEastAsia"/>
          <w:color w:val="auto"/>
          <w:sz w:val="24"/>
          <w:szCs w:val="24"/>
          <w:highlight w:val="none"/>
        </w:rPr>
        <w:t>各方享有或承担各自</w:t>
      </w:r>
      <w:r>
        <w:rPr>
          <w:rFonts w:hint="eastAsia" w:asciiTheme="minorEastAsia" w:hAnsiTheme="minorEastAsia" w:eastAsiaTheme="minorEastAsia"/>
          <w:color w:val="auto"/>
          <w:sz w:val="24"/>
          <w:szCs w:val="24"/>
          <w:highlight w:val="none"/>
          <w:lang w:val="en-US" w:eastAsia="zh-CN"/>
        </w:rPr>
        <w:t>实施</w:t>
      </w:r>
      <w:r>
        <w:rPr>
          <w:rFonts w:hint="eastAsia" w:asciiTheme="minorEastAsia" w:hAnsiTheme="minorEastAsia" w:eastAsiaTheme="minorEastAsia"/>
          <w:color w:val="auto"/>
          <w:sz w:val="24"/>
          <w:szCs w:val="24"/>
          <w:highlight w:val="none"/>
        </w:rPr>
        <w:t>施工任务的施工利润或亏损，对各自</w:t>
      </w:r>
      <w:r>
        <w:rPr>
          <w:rFonts w:hint="eastAsia" w:asciiTheme="minorEastAsia" w:hAnsiTheme="minorEastAsia" w:eastAsiaTheme="minorEastAsia"/>
          <w:color w:val="auto"/>
          <w:sz w:val="24"/>
          <w:szCs w:val="24"/>
          <w:highlight w:val="none"/>
          <w:lang w:val="en-US" w:eastAsia="zh-CN"/>
        </w:rPr>
        <w:t>施工标段</w:t>
      </w:r>
      <w:r>
        <w:rPr>
          <w:rFonts w:hint="eastAsia" w:asciiTheme="minorEastAsia" w:hAnsiTheme="minorEastAsia" w:eastAsiaTheme="minorEastAsia"/>
          <w:color w:val="auto"/>
          <w:sz w:val="24"/>
          <w:szCs w:val="24"/>
          <w:highlight w:val="none"/>
        </w:rPr>
        <w:t>的总投资控制、工程工期、质量、安全、环水保等建设目标负责。</w:t>
      </w:r>
    </w:p>
    <w:p>
      <w:pPr>
        <w:widowControl/>
        <w:shd w:val="clear" w:color="auto" w:fill="FFFFFF"/>
        <w:snapToGrid w:val="0"/>
        <w:spacing w:line="360" w:lineRule="auto"/>
        <w:ind w:firstLine="480" w:firstLineChars="200"/>
        <w:jc w:val="left"/>
        <w:outlineLvl w:val="0"/>
        <w:rPr>
          <w:rFonts w:hint="default" w:ascii="Times New Roman" w:hAnsi="Times New Roman" w:eastAsia="宋体"/>
          <w:sz w:val="24"/>
          <w:szCs w:val="24"/>
          <w:highlight w:val="none"/>
          <w:lang w:val="en-US" w:eastAsia="zh-CN"/>
        </w:rPr>
      </w:pPr>
      <w:r>
        <w:rPr>
          <w:rFonts w:hint="eastAsia" w:ascii="Times New Roman" w:hAnsi="Times New Roman"/>
          <w:sz w:val="24"/>
          <w:szCs w:val="24"/>
          <w:highlight w:val="none"/>
          <w:lang w:val="en-US" w:eastAsia="zh-CN"/>
        </w:rPr>
        <w:t>项目所用钢材、水泥、沥青、柴油等大宗材料，由高速集团牵头，统筹协调中国铁建股份有限公司及中交路桥建设有限公司对物资供应提供支持，确保项目顺利实施。</w:t>
      </w:r>
    </w:p>
    <w:p>
      <w:pPr>
        <w:widowControl/>
        <w:shd w:val="clear" w:color="auto" w:fill="FFFFFF"/>
        <w:snapToGrid w:val="0"/>
        <w:spacing w:before="156" w:beforeLines="50" w:line="360" w:lineRule="auto"/>
        <w:jc w:val="left"/>
        <w:outlineLvl w:val="0"/>
        <w:rPr>
          <w:rFonts w:ascii="Times New Roman" w:hAnsi="Times New Roman" w:eastAsia="黑体"/>
          <w:sz w:val="24"/>
          <w:szCs w:val="24"/>
        </w:rPr>
      </w:pPr>
      <w:r>
        <w:rPr>
          <w:rFonts w:hint="eastAsia" w:ascii="Times New Roman" w:hAnsi="Times New Roman" w:eastAsia="黑体"/>
          <w:sz w:val="24"/>
          <w:szCs w:val="24"/>
        </w:rPr>
        <w:t xml:space="preserve">6 </w:t>
      </w:r>
      <w:r>
        <w:rPr>
          <w:rFonts w:ascii="Times New Roman" w:hAnsi="Times New Roman" w:eastAsia="黑体"/>
          <w:sz w:val="24"/>
          <w:szCs w:val="24"/>
        </w:rPr>
        <w:t>资质和业绩要求</w:t>
      </w:r>
    </w:p>
    <w:p>
      <w:pPr>
        <w:widowControl/>
        <w:shd w:val="clear" w:color="auto" w:fill="FFFFFF"/>
        <w:snapToGrid w:val="0"/>
        <w:spacing w:line="360" w:lineRule="auto"/>
        <w:ind w:firstLine="560"/>
        <w:jc w:val="left"/>
        <w:outlineLvl w:val="0"/>
        <w:rPr>
          <w:rFonts w:ascii="Times New Roman" w:hAnsi="Times New Roman"/>
          <w:sz w:val="24"/>
          <w:szCs w:val="24"/>
        </w:rPr>
      </w:pPr>
      <w:r>
        <w:rPr>
          <w:rFonts w:hint="eastAsia" w:ascii="Times New Roman" w:hAnsi="Times New Roman"/>
          <w:sz w:val="24"/>
          <w:szCs w:val="24"/>
        </w:rPr>
        <w:t>6.1</w:t>
      </w:r>
      <w:r>
        <w:rPr>
          <w:rFonts w:ascii="Times New Roman" w:hAnsi="Times New Roman"/>
          <w:sz w:val="24"/>
          <w:szCs w:val="24"/>
        </w:rPr>
        <w:t>承担施工任务的单位</w:t>
      </w:r>
      <w:r>
        <w:rPr>
          <w:rFonts w:hint="eastAsia" w:ascii="Times New Roman" w:hAnsi="Times New Roman"/>
          <w:sz w:val="24"/>
          <w:szCs w:val="24"/>
        </w:rPr>
        <w:t>上</w:t>
      </w:r>
      <w:r>
        <w:rPr>
          <w:rFonts w:ascii="Times New Roman" w:hAnsi="Times New Roman"/>
          <w:sz w:val="24"/>
          <w:szCs w:val="24"/>
        </w:rPr>
        <w:t>应具备公路工程</w:t>
      </w:r>
      <w:r>
        <w:rPr>
          <w:rFonts w:hint="eastAsia" w:ascii="Times New Roman" w:hAnsi="Times New Roman"/>
          <w:sz w:val="24"/>
          <w:szCs w:val="24"/>
        </w:rPr>
        <w:t>施工</w:t>
      </w:r>
      <w:r>
        <w:rPr>
          <w:rFonts w:ascii="Times New Roman" w:hAnsi="Times New Roman"/>
          <w:sz w:val="24"/>
          <w:szCs w:val="24"/>
        </w:rPr>
        <w:t>总承包一级及以上资质</w:t>
      </w:r>
      <w:r>
        <w:rPr>
          <w:rFonts w:hint="eastAsia" w:ascii="Times New Roman" w:hAnsi="Times New Roman"/>
          <w:sz w:val="24"/>
          <w:szCs w:val="24"/>
        </w:rPr>
        <w:t>。</w:t>
      </w:r>
    </w:p>
    <w:p>
      <w:pPr>
        <w:widowControl/>
        <w:shd w:val="clear" w:color="auto" w:fill="FFFFFF"/>
        <w:snapToGrid w:val="0"/>
        <w:spacing w:line="360" w:lineRule="auto"/>
        <w:ind w:firstLine="480" w:firstLineChars="200"/>
        <w:jc w:val="left"/>
        <w:outlineLvl w:val="0"/>
        <w:rPr>
          <w:rFonts w:ascii="Times New Roman" w:hAnsi="Times New Roman"/>
          <w:sz w:val="24"/>
          <w:szCs w:val="24"/>
        </w:rPr>
      </w:pPr>
      <w:r>
        <w:rPr>
          <w:rFonts w:hint="eastAsia" w:ascii="Times New Roman" w:hAnsi="Times New Roman"/>
          <w:sz w:val="24"/>
          <w:szCs w:val="24"/>
        </w:rPr>
        <w:t>6.</w:t>
      </w:r>
      <w:r>
        <w:rPr>
          <w:rFonts w:hint="eastAsia" w:ascii="Times New Roman" w:hAnsi="Times New Roman"/>
          <w:sz w:val="24"/>
          <w:szCs w:val="24"/>
          <w:lang w:val="en-US" w:eastAsia="zh-CN"/>
        </w:rPr>
        <w:t>2</w:t>
      </w:r>
      <w:r>
        <w:rPr>
          <w:rFonts w:hint="eastAsia" w:ascii="Times New Roman" w:hAnsi="Times New Roman"/>
          <w:sz w:val="24"/>
          <w:szCs w:val="24"/>
        </w:rPr>
        <w:t xml:space="preserve"> 施工合同段内包含主跨不小于600米特大桥梁的，其承包人应至少具备1座主跨不小于600米的类似特大桥梁施工业绩经验；施工合同段内包含单洞长度不小于5000米或单向四车道特长隧道的，其承包人应至少具备1座单洞长度不小于3000米的特长公路隧道的施工业绩经验。</w:t>
      </w:r>
    </w:p>
    <w:p>
      <w:pPr>
        <w:widowControl/>
        <w:shd w:val="clear" w:color="auto" w:fill="FFFFFF"/>
        <w:snapToGrid w:val="0"/>
        <w:spacing w:before="156" w:beforeLines="50" w:line="360" w:lineRule="auto"/>
        <w:jc w:val="left"/>
        <w:outlineLvl w:val="0"/>
        <w:rPr>
          <w:rFonts w:hint="eastAsia"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7遴选合作条件</w:t>
      </w:r>
    </w:p>
    <w:p>
      <w:pPr>
        <w:widowControl/>
        <w:numPr>
          <w:ilvl w:val="0"/>
          <w:numId w:val="0"/>
        </w:numPr>
        <w:shd w:val="clear" w:color="auto" w:fill="FFFFFF"/>
        <w:snapToGrid w:val="0"/>
        <w:spacing w:line="360" w:lineRule="auto"/>
        <w:ind w:firstLine="480" w:firstLineChars="200"/>
        <w:jc w:val="left"/>
        <w:outlineLvl w:val="0"/>
        <w:rPr>
          <w:rFonts w:hint="default" w:ascii="Times New Roman" w:hAnsi="Times New Roman"/>
          <w:sz w:val="24"/>
          <w:szCs w:val="24"/>
          <w:lang w:val="en-US" w:eastAsia="zh-CN"/>
        </w:rPr>
      </w:pPr>
      <w:r>
        <w:rPr>
          <w:rFonts w:hint="eastAsia" w:ascii="Times New Roman" w:hAnsi="Times New Roman"/>
          <w:sz w:val="24"/>
          <w:szCs w:val="24"/>
          <w:lang w:val="en-US" w:eastAsia="zh-CN"/>
        </w:rPr>
        <w:t>7.1投标过程</w:t>
      </w:r>
    </w:p>
    <w:p>
      <w:pPr>
        <w:widowControl/>
        <w:numPr>
          <w:ilvl w:val="0"/>
          <w:numId w:val="0"/>
        </w:numPr>
        <w:shd w:val="clear" w:color="auto" w:fill="FFFFFF"/>
        <w:snapToGrid w:val="0"/>
        <w:spacing w:line="360" w:lineRule="auto"/>
        <w:ind w:firstLine="480" w:firstLineChars="200"/>
        <w:jc w:val="left"/>
        <w:outlineLvl w:val="0"/>
        <w:rPr>
          <w:rFonts w:hint="eastAsia" w:ascii="Times New Roman" w:hAnsi="Times New Roman"/>
          <w:sz w:val="24"/>
          <w:szCs w:val="24"/>
          <w:lang w:val="en-US" w:eastAsia="zh-CN"/>
        </w:rPr>
      </w:pPr>
      <w:r>
        <w:rPr>
          <w:rFonts w:hint="eastAsia" w:ascii="Times New Roman" w:hAnsi="Times New Roman"/>
          <w:sz w:val="24"/>
          <w:szCs w:val="24"/>
          <w:lang w:val="en-US" w:eastAsia="zh-CN"/>
        </w:rPr>
        <w:t>（1）由高速集团负责提供投标保证金，因联合体责任方原因导致投标保证金被扣减，由责任方赔偿高速集团损失。</w:t>
      </w:r>
    </w:p>
    <w:p>
      <w:pPr>
        <w:widowControl/>
        <w:numPr>
          <w:ilvl w:val="0"/>
          <w:numId w:val="0"/>
        </w:numPr>
        <w:shd w:val="clear" w:color="auto" w:fill="FFFFFF"/>
        <w:snapToGrid w:val="0"/>
        <w:spacing w:line="360" w:lineRule="auto"/>
        <w:ind w:firstLine="480" w:firstLineChars="200"/>
        <w:jc w:val="left"/>
        <w:outlineLvl w:val="0"/>
        <w:rPr>
          <w:rFonts w:hint="eastAsia" w:ascii="Times New Roman" w:hAnsi="Times New Roman"/>
          <w:sz w:val="24"/>
          <w:szCs w:val="24"/>
          <w:lang w:val="en-US" w:eastAsia="zh-CN"/>
        </w:rPr>
      </w:pPr>
      <w:r>
        <w:rPr>
          <w:rFonts w:hint="eastAsia" w:ascii="Times New Roman" w:hAnsi="Times New Roman"/>
          <w:sz w:val="24"/>
          <w:szCs w:val="24"/>
          <w:lang w:val="en-US" w:eastAsia="zh-CN"/>
        </w:rPr>
        <w:t>（2）原则上，在投标截止日前</w:t>
      </w:r>
      <w:r>
        <w:rPr>
          <w:rFonts w:hint="eastAsia" w:ascii="Times New Roman" w:hAnsi="Times New Roman"/>
          <w:sz w:val="24"/>
          <w:szCs w:val="24"/>
          <w:highlight w:val="none"/>
          <w:lang w:val="en-US" w:eastAsia="zh-CN"/>
        </w:rPr>
        <w:t>5</w:t>
      </w:r>
      <w:r>
        <w:rPr>
          <w:rFonts w:hint="eastAsia" w:ascii="Times New Roman" w:hAnsi="Times New Roman"/>
          <w:sz w:val="24"/>
          <w:szCs w:val="24"/>
          <w:lang w:val="en-US" w:eastAsia="zh-CN"/>
        </w:rPr>
        <w:t>天，各投资合作人应持有完成实施本项目的企业决策审批相关有效决策文件。</w:t>
      </w:r>
    </w:p>
    <w:p>
      <w:pPr>
        <w:widowControl/>
        <w:numPr>
          <w:ilvl w:val="0"/>
          <w:numId w:val="0"/>
        </w:numPr>
        <w:shd w:val="clear" w:color="auto" w:fill="FFFFFF"/>
        <w:snapToGrid w:val="0"/>
        <w:spacing w:line="360" w:lineRule="auto"/>
        <w:ind w:firstLine="480" w:firstLineChars="200"/>
        <w:jc w:val="left"/>
        <w:outlineLvl w:val="0"/>
        <w:rPr>
          <w:rFonts w:hint="eastAsia" w:ascii="Times New Roman" w:hAnsi="Times New Roman"/>
          <w:sz w:val="24"/>
          <w:szCs w:val="24"/>
          <w:lang w:val="en-US" w:eastAsia="zh-CN"/>
        </w:rPr>
      </w:pPr>
      <w:r>
        <w:rPr>
          <w:rFonts w:hint="eastAsia" w:ascii="Times New Roman" w:hAnsi="Times New Roman"/>
          <w:sz w:val="24"/>
          <w:szCs w:val="24"/>
          <w:lang w:val="en-US" w:eastAsia="zh-CN"/>
        </w:rPr>
        <w:t>（3）因自身原因导致未能参与投标的，责任方应赔偿合作各方损失，其持有股比由高速集团决定分配。</w:t>
      </w:r>
    </w:p>
    <w:p>
      <w:pPr>
        <w:widowControl/>
        <w:numPr>
          <w:ilvl w:val="0"/>
          <w:numId w:val="0"/>
        </w:numPr>
        <w:shd w:val="clear" w:color="auto" w:fill="FFFFFF"/>
        <w:snapToGrid w:val="0"/>
        <w:spacing w:line="360" w:lineRule="auto"/>
        <w:ind w:firstLine="480" w:firstLineChars="200"/>
        <w:jc w:val="left"/>
        <w:outlineLvl w:val="0"/>
        <w:rPr>
          <w:rFonts w:hint="default" w:ascii="Times New Roman" w:hAnsi="Times New Roman"/>
          <w:sz w:val="24"/>
          <w:szCs w:val="24"/>
          <w:lang w:val="en-US" w:eastAsia="zh-CN"/>
        </w:rPr>
      </w:pPr>
      <w:r>
        <w:rPr>
          <w:rFonts w:hint="eastAsia" w:ascii="Times New Roman" w:hAnsi="Times New Roman"/>
          <w:sz w:val="24"/>
          <w:szCs w:val="24"/>
          <w:lang w:val="en-US" w:eastAsia="zh-CN"/>
        </w:rPr>
        <w:t>（4）联合体成员方接受并承认高速集团最终报价。</w:t>
      </w:r>
    </w:p>
    <w:p>
      <w:pPr>
        <w:widowControl/>
        <w:numPr>
          <w:ilvl w:val="0"/>
          <w:numId w:val="0"/>
        </w:numPr>
        <w:shd w:val="clear" w:color="auto" w:fill="FFFFFF"/>
        <w:snapToGrid w:val="0"/>
        <w:spacing w:line="360" w:lineRule="auto"/>
        <w:ind w:firstLine="480" w:firstLineChars="200"/>
        <w:jc w:val="left"/>
        <w:outlineLvl w:val="0"/>
        <w:rPr>
          <w:rFonts w:hint="eastAsia" w:ascii="Times New Roman" w:hAnsi="Times New Roman"/>
          <w:sz w:val="24"/>
          <w:szCs w:val="24"/>
          <w:lang w:val="en-US" w:eastAsia="zh-CN"/>
        </w:rPr>
      </w:pPr>
      <w:r>
        <w:rPr>
          <w:rFonts w:hint="eastAsia" w:ascii="Times New Roman" w:hAnsi="Times New Roman"/>
          <w:sz w:val="24"/>
          <w:szCs w:val="24"/>
          <w:lang w:val="en-US" w:eastAsia="zh-CN"/>
        </w:rPr>
        <w:t>（5）投标发生费用由联合体成员各方协商分摊承担。</w:t>
      </w:r>
    </w:p>
    <w:p>
      <w:pPr>
        <w:widowControl/>
        <w:numPr>
          <w:ilvl w:val="0"/>
          <w:numId w:val="0"/>
        </w:numPr>
        <w:shd w:val="clear" w:color="auto" w:fill="FFFFFF"/>
        <w:snapToGrid w:val="0"/>
        <w:spacing w:line="360" w:lineRule="auto"/>
        <w:ind w:firstLine="480" w:firstLineChars="200"/>
        <w:jc w:val="left"/>
        <w:outlineLvl w:val="0"/>
        <w:rPr>
          <w:rFonts w:hint="eastAsia" w:ascii="Times New Roman" w:hAnsi="Times New Roman"/>
          <w:sz w:val="24"/>
          <w:szCs w:val="24"/>
          <w:lang w:val="en-US" w:eastAsia="zh-CN"/>
        </w:rPr>
      </w:pPr>
      <w:r>
        <w:rPr>
          <w:rFonts w:hint="eastAsia" w:ascii="Times New Roman" w:hAnsi="Times New Roman"/>
          <w:sz w:val="24"/>
          <w:szCs w:val="24"/>
          <w:lang w:val="en-US" w:eastAsia="zh-CN"/>
        </w:rPr>
        <w:t>（6）若中标，交易服务费、招标代理费由高速集团垫付，组建项目公司后由项目公司进行归垫。</w:t>
      </w:r>
    </w:p>
    <w:p>
      <w:pPr>
        <w:widowControl/>
        <w:numPr>
          <w:ilvl w:val="0"/>
          <w:numId w:val="0"/>
        </w:numPr>
        <w:shd w:val="clear" w:color="auto" w:fill="FFFFFF"/>
        <w:snapToGrid w:val="0"/>
        <w:spacing w:line="360" w:lineRule="auto"/>
        <w:ind w:firstLine="480" w:firstLineChars="200"/>
        <w:jc w:val="left"/>
        <w:outlineLvl w:val="0"/>
        <w:rPr>
          <w:rFonts w:hint="default" w:ascii="Times New Roman" w:hAnsi="Times New Roman"/>
          <w:sz w:val="24"/>
          <w:szCs w:val="24"/>
          <w:highlight w:val="yellow"/>
          <w:lang w:val="en-US" w:eastAsia="zh-CN"/>
        </w:rPr>
      </w:pPr>
      <w:r>
        <w:rPr>
          <w:rFonts w:hint="eastAsia" w:ascii="Times New Roman" w:hAnsi="Times New Roman"/>
          <w:sz w:val="24"/>
          <w:szCs w:val="24"/>
          <w:lang w:val="en-US" w:eastAsia="zh-CN"/>
        </w:rPr>
        <w:t>（7）若中标，投资人履约保函由高速集团统一开具，各联合体单位需按附件格式出具授权委托书。（见附录1）</w:t>
      </w:r>
    </w:p>
    <w:p>
      <w:pPr>
        <w:widowControl/>
        <w:numPr>
          <w:ilvl w:val="0"/>
          <w:numId w:val="0"/>
        </w:numPr>
        <w:shd w:val="clear" w:color="auto" w:fill="FFFFFF"/>
        <w:snapToGrid w:val="0"/>
        <w:spacing w:line="360" w:lineRule="auto"/>
        <w:ind w:firstLine="480" w:firstLineChars="200"/>
        <w:jc w:val="left"/>
        <w:outlineLvl w:val="0"/>
        <w:rPr>
          <w:rFonts w:hint="eastAsia" w:ascii="Times New Roman" w:hAnsi="Times New Roman"/>
          <w:sz w:val="24"/>
          <w:szCs w:val="24"/>
          <w:lang w:val="en-US" w:eastAsia="zh-CN"/>
        </w:rPr>
      </w:pPr>
      <w:r>
        <w:rPr>
          <w:rFonts w:hint="eastAsia" w:ascii="Times New Roman" w:hAnsi="Times New Roman"/>
          <w:sz w:val="24"/>
          <w:szCs w:val="24"/>
          <w:lang w:val="en-US" w:eastAsia="zh-CN"/>
        </w:rPr>
        <w:t>7.2公司组建</w:t>
      </w:r>
    </w:p>
    <w:p>
      <w:pPr>
        <w:widowControl/>
        <w:numPr>
          <w:ilvl w:val="0"/>
          <w:numId w:val="2"/>
        </w:numPr>
        <w:shd w:val="clear" w:color="auto" w:fill="FFFFFF"/>
        <w:snapToGrid w:val="0"/>
        <w:spacing w:line="360" w:lineRule="auto"/>
        <w:ind w:firstLine="480" w:firstLineChars="200"/>
        <w:jc w:val="left"/>
        <w:outlineLvl w:val="0"/>
        <w:rPr>
          <w:rFonts w:hint="eastAsia" w:ascii="Times New Roman" w:hAnsi="Times New Roman"/>
          <w:sz w:val="24"/>
          <w:szCs w:val="24"/>
          <w:highlight w:val="none"/>
          <w:lang w:val="en-US" w:eastAsia="zh-CN"/>
        </w:rPr>
      </w:pPr>
      <w:r>
        <w:rPr>
          <w:rFonts w:hint="eastAsia" w:ascii="Times New Roman" w:hAnsi="Times New Roman"/>
          <w:sz w:val="24"/>
          <w:szCs w:val="24"/>
          <w:lang w:val="en-US" w:eastAsia="zh-CN"/>
        </w:rPr>
        <w:t>董监高人员安排：公司董事会由七（7）名董事组成，含职工董事一（1）名：重庆高速公路集团有限公司委派三（3）名，中国铁建股份有限公司委派两（2）名，中交路桥建设有限公司委派一（1）名，职工代表董事一（1）名由公司职工大会或职工代表大会在重庆高速公路集团有限公司所委派职工中选举产生</w:t>
      </w:r>
      <w:r>
        <w:rPr>
          <w:rFonts w:hint="eastAsia" w:ascii="Times New Roman" w:hAnsi="Times New Roman"/>
          <w:sz w:val="24"/>
          <w:szCs w:val="24"/>
          <w:highlight w:val="none"/>
          <w:lang w:val="en-US" w:eastAsia="zh-CN"/>
        </w:rPr>
        <w:t>。董事长1名，由重庆高速公路集团有限公司推荐。</w:t>
      </w:r>
    </w:p>
    <w:p>
      <w:pPr>
        <w:widowControl/>
        <w:numPr>
          <w:ilvl w:val="0"/>
          <w:numId w:val="0"/>
        </w:numPr>
        <w:shd w:val="clear" w:color="auto" w:fill="FFFFFF"/>
        <w:snapToGrid w:val="0"/>
        <w:spacing w:line="360" w:lineRule="auto"/>
        <w:ind w:firstLine="480" w:firstLineChars="200"/>
        <w:jc w:val="left"/>
        <w:outlineLvl w:val="0"/>
        <w:rPr>
          <w:rFonts w:hint="default"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监事会由5名监事组成，其中，中交路桥建设有限公司</w:t>
      </w:r>
      <w:r>
        <w:rPr>
          <w:rFonts w:ascii="Times New Roman" w:hAnsi="Times New Roman"/>
          <w:sz w:val="24"/>
          <w:szCs w:val="24"/>
          <w:highlight w:val="none"/>
        </w:rPr>
        <w:t>人</w:t>
      </w:r>
      <w:r>
        <w:rPr>
          <w:rFonts w:hint="eastAsia" w:ascii="Times New Roman" w:hAnsi="Times New Roman"/>
          <w:sz w:val="24"/>
          <w:szCs w:val="24"/>
          <w:highlight w:val="none"/>
          <w:lang w:val="en-US" w:eastAsia="zh-CN"/>
        </w:rPr>
        <w:t>委派一（1）名、</w:t>
      </w:r>
      <w:r>
        <w:rPr>
          <w:rFonts w:ascii="Times New Roman" w:hAnsi="Times New Roman"/>
          <w:sz w:val="24"/>
          <w:szCs w:val="24"/>
          <w:highlight w:val="none"/>
        </w:rPr>
        <w:t>出资比例小于5%</w:t>
      </w:r>
      <w:r>
        <w:rPr>
          <w:rFonts w:hint="eastAsia" w:ascii="Times New Roman" w:hAnsi="Times New Roman"/>
          <w:sz w:val="24"/>
          <w:szCs w:val="24"/>
          <w:highlight w:val="none"/>
          <w:lang w:val="en-US" w:eastAsia="zh-CN"/>
        </w:rPr>
        <w:t>的7家投资合作人轮流委派三（3）名，职工监事一（1）名通过职工大会或职工代表大会在重庆高速公路集团有限公司候选人中选举产生。监事会主席1名，由中交路桥建设有限公司推荐。</w:t>
      </w:r>
    </w:p>
    <w:p>
      <w:pPr>
        <w:widowControl/>
        <w:numPr>
          <w:ilvl w:val="0"/>
          <w:numId w:val="0"/>
        </w:numPr>
        <w:shd w:val="clear" w:color="auto" w:fill="FFFFFF"/>
        <w:snapToGrid w:val="0"/>
        <w:spacing w:line="360" w:lineRule="auto"/>
        <w:ind w:firstLine="480" w:firstLineChars="200"/>
        <w:jc w:val="left"/>
        <w:outlineLvl w:val="0"/>
        <w:rPr>
          <w:rFonts w:hint="eastAsia" w:ascii="Times New Roman" w:hAnsi="Times New Roman"/>
          <w:sz w:val="24"/>
          <w:szCs w:val="24"/>
          <w:highlight w:val="none"/>
          <w:lang w:val="en-US" w:eastAsia="zh-CN"/>
        </w:rPr>
      </w:pPr>
      <w:r>
        <w:rPr>
          <w:rFonts w:hint="eastAsia" w:ascii="宋体" w:hAnsi="宋体"/>
          <w:sz w:val="24"/>
          <w:highlight w:val="none"/>
          <w:lang w:val="en-US" w:eastAsia="zh-CN" w:bidi="en-US"/>
        </w:rPr>
        <w:t>总经理由</w:t>
      </w:r>
      <w:r>
        <w:rPr>
          <w:rFonts w:hint="eastAsia" w:ascii="Times New Roman" w:hAnsi="Times New Roman"/>
          <w:sz w:val="24"/>
          <w:szCs w:val="24"/>
          <w:highlight w:val="none"/>
          <w:lang w:val="en-US" w:eastAsia="zh-CN"/>
        </w:rPr>
        <w:t>中国铁建股份有限公司</w:t>
      </w:r>
      <w:r>
        <w:rPr>
          <w:rFonts w:hint="eastAsia" w:ascii="宋体" w:hAnsi="宋体"/>
          <w:sz w:val="24"/>
          <w:highlight w:val="none"/>
          <w:lang w:val="en-US" w:eastAsia="zh-CN" w:bidi="en-US"/>
        </w:rPr>
        <w:t>推荐，财务总监由</w:t>
      </w:r>
      <w:r>
        <w:rPr>
          <w:rFonts w:hint="eastAsia" w:ascii="Times New Roman" w:hAnsi="Times New Roman"/>
          <w:sz w:val="24"/>
          <w:szCs w:val="24"/>
          <w:highlight w:val="none"/>
          <w:lang w:val="en-US" w:eastAsia="zh-CN"/>
        </w:rPr>
        <w:t>高速集团</w:t>
      </w:r>
      <w:r>
        <w:rPr>
          <w:rFonts w:hint="eastAsia" w:ascii="宋体" w:hAnsi="宋体"/>
          <w:sz w:val="24"/>
          <w:highlight w:val="none"/>
          <w:lang w:val="en-US" w:eastAsia="zh-CN" w:bidi="en-US"/>
        </w:rPr>
        <w:t>推荐</w:t>
      </w:r>
      <w:r>
        <w:rPr>
          <w:rFonts w:hint="eastAsia" w:ascii="Times New Roman" w:hAnsi="Times New Roman"/>
          <w:sz w:val="24"/>
          <w:szCs w:val="24"/>
          <w:highlight w:val="none"/>
          <w:lang w:val="en-US" w:eastAsia="zh-CN"/>
        </w:rPr>
        <w:t>。</w:t>
      </w:r>
    </w:p>
    <w:p>
      <w:pPr>
        <w:widowControl/>
        <w:numPr>
          <w:ilvl w:val="0"/>
          <w:numId w:val="0"/>
        </w:numPr>
        <w:shd w:val="clear" w:color="auto" w:fill="FFFFFF"/>
        <w:snapToGrid w:val="0"/>
        <w:spacing w:line="360" w:lineRule="auto"/>
        <w:ind w:firstLine="480" w:firstLineChars="200"/>
        <w:jc w:val="left"/>
        <w:outlineLvl w:val="0"/>
        <w:rPr>
          <w:rFonts w:hint="eastAsia" w:ascii="Times New Roman" w:hAnsi="Times New Roman"/>
          <w:sz w:val="24"/>
          <w:szCs w:val="24"/>
          <w:lang w:val="en-US" w:eastAsia="zh-CN"/>
        </w:rPr>
      </w:pPr>
      <w:r>
        <w:rPr>
          <w:rFonts w:hint="eastAsia" w:ascii="Times New Roman" w:hAnsi="Times New Roman"/>
          <w:sz w:val="24"/>
          <w:szCs w:val="24"/>
          <w:lang w:val="en-US" w:eastAsia="zh-CN"/>
        </w:rPr>
        <w:t>（2）联合体各成员单位应协助项目公司完成建设期融资工作，若存在运营期资金缺口，各单位按照持股比例向项目公司提供融资支持（包括但不限于股东资金支持等措施），以保证项目的正常建设和运营。</w:t>
      </w:r>
    </w:p>
    <w:p>
      <w:pPr>
        <w:widowControl/>
        <w:numPr>
          <w:ilvl w:val="0"/>
          <w:numId w:val="0"/>
        </w:numPr>
        <w:shd w:val="clear" w:color="auto" w:fill="FFFFFF"/>
        <w:snapToGrid w:val="0"/>
        <w:spacing w:line="360" w:lineRule="auto"/>
        <w:ind w:firstLine="480" w:firstLineChars="200"/>
        <w:jc w:val="left"/>
        <w:outlineLvl w:val="0"/>
        <w:rPr>
          <w:rFonts w:hint="eastAsia" w:ascii="Times New Roman" w:hAnsi="Times New Roman"/>
          <w:sz w:val="24"/>
          <w:szCs w:val="24"/>
          <w:lang w:val="en-US" w:eastAsia="zh-CN"/>
        </w:rPr>
      </w:pPr>
      <w:r>
        <w:rPr>
          <w:rFonts w:hint="eastAsia" w:ascii="Times New Roman" w:hAnsi="Times New Roman"/>
          <w:sz w:val="24"/>
          <w:szCs w:val="24"/>
          <w:lang w:val="en-US" w:eastAsia="zh-CN"/>
        </w:rPr>
        <w:t>（3） 若车购税资金未能按期到位，则联合体各成员单位应按出资比例通过股东借款等方式无偿补足相应的资金缺口，直至车购税资金到位为止，并承担由此引起的风险。</w:t>
      </w:r>
    </w:p>
    <w:p>
      <w:pPr>
        <w:widowControl/>
        <w:numPr>
          <w:ilvl w:val="0"/>
          <w:numId w:val="0"/>
        </w:numPr>
        <w:shd w:val="clear" w:color="auto" w:fill="FFFFFF"/>
        <w:snapToGrid w:val="0"/>
        <w:spacing w:line="360" w:lineRule="auto"/>
        <w:jc w:val="left"/>
        <w:outlineLvl w:val="0"/>
        <w:rPr>
          <w:rFonts w:hint="default" w:ascii="Times New Roman" w:hAnsi="Times New Roman"/>
          <w:sz w:val="24"/>
          <w:szCs w:val="24"/>
          <w:lang w:val="en-US" w:eastAsia="zh-CN"/>
        </w:rPr>
      </w:pPr>
      <w:r>
        <w:rPr>
          <w:rFonts w:hint="eastAsia" w:ascii="Times New Roman" w:hAnsi="Times New Roman"/>
          <w:sz w:val="24"/>
          <w:szCs w:val="24"/>
          <w:lang w:val="en-US" w:eastAsia="zh-CN"/>
        </w:rPr>
        <w:t>7.3项目运营</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val="0"/>
        <w:spacing w:line="360" w:lineRule="auto"/>
        <w:ind w:firstLine="480" w:firstLineChars="200"/>
        <w:jc w:val="left"/>
        <w:textAlignment w:val="auto"/>
        <w:outlineLvl w:val="0"/>
        <w:rPr>
          <w:rFonts w:hint="eastAsia" w:ascii="Times New Roman" w:hAnsi="Times New Roman"/>
          <w:sz w:val="24"/>
          <w:szCs w:val="24"/>
          <w:lang w:val="en-US" w:eastAsia="zh-CN"/>
        </w:rPr>
      </w:pPr>
      <w:r>
        <w:rPr>
          <w:rFonts w:hint="eastAsia" w:ascii="Times New Roman" w:hAnsi="Times New Roman"/>
          <w:sz w:val="24"/>
          <w:szCs w:val="24"/>
          <w:lang w:val="en-US" w:eastAsia="zh-CN"/>
        </w:rPr>
        <w:t>在同等条件下，项目公司应优先选择接收既有成渝高速原运营管理单位分流的经营管理人员和收费人员。</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val="0"/>
        <w:spacing w:line="360" w:lineRule="auto"/>
        <w:ind w:firstLine="480" w:firstLineChars="200"/>
        <w:jc w:val="left"/>
        <w:textAlignment w:val="auto"/>
        <w:outlineLvl w:val="0"/>
        <w:rPr>
          <w:rFonts w:hint="eastAsia" w:ascii="Times New Roman" w:hAnsi="Times New Roman"/>
          <w:sz w:val="24"/>
          <w:szCs w:val="24"/>
          <w:lang w:val="en-US" w:eastAsia="zh-CN"/>
        </w:rPr>
      </w:pPr>
      <w:r>
        <w:rPr>
          <w:rFonts w:hint="eastAsia" w:ascii="Times New Roman" w:hAnsi="Times New Roman"/>
          <w:sz w:val="24"/>
          <w:szCs w:val="24"/>
          <w:lang w:val="en-US" w:eastAsia="zh-CN"/>
        </w:rPr>
        <w:t>项目服务区、广告、通信管网由项目公司在同等条件下，优先委托高速集团或下属子分公司运营。</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jc w:val="left"/>
        <w:textAlignment w:val="auto"/>
        <w:outlineLvl w:val="0"/>
        <w:rPr>
          <w:rFonts w:hint="eastAsia" w:ascii="Times New Roman" w:hAnsi="Times New Roman"/>
          <w:sz w:val="24"/>
          <w:szCs w:val="24"/>
          <w:lang w:val="en-US" w:eastAsia="zh-CN"/>
        </w:rPr>
      </w:pPr>
      <w:r>
        <w:rPr>
          <w:rFonts w:hint="eastAsia" w:ascii="Times New Roman" w:hAnsi="Times New Roman"/>
          <w:sz w:val="24"/>
          <w:szCs w:val="24"/>
          <w:lang w:val="en-US" w:eastAsia="zh-CN"/>
        </w:rPr>
        <w:t>7.4其他</w:t>
      </w:r>
    </w:p>
    <w:p>
      <w:pPr>
        <w:widowControl/>
        <w:shd w:val="clear" w:color="auto" w:fill="FFFFFF"/>
        <w:snapToGrid w:val="0"/>
        <w:spacing w:line="360" w:lineRule="auto"/>
        <w:ind w:firstLine="480" w:firstLineChars="200"/>
        <w:jc w:val="left"/>
        <w:outlineLvl w:val="0"/>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若中标，</w:t>
      </w:r>
      <w:r>
        <w:rPr>
          <w:rFonts w:hint="eastAsia" w:ascii="Times New Roman" w:hAnsi="Times New Roman" w:eastAsia="宋体" w:cs="Times New Roman"/>
          <w:sz w:val="24"/>
          <w:szCs w:val="24"/>
          <w:lang w:eastAsia="zh-CN"/>
        </w:rPr>
        <w:t>任何一方</w:t>
      </w:r>
      <w:r>
        <w:rPr>
          <w:rFonts w:hint="eastAsia" w:ascii="Times New Roman" w:hAnsi="Times New Roman" w:cs="Times New Roman"/>
          <w:sz w:val="24"/>
          <w:szCs w:val="24"/>
          <w:lang w:val="en-US" w:eastAsia="zh-CN"/>
        </w:rPr>
        <w:t>投资合作人</w:t>
      </w:r>
      <w:r>
        <w:rPr>
          <w:rFonts w:hint="eastAsia" w:ascii="Times New Roman" w:hAnsi="Times New Roman" w:eastAsia="宋体" w:cs="Times New Roman"/>
          <w:sz w:val="24"/>
          <w:szCs w:val="24"/>
          <w:lang w:val="en-US" w:eastAsia="zh-CN"/>
        </w:rPr>
        <w:t>单位</w:t>
      </w:r>
      <w:r>
        <w:rPr>
          <w:rFonts w:hint="eastAsia" w:ascii="Times New Roman" w:hAnsi="Times New Roman" w:eastAsia="宋体" w:cs="Times New Roman"/>
          <w:sz w:val="24"/>
          <w:szCs w:val="24"/>
          <w:lang w:eastAsia="zh-CN"/>
        </w:rPr>
        <w:t>未按</w:t>
      </w:r>
      <w:r>
        <w:rPr>
          <w:rFonts w:hint="eastAsia" w:ascii="Times New Roman" w:hAnsi="Times New Roman" w:eastAsia="宋体" w:cs="Times New Roman"/>
          <w:sz w:val="24"/>
          <w:szCs w:val="24"/>
          <w:lang w:val="en-US" w:eastAsia="zh-CN"/>
        </w:rPr>
        <w:t>相关协议</w:t>
      </w:r>
      <w:r>
        <w:rPr>
          <w:rFonts w:hint="eastAsia" w:ascii="Times New Roman" w:hAnsi="Times New Roman" w:eastAsia="宋体" w:cs="Times New Roman"/>
          <w:sz w:val="24"/>
          <w:szCs w:val="24"/>
          <w:lang w:eastAsia="zh-CN"/>
        </w:rPr>
        <w:t>约定的时间和数额缴付其任何部分出资（包含注册资本金和额外出资）导致重庆高速公路集团有限公司即联合体牵头人按照《投资协议》约定先行补足的，则自重庆高速公路集团有限公司补足之日起，逾期出资的</w:t>
      </w:r>
      <w:r>
        <w:rPr>
          <w:rFonts w:hint="eastAsia" w:ascii="Times New Roman" w:hAnsi="Times New Roman" w:eastAsia="宋体" w:cs="Times New Roman"/>
          <w:sz w:val="24"/>
          <w:szCs w:val="24"/>
          <w:lang w:val="en-US" w:eastAsia="zh-CN"/>
        </w:rPr>
        <w:t>单位</w:t>
      </w:r>
      <w:r>
        <w:rPr>
          <w:rFonts w:hint="eastAsia" w:ascii="Times New Roman" w:hAnsi="Times New Roman" w:eastAsia="宋体" w:cs="Times New Roman"/>
          <w:sz w:val="24"/>
          <w:szCs w:val="24"/>
          <w:lang w:eastAsia="zh-CN"/>
        </w:rPr>
        <w:t>按重庆高速公路集团有限公司补足金额的每日万分之五向其支付资金占用费。</w:t>
      </w:r>
    </w:p>
    <w:p>
      <w:pPr>
        <w:widowControl/>
        <w:shd w:val="clear" w:color="auto" w:fill="FFFFFF"/>
        <w:snapToGrid w:val="0"/>
        <w:spacing w:before="156" w:beforeLines="50" w:line="360" w:lineRule="auto"/>
        <w:jc w:val="left"/>
        <w:outlineLvl w:val="0"/>
        <w:rPr>
          <w:rFonts w:ascii="Times New Roman" w:hAnsi="Times New Roman" w:eastAsia="黑体"/>
          <w:sz w:val="24"/>
          <w:szCs w:val="24"/>
        </w:rPr>
      </w:pPr>
      <w:r>
        <w:rPr>
          <w:rFonts w:hint="eastAsia" w:ascii="Times New Roman" w:hAnsi="Times New Roman" w:eastAsia="黑体"/>
          <w:sz w:val="24"/>
          <w:szCs w:val="24"/>
          <w:lang w:val="en-US" w:eastAsia="zh-CN"/>
        </w:rPr>
        <w:t>8</w:t>
      </w:r>
      <w:r>
        <w:rPr>
          <w:rFonts w:hint="eastAsia" w:ascii="Times New Roman" w:hAnsi="Times New Roman" w:eastAsia="黑体"/>
          <w:sz w:val="24"/>
          <w:szCs w:val="24"/>
        </w:rPr>
        <w:t xml:space="preserve"> 遴选程序</w:t>
      </w:r>
    </w:p>
    <w:p>
      <w:pPr>
        <w:widowControl/>
        <w:shd w:val="clear" w:color="auto" w:fill="FFFFFF"/>
        <w:snapToGrid w:val="0"/>
        <w:spacing w:line="360" w:lineRule="auto"/>
        <w:jc w:val="left"/>
        <w:outlineLvl w:val="0"/>
        <w:rPr>
          <w:rFonts w:ascii="Times New Roman" w:hAnsi="Times New Roman"/>
          <w:sz w:val="24"/>
          <w:szCs w:val="24"/>
        </w:rPr>
      </w:pPr>
      <w:r>
        <w:rPr>
          <w:rFonts w:hint="eastAsia" w:ascii="Times New Roman" w:hAnsi="Times New Roman"/>
          <w:sz w:val="24"/>
          <w:szCs w:val="24"/>
        </w:rPr>
        <w:t xml:space="preserve">    </w:t>
      </w:r>
      <w:r>
        <w:rPr>
          <w:rFonts w:ascii="Times New Roman" w:hAnsi="Times New Roman"/>
          <w:sz w:val="24"/>
          <w:szCs w:val="24"/>
        </w:rPr>
        <w:t>此次</w:t>
      </w:r>
      <w:r>
        <w:rPr>
          <w:rFonts w:hint="eastAsia" w:ascii="Times New Roman" w:hAnsi="Times New Roman"/>
          <w:sz w:val="24"/>
          <w:szCs w:val="24"/>
        </w:rPr>
        <w:t>合</w:t>
      </w:r>
      <w:r>
        <w:rPr>
          <w:rFonts w:ascii="Times New Roman" w:hAnsi="Times New Roman"/>
          <w:sz w:val="24"/>
          <w:szCs w:val="24"/>
        </w:rPr>
        <w:t>作人的遴选，原则上按照下列程序进行：</w:t>
      </w:r>
    </w:p>
    <w:p>
      <w:pPr>
        <w:widowControl/>
        <w:shd w:val="clear" w:color="auto" w:fill="FFFFFF"/>
        <w:snapToGrid w:val="0"/>
        <w:spacing w:line="360" w:lineRule="auto"/>
        <w:ind w:firstLine="480" w:firstLineChars="200"/>
        <w:jc w:val="left"/>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1</w:t>
      </w:r>
      <w:r>
        <w:rPr>
          <w:rFonts w:ascii="Times New Roman" w:hAnsi="Times New Roman"/>
          <w:sz w:val="24"/>
          <w:szCs w:val="24"/>
        </w:rPr>
        <w:t>）</w:t>
      </w:r>
      <w:r>
        <w:rPr>
          <w:rFonts w:hint="eastAsia" w:ascii="Times New Roman" w:hAnsi="Times New Roman"/>
          <w:sz w:val="24"/>
          <w:szCs w:val="24"/>
        </w:rPr>
        <w:t>发布</w:t>
      </w:r>
      <w:r>
        <w:rPr>
          <w:rFonts w:ascii="Times New Roman" w:hAnsi="Times New Roman"/>
          <w:sz w:val="24"/>
          <w:szCs w:val="24"/>
        </w:rPr>
        <w:t>遴选</w:t>
      </w:r>
      <w:r>
        <w:rPr>
          <w:rFonts w:hint="eastAsia" w:ascii="Times New Roman" w:hAnsi="Times New Roman"/>
          <w:sz w:val="24"/>
          <w:szCs w:val="24"/>
        </w:rPr>
        <w:t>公告</w:t>
      </w:r>
      <w:r>
        <w:rPr>
          <w:rFonts w:ascii="Times New Roman" w:hAnsi="Times New Roman"/>
          <w:sz w:val="24"/>
          <w:szCs w:val="24"/>
        </w:rPr>
        <w:t>；</w:t>
      </w:r>
    </w:p>
    <w:p>
      <w:pPr>
        <w:widowControl/>
        <w:numPr>
          <w:ilvl w:val="0"/>
          <w:numId w:val="0"/>
        </w:numPr>
        <w:shd w:val="clear" w:color="auto" w:fill="FFFFFF"/>
        <w:snapToGrid w:val="0"/>
        <w:spacing w:line="360" w:lineRule="auto"/>
        <w:ind w:firstLine="480" w:firstLineChars="200"/>
        <w:jc w:val="left"/>
        <w:outlineLvl w:val="0"/>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2</w:t>
      </w:r>
      <w:r>
        <w:rPr>
          <w:rFonts w:ascii="Times New Roman" w:hAnsi="Times New Roman"/>
          <w:sz w:val="24"/>
          <w:szCs w:val="24"/>
        </w:rPr>
        <w:t>）</w:t>
      </w:r>
      <w:r>
        <w:rPr>
          <w:rFonts w:hint="eastAsia" w:ascii="Times New Roman" w:hAnsi="Times New Roman"/>
          <w:sz w:val="24"/>
          <w:szCs w:val="24"/>
        </w:rPr>
        <w:t>遴选</w:t>
      </w:r>
      <w:r>
        <w:rPr>
          <w:rFonts w:ascii="Times New Roman" w:hAnsi="Times New Roman"/>
          <w:sz w:val="24"/>
          <w:szCs w:val="24"/>
        </w:rPr>
        <w:t>合作人</w:t>
      </w:r>
      <w:r>
        <w:rPr>
          <w:rFonts w:hint="eastAsia" w:ascii="Times New Roman" w:hAnsi="Times New Roman"/>
          <w:sz w:val="24"/>
          <w:szCs w:val="24"/>
        </w:rPr>
        <w:t>编制遴选合作文件，并递交</w:t>
      </w:r>
      <w:r>
        <w:rPr>
          <w:rFonts w:ascii="Times New Roman" w:hAnsi="Times New Roman"/>
          <w:sz w:val="24"/>
          <w:szCs w:val="24"/>
        </w:rPr>
        <w:t>；</w:t>
      </w:r>
    </w:p>
    <w:p>
      <w:pPr>
        <w:widowControl/>
        <w:numPr>
          <w:ilvl w:val="0"/>
          <w:numId w:val="0"/>
        </w:numPr>
        <w:shd w:val="clear" w:color="auto" w:fill="FFFFFF"/>
        <w:snapToGrid w:val="0"/>
        <w:spacing w:line="360" w:lineRule="auto"/>
        <w:ind w:firstLine="480" w:firstLineChars="200"/>
        <w:jc w:val="left"/>
        <w:outlineLvl w:val="0"/>
        <w:rPr>
          <w:rFonts w:hint="eastAsia"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z w:val="24"/>
          <w:szCs w:val="24"/>
          <w:lang w:val="en-US" w:eastAsia="zh-CN"/>
        </w:rPr>
        <w:t>3</w:t>
      </w:r>
      <w:r>
        <w:rPr>
          <w:rFonts w:hint="eastAsia" w:ascii="Times New Roman" w:hAnsi="Times New Roman"/>
          <w:sz w:val="24"/>
          <w:szCs w:val="24"/>
          <w:lang w:eastAsia="zh-CN"/>
        </w:rPr>
        <w:t>）</w:t>
      </w:r>
      <w:r>
        <w:rPr>
          <w:rFonts w:hint="eastAsia" w:ascii="Times New Roman" w:hAnsi="Times New Roman"/>
          <w:sz w:val="24"/>
          <w:szCs w:val="24"/>
        </w:rPr>
        <w:t>评标委员会对</w:t>
      </w:r>
      <w:r>
        <w:rPr>
          <w:rFonts w:hint="eastAsia" w:ascii="Times New Roman" w:hAnsi="Times New Roman"/>
          <w:sz w:val="24"/>
          <w:szCs w:val="24"/>
          <w:lang w:val="en-US" w:eastAsia="zh-CN"/>
        </w:rPr>
        <w:t>小于5%的投资</w:t>
      </w:r>
      <w:r>
        <w:rPr>
          <w:rFonts w:hint="eastAsia" w:ascii="Times New Roman" w:hAnsi="Times New Roman"/>
          <w:sz w:val="24"/>
          <w:szCs w:val="24"/>
        </w:rPr>
        <w:t>合作人进行评价</w:t>
      </w:r>
      <w:r>
        <w:rPr>
          <w:rFonts w:hint="eastAsia" w:ascii="Times New Roman" w:hAnsi="Times New Roman"/>
          <w:sz w:val="24"/>
          <w:szCs w:val="24"/>
          <w:lang w:eastAsia="zh-CN"/>
        </w:rPr>
        <w:t>，</w:t>
      </w:r>
      <w:r>
        <w:rPr>
          <w:rFonts w:hint="eastAsia" w:ascii="Times New Roman" w:hAnsi="Times New Roman"/>
          <w:sz w:val="24"/>
          <w:szCs w:val="24"/>
          <w:lang w:val="en-US" w:eastAsia="zh-CN"/>
        </w:rPr>
        <w:t>按照遴选标准对各遴选合作人进行评价，按照分数由高到低的排序确定合作人。</w:t>
      </w:r>
    </w:p>
    <w:p>
      <w:pPr>
        <w:widowControl/>
        <w:shd w:val="clear" w:color="auto" w:fill="FFFFFF"/>
        <w:snapToGrid w:val="0"/>
        <w:spacing w:before="156" w:beforeLines="50" w:line="360" w:lineRule="auto"/>
        <w:jc w:val="left"/>
        <w:outlineLvl w:val="0"/>
        <w:rPr>
          <w:rFonts w:hint="eastAsia" w:ascii="Times New Roman" w:hAnsi="Times New Roman" w:eastAsia="黑体"/>
          <w:sz w:val="24"/>
          <w:szCs w:val="24"/>
          <w:lang w:eastAsia="zh-CN"/>
        </w:rPr>
      </w:pPr>
      <w:r>
        <w:rPr>
          <w:rFonts w:hint="eastAsia" w:ascii="Times New Roman" w:hAnsi="Times New Roman" w:eastAsia="黑体"/>
          <w:sz w:val="24"/>
          <w:szCs w:val="24"/>
          <w:lang w:val="en-US" w:eastAsia="zh-CN"/>
        </w:rPr>
        <w:t>9</w:t>
      </w:r>
      <w:r>
        <w:rPr>
          <w:rFonts w:hint="eastAsia" w:ascii="Times New Roman" w:hAnsi="Times New Roman" w:eastAsia="黑体"/>
          <w:sz w:val="24"/>
          <w:szCs w:val="24"/>
        </w:rPr>
        <w:t xml:space="preserve"> </w:t>
      </w:r>
      <w:r>
        <w:rPr>
          <w:rFonts w:ascii="Times New Roman" w:hAnsi="Times New Roman" w:eastAsia="黑体"/>
          <w:sz w:val="24"/>
          <w:szCs w:val="24"/>
        </w:rPr>
        <w:t>遴选</w:t>
      </w:r>
      <w:r>
        <w:rPr>
          <w:rFonts w:hint="eastAsia" w:ascii="Times New Roman" w:hAnsi="Times New Roman" w:eastAsia="黑体"/>
          <w:sz w:val="24"/>
          <w:szCs w:val="24"/>
        </w:rPr>
        <w:t>评价</w:t>
      </w:r>
      <w:r>
        <w:rPr>
          <w:rFonts w:ascii="Times New Roman" w:hAnsi="Times New Roman" w:eastAsia="黑体"/>
          <w:sz w:val="24"/>
          <w:szCs w:val="24"/>
        </w:rPr>
        <w:t>标准</w:t>
      </w:r>
      <w:r>
        <w:rPr>
          <w:rFonts w:hint="eastAsia" w:ascii="Times New Roman" w:hAnsi="Times New Roman" w:eastAsia="黑体"/>
          <w:sz w:val="24"/>
          <w:szCs w:val="24"/>
        </w:rPr>
        <w:t xml:space="preserve"> </w:t>
      </w:r>
    </w:p>
    <w:p>
      <w:pPr>
        <w:widowControl/>
        <w:shd w:val="clear" w:color="auto" w:fill="FFFFFF"/>
        <w:snapToGrid w:val="0"/>
        <w:spacing w:line="360" w:lineRule="auto"/>
        <w:ind w:firstLine="480" w:firstLineChars="200"/>
        <w:jc w:val="left"/>
        <w:rPr>
          <w:rFonts w:hint="eastAsia" w:ascii="Times New Roman" w:hAnsi="Times New Roman"/>
          <w:sz w:val="24"/>
          <w:szCs w:val="24"/>
          <w:highlight w:val="none"/>
        </w:rPr>
      </w:pPr>
      <w:r>
        <w:rPr>
          <w:rFonts w:hint="eastAsia" w:ascii="Times New Roman" w:hAnsi="Times New Roman"/>
          <w:sz w:val="24"/>
          <w:szCs w:val="24"/>
          <w:highlight w:val="none"/>
          <w:lang w:val="en-US" w:eastAsia="zh-CN"/>
        </w:rPr>
        <w:t>9</w:t>
      </w:r>
      <w:r>
        <w:rPr>
          <w:rFonts w:hint="eastAsia" w:ascii="Times New Roman" w:hAnsi="Times New Roman"/>
          <w:sz w:val="24"/>
          <w:szCs w:val="24"/>
          <w:highlight w:val="none"/>
        </w:rPr>
        <w:t>.1</w:t>
      </w:r>
      <w:r>
        <w:rPr>
          <w:rFonts w:ascii="Times New Roman" w:hAnsi="Times New Roman"/>
          <w:sz w:val="24"/>
          <w:szCs w:val="24"/>
          <w:highlight w:val="none"/>
        </w:rPr>
        <w:t>此次遴选评价按照财务能力、</w:t>
      </w:r>
      <w:r>
        <w:rPr>
          <w:rFonts w:hint="eastAsia" w:ascii="Times New Roman" w:hAnsi="Times New Roman"/>
          <w:sz w:val="24"/>
          <w:szCs w:val="24"/>
          <w:highlight w:val="none"/>
          <w:lang w:val="en-US" w:eastAsia="zh-CN"/>
        </w:rPr>
        <w:t>其他要求</w:t>
      </w:r>
      <w:r>
        <w:rPr>
          <w:rFonts w:ascii="Times New Roman" w:hAnsi="Times New Roman"/>
          <w:sz w:val="24"/>
          <w:szCs w:val="24"/>
          <w:highlight w:val="none"/>
        </w:rPr>
        <w:t>等进行评价。</w:t>
      </w:r>
      <w:r>
        <w:rPr>
          <w:rFonts w:hint="eastAsia" w:ascii="Times New Roman" w:hAnsi="Times New Roman"/>
          <w:sz w:val="24"/>
          <w:szCs w:val="24"/>
          <w:highlight w:val="none"/>
        </w:rPr>
        <w:t>（</w:t>
      </w:r>
      <w:r>
        <w:rPr>
          <w:rFonts w:ascii="Times New Roman" w:hAnsi="Times New Roman"/>
          <w:sz w:val="24"/>
          <w:szCs w:val="24"/>
          <w:highlight w:val="none"/>
        </w:rPr>
        <w:t>具体遴选评价标准详见</w:t>
      </w:r>
      <w:r>
        <w:rPr>
          <w:rFonts w:hint="eastAsia" w:ascii="Times New Roman" w:hAnsi="Times New Roman"/>
          <w:sz w:val="24"/>
          <w:szCs w:val="24"/>
          <w:highlight w:val="none"/>
        </w:rPr>
        <w:t>附录</w:t>
      </w:r>
      <w:r>
        <w:rPr>
          <w:rFonts w:hint="eastAsia" w:ascii="Times New Roman" w:hAnsi="Times New Roman"/>
          <w:sz w:val="24"/>
          <w:szCs w:val="24"/>
          <w:highlight w:val="none"/>
          <w:lang w:val="en-US" w:eastAsia="zh-CN"/>
        </w:rPr>
        <w:t>2</w:t>
      </w:r>
      <w:r>
        <w:rPr>
          <w:rFonts w:hint="eastAsia" w:ascii="Times New Roman" w:hAnsi="Times New Roman"/>
          <w:sz w:val="24"/>
          <w:szCs w:val="24"/>
          <w:highlight w:val="none"/>
        </w:rPr>
        <w:t>）</w:t>
      </w:r>
    </w:p>
    <w:p>
      <w:pPr>
        <w:widowControl/>
        <w:numPr>
          <w:ilvl w:val="0"/>
          <w:numId w:val="0"/>
        </w:numPr>
        <w:shd w:val="clear" w:color="auto" w:fill="FFFFFF"/>
        <w:snapToGrid w:val="0"/>
        <w:spacing w:line="360" w:lineRule="auto"/>
        <w:ind w:firstLine="480" w:firstLineChars="200"/>
        <w:jc w:val="left"/>
        <w:outlineLvl w:val="0"/>
        <w:rPr>
          <w:rFonts w:hint="eastAsia"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9.2对于遴选小于5%的投资合作人评选</w:t>
      </w:r>
      <w:r>
        <w:rPr>
          <w:rFonts w:hint="eastAsia" w:ascii="Times New Roman" w:hAnsi="Times New Roman"/>
          <w:sz w:val="24"/>
          <w:szCs w:val="24"/>
          <w:lang w:val="en-US" w:eastAsia="zh-CN"/>
        </w:rPr>
        <w:t>按照分数由高到低的排序</w:t>
      </w:r>
      <w:r>
        <w:rPr>
          <w:rFonts w:hint="eastAsia" w:ascii="Times New Roman" w:hAnsi="Times New Roman"/>
          <w:sz w:val="24"/>
          <w:szCs w:val="24"/>
          <w:highlight w:val="none"/>
          <w:lang w:val="en-US" w:eastAsia="zh-CN"/>
        </w:rPr>
        <w:t>分别确定7家持股比例小于5%的投资合作人。</w:t>
      </w:r>
    </w:p>
    <w:p>
      <w:pPr>
        <w:widowControl/>
        <w:numPr>
          <w:ilvl w:val="0"/>
          <w:numId w:val="0"/>
        </w:numPr>
        <w:shd w:val="clear" w:color="auto" w:fill="FFFFFF"/>
        <w:snapToGrid w:val="0"/>
        <w:spacing w:line="360" w:lineRule="auto"/>
        <w:ind w:firstLine="480" w:firstLineChars="200"/>
        <w:jc w:val="left"/>
        <w:outlineLvl w:val="0"/>
        <w:rPr>
          <w:rFonts w:hint="default"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当遴选投资合作人</w:t>
      </w:r>
      <w:r>
        <w:rPr>
          <w:rFonts w:hint="eastAsia" w:ascii="Times New Roman" w:hAnsi="Times New Roman"/>
          <w:sz w:val="24"/>
          <w:szCs w:val="24"/>
          <w:lang w:val="en-US" w:eastAsia="zh-CN"/>
        </w:rPr>
        <w:t>得分相等时，由评标委员会综合评判。</w:t>
      </w:r>
    </w:p>
    <w:p>
      <w:pPr>
        <w:widowControl/>
        <w:shd w:val="clear" w:color="auto" w:fill="FFFFFF"/>
        <w:snapToGrid w:val="0"/>
        <w:spacing w:before="156" w:beforeLines="50" w:line="360" w:lineRule="auto"/>
        <w:jc w:val="left"/>
        <w:outlineLvl w:val="0"/>
        <w:rPr>
          <w:rFonts w:ascii="Times New Roman" w:hAnsi="Times New Roman" w:eastAsia="黑体"/>
          <w:sz w:val="24"/>
          <w:szCs w:val="24"/>
        </w:rPr>
      </w:pPr>
      <w:r>
        <w:rPr>
          <w:rFonts w:hint="eastAsia" w:ascii="Times New Roman" w:hAnsi="Times New Roman" w:eastAsia="黑体"/>
          <w:sz w:val="24"/>
          <w:szCs w:val="24"/>
          <w:lang w:val="en-US" w:eastAsia="zh-CN"/>
        </w:rPr>
        <w:t>10</w:t>
      </w:r>
      <w:r>
        <w:rPr>
          <w:rFonts w:hint="eastAsia" w:ascii="Times New Roman" w:hAnsi="Times New Roman" w:eastAsia="黑体"/>
          <w:sz w:val="24"/>
          <w:szCs w:val="24"/>
        </w:rPr>
        <w:t xml:space="preserve"> 遴选合作文件的编制及递交</w:t>
      </w:r>
    </w:p>
    <w:p>
      <w:pPr>
        <w:widowControl/>
        <w:shd w:val="clear" w:color="auto" w:fill="FFFFFF"/>
        <w:snapToGrid w:val="0"/>
        <w:spacing w:line="360" w:lineRule="auto"/>
        <w:ind w:firstLine="560"/>
        <w:jc w:val="left"/>
        <w:outlineLvl w:val="0"/>
        <w:rPr>
          <w:rFonts w:ascii="Times New Roman" w:hAnsi="Times New Roman"/>
          <w:sz w:val="24"/>
          <w:szCs w:val="24"/>
        </w:rPr>
      </w:pPr>
      <w:r>
        <w:rPr>
          <w:rFonts w:hint="eastAsia" w:ascii="Times New Roman" w:hAnsi="Times New Roman"/>
          <w:sz w:val="24"/>
          <w:szCs w:val="24"/>
          <w:lang w:val="en-US" w:eastAsia="zh-CN"/>
        </w:rPr>
        <w:t>10</w:t>
      </w:r>
      <w:r>
        <w:rPr>
          <w:rFonts w:hint="eastAsia" w:ascii="Times New Roman" w:hAnsi="Times New Roman"/>
          <w:sz w:val="24"/>
          <w:szCs w:val="24"/>
        </w:rPr>
        <w:t>.1遴选合作文件应按照第三章遴选合作文件格式进行编写，如有必要，可以增加附页，作为遴选合作文件的组成部分。</w:t>
      </w:r>
    </w:p>
    <w:p>
      <w:pPr>
        <w:widowControl/>
        <w:shd w:val="clear" w:color="auto" w:fill="FFFFFF"/>
        <w:snapToGrid w:val="0"/>
        <w:spacing w:line="360" w:lineRule="auto"/>
        <w:ind w:firstLine="560"/>
        <w:jc w:val="left"/>
        <w:outlineLvl w:val="0"/>
        <w:rPr>
          <w:rFonts w:ascii="Times New Roman" w:hAnsi="Times New Roman"/>
          <w:sz w:val="24"/>
          <w:szCs w:val="24"/>
        </w:rPr>
      </w:pPr>
      <w:r>
        <w:rPr>
          <w:rFonts w:hint="eastAsia" w:ascii="Times New Roman" w:hAnsi="Times New Roman"/>
          <w:sz w:val="24"/>
          <w:szCs w:val="24"/>
          <w:lang w:val="en-US" w:eastAsia="zh-CN"/>
        </w:rPr>
        <w:t>10</w:t>
      </w:r>
      <w:r>
        <w:rPr>
          <w:rFonts w:hint="eastAsia" w:ascii="Times New Roman" w:hAnsi="Times New Roman"/>
          <w:sz w:val="24"/>
          <w:szCs w:val="24"/>
        </w:rPr>
        <w:t>.2 遴选合作文件需制作正本1份、副本</w:t>
      </w:r>
      <w:r>
        <w:rPr>
          <w:rFonts w:hint="eastAsia" w:ascii="Times New Roman" w:hAnsi="Times New Roman"/>
          <w:sz w:val="24"/>
          <w:szCs w:val="24"/>
          <w:lang w:val="en-US" w:eastAsia="zh-CN"/>
        </w:rPr>
        <w:t>1</w:t>
      </w:r>
      <w:r>
        <w:rPr>
          <w:rFonts w:hint="eastAsia" w:ascii="Times New Roman" w:hAnsi="Times New Roman"/>
          <w:sz w:val="24"/>
          <w:szCs w:val="24"/>
        </w:rPr>
        <w:t>份，打印装订成册，并将电子文件拷贝在U盘内一并递交。</w:t>
      </w:r>
    </w:p>
    <w:p>
      <w:pPr>
        <w:snapToGrid w:val="0"/>
        <w:spacing w:line="360" w:lineRule="auto"/>
        <w:ind w:firstLine="560"/>
        <w:jc w:val="left"/>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10</w:t>
      </w:r>
      <w:r>
        <w:rPr>
          <w:rFonts w:hint="eastAsia" w:ascii="Times New Roman" w:hAnsi="Times New Roman"/>
          <w:sz w:val="24"/>
          <w:szCs w:val="24"/>
        </w:rPr>
        <w:t>.3遴选合作文件递交截止时间为20</w:t>
      </w:r>
      <w:r>
        <w:rPr>
          <w:rFonts w:hint="eastAsia" w:ascii="Times New Roman" w:hAnsi="Times New Roman"/>
          <w:sz w:val="24"/>
          <w:szCs w:val="24"/>
          <w:lang w:val="en-US" w:eastAsia="zh-CN"/>
        </w:rPr>
        <w:t>22</w:t>
      </w:r>
      <w:r>
        <w:rPr>
          <w:rFonts w:hint="eastAsia" w:ascii="Times New Roman" w:hAnsi="Times New Roman"/>
          <w:sz w:val="24"/>
          <w:szCs w:val="24"/>
        </w:rPr>
        <w:t>年1</w:t>
      </w:r>
      <w:r>
        <w:rPr>
          <w:rFonts w:hint="eastAsia" w:ascii="Times New Roman" w:hAnsi="Times New Roman"/>
          <w:sz w:val="24"/>
          <w:szCs w:val="24"/>
          <w:lang w:val="en-US" w:eastAsia="zh-CN"/>
        </w:rPr>
        <w:t>1</w:t>
      </w:r>
      <w:r>
        <w:rPr>
          <w:rFonts w:hint="eastAsia" w:ascii="Times New Roman" w:hAnsi="Times New Roman"/>
          <w:sz w:val="24"/>
          <w:szCs w:val="24"/>
        </w:rPr>
        <w:t>月</w:t>
      </w:r>
      <w:r>
        <w:rPr>
          <w:rFonts w:hint="eastAsia" w:ascii="Times New Roman" w:hAnsi="Times New Roman"/>
          <w:sz w:val="24"/>
          <w:szCs w:val="24"/>
          <w:lang w:val="en-US" w:eastAsia="zh-CN"/>
        </w:rPr>
        <w:t>4</w:t>
      </w:r>
      <w:r>
        <w:rPr>
          <w:rFonts w:hint="eastAsia" w:ascii="Times New Roman" w:hAnsi="Times New Roman"/>
          <w:sz w:val="24"/>
          <w:szCs w:val="24"/>
        </w:rPr>
        <w:t>日10时，送达至重庆高速公路集团有限公司</w:t>
      </w:r>
      <w:r>
        <w:rPr>
          <w:rFonts w:hint="eastAsia" w:ascii="Times New Roman" w:hAnsi="Times New Roman"/>
          <w:sz w:val="24"/>
          <w:szCs w:val="24"/>
          <w:lang w:val="en-US" w:eastAsia="zh-CN"/>
        </w:rPr>
        <w:t>2109</w:t>
      </w:r>
      <w:r>
        <w:rPr>
          <w:rFonts w:hint="eastAsia" w:ascii="Times New Roman" w:hAnsi="Times New Roman"/>
          <w:sz w:val="24"/>
          <w:szCs w:val="24"/>
        </w:rPr>
        <w:t>室（地址：</w:t>
      </w:r>
      <w:r>
        <w:rPr>
          <w:rFonts w:ascii="Times New Roman" w:hAnsi="Times New Roman"/>
          <w:sz w:val="24"/>
          <w:szCs w:val="24"/>
        </w:rPr>
        <w:t>重庆市渝北区银杉路66号</w:t>
      </w:r>
      <w:r>
        <w:rPr>
          <w:rFonts w:hint="eastAsia" w:ascii="Times New Roman" w:hAnsi="Times New Roman"/>
          <w:sz w:val="24"/>
          <w:szCs w:val="24"/>
        </w:rPr>
        <w:t>）。逾期送达的或者未送达指定地点的，遴选人不予受理。</w:t>
      </w:r>
      <w:r>
        <w:rPr>
          <w:rFonts w:hint="eastAsia" w:ascii="Times New Roman" w:hAnsi="Times New Roman"/>
          <w:sz w:val="24"/>
          <w:szCs w:val="24"/>
          <w:lang w:val="en-US" w:eastAsia="zh-CN"/>
        </w:rPr>
        <w:t>请提前在微信高速集团公众号进行访客预约并遵守疫情防控相关政策。</w:t>
      </w:r>
    </w:p>
    <w:p>
      <w:pPr>
        <w:widowControl/>
        <w:shd w:val="clear" w:color="auto" w:fill="FFFFFF"/>
        <w:snapToGrid w:val="0"/>
        <w:spacing w:before="156" w:beforeLines="50" w:line="360" w:lineRule="auto"/>
        <w:jc w:val="left"/>
        <w:outlineLvl w:val="0"/>
        <w:rPr>
          <w:rFonts w:hint="eastAsia" w:ascii="Times New Roman" w:hAnsi="Times New Roman" w:eastAsia="黑体"/>
          <w:sz w:val="24"/>
          <w:szCs w:val="24"/>
        </w:rPr>
      </w:pPr>
      <w:r>
        <w:rPr>
          <w:rFonts w:hint="eastAsia" w:ascii="Times New Roman" w:hAnsi="Times New Roman" w:eastAsia="黑体"/>
          <w:sz w:val="24"/>
          <w:szCs w:val="24"/>
        </w:rPr>
        <w:t>1</w:t>
      </w:r>
      <w:r>
        <w:rPr>
          <w:rFonts w:hint="eastAsia" w:ascii="Times New Roman" w:hAnsi="Times New Roman" w:eastAsia="黑体"/>
          <w:sz w:val="24"/>
          <w:szCs w:val="24"/>
          <w:lang w:val="en-US" w:eastAsia="zh-CN"/>
        </w:rPr>
        <w:t>1</w:t>
      </w:r>
      <w:r>
        <w:rPr>
          <w:rFonts w:hint="eastAsia" w:ascii="Times New Roman" w:hAnsi="Times New Roman" w:eastAsia="黑体"/>
          <w:sz w:val="24"/>
          <w:szCs w:val="24"/>
        </w:rPr>
        <w:t>.评标委员会</w:t>
      </w:r>
    </w:p>
    <w:p>
      <w:pPr>
        <w:widowControl/>
        <w:shd w:val="clear" w:color="auto" w:fill="FFFFFF"/>
        <w:snapToGrid w:val="0"/>
        <w:spacing w:line="360" w:lineRule="auto"/>
        <w:jc w:val="left"/>
        <w:outlineLvl w:val="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评标委员会由</w:t>
      </w:r>
      <w:r>
        <w:rPr>
          <w:rFonts w:hint="eastAsia" w:asciiTheme="minorEastAsia" w:hAnsiTheme="minorEastAsia" w:eastAsiaTheme="minorEastAsia"/>
          <w:color w:val="auto"/>
          <w:sz w:val="24"/>
          <w:szCs w:val="24"/>
          <w:lang w:val="en-US" w:eastAsia="zh-CN"/>
        </w:rPr>
        <w:t>遴选人联合</w:t>
      </w:r>
      <w:r>
        <w:rPr>
          <w:rFonts w:hint="eastAsia" w:asciiTheme="minorEastAsia" w:hAnsiTheme="minorEastAsia" w:eastAsiaTheme="minorEastAsia"/>
          <w:color w:val="auto"/>
          <w:sz w:val="24"/>
          <w:szCs w:val="24"/>
        </w:rPr>
        <w:t>组成。</w:t>
      </w:r>
    </w:p>
    <w:p>
      <w:pPr>
        <w:widowControl/>
        <w:shd w:val="clear" w:color="auto" w:fill="FFFFFF"/>
        <w:spacing w:line="300" w:lineRule="atLeast"/>
        <w:jc w:val="left"/>
        <w:rPr>
          <w:rFonts w:ascii="Times New Roman" w:hAnsi="Times New Roman" w:eastAsia="方正仿宋_GBK"/>
          <w:sz w:val="24"/>
          <w:szCs w:val="24"/>
        </w:rPr>
        <w:sectPr>
          <w:footerReference r:id="rId6" w:type="default"/>
          <w:pgSz w:w="11906" w:h="16838"/>
          <w:pgMar w:top="1440" w:right="1800" w:bottom="1440" w:left="1800" w:header="851" w:footer="992" w:gutter="0"/>
          <w:pgNumType w:start="1"/>
          <w:cols w:space="720" w:num="1"/>
          <w:docGrid w:type="lines" w:linePitch="312" w:charSpace="0"/>
        </w:sectPr>
      </w:pPr>
    </w:p>
    <w:p>
      <w:pPr>
        <w:pStyle w:val="4"/>
        <w:ind w:left="0"/>
        <w:rPr>
          <w:sz w:val="28"/>
          <w:szCs w:val="28"/>
          <w:lang w:eastAsia="zh-CN"/>
        </w:rPr>
      </w:pPr>
      <w:r>
        <w:rPr>
          <w:rFonts w:hint="eastAsia"/>
          <w:sz w:val="28"/>
          <w:szCs w:val="28"/>
          <w:lang w:eastAsia="zh-CN"/>
        </w:rPr>
        <w:t>附录</w:t>
      </w:r>
      <w:r>
        <w:rPr>
          <w:rFonts w:hint="eastAsia"/>
          <w:sz w:val="28"/>
          <w:szCs w:val="28"/>
          <w:lang w:val="en-US" w:eastAsia="zh-CN"/>
        </w:rPr>
        <w:t>1</w:t>
      </w:r>
      <w:r>
        <w:rPr>
          <w:rFonts w:hint="eastAsia"/>
          <w:sz w:val="28"/>
          <w:szCs w:val="28"/>
          <w:lang w:eastAsia="zh-CN"/>
        </w:rPr>
        <w:t>：</w:t>
      </w:r>
    </w:p>
    <w:p>
      <w:pPr>
        <w:jc w:val="center"/>
        <w:rPr>
          <w:rFonts w:hint="eastAsia"/>
          <w:lang w:eastAsia="zh-CN"/>
        </w:rPr>
      </w:pPr>
      <w:r>
        <w:rPr>
          <w:rFonts w:hint="eastAsia" w:ascii="黑体" w:hAnsi="黑体" w:eastAsia="黑体" w:cs="黑体"/>
          <w:sz w:val="44"/>
          <w:szCs w:val="44"/>
          <w:lang w:eastAsia="zh-CN"/>
        </w:rPr>
        <w:t>授权委托书</w:t>
      </w:r>
    </w:p>
    <w:p>
      <w:pPr>
        <w:rPr>
          <w:rFonts w:hint="eastAsia" w:ascii="仿宋" w:hAnsi="仿宋" w:eastAsia="仿宋" w:cs="仿宋"/>
          <w:sz w:val="32"/>
          <w:szCs w:val="32"/>
          <w:lang w:eastAsia="zh-CN"/>
        </w:rPr>
      </w:pPr>
    </w:p>
    <w:p>
      <w:p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eastAsia="zh-CN"/>
        </w:rPr>
        <w:t>委托人：</w:t>
      </w:r>
      <w:r>
        <w:rPr>
          <w:rFonts w:hint="eastAsia" w:ascii="仿宋" w:hAnsi="仿宋" w:eastAsia="仿宋" w:cs="仿宋"/>
          <w:b w:val="0"/>
          <w:bCs w:val="0"/>
          <w:sz w:val="32"/>
          <w:szCs w:val="32"/>
          <w:lang w:val="en-US" w:eastAsia="zh-CN"/>
        </w:rPr>
        <w:t xml:space="preserve"> </w:t>
      </w:r>
    </w:p>
    <w:p>
      <w:pPr>
        <w:ind w:firstLine="643" w:firstLineChars="200"/>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受托人：</w:t>
      </w:r>
      <w:r>
        <w:rPr>
          <w:rFonts w:hint="eastAsia" w:ascii="仿宋" w:hAnsi="仿宋" w:eastAsia="仿宋" w:cs="仿宋"/>
          <w:b w:val="0"/>
          <w:bCs w:val="0"/>
          <w:sz w:val="32"/>
          <w:szCs w:val="32"/>
          <w:lang w:eastAsia="zh-CN"/>
        </w:rPr>
        <w:t>重庆高速公路集团有限公司</w:t>
      </w:r>
    </w:p>
    <w:p>
      <w:pPr>
        <w:ind w:firstLine="640" w:firstLineChars="200"/>
        <w:rPr>
          <w:rFonts w:hint="eastAsia" w:ascii="仿宋" w:hAnsi="仿宋" w:eastAsia="仿宋" w:cs="仿宋"/>
          <w:b w:val="0"/>
          <w:bCs w:val="0"/>
          <w:sz w:val="32"/>
          <w:szCs w:val="32"/>
          <w:lang w:eastAsia="zh-CN"/>
        </w:rPr>
      </w:pPr>
    </w:p>
    <w:p>
      <w:pPr>
        <w:ind w:firstLine="640"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sz w:val="32"/>
          <w:szCs w:val="32"/>
          <w:lang w:val="en-US" w:eastAsia="zh-CN"/>
        </w:rPr>
        <w:t>兹因委</w:t>
      </w:r>
      <w:r>
        <w:rPr>
          <w:rFonts w:hint="eastAsia" w:ascii="仿宋" w:hAnsi="仿宋" w:eastAsia="仿宋" w:cs="仿宋"/>
          <w:b w:val="0"/>
          <w:bCs w:val="0"/>
          <w:color w:val="auto"/>
          <w:sz w:val="32"/>
          <w:szCs w:val="32"/>
          <w:lang w:val="en-US" w:eastAsia="zh-CN"/>
        </w:rPr>
        <w:t>托人与受托人自愿组成联合体（以下简称“社会资本”），共同参加</w:t>
      </w:r>
      <w:r>
        <w:rPr>
          <w:rFonts w:hint="eastAsia" w:ascii="仿宋" w:hAnsi="仿宋" w:eastAsia="仿宋" w:cs="仿宋"/>
          <w:b w:val="0"/>
          <w:bCs w:val="0"/>
          <w:color w:val="auto"/>
          <w:sz w:val="32"/>
          <w:szCs w:val="32"/>
          <w:highlight w:val="none"/>
          <w:u w:val="single"/>
          <w:lang w:val="en-US" w:eastAsia="zh-CN"/>
        </w:rPr>
        <w:t>G85 银昆高速、G93 成渝地区环线高速重庆高新区至荣昌区（川渝界）段改扩建工程+重庆市垫江至丰都至武隆高速公路PPP项目</w:t>
      </w:r>
      <w:r>
        <w:rPr>
          <w:rFonts w:hint="eastAsia" w:ascii="仿宋" w:hAnsi="仿宋" w:eastAsia="仿宋" w:cs="仿宋"/>
          <w:b w:val="0"/>
          <w:bCs w:val="0"/>
          <w:color w:val="auto"/>
          <w:sz w:val="32"/>
          <w:szCs w:val="32"/>
          <w:highlight w:val="none"/>
          <w:lang w:val="en-US" w:eastAsia="zh-CN"/>
        </w:rPr>
        <w:t>社会投资人投标，确定重庆高速公路集团有限公司为联合体牵头人，同时社会资本已于2022年  月  日收到《中标通知书》，按</w:t>
      </w:r>
      <w:r>
        <w:rPr>
          <w:rFonts w:hint="eastAsia" w:ascii="仿宋" w:hAnsi="仿宋" w:eastAsia="仿宋" w:cs="仿宋"/>
          <w:b w:val="0"/>
          <w:bCs w:val="0"/>
          <w:color w:val="auto"/>
          <w:sz w:val="32"/>
          <w:szCs w:val="32"/>
          <w:lang w:val="en-US" w:eastAsia="zh-CN"/>
        </w:rPr>
        <w:t>照通知书的相关要求，中标人需在30个工作日内按招标文件规定向招标人（重庆市交通局）提交投资人履约担保（可委托牵头人一并足额提供），担保形式为</w:t>
      </w:r>
      <w:r>
        <w:rPr>
          <w:rFonts w:hint="eastAsia" w:ascii="仿宋" w:hAnsi="仿宋" w:eastAsia="仿宋" w:cs="仿宋"/>
          <w:b w:val="0"/>
          <w:bCs w:val="0"/>
          <w:color w:val="auto"/>
          <w:sz w:val="32"/>
          <w:szCs w:val="32"/>
          <w:u w:val="single"/>
          <w:lang w:val="en-US" w:eastAsia="zh-CN"/>
        </w:rPr>
        <w:t>现金或银行保函或保证保险。</w:t>
      </w:r>
      <w:r>
        <w:rPr>
          <w:rFonts w:hint="eastAsia" w:ascii="仿宋" w:hAnsi="仿宋" w:eastAsia="仿宋" w:cs="仿宋"/>
          <w:b w:val="0"/>
          <w:bCs w:val="0"/>
          <w:color w:val="auto"/>
          <w:sz w:val="32"/>
          <w:szCs w:val="32"/>
          <w:lang w:val="en-US" w:eastAsia="zh-CN"/>
        </w:rPr>
        <w:t>为及时向招标人提交投资人履约担保，同时降低社会资本资金成本，现委托</w:t>
      </w:r>
      <w:r>
        <w:rPr>
          <w:rFonts w:hint="eastAsia" w:ascii="仿宋" w:hAnsi="仿宋" w:eastAsia="仿宋" w:cs="仿宋"/>
          <w:b w:val="0"/>
          <w:bCs w:val="0"/>
          <w:color w:val="auto"/>
          <w:sz w:val="32"/>
          <w:szCs w:val="32"/>
          <w:u w:val="single"/>
          <w:lang w:val="en-US" w:eastAsia="zh-CN"/>
        </w:rPr>
        <w:t>联合体牵头人即：重庆高速公路集团有限公司</w:t>
      </w:r>
      <w:r>
        <w:rPr>
          <w:rFonts w:hint="eastAsia" w:ascii="仿宋" w:hAnsi="仿宋" w:eastAsia="仿宋" w:cs="仿宋"/>
          <w:b w:val="0"/>
          <w:bCs w:val="0"/>
          <w:color w:val="auto"/>
          <w:sz w:val="32"/>
          <w:szCs w:val="32"/>
          <w:u w:val="none"/>
          <w:lang w:val="en-US" w:eastAsia="zh-CN"/>
        </w:rPr>
        <w:t>一并足额向</w:t>
      </w:r>
      <w:r>
        <w:rPr>
          <w:rFonts w:hint="eastAsia" w:ascii="仿宋" w:hAnsi="仿宋" w:eastAsia="仿宋" w:cs="仿宋"/>
          <w:b w:val="0"/>
          <w:bCs w:val="0"/>
          <w:color w:val="auto"/>
          <w:sz w:val="32"/>
          <w:szCs w:val="32"/>
          <w:u w:val="single"/>
          <w:lang w:val="en-US" w:eastAsia="zh-CN"/>
        </w:rPr>
        <w:t>重庆市交通局</w:t>
      </w:r>
      <w:r>
        <w:rPr>
          <w:rFonts w:hint="eastAsia" w:ascii="仿宋" w:hAnsi="仿宋" w:eastAsia="仿宋" w:cs="仿宋"/>
          <w:b w:val="0"/>
          <w:bCs w:val="0"/>
          <w:color w:val="auto"/>
          <w:sz w:val="32"/>
          <w:szCs w:val="32"/>
          <w:u w:val="none"/>
          <w:lang w:val="en-US" w:eastAsia="zh-CN"/>
        </w:rPr>
        <w:t>提交投资人银行履约保函</w:t>
      </w:r>
      <w:r>
        <w:rPr>
          <w:rFonts w:hint="eastAsia" w:ascii="仿宋" w:hAnsi="仿宋" w:eastAsia="仿宋" w:cs="仿宋"/>
          <w:b w:val="0"/>
          <w:bCs w:val="0"/>
          <w:color w:val="auto"/>
          <w:sz w:val="32"/>
          <w:szCs w:val="32"/>
          <w:lang w:val="en-US" w:eastAsia="zh-CN"/>
        </w:rPr>
        <w:t>相关事宜。对受托人在开具银行履约保函过程中所签署的有关文件及协议，均予以认可，并承担相应的法律责任</w:t>
      </w:r>
      <w:r>
        <w:rPr>
          <w:rFonts w:hint="default" w:ascii="仿宋" w:hAnsi="仿宋" w:eastAsia="仿宋" w:cs="仿宋"/>
          <w:b w:val="0"/>
          <w:bCs w:val="0"/>
          <w:color w:val="auto"/>
          <w:sz w:val="32"/>
          <w:szCs w:val="32"/>
          <w:lang w:eastAsia="zh-CN"/>
        </w:rPr>
        <w:t>，即受托人按所签署的有关文件或协议约定承担赔付责任的，委托人按各自在项目公司的认缴股权比例承担相应的赔付责任，并按受托人通知要求向受托人支付对应的赔付款项。如委托人未按通知的时间、金额等支付赔付款项的，委托人以逾期赔付款项为基数，按每日万分之五向受托人支付违约金并承担受托人为维护自身权益而支付的所有费用，包括但不限于律师费、诉讼费、保全费、保全担保费、鉴定费、评估费、差旅费、执行费等费用。</w:t>
      </w:r>
      <w:r>
        <w:rPr>
          <w:rFonts w:hint="eastAsia" w:ascii="仿宋" w:hAnsi="仿宋" w:eastAsia="仿宋" w:cs="仿宋"/>
          <w:b w:val="0"/>
          <w:bCs w:val="0"/>
          <w:color w:val="auto"/>
          <w:sz w:val="32"/>
          <w:szCs w:val="32"/>
          <w:lang w:val="en-US" w:eastAsia="zh-CN"/>
        </w:rPr>
        <w:t>若开具银行履约保函事宜涉及相关费用，将</w:t>
      </w:r>
      <w:r>
        <w:rPr>
          <w:rFonts w:hint="default" w:ascii="仿宋" w:hAnsi="仿宋" w:eastAsia="仿宋" w:cs="仿宋"/>
          <w:b w:val="0"/>
          <w:bCs w:val="0"/>
          <w:color w:val="auto"/>
          <w:sz w:val="32"/>
          <w:szCs w:val="32"/>
          <w:lang w:eastAsia="zh-CN"/>
        </w:rPr>
        <w:t>按</w:t>
      </w:r>
      <w:r>
        <w:rPr>
          <w:rFonts w:hint="eastAsia" w:ascii="仿宋" w:hAnsi="仿宋" w:eastAsia="仿宋" w:cs="仿宋"/>
          <w:b w:val="0"/>
          <w:bCs w:val="0"/>
          <w:color w:val="auto"/>
          <w:sz w:val="32"/>
          <w:szCs w:val="32"/>
          <w:lang w:val="en-US" w:eastAsia="zh-CN"/>
        </w:rPr>
        <w:t>委托人</w:t>
      </w:r>
      <w:r>
        <w:rPr>
          <w:rFonts w:hint="default" w:ascii="仿宋" w:hAnsi="仿宋" w:eastAsia="仿宋" w:cs="仿宋"/>
          <w:b w:val="0"/>
          <w:bCs w:val="0"/>
          <w:color w:val="auto"/>
          <w:sz w:val="32"/>
          <w:szCs w:val="32"/>
          <w:lang w:eastAsia="zh-CN"/>
        </w:rPr>
        <w:t>在项目公司的认缴股权比例</w:t>
      </w:r>
      <w:r>
        <w:rPr>
          <w:rFonts w:hint="eastAsia" w:ascii="仿宋" w:hAnsi="仿宋" w:eastAsia="仿宋" w:cs="仿宋"/>
          <w:b w:val="0"/>
          <w:bCs w:val="0"/>
          <w:color w:val="auto"/>
          <w:sz w:val="32"/>
          <w:szCs w:val="32"/>
          <w:lang w:val="en-US" w:eastAsia="zh-CN"/>
        </w:rPr>
        <w:t>各自</w:t>
      </w:r>
      <w:r>
        <w:rPr>
          <w:rFonts w:hint="default" w:ascii="仿宋" w:hAnsi="仿宋" w:eastAsia="仿宋" w:cs="仿宋"/>
          <w:b w:val="0"/>
          <w:bCs w:val="0"/>
          <w:color w:val="auto"/>
          <w:sz w:val="32"/>
          <w:szCs w:val="32"/>
          <w:lang w:eastAsia="zh-CN"/>
        </w:rPr>
        <w:t>承担</w:t>
      </w:r>
      <w:r>
        <w:rPr>
          <w:rFonts w:hint="eastAsia" w:ascii="仿宋" w:hAnsi="仿宋" w:eastAsia="仿宋" w:cs="仿宋"/>
          <w:b w:val="0"/>
          <w:bCs w:val="0"/>
          <w:color w:val="auto"/>
          <w:sz w:val="32"/>
          <w:szCs w:val="32"/>
          <w:lang w:eastAsia="zh-CN"/>
        </w:rPr>
        <w:t>。</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特此委托</w:t>
      </w:r>
    </w:p>
    <w:p>
      <w:pPr>
        <w:ind w:firstLine="640" w:firstLineChars="200"/>
        <w:rPr>
          <w:rFonts w:hint="eastAsia" w:ascii="仿宋" w:hAnsi="仿宋" w:eastAsia="仿宋" w:cs="仿宋"/>
          <w:b w:val="0"/>
          <w:bCs w:val="0"/>
          <w:sz w:val="32"/>
          <w:szCs w:val="32"/>
          <w:lang w:val="en-US" w:eastAsia="zh-CN"/>
        </w:rPr>
      </w:pP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委托人（公章）：</w:t>
      </w:r>
    </w:p>
    <w:p>
      <w:pPr>
        <w:ind w:firstLine="640" w:firstLineChars="200"/>
        <w:rPr>
          <w:rFonts w:hint="eastAsia" w:ascii="仿宋" w:hAnsi="仿宋" w:eastAsia="仿宋" w:cs="仿宋"/>
          <w:sz w:val="32"/>
          <w:szCs w:val="32"/>
          <w:lang w:eastAsia="zh-CN"/>
        </w:rPr>
      </w:pPr>
      <w:r>
        <w:rPr>
          <w:rFonts w:hint="eastAsia" w:ascii="仿宋" w:hAnsi="仿宋" w:eastAsia="仿宋" w:cs="仿宋"/>
          <w:b w:val="0"/>
          <w:bCs w:val="0"/>
          <w:sz w:val="32"/>
          <w:szCs w:val="32"/>
          <w:lang w:val="en-US" w:eastAsia="zh-CN"/>
        </w:rPr>
        <w:t xml:space="preserve">                 委托时间：   年   月   日</w:t>
      </w:r>
    </w:p>
    <w:p>
      <w:pPr>
        <w:pStyle w:val="4"/>
        <w:ind w:left="0"/>
        <w:rPr>
          <w:rFonts w:hint="eastAsia"/>
          <w:sz w:val="28"/>
          <w:szCs w:val="28"/>
          <w:lang w:eastAsia="zh-CN"/>
        </w:rPr>
        <w:sectPr>
          <w:headerReference r:id="rId7" w:type="default"/>
          <w:footerReference r:id="rId8" w:type="default"/>
          <w:pgSz w:w="11906" w:h="16838"/>
          <w:pgMar w:top="1440" w:right="1349" w:bottom="1440" w:left="1349" w:header="851" w:footer="992" w:gutter="0"/>
          <w:cols w:space="720" w:num="1"/>
          <w:docGrid w:type="lines" w:linePitch="312" w:charSpace="0"/>
        </w:sectPr>
      </w:pPr>
    </w:p>
    <w:p>
      <w:pPr>
        <w:pStyle w:val="4"/>
        <w:ind w:left="0"/>
        <w:rPr>
          <w:sz w:val="28"/>
          <w:szCs w:val="28"/>
          <w:lang w:eastAsia="zh-CN"/>
        </w:rPr>
      </w:pPr>
      <w:r>
        <w:rPr>
          <w:rFonts w:hint="eastAsia"/>
          <w:sz w:val="28"/>
          <w:szCs w:val="28"/>
          <w:lang w:eastAsia="zh-CN"/>
        </w:rPr>
        <w:t>附录</w:t>
      </w:r>
      <w:r>
        <w:rPr>
          <w:rFonts w:hint="eastAsia"/>
          <w:sz w:val="28"/>
          <w:szCs w:val="28"/>
          <w:lang w:val="en-US" w:eastAsia="zh-CN"/>
        </w:rPr>
        <w:t>2</w:t>
      </w:r>
      <w:r>
        <w:rPr>
          <w:rFonts w:hint="eastAsia"/>
          <w:sz w:val="28"/>
          <w:szCs w:val="28"/>
          <w:lang w:eastAsia="zh-CN"/>
        </w:rPr>
        <w:t>：</w:t>
      </w:r>
    </w:p>
    <w:p>
      <w:pPr>
        <w:pStyle w:val="4"/>
        <w:ind w:left="0"/>
        <w:jc w:val="center"/>
        <w:rPr>
          <w:rFonts w:ascii="Times New Roman" w:hAnsi="Times New Roman" w:eastAsia="方正小标宋_GBK" w:cs="Times New Roman"/>
          <w:kern w:val="2"/>
          <w:sz w:val="44"/>
          <w:szCs w:val="44"/>
          <w:lang w:eastAsia="zh-CN"/>
        </w:rPr>
      </w:pPr>
      <w:r>
        <w:rPr>
          <w:rFonts w:hint="eastAsia" w:ascii="黑体" w:hAnsi="黑体" w:eastAsia="黑体" w:cs="黑体"/>
          <w:kern w:val="2"/>
          <w:sz w:val="28"/>
          <w:szCs w:val="28"/>
          <w:lang w:eastAsia="zh-CN"/>
        </w:rPr>
        <w:t>投资合作人遴选评价标准</w:t>
      </w:r>
    </w:p>
    <w:tbl>
      <w:tblPr>
        <w:tblStyle w:val="8"/>
        <w:tblW w:w="0" w:type="auto"/>
        <w:tblInd w:w="188" w:type="dxa"/>
        <w:tblLayout w:type="autofit"/>
        <w:tblCellMar>
          <w:top w:w="0" w:type="dxa"/>
          <w:left w:w="108" w:type="dxa"/>
          <w:bottom w:w="0" w:type="dxa"/>
          <w:right w:w="108" w:type="dxa"/>
        </w:tblCellMar>
      </w:tblPr>
      <w:tblGrid>
        <w:gridCol w:w="773"/>
        <w:gridCol w:w="1416"/>
        <w:gridCol w:w="7047"/>
      </w:tblGrid>
      <w:tr>
        <w:tblPrEx>
          <w:tblCellMar>
            <w:top w:w="0" w:type="dxa"/>
            <w:left w:w="108" w:type="dxa"/>
            <w:bottom w:w="0" w:type="dxa"/>
            <w:right w:w="108" w:type="dxa"/>
          </w:tblCellMar>
        </w:tblPrEx>
        <w:trPr>
          <w:trHeight w:val="399" w:hRule="atLeast"/>
          <w:tblHeader/>
        </w:trPr>
        <w:tc>
          <w:tcPr>
            <w:tcW w:w="2189"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napToGrid w:val="0"/>
              <w:jc w:val="center"/>
              <w:rPr>
                <w:rFonts w:ascii="宋体" w:hAnsi="宋体" w:cs="宋体"/>
                <w:szCs w:val="21"/>
              </w:rPr>
            </w:pPr>
            <w:r>
              <w:rPr>
                <w:rFonts w:hint="eastAsia" w:ascii="宋体" w:hAnsi="宋体" w:cs="宋体"/>
                <w:szCs w:val="21"/>
              </w:rPr>
              <w:t>评价因素</w:t>
            </w:r>
          </w:p>
        </w:tc>
        <w:tc>
          <w:tcPr>
            <w:tcW w:w="7047"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napToGrid w:val="0"/>
              <w:jc w:val="center"/>
              <w:rPr>
                <w:rFonts w:ascii="宋体" w:hAnsi="宋体" w:cs="宋体"/>
                <w:szCs w:val="21"/>
              </w:rPr>
            </w:pPr>
            <w:r>
              <w:rPr>
                <w:rFonts w:hint="eastAsia" w:ascii="宋体" w:hAnsi="宋体" w:cs="宋体"/>
                <w:szCs w:val="21"/>
              </w:rPr>
              <w:t>评价标准</w:t>
            </w:r>
          </w:p>
        </w:tc>
      </w:tr>
      <w:tr>
        <w:tblPrEx>
          <w:tblCellMar>
            <w:top w:w="0" w:type="dxa"/>
            <w:left w:w="108" w:type="dxa"/>
            <w:bottom w:w="0" w:type="dxa"/>
            <w:right w:w="108" w:type="dxa"/>
          </w:tblCellMar>
        </w:tblPrEx>
        <w:trPr>
          <w:trHeight w:val="842" w:hRule="atLeast"/>
        </w:trPr>
        <w:tc>
          <w:tcPr>
            <w:tcW w:w="0" w:type="auto"/>
            <w:vMerge w:val="restart"/>
            <w:tcBorders>
              <w:top w:val="single" w:color="000000" w:sz="4" w:space="0"/>
              <w:left w:val="single" w:color="000000" w:sz="4" w:space="0"/>
              <w:right w:val="single" w:color="000000" w:sz="4" w:space="0"/>
            </w:tcBorders>
            <w:vAlign w:val="center"/>
          </w:tcPr>
          <w:p>
            <w:pPr>
              <w:widowControl/>
              <w:shd w:val="clear" w:color="auto" w:fill="FFFFFF"/>
              <w:snapToGrid w:val="0"/>
              <w:jc w:val="center"/>
              <w:rPr>
                <w:rFonts w:ascii="宋体" w:hAnsi="宋体" w:cs="宋体"/>
                <w:szCs w:val="21"/>
              </w:rPr>
            </w:pPr>
            <w:r>
              <w:rPr>
                <w:rFonts w:hint="eastAsia" w:ascii="宋体" w:hAnsi="宋体" w:cs="宋体"/>
                <w:szCs w:val="21"/>
              </w:rPr>
              <w:t>1 财务能力</w:t>
            </w:r>
          </w:p>
          <w:p>
            <w:pPr>
              <w:widowControl/>
              <w:shd w:val="clear" w:color="auto" w:fill="FFFFFF"/>
              <w:snapToGrid w:val="0"/>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100</w:t>
            </w:r>
            <w:r>
              <w:rPr>
                <w:rFonts w:hint="eastAsia" w:ascii="宋体" w:hAnsi="宋体" w:cs="宋体"/>
                <w:szCs w:val="21"/>
              </w:rPr>
              <w:t>分）</w:t>
            </w:r>
          </w:p>
        </w:tc>
        <w:tc>
          <w:tcPr>
            <w:tcW w:w="1416"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hint="eastAsia" w:ascii="宋体" w:hAnsi="宋体" w:eastAsia="宋体" w:cs="宋体"/>
                <w:szCs w:val="21"/>
              </w:rPr>
            </w:pPr>
            <w:r>
              <w:rPr>
                <w:rFonts w:hint="eastAsia" w:ascii="宋体" w:hAnsi="宋体" w:eastAsia="宋体" w:cs="宋体"/>
                <w:szCs w:val="21"/>
              </w:rPr>
              <w:t>1.1总资产</w:t>
            </w:r>
          </w:p>
          <w:p>
            <w:pPr>
              <w:widowControl/>
              <w:shd w:val="clear" w:color="auto" w:fill="FFFFFF"/>
              <w:snapToGrid w:val="0"/>
              <w:jc w:val="left"/>
              <w:rPr>
                <w:rFonts w:hint="eastAsia" w:ascii="宋体" w:hAnsi="宋体" w:eastAsia="宋体" w:cs="宋体"/>
                <w:szCs w:val="21"/>
              </w:rPr>
            </w:pPr>
            <w:r>
              <w:rPr>
                <w:rFonts w:hint="eastAsia" w:ascii="宋体" w:hAnsi="宋体" w:eastAsia="宋体" w:cs="宋体"/>
                <w:szCs w:val="21"/>
              </w:rPr>
              <w:t>（</w:t>
            </w:r>
            <w:r>
              <w:rPr>
                <w:rFonts w:hint="eastAsia" w:ascii="宋体" w:hAnsi="宋体" w:cs="宋体"/>
                <w:szCs w:val="21"/>
                <w:lang w:val="en-US" w:eastAsia="zh-CN"/>
              </w:rPr>
              <w:t>25</w:t>
            </w:r>
            <w:r>
              <w:rPr>
                <w:rFonts w:hint="eastAsia" w:ascii="宋体" w:hAnsi="宋体" w:eastAsia="宋体" w:cs="宋体"/>
                <w:szCs w:val="21"/>
              </w:rPr>
              <w:t>分）</w:t>
            </w:r>
          </w:p>
        </w:tc>
        <w:tc>
          <w:tcPr>
            <w:tcW w:w="7047" w:type="dxa"/>
            <w:tcBorders>
              <w:top w:val="single" w:color="000000" w:sz="4" w:space="0"/>
              <w:left w:val="nil"/>
              <w:bottom w:val="single" w:color="000000" w:sz="4" w:space="0"/>
              <w:right w:val="single" w:color="000000" w:sz="4" w:space="0"/>
            </w:tcBorders>
            <w:vAlign w:val="center"/>
          </w:tcPr>
          <w:p>
            <w:pPr>
              <w:widowControl/>
              <w:numPr>
                <w:ilvl w:val="0"/>
                <w:numId w:val="0"/>
              </w:numPr>
              <w:shd w:val="clear" w:color="auto" w:fill="FFFFFF"/>
              <w:snapToGrid w:val="0"/>
              <w:ind w:left="0" w:leftChars="0" w:firstLine="0" w:firstLineChars="0"/>
              <w:jc w:val="left"/>
              <w:rPr>
                <w:rFonts w:hint="eastAsia" w:ascii="宋体" w:hAnsi="宋体" w:eastAsia="宋体" w:cs="宋体"/>
                <w:szCs w:val="21"/>
                <w:lang w:val="en-US"/>
              </w:rPr>
            </w:pPr>
            <w:r>
              <w:rPr>
                <w:rFonts w:hint="eastAsia" w:ascii="宋体" w:hAnsi="宋体" w:eastAsia="宋体" w:cs="宋体"/>
                <w:szCs w:val="21"/>
                <w:lang w:eastAsia="zh-CN"/>
              </w:rPr>
              <w:t>2021年末总资产达512亿元×持股比例的，得</w:t>
            </w:r>
            <w:r>
              <w:rPr>
                <w:rFonts w:hint="eastAsia" w:ascii="宋体" w:hAnsi="宋体" w:cs="宋体"/>
                <w:szCs w:val="21"/>
                <w:lang w:val="en-US" w:eastAsia="zh-CN"/>
              </w:rPr>
              <w:t>25</w:t>
            </w:r>
            <w:r>
              <w:rPr>
                <w:rFonts w:hint="eastAsia" w:ascii="宋体" w:hAnsi="宋体" w:eastAsia="宋体" w:cs="宋体"/>
                <w:szCs w:val="21"/>
                <w:lang w:eastAsia="zh-CN"/>
              </w:rPr>
              <w:t>分。不足的得0分。</w:t>
            </w:r>
          </w:p>
        </w:tc>
      </w:tr>
      <w:tr>
        <w:tblPrEx>
          <w:tblCellMar>
            <w:top w:w="0" w:type="dxa"/>
            <w:left w:w="108" w:type="dxa"/>
            <w:bottom w:w="0" w:type="dxa"/>
            <w:right w:w="108" w:type="dxa"/>
          </w:tblCellMar>
        </w:tblPrEx>
        <w:trPr>
          <w:trHeight w:val="710" w:hRule="atLeast"/>
        </w:trPr>
        <w:tc>
          <w:tcPr>
            <w:tcW w:w="0" w:type="auto"/>
            <w:vMerge w:val="continue"/>
            <w:tcBorders>
              <w:left w:val="single" w:color="000000" w:sz="4" w:space="0"/>
              <w:right w:val="single" w:color="000000" w:sz="4" w:space="0"/>
            </w:tcBorders>
            <w:vAlign w:val="center"/>
          </w:tcPr>
          <w:p>
            <w:pPr>
              <w:widowControl/>
              <w:shd w:val="clear" w:color="auto" w:fill="FFFFFF"/>
              <w:snapToGrid w:val="0"/>
              <w:ind w:firstLine="420" w:firstLineChars="200"/>
              <w:jc w:val="center"/>
              <w:rPr>
                <w:rFonts w:ascii="宋体" w:hAnsi="宋体" w:cs="宋体"/>
                <w:szCs w:val="21"/>
              </w:rPr>
            </w:pPr>
          </w:p>
        </w:tc>
        <w:tc>
          <w:tcPr>
            <w:tcW w:w="1416"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hint="eastAsia" w:ascii="宋体" w:hAnsi="宋体" w:eastAsia="宋体" w:cs="宋体"/>
                <w:szCs w:val="21"/>
              </w:rPr>
            </w:pPr>
            <w:r>
              <w:rPr>
                <w:rFonts w:hint="eastAsia" w:ascii="宋体" w:hAnsi="宋体" w:eastAsia="宋体" w:cs="宋体"/>
                <w:szCs w:val="21"/>
              </w:rPr>
              <w:t>1.2净资产</w:t>
            </w:r>
          </w:p>
          <w:p>
            <w:pPr>
              <w:widowControl/>
              <w:shd w:val="clear" w:color="auto" w:fill="FFFFFF"/>
              <w:snapToGrid w:val="0"/>
              <w:jc w:val="left"/>
              <w:rPr>
                <w:rFonts w:hint="eastAsia" w:ascii="宋体" w:hAnsi="宋体" w:eastAsia="宋体" w:cs="宋体"/>
                <w:szCs w:val="21"/>
              </w:rPr>
            </w:pPr>
            <w:r>
              <w:rPr>
                <w:rFonts w:hint="eastAsia" w:ascii="宋体" w:hAnsi="宋体" w:eastAsia="宋体" w:cs="宋体"/>
                <w:szCs w:val="21"/>
              </w:rPr>
              <w:t>（</w:t>
            </w:r>
            <w:r>
              <w:rPr>
                <w:rFonts w:hint="eastAsia" w:ascii="宋体" w:hAnsi="宋体" w:cs="宋体"/>
                <w:szCs w:val="21"/>
                <w:lang w:val="en-US" w:eastAsia="zh-CN"/>
              </w:rPr>
              <w:t>25</w:t>
            </w:r>
            <w:r>
              <w:rPr>
                <w:rFonts w:hint="eastAsia" w:ascii="宋体" w:hAnsi="宋体" w:eastAsia="宋体" w:cs="宋体"/>
                <w:szCs w:val="21"/>
              </w:rPr>
              <w:t>分）</w:t>
            </w:r>
          </w:p>
        </w:tc>
        <w:tc>
          <w:tcPr>
            <w:tcW w:w="7047"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hint="eastAsia" w:ascii="宋体" w:hAnsi="宋体" w:eastAsia="宋体" w:cs="宋体"/>
              </w:rPr>
            </w:pPr>
            <w:r>
              <w:rPr>
                <w:rFonts w:hint="eastAsia" w:ascii="宋体" w:hAnsi="宋体" w:eastAsia="宋体" w:cs="宋体"/>
              </w:rPr>
              <w:t>2021 年末净资产达 179 亿元×</w:t>
            </w:r>
            <w:r>
              <w:rPr>
                <w:rFonts w:hint="eastAsia" w:ascii="宋体" w:hAnsi="宋体" w:eastAsia="宋体" w:cs="宋体"/>
                <w:lang w:val="en-US" w:eastAsia="zh-CN"/>
              </w:rPr>
              <w:t>持股比例</w:t>
            </w:r>
            <w:r>
              <w:rPr>
                <w:rFonts w:hint="eastAsia" w:ascii="宋体" w:hAnsi="宋体" w:eastAsia="宋体" w:cs="宋体"/>
              </w:rPr>
              <w:t>的，得</w:t>
            </w:r>
            <w:r>
              <w:rPr>
                <w:rFonts w:hint="eastAsia" w:ascii="宋体" w:hAnsi="宋体" w:cs="宋体"/>
                <w:lang w:val="en-US" w:eastAsia="zh-CN"/>
              </w:rPr>
              <w:t>25</w:t>
            </w:r>
            <w:r>
              <w:rPr>
                <w:rFonts w:hint="eastAsia" w:ascii="宋体" w:hAnsi="宋体" w:eastAsia="宋体" w:cs="宋体"/>
              </w:rPr>
              <w:t>分</w:t>
            </w:r>
            <w:r>
              <w:rPr>
                <w:rFonts w:hint="eastAsia" w:ascii="宋体" w:hAnsi="宋体" w:eastAsia="宋体" w:cs="宋体"/>
                <w:lang w:eastAsia="zh-CN"/>
              </w:rPr>
              <w:t>。</w:t>
            </w:r>
            <w:r>
              <w:rPr>
                <w:rFonts w:hint="eastAsia" w:ascii="宋体" w:hAnsi="宋体" w:eastAsia="宋体" w:cs="宋体"/>
                <w:szCs w:val="21"/>
                <w:lang w:val="en-US" w:eastAsia="zh-CN"/>
              </w:rPr>
              <w:t>不足的得0分。</w:t>
            </w:r>
          </w:p>
        </w:tc>
      </w:tr>
      <w:tr>
        <w:tblPrEx>
          <w:tblCellMar>
            <w:top w:w="0" w:type="dxa"/>
            <w:left w:w="108" w:type="dxa"/>
            <w:bottom w:w="0" w:type="dxa"/>
            <w:right w:w="108" w:type="dxa"/>
          </w:tblCellMar>
        </w:tblPrEx>
        <w:trPr>
          <w:trHeight w:val="989" w:hRule="atLeast"/>
        </w:trPr>
        <w:tc>
          <w:tcPr>
            <w:tcW w:w="0" w:type="auto"/>
            <w:vMerge w:val="continue"/>
            <w:tcBorders>
              <w:left w:val="single" w:color="000000" w:sz="4" w:space="0"/>
              <w:right w:val="single" w:color="000000" w:sz="4" w:space="0"/>
            </w:tcBorders>
            <w:vAlign w:val="center"/>
          </w:tcPr>
          <w:p>
            <w:pPr>
              <w:widowControl/>
              <w:shd w:val="clear" w:color="auto" w:fill="FFFFFF"/>
              <w:snapToGrid w:val="0"/>
              <w:ind w:firstLine="420" w:firstLineChars="200"/>
              <w:jc w:val="center"/>
              <w:rPr>
                <w:rFonts w:ascii="宋体" w:hAnsi="宋体" w:cs="宋体"/>
                <w:szCs w:val="21"/>
              </w:rPr>
            </w:pPr>
          </w:p>
        </w:tc>
        <w:tc>
          <w:tcPr>
            <w:tcW w:w="1416"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hint="eastAsia" w:ascii="宋体" w:hAnsi="宋体" w:eastAsia="宋体" w:cs="宋体"/>
                <w:szCs w:val="21"/>
              </w:rPr>
            </w:pPr>
            <w:r>
              <w:rPr>
                <w:rFonts w:hint="eastAsia" w:ascii="宋体" w:hAnsi="宋体" w:eastAsia="宋体" w:cs="宋体"/>
                <w:szCs w:val="21"/>
              </w:rPr>
              <w:t>1.3负债率</w:t>
            </w:r>
          </w:p>
          <w:p>
            <w:pPr>
              <w:widowControl/>
              <w:shd w:val="clear" w:color="auto" w:fill="FFFFFF"/>
              <w:snapToGrid w:val="0"/>
              <w:jc w:val="left"/>
              <w:rPr>
                <w:rFonts w:hint="eastAsia" w:ascii="宋体" w:hAnsi="宋体" w:eastAsia="宋体" w:cs="宋体"/>
                <w:szCs w:val="21"/>
              </w:rPr>
            </w:pPr>
            <w:r>
              <w:rPr>
                <w:rFonts w:hint="eastAsia" w:ascii="宋体" w:hAnsi="宋体" w:eastAsia="宋体" w:cs="宋体"/>
                <w:szCs w:val="21"/>
              </w:rPr>
              <w:t>（</w:t>
            </w:r>
            <w:r>
              <w:rPr>
                <w:rFonts w:hint="eastAsia" w:ascii="宋体" w:hAnsi="宋体" w:cs="宋体"/>
                <w:szCs w:val="21"/>
                <w:lang w:val="en-US" w:eastAsia="zh-CN"/>
              </w:rPr>
              <w:t>25</w:t>
            </w:r>
            <w:r>
              <w:rPr>
                <w:rFonts w:hint="eastAsia" w:ascii="宋体" w:hAnsi="宋体" w:eastAsia="宋体" w:cs="宋体"/>
                <w:szCs w:val="21"/>
              </w:rPr>
              <w:t>分）</w:t>
            </w:r>
          </w:p>
        </w:tc>
        <w:tc>
          <w:tcPr>
            <w:tcW w:w="7047"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hint="default" w:ascii="宋体" w:hAnsi="宋体" w:eastAsia="宋体" w:cs="宋体"/>
                <w:szCs w:val="21"/>
                <w:lang w:val="en-US"/>
              </w:rPr>
            </w:pPr>
            <w:r>
              <w:rPr>
                <w:rFonts w:hint="eastAsia" w:ascii="宋体" w:hAnsi="宋体" w:cs="宋体"/>
                <w:szCs w:val="21"/>
                <w:lang w:val="en-US" w:eastAsia="zh-CN"/>
              </w:rPr>
              <w:t>2021</w:t>
            </w:r>
            <w:r>
              <w:rPr>
                <w:rFonts w:hint="eastAsia" w:ascii="宋体" w:hAnsi="宋体" w:eastAsia="宋体" w:cs="宋体"/>
                <w:szCs w:val="21"/>
              </w:rPr>
              <w:t>年末资产负债率不大于90%，得</w:t>
            </w:r>
            <w:r>
              <w:rPr>
                <w:rFonts w:hint="eastAsia" w:ascii="宋体" w:hAnsi="宋体" w:cs="宋体"/>
                <w:szCs w:val="21"/>
                <w:lang w:val="en-US" w:eastAsia="zh-CN"/>
              </w:rPr>
              <w:t>25</w:t>
            </w:r>
            <w:r>
              <w:rPr>
                <w:rFonts w:hint="eastAsia" w:ascii="宋体" w:hAnsi="宋体" w:eastAsia="宋体" w:cs="宋体"/>
                <w:szCs w:val="21"/>
              </w:rPr>
              <w:t>分。</w:t>
            </w:r>
            <w:r>
              <w:rPr>
                <w:rFonts w:hint="eastAsia" w:ascii="宋体" w:hAnsi="宋体" w:cs="宋体"/>
                <w:szCs w:val="21"/>
                <w:lang w:val="en-US" w:eastAsia="zh-CN"/>
              </w:rPr>
              <w:t>高于90%</w:t>
            </w:r>
            <w:r>
              <w:rPr>
                <w:rFonts w:hint="eastAsia" w:ascii="宋体" w:hAnsi="宋体" w:eastAsia="宋体" w:cs="宋体"/>
                <w:szCs w:val="21"/>
                <w:lang w:val="en-US" w:eastAsia="zh-CN"/>
              </w:rPr>
              <w:t>的得0分。</w:t>
            </w:r>
          </w:p>
        </w:tc>
      </w:tr>
      <w:tr>
        <w:tblPrEx>
          <w:tblCellMar>
            <w:top w:w="0" w:type="dxa"/>
            <w:left w:w="108" w:type="dxa"/>
            <w:bottom w:w="0" w:type="dxa"/>
            <w:right w:w="108" w:type="dxa"/>
          </w:tblCellMar>
        </w:tblPrEx>
        <w:trPr>
          <w:trHeight w:val="1050" w:hRule="atLeast"/>
        </w:trPr>
        <w:tc>
          <w:tcPr>
            <w:tcW w:w="0" w:type="auto"/>
            <w:vMerge w:val="continue"/>
            <w:tcBorders>
              <w:left w:val="single" w:color="000000" w:sz="4" w:space="0"/>
              <w:bottom w:val="single" w:color="000000" w:sz="4" w:space="0"/>
              <w:right w:val="single" w:color="000000" w:sz="4" w:space="0"/>
            </w:tcBorders>
            <w:vAlign w:val="center"/>
          </w:tcPr>
          <w:p>
            <w:pPr>
              <w:widowControl/>
              <w:shd w:val="clear" w:color="auto" w:fill="FFFFFF"/>
              <w:snapToGrid w:val="0"/>
              <w:ind w:firstLine="420" w:firstLineChars="200"/>
              <w:jc w:val="center"/>
              <w:rPr>
                <w:rFonts w:ascii="宋体" w:hAnsi="宋体" w:cs="宋体"/>
                <w:szCs w:val="21"/>
              </w:rPr>
            </w:pPr>
          </w:p>
        </w:tc>
        <w:tc>
          <w:tcPr>
            <w:tcW w:w="1416"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hint="eastAsia" w:ascii="宋体" w:hAnsi="宋体" w:eastAsia="宋体" w:cs="宋体"/>
                <w:szCs w:val="21"/>
              </w:rPr>
            </w:pPr>
            <w:r>
              <w:rPr>
                <w:rFonts w:hint="eastAsia" w:ascii="宋体" w:hAnsi="宋体" w:eastAsia="宋体" w:cs="宋体"/>
                <w:szCs w:val="21"/>
                <w:lang w:val="en-US" w:eastAsia="zh-CN"/>
              </w:rPr>
              <w:t xml:space="preserve">1.4货币资金 </w:t>
            </w:r>
          </w:p>
          <w:p>
            <w:pPr>
              <w:widowControl/>
              <w:shd w:val="clear" w:color="auto" w:fill="FFFFFF"/>
              <w:snapToGrid w:val="0"/>
              <w:jc w:val="left"/>
              <w:rPr>
                <w:rFonts w:hint="eastAsia" w:ascii="宋体" w:hAnsi="宋体" w:eastAsia="宋体" w:cs="宋体"/>
                <w:szCs w:val="21"/>
              </w:rPr>
            </w:pPr>
            <w:r>
              <w:rPr>
                <w:rFonts w:hint="eastAsia" w:ascii="宋体" w:hAnsi="宋体" w:eastAsia="宋体" w:cs="宋体"/>
                <w:szCs w:val="21"/>
              </w:rPr>
              <w:t>（</w:t>
            </w:r>
            <w:r>
              <w:rPr>
                <w:rFonts w:hint="eastAsia" w:ascii="宋体" w:hAnsi="宋体" w:cs="宋体"/>
                <w:szCs w:val="21"/>
                <w:lang w:val="en-US" w:eastAsia="zh-CN"/>
              </w:rPr>
              <w:t>25</w:t>
            </w:r>
            <w:r>
              <w:rPr>
                <w:rFonts w:hint="eastAsia" w:ascii="宋体" w:hAnsi="宋体" w:eastAsia="宋体" w:cs="宋体"/>
                <w:szCs w:val="21"/>
              </w:rPr>
              <w:t>分）</w:t>
            </w:r>
          </w:p>
        </w:tc>
        <w:tc>
          <w:tcPr>
            <w:tcW w:w="7047"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hint="eastAsia" w:ascii="宋体" w:hAnsi="宋体" w:eastAsia="宋体" w:cs="宋体"/>
                <w:szCs w:val="21"/>
              </w:rPr>
            </w:pPr>
            <w:r>
              <w:rPr>
                <w:rFonts w:hint="eastAsia" w:ascii="宋体" w:hAnsi="宋体" w:eastAsia="宋体" w:cs="宋体"/>
                <w:szCs w:val="21"/>
                <w:lang w:val="en-US" w:eastAsia="zh-CN"/>
              </w:rPr>
              <w:t>2021 年末货币资金达25亿元×持股比例的</w:t>
            </w:r>
            <w:r>
              <w:rPr>
                <w:rFonts w:hint="eastAsia" w:ascii="宋体" w:hAnsi="宋体" w:eastAsia="宋体" w:cs="宋体"/>
                <w:szCs w:val="21"/>
              </w:rPr>
              <w:t>，得</w:t>
            </w:r>
            <w:r>
              <w:rPr>
                <w:rFonts w:hint="eastAsia" w:ascii="宋体" w:hAnsi="宋体" w:cs="宋体"/>
                <w:szCs w:val="21"/>
                <w:lang w:val="en-US" w:eastAsia="zh-CN"/>
              </w:rPr>
              <w:t>25</w:t>
            </w:r>
            <w:r>
              <w:rPr>
                <w:rFonts w:hint="eastAsia" w:ascii="宋体" w:hAnsi="宋体" w:eastAsia="宋体" w:cs="宋体"/>
                <w:szCs w:val="21"/>
              </w:rPr>
              <w:t>分。</w:t>
            </w:r>
            <w:r>
              <w:rPr>
                <w:rFonts w:hint="eastAsia" w:ascii="宋体" w:hAnsi="宋体" w:eastAsia="宋体" w:cs="宋体"/>
                <w:szCs w:val="21"/>
                <w:lang w:val="en-US" w:eastAsia="zh-CN"/>
              </w:rPr>
              <w:t>不足的得0分。</w:t>
            </w:r>
          </w:p>
        </w:tc>
      </w:tr>
      <w:tr>
        <w:tblPrEx>
          <w:tblCellMar>
            <w:top w:w="0" w:type="dxa"/>
            <w:left w:w="108" w:type="dxa"/>
            <w:bottom w:w="0" w:type="dxa"/>
            <w:right w:w="108" w:type="dxa"/>
          </w:tblCellMar>
        </w:tblPrEx>
        <w:trPr>
          <w:trHeight w:val="2337" w:hRule="atLeast"/>
        </w:trPr>
        <w:tc>
          <w:tcPr>
            <w:tcW w:w="0" w:type="auto"/>
            <w:tcBorders>
              <w:top w:val="single" w:color="000000" w:sz="4" w:space="0"/>
              <w:left w:val="single" w:color="000000" w:sz="4" w:space="0"/>
              <w:bottom w:val="single" w:color="auto" w:sz="4" w:space="0"/>
              <w:right w:val="single" w:color="000000" w:sz="4" w:space="0"/>
            </w:tcBorders>
            <w:vAlign w:val="center"/>
          </w:tcPr>
          <w:p>
            <w:pPr>
              <w:pStyle w:val="12"/>
              <w:snapToGrid w:val="0"/>
              <w:jc w:val="center"/>
              <w:rPr>
                <w:rFonts w:hint="default"/>
                <w:kern w:val="2"/>
                <w:sz w:val="21"/>
                <w:szCs w:val="21"/>
                <w:lang w:val="en-US" w:eastAsia="zh-CN"/>
              </w:rPr>
            </w:pPr>
            <w:r>
              <w:rPr>
                <w:rFonts w:hint="eastAsia"/>
                <w:kern w:val="2"/>
                <w:sz w:val="21"/>
                <w:szCs w:val="21"/>
                <w:lang w:eastAsia="zh-CN"/>
              </w:rPr>
              <w:t xml:space="preserve">2 </w:t>
            </w:r>
            <w:r>
              <w:rPr>
                <w:rFonts w:hint="eastAsia"/>
                <w:kern w:val="2"/>
                <w:sz w:val="21"/>
                <w:szCs w:val="21"/>
                <w:lang w:val="en-US" w:eastAsia="zh-CN"/>
              </w:rPr>
              <w:t>其他要求</w:t>
            </w:r>
          </w:p>
        </w:tc>
        <w:tc>
          <w:tcPr>
            <w:tcW w:w="1416"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hint="default" w:ascii="宋体" w:hAnsi="宋体" w:eastAsia="宋体" w:cs="宋体"/>
                <w:kern w:val="2"/>
                <w:sz w:val="21"/>
                <w:szCs w:val="21"/>
                <w:lang w:val="en-US" w:eastAsia="zh-CN" w:bidi="ar-SA"/>
              </w:rPr>
            </w:pPr>
            <w:r>
              <w:rPr>
                <w:rFonts w:hint="eastAsia" w:ascii="宋体" w:hAnsi="宋体" w:cs="宋体"/>
                <w:szCs w:val="21"/>
              </w:rPr>
              <w:t>2.</w:t>
            </w:r>
            <w:r>
              <w:rPr>
                <w:rFonts w:hint="eastAsia" w:ascii="宋体" w:hAnsi="宋体" w:cs="宋体"/>
                <w:szCs w:val="21"/>
                <w:lang w:val="en-US" w:eastAsia="zh-CN"/>
              </w:rPr>
              <w:t>1</w:t>
            </w:r>
            <w:r>
              <w:rPr>
                <w:rFonts w:hint="eastAsia" w:ascii="宋体" w:hAnsi="宋体" w:cs="宋体"/>
                <w:szCs w:val="21"/>
              </w:rPr>
              <w:t xml:space="preserve"> </w:t>
            </w:r>
            <w:r>
              <w:rPr>
                <w:rFonts w:hint="eastAsia" w:ascii="宋体" w:hAnsi="宋体" w:cs="宋体"/>
                <w:szCs w:val="21"/>
                <w:lang w:val="en-US" w:eastAsia="zh-CN"/>
              </w:rPr>
              <w:t>施工业绩</w:t>
            </w:r>
          </w:p>
        </w:tc>
        <w:tc>
          <w:tcPr>
            <w:tcW w:w="7047"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hint="eastAsia" w:ascii="宋体" w:hAnsi="宋体" w:eastAsia="宋体" w:cs="宋体"/>
              </w:rPr>
            </w:pPr>
            <w:r>
              <w:rPr>
                <w:rFonts w:hint="eastAsia" w:ascii="宋体" w:hAnsi="宋体" w:eastAsia="宋体" w:cs="宋体"/>
              </w:rPr>
              <w:t>承担施工任务的单位应具备公路工程总承包一级及以上资质</w:t>
            </w:r>
            <w:r>
              <w:rPr>
                <w:rFonts w:hint="eastAsia" w:ascii="宋体" w:hAnsi="宋体" w:eastAsia="宋体" w:cs="宋体"/>
                <w:lang w:val="en-US" w:eastAsia="zh-CN"/>
              </w:rPr>
              <w:t>,</w:t>
            </w:r>
            <w:r>
              <w:rPr>
                <w:rFonts w:hint="eastAsia" w:ascii="宋体" w:hAnsi="宋体" w:eastAsia="宋体" w:cs="宋体"/>
              </w:rPr>
              <w:t>其中承担单独特殊结构桥梁的应具备桥梁专业承包一级或总承包特级资质</w:t>
            </w:r>
            <w:r>
              <w:rPr>
                <w:rFonts w:hint="eastAsia" w:ascii="宋体" w:hAnsi="宋体" w:eastAsia="宋体" w:cs="宋体"/>
                <w:lang w:val="en-US" w:eastAsia="zh-CN"/>
              </w:rPr>
              <w:t>,</w:t>
            </w:r>
            <w:r>
              <w:rPr>
                <w:rFonts w:hint="eastAsia" w:ascii="宋体" w:hAnsi="宋体" w:eastAsia="宋体" w:cs="宋体"/>
              </w:rPr>
              <w:t>施工合同段内包含主跨不小于 600 米特大桥梁的，其承包人应至少具备 1 座主跨不小于 600 米的类似特大桥梁施工业绩经验；施工合同段内包含单洞长度不小于 5000 米或单向四车道特长隧道的，其承包人应至少具备 1 座单洞长度不小于 3000 米的特长公路隧道的施工业绩经验。</w:t>
            </w:r>
          </w:p>
          <w:p>
            <w:pPr>
              <w:widowControl/>
              <w:numPr>
                <w:ilvl w:val="0"/>
                <w:numId w:val="0"/>
              </w:numPr>
              <w:shd w:val="clear" w:color="auto" w:fill="FFFFFF"/>
              <w:snapToGrid w:val="0"/>
              <w:ind w:left="0" w:leftChars="0" w:firstLine="0" w:firstLineChars="0"/>
              <w:jc w:val="left"/>
              <w:rPr>
                <w:rFonts w:hint="default" w:ascii="Calibri" w:hAnsi="Calibri" w:eastAsia="宋体" w:cs="Times New Roman"/>
                <w:kern w:val="2"/>
                <w:sz w:val="21"/>
                <w:szCs w:val="22"/>
                <w:lang w:val="en-US" w:eastAsia="zh-CN" w:bidi="ar-SA"/>
              </w:rPr>
            </w:pPr>
            <w:r>
              <w:rPr>
                <w:rFonts w:hint="eastAsia" w:ascii="宋体" w:hAnsi="宋体" w:eastAsia="宋体" w:cs="宋体"/>
                <w:lang w:val="en-US" w:eastAsia="zh-CN"/>
              </w:rPr>
              <w:t>投资合作人若无相关施工业绩，则不能施工对应工程段落。</w:t>
            </w:r>
          </w:p>
        </w:tc>
      </w:tr>
    </w:tbl>
    <w:p>
      <w:pPr>
        <w:spacing w:line="560" w:lineRule="exact"/>
        <w:ind w:firstLine="480" w:firstLineChars="150"/>
        <w:jc w:val="center"/>
        <w:rPr>
          <w:rFonts w:ascii="Times New Roman" w:hAnsi="Times New Roman" w:eastAsia="黑体"/>
          <w:sz w:val="28"/>
          <w:szCs w:val="28"/>
        </w:rPr>
      </w:pPr>
      <w:r>
        <w:rPr>
          <w:rFonts w:ascii="Times New Roman" w:hAnsi="Times New Roman" w:eastAsia="方正黑体_GBK" w:cs="Times New Roman"/>
          <w:sz w:val="32"/>
          <w:szCs w:val="32"/>
          <w:lang w:eastAsia="zh-CN"/>
        </w:rPr>
        <w:br w:type="page"/>
      </w:r>
      <w:r>
        <w:rPr>
          <w:rFonts w:ascii="Times New Roman" w:hAnsi="Times New Roman" w:eastAsia="黑体"/>
          <w:sz w:val="28"/>
          <w:szCs w:val="28"/>
        </w:rPr>
        <w:t>第</w:t>
      </w:r>
      <w:r>
        <w:rPr>
          <w:rFonts w:hint="eastAsia" w:ascii="Times New Roman" w:hAnsi="Times New Roman" w:eastAsia="黑体"/>
          <w:sz w:val="28"/>
          <w:szCs w:val="28"/>
        </w:rPr>
        <w:t>三</w:t>
      </w:r>
      <w:r>
        <w:rPr>
          <w:rFonts w:ascii="Times New Roman" w:hAnsi="Times New Roman" w:eastAsia="黑体"/>
          <w:sz w:val="28"/>
          <w:szCs w:val="28"/>
        </w:rPr>
        <w:t>章 遴选</w:t>
      </w:r>
      <w:r>
        <w:rPr>
          <w:rFonts w:hint="eastAsia" w:ascii="Times New Roman" w:hAnsi="Times New Roman" w:eastAsia="黑体"/>
          <w:sz w:val="28"/>
          <w:szCs w:val="28"/>
        </w:rPr>
        <w:t>合作文件格式</w:t>
      </w:r>
    </w:p>
    <w:p>
      <w:pPr>
        <w:pStyle w:val="4"/>
        <w:ind w:left="0"/>
        <w:rPr>
          <w:rFonts w:ascii="Times New Roman" w:hAnsi="Times New Roman" w:cs="Times New Roman"/>
          <w:sz w:val="20"/>
          <w:lang w:eastAsia="zh-CN"/>
        </w:rPr>
      </w:pPr>
    </w:p>
    <w:p>
      <w:pPr>
        <w:pStyle w:val="4"/>
        <w:ind w:left="0"/>
        <w:rPr>
          <w:rFonts w:ascii="Times New Roman" w:hAnsi="Times New Roman" w:cs="Times New Roman"/>
          <w:sz w:val="28"/>
          <w:szCs w:val="28"/>
          <w:lang w:eastAsia="zh-CN"/>
        </w:rPr>
      </w:pPr>
      <w:r>
        <w:rPr>
          <w:rFonts w:hint="eastAsia" w:ascii="Times New Roman" w:hAnsi="Times New Roman" w:cs="Times New Roman"/>
          <w:sz w:val="28"/>
          <w:szCs w:val="28"/>
          <w:lang w:eastAsia="zh-CN"/>
        </w:rPr>
        <w:t>（封面）</w:t>
      </w:r>
    </w:p>
    <w:p>
      <w:pPr>
        <w:spacing w:line="560" w:lineRule="exact"/>
        <w:ind w:firstLine="480" w:firstLineChars="150"/>
        <w:jc w:val="center"/>
        <w:rPr>
          <w:rFonts w:ascii="Times New Roman" w:hAnsi="Times New Roman" w:eastAsia="黑体"/>
          <w:sz w:val="44"/>
          <w:szCs w:val="44"/>
        </w:rPr>
      </w:pPr>
      <w:r>
        <w:rPr>
          <w:rFonts w:hint="eastAsia" w:ascii="Times New Roman" w:hAnsi="Times New Roman" w:eastAsia="黑体"/>
          <w:sz w:val="32"/>
          <w:szCs w:val="32"/>
        </w:rPr>
        <w:t>G85 银昆高速、G93 成渝地区环线高速重庆高新区至荣昌区（川渝界）段改扩建工程+重庆市垫江至丰都至武隆高速公路PPP项目社会资本</w:t>
      </w:r>
    </w:p>
    <w:p>
      <w:pPr>
        <w:spacing w:line="560" w:lineRule="exact"/>
        <w:ind w:firstLine="660" w:firstLineChars="150"/>
        <w:jc w:val="center"/>
        <w:rPr>
          <w:rFonts w:ascii="Times New Roman" w:hAnsi="Times New Roman" w:eastAsia="黑体"/>
          <w:sz w:val="44"/>
          <w:szCs w:val="44"/>
        </w:rPr>
      </w:pPr>
    </w:p>
    <w:p>
      <w:pPr>
        <w:spacing w:line="560" w:lineRule="exact"/>
        <w:ind w:firstLine="660" w:firstLineChars="150"/>
        <w:jc w:val="center"/>
        <w:rPr>
          <w:rFonts w:ascii="Times New Roman" w:hAnsi="Times New Roman" w:eastAsia="黑体"/>
          <w:sz w:val="44"/>
          <w:szCs w:val="44"/>
        </w:rPr>
      </w:pPr>
    </w:p>
    <w:p>
      <w:pPr>
        <w:spacing w:line="560" w:lineRule="exact"/>
        <w:ind w:firstLine="660" w:firstLineChars="150"/>
        <w:jc w:val="center"/>
        <w:rPr>
          <w:rFonts w:ascii="Times New Roman" w:hAnsi="Times New Roman" w:eastAsia="黑体"/>
          <w:sz w:val="44"/>
          <w:szCs w:val="44"/>
        </w:rPr>
      </w:pPr>
    </w:p>
    <w:p>
      <w:pPr>
        <w:spacing w:line="560" w:lineRule="exact"/>
        <w:ind w:firstLine="660" w:firstLineChars="150"/>
        <w:jc w:val="center"/>
        <w:rPr>
          <w:rFonts w:ascii="Times New Roman" w:hAnsi="Times New Roman" w:eastAsia="黑体"/>
          <w:sz w:val="44"/>
          <w:szCs w:val="44"/>
        </w:rPr>
      </w:pPr>
    </w:p>
    <w:p>
      <w:pPr>
        <w:spacing w:line="560" w:lineRule="exact"/>
        <w:ind w:firstLine="660" w:firstLineChars="150"/>
        <w:jc w:val="center"/>
        <w:rPr>
          <w:rFonts w:ascii="Times New Roman" w:hAnsi="Times New Roman" w:eastAsia="黑体"/>
          <w:sz w:val="44"/>
          <w:szCs w:val="44"/>
        </w:rPr>
      </w:pPr>
    </w:p>
    <w:p>
      <w:pPr>
        <w:spacing w:line="560" w:lineRule="exact"/>
        <w:ind w:firstLine="780" w:firstLineChars="150"/>
        <w:jc w:val="center"/>
        <w:rPr>
          <w:rFonts w:ascii="Times New Roman" w:hAnsi="Times New Roman" w:eastAsia="黑体"/>
          <w:sz w:val="52"/>
          <w:szCs w:val="52"/>
        </w:rPr>
      </w:pPr>
      <w:r>
        <w:rPr>
          <w:rFonts w:ascii="Times New Roman" w:hAnsi="Times New Roman" w:eastAsia="黑体"/>
          <w:sz w:val="52"/>
          <w:szCs w:val="52"/>
        </w:rPr>
        <w:t>遴选合作文件</w:t>
      </w:r>
    </w:p>
    <w:p>
      <w:pPr>
        <w:widowControl/>
        <w:shd w:val="clear" w:color="auto" w:fill="FFFFFF"/>
        <w:spacing w:line="300" w:lineRule="atLeast"/>
        <w:jc w:val="left"/>
        <w:outlineLvl w:val="0"/>
        <w:rPr>
          <w:rFonts w:ascii="Times New Roman" w:hAnsi="Times New Roman" w:eastAsia="方正仿宋_GBK"/>
          <w:sz w:val="32"/>
          <w:szCs w:val="32"/>
        </w:rPr>
      </w:pPr>
    </w:p>
    <w:p>
      <w:pPr>
        <w:widowControl/>
        <w:shd w:val="clear" w:color="auto" w:fill="FFFFFF"/>
        <w:spacing w:line="300" w:lineRule="atLeast"/>
        <w:jc w:val="left"/>
        <w:outlineLvl w:val="0"/>
        <w:rPr>
          <w:rFonts w:ascii="Times New Roman" w:hAnsi="Times New Roman" w:eastAsia="方正仿宋_GBK"/>
          <w:sz w:val="32"/>
          <w:szCs w:val="32"/>
        </w:rPr>
      </w:pPr>
    </w:p>
    <w:p>
      <w:pPr>
        <w:widowControl/>
        <w:shd w:val="clear" w:color="auto" w:fill="FFFFFF"/>
        <w:spacing w:line="300" w:lineRule="atLeast"/>
        <w:jc w:val="left"/>
        <w:outlineLvl w:val="0"/>
        <w:rPr>
          <w:rFonts w:ascii="Times New Roman" w:hAnsi="Times New Roman" w:eastAsia="黑体"/>
          <w:sz w:val="28"/>
          <w:szCs w:val="28"/>
        </w:rPr>
      </w:pPr>
      <w:r>
        <w:rPr>
          <w:rFonts w:ascii="Times New Roman" w:hAnsi="Times New Roman" w:eastAsia="黑体"/>
          <w:sz w:val="28"/>
          <w:szCs w:val="28"/>
        </w:rPr>
        <w:t xml:space="preserve">    </w:t>
      </w:r>
    </w:p>
    <w:p>
      <w:pPr>
        <w:widowControl/>
        <w:shd w:val="clear" w:color="auto" w:fill="FFFFFF"/>
        <w:spacing w:line="300" w:lineRule="atLeast"/>
        <w:jc w:val="left"/>
        <w:outlineLvl w:val="0"/>
        <w:rPr>
          <w:rFonts w:ascii="Times New Roman" w:hAnsi="Times New Roman" w:eastAsia="黑体"/>
          <w:sz w:val="28"/>
          <w:szCs w:val="28"/>
        </w:rPr>
      </w:pPr>
    </w:p>
    <w:p>
      <w:pPr>
        <w:widowControl/>
        <w:shd w:val="clear" w:color="auto" w:fill="FFFFFF"/>
        <w:spacing w:line="300" w:lineRule="atLeast"/>
        <w:jc w:val="left"/>
        <w:outlineLvl w:val="0"/>
        <w:rPr>
          <w:rFonts w:ascii="Times New Roman" w:hAnsi="Times New Roman" w:eastAsia="黑体"/>
          <w:sz w:val="28"/>
          <w:szCs w:val="28"/>
        </w:rPr>
      </w:pPr>
    </w:p>
    <w:p>
      <w:pPr>
        <w:widowControl/>
        <w:shd w:val="clear" w:color="auto" w:fill="FFFFFF"/>
        <w:spacing w:line="300" w:lineRule="atLeast"/>
        <w:jc w:val="left"/>
        <w:outlineLvl w:val="0"/>
        <w:rPr>
          <w:rFonts w:ascii="Times New Roman" w:hAnsi="Times New Roman" w:eastAsia="黑体"/>
          <w:sz w:val="28"/>
          <w:szCs w:val="28"/>
        </w:rPr>
      </w:pPr>
    </w:p>
    <w:p>
      <w:pPr>
        <w:pStyle w:val="4"/>
        <w:snapToGrid w:val="0"/>
        <w:spacing w:line="360" w:lineRule="auto"/>
        <w:ind w:left="0"/>
        <w:jc w:val="both"/>
        <w:rPr>
          <w:rFonts w:ascii="Times New Roman" w:hAnsi="Times New Roman" w:eastAsia="黑体" w:cs="Times New Roman"/>
          <w:kern w:val="2"/>
          <w:sz w:val="32"/>
          <w:szCs w:val="32"/>
          <w:u w:val="single"/>
          <w:lang w:eastAsia="zh-CN"/>
        </w:rPr>
      </w:pPr>
      <w:r>
        <w:rPr>
          <w:rFonts w:hint="eastAsia" w:ascii="Times New Roman" w:hAnsi="Times New Roman" w:eastAsia="黑体" w:cs="Times New Roman"/>
          <w:kern w:val="2"/>
          <w:sz w:val="32"/>
          <w:szCs w:val="32"/>
          <w:lang w:eastAsia="zh-CN"/>
        </w:rPr>
        <w:t xml:space="preserve">             遴选合作人：</w:t>
      </w:r>
      <w:r>
        <w:rPr>
          <w:rFonts w:hint="eastAsia" w:ascii="Times New Roman" w:hAnsi="Times New Roman" w:eastAsia="黑体" w:cs="Times New Roman"/>
          <w:kern w:val="2"/>
          <w:sz w:val="32"/>
          <w:szCs w:val="32"/>
          <w:u w:val="single"/>
          <w:lang w:eastAsia="zh-CN"/>
        </w:rPr>
        <w:t xml:space="preserve">       （公章）          </w:t>
      </w:r>
    </w:p>
    <w:p>
      <w:pPr>
        <w:pStyle w:val="4"/>
        <w:snapToGrid w:val="0"/>
        <w:spacing w:line="360" w:lineRule="auto"/>
        <w:ind w:left="0"/>
        <w:jc w:val="both"/>
        <w:rPr>
          <w:rFonts w:ascii="Times New Roman" w:hAnsi="Times New Roman" w:eastAsia="黑体" w:cs="Times New Roman"/>
          <w:kern w:val="2"/>
          <w:sz w:val="32"/>
          <w:szCs w:val="32"/>
          <w:lang w:eastAsia="zh-CN"/>
        </w:rPr>
      </w:pPr>
      <w:r>
        <w:rPr>
          <w:rFonts w:hint="eastAsia" w:ascii="Times New Roman" w:hAnsi="Times New Roman" w:eastAsia="黑体" w:cs="Times New Roman"/>
          <w:kern w:val="2"/>
          <w:sz w:val="32"/>
          <w:szCs w:val="32"/>
          <w:lang w:eastAsia="zh-CN"/>
        </w:rPr>
        <w:t xml:space="preserve">             </w:t>
      </w:r>
      <w:r>
        <w:rPr>
          <w:rFonts w:hint="eastAsia" w:ascii="Times New Roman" w:hAnsi="Times New Roman" w:eastAsia="黑体" w:cs="Times New Roman"/>
          <w:spacing w:val="43"/>
          <w:kern w:val="2"/>
          <w:sz w:val="32"/>
          <w:szCs w:val="32"/>
          <w:lang w:eastAsia="zh-CN"/>
        </w:rPr>
        <w:t>出资比例</w:t>
      </w:r>
      <w:r>
        <w:rPr>
          <w:rFonts w:hint="eastAsia" w:ascii="Times New Roman" w:hAnsi="Times New Roman" w:eastAsia="黑体" w:cs="Times New Roman"/>
          <w:kern w:val="2"/>
          <w:sz w:val="32"/>
          <w:szCs w:val="32"/>
          <w:lang w:eastAsia="zh-CN"/>
        </w:rPr>
        <w:t>：</w:t>
      </w:r>
      <w:r>
        <w:rPr>
          <w:rFonts w:hint="eastAsia" w:ascii="Times New Roman" w:hAnsi="Times New Roman" w:eastAsia="黑体" w:cs="Times New Roman"/>
          <w:kern w:val="2"/>
          <w:sz w:val="32"/>
          <w:szCs w:val="32"/>
          <w:u w:val="single"/>
          <w:lang w:eastAsia="zh-CN"/>
        </w:rPr>
        <w:t xml:space="preserve">                         </w:t>
      </w:r>
    </w:p>
    <w:p>
      <w:pPr>
        <w:pStyle w:val="4"/>
        <w:snapToGrid w:val="0"/>
        <w:spacing w:line="360" w:lineRule="auto"/>
        <w:ind w:left="0"/>
        <w:jc w:val="both"/>
        <w:rPr>
          <w:rFonts w:ascii="Times New Roman" w:hAnsi="Times New Roman" w:eastAsia="黑体" w:cs="Times New Roman"/>
          <w:kern w:val="2"/>
          <w:sz w:val="32"/>
          <w:szCs w:val="32"/>
          <w:lang w:eastAsia="zh-CN"/>
        </w:rPr>
      </w:pPr>
      <w:r>
        <w:rPr>
          <w:rFonts w:hint="eastAsia" w:ascii="Times New Roman" w:hAnsi="Times New Roman" w:eastAsia="黑体" w:cs="Times New Roman"/>
          <w:kern w:val="2"/>
          <w:sz w:val="32"/>
          <w:szCs w:val="32"/>
          <w:lang w:eastAsia="zh-CN"/>
        </w:rPr>
        <w:t xml:space="preserve">             </w:t>
      </w:r>
      <w:r>
        <w:rPr>
          <w:rFonts w:hint="eastAsia" w:ascii="Times New Roman" w:hAnsi="Times New Roman" w:eastAsia="黑体" w:cs="Times New Roman"/>
          <w:spacing w:val="43"/>
          <w:kern w:val="2"/>
          <w:sz w:val="32"/>
          <w:szCs w:val="32"/>
          <w:lang w:eastAsia="zh-CN"/>
        </w:rPr>
        <w:t>递交日期</w:t>
      </w:r>
      <w:r>
        <w:rPr>
          <w:rFonts w:hint="eastAsia" w:ascii="Times New Roman" w:hAnsi="Times New Roman" w:eastAsia="黑体" w:cs="Times New Roman"/>
          <w:kern w:val="2"/>
          <w:sz w:val="32"/>
          <w:szCs w:val="32"/>
          <w:lang w:eastAsia="zh-CN"/>
        </w:rPr>
        <w:t>：</w:t>
      </w:r>
      <w:r>
        <w:rPr>
          <w:rFonts w:hint="eastAsia" w:ascii="Times New Roman" w:hAnsi="Times New Roman" w:eastAsia="黑体" w:cs="Times New Roman"/>
          <w:kern w:val="2"/>
          <w:sz w:val="32"/>
          <w:szCs w:val="32"/>
          <w:u w:val="single"/>
          <w:lang w:eastAsia="zh-CN"/>
        </w:rPr>
        <w:t xml:space="preserve">                         </w:t>
      </w:r>
    </w:p>
    <w:p>
      <w:pPr>
        <w:widowControl/>
        <w:shd w:val="clear" w:color="auto" w:fill="FFFFFF"/>
        <w:spacing w:line="300" w:lineRule="atLeast"/>
        <w:jc w:val="left"/>
        <w:outlineLvl w:val="0"/>
        <w:rPr>
          <w:rFonts w:ascii="Times New Roman" w:hAnsi="Times New Roman" w:eastAsia="黑体"/>
          <w:sz w:val="28"/>
          <w:szCs w:val="28"/>
        </w:rPr>
      </w:pPr>
    </w:p>
    <w:p>
      <w:pPr>
        <w:spacing w:line="560" w:lineRule="exact"/>
        <w:ind w:firstLine="480" w:firstLineChars="150"/>
        <w:jc w:val="center"/>
        <w:rPr>
          <w:rFonts w:ascii="Times New Roman" w:hAnsi="Times New Roman" w:eastAsia="黑体"/>
          <w:sz w:val="32"/>
          <w:szCs w:val="32"/>
        </w:rPr>
      </w:pPr>
    </w:p>
    <w:p>
      <w:pPr>
        <w:spacing w:line="560" w:lineRule="exact"/>
        <w:ind w:firstLine="315" w:firstLineChars="150"/>
        <w:jc w:val="center"/>
        <w:rPr>
          <w:rFonts w:ascii="宋体" w:hAnsi="宋体" w:cs="宋体"/>
          <w:szCs w:val="21"/>
        </w:rPr>
      </w:pPr>
      <w:r>
        <w:rPr>
          <w:rFonts w:hint="eastAsia" w:ascii="宋体" w:hAnsi="宋体" w:cs="宋体"/>
          <w:szCs w:val="21"/>
        </w:rPr>
        <w:br w:type="page"/>
      </w:r>
    </w:p>
    <w:p>
      <w:pPr>
        <w:spacing w:line="560" w:lineRule="exact"/>
        <w:ind w:firstLine="420" w:firstLineChars="150"/>
        <w:jc w:val="center"/>
        <w:rPr>
          <w:rFonts w:ascii="Times New Roman" w:hAnsi="Times New Roman" w:eastAsia="黑体"/>
          <w:sz w:val="28"/>
          <w:szCs w:val="28"/>
        </w:rPr>
      </w:pPr>
      <w:r>
        <w:rPr>
          <w:rFonts w:hint="eastAsia" w:ascii="Times New Roman" w:hAnsi="Times New Roman" w:eastAsia="黑体"/>
          <w:sz w:val="28"/>
          <w:szCs w:val="28"/>
        </w:rPr>
        <w:t>目    录</w:t>
      </w:r>
    </w:p>
    <w:p>
      <w:pPr>
        <w:pStyle w:val="4"/>
        <w:ind w:left="0"/>
        <w:rPr>
          <w:rFonts w:ascii="Times New Roman" w:hAnsi="Times New Roman" w:cs="Times New Roman"/>
          <w:sz w:val="20"/>
          <w:lang w:eastAsia="zh-CN"/>
        </w:rPr>
      </w:pPr>
    </w:p>
    <w:p>
      <w:pPr>
        <w:pStyle w:val="4"/>
        <w:ind w:left="0"/>
        <w:rPr>
          <w:rFonts w:ascii="Times New Roman" w:hAnsi="Times New Roman" w:cs="Times New Roman"/>
          <w:sz w:val="20"/>
          <w:lang w:eastAsia="zh-CN"/>
        </w:rPr>
      </w:pPr>
    </w:p>
    <w:p>
      <w:pPr>
        <w:pStyle w:val="4"/>
        <w:ind w:left="0"/>
        <w:rPr>
          <w:rFonts w:ascii="Times New Roman" w:hAnsi="Times New Roman" w:cs="Times New Roman"/>
          <w:sz w:val="20"/>
          <w:lang w:eastAsia="zh-CN"/>
        </w:rPr>
      </w:pPr>
    </w:p>
    <w:p>
      <w:pPr>
        <w:pStyle w:val="4"/>
        <w:numPr>
          <w:ilvl w:val="0"/>
          <w:numId w:val="4"/>
        </w:numPr>
        <w:ind w:left="0"/>
        <w:rPr>
          <w:rFonts w:ascii="Times New Roman" w:hAnsi="Times New Roman" w:cs="Times New Roman"/>
          <w:sz w:val="28"/>
          <w:szCs w:val="28"/>
          <w:lang w:eastAsia="zh-CN"/>
        </w:rPr>
      </w:pPr>
      <w:r>
        <w:rPr>
          <w:rFonts w:hint="eastAsia" w:ascii="Times New Roman" w:hAnsi="Times New Roman" w:cs="Times New Roman"/>
          <w:sz w:val="28"/>
          <w:szCs w:val="28"/>
          <w:lang w:val="en-US" w:eastAsia="zh-CN"/>
        </w:rPr>
        <w:t>承诺</w:t>
      </w:r>
      <w:r>
        <w:rPr>
          <w:rFonts w:hint="eastAsia" w:ascii="Times New Roman" w:hAnsi="Times New Roman" w:cs="Times New Roman"/>
          <w:sz w:val="28"/>
          <w:szCs w:val="28"/>
          <w:lang w:eastAsia="zh-CN"/>
        </w:rPr>
        <w:t>函</w:t>
      </w:r>
    </w:p>
    <w:p>
      <w:pPr>
        <w:pStyle w:val="4"/>
        <w:numPr>
          <w:ilvl w:val="0"/>
          <w:numId w:val="4"/>
        </w:numPr>
        <w:ind w:left="0"/>
        <w:rPr>
          <w:rFonts w:ascii="Times New Roman" w:hAnsi="Times New Roman" w:cs="Times New Roman"/>
          <w:sz w:val="28"/>
          <w:szCs w:val="28"/>
          <w:lang w:eastAsia="zh-CN"/>
        </w:rPr>
      </w:pPr>
      <w:r>
        <w:rPr>
          <w:rFonts w:hint="eastAsia" w:ascii="Times New Roman" w:hAnsi="Times New Roman" w:cs="Times New Roman"/>
          <w:sz w:val="28"/>
          <w:szCs w:val="28"/>
          <w:lang w:eastAsia="zh-CN"/>
        </w:rPr>
        <w:t>遴选合作人自评价表</w:t>
      </w:r>
    </w:p>
    <w:p>
      <w:pPr>
        <w:pStyle w:val="4"/>
        <w:numPr>
          <w:ilvl w:val="0"/>
          <w:numId w:val="4"/>
        </w:numPr>
        <w:ind w:left="0"/>
        <w:rPr>
          <w:rFonts w:ascii="Times New Roman" w:hAnsi="Times New Roman" w:cs="Times New Roman"/>
          <w:sz w:val="28"/>
          <w:szCs w:val="28"/>
          <w:lang w:eastAsia="zh-CN"/>
        </w:rPr>
      </w:pPr>
      <w:r>
        <w:rPr>
          <w:rFonts w:hint="eastAsia" w:ascii="Times New Roman" w:hAnsi="Times New Roman" w:cs="Times New Roman"/>
          <w:sz w:val="28"/>
          <w:szCs w:val="28"/>
          <w:lang w:val="en-US" w:eastAsia="zh-CN"/>
        </w:rPr>
        <w:t>其他资料</w:t>
      </w:r>
    </w:p>
    <w:p>
      <w:pPr>
        <w:pStyle w:val="4"/>
        <w:ind w:left="0"/>
        <w:rPr>
          <w:rFonts w:ascii="Times New Roman" w:hAnsi="Times New Roman" w:cs="Times New Roman"/>
          <w:sz w:val="20"/>
          <w:lang w:eastAsia="zh-CN"/>
        </w:rPr>
      </w:pPr>
      <w:r>
        <w:rPr>
          <w:rFonts w:ascii="Times New Roman" w:hAnsi="Times New Roman" w:cs="Times New Roman"/>
          <w:sz w:val="20"/>
          <w:lang w:eastAsia="zh-CN"/>
        </w:rPr>
        <w:br w:type="page"/>
      </w:r>
    </w:p>
    <w:p>
      <w:pPr>
        <w:pStyle w:val="4"/>
        <w:numPr>
          <w:ilvl w:val="0"/>
          <w:numId w:val="5"/>
        </w:numPr>
        <w:ind w:left="0"/>
        <w:jc w:val="center"/>
        <w:rPr>
          <w:rFonts w:ascii="黑体" w:hAnsi="黑体" w:eastAsia="黑体" w:cs="黑体"/>
          <w:sz w:val="28"/>
          <w:szCs w:val="28"/>
          <w:lang w:eastAsia="zh-CN"/>
        </w:rPr>
      </w:pPr>
      <w:r>
        <w:rPr>
          <w:rFonts w:hint="eastAsia" w:ascii="黑体" w:hAnsi="黑体" w:eastAsia="黑体" w:cs="黑体"/>
          <w:sz w:val="28"/>
          <w:szCs w:val="28"/>
          <w:lang w:val="en-US" w:eastAsia="zh-CN"/>
        </w:rPr>
        <w:t>承诺</w:t>
      </w:r>
      <w:r>
        <w:rPr>
          <w:rFonts w:hint="eastAsia" w:ascii="黑体" w:hAnsi="黑体" w:eastAsia="黑体" w:cs="黑体"/>
          <w:sz w:val="28"/>
          <w:szCs w:val="28"/>
          <w:lang w:eastAsia="zh-CN"/>
        </w:rPr>
        <w:t>函</w:t>
      </w:r>
    </w:p>
    <w:p>
      <w:pPr>
        <w:pStyle w:val="4"/>
        <w:ind w:left="0"/>
        <w:jc w:val="center"/>
        <w:rPr>
          <w:rFonts w:ascii="黑体" w:hAnsi="黑体" w:eastAsia="黑体" w:cs="黑体"/>
          <w:sz w:val="28"/>
          <w:szCs w:val="28"/>
          <w:lang w:eastAsia="zh-CN"/>
        </w:rPr>
      </w:pPr>
    </w:p>
    <w:p>
      <w:pPr>
        <w:pStyle w:val="4"/>
        <w:ind w:left="0"/>
        <w:jc w:val="center"/>
        <w:rPr>
          <w:rFonts w:ascii="黑体" w:hAnsi="黑体" w:eastAsia="黑体" w:cs="黑体"/>
          <w:sz w:val="28"/>
          <w:szCs w:val="28"/>
          <w:lang w:eastAsia="zh-CN"/>
        </w:rPr>
      </w:pPr>
      <w:r>
        <w:rPr>
          <w:rFonts w:hint="eastAsia" w:ascii="黑体" w:hAnsi="黑体" w:eastAsia="黑体" w:cs="黑体"/>
          <w:sz w:val="28"/>
          <w:szCs w:val="28"/>
          <w:lang w:val="en-US" w:eastAsia="zh-CN"/>
        </w:rPr>
        <w:t>承诺</w:t>
      </w:r>
      <w:r>
        <w:rPr>
          <w:rFonts w:hint="eastAsia" w:ascii="黑体" w:hAnsi="黑体" w:eastAsia="黑体" w:cs="黑体"/>
          <w:sz w:val="28"/>
          <w:szCs w:val="28"/>
          <w:lang w:eastAsia="zh-CN"/>
        </w:rPr>
        <w:t>函</w:t>
      </w:r>
    </w:p>
    <w:p>
      <w:pPr>
        <w:pStyle w:val="4"/>
        <w:ind w:left="0"/>
        <w:jc w:val="center"/>
        <w:rPr>
          <w:rFonts w:ascii="黑体" w:hAnsi="黑体" w:eastAsia="黑体" w:cs="黑体"/>
          <w:sz w:val="28"/>
          <w:szCs w:val="28"/>
          <w:lang w:eastAsia="zh-CN"/>
        </w:rPr>
      </w:pPr>
    </w:p>
    <w:p>
      <w:pPr>
        <w:pStyle w:val="4"/>
        <w:snapToGrid w:val="0"/>
        <w:spacing w:line="360" w:lineRule="auto"/>
        <w:ind w:left="0"/>
        <w:jc w:val="both"/>
        <w:rPr>
          <w:rFonts w:hint="eastAsia"/>
          <w:u w:val="single"/>
          <w:lang w:eastAsia="zh-CN"/>
        </w:rPr>
      </w:pPr>
      <w:r>
        <w:rPr>
          <w:rFonts w:hint="eastAsia"/>
          <w:u w:val="single"/>
          <w:lang w:eastAsia="zh-CN"/>
        </w:rPr>
        <w:t>重庆高速公路集团有限公司</w:t>
      </w:r>
    </w:p>
    <w:p>
      <w:pPr>
        <w:pStyle w:val="4"/>
        <w:snapToGrid w:val="0"/>
        <w:spacing w:line="360" w:lineRule="auto"/>
        <w:ind w:left="0"/>
        <w:jc w:val="both"/>
        <w:rPr>
          <w:rFonts w:hint="eastAsia"/>
          <w:u w:val="single"/>
          <w:lang w:eastAsia="zh-CN"/>
        </w:rPr>
      </w:pPr>
      <w:r>
        <w:rPr>
          <w:rFonts w:hint="eastAsia"/>
          <w:u w:val="single"/>
          <w:lang w:eastAsia="zh-CN"/>
        </w:rPr>
        <w:t>中国铁建股份有限公司</w:t>
      </w:r>
    </w:p>
    <w:p>
      <w:pPr>
        <w:pStyle w:val="4"/>
        <w:snapToGrid w:val="0"/>
        <w:spacing w:line="360" w:lineRule="auto"/>
        <w:ind w:left="0"/>
        <w:jc w:val="both"/>
        <w:rPr>
          <w:lang w:eastAsia="zh-CN"/>
        </w:rPr>
      </w:pPr>
      <w:r>
        <w:rPr>
          <w:rFonts w:hint="eastAsia"/>
          <w:u w:val="single"/>
          <w:lang w:eastAsia="zh-CN"/>
        </w:rPr>
        <w:t>中交路桥建设有限公司</w:t>
      </w:r>
      <w:r>
        <w:rPr>
          <w:rFonts w:hint="eastAsia"/>
          <w:lang w:eastAsia="zh-CN"/>
        </w:rPr>
        <w:t>：</w:t>
      </w:r>
    </w:p>
    <w:p>
      <w:pPr>
        <w:pStyle w:val="4"/>
        <w:snapToGrid w:val="0"/>
        <w:spacing w:line="360" w:lineRule="auto"/>
        <w:ind w:left="0" w:firstLine="560"/>
        <w:jc w:val="both"/>
        <w:rPr>
          <w:rFonts w:ascii="Times New Roman" w:hAnsi="Times New Roman" w:cs="Times New Roman"/>
          <w:lang w:eastAsia="zh-CN"/>
        </w:rPr>
      </w:pPr>
      <w:r>
        <w:rPr>
          <w:rFonts w:hint="eastAsia"/>
          <w:lang w:eastAsia="zh-CN"/>
        </w:rPr>
        <w:t>1.经研究了</w:t>
      </w:r>
      <w:r>
        <w:rPr>
          <w:rFonts w:hint="eastAsia" w:ascii="Times New Roman" w:hAnsi="Times New Roman" w:cs="Times New Roman"/>
          <w:u w:val="single"/>
          <w:lang w:eastAsia="zh-CN"/>
        </w:rPr>
        <w:t>G85 银昆高速、G93 成渝地区环线高速重庆高新区至荣昌区（川渝界）段改扩建工程+重庆市垫江至丰都至武隆高速公路PPP项目社会资本合作人遴选文件</w:t>
      </w:r>
      <w:r>
        <w:rPr>
          <w:rFonts w:hint="eastAsia" w:ascii="Times New Roman" w:hAnsi="Times New Roman" w:cs="Times New Roman"/>
          <w:lang w:eastAsia="zh-CN"/>
        </w:rPr>
        <w:t>的全部内容后，我方愿意按照遴选文件的要求与你方共同组建联合体，出资比例</w:t>
      </w:r>
      <w:r>
        <w:rPr>
          <w:rFonts w:hint="eastAsia" w:ascii="Times New Roman" w:hAnsi="Times New Roman" w:cs="Times New Roman"/>
          <w:u w:val="single"/>
          <w:lang w:eastAsia="zh-CN"/>
        </w:rPr>
        <w:t xml:space="preserve">  </w:t>
      </w:r>
      <w:r>
        <w:rPr>
          <w:rFonts w:hint="eastAsia" w:ascii="Times New Roman" w:hAnsi="Times New Roman" w:cs="Times New Roman"/>
          <w:u w:val="single"/>
          <w:lang w:val="en-US" w:eastAsia="zh-CN"/>
        </w:rPr>
        <w:t xml:space="preserve">4.49 </w:t>
      </w:r>
      <w:r>
        <w:rPr>
          <w:rFonts w:hint="eastAsia" w:ascii="Times New Roman" w:hAnsi="Times New Roman" w:cs="Times New Roman"/>
          <w:u w:val="single"/>
          <w:lang w:eastAsia="zh-CN"/>
        </w:rPr>
        <w:t xml:space="preserve"> </w:t>
      </w:r>
      <w:r>
        <w:rPr>
          <w:rFonts w:hint="eastAsia" w:ascii="Times New Roman" w:hAnsi="Times New Roman" w:cs="Times New Roman"/>
          <w:lang w:eastAsia="zh-CN"/>
        </w:rPr>
        <w:t>%，参与</w:t>
      </w:r>
      <w:r>
        <w:rPr>
          <w:rFonts w:hint="eastAsia" w:ascii="Times New Roman" w:hAnsi="Times New Roman" w:cs="Times New Roman"/>
          <w:lang w:val="en-US" w:eastAsia="zh-CN"/>
        </w:rPr>
        <w:t>成渝扩能、垫丰武</w:t>
      </w:r>
      <w:r>
        <w:rPr>
          <w:rFonts w:ascii="Times New Roman" w:hAnsi="Times New Roman" w:cs="Times New Roman"/>
          <w:lang w:eastAsia="zh-CN"/>
        </w:rPr>
        <w:t>PPP项目</w:t>
      </w:r>
      <w:r>
        <w:rPr>
          <w:rFonts w:hint="eastAsia" w:ascii="Times New Roman" w:hAnsi="Times New Roman" w:cs="Times New Roman"/>
          <w:lang w:eastAsia="zh-CN"/>
        </w:rPr>
        <w:t>社会资本投标。</w:t>
      </w:r>
    </w:p>
    <w:p>
      <w:pPr>
        <w:pStyle w:val="4"/>
        <w:snapToGrid w:val="0"/>
        <w:spacing w:line="360" w:lineRule="auto"/>
        <w:ind w:left="0" w:firstLine="560"/>
        <w:jc w:val="both"/>
        <w:rPr>
          <w:rFonts w:ascii="Times New Roman" w:hAnsi="Times New Roman" w:cs="Times New Roman"/>
          <w:lang w:eastAsia="zh-CN"/>
        </w:rPr>
      </w:pPr>
      <w:r>
        <w:rPr>
          <w:rFonts w:hint="eastAsia" w:ascii="Times New Roman" w:hAnsi="Times New Roman" w:cs="Times New Roman"/>
          <w:lang w:eastAsia="zh-CN"/>
        </w:rPr>
        <w:t>2.如果我方被遴选确定为</w:t>
      </w:r>
      <w:r>
        <w:rPr>
          <w:rFonts w:hint="eastAsia" w:ascii="Times New Roman" w:hAnsi="Times New Roman" w:cs="Times New Roman"/>
          <w:lang w:val="en-US" w:eastAsia="zh-CN"/>
        </w:rPr>
        <w:t>投资</w:t>
      </w:r>
      <w:r>
        <w:rPr>
          <w:rFonts w:hint="eastAsia" w:ascii="Times New Roman" w:hAnsi="Times New Roman" w:cs="Times New Roman"/>
          <w:lang w:eastAsia="zh-CN"/>
        </w:rPr>
        <w:t>合作人，我方承诺不再以自己得名义单独或者加入其它联合体成员参与本项目投标。</w:t>
      </w:r>
    </w:p>
    <w:p>
      <w:pPr>
        <w:pStyle w:val="4"/>
        <w:snapToGrid w:val="0"/>
        <w:spacing w:line="360" w:lineRule="auto"/>
        <w:ind w:left="0" w:firstLine="560"/>
        <w:jc w:val="both"/>
        <w:rPr>
          <w:rFonts w:ascii="Times New Roman" w:hAnsi="Times New Roman" w:cs="Times New Roman"/>
          <w:lang w:eastAsia="zh-CN"/>
        </w:rPr>
      </w:pPr>
      <w:r>
        <w:rPr>
          <w:rFonts w:hint="eastAsia" w:ascii="Times New Roman" w:hAnsi="Times New Roman" w:cs="Times New Roman"/>
          <w:lang w:eastAsia="zh-CN"/>
        </w:rPr>
        <w:t>3.如果我方被遴选确定为</w:t>
      </w:r>
      <w:r>
        <w:rPr>
          <w:rFonts w:hint="eastAsia" w:ascii="Times New Roman" w:hAnsi="Times New Roman" w:cs="Times New Roman"/>
          <w:lang w:val="en-US" w:eastAsia="zh-CN"/>
        </w:rPr>
        <w:t>投资</w:t>
      </w:r>
      <w:r>
        <w:rPr>
          <w:rFonts w:hint="eastAsia" w:ascii="Times New Roman" w:hAnsi="Times New Roman" w:cs="Times New Roman"/>
          <w:lang w:eastAsia="zh-CN"/>
        </w:rPr>
        <w:t>合作人，我方承诺积极支持和配合你方进行牵头统筹，</w:t>
      </w:r>
      <w:r>
        <w:rPr>
          <w:rFonts w:hint="eastAsia" w:ascii="Times New Roman" w:hAnsi="Times New Roman" w:cs="Times New Roman"/>
          <w:lang w:val="en-US" w:eastAsia="zh-CN"/>
        </w:rPr>
        <w:t>接受并承认所有遴选文件内容，</w:t>
      </w:r>
      <w:r>
        <w:rPr>
          <w:rFonts w:hint="eastAsia" w:ascii="Times New Roman" w:hAnsi="Times New Roman" w:cs="Times New Roman"/>
          <w:lang w:eastAsia="zh-CN"/>
        </w:rPr>
        <w:t>并且愿意就有关事项进行友好协商。</w:t>
      </w:r>
    </w:p>
    <w:p>
      <w:pPr>
        <w:pStyle w:val="4"/>
        <w:snapToGrid w:val="0"/>
        <w:spacing w:line="360" w:lineRule="auto"/>
        <w:ind w:left="0" w:firstLine="560"/>
        <w:jc w:val="both"/>
        <w:rPr>
          <w:rFonts w:ascii="Times New Roman" w:hAnsi="Times New Roman" w:cs="Times New Roman"/>
          <w:lang w:eastAsia="zh-CN"/>
        </w:rPr>
      </w:pPr>
      <w:r>
        <w:rPr>
          <w:rFonts w:hint="eastAsia" w:ascii="Times New Roman" w:hAnsi="Times New Roman" w:cs="Times New Roman"/>
          <w:lang w:eastAsia="zh-CN"/>
        </w:rPr>
        <w:t>4.我方承诺所提交的遴选自评价表中的相关数据真实可靠，若提供了虚假资料，相关责任由我方自行承担。</w:t>
      </w:r>
    </w:p>
    <w:p>
      <w:pPr>
        <w:pStyle w:val="4"/>
        <w:snapToGrid w:val="0"/>
        <w:spacing w:line="360" w:lineRule="auto"/>
        <w:ind w:left="0"/>
        <w:jc w:val="center"/>
        <w:rPr>
          <w:lang w:eastAsia="zh-CN"/>
        </w:rPr>
      </w:pPr>
    </w:p>
    <w:p>
      <w:pPr>
        <w:pStyle w:val="4"/>
        <w:snapToGrid w:val="0"/>
        <w:spacing w:line="360" w:lineRule="auto"/>
        <w:ind w:left="0"/>
        <w:jc w:val="center"/>
        <w:rPr>
          <w:lang w:eastAsia="zh-CN"/>
        </w:rPr>
      </w:pPr>
    </w:p>
    <w:p>
      <w:pPr>
        <w:pStyle w:val="4"/>
        <w:snapToGrid w:val="0"/>
        <w:spacing w:line="360" w:lineRule="auto"/>
        <w:ind w:left="0"/>
        <w:jc w:val="center"/>
        <w:rPr>
          <w:u w:val="single"/>
          <w:lang w:eastAsia="zh-CN"/>
        </w:rPr>
      </w:pPr>
      <w:r>
        <w:rPr>
          <w:rFonts w:hint="eastAsia"/>
          <w:lang w:eastAsia="zh-CN"/>
        </w:rPr>
        <w:t xml:space="preserve">    遴选合作人：</w:t>
      </w:r>
      <w:r>
        <w:rPr>
          <w:rFonts w:hint="eastAsia"/>
          <w:u w:val="single"/>
          <w:lang w:eastAsia="zh-CN"/>
        </w:rPr>
        <w:t xml:space="preserve">     （公章）        </w:t>
      </w:r>
    </w:p>
    <w:p>
      <w:pPr>
        <w:pStyle w:val="4"/>
        <w:snapToGrid w:val="0"/>
        <w:spacing w:line="360" w:lineRule="auto"/>
        <w:ind w:left="0"/>
        <w:jc w:val="both"/>
        <w:rPr>
          <w:u w:val="single"/>
          <w:lang w:eastAsia="zh-CN"/>
        </w:rPr>
      </w:pPr>
      <w:r>
        <w:rPr>
          <w:rFonts w:hint="eastAsia"/>
          <w:lang w:eastAsia="zh-CN"/>
        </w:rPr>
        <w:t xml:space="preserve">                            联  系  人：</w:t>
      </w:r>
      <w:r>
        <w:rPr>
          <w:rFonts w:hint="eastAsia"/>
          <w:u w:val="single"/>
          <w:lang w:eastAsia="zh-CN"/>
        </w:rPr>
        <w:t xml:space="preserve">                     </w:t>
      </w:r>
    </w:p>
    <w:p>
      <w:pPr>
        <w:pStyle w:val="4"/>
        <w:snapToGrid w:val="0"/>
        <w:spacing w:line="360" w:lineRule="auto"/>
        <w:ind w:left="0"/>
        <w:jc w:val="both"/>
        <w:rPr>
          <w:u w:val="single"/>
          <w:lang w:eastAsia="zh-CN"/>
        </w:rPr>
      </w:pPr>
      <w:r>
        <w:rPr>
          <w:rFonts w:hint="eastAsia"/>
          <w:lang w:eastAsia="zh-CN"/>
        </w:rPr>
        <w:t xml:space="preserve">                            </w:t>
      </w:r>
      <w:r>
        <w:rPr>
          <w:rFonts w:hint="eastAsia"/>
          <w:spacing w:val="34"/>
          <w:lang w:eastAsia="zh-CN"/>
        </w:rPr>
        <w:t>联系电话</w:t>
      </w:r>
      <w:r>
        <w:rPr>
          <w:rFonts w:hint="eastAsia"/>
          <w:lang w:eastAsia="zh-CN"/>
        </w:rPr>
        <w:t>：</w:t>
      </w:r>
      <w:r>
        <w:rPr>
          <w:rFonts w:hint="eastAsia"/>
          <w:u w:val="single"/>
          <w:lang w:eastAsia="zh-CN"/>
        </w:rPr>
        <w:t xml:space="preserve">                     </w:t>
      </w:r>
    </w:p>
    <w:p>
      <w:pPr>
        <w:pStyle w:val="4"/>
        <w:snapToGrid w:val="0"/>
        <w:spacing w:line="360" w:lineRule="auto"/>
        <w:ind w:left="0"/>
        <w:jc w:val="both"/>
        <w:rPr>
          <w:lang w:eastAsia="zh-CN"/>
        </w:rPr>
      </w:pPr>
      <w:r>
        <w:rPr>
          <w:rFonts w:hint="eastAsia"/>
          <w:lang w:eastAsia="zh-CN"/>
        </w:rPr>
        <w:t xml:space="preserve">                            日      期：</w:t>
      </w:r>
      <w:r>
        <w:rPr>
          <w:rFonts w:hint="eastAsia"/>
          <w:u w:val="single"/>
          <w:lang w:eastAsia="zh-CN"/>
        </w:rPr>
        <w:t xml:space="preserve">      </w:t>
      </w:r>
      <w:r>
        <w:rPr>
          <w:rFonts w:hint="eastAsia"/>
          <w:lang w:eastAsia="zh-CN"/>
        </w:rPr>
        <w:t xml:space="preserve"> 年 </w:t>
      </w:r>
      <w:r>
        <w:rPr>
          <w:rFonts w:hint="eastAsia"/>
          <w:u w:val="single"/>
          <w:lang w:eastAsia="zh-CN"/>
        </w:rPr>
        <w:t xml:space="preserve">   </w:t>
      </w:r>
      <w:r>
        <w:rPr>
          <w:rFonts w:hint="eastAsia"/>
          <w:lang w:eastAsia="zh-CN"/>
        </w:rPr>
        <w:t xml:space="preserve"> 月 </w:t>
      </w:r>
      <w:r>
        <w:rPr>
          <w:rFonts w:hint="eastAsia"/>
          <w:u w:val="single"/>
          <w:lang w:eastAsia="zh-CN"/>
        </w:rPr>
        <w:t xml:space="preserve">   </w:t>
      </w:r>
      <w:r>
        <w:rPr>
          <w:rFonts w:hint="eastAsia"/>
          <w:lang w:eastAsia="zh-CN"/>
        </w:rPr>
        <w:t>日</w:t>
      </w:r>
    </w:p>
    <w:p>
      <w:pPr>
        <w:pStyle w:val="4"/>
        <w:snapToGrid w:val="0"/>
        <w:spacing w:line="360" w:lineRule="auto"/>
        <w:ind w:left="0"/>
        <w:jc w:val="both"/>
        <w:rPr>
          <w:sz w:val="21"/>
          <w:szCs w:val="21"/>
          <w:lang w:eastAsia="zh-CN"/>
        </w:rPr>
      </w:pPr>
    </w:p>
    <w:p>
      <w:pPr>
        <w:pStyle w:val="4"/>
        <w:snapToGrid w:val="0"/>
        <w:spacing w:line="360" w:lineRule="auto"/>
        <w:ind w:left="0"/>
        <w:jc w:val="both"/>
        <w:rPr>
          <w:sz w:val="21"/>
          <w:szCs w:val="21"/>
          <w:lang w:eastAsia="zh-CN"/>
        </w:rPr>
      </w:pPr>
    </w:p>
    <w:p>
      <w:pPr>
        <w:pStyle w:val="4"/>
        <w:snapToGrid w:val="0"/>
        <w:spacing w:line="360" w:lineRule="auto"/>
        <w:ind w:left="0"/>
        <w:jc w:val="both"/>
        <w:rPr>
          <w:sz w:val="28"/>
          <w:szCs w:val="28"/>
          <w:lang w:eastAsia="zh-CN"/>
        </w:rPr>
      </w:pPr>
    </w:p>
    <w:p>
      <w:pPr>
        <w:pStyle w:val="4"/>
        <w:snapToGrid w:val="0"/>
        <w:spacing w:line="360" w:lineRule="auto"/>
        <w:ind w:left="0"/>
        <w:jc w:val="center"/>
        <w:rPr>
          <w:sz w:val="28"/>
          <w:szCs w:val="28"/>
          <w:lang w:eastAsia="zh-CN"/>
        </w:rPr>
      </w:pPr>
      <w:r>
        <w:rPr>
          <w:rFonts w:hint="eastAsia"/>
          <w:sz w:val="28"/>
          <w:szCs w:val="28"/>
          <w:lang w:eastAsia="zh-CN"/>
        </w:rPr>
        <w:br w:type="page"/>
      </w:r>
    </w:p>
    <w:p>
      <w:pPr>
        <w:pStyle w:val="4"/>
        <w:ind w:left="0"/>
        <w:rPr>
          <w:rFonts w:ascii="黑体" w:hAnsi="黑体" w:eastAsia="黑体" w:cs="黑体"/>
          <w:sz w:val="28"/>
          <w:szCs w:val="28"/>
          <w:lang w:eastAsia="zh-CN"/>
        </w:rPr>
        <w:sectPr>
          <w:pgSz w:w="11906" w:h="16838"/>
          <w:pgMar w:top="1440" w:right="1349" w:bottom="1440" w:left="1349" w:header="851" w:footer="992" w:gutter="0"/>
          <w:cols w:space="720" w:num="1"/>
          <w:docGrid w:type="lines" w:linePitch="312" w:charSpace="0"/>
        </w:sectPr>
      </w:pPr>
    </w:p>
    <w:p>
      <w:pPr>
        <w:pStyle w:val="4"/>
        <w:snapToGrid w:val="0"/>
        <w:ind w:left="0"/>
        <w:jc w:val="center"/>
        <w:rPr>
          <w:rFonts w:ascii="黑体" w:hAnsi="黑体" w:eastAsia="黑体" w:cs="黑体"/>
          <w:kern w:val="2"/>
          <w:sz w:val="28"/>
          <w:szCs w:val="28"/>
          <w:lang w:eastAsia="zh-CN"/>
        </w:rPr>
      </w:pPr>
      <w:r>
        <w:rPr>
          <w:rFonts w:hint="eastAsia" w:ascii="黑体" w:hAnsi="黑体" w:eastAsia="黑体" w:cs="黑体"/>
          <w:kern w:val="2"/>
          <w:sz w:val="28"/>
          <w:szCs w:val="28"/>
          <w:lang w:val="en-US" w:eastAsia="zh-CN"/>
        </w:rPr>
        <w:t>二</w:t>
      </w:r>
      <w:r>
        <w:rPr>
          <w:rFonts w:hint="eastAsia" w:ascii="黑体" w:hAnsi="黑体" w:eastAsia="黑体" w:cs="黑体"/>
          <w:kern w:val="2"/>
          <w:sz w:val="28"/>
          <w:szCs w:val="28"/>
          <w:lang w:eastAsia="zh-CN"/>
        </w:rPr>
        <w:t>、遴选投资合作人自评价表</w:t>
      </w:r>
    </w:p>
    <w:tbl>
      <w:tblPr>
        <w:tblStyle w:val="8"/>
        <w:tblW w:w="0" w:type="auto"/>
        <w:tblInd w:w="0" w:type="dxa"/>
        <w:tblLayout w:type="fixed"/>
        <w:tblCellMar>
          <w:top w:w="0" w:type="dxa"/>
          <w:left w:w="108" w:type="dxa"/>
          <w:bottom w:w="0" w:type="dxa"/>
          <w:right w:w="108" w:type="dxa"/>
        </w:tblCellMar>
      </w:tblPr>
      <w:tblGrid>
        <w:gridCol w:w="851"/>
        <w:gridCol w:w="1000"/>
        <w:gridCol w:w="10167"/>
        <w:gridCol w:w="1217"/>
        <w:gridCol w:w="789"/>
      </w:tblGrid>
      <w:tr>
        <w:tblPrEx>
          <w:tblCellMar>
            <w:top w:w="0" w:type="dxa"/>
            <w:left w:w="108" w:type="dxa"/>
            <w:bottom w:w="0" w:type="dxa"/>
            <w:right w:w="108" w:type="dxa"/>
          </w:tblCellMar>
        </w:tblPrEx>
        <w:trPr>
          <w:trHeight w:val="425" w:hRule="atLeast"/>
          <w:tblHeader/>
        </w:trPr>
        <w:tc>
          <w:tcPr>
            <w:tcW w:w="1851" w:type="dxa"/>
            <w:gridSpan w:val="2"/>
            <w:tcBorders>
              <w:top w:val="single" w:color="000000" w:sz="4" w:space="0"/>
              <w:left w:val="single" w:color="000000" w:sz="4" w:space="0"/>
              <w:bottom w:val="single" w:color="auto" w:sz="4" w:space="0"/>
              <w:right w:val="single" w:color="000000" w:sz="4" w:space="0"/>
            </w:tcBorders>
            <w:vAlign w:val="center"/>
          </w:tcPr>
          <w:p>
            <w:pPr>
              <w:widowControl/>
              <w:shd w:val="clear" w:color="auto" w:fill="FFFFFF"/>
              <w:snapToGrid w:val="0"/>
              <w:jc w:val="center"/>
              <w:rPr>
                <w:rFonts w:ascii="宋体" w:hAnsi="宋体" w:cs="宋体"/>
                <w:szCs w:val="21"/>
              </w:rPr>
            </w:pPr>
            <w:r>
              <w:rPr>
                <w:rFonts w:hint="eastAsia" w:ascii="宋体" w:hAnsi="宋体" w:cs="宋体"/>
                <w:szCs w:val="21"/>
              </w:rPr>
              <w:t>评价因素</w:t>
            </w:r>
          </w:p>
        </w:tc>
        <w:tc>
          <w:tcPr>
            <w:tcW w:w="10167"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center"/>
              <w:rPr>
                <w:rFonts w:ascii="宋体" w:hAnsi="宋体" w:cs="宋体"/>
                <w:szCs w:val="21"/>
              </w:rPr>
            </w:pPr>
            <w:r>
              <w:rPr>
                <w:rFonts w:hint="eastAsia" w:ascii="宋体" w:hAnsi="宋体" w:cs="宋体"/>
                <w:szCs w:val="21"/>
              </w:rPr>
              <w:t>评价标准</w:t>
            </w:r>
          </w:p>
        </w:tc>
        <w:tc>
          <w:tcPr>
            <w:tcW w:w="1217"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center"/>
              <w:rPr>
                <w:rFonts w:ascii="宋体" w:hAnsi="宋体" w:cs="宋体"/>
                <w:szCs w:val="21"/>
              </w:rPr>
            </w:pPr>
            <w:r>
              <w:rPr>
                <w:rFonts w:hint="eastAsia" w:ascii="宋体" w:hAnsi="宋体" w:cs="宋体"/>
                <w:szCs w:val="21"/>
              </w:rPr>
              <w:t>自评价指标数据</w:t>
            </w:r>
          </w:p>
        </w:tc>
        <w:tc>
          <w:tcPr>
            <w:tcW w:w="789"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center"/>
              <w:rPr>
                <w:rFonts w:ascii="宋体" w:hAnsi="宋体" w:cs="宋体"/>
                <w:szCs w:val="21"/>
              </w:rPr>
            </w:pPr>
            <w:r>
              <w:rPr>
                <w:rFonts w:hint="eastAsia" w:ascii="宋体" w:hAnsi="宋体" w:cs="宋体"/>
                <w:szCs w:val="21"/>
              </w:rPr>
              <w:t>自评分</w:t>
            </w:r>
          </w:p>
        </w:tc>
      </w:tr>
      <w:tr>
        <w:tblPrEx>
          <w:tblCellMar>
            <w:top w:w="0" w:type="dxa"/>
            <w:left w:w="108" w:type="dxa"/>
            <w:bottom w:w="0" w:type="dxa"/>
            <w:right w:w="108" w:type="dxa"/>
          </w:tblCellMar>
        </w:tblPrEx>
        <w:trPr>
          <w:trHeight w:val="842" w:hRule="atLeast"/>
        </w:trPr>
        <w:tc>
          <w:tcPr>
            <w:tcW w:w="851" w:type="dxa"/>
            <w:vMerge w:val="restart"/>
            <w:tcBorders>
              <w:top w:val="single" w:color="auto" w:sz="4" w:space="0"/>
              <w:left w:val="single" w:color="000000" w:sz="4" w:space="0"/>
              <w:right w:val="single" w:color="000000" w:sz="4" w:space="0"/>
            </w:tcBorders>
            <w:vAlign w:val="center"/>
          </w:tcPr>
          <w:p>
            <w:pPr>
              <w:widowControl/>
              <w:shd w:val="clear" w:color="auto" w:fill="FFFFFF"/>
              <w:snapToGrid w:val="0"/>
              <w:jc w:val="center"/>
              <w:rPr>
                <w:rFonts w:ascii="宋体" w:hAnsi="宋体" w:cs="宋体"/>
                <w:szCs w:val="21"/>
              </w:rPr>
            </w:pPr>
            <w:r>
              <w:rPr>
                <w:rFonts w:hint="eastAsia" w:ascii="宋体" w:hAnsi="宋体" w:cs="宋体"/>
                <w:szCs w:val="21"/>
              </w:rPr>
              <w:t>1 财务能力</w:t>
            </w:r>
          </w:p>
          <w:p>
            <w:pPr>
              <w:widowControl/>
              <w:shd w:val="clear" w:color="auto" w:fill="FFFFFF"/>
              <w:snapToGrid w:val="0"/>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100</w:t>
            </w:r>
            <w:r>
              <w:rPr>
                <w:rFonts w:hint="eastAsia" w:ascii="宋体" w:hAnsi="宋体" w:cs="宋体"/>
                <w:szCs w:val="21"/>
              </w:rPr>
              <w:t>分）</w:t>
            </w:r>
          </w:p>
        </w:tc>
        <w:tc>
          <w:tcPr>
            <w:tcW w:w="1000"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hint="eastAsia" w:ascii="宋体" w:hAnsi="宋体" w:eastAsia="宋体" w:cs="宋体"/>
                <w:szCs w:val="21"/>
              </w:rPr>
            </w:pPr>
            <w:r>
              <w:rPr>
                <w:rFonts w:hint="eastAsia" w:ascii="宋体" w:hAnsi="宋体" w:eastAsia="宋体" w:cs="宋体"/>
                <w:szCs w:val="21"/>
              </w:rPr>
              <w:t>1.1总资产</w:t>
            </w:r>
          </w:p>
          <w:p>
            <w:pPr>
              <w:widowControl/>
              <w:shd w:val="clear" w:color="auto" w:fill="FFFFFF"/>
              <w:snapToGrid w:val="0"/>
              <w:jc w:val="left"/>
              <w:rPr>
                <w:rFonts w:ascii="宋体" w:hAnsi="宋体" w:cs="宋体"/>
                <w:szCs w:val="21"/>
              </w:rPr>
            </w:pPr>
            <w:r>
              <w:rPr>
                <w:rFonts w:hint="eastAsia" w:ascii="宋体" w:hAnsi="宋体" w:eastAsia="宋体" w:cs="宋体"/>
                <w:szCs w:val="21"/>
              </w:rPr>
              <w:t>（</w:t>
            </w:r>
            <w:r>
              <w:rPr>
                <w:rFonts w:hint="eastAsia" w:ascii="宋体" w:hAnsi="宋体" w:cs="宋体"/>
                <w:szCs w:val="21"/>
                <w:lang w:val="en-US" w:eastAsia="zh-CN"/>
              </w:rPr>
              <w:t>25</w:t>
            </w:r>
            <w:r>
              <w:rPr>
                <w:rFonts w:hint="eastAsia" w:ascii="宋体" w:hAnsi="宋体" w:eastAsia="宋体" w:cs="宋体"/>
                <w:szCs w:val="21"/>
              </w:rPr>
              <w:t>分）</w:t>
            </w:r>
          </w:p>
        </w:tc>
        <w:tc>
          <w:tcPr>
            <w:tcW w:w="10167" w:type="dxa"/>
            <w:tcBorders>
              <w:top w:val="single" w:color="000000" w:sz="4" w:space="0"/>
              <w:left w:val="nil"/>
              <w:bottom w:val="single" w:color="000000" w:sz="4" w:space="0"/>
              <w:right w:val="single" w:color="000000" w:sz="4" w:space="0"/>
            </w:tcBorders>
            <w:vAlign w:val="center"/>
          </w:tcPr>
          <w:p>
            <w:pPr>
              <w:widowControl/>
              <w:numPr>
                <w:ilvl w:val="0"/>
                <w:numId w:val="0"/>
              </w:numPr>
              <w:shd w:val="clear" w:color="auto" w:fill="FFFFFF"/>
              <w:snapToGrid w:val="0"/>
              <w:ind w:left="0" w:leftChars="0" w:firstLine="0" w:firstLineChars="0"/>
              <w:jc w:val="left"/>
              <w:rPr>
                <w:rFonts w:ascii="宋体" w:hAnsi="宋体" w:cs="宋体"/>
                <w:szCs w:val="21"/>
              </w:rPr>
            </w:pPr>
            <w:r>
              <w:rPr>
                <w:rFonts w:hint="eastAsia" w:ascii="宋体" w:hAnsi="宋体" w:eastAsia="宋体" w:cs="宋体"/>
                <w:szCs w:val="21"/>
                <w:lang w:eastAsia="zh-CN"/>
              </w:rPr>
              <w:t>2021年末总资产达512亿元×持股比例的，得</w:t>
            </w:r>
            <w:r>
              <w:rPr>
                <w:rFonts w:hint="eastAsia" w:ascii="宋体" w:hAnsi="宋体" w:cs="宋体"/>
                <w:szCs w:val="21"/>
                <w:lang w:val="en-US" w:eastAsia="zh-CN"/>
              </w:rPr>
              <w:t>25</w:t>
            </w:r>
            <w:r>
              <w:rPr>
                <w:rFonts w:hint="eastAsia" w:ascii="宋体" w:hAnsi="宋体" w:eastAsia="宋体" w:cs="宋体"/>
                <w:szCs w:val="21"/>
                <w:lang w:eastAsia="zh-CN"/>
              </w:rPr>
              <w:t>分。不足的得0分。</w:t>
            </w:r>
          </w:p>
        </w:tc>
        <w:tc>
          <w:tcPr>
            <w:tcW w:w="1217"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ascii="宋体" w:hAnsi="宋体" w:cs="宋体"/>
                <w:szCs w:val="21"/>
              </w:rPr>
            </w:pPr>
          </w:p>
        </w:tc>
        <w:tc>
          <w:tcPr>
            <w:tcW w:w="789"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ascii="宋体" w:hAnsi="宋体" w:cs="宋体"/>
                <w:szCs w:val="21"/>
              </w:rPr>
            </w:pPr>
          </w:p>
        </w:tc>
      </w:tr>
      <w:tr>
        <w:tblPrEx>
          <w:tblCellMar>
            <w:top w:w="0" w:type="dxa"/>
            <w:left w:w="108" w:type="dxa"/>
            <w:bottom w:w="0" w:type="dxa"/>
            <w:right w:w="108" w:type="dxa"/>
          </w:tblCellMar>
        </w:tblPrEx>
        <w:trPr>
          <w:trHeight w:val="710" w:hRule="atLeast"/>
        </w:trPr>
        <w:tc>
          <w:tcPr>
            <w:tcW w:w="851" w:type="dxa"/>
            <w:vMerge w:val="continue"/>
            <w:tcBorders>
              <w:top w:val="single" w:color="auto" w:sz="4" w:space="0"/>
              <w:left w:val="single" w:color="000000" w:sz="4" w:space="0"/>
              <w:bottom w:val="single" w:color="auto" w:sz="4" w:space="0"/>
              <w:right w:val="single" w:color="000000" w:sz="4" w:space="0"/>
            </w:tcBorders>
            <w:vAlign w:val="center"/>
          </w:tcPr>
          <w:p>
            <w:pPr>
              <w:widowControl/>
              <w:shd w:val="clear" w:color="auto" w:fill="FFFFFF"/>
              <w:snapToGrid w:val="0"/>
              <w:ind w:firstLine="420" w:firstLineChars="200"/>
              <w:jc w:val="center"/>
              <w:rPr>
                <w:rFonts w:ascii="宋体" w:hAnsi="宋体" w:cs="宋体"/>
                <w:szCs w:val="21"/>
              </w:rPr>
            </w:pPr>
          </w:p>
        </w:tc>
        <w:tc>
          <w:tcPr>
            <w:tcW w:w="1000"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hint="eastAsia" w:ascii="宋体" w:hAnsi="宋体" w:eastAsia="宋体" w:cs="宋体"/>
                <w:szCs w:val="21"/>
              </w:rPr>
            </w:pPr>
            <w:r>
              <w:rPr>
                <w:rFonts w:hint="eastAsia" w:ascii="宋体" w:hAnsi="宋体" w:eastAsia="宋体" w:cs="宋体"/>
                <w:szCs w:val="21"/>
              </w:rPr>
              <w:t>1.2净资产</w:t>
            </w:r>
          </w:p>
          <w:p>
            <w:pPr>
              <w:widowControl/>
              <w:shd w:val="clear" w:color="auto" w:fill="FFFFFF"/>
              <w:snapToGrid w:val="0"/>
              <w:jc w:val="left"/>
              <w:rPr>
                <w:rFonts w:ascii="宋体" w:hAnsi="宋体" w:cs="宋体"/>
                <w:szCs w:val="21"/>
              </w:rPr>
            </w:pPr>
            <w:r>
              <w:rPr>
                <w:rFonts w:hint="eastAsia" w:ascii="宋体" w:hAnsi="宋体" w:eastAsia="宋体" w:cs="宋体"/>
                <w:szCs w:val="21"/>
              </w:rPr>
              <w:t>（</w:t>
            </w:r>
            <w:r>
              <w:rPr>
                <w:rFonts w:hint="eastAsia" w:ascii="宋体" w:hAnsi="宋体" w:cs="宋体"/>
                <w:szCs w:val="21"/>
                <w:lang w:val="en-US" w:eastAsia="zh-CN"/>
              </w:rPr>
              <w:t>25</w:t>
            </w:r>
            <w:r>
              <w:rPr>
                <w:rFonts w:hint="eastAsia" w:ascii="宋体" w:hAnsi="宋体" w:eastAsia="宋体" w:cs="宋体"/>
                <w:szCs w:val="21"/>
              </w:rPr>
              <w:t>分）</w:t>
            </w:r>
          </w:p>
        </w:tc>
        <w:tc>
          <w:tcPr>
            <w:tcW w:w="10167"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ascii="宋体" w:hAnsi="宋体" w:cs="宋体"/>
                <w:szCs w:val="21"/>
              </w:rPr>
            </w:pPr>
            <w:r>
              <w:rPr>
                <w:rFonts w:hint="eastAsia" w:ascii="宋体" w:hAnsi="宋体" w:eastAsia="宋体" w:cs="宋体"/>
              </w:rPr>
              <w:t>2021 年末净资产达 179 亿元×</w:t>
            </w:r>
            <w:r>
              <w:rPr>
                <w:rFonts w:hint="eastAsia" w:ascii="宋体" w:hAnsi="宋体" w:eastAsia="宋体" w:cs="宋体"/>
                <w:lang w:val="en-US" w:eastAsia="zh-CN"/>
              </w:rPr>
              <w:t>持股比例</w:t>
            </w:r>
            <w:r>
              <w:rPr>
                <w:rFonts w:hint="eastAsia" w:ascii="宋体" w:hAnsi="宋体" w:eastAsia="宋体" w:cs="宋体"/>
              </w:rPr>
              <w:t>的，得</w:t>
            </w:r>
            <w:r>
              <w:rPr>
                <w:rFonts w:hint="eastAsia" w:ascii="宋体" w:hAnsi="宋体" w:cs="宋体"/>
                <w:lang w:val="en-US" w:eastAsia="zh-CN"/>
              </w:rPr>
              <w:t>25</w:t>
            </w:r>
            <w:r>
              <w:rPr>
                <w:rFonts w:hint="eastAsia" w:ascii="宋体" w:hAnsi="宋体" w:eastAsia="宋体" w:cs="宋体"/>
              </w:rPr>
              <w:t>分</w:t>
            </w:r>
            <w:r>
              <w:rPr>
                <w:rFonts w:hint="eastAsia" w:ascii="宋体" w:hAnsi="宋体" w:eastAsia="宋体" w:cs="宋体"/>
                <w:lang w:eastAsia="zh-CN"/>
              </w:rPr>
              <w:t>。</w:t>
            </w:r>
            <w:r>
              <w:rPr>
                <w:rFonts w:hint="eastAsia" w:ascii="宋体" w:hAnsi="宋体" w:eastAsia="宋体" w:cs="宋体"/>
                <w:szCs w:val="21"/>
                <w:lang w:val="en-US" w:eastAsia="zh-CN"/>
              </w:rPr>
              <w:t>不足的得0分。</w:t>
            </w:r>
          </w:p>
        </w:tc>
        <w:tc>
          <w:tcPr>
            <w:tcW w:w="1217"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ascii="宋体" w:hAnsi="宋体" w:cs="宋体"/>
                <w:szCs w:val="21"/>
              </w:rPr>
            </w:pPr>
          </w:p>
        </w:tc>
        <w:tc>
          <w:tcPr>
            <w:tcW w:w="789"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ascii="宋体" w:hAnsi="宋体" w:cs="宋体"/>
                <w:szCs w:val="21"/>
              </w:rPr>
            </w:pPr>
          </w:p>
        </w:tc>
      </w:tr>
      <w:tr>
        <w:tblPrEx>
          <w:tblCellMar>
            <w:top w:w="0" w:type="dxa"/>
            <w:left w:w="108" w:type="dxa"/>
            <w:bottom w:w="0" w:type="dxa"/>
            <w:right w:w="108" w:type="dxa"/>
          </w:tblCellMar>
        </w:tblPrEx>
        <w:trPr>
          <w:trHeight w:val="989" w:hRule="atLeast"/>
        </w:trPr>
        <w:tc>
          <w:tcPr>
            <w:tcW w:w="851" w:type="dxa"/>
            <w:vMerge w:val="continue"/>
            <w:tcBorders>
              <w:top w:val="single" w:color="auto" w:sz="4" w:space="0"/>
              <w:left w:val="single" w:color="000000" w:sz="4" w:space="0"/>
              <w:bottom w:val="single" w:color="auto" w:sz="4" w:space="0"/>
              <w:right w:val="single" w:color="000000" w:sz="4" w:space="0"/>
            </w:tcBorders>
            <w:vAlign w:val="center"/>
          </w:tcPr>
          <w:p>
            <w:pPr>
              <w:widowControl/>
              <w:shd w:val="clear" w:color="auto" w:fill="FFFFFF"/>
              <w:snapToGrid w:val="0"/>
              <w:ind w:firstLine="420" w:firstLineChars="200"/>
              <w:jc w:val="center"/>
              <w:rPr>
                <w:rFonts w:ascii="宋体" w:hAnsi="宋体" w:cs="宋体"/>
                <w:szCs w:val="21"/>
              </w:rPr>
            </w:pPr>
          </w:p>
        </w:tc>
        <w:tc>
          <w:tcPr>
            <w:tcW w:w="1000"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hint="eastAsia" w:ascii="宋体" w:hAnsi="宋体" w:eastAsia="宋体" w:cs="宋体"/>
                <w:szCs w:val="21"/>
              </w:rPr>
            </w:pPr>
            <w:r>
              <w:rPr>
                <w:rFonts w:hint="eastAsia" w:ascii="宋体" w:hAnsi="宋体" w:eastAsia="宋体" w:cs="宋体"/>
                <w:szCs w:val="21"/>
              </w:rPr>
              <w:t>1.3负债率</w:t>
            </w:r>
          </w:p>
          <w:p>
            <w:pPr>
              <w:widowControl/>
              <w:shd w:val="clear" w:color="auto" w:fill="FFFFFF"/>
              <w:snapToGrid w:val="0"/>
              <w:jc w:val="left"/>
              <w:rPr>
                <w:rFonts w:ascii="宋体" w:hAnsi="宋体" w:cs="宋体"/>
                <w:szCs w:val="21"/>
              </w:rPr>
            </w:pPr>
            <w:r>
              <w:rPr>
                <w:rFonts w:hint="eastAsia" w:ascii="宋体" w:hAnsi="宋体" w:eastAsia="宋体" w:cs="宋体"/>
                <w:szCs w:val="21"/>
              </w:rPr>
              <w:t>（</w:t>
            </w:r>
            <w:r>
              <w:rPr>
                <w:rFonts w:hint="eastAsia" w:ascii="宋体" w:hAnsi="宋体" w:cs="宋体"/>
                <w:szCs w:val="21"/>
                <w:lang w:val="en-US" w:eastAsia="zh-CN"/>
              </w:rPr>
              <w:t>25</w:t>
            </w:r>
            <w:r>
              <w:rPr>
                <w:rFonts w:hint="eastAsia" w:ascii="宋体" w:hAnsi="宋体" w:eastAsia="宋体" w:cs="宋体"/>
                <w:szCs w:val="21"/>
              </w:rPr>
              <w:t>分）</w:t>
            </w:r>
          </w:p>
        </w:tc>
        <w:tc>
          <w:tcPr>
            <w:tcW w:w="10167"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ascii="宋体" w:hAnsi="宋体" w:cs="宋体"/>
                <w:szCs w:val="21"/>
              </w:rPr>
            </w:pPr>
            <w:r>
              <w:rPr>
                <w:rFonts w:hint="eastAsia" w:ascii="宋体" w:hAnsi="宋体" w:cs="宋体"/>
                <w:szCs w:val="21"/>
                <w:lang w:val="en-US" w:eastAsia="zh-CN"/>
              </w:rPr>
              <w:t>2021</w:t>
            </w:r>
            <w:r>
              <w:rPr>
                <w:rFonts w:hint="eastAsia" w:ascii="宋体" w:hAnsi="宋体" w:eastAsia="宋体" w:cs="宋体"/>
                <w:szCs w:val="21"/>
              </w:rPr>
              <w:t>年末资产负债率不大于90%，得</w:t>
            </w:r>
            <w:r>
              <w:rPr>
                <w:rFonts w:hint="eastAsia" w:ascii="宋体" w:hAnsi="宋体" w:cs="宋体"/>
                <w:szCs w:val="21"/>
                <w:lang w:val="en-US" w:eastAsia="zh-CN"/>
              </w:rPr>
              <w:t>25</w:t>
            </w:r>
            <w:r>
              <w:rPr>
                <w:rFonts w:hint="eastAsia" w:ascii="宋体" w:hAnsi="宋体" w:eastAsia="宋体" w:cs="宋体"/>
                <w:szCs w:val="21"/>
              </w:rPr>
              <w:t>分。</w:t>
            </w:r>
            <w:r>
              <w:rPr>
                <w:rFonts w:hint="eastAsia" w:ascii="宋体" w:hAnsi="宋体" w:cs="宋体"/>
                <w:szCs w:val="21"/>
                <w:lang w:val="en-US" w:eastAsia="zh-CN"/>
              </w:rPr>
              <w:t>高于90%</w:t>
            </w:r>
            <w:r>
              <w:rPr>
                <w:rFonts w:hint="eastAsia" w:ascii="宋体" w:hAnsi="宋体" w:eastAsia="宋体" w:cs="宋体"/>
                <w:szCs w:val="21"/>
                <w:lang w:val="en-US" w:eastAsia="zh-CN"/>
              </w:rPr>
              <w:t>的得0分。</w:t>
            </w:r>
          </w:p>
        </w:tc>
        <w:tc>
          <w:tcPr>
            <w:tcW w:w="1217"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ascii="宋体" w:hAnsi="宋体" w:cs="宋体"/>
                <w:szCs w:val="21"/>
              </w:rPr>
            </w:pPr>
          </w:p>
        </w:tc>
        <w:tc>
          <w:tcPr>
            <w:tcW w:w="789"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ascii="宋体" w:hAnsi="宋体" w:cs="宋体"/>
                <w:szCs w:val="21"/>
              </w:rPr>
            </w:pPr>
          </w:p>
        </w:tc>
      </w:tr>
      <w:tr>
        <w:tblPrEx>
          <w:tblCellMar>
            <w:top w:w="0" w:type="dxa"/>
            <w:left w:w="108" w:type="dxa"/>
            <w:bottom w:w="0" w:type="dxa"/>
            <w:right w:w="108" w:type="dxa"/>
          </w:tblCellMar>
        </w:tblPrEx>
        <w:trPr>
          <w:trHeight w:val="466" w:hRule="atLeast"/>
        </w:trPr>
        <w:tc>
          <w:tcPr>
            <w:tcW w:w="851" w:type="dxa"/>
            <w:vMerge w:val="continue"/>
            <w:tcBorders>
              <w:top w:val="single" w:color="auto" w:sz="4" w:space="0"/>
              <w:left w:val="single" w:color="000000" w:sz="4" w:space="0"/>
              <w:bottom w:val="single" w:color="auto" w:sz="4" w:space="0"/>
              <w:right w:val="single" w:color="000000" w:sz="4" w:space="0"/>
            </w:tcBorders>
            <w:vAlign w:val="center"/>
          </w:tcPr>
          <w:p>
            <w:pPr>
              <w:widowControl/>
              <w:shd w:val="clear" w:color="auto" w:fill="FFFFFF"/>
              <w:snapToGrid w:val="0"/>
              <w:ind w:firstLine="420" w:firstLineChars="200"/>
              <w:jc w:val="center"/>
              <w:rPr>
                <w:kern w:val="2"/>
                <w:sz w:val="21"/>
                <w:szCs w:val="21"/>
                <w:lang w:eastAsia="zh-CN"/>
              </w:rPr>
            </w:pPr>
          </w:p>
        </w:tc>
        <w:tc>
          <w:tcPr>
            <w:tcW w:w="1000"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hint="eastAsia" w:ascii="宋体" w:hAnsi="宋体" w:eastAsia="宋体" w:cs="宋体"/>
                <w:szCs w:val="21"/>
              </w:rPr>
            </w:pPr>
            <w:r>
              <w:rPr>
                <w:rFonts w:hint="eastAsia" w:ascii="宋体" w:hAnsi="宋体" w:eastAsia="宋体" w:cs="宋体"/>
                <w:szCs w:val="21"/>
                <w:lang w:val="en-US" w:eastAsia="zh-CN"/>
              </w:rPr>
              <w:t xml:space="preserve">1.4货币资金 </w:t>
            </w:r>
          </w:p>
          <w:p>
            <w:pPr>
              <w:widowControl/>
              <w:shd w:val="clear" w:color="auto" w:fill="FFFFFF"/>
              <w:snapToGrid w:val="0"/>
              <w:jc w:val="left"/>
              <w:rPr>
                <w:rFonts w:ascii="宋体" w:hAnsi="宋体" w:cs="宋体"/>
                <w:szCs w:val="21"/>
              </w:rPr>
            </w:pPr>
            <w:r>
              <w:rPr>
                <w:rFonts w:hint="eastAsia" w:ascii="宋体" w:hAnsi="宋体" w:eastAsia="宋体" w:cs="宋体"/>
                <w:szCs w:val="21"/>
              </w:rPr>
              <w:t>（</w:t>
            </w:r>
            <w:r>
              <w:rPr>
                <w:rFonts w:hint="eastAsia" w:ascii="宋体" w:hAnsi="宋体" w:cs="宋体"/>
                <w:szCs w:val="21"/>
                <w:lang w:val="en-US" w:eastAsia="zh-CN"/>
              </w:rPr>
              <w:t>25</w:t>
            </w:r>
            <w:r>
              <w:rPr>
                <w:rFonts w:hint="eastAsia" w:ascii="宋体" w:hAnsi="宋体" w:eastAsia="宋体" w:cs="宋体"/>
                <w:szCs w:val="21"/>
              </w:rPr>
              <w:t>分）</w:t>
            </w:r>
          </w:p>
        </w:tc>
        <w:tc>
          <w:tcPr>
            <w:tcW w:w="10167"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ascii="宋体" w:hAnsi="宋体" w:cs="宋体"/>
                <w:szCs w:val="21"/>
              </w:rPr>
            </w:pPr>
            <w:r>
              <w:rPr>
                <w:rFonts w:hint="eastAsia" w:ascii="宋体" w:hAnsi="宋体" w:eastAsia="宋体" w:cs="宋体"/>
                <w:szCs w:val="21"/>
                <w:lang w:val="en-US" w:eastAsia="zh-CN"/>
              </w:rPr>
              <w:t>2021 年末货币资金达25亿元×持股比例的</w:t>
            </w:r>
            <w:r>
              <w:rPr>
                <w:rFonts w:hint="eastAsia" w:ascii="宋体" w:hAnsi="宋体" w:eastAsia="宋体" w:cs="宋体"/>
                <w:szCs w:val="21"/>
              </w:rPr>
              <w:t>，得</w:t>
            </w:r>
            <w:r>
              <w:rPr>
                <w:rFonts w:hint="eastAsia" w:ascii="宋体" w:hAnsi="宋体" w:cs="宋体"/>
                <w:szCs w:val="21"/>
                <w:lang w:val="en-US" w:eastAsia="zh-CN"/>
              </w:rPr>
              <w:t>25</w:t>
            </w:r>
            <w:r>
              <w:rPr>
                <w:rFonts w:hint="eastAsia" w:ascii="宋体" w:hAnsi="宋体" w:eastAsia="宋体" w:cs="宋体"/>
                <w:szCs w:val="21"/>
              </w:rPr>
              <w:t>分。</w:t>
            </w:r>
            <w:r>
              <w:rPr>
                <w:rFonts w:hint="eastAsia" w:ascii="宋体" w:hAnsi="宋体" w:eastAsia="宋体" w:cs="宋体"/>
                <w:szCs w:val="21"/>
                <w:lang w:val="en-US" w:eastAsia="zh-CN"/>
              </w:rPr>
              <w:t>不足的得0分。</w:t>
            </w:r>
          </w:p>
        </w:tc>
        <w:tc>
          <w:tcPr>
            <w:tcW w:w="1217"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ascii="宋体" w:hAnsi="宋体" w:cs="宋体"/>
                <w:szCs w:val="21"/>
              </w:rPr>
            </w:pPr>
          </w:p>
        </w:tc>
        <w:tc>
          <w:tcPr>
            <w:tcW w:w="789"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ascii="宋体" w:hAnsi="宋体" w:cs="宋体"/>
                <w:szCs w:val="21"/>
              </w:rPr>
            </w:pPr>
          </w:p>
        </w:tc>
      </w:tr>
      <w:tr>
        <w:tblPrEx>
          <w:tblCellMar>
            <w:top w:w="0" w:type="dxa"/>
            <w:left w:w="108" w:type="dxa"/>
            <w:bottom w:w="0" w:type="dxa"/>
            <w:right w:w="108" w:type="dxa"/>
          </w:tblCellMar>
        </w:tblPrEx>
        <w:trPr>
          <w:trHeight w:val="1661" w:hRule="atLeast"/>
        </w:trPr>
        <w:tc>
          <w:tcPr>
            <w:tcW w:w="851" w:type="dxa"/>
            <w:tcBorders>
              <w:top w:val="single" w:color="auto" w:sz="4" w:space="0"/>
              <w:left w:val="single" w:color="000000" w:sz="4" w:space="0"/>
              <w:right w:val="single" w:color="000000" w:sz="4" w:space="0"/>
            </w:tcBorders>
            <w:vAlign w:val="center"/>
          </w:tcPr>
          <w:p>
            <w:pPr>
              <w:pStyle w:val="12"/>
              <w:snapToGrid w:val="0"/>
              <w:jc w:val="center"/>
              <w:rPr>
                <w:rFonts w:hint="default" w:ascii="宋体" w:hAnsi="宋体" w:eastAsia="宋体" w:cs="宋体"/>
                <w:kern w:val="2"/>
                <w:sz w:val="21"/>
                <w:szCs w:val="21"/>
                <w:lang w:val="en-US" w:eastAsia="zh-CN" w:bidi="ar-SA"/>
              </w:rPr>
            </w:pPr>
            <w:r>
              <w:rPr>
                <w:rFonts w:hint="eastAsia"/>
                <w:kern w:val="2"/>
                <w:sz w:val="21"/>
                <w:szCs w:val="21"/>
                <w:lang w:eastAsia="zh-CN"/>
              </w:rPr>
              <w:t xml:space="preserve">2 </w:t>
            </w:r>
            <w:r>
              <w:rPr>
                <w:rFonts w:hint="eastAsia"/>
                <w:kern w:val="2"/>
                <w:sz w:val="21"/>
                <w:szCs w:val="21"/>
                <w:lang w:val="en-US" w:eastAsia="zh-CN"/>
              </w:rPr>
              <w:t>其他要求</w:t>
            </w:r>
          </w:p>
        </w:tc>
        <w:tc>
          <w:tcPr>
            <w:tcW w:w="1000"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hint="eastAsia" w:ascii="宋体" w:hAnsi="宋体" w:eastAsia="宋体" w:cs="宋体"/>
                <w:kern w:val="2"/>
                <w:sz w:val="21"/>
                <w:szCs w:val="21"/>
                <w:lang w:val="en-US" w:eastAsia="zh-CN" w:bidi="ar-SA"/>
              </w:rPr>
            </w:pPr>
            <w:r>
              <w:rPr>
                <w:rFonts w:hint="eastAsia" w:ascii="宋体" w:hAnsi="宋体" w:cs="宋体"/>
                <w:szCs w:val="21"/>
              </w:rPr>
              <w:t>2.</w:t>
            </w:r>
            <w:r>
              <w:rPr>
                <w:rFonts w:hint="eastAsia" w:ascii="宋体" w:hAnsi="宋体" w:cs="宋体"/>
                <w:szCs w:val="21"/>
                <w:lang w:val="en-US" w:eastAsia="zh-CN"/>
              </w:rPr>
              <w:t>1</w:t>
            </w:r>
            <w:r>
              <w:rPr>
                <w:rFonts w:hint="eastAsia" w:ascii="宋体" w:hAnsi="宋体" w:cs="宋体"/>
                <w:szCs w:val="21"/>
              </w:rPr>
              <w:t xml:space="preserve"> </w:t>
            </w:r>
            <w:r>
              <w:rPr>
                <w:rFonts w:hint="eastAsia" w:ascii="宋体" w:hAnsi="宋体" w:cs="宋体"/>
                <w:szCs w:val="21"/>
                <w:lang w:val="en-US" w:eastAsia="zh-CN"/>
              </w:rPr>
              <w:t>施工业绩</w:t>
            </w:r>
          </w:p>
        </w:tc>
        <w:tc>
          <w:tcPr>
            <w:tcW w:w="10167"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hint="eastAsia" w:ascii="宋体" w:hAnsi="宋体" w:eastAsia="宋体" w:cs="宋体"/>
              </w:rPr>
            </w:pPr>
            <w:r>
              <w:rPr>
                <w:rFonts w:hint="eastAsia" w:ascii="宋体" w:hAnsi="宋体" w:eastAsia="宋体" w:cs="宋体"/>
              </w:rPr>
              <w:t>承担施工任务的单位应具备公路工程总承包一级及以上资质</w:t>
            </w:r>
            <w:r>
              <w:rPr>
                <w:rFonts w:hint="eastAsia" w:ascii="宋体" w:hAnsi="宋体" w:eastAsia="宋体" w:cs="宋体"/>
                <w:lang w:val="en-US" w:eastAsia="zh-CN"/>
              </w:rPr>
              <w:t>,</w:t>
            </w:r>
            <w:r>
              <w:rPr>
                <w:rFonts w:hint="eastAsia" w:ascii="宋体" w:hAnsi="宋体" w:eastAsia="宋体" w:cs="宋体"/>
              </w:rPr>
              <w:t>其中承担单独特殊结构桥梁的应具备桥梁专业承包一级或总承包特级资质</w:t>
            </w:r>
            <w:r>
              <w:rPr>
                <w:rFonts w:hint="eastAsia" w:ascii="宋体" w:hAnsi="宋体" w:eastAsia="宋体" w:cs="宋体"/>
                <w:lang w:val="en-US" w:eastAsia="zh-CN"/>
              </w:rPr>
              <w:t>,</w:t>
            </w:r>
            <w:r>
              <w:rPr>
                <w:rFonts w:hint="eastAsia" w:ascii="宋体" w:hAnsi="宋体" w:eastAsia="宋体" w:cs="宋体"/>
              </w:rPr>
              <w:t>施工合同段内包含主跨不小于 600 米特大桥梁的，其承包人应至少具备 1 座主跨不小于 600 米的类似特大桥梁施工业绩经验；施工合同段内包含单洞长度不小于 5000 米或单向四车道特长隧道的，其承包人应至少具备 1 座单洞长度不小于 3000 米的特长公路隧道的施工业绩经验。</w:t>
            </w:r>
          </w:p>
          <w:p>
            <w:pPr>
              <w:widowControl/>
              <w:numPr>
                <w:ilvl w:val="0"/>
                <w:numId w:val="0"/>
              </w:numPr>
              <w:shd w:val="clear" w:color="auto" w:fill="FFFFFF"/>
              <w:snapToGrid w:val="0"/>
              <w:ind w:left="0" w:leftChars="0" w:firstLine="0" w:firstLineChars="0"/>
              <w:jc w:val="left"/>
              <w:rPr>
                <w:rFonts w:hint="eastAsia" w:ascii="Calibri" w:hAnsi="Calibri" w:eastAsia="宋体" w:cs="Times New Roman"/>
                <w:kern w:val="2"/>
                <w:sz w:val="21"/>
                <w:szCs w:val="22"/>
                <w:lang w:val="en-US" w:eastAsia="zh-CN" w:bidi="ar-SA"/>
              </w:rPr>
            </w:pPr>
            <w:r>
              <w:rPr>
                <w:rFonts w:hint="eastAsia" w:ascii="宋体" w:hAnsi="宋体" w:eastAsia="宋体" w:cs="宋体"/>
                <w:lang w:val="en-US" w:eastAsia="zh-CN"/>
              </w:rPr>
              <w:t>投资合作人若无相关施工业绩，则不能施工对应工程段落。</w:t>
            </w:r>
          </w:p>
        </w:tc>
        <w:tc>
          <w:tcPr>
            <w:tcW w:w="1217"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ascii="宋体" w:hAnsi="宋体" w:cs="宋体"/>
                <w:szCs w:val="21"/>
              </w:rPr>
            </w:pPr>
          </w:p>
        </w:tc>
        <w:tc>
          <w:tcPr>
            <w:tcW w:w="789"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hint="default" w:ascii="宋体" w:hAnsi="宋体" w:eastAsia="宋体" w:cs="宋体"/>
                <w:szCs w:val="21"/>
                <w:lang w:val="en-US" w:eastAsia="zh-CN"/>
              </w:rPr>
            </w:pPr>
            <w:r>
              <w:rPr>
                <w:rFonts w:hint="eastAsia" w:ascii="宋体" w:hAnsi="宋体" w:cs="宋体"/>
                <w:szCs w:val="21"/>
                <w:lang w:val="en-US" w:eastAsia="zh-CN"/>
              </w:rPr>
              <w:t>/</w:t>
            </w:r>
          </w:p>
        </w:tc>
      </w:tr>
      <w:tr>
        <w:tblPrEx>
          <w:tblCellMar>
            <w:top w:w="0" w:type="dxa"/>
            <w:left w:w="108" w:type="dxa"/>
            <w:bottom w:w="0" w:type="dxa"/>
            <w:right w:w="108" w:type="dxa"/>
          </w:tblCellMar>
        </w:tblPrEx>
        <w:trPr>
          <w:trHeight w:val="478" w:hRule="atLeast"/>
        </w:trPr>
        <w:tc>
          <w:tcPr>
            <w:tcW w:w="12018" w:type="dxa"/>
            <w:gridSpan w:val="3"/>
            <w:tcBorders>
              <w:top w:val="single" w:color="auto" w:sz="4" w:space="0"/>
              <w:left w:val="single" w:color="000000" w:sz="4" w:space="0"/>
              <w:bottom w:val="single" w:color="auto" w:sz="4" w:space="0"/>
              <w:right w:val="single" w:color="000000" w:sz="4" w:space="0"/>
            </w:tcBorders>
            <w:vAlign w:val="center"/>
          </w:tcPr>
          <w:p>
            <w:pPr>
              <w:widowControl/>
              <w:shd w:val="clear" w:color="auto" w:fill="FFFFFF"/>
              <w:snapToGrid w:val="0"/>
              <w:jc w:val="center"/>
              <w:rPr>
                <w:rFonts w:ascii="宋体" w:hAnsi="宋体" w:cs="宋体"/>
                <w:szCs w:val="21"/>
              </w:rPr>
            </w:pPr>
            <w:r>
              <w:rPr>
                <w:rFonts w:hint="eastAsia" w:ascii="宋体" w:hAnsi="宋体" w:cs="宋体"/>
                <w:szCs w:val="21"/>
              </w:rPr>
              <w:t>自评分合计</w:t>
            </w:r>
          </w:p>
        </w:tc>
        <w:tc>
          <w:tcPr>
            <w:tcW w:w="2006" w:type="dxa"/>
            <w:gridSpan w:val="2"/>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ascii="宋体" w:hAnsi="宋体" w:cs="宋体"/>
                <w:szCs w:val="21"/>
              </w:rPr>
            </w:pPr>
          </w:p>
        </w:tc>
      </w:tr>
    </w:tbl>
    <w:p>
      <w:pPr>
        <w:pStyle w:val="4"/>
        <w:ind w:left="0"/>
        <w:rPr>
          <w:sz w:val="21"/>
          <w:szCs w:val="21"/>
          <w:lang w:eastAsia="zh-CN"/>
        </w:rPr>
      </w:pPr>
      <w:r>
        <w:rPr>
          <w:rFonts w:hint="eastAsia"/>
          <w:sz w:val="21"/>
          <w:szCs w:val="21"/>
          <w:lang w:eastAsia="zh-CN"/>
        </w:rPr>
        <w:t>注：请各遴选</w:t>
      </w:r>
      <w:r>
        <w:rPr>
          <w:rFonts w:hint="eastAsia"/>
          <w:sz w:val="21"/>
          <w:szCs w:val="21"/>
          <w:lang w:val="en-US" w:eastAsia="zh-CN"/>
        </w:rPr>
        <w:t>投资</w:t>
      </w:r>
      <w:r>
        <w:rPr>
          <w:rFonts w:hint="eastAsia"/>
          <w:sz w:val="21"/>
          <w:szCs w:val="21"/>
          <w:lang w:eastAsia="zh-CN"/>
        </w:rPr>
        <w:t>合作人据实填写有关数据，</w:t>
      </w:r>
      <w:r>
        <w:rPr>
          <w:rFonts w:hint="eastAsia"/>
          <w:sz w:val="21"/>
          <w:szCs w:val="21"/>
          <w:lang w:val="en-US" w:eastAsia="zh-CN"/>
        </w:rPr>
        <w:t>除2.1外</w:t>
      </w:r>
      <w:r>
        <w:rPr>
          <w:rFonts w:hint="eastAsia"/>
          <w:sz w:val="21"/>
          <w:szCs w:val="21"/>
          <w:lang w:eastAsia="zh-CN"/>
        </w:rPr>
        <w:t>无需另行提供相关证明材料。</w:t>
      </w:r>
    </w:p>
    <w:p>
      <w:pPr>
        <w:pStyle w:val="4"/>
        <w:ind w:left="0"/>
        <w:rPr>
          <w:rFonts w:hint="eastAsia"/>
          <w:sz w:val="21"/>
          <w:szCs w:val="21"/>
          <w:lang w:eastAsia="zh-CN"/>
        </w:rPr>
      </w:pPr>
    </w:p>
    <w:p>
      <w:pPr>
        <w:pStyle w:val="4"/>
        <w:ind w:left="0"/>
        <w:rPr>
          <w:rFonts w:hint="eastAsia"/>
          <w:sz w:val="21"/>
          <w:szCs w:val="21"/>
          <w:lang w:eastAsia="zh-CN"/>
        </w:rPr>
      </w:pPr>
    </w:p>
    <w:p>
      <w:pPr>
        <w:pStyle w:val="4"/>
        <w:ind w:left="0"/>
        <w:rPr>
          <w:rFonts w:hint="default"/>
          <w:sz w:val="21"/>
          <w:szCs w:val="21"/>
          <w:lang w:val="en-US" w:eastAsia="zh-CN"/>
        </w:rPr>
      </w:pPr>
      <w:r>
        <w:rPr>
          <w:rFonts w:hint="eastAsia"/>
          <w:sz w:val="21"/>
          <w:szCs w:val="21"/>
          <w:lang w:eastAsia="zh-CN"/>
        </w:rPr>
        <w:t xml:space="preserve">                                                                                          遴选合作人：</w:t>
      </w:r>
      <w:r>
        <w:rPr>
          <w:rFonts w:hint="eastAsia"/>
          <w:sz w:val="21"/>
          <w:szCs w:val="21"/>
          <w:u w:val="single"/>
          <w:lang w:eastAsia="zh-CN"/>
        </w:rPr>
        <w:t xml:space="preserve">          （公章）             </w:t>
      </w:r>
    </w:p>
    <w:sectPr>
      <w:pgSz w:w="16838" w:h="11906" w:orient="landscape"/>
      <w:pgMar w:top="1349" w:right="1440" w:bottom="1349" w:left="1440" w:header="851"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vert="horz" wrap="none" lIns="0" tIns="0" rIns="0" bIns="0" anchor="t">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QdjZcNABAACkAwAADgAAAAAAAAABACAAAAAeAQAAZHJz&#10;L2Uyb0RvYy54bWxQSwUGAAAAAAYABgBZAQAAYA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wps:txbx>
                    <wps:bodyPr vert="horz" wrap="none" lIns="0" tIns="0" rIns="0" bIns="0" anchor="t">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KHOnzNABAACkAwAADgAAAAAAAAABACAAAAAeAQAAZHJz&#10;L2Uyb0RvYy54bWxQSwUGAAAAAAYABgBZAQAAYA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87E5B3"/>
    <w:multiLevelType w:val="singleLevel"/>
    <w:tmpl w:val="1C87E5B3"/>
    <w:lvl w:ilvl="0" w:tentative="0">
      <w:start w:val="1"/>
      <w:numFmt w:val="decimal"/>
      <w:suff w:val="nothing"/>
      <w:lvlText w:val="（%1）"/>
      <w:lvlJc w:val="left"/>
    </w:lvl>
  </w:abstractNum>
  <w:abstractNum w:abstractNumId="1">
    <w:nsid w:val="5823A5CC"/>
    <w:multiLevelType w:val="singleLevel"/>
    <w:tmpl w:val="5823A5CC"/>
    <w:lvl w:ilvl="0" w:tentative="0">
      <w:start w:val="1"/>
      <w:numFmt w:val="decimal"/>
      <w:suff w:val="nothing"/>
      <w:lvlText w:val="（%1）"/>
      <w:lvlJc w:val="left"/>
    </w:lvl>
  </w:abstractNum>
  <w:abstractNum w:abstractNumId="2">
    <w:nsid w:val="5DAE7685"/>
    <w:multiLevelType w:val="singleLevel"/>
    <w:tmpl w:val="5DAE7685"/>
    <w:lvl w:ilvl="0" w:tentative="0">
      <w:start w:val="1"/>
      <w:numFmt w:val="chineseCounting"/>
      <w:suff w:val="nothing"/>
      <w:lvlText w:val="%1、"/>
      <w:lvlJc w:val="left"/>
    </w:lvl>
  </w:abstractNum>
  <w:abstractNum w:abstractNumId="3">
    <w:nsid w:val="5DAFA6F9"/>
    <w:multiLevelType w:val="singleLevel"/>
    <w:tmpl w:val="5DAFA6F9"/>
    <w:lvl w:ilvl="0" w:tentative="0">
      <w:start w:val="1"/>
      <w:numFmt w:val="chineseCounting"/>
      <w:suff w:val="nothing"/>
      <w:lvlText w:val="%1、"/>
      <w:lvlJc w:val="left"/>
    </w:lvl>
  </w:abstractNum>
  <w:abstractNum w:abstractNumId="4">
    <w:nsid w:val="5DB11066"/>
    <w:multiLevelType w:val="singleLevel"/>
    <w:tmpl w:val="5DB11066"/>
    <w:lvl w:ilvl="0" w:tentative="0">
      <w:start w:val="1"/>
      <w:numFmt w:val="chineseCounting"/>
      <w:suff w:val="space"/>
      <w:lvlText w:val="第%1章"/>
      <w:lvlJc w:val="left"/>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YzJiYzk2YzM1MzE2NDg4ZWJjZWNiYjJjYjI5M2YifQ=="/>
  </w:docVars>
  <w:rsids>
    <w:rsidRoot w:val="001A4E13"/>
    <w:rsid w:val="00005A38"/>
    <w:rsid w:val="00005D52"/>
    <w:rsid w:val="000125C3"/>
    <w:rsid w:val="0001787A"/>
    <w:rsid w:val="00020C93"/>
    <w:rsid w:val="0002726E"/>
    <w:rsid w:val="00035333"/>
    <w:rsid w:val="0003641E"/>
    <w:rsid w:val="00040E55"/>
    <w:rsid w:val="000429A3"/>
    <w:rsid w:val="0006702C"/>
    <w:rsid w:val="00067DDB"/>
    <w:rsid w:val="00081209"/>
    <w:rsid w:val="0009023B"/>
    <w:rsid w:val="00092B57"/>
    <w:rsid w:val="000A14EB"/>
    <w:rsid w:val="000B4BE2"/>
    <w:rsid w:val="000C4BA5"/>
    <w:rsid w:val="000C6390"/>
    <w:rsid w:val="000D1624"/>
    <w:rsid w:val="000D2F7B"/>
    <w:rsid w:val="000D55FE"/>
    <w:rsid w:val="000E2683"/>
    <w:rsid w:val="000F33D1"/>
    <w:rsid w:val="00105126"/>
    <w:rsid w:val="001054CC"/>
    <w:rsid w:val="0010738F"/>
    <w:rsid w:val="00111DDD"/>
    <w:rsid w:val="001127B9"/>
    <w:rsid w:val="001420D8"/>
    <w:rsid w:val="00150F5E"/>
    <w:rsid w:val="0017453E"/>
    <w:rsid w:val="00183DDB"/>
    <w:rsid w:val="00184E86"/>
    <w:rsid w:val="001A4E13"/>
    <w:rsid w:val="001A53A1"/>
    <w:rsid w:val="001B391E"/>
    <w:rsid w:val="001D3A18"/>
    <w:rsid w:val="001E39D7"/>
    <w:rsid w:val="001E690C"/>
    <w:rsid w:val="001F2CBB"/>
    <w:rsid w:val="001F555E"/>
    <w:rsid w:val="002250D7"/>
    <w:rsid w:val="002304EC"/>
    <w:rsid w:val="00263A3C"/>
    <w:rsid w:val="00266801"/>
    <w:rsid w:val="002750EC"/>
    <w:rsid w:val="002964EB"/>
    <w:rsid w:val="002B66EF"/>
    <w:rsid w:val="002B6918"/>
    <w:rsid w:val="002C3F8B"/>
    <w:rsid w:val="002F2260"/>
    <w:rsid w:val="002F4C0B"/>
    <w:rsid w:val="00300E6B"/>
    <w:rsid w:val="00313A98"/>
    <w:rsid w:val="003426EA"/>
    <w:rsid w:val="00346E85"/>
    <w:rsid w:val="0035553D"/>
    <w:rsid w:val="0037054A"/>
    <w:rsid w:val="00380816"/>
    <w:rsid w:val="0039561D"/>
    <w:rsid w:val="003A2E1B"/>
    <w:rsid w:val="003B1B30"/>
    <w:rsid w:val="003B59B0"/>
    <w:rsid w:val="003C31C3"/>
    <w:rsid w:val="004033ED"/>
    <w:rsid w:val="004077B6"/>
    <w:rsid w:val="00414987"/>
    <w:rsid w:val="004349C6"/>
    <w:rsid w:val="004361B9"/>
    <w:rsid w:val="00463DBA"/>
    <w:rsid w:val="00475DCD"/>
    <w:rsid w:val="00475FBE"/>
    <w:rsid w:val="004A0708"/>
    <w:rsid w:val="004B1CA2"/>
    <w:rsid w:val="004B759D"/>
    <w:rsid w:val="00502547"/>
    <w:rsid w:val="00502A83"/>
    <w:rsid w:val="0051210F"/>
    <w:rsid w:val="005138FB"/>
    <w:rsid w:val="00516966"/>
    <w:rsid w:val="0052126F"/>
    <w:rsid w:val="00533845"/>
    <w:rsid w:val="0055091F"/>
    <w:rsid w:val="005775FE"/>
    <w:rsid w:val="0058177C"/>
    <w:rsid w:val="00587304"/>
    <w:rsid w:val="00590C24"/>
    <w:rsid w:val="005A60A1"/>
    <w:rsid w:val="005A6651"/>
    <w:rsid w:val="005B0B52"/>
    <w:rsid w:val="005B6672"/>
    <w:rsid w:val="005C0AD0"/>
    <w:rsid w:val="005D463C"/>
    <w:rsid w:val="005D571F"/>
    <w:rsid w:val="005E3B78"/>
    <w:rsid w:val="005F4E16"/>
    <w:rsid w:val="00604CC7"/>
    <w:rsid w:val="00622E65"/>
    <w:rsid w:val="0064231F"/>
    <w:rsid w:val="006613C2"/>
    <w:rsid w:val="00670E73"/>
    <w:rsid w:val="00687210"/>
    <w:rsid w:val="0069207E"/>
    <w:rsid w:val="00693203"/>
    <w:rsid w:val="00695A54"/>
    <w:rsid w:val="006A5BBA"/>
    <w:rsid w:val="006A6265"/>
    <w:rsid w:val="006B2CCA"/>
    <w:rsid w:val="006B47BA"/>
    <w:rsid w:val="006B7F6F"/>
    <w:rsid w:val="006C40DE"/>
    <w:rsid w:val="006D08E1"/>
    <w:rsid w:val="006E3DC4"/>
    <w:rsid w:val="006F1E32"/>
    <w:rsid w:val="006F38E5"/>
    <w:rsid w:val="0072510D"/>
    <w:rsid w:val="00725F5D"/>
    <w:rsid w:val="00726284"/>
    <w:rsid w:val="007315BC"/>
    <w:rsid w:val="007332FB"/>
    <w:rsid w:val="00736C74"/>
    <w:rsid w:val="00746207"/>
    <w:rsid w:val="00755835"/>
    <w:rsid w:val="007576F7"/>
    <w:rsid w:val="00762706"/>
    <w:rsid w:val="00777B52"/>
    <w:rsid w:val="00784D9F"/>
    <w:rsid w:val="00786583"/>
    <w:rsid w:val="007B0CFF"/>
    <w:rsid w:val="007B1D63"/>
    <w:rsid w:val="007B5B2F"/>
    <w:rsid w:val="007C6A12"/>
    <w:rsid w:val="007D6E5C"/>
    <w:rsid w:val="007E05B9"/>
    <w:rsid w:val="007E1812"/>
    <w:rsid w:val="007E2213"/>
    <w:rsid w:val="007E72FE"/>
    <w:rsid w:val="007F1E8C"/>
    <w:rsid w:val="007F1F2F"/>
    <w:rsid w:val="00803561"/>
    <w:rsid w:val="00804052"/>
    <w:rsid w:val="008049C6"/>
    <w:rsid w:val="00804E8F"/>
    <w:rsid w:val="0082033A"/>
    <w:rsid w:val="00831A49"/>
    <w:rsid w:val="00840894"/>
    <w:rsid w:val="00860992"/>
    <w:rsid w:val="008711BE"/>
    <w:rsid w:val="008825F9"/>
    <w:rsid w:val="00897AF6"/>
    <w:rsid w:val="008A1F01"/>
    <w:rsid w:val="008A670A"/>
    <w:rsid w:val="008B28A6"/>
    <w:rsid w:val="008B712C"/>
    <w:rsid w:val="008C1777"/>
    <w:rsid w:val="008D32ED"/>
    <w:rsid w:val="008D4CA2"/>
    <w:rsid w:val="008E2211"/>
    <w:rsid w:val="008E3F83"/>
    <w:rsid w:val="008E640D"/>
    <w:rsid w:val="008E6721"/>
    <w:rsid w:val="008E7253"/>
    <w:rsid w:val="008F7BD7"/>
    <w:rsid w:val="00925BA3"/>
    <w:rsid w:val="00933139"/>
    <w:rsid w:val="009429A2"/>
    <w:rsid w:val="00984276"/>
    <w:rsid w:val="009A09E6"/>
    <w:rsid w:val="009A1599"/>
    <w:rsid w:val="009A218D"/>
    <w:rsid w:val="009A2A46"/>
    <w:rsid w:val="009B4C2A"/>
    <w:rsid w:val="009B531C"/>
    <w:rsid w:val="009C3066"/>
    <w:rsid w:val="009D63FA"/>
    <w:rsid w:val="009E2541"/>
    <w:rsid w:val="009E34EF"/>
    <w:rsid w:val="009E72B4"/>
    <w:rsid w:val="009F58D7"/>
    <w:rsid w:val="00A10097"/>
    <w:rsid w:val="00A229AD"/>
    <w:rsid w:val="00A22D7D"/>
    <w:rsid w:val="00A26C75"/>
    <w:rsid w:val="00A3694D"/>
    <w:rsid w:val="00A36D64"/>
    <w:rsid w:val="00A51D11"/>
    <w:rsid w:val="00A60407"/>
    <w:rsid w:val="00A7252B"/>
    <w:rsid w:val="00A82176"/>
    <w:rsid w:val="00A83AE2"/>
    <w:rsid w:val="00A86D7D"/>
    <w:rsid w:val="00A90010"/>
    <w:rsid w:val="00A93A98"/>
    <w:rsid w:val="00AF5106"/>
    <w:rsid w:val="00B00663"/>
    <w:rsid w:val="00B202AD"/>
    <w:rsid w:val="00B23E31"/>
    <w:rsid w:val="00B570C0"/>
    <w:rsid w:val="00B57DB4"/>
    <w:rsid w:val="00B7180F"/>
    <w:rsid w:val="00B91ED3"/>
    <w:rsid w:val="00BA5E12"/>
    <w:rsid w:val="00BB3246"/>
    <w:rsid w:val="00BB3E0E"/>
    <w:rsid w:val="00BC5C1E"/>
    <w:rsid w:val="00BC775B"/>
    <w:rsid w:val="00BE24D3"/>
    <w:rsid w:val="00BE6A1C"/>
    <w:rsid w:val="00C05B09"/>
    <w:rsid w:val="00C05E69"/>
    <w:rsid w:val="00C11531"/>
    <w:rsid w:val="00C2546C"/>
    <w:rsid w:val="00C3276B"/>
    <w:rsid w:val="00C56176"/>
    <w:rsid w:val="00C638AF"/>
    <w:rsid w:val="00C8131A"/>
    <w:rsid w:val="00C84282"/>
    <w:rsid w:val="00C925F6"/>
    <w:rsid w:val="00C930D4"/>
    <w:rsid w:val="00C96E35"/>
    <w:rsid w:val="00C97FA3"/>
    <w:rsid w:val="00CA678B"/>
    <w:rsid w:val="00CA7105"/>
    <w:rsid w:val="00CB11A6"/>
    <w:rsid w:val="00CC300E"/>
    <w:rsid w:val="00CD085E"/>
    <w:rsid w:val="00CD26C6"/>
    <w:rsid w:val="00CD50E7"/>
    <w:rsid w:val="00CE0C3B"/>
    <w:rsid w:val="00CE6747"/>
    <w:rsid w:val="00CF123C"/>
    <w:rsid w:val="00CF5BDB"/>
    <w:rsid w:val="00D00DB6"/>
    <w:rsid w:val="00D069B9"/>
    <w:rsid w:val="00D22577"/>
    <w:rsid w:val="00D2757B"/>
    <w:rsid w:val="00D34FFB"/>
    <w:rsid w:val="00D41A29"/>
    <w:rsid w:val="00D463F5"/>
    <w:rsid w:val="00D5436F"/>
    <w:rsid w:val="00D55341"/>
    <w:rsid w:val="00D665B6"/>
    <w:rsid w:val="00D7705D"/>
    <w:rsid w:val="00D80B7F"/>
    <w:rsid w:val="00D82379"/>
    <w:rsid w:val="00D82F24"/>
    <w:rsid w:val="00D83C5B"/>
    <w:rsid w:val="00D94F3D"/>
    <w:rsid w:val="00DB5C34"/>
    <w:rsid w:val="00DB7846"/>
    <w:rsid w:val="00DC3BB0"/>
    <w:rsid w:val="00DD2C59"/>
    <w:rsid w:val="00DF3216"/>
    <w:rsid w:val="00DF5C67"/>
    <w:rsid w:val="00DF5F5C"/>
    <w:rsid w:val="00E13B8C"/>
    <w:rsid w:val="00E42F50"/>
    <w:rsid w:val="00E72FB0"/>
    <w:rsid w:val="00E760AC"/>
    <w:rsid w:val="00E80147"/>
    <w:rsid w:val="00E86B37"/>
    <w:rsid w:val="00E8775E"/>
    <w:rsid w:val="00E9132D"/>
    <w:rsid w:val="00EB5C68"/>
    <w:rsid w:val="00ED5FA7"/>
    <w:rsid w:val="00EE09B2"/>
    <w:rsid w:val="00EF25E1"/>
    <w:rsid w:val="00F0508F"/>
    <w:rsid w:val="00F064A5"/>
    <w:rsid w:val="00F10DAB"/>
    <w:rsid w:val="00F7276F"/>
    <w:rsid w:val="00F74D2D"/>
    <w:rsid w:val="00F9728D"/>
    <w:rsid w:val="00FA2017"/>
    <w:rsid w:val="00FB44BE"/>
    <w:rsid w:val="00FF237B"/>
    <w:rsid w:val="01225DE6"/>
    <w:rsid w:val="01447331"/>
    <w:rsid w:val="01480705"/>
    <w:rsid w:val="015E2E9B"/>
    <w:rsid w:val="01A76B48"/>
    <w:rsid w:val="023E4E2C"/>
    <w:rsid w:val="023F5A24"/>
    <w:rsid w:val="03044C13"/>
    <w:rsid w:val="03177694"/>
    <w:rsid w:val="03845844"/>
    <w:rsid w:val="03903819"/>
    <w:rsid w:val="039E7583"/>
    <w:rsid w:val="03C73E25"/>
    <w:rsid w:val="03E97E8B"/>
    <w:rsid w:val="03F672B1"/>
    <w:rsid w:val="043B3875"/>
    <w:rsid w:val="048002CB"/>
    <w:rsid w:val="049F7669"/>
    <w:rsid w:val="04BC130F"/>
    <w:rsid w:val="050C639B"/>
    <w:rsid w:val="05573A2A"/>
    <w:rsid w:val="056069A9"/>
    <w:rsid w:val="056319D1"/>
    <w:rsid w:val="05660C4A"/>
    <w:rsid w:val="05E043E4"/>
    <w:rsid w:val="05FA3851"/>
    <w:rsid w:val="06004115"/>
    <w:rsid w:val="06020669"/>
    <w:rsid w:val="06301DC8"/>
    <w:rsid w:val="066E2C1A"/>
    <w:rsid w:val="06B7350D"/>
    <w:rsid w:val="06D71C60"/>
    <w:rsid w:val="0774234C"/>
    <w:rsid w:val="079D7954"/>
    <w:rsid w:val="07E87CD4"/>
    <w:rsid w:val="08134EA6"/>
    <w:rsid w:val="0867635C"/>
    <w:rsid w:val="089C378F"/>
    <w:rsid w:val="089F4364"/>
    <w:rsid w:val="08A25610"/>
    <w:rsid w:val="09115366"/>
    <w:rsid w:val="093D3B2C"/>
    <w:rsid w:val="095F50D3"/>
    <w:rsid w:val="096B19ED"/>
    <w:rsid w:val="09746FF8"/>
    <w:rsid w:val="097D7E06"/>
    <w:rsid w:val="0982743B"/>
    <w:rsid w:val="09AF5ECF"/>
    <w:rsid w:val="0A030864"/>
    <w:rsid w:val="0A833CF7"/>
    <w:rsid w:val="0A965C5E"/>
    <w:rsid w:val="0B0564CA"/>
    <w:rsid w:val="0B443926"/>
    <w:rsid w:val="0B553733"/>
    <w:rsid w:val="0B6D085C"/>
    <w:rsid w:val="0BDF6AC1"/>
    <w:rsid w:val="0BE510F5"/>
    <w:rsid w:val="0BFF06C9"/>
    <w:rsid w:val="0C415EC7"/>
    <w:rsid w:val="0C896DB1"/>
    <w:rsid w:val="0C947F54"/>
    <w:rsid w:val="0CBB4B04"/>
    <w:rsid w:val="0CCF79FF"/>
    <w:rsid w:val="0CD55D27"/>
    <w:rsid w:val="0CF31BCF"/>
    <w:rsid w:val="0D075BAF"/>
    <w:rsid w:val="0D276C86"/>
    <w:rsid w:val="0D2D5138"/>
    <w:rsid w:val="0D6D6ADD"/>
    <w:rsid w:val="0D747FCD"/>
    <w:rsid w:val="0D7F6C93"/>
    <w:rsid w:val="0D8E1816"/>
    <w:rsid w:val="0DC252C8"/>
    <w:rsid w:val="0DDA45F7"/>
    <w:rsid w:val="0DF22A60"/>
    <w:rsid w:val="0E1C3D0C"/>
    <w:rsid w:val="0E1D1D74"/>
    <w:rsid w:val="0E222B54"/>
    <w:rsid w:val="0E5114C6"/>
    <w:rsid w:val="0E662BED"/>
    <w:rsid w:val="0EA760C0"/>
    <w:rsid w:val="0F1B4452"/>
    <w:rsid w:val="0F2F5A6B"/>
    <w:rsid w:val="0F5E2F16"/>
    <w:rsid w:val="0F633AAF"/>
    <w:rsid w:val="0FCC79CE"/>
    <w:rsid w:val="100D2A3B"/>
    <w:rsid w:val="10156D19"/>
    <w:rsid w:val="10253868"/>
    <w:rsid w:val="1031113F"/>
    <w:rsid w:val="10714F25"/>
    <w:rsid w:val="10A74290"/>
    <w:rsid w:val="10A94FD9"/>
    <w:rsid w:val="10B24B46"/>
    <w:rsid w:val="10BB3656"/>
    <w:rsid w:val="115C0ED6"/>
    <w:rsid w:val="11837B51"/>
    <w:rsid w:val="11A652B4"/>
    <w:rsid w:val="11B14405"/>
    <w:rsid w:val="11CA37EE"/>
    <w:rsid w:val="11EA2AA1"/>
    <w:rsid w:val="11ED707A"/>
    <w:rsid w:val="11F228F5"/>
    <w:rsid w:val="121C68C5"/>
    <w:rsid w:val="12314B86"/>
    <w:rsid w:val="123F5BB6"/>
    <w:rsid w:val="124042CC"/>
    <w:rsid w:val="12744A44"/>
    <w:rsid w:val="12B05EBE"/>
    <w:rsid w:val="134C1566"/>
    <w:rsid w:val="138340F8"/>
    <w:rsid w:val="138703D2"/>
    <w:rsid w:val="138C07B0"/>
    <w:rsid w:val="13C82192"/>
    <w:rsid w:val="13D01ECB"/>
    <w:rsid w:val="13D54396"/>
    <w:rsid w:val="13D93ED5"/>
    <w:rsid w:val="1407630D"/>
    <w:rsid w:val="144D12F1"/>
    <w:rsid w:val="14A33B34"/>
    <w:rsid w:val="14DD4AA6"/>
    <w:rsid w:val="14EB5E18"/>
    <w:rsid w:val="14F3710B"/>
    <w:rsid w:val="15287049"/>
    <w:rsid w:val="1556130C"/>
    <w:rsid w:val="15596CAA"/>
    <w:rsid w:val="15B32206"/>
    <w:rsid w:val="15EF5875"/>
    <w:rsid w:val="166624E1"/>
    <w:rsid w:val="166F3C49"/>
    <w:rsid w:val="16862034"/>
    <w:rsid w:val="16902648"/>
    <w:rsid w:val="16D222FA"/>
    <w:rsid w:val="170E6162"/>
    <w:rsid w:val="176202DD"/>
    <w:rsid w:val="17643E09"/>
    <w:rsid w:val="1764766D"/>
    <w:rsid w:val="176E5661"/>
    <w:rsid w:val="17995D2E"/>
    <w:rsid w:val="17AE1697"/>
    <w:rsid w:val="17F22815"/>
    <w:rsid w:val="18094D81"/>
    <w:rsid w:val="1845603C"/>
    <w:rsid w:val="185E231F"/>
    <w:rsid w:val="186A1E02"/>
    <w:rsid w:val="18727181"/>
    <w:rsid w:val="18B822E9"/>
    <w:rsid w:val="191A6409"/>
    <w:rsid w:val="194850E5"/>
    <w:rsid w:val="198B7ED4"/>
    <w:rsid w:val="19991E50"/>
    <w:rsid w:val="1A3642EE"/>
    <w:rsid w:val="1A65732F"/>
    <w:rsid w:val="1AB05D18"/>
    <w:rsid w:val="1AE42E2B"/>
    <w:rsid w:val="1AEF676E"/>
    <w:rsid w:val="1B0F0EC3"/>
    <w:rsid w:val="1B7F2C87"/>
    <w:rsid w:val="1BCB3C13"/>
    <w:rsid w:val="1BE03FE7"/>
    <w:rsid w:val="1BFB4779"/>
    <w:rsid w:val="1C5816B0"/>
    <w:rsid w:val="1CA70E54"/>
    <w:rsid w:val="1CDE077D"/>
    <w:rsid w:val="1D2132B2"/>
    <w:rsid w:val="1D2232D1"/>
    <w:rsid w:val="1D254CCC"/>
    <w:rsid w:val="1D7F5CD3"/>
    <w:rsid w:val="1D884D8A"/>
    <w:rsid w:val="1DA14A21"/>
    <w:rsid w:val="1E1C62DA"/>
    <w:rsid w:val="1E2D6C98"/>
    <w:rsid w:val="1E360311"/>
    <w:rsid w:val="1E393AC9"/>
    <w:rsid w:val="1E581E9B"/>
    <w:rsid w:val="1E8A2650"/>
    <w:rsid w:val="1EB02E8F"/>
    <w:rsid w:val="1EDF4B1B"/>
    <w:rsid w:val="1EF832BA"/>
    <w:rsid w:val="1F195286"/>
    <w:rsid w:val="1F4D2531"/>
    <w:rsid w:val="1F580ADD"/>
    <w:rsid w:val="1F712298"/>
    <w:rsid w:val="1F824F3E"/>
    <w:rsid w:val="1FE22078"/>
    <w:rsid w:val="205A2226"/>
    <w:rsid w:val="208319DB"/>
    <w:rsid w:val="20D2630A"/>
    <w:rsid w:val="20EA79E2"/>
    <w:rsid w:val="21126B63"/>
    <w:rsid w:val="21237DB6"/>
    <w:rsid w:val="2139298F"/>
    <w:rsid w:val="2146201A"/>
    <w:rsid w:val="21584C46"/>
    <w:rsid w:val="2165023F"/>
    <w:rsid w:val="216664DF"/>
    <w:rsid w:val="21681A11"/>
    <w:rsid w:val="21792206"/>
    <w:rsid w:val="21B730C9"/>
    <w:rsid w:val="21C60F8A"/>
    <w:rsid w:val="22154F5B"/>
    <w:rsid w:val="22570F33"/>
    <w:rsid w:val="227D35B5"/>
    <w:rsid w:val="22854421"/>
    <w:rsid w:val="228B6746"/>
    <w:rsid w:val="22981A3A"/>
    <w:rsid w:val="22984539"/>
    <w:rsid w:val="22F72D07"/>
    <w:rsid w:val="230142F5"/>
    <w:rsid w:val="23136347"/>
    <w:rsid w:val="23530D7A"/>
    <w:rsid w:val="238519ED"/>
    <w:rsid w:val="23EB1C37"/>
    <w:rsid w:val="24241572"/>
    <w:rsid w:val="246B482D"/>
    <w:rsid w:val="24915883"/>
    <w:rsid w:val="24B1040A"/>
    <w:rsid w:val="24BA6B90"/>
    <w:rsid w:val="2536579D"/>
    <w:rsid w:val="25413BD1"/>
    <w:rsid w:val="25A07662"/>
    <w:rsid w:val="25BF0822"/>
    <w:rsid w:val="25C022F8"/>
    <w:rsid w:val="25DC0A27"/>
    <w:rsid w:val="25E106C6"/>
    <w:rsid w:val="26151CFF"/>
    <w:rsid w:val="264439EB"/>
    <w:rsid w:val="264D7AA9"/>
    <w:rsid w:val="26746B8D"/>
    <w:rsid w:val="269F1AF0"/>
    <w:rsid w:val="26AA08DC"/>
    <w:rsid w:val="26BB751E"/>
    <w:rsid w:val="26DA3DA3"/>
    <w:rsid w:val="27220333"/>
    <w:rsid w:val="27374E33"/>
    <w:rsid w:val="277870F4"/>
    <w:rsid w:val="2786317C"/>
    <w:rsid w:val="27A42DA1"/>
    <w:rsid w:val="27E74BE8"/>
    <w:rsid w:val="281B5134"/>
    <w:rsid w:val="282F7A83"/>
    <w:rsid w:val="285D4E50"/>
    <w:rsid w:val="28687A0F"/>
    <w:rsid w:val="28745B3C"/>
    <w:rsid w:val="28AC4CF8"/>
    <w:rsid w:val="28D27298"/>
    <w:rsid w:val="28F360DD"/>
    <w:rsid w:val="28F6471D"/>
    <w:rsid w:val="294D7AE7"/>
    <w:rsid w:val="296957CB"/>
    <w:rsid w:val="297B70E8"/>
    <w:rsid w:val="29956605"/>
    <w:rsid w:val="29971D85"/>
    <w:rsid w:val="29D12D75"/>
    <w:rsid w:val="29E90B03"/>
    <w:rsid w:val="2A0954F4"/>
    <w:rsid w:val="2A414020"/>
    <w:rsid w:val="2A766447"/>
    <w:rsid w:val="2B0D2F61"/>
    <w:rsid w:val="2B4665FB"/>
    <w:rsid w:val="2B532EEC"/>
    <w:rsid w:val="2B766E1B"/>
    <w:rsid w:val="2B806894"/>
    <w:rsid w:val="2B944ACD"/>
    <w:rsid w:val="2BAD66B3"/>
    <w:rsid w:val="2BD55D96"/>
    <w:rsid w:val="2BF940E2"/>
    <w:rsid w:val="2C2A02E9"/>
    <w:rsid w:val="2C6023A6"/>
    <w:rsid w:val="2C7757E4"/>
    <w:rsid w:val="2C793C16"/>
    <w:rsid w:val="2C8C0562"/>
    <w:rsid w:val="2C8D135C"/>
    <w:rsid w:val="2CB1448E"/>
    <w:rsid w:val="2CF63C91"/>
    <w:rsid w:val="2D115716"/>
    <w:rsid w:val="2D9E3A00"/>
    <w:rsid w:val="2D9F3E6D"/>
    <w:rsid w:val="2DAF3E40"/>
    <w:rsid w:val="2DD05D1A"/>
    <w:rsid w:val="2DE164DA"/>
    <w:rsid w:val="2DEE25EB"/>
    <w:rsid w:val="2DF77F18"/>
    <w:rsid w:val="2E271318"/>
    <w:rsid w:val="2E5A0612"/>
    <w:rsid w:val="2E7077BB"/>
    <w:rsid w:val="2E7C2679"/>
    <w:rsid w:val="2E7D68CD"/>
    <w:rsid w:val="2EB86215"/>
    <w:rsid w:val="2ED20DBD"/>
    <w:rsid w:val="2EDD77F3"/>
    <w:rsid w:val="2EE664C7"/>
    <w:rsid w:val="2F0E5A28"/>
    <w:rsid w:val="2F6B5FAB"/>
    <w:rsid w:val="2F6C2BCB"/>
    <w:rsid w:val="2F871588"/>
    <w:rsid w:val="2FA601E0"/>
    <w:rsid w:val="2FB26DEC"/>
    <w:rsid w:val="2FC92880"/>
    <w:rsid w:val="2FD12725"/>
    <w:rsid w:val="30014DF7"/>
    <w:rsid w:val="300F599F"/>
    <w:rsid w:val="30306EBF"/>
    <w:rsid w:val="306153F0"/>
    <w:rsid w:val="30B126C7"/>
    <w:rsid w:val="30E0237F"/>
    <w:rsid w:val="30E576E1"/>
    <w:rsid w:val="30EE4C64"/>
    <w:rsid w:val="3132447D"/>
    <w:rsid w:val="31406069"/>
    <w:rsid w:val="315F25CA"/>
    <w:rsid w:val="31785DBB"/>
    <w:rsid w:val="318C07CF"/>
    <w:rsid w:val="319C5336"/>
    <w:rsid w:val="31D27134"/>
    <w:rsid w:val="31E4052B"/>
    <w:rsid w:val="31E45843"/>
    <w:rsid w:val="31FB2FEB"/>
    <w:rsid w:val="322A5EC0"/>
    <w:rsid w:val="325A2D5B"/>
    <w:rsid w:val="326E1EE7"/>
    <w:rsid w:val="32873937"/>
    <w:rsid w:val="329E5CD1"/>
    <w:rsid w:val="32A35C06"/>
    <w:rsid w:val="32BA4407"/>
    <w:rsid w:val="32D92E7D"/>
    <w:rsid w:val="33241CC8"/>
    <w:rsid w:val="334D2343"/>
    <w:rsid w:val="33B85A53"/>
    <w:rsid w:val="344C6266"/>
    <w:rsid w:val="34803CFC"/>
    <w:rsid w:val="34874C35"/>
    <w:rsid w:val="348C2971"/>
    <w:rsid w:val="349A2327"/>
    <w:rsid w:val="349A30F7"/>
    <w:rsid w:val="34D77912"/>
    <w:rsid w:val="34F71A2F"/>
    <w:rsid w:val="35BC006E"/>
    <w:rsid w:val="35BC7013"/>
    <w:rsid w:val="35CD67A6"/>
    <w:rsid w:val="35D73A4B"/>
    <w:rsid w:val="35E7492F"/>
    <w:rsid w:val="35EE41D1"/>
    <w:rsid w:val="3640795D"/>
    <w:rsid w:val="366314E5"/>
    <w:rsid w:val="368F6759"/>
    <w:rsid w:val="369A42EE"/>
    <w:rsid w:val="36B36AF0"/>
    <w:rsid w:val="36B846F2"/>
    <w:rsid w:val="36D952F5"/>
    <w:rsid w:val="36F3728F"/>
    <w:rsid w:val="3768173E"/>
    <w:rsid w:val="377D5B56"/>
    <w:rsid w:val="379E7F5B"/>
    <w:rsid w:val="383C4522"/>
    <w:rsid w:val="38465E7B"/>
    <w:rsid w:val="387366E0"/>
    <w:rsid w:val="38A714BC"/>
    <w:rsid w:val="38B779D6"/>
    <w:rsid w:val="38C44DC6"/>
    <w:rsid w:val="38D96D53"/>
    <w:rsid w:val="38F62981"/>
    <w:rsid w:val="3915537D"/>
    <w:rsid w:val="394363AC"/>
    <w:rsid w:val="398C7FAE"/>
    <w:rsid w:val="399F7A16"/>
    <w:rsid w:val="39B50E45"/>
    <w:rsid w:val="39DA7E37"/>
    <w:rsid w:val="39E93993"/>
    <w:rsid w:val="39F752DF"/>
    <w:rsid w:val="3A33632A"/>
    <w:rsid w:val="3A5813E8"/>
    <w:rsid w:val="3A935742"/>
    <w:rsid w:val="3AD5798F"/>
    <w:rsid w:val="3B104E21"/>
    <w:rsid w:val="3B112338"/>
    <w:rsid w:val="3B1342B9"/>
    <w:rsid w:val="3B4648CF"/>
    <w:rsid w:val="3B5F335B"/>
    <w:rsid w:val="3B7046C2"/>
    <w:rsid w:val="3B732A37"/>
    <w:rsid w:val="3BDB5CED"/>
    <w:rsid w:val="3BED625C"/>
    <w:rsid w:val="3BEF0001"/>
    <w:rsid w:val="3C037CE2"/>
    <w:rsid w:val="3C0B2FC3"/>
    <w:rsid w:val="3C4E5802"/>
    <w:rsid w:val="3C7C5C4D"/>
    <w:rsid w:val="3C8326D2"/>
    <w:rsid w:val="3C9514E8"/>
    <w:rsid w:val="3CB0507B"/>
    <w:rsid w:val="3CB80743"/>
    <w:rsid w:val="3CE312B8"/>
    <w:rsid w:val="3D155423"/>
    <w:rsid w:val="3D2761DE"/>
    <w:rsid w:val="3D3E2B9A"/>
    <w:rsid w:val="3D786E1E"/>
    <w:rsid w:val="3D9F097D"/>
    <w:rsid w:val="3DA40CF7"/>
    <w:rsid w:val="3DB457F8"/>
    <w:rsid w:val="3DB6394F"/>
    <w:rsid w:val="3E1922C9"/>
    <w:rsid w:val="3E467640"/>
    <w:rsid w:val="3E4B2AC4"/>
    <w:rsid w:val="3E7916EF"/>
    <w:rsid w:val="3EC148C0"/>
    <w:rsid w:val="3EF77101"/>
    <w:rsid w:val="3F185152"/>
    <w:rsid w:val="3F303AEB"/>
    <w:rsid w:val="3F7E0095"/>
    <w:rsid w:val="3F894840"/>
    <w:rsid w:val="3FC217B1"/>
    <w:rsid w:val="3FD26BC5"/>
    <w:rsid w:val="401A5538"/>
    <w:rsid w:val="401B3EB2"/>
    <w:rsid w:val="402521A0"/>
    <w:rsid w:val="405F16D0"/>
    <w:rsid w:val="407177C3"/>
    <w:rsid w:val="40A618F4"/>
    <w:rsid w:val="40AF0DAB"/>
    <w:rsid w:val="40C67481"/>
    <w:rsid w:val="40CF743F"/>
    <w:rsid w:val="40E32C5F"/>
    <w:rsid w:val="40F36398"/>
    <w:rsid w:val="40F575C7"/>
    <w:rsid w:val="41342F70"/>
    <w:rsid w:val="418153FF"/>
    <w:rsid w:val="41B340ED"/>
    <w:rsid w:val="41B44A74"/>
    <w:rsid w:val="41D06B96"/>
    <w:rsid w:val="41DF2C2B"/>
    <w:rsid w:val="41FB49D4"/>
    <w:rsid w:val="420E388F"/>
    <w:rsid w:val="42705471"/>
    <w:rsid w:val="42CB2E5B"/>
    <w:rsid w:val="42F5252A"/>
    <w:rsid w:val="42FC5192"/>
    <w:rsid w:val="431B3BDA"/>
    <w:rsid w:val="43462AC6"/>
    <w:rsid w:val="434B6965"/>
    <w:rsid w:val="43AC2EA4"/>
    <w:rsid w:val="44135FCC"/>
    <w:rsid w:val="444A52EB"/>
    <w:rsid w:val="447C5D3B"/>
    <w:rsid w:val="448F4C5F"/>
    <w:rsid w:val="44F12FFB"/>
    <w:rsid w:val="44FF4360"/>
    <w:rsid w:val="45185914"/>
    <w:rsid w:val="45205FB4"/>
    <w:rsid w:val="45267C7C"/>
    <w:rsid w:val="452E3F81"/>
    <w:rsid w:val="45516648"/>
    <w:rsid w:val="45A5389E"/>
    <w:rsid w:val="45A94398"/>
    <w:rsid w:val="45BE0D45"/>
    <w:rsid w:val="45DC784F"/>
    <w:rsid w:val="45F3311D"/>
    <w:rsid w:val="45F5489A"/>
    <w:rsid w:val="462C76A1"/>
    <w:rsid w:val="46304BB0"/>
    <w:rsid w:val="4672532E"/>
    <w:rsid w:val="4697003D"/>
    <w:rsid w:val="46C44678"/>
    <w:rsid w:val="46E23E86"/>
    <w:rsid w:val="47614254"/>
    <w:rsid w:val="47C06D60"/>
    <w:rsid w:val="481E3CC4"/>
    <w:rsid w:val="4886063B"/>
    <w:rsid w:val="48CB3CF0"/>
    <w:rsid w:val="491D3BCE"/>
    <w:rsid w:val="4934323E"/>
    <w:rsid w:val="495003CA"/>
    <w:rsid w:val="49905148"/>
    <w:rsid w:val="49953742"/>
    <w:rsid w:val="499C3858"/>
    <w:rsid w:val="49AC583A"/>
    <w:rsid w:val="4A1F3693"/>
    <w:rsid w:val="4A373D1D"/>
    <w:rsid w:val="4A4E3DDA"/>
    <w:rsid w:val="4A53385C"/>
    <w:rsid w:val="4A6E36FF"/>
    <w:rsid w:val="4A783A33"/>
    <w:rsid w:val="4A830688"/>
    <w:rsid w:val="4ACA6895"/>
    <w:rsid w:val="4AD01069"/>
    <w:rsid w:val="4AE96671"/>
    <w:rsid w:val="4AFD7638"/>
    <w:rsid w:val="4B194D14"/>
    <w:rsid w:val="4B265A9A"/>
    <w:rsid w:val="4B3077CD"/>
    <w:rsid w:val="4B34677C"/>
    <w:rsid w:val="4B4B0B15"/>
    <w:rsid w:val="4B6C170A"/>
    <w:rsid w:val="4B9E6B23"/>
    <w:rsid w:val="4BAB7820"/>
    <w:rsid w:val="4BB61E21"/>
    <w:rsid w:val="4BC3666D"/>
    <w:rsid w:val="4BD3552C"/>
    <w:rsid w:val="4BD55337"/>
    <w:rsid w:val="4BE4617D"/>
    <w:rsid w:val="4C8A6FE4"/>
    <w:rsid w:val="4CB44456"/>
    <w:rsid w:val="4CC5789D"/>
    <w:rsid w:val="4CD63E4C"/>
    <w:rsid w:val="4CDA78B6"/>
    <w:rsid w:val="4CE945EB"/>
    <w:rsid w:val="4D1178CA"/>
    <w:rsid w:val="4D1D0DFD"/>
    <w:rsid w:val="4D3D3C07"/>
    <w:rsid w:val="4D4E3149"/>
    <w:rsid w:val="4D5C1399"/>
    <w:rsid w:val="4D6912AD"/>
    <w:rsid w:val="4DA20354"/>
    <w:rsid w:val="4DD90228"/>
    <w:rsid w:val="4DEB287B"/>
    <w:rsid w:val="4DEB4B0C"/>
    <w:rsid w:val="4E2805CB"/>
    <w:rsid w:val="4E4464DF"/>
    <w:rsid w:val="4E57634C"/>
    <w:rsid w:val="4E5E7133"/>
    <w:rsid w:val="4E6D57F1"/>
    <w:rsid w:val="4E8011B5"/>
    <w:rsid w:val="4E971F74"/>
    <w:rsid w:val="4EBD4792"/>
    <w:rsid w:val="4EF76C9E"/>
    <w:rsid w:val="4FB03A5A"/>
    <w:rsid w:val="4FD01FCC"/>
    <w:rsid w:val="50B575B2"/>
    <w:rsid w:val="50D90342"/>
    <w:rsid w:val="511760FC"/>
    <w:rsid w:val="51331D64"/>
    <w:rsid w:val="51382FCF"/>
    <w:rsid w:val="51681590"/>
    <w:rsid w:val="5168767E"/>
    <w:rsid w:val="518609CA"/>
    <w:rsid w:val="519D114A"/>
    <w:rsid w:val="51B82B0D"/>
    <w:rsid w:val="51F4301B"/>
    <w:rsid w:val="52054A9D"/>
    <w:rsid w:val="5324734A"/>
    <w:rsid w:val="539A70FB"/>
    <w:rsid w:val="53C31088"/>
    <w:rsid w:val="53DC6853"/>
    <w:rsid w:val="540E1951"/>
    <w:rsid w:val="542F228A"/>
    <w:rsid w:val="54421220"/>
    <w:rsid w:val="546A76C9"/>
    <w:rsid w:val="54806E37"/>
    <w:rsid w:val="54866D79"/>
    <w:rsid w:val="548A22E8"/>
    <w:rsid w:val="548F0175"/>
    <w:rsid w:val="549E003B"/>
    <w:rsid w:val="54ED5410"/>
    <w:rsid w:val="54FE5A7F"/>
    <w:rsid w:val="55301AD2"/>
    <w:rsid w:val="555A1DE5"/>
    <w:rsid w:val="55703718"/>
    <w:rsid w:val="55C673CE"/>
    <w:rsid w:val="55DA27AC"/>
    <w:rsid w:val="56100D43"/>
    <w:rsid w:val="565E3358"/>
    <w:rsid w:val="56670AF9"/>
    <w:rsid w:val="566E38FD"/>
    <w:rsid w:val="566F120D"/>
    <w:rsid w:val="5685298C"/>
    <w:rsid w:val="56AD142F"/>
    <w:rsid w:val="570340DF"/>
    <w:rsid w:val="57AF2D22"/>
    <w:rsid w:val="57C275BE"/>
    <w:rsid w:val="57C51E08"/>
    <w:rsid w:val="57CF4C28"/>
    <w:rsid w:val="57EE6722"/>
    <w:rsid w:val="57F73A22"/>
    <w:rsid w:val="57FD43B9"/>
    <w:rsid w:val="583117A4"/>
    <w:rsid w:val="584F28FF"/>
    <w:rsid w:val="584F633D"/>
    <w:rsid w:val="588A7E31"/>
    <w:rsid w:val="58A55D93"/>
    <w:rsid w:val="58C12879"/>
    <w:rsid w:val="59084592"/>
    <w:rsid w:val="596768A2"/>
    <w:rsid w:val="598118C5"/>
    <w:rsid w:val="598F5B7C"/>
    <w:rsid w:val="59BA330C"/>
    <w:rsid w:val="59C87D40"/>
    <w:rsid w:val="59D7764A"/>
    <w:rsid w:val="59E6001D"/>
    <w:rsid w:val="5A2A5CF9"/>
    <w:rsid w:val="5A3C3CFE"/>
    <w:rsid w:val="5A5051A0"/>
    <w:rsid w:val="5A5432D2"/>
    <w:rsid w:val="5A9E5063"/>
    <w:rsid w:val="5AA5749A"/>
    <w:rsid w:val="5ABC5755"/>
    <w:rsid w:val="5AD20FEF"/>
    <w:rsid w:val="5AE67C1A"/>
    <w:rsid w:val="5B01730E"/>
    <w:rsid w:val="5B0D7121"/>
    <w:rsid w:val="5B660320"/>
    <w:rsid w:val="5B73439D"/>
    <w:rsid w:val="5B922192"/>
    <w:rsid w:val="5BB46D94"/>
    <w:rsid w:val="5BDD2899"/>
    <w:rsid w:val="5C0B1EA9"/>
    <w:rsid w:val="5CE47FF7"/>
    <w:rsid w:val="5CFE2F2A"/>
    <w:rsid w:val="5D262574"/>
    <w:rsid w:val="5D4B511E"/>
    <w:rsid w:val="5D730785"/>
    <w:rsid w:val="5DC85884"/>
    <w:rsid w:val="5E2166D9"/>
    <w:rsid w:val="5E2C09DB"/>
    <w:rsid w:val="5E451C75"/>
    <w:rsid w:val="5E4D3900"/>
    <w:rsid w:val="5E541393"/>
    <w:rsid w:val="5E7762D3"/>
    <w:rsid w:val="5E9673C6"/>
    <w:rsid w:val="5EB3796B"/>
    <w:rsid w:val="5EEB6ED0"/>
    <w:rsid w:val="5EF31E60"/>
    <w:rsid w:val="5FAA37D5"/>
    <w:rsid w:val="60235D47"/>
    <w:rsid w:val="605D1F82"/>
    <w:rsid w:val="60AE45AD"/>
    <w:rsid w:val="60C167DF"/>
    <w:rsid w:val="60E00DEA"/>
    <w:rsid w:val="612253A5"/>
    <w:rsid w:val="612A7693"/>
    <w:rsid w:val="613C2EE8"/>
    <w:rsid w:val="61596DD2"/>
    <w:rsid w:val="61602DEA"/>
    <w:rsid w:val="61652F3A"/>
    <w:rsid w:val="6173749B"/>
    <w:rsid w:val="61973A65"/>
    <w:rsid w:val="619B6DD5"/>
    <w:rsid w:val="61B516EA"/>
    <w:rsid w:val="61C22150"/>
    <w:rsid w:val="62300663"/>
    <w:rsid w:val="6233437B"/>
    <w:rsid w:val="62905BDF"/>
    <w:rsid w:val="62B95BFC"/>
    <w:rsid w:val="62E82CC1"/>
    <w:rsid w:val="63147CC6"/>
    <w:rsid w:val="632562E5"/>
    <w:rsid w:val="633540BC"/>
    <w:rsid w:val="637C7D45"/>
    <w:rsid w:val="637E30BE"/>
    <w:rsid w:val="639306C3"/>
    <w:rsid w:val="63EE6A38"/>
    <w:rsid w:val="64700D9C"/>
    <w:rsid w:val="6472695B"/>
    <w:rsid w:val="65253ECD"/>
    <w:rsid w:val="65317C3D"/>
    <w:rsid w:val="657B2AC9"/>
    <w:rsid w:val="65C233AB"/>
    <w:rsid w:val="66003AFD"/>
    <w:rsid w:val="66392F7C"/>
    <w:rsid w:val="665F7A70"/>
    <w:rsid w:val="6671404F"/>
    <w:rsid w:val="66A55805"/>
    <w:rsid w:val="671A704B"/>
    <w:rsid w:val="676A1537"/>
    <w:rsid w:val="678A1691"/>
    <w:rsid w:val="67996E4F"/>
    <w:rsid w:val="6829437D"/>
    <w:rsid w:val="68607725"/>
    <w:rsid w:val="688D7D8C"/>
    <w:rsid w:val="689648C3"/>
    <w:rsid w:val="69096204"/>
    <w:rsid w:val="694D7773"/>
    <w:rsid w:val="69D506B6"/>
    <w:rsid w:val="69D73D4F"/>
    <w:rsid w:val="6A1C591F"/>
    <w:rsid w:val="6A4B74D5"/>
    <w:rsid w:val="6A625C08"/>
    <w:rsid w:val="6A8E035E"/>
    <w:rsid w:val="6AD7693B"/>
    <w:rsid w:val="6AE82DB6"/>
    <w:rsid w:val="6B374E31"/>
    <w:rsid w:val="6B3B697A"/>
    <w:rsid w:val="6B6E20D1"/>
    <w:rsid w:val="6BAB0F05"/>
    <w:rsid w:val="6BBF3387"/>
    <w:rsid w:val="6BD3247E"/>
    <w:rsid w:val="6C0B5E27"/>
    <w:rsid w:val="6C117B1D"/>
    <w:rsid w:val="6C1D111A"/>
    <w:rsid w:val="6C1E01FF"/>
    <w:rsid w:val="6C44592B"/>
    <w:rsid w:val="6CA56FCA"/>
    <w:rsid w:val="6CBC1C54"/>
    <w:rsid w:val="6CC64E36"/>
    <w:rsid w:val="6CCB4C41"/>
    <w:rsid w:val="6CD53A65"/>
    <w:rsid w:val="6CFD320E"/>
    <w:rsid w:val="6D203F0E"/>
    <w:rsid w:val="6D287E8A"/>
    <w:rsid w:val="6D9F735E"/>
    <w:rsid w:val="6DAD0D76"/>
    <w:rsid w:val="6DC35B23"/>
    <w:rsid w:val="6DCA5B4C"/>
    <w:rsid w:val="6E784888"/>
    <w:rsid w:val="6E937697"/>
    <w:rsid w:val="6EB7569F"/>
    <w:rsid w:val="6EC74193"/>
    <w:rsid w:val="6EE1625F"/>
    <w:rsid w:val="6EE23DE0"/>
    <w:rsid w:val="6F0A7CF0"/>
    <w:rsid w:val="6F374886"/>
    <w:rsid w:val="6F5150EA"/>
    <w:rsid w:val="6F55769C"/>
    <w:rsid w:val="6F641719"/>
    <w:rsid w:val="6F717D74"/>
    <w:rsid w:val="6F8D29B7"/>
    <w:rsid w:val="6FC120DD"/>
    <w:rsid w:val="6FF83F90"/>
    <w:rsid w:val="6FFA0DB7"/>
    <w:rsid w:val="703A0586"/>
    <w:rsid w:val="703E4311"/>
    <w:rsid w:val="70821CD3"/>
    <w:rsid w:val="70B14A00"/>
    <w:rsid w:val="71277CD2"/>
    <w:rsid w:val="71403197"/>
    <w:rsid w:val="719869FD"/>
    <w:rsid w:val="71C617F0"/>
    <w:rsid w:val="71D85602"/>
    <w:rsid w:val="72040097"/>
    <w:rsid w:val="723577DF"/>
    <w:rsid w:val="72474312"/>
    <w:rsid w:val="7280654C"/>
    <w:rsid w:val="72AA33C5"/>
    <w:rsid w:val="72B60794"/>
    <w:rsid w:val="72B87F71"/>
    <w:rsid w:val="736509AD"/>
    <w:rsid w:val="73B81738"/>
    <w:rsid w:val="73F933FA"/>
    <w:rsid w:val="74040D4F"/>
    <w:rsid w:val="74231567"/>
    <w:rsid w:val="7465624D"/>
    <w:rsid w:val="74B6688D"/>
    <w:rsid w:val="74BA0AD7"/>
    <w:rsid w:val="74D60A07"/>
    <w:rsid w:val="74E00136"/>
    <w:rsid w:val="74F87D4E"/>
    <w:rsid w:val="7566294F"/>
    <w:rsid w:val="758E6E93"/>
    <w:rsid w:val="75DA6B4D"/>
    <w:rsid w:val="75F57AD2"/>
    <w:rsid w:val="762B30A3"/>
    <w:rsid w:val="763E6D76"/>
    <w:rsid w:val="765D75EE"/>
    <w:rsid w:val="7674400E"/>
    <w:rsid w:val="76CF4BBD"/>
    <w:rsid w:val="76E32078"/>
    <w:rsid w:val="76F97543"/>
    <w:rsid w:val="771160F6"/>
    <w:rsid w:val="771668C2"/>
    <w:rsid w:val="77292D01"/>
    <w:rsid w:val="778E36B8"/>
    <w:rsid w:val="77B92CBB"/>
    <w:rsid w:val="77D947FB"/>
    <w:rsid w:val="77DA4B79"/>
    <w:rsid w:val="7815509F"/>
    <w:rsid w:val="78162585"/>
    <w:rsid w:val="78683478"/>
    <w:rsid w:val="78843D26"/>
    <w:rsid w:val="78B5155B"/>
    <w:rsid w:val="79051F93"/>
    <w:rsid w:val="791935B2"/>
    <w:rsid w:val="793135CE"/>
    <w:rsid w:val="79380762"/>
    <w:rsid w:val="796E2A5B"/>
    <w:rsid w:val="799965D1"/>
    <w:rsid w:val="79C73CE5"/>
    <w:rsid w:val="79F15701"/>
    <w:rsid w:val="79F53307"/>
    <w:rsid w:val="7A187896"/>
    <w:rsid w:val="7A1F01FF"/>
    <w:rsid w:val="7A235D45"/>
    <w:rsid w:val="7A3E7633"/>
    <w:rsid w:val="7A40469E"/>
    <w:rsid w:val="7A4620EF"/>
    <w:rsid w:val="7A9050D1"/>
    <w:rsid w:val="7AA8395E"/>
    <w:rsid w:val="7AEE48E5"/>
    <w:rsid w:val="7AF77553"/>
    <w:rsid w:val="7B2A0D3C"/>
    <w:rsid w:val="7B350147"/>
    <w:rsid w:val="7B734A48"/>
    <w:rsid w:val="7BA32AEA"/>
    <w:rsid w:val="7BAF385C"/>
    <w:rsid w:val="7C1D722F"/>
    <w:rsid w:val="7C474453"/>
    <w:rsid w:val="7C7954A9"/>
    <w:rsid w:val="7CDC3203"/>
    <w:rsid w:val="7D0B568B"/>
    <w:rsid w:val="7D1C619E"/>
    <w:rsid w:val="7D5D5ED1"/>
    <w:rsid w:val="7DDD1FB3"/>
    <w:rsid w:val="7DF151BC"/>
    <w:rsid w:val="7E113AF4"/>
    <w:rsid w:val="7E1E7301"/>
    <w:rsid w:val="7E66500D"/>
    <w:rsid w:val="7E670FF2"/>
    <w:rsid w:val="7EA54799"/>
    <w:rsid w:val="7EC702B5"/>
    <w:rsid w:val="7ED01142"/>
    <w:rsid w:val="7F2A344A"/>
    <w:rsid w:val="7F402E74"/>
    <w:rsid w:val="7F7B5855"/>
    <w:rsid w:val="7FA970AC"/>
    <w:rsid w:val="7FB941F4"/>
    <w:rsid w:val="7FBF55ED"/>
    <w:rsid w:val="7FC06FCD"/>
    <w:rsid w:val="7FC172E9"/>
    <w:rsid w:val="7FF22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0"/>
    <w:pPr>
      <w:keepNext/>
      <w:keepLines/>
      <w:widowControl/>
      <w:spacing w:before="280" w:after="290" w:line="376" w:lineRule="auto"/>
      <w:jc w:val="left"/>
      <w:outlineLvl w:val="3"/>
    </w:pPr>
    <w:rPr>
      <w:rFonts w:ascii="Cambria" w:hAnsi="Cambria"/>
      <w:b/>
      <w:bCs/>
      <w:kern w:val="0"/>
      <w:sz w:val="28"/>
      <w:szCs w:val="28"/>
      <w:lang w:eastAsia="en-US" w:bidi="en-US"/>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7"/>
    <w:unhideWhenUsed/>
    <w:qFormat/>
    <w:uiPriority w:val="99"/>
    <w:rPr>
      <w:rFonts w:ascii="宋体"/>
      <w:sz w:val="18"/>
      <w:szCs w:val="18"/>
    </w:rPr>
  </w:style>
  <w:style w:type="paragraph" w:styleId="4">
    <w:name w:val="Body Text"/>
    <w:basedOn w:val="1"/>
    <w:link w:val="14"/>
    <w:qFormat/>
    <w:uiPriority w:val="1"/>
    <w:pPr>
      <w:autoSpaceDE w:val="0"/>
      <w:autoSpaceDN w:val="0"/>
      <w:ind w:left="142"/>
      <w:jc w:val="left"/>
    </w:pPr>
    <w:rPr>
      <w:rFonts w:ascii="宋体" w:hAnsi="宋体" w:cs="宋体"/>
      <w:kern w:val="0"/>
      <w:sz w:val="24"/>
      <w:szCs w:val="24"/>
      <w:lang w:eastAsia="en-US"/>
    </w:rPr>
  </w:style>
  <w:style w:type="paragraph" w:styleId="5">
    <w:name w:val="Balloon Text"/>
    <w:basedOn w:val="1"/>
    <w:link w:val="15"/>
    <w:unhideWhenUsed/>
    <w:qFormat/>
    <w:uiPriority w:val="99"/>
    <w:rPr>
      <w:sz w:val="18"/>
      <w:szCs w:val="18"/>
    </w:rPr>
  </w:style>
  <w:style w:type="paragraph" w:styleId="6">
    <w:name w:val="footer"/>
    <w:basedOn w:val="1"/>
    <w:link w:val="16"/>
    <w:qFormat/>
    <w:uiPriority w:val="0"/>
    <w:pPr>
      <w:tabs>
        <w:tab w:val="center" w:pos="4153"/>
        <w:tab w:val="right" w:pos="8306"/>
      </w:tabs>
      <w:snapToGrid w:val="0"/>
      <w:jc w:val="left"/>
    </w:pPr>
    <w:rPr>
      <w:rFonts w:ascii="Times New Roman" w:hAnsi="Times New Roman"/>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10">
    <w:name w:val="page number"/>
    <w:basedOn w:val="9"/>
    <w:qFormat/>
    <w:uiPriority w:val="0"/>
  </w:style>
  <w:style w:type="character" w:styleId="11">
    <w:name w:val="Hyperlink"/>
    <w:basedOn w:val="9"/>
    <w:semiHidden/>
    <w:unhideWhenUsed/>
    <w:qFormat/>
    <w:uiPriority w:val="99"/>
    <w:rPr>
      <w:color w:val="0000FF"/>
      <w:u w:val="single"/>
    </w:rPr>
  </w:style>
  <w:style w:type="paragraph" w:customStyle="1" w:styleId="12">
    <w:name w:val="Table Paragraph"/>
    <w:basedOn w:val="1"/>
    <w:qFormat/>
    <w:uiPriority w:val="1"/>
    <w:pPr>
      <w:autoSpaceDE w:val="0"/>
      <w:autoSpaceDN w:val="0"/>
      <w:jc w:val="left"/>
    </w:pPr>
    <w:rPr>
      <w:rFonts w:ascii="宋体" w:hAnsi="宋体" w:cs="宋体"/>
      <w:kern w:val="0"/>
      <w:sz w:val="22"/>
      <w:lang w:eastAsia="en-US"/>
    </w:rPr>
  </w:style>
  <w:style w:type="character" w:customStyle="1" w:styleId="13">
    <w:name w:val="页眉 Char"/>
    <w:basedOn w:val="9"/>
    <w:link w:val="7"/>
    <w:qFormat/>
    <w:uiPriority w:val="0"/>
    <w:rPr>
      <w:rFonts w:ascii="Times New Roman" w:hAnsi="Times New Roman" w:eastAsia="宋体" w:cs="Times New Roman"/>
      <w:sz w:val="18"/>
      <w:szCs w:val="18"/>
    </w:rPr>
  </w:style>
  <w:style w:type="character" w:customStyle="1" w:styleId="14">
    <w:name w:val="正文文本 Char"/>
    <w:basedOn w:val="9"/>
    <w:link w:val="4"/>
    <w:qFormat/>
    <w:uiPriority w:val="1"/>
    <w:rPr>
      <w:rFonts w:ascii="宋体" w:hAnsi="宋体" w:cs="宋体"/>
      <w:sz w:val="24"/>
      <w:szCs w:val="24"/>
      <w:lang w:eastAsia="en-US"/>
    </w:rPr>
  </w:style>
  <w:style w:type="character" w:customStyle="1" w:styleId="15">
    <w:name w:val="批注框文本 Char"/>
    <w:basedOn w:val="9"/>
    <w:link w:val="5"/>
    <w:semiHidden/>
    <w:qFormat/>
    <w:uiPriority w:val="99"/>
    <w:rPr>
      <w:kern w:val="2"/>
      <w:sz w:val="18"/>
      <w:szCs w:val="18"/>
    </w:rPr>
  </w:style>
  <w:style w:type="character" w:customStyle="1" w:styleId="16">
    <w:name w:val="页脚 Char"/>
    <w:basedOn w:val="9"/>
    <w:link w:val="6"/>
    <w:qFormat/>
    <w:uiPriority w:val="0"/>
    <w:rPr>
      <w:rFonts w:ascii="Times New Roman" w:hAnsi="Times New Roman" w:eastAsia="宋体" w:cs="Times New Roman"/>
      <w:sz w:val="18"/>
      <w:szCs w:val="18"/>
    </w:rPr>
  </w:style>
  <w:style w:type="character" w:customStyle="1" w:styleId="17">
    <w:name w:val="文档结构图 Char"/>
    <w:basedOn w:val="9"/>
    <w:link w:val="3"/>
    <w:semiHidden/>
    <w:qFormat/>
    <w:uiPriority w:val="99"/>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10905</Words>
  <Characters>12114</Characters>
  <Lines>75</Lines>
  <Paragraphs>21</Paragraphs>
  <TotalTime>0</TotalTime>
  <ScaleCrop>false</ScaleCrop>
  <LinksUpToDate>false</LinksUpToDate>
  <CharactersWithSpaces>13016</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2019-10-16T07:30:00Z</dcterms:created>
  <dc:creator>lenovo</dc:creator>
  <cp:lastModifiedBy>8宝</cp:lastModifiedBy>
  <cp:lastPrinted>2022-11-01T07:17:00Z</cp:lastPrinted>
  <dcterms:modified xsi:type="dcterms:W3CDTF">2022-11-01T08:45:48Z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8B294425AAFE42F3B8371FEA5903CF0D</vt:lpwstr>
  </property>
</Properties>
</file>