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8" w:leftChars="135" w:hanging="1405" w:hangingChars="500"/>
        <w:jc w:val="left"/>
        <w:rPr>
          <w:rFonts w:hint="eastAsia" w:ascii="宋体" w:hAnsi="宋体" w:eastAsia="宋体" w:cs="宋体"/>
          <w:b/>
          <w:color w:val="auto"/>
          <w:kern w:val="0"/>
          <w:sz w:val="28"/>
          <w:szCs w:val="32"/>
          <w:lang w:eastAsia="zh-CN"/>
        </w:rPr>
      </w:pPr>
      <w:r>
        <w:rPr>
          <w:rFonts w:hint="eastAsia" w:ascii="宋体" w:hAnsi="宋体" w:cs="宋体"/>
          <w:b/>
          <w:color w:val="auto"/>
          <w:kern w:val="0"/>
          <w:sz w:val="28"/>
          <w:szCs w:val="32"/>
        </w:rPr>
        <w:t>项目名称：</w:t>
      </w:r>
      <w:r>
        <w:rPr>
          <w:rFonts w:hint="eastAsia" w:ascii="宋体" w:hAnsi="宋体"/>
          <w:b/>
          <w:bCs/>
          <w:color w:val="auto"/>
          <w:sz w:val="28"/>
          <w:szCs w:val="32"/>
          <w:lang w:eastAsia="zh-CN"/>
        </w:rPr>
        <w:t>重庆渝合高速公路有限公司2021-2024年运营保险项目（第二次）</w:t>
      </w:r>
    </w:p>
    <w:p>
      <w:pPr>
        <w:tabs>
          <w:tab w:val="left" w:pos="3828"/>
        </w:tabs>
        <w:autoSpaceDE w:val="0"/>
        <w:autoSpaceDN w:val="0"/>
        <w:spacing w:line="326" w:lineRule="auto"/>
        <w:ind w:firstLine="281" w:firstLineChars="100"/>
        <w:jc w:val="left"/>
        <w:textAlignment w:val="bottom"/>
        <w:rPr>
          <w:rFonts w:ascii="宋体" w:hAnsi="宋体" w:cs="宋体"/>
          <w:b/>
          <w:color w:val="auto"/>
          <w:kern w:val="0"/>
          <w:sz w:val="28"/>
          <w:szCs w:val="32"/>
        </w:rPr>
      </w:pPr>
      <w:r>
        <w:rPr>
          <w:rFonts w:hint="eastAsia" w:ascii="宋体" w:hAnsi="宋体" w:cs="宋体"/>
          <w:b/>
          <w:color w:val="auto"/>
          <w:kern w:val="0"/>
          <w:sz w:val="28"/>
          <w:szCs w:val="32"/>
        </w:rPr>
        <w:t>项目编号：</w:t>
      </w:r>
      <w:r>
        <w:rPr>
          <w:rFonts w:ascii="宋体" w:hAnsi="宋体" w:cs="宋体"/>
          <w:b/>
          <w:color w:val="auto"/>
          <w:kern w:val="0"/>
          <w:sz w:val="28"/>
          <w:szCs w:val="32"/>
        </w:rPr>
        <w:t>FG2100160659BS</w:t>
      </w:r>
    </w:p>
    <w:p>
      <w:pPr>
        <w:autoSpaceDE w:val="0"/>
        <w:autoSpaceDN w:val="0"/>
        <w:spacing w:line="360" w:lineRule="auto"/>
        <w:rPr>
          <w:rFonts w:ascii="宋体" w:hAnsi="宋体"/>
          <w:color w:val="auto"/>
          <w:kern w:val="0"/>
          <w:sz w:val="72"/>
          <w:szCs w:val="72"/>
        </w:rPr>
      </w:pPr>
    </w:p>
    <w:p>
      <w:pPr>
        <w:spacing w:line="400" w:lineRule="exact"/>
        <w:rPr>
          <w:rFonts w:ascii="宋体" w:hAnsi="宋体"/>
          <w:color w:val="auto"/>
          <w:sz w:val="24"/>
          <w:szCs w:val="20"/>
        </w:rPr>
      </w:pPr>
    </w:p>
    <w:p>
      <w:pPr>
        <w:autoSpaceDE w:val="0"/>
        <w:autoSpaceDN w:val="0"/>
        <w:spacing w:line="360" w:lineRule="auto"/>
        <w:jc w:val="center"/>
        <w:rPr>
          <w:rFonts w:ascii="宋体" w:hAnsi="宋体"/>
          <w:color w:val="auto"/>
          <w:kern w:val="0"/>
          <w:sz w:val="72"/>
          <w:szCs w:val="72"/>
        </w:rPr>
      </w:pPr>
    </w:p>
    <w:p>
      <w:pPr>
        <w:autoSpaceDE w:val="0"/>
        <w:autoSpaceDN w:val="0"/>
        <w:spacing w:line="360" w:lineRule="auto"/>
        <w:jc w:val="center"/>
        <w:rPr>
          <w:rFonts w:ascii="宋体" w:hAnsi="宋体"/>
          <w:b/>
          <w:color w:val="auto"/>
          <w:kern w:val="0"/>
          <w:sz w:val="72"/>
          <w:szCs w:val="72"/>
        </w:rPr>
      </w:pPr>
    </w:p>
    <w:p>
      <w:pPr>
        <w:autoSpaceDE w:val="0"/>
        <w:autoSpaceDN w:val="0"/>
        <w:spacing w:line="360" w:lineRule="auto"/>
        <w:jc w:val="center"/>
        <w:rPr>
          <w:rFonts w:ascii="宋体" w:hAnsi="宋体"/>
          <w:b/>
          <w:color w:val="auto"/>
          <w:kern w:val="0"/>
          <w:sz w:val="72"/>
          <w:szCs w:val="72"/>
        </w:rPr>
      </w:pPr>
      <w:r>
        <w:rPr>
          <w:rFonts w:hint="eastAsia" w:ascii="宋体" w:hAnsi="宋体"/>
          <w:b/>
          <w:color w:val="auto"/>
          <w:kern w:val="0"/>
          <w:sz w:val="72"/>
          <w:szCs w:val="72"/>
        </w:rPr>
        <w:t>招 标 文 件</w:t>
      </w:r>
    </w:p>
    <w:p>
      <w:pPr>
        <w:autoSpaceDE w:val="0"/>
        <w:autoSpaceDN w:val="0"/>
        <w:spacing w:line="360" w:lineRule="auto"/>
        <w:jc w:val="center"/>
        <w:rPr>
          <w:rFonts w:ascii="宋体" w:hAnsi="宋体"/>
          <w:color w:val="auto"/>
          <w:kern w:val="0"/>
          <w:sz w:val="32"/>
          <w:szCs w:val="32"/>
        </w:rPr>
      </w:pPr>
    </w:p>
    <w:p>
      <w:pPr>
        <w:autoSpaceDE w:val="0"/>
        <w:autoSpaceDN w:val="0"/>
        <w:spacing w:line="360" w:lineRule="auto"/>
        <w:jc w:val="center"/>
        <w:rPr>
          <w:rFonts w:ascii="宋体" w:hAnsi="宋体"/>
          <w:color w:val="auto"/>
          <w:kern w:val="0"/>
          <w:sz w:val="32"/>
          <w:szCs w:val="32"/>
        </w:rPr>
      </w:pPr>
      <w:r>
        <w:rPr>
          <w:rFonts w:ascii="Times New Roman" w:hAnsi="Times New Roman"/>
          <w:color w:val="auto"/>
          <w:position w:val="-6"/>
          <w:szCs w:val="20"/>
        </w:rPr>
        <w:drawing>
          <wp:anchor distT="0" distB="0" distL="114300" distR="114300" simplePos="0" relativeHeight="251660288" behindDoc="0" locked="0" layoutInCell="1" allowOverlap="1">
            <wp:simplePos x="0" y="0"/>
            <wp:positionH relativeFrom="column">
              <wp:posOffset>2150110</wp:posOffset>
            </wp:positionH>
            <wp:positionV relativeFrom="paragraph">
              <wp:posOffset>384810</wp:posOffset>
            </wp:positionV>
            <wp:extent cx="1610360" cy="969010"/>
            <wp:effectExtent l="0" t="0" r="8890" b="2540"/>
            <wp:wrapSquare wrapText="bothSides"/>
            <wp:docPr id="4" name="图片 4"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招采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10360" cy="969010"/>
                    </a:xfrm>
                    <a:prstGeom prst="rect">
                      <a:avLst/>
                    </a:prstGeom>
                    <a:noFill/>
                    <a:ln>
                      <a:noFill/>
                    </a:ln>
                  </pic:spPr>
                </pic:pic>
              </a:graphicData>
            </a:graphic>
          </wp:anchor>
        </w:drawing>
      </w:r>
    </w:p>
    <w:p>
      <w:pPr>
        <w:autoSpaceDE w:val="0"/>
        <w:autoSpaceDN w:val="0"/>
        <w:adjustRightInd w:val="0"/>
        <w:jc w:val="center"/>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adjustRightInd w:val="0"/>
        <w:jc w:val="left"/>
        <w:rPr>
          <w:rFonts w:ascii="宋体" w:hAnsi="宋体"/>
          <w:color w:val="auto"/>
          <w:kern w:val="0"/>
          <w:sz w:val="24"/>
        </w:rPr>
      </w:pPr>
    </w:p>
    <w:p>
      <w:pPr>
        <w:autoSpaceDE w:val="0"/>
        <w:autoSpaceDN w:val="0"/>
        <w:spacing w:line="360" w:lineRule="auto"/>
        <w:ind w:firstLine="1205" w:firstLineChars="400"/>
        <w:jc w:val="left"/>
        <w:rPr>
          <w:rFonts w:ascii="宋体" w:hAnsi="宋体" w:cs="宋体"/>
          <w:b/>
          <w:bCs/>
          <w:color w:val="auto"/>
          <w:sz w:val="30"/>
          <w:szCs w:val="30"/>
        </w:rPr>
      </w:pPr>
    </w:p>
    <w:p>
      <w:pPr>
        <w:autoSpaceDE w:val="0"/>
        <w:autoSpaceDN w:val="0"/>
        <w:spacing w:line="480" w:lineRule="auto"/>
        <w:ind w:firstLine="298" w:firstLineChars="99"/>
        <w:rPr>
          <w:rFonts w:ascii="宋体" w:hAnsi="宋体" w:cs="宋体"/>
          <w:b/>
          <w:bCs/>
          <w:color w:val="auto"/>
          <w:kern w:val="0"/>
          <w:sz w:val="30"/>
          <w:szCs w:val="30"/>
        </w:rPr>
      </w:pPr>
      <w:r>
        <w:rPr>
          <w:rFonts w:hint="eastAsia" w:ascii="宋体" w:hAnsi="宋体" w:cs="宋体"/>
          <w:b/>
          <w:bCs/>
          <w:color w:val="auto"/>
          <w:sz w:val="30"/>
          <w:szCs w:val="30"/>
        </w:rPr>
        <w:t>招   标   人：</w:t>
      </w:r>
      <w:r>
        <w:rPr>
          <w:rFonts w:hint="eastAsia" w:ascii="宋体" w:hAnsi="宋体" w:cs="宋体"/>
          <w:b/>
          <w:bCs/>
          <w:color w:val="auto"/>
          <w:sz w:val="30"/>
          <w:szCs w:val="30"/>
          <w:u w:val="single"/>
        </w:rPr>
        <w:t>重庆渝合高速公路有限公司</w:t>
      </w:r>
      <w:r>
        <w:rPr>
          <w:rFonts w:hint="eastAsia" w:ascii="宋体" w:hAnsi="宋体" w:cs="宋体"/>
          <w:b/>
          <w:bCs/>
          <w:color w:val="auto"/>
          <w:kern w:val="0"/>
          <w:sz w:val="30"/>
          <w:szCs w:val="30"/>
        </w:rPr>
        <w:t>（盖单位章）</w:t>
      </w:r>
    </w:p>
    <w:p>
      <w:pPr>
        <w:autoSpaceDE w:val="0"/>
        <w:autoSpaceDN w:val="0"/>
        <w:spacing w:line="480" w:lineRule="auto"/>
        <w:ind w:firstLine="298" w:firstLineChars="99"/>
        <w:rPr>
          <w:rFonts w:ascii="宋体" w:hAnsi="宋体" w:cs="宋体"/>
          <w:b/>
          <w:bCs/>
          <w:color w:val="auto"/>
          <w:kern w:val="0"/>
          <w:sz w:val="30"/>
          <w:szCs w:val="30"/>
        </w:rPr>
      </w:pPr>
      <w:r>
        <w:rPr>
          <w:rFonts w:hint="eastAsia" w:ascii="宋体" w:hAnsi="宋体" w:cs="宋体"/>
          <w:b/>
          <w:bCs/>
          <w:color w:val="auto"/>
          <w:sz w:val="30"/>
          <w:szCs w:val="30"/>
        </w:rPr>
        <w:t>招标代理机构：</w:t>
      </w:r>
      <w:r>
        <w:rPr>
          <w:rFonts w:hint="eastAsia" w:ascii="宋体" w:hAnsi="宋体" w:cs="宋体"/>
          <w:b/>
          <w:bCs/>
          <w:color w:val="auto"/>
          <w:sz w:val="30"/>
          <w:szCs w:val="30"/>
          <w:u w:val="single"/>
        </w:rPr>
        <w:t>重庆招标采购（集团）有限责任公司</w:t>
      </w:r>
      <w:r>
        <w:rPr>
          <w:rFonts w:hint="eastAsia" w:ascii="宋体" w:hAnsi="宋体" w:cs="宋体"/>
          <w:b/>
          <w:bCs/>
          <w:color w:val="auto"/>
          <w:kern w:val="0"/>
          <w:sz w:val="30"/>
          <w:szCs w:val="30"/>
        </w:rPr>
        <w:t>（盖单位章）</w:t>
      </w:r>
    </w:p>
    <w:p>
      <w:pPr>
        <w:jc w:val="center"/>
        <w:rPr>
          <w:rFonts w:ascii="宋体" w:hAnsi="宋体" w:cs="宋体"/>
          <w:b/>
          <w:bCs/>
          <w:color w:val="auto"/>
          <w:sz w:val="30"/>
          <w:szCs w:val="30"/>
        </w:rPr>
      </w:pPr>
    </w:p>
    <w:p>
      <w:pPr>
        <w:jc w:val="center"/>
        <w:rPr>
          <w:rFonts w:ascii="宋体" w:hAnsi="宋体" w:cs="宋体"/>
          <w:b/>
          <w:bCs/>
          <w:color w:val="auto"/>
          <w:sz w:val="30"/>
          <w:szCs w:val="30"/>
        </w:rPr>
      </w:pPr>
      <w:r>
        <w:rPr>
          <w:rFonts w:ascii="宋体" w:hAnsi="宋体" w:cs="宋体"/>
          <w:b/>
          <w:bCs/>
          <w:color w:val="auto"/>
          <w:sz w:val="30"/>
          <w:szCs w:val="30"/>
        </w:rPr>
        <w:t>202</w:t>
      </w:r>
      <w:r>
        <w:rPr>
          <w:rFonts w:hint="eastAsia" w:ascii="宋体" w:hAnsi="宋体" w:cs="宋体"/>
          <w:b/>
          <w:bCs/>
          <w:color w:val="auto"/>
          <w:sz w:val="30"/>
          <w:szCs w:val="30"/>
        </w:rPr>
        <w:t>1年</w:t>
      </w:r>
      <w:r>
        <w:rPr>
          <w:rFonts w:hint="eastAsia" w:ascii="宋体" w:hAnsi="宋体" w:cs="宋体"/>
          <w:b/>
          <w:bCs/>
          <w:color w:val="auto"/>
          <w:sz w:val="30"/>
          <w:szCs w:val="30"/>
          <w:lang w:val="en-US" w:eastAsia="zh-CN"/>
        </w:rPr>
        <w:t>10</w:t>
      </w:r>
      <w:r>
        <w:rPr>
          <w:rFonts w:hint="eastAsia" w:ascii="宋体" w:hAnsi="宋体" w:cs="宋体"/>
          <w:b/>
          <w:bCs/>
          <w:color w:val="auto"/>
          <w:sz w:val="30"/>
          <w:szCs w:val="30"/>
        </w:rPr>
        <w:t>月</w:t>
      </w:r>
    </w:p>
    <w:p>
      <w:pPr>
        <w:autoSpaceDE w:val="0"/>
        <w:autoSpaceDN w:val="0"/>
        <w:spacing w:line="360" w:lineRule="auto"/>
        <w:jc w:val="center"/>
        <w:rPr>
          <w:rFonts w:ascii="宋体" w:hAnsi="宋体"/>
          <w:b/>
          <w:color w:val="auto"/>
          <w:kern w:val="0"/>
          <w:sz w:val="44"/>
          <w:szCs w:val="44"/>
        </w:rPr>
      </w:pPr>
      <w:r>
        <w:rPr>
          <w:rFonts w:hint="eastAsia" w:ascii="宋体" w:hAnsi="宋体"/>
          <w:b/>
          <w:color w:val="auto"/>
          <w:kern w:val="0"/>
          <w:sz w:val="44"/>
          <w:szCs w:val="44"/>
        </w:rPr>
        <w:t>目　录</w:t>
      </w:r>
    </w:p>
    <w:p>
      <w:pPr>
        <w:pStyle w:val="59"/>
        <w:tabs>
          <w:tab w:val="right" w:leader="dot" w:pos="9009"/>
        </w:tabs>
        <w:rPr>
          <w:rFonts w:ascii="黑体" w:hAnsi="黑体" w:eastAsia="黑体"/>
          <w:color w:val="auto"/>
        </w:rPr>
      </w:pPr>
      <w:r>
        <w:rPr>
          <w:rFonts w:ascii="宋体" w:hAnsi="宋体"/>
          <w:color w:val="auto"/>
          <w:kern w:val="0"/>
          <w:sz w:val="30"/>
          <w:szCs w:val="30"/>
        </w:rPr>
        <w:fldChar w:fldCharType="begin"/>
      </w:r>
      <w:r>
        <w:rPr>
          <w:rFonts w:ascii="宋体" w:hAnsi="宋体"/>
          <w:color w:val="auto"/>
          <w:kern w:val="0"/>
          <w:sz w:val="30"/>
          <w:szCs w:val="30"/>
        </w:rPr>
        <w:instrText xml:space="preserve"> </w:instrText>
      </w:r>
      <w:r>
        <w:rPr>
          <w:rFonts w:hint="eastAsia" w:ascii="宋体" w:hAnsi="宋体"/>
          <w:color w:val="auto"/>
          <w:kern w:val="0"/>
          <w:sz w:val="30"/>
          <w:szCs w:val="30"/>
        </w:rPr>
        <w:instrText xml:space="preserve">TOC \o "1-3" \h \z \u</w:instrText>
      </w:r>
      <w:r>
        <w:rPr>
          <w:rFonts w:ascii="宋体" w:hAnsi="宋体"/>
          <w:color w:val="auto"/>
          <w:kern w:val="0"/>
          <w:sz w:val="30"/>
          <w:szCs w:val="30"/>
        </w:rPr>
        <w:instrText xml:space="preserve"> </w:instrText>
      </w:r>
      <w:r>
        <w:rPr>
          <w:rFonts w:ascii="宋体" w:hAnsi="宋体"/>
          <w:color w:val="auto"/>
          <w:kern w:val="0"/>
          <w:sz w:val="30"/>
          <w:szCs w:val="30"/>
        </w:rPr>
        <w:fldChar w:fldCharType="separate"/>
      </w:r>
      <w:r>
        <w:rPr>
          <w:color w:val="auto"/>
        </w:rPr>
        <w:fldChar w:fldCharType="begin"/>
      </w:r>
      <w:r>
        <w:rPr>
          <w:color w:val="auto"/>
        </w:rPr>
        <w:instrText xml:space="preserve"> HYPERLINK \l "_Toc29796215" </w:instrText>
      </w:r>
      <w:r>
        <w:rPr>
          <w:color w:val="auto"/>
        </w:rPr>
        <w:fldChar w:fldCharType="separate"/>
      </w:r>
      <w:r>
        <w:rPr>
          <w:rFonts w:hint="eastAsia" w:ascii="黑体" w:hAnsi="黑体" w:eastAsia="黑体"/>
          <w:color w:val="auto"/>
        </w:rPr>
        <w:t>第一章</w:t>
      </w:r>
      <w:r>
        <w:rPr>
          <w:rFonts w:ascii="黑体" w:hAnsi="黑体" w:eastAsia="黑体"/>
          <w:color w:val="auto"/>
        </w:rPr>
        <w:t xml:space="preserve">   </w:t>
      </w:r>
      <w:r>
        <w:rPr>
          <w:rFonts w:hint="eastAsia" w:ascii="黑体" w:hAnsi="黑体" w:eastAsia="黑体"/>
          <w:color w:val="auto"/>
        </w:rPr>
        <w:t>招标公告</w:t>
      </w:r>
      <w:r>
        <w:rPr>
          <w:rFonts w:ascii="黑体" w:hAnsi="黑体" w:eastAsia="黑体"/>
          <w:color w:val="auto"/>
        </w:rPr>
        <w:tab/>
      </w:r>
      <w:r>
        <w:rPr>
          <w:rFonts w:ascii="黑体" w:hAnsi="黑体" w:eastAsia="黑体"/>
          <w:color w:val="auto"/>
        </w:rPr>
        <w:fldChar w:fldCharType="begin"/>
      </w:r>
      <w:r>
        <w:rPr>
          <w:rFonts w:ascii="黑体" w:hAnsi="黑体" w:eastAsia="黑体"/>
          <w:color w:val="auto"/>
        </w:rPr>
        <w:instrText xml:space="preserve"> PAGEREF _Toc29796215 \h </w:instrText>
      </w:r>
      <w:r>
        <w:rPr>
          <w:rFonts w:ascii="黑体" w:hAnsi="黑体" w:eastAsia="黑体"/>
          <w:color w:val="auto"/>
        </w:rPr>
        <w:fldChar w:fldCharType="separate"/>
      </w:r>
      <w:r>
        <w:rPr>
          <w:rFonts w:ascii="黑体" w:hAnsi="黑体" w:eastAsia="黑体"/>
          <w:color w:val="auto"/>
        </w:rPr>
        <w:t>11</w:t>
      </w:r>
      <w:r>
        <w:rPr>
          <w:rFonts w:ascii="黑体" w:hAnsi="黑体" w:eastAsia="黑体"/>
          <w:color w:val="auto"/>
        </w:rPr>
        <w:fldChar w:fldCharType="end"/>
      </w:r>
      <w:r>
        <w:rPr>
          <w:rFonts w:ascii="黑体" w:hAnsi="黑体" w:eastAsia="黑体"/>
          <w:color w:val="auto"/>
        </w:rPr>
        <w:fldChar w:fldCharType="end"/>
      </w:r>
    </w:p>
    <w:p>
      <w:pPr>
        <w:pStyle w:val="59"/>
        <w:tabs>
          <w:tab w:val="right" w:leader="dot" w:pos="9009"/>
        </w:tabs>
        <w:rPr>
          <w:rFonts w:ascii="黑体" w:hAnsi="黑体" w:eastAsia="黑体" w:cstheme="minorBidi"/>
          <w:color w:val="auto"/>
          <w:szCs w:val="22"/>
        </w:rPr>
      </w:pPr>
      <w:r>
        <w:rPr>
          <w:color w:val="auto"/>
        </w:rPr>
        <w:fldChar w:fldCharType="begin"/>
      </w:r>
      <w:r>
        <w:rPr>
          <w:color w:val="auto"/>
        </w:rPr>
        <w:instrText xml:space="preserve"> HYPERLINK \l "_Toc29796216" </w:instrText>
      </w:r>
      <w:r>
        <w:rPr>
          <w:color w:val="auto"/>
        </w:rPr>
        <w:fldChar w:fldCharType="separate"/>
      </w:r>
      <w:r>
        <w:rPr>
          <w:rStyle w:val="101"/>
          <w:rFonts w:hint="eastAsia" w:ascii="黑体" w:hAnsi="黑体" w:eastAsia="黑体"/>
          <w:color w:val="auto"/>
        </w:rPr>
        <w:t>第二章</w:t>
      </w:r>
      <w:r>
        <w:rPr>
          <w:rStyle w:val="101"/>
          <w:rFonts w:ascii="黑体" w:hAnsi="黑体" w:eastAsia="黑体"/>
          <w:color w:val="auto"/>
        </w:rPr>
        <w:t xml:space="preserve">   </w:t>
      </w:r>
      <w:r>
        <w:rPr>
          <w:rStyle w:val="101"/>
          <w:rFonts w:hint="eastAsia" w:ascii="黑体" w:hAnsi="黑体" w:eastAsia="黑体"/>
          <w:color w:val="auto"/>
        </w:rPr>
        <w:t>投标人须知</w:t>
      </w:r>
      <w:r>
        <w:rPr>
          <w:rFonts w:ascii="黑体" w:hAnsi="黑体" w:eastAsia="黑体"/>
          <w:color w:val="auto"/>
        </w:rPr>
        <w:tab/>
      </w:r>
      <w:r>
        <w:rPr>
          <w:rFonts w:hint="eastAsia" w:ascii="黑体" w:hAnsi="黑体" w:eastAsia="黑体"/>
          <w:color w:val="auto"/>
        </w:rPr>
        <w:t>6</w:t>
      </w:r>
      <w:r>
        <w:rPr>
          <w:rFonts w:hint="eastAsia" w:ascii="黑体" w:hAnsi="黑体" w:eastAsia="黑体"/>
          <w:color w:val="auto"/>
        </w:rPr>
        <w:fldChar w:fldCharType="end"/>
      </w:r>
    </w:p>
    <w:p>
      <w:pPr>
        <w:pStyle w:val="59"/>
        <w:tabs>
          <w:tab w:val="right" w:leader="dot" w:pos="9009"/>
        </w:tabs>
        <w:rPr>
          <w:rFonts w:ascii="黑体" w:hAnsi="黑体" w:eastAsia="黑体" w:cstheme="minorBidi"/>
          <w:color w:val="auto"/>
          <w:szCs w:val="22"/>
        </w:rPr>
      </w:pPr>
      <w:r>
        <w:rPr>
          <w:color w:val="auto"/>
        </w:rPr>
        <w:fldChar w:fldCharType="begin"/>
      </w:r>
      <w:r>
        <w:rPr>
          <w:color w:val="auto"/>
        </w:rPr>
        <w:instrText xml:space="preserve"> HYPERLINK \l "_Toc29796223" </w:instrText>
      </w:r>
      <w:r>
        <w:rPr>
          <w:color w:val="auto"/>
        </w:rPr>
        <w:fldChar w:fldCharType="separate"/>
      </w:r>
      <w:r>
        <w:rPr>
          <w:rStyle w:val="101"/>
          <w:rFonts w:hint="eastAsia" w:ascii="黑体" w:hAnsi="黑体" w:eastAsia="黑体"/>
          <w:color w:val="auto"/>
        </w:rPr>
        <w:t>第三章</w:t>
      </w:r>
      <w:r>
        <w:rPr>
          <w:rStyle w:val="101"/>
          <w:rFonts w:ascii="黑体" w:hAnsi="黑体" w:eastAsia="黑体"/>
          <w:color w:val="auto"/>
        </w:rPr>
        <w:t xml:space="preserve">   </w:t>
      </w:r>
      <w:r>
        <w:rPr>
          <w:rStyle w:val="101"/>
          <w:rFonts w:hint="eastAsia" w:ascii="黑体" w:hAnsi="黑体" w:eastAsia="黑体"/>
          <w:color w:val="auto"/>
        </w:rPr>
        <w:t>评标办法</w:t>
      </w:r>
      <w:r>
        <w:rPr>
          <w:rFonts w:ascii="黑体" w:hAnsi="黑体" w:eastAsia="黑体"/>
          <w:color w:val="auto"/>
        </w:rPr>
        <w:tab/>
      </w:r>
      <w:r>
        <w:rPr>
          <w:rFonts w:ascii="黑体" w:hAnsi="黑体" w:eastAsia="黑体"/>
          <w:color w:val="auto"/>
        </w:rPr>
        <w:fldChar w:fldCharType="begin"/>
      </w:r>
      <w:r>
        <w:rPr>
          <w:rFonts w:ascii="黑体" w:hAnsi="黑体" w:eastAsia="黑体"/>
          <w:color w:val="auto"/>
        </w:rPr>
        <w:instrText xml:space="preserve"> PAGEREF _Toc29796223 \h </w:instrText>
      </w:r>
      <w:r>
        <w:rPr>
          <w:rFonts w:ascii="黑体" w:hAnsi="黑体" w:eastAsia="黑体"/>
          <w:color w:val="auto"/>
        </w:rPr>
        <w:fldChar w:fldCharType="separate"/>
      </w:r>
      <w:r>
        <w:rPr>
          <w:rFonts w:ascii="黑体" w:hAnsi="黑体" w:eastAsia="黑体"/>
          <w:color w:val="auto"/>
        </w:rPr>
        <w:t>33</w:t>
      </w:r>
      <w:r>
        <w:rPr>
          <w:rFonts w:ascii="黑体" w:hAnsi="黑体" w:eastAsia="黑体"/>
          <w:color w:val="auto"/>
        </w:rPr>
        <w:fldChar w:fldCharType="end"/>
      </w:r>
      <w:r>
        <w:rPr>
          <w:rFonts w:ascii="黑体" w:hAnsi="黑体" w:eastAsia="黑体"/>
          <w:color w:val="auto"/>
        </w:rPr>
        <w:fldChar w:fldCharType="end"/>
      </w:r>
    </w:p>
    <w:p>
      <w:pPr>
        <w:pStyle w:val="59"/>
        <w:tabs>
          <w:tab w:val="right" w:leader="dot" w:pos="9009"/>
        </w:tabs>
        <w:rPr>
          <w:rFonts w:ascii="黑体" w:hAnsi="黑体" w:eastAsia="黑体" w:cstheme="minorBidi"/>
          <w:color w:val="auto"/>
          <w:szCs w:val="22"/>
        </w:rPr>
      </w:pPr>
      <w:r>
        <w:rPr>
          <w:color w:val="auto"/>
        </w:rPr>
        <w:fldChar w:fldCharType="begin"/>
      </w:r>
      <w:r>
        <w:rPr>
          <w:color w:val="auto"/>
        </w:rPr>
        <w:instrText xml:space="preserve"> HYPERLINK \l "_Toc29796226" </w:instrText>
      </w:r>
      <w:r>
        <w:rPr>
          <w:color w:val="auto"/>
        </w:rPr>
        <w:fldChar w:fldCharType="separate"/>
      </w:r>
      <w:r>
        <w:rPr>
          <w:rStyle w:val="101"/>
          <w:rFonts w:hint="eastAsia" w:ascii="黑体" w:hAnsi="黑体" w:eastAsia="黑体"/>
          <w:color w:val="auto"/>
        </w:rPr>
        <w:t>第四章   合同条款及格式</w:t>
      </w:r>
      <w:r>
        <w:rPr>
          <w:rFonts w:ascii="黑体" w:hAnsi="黑体" w:eastAsia="黑体"/>
          <w:color w:val="auto"/>
        </w:rPr>
        <w:tab/>
      </w:r>
      <w:r>
        <w:rPr>
          <w:rFonts w:ascii="黑体" w:hAnsi="黑体" w:eastAsia="黑体"/>
          <w:color w:val="auto"/>
        </w:rPr>
        <w:fldChar w:fldCharType="begin"/>
      </w:r>
      <w:r>
        <w:rPr>
          <w:rFonts w:ascii="黑体" w:hAnsi="黑体" w:eastAsia="黑体"/>
          <w:color w:val="auto"/>
        </w:rPr>
        <w:instrText xml:space="preserve"> PAGEREF _Toc29796226 \h </w:instrText>
      </w:r>
      <w:r>
        <w:rPr>
          <w:rFonts w:ascii="黑体" w:hAnsi="黑体" w:eastAsia="黑体"/>
          <w:color w:val="auto"/>
        </w:rPr>
        <w:fldChar w:fldCharType="separate"/>
      </w:r>
      <w:r>
        <w:rPr>
          <w:rFonts w:ascii="黑体" w:hAnsi="黑体" w:eastAsia="黑体"/>
          <w:color w:val="auto"/>
        </w:rPr>
        <w:t>44</w:t>
      </w:r>
      <w:r>
        <w:rPr>
          <w:rFonts w:ascii="黑体" w:hAnsi="黑体" w:eastAsia="黑体"/>
          <w:color w:val="auto"/>
        </w:rPr>
        <w:fldChar w:fldCharType="end"/>
      </w:r>
      <w:r>
        <w:rPr>
          <w:rFonts w:ascii="黑体" w:hAnsi="黑体" w:eastAsia="黑体"/>
          <w:color w:val="auto"/>
        </w:rPr>
        <w:fldChar w:fldCharType="end"/>
      </w:r>
    </w:p>
    <w:p>
      <w:pPr>
        <w:pStyle w:val="59"/>
        <w:tabs>
          <w:tab w:val="right" w:leader="dot" w:pos="9009"/>
        </w:tabs>
        <w:rPr>
          <w:rFonts w:ascii="黑体" w:hAnsi="黑体" w:eastAsia="黑体" w:cstheme="minorBidi"/>
          <w:color w:val="auto"/>
          <w:szCs w:val="22"/>
        </w:rPr>
      </w:pPr>
      <w:r>
        <w:rPr>
          <w:color w:val="auto"/>
        </w:rPr>
        <w:fldChar w:fldCharType="begin"/>
      </w:r>
      <w:r>
        <w:rPr>
          <w:color w:val="auto"/>
        </w:rPr>
        <w:instrText xml:space="preserve"> HYPERLINK \l "_Toc29796227" </w:instrText>
      </w:r>
      <w:r>
        <w:rPr>
          <w:color w:val="auto"/>
        </w:rPr>
        <w:fldChar w:fldCharType="separate"/>
      </w:r>
      <w:r>
        <w:rPr>
          <w:rStyle w:val="101"/>
          <w:rFonts w:hint="eastAsia" w:ascii="黑体" w:hAnsi="黑体" w:eastAsia="黑体"/>
          <w:color w:val="auto"/>
        </w:rPr>
        <w:t>第五章</w:t>
      </w:r>
      <w:r>
        <w:rPr>
          <w:rStyle w:val="101"/>
          <w:rFonts w:ascii="黑体" w:hAnsi="黑体" w:eastAsia="黑体"/>
          <w:color w:val="auto"/>
        </w:rPr>
        <w:t xml:space="preserve">  </w:t>
      </w:r>
      <w:r>
        <w:rPr>
          <w:rStyle w:val="101"/>
          <w:rFonts w:hint="eastAsia" w:ascii="黑体" w:hAnsi="黑体" w:eastAsia="黑体"/>
          <w:color w:val="auto"/>
        </w:rPr>
        <w:t xml:space="preserve"> 发包人要求</w:t>
      </w:r>
      <w:r>
        <w:rPr>
          <w:rFonts w:ascii="黑体" w:hAnsi="黑体" w:eastAsia="黑体"/>
          <w:color w:val="auto"/>
        </w:rPr>
        <w:tab/>
      </w:r>
      <w:r>
        <w:rPr>
          <w:rFonts w:hint="eastAsia" w:ascii="黑体" w:hAnsi="黑体" w:eastAsia="黑体"/>
          <w:color w:val="auto"/>
        </w:rPr>
        <w:t>73</w:t>
      </w:r>
      <w:r>
        <w:rPr>
          <w:rFonts w:hint="eastAsia" w:ascii="黑体" w:hAnsi="黑体" w:eastAsia="黑体"/>
          <w:color w:val="auto"/>
        </w:rPr>
        <w:fldChar w:fldCharType="end"/>
      </w:r>
    </w:p>
    <w:p>
      <w:pPr>
        <w:pStyle w:val="59"/>
        <w:tabs>
          <w:tab w:val="right" w:leader="dot" w:pos="9009"/>
        </w:tabs>
        <w:rPr>
          <w:rFonts w:ascii="黑体" w:hAnsi="黑体" w:eastAsia="黑体" w:cstheme="minorBidi"/>
          <w:color w:val="auto"/>
          <w:szCs w:val="22"/>
        </w:rPr>
      </w:pPr>
      <w:r>
        <w:rPr>
          <w:color w:val="auto"/>
        </w:rPr>
        <w:fldChar w:fldCharType="begin"/>
      </w:r>
      <w:r>
        <w:rPr>
          <w:color w:val="auto"/>
        </w:rPr>
        <w:instrText xml:space="preserve"> HYPERLINK \l "_Toc29796228" </w:instrText>
      </w:r>
      <w:r>
        <w:rPr>
          <w:color w:val="auto"/>
        </w:rPr>
        <w:fldChar w:fldCharType="separate"/>
      </w:r>
      <w:r>
        <w:rPr>
          <w:rStyle w:val="101"/>
          <w:rFonts w:hint="eastAsia" w:ascii="黑体" w:hAnsi="黑体" w:eastAsia="黑体"/>
          <w:color w:val="auto"/>
        </w:rPr>
        <w:t>第六章</w:t>
      </w:r>
      <w:r>
        <w:rPr>
          <w:rStyle w:val="101"/>
          <w:rFonts w:ascii="黑体" w:hAnsi="黑体" w:eastAsia="黑体"/>
          <w:color w:val="auto"/>
        </w:rPr>
        <w:t xml:space="preserve">   </w:t>
      </w:r>
      <w:r>
        <w:rPr>
          <w:rStyle w:val="101"/>
          <w:rFonts w:hint="eastAsia" w:ascii="黑体" w:hAnsi="黑体" w:eastAsia="黑体"/>
          <w:color w:val="auto"/>
        </w:rPr>
        <w:t>投标文件格式</w:t>
      </w:r>
      <w:r>
        <w:rPr>
          <w:rFonts w:ascii="黑体" w:hAnsi="黑体" w:eastAsia="黑体"/>
          <w:color w:val="auto"/>
        </w:rPr>
        <w:tab/>
      </w:r>
      <w:r>
        <w:rPr>
          <w:rFonts w:hint="eastAsia" w:ascii="黑体" w:hAnsi="黑体" w:eastAsia="黑体"/>
          <w:color w:val="auto"/>
        </w:rPr>
        <w:t>74</w:t>
      </w:r>
      <w:r>
        <w:rPr>
          <w:rFonts w:hint="eastAsia" w:ascii="黑体" w:hAnsi="黑体" w:eastAsia="黑体"/>
          <w:color w:val="auto"/>
        </w:rPr>
        <w:fldChar w:fldCharType="end"/>
      </w:r>
    </w:p>
    <w:p>
      <w:pPr>
        <w:rPr>
          <w:rFonts w:ascii="宋体" w:hAnsi="宋体"/>
          <w:color w:val="auto"/>
          <w:kern w:val="0"/>
          <w:sz w:val="30"/>
          <w:szCs w:val="30"/>
        </w:rPr>
        <w:sectPr>
          <w:headerReference r:id="rId3" w:type="first"/>
          <w:footerReference r:id="rId6" w:type="first"/>
          <w:footerReference r:id="rId4" w:type="default"/>
          <w:footerReference r:id="rId5" w:type="even"/>
          <w:pgSz w:w="11906" w:h="16838"/>
          <w:pgMar w:top="1418" w:right="1469" w:bottom="1418" w:left="1418" w:header="851" w:footer="992" w:gutter="0"/>
          <w:pgNumType w:start="1"/>
          <w:cols w:space="720" w:num="1"/>
          <w:titlePg/>
          <w:docGrid w:type="lines" w:linePitch="312" w:charSpace="0"/>
        </w:sectPr>
      </w:pPr>
      <w:r>
        <w:rPr>
          <w:rFonts w:ascii="宋体" w:hAnsi="宋体"/>
          <w:color w:val="auto"/>
          <w:kern w:val="0"/>
          <w:sz w:val="30"/>
          <w:szCs w:val="30"/>
        </w:rPr>
        <w:fldChar w:fldCharType="end"/>
      </w:r>
    </w:p>
    <w:p>
      <w:pPr>
        <w:rPr>
          <w:rFonts w:eastAsia="黑体"/>
          <w:bCs/>
          <w:color w:val="auto"/>
          <w:kern w:val="0"/>
          <w:sz w:val="36"/>
          <w:szCs w:val="36"/>
        </w:rPr>
      </w:pPr>
    </w:p>
    <w:p>
      <w:pPr>
        <w:rPr>
          <w:rFonts w:eastAsia="黑体"/>
          <w:bCs/>
          <w:color w:val="auto"/>
          <w:kern w:val="0"/>
          <w:sz w:val="36"/>
          <w:szCs w:val="36"/>
        </w:rPr>
      </w:pPr>
    </w:p>
    <w:p>
      <w:pPr>
        <w:rPr>
          <w:rFonts w:eastAsia="黑体"/>
          <w:bCs/>
          <w:color w:val="auto"/>
          <w:kern w:val="0"/>
          <w:sz w:val="36"/>
          <w:szCs w:val="36"/>
        </w:rPr>
      </w:pPr>
    </w:p>
    <w:p>
      <w:pPr>
        <w:rPr>
          <w:rFonts w:eastAsia="黑体"/>
          <w:bCs/>
          <w:color w:val="auto"/>
          <w:kern w:val="0"/>
          <w:sz w:val="36"/>
          <w:szCs w:val="36"/>
        </w:rPr>
      </w:pPr>
    </w:p>
    <w:p>
      <w:pPr>
        <w:rPr>
          <w:rFonts w:eastAsia="黑体"/>
          <w:bCs/>
          <w:color w:val="auto"/>
          <w:kern w:val="0"/>
          <w:sz w:val="36"/>
          <w:szCs w:val="36"/>
        </w:rPr>
      </w:pPr>
    </w:p>
    <w:p>
      <w:pPr>
        <w:rPr>
          <w:rFonts w:eastAsia="黑体"/>
          <w:bCs/>
          <w:color w:val="auto"/>
          <w:kern w:val="0"/>
          <w:sz w:val="36"/>
          <w:szCs w:val="36"/>
        </w:rPr>
      </w:pPr>
    </w:p>
    <w:p>
      <w:pPr>
        <w:rPr>
          <w:rFonts w:eastAsia="黑体"/>
          <w:bCs/>
          <w:color w:val="auto"/>
          <w:kern w:val="0"/>
          <w:sz w:val="36"/>
          <w:szCs w:val="36"/>
        </w:rPr>
      </w:pPr>
    </w:p>
    <w:p>
      <w:pPr>
        <w:pStyle w:val="4"/>
        <w:jc w:val="center"/>
        <w:rPr>
          <w:color w:val="auto"/>
        </w:rPr>
      </w:pPr>
      <w:bookmarkStart w:id="0" w:name="_Toc29796215"/>
      <w:r>
        <w:rPr>
          <w:rFonts w:hint="eastAsia"/>
          <w:color w:val="auto"/>
        </w:rPr>
        <w:t>第一章</w:t>
      </w:r>
      <w:r>
        <w:rPr>
          <w:color w:val="auto"/>
        </w:rPr>
        <w:t xml:space="preserve"> </w:t>
      </w:r>
      <w:r>
        <w:rPr>
          <w:rFonts w:hint="eastAsia"/>
          <w:color w:val="auto"/>
        </w:rPr>
        <w:t>招标公告</w:t>
      </w:r>
      <w:bookmarkEnd w:id="0"/>
    </w:p>
    <w:p>
      <w:pPr>
        <w:spacing w:line="440" w:lineRule="exact"/>
        <w:jc w:val="center"/>
        <w:rPr>
          <w:rFonts w:eastAsia="黑体"/>
          <w:color w:val="auto"/>
          <w:sz w:val="30"/>
          <w:szCs w:val="30"/>
        </w:rPr>
      </w:pPr>
      <w:r>
        <w:rPr>
          <w:rFonts w:ascii="宋体" w:hAnsi="宋体"/>
          <w:color w:val="auto"/>
          <w:sz w:val="36"/>
          <w:szCs w:val="36"/>
        </w:rPr>
        <w:br w:type="page"/>
      </w:r>
      <w:bookmarkStart w:id="1" w:name="_Hlk522615686"/>
      <w:r>
        <w:rPr>
          <w:rFonts w:hint="eastAsia" w:eastAsia="黑体"/>
          <w:color w:val="auto"/>
          <w:sz w:val="30"/>
          <w:szCs w:val="30"/>
        </w:rPr>
        <w:t>第一章</w:t>
      </w:r>
      <w:r>
        <w:rPr>
          <w:rFonts w:eastAsia="黑体"/>
          <w:color w:val="auto"/>
          <w:sz w:val="30"/>
          <w:szCs w:val="30"/>
        </w:rPr>
        <w:t xml:space="preserve"> </w:t>
      </w:r>
      <w:r>
        <w:rPr>
          <w:rFonts w:hint="eastAsia" w:eastAsia="黑体"/>
          <w:color w:val="auto"/>
          <w:sz w:val="30"/>
          <w:szCs w:val="30"/>
        </w:rPr>
        <w:t>招标公告</w:t>
      </w:r>
    </w:p>
    <w:p>
      <w:pPr>
        <w:spacing w:line="440" w:lineRule="exact"/>
        <w:jc w:val="center"/>
        <w:rPr>
          <w:rFonts w:hint="eastAsia" w:eastAsia="黑体"/>
          <w:color w:val="auto"/>
          <w:sz w:val="28"/>
          <w:szCs w:val="28"/>
          <w:lang w:eastAsia="zh-CN"/>
        </w:rPr>
      </w:pPr>
      <w:bookmarkStart w:id="2" w:name="OLE_LINK1"/>
      <w:r>
        <w:rPr>
          <w:rFonts w:hint="eastAsia" w:eastAsia="黑体"/>
          <w:color w:val="auto"/>
          <w:sz w:val="28"/>
          <w:szCs w:val="28"/>
          <w:lang w:eastAsia="zh-CN"/>
        </w:rPr>
        <w:t>重庆渝合高速公路有限公司2021-2024年运营保险项目（第二次）</w:t>
      </w:r>
    </w:p>
    <w:p>
      <w:pPr>
        <w:spacing w:line="440" w:lineRule="exact"/>
        <w:jc w:val="center"/>
        <w:rPr>
          <w:rFonts w:eastAsia="黑体"/>
          <w:color w:val="auto"/>
          <w:sz w:val="28"/>
          <w:szCs w:val="28"/>
        </w:rPr>
      </w:pPr>
      <w:r>
        <w:rPr>
          <w:rFonts w:hint="eastAsia" w:eastAsia="黑体"/>
          <w:color w:val="auto"/>
          <w:sz w:val="28"/>
          <w:szCs w:val="28"/>
        </w:rPr>
        <w:t>招标</w:t>
      </w:r>
      <w:bookmarkEnd w:id="1"/>
      <w:r>
        <w:rPr>
          <w:rFonts w:hint="eastAsia" w:eastAsia="黑体"/>
          <w:color w:val="auto"/>
          <w:sz w:val="28"/>
          <w:szCs w:val="28"/>
        </w:rPr>
        <w:t>公告</w:t>
      </w:r>
    </w:p>
    <w:p>
      <w:pPr>
        <w:spacing w:line="360" w:lineRule="auto"/>
        <w:rPr>
          <w:rFonts w:ascii="宋体" w:hAnsi="宋体"/>
          <w:b/>
          <w:color w:val="auto"/>
          <w:sz w:val="24"/>
        </w:rPr>
      </w:pPr>
    </w:p>
    <w:p>
      <w:pPr>
        <w:spacing w:line="360" w:lineRule="auto"/>
        <w:rPr>
          <w:rFonts w:ascii="宋体" w:hAnsi="宋体"/>
          <w:b/>
          <w:color w:val="auto"/>
          <w:sz w:val="24"/>
        </w:rPr>
      </w:pPr>
      <w:r>
        <w:rPr>
          <w:rFonts w:ascii="宋体" w:hAnsi="宋体"/>
          <w:b/>
          <w:color w:val="auto"/>
          <w:sz w:val="24"/>
        </w:rPr>
        <w:t>1.</w:t>
      </w:r>
      <w:r>
        <w:rPr>
          <w:rFonts w:hint="eastAsia" w:ascii="宋体" w:hAnsi="宋体"/>
          <w:b/>
          <w:color w:val="auto"/>
          <w:sz w:val="24"/>
        </w:rPr>
        <w:t>招标条件</w:t>
      </w:r>
      <w:r>
        <w:rPr>
          <w:rFonts w:ascii="宋体" w:hAnsi="宋体"/>
          <w:b/>
          <w:color w:val="auto"/>
          <w:sz w:val="24"/>
        </w:rPr>
        <w:t xml:space="preserve"> </w:t>
      </w:r>
    </w:p>
    <w:p>
      <w:pPr>
        <w:spacing w:line="360" w:lineRule="auto"/>
        <w:ind w:firstLine="420" w:firstLineChars="200"/>
        <w:rPr>
          <w:rFonts w:ascii="宋体" w:hAnsi="宋体"/>
          <w:b/>
          <w:color w:val="auto"/>
          <w:sz w:val="24"/>
        </w:rPr>
      </w:pPr>
      <w:r>
        <w:rPr>
          <w:rFonts w:hint="eastAsia"/>
          <w:color w:val="auto"/>
          <w:szCs w:val="21"/>
          <w:lang w:eastAsia="zh-CN"/>
        </w:rPr>
        <w:t>重庆渝合高速公路有限公司2021-2024年运营保险项目（第二次）</w:t>
      </w:r>
      <w:r>
        <w:rPr>
          <w:rFonts w:hint="eastAsia"/>
          <w:color w:val="auto"/>
          <w:szCs w:val="21"/>
        </w:rPr>
        <w:t xml:space="preserve">已具备招标条件，现招标人委托重庆招标采购（集团）有限责任公司对本项目进行公开招标，本项目采用资格后审。 </w:t>
      </w:r>
    </w:p>
    <w:p>
      <w:pPr>
        <w:spacing w:line="360" w:lineRule="auto"/>
        <w:rPr>
          <w:rFonts w:ascii="宋体" w:hAnsi="宋体"/>
          <w:b/>
          <w:color w:val="auto"/>
          <w:sz w:val="24"/>
        </w:rPr>
      </w:pPr>
      <w:r>
        <w:rPr>
          <w:rFonts w:hint="eastAsia" w:ascii="宋体" w:hAnsi="宋体"/>
          <w:b/>
          <w:color w:val="auto"/>
          <w:sz w:val="24"/>
        </w:rPr>
        <w:t>2</w:t>
      </w:r>
      <w:r>
        <w:rPr>
          <w:rFonts w:ascii="宋体" w:hAnsi="宋体"/>
          <w:b/>
          <w:color w:val="auto"/>
          <w:sz w:val="24"/>
        </w:rPr>
        <w:t>.</w:t>
      </w:r>
      <w:r>
        <w:rPr>
          <w:rFonts w:hint="eastAsia" w:ascii="宋体" w:hAnsi="宋体"/>
          <w:b/>
          <w:color w:val="auto"/>
          <w:sz w:val="24"/>
        </w:rPr>
        <w:t>项目概况及招标范围</w:t>
      </w:r>
      <w:r>
        <w:rPr>
          <w:rFonts w:ascii="宋体" w:hAnsi="宋体"/>
          <w:b/>
          <w:color w:val="auto"/>
          <w:sz w:val="24"/>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2.1</w:t>
      </w:r>
      <w:r>
        <w:rPr>
          <w:rFonts w:ascii="宋体" w:hAnsi="宋体"/>
          <w:color w:val="auto"/>
          <w:szCs w:val="21"/>
        </w:rPr>
        <w:t xml:space="preserve"> </w:t>
      </w:r>
      <w:r>
        <w:rPr>
          <w:rFonts w:hint="eastAsia" w:ascii="宋体" w:hAnsi="宋体"/>
          <w:color w:val="auto"/>
          <w:szCs w:val="21"/>
        </w:rPr>
        <w:t>项目概况：</w:t>
      </w:r>
      <w:bookmarkStart w:id="3" w:name="_Hlk63243066"/>
      <w:r>
        <w:rPr>
          <w:rFonts w:hint="eastAsia" w:ascii="宋体" w:hAnsi="宋体"/>
          <w:color w:val="auto"/>
          <w:szCs w:val="21"/>
        </w:rPr>
        <w:t>重庆渝合高速公路有限公司营运管辖路段为渝合高速公路，管辖路段涉及到渝北、北碚、合川等3个行政区。渝合高速公路是G75兰海高速的一段，开工时间1999年6月，通车时间2002年6月28日，起于北环处，经三溪口、北碚、东阳、盐井，止于合川涪江二桥，全长55.9公里，全线特大桥3座（北碚嘉陵江大桥、马鞍石嘉陵江大桥、沙溪嘉陵江大桥），大桥24座，隧道5座（北碚4.1公里、西山坪2.5公里、杨眉湾、凤凰溪、黄桷湾），是重庆主城连接北碚、合川区的主要通道。2006年10月1日起，北环至缙云山路段纳入年票范围，为开放路段，车流量较大。其他路段为封闭路段，含收费站6个（G75北碚收费站、东阳收费站、草街收费站、盐井收费站、巨梁沱收费站、合川收费站（A、B匝道））、服务区1个（团山堡服务区）、监控站1个、巡查队1个。</w:t>
      </w:r>
    </w:p>
    <w:bookmarkEnd w:id="3"/>
    <w:p>
      <w:pPr>
        <w:spacing w:line="360" w:lineRule="auto"/>
        <w:ind w:firstLine="420" w:firstLineChars="200"/>
        <w:rPr>
          <w:rFonts w:ascii="宋体" w:hAnsi="宋体"/>
          <w:color w:val="auto"/>
          <w:szCs w:val="21"/>
        </w:rPr>
      </w:pPr>
      <w:r>
        <w:rPr>
          <w:rFonts w:hint="eastAsia" w:ascii="宋体" w:hAnsi="宋体"/>
          <w:color w:val="auto"/>
          <w:szCs w:val="21"/>
        </w:rPr>
        <w:t>2.2 招标范围：包括财产一切险、财产险项下营业中断险、公众责任保险、现金保险等项目。</w:t>
      </w:r>
    </w:p>
    <w:p>
      <w:pPr>
        <w:spacing w:line="360" w:lineRule="auto"/>
        <w:ind w:firstLine="420" w:firstLineChars="200"/>
        <w:rPr>
          <w:rFonts w:hint="eastAsia" w:ascii="宋体" w:hAnsi="宋体"/>
          <w:color w:val="auto"/>
          <w:szCs w:val="21"/>
        </w:rPr>
      </w:pPr>
      <w:r>
        <w:rPr>
          <w:rFonts w:hint="eastAsia" w:ascii="宋体" w:hAnsi="宋体"/>
          <w:color w:val="auto"/>
          <w:szCs w:val="21"/>
        </w:rPr>
        <w:t>2.3 保险期限：合同签署时间为三年。第一年保险期间为2021年1</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日0时至2022年5月</w:t>
      </w:r>
      <w:r>
        <w:rPr>
          <w:rFonts w:hint="eastAsia" w:ascii="宋体" w:hAnsi="宋体"/>
          <w:color w:val="auto"/>
          <w:szCs w:val="21"/>
          <w:lang w:val="en-US" w:eastAsia="zh-CN"/>
        </w:rPr>
        <w:t>31</w:t>
      </w:r>
      <w:r>
        <w:rPr>
          <w:rFonts w:hint="eastAsia" w:ascii="宋体" w:hAnsi="宋体"/>
          <w:color w:val="auto"/>
          <w:szCs w:val="21"/>
        </w:rPr>
        <w:t>日24时；第二年保险期间为2022年</w:t>
      </w:r>
      <w:r>
        <w:rPr>
          <w:rFonts w:hint="eastAsia" w:ascii="宋体" w:hAnsi="宋体"/>
          <w:color w:val="auto"/>
          <w:szCs w:val="21"/>
          <w:lang w:val="en-US" w:eastAsia="zh-CN"/>
        </w:rPr>
        <w:t>6</w:t>
      </w:r>
      <w:r>
        <w:rPr>
          <w:rFonts w:hint="eastAsia" w:ascii="宋体" w:hAnsi="宋体"/>
          <w:color w:val="auto"/>
          <w:szCs w:val="21"/>
        </w:rPr>
        <w:t>月1日0时至2023年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31</w:t>
      </w:r>
      <w:r>
        <w:rPr>
          <w:rFonts w:hint="eastAsia" w:ascii="宋体" w:hAnsi="宋体"/>
          <w:color w:val="auto"/>
          <w:szCs w:val="21"/>
        </w:rPr>
        <w:t>日24时；第三年保险期间为2023年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日0时至2024年5月</w:t>
      </w:r>
      <w:r>
        <w:rPr>
          <w:rFonts w:hint="eastAsia" w:ascii="宋体" w:hAnsi="宋体"/>
          <w:color w:val="auto"/>
          <w:szCs w:val="21"/>
          <w:lang w:val="en-US" w:eastAsia="zh-CN"/>
        </w:rPr>
        <w:t>31</w:t>
      </w:r>
      <w:r>
        <w:rPr>
          <w:rFonts w:hint="eastAsia" w:ascii="宋体" w:hAnsi="宋体"/>
          <w:color w:val="auto"/>
          <w:szCs w:val="21"/>
        </w:rPr>
        <w:t>日24时。</w:t>
      </w:r>
    </w:p>
    <w:p>
      <w:pPr>
        <w:spacing w:line="360" w:lineRule="auto"/>
        <w:ind w:firstLine="420" w:firstLineChars="200"/>
        <w:rPr>
          <w:rFonts w:ascii="宋体" w:hAnsi="宋体"/>
          <w:color w:val="auto"/>
          <w:szCs w:val="21"/>
        </w:rPr>
      </w:pPr>
      <w:r>
        <w:rPr>
          <w:rFonts w:hint="eastAsia" w:ascii="宋体" w:hAnsi="宋体"/>
          <w:color w:val="auto"/>
          <w:szCs w:val="21"/>
        </w:rPr>
        <w:t>2.4标段划分：本项目划分为一个合同段，保单一个保险期间一签。</w:t>
      </w:r>
    </w:p>
    <w:p>
      <w:pPr>
        <w:spacing w:line="360" w:lineRule="auto"/>
        <w:rPr>
          <w:rFonts w:ascii="宋体" w:hAnsi="宋体"/>
          <w:b/>
          <w:color w:val="auto"/>
          <w:sz w:val="24"/>
        </w:rPr>
      </w:pPr>
      <w:r>
        <w:rPr>
          <w:rFonts w:ascii="宋体" w:hAnsi="宋体"/>
          <w:b/>
          <w:color w:val="auto"/>
          <w:sz w:val="24"/>
        </w:rPr>
        <w:t>3.</w:t>
      </w:r>
      <w:r>
        <w:rPr>
          <w:rFonts w:hint="eastAsia" w:ascii="宋体" w:hAnsi="宋体"/>
          <w:b/>
          <w:color w:val="auto"/>
          <w:sz w:val="24"/>
        </w:rPr>
        <w:t>投标人资格要求</w:t>
      </w:r>
    </w:p>
    <w:p>
      <w:pPr>
        <w:spacing w:line="360" w:lineRule="auto"/>
        <w:ind w:firstLine="420" w:firstLineChars="200"/>
        <w:rPr>
          <w:rFonts w:ascii="宋体" w:hAnsi="宋体"/>
          <w:color w:val="auto"/>
          <w:szCs w:val="21"/>
        </w:rPr>
      </w:pPr>
      <w:r>
        <w:rPr>
          <w:rFonts w:hint="eastAsia" w:ascii="宋体" w:hAnsi="宋体"/>
          <w:color w:val="auto"/>
          <w:szCs w:val="21"/>
        </w:rPr>
        <w:t>3.1</w:t>
      </w:r>
      <w:r>
        <w:rPr>
          <w:rFonts w:ascii="宋体" w:hAnsi="宋体"/>
          <w:color w:val="auto"/>
          <w:szCs w:val="21"/>
        </w:rPr>
        <w:t xml:space="preserve"> </w:t>
      </w:r>
      <w:r>
        <w:rPr>
          <w:rFonts w:hint="eastAsia" w:ascii="宋体" w:hAnsi="宋体"/>
          <w:color w:val="auto"/>
          <w:szCs w:val="21"/>
        </w:rPr>
        <w:t>本次招标实行资格后审，投标人应满足下列资质和业绩要求：</w:t>
      </w:r>
    </w:p>
    <w:p>
      <w:pPr>
        <w:pStyle w:val="108"/>
        <w:adjustRightInd/>
        <w:spacing w:line="360" w:lineRule="auto"/>
        <w:ind w:firstLine="420" w:firstLineChars="200"/>
        <w:jc w:val="both"/>
        <w:rPr>
          <w:rFonts w:ascii="宋体" w:hAnsi="宋体"/>
          <w:color w:val="auto"/>
          <w:kern w:val="2"/>
          <w:sz w:val="21"/>
          <w:szCs w:val="21"/>
        </w:rPr>
      </w:pPr>
      <w:r>
        <w:rPr>
          <w:rFonts w:hint="eastAsia" w:ascii="宋体" w:hAnsi="宋体"/>
          <w:color w:val="auto"/>
          <w:kern w:val="2"/>
          <w:sz w:val="21"/>
          <w:szCs w:val="21"/>
        </w:rPr>
        <w:t>（1）同时满足以下资质要求：</w:t>
      </w:r>
    </w:p>
    <w:p>
      <w:pPr>
        <w:spacing w:line="360" w:lineRule="auto"/>
        <w:ind w:firstLine="525" w:firstLineChars="250"/>
        <w:rPr>
          <w:rFonts w:ascii="宋体" w:hAnsi="宋体"/>
          <w:color w:val="auto"/>
          <w:szCs w:val="21"/>
        </w:rPr>
      </w:pPr>
      <w:r>
        <w:rPr>
          <w:rFonts w:hint="eastAsia" w:ascii="宋体" w:hAnsi="宋体"/>
          <w:color w:val="auto"/>
          <w:szCs w:val="21"/>
        </w:rPr>
        <w:t>①投标人需为持有有效营业执照的项目所在地（重庆）财产保险公司；</w:t>
      </w:r>
    </w:p>
    <w:p>
      <w:pPr>
        <w:spacing w:line="360" w:lineRule="auto"/>
        <w:ind w:firstLine="525" w:firstLineChars="250"/>
        <w:rPr>
          <w:rFonts w:ascii="宋体" w:hAnsi="宋体"/>
          <w:color w:val="auto"/>
          <w:szCs w:val="21"/>
        </w:rPr>
      </w:pPr>
      <w:r>
        <w:rPr>
          <w:rFonts w:hint="eastAsia" w:ascii="宋体" w:hAnsi="宋体"/>
          <w:color w:val="auto"/>
          <w:szCs w:val="21"/>
        </w:rPr>
        <w:t>②经中国保险监督管理委员会批准开展财产保险业务。</w:t>
      </w:r>
    </w:p>
    <w:p>
      <w:pPr>
        <w:spacing w:line="360" w:lineRule="auto"/>
        <w:ind w:firstLine="420" w:firstLineChars="200"/>
        <w:rPr>
          <w:rFonts w:ascii="宋体" w:hAnsi="宋体"/>
          <w:color w:val="auto"/>
          <w:szCs w:val="21"/>
        </w:rPr>
      </w:pPr>
      <w:r>
        <w:rPr>
          <w:rFonts w:hint="eastAsia" w:ascii="宋体" w:hAnsi="宋体"/>
          <w:color w:val="auto"/>
          <w:szCs w:val="21"/>
        </w:rPr>
        <w:t>（2）业绩要</w:t>
      </w:r>
      <w:r>
        <w:rPr>
          <w:rFonts w:ascii="宋体" w:hAnsi="宋体"/>
          <w:color w:val="auto"/>
          <w:szCs w:val="21"/>
        </w:rPr>
        <w:t>求</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投标人2018年1月1日起至投标截止日止（业绩时间以合同签署时间为准）在中国境内（不含港澳台）承保过至少1个保额不低于人民币15亿元的交通设施行业财产运营保险项目（主保或共保均可，承保时间不得低于12个月）。投标人提供业绩证明的名称需与投标人名称一致，以分公司名义投标不得用其他分公司业绩，以独立法人单位名义投标允许用其下属分公司业绩。</w:t>
      </w:r>
    </w:p>
    <w:p>
      <w:pPr>
        <w:spacing w:line="360" w:lineRule="auto"/>
        <w:ind w:firstLine="420" w:firstLineChars="200"/>
        <w:rPr>
          <w:rFonts w:ascii="宋体" w:hAnsi="宋体"/>
          <w:color w:val="auto"/>
          <w:szCs w:val="21"/>
        </w:rPr>
      </w:pPr>
      <w:r>
        <w:rPr>
          <w:rFonts w:hint="eastAsia" w:ascii="宋体" w:hAnsi="宋体"/>
          <w:color w:val="auto"/>
          <w:szCs w:val="21"/>
        </w:rPr>
        <w:t>3.2</w:t>
      </w:r>
      <w:r>
        <w:rPr>
          <w:rFonts w:ascii="宋体" w:hAnsi="宋体"/>
          <w:color w:val="auto"/>
          <w:szCs w:val="21"/>
        </w:rPr>
        <w:t xml:space="preserve"> </w:t>
      </w:r>
      <w:r>
        <w:rPr>
          <w:rFonts w:hint="eastAsia" w:ascii="宋体" w:hAnsi="宋体"/>
          <w:color w:val="auto"/>
          <w:szCs w:val="21"/>
        </w:rPr>
        <w:t>本次招标不接受联合体投标。</w:t>
      </w:r>
    </w:p>
    <w:p>
      <w:pPr>
        <w:spacing w:line="360" w:lineRule="auto"/>
        <w:ind w:firstLine="420" w:firstLineChars="200"/>
        <w:rPr>
          <w:rFonts w:ascii="宋体" w:hAnsi="宋体"/>
          <w:color w:val="auto"/>
          <w:szCs w:val="21"/>
        </w:rPr>
      </w:pPr>
      <w:r>
        <w:rPr>
          <w:rFonts w:hint="eastAsia" w:ascii="宋体" w:hAnsi="宋体"/>
          <w:color w:val="auto"/>
          <w:szCs w:val="21"/>
        </w:rPr>
        <w:t>3.3</w:t>
      </w:r>
      <w:r>
        <w:rPr>
          <w:rFonts w:hint="eastAsia" w:ascii="宋体" w:hAnsi="宋体" w:cs="宋体"/>
          <w:color w:val="auto"/>
          <w:szCs w:val="21"/>
        </w:rPr>
        <w:t>投标人不得存在的其他关联情形：</w:t>
      </w:r>
    </w:p>
    <w:p>
      <w:pPr>
        <w:spacing w:line="360" w:lineRule="auto"/>
        <w:ind w:firstLine="420" w:firstLineChars="200"/>
        <w:rPr>
          <w:rFonts w:ascii="宋体" w:hAnsi="宋体"/>
          <w:color w:val="auto"/>
          <w:szCs w:val="21"/>
        </w:rPr>
      </w:pPr>
      <w:r>
        <w:rPr>
          <w:rFonts w:hint="eastAsia" w:ascii="宋体" w:hAnsi="宋体"/>
          <w:color w:val="auto"/>
          <w:szCs w:val="21"/>
        </w:rPr>
        <w:t>3.3.1与招标人存在利害关系可能影响招标公正性的单位，不得参加投标。单位负责人为同一人或存在控股、管理关系的不同单位，不得参加本项目的投标，否则，相关投标均无效。</w:t>
      </w:r>
    </w:p>
    <w:p>
      <w:pPr>
        <w:spacing w:line="360" w:lineRule="auto"/>
        <w:ind w:firstLine="420" w:firstLineChars="200"/>
        <w:rPr>
          <w:color w:val="auto"/>
        </w:rPr>
      </w:pPr>
      <w:r>
        <w:rPr>
          <w:rFonts w:hint="eastAsia" w:ascii="宋体" w:hAnsi="宋体"/>
          <w:color w:val="auto"/>
          <w:szCs w:val="21"/>
        </w:rPr>
        <w:t>3.3.2在“信用中国”网站（http://www.creditchina.gov.cn/）中被列入失信被执行人名单的投标人，不得参加投标。</w:t>
      </w:r>
    </w:p>
    <w:p>
      <w:pPr>
        <w:spacing w:line="360" w:lineRule="auto"/>
        <w:rPr>
          <w:rFonts w:ascii="宋体" w:hAnsi="宋体"/>
          <w:b/>
          <w:color w:val="auto"/>
          <w:sz w:val="24"/>
        </w:rPr>
      </w:pPr>
      <w:r>
        <w:rPr>
          <w:rFonts w:hint="eastAsia" w:ascii="宋体" w:hAnsi="宋体"/>
          <w:b/>
          <w:color w:val="auto"/>
          <w:sz w:val="24"/>
        </w:rPr>
        <w:t>4.招标文件的获取</w:t>
      </w:r>
    </w:p>
    <w:p>
      <w:pPr>
        <w:tabs>
          <w:tab w:val="left" w:pos="36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w:t>
      </w:r>
      <w:r>
        <w:rPr>
          <w:rFonts w:ascii="宋体" w:hAnsi="宋体" w:cs="宋体"/>
          <w:color w:val="auto"/>
          <w:kern w:val="0"/>
          <w:szCs w:val="21"/>
        </w:rPr>
        <w:t xml:space="preserve"> </w:t>
      </w:r>
      <w:r>
        <w:rPr>
          <w:rFonts w:hint="eastAsia" w:ascii="宋体" w:hAnsi="宋体" w:cs="宋体"/>
          <w:color w:val="auto"/>
          <w:kern w:val="0"/>
          <w:szCs w:val="21"/>
        </w:rPr>
        <w:t>凡有意参加的投标者，请于2021年</w:t>
      </w:r>
      <w:r>
        <w:rPr>
          <w:rFonts w:hint="eastAsia" w:ascii="宋体" w:hAnsi="宋体" w:cs="宋体"/>
          <w:color w:val="auto"/>
          <w:kern w:val="0"/>
          <w:szCs w:val="21"/>
          <w:u w:val="single"/>
          <w:lang w:val="en-US" w:eastAsia="zh-CN"/>
        </w:rPr>
        <w:t>10</w:t>
      </w:r>
      <w:r>
        <w:rPr>
          <w:rFonts w:hint="eastAsia" w:ascii="宋体" w:hAnsi="宋体" w:cs="宋体"/>
          <w:color w:val="auto"/>
          <w:kern w:val="0"/>
          <w:szCs w:val="21"/>
        </w:rPr>
        <w:t>月</w:t>
      </w:r>
      <w:r>
        <w:rPr>
          <w:rFonts w:hint="eastAsia" w:ascii="宋体" w:hAnsi="宋体" w:cs="宋体"/>
          <w:color w:val="auto"/>
          <w:kern w:val="0"/>
          <w:szCs w:val="21"/>
          <w:u w:val="single"/>
          <w:lang w:val="en-US" w:eastAsia="zh-CN"/>
        </w:rPr>
        <w:t>28</w:t>
      </w:r>
      <w:r>
        <w:rPr>
          <w:rFonts w:hint="eastAsia" w:ascii="宋体" w:hAnsi="宋体" w:cs="宋体"/>
          <w:color w:val="auto"/>
          <w:kern w:val="0"/>
          <w:szCs w:val="21"/>
        </w:rPr>
        <w:t>日起，在重庆市公共资源交易网(www.cqggzy.com)下载招标文件及有关资料，各投标人应随时关注重庆市公共资源交易网(www.cqggzy.com)上发布的招标文件及相关修改和补充内容。无论投标人下载与否都视为已全部知晓有关招标过程和所有事宜。</w:t>
      </w:r>
    </w:p>
    <w:p>
      <w:pPr>
        <w:pStyle w:val="108"/>
        <w:adjustRightInd/>
        <w:spacing w:line="360" w:lineRule="auto"/>
        <w:jc w:val="both"/>
        <w:rPr>
          <w:rFonts w:ascii="宋体" w:hAnsi="宋体"/>
          <w:b/>
          <w:color w:val="auto"/>
        </w:rPr>
      </w:pPr>
      <w:r>
        <w:rPr>
          <w:rFonts w:hint="eastAsia" w:ascii="宋体" w:hAnsi="宋体"/>
          <w:b/>
          <w:color w:val="auto"/>
        </w:rPr>
        <w:t>5.投标文件的递交及相关事宜</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5.1 投标文件递交的截止时间为2021年</w:t>
      </w:r>
      <w:r>
        <w:rPr>
          <w:rFonts w:hint="eastAsia" w:ascii="宋体" w:hAnsi="宋体" w:cs="宋体"/>
          <w:color w:val="auto"/>
          <w:kern w:val="0"/>
          <w:szCs w:val="21"/>
          <w:u w:val="single"/>
          <w:lang w:val="en-US" w:eastAsia="zh-CN"/>
        </w:rPr>
        <w:t>11</w:t>
      </w:r>
      <w:r>
        <w:rPr>
          <w:rFonts w:hint="eastAsia" w:ascii="宋体" w:hAnsi="宋体" w:cs="宋体"/>
          <w:color w:val="auto"/>
          <w:kern w:val="0"/>
          <w:szCs w:val="21"/>
        </w:rPr>
        <w:t>月</w:t>
      </w:r>
      <w:r>
        <w:rPr>
          <w:rFonts w:hint="eastAsia" w:ascii="宋体" w:hAnsi="宋体" w:cs="宋体"/>
          <w:color w:val="auto"/>
          <w:kern w:val="0"/>
          <w:szCs w:val="21"/>
          <w:u w:val="single"/>
          <w:lang w:val="en-US" w:eastAsia="zh-CN"/>
        </w:rPr>
        <w:t>18</w:t>
      </w:r>
      <w:r>
        <w:rPr>
          <w:rFonts w:hint="eastAsia" w:ascii="宋体" w:hAnsi="宋体" w:cs="宋体"/>
          <w:color w:val="auto"/>
          <w:kern w:val="0"/>
          <w:szCs w:val="21"/>
        </w:rPr>
        <w:t>日</w:t>
      </w:r>
      <w:r>
        <w:rPr>
          <w:rFonts w:hint="eastAsia" w:ascii="宋体" w:hAnsi="宋体" w:cs="宋体"/>
          <w:color w:val="auto"/>
          <w:kern w:val="0"/>
          <w:szCs w:val="21"/>
          <w:lang w:val="en-US" w:eastAsia="zh-CN"/>
        </w:rPr>
        <w:t>9时30分</w:t>
      </w:r>
      <w:r>
        <w:rPr>
          <w:rFonts w:hint="eastAsia" w:ascii="宋体" w:hAnsi="宋体" w:cs="宋体"/>
          <w:color w:val="auto"/>
          <w:kern w:val="0"/>
          <w:szCs w:val="21"/>
        </w:rPr>
        <w:t>，投标人应于当日</w:t>
      </w:r>
      <w:r>
        <w:rPr>
          <w:rFonts w:hint="eastAsia" w:ascii="宋体" w:hAnsi="宋体" w:cs="宋体"/>
          <w:color w:val="auto"/>
          <w:kern w:val="0"/>
          <w:szCs w:val="21"/>
          <w:lang w:val="en-US" w:eastAsia="zh-CN"/>
        </w:rPr>
        <w:t>9</w:t>
      </w:r>
      <w:r>
        <w:rPr>
          <w:rFonts w:hint="eastAsia" w:ascii="宋体" w:hAnsi="宋体" w:cs="宋体"/>
          <w:color w:val="auto"/>
          <w:kern w:val="0"/>
          <w:szCs w:val="21"/>
        </w:rPr>
        <w:t>:</w:t>
      </w:r>
      <w:r>
        <w:rPr>
          <w:rFonts w:hint="eastAsia" w:ascii="宋体" w:hAnsi="宋体" w:cs="宋体"/>
          <w:color w:val="auto"/>
          <w:kern w:val="0"/>
          <w:szCs w:val="21"/>
          <w:lang w:val="en-US" w:eastAsia="zh-CN"/>
        </w:rPr>
        <w:t>00</w:t>
      </w:r>
      <w:r>
        <w:rPr>
          <w:rFonts w:hint="eastAsia" w:ascii="宋体" w:hAnsi="宋体" w:cs="宋体"/>
          <w:color w:val="auto"/>
          <w:kern w:val="0"/>
          <w:szCs w:val="21"/>
        </w:rPr>
        <w:t>至</w:t>
      </w:r>
      <w:r>
        <w:rPr>
          <w:rFonts w:hint="eastAsia" w:ascii="宋体" w:hAnsi="宋体" w:cs="宋体"/>
          <w:color w:val="auto"/>
          <w:kern w:val="0"/>
          <w:szCs w:val="21"/>
          <w:lang w:val="en-US" w:eastAsia="zh-CN"/>
        </w:rPr>
        <w:t>9</w:t>
      </w:r>
      <w:r>
        <w:rPr>
          <w:rFonts w:hint="eastAsia"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kern w:val="0"/>
          <w:szCs w:val="21"/>
        </w:rPr>
        <w:t>将投标文件递交至重庆市公共资源交易中心（地址：重庆市渝北区青枫北路6号渝兴广场B10栋），具体接标处以当日大厅电子显示屏公布信息为准。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5.2 逾期送达的、未送达指定地点的或不按照招标文件要求密封的投标文件，招标人有权拒收。</w:t>
      </w:r>
    </w:p>
    <w:p>
      <w:pPr>
        <w:spacing w:line="360" w:lineRule="auto"/>
        <w:rPr>
          <w:rFonts w:ascii="宋体" w:hAnsi="宋体"/>
          <w:b/>
          <w:color w:val="auto"/>
          <w:sz w:val="24"/>
        </w:rPr>
      </w:pPr>
      <w:r>
        <w:rPr>
          <w:rFonts w:hint="eastAsia" w:ascii="宋体" w:hAnsi="宋体"/>
          <w:b/>
          <w:color w:val="auto"/>
          <w:sz w:val="24"/>
        </w:rPr>
        <w:t>6.发布的媒介</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本次招标公告同时在重庆市公共资源交易网（www.cqggzy.com）、重庆高速公路集团有限公司官方网站（</w:t>
      </w:r>
      <w:r>
        <w:rPr>
          <w:rFonts w:ascii="宋体" w:hAnsi="宋体" w:cs="宋体"/>
          <w:color w:val="auto"/>
          <w:kern w:val="0"/>
          <w:szCs w:val="21"/>
        </w:rPr>
        <w:t>http://www.cegc.com.cn/</w:t>
      </w:r>
      <w:r>
        <w:rPr>
          <w:rFonts w:hint="eastAsia" w:ascii="宋体" w:hAnsi="宋体" w:cs="宋体"/>
          <w:color w:val="auto"/>
          <w:kern w:val="0"/>
          <w:szCs w:val="21"/>
        </w:rPr>
        <w:t xml:space="preserve">）及重庆高速公路集团有限公司招投标管理平台（http://43.240.249.108:8088/PMS/）网上发布。 </w:t>
      </w:r>
    </w:p>
    <w:p>
      <w:pPr>
        <w:spacing w:line="360" w:lineRule="auto"/>
        <w:rPr>
          <w:rFonts w:ascii="宋体" w:hAnsi="宋体"/>
          <w:b/>
          <w:color w:val="auto"/>
          <w:sz w:val="24"/>
        </w:rPr>
      </w:pPr>
      <w:r>
        <w:rPr>
          <w:rFonts w:hint="eastAsia" w:ascii="宋体" w:hAnsi="宋体"/>
          <w:b/>
          <w:color w:val="auto"/>
          <w:sz w:val="24"/>
        </w:rPr>
        <w:t>7.联系方式</w:t>
      </w:r>
    </w:p>
    <w:p>
      <w:pPr>
        <w:spacing w:line="380" w:lineRule="exact"/>
        <w:ind w:firstLine="420" w:firstLineChars="200"/>
        <w:rPr>
          <w:rFonts w:ascii="宋体" w:hAnsi="宋体" w:cs="宋体"/>
          <w:color w:val="auto"/>
          <w:kern w:val="0"/>
          <w:szCs w:val="21"/>
        </w:rPr>
      </w:pPr>
      <w:bookmarkStart w:id="4" w:name="_Toc144974496"/>
      <w:bookmarkStart w:id="5" w:name="_Toc152045528"/>
      <w:bookmarkStart w:id="6" w:name="_Toc244421877"/>
      <w:bookmarkStart w:id="7" w:name="_Toc152042304"/>
      <w:r>
        <w:rPr>
          <w:rFonts w:hint="eastAsia" w:ascii="宋体" w:hAnsi="宋体" w:cs="宋体"/>
          <w:color w:val="auto"/>
          <w:kern w:val="0"/>
          <w:szCs w:val="21"/>
        </w:rPr>
        <w:t>招标人：重庆渝合高速公路有限公司</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  址：重庆市渝北区银杉路66号</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联系人：晏老师</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电  话：023-68310806；13883603106</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招标代理机构：重庆招标采购（集团）有限责任公司</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地址：重庆市江北区五简路2号重庆咨询大厦A座</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联系人：谭老师</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电话：</w:t>
      </w:r>
      <w:r>
        <w:rPr>
          <w:rFonts w:ascii="宋体" w:hAnsi="宋体" w:cs="宋体"/>
          <w:color w:val="auto"/>
          <w:kern w:val="0"/>
          <w:szCs w:val="21"/>
        </w:rPr>
        <w:t>023-67590752</w:t>
      </w:r>
    </w:p>
    <w:bookmarkEnd w:id="2"/>
    <w:p>
      <w:pPr>
        <w:topLinePunct/>
        <w:spacing w:line="440" w:lineRule="exact"/>
        <w:ind w:right="31" w:rightChars="15"/>
        <w:jc w:val="center"/>
        <w:rPr>
          <w:rFonts w:eastAsia="黑体"/>
          <w:color w:val="auto"/>
          <w:sz w:val="29"/>
          <w:szCs w:val="29"/>
        </w:rPr>
        <w:sectPr>
          <w:pgSz w:w="11906" w:h="16838"/>
          <w:pgMar w:top="1418" w:right="1469" w:bottom="1418" w:left="1418" w:header="851" w:footer="992" w:gutter="0"/>
          <w:pgNumType w:start="1"/>
          <w:cols w:space="720" w:num="1"/>
          <w:titlePg/>
          <w:docGrid w:type="lines" w:linePitch="312" w:charSpace="0"/>
        </w:sectPr>
      </w:pPr>
    </w:p>
    <w:p>
      <w:pPr>
        <w:topLinePunct/>
        <w:spacing w:line="440" w:lineRule="exact"/>
        <w:ind w:right="31" w:rightChars="15"/>
        <w:jc w:val="center"/>
        <w:rPr>
          <w:rFonts w:eastAsia="黑体"/>
          <w:color w:val="auto"/>
          <w:sz w:val="29"/>
          <w:szCs w:val="29"/>
        </w:rPr>
      </w:pPr>
    </w:p>
    <w:p>
      <w:pPr>
        <w:topLinePunct/>
        <w:spacing w:line="440" w:lineRule="exact"/>
        <w:ind w:right="31" w:rightChars="15"/>
        <w:jc w:val="center"/>
        <w:rPr>
          <w:rFonts w:eastAsia="黑体"/>
          <w:color w:val="auto"/>
          <w:sz w:val="29"/>
          <w:szCs w:val="29"/>
        </w:rPr>
      </w:pPr>
    </w:p>
    <w:p>
      <w:pPr>
        <w:topLinePunct/>
        <w:spacing w:line="440" w:lineRule="exact"/>
        <w:ind w:right="31" w:rightChars="15"/>
        <w:jc w:val="center"/>
        <w:rPr>
          <w:rFonts w:eastAsia="黑体"/>
          <w:color w:val="auto"/>
          <w:sz w:val="29"/>
          <w:szCs w:val="29"/>
        </w:rPr>
      </w:pPr>
    </w:p>
    <w:p>
      <w:pPr>
        <w:topLinePunct/>
        <w:spacing w:line="440" w:lineRule="exact"/>
        <w:ind w:right="31" w:rightChars="15"/>
        <w:jc w:val="center"/>
        <w:rPr>
          <w:rFonts w:eastAsia="黑体"/>
          <w:color w:val="auto"/>
          <w:sz w:val="29"/>
          <w:szCs w:val="29"/>
        </w:rPr>
      </w:pPr>
    </w:p>
    <w:p>
      <w:pPr>
        <w:topLinePunct/>
        <w:spacing w:line="440" w:lineRule="exact"/>
        <w:ind w:right="31" w:rightChars="15"/>
        <w:jc w:val="center"/>
        <w:rPr>
          <w:rFonts w:eastAsia="黑体"/>
          <w:color w:val="auto"/>
          <w:sz w:val="29"/>
          <w:szCs w:val="29"/>
        </w:rPr>
      </w:pPr>
    </w:p>
    <w:p>
      <w:pPr>
        <w:topLinePunct/>
        <w:spacing w:line="440" w:lineRule="exact"/>
        <w:ind w:right="31" w:rightChars="15"/>
        <w:jc w:val="center"/>
        <w:rPr>
          <w:rFonts w:eastAsia="黑体"/>
          <w:color w:val="auto"/>
          <w:sz w:val="29"/>
          <w:szCs w:val="29"/>
        </w:rPr>
      </w:pPr>
    </w:p>
    <w:p>
      <w:pPr>
        <w:pStyle w:val="108"/>
        <w:rPr>
          <w:color w:val="auto"/>
        </w:rPr>
      </w:pPr>
    </w:p>
    <w:p>
      <w:pPr>
        <w:pStyle w:val="84"/>
        <w:rPr>
          <w:rFonts w:ascii="Times New Roman" w:hAnsi="Times New Roman" w:eastAsia="黑体"/>
          <w:color w:val="auto"/>
          <w:sz w:val="36"/>
          <w:szCs w:val="36"/>
        </w:rPr>
      </w:pPr>
      <w:bookmarkStart w:id="8" w:name="_Toc490154362"/>
      <w:bookmarkStart w:id="9" w:name="_Toc29796216"/>
      <w:r>
        <w:rPr>
          <w:rFonts w:hint="eastAsia" w:ascii="Times New Roman" w:hAnsi="Times New Roman" w:eastAsia="黑体"/>
          <w:color w:val="auto"/>
          <w:sz w:val="36"/>
          <w:szCs w:val="36"/>
        </w:rPr>
        <w:t>第二章</w:t>
      </w:r>
      <w:r>
        <w:rPr>
          <w:rFonts w:ascii="Times New Roman" w:hAnsi="Times New Roman" w:eastAsia="黑体"/>
          <w:color w:val="auto"/>
          <w:sz w:val="36"/>
          <w:szCs w:val="36"/>
        </w:rPr>
        <w:t xml:space="preserve"> </w:t>
      </w:r>
      <w:r>
        <w:rPr>
          <w:rFonts w:hint="eastAsia" w:ascii="Times New Roman" w:hAnsi="Times New Roman" w:eastAsia="黑体"/>
          <w:color w:val="auto"/>
          <w:sz w:val="36"/>
          <w:szCs w:val="36"/>
        </w:rPr>
        <w:t>投标人须知</w:t>
      </w:r>
      <w:bookmarkEnd w:id="8"/>
      <w:bookmarkEnd w:id="9"/>
    </w:p>
    <w:p>
      <w:pPr>
        <w:spacing w:line="440" w:lineRule="exact"/>
        <w:jc w:val="center"/>
        <w:rPr>
          <w:rFonts w:eastAsia="黑体"/>
          <w:color w:val="auto"/>
          <w:sz w:val="30"/>
          <w:szCs w:val="30"/>
        </w:rPr>
        <w:sectPr>
          <w:pgSz w:w="11906" w:h="16838"/>
          <w:pgMar w:top="1418" w:right="1469" w:bottom="1418" w:left="1418" w:header="851" w:footer="992" w:gutter="0"/>
          <w:cols w:space="720" w:num="1"/>
          <w:titlePg/>
          <w:docGrid w:type="lines" w:linePitch="312" w:charSpace="0"/>
        </w:sectPr>
      </w:pPr>
    </w:p>
    <w:p>
      <w:pPr>
        <w:spacing w:line="440" w:lineRule="exact"/>
        <w:jc w:val="center"/>
        <w:rPr>
          <w:rFonts w:eastAsia="黑体"/>
          <w:color w:val="auto"/>
          <w:sz w:val="30"/>
          <w:szCs w:val="30"/>
        </w:rPr>
      </w:pPr>
      <w:bookmarkStart w:id="10" w:name="_Toc457224239"/>
      <w:r>
        <w:rPr>
          <w:rFonts w:hint="eastAsia" w:eastAsia="黑体"/>
          <w:color w:val="auto"/>
          <w:sz w:val="30"/>
          <w:szCs w:val="30"/>
        </w:rPr>
        <w:t>第二章</w:t>
      </w:r>
      <w:r>
        <w:rPr>
          <w:rFonts w:eastAsia="黑体"/>
          <w:color w:val="auto"/>
          <w:sz w:val="30"/>
          <w:szCs w:val="30"/>
        </w:rPr>
        <w:t xml:space="preserve"> </w:t>
      </w:r>
      <w:r>
        <w:rPr>
          <w:rFonts w:hint="eastAsia" w:eastAsia="黑体"/>
          <w:color w:val="auto"/>
          <w:sz w:val="30"/>
          <w:szCs w:val="30"/>
        </w:rPr>
        <w:t>投标人须知</w:t>
      </w:r>
    </w:p>
    <w:bookmarkEnd w:id="4"/>
    <w:bookmarkEnd w:id="5"/>
    <w:bookmarkEnd w:id="6"/>
    <w:bookmarkEnd w:id="7"/>
    <w:bookmarkEnd w:id="10"/>
    <w:p>
      <w:pPr>
        <w:pStyle w:val="4"/>
        <w:spacing w:before="240" w:after="240" w:line="240" w:lineRule="atLeast"/>
        <w:rPr>
          <w:rFonts w:ascii="黑体" w:eastAsia="黑体"/>
          <w:color w:val="auto"/>
          <w:kern w:val="0"/>
          <w:sz w:val="24"/>
          <w:szCs w:val="24"/>
        </w:rPr>
      </w:pPr>
      <w:bookmarkStart w:id="11" w:name="_Toc28329113"/>
      <w:bookmarkStart w:id="12" w:name="_Toc234832862"/>
      <w:bookmarkStart w:id="13" w:name="_Toc29796217"/>
      <w:r>
        <w:rPr>
          <w:rFonts w:hint="eastAsia" w:ascii="黑体" w:eastAsia="黑体"/>
          <w:color w:val="auto"/>
          <w:kern w:val="0"/>
          <w:sz w:val="24"/>
          <w:szCs w:val="24"/>
        </w:rPr>
        <w:t>投标人须知前附表</w:t>
      </w:r>
      <w:bookmarkEnd w:id="11"/>
      <w:bookmarkEnd w:id="12"/>
      <w:bookmarkEnd w:id="13"/>
    </w:p>
    <w:p>
      <w:pPr>
        <w:pStyle w:val="4"/>
        <w:spacing w:before="0" w:after="0" w:line="240" w:lineRule="atLeast"/>
        <w:rPr>
          <w:color w:val="auto"/>
        </w:rPr>
      </w:pPr>
      <w:bookmarkStart w:id="14" w:name="_Toc29555"/>
      <w:bookmarkStart w:id="15" w:name="_Toc5820"/>
      <w:bookmarkStart w:id="16" w:name="_Toc13426"/>
      <w:bookmarkStart w:id="17" w:name="_Toc18073"/>
      <w:bookmarkStart w:id="18" w:name="_Toc26861"/>
      <w:bookmarkStart w:id="19" w:name="_Toc2085"/>
      <w:bookmarkStart w:id="20" w:name="_Toc31530"/>
      <w:bookmarkStart w:id="21" w:name="_Toc711270"/>
      <w:bookmarkStart w:id="22" w:name="_Toc29726"/>
      <w:bookmarkStart w:id="23" w:name="_Toc29796218"/>
      <w:bookmarkStart w:id="24" w:name="_Toc29545324"/>
      <w:bookmarkStart w:id="25" w:name="_Toc28329114"/>
      <w:r>
        <w:rPr>
          <w:rFonts w:hint="eastAsia" w:ascii="黑体" w:eastAsia="黑体"/>
          <w:color w:val="auto"/>
          <w:kern w:val="0"/>
          <w:sz w:val="24"/>
          <w:szCs w:val="24"/>
        </w:rPr>
        <w:t>投标人须知前附表与正文不一致的地方以投标人须知前附表为准</w:t>
      </w:r>
      <w:bookmarkEnd w:id="14"/>
      <w:bookmarkEnd w:id="15"/>
      <w:bookmarkEnd w:id="16"/>
      <w:bookmarkEnd w:id="17"/>
      <w:bookmarkEnd w:id="18"/>
      <w:bookmarkEnd w:id="19"/>
      <w:bookmarkEnd w:id="20"/>
      <w:bookmarkEnd w:id="21"/>
      <w:bookmarkEnd w:id="22"/>
      <w:r>
        <w:rPr>
          <w:rFonts w:hint="eastAsia" w:ascii="黑体" w:eastAsia="黑体"/>
          <w:color w:val="auto"/>
          <w:kern w:val="0"/>
          <w:sz w:val="24"/>
          <w:szCs w:val="24"/>
        </w:rPr>
        <w:t>（附录为投标人须知前附表的组成部分）</w:t>
      </w:r>
      <w:r>
        <w:rPr>
          <w:rFonts w:hint="eastAsia" w:ascii="黑体" w:eastAsia="黑体"/>
          <w:color w:val="auto"/>
          <w:kern w:val="0"/>
          <w:sz w:val="28"/>
          <w:szCs w:val="28"/>
        </w:rPr>
        <w:t>。</w:t>
      </w:r>
      <w:bookmarkEnd w:id="23"/>
      <w:bookmarkEnd w:id="24"/>
      <w:bookmarkEnd w:id="25"/>
    </w:p>
    <w:tbl>
      <w:tblPr>
        <w:tblStyle w:val="88"/>
        <w:tblW w:w="9634" w:type="dxa"/>
        <w:jc w:val="center"/>
        <w:tblLayout w:type="fixed"/>
        <w:tblCellMar>
          <w:top w:w="0" w:type="dxa"/>
          <w:left w:w="108" w:type="dxa"/>
          <w:bottom w:w="0" w:type="dxa"/>
          <w:right w:w="108" w:type="dxa"/>
        </w:tblCellMar>
      </w:tblPr>
      <w:tblGrid>
        <w:gridCol w:w="934"/>
        <w:gridCol w:w="2693"/>
        <w:gridCol w:w="6007"/>
      </w:tblGrid>
      <w:tr>
        <w:tblPrEx>
          <w:tblCellMar>
            <w:top w:w="0" w:type="dxa"/>
            <w:left w:w="108" w:type="dxa"/>
            <w:bottom w:w="0" w:type="dxa"/>
            <w:right w:w="108" w:type="dxa"/>
          </w:tblCellMar>
        </w:tblPrEx>
        <w:trPr>
          <w:trHeight w:val="90" w:hRule="atLeast"/>
          <w:tblHeade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条款号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条  款  名  称</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1.1.2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招标人</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Cs w:val="21"/>
              </w:rPr>
            </w:pPr>
            <w:r>
              <w:rPr>
                <w:rFonts w:hint="eastAsia" w:ascii="宋体" w:hAnsi="宋体"/>
                <w:color w:val="auto"/>
                <w:szCs w:val="21"/>
              </w:rPr>
              <w:t>招标人：重庆渝合高速公路有限公司</w:t>
            </w:r>
          </w:p>
          <w:p>
            <w:pPr>
              <w:spacing w:line="400" w:lineRule="exact"/>
              <w:jc w:val="left"/>
              <w:rPr>
                <w:rFonts w:ascii="宋体" w:hAnsi="宋体"/>
                <w:color w:val="auto"/>
                <w:szCs w:val="21"/>
              </w:rPr>
            </w:pPr>
            <w:r>
              <w:rPr>
                <w:rFonts w:hint="eastAsia" w:ascii="宋体" w:hAnsi="宋体"/>
                <w:color w:val="auto"/>
                <w:szCs w:val="21"/>
              </w:rPr>
              <w:t>地  址：重庆市渝北区银杉路66号</w:t>
            </w:r>
          </w:p>
          <w:p>
            <w:pPr>
              <w:spacing w:line="400" w:lineRule="exact"/>
              <w:jc w:val="left"/>
              <w:rPr>
                <w:rFonts w:ascii="宋体" w:hAnsi="宋体"/>
                <w:color w:val="auto"/>
                <w:szCs w:val="21"/>
              </w:rPr>
            </w:pPr>
            <w:r>
              <w:rPr>
                <w:rFonts w:hint="eastAsia" w:ascii="宋体" w:hAnsi="宋体"/>
                <w:color w:val="auto"/>
                <w:szCs w:val="21"/>
              </w:rPr>
              <w:t>联系人：晏老师</w:t>
            </w:r>
          </w:p>
          <w:p>
            <w:pPr>
              <w:spacing w:line="400" w:lineRule="exact"/>
              <w:jc w:val="left"/>
              <w:rPr>
                <w:rFonts w:ascii="宋体" w:hAnsi="宋体"/>
                <w:color w:val="auto"/>
                <w:szCs w:val="21"/>
              </w:rPr>
            </w:pPr>
            <w:r>
              <w:rPr>
                <w:rFonts w:hint="eastAsia" w:ascii="宋体" w:hAnsi="宋体"/>
                <w:color w:val="auto"/>
                <w:szCs w:val="21"/>
              </w:rPr>
              <w:t>电  话：</w:t>
            </w:r>
            <w:r>
              <w:rPr>
                <w:rFonts w:hint="eastAsia" w:ascii="宋体" w:hAnsi="宋体" w:cs="宋体"/>
                <w:color w:val="auto"/>
                <w:kern w:val="0"/>
                <w:szCs w:val="21"/>
              </w:rPr>
              <w:t>023-68310806；13883603106</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1.1.3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招标代理机构</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招标代理机构：重庆招标采购（集团）有限责任公司</w:t>
            </w:r>
          </w:p>
          <w:p>
            <w:pPr>
              <w:spacing w:line="400" w:lineRule="exact"/>
              <w:rPr>
                <w:rFonts w:ascii="宋体" w:hAnsi="宋体" w:cs="宋体"/>
                <w:color w:val="auto"/>
                <w:kern w:val="0"/>
                <w:szCs w:val="21"/>
              </w:rPr>
            </w:pPr>
            <w:r>
              <w:rPr>
                <w:rFonts w:hint="eastAsia" w:ascii="宋体" w:hAnsi="宋体" w:cs="宋体"/>
                <w:color w:val="auto"/>
                <w:kern w:val="0"/>
                <w:szCs w:val="21"/>
              </w:rPr>
              <w:t>地址：重庆市江北区五简路2号重庆咨询大厦A座</w:t>
            </w:r>
          </w:p>
          <w:p>
            <w:pPr>
              <w:spacing w:line="400" w:lineRule="exact"/>
              <w:rPr>
                <w:rFonts w:ascii="宋体" w:hAnsi="宋体" w:cs="宋体"/>
                <w:color w:val="auto"/>
                <w:kern w:val="0"/>
                <w:szCs w:val="21"/>
              </w:rPr>
            </w:pPr>
            <w:r>
              <w:rPr>
                <w:rFonts w:hint="eastAsia" w:ascii="宋体" w:hAnsi="宋体" w:cs="宋体"/>
                <w:color w:val="auto"/>
                <w:kern w:val="0"/>
                <w:szCs w:val="21"/>
              </w:rPr>
              <w:t>联系人：谭老师</w:t>
            </w:r>
          </w:p>
          <w:p>
            <w:pPr>
              <w:spacing w:line="400" w:lineRule="exact"/>
              <w:rPr>
                <w:rFonts w:ascii="宋体" w:hAnsi="宋体" w:cs="宋体"/>
                <w:color w:val="auto"/>
                <w:kern w:val="0"/>
                <w:szCs w:val="21"/>
              </w:rPr>
            </w:pPr>
            <w:r>
              <w:rPr>
                <w:rFonts w:hint="eastAsia" w:ascii="宋体" w:hAnsi="宋体" w:cs="宋体"/>
                <w:color w:val="auto"/>
                <w:kern w:val="0"/>
                <w:szCs w:val="21"/>
              </w:rPr>
              <w:t>电话：023-67590752</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1.1.4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招标项目名称</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重庆渝合高速公路有限公司2021-2024年运营保险项目（第二次）</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1.1.5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建设地点</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kern w:val="0"/>
                <w:szCs w:val="21"/>
              </w:rPr>
              <w:t>详见招标</w:t>
            </w:r>
            <w:r>
              <w:rPr>
                <w:rFonts w:ascii="宋体" w:hAnsi="宋体" w:cs="宋体"/>
                <w:color w:val="auto"/>
                <w:kern w:val="0"/>
                <w:szCs w:val="21"/>
              </w:rPr>
              <w:t>公告</w:t>
            </w:r>
          </w:p>
        </w:tc>
      </w:tr>
      <w:tr>
        <w:tblPrEx>
          <w:tblCellMar>
            <w:top w:w="0" w:type="dxa"/>
            <w:left w:w="108" w:type="dxa"/>
            <w:bottom w:w="0" w:type="dxa"/>
            <w:right w:w="108" w:type="dxa"/>
          </w:tblCellMar>
        </w:tblPrEx>
        <w:trPr>
          <w:trHeight w:val="455"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1.1.6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建设规模</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详见招标</w:t>
            </w:r>
            <w:r>
              <w:rPr>
                <w:rFonts w:ascii="宋体" w:hAnsi="宋体" w:cs="宋体"/>
                <w:color w:val="auto"/>
                <w:kern w:val="0"/>
                <w:szCs w:val="21"/>
              </w:rPr>
              <w:t>公告</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1.1.7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投资概算</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auto"/>
              </w:rPr>
            </w:pPr>
            <w:r>
              <w:rPr>
                <w:color w:val="auto"/>
              </w:rPr>
              <w:t>/</w:t>
            </w:r>
          </w:p>
        </w:tc>
      </w:tr>
      <w:tr>
        <w:tblPrEx>
          <w:tblCellMar>
            <w:top w:w="0" w:type="dxa"/>
            <w:left w:w="108" w:type="dxa"/>
            <w:bottom w:w="0" w:type="dxa"/>
            <w:right w:w="108" w:type="dxa"/>
          </w:tblCellMar>
        </w:tblPrEx>
        <w:trPr>
          <w:trHeight w:val="44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1.2.1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资金来源及比例</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业主自筹</w:t>
            </w:r>
          </w:p>
        </w:tc>
      </w:tr>
      <w:tr>
        <w:tblPrEx>
          <w:tblCellMar>
            <w:top w:w="0" w:type="dxa"/>
            <w:left w:w="108" w:type="dxa"/>
            <w:bottom w:w="0" w:type="dxa"/>
            <w:right w:w="108" w:type="dxa"/>
          </w:tblCellMar>
        </w:tblPrEx>
        <w:trPr>
          <w:trHeight w:val="41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1.2.2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资金落实情况</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已落实</w:t>
            </w:r>
          </w:p>
        </w:tc>
      </w:tr>
      <w:tr>
        <w:tblPrEx>
          <w:tblCellMar>
            <w:top w:w="0" w:type="dxa"/>
            <w:left w:w="108" w:type="dxa"/>
            <w:bottom w:w="0" w:type="dxa"/>
            <w:right w:w="108" w:type="dxa"/>
          </w:tblCellMar>
        </w:tblPrEx>
        <w:trPr>
          <w:trHeight w:val="47"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1.3.1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招标范围</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auto"/>
              </w:rPr>
            </w:pPr>
            <w:r>
              <w:rPr>
                <w:rFonts w:hint="eastAsia"/>
                <w:color w:val="auto"/>
              </w:rPr>
              <w:t>详见招标公告</w:t>
            </w:r>
          </w:p>
        </w:tc>
      </w:tr>
      <w:tr>
        <w:tblPrEx>
          <w:tblCellMar>
            <w:top w:w="0" w:type="dxa"/>
            <w:left w:w="108" w:type="dxa"/>
            <w:bottom w:w="0" w:type="dxa"/>
            <w:right w:w="108" w:type="dxa"/>
          </w:tblCellMar>
        </w:tblPrEx>
        <w:trPr>
          <w:trHeight w:val="343"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1.3.2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保险期限</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color w:val="auto"/>
              </w:rPr>
              <w:t>详见招标公告</w:t>
            </w:r>
          </w:p>
        </w:tc>
      </w:tr>
      <w:tr>
        <w:tblPrEx>
          <w:tblCellMar>
            <w:top w:w="0" w:type="dxa"/>
            <w:left w:w="108" w:type="dxa"/>
            <w:bottom w:w="0" w:type="dxa"/>
            <w:right w:w="108" w:type="dxa"/>
          </w:tblCellMar>
        </w:tblPrEx>
        <w:trPr>
          <w:trHeight w:val="349"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1.3.3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质量要求</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w:t>
            </w:r>
          </w:p>
        </w:tc>
      </w:tr>
      <w:tr>
        <w:tblPrEx>
          <w:tblCellMar>
            <w:top w:w="0" w:type="dxa"/>
            <w:left w:w="108" w:type="dxa"/>
            <w:bottom w:w="0" w:type="dxa"/>
            <w:right w:w="108" w:type="dxa"/>
          </w:tblCellMar>
        </w:tblPrEx>
        <w:trPr>
          <w:trHeight w:val="368"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bCs/>
                <w:color w:val="auto"/>
                <w:kern w:val="0"/>
                <w:szCs w:val="21"/>
              </w:rPr>
              <w:t>1.3.4</w:t>
            </w:r>
          </w:p>
        </w:tc>
        <w:tc>
          <w:tcPr>
            <w:tcW w:w="2693" w:type="dxa"/>
            <w:tcBorders>
              <w:top w:val="single" w:color="auto" w:sz="4" w:space="0"/>
              <w:left w:val="single" w:color="auto" w:sz="4" w:space="0"/>
              <w:bottom w:val="single" w:color="auto" w:sz="4" w:space="0"/>
              <w:right w:val="single" w:color="auto" w:sz="4" w:space="0"/>
            </w:tcBorders>
            <w:vAlign w:val="center"/>
          </w:tcPr>
          <w:p>
            <w:pPr>
              <w:pStyle w:val="34"/>
              <w:jc w:val="center"/>
              <w:rPr>
                <w:rFonts w:cs="宋体"/>
                <w:color w:val="auto"/>
                <w:sz w:val="21"/>
                <w:szCs w:val="21"/>
              </w:rPr>
            </w:pPr>
            <w:r>
              <w:rPr>
                <w:rFonts w:hint="eastAsia" w:cs="宋体"/>
                <w:color w:val="auto"/>
                <w:sz w:val="21"/>
                <w:szCs w:val="21"/>
              </w:rPr>
              <w:t>安全目标</w:t>
            </w:r>
          </w:p>
        </w:tc>
        <w:tc>
          <w:tcPr>
            <w:tcW w:w="6007" w:type="dxa"/>
            <w:tcBorders>
              <w:top w:val="single" w:color="auto" w:sz="4" w:space="0"/>
              <w:left w:val="single" w:color="auto" w:sz="4" w:space="0"/>
              <w:bottom w:val="single" w:color="auto" w:sz="4" w:space="0"/>
              <w:right w:val="single" w:color="auto" w:sz="4" w:space="0"/>
            </w:tcBorders>
            <w:vAlign w:val="center"/>
          </w:tcPr>
          <w:p>
            <w:pPr>
              <w:pStyle w:val="34"/>
              <w:rPr>
                <w:rFonts w:cs="宋体"/>
                <w:color w:val="auto"/>
                <w:sz w:val="21"/>
                <w:szCs w:val="21"/>
              </w:rPr>
            </w:pPr>
            <w:r>
              <w:rPr>
                <w:rFonts w:hint="eastAsia" w:cs="宋体"/>
                <w:color w:val="auto"/>
                <w:sz w:val="21"/>
                <w:szCs w:val="21"/>
              </w:rPr>
              <w:t>/</w:t>
            </w:r>
          </w:p>
        </w:tc>
      </w:tr>
      <w:tr>
        <w:tblPrEx>
          <w:tblCellMar>
            <w:top w:w="0" w:type="dxa"/>
            <w:left w:w="108" w:type="dxa"/>
            <w:bottom w:w="0" w:type="dxa"/>
            <w:right w:w="108" w:type="dxa"/>
          </w:tblCellMar>
        </w:tblPrEx>
        <w:trPr>
          <w:trHeight w:val="825"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1.4.1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投标人资质条件、能力和信誉</w:t>
            </w:r>
          </w:p>
        </w:tc>
        <w:tc>
          <w:tcPr>
            <w:tcW w:w="6007" w:type="dxa"/>
            <w:tcBorders>
              <w:top w:val="single" w:color="auto" w:sz="4" w:space="0"/>
              <w:left w:val="single" w:color="auto" w:sz="4" w:space="0"/>
              <w:bottom w:val="single" w:color="auto" w:sz="4" w:space="0"/>
              <w:right w:val="single" w:color="auto" w:sz="4" w:space="0"/>
            </w:tcBorders>
            <w:vAlign w:val="center"/>
          </w:tcPr>
          <w:p>
            <w:pPr>
              <w:pStyle w:val="34"/>
              <w:rPr>
                <w:rFonts w:cs="宋体"/>
                <w:color w:val="auto"/>
                <w:sz w:val="21"/>
                <w:szCs w:val="21"/>
              </w:rPr>
            </w:pPr>
            <w:r>
              <w:rPr>
                <w:rFonts w:hint="eastAsia" w:cs="宋体"/>
                <w:color w:val="auto"/>
                <w:sz w:val="21"/>
                <w:szCs w:val="21"/>
              </w:rPr>
              <w:t>资质条件：见附录1</w:t>
            </w:r>
          </w:p>
          <w:p>
            <w:pPr>
              <w:pStyle w:val="34"/>
              <w:rPr>
                <w:rFonts w:cs="宋体"/>
                <w:color w:val="auto"/>
                <w:sz w:val="21"/>
                <w:szCs w:val="21"/>
              </w:rPr>
            </w:pPr>
            <w:r>
              <w:rPr>
                <w:rFonts w:hint="eastAsia" w:cs="宋体"/>
                <w:color w:val="auto"/>
                <w:sz w:val="21"/>
                <w:szCs w:val="21"/>
              </w:rPr>
              <w:t>财务要求：见附录2</w:t>
            </w:r>
          </w:p>
          <w:p>
            <w:pPr>
              <w:pStyle w:val="34"/>
              <w:rPr>
                <w:rFonts w:cs="宋体"/>
                <w:color w:val="auto"/>
                <w:sz w:val="21"/>
                <w:szCs w:val="21"/>
              </w:rPr>
            </w:pPr>
            <w:r>
              <w:rPr>
                <w:rFonts w:hint="eastAsia" w:cs="宋体"/>
                <w:color w:val="auto"/>
                <w:sz w:val="21"/>
                <w:szCs w:val="21"/>
              </w:rPr>
              <w:t xml:space="preserve">业绩要求：见附录3 </w:t>
            </w:r>
          </w:p>
          <w:p>
            <w:pPr>
              <w:pStyle w:val="34"/>
              <w:rPr>
                <w:rFonts w:cs="宋体"/>
                <w:color w:val="auto"/>
                <w:sz w:val="21"/>
                <w:szCs w:val="21"/>
              </w:rPr>
            </w:pPr>
            <w:r>
              <w:rPr>
                <w:rFonts w:hint="eastAsia" w:cs="宋体"/>
                <w:color w:val="auto"/>
                <w:sz w:val="21"/>
                <w:szCs w:val="21"/>
              </w:rPr>
              <w:t xml:space="preserve">信誉要求：见附录4 </w:t>
            </w:r>
          </w:p>
          <w:p>
            <w:pPr>
              <w:pStyle w:val="34"/>
              <w:rPr>
                <w:rFonts w:cs="宋体"/>
                <w:color w:val="auto"/>
                <w:sz w:val="21"/>
                <w:szCs w:val="21"/>
              </w:rPr>
            </w:pPr>
            <w:r>
              <w:rPr>
                <w:rFonts w:hint="eastAsia" w:cs="宋体"/>
                <w:color w:val="auto"/>
                <w:sz w:val="21"/>
                <w:szCs w:val="21"/>
              </w:rPr>
              <w:t>服务要求：见附录5</w:t>
            </w:r>
          </w:p>
        </w:tc>
      </w:tr>
      <w:tr>
        <w:tblPrEx>
          <w:tblCellMar>
            <w:top w:w="0" w:type="dxa"/>
            <w:left w:w="108" w:type="dxa"/>
            <w:bottom w:w="0" w:type="dxa"/>
            <w:right w:w="108" w:type="dxa"/>
          </w:tblCellMar>
        </w:tblPrEx>
        <w:trPr>
          <w:trHeight w:val="668"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1.4.2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是否接受联合体投标</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☑不接受</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1.4.3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szCs w:val="21"/>
              </w:rPr>
              <w:t>投标人不得存在的其他关联情形</w:t>
            </w:r>
          </w:p>
        </w:tc>
        <w:tc>
          <w:tcPr>
            <w:tcW w:w="6007" w:type="dxa"/>
            <w:tcBorders>
              <w:top w:val="single" w:color="auto" w:sz="4" w:space="0"/>
              <w:left w:val="single" w:color="auto" w:sz="4" w:space="0"/>
              <w:bottom w:val="single" w:color="auto" w:sz="4" w:space="0"/>
              <w:right w:val="single" w:color="auto" w:sz="4" w:space="0"/>
            </w:tcBorders>
            <w:vAlign w:val="center"/>
          </w:tcPr>
          <w:p>
            <w:pPr>
              <w:pStyle w:val="108"/>
              <w:spacing w:line="360" w:lineRule="exact"/>
              <w:jc w:val="both"/>
              <w:rPr>
                <w:rFonts w:ascii="宋体" w:hAnsi="宋体"/>
                <w:color w:val="auto"/>
                <w:sz w:val="21"/>
                <w:szCs w:val="21"/>
              </w:rPr>
            </w:pPr>
            <w:r>
              <w:rPr>
                <w:rFonts w:hint="eastAsia" w:ascii="宋体" w:hAnsi="宋体"/>
                <w:color w:val="auto"/>
                <w:sz w:val="21"/>
                <w:szCs w:val="21"/>
              </w:rPr>
              <w:t>详见招标公告3.3.1及3.3.2条</w:t>
            </w:r>
          </w:p>
        </w:tc>
      </w:tr>
      <w:tr>
        <w:tblPrEx>
          <w:tblCellMar>
            <w:top w:w="0" w:type="dxa"/>
            <w:left w:w="108" w:type="dxa"/>
            <w:bottom w:w="0" w:type="dxa"/>
            <w:right w:w="108" w:type="dxa"/>
          </w:tblCellMar>
        </w:tblPrEx>
        <w:trPr>
          <w:trHeight w:val="199"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1.4.4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投标人不得存在的其他不良状况或不良信用记录</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该条以附录4的内容为准。</w:t>
            </w:r>
          </w:p>
        </w:tc>
      </w:tr>
      <w:tr>
        <w:tblPrEx>
          <w:tblCellMar>
            <w:top w:w="0" w:type="dxa"/>
            <w:left w:w="108" w:type="dxa"/>
            <w:bottom w:w="0" w:type="dxa"/>
            <w:right w:w="108" w:type="dxa"/>
          </w:tblCellMar>
        </w:tblPrEx>
        <w:trPr>
          <w:trHeight w:val="503" w:hRule="atLeast"/>
          <w:jc w:val="center"/>
        </w:trPr>
        <w:tc>
          <w:tcPr>
            <w:tcW w:w="93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1.10.2</w:t>
            </w:r>
          </w:p>
        </w:tc>
        <w:tc>
          <w:tcPr>
            <w:tcW w:w="269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投标人在投标预备会前提出问题</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 xml:space="preserve"> 不召开  </w:t>
            </w:r>
          </w:p>
        </w:tc>
      </w:tr>
      <w:tr>
        <w:tblPrEx>
          <w:tblCellMar>
            <w:top w:w="0" w:type="dxa"/>
            <w:left w:w="108" w:type="dxa"/>
            <w:bottom w:w="0" w:type="dxa"/>
            <w:right w:w="108" w:type="dxa"/>
          </w:tblCellMar>
        </w:tblPrEx>
        <w:trPr>
          <w:trHeight w:val="450" w:hRule="atLeast"/>
          <w:jc w:val="center"/>
        </w:trPr>
        <w:tc>
          <w:tcPr>
            <w:tcW w:w="934"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kern w:val="0"/>
                <w:szCs w:val="21"/>
              </w:rPr>
            </w:pPr>
          </w:p>
        </w:tc>
        <w:tc>
          <w:tcPr>
            <w:tcW w:w="2693" w:type="dxa"/>
            <w:vMerge w:val="continue"/>
            <w:tcBorders>
              <w:left w:val="single" w:color="auto" w:sz="4" w:space="0"/>
              <w:right w:val="single" w:color="auto" w:sz="4" w:space="0"/>
            </w:tcBorders>
            <w:vAlign w:val="center"/>
          </w:tcPr>
          <w:p>
            <w:pPr>
              <w:spacing w:line="320" w:lineRule="exact"/>
              <w:jc w:val="center"/>
              <w:rPr>
                <w:rFonts w:ascii="宋体" w:hAnsi="宋体" w:cs="宋体"/>
                <w:color w:val="auto"/>
                <w:kern w:val="0"/>
                <w:szCs w:val="21"/>
              </w:rPr>
            </w:pPr>
          </w:p>
        </w:tc>
        <w:tc>
          <w:tcPr>
            <w:tcW w:w="600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形式：</w:t>
            </w:r>
            <w:r>
              <w:rPr>
                <w:rFonts w:hint="eastAsia" w:ascii="宋体" w:hAnsi="宋体" w:cs="宋体"/>
                <w:color w:val="auto"/>
                <w:szCs w:val="21"/>
                <w:u w:val="single"/>
              </w:rPr>
              <w:t xml:space="preserve">  /  </w:t>
            </w:r>
          </w:p>
        </w:tc>
      </w:tr>
      <w:tr>
        <w:tblPrEx>
          <w:tblCellMar>
            <w:top w:w="0" w:type="dxa"/>
            <w:left w:w="108" w:type="dxa"/>
            <w:bottom w:w="0" w:type="dxa"/>
            <w:right w:w="108" w:type="dxa"/>
          </w:tblCellMar>
        </w:tblPrEx>
        <w:trPr>
          <w:trHeight w:val="658"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1.11.1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分  包</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kern w:val="0"/>
                <w:szCs w:val="21"/>
              </w:rPr>
              <w:t>不允许</w:t>
            </w:r>
          </w:p>
        </w:tc>
      </w:tr>
      <w:tr>
        <w:tblPrEx>
          <w:tblCellMar>
            <w:top w:w="0" w:type="dxa"/>
            <w:left w:w="108" w:type="dxa"/>
            <w:bottom w:w="0" w:type="dxa"/>
            <w:right w:w="108" w:type="dxa"/>
          </w:tblCellMar>
        </w:tblPrEx>
        <w:trPr>
          <w:trHeight w:val="39"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构成招标文件的其他资料</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招标文件的答疑及补遗资料（如有）。</w:t>
            </w:r>
          </w:p>
        </w:tc>
      </w:tr>
      <w:tr>
        <w:tblPrEx>
          <w:tblCellMar>
            <w:top w:w="0" w:type="dxa"/>
            <w:left w:w="108" w:type="dxa"/>
            <w:bottom w:w="0" w:type="dxa"/>
            <w:right w:w="108" w:type="dxa"/>
          </w:tblCellMar>
        </w:tblPrEx>
        <w:trPr>
          <w:trHeight w:val="39" w:hRule="atLeast"/>
          <w:jc w:val="center"/>
        </w:trPr>
        <w:tc>
          <w:tcPr>
            <w:tcW w:w="9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2.2.1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投标人要求澄清招标文件</w:t>
            </w:r>
          </w:p>
        </w:tc>
        <w:tc>
          <w:tcPr>
            <w:tcW w:w="600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kern w:val="0"/>
                <w:szCs w:val="21"/>
              </w:rPr>
            </w:pPr>
            <w:r>
              <w:rPr>
                <w:rFonts w:hint="eastAsia" w:ascii="宋体" w:hAnsi="宋体" w:cs="宋体"/>
                <w:color w:val="auto"/>
                <w:szCs w:val="21"/>
              </w:rPr>
              <w:t>时间：</w:t>
            </w:r>
            <w:r>
              <w:rPr>
                <w:rFonts w:hint="eastAsia" w:ascii="宋体" w:hAnsi="宋体" w:cs="宋体"/>
                <w:color w:val="auto"/>
                <w:szCs w:val="21"/>
                <w:u w:val="single"/>
              </w:rPr>
              <w:t>2021</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1 </w:t>
            </w:r>
            <w:r>
              <w:rPr>
                <w:rFonts w:hint="eastAsia" w:ascii="宋体" w:hAnsi="宋体" w:cs="宋体"/>
                <w:color w:val="auto"/>
                <w:szCs w:val="21"/>
              </w:rPr>
              <w:t>日17时00分前</w:t>
            </w:r>
          </w:p>
        </w:tc>
      </w:tr>
      <w:tr>
        <w:tblPrEx>
          <w:tblCellMar>
            <w:top w:w="0" w:type="dxa"/>
            <w:left w:w="108" w:type="dxa"/>
            <w:bottom w:w="0" w:type="dxa"/>
            <w:right w:w="108" w:type="dxa"/>
          </w:tblCellMar>
        </w:tblPrEx>
        <w:trPr>
          <w:trHeight w:val="39" w:hRule="atLeast"/>
          <w:jc w:val="center"/>
        </w:trPr>
        <w:tc>
          <w:tcPr>
            <w:tcW w:w="9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p>
        </w:tc>
        <w:tc>
          <w:tcPr>
            <w:tcW w:w="600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kern w:val="0"/>
                <w:szCs w:val="21"/>
              </w:rPr>
            </w:pPr>
            <w:r>
              <w:rPr>
                <w:rFonts w:hint="eastAsia" w:ascii="宋体" w:hAnsi="宋体" w:cs="宋体"/>
                <w:color w:val="auto"/>
                <w:szCs w:val="21"/>
              </w:rPr>
              <w:t>形式：在重庆市公共资源交易网（</w:t>
            </w:r>
            <w:r>
              <w:rPr>
                <w:rFonts w:hAnsi="宋体" w:cs="宋体"/>
                <w:color w:val="auto"/>
              </w:rPr>
              <w:t>https://www.cqggzy.com/</w:t>
            </w:r>
            <w:r>
              <w:rPr>
                <w:rFonts w:hint="eastAsia" w:ascii="宋体" w:hAnsi="宋体" w:cs="宋体"/>
                <w:color w:val="auto"/>
                <w:szCs w:val="21"/>
              </w:rPr>
              <w:t>）上提出质疑。</w:t>
            </w:r>
          </w:p>
        </w:tc>
      </w:tr>
      <w:tr>
        <w:tblPrEx>
          <w:tblCellMar>
            <w:top w:w="0" w:type="dxa"/>
            <w:left w:w="108" w:type="dxa"/>
            <w:bottom w:w="0" w:type="dxa"/>
            <w:right w:w="108" w:type="dxa"/>
          </w:tblCellMar>
        </w:tblPrEx>
        <w:trPr>
          <w:trHeight w:val="39"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2.2.2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招标文件澄清发出的形式和时间</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在重庆市公共资源交易网（</w:t>
            </w:r>
            <w:r>
              <w:rPr>
                <w:rFonts w:hAnsi="宋体" w:cs="宋体"/>
                <w:color w:val="auto"/>
              </w:rPr>
              <w:t>https://www.cqggzy.com/</w:t>
            </w:r>
            <w:r>
              <w:rPr>
                <w:rFonts w:hint="eastAsia" w:ascii="宋体" w:hAnsi="宋体" w:cs="宋体"/>
                <w:color w:val="auto"/>
                <w:szCs w:val="21"/>
              </w:rPr>
              <w:t>）发布，时间：2021年</w:t>
            </w:r>
            <w:r>
              <w:rPr>
                <w:rFonts w:hint="eastAsia" w:ascii="宋体" w:hAnsi="宋体" w:cs="宋体"/>
                <w:color w:val="auto"/>
                <w:szCs w:val="21"/>
                <w:u w:val="single"/>
                <w:lang w:val="en-US" w:eastAsia="zh-CN"/>
              </w:rPr>
              <w:t>11</w:t>
            </w:r>
            <w:r>
              <w:rPr>
                <w:rFonts w:hint="eastAsia" w:ascii="宋体" w:hAnsi="宋体" w:cs="宋体"/>
                <w:color w:val="auto"/>
                <w:szCs w:val="21"/>
              </w:rPr>
              <w:t>月</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日17 时00分前</w:t>
            </w:r>
          </w:p>
        </w:tc>
      </w:tr>
      <w:tr>
        <w:tblPrEx>
          <w:tblCellMar>
            <w:top w:w="0" w:type="dxa"/>
            <w:left w:w="108" w:type="dxa"/>
            <w:bottom w:w="0" w:type="dxa"/>
            <w:right w:w="108" w:type="dxa"/>
          </w:tblCellMar>
        </w:tblPrEx>
        <w:trPr>
          <w:trHeight w:val="39" w:hRule="atLeast"/>
          <w:jc w:val="center"/>
        </w:trPr>
        <w:tc>
          <w:tcPr>
            <w:tcW w:w="9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2.2.3</w:t>
            </w:r>
          </w:p>
        </w:tc>
        <w:tc>
          <w:tcPr>
            <w:tcW w:w="2693" w:type="dxa"/>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投标人确认收到招标文件澄清</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不确认</w:t>
            </w:r>
          </w:p>
        </w:tc>
      </w:tr>
      <w:tr>
        <w:tblPrEx>
          <w:tblCellMar>
            <w:top w:w="0" w:type="dxa"/>
            <w:left w:w="108" w:type="dxa"/>
            <w:bottom w:w="0" w:type="dxa"/>
            <w:right w:w="108" w:type="dxa"/>
          </w:tblCellMar>
        </w:tblPrEx>
        <w:trPr>
          <w:trHeight w:val="39"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2.3.1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招标文件修改发出的形式</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在重庆市公共资源交易网（</w:t>
            </w:r>
            <w:r>
              <w:rPr>
                <w:rFonts w:hAnsi="宋体" w:cs="宋体"/>
                <w:color w:val="auto"/>
              </w:rPr>
              <w:t>https://www.cqggzy.com/</w:t>
            </w:r>
            <w:r>
              <w:rPr>
                <w:rFonts w:hint="eastAsia" w:ascii="宋体" w:hAnsi="宋体" w:cs="宋体"/>
                <w:color w:val="auto"/>
                <w:szCs w:val="21"/>
              </w:rPr>
              <w:t>）发布，时间：2021年</w:t>
            </w:r>
            <w:r>
              <w:rPr>
                <w:rFonts w:hint="eastAsia" w:ascii="宋体" w:hAnsi="宋体" w:cs="宋体"/>
                <w:color w:val="auto"/>
                <w:szCs w:val="21"/>
                <w:u w:val="single"/>
                <w:lang w:val="en-US" w:eastAsia="zh-CN"/>
              </w:rPr>
              <w:t>11</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日17时00分前</w:t>
            </w:r>
          </w:p>
        </w:tc>
      </w:tr>
      <w:tr>
        <w:tblPrEx>
          <w:tblCellMar>
            <w:top w:w="0" w:type="dxa"/>
            <w:left w:w="108" w:type="dxa"/>
            <w:bottom w:w="0" w:type="dxa"/>
            <w:right w:w="108" w:type="dxa"/>
          </w:tblCellMar>
        </w:tblPrEx>
        <w:trPr>
          <w:trHeight w:val="435" w:hRule="atLeast"/>
          <w:jc w:val="center"/>
        </w:trPr>
        <w:tc>
          <w:tcPr>
            <w:tcW w:w="9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2.3.2</w:t>
            </w:r>
          </w:p>
        </w:tc>
        <w:tc>
          <w:tcPr>
            <w:tcW w:w="2693" w:type="dxa"/>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投标人确认收到招标文件修改</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不确认</w:t>
            </w:r>
          </w:p>
        </w:tc>
      </w:tr>
      <w:tr>
        <w:tblPrEx>
          <w:tblCellMar>
            <w:top w:w="0" w:type="dxa"/>
            <w:left w:w="108" w:type="dxa"/>
            <w:bottom w:w="0" w:type="dxa"/>
            <w:right w:w="108" w:type="dxa"/>
          </w:tblCellMar>
        </w:tblPrEx>
        <w:trPr>
          <w:trHeight w:val="442"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3.1.1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投标文件的构成</w:t>
            </w:r>
          </w:p>
        </w:tc>
        <w:tc>
          <w:tcPr>
            <w:tcW w:w="60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投标文件</w:t>
            </w:r>
            <w:r>
              <w:rPr>
                <w:rFonts w:hint="eastAsia" w:ascii="宋体" w:hAnsi="宋体" w:cs="宋体"/>
                <w:color w:val="auto"/>
                <w:szCs w:val="21"/>
              </w:rPr>
              <w:t>采用单信封形式，投标文件构成如下：</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一、投标函；</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二、法定负责人身份证明及法定负责人的授权委托书；</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三、投标保证金；</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四、资格审查表；</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五、商务文件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六、技术文件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七、其他资料</w:t>
            </w:r>
          </w:p>
          <w:p>
            <w:pPr>
              <w:spacing w:line="360" w:lineRule="auto"/>
              <w:ind w:firstLine="420" w:firstLineChars="200"/>
              <w:rPr>
                <w:rFonts w:ascii="宋体" w:hAnsi="宋体" w:cs="宋体"/>
                <w:color w:val="auto"/>
                <w:szCs w:val="21"/>
              </w:rPr>
            </w:pPr>
          </w:p>
        </w:tc>
      </w:tr>
      <w:tr>
        <w:tblPrEx>
          <w:tblCellMar>
            <w:top w:w="0" w:type="dxa"/>
            <w:left w:w="108" w:type="dxa"/>
            <w:bottom w:w="0" w:type="dxa"/>
            <w:right w:w="108" w:type="dxa"/>
          </w:tblCellMar>
        </w:tblPrEx>
        <w:trPr>
          <w:trHeight w:val="9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3.2.1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增值税税金的计算方法</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按一般计税方法计算。</w:t>
            </w:r>
          </w:p>
        </w:tc>
      </w:tr>
      <w:tr>
        <w:tblPrEx>
          <w:tblCellMar>
            <w:top w:w="0" w:type="dxa"/>
            <w:left w:w="108" w:type="dxa"/>
            <w:bottom w:w="0" w:type="dxa"/>
            <w:right w:w="108" w:type="dxa"/>
          </w:tblCellMar>
        </w:tblPrEx>
        <w:trPr>
          <w:trHeight w:val="9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3.2.3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报价方式</w:t>
            </w:r>
          </w:p>
        </w:tc>
        <w:tc>
          <w:tcPr>
            <w:tcW w:w="6007"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rPr>
                <w:rFonts w:hAnsi="宋体" w:cs="宋体"/>
                <w:color w:val="auto"/>
                <w:kern w:val="0"/>
                <w:sz w:val="21"/>
                <w:szCs w:val="21"/>
              </w:rPr>
            </w:pPr>
            <w:r>
              <w:rPr>
                <w:rFonts w:hint="eastAsia" w:hAnsi="宋体" w:cs="宋体"/>
                <w:color w:val="auto"/>
                <w:kern w:val="0"/>
                <w:sz w:val="21"/>
                <w:szCs w:val="21"/>
              </w:rPr>
              <w:t>☑总价</w:t>
            </w:r>
          </w:p>
        </w:tc>
      </w:tr>
      <w:tr>
        <w:tblPrEx>
          <w:tblCellMar>
            <w:top w:w="0" w:type="dxa"/>
            <w:left w:w="108" w:type="dxa"/>
            <w:bottom w:w="0" w:type="dxa"/>
            <w:right w:w="108" w:type="dxa"/>
          </w:tblCellMar>
        </w:tblPrEx>
        <w:trPr>
          <w:trHeight w:val="1275"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3.2.4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最高投标限价</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color w:val="auto"/>
              </w:rPr>
            </w:pPr>
            <w:r>
              <w:rPr>
                <w:rFonts w:hint="eastAsia"/>
                <w:color w:val="auto"/>
              </w:rPr>
              <w:t>本项目最高投标总限价1502493元。</w:t>
            </w:r>
          </w:p>
          <w:p>
            <w:pPr>
              <w:spacing w:line="400" w:lineRule="exact"/>
              <w:ind w:firstLine="420" w:firstLineChars="200"/>
              <w:rPr>
                <w:color w:val="auto"/>
              </w:rPr>
            </w:pPr>
            <w:r>
              <w:rPr>
                <w:rFonts w:hint="eastAsia"/>
                <w:color w:val="auto"/>
              </w:rPr>
              <w:t>每年分项限价详见下表：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887"/>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 w:type="dxa"/>
                  <w:vAlign w:val="center"/>
                </w:tcPr>
                <w:p>
                  <w:pPr>
                    <w:jc w:val="center"/>
                    <w:rPr>
                      <w:rFonts w:ascii="宋体" w:hAnsi="宋体"/>
                      <w:color w:val="auto"/>
                    </w:rPr>
                  </w:pPr>
                  <w:r>
                    <w:rPr>
                      <w:rFonts w:hint="eastAsia" w:ascii="宋体" w:hAnsi="宋体"/>
                      <w:color w:val="auto"/>
                    </w:rPr>
                    <w:t>序号</w:t>
                  </w:r>
                </w:p>
              </w:tc>
              <w:tc>
                <w:tcPr>
                  <w:tcW w:w="2887" w:type="dxa"/>
                  <w:vAlign w:val="center"/>
                </w:tcPr>
                <w:p>
                  <w:pPr>
                    <w:ind w:firstLine="420" w:firstLineChars="200"/>
                    <w:jc w:val="center"/>
                    <w:rPr>
                      <w:rFonts w:ascii="宋体" w:hAnsi="宋体"/>
                      <w:color w:val="auto"/>
                    </w:rPr>
                  </w:pPr>
                  <w:r>
                    <w:rPr>
                      <w:rFonts w:hint="eastAsia" w:ascii="宋体" w:hAnsi="宋体"/>
                      <w:color w:val="auto"/>
                    </w:rPr>
                    <w:t>保险期限</w:t>
                  </w:r>
                </w:p>
              </w:tc>
              <w:tc>
                <w:tcPr>
                  <w:tcW w:w="1926" w:type="dxa"/>
                  <w:vAlign w:val="center"/>
                </w:tcPr>
                <w:p>
                  <w:pPr>
                    <w:ind w:firstLine="420" w:firstLineChars="200"/>
                    <w:jc w:val="center"/>
                    <w:rPr>
                      <w:rFonts w:ascii="宋体" w:hAnsi="宋体"/>
                      <w:color w:val="auto"/>
                    </w:rPr>
                  </w:pPr>
                  <w:r>
                    <w:rPr>
                      <w:rFonts w:hint="eastAsia" w:ascii="宋体" w:hAnsi="宋体"/>
                      <w:color w:val="auto"/>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jc w:val="center"/>
                    <w:rPr>
                      <w:rFonts w:ascii="宋体" w:hAnsi="宋体"/>
                      <w:color w:val="auto"/>
                    </w:rPr>
                  </w:pPr>
                  <w:r>
                    <w:rPr>
                      <w:rFonts w:hint="eastAsia" w:ascii="宋体" w:hAnsi="宋体"/>
                      <w:color w:val="auto"/>
                    </w:rPr>
                    <w:t>1</w:t>
                  </w:r>
                </w:p>
              </w:tc>
              <w:tc>
                <w:tcPr>
                  <w:tcW w:w="2887" w:type="dxa"/>
                  <w:vAlign w:val="center"/>
                </w:tcPr>
                <w:p>
                  <w:pPr>
                    <w:rPr>
                      <w:rFonts w:ascii="宋体" w:hAnsi="宋体"/>
                      <w:color w:val="auto"/>
                    </w:rPr>
                  </w:pPr>
                  <w:r>
                    <w:rPr>
                      <w:rFonts w:hint="eastAsia" w:ascii="宋体" w:hAnsi="宋体"/>
                      <w:color w:val="auto"/>
                    </w:rPr>
                    <w:t>第一年保险期间为20</w:t>
                  </w:r>
                  <w:r>
                    <w:rPr>
                      <w:rFonts w:ascii="宋体" w:hAnsi="宋体"/>
                      <w:color w:val="auto"/>
                    </w:rPr>
                    <w:t>21</w:t>
                  </w:r>
                  <w:r>
                    <w:rPr>
                      <w:rFonts w:hint="eastAsia" w:ascii="宋体" w:hAnsi="宋体"/>
                      <w:color w:val="auto"/>
                    </w:rPr>
                    <w:t>年1</w:t>
                  </w:r>
                  <w:r>
                    <w:rPr>
                      <w:rFonts w:hint="eastAsia" w:ascii="宋体" w:hAnsi="宋体"/>
                      <w:color w:val="auto"/>
                      <w:lang w:val="en-US" w:eastAsia="zh-CN"/>
                    </w:rPr>
                    <w:t>2</w:t>
                  </w:r>
                  <w:r>
                    <w:rPr>
                      <w:rFonts w:hint="eastAsia" w:ascii="宋体" w:hAnsi="宋体"/>
                      <w:color w:val="auto"/>
                    </w:rPr>
                    <w:t>月</w:t>
                  </w:r>
                  <w:r>
                    <w:rPr>
                      <w:rFonts w:hint="eastAsia" w:ascii="宋体" w:hAnsi="宋体"/>
                      <w:color w:val="auto"/>
                      <w:lang w:val="en-US" w:eastAsia="zh-CN"/>
                    </w:rPr>
                    <w:t>1</w:t>
                  </w:r>
                  <w:r>
                    <w:rPr>
                      <w:rFonts w:hint="eastAsia" w:ascii="宋体" w:hAnsi="宋体"/>
                      <w:color w:val="auto"/>
                    </w:rPr>
                    <w:t>日0时至20</w:t>
                  </w:r>
                  <w:r>
                    <w:rPr>
                      <w:rFonts w:ascii="宋体" w:hAnsi="宋体"/>
                      <w:color w:val="auto"/>
                    </w:rPr>
                    <w:t>22</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日24时</w:t>
                  </w:r>
                </w:p>
              </w:tc>
              <w:tc>
                <w:tcPr>
                  <w:tcW w:w="1926" w:type="dxa"/>
                  <w:vAlign w:val="center"/>
                </w:tcPr>
                <w:p>
                  <w:pPr>
                    <w:jc w:val="center"/>
                    <w:rPr>
                      <w:rFonts w:ascii="宋体" w:hAnsi="宋体"/>
                      <w:color w:val="auto"/>
                    </w:rPr>
                  </w:pPr>
                  <w:r>
                    <w:rPr>
                      <w:rFonts w:hint="eastAsia" w:ascii="宋体" w:hAnsi="宋体"/>
                      <w:color w:val="auto"/>
                    </w:rPr>
                    <w:t>298519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jc w:val="center"/>
                    <w:rPr>
                      <w:rFonts w:ascii="宋体" w:hAnsi="宋体"/>
                      <w:color w:val="auto"/>
                    </w:rPr>
                  </w:pPr>
                  <w:r>
                    <w:rPr>
                      <w:rFonts w:hint="eastAsia" w:ascii="宋体" w:hAnsi="宋体"/>
                      <w:color w:val="auto"/>
                    </w:rPr>
                    <w:t>2</w:t>
                  </w:r>
                </w:p>
              </w:tc>
              <w:tc>
                <w:tcPr>
                  <w:tcW w:w="2887" w:type="dxa"/>
                  <w:vAlign w:val="center"/>
                </w:tcPr>
                <w:p>
                  <w:pPr>
                    <w:rPr>
                      <w:rFonts w:ascii="宋体" w:hAnsi="宋体"/>
                      <w:color w:val="auto"/>
                    </w:rPr>
                  </w:pPr>
                  <w:r>
                    <w:rPr>
                      <w:rFonts w:hint="eastAsia" w:ascii="宋体" w:hAnsi="宋体"/>
                      <w:color w:val="auto"/>
                    </w:rPr>
                    <w:t>第二年保险期间为20</w:t>
                  </w:r>
                  <w:r>
                    <w:rPr>
                      <w:rFonts w:ascii="宋体" w:hAnsi="宋体"/>
                      <w:color w:val="auto"/>
                    </w:rPr>
                    <w:t>22</w:t>
                  </w:r>
                  <w:r>
                    <w:rPr>
                      <w:rFonts w:hint="eastAsia" w:ascii="宋体" w:hAnsi="宋体"/>
                      <w:color w:val="auto"/>
                    </w:rPr>
                    <w:t>年</w:t>
                  </w:r>
                  <w:r>
                    <w:rPr>
                      <w:rFonts w:hint="eastAsia" w:ascii="宋体" w:hAnsi="宋体"/>
                      <w:color w:val="auto"/>
                      <w:lang w:val="en-US" w:eastAsia="zh-CN"/>
                    </w:rPr>
                    <w:t>6</w:t>
                  </w:r>
                  <w:r>
                    <w:rPr>
                      <w:rFonts w:hint="eastAsia" w:ascii="宋体" w:hAnsi="宋体"/>
                      <w:color w:val="auto"/>
                    </w:rPr>
                    <w:t>月</w:t>
                  </w:r>
                  <w:r>
                    <w:rPr>
                      <w:rFonts w:hint="eastAsia" w:ascii="宋体" w:hAnsi="宋体"/>
                      <w:color w:val="auto"/>
                      <w:lang w:val="en-US" w:eastAsia="zh-CN"/>
                    </w:rPr>
                    <w:t>1</w:t>
                  </w:r>
                  <w:r>
                    <w:rPr>
                      <w:rFonts w:hint="eastAsia" w:ascii="宋体" w:hAnsi="宋体"/>
                      <w:color w:val="auto"/>
                    </w:rPr>
                    <w:t>日0时至20</w:t>
                  </w:r>
                  <w:r>
                    <w:rPr>
                      <w:rFonts w:ascii="宋体" w:hAnsi="宋体"/>
                      <w:color w:val="auto"/>
                    </w:rPr>
                    <w:t>23</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日24时</w:t>
                  </w:r>
                </w:p>
              </w:tc>
              <w:tc>
                <w:tcPr>
                  <w:tcW w:w="1926" w:type="dxa"/>
                  <w:vAlign w:val="center"/>
                </w:tcPr>
                <w:p>
                  <w:pPr>
                    <w:jc w:val="center"/>
                    <w:rPr>
                      <w:rFonts w:ascii="宋体" w:hAnsi="宋体"/>
                      <w:color w:val="auto"/>
                    </w:rPr>
                  </w:pPr>
                  <w:r>
                    <w:rPr>
                      <w:rFonts w:hint="eastAsia" w:ascii="宋体" w:hAnsi="宋体"/>
                      <w:color w:val="auto"/>
                    </w:rPr>
                    <w:t>601987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jc w:val="center"/>
                    <w:rPr>
                      <w:rFonts w:ascii="宋体" w:hAnsi="宋体"/>
                      <w:color w:val="auto"/>
                    </w:rPr>
                  </w:pPr>
                  <w:r>
                    <w:rPr>
                      <w:rFonts w:hint="eastAsia" w:ascii="宋体" w:hAnsi="宋体"/>
                      <w:color w:val="auto"/>
                    </w:rPr>
                    <w:t>3</w:t>
                  </w:r>
                </w:p>
              </w:tc>
              <w:tc>
                <w:tcPr>
                  <w:tcW w:w="2887" w:type="dxa"/>
                  <w:vAlign w:val="center"/>
                </w:tcPr>
                <w:p>
                  <w:pPr>
                    <w:rPr>
                      <w:rFonts w:ascii="宋体" w:hAnsi="宋体"/>
                      <w:color w:val="auto"/>
                    </w:rPr>
                  </w:pPr>
                  <w:r>
                    <w:rPr>
                      <w:rFonts w:hint="eastAsia" w:ascii="宋体" w:hAnsi="宋体"/>
                      <w:color w:val="auto"/>
                    </w:rPr>
                    <w:t>第三年保险期间为20</w:t>
                  </w:r>
                  <w:r>
                    <w:rPr>
                      <w:rFonts w:ascii="宋体" w:hAnsi="宋体"/>
                      <w:color w:val="auto"/>
                    </w:rPr>
                    <w:t>23</w:t>
                  </w:r>
                  <w:r>
                    <w:rPr>
                      <w:rFonts w:hint="eastAsia" w:ascii="宋体" w:hAnsi="宋体"/>
                      <w:color w:val="auto"/>
                    </w:rPr>
                    <w:t>年</w:t>
                  </w:r>
                  <w:r>
                    <w:rPr>
                      <w:rFonts w:hint="eastAsia" w:ascii="宋体" w:hAnsi="宋体"/>
                      <w:color w:val="auto"/>
                      <w:lang w:val="en-US" w:eastAsia="zh-CN"/>
                    </w:rPr>
                    <w:t>6</w:t>
                  </w:r>
                  <w:r>
                    <w:rPr>
                      <w:rFonts w:hint="eastAsia" w:ascii="宋体" w:hAnsi="宋体"/>
                      <w:color w:val="auto"/>
                    </w:rPr>
                    <w:t>月1日0时至202</w:t>
                  </w:r>
                  <w:r>
                    <w:rPr>
                      <w:rFonts w:ascii="宋体" w:hAnsi="宋体"/>
                      <w:color w:val="auto"/>
                    </w:rPr>
                    <w:t>4</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日24时</w:t>
                  </w:r>
                </w:p>
              </w:tc>
              <w:tc>
                <w:tcPr>
                  <w:tcW w:w="1926" w:type="dxa"/>
                  <w:vAlign w:val="center"/>
                </w:tcPr>
                <w:p>
                  <w:pPr>
                    <w:jc w:val="center"/>
                    <w:rPr>
                      <w:rFonts w:ascii="宋体" w:hAnsi="宋体"/>
                      <w:color w:val="auto"/>
                    </w:rPr>
                  </w:pPr>
                  <w:r>
                    <w:rPr>
                      <w:rFonts w:hint="eastAsia" w:ascii="宋体" w:hAnsi="宋体"/>
                      <w:color w:val="auto"/>
                    </w:rPr>
                    <w:t>601987</w:t>
                  </w:r>
                </w:p>
              </w:tc>
            </w:tr>
          </w:tbl>
          <w:p>
            <w:pPr>
              <w:spacing w:line="400" w:lineRule="exact"/>
              <w:ind w:firstLine="420" w:firstLineChars="200"/>
              <w:rPr>
                <w:color w:val="auto"/>
              </w:rPr>
            </w:pPr>
            <w:r>
              <w:rPr>
                <w:rFonts w:hint="eastAsia"/>
                <w:color w:val="auto"/>
              </w:rPr>
              <w:t>本项目设置最高投标总限价及每年分项限价，投标人的投标报价均不得超过相应的最高限价。</w:t>
            </w:r>
          </w:p>
        </w:tc>
      </w:tr>
      <w:tr>
        <w:tblPrEx>
          <w:tblCellMar>
            <w:top w:w="0" w:type="dxa"/>
            <w:left w:w="108" w:type="dxa"/>
            <w:bottom w:w="0" w:type="dxa"/>
            <w:right w:w="108" w:type="dxa"/>
          </w:tblCellMar>
        </w:tblPrEx>
        <w:trPr>
          <w:trHeight w:val="319"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3.2.5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投标报价的其他要求</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rPr>
                <w:color w:val="auto"/>
              </w:rPr>
            </w:pPr>
            <w:r>
              <w:rPr>
                <w:rFonts w:hint="eastAsia"/>
                <w:color w:val="auto"/>
              </w:rPr>
              <w:t>/</w:t>
            </w:r>
          </w:p>
        </w:tc>
      </w:tr>
      <w:tr>
        <w:tblPrEx>
          <w:tblCellMar>
            <w:top w:w="0" w:type="dxa"/>
            <w:left w:w="108" w:type="dxa"/>
            <w:bottom w:w="0" w:type="dxa"/>
            <w:right w:w="108" w:type="dxa"/>
          </w:tblCellMar>
        </w:tblPrEx>
        <w:trPr>
          <w:trHeight w:val="243"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3.3.1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Cs w:val="21"/>
              </w:rPr>
            </w:pPr>
            <w:r>
              <w:rPr>
                <w:rFonts w:hint="eastAsia" w:ascii="宋体" w:hAnsi="宋体" w:cs="宋体"/>
                <w:color w:val="auto"/>
                <w:kern w:val="0"/>
                <w:szCs w:val="21"/>
              </w:rPr>
              <w:t>投标有效期</w:t>
            </w:r>
          </w:p>
        </w:tc>
        <w:tc>
          <w:tcPr>
            <w:tcW w:w="600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rPr>
                <w:rFonts w:ascii="宋体" w:hAnsi="宋体" w:cs="宋体"/>
                <w:color w:val="auto"/>
                <w:kern w:val="0"/>
                <w:szCs w:val="21"/>
              </w:rPr>
            </w:pPr>
            <w:r>
              <w:rPr>
                <w:rFonts w:hint="eastAsia" w:ascii="宋体" w:hAnsi="宋体" w:cs="宋体"/>
                <w:color w:val="auto"/>
                <w:kern w:val="0"/>
                <w:szCs w:val="21"/>
              </w:rPr>
              <w:t>自投标人提交投标文件截止之日起计算 90日。</w:t>
            </w:r>
          </w:p>
        </w:tc>
      </w:tr>
      <w:tr>
        <w:tblPrEx>
          <w:tblCellMar>
            <w:top w:w="0" w:type="dxa"/>
            <w:left w:w="108" w:type="dxa"/>
            <w:bottom w:w="0" w:type="dxa"/>
            <w:right w:w="108" w:type="dxa"/>
          </w:tblCellMar>
        </w:tblPrEx>
        <w:trPr>
          <w:trHeight w:val="9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3.4.1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投标保证金</w:t>
            </w:r>
          </w:p>
        </w:tc>
        <w:tc>
          <w:tcPr>
            <w:tcW w:w="6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color w:val="auto"/>
              </w:rPr>
            </w:pPr>
            <w:r>
              <w:rPr>
                <w:rFonts w:hint="eastAsia"/>
                <w:color w:val="auto"/>
              </w:rPr>
              <w:t>投标保证金的交纳方式：投标人可选择以下两种方式之一。</w:t>
            </w:r>
          </w:p>
          <w:p>
            <w:pPr>
              <w:snapToGrid w:val="0"/>
              <w:spacing w:line="400" w:lineRule="exact"/>
              <w:ind w:firstLine="420" w:firstLineChars="200"/>
              <w:rPr>
                <w:color w:val="auto"/>
              </w:rPr>
            </w:pPr>
            <w:r>
              <w:rPr>
                <w:rFonts w:hint="eastAsia"/>
                <w:color w:val="auto"/>
              </w:rPr>
              <w:t>方式一</w:t>
            </w:r>
          </w:p>
          <w:p>
            <w:pPr>
              <w:snapToGrid w:val="0"/>
              <w:spacing w:line="400" w:lineRule="exact"/>
              <w:ind w:firstLine="420" w:firstLineChars="200"/>
              <w:rPr>
                <w:color w:val="auto"/>
              </w:rPr>
            </w:pPr>
            <w:r>
              <w:rPr>
                <w:color w:val="auto"/>
              </w:rPr>
              <w:t>一、</w:t>
            </w:r>
            <w:r>
              <w:rPr>
                <w:rFonts w:hint="eastAsia"/>
                <w:color w:val="auto"/>
              </w:rPr>
              <w:t>以电子投标保函形式交纳投标保证金</w:t>
            </w:r>
          </w:p>
          <w:p>
            <w:pPr>
              <w:snapToGrid w:val="0"/>
              <w:spacing w:line="400" w:lineRule="exact"/>
              <w:ind w:firstLine="420" w:firstLineChars="200"/>
              <w:rPr>
                <w:color w:val="auto"/>
              </w:rPr>
            </w:pPr>
            <w:r>
              <w:rPr>
                <w:rFonts w:hint="eastAsia"/>
                <w:color w:val="auto"/>
              </w:rPr>
              <w:t>1、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color w:val="auto"/>
              </w:rPr>
            </w:pPr>
            <w:r>
              <w:rPr>
                <w:rFonts w:hint="eastAsia"/>
                <w:color w:val="auto"/>
              </w:rPr>
              <w:t>若投标截止时间延期，则电子投标保函提交的截止时间和投标截止时间应当保持一致。</w:t>
            </w:r>
          </w:p>
          <w:p>
            <w:pPr>
              <w:snapToGrid w:val="0"/>
              <w:spacing w:line="400" w:lineRule="exact"/>
              <w:ind w:firstLine="420" w:firstLineChars="200"/>
              <w:rPr>
                <w:color w:val="auto"/>
              </w:rPr>
            </w:pPr>
            <w:r>
              <w:rPr>
                <w:rFonts w:hint="eastAsia" w:ascii="宋体" w:hAnsi="宋体"/>
                <w:color w:val="auto"/>
                <w:kern w:val="0"/>
                <w:szCs w:val="21"/>
              </w:rPr>
              <w:t>不满足上述要求的电子</w:t>
            </w:r>
            <w:r>
              <w:rPr>
                <w:rFonts w:ascii="宋体" w:hAnsi="宋体"/>
                <w:color w:val="auto"/>
                <w:kern w:val="0"/>
                <w:szCs w:val="21"/>
              </w:rPr>
              <w:t>投标保函无效。</w:t>
            </w:r>
          </w:p>
          <w:p>
            <w:pPr>
              <w:snapToGrid w:val="0"/>
              <w:spacing w:line="400" w:lineRule="exact"/>
              <w:ind w:firstLine="420" w:firstLineChars="200"/>
              <w:rPr>
                <w:color w:val="auto"/>
              </w:rPr>
            </w:pPr>
            <w:r>
              <w:rPr>
                <w:color w:val="auto"/>
              </w:rPr>
              <w:t>2</w:t>
            </w:r>
            <w:r>
              <w:rPr>
                <w:rFonts w:hint="eastAsia"/>
                <w:color w:val="auto"/>
              </w:rPr>
              <w:t>、以电子投标保函形式担保的</w:t>
            </w:r>
            <w:r>
              <w:rPr>
                <w:color w:val="auto"/>
              </w:rPr>
              <w:t>投标保证金的金额：</w:t>
            </w:r>
            <w:r>
              <w:rPr>
                <w:rFonts w:hint="eastAsia"/>
                <w:color w:val="auto"/>
                <w:u w:val="single"/>
              </w:rPr>
              <w:t>3</w:t>
            </w:r>
            <w:r>
              <w:rPr>
                <w:color w:val="auto"/>
              </w:rPr>
              <w:t>万元整（人民币）</w:t>
            </w:r>
          </w:p>
          <w:p>
            <w:pPr>
              <w:rPr>
                <w:color w:val="auto"/>
              </w:rPr>
            </w:pPr>
            <w:r>
              <w:rPr>
                <w:rFonts w:hint="eastAsia"/>
                <w:color w:val="auto"/>
              </w:rPr>
              <w:t>3. 电子投标保函</w:t>
            </w:r>
          </w:p>
          <w:p>
            <w:pPr>
              <w:snapToGrid w:val="0"/>
              <w:spacing w:line="400" w:lineRule="exact"/>
              <w:ind w:firstLine="420" w:firstLineChars="200"/>
              <w:rPr>
                <w:color w:val="auto"/>
              </w:rPr>
            </w:pPr>
            <w:r>
              <w:rPr>
                <w:rFonts w:hint="eastAsia"/>
                <w:color w:val="auto"/>
              </w:rPr>
              <w:t>以</w:t>
            </w:r>
            <w:r>
              <w:rPr>
                <w:rFonts w:hint="eastAsia"/>
                <w:color w:val="auto"/>
                <w:u w:val="single"/>
              </w:rPr>
              <w:t>重庆市公共资源交易中心</w:t>
            </w:r>
            <w:r>
              <w:rPr>
                <w:rFonts w:hint="eastAsia"/>
                <w:color w:val="auto"/>
              </w:rPr>
              <w:t>开标现场展示的电子投标保函交纳情况为准。</w:t>
            </w:r>
          </w:p>
          <w:p>
            <w:pPr>
              <w:snapToGrid w:val="0"/>
              <w:spacing w:line="400" w:lineRule="exact"/>
              <w:ind w:firstLine="420" w:firstLineChars="200"/>
              <w:rPr>
                <w:color w:val="auto"/>
              </w:rPr>
            </w:pPr>
            <w:r>
              <w:rPr>
                <w:color w:val="auto"/>
              </w:rPr>
              <w:t>二、</w:t>
            </w:r>
            <w:r>
              <w:rPr>
                <w:rFonts w:hint="eastAsia"/>
                <w:color w:val="auto"/>
              </w:rPr>
              <w:t>电子</w:t>
            </w:r>
            <w:r>
              <w:rPr>
                <w:color w:val="auto"/>
              </w:rPr>
              <w:t>投标保函的</w:t>
            </w:r>
            <w:r>
              <w:rPr>
                <w:rFonts w:hint="eastAsia"/>
                <w:color w:val="auto"/>
              </w:rPr>
              <w:t>注销</w:t>
            </w:r>
          </w:p>
          <w:p>
            <w:pPr>
              <w:snapToGrid w:val="0"/>
              <w:spacing w:line="400" w:lineRule="exact"/>
              <w:ind w:firstLine="420" w:firstLineChars="200"/>
              <w:rPr>
                <w:color w:val="auto"/>
              </w:rPr>
            </w:pPr>
            <w:r>
              <w:rPr>
                <w:rFonts w:hint="eastAsia"/>
                <w:color w:val="auto"/>
              </w:rPr>
              <w:t>招标人应当在法定时间内确定中标人。招标人应当在中标通知书发出后2个工作日内将中标通知书和电子投标保函退还通知抄告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color w:val="auto"/>
              </w:rPr>
            </w:pPr>
            <w:r>
              <w:rPr>
                <w:rFonts w:hint="eastAsia"/>
                <w:color w:val="auto"/>
              </w:rPr>
              <w:t>招标人应当在法定时间内和中标人签订合同。招标人应当在合同生效后2个工作日内将签订的合同和电子投标保函退还通知抄告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rPr>
                <w:color w:val="auto"/>
              </w:rPr>
            </w:pPr>
          </w:p>
          <w:p>
            <w:pPr>
              <w:snapToGrid w:val="0"/>
              <w:spacing w:line="400" w:lineRule="exact"/>
              <w:ind w:firstLine="420" w:firstLineChars="200"/>
              <w:rPr>
                <w:color w:val="auto"/>
              </w:rPr>
            </w:pPr>
            <w:r>
              <w:rPr>
                <w:rFonts w:hint="eastAsia"/>
                <w:color w:val="auto"/>
              </w:rPr>
              <w:t>方式二</w:t>
            </w:r>
          </w:p>
          <w:p>
            <w:pPr>
              <w:snapToGrid w:val="0"/>
              <w:spacing w:line="400" w:lineRule="exact"/>
              <w:ind w:firstLine="420" w:firstLineChars="200"/>
              <w:rPr>
                <w:color w:val="auto"/>
              </w:rPr>
            </w:pPr>
            <w:r>
              <w:rPr>
                <w:rFonts w:hint="eastAsia"/>
                <w:color w:val="auto"/>
              </w:rPr>
              <w:t>一、以转账支票或电汇形式交纳投标保证金</w:t>
            </w:r>
          </w:p>
          <w:p>
            <w:pPr>
              <w:snapToGrid w:val="0"/>
              <w:spacing w:line="400" w:lineRule="exact"/>
              <w:ind w:firstLine="420" w:firstLineChars="200"/>
              <w:rPr>
                <w:color w:val="auto"/>
              </w:rPr>
            </w:pPr>
            <w:r>
              <w:rPr>
                <w:rFonts w:hint="eastAsia"/>
                <w:color w:val="auto"/>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rPr>
              <w:t>不满足上述要求的投标保证金</w:t>
            </w:r>
            <w:r>
              <w:rPr>
                <w:rFonts w:ascii="宋体" w:hAnsi="宋体"/>
                <w:color w:val="auto"/>
                <w:kern w:val="0"/>
                <w:szCs w:val="21"/>
              </w:rPr>
              <w:t>无效。</w:t>
            </w:r>
          </w:p>
          <w:p>
            <w:pPr>
              <w:snapToGrid w:val="0"/>
              <w:spacing w:line="400" w:lineRule="exact"/>
              <w:ind w:firstLine="420" w:firstLineChars="200"/>
              <w:rPr>
                <w:color w:val="auto"/>
              </w:rPr>
            </w:pPr>
            <w:r>
              <w:rPr>
                <w:rFonts w:hint="eastAsia"/>
                <w:color w:val="auto"/>
              </w:rPr>
              <w:t>投标人自行考虑汇入时间风险，如同城汇入、异地汇入、跨行汇入的时间要求。</w:t>
            </w:r>
          </w:p>
          <w:p>
            <w:pPr>
              <w:snapToGrid w:val="0"/>
              <w:spacing w:line="400" w:lineRule="exact"/>
              <w:ind w:firstLine="420" w:firstLineChars="200"/>
              <w:rPr>
                <w:color w:val="auto"/>
              </w:rPr>
            </w:pPr>
            <w:r>
              <w:rPr>
                <w:rFonts w:hint="eastAsia"/>
                <w:color w:val="auto"/>
              </w:rPr>
              <w:t>2、以转账支票或电汇形式提交投标保证金的金额：</w:t>
            </w:r>
            <w:r>
              <w:rPr>
                <w:rFonts w:hint="eastAsia"/>
                <w:color w:val="auto"/>
                <w:u w:val="single"/>
              </w:rPr>
              <w:t>3</w:t>
            </w:r>
            <w:r>
              <w:rPr>
                <w:rFonts w:hint="eastAsia"/>
                <w:color w:val="auto"/>
              </w:rPr>
              <w:t>万元整（人民币）</w:t>
            </w:r>
          </w:p>
          <w:p>
            <w:pPr>
              <w:snapToGrid w:val="0"/>
              <w:spacing w:line="400" w:lineRule="exact"/>
              <w:ind w:firstLine="420" w:firstLineChars="200"/>
              <w:rPr>
                <w:color w:val="auto"/>
              </w:rPr>
            </w:pPr>
            <w:r>
              <w:rPr>
                <w:rFonts w:hint="eastAsia"/>
                <w:color w:val="auto"/>
              </w:rPr>
              <w:t>3、投标保证金账户及账号（任选其一）：</w:t>
            </w:r>
          </w:p>
          <w:p>
            <w:pPr>
              <w:snapToGrid w:val="0"/>
              <w:spacing w:line="400" w:lineRule="exact"/>
              <w:ind w:firstLine="420" w:firstLineChars="200"/>
              <w:rPr>
                <w:color w:val="auto"/>
              </w:rPr>
            </w:pPr>
            <w:r>
              <w:rPr>
                <w:rFonts w:hint="eastAsia"/>
                <w:color w:val="auto"/>
              </w:rPr>
              <w:t>详见</w:t>
            </w:r>
            <w:r>
              <w:rPr>
                <w:rFonts w:hint="eastAsia"/>
                <w:color w:val="auto"/>
                <w:u w:val="single"/>
              </w:rPr>
              <w:t>重庆市公共资源交易网（www.cqggzy.com）</w:t>
            </w:r>
            <w:r>
              <w:rPr>
                <w:rFonts w:hint="eastAsia"/>
                <w:color w:val="auto"/>
              </w:rPr>
              <w:t>对应本项目招标公告信息栏中的保证金信息。</w:t>
            </w:r>
          </w:p>
          <w:p>
            <w:pPr>
              <w:snapToGrid w:val="0"/>
              <w:spacing w:line="400" w:lineRule="exact"/>
              <w:ind w:firstLine="420" w:firstLineChars="200"/>
              <w:rPr>
                <w:color w:val="auto"/>
              </w:rPr>
            </w:pPr>
            <w:r>
              <w:rPr>
                <w:rFonts w:hint="eastAsia"/>
                <w:color w:val="auto"/>
              </w:rPr>
              <w:t>投标保证金以</w:t>
            </w:r>
            <w:r>
              <w:rPr>
                <w:rFonts w:hint="eastAsia"/>
                <w:color w:val="auto"/>
                <w:u w:val="single"/>
              </w:rPr>
              <w:t>重庆市公共资源交易中心</w:t>
            </w:r>
            <w:r>
              <w:rPr>
                <w:rFonts w:hint="eastAsia"/>
                <w:color w:val="auto"/>
              </w:rPr>
              <w:t xml:space="preserve">开标现场展示的保证金交纳情况为准。投标人须在投标文件 </w:t>
            </w:r>
            <w:r>
              <w:rPr>
                <w:rFonts w:hint="eastAsia" w:ascii="宋体" w:hAnsi="宋体"/>
                <w:color w:val="auto"/>
                <w:kern w:val="0"/>
                <w:szCs w:val="21"/>
              </w:rPr>
              <w:t>“</w:t>
            </w:r>
            <w:r>
              <w:rPr>
                <w:rFonts w:hint="eastAsia" w:ascii="宋体" w:hAnsi="宋体"/>
                <w:color w:val="auto"/>
                <w:kern w:val="0"/>
                <w:szCs w:val="21"/>
                <w:lang w:eastAsia="zh-CN"/>
              </w:rPr>
              <w:t>三</w:t>
            </w:r>
            <w:r>
              <w:rPr>
                <w:rFonts w:hint="eastAsia" w:ascii="宋体" w:hAnsi="宋体"/>
                <w:color w:val="auto"/>
                <w:kern w:val="0"/>
                <w:szCs w:val="21"/>
              </w:rPr>
              <w:t>、投标保证金”中</w:t>
            </w:r>
            <w:r>
              <w:rPr>
                <w:rFonts w:hint="eastAsia"/>
                <w:color w:val="auto"/>
              </w:rPr>
              <w:t>提供企业基本账户开户证明文件。</w:t>
            </w:r>
          </w:p>
          <w:p>
            <w:pPr>
              <w:snapToGrid w:val="0"/>
              <w:spacing w:line="400" w:lineRule="exact"/>
              <w:ind w:firstLine="420" w:firstLineChars="200"/>
              <w:rPr>
                <w:color w:val="auto"/>
                <w:u w:val="single"/>
              </w:rPr>
            </w:pPr>
            <w:r>
              <w:rPr>
                <w:rFonts w:hint="eastAsia"/>
                <w:color w:val="auto"/>
              </w:rPr>
              <w:t>4、投标人必须在付款凭证备注栏中注明是“</w:t>
            </w:r>
            <w:r>
              <w:rPr>
                <w:rFonts w:hint="eastAsia"/>
                <w:color w:val="auto"/>
                <w:u w:val="single"/>
              </w:rPr>
              <w:t xml:space="preserve">        </w:t>
            </w:r>
            <w:r>
              <w:rPr>
                <w:rFonts w:hint="eastAsia"/>
                <w:color w:val="auto"/>
              </w:rPr>
              <w:t>项目投标保证金”。项目名称可简写成。</w:t>
            </w:r>
          </w:p>
          <w:p>
            <w:pPr>
              <w:snapToGrid w:val="0"/>
              <w:spacing w:line="400" w:lineRule="exact"/>
              <w:ind w:firstLine="420" w:firstLineChars="200"/>
              <w:rPr>
                <w:color w:val="auto"/>
              </w:rPr>
            </w:pPr>
            <w:r>
              <w:rPr>
                <w:rFonts w:hint="eastAsia"/>
                <w:color w:val="auto"/>
              </w:rPr>
              <w:t>5、投标保证金有效期与投标有效期一致。</w:t>
            </w:r>
          </w:p>
          <w:p>
            <w:pPr>
              <w:snapToGrid w:val="0"/>
              <w:spacing w:line="400" w:lineRule="exact"/>
              <w:ind w:firstLine="420" w:firstLineChars="200"/>
              <w:rPr>
                <w:color w:val="auto"/>
              </w:rPr>
            </w:pPr>
            <w:r>
              <w:rPr>
                <w:rFonts w:hint="eastAsia"/>
                <w:color w:val="auto"/>
                <w:u w:val="single"/>
              </w:rPr>
              <w:t>6、根据重庆市公共资源交易中心《关于开展公共资源交易市场主体信息登记工作的公告》的要求，投标人在开标前需在重庆市公共资源交易网（www.cqggzy.com）办理市场主体信息登记手续。否则开标现场将无法显示企业基本账户。如果开标现场未显示企业基本账户，投标人须在开标会现场提交“基本存款账户信息证明”和“投标保证金缴纳凭证”的复印件并加盖投标人单位公章，移交评标委员会进行核验，否则其投标将被否决。</w:t>
            </w:r>
          </w:p>
          <w:p>
            <w:pPr>
              <w:snapToGrid w:val="0"/>
              <w:spacing w:line="400" w:lineRule="exact"/>
              <w:ind w:firstLine="420" w:firstLineChars="200"/>
              <w:rPr>
                <w:color w:val="auto"/>
              </w:rPr>
            </w:pPr>
            <w:r>
              <w:rPr>
                <w:rFonts w:hint="eastAsia"/>
                <w:color w:val="auto"/>
              </w:rPr>
              <w:t>二、投标保证金的退还</w:t>
            </w:r>
          </w:p>
          <w:p>
            <w:pPr>
              <w:snapToGrid w:val="0"/>
              <w:spacing w:line="400" w:lineRule="exact"/>
              <w:ind w:firstLine="420" w:firstLineChars="200"/>
              <w:rPr>
                <w:color w:val="auto"/>
              </w:rPr>
            </w:pPr>
            <w:r>
              <w:rPr>
                <w:rFonts w:hint="eastAsia"/>
                <w:color w:val="auto"/>
              </w:rPr>
              <w:t>招标人应当在法定时间内确定中标人。招标人应当在中标通知书发出后2个工作日内将中标通知书和保证金退还通知抄告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在收到保证金退还通知后2个工作日内，向除中标人和中标候选人以外的投标人，退还投标保证金及银行同期活期存款利息。</w:t>
            </w:r>
          </w:p>
          <w:p>
            <w:pPr>
              <w:snapToGrid w:val="0"/>
              <w:spacing w:line="400" w:lineRule="exact"/>
              <w:ind w:firstLine="420" w:firstLineChars="200"/>
              <w:rPr>
                <w:color w:val="auto"/>
              </w:rPr>
            </w:pPr>
            <w:r>
              <w:rPr>
                <w:rFonts w:hint="eastAsia"/>
                <w:color w:val="auto"/>
              </w:rPr>
              <w:t>招标人应当在法定时间内和中标人签订合同。招标人应当在合同生效后2个工作日内将签订的合同和保证金退还通知抄告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在收到保证金退还通知后2个工作日内，向中标人和中标候选人退还投标保证金及银行同期活期存款利息。</w:t>
            </w:r>
          </w:p>
          <w:p>
            <w:pPr>
              <w:snapToGrid w:val="0"/>
              <w:spacing w:line="400" w:lineRule="exact"/>
              <w:ind w:firstLine="420" w:firstLineChars="200"/>
              <w:jc w:val="left"/>
              <w:rPr>
                <w:color w:val="auto"/>
              </w:rPr>
            </w:pPr>
            <w:r>
              <w:rPr>
                <w:rFonts w:hint="eastAsia"/>
                <w:color w:val="auto"/>
              </w:rPr>
              <w:t>投标保证金专用账户由</w:t>
            </w:r>
            <w:r>
              <w:rPr>
                <w:rFonts w:hint="eastAsia"/>
                <w:color w:val="auto"/>
                <w:u w:val="single"/>
              </w:rPr>
              <w:t>重庆市公共资源交易中心</w:t>
            </w:r>
            <w:r>
              <w:rPr>
                <w:rFonts w:hint="eastAsia"/>
                <w:color w:val="auto"/>
              </w:rPr>
              <w:t>制定，关于保证金相关情况的问题请咨询</w:t>
            </w:r>
            <w:r>
              <w:rPr>
                <w:rFonts w:hint="eastAsia"/>
                <w:color w:val="auto"/>
                <w:u w:val="single"/>
              </w:rPr>
              <w:t>重庆市公共资源交易中心</w:t>
            </w:r>
            <w:r>
              <w:rPr>
                <w:rFonts w:hint="eastAsia"/>
                <w:color w:val="auto"/>
              </w:rPr>
              <w:t>，联系电话</w:t>
            </w:r>
            <w:r>
              <w:rPr>
                <w:rFonts w:hint="eastAsia" w:ascii="新宋体" w:hAnsi="新宋体" w:eastAsia="新宋体"/>
                <w:color w:val="auto"/>
                <w:szCs w:val="21"/>
                <w:u w:val="single"/>
              </w:rPr>
              <w:t>023-63627051、023-63624511</w:t>
            </w:r>
            <w:r>
              <w:rPr>
                <w:rFonts w:hint="eastAsia"/>
                <w:color w:val="auto"/>
              </w:rPr>
              <w:t>。</w:t>
            </w:r>
          </w:p>
        </w:tc>
      </w:tr>
      <w:tr>
        <w:tblPrEx>
          <w:tblCellMar>
            <w:top w:w="0" w:type="dxa"/>
            <w:left w:w="108" w:type="dxa"/>
            <w:bottom w:w="0" w:type="dxa"/>
            <w:right w:w="108" w:type="dxa"/>
          </w:tblCellMar>
        </w:tblPrEx>
        <w:trPr>
          <w:trHeight w:val="19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3.4.3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投标保证金的利息计算原则</w:t>
            </w:r>
          </w:p>
        </w:tc>
        <w:tc>
          <w:tcPr>
            <w:tcW w:w="6007"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rPr>
                <w:rFonts w:hAnsi="宋体" w:cs="宋体"/>
                <w:color w:val="auto"/>
                <w:kern w:val="0"/>
                <w:sz w:val="21"/>
                <w:szCs w:val="21"/>
              </w:rPr>
            </w:pPr>
            <w:r>
              <w:rPr>
                <w:rFonts w:hint="eastAsia" w:hAnsi="宋体" w:cs="宋体"/>
                <w:color w:val="auto"/>
                <w:sz w:val="21"/>
                <w:szCs w:val="21"/>
              </w:rPr>
              <w:t>按重庆市有关规定进行计算。</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3.4.4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其他可以不予退还投标保证金的情形</w:t>
            </w:r>
          </w:p>
        </w:tc>
        <w:tc>
          <w:tcPr>
            <w:tcW w:w="6007"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rPr>
                <w:rFonts w:hAnsi="宋体" w:cs="宋体"/>
                <w:color w:val="auto"/>
                <w:kern w:val="0"/>
                <w:sz w:val="21"/>
                <w:szCs w:val="21"/>
                <w:u w:val="single"/>
              </w:rPr>
            </w:pPr>
            <w:r>
              <w:rPr>
                <w:rFonts w:hint="eastAsia" w:hAnsi="宋体" w:cs="宋体"/>
                <w:color w:val="auto"/>
                <w:sz w:val="21"/>
                <w:szCs w:val="21"/>
              </w:rPr>
              <w:t>投标人在本次招标活动中被认定为提供了虚假材料。</w:t>
            </w:r>
          </w:p>
        </w:tc>
      </w:tr>
      <w:tr>
        <w:tblPrEx>
          <w:tblCellMar>
            <w:top w:w="0" w:type="dxa"/>
            <w:left w:w="108" w:type="dxa"/>
            <w:bottom w:w="0" w:type="dxa"/>
            <w:right w:w="108" w:type="dxa"/>
          </w:tblCellMar>
        </w:tblPrEx>
        <w:trPr>
          <w:trHeight w:val="796"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资格审查资料的要求</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cs="宋体"/>
                <w:color w:val="auto"/>
                <w:kern w:val="0"/>
                <w:szCs w:val="21"/>
                <w:u w:val="single"/>
              </w:rPr>
            </w:pPr>
            <w:r>
              <w:rPr>
                <w:rFonts w:hint="eastAsia" w:cs="宋体"/>
                <w:color w:val="auto"/>
                <w:szCs w:val="21"/>
              </w:rPr>
              <w:t>该条正文内容不适用。按第二章投标人须知前附表1.4.1及第六章的格式要求提供。</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3.7.4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投标文件副本份数及其他要求</w:t>
            </w:r>
          </w:p>
        </w:tc>
        <w:tc>
          <w:tcPr>
            <w:tcW w:w="6007" w:type="dxa"/>
            <w:tcBorders>
              <w:top w:val="single" w:color="auto" w:sz="4" w:space="0"/>
              <w:left w:val="single" w:color="auto" w:sz="4" w:space="0"/>
              <w:bottom w:val="single" w:color="auto" w:sz="4" w:space="0"/>
              <w:right w:val="single" w:color="auto" w:sz="4" w:space="0"/>
            </w:tcBorders>
          </w:tcPr>
          <w:p>
            <w:pPr>
              <w:pStyle w:val="31"/>
              <w:topLinePunct/>
              <w:spacing w:line="360" w:lineRule="atLeast"/>
              <w:ind w:firstLine="316" w:firstLineChars="150"/>
              <w:rPr>
                <w:rFonts w:hAnsi="宋体" w:cs="宋体"/>
                <w:b/>
                <w:color w:val="auto"/>
                <w:sz w:val="21"/>
                <w:szCs w:val="24"/>
              </w:rPr>
            </w:pPr>
            <w:r>
              <w:rPr>
                <w:rFonts w:hint="eastAsia" w:hAnsi="宋体" w:cs="宋体"/>
                <w:b/>
                <w:color w:val="auto"/>
                <w:sz w:val="21"/>
                <w:szCs w:val="24"/>
              </w:rPr>
              <w:t>投标</w:t>
            </w:r>
            <w:r>
              <w:rPr>
                <w:rFonts w:hAnsi="宋体" w:cs="宋体"/>
                <w:b/>
                <w:color w:val="auto"/>
                <w:sz w:val="21"/>
                <w:szCs w:val="24"/>
              </w:rPr>
              <w:t>文件</w:t>
            </w:r>
            <w:r>
              <w:rPr>
                <w:rFonts w:hint="eastAsia" w:hAnsi="宋体" w:cs="宋体"/>
                <w:b/>
                <w:color w:val="auto"/>
                <w:sz w:val="21"/>
                <w:szCs w:val="24"/>
              </w:rPr>
              <w:t>（正本1份，副本1份，副本可为正本的复印件），电子文件3份（其中光盘1份，U盘2份，均应包括投标文件）电子文件上应粘上标签并在标签上加盖投标人单位公章。当电子文件与纸质版投标文件不一致时，以纸质版投标文件为准，当正本与副本不一致时，以正本为准。</w:t>
            </w:r>
          </w:p>
        </w:tc>
      </w:tr>
      <w:tr>
        <w:tblPrEx>
          <w:tblCellMar>
            <w:top w:w="0" w:type="dxa"/>
            <w:left w:w="108" w:type="dxa"/>
            <w:bottom w:w="0" w:type="dxa"/>
            <w:right w:w="108" w:type="dxa"/>
          </w:tblCellMar>
        </w:tblPrEx>
        <w:trPr>
          <w:trHeight w:val="9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3.7.5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装订的其他要求</w:t>
            </w:r>
          </w:p>
        </w:tc>
        <w:tc>
          <w:tcPr>
            <w:tcW w:w="60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补充细化：</w:t>
            </w:r>
          </w:p>
          <w:p>
            <w:pPr>
              <w:autoSpaceDE w:val="0"/>
              <w:autoSpaceDN w:val="0"/>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（1）投标文件装订成册，并应编制目录，从目录开始逐页标注连续页码。</w:t>
            </w:r>
          </w:p>
          <w:p>
            <w:pPr>
              <w:autoSpaceDE w:val="0"/>
              <w:autoSpaceDN w:val="0"/>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采用单信封形式，</w:t>
            </w:r>
            <w:r>
              <w:rPr>
                <w:rFonts w:hint="eastAsia" w:ascii="宋体" w:hAnsi="宋体" w:cs="宋体"/>
                <w:color w:val="auto"/>
                <w:szCs w:val="21"/>
              </w:rPr>
              <w:t>投标文件正本与副本以及投标文件电子版文件应统一密封在一个封套中。封套应加贴封条，并在封套的封口处加盖投标人单位公章或由投标人的法定负责人或其委托代理人签字或签章。</w:t>
            </w:r>
          </w:p>
          <w:p>
            <w:pPr>
              <w:autoSpaceDE w:val="0"/>
              <w:autoSpaceDN w:val="0"/>
              <w:adjustRightInd w:val="0"/>
              <w:snapToGrid w:val="0"/>
              <w:spacing w:line="400" w:lineRule="exact"/>
              <w:ind w:firstLine="422" w:firstLineChars="200"/>
              <w:jc w:val="left"/>
              <w:rPr>
                <w:rFonts w:ascii="宋体" w:hAnsi="宋体"/>
                <w:b/>
                <w:color w:val="auto"/>
                <w:szCs w:val="21"/>
              </w:rPr>
            </w:pPr>
            <w:r>
              <w:rPr>
                <w:rFonts w:hint="eastAsia" w:ascii="宋体" w:hAnsi="宋体"/>
                <w:b/>
                <w:color w:val="auto"/>
                <w:szCs w:val="21"/>
              </w:rPr>
              <w:t>投标文件的正副本应胶装成册。</w:t>
            </w:r>
          </w:p>
        </w:tc>
      </w:tr>
      <w:tr>
        <w:tblPrEx>
          <w:tblCellMar>
            <w:top w:w="0" w:type="dxa"/>
            <w:left w:w="108" w:type="dxa"/>
            <w:bottom w:w="0" w:type="dxa"/>
            <w:right w:w="108" w:type="dxa"/>
          </w:tblCellMar>
        </w:tblPrEx>
        <w:trPr>
          <w:trHeight w:val="9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olor w:val="auto"/>
                <w:szCs w:val="21"/>
              </w:rPr>
              <w:t>4</w:t>
            </w:r>
            <w:r>
              <w:rPr>
                <w:rFonts w:ascii="宋体" w:hAnsi="宋体"/>
                <w:color w:val="auto"/>
                <w:szCs w:val="21"/>
              </w:rPr>
              <w:t>.1.1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olor w:val="auto"/>
                <w:szCs w:val="21"/>
              </w:rPr>
              <w:t>投标文件的密封</w:t>
            </w:r>
          </w:p>
        </w:tc>
        <w:tc>
          <w:tcPr>
            <w:tcW w:w="60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s="宋体"/>
                <w:color w:val="auto"/>
                <w:szCs w:val="21"/>
              </w:rPr>
              <w:t>本项目投标文件采用单信封形式。投标文件正本与副本以及投标文件电子版文件应统一密封在一个封套中。封套应加贴封条，并在封套的封口处加盖投标人单位公章或由投标人的法定负责人或其委托代理人签字</w:t>
            </w:r>
            <w:r>
              <w:rPr>
                <w:rFonts w:hint="eastAsia" w:ascii="宋体" w:hAnsi="宋体" w:cs="宋体"/>
                <w:color w:val="auto"/>
                <w:szCs w:val="21"/>
                <w:lang w:val="en-US" w:eastAsia="zh-CN"/>
              </w:rPr>
              <w:t>或签章</w:t>
            </w:r>
            <w:r>
              <w:rPr>
                <w:rFonts w:hint="eastAsia" w:ascii="宋体" w:hAnsi="宋体" w:cs="宋体"/>
                <w:color w:val="auto"/>
                <w:szCs w:val="21"/>
              </w:rPr>
              <w:t>。</w:t>
            </w:r>
          </w:p>
        </w:tc>
      </w:tr>
      <w:tr>
        <w:tblPrEx>
          <w:tblCellMar>
            <w:top w:w="0" w:type="dxa"/>
            <w:left w:w="108" w:type="dxa"/>
            <w:bottom w:w="0" w:type="dxa"/>
            <w:right w:w="108" w:type="dxa"/>
          </w:tblCellMar>
        </w:tblPrEx>
        <w:trPr>
          <w:trHeight w:val="43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4.1.2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封套上应载明的信息</w:t>
            </w:r>
          </w:p>
        </w:tc>
        <w:tc>
          <w:tcPr>
            <w:tcW w:w="6007" w:type="dxa"/>
            <w:tcBorders>
              <w:top w:val="single" w:color="auto" w:sz="4" w:space="0"/>
              <w:left w:val="single" w:color="auto" w:sz="4" w:space="0"/>
              <w:bottom w:val="single" w:color="auto" w:sz="4" w:space="0"/>
              <w:right w:val="single" w:color="auto" w:sz="4" w:space="0"/>
            </w:tcBorders>
            <w:vAlign w:val="center"/>
          </w:tcPr>
          <w:p>
            <w:pPr>
              <w:pStyle w:val="31"/>
              <w:rPr>
                <w:rFonts w:hAnsi="宋体" w:cs="宋体"/>
                <w:b/>
                <w:bCs/>
                <w:color w:val="auto"/>
                <w:kern w:val="0"/>
                <w:sz w:val="21"/>
                <w:szCs w:val="21"/>
              </w:rPr>
            </w:pPr>
            <w:r>
              <w:rPr>
                <w:rFonts w:hint="eastAsia" w:hAnsi="宋体" w:cs="宋体"/>
                <w:b/>
                <w:bCs/>
                <w:color w:val="auto"/>
                <w:kern w:val="0"/>
                <w:sz w:val="21"/>
                <w:szCs w:val="21"/>
              </w:rPr>
              <w:t>投标文件密封套应标明如下内容：</w:t>
            </w:r>
          </w:p>
          <w:p>
            <w:pPr>
              <w:spacing w:line="360" w:lineRule="auto"/>
              <w:rPr>
                <w:rFonts w:ascii="宋体" w:hAnsi="宋体" w:cs="宋体"/>
                <w:color w:val="auto"/>
                <w:szCs w:val="21"/>
              </w:rPr>
            </w:pPr>
            <w:r>
              <w:rPr>
                <w:rFonts w:hint="eastAsia" w:ascii="宋体" w:hAnsi="宋体" w:cs="宋体"/>
                <w:color w:val="auto"/>
                <w:szCs w:val="21"/>
              </w:rPr>
              <w:t xml:space="preserve">投标人：                       </w:t>
            </w:r>
          </w:p>
          <w:p>
            <w:pPr>
              <w:spacing w:line="360" w:lineRule="auto"/>
              <w:rPr>
                <w:rFonts w:ascii="宋体" w:hAnsi="宋体" w:cs="宋体"/>
                <w:color w:val="auto"/>
                <w:szCs w:val="21"/>
              </w:rPr>
            </w:pPr>
            <w:r>
              <w:rPr>
                <w:rFonts w:hint="eastAsia" w:ascii="宋体" w:hAnsi="宋体" w:cs="宋体"/>
                <w:color w:val="auto"/>
                <w:szCs w:val="21"/>
              </w:rPr>
              <w:t xml:space="preserve">招标人： </w:t>
            </w:r>
          </w:p>
          <w:p>
            <w:pPr>
              <w:spacing w:line="360" w:lineRule="auto"/>
              <w:rPr>
                <w:rFonts w:ascii="宋体" w:hAnsi="宋体" w:cs="宋体"/>
                <w:color w:val="auto"/>
                <w:szCs w:val="21"/>
              </w:rPr>
            </w:pPr>
            <w:r>
              <w:rPr>
                <w:rFonts w:hint="eastAsia" w:ascii="宋体" w:hAnsi="宋体" w:cs="宋体"/>
                <w:color w:val="auto"/>
                <w:szCs w:val="21"/>
              </w:rPr>
              <w:t xml:space="preserve">招标人地址：       </w:t>
            </w:r>
          </w:p>
          <w:p>
            <w:pPr>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投标文件</w:t>
            </w:r>
          </w:p>
          <w:p>
            <w:pPr>
              <w:pStyle w:val="31"/>
              <w:rPr>
                <w:rFonts w:hAnsi="宋体" w:cs="宋体"/>
                <w:color w:val="auto"/>
                <w:sz w:val="21"/>
                <w:szCs w:val="21"/>
                <w:u w:val="single"/>
              </w:rPr>
            </w:pPr>
            <w:r>
              <w:rPr>
                <w:rFonts w:hint="eastAsia" w:ascii="宋体" w:hAnsi="宋体" w:cs="宋体"/>
                <w:color w:val="auto"/>
                <w:sz w:val="21"/>
                <w:szCs w:val="21"/>
              </w:rPr>
              <w:t>在   年  月  日   时   分（即开标时间）前不得开封</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4.2.3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是否退还投标文件</w:t>
            </w:r>
          </w:p>
        </w:tc>
        <w:tc>
          <w:tcPr>
            <w:tcW w:w="6007"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rPr>
                <w:rFonts w:hAnsi="宋体" w:cs="宋体"/>
                <w:color w:val="auto"/>
                <w:kern w:val="0"/>
                <w:sz w:val="21"/>
                <w:szCs w:val="21"/>
              </w:rPr>
            </w:pPr>
            <w:r>
              <w:rPr>
                <w:rFonts w:hint="eastAsia" w:ascii="MS Mincho" w:hAnsi="MS Mincho" w:eastAsia="MS Mincho" w:cs="MS Mincho"/>
                <w:color w:val="auto"/>
                <w:kern w:val="0"/>
                <w:sz w:val="21"/>
                <w:szCs w:val="21"/>
              </w:rPr>
              <w:t>☑</w:t>
            </w:r>
            <w:r>
              <w:rPr>
                <w:rFonts w:hint="eastAsia" w:hAnsi="宋体" w:cs="宋体"/>
                <w:color w:val="auto"/>
                <w:kern w:val="0"/>
                <w:sz w:val="21"/>
                <w:szCs w:val="21"/>
              </w:rPr>
              <w:t>否（第一次招标投标单位不足三家除外）</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5.1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开标时间和地点</w:t>
            </w:r>
          </w:p>
        </w:tc>
        <w:tc>
          <w:tcPr>
            <w:tcW w:w="6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投标文件开标时间：2021年</w:t>
            </w:r>
            <w:r>
              <w:rPr>
                <w:rFonts w:hint="eastAsia" w:ascii="宋体" w:hAnsi="宋体" w:cs="宋体"/>
                <w:color w:val="auto"/>
                <w:kern w:val="0"/>
                <w:szCs w:val="21"/>
                <w:lang w:val="en-US" w:eastAsia="zh-CN"/>
              </w:rPr>
              <w:t>11</w:t>
            </w:r>
            <w:r>
              <w:rPr>
                <w:rFonts w:hint="eastAsia" w:ascii="宋体" w:hAnsi="宋体" w:cs="宋体"/>
                <w:color w:val="auto"/>
                <w:kern w:val="0"/>
                <w:szCs w:val="21"/>
              </w:rPr>
              <w:t>月</w:t>
            </w:r>
            <w:r>
              <w:rPr>
                <w:rFonts w:hint="eastAsia" w:ascii="宋体" w:hAnsi="宋体" w:cs="宋体"/>
                <w:color w:val="auto"/>
                <w:kern w:val="0"/>
                <w:szCs w:val="21"/>
                <w:lang w:val="en-US" w:eastAsia="zh-CN"/>
              </w:rPr>
              <w:t>18</w:t>
            </w:r>
            <w:r>
              <w:rPr>
                <w:rFonts w:hint="eastAsia" w:ascii="宋体" w:hAnsi="宋体" w:cs="宋体"/>
                <w:color w:val="auto"/>
                <w:kern w:val="0"/>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时</w:t>
            </w:r>
            <w:r>
              <w:rPr>
                <w:rFonts w:hint="eastAsia" w:ascii="宋体" w:hAnsi="宋体" w:cs="宋体"/>
                <w:color w:val="auto"/>
                <w:kern w:val="0"/>
                <w:szCs w:val="21"/>
                <w:lang w:val="en-US" w:eastAsia="zh-CN"/>
              </w:rPr>
              <w:t>30</w:t>
            </w:r>
            <w:r>
              <w:rPr>
                <w:rFonts w:hint="eastAsia" w:ascii="宋体" w:hAnsi="宋体" w:cs="宋体"/>
                <w:color w:val="auto"/>
                <w:kern w:val="0"/>
                <w:szCs w:val="21"/>
              </w:rPr>
              <w:t>分。</w:t>
            </w:r>
            <w:r>
              <w:rPr>
                <w:rFonts w:ascii="宋体" w:hAnsi="宋体" w:cs="宋体"/>
                <w:color w:val="auto"/>
                <w:kern w:val="0"/>
                <w:szCs w:val="21"/>
              </w:rPr>
              <w:t xml:space="preserve"> </w:t>
            </w:r>
          </w:p>
          <w:p>
            <w:pPr>
              <w:spacing w:line="400" w:lineRule="exact"/>
              <w:rPr>
                <w:rFonts w:ascii="宋体" w:hAnsi="宋体" w:cs="宋体"/>
                <w:color w:val="auto"/>
                <w:kern w:val="0"/>
                <w:szCs w:val="21"/>
              </w:rPr>
            </w:pPr>
            <w:r>
              <w:rPr>
                <w:rFonts w:hint="eastAsia" w:ascii="Times New Roman" w:hAnsi="宋体"/>
                <w:color w:val="auto"/>
                <w:szCs w:val="21"/>
              </w:rPr>
              <w:t>投标文件开标地点：同投标截止地点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5.2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开标程序</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主持人按下列程序进行开标：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1.宣布开标纪律；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2.公布在投标截止时间前递交投标文件的投标人名称； </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3.宣布开标人、唱标人、记录人、监标人等有关信息；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4.汇总投标保证金缴纳情况</w:t>
            </w:r>
          </w:p>
          <w:p>
            <w:pPr>
              <w:spacing w:line="400" w:lineRule="exact"/>
              <w:ind w:firstLine="420" w:firstLineChars="200"/>
              <w:rPr>
                <w:rFonts w:ascii="宋体" w:hAnsi="宋体" w:cs="宋体"/>
                <w:color w:val="auto"/>
                <w:szCs w:val="21"/>
              </w:rPr>
            </w:pPr>
            <w:r>
              <w:rPr>
                <w:rFonts w:hint="eastAsia" w:ascii="宋体" w:hAnsi="宋体" w:cs="宋体"/>
                <w:color w:val="auto"/>
                <w:szCs w:val="21"/>
              </w:rPr>
              <w:t>4.1 展示以电子投标保函方式递交投标保证金的保证金交纳情况，应至少包含投标人名称、金额、投标保函提交时间等。电子投标保函应在投标截止时间前提交至指定系统，异常情况在开标记录表“异常情况”栏中记录并交由评标委员会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4.2 展示以电子转账方式递交投标保证金的保证金交纳情况，应至少包含投标人名称、金额、投标保证金打入指定账户的时间等，异常情况在开标记录表“异常情况”栏中记录并交由评标委员会评审。保证金来款账户非基本账户的，交由评标委员会作否决投标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5.由监标人或投标人代表检查投标文件的密封情况；</w:t>
            </w:r>
          </w:p>
          <w:p>
            <w:pPr>
              <w:spacing w:line="400" w:lineRule="exact"/>
              <w:ind w:firstLine="420" w:firstLineChars="200"/>
              <w:rPr>
                <w:rFonts w:ascii="宋体" w:hAnsi="宋体" w:cs="宋体"/>
                <w:color w:val="auto"/>
                <w:szCs w:val="21"/>
              </w:rPr>
            </w:pPr>
            <w:r>
              <w:rPr>
                <w:rFonts w:hint="eastAsia" w:ascii="宋体" w:hAnsi="宋体" w:cs="宋体"/>
                <w:color w:val="auto"/>
                <w:szCs w:val="21"/>
              </w:rPr>
              <w:t>6.按照宣布的开标顺序当众开标，公布投标人名称、投标保证金的递交情况、密封情况、投标文件份数、投标报价等内容，并记录在案；</w:t>
            </w:r>
          </w:p>
          <w:p>
            <w:pPr>
              <w:spacing w:line="400" w:lineRule="exact"/>
              <w:ind w:firstLine="420" w:firstLineChars="200"/>
              <w:rPr>
                <w:rFonts w:ascii="宋体" w:hAnsi="宋体" w:cs="宋体"/>
                <w:color w:val="auto"/>
                <w:szCs w:val="21"/>
              </w:rPr>
            </w:pPr>
            <w:r>
              <w:rPr>
                <w:rFonts w:hint="eastAsia" w:ascii="宋体" w:hAnsi="宋体" w:cs="宋体"/>
                <w:color w:val="auto"/>
                <w:szCs w:val="21"/>
              </w:rPr>
              <w:t>7.投标人代表、招标人代表、监标人、记录人等有关人员在开标记录上签字确认；</w:t>
            </w:r>
          </w:p>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8.开标结束。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6.1.1</w:t>
            </w:r>
          </w:p>
        </w:tc>
        <w:tc>
          <w:tcPr>
            <w:tcW w:w="2693" w:type="dxa"/>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评标委员会的组建</w:t>
            </w:r>
          </w:p>
        </w:tc>
        <w:tc>
          <w:tcPr>
            <w:tcW w:w="6007" w:type="dxa"/>
            <w:tcBorders>
              <w:bottom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4" w:type="dxa"/>
            <w:tcBorders>
              <w:bottom w:val="single" w:color="auto" w:sz="4" w:space="0"/>
            </w:tcBorders>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6.1.2</w:t>
            </w:r>
          </w:p>
        </w:tc>
        <w:tc>
          <w:tcPr>
            <w:tcW w:w="2693" w:type="dxa"/>
            <w:tcBorders>
              <w:bottom w:val="single" w:color="auto" w:sz="4" w:space="0"/>
            </w:tcBorders>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评标专家回避情况</w:t>
            </w:r>
          </w:p>
        </w:tc>
        <w:tc>
          <w:tcPr>
            <w:tcW w:w="6007" w:type="dxa"/>
            <w:tcBorders>
              <w:bottom w:val="single" w:color="auto" w:sz="4" w:space="0"/>
            </w:tcBorders>
            <w:vAlign w:val="center"/>
          </w:tcPr>
          <w:p>
            <w:pPr>
              <w:pStyle w:val="147"/>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此条修改为：</w:t>
            </w:r>
          </w:p>
          <w:p>
            <w:pPr>
              <w:pStyle w:val="147"/>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评标专家有下列情形之一的，应主动提出回避：</w:t>
            </w:r>
          </w:p>
          <w:p>
            <w:pPr>
              <w:spacing w:line="360" w:lineRule="auto"/>
              <w:ind w:firstLine="420" w:firstLineChars="200"/>
              <w:rPr>
                <w:rFonts w:ascii="宋体" w:hAnsi="宋体"/>
                <w:color w:val="auto"/>
                <w:szCs w:val="21"/>
              </w:rPr>
            </w:pPr>
            <w:r>
              <w:rPr>
                <w:rFonts w:hint="eastAsia" w:ascii="宋体" w:hAnsi="宋体"/>
                <w:color w:val="auto"/>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color w:val="auto"/>
                <w:szCs w:val="21"/>
              </w:rPr>
            </w:pPr>
            <w:r>
              <w:rPr>
                <w:rFonts w:hint="eastAsia" w:ascii="宋体" w:hAnsi="宋体"/>
                <w:color w:val="auto"/>
                <w:szCs w:val="21"/>
              </w:rPr>
              <w:t>（2）招标人或招标代理机构主要负责人的近亲属，或与投标人</w:t>
            </w:r>
            <w:r>
              <w:rPr>
                <w:rFonts w:hint="eastAsia" w:ascii="宋体" w:hAnsi="宋体" w:cs="宋体"/>
                <w:color w:val="auto"/>
                <w:szCs w:val="21"/>
              </w:rPr>
              <w:t>法定负责人</w:t>
            </w:r>
            <w:r>
              <w:rPr>
                <w:rFonts w:hint="eastAsia" w:ascii="宋体" w:hAnsi="宋体"/>
                <w:color w:val="auto"/>
                <w:szCs w:val="21"/>
              </w:rPr>
              <w:t>或其委托代理人有近亲属关系；</w:t>
            </w:r>
          </w:p>
          <w:p>
            <w:pPr>
              <w:spacing w:line="360" w:lineRule="auto"/>
              <w:ind w:firstLine="420" w:firstLineChars="200"/>
              <w:rPr>
                <w:rFonts w:ascii="宋体" w:hAnsi="宋体"/>
                <w:color w:val="auto"/>
                <w:szCs w:val="21"/>
              </w:rPr>
            </w:pPr>
            <w:r>
              <w:rPr>
                <w:rFonts w:hint="eastAsia" w:ascii="宋体" w:hAnsi="宋体"/>
                <w:color w:val="auto"/>
                <w:szCs w:val="21"/>
              </w:rPr>
              <w:t>（3）为投标人的工作人员或退休人员；</w:t>
            </w:r>
          </w:p>
          <w:p>
            <w:pPr>
              <w:spacing w:line="360" w:lineRule="auto"/>
              <w:ind w:firstLine="420" w:firstLineChars="200"/>
              <w:rPr>
                <w:rFonts w:ascii="宋体" w:hAnsi="宋体"/>
                <w:color w:val="auto"/>
                <w:szCs w:val="21"/>
              </w:rPr>
            </w:pPr>
            <w:r>
              <w:rPr>
                <w:rFonts w:hint="eastAsia" w:ascii="宋体" w:hAnsi="宋体"/>
                <w:color w:val="auto"/>
                <w:szCs w:val="21"/>
              </w:rPr>
              <w:t>（4）与投标人有其他利害关系，可能影响评标活动公正性；</w:t>
            </w:r>
          </w:p>
          <w:p>
            <w:pPr>
              <w:spacing w:line="360" w:lineRule="auto"/>
              <w:ind w:firstLine="420" w:firstLineChars="200"/>
              <w:rPr>
                <w:rFonts w:ascii="宋体" w:hAnsi="宋体"/>
                <w:color w:val="auto"/>
                <w:szCs w:val="21"/>
              </w:rPr>
            </w:pPr>
            <w:r>
              <w:rPr>
                <w:rFonts w:hint="eastAsia" w:ascii="宋体" w:hAnsi="宋体"/>
                <w:color w:val="auto"/>
                <w:szCs w:val="21"/>
              </w:rPr>
              <w:t>（5）在与招标投标有关的活动中有过违法违规行为、曾受过行政处罚或刑事处罚；</w:t>
            </w:r>
          </w:p>
          <w:p>
            <w:pPr>
              <w:spacing w:line="360" w:lineRule="auto"/>
              <w:ind w:firstLine="420" w:firstLineChars="200"/>
              <w:rPr>
                <w:rFonts w:ascii="宋体" w:hAnsi="宋体"/>
                <w:color w:val="auto"/>
                <w:szCs w:val="21"/>
              </w:rPr>
            </w:pPr>
            <w:r>
              <w:rPr>
                <w:rFonts w:hint="eastAsia" w:ascii="宋体" w:hAnsi="宋体"/>
                <w:color w:val="auto"/>
                <w:szCs w:val="21"/>
              </w:rPr>
              <w:t>（6）招标人及其子公司、招标人的上级主管部门或者控股公司、招标代理机构的工作人员或者退休人员；</w:t>
            </w:r>
          </w:p>
          <w:p>
            <w:pPr>
              <w:snapToGrid w:val="0"/>
              <w:spacing w:line="400" w:lineRule="exact"/>
              <w:ind w:firstLine="420" w:firstLineChars="200"/>
              <w:rPr>
                <w:rFonts w:ascii="宋体" w:hAnsi="宋体" w:cs="宋体"/>
                <w:color w:val="auto"/>
                <w:spacing w:val="4"/>
                <w:kern w:val="0"/>
                <w:szCs w:val="21"/>
              </w:rPr>
            </w:pPr>
            <w:r>
              <w:rPr>
                <w:rFonts w:hint="eastAsia" w:ascii="宋体" w:hAnsi="宋体"/>
                <w:color w:val="auto"/>
                <w:szCs w:val="21"/>
              </w:rPr>
              <w:t>（7）近3年在招标人、投标人或招标代理机构工作过的人员。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6.3.2</w:t>
            </w:r>
          </w:p>
        </w:tc>
        <w:tc>
          <w:tcPr>
            <w:tcW w:w="2693" w:type="dxa"/>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评标委员会推荐中标候选人的人数</w:t>
            </w:r>
          </w:p>
        </w:tc>
        <w:tc>
          <w:tcPr>
            <w:tcW w:w="6007" w:type="dxa"/>
            <w:tcBorders>
              <w:bottom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rPr>
              <w:t>推荐3名中标候选人</w:t>
            </w:r>
            <w:r>
              <w:rPr>
                <w:rFonts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7.1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中标候选人公示媒介及期限</w:t>
            </w:r>
          </w:p>
        </w:tc>
        <w:tc>
          <w:tcPr>
            <w:tcW w:w="6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color w:val="auto"/>
              </w:rPr>
            </w:pPr>
            <w:r>
              <w:rPr>
                <w:rFonts w:hint="eastAsia"/>
                <w:color w:val="auto"/>
              </w:rPr>
              <w:t>公示媒介：</w:t>
            </w:r>
            <w:r>
              <w:rPr>
                <w:rFonts w:hint="eastAsia" w:ascii="宋体" w:hAnsi="宋体" w:cs="宋体"/>
                <w:color w:val="auto"/>
                <w:kern w:val="0"/>
                <w:szCs w:val="21"/>
              </w:rPr>
              <w:t>重庆市公共资源交易网（</w:t>
            </w:r>
            <w:r>
              <w:rPr>
                <w:rFonts w:ascii="宋体" w:hAnsi="宋体" w:cs="宋体"/>
                <w:color w:val="auto"/>
                <w:kern w:val="0"/>
                <w:szCs w:val="21"/>
              </w:rPr>
              <w:t>www.cqggzy.com）、重庆高速公路集团有限公司官方网站（http://www.cegc.com.cn/</w:t>
            </w:r>
            <w:r>
              <w:rPr>
                <w:rFonts w:hint="eastAsia" w:ascii="宋体" w:hAnsi="宋体" w:cs="宋体"/>
                <w:color w:val="auto"/>
                <w:kern w:val="0"/>
                <w:szCs w:val="21"/>
              </w:rPr>
              <w:t>）及重庆高速公路集团有限公司招投标管理平台（</w:t>
            </w:r>
            <w:r>
              <w:rPr>
                <w:rFonts w:ascii="宋体" w:hAnsi="宋体" w:cs="宋体"/>
                <w:color w:val="auto"/>
                <w:kern w:val="0"/>
                <w:szCs w:val="21"/>
              </w:rPr>
              <w:t>http://43.240.249.108:8088/PMS/）</w:t>
            </w:r>
          </w:p>
          <w:p>
            <w:pPr>
              <w:widowControl/>
              <w:spacing w:line="400" w:lineRule="exact"/>
              <w:jc w:val="left"/>
              <w:rPr>
                <w:color w:val="auto"/>
              </w:rPr>
            </w:pPr>
            <w:r>
              <w:rPr>
                <w:rFonts w:hint="eastAsia"/>
                <w:color w:val="auto"/>
              </w:rPr>
              <w:t>公示期限：</w:t>
            </w:r>
            <w:r>
              <w:rPr>
                <w:color w:val="auto"/>
              </w:rPr>
              <w:t>3</w:t>
            </w:r>
            <w:r>
              <w:rPr>
                <w:rFonts w:hint="eastAsia"/>
                <w:color w:val="auto"/>
              </w:rPr>
              <w:t>个工作日。</w:t>
            </w:r>
          </w:p>
        </w:tc>
      </w:tr>
      <w:tr>
        <w:tblPrEx>
          <w:tblCellMar>
            <w:top w:w="0" w:type="dxa"/>
            <w:left w:w="108" w:type="dxa"/>
            <w:bottom w:w="0" w:type="dxa"/>
            <w:right w:w="108" w:type="dxa"/>
          </w:tblCellMar>
        </w:tblPrEx>
        <w:trPr>
          <w:trHeight w:val="934"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7.4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是否授权评标委员会确定中标人</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MS Mincho" w:hAnsi="MS Mincho" w:eastAsia="MS Mincho" w:cs="MS Mincho"/>
                <w:color w:val="auto"/>
                <w:kern w:val="0"/>
                <w:szCs w:val="21"/>
              </w:rPr>
              <w:t>☑</w:t>
            </w:r>
            <w:r>
              <w:rPr>
                <w:rFonts w:hint="eastAsia" w:ascii="宋体" w:hAnsi="宋体" w:cs="宋体"/>
                <w:color w:val="auto"/>
                <w:kern w:val="0"/>
                <w:szCs w:val="21"/>
              </w:rPr>
              <w:t>否</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7.4.1</w:t>
            </w:r>
          </w:p>
        </w:tc>
        <w:tc>
          <w:tcPr>
            <w:tcW w:w="2693" w:type="dxa"/>
            <w:tcBorders>
              <w:top w:val="single" w:color="auto" w:sz="4" w:space="0"/>
              <w:left w:val="single" w:color="auto" w:sz="4" w:space="0"/>
              <w:bottom w:val="single" w:color="auto" w:sz="4" w:space="0"/>
              <w:right w:val="single" w:color="auto" w:sz="4" w:space="0"/>
            </w:tcBorders>
            <w:vAlign w:val="center"/>
          </w:tcPr>
          <w:p>
            <w:pPr>
              <w:pStyle w:val="108"/>
              <w:spacing w:line="360" w:lineRule="exact"/>
              <w:jc w:val="center"/>
              <w:rPr>
                <w:rFonts w:ascii="宋体" w:hAnsi="宋体" w:cs="宋体"/>
                <w:color w:val="auto"/>
                <w:sz w:val="21"/>
                <w:szCs w:val="21"/>
              </w:rPr>
            </w:pPr>
            <w:r>
              <w:rPr>
                <w:rFonts w:hint="eastAsia" w:cs="宋体"/>
                <w:color w:val="auto"/>
                <w:sz w:val="21"/>
                <w:szCs w:val="21"/>
              </w:rPr>
              <w:t>中标候选人及中标价的确定</w:t>
            </w:r>
          </w:p>
        </w:tc>
        <w:tc>
          <w:tcPr>
            <w:tcW w:w="6007" w:type="dxa"/>
            <w:tcBorders>
              <w:top w:val="single" w:color="auto" w:sz="4" w:space="0"/>
              <w:left w:val="single" w:color="auto" w:sz="4" w:space="0"/>
              <w:bottom w:val="single" w:color="auto" w:sz="4" w:space="0"/>
              <w:right w:val="single" w:color="auto" w:sz="4" w:space="0"/>
            </w:tcBorders>
            <w:vAlign w:val="center"/>
          </w:tcPr>
          <w:p>
            <w:pPr>
              <w:pStyle w:val="108"/>
              <w:spacing w:line="380" w:lineRule="exact"/>
              <w:rPr>
                <w:rFonts w:ascii="宋体" w:hAnsi="宋体" w:cs="宋体"/>
                <w:b/>
                <w:color w:val="auto"/>
                <w:sz w:val="21"/>
                <w:szCs w:val="21"/>
              </w:rPr>
            </w:pPr>
            <w:r>
              <w:rPr>
                <w:rFonts w:hint="eastAsia" w:cs="宋体"/>
                <w:color w:val="auto"/>
                <w:sz w:val="21"/>
                <w:szCs w:val="21"/>
              </w:rPr>
              <w:t>详见第三章评标办法。</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7.5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中标通知书和中标结果通知发出的形式</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中标通知书以</w:t>
            </w:r>
            <w:r>
              <w:rPr>
                <w:rFonts w:hint="eastAsia" w:ascii="宋体" w:hAnsi="宋体" w:cs="宋体"/>
                <w:color w:val="auto"/>
                <w:szCs w:val="21"/>
              </w:rPr>
              <w:t>书面形式发出。</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7.6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中标结果公告媒介及期限</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此条不适用</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7.7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技术成果经济补偿</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此条不适用</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7.8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履约保证金</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i/>
                <w:color w:val="auto"/>
                <w:kern w:val="0"/>
                <w:szCs w:val="21"/>
              </w:rPr>
            </w:pPr>
            <w:r>
              <w:rPr>
                <w:rFonts w:hint="eastAsia" w:ascii="宋体" w:hAnsi="宋体" w:cs="宋体"/>
                <w:color w:val="auto"/>
                <w:kern w:val="0"/>
                <w:szCs w:val="21"/>
              </w:rPr>
              <w:t>1、中标人是否提供履约担保：</w:t>
            </w:r>
            <w:r>
              <w:rPr>
                <w:rFonts w:hint="eastAsia" w:ascii="宋体" w:hAnsi="宋体" w:cs="宋体"/>
                <w:color w:val="auto"/>
                <w:kern w:val="0"/>
                <w:szCs w:val="21"/>
                <w:u w:val="single"/>
              </w:rPr>
              <w:t>提供</w:t>
            </w:r>
            <w:r>
              <w:rPr>
                <w:rFonts w:hint="eastAsia" w:ascii="宋体" w:hAnsi="宋体" w:cs="宋体"/>
                <w:color w:val="auto"/>
                <w:kern w:val="0"/>
                <w:szCs w:val="21"/>
              </w:rPr>
              <w:t>。</w:t>
            </w:r>
          </w:p>
          <w:p>
            <w:pPr>
              <w:spacing w:line="400" w:lineRule="exact"/>
              <w:rPr>
                <w:rFonts w:ascii="宋体" w:hAnsi="宋体" w:cs="宋体"/>
                <w:color w:val="auto"/>
                <w:kern w:val="0"/>
                <w:szCs w:val="21"/>
              </w:rPr>
            </w:pPr>
            <w:r>
              <w:rPr>
                <w:rFonts w:hint="eastAsia" w:ascii="宋体" w:hAnsi="宋体" w:cs="宋体"/>
                <w:color w:val="auto"/>
                <w:kern w:val="0"/>
                <w:szCs w:val="21"/>
              </w:rPr>
              <w:t>2、中标人提供履约担保的形式、金额及期限：</w:t>
            </w:r>
          </w:p>
          <w:p>
            <w:pPr>
              <w:spacing w:line="400" w:lineRule="exact"/>
              <w:rPr>
                <w:rFonts w:ascii="宋体" w:hAnsi="宋体" w:cs="宋体"/>
                <w:color w:val="auto"/>
                <w:kern w:val="0"/>
                <w:szCs w:val="21"/>
                <w:u w:val="single"/>
              </w:rPr>
            </w:pPr>
            <w:r>
              <w:rPr>
                <w:rFonts w:hint="eastAsia" w:ascii="宋体" w:hAnsi="宋体" w:cs="宋体"/>
                <w:color w:val="auto"/>
                <w:kern w:val="0"/>
                <w:szCs w:val="21"/>
              </w:rPr>
              <w:t>（1）履约担保的形式：现金或银行保函或现金+银行保函的组合；采用银行保函形式的，保函必须为不可撤销且见索即付；</w:t>
            </w:r>
          </w:p>
          <w:p>
            <w:pPr>
              <w:spacing w:line="400" w:lineRule="exact"/>
              <w:rPr>
                <w:rFonts w:ascii="宋体" w:hAnsi="宋体" w:cs="宋体"/>
                <w:color w:val="auto"/>
                <w:kern w:val="0"/>
                <w:szCs w:val="21"/>
                <w:u w:val="single"/>
              </w:rPr>
            </w:pPr>
            <w:r>
              <w:rPr>
                <w:rFonts w:hint="eastAsia" w:ascii="宋体" w:hAnsi="宋体" w:cs="宋体"/>
                <w:color w:val="auto"/>
                <w:kern w:val="0"/>
                <w:szCs w:val="21"/>
              </w:rPr>
              <w:t>（2）履约担保的金额：</w:t>
            </w:r>
            <w:r>
              <w:rPr>
                <w:rFonts w:hint="eastAsia" w:ascii="宋体" w:hAnsi="宋体" w:cs="宋体"/>
                <w:color w:val="auto"/>
                <w:kern w:val="0"/>
                <w:szCs w:val="21"/>
                <w:u w:val="single"/>
              </w:rPr>
              <w:t>签约合同价的10%</w:t>
            </w:r>
            <w:r>
              <w:rPr>
                <w:rFonts w:hint="eastAsia" w:ascii="宋体" w:hAnsi="宋体" w:cs="宋体"/>
                <w:color w:val="auto"/>
                <w:kern w:val="0"/>
                <w:szCs w:val="21"/>
              </w:rPr>
              <w:t>；</w:t>
            </w:r>
          </w:p>
          <w:p>
            <w:pPr>
              <w:spacing w:line="400" w:lineRule="exact"/>
              <w:rPr>
                <w:rFonts w:ascii="宋体" w:hAnsi="宋体" w:cs="宋体"/>
                <w:color w:val="auto"/>
                <w:kern w:val="0"/>
                <w:szCs w:val="21"/>
              </w:rPr>
            </w:pPr>
            <w:r>
              <w:rPr>
                <w:rFonts w:hint="eastAsia" w:ascii="宋体" w:hAnsi="宋体" w:cs="宋体"/>
                <w:color w:val="auto"/>
                <w:kern w:val="0"/>
                <w:szCs w:val="21"/>
              </w:rPr>
              <w:t>（3）履约担保的提交时间：合同签订前。</w:t>
            </w:r>
          </w:p>
          <w:p>
            <w:pPr>
              <w:spacing w:line="400" w:lineRule="exact"/>
              <w:rPr>
                <w:rFonts w:ascii="宋体" w:hAnsi="宋体" w:cs="宋体"/>
                <w:color w:val="auto"/>
                <w:kern w:val="0"/>
                <w:szCs w:val="21"/>
              </w:rPr>
            </w:pPr>
            <w:r>
              <w:rPr>
                <w:rFonts w:hint="eastAsia" w:ascii="宋体" w:hAnsi="宋体" w:cs="宋体"/>
                <w:color w:val="auto"/>
                <w:kern w:val="0"/>
                <w:szCs w:val="21"/>
              </w:rPr>
              <w:t>（4）履约担保的期限：包含整个合同服务期。</w:t>
            </w:r>
          </w:p>
          <w:p>
            <w:pPr>
              <w:spacing w:line="400" w:lineRule="exact"/>
              <w:rPr>
                <w:color w:val="auto"/>
              </w:rPr>
            </w:pPr>
            <w:r>
              <w:rPr>
                <w:rFonts w:hint="eastAsia" w:ascii="宋体" w:hAnsi="宋体" w:cs="宋体"/>
                <w:color w:val="auto"/>
                <w:kern w:val="0"/>
                <w:szCs w:val="21"/>
              </w:rPr>
              <w:t>（5）履约担保的退还时间：合同履行完毕后15个工作日内无息退还。</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7.9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签订合同</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该条修改为：</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 xml:space="preserve">7.9.1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7.9.2 发出中标通知书后，招标人无正当理由拒签合同，或在签订合同时向中标人提出附加条件的，招标人向中标人退还投标保证金；给中标人造成损失的，还应赔偿损失。</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招标人不得以压低服务费用、增加工作量、延迟保险期限等作为中标的条件，不得与中标人再行订立背离合同实质性内容的其他协议。</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7.9.3 签约合同价的确定原则如下：</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（1）按照评标办法规定对投标报价进行修正后，若修正后的最终投标报价小于开标时的投标函大写金额报价，则签订合同时以修正后的最终投标报价为准；</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400" w:lineRule="exact"/>
              <w:ind w:firstLine="315" w:firstLineChars="150"/>
              <w:rPr>
                <w:rFonts w:ascii="宋体" w:hAnsi="宋体" w:cs="宋体"/>
                <w:color w:val="auto"/>
                <w:szCs w:val="21"/>
              </w:rPr>
            </w:pPr>
            <w:r>
              <w:rPr>
                <w:rFonts w:hint="eastAsia" w:ascii="宋体" w:hAnsi="宋体" w:cs="宋体"/>
                <w:color w:val="auto"/>
                <w:szCs w:val="21"/>
              </w:rPr>
              <w:t>7.9.4</w:t>
            </w:r>
            <w:r>
              <w:rPr>
                <w:rFonts w:hint="eastAsia" w:ascii="宋体" w:hAnsi="宋体" w:cs="宋体"/>
                <w:color w:val="auto"/>
                <w:kern w:val="0"/>
                <w:szCs w:val="21"/>
              </w:rPr>
              <w:t>中标候选人放弃中标，或因不可抗力不能履行合同，或在规定的期限不能提交履约保证金或不签署合同，招标人将重新招标。</w:t>
            </w:r>
          </w:p>
          <w:p>
            <w:pPr>
              <w:spacing w:line="400" w:lineRule="exact"/>
              <w:ind w:firstLine="315" w:firstLineChars="150"/>
              <w:rPr>
                <w:rFonts w:ascii="宋体" w:hAnsi="宋体" w:cs="宋体"/>
                <w:color w:val="auto"/>
                <w:kern w:val="0"/>
                <w:szCs w:val="21"/>
              </w:rPr>
            </w:pPr>
            <w:r>
              <w:rPr>
                <w:rFonts w:hint="eastAsia" w:ascii="宋体" w:hAnsi="宋体" w:cs="宋体"/>
                <w:color w:val="auto"/>
                <w:szCs w:val="21"/>
              </w:rPr>
              <w:t>7.9.5 招标人和中标人在签订合同协议书的同时，须按照本招标文件规定的格式和要求签订廉政合同，明确双方在廉政建设方面的权利和义务以及应承担的违约责任。</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8.5.1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olor w:val="auto"/>
                <w:kern w:val="0"/>
                <w:szCs w:val="21"/>
              </w:rPr>
              <w:t>异议</w:t>
            </w:r>
          </w:p>
        </w:tc>
        <w:tc>
          <w:tcPr>
            <w:tcW w:w="6007"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投标人或者其他利害关系人就本项目的招标文件（含澄清修改）、开标情况、评标结果等事项提出投诉的，应当先向招标人提出异议；招标人应当在规定时间内答复；对招标人的答复不满意，可向监督部门投诉。</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提出异议或投诉时应当包括下列内容：</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（1）异议或投诉人的名称、地址及有效联系方式；</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（2）被异议或投诉人的名称、地址及有效联系方式；</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（3）异议或投诉事项的基本事实；</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（4）请求及主张；</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（5）涉及事项的证据、证明材料。</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异议或投诉的主体必须为法人，异议书必须由其</w:t>
            </w:r>
            <w:r>
              <w:rPr>
                <w:rFonts w:hint="eastAsia" w:ascii="宋体" w:hAnsi="宋体" w:cs="宋体"/>
                <w:color w:val="auto"/>
                <w:szCs w:val="21"/>
              </w:rPr>
              <w:t>法定负责人</w:t>
            </w:r>
            <w:r>
              <w:rPr>
                <w:rFonts w:hint="eastAsia" w:ascii="宋体" w:hAnsi="宋体" w:cs="宋体"/>
                <w:color w:val="auto"/>
                <w:kern w:val="0"/>
                <w:szCs w:val="21"/>
              </w:rPr>
              <w:t>和委托代理人签字</w:t>
            </w:r>
            <w:r>
              <w:rPr>
                <w:rFonts w:hint="eastAsia" w:ascii="宋体" w:hAnsi="宋体" w:cs="宋体"/>
                <w:color w:val="auto"/>
                <w:kern w:val="0"/>
                <w:szCs w:val="21"/>
                <w:lang w:val="en-US" w:eastAsia="zh-CN"/>
              </w:rPr>
              <w:t>或签章</w:t>
            </w:r>
            <w:r>
              <w:rPr>
                <w:rFonts w:hint="eastAsia" w:ascii="宋体" w:hAnsi="宋体" w:cs="宋体"/>
                <w:color w:val="auto"/>
                <w:kern w:val="0"/>
                <w:szCs w:val="21"/>
              </w:rPr>
              <w:t>并加盖单位公章。如有关材料是外文，应当同时提供中文译本。</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监督部门依照《中华人民共和国招标投标法》、《中华人民共和国招标投标法实施条例》、《重庆市招标投标条例》、《重庆市招标投标活动投诉处理实施细则》（渝发改标〔2014〕1168号）等法律法规文件处理投诉。</w:t>
            </w:r>
          </w:p>
          <w:p>
            <w:pPr>
              <w:widowControl/>
              <w:spacing w:line="400" w:lineRule="exact"/>
              <w:ind w:firstLine="420" w:firstLineChars="200"/>
              <w:rPr>
                <w:rFonts w:ascii="宋体" w:hAnsi="宋体"/>
                <w:color w:val="auto"/>
                <w:kern w:val="0"/>
                <w:szCs w:val="21"/>
              </w:rPr>
            </w:pPr>
            <w:r>
              <w:rPr>
                <w:rFonts w:hint="eastAsia" w:ascii="宋体" w:hAnsi="宋体" w:cs="宋体"/>
                <w:color w:val="auto"/>
                <w:kern w:val="0"/>
                <w:szCs w:val="21"/>
              </w:rPr>
              <w:t>3.投标人捏造事实、伪造材料，或者以非法手段获取证明材料进行质疑或者投诉的，将被列入黑名单管理；给他人造成损失的，依法承担</w:t>
            </w:r>
            <w:r>
              <w:rPr>
                <w:rFonts w:ascii="宋体" w:hAnsi="宋体"/>
                <w:color w:val="auto"/>
                <w:kern w:val="0"/>
                <w:szCs w:val="21"/>
              </w:rPr>
              <w:t>赔偿责任。</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4</w:t>
            </w:r>
            <w:r>
              <w:rPr>
                <w:rFonts w:ascii="宋体" w:hAnsi="宋体"/>
                <w:color w:val="auto"/>
                <w:kern w:val="0"/>
                <w:szCs w:val="21"/>
              </w:rPr>
              <w:t>.</w:t>
            </w:r>
            <w:r>
              <w:rPr>
                <w:rFonts w:hint="eastAsia" w:ascii="宋体" w:hAnsi="宋体"/>
                <w:color w:val="auto"/>
                <w:kern w:val="0"/>
                <w:szCs w:val="21"/>
              </w:rPr>
              <w:t>异议受理单位：</w:t>
            </w:r>
            <w:r>
              <w:rPr>
                <w:rFonts w:hint="eastAsia" w:ascii="宋体" w:hAnsi="宋体" w:cs="宋体"/>
                <w:color w:val="auto"/>
                <w:kern w:val="0"/>
                <w:szCs w:val="21"/>
              </w:rPr>
              <w:t>重庆渝合高速公路有限公司</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联系电话：</w:t>
            </w:r>
            <w:r>
              <w:rPr>
                <w:rFonts w:ascii="宋体" w:hAnsi="宋体"/>
                <w:color w:val="auto"/>
                <w:kern w:val="0"/>
                <w:szCs w:val="21"/>
              </w:rPr>
              <w:t>023-68310806</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投诉受理单位：</w:t>
            </w:r>
            <w:r>
              <w:rPr>
                <w:rFonts w:hint="eastAsia" w:ascii="宋体" w:hAnsi="宋体" w:cs="宋体"/>
                <w:color w:val="auto"/>
                <w:kern w:val="0"/>
                <w:szCs w:val="21"/>
              </w:rPr>
              <w:t>重庆渝合高速公路有限公司</w:t>
            </w:r>
          </w:p>
          <w:p>
            <w:pPr>
              <w:pStyle w:val="108"/>
              <w:autoSpaceDE/>
              <w:autoSpaceDN/>
              <w:adjustRightInd/>
              <w:spacing w:line="380" w:lineRule="exact"/>
              <w:ind w:firstLine="420" w:firstLineChars="200"/>
              <w:jc w:val="both"/>
              <w:rPr>
                <w:rFonts w:ascii="宋体" w:hAnsi="宋体" w:cs="宋体"/>
                <w:color w:val="auto"/>
                <w:sz w:val="21"/>
                <w:szCs w:val="21"/>
              </w:rPr>
            </w:pPr>
            <w:r>
              <w:rPr>
                <w:rFonts w:hint="eastAsia" w:ascii="宋体" w:hAnsi="宋体"/>
                <w:color w:val="auto"/>
                <w:sz w:val="21"/>
                <w:szCs w:val="21"/>
              </w:rPr>
              <w:t>联系电话：</w:t>
            </w:r>
            <w:r>
              <w:rPr>
                <w:rFonts w:ascii="宋体" w:hAnsi="宋体"/>
                <w:color w:val="auto"/>
                <w:sz w:val="21"/>
                <w:szCs w:val="21"/>
              </w:rPr>
              <w:t>023-68310806</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是否采用电子招标投标</w:t>
            </w:r>
          </w:p>
        </w:tc>
        <w:tc>
          <w:tcPr>
            <w:tcW w:w="6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MS Mincho" w:hAnsi="MS Mincho" w:eastAsia="MS Mincho" w:cs="MS Mincho"/>
                <w:color w:val="auto"/>
                <w:kern w:val="0"/>
                <w:szCs w:val="21"/>
              </w:rPr>
              <w:t>☑</w:t>
            </w:r>
            <w:r>
              <w:rPr>
                <w:rFonts w:hint="eastAsia" w:ascii="宋体" w:hAnsi="宋体" w:cs="宋体"/>
                <w:color w:val="auto"/>
                <w:kern w:val="0"/>
                <w:szCs w:val="21"/>
              </w:rPr>
              <w:t>否</w:t>
            </w:r>
          </w:p>
        </w:tc>
      </w:tr>
      <w:tr>
        <w:tblPrEx>
          <w:tblCellMar>
            <w:top w:w="0" w:type="dxa"/>
            <w:left w:w="108" w:type="dxa"/>
            <w:bottom w:w="0" w:type="dxa"/>
            <w:right w:w="108" w:type="dxa"/>
          </w:tblCellMar>
        </w:tblPrEx>
        <w:trPr>
          <w:jc w:val="center"/>
        </w:trPr>
        <w:tc>
          <w:tcPr>
            <w:tcW w:w="963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b/>
                <w:color w:val="auto"/>
                <w:kern w:val="0"/>
                <w:szCs w:val="21"/>
              </w:rPr>
              <w:t>需要补充的其他内容</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招标代理服务费</w:t>
            </w:r>
          </w:p>
        </w:tc>
        <w:tc>
          <w:tcPr>
            <w:tcW w:w="6007" w:type="dxa"/>
            <w:tcBorders>
              <w:top w:val="single" w:color="auto" w:sz="4" w:space="0"/>
              <w:left w:val="single" w:color="auto" w:sz="4" w:space="0"/>
              <w:bottom w:val="single" w:color="auto" w:sz="4" w:space="0"/>
              <w:right w:val="single" w:color="auto" w:sz="4" w:space="0"/>
            </w:tcBorders>
            <w:vAlign w:val="center"/>
          </w:tcPr>
          <w:p>
            <w:pPr>
              <w:pStyle w:val="108"/>
              <w:adjustRightInd/>
              <w:spacing w:line="360" w:lineRule="auto"/>
              <w:ind w:firstLine="420" w:firstLineChars="200"/>
              <w:rPr>
                <w:rFonts w:ascii="宋体" w:hAnsi="宋体" w:cs="宋体"/>
                <w:color w:val="auto"/>
              </w:rPr>
            </w:pPr>
            <w:r>
              <w:rPr>
                <w:rFonts w:hint="eastAsia" w:ascii="宋体" w:hAnsi="宋体" w:cs="宋体"/>
                <w:color w:val="auto"/>
                <w:kern w:val="2"/>
                <w:sz w:val="21"/>
                <w:szCs w:val="21"/>
              </w:rPr>
              <w:t>本项目招标代理服务费4万元整。由中标人在领取中标通知书之前缴付代理服务费，投标人在投标报价时，应充分考虑此部分费用。</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交易服务费</w:t>
            </w:r>
          </w:p>
        </w:tc>
        <w:tc>
          <w:tcPr>
            <w:tcW w:w="6007"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本次招标入场交易服务费依据（渝价[2018]54号）文件的标准计取。由中标单位全额向重庆联合产权交易所集团股份有限公司支付。</w:t>
            </w: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color w:val="auto"/>
              </w:rPr>
              <w:t>重新招标</w:t>
            </w:r>
          </w:p>
        </w:tc>
        <w:tc>
          <w:tcPr>
            <w:tcW w:w="6007" w:type="dxa"/>
            <w:tcBorders>
              <w:top w:val="single" w:color="auto" w:sz="4" w:space="0"/>
              <w:left w:val="single" w:color="auto" w:sz="4" w:space="0"/>
              <w:bottom w:val="single" w:color="auto" w:sz="4" w:space="0"/>
              <w:right w:val="single" w:color="auto" w:sz="4" w:space="0"/>
            </w:tcBorders>
          </w:tcPr>
          <w:p>
            <w:pPr>
              <w:spacing w:line="380" w:lineRule="exact"/>
              <w:ind w:firstLine="420" w:firstLineChars="200"/>
              <w:rPr>
                <w:color w:val="auto"/>
              </w:rPr>
            </w:pPr>
            <w:r>
              <w:rPr>
                <w:rFonts w:hint="eastAsia"/>
                <w:color w:val="auto"/>
              </w:rPr>
              <w:t>有下列情形之一的，招标人将重新招标</w:t>
            </w: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-（3）条</w:t>
            </w:r>
            <w:r>
              <w:rPr>
                <w:rFonts w:hint="eastAsia"/>
                <w:color w:val="auto"/>
                <w:lang w:eastAsia="zh-CN"/>
              </w:rPr>
              <w:t>仅适用于首次招标）</w:t>
            </w:r>
            <w:r>
              <w:rPr>
                <w:rFonts w:hint="eastAsia"/>
                <w:color w:val="auto"/>
              </w:rPr>
              <w:t>：</w:t>
            </w:r>
          </w:p>
          <w:p>
            <w:pPr>
              <w:spacing w:line="380" w:lineRule="exact"/>
              <w:ind w:firstLine="420" w:firstLineChars="200"/>
              <w:rPr>
                <w:color w:val="auto"/>
              </w:rPr>
            </w:pPr>
            <w:r>
              <w:rPr>
                <w:rFonts w:hint="eastAsia"/>
                <w:color w:val="auto"/>
              </w:rPr>
              <w:t>（1）投标截止时间止，投标人少于 3 个的；</w:t>
            </w:r>
          </w:p>
          <w:p>
            <w:pPr>
              <w:spacing w:line="380" w:lineRule="exact"/>
              <w:ind w:firstLine="420" w:firstLineChars="200"/>
              <w:rPr>
                <w:color w:val="auto"/>
              </w:rPr>
            </w:pPr>
            <w:r>
              <w:rPr>
                <w:rFonts w:hint="eastAsia"/>
                <w:color w:val="auto"/>
              </w:rPr>
              <w:t>（2）经评标委员会评审后否决所有投标的；</w:t>
            </w:r>
          </w:p>
          <w:p>
            <w:pPr>
              <w:spacing w:line="380" w:lineRule="exact"/>
              <w:ind w:firstLine="420" w:firstLineChars="200"/>
              <w:rPr>
                <w:color w:val="auto"/>
              </w:rPr>
            </w:pPr>
            <w:r>
              <w:rPr>
                <w:rFonts w:hint="eastAsia"/>
                <w:color w:val="auto"/>
              </w:rPr>
              <w:t>（3）经评标委员会评审后部分投标被否决，导致有效投标人不足三个的，评标委员会可否决所有投标，招标人应当依法重新招标。但是有效投标人的经济、技术等指标仍然具有市场竞争力，能够满足招标文件要求的，评标委员会可以继续评标并确定中标候选人；</w:t>
            </w:r>
          </w:p>
          <w:p>
            <w:pPr>
              <w:spacing w:line="380" w:lineRule="exact"/>
              <w:ind w:firstLine="420" w:firstLineChars="200"/>
              <w:rPr>
                <w:color w:val="auto"/>
              </w:rPr>
            </w:pPr>
            <w:r>
              <w:rPr>
                <w:rFonts w:hint="eastAsia"/>
                <w:color w:val="auto"/>
              </w:rPr>
              <w:t>（4）</w:t>
            </w:r>
            <w:r>
              <w:rPr>
                <w:rFonts w:hint="eastAsia" w:ascii="宋体" w:hAnsi="宋体"/>
                <w:color w:val="auto"/>
                <w:kern w:val="0"/>
                <w:szCs w:val="21"/>
              </w:rPr>
              <w:t>中标候选人或者中标人不按规定缴纳低价风险金或履约保证金或不签订合同放弃中标；</w:t>
            </w:r>
          </w:p>
          <w:p>
            <w:pPr>
              <w:spacing w:line="380" w:lineRule="exact"/>
              <w:ind w:firstLine="420" w:firstLineChars="200"/>
              <w:rPr>
                <w:color w:val="auto"/>
              </w:rPr>
            </w:pPr>
            <w:r>
              <w:rPr>
                <w:rFonts w:hint="eastAsia"/>
                <w:color w:val="auto"/>
              </w:rPr>
              <w:t>（5）法律法规规定的其他情形。</w:t>
            </w:r>
          </w:p>
          <w:p>
            <w:pPr>
              <w:pStyle w:val="35"/>
              <w:ind w:left="0" w:leftChars="0"/>
              <w:rPr>
                <w:color w:val="auto"/>
              </w:rPr>
            </w:pPr>
          </w:p>
        </w:tc>
      </w:tr>
      <w:tr>
        <w:tblPrEx>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二次招标和不再招标</w:t>
            </w:r>
          </w:p>
        </w:tc>
        <w:tc>
          <w:tcPr>
            <w:tcW w:w="6007" w:type="dxa"/>
            <w:tcBorders>
              <w:top w:val="single" w:color="auto" w:sz="4" w:space="0"/>
              <w:left w:val="single" w:color="auto" w:sz="4" w:space="0"/>
              <w:bottom w:val="single" w:color="auto" w:sz="4" w:space="0"/>
              <w:right w:val="single" w:color="auto" w:sz="4" w:space="0"/>
            </w:tcBorders>
          </w:tcPr>
          <w:p>
            <w:pPr>
              <w:spacing w:line="380" w:lineRule="exact"/>
              <w:ind w:firstLine="420" w:firstLineChars="200"/>
              <w:rPr>
                <w:rFonts w:ascii="宋体" w:hAnsi="宋体" w:cs="宋体"/>
                <w:color w:val="auto"/>
                <w:kern w:val="0"/>
                <w:szCs w:val="21"/>
              </w:rPr>
            </w:pPr>
            <w:r>
              <w:rPr>
                <w:rFonts w:hint="eastAsia" w:ascii="宋体" w:hAnsi="宋体" w:cs="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bl>
    <w:p>
      <w:pPr>
        <w:pStyle w:val="2"/>
        <w:jc w:val="center"/>
        <w:rPr>
          <w:rFonts w:ascii="宋体" w:hAnsi="宋体" w:eastAsia="宋体"/>
          <w:color w:val="auto"/>
          <w:kern w:val="0"/>
        </w:rPr>
      </w:pPr>
      <w:r>
        <w:rPr>
          <w:rFonts w:ascii="宋体" w:hAnsi="宋体" w:eastAsia="宋体" w:cs="黑体"/>
          <w:color w:val="auto"/>
          <w:kern w:val="0"/>
        </w:rPr>
        <w:br w:type="page"/>
      </w:r>
      <w:bookmarkStart w:id="26" w:name="_Toc457224240"/>
      <w:bookmarkStart w:id="27" w:name="_Toc29796219"/>
      <w:r>
        <w:rPr>
          <w:rFonts w:hint="eastAsia" w:ascii="宋体" w:hAnsi="宋体" w:eastAsia="宋体"/>
          <w:color w:val="auto"/>
          <w:kern w:val="0"/>
        </w:rPr>
        <w:t>附</w:t>
      </w:r>
      <w:r>
        <w:rPr>
          <w:rFonts w:ascii="宋体" w:hAnsi="宋体" w:eastAsia="宋体"/>
          <w:color w:val="auto"/>
          <w:kern w:val="0"/>
        </w:rPr>
        <w:t xml:space="preserve"> </w:t>
      </w:r>
      <w:r>
        <w:rPr>
          <w:rFonts w:hint="eastAsia" w:ascii="宋体" w:hAnsi="宋体" w:eastAsia="宋体"/>
          <w:color w:val="auto"/>
          <w:kern w:val="0"/>
        </w:rPr>
        <w:t>录</w:t>
      </w:r>
      <w:bookmarkEnd w:id="26"/>
      <w:bookmarkEnd w:id="27"/>
    </w:p>
    <w:p>
      <w:pPr>
        <w:spacing w:line="360" w:lineRule="auto"/>
        <w:ind w:firstLine="562" w:firstLineChars="200"/>
        <w:jc w:val="center"/>
        <w:rPr>
          <w:rFonts w:ascii="宋体" w:hAnsi="宋体"/>
          <w:b/>
          <w:color w:val="auto"/>
          <w:kern w:val="0"/>
          <w:sz w:val="28"/>
          <w:szCs w:val="28"/>
        </w:rPr>
      </w:pPr>
      <w:r>
        <w:rPr>
          <w:rFonts w:hint="eastAsia" w:ascii="宋体" w:hAnsi="宋体" w:cs="黑体"/>
          <w:b/>
          <w:color w:val="auto"/>
          <w:kern w:val="0"/>
          <w:sz w:val="28"/>
          <w:szCs w:val="28"/>
        </w:rPr>
        <w:t>附录</w:t>
      </w:r>
      <w:r>
        <w:rPr>
          <w:rFonts w:ascii="宋体" w:hAnsi="宋体"/>
          <w:b/>
          <w:color w:val="auto"/>
          <w:kern w:val="0"/>
          <w:sz w:val="28"/>
          <w:szCs w:val="28"/>
        </w:rPr>
        <w:t xml:space="preserve">1 </w:t>
      </w:r>
      <w:r>
        <w:rPr>
          <w:rFonts w:hint="eastAsia" w:ascii="宋体" w:hAnsi="宋体" w:cs="黑体"/>
          <w:b/>
          <w:color w:val="auto"/>
          <w:kern w:val="0"/>
          <w:sz w:val="28"/>
          <w:szCs w:val="28"/>
        </w:rPr>
        <w:t>资格审查条件</w:t>
      </w:r>
      <w:r>
        <w:rPr>
          <w:rFonts w:ascii="宋体" w:hAnsi="宋体"/>
          <w:b/>
          <w:color w:val="auto"/>
          <w:kern w:val="0"/>
          <w:sz w:val="28"/>
          <w:szCs w:val="28"/>
        </w:rPr>
        <w:t>(</w:t>
      </w:r>
      <w:r>
        <w:rPr>
          <w:rFonts w:hint="eastAsia" w:ascii="宋体" w:hAnsi="宋体" w:cs="黑体"/>
          <w:b/>
          <w:color w:val="auto"/>
          <w:kern w:val="0"/>
          <w:sz w:val="28"/>
          <w:szCs w:val="28"/>
        </w:rPr>
        <w:t>资质最低条件</w:t>
      </w:r>
      <w:r>
        <w:rPr>
          <w:rFonts w:ascii="宋体" w:hAnsi="宋体"/>
          <w:b/>
          <w:color w:val="auto"/>
          <w:kern w:val="0"/>
          <w:sz w:val="28"/>
          <w:szCs w:val="28"/>
        </w:rPr>
        <w:t>)</w:t>
      </w:r>
    </w:p>
    <w:tbl>
      <w:tblPr>
        <w:tblStyle w:val="88"/>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009" w:type="dxa"/>
            <w:vAlign w:val="center"/>
          </w:tcPr>
          <w:p>
            <w:pPr>
              <w:pStyle w:val="108"/>
              <w:jc w:val="center"/>
              <w:rPr>
                <w:rFonts w:ascii="宋体" w:hAnsi="宋体"/>
                <w:color w:val="auto"/>
                <w:sz w:val="21"/>
                <w:szCs w:val="21"/>
              </w:rPr>
            </w:pPr>
            <w:r>
              <w:rPr>
                <w:rFonts w:hint="eastAsia" w:ascii="宋体" w:hAnsi="宋体"/>
                <w:color w:val="auto"/>
                <w:sz w:val="21"/>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9" w:type="dxa"/>
          </w:tcPr>
          <w:p>
            <w:pPr>
              <w:pStyle w:val="108"/>
              <w:adjustRightInd/>
              <w:spacing w:line="360" w:lineRule="auto"/>
              <w:ind w:firstLine="420" w:firstLineChars="200"/>
              <w:jc w:val="both"/>
              <w:rPr>
                <w:rFonts w:ascii="宋体" w:hAnsi="宋体"/>
                <w:color w:val="auto"/>
                <w:kern w:val="2"/>
                <w:sz w:val="21"/>
                <w:szCs w:val="21"/>
              </w:rPr>
            </w:pPr>
            <w:r>
              <w:rPr>
                <w:rFonts w:hint="eastAsia" w:ascii="宋体" w:hAnsi="宋体"/>
                <w:color w:val="auto"/>
                <w:kern w:val="2"/>
                <w:sz w:val="21"/>
                <w:szCs w:val="21"/>
              </w:rPr>
              <w:t>同时满足以下资质要求：</w:t>
            </w:r>
          </w:p>
          <w:p>
            <w:pPr>
              <w:spacing w:line="360" w:lineRule="auto"/>
              <w:ind w:firstLine="525" w:firstLineChars="250"/>
              <w:rPr>
                <w:rFonts w:ascii="宋体" w:hAnsi="宋体"/>
                <w:color w:val="auto"/>
                <w:szCs w:val="21"/>
              </w:rPr>
            </w:pPr>
            <w:r>
              <w:rPr>
                <w:rFonts w:hint="eastAsia" w:ascii="宋体" w:hAnsi="宋体"/>
                <w:color w:val="auto"/>
                <w:szCs w:val="21"/>
              </w:rPr>
              <w:t>①投标人需为持有有效营业执照的项目所在地（重庆）财产保险公司；</w:t>
            </w:r>
          </w:p>
          <w:p>
            <w:pPr>
              <w:spacing w:line="360" w:lineRule="auto"/>
              <w:ind w:firstLine="525" w:firstLineChars="250"/>
              <w:rPr>
                <w:color w:val="auto"/>
                <w:szCs w:val="21"/>
              </w:rPr>
            </w:pPr>
            <w:r>
              <w:rPr>
                <w:rFonts w:hint="eastAsia" w:ascii="宋体" w:hAnsi="宋体"/>
                <w:color w:val="auto"/>
                <w:szCs w:val="21"/>
              </w:rPr>
              <w:t>②经中国保险监督管理委员会批准开展财产保险业务。</w:t>
            </w:r>
          </w:p>
        </w:tc>
      </w:tr>
    </w:tbl>
    <w:p>
      <w:pPr>
        <w:spacing w:line="360" w:lineRule="auto"/>
        <w:ind w:firstLine="420" w:firstLineChars="200"/>
        <w:rPr>
          <w:rFonts w:ascii="宋体" w:hAnsi="宋体"/>
          <w:color w:val="auto"/>
          <w:szCs w:val="21"/>
        </w:rPr>
      </w:pPr>
      <w:r>
        <w:rPr>
          <w:rFonts w:hint="eastAsia" w:ascii="宋体" w:hAnsi="宋体"/>
          <w:color w:val="auto"/>
          <w:szCs w:val="21"/>
        </w:rPr>
        <w:t>注：提供中国保险监督管理委员会核发的经营财产保险业务许可证复印件和工商行政管理部门颁发的营业执照复印件。</w:t>
      </w:r>
    </w:p>
    <w:p>
      <w:pPr>
        <w:spacing w:line="360" w:lineRule="auto"/>
        <w:ind w:firstLine="562" w:firstLineChars="200"/>
        <w:jc w:val="center"/>
        <w:rPr>
          <w:rFonts w:ascii="宋体" w:hAnsi="宋体"/>
          <w:b/>
          <w:color w:val="auto"/>
          <w:sz w:val="28"/>
          <w:szCs w:val="28"/>
        </w:rPr>
      </w:pPr>
      <w:r>
        <w:rPr>
          <w:rFonts w:hint="eastAsia" w:ascii="宋体" w:hAnsi="宋体"/>
          <w:b/>
          <w:color w:val="auto"/>
          <w:sz w:val="28"/>
          <w:szCs w:val="28"/>
        </w:rPr>
        <w:t>附录</w:t>
      </w:r>
      <w:r>
        <w:rPr>
          <w:rFonts w:ascii="宋体" w:hAnsi="宋体"/>
          <w:b/>
          <w:color w:val="auto"/>
          <w:sz w:val="28"/>
          <w:szCs w:val="28"/>
        </w:rPr>
        <w:t xml:space="preserve">2 </w:t>
      </w:r>
      <w:r>
        <w:rPr>
          <w:rFonts w:hint="eastAsia" w:ascii="宋体" w:hAnsi="宋体"/>
          <w:b/>
          <w:color w:val="auto"/>
          <w:sz w:val="28"/>
          <w:szCs w:val="28"/>
        </w:rPr>
        <w:t>资格审查条件</w:t>
      </w:r>
      <w:r>
        <w:rPr>
          <w:rFonts w:ascii="宋体" w:hAnsi="宋体"/>
          <w:b/>
          <w:color w:val="auto"/>
          <w:sz w:val="28"/>
          <w:szCs w:val="28"/>
        </w:rPr>
        <w:t>(</w:t>
      </w:r>
      <w:r>
        <w:rPr>
          <w:rFonts w:hint="eastAsia" w:ascii="宋体" w:hAnsi="宋体"/>
          <w:b/>
          <w:color w:val="auto"/>
          <w:sz w:val="28"/>
          <w:szCs w:val="28"/>
        </w:rPr>
        <w:t>财务最低要求</w:t>
      </w:r>
      <w:r>
        <w:rPr>
          <w:rFonts w:ascii="宋体" w:hAnsi="宋体"/>
          <w:b/>
          <w:color w:val="auto"/>
          <w:sz w:val="28"/>
          <w:szCs w:val="28"/>
        </w:rPr>
        <w:t>)</w:t>
      </w:r>
    </w:p>
    <w:tbl>
      <w:tblPr>
        <w:tblStyle w:val="8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60" w:type="dxa"/>
            <w:vAlign w:val="center"/>
          </w:tcPr>
          <w:p>
            <w:pPr>
              <w:spacing w:line="300" w:lineRule="exact"/>
              <w:ind w:left="-53" w:leftChars="-25" w:right="-48" w:rightChars="-23"/>
              <w:jc w:val="center"/>
              <w:rPr>
                <w:rFonts w:ascii="宋体" w:hAnsi="宋体"/>
                <w:color w:val="auto"/>
                <w:szCs w:val="21"/>
              </w:rPr>
            </w:pPr>
            <w:r>
              <w:rPr>
                <w:rFonts w:hint="eastAsia" w:ascii="宋体" w:hAnsi="宋体"/>
                <w:color w:val="auto"/>
                <w:szCs w:val="21"/>
              </w:rPr>
              <w:t>对投标人的财务要求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60" w:type="dxa"/>
            <w:vAlign w:val="center"/>
          </w:tcPr>
          <w:p>
            <w:pPr>
              <w:spacing w:line="360" w:lineRule="auto"/>
              <w:ind w:firstLine="420" w:firstLineChars="200"/>
              <w:rPr>
                <w:rFonts w:ascii="宋体" w:hAnsi="宋体"/>
                <w:color w:val="auto"/>
                <w:szCs w:val="21"/>
              </w:rPr>
            </w:pPr>
            <w:r>
              <w:rPr>
                <w:rFonts w:hint="eastAsia" w:ascii="宋体" w:hAnsi="宋体"/>
                <w:color w:val="auto"/>
                <w:szCs w:val="21"/>
              </w:rPr>
              <w:t>投标人的独立法人单位偿付能力指标符合监管要求（</w:t>
            </w:r>
            <w:r>
              <w:rPr>
                <w:rFonts w:hint="eastAsia" w:ascii="宋体" w:hAnsi="宋体"/>
                <w:color w:val="auto"/>
                <w:szCs w:val="21"/>
                <w:lang w:val="en-US" w:eastAsia="zh-CN"/>
              </w:rPr>
              <w:t>综合</w:t>
            </w:r>
            <w:r>
              <w:rPr>
                <w:rFonts w:hint="eastAsia" w:ascii="宋体" w:hAnsi="宋体"/>
                <w:color w:val="auto"/>
                <w:szCs w:val="21"/>
              </w:rPr>
              <w:t>偿付能力充足率不低于100%）。</w:t>
            </w:r>
          </w:p>
        </w:tc>
      </w:tr>
    </w:tbl>
    <w:p>
      <w:pPr>
        <w:spacing w:line="440" w:lineRule="exact"/>
        <w:rPr>
          <w:color w:val="auto"/>
        </w:rPr>
      </w:pPr>
      <w:r>
        <w:rPr>
          <w:rFonts w:hint="eastAsia" w:ascii="宋体" w:hAnsi="宋体"/>
          <w:color w:val="auto"/>
        </w:rPr>
        <w:t xml:space="preserve">   注：</w:t>
      </w:r>
      <w:r>
        <w:rPr>
          <w:rFonts w:hint="eastAsia"/>
          <w:color w:val="auto"/>
          <w:szCs w:val="22"/>
        </w:rPr>
        <w:t>提供偿付能力报告复印件</w:t>
      </w:r>
    </w:p>
    <w:p>
      <w:pPr>
        <w:spacing w:line="360" w:lineRule="auto"/>
        <w:ind w:firstLine="562" w:firstLineChars="200"/>
        <w:jc w:val="center"/>
        <w:rPr>
          <w:rFonts w:ascii="宋体" w:hAnsi="宋体"/>
          <w:b/>
          <w:color w:val="auto"/>
          <w:sz w:val="28"/>
          <w:szCs w:val="28"/>
        </w:rPr>
      </w:pPr>
      <w:r>
        <w:rPr>
          <w:rFonts w:hint="eastAsia" w:ascii="宋体" w:hAnsi="宋体"/>
          <w:b/>
          <w:color w:val="auto"/>
          <w:sz w:val="28"/>
          <w:szCs w:val="28"/>
        </w:rPr>
        <w:t>附录3</w:t>
      </w:r>
      <w:r>
        <w:rPr>
          <w:rFonts w:ascii="宋体" w:hAnsi="宋体"/>
          <w:b/>
          <w:color w:val="auto"/>
          <w:sz w:val="28"/>
          <w:szCs w:val="28"/>
        </w:rPr>
        <w:t xml:space="preserve"> </w:t>
      </w:r>
      <w:r>
        <w:rPr>
          <w:rFonts w:hint="eastAsia" w:ascii="宋体" w:hAnsi="宋体"/>
          <w:b/>
          <w:color w:val="auto"/>
          <w:sz w:val="28"/>
          <w:szCs w:val="28"/>
        </w:rPr>
        <w:t>资格审查条件</w:t>
      </w:r>
      <w:r>
        <w:rPr>
          <w:rFonts w:ascii="宋体" w:hAnsi="宋体"/>
          <w:b/>
          <w:color w:val="auto"/>
          <w:sz w:val="28"/>
          <w:szCs w:val="28"/>
        </w:rPr>
        <w:t>(</w:t>
      </w:r>
      <w:r>
        <w:rPr>
          <w:rFonts w:hint="eastAsia" w:ascii="宋体" w:hAnsi="宋体"/>
          <w:b/>
          <w:color w:val="auto"/>
          <w:sz w:val="28"/>
          <w:szCs w:val="28"/>
        </w:rPr>
        <w:t>业绩最低要求</w:t>
      </w:r>
      <w:r>
        <w:rPr>
          <w:rFonts w:ascii="宋体" w:hAnsi="宋体"/>
          <w:b/>
          <w:color w:val="auto"/>
          <w:sz w:val="28"/>
          <w:szCs w:val="28"/>
        </w:rPr>
        <w:t>)</w:t>
      </w:r>
    </w:p>
    <w:tbl>
      <w:tblPr>
        <w:tblStyle w:val="8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60" w:type="dxa"/>
            <w:vAlign w:val="center"/>
          </w:tcPr>
          <w:p>
            <w:pPr>
              <w:spacing w:line="300" w:lineRule="exact"/>
              <w:ind w:left="-53" w:leftChars="-25" w:right="-48" w:rightChars="-23"/>
              <w:jc w:val="center"/>
              <w:rPr>
                <w:rFonts w:ascii="宋体" w:hAnsi="宋体"/>
                <w:color w:val="auto"/>
                <w:szCs w:val="21"/>
              </w:rPr>
            </w:pPr>
            <w:r>
              <w:rPr>
                <w:rFonts w:hint="eastAsia" w:ascii="宋体" w:hAnsi="宋体"/>
                <w:color w:val="auto"/>
                <w:szCs w:val="21"/>
              </w:rPr>
              <w:t>对投标人的业绩要求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60" w:type="dxa"/>
            <w:vAlign w:val="center"/>
          </w:tcPr>
          <w:p>
            <w:pPr>
              <w:spacing w:line="360" w:lineRule="auto"/>
              <w:ind w:firstLine="420" w:firstLineChars="200"/>
              <w:rPr>
                <w:rFonts w:ascii="宋体" w:hAnsi="宋体"/>
                <w:color w:val="auto"/>
                <w:szCs w:val="21"/>
              </w:rPr>
            </w:pPr>
            <w:r>
              <w:rPr>
                <w:rFonts w:hint="eastAsia" w:ascii="宋体" w:hAnsi="宋体"/>
                <w:color w:val="auto"/>
                <w:szCs w:val="21"/>
              </w:rPr>
              <w:t>投标人2018年1月1日起至投标截止日止（业绩时间以合同签署</w:t>
            </w:r>
            <w:bookmarkStart w:id="202" w:name="_GoBack"/>
            <w:r>
              <w:rPr>
                <w:rFonts w:hint="eastAsia" w:ascii="宋体" w:hAnsi="宋体"/>
                <w:color w:val="auto"/>
                <w:szCs w:val="21"/>
              </w:rPr>
              <w:t>时间</w:t>
            </w:r>
            <w:bookmarkEnd w:id="202"/>
            <w:r>
              <w:rPr>
                <w:rFonts w:hint="eastAsia" w:ascii="宋体" w:hAnsi="宋体"/>
                <w:color w:val="auto"/>
                <w:szCs w:val="21"/>
              </w:rPr>
              <w:t>为准）在中国境内（不含港澳台）承保过至少1个保额不低于人民币15亿元的交通</w:t>
            </w:r>
            <w:r>
              <w:rPr>
                <w:rFonts w:hint="eastAsia" w:ascii="宋体" w:hAnsi="宋体"/>
                <w:color w:val="auto"/>
                <w:szCs w:val="21"/>
                <w:lang w:val="en-US" w:eastAsia="zh-CN"/>
              </w:rPr>
              <w:t>设施行业</w:t>
            </w:r>
            <w:r>
              <w:rPr>
                <w:rFonts w:hint="eastAsia" w:ascii="宋体" w:hAnsi="宋体"/>
                <w:color w:val="auto"/>
                <w:szCs w:val="21"/>
              </w:rPr>
              <w:t>财产运营保险项目（主保或共保均可，承保时间不得低于12个月）。投标人提供业绩证明的名称需与投标人名称一致，以分公司名义投标不得用其他分公司业绩，以独立法人单位名义投标允许用其下属分公司业绩。</w:t>
            </w:r>
          </w:p>
        </w:tc>
      </w:tr>
    </w:tbl>
    <w:p>
      <w:pPr>
        <w:spacing w:line="440" w:lineRule="exact"/>
        <w:rPr>
          <w:rFonts w:ascii="宋体" w:hAnsi="宋体"/>
          <w:color w:val="auto"/>
        </w:rPr>
      </w:pPr>
      <w:r>
        <w:rPr>
          <w:rFonts w:hint="eastAsia" w:ascii="宋体" w:hAnsi="宋体"/>
          <w:color w:val="auto"/>
        </w:rPr>
        <w:t xml:space="preserve">   注：1.</w:t>
      </w:r>
      <w:r>
        <w:rPr>
          <w:rFonts w:hint="eastAsia"/>
          <w:color w:val="auto"/>
          <w:szCs w:val="22"/>
        </w:rPr>
        <w:t xml:space="preserve"> 提供能够证明已完成承保类似项目项目的证明文件。涉及到保险费率、保险费等保密数据可以进行覆盖，但要保证提供的资料能够充分证明该业绩。</w:t>
      </w:r>
    </w:p>
    <w:p>
      <w:pPr>
        <w:pStyle w:val="34"/>
        <w:rPr>
          <w:color w:val="auto"/>
          <w:sz w:val="21"/>
          <w:szCs w:val="21"/>
        </w:rPr>
      </w:pPr>
      <w:r>
        <w:rPr>
          <w:rFonts w:hint="eastAsia"/>
          <w:color w:val="auto"/>
        </w:rPr>
        <w:t xml:space="preserve">   </w:t>
      </w:r>
      <w:r>
        <w:rPr>
          <w:color w:val="auto"/>
          <w:sz w:val="21"/>
          <w:szCs w:val="21"/>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2</w:t>
      </w:r>
      <w:r>
        <w:rPr>
          <w:color w:val="auto"/>
          <w:sz w:val="21"/>
          <w:szCs w:val="21"/>
        </w:rPr>
        <w:t>.</w:t>
      </w:r>
      <w:r>
        <w:rPr>
          <w:rFonts w:hint="eastAsia"/>
          <w:color w:val="auto"/>
          <w:sz w:val="21"/>
          <w:szCs w:val="21"/>
        </w:rPr>
        <w:t>如近</w:t>
      </w:r>
      <w:r>
        <w:rPr>
          <w:color w:val="auto"/>
          <w:sz w:val="21"/>
          <w:szCs w:val="21"/>
        </w:rPr>
        <w:t>3年来，投标人法人机构发生合法变更或重组或法人名称变更时，应提供相关部门的合法批件或其他相关证明材料来证明其所附业绩的继承性。</w:t>
      </w:r>
    </w:p>
    <w:p>
      <w:pPr>
        <w:spacing w:line="440" w:lineRule="exact"/>
        <w:jc w:val="center"/>
        <w:rPr>
          <w:rFonts w:ascii="宋体" w:hAnsi="宋体"/>
          <w:b/>
          <w:color w:val="auto"/>
          <w:sz w:val="28"/>
          <w:szCs w:val="28"/>
        </w:rPr>
      </w:pPr>
      <w:r>
        <w:rPr>
          <w:rFonts w:hint="eastAsia" w:ascii="宋体" w:hAnsi="宋体"/>
          <w:b/>
          <w:color w:val="auto"/>
          <w:sz w:val="28"/>
          <w:szCs w:val="28"/>
        </w:rPr>
        <w:t>附录4 资格审查条件</w:t>
      </w:r>
      <w:r>
        <w:rPr>
          <w:rFonts w:ascii="宋体" w:hAnsi="宋体"/>
          <w:b/>
          <w:color w:val="auto"/>
          <w:sz w:val="28"/>
          <w:szCs w:val="28"/>
        </w:rPr>
        <w:t>(</w:t>
      </w:r>
      <w:r>
        <w:rPr>
          <w:rFonts w:hint="eastAsia" w:ascii="宋体" w:hAnsi="宋体"/>
          <w:b/>
          <w:color w:val="auto"/>
          <w:sz w:val="28"/>
          <w:szCs w:val="28"/>
        </w:rPr>
        <w:t>信誉最低要求</w:t>
      </w:r>
      <w:r>
        <w:rPr>
          <w:rFonts w:ascii="宋体" w:hAnsi="宋体"/>
          <w:b/>
          <w:color w:val="auto"/>
          <w:sz w:val="28"/>
          <w:szCs w:val="28"/>
        </w:rPr>
        <w:t>)</w:t>
      </w:r>
    </w:p>
    <w:tbl>
      <w:tblPr>
        <w:tblStyle w:val="8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spacing w:line="360" w:lineRule="auto"/>
              <w:jc w:val="center"/>
              <w:rPr>
                <w:rFonts w:ascii="宋体" w:hAnsi="宋体"/>
                <w:color w:val="auto"/>
                <w:szCs w:val="21"/>
              </w:rPr>
            </w:pPr>
            <w:r>
              <w:rPr>
                <w:rFonts w:hint="eastAsia" w:ascii="宋体" w:hAnsi="宋体"/>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9060"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投标人自行承诺（格式见第六章投标文件格式）不得存在下列情形之一：</w:t>
            </w:r>
          </w:p>
          <w:p>
            <w:pPr>
              <w:adjustRightInd w:val="0"/>
              <w:snapToGrid w:val="0"/>
              <w:spacing w:after="156" w:afterLines="50" w:line="440" w:lineRule="atLeast"/>
              <w:ind w:firstLine="420" w:firstLineChars="200"/>
              <w:rPr>
                <w:color w:val="auto"/>
                <w:szCs w:val="21"/>
              </w:rPr>
            </w:pPr>
            <w:r>
              <w:rPr>
                <w:rFonts w:ascii="宋体" w:hAnsi="宋体"/>
                <w:color w:val="auto"/>
                <w:szCs w:val="21"/>
              </w:rPr>
              <w:t>投标人</w:t>
            </w:r>
            <w:r>
              <w:rPr>
                <w:rFonts w:hint="eastAsia" w:ascii="宋体" w:hAnsi="宋体"/>
                <w:color w:val="auto"/>
                <w:szCs w:val="21"/>
              </w:rPr>
              <w:t>没有处于被责令停业、相关资格被注销、竞标资格被暂停或取消、财产被接管、冻结、破产状态；201</w:t>
            </w:r>
            <w:r>
              <w:rPr>
                <w:rFonts w:ascii="宋体" w:hAnsi="宋体"/>
                <w:color w:val="auto"/>
                <w:szCs w:val="21"/>
              </w:rPr>
              <w:t>8</w:t>
            </w:r>
            <w:r>
              <w:rPr>
                <w:rFonts w:hint="eastAsia" w:ascii="宋体" w:hAnsi="宋体"/>
                <w:color w:val="auto"/>
                <w:szCs w:val="21"/>
              </w:rPr>
              <w:t>年1月至今未被中国保监会、重庆保监局因公共交通保险服务受到行政处罚，或因投标人原因而使任何合同被解除；具有依法缴纳税金和社会保障基金的良好记录；无不良诉讼记录。</w:t>
            </w:r>
          </w:p>
        </w:tc>
      </w:tr>
    </w:tbl>
    <w:p>
      <w:pPr>
        <w:adjustRightInd w:val="0"/>
        <w:snapToGrid w:val="0"/>
        <w:spacing w:after="156" w:afterLines="50" w:line="440" w:lineRule="atLeast"/>
        <w:ind w:firstLine="420" w:firstLineChars="200"/>
        <w:rPr>
          <w:rFonts w:ascii="宋体" w:hAnsi="宋体"/>
          <w:color w:val="auto"/>
          <w:szCs w:val="21"/>
        </w:rPr>
      </w:pPr>
      <w:r>
        <w:rPr>
          <w:rFonts w:hint="eastAsia"/>
          <w:color w:val="auto"/>
          <w:szCs w:val="21"/>
        </w:rPr>
        <w:t>注：</w:t>
      </w:r>
      <w:r>
        <w:rPr>
          <w:rFonts w:hint="eastAsia" w:ascii="宋体" w:hAnsi="宋体"/>
          <w:color w:val="auto"/>
          <w:szCs w:val="21"/>
        </w:rPr>
        <w:t>投标人自行承诺（格式见第六章投标文件格式）</w:t>
      </w:r>
    </w:p>
    <w:p>
      <w:pPr>
        <w:adjustRightInd w:val="0"/>
        <w:snapToGrid w:val="0"/>
        <w:spacing w:after="156" w:afterLines="50" w:line="440" w:lineRule="atLeast"/>
        <w:jc w:val="center"/>
        <w:rPr>
          <w:rFonts w:ascii="宋体" w:hAnsi="宋体"/>
          <w:color w:val="auto"/>
          <w:szCs w:val="21"/>
        </w:rPr>
      </w:pPr>
    </w:p>
    <w:p>
      <w:pPr>
        <w:adjustRightInd w:val="0"/>
        <w:snapToGrid w:val="0"/>
        <w:spacing w:after="156" w:afterLines="50" w:line="440" w:lineRule="atLeast"/>
        <w:jc w:val="center"/>
        <w:rPr>
          <w:rFonts w:ascii="宋体" w:hAnsi="宋体"/>
          <w:b/>
          <w:color w:val="auto"/>
          <w:sz w:val="28"/>
          <w:szCs w:val="28"/>
        </w:rPr>
      </w:pPr>
      <w:r>
        <w:rPr>
          <w:rFonts w:ascii="宋体" w:hAnsi="宋体"/>
          <w:b/>
          <w:color w:val="auto"/>
          <w:sz w:val="28"/>
          <w:szCs w:val="28"/>
        </w:rPr>
        <w:t>附录</w:t>
      </w:r>
      <w:r>
        <w:rPr>
          <w:rFonts w:hint="eastAsia" w:ascii="宋体" w:hAnsi="宋体"/>
          <w:b/>
          <w:color w:val="auto"/>
          <w:sz w:val="28"/>
          <w:szCs w:val="28"/>
        </w:rPr>
        <w:t>5</w:t>
      </w:r>
      <w:r>
        <w:rPr>
          <w:rFonts w:ascii="宋体" w:hAnsi="宋体"/>
          <w:b/>
          <w:color w:val="auto"/>
          <w:sz w:val="28"/>
          <w:szCs w:val="28"/>
        </w:rPr>
        <w:t>资格审查条件(</w:t>
      </w:r>
      <w:r>
        <w:rPr>
          <w:rFonts w:hint="eastAsia" w:ascii="宋体" w:hAnsi="宋体"/>
          <w:b/>
          <w:color w:val="auto"/>
          <w:sz w:val="28"/>
          <w:szCs w:val="28"/>
        </w:rPr>
        <w:t>服务</w:t>
      </w:r>
      <w:r>
        <w:rPr>
          <w:rFonts w:ascii="宋体" w:hAnsi="宋体"/>
          <w:b/>
          <w:color w:val="auto"/>
          <w:sz w:val="28"/>
          <w:szCs w:val="28"/>
        </w:rPr>
        <w:t>最低要求)</w:t>
      </w:r>
    </w:p>
    <w:tbl>
      <w:tblPr>
        <w:tblStyle w:val="8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0" w:type="dxa"/>
            <w:vAlign w:val="center"/>
          </w:tcPr>
          <w:p>
            <w:pPr>
              <w:pStyle w:val="108"/>
              <w:jc w:val="center"/>
              <w:rPr>
                <w:rFonts w:ascii="宋体" w:hAnsi="宋体"/>
                <w:color w:val="auto"/>
                <w:sz w:val="21"/>
                <w:szCs w:val="21"/>
              </w:rPr>
            </w:pPr>
            <w:r>
              <w:rPr>
                <w:rFonts w:hint="eastAsia" w:ascii="宋体" w:hAnsi="宋体"/>
                <w:color w:val="auto"/>
                <w:sz w:val="21"/>
                <w:szCs w:val="21"/>
              </w:rPr>
              <w:t>对投标人的服务要求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0" w:type="dxa"/>
            <w:vAlign w:val="center"/>
          </w:tcPr>
          <w:p>
            <w:pPr>
              <w:pStyle w:val="108"/>
              <w:rPr>
                <w:rFonts w:ascii="宋体" w:hAnsi="宋体"/>
                <w:color w:val="auto"/>
                <w:sz w:val="21"/>
                <w:szCs w:val="21"/>
              </w:rPr>
            </w:pPr>
            <w:r>
              <w:rPr>
                <w:rFonts w:hint="eastAsia" w:ascii="宋体" w:hAnsi="宋体"/>
                <w:color w:val="auto"/>
                <w:sz w:val="21"/>
                <w:szCs w:val="21"/>
              </w:rPr>
              <w:t xml:space="preserve">    服务满足第五章发包人要求</w:t>
            </w:r>
          </w:p>
        </w:tc>
      </w:tr>
    </w:tbl>
    <w:p>
      <w:pPr>
        <w:spacing w:line="440" w:lineRule="exact"/>
        <w:ind w:firstLine="420" w:firstLineChars="200"/>
        <w:rPr>
          <w:rFonts w:ascii="宋体" w:hAnsi="宋体"/>
          <w:color w:val="auto"/>
        </w:rPr>
      </w:pPr>
      <w:r>
        <w:rPr>
          <w:rFonts w:hint="eastAsia" w:ascii="宋体" w:hAnsi="宋体"/>
          <w:color w:val="auto"/>
        </w:rPr>
        <w:t>注</w:t>
      </w:r>
      <w:r>
        <w:rPr>
          <w:rFonts w:ascii="宋体" w:hAnsi="宋体"/>
          <w:color w:val="auto"/>
        </w:rPr>
        <w:t>：</w:t>
      </w:r>
      <w:r>
        <w:rPr>
          <w:rFonts w:hint="eastAsia" w:ascii="宋体" w:hAnsi="宋体"/>
          <w:color w:val="auto"/>
        </w:rPr>
        <w:t>提供承诺书，格式详见投标文件格式。</w:t>
      </w:r>
    </w:p>
    <w:p>
      <w:pPr>
        <w:spacing w:line="440" w:lineRule="exact"/>
        <w:ind w:firstLine="420"/>
        <w:rPr>
          <w:rFonts w:ascii="宋体" w:hAnsi="宋体"/>
          <w:color w:val="auto"/>
        </w:rPr>
      </w:pPr>
    </w:p>
    <w:p>
      <w:pPr>
        <w:adjustRightInd w:val="0"/>
        <w:snapToGrid w:val="0"/>
        <w:spacing w:after="156" w:afterLines="50" w:line="440" w:lineRule="atLeast"/>
        <w:ind w:firstLine="480" w:firstLineChars="200"/>
        <w:rPr>
          <w:rFonts w:ascii="宋体" w:hAnsi="宋体"/>
          <w:color w:val="auto"/>
          <w:sz w:val="24"/>
        </w:rPr>
      </w:pPr>
      <w:r>
        <w:rPr>
          <w:rFonts w:ascii="宋体" w:hAnsi="宋体"/>
          <w:color w:val="auto"/>
          <w:sz w:val="24"/>
        </w:rPr>
        <w:br w:type="page"/>
      </w:r>
    </w:p>
    <w:p>
      <w:pPr>
        <w:pStyle w:val="4"/>
        <w:spacing w:before="0" w:after="0" w:line="360" w:lineRule="exact"/>
        <w:rPr>
          <w:rFonts w:ascii="黑体" w:eastAsia="黑体"/>
          <w:b w:val="0"/>
          <w:color w:val="auto"/>
          <w:kern w:val="0"/>
          <w:sz w:val="24"/>
          <w:szCs w:val="24"/>
        </w:rPr>
      </w:pPr>
      <w:bookmarkStart w:id="28" w:name="_Toc29796220"/>
      <w:bookmarkStart w:id="29" w:name="_Toc28329119"/>
      <w:r>
        <w:rPr>
          <w:rFonts w:hint="eastAsia" w:ascii="黑体" w:eastAsia="黑体"/>
          <w:b w:val="0"/>
          <w:color w:val="auto"/>
          <w:kern w:val="0"/>
          <w:sz w:val="24"/>
          <w:szCs w:val="24"/>
        </w:rPr>
        <w:t>以下为投标人须知正文：</w:t>
      </w:r>
      <w:bookmarkEnd w:id="28"/>
      <w:bookmarkEnd w:id="29"/>
    </w:p>
    <w:p>
      <w:pPr>
        <w:numPr>
          <w:ilvl w:val="0"/>
          <w:numId w:val="2"/>
        </w:numPr>
        <w:spacing w:line="360" w:lineRule="auto"/>
        <w:rPr>
          <w:rFonts w:ascii="宋体" w:hAnsi="宋体"/>
          <w:b/>
          <w:color w:val="auto"/>
          <w:sz w:val="24"/>
        </w:rPr>
      </w:pPr>
      <w:r>
        <w:rPr>
          <w:rFonts w:hint="eastAsia" w:ascii="宋体" w:hAnsi="宋体"/>
          <w:b/>
          <w:color w:val="auto"/>
          <w:sz w:val="24"/>
        </w:rPr>
        <w:t>总则</w:t>
      </w:r>
    </w:p>
    <w:p>
      <w:pPr>
        <w:spacing w:line="360" w:lineRule="auto"/>
        <w:rPr>
          <w:rFonts w:ascii="宋体" w:hAnsi="宋体" w:cs="黑体"/>
          <w:b/>
          <w:color w:val="auto"/>
          <w:sz w:val="24"/>
        </w:rPr>
      </w:pPr>
      <w:r>
        <w:rPr>
          <w:rFonts w:ascii="宋体" w:hAnsi="宋体"/>
          <w:b/>
          <w:color w:val="auto"/>
          <w:sz w:val="24"/>
        </w:rPr>
        <w:t xml:space="preserve">1.1 </w:t>
      </w:r>
      <w:r>
        <w:rPr>
          <w:rFonts w:hint="eastAsia" w:ascii="宋体" w:hAnsi="宋体" w:cs="黑体"/>
          <w:b/>
          <w:color w:val="auto"/>
          <w:sz w:val="24"/>
        </w:rPr>
        <w:t>项目概况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1.1.1本招标项目已具备招标条件，现对本项目进行招标。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 本招标项目招标人：见投标人须知前附表。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 本标段招标代理机构：见投标人须知前附表。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 本招标项目名称：见投标人须知前附表。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1.1.5 本标段建设地点：见投标人须知前附表。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1.1.6 本标段建设规模：见投标人须知前附表。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1.1.7 本标段投资估算：见投标人须知前附表。</w:t>
      </w:r>
    </w:p>
    <w:p>
      <w:pPr>
        <w:spacing w:line="360" w:lineRule="auto"/>
        <w:rPr>
          <w:rFonts w:ascii="宋体" w:hAnsi="宋体"/>
          <w:b/>
          <w:color w:val="auto"/>
          <w:sz w:val="24"/>
        </w:rPr>
      </w:pPr>
      <w:r>
        <w:rPr>
          <w:rFonts w:ascii="宋体" w:hAnsi="宋体"/>
          <w:b/>
          <w:color w:val="auto"/>
          <w:sz w:val="24"/>
        </w:rPr>
        <w:t xml:space="preserve">1.2 </w:t>
      </w:r>
      <w:r>
        <w:rPr>
          <w:rFonts w:hint="eastAsia" w:ascii="宋体" w:hAnsi="宋体"/>
          <w:b/>
          <w:color w:val="auto"/>
          <w:sz w:val="24"/>
        </w:rPr>
        <w:t>招标项目的资金来源和落实情况</w:t>
      </w:r>
      <w:r>
        <w:rPr>
          <w:rFonts w:ascii="宋体" w:hAnsi="宋体"/>
          <w:b/>
          <w:color w:val="auto"/>
          <w:sz w:val="24"/>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 资金来源及比例：见投标人须知前附表。</w:t>
      </w:r>
    </w:p>
    <w:p>
      <w:pPr>
        <w:spacing w:line="360" w:lineRule="auto"/>
        <w:ind w:firstLine="420" w:firstLineChars="200"/>
        <w:rPr>
          <w:rFonts w:ascii="宋体" w:hAnsi="宋体" w:cs="宋体"/>
          <w:color w:val="auto"/>
          <w:sz w:val="23"/>
          <w:szCs w:val="23"/>
        </w:rPr>
      </w:pPr>
      <w:r>
        <w:rPr>
          <w:rFonts w:hint="eastAsia" w:ascii="宋体" w:hAnsi="宋体" w:cs="宋体"/>
          <w:color w:val="auto"/>
          <w:szCs w:val="21"/>
        </w:rPr>
        <w:t>1.2.2 资金落实情况：见投标人须知前附表。</w:t>
      </w:r>
      <w:r>
        <w:rPr>
          <w:rFonts w:ascii="宋体" w:hAnsi="宋体" w:cs="宋体"/>
          <w:color w:val="auto"/>
          <w:sz w:val="23"/>
          <w:szCs w:val="23"/>
        </w:rPr>
        <w:t xml:space="preserve"> </w:t>
      </w:r>
    </w:p>
    <w:p>
      <w:pPr>
        <w:spacing w:line="360" w:lineRule="auto"/>
        <w:rPr>
          <w:rFonts w:ascii="宋体" w:hAnsi="宋体"/>
          <w:b/>
          <w:color w:val="auto"/>
          <w:sz w:val="24"/>
        </w:rPr>
      </w:pPr>
      <w:r>
        <w:rPr>
          <w:rFonts w:ascii="宋体" w:hAnsi="宋体"/>
          <w:b/>
          <w:color w:val="auto"/>
          <w:sz w:val="24"/>
        </w:rPr>
        <w:t xml:space="preserve">1.3 </w:t>
      </w:r>
      <w:r>
        <w:rPr>
          <w:rFonts w:hint="eastAsia" w:ascii="宋体" w:hAnsi="宋体"/>
          <w:b/>
          <w:color w:val="auto"/>
          <w:sz w:val="24"/>
        </w:rPr>
        <w:t>招标范围、保险期限、质量要求和安全目标</w:t>
      </w:r>
    </w:p>
    <w:p>
      <w:pPr>
        <w:spacing w:line="360" w:lineRule="auto"/>
        <w:ind w:firstLine="420" w:firstLineChars="200"/>
        <w:rPr>
          <w:rFonts w:ascii="宋体" w:hAnsi="宋体" w:cs="宋体"/>
          <w:color w:val="auto"/>
          <w:szCs w:val="21"/>
        </w:rPr>
      </w:pPr>
      <w:r>
        <w:rPr>
          <w:rFonts w:ascii="宋体" w:hAnsi="宋体" w:cs="宋体"/>
          <w:color w:val="auto"/>
          <w:szCs w:val="21"/>
        </w:rPr>
        <w:t xml:space="preserve">1.3.1 </w:t>
      </w:r>
      <w:r>
        <w:rPr>
          <w:rFonts w:hint="eastAsia" w:ascii="宋体" w:hAnsi="宋体" w:cs="宋体"/>
          <w:color w:val="auto"/>
          <w:szCs w:val="21"/>
        </w:rPr>
        <w:t>招标范围：见投标人须知前附表。</w:t>
      </w:r>
    </w:p>
    <w:p>
      <w:pPr>
        <w:spacing w:line="360" w:lineRule="auto"/>
        <w:ind w:firstLine="420" w:firstLineChars="200"/>
        <w:rPr>
          <w:rFonts w:ascii="宋体" w:hAnsi="宋体" w:cs="宋体"/>
          <w:color w:val="auto"/>
          <w:szCs w:val="21"/>
        </w:rPr>
      </w:pPr>
      <w:r>
        <w:rPr>
          <w:rFonts w:ascii="宋体" w:hAnsi="宋体" w:cs="宋体"/>
          <w:color w:val="auto"/>
          <w:szCs w:val="21"/>
        </w:rPr>
        <w:t xml:space="preserve">1.3.2 </w:t>
      </w:r>
      <w:r>
        <w:rPr>
          <w:rFonts w:hint="eastAsia" w:ascii="宋体" w:hAnsi="宋体" w:cs="宋体"/>
          <w:color w:val="auto"/>
          <w:szCs w:val="21"/>
        </w:rPr>
        <w:t>保险期限：见投标人须知前附表。</w:t>
      </w:r>
    </w:p>
    <w:p>
      <w:pPr>
        <w:spacing w:line="360" w:lineRule="auto"/>
        <w:ind w:firstLine="420" w:firstLineChars="200"/>
        <w:rPr>
          <w:rFonts w:ascii="宋体" w:hAnsi="宋体" w:cs="宋体"/>
          <w:color w:val="auto"/>
          <w:szCs w:val="21"/>
        </w:rPr>
      </w:pPr>
      <w:r>
        <w:rPr>
          <w:rFonts w:ascii="宋体" w:hAnsi="宋体" w:cs="宋体"/>
          <w:color w:val="auto"/>
          <w:szCs w:val="21"/>
        </w:rPr>
        <w:t xml:space="preserve">1.3.3 </w:t>
      </w:r>
      <w:r>
        <w:rPr>
          <w:rFonts w:hint="eastAsia" w:ascii="宋体" w:hAnsi="宋体" w:cs="宋体"/>
          <w:color w:val="auto"/>
          <w:szCs w:val="21"/>
        </w:rPr>
        <w:t>本标段的质量要求：见投标人须知前附表。</w:t>
      </w:r>
    </w:p>
    <w:p>
      <w:pPr>
        <w:spacing w:line="360" w:lineRule="auto"/>
        <w:ind w:firstLine="420" w:firstLineChars="200"/>
        <w:rPr>
          <w:rFonts w:ascii="宋体" w:hAnsi="宋体" w:cs="宋体"/>
          <w:color w:val="auto"/>
          <w:szCs w:val="21"/>
        </w:rPr>
      </w:pPr>
      <w:r>
        <w:rPr>
          <w:rFonts w:ascii="宋体" w:hAnsi="宋体" w:cs="宋体"/>
          <w:color w:val="auto"/>
          <w:szCs w:val="21"/>
        </w:rPr>
        <w:t xml:space="preserve">1.3.4 </w:t>
      </w:r>
      <w:r>
        <w:rPr>
          <w:rFonts w:hint="eastAsia" w:ascii="宋体" w:hAnsi="宋体" w:cs="宋体"/>
          <w:color w:val="auto"/>
          <w:szCs w:val="21"/>
        </w:rPr>
        <w:t>本标段的安全目标：见投标人须知前附表。</w:t>
      </w:r>
    </w:p>
    <w:p>
      <w:pPr>
        <w:spacing w:line="360" w:lineRule="auto"/>
        <w:rPr>
          <w:rFonts w:ascii="宋体" w:hAnsi="宋体"/>
          <w:b/>
          <w:color w:val="auto"/>
          <w:sz w:val="24"/>
        </w:rPr>
      </w:pPr>
      <w:r>
        <w:rPr>
          <w:rFonts w:ascii="宋体" w:hAnsi="宋体"/>
          <w:b/>
          <w:color w:val="auto"/>
          <w:sz w:val="24"/>
        </w:rPr>
        <w:t xml:space="preserve">1.4 </w:t>
      </w:r>
      <w:r>
        <w:rPr>
          <w:rFonts w:hint="eastAsia" w:ascii="宋体" w:hAnsi="宋体"/>
          <w:b/>
          <w:color w:val="auto"/>
          <w:sz w:val="24"/>
        </w:rPr>
        <w:t>投标人资格要求</w:t>
      </w:r>
    </w:p>
    <w:p>
      <w:pPr>
        <w:spacing w:line="360" w:lineRule="auto"/>
        <w:ind w:firstLine="420" w:firstLineChars="200"/>
        <w:rPr>
          <w:rFonts w:ascii="宋体" w:hAnsi="宋体"/>
          <w:color w:val="auto"/>
          <w:szCs w:val="21"/>
        </w:rPr>
      </w:pPr>
      <w:r>
        <w:rPr>
          <w:rFonts w:ascii="宋体" w:hAnsi="宋体"/>
          <w:color w:val="auto"/>
          <w:szCs w:val="21"/>
        </w:rPr>
        <w:t xml:space="preserve">1.4.1 </w:t>
      </w:r>
      <w:r>
        <w:rPr>
          <w:rFonts w:hint="eastAsia" w:ascii="宋体" w:hAnsi="宋体"/>
          <w:color w:val="auto"/>
          <w:szCs w:val="21"/>
        </w:rPr>
        <w:t>投标人应具备承担本项目的资质条件、能力和信誉。</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 xml:space="preserve">1）资质要求：见投标人须知前附表； </w:t>
      </w:r>
    </w:p>
    <w:p>
      <w:pPr>
        <w:spacing w:line="360" w:lineRule="auto"/>
        <w:ind w:firstLine="420" w:firstLineChars="200"/>
        <w:rPr>
          <w:rFonts w:ascii="宋体" w:hAnsi="宋体"/>
          <w:color w:val="auto"/>
          <w:szCs w:val="21"/>
        </w:rPr>
      </w:pPr>
      <w:r>
        <w:rPr>
          <w:rFonts w:hint="eastAsia" w:ascii="宋体" w:hAnsi="宋体"/>
          <w:color w:val="auto"/>
          <w:szCs w:val="21"/>
        </w:rPr>
        <w:t>（2）财务要求：见投标人须知前附表；</w:t>
      </w:r>
    </w:p>
    <w:p>
      <w:pPr>
        <w:spacing w:line="360" w:lineRule="auto"/>
        <w:ind w:firstLine="420" w:firstLineChars="200"/>
        <w:rPr>
          <w:rFonts w:ascii="宋体" w:hAnsi="宋体"/>
          <w:color w:val="auto"/>
          <w:szCs w:val="21"/>
        </w:rPr>
      </w:pPr>
      <w:r>
        <w:rPr>
          <w:rFonts w:hint="eastAsia" w:ascii="宋体" w:hAnsi="宋体"/>
          <w:color w:val="auto"/>
          <w:szCs w:val="21"/>
        </w:rPr>
        <w:t>（2）业绩要求：见投标人须知前附表；</w:t>
      </w:r>
    </w:p>
    <w:p>
      <w:pPr>
        <w:spacing w:line="360" w:lineRule="auto"/>
        <w:ind w:firstLine="420" w:firstLineChars="200"/>
        <w:rPr>
          <w:rFonts w:ascii="宋体" w:hAnsi="宋体"/>
          <w:color w:val="auto"/>
          <w:szCs w:val="21"/>
        </w:rPr>
      </w:pPr>
      <w:r>
        <w:rPr>
          <w:rFonts w:hint="eastAsia" w:ascii="宋体" w:hAnsi="宋体"/>
          <w:color w:val="auto"/>
          <w:szCs w:val="21"/>
        </w:rPr>
        <w:t>（3）信誉要求：见投标人须知前附表；</w:t>
      </w:r>
    </w:p>
    <w:p>
      <w:pPr>
        <w:spacing w:line="360" w:lineRule="auto"/>
        <w:ind w:firstLine="420" w:firstLineChars="200"/>
        <w:rPr>
          <w:rFonts w:ascii="宋体" w:hAnsi="宋体"/>
          <w:color w:val="auto"/>
          <w:szCs w:val="21"/>
        </w:rPr>
      </w:pPr>
      <w:r>
        <w:rPr>
          <w:rFonts w:hint="eastAsia" w:ascii="宋体" w:hAnsi="宋体"/>
          <w:color w:val="auto"/>
          <w:szCs w:val="21"/>
        </w:rPr>
        <w:t>（4）服务要求：见投标人须知前附表。</w:t>
      </w:r>
    </w:p>
    <w:p>
      <w:pPr>
        <w:spacing w:line="360" w:lineRule="auto"/>
        <w:ind w:firstLine="420" w:firstLineChars="200"/>
        <w:rPr>
          <w:rFonts w:ascii="宋体" w:hAnsi="宋体"/>
          <w:color w:val="auto"/>
          <w:szCs w:val="21"/>
        </w:rPr>
      </w:pPr>
      <w:r>
        <w:rPr>
          <w:rFonts w:hint="eastAsia" w:ascii="宋体" w:hAnsi="宋体"/>
          <w:color w:val="auto"/>
          <w:szCs w:val="21"/>
        </w:rPr>
        <w:t>需要提交的相关证明材料见本章第3.5款的规定。</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olor w:val="auto"/>
          <w:szCs w:val="21"/>
        </w:rPr>
        <w:t xml:space="preserve">1.4.2 </w:t>
      </w:r>
      <w:r>
        <w:rPr>
          <w:rFonts w:hint="eastAsia" w:ascii="宋体" w:hAnsi="宋体"/>
          <w:color w:val="auto"/>
          <w:szCs w:val="21"/>
          <w:lang w:eastAsia="zh-CN"/>
        </w:rPr>
        <w:t>本项目不接受联合体投标。</w:t>
      </w:r>
    </w:p>
    <w:p>
      <w:pPr>
        <w:spacing w:line="360" w:lineRule="auto"/>
        <w:ind w:firstLine="420" w:firstLineChars="200"/>
        <w:rPr>
          <w:rFonts w:ascii="宋体" w:hAnsi="宋体" w:cs="宋体"/>
          <w:color w:val="auto"/>
          <w:szCs w:val="21"/>
        </w:rPr>
      </w:pPr>
      <w:r>
        <w:rPr>
          <w:rFonts w:ascii="宋体" w:hAnsi="宋体" w:cs="宋体"/>
          <w:color w:val="auto"/>
          <w:szCs w:val="21"/>
        </w:rPr>
        <w:t xml:space="preserve">1.4.3 </w:t>
      </w:r>
      <w:r>
        <w:rPr>
          <w:rFonts w:hint="eastAsia" w:ascii="宋体" w:hAnsi="宋体" w:cs="宋体"/>
          <w:color w:val="auto"/>
          <w:szCs w:val="21"/>
        </w:rPr>
        <w:t>投标人不得与本标段相关单位存在下列关联关系：</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 xml:space="preserve">（1）为招标人不具有独立法人资格的附属机构（单位）； </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（2）与招标人存在利害关系且可能影响招标公正性；</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（3）与本标段的其他投标人同为一个单位负责人；</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（4）与本标段的其他投标人存在控股、管理关系；</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（5）为本招标项目招标代理机构；</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 xml:space="preserve">（6）与本招标项目的招标代理机构同为一个法定代表人的；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 xml:space="preserve">（7）与本招标项目的招标代理机构相互控股或参股的； </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（8）法律法规或投标人须知前附表规定的其他情形。</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1.4.4 投标人不得存在下列不良状况或不良信用记录：</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（1）被省级及以上交通运输主管部门取消招标项目所在地的投标资格且处于有效期内；</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（2）被责令停业，暂扣或吊销执照，或吊销资质证书；</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（3）进入清算程序，或被宣告破产，或其他丧失履约能力的情形；</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（4）在国家企业信用信息公示系统（http://www.gsxt.gov.cn/）中被列入严重违法失信企业名单；</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（5）在“信用中国”网站（http://www.creditchina.gov.cn/）中被列入失信被执行人名单；</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（6）投标人或其法定代表人、拟委任的项目负责人在近三年内有行贿犯罪行为的（行贿犯罪行为的认定以检察机关职务犯罪预防部门出具的查询结果为准）；</w:t>
      </w:r>
    </w:p>
    <w:p>
      <w:pPr>
        <w:pStyle w:val="108"/>
        <w:spacing w:line="360" w:lineRule="auto"/>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（7）法律法规或投标人须知前附表规定的其他情形。</w:t>
      </w:r>
    </w:p>
    <w:p>
      <w:pPr>
        <w:spacing w:line="360" w:lineRule="auto"/>
        <w:rPr>
          <w:rFonts w:ascii="宋体" w:hAnsi="宋体"/>
          <w:b/>
          <w:color w:val="auto"/>
          <w:sz w:val="24"/>
        </w:rPr>
      </w:pPr>
      <w:r>
        <w:rPr>
          <w:rFonts w:ascii="宋体" w:hAnsi="宋体"/>
          <w:b/>
          <w:color w:val="auto"/>
          <w:sz w:val="24"/>
        </w:rPr>
        <w:t xml:space="preserve">1.5 </w:t>
      </w:r>
      <w:r>
        <w:rPr>
          <w:rFonts w:hint="eastAsia" w:ascii="宋体" w:hAnsi="宋体"/>
          <w:b/>
          <w:color w:val="auto"/>
          <w:sz w:val="24"/>
        </w:rPr>
        <w:t>费用承担</w:t>
      </w:r>
      <w:r>
        <w:rPr>
          <w:rFonts w:ascii="宋体" w:hAnsi="宋体"/>
          <w:b/>
          <w:color w:val="auto"/>
          <w:sz w:val="24"/>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投标人准备和参加投标活动发生的所有费用自理。</w:t>
      </w:r>
      <w:r>
        <w:rPr>
          <w:rFonts w:ascii="宋体" w:hAnsi="宋体" w:cs="宋体"/>
          <w:color w:val="auto"/>
          <w:szCs w:val="21"/>
        </w:rPr>
        <w:t xml:space="preserve"> </w:t>
      </w:r>
    </w:p>
    <w:p>
      <w:pPr>
        <w:spacing w:line="360" w:lineRule="auto"/>
        <w:rPr>
          <w:rFonts w:ascii="宋体" w:hAnsi="宋体"/>
          <w:b/>
          <w:color w:val="auto"/>
          <w:sz w:val="24"/>
        </w:rPr>
      </w:pPr>
      <w:r>
        <w:rPr>
          <w:rFonts w:ascii="宋体" w:hAnsi="宋体"/>
          <w:b/>
          <w:color w:val="auto"/>
          <w:sz w:val="24"/>
        </w:rPr>
        <w:t xml:space="preserve">1.6 </w:t>
      </w:r>
      <w:r>
        <w:rPr>
          <w:rFonts w:hint="eastAsia" w:ascii="宋体" w:hAnsi="宋体"/>
          <w:b/>
          <w:color w:val="auto"/>
          <w:sz w:val="24"/>
        </w:rPr>
        <w:t>保密</w:t>
      </w:r>
    </w:p>
    <w:p>
      <w:pPr>
        <w:spacing w:line="360" w:lineRule="auto"/>
        <w:rPr>
          <w:rFonts w:ascii="宋体" w:hAnsi="宋体" w:cs="宋体"/>
          <w:color w:val="auto"/>
          <w:szCs w:val="21"/>
        </w:rPr>
      </w:pPr>
      <w:r>
        <w:rPr>
          <w:rFonts w:ascii="宋体" w:hAnsi="宋体" w:cs="黑体"/>
          <w:color w:val="auto"/>
          <w:sz w:val="23"/>
          <w:szCs w:val="23"/>
        </w:rPr>
        <w:t xml:space="preserve"> </w:t>
      </w:r>
      <w:r>
        <w:rPr>
          <w:rFonts w:hint="eastAsia" w:ascii="宋体" w:hAnsi="宋体" w:cs="黑体"/>
          <w:color w:val="auto"/>
          <w:sz w:val="23"/>
          <w:szCs w:val="23"/>
        </w:rPr>
        <w:t>　　</w:t>
      </w:r>
      <w:r>
        <w:rPr>
          <w:rFonts w:hint="eastAsia" w:ascii="宋体" w:hAnsi="宋体" w:cs="宋体"/>
          <w:color w:val="auto"/>
          <w:szCs w:val="21"/>
        </w:rPr>
        <w:t>参与招标投标活动的各方应对招标文件和投标文件中的商业和技术等秘密保密，违者应对由此造成的后果承担法律责任。</w:t>
      </w:r>
    </w:p>
    <w:p>
      <w:pPr>
        <w:spacing w:line="360" w:lineRule="auto"/>
        <w:rPr>
          <w:rFonts w:ascii="宋体" w:hAnsi="宋体"/>
          <w:b/>
          <w:color w:val="auto"/>
          <w:sz w:val="24"/>
        </w:rPr>
      </w:pPr>
      <w:r>
        <w:rPr>
          <w:rFonts w:ascii="宋体" w:hAnsi="宋体"/>
          <w:b/>
          <w:color w:val="auto"/>
          <w:sz w:val="24"/>
        </w:rPr>
        <w:t xml:space="preserve">1.7 </w:t>
      </w:r>
      <w:r>
        <w:rPr>
          <w:rFonts w:hint="eastAsia" w:ascii="宋体" w:hAnsi="宋体"/>
          <w:b/>
          <w:color w:val="auto"/>
          <w:sz w:val="24"/>
        </w:rPr>
        <w:t>语言文字</w:t>
      </w:r>
      <w:r>
        <w:rPr>
          <w:rFonts w:ascii="宋体" w:hAnsi="宋体"/>
          <w:b/>
          <w:color w:val="auto"/>
          <w:sz w:val="24"/>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招标投标文件使用的语言文字为中文。专用术语使用外文的，应附有中文注释。</w:t>
      </w:r>
    </w:p>
    <w:p>
      <w:pPr>
        <w:spacing w:line="360" w:lineRule="auto"/>
        <w:rPr>
          <w:rFonts w:ascii="宋体" w:hAnsi="宋体"/>
          <w:b/>
          <w:color w:val="auto"/>
          <w:sz w:val="24"/>
        </w:rPr>
      </w:pPr>
      <w:r>
        <w:rPr>
          <w:rFonts w:ascii="宋体" w:hAnsi="宋体"/>
          <w:b/>
          <w:color w:val="auto"/>
          <w:sz w:val="24"/>
        </w:rPr>
        <w:t xml:space="preserve">1.8 </w:t>
      </w:r>
      <w:r>
        <w:rPr>
          <w:rFonts w:hint="eastAsia" w:ascii="宋体" w:hAnsi="宋体"/>
          <w:b/>
          <w:color w:val="auto"/>
          <w:sz w:val="24"/>
        </w:rPr>
        <w:t>计量单位</w:t>
      </w:r>
    </w:p>
    <w:p>
      <w:pPr>
        <w:spacing w:line="360" w:lineRule="auto"/>
        <w:rPr>
          <w:rFonts w:ascii="宋体" w:hAnsi="宋体" w:cs="宋体"/>
          <w:color w:val="auto"/>
          <w:szCs w:val="21"/>
        </w:rPr>
      </w:pPr>
      <w:r>
        <w:rPr>
          <w:rFonts w:ascii="宋体" w:hAnsi="宋体" w:cs="黑体"/>
          <w:color w:val="auto"/>
          <w:sz w:val="23"/>
          <w:szCs w:val="23"/>
        </w:rPr>
        <w:t xml:space="preserve"> </w:t>
      </w:r>
      <w:r>
        <w:rPr>
          <w:rFonts w:hint="eastAsia" w:ascii="宋体" w:hAnsi="宋体" w:cs="黑体"/>
          <w:color w:val="auto"/>
          <w:sz w:val="23"/>
          <w:szCs w:val="23"/>
        </w:rPr>
        <w:t>　　</w:t>
      </w:r>
      <w:r>
        <w:rPr>
          <w:rFonts w:hint="eastAsia" w:ascii="宋体" w:hAnsi="宋体" w:cs="宋体"/>
          <w:color w:val="auto"/>
          <w:szCs w:val="21"/>
        </w:rPr>
        <w:t>所有计量均采用中华人民共和国法定计量单位。</w:t>
      </w:r>
      <w:r>
        <w:rPr>
          <w:rFonts w:ascii="宋体" w:hAnsi="宋体" w:cs="宋体"/>
          <w:color w:val="auto"/>
          <w:szCs w:val="21"/>
        </w:rPr>
        <w:t xml:space="preserve"> </w:t>
      </w:r>
    </w:p>
    <w:p>
      <w:pPr>
        <w:spacing w:line="360" w:lineRule="auto"/>
        <w:rPr>
          <w:rFonts w:ascii="宋体" w:hAnsi="宋体"/>
          <w:b/>
          <w:color w:val="auto"/>
          <w:sz w:val="24"/>
        </w:rPr>
      </w:pPr>
      <w:r>
        <w:rPr>
          <w:rFonts w:ascii="宋体" w:hAnsi="宋体"/>
          <w:b/>
          <w:color w:val="auto"/>
          <w:sz w:val="24"/>
        </w:rPr>
        <w:t xml:space="preserve">1.9 </w:t>
      </w:r>
      <w:r>
        <w:rPr>
          <w:rFonts w:hint="eastAsia" w:ascii="宋体" w:hAnsi="宋体"/>
          <w:b/>
          <w:color w:val="auto"/>
          <w:sz w:val="24"/>
        </w:rPr>
        <w:t>踏勘现场</w:t>
      </w:r>
      <w:r>
        <w:rPr>
          <w:rFonts w:ascii="宋体" w:hAnsi="宋体"/>
          <w:b/>
          <w:color w:val="auto"/>
          <w:sz w:val="24"/>
        </w:rPr>
        <w:t xml:space="preserve"> </w:t>
      </w:r>
    </w:p>
    <w:p>
      <w:pPr>
        <w:spacing w:line="360" w:lineRule="auto"/>
        <w:ind w:firstLine="420" w:firstLineChars="200"/>
        <w:rPr>
          <w:rFonts w:ascii="宋体" w:hAnsi="宋体" w:cs="宋体"/>
          <w:color w:val="auto"/>
          <w:szCs w:val="21"/>
        </w:rPr>
      </w:pPr>
      <w:r>
        <w:rPr>
          <w:rFonts w:ascii="宋体" w:hAnsi="宋体"/>
          <w:color w:val="auto"/>
          <w:szCs w:val="21"/>
        </w:rPr>
        <w:t xml:space="preserve">1.9.1 </w:t>
      </w:r>
      <w:r>
        <w:rPr>
          <w:rFonts w:hint="eastAsia" w:ascii="宋体" w:hAnsi="宋体"/>
          <w:color w:val="auto"/>
          <w:szCs w:val="21"/>
        </w:rPr>
        <w:t>第一章“招标公告”或“投标邀请书”</w:t>
      </w:r>
      <w:r>
        <w:rPr>
          <w:rFonts w:hint="eastAsia" w:ascii="宋体" w:hAnsi="宋体" w:cs="宋体"/>
          <w:color w:val="auto"/>
          <w:szCs w:val="21"/>
        </w:rPr>
        <w:t>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20" w:firstLineChars="200"/>
        <w:rPr>
          <w:rFonts w:ascii="宋体" w:hAnsi="宋体" w:cs="宋体"/>
          <w:color w:val="auto"/>
          <w:szCs w:val="21"/>
        </w:rPr>
      </w:pPr>
      <w:r>
        <w:rPr>
          <w:rFonts w:ascii="宋体" w:hAnsi="宋体"/>
          <w:color w:val="auto"/>
          <w:szCs w:val="21"/>
        </w:rPr>
        <w:t xml:space="preserve">1.9.2 </w:t>
      </w:r>
      <w:r>
        <w:rPr>
          <w:rFonts w:hint="eastAsia" w:ascii="宋体" w:hAnsi="宋体" w:cs="宋体"/>
          <w:color w:val="auto"/>
          <w:szCs w:val="21"/>
        </w:rPr>
        <w:t>投标人踏勘现场发生的费用自理。</w:t>
      </w:r>
    </w:p>
    <w:p>
      <w:pPr>
        <w:spacing w:line="360" w:lineRule="auto"/>
        <w:ind w:firstLine="420" w:firstLineChars="200"/>
        <w:rPr>
          <w:rFonts w:ascii="宋体" w:hAnsi="宋体" w:cs="宋体"/>
          <w:color w:val="auto"/>
          <w:szCs w:val="21"/>
        </w:rPr>
      </w:pPr>
      <w:r>
        <w:rPr>
          <w:rFonts w:ascii="宋体" w:hAnsi="宋体"/>
          <w:color w:val="auto"/>
          <w:szCs w:val="21"/>
        </w:rPr>
        <w:t xml:space="preserve">1.9.3 </w:t>
      </w:r>
      <w:r>
        <w:rPr>
          <w:rFonts w:hint="eastAsia" w:ascii="宋体" w:hAnsi="宋体" w:cs="宋体"/>
          <w:color w:val="auto"/>
          <w:szCs w:val="21"/>
        </w:rPr>
        <w:t>除招标人的原因外，投标人自行负责在踏勘现场中所发生的人员伤亡和财产损失。</w:t>
      </w:r>
      <w:r>
        <w:rPr>
          <w:rFonts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ascii="宋体" w:hAnsi="宋体"/>
          <w:color w:val="auto"/>
          <w:szCs w:val="21"/>
        </w:rPr>
        <w:t xml:space="preserve">1.9.4 </w:t>
      </w:r>
      <w:r>
        <w:rPr>
          <w:rFonts w:hint="eastAsia" w:ascii="宋体" w:hAnsi="宋体" w:cs="宋体"/>
          <w:color w:val="auto"/>
          <w:szCs w:val="21"/>
        </w:rPr>
        <w:t>招标人在踏勘现场中介绍的工程场地和相关的周边环境情况，供投标人在编制投标文件时参考，招标人不对投标人据此作出的判断和决策负责。</w:t>
      </w:r>
    </w:p>
    <w:p>
      <w:pPr>
        <w:spacing w:line="360" w:lineRule="auto"/>
        <w:rPr>
          <w:rFonts w:ascii="宋体" w:hAnsi="宋体" w:cs="黑体"/>
          <w:color w:val="auto"/>
          <w:sz w:val="24"/>
        </w:rPr>
      </w:pPr>
      <w:r>
        <w:rPr>
          <w:rFonts w:ascii="宋体" w:hAnsi="宋体" w:cs="宋体"/>
          <w:color w:val="auto"/>
          <w:sz w:val="24"/>
        </w:rPr>
        <w:t xml:space="preserve"> </w:t>
      </w:r>
      <w:r>
        <w:rPr>
          <w:rFonts w:ascii="宋体" w:hAnsi="宋体"/>
          <w:b/>
          <w:color w:val="auto"/>
          <w:sz w:val="24"/>
        </w:rPr>
        <w:t xml:space="preserve">1.10 </w:t>
      </w:r>
      <w:r>
        <w:rPr>
          <w:rFonts w:hint="eastAsia" w:ascii="宋体" w:hAnsi="宋体"/>
          <w:b/>
          <w:color w:val="auto"/>
          <w:sz w:val="24"/>
        </w:rPr>
        <w:t>投标预备会</w:t>
      </w:r>
    </w:p>
    <w:p>
      <w:pPr>
        <w:spacing w:line="360" w:lineRule="auto"/>
        <w:ind w:firstLine="420" w:firstLineChars="200"/>
        <w:rPr>
          <w:rFonts w:ascii="宋体" w:hAnsi="宋体"/>
          <w:color w:val="auto"/>
          <w:szCs w:val="21"/>
        </w:rPr>
      </w:pPr>
      <w:r>
        <w:rPr>
          <w:rFonts w:hint="eastAsia" w:ascii="宋体" w:hAnsi="宋体"/>
          <w:color w:val="auto"/>
          <w:szCs w:val="21"/>
        </w:rPr>
        <w:t>1.10.1 第一章“招标公告”或“投标邀请书”规定召开投标预备会的，招标人按规定的时间和地点召开投标预备会，澄清投标人提出的问题。</w:t>
      </w:r>
    </w:p>
    <w:p>
      <w:pPr>
        <w:spacing w:line="360" w:lineRule="auto"/>
        <w:ind w:firstLine="420" w:firstLineChars="200"/>
        <w:rPr>
          <w:rFonts w:ascii="宋体" w:hAnsi="宋体"/>
          <w:color w:val="auto"/>
          <w:szCs w:val="21"/>
        </w:rPr>
      </w:pPr>
      <w:r>
        <w:rPr>
          <w:rFonts w:hint="eastAsia" w:ascii="宋体" w:hAnsi="宋体"/>
          <w:color w:val="auto"/>
          <w:szCs w:val="21"/>
        </w:rPr>
        <w:t>1.10.2 投标人应按投标人须知前附表规定的时间和形式将提出的问题送达招标人，以便招标人在会议期间澄清。</w:t>
      </w:r>
    </w:p>
    <w:p>
      <w:pPr>
        <w:spacing w:line="360" w:lineRule="auto"/>
        <w:ind w:firstLine="420" w:firstLineChars="200"/>
        <w:rPr>
          <w:rFonts w:ascii="宋体" w:hAnsi="宋体" w:cs="宋体"/>
          <w:color w:val="auto"/>
          <w:sz w:val="23"/>
          <w:szCs w:val="23"/>
        </w:rPr>
      </w:pPr>
      <w:r>
        <w:rPr>
          <w:rFonts w:hint="eastAsia" w:ascii="宋体" w:hAnsi="宋体"/>
          <w:color w:val="auto"/>
          <w:szCs w:val="21"/>
        </w:rPr>
        <w:t>1.10.3 投标预备会后，招标人将对投标人所提问题的澄清，以本章第2.2款规定的形式通知所有购买招标文件的投标人。该澄清内容为招标文件的组成部分。</w:t>
      </w:r>
      <w:r>
        <w:rPr>
          <w:rFonts w:ascii="宋体" w:hAnsi="宋体" w:cs="宋体"/>
          <w:color w:val="auto"/>
          <w:sz w:val="23"/>
          <w:szCs w:val="23"/>
        </w:rPr>
        <w:t xml:space="preserve"> </w:t>
      </w:r>
    </w:p>
    <w:p>
      <w:pPr>
        <w:spacing w:line="360" w:lineRule="auto"/>
        <w:rPr>
          <w:rFonts w:ascii="宋体" w:hAnsi="宋体" w:cs="宋体"/>
          <w:b/>
          <w:color w:val="auto"/>
          <w:sz w:val="24"/>
        </w:rPr>
      </w:pPr>
      <w:r>
        <w:rPr>
          <w:rFonts w:ascii="宋体" w:hAnsi="宋体" w:cs="宋体"/>
          <w:b/>
          <w:color w:val="auto"/>
          <w:sz w:val="24"/>
        </w:rPr>
        <w:t xml:space="preserve">1.11 </w:t>
      </w:r>
      <w:r>
        <w:rPr>
          <w:rFonts w:hint="eastAsia" w:ascii="宋体" w:hAnsi="宋体" w:cs="宋体"/>
          <w:b/>
          <w:color w:val="auto"/>
          <w:sz w:val="24"/>
        </w:rPr>
        <w:t>分包</w:t>
      </w:r>
      <w:r>
        <w:rPr>
          <w:rFonts w:ascii="宋体" w:hAnsi="宋体" w:cs="宋体"/>
          <w:b/>
          <w:color w:val="auto"/>
          <w:sz w:val="24"/>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本</w:t>
      </w:r>
      <w:r>
        <w:rPr>
          <w:rFonts w:hint="eastAsia" w:ascii="宋体" w:hAnsi="宋体" w:cs="宋体"/>
          <w:color w:val="auto"/>
          <w:szCs w:val="21"/>
        </w:rPr>
        <w:t>项目不接受分包</w:t>
      </w:r>
    </w:p>
    <w:p>
      <w:pPr>
        <w:spacing w:line="360" w:lineRule="auto"/>
        <w:rPr>
          <w:rFonts w:ascii="宋体" w:hAnsi="宋体" w:cs="宋体"/>
          <w:b/>
          <w:color w:val="auto"/>
          <w:sz w:val="24"/>
        </w:rPr>
      </w:pPr>
      <w:r>
        <w:rPr>
          <w:rFonts w:ascii="宋体" w:hAnsi="宋体" w:cs="宋体"/>
          <w:b/>
          <w:color w:val="auto"/>
          <w:sz w:val="24"/>
        </w:rPr>
        <w:t xml:space="preserve">1.12 </w:t>
      </w:r>
      <w:r>
        <w:rPr>
          <w:rFonts w:hint="eastAsia" w:ascii="宋体" w:hAnsi="宋体" w:cs="宋体"/>
          <w:b/>
          <w:color w:val="auto"/>
          <w:sz w:val="24"/>
        </w:rPr>
        <w:t>响应和偏差</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1.12.1 投标文件偏离招标文件某些要求，视为投标文件存在偏差。偏差包括重大偏差和细微偏差。</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1.12.2 投标文件应对招标文件的实质性要求和条件作出满足性或更有利于招标人的响应，否则，视为投标文件存在重大偏差，投标人的投标将被否决。</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投标文件存在第三章“评标办法”中所列任一否决投标情形的，均属于存在重大偏差。</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1.12.3 投标文件中的下列偏差为细微偏差：</w:t>
      </w:r>
    </w:p>
    <w:p>
      <w:pPr>
        <w:spacing w:line="360" w:lineRule="auto"/>
        <w:ind w:firstLine="420" w:firstLineChars="200"/>
        <w:rPr>
          <w:rFonts w:ascii="宋体" w:hAnsi="宋体" w:cs="宋体"/>
          <w:color w:val="auto"/>
          <w:szCs w:val="21"/>
        </w:rPr>
      </w:pPr>
      <w:r>
        <w:rPr>
          <w:rFonts w:hint="eastAsia" w:ascii="宋体" w:hAnsi="宋体" w:cs="宋体"/>
          <w:color w:val="auto"/>
          <w:szCs w:val="21"/>
        </w:rPr>
        <w:t>（1）在按照第三章“评标办法”的规定对投标价进行算术性错误修正后，最终投标报价未超过最高投标限价（如有）的情况下，出现第三章“评标办法”规定的算术性错误；</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（2）技术建议书不够完善；</w:t>
      </w:r>
    </w:p>
    <w:p>
      <w:pPr>
        <w:spacing w:line="360" w:lineRule="auto"/>
        <w:ind w:firstLine="420" w:firstLineChars="200"/>
        <w:rPr>
          <w:rFonts w:ascii="宋体" w:hAnsi="宋体" w:cs="宋体"/>
          <w:color w:val="auto"/>
          <w:szCs w:val="21"/>
        </w:rPr>
      </w:pPr>
      <w:r>
        <w:rPr>
          <w:rFonts w:hint="eastAsia" w:ascii="宋体" w:hAnsi="宋体" w:cs="宋体"/>
          <w:color w:val="auto"/>
          <w:szCs w:val="21"/>
        </w:rPr>
        <w:t>（3）投标文件页码不连续、采用活页夹装订、个别文字有遗漏错误等不影响投标文件实质性内容的偏差。</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1.12.4 评标委员会对投标文件中的细微偏差按如下规定处理：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（1）对于本章第1.12.3项（1）目所述的细微偏差，按照第三章“评标办法”的规定予以修正并要求投标人进行澄清；</w:t>
      </w:r>
    </w:p>
    <w:p>
      <w:pPr>
        <w:spacing w:line="360" w:lineRule="auto"/>
        <w:ind w:firstLine="420" w:firstLineChars="200"/>
        <w:rPr>
          <w:rFonts w:ascii="宋体" w:hAnsi="宋体" w:cs="宋体"/>
          <w:color w:val="auto"/>
          <w:szCs w:val="21"/>
        </w:rPr>
      </w:pPr>
      <w:r>
        <w:rPr>
          <w:rFonts w:hint="eastAsia" w:ascii="宋体" w:hAnsi="宋体" w:cs="宋体"/>
          <w:color w:val="auto"/>
          <w:szCs w:val="21"/>
        </w:rPr>
        <w:t>（2）对于本章第1.12.3项（2）、（3）目所述的细微偏差，可在相关评分因素的评分中酌情扣分。</w:t>
      </w:r>
    </w:p>
    <w:p>
      <w:pPr>
        <w:spacing w:line="360" w:lineRule="auto"/>
        <w:ind w:firstLine="420" w:firstLineChars="200"/>
        <w:rPr>
          <w:rFonts w:ascii="宋体" w:hAnsi="宋体"/>
          <w:b/>
          <w:color w:val="auto"/>
          <w:sz w:val="28"/>
          <w:szCs w:val="28"/>
        </w:rPr>
      </w:pPr>
      <w:r>
        <w:rPr>
          <w:rFonts w:hint="eastAsia" w:ascii="宋体" w:hAnsi="宋体" w:cs="宋体"/>
          <w:color w:val="auto"/>
          <w:szCs w:val="21"/>
        </w:rPr>
        <w:t>1.12.5 投标人应根据招标文件的要求提供技术建议书等内容以对招标文件作出响应。</w:t>
      </w:r>
    </w:p>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2. 招标文件</w:t>
      </w:r>
    </w:p>
    <w:p>
      <w:pPr>
        <w:spacing w:line="360" w:lineRule="auto"/>
        <w:rPr>
          <w:rFonts w:ascii="宋体" w:hAnsi="宋体"/>
          <w:b/>
          <w:color w:val="auto"/>
          <w:sz w:val="24"/>
        </w:rPr>
      </w:pPr>
      <w:r>
        <w:rPr>
          <w:rFonts w:ascii="宋体" w:hAnsi="宋体"/>
          <w:b/>
          <w:color w:val="auto"/>
          <w:sz w:val="24"/>
        </w:rPr>
        <w:t xml:space="preserve">2.1 </w:t>
      </w:r>
      <w:r>
        <w:rPr>
          <w:rFonts w:hint="eastAsia" w:ascii="宋体" w:hAnsi="宋体"/>
          <w:b/>
          <w:color w:val="auto"/>
          <w:sz w:val="24"/>
        </w:rPr>
        <w:t>招标文件的组成</w:t>
      </w:r>
      <w:r>
        <w:rPr>
          <w:rFonts w:ascii="宋体" w:hAnsi="宋体"/>
          <w:b/>
          <w:color w:val="auto"/>
          <w:sz w:val="24"/>
        </w:rPr>
        <w:t xml:space="preserve"> </w:t>
      </w:r>
    </w:p>
    <w:p>
      <w:pPr>
        <w:spacing w:line="360" w:lineRule="auto"/>
        <w:ind w:firstLine="420" w:firstLineChars="200"/>
        <w:rPr>
          <w:rFonts w:ascii="宋体" w:hAnsi="宋体"/>
          <w:color w:val="auto"/>
          <w:szCs w:val="21"/>
        </w:rPr>
      </w:pPr>
      <w:r>
        <w:rPr>
          <w:rFonts w:ascii="宋体" w:hAnsi="宋体"/>
          <w:color w:val="auto"/>
          <w:szCs w:val="21"/>
        </w:rPr>
        <w:t>本招标文件包括：</w:t>
      </w:r>
    </w:p>
    <w:p>
      <w:pPr>
        <w:spacing w:line="360" w:lineRule="auto"/>
        <w:ind w:firstLine="420" w:firstLineChars="200"/>
        <w:rPr>
          <w:rFonts w:ascii="宋体" w:hAnsi="宋体"/>
          <w:color w:val="auto"/>
          <w:szCs w:val="21"/>
        </w:rPr>
      </w:pPr>
      <w:r>
        <w:rPr>
          <w:rFonts w:ascii="宋体" w:hAnsi="宋体"/>
          <w:color w:val="auto"/>
          <w:szCs w:val="21"/>
        </w:rPr>
        <w:t>(1)招标公告</w:t>
      </w:r>
      <w:r>
        <w:rPr>
          <w:rFonts w:hint="eastAsia" w:ascii="宋体" w:hAnsi="宋体"/>
          <w:color w:val="auto"/>
          <w:szCs w:val="21"/>
        </w:rPr>
        <w:t>（或投标邀请书）</w:t>
      </w:r>
      <w:r>
        <w:rPr>
          <w:rFonts w:ascii="宋体" w:hAnsi="宋体"/>
          <w:color w:val="auto"/>
          <w:szCs w:val="21"/>
        </w:rPr>
        <w:t>；</w:t>
      </w:r>
    </w:p>
    <w:p>
      <w:pPr>
        <w:spacing w:line="360" w:lineRule="auto"/>
        <w:ind w:firstLine="420" w:firstLineChars="200"/>
        <w:rPr>
          <w:rFonts w:ascii="宋体" w:hAnsi="宋体"/>
          <w:color w:val="auto"/>
          <w:szCs w:val="21"/>
        </w:rPr>
      </w:pPr>
      <w:r>
        <w:rPr>
          <w:rFonts w:ascii="宋体" w:hAnsi="宋体"/>
          <w:color w:val="auto"/>
          <w:szCs w:val="21"/>
        </w:rPr>
        <w:t>(2)投标人须知；</w:t>
      </w:r>
    </w:p>
    <w:p>
      <w:pPr>
        <w:spacing w:line="360" w:lineRule="auto"/>
        <w:ind w:firstLine="420" w:firstLineChars="200"/>
        <w:rPr>
          <w:rFonts w:ascii="宋体" w:hAnsi="宋体"/>
          <w:color w:val="auto"/>
          <w:szCs w:val="21"/>
        </w:rPr>
      </w:pPr>
      <w:r>
        <w:rPr>
          <w:rFonts w:ascii="宋体" w:hAnsi="宋体"/>
          <w:color w:val="auto"/>
          <w:szCs w:val="21"/>
        </w:rPr>
        <w:t>(3)评标办法；</w:t>
      </w:r>
    </w:p>
    <w:p>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承保条件</w:t>
      </w:r>
      <w:r>
        <w:rPr>
          <w:rFonts w:ascii="宋体" w:hAnsi="宋体"/>
          <w:color w:val="auto"/>
          <w:szCs w:val="21"/>
        </w:rPr>
        <w:t>；</w:t>
      </w:r>
    </w:p>
    <w:p>
      <w:pPr>
        <w:spacing w:line="360" w:lineRule="auto"/>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发包人要求</w:t>
      </w:r>
      <w:r>
        <w:rPr>
          <w:rFonts w:ascii="宋体" w:hAnsi="宋体"/>
          <w:color w:val="auto"/>
          <w:szCs w:val="21"/>
        </w:rPr>
        <w:t>；</w:t>
      </w:r>
    </w:p>
    <w:p>
      <w:pPr>
        <w:spacing w:line="360" w:lineRule="auto"/>
        <w:ind w:firstLine="420" w:firstLineChars="200"/>
        <w:rPr>
          <w:rFonts w:ascii="宋体" w:hAnsi="宋体"/>
          <w:color w:val="auto"/>
          <w:szCs w:val="21"/>
        </w:rPr>
      </w:pPr>
      <w:r>
        <w:rPr>
          <w:rFonts w:ascii="宋体" w:hAnsi="宋体"/>
          <w:color w:val="auto"/>
          <w:szCs w:val="21"/>
        </w:rPr>
        <w:t>(6)投标文件格式</w:t>
      </w:r>
      <w:r>
        <w:rPr>
          <w:rFonts w:hint="eastAsia" w:ascii="宋体" w:hAnsi="宋体"/>
          <w:color w:val="auto"/>
          <w:szCs w:val="21"/>
        </w:rPr>
        <w:t>；</w:t>
      </w:r>
    </w:p>
    <w:p>
      <w:pPr>
        <w:spacing w:line="360" w:lineRule="auto"/>
        <w:ind w:firstLine="315" w:firstLineChars="150"/>
        <w:rPr>
          <w:rFonts w:ascii="宋体" w:hAnsi="宋体"/>
          <w:color w:val="auto"/>
          <w:szCs w:val="21"/>
        </w:rPr>
      </w:pPr>
      <w:r>
        <w:rPr>
          <w:rFonts w:hint="eastAsia" w:ascii="宋体" w:hAnsi="宋体"/>
          <w:color w:val="auto"/>
          <w:szCs w:val="21"/>
        </w:rPr>
        <w:t>（7）投标人须知前附表规定的其他资料。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根据本章第1.10款、第2.2款和第2.3款对招标文件所作的澄清、修改，构成招标文件的组成部分。</w:t>
      </w:r>
    </w:p>
    <w:p>
      <w:pPr>
        <w:spacing w:line="360" w:lineRule="auto"/>
        <w:ind w:firstLine="420" w:firstLineChars="200"/>
        <w:rPr>
          <w:rFonts w:ascii="宋体" w:hAnsi="宋体" w:cs="宋体"/>
          <w:color w:val="auto"/>
          <w:sz w:val="23"/>
          <w:szCs w:val="23"/>
        </w:rPr>
      </w:pPr>
      <w:r>
        <w:rPr>
          <w:rFonts w:hint="eastAsia" w:ascii="宋体" w:hAnsi="宋体" w:cs="宋体"/>
          <w:color w:val="auto"/>
          <w:szCs w:val="21"/>
        </w:rPr>
        <w:t>当招标文件、招标文件的澄清或修改等在同一内容的表述上不一致时，以最后发出的书面文件为准。</w:t>
      </w:r>
    </w:p>
    <w:p>
      <w:pPr>
        <w:spacing w:line="360" w:lineRule="auto"/>
        <w:rPr>
          <w:rFonts w:ascii="宋体" w:hAnsi="宋体"/>
          <w:b/>
          <w:color w:val="auto"/>
          <w:sz w:val="24"/>
        </w:rPr>
      </w:pPr>
      <w:r>
        <w:rPr>
          <w:rFonts w:ascii="宋体" w:hAnsi="宋体"/>
          <w:b/>
          <w:color w:val="auto"/>
          <w:sz w:val="24"/>
        </w:rPr>
        <w:t xml:space="preserve">2.2 </w:t>
      </w:r>
      <w:r>
        <w:rPr>
          <w:rFonts w:hint="eastAsia" w:ascii="宋体" w:hAnsi="宋体"/>
          <w:b/>
          <w:color w:val="auto"/>
          <w:sz w:val="24"/>
        </w:rPr>
        <w:t>招标文件的澄清</w:t>
      </w:r>
    </w:p>
    <w:p>
      <w:pPr>
        <w:spacing w:line="360" w:lineRule="auto"/>
        <w:ind w:firstLine="420" w:firstLineChars="200"/>
        <w:rPr>
          <w:rFonts w:ascii="宋体" w:hAnsi="宋体"/>
          <w:color w:val="auto"/>
          <w:szCs w:val="21"/>
        </w:rPr>
      </w:pPr>
      <w:r>
        <w:rPr>
          <w:rFonts w:hint="eastAsia" w:ascii="宋体" w:hAnsi="宋体"/>
          <w:color w:val="auto"/>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rFonts w:ascii="宋体" w:hAnsi="宋体"/>
          <w:color w:val="auto"/>
          <w:szCs w:val="21"/>
        </w:rPr>
      </w:pPr>
      <w:r>
        <w:rPr>
          <w:rFonts w:hint="eastAsia" w:ascii="宋体" w:hAnsi="宋体"/>
          <w:color w:val="auto"/>
          <w:szCs w:val="21"/>
        </w:rPr>
        <w:t>2.2.2 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pPr>
        <w:spacing w:line="360" w:lineRule="auto"/>
        <w:ind w:firstLine="420" w:firstLineChars="200"/>
        <w:rPr>
          <w:rFonts w:ascii="宋体" w:hAnsi="宋体"/>
          <w:color w:val="auto"/>
          <w:szCs w:val="21"/>
        </w:rPr>
      </w:pPr>
      <w:r>
        <w:rPr>
          <w:rFonts w:hint="eastAsia" w:ascii="宋体" w:hAnsi="宋体"/>
          <w:color w:val="auto"/>
          <w:szCs w:val="21"/>
        </w:rPr>
        <w:t>2.2.3 投标人在收到澄清后，应按投标人须知前附表规定的时间和形式通知招标人，确认已收到该澄清。</w:t>
      </w:r>
    </w:p>
    <w:p>
      <w:pPr>
        <w:spacing w:line="360" w:lineRule="auto"/>
        <w:ind w:firstLine="420" w:firstLineChars="200"/>
        <w:rPr>
          <w:rFonts w:ascii="宋体" w:hAnsi="宋体"/>
          <w:color w:val="auto"/>
          <w:szCs w:val="21"/>
        </w:rPr>
      </w:pPr>
      <w:r>
        <w:rPr>
          <w:rFonts w:hint="eastAsia" w:ascii="宋体" w:hAnsi="宋体"/>
          <w:color w:val="auto"/>
          <w:szCs w:val="21"/>
        </w:rPr>
        <w:t>2.2.4 除非招标人认为确有必要答复，否则，招标人有权拒绝回复投标人在本章第2.2.1项规定的时间后提出的任何澄清要求。</w:t>
      </w:r>
    </w:p>
    <w:p>
      <w:pPr>
        <w:spacing w:line="360" w:lineRule="auto"/>
        <w:rPr>
          <w:rFonts w:ascii="宋体" w:hAnsi="宋体"/>
          <w:b/>
          <w:color w:val="auto"/>
          <w:sz w:val="24"/>
        </w:rPr>
      </w:pPr>
      <w:r>
        <w:rPr>
          <w:rFonts w:ascii="宋体" w:hAnsi="宋体"/>
          <w:b/>
          <w:color w:val="auto"/>
          <w:sz w:val="24"/>
        </w:rPr>
        <w:t xml:space="preserve">2.3 </w:t>
      </w:r>
      <w:r>
        <w:rPr>
          <w:rFonts w:hint="eastAsia" w:ascii="宋体" w:hAnsi="宋体"/>
          <w:b/>
          <w:color w:val="auto"/>
          <w:sz w:val="24"/>
        </w:rPr>
        <w:t>招标文件的修改</w:t>
      </w:r>
    </w:p>
    <w:p>
      <w:pPr>
        <w:spacing w:line="360" w:lineRule="auto"/>
        <w:ind w:firstLine="420" w:firstLineChars="200"/>
        <w:rPr>
          <w:rFonts w:ascii="宋体" w:hAnsi="宋体"/>
          <w:color w:val="auto"/>
          <w:szCs w:val="21"/>
        </w:rPr>
      </w:pPr>
      <w:r>
        <w:rPr>
          <w:rFonts w:hint="eastAsia" w:ascii="宋体" w:hAnsi="宋体"/>
          <w:color w:val="auto"/>
          <w:szCs w:val="21"/>
        </w:rPr>
        <w:t>2.3.1 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pPr>
        <w:spacing w:line="360" w:lineRule="auto"/>
        <w:ind w:firstLine="420" w:firstLineChars="200"/>
        <w:rPr>
          <w:rFonts w:ascii="宋体" w:hAnsi="宋体"/>
          <w:color w:val="auto"/>
          <w:sz w:val="23"/>
          <w:szCs w:val="23"/>
        </w:rPr>
      </w:pPr>
      <w:r>
        <w:rPr>
          <w:rFonts w:hint="eastAsia" w:ascii="宋体" w:hAnsi="宋体"/>
          <w:color w:val="auto"/>
          <w:szCs w:val="21"/>
        </w:rPr>
        <w:t>2.3.2 投标人收到修改内容后，应按投标人须知前附表规定的时间和形式通知招标人，确认已收到该修改。</w:t>
      </w:r>
    </w:p>
    <w:p>
      <w:pPr>
        <w:spacing w:line="360" w:lineRule="auto"/>
        <w:rPr>
          <w:rFonts w:ascii="宋体" w:hAnsi="宋体"/>
          <w:b/>
          <w:color w:val="auto"/>
          <w:sz w:val="24"/>
        </w:rPr>
      </w:pPr>
      <w:bookmarkStart w:id="30" w:name="_Toc503235759"/>
      <w:r>
        <w:rPr>
          <w:rFonts w:ascii="宋体" w:hAnsi="宋体"/>
          <w:b/>
          <w:color w:val="auto"/>
          <w:sz w:val="24"/>
        </w:rPr>
        <w:t>2.</w:t>
      </w:r>
      <w:r>
        <w:rPr>
          <w:rFonts w:hint="eastAsia" w:ascii="宋体" w:hAnsi="宋体"/>
          <w:b/>
          <w:color w:val="auto"/>
          <w:sz w:val="24"/>
        </w:rPr>
        <w:t xml:space="preserve">4 </w:t>
      </w:r>
      <w:r>
        <w:rPr>
          <w:rFonts w:ascii="宋体" w:hAnsi="宋体"/>
          <w:b/>
          <w:color w:val="auto"/>
          <w:sz w:val="24"/>
        </w:rPr>
        <w:t>招标文件的</w:t>
      </w:r>
      <w:r>
        <w:rPr>
          <w:rFonts w:hint="eastAsia" w:ascii="宋体" w:hAnsi="宋体"/>
          <w:b/>
          <w:color w:val="auto"/>
          <w:sz w:val="24"/>
        </w:rPr>
        <w:t>异议</w:t>
      </w:r>
      <w:bookmarkEnd w:id="30"/>
    </w:p>
    <w:p>
      <w:pPr>
        <w:spacing w:line="360" w:lineRule="auto"/>
        <w:ind w:firstLine="420" w:firstLineChars="200"/>
        <w:rPr>
          <w:rFonts w:ascii="宋体" w:hAnsi="宋体"/>
          <w:color w:val="auto"/>
          <w:szCs w:val="21"/>
        </w:rPr>
      </w:pPr>
      <w:r>
        <w:rPr>
          <w:rFonts w:hint="eastAsia" w:ascii="宋体" w:hAnsi="宋体"/>
          <w:color w:val="auto"/>
          <w:szCs w:val="21"/>
        </w:rPr>
        <w:t>投标人或其他利害关系人对招标文件有异议的，应在投标截止时间10日前以书面形式提出。招标人将在收到异议之日起3日内作出答复；作出答复前，将暂停招标投标活动。</w:t>
      </w:r>
    </w:p>
    <w:p>
      <w:pPr>
        <w:spacing w:line="360" w:lineRule="auto"/>
        <w:rPr>
          <w:rFonts w:ascii="宋体" w:hAnsi="宋体"/>
          <w:color w:val="auto"/>
          <w:sz w:val="23"/>
          <w:szCs w:val="23"/>
        </w:rPr>
      </w:pPr>
    </w:p>
    <w:p>
      <w:pPr>
        <w:spacing w:line="360" w:lineRule="auto"/>
        <w:rPr>
          <w:rFonts w:ascii="宋体" w:hAnsi="宋体"/>
          <w:b/>
          <w:color w:val="auto"/>
          <w:sz w:val="24"/>
        </w:rPr>
      </w:pPr>
      <w:r>
        <w:rPr>
          <w:rFonts w:ascii="宋体" w:hAnsi="宋体"/>
          <w:b/>
          <w:color w:val="auto"/>
          <w:sz w:val="24"/>
        </w:rPr>
        <w:t xml:space="preserve">3. </w:t>
      </w:r>
      <w:r>
        <w:rPr>
          <w:rFonts w:hint="eastAsia" w:ascii="宋体" w:hAnsi="宋体"/>
          <w:b/>
          <w:color w:val="auto"/>
          <w:sz w:val="24"/>
        </w:rPr>
        <w:t>投标文件</w:t>
      </w:r>
    </w:p>
    <w:p>
      <w:pPr>
        <w:spacing w:line="360" w:lineRule="auto"/>
        <w:rPr>
          <w:rFonts w:ascii="宋体" w:hAnsi="宋体"/>
          <w:b/>
          <w:color w:val="auto"/>
          <w:sz w:val="24"/>
        </w:rPr>
      </w:pPr>
      <w:r>
        <w:rPr>
          <w:rFonts w:ascii="宋体" w:hAnsi="宋体"/>
          <w:b/>
          <w:color w:val="auto"/>
          <w:sz w:val="24"/>
        </w:rPr>
        <w:t xml:space="preserve">3.1 </w:t>
      </w:r>
      <w:r>
        <w:rPr>
          <w:rFonts w:hint="eastAsia" w:ascii="宋体" w:hAnsi="宋体"/>
          <w:b/>
          <w:color w:val="auto"/>
          <w:sz w:val="24"/>
        </w:rPr>
        <w:t>投标文件的构成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3.1.1</w:t>
      </w:r>
      <w:r>
        <w:rPr>
          <w:rFonts w:hint="eastAsia" w:ascii="宋体" w:hAnsi="宋体" w:cs="宋体"/>
          <w:color w:val="auto"/>
          <w:kern w:val="0"/>
          <w:szCs w:val="21"/>
        </w:rPr>
        <w:t>投标文件应</w:t>
      </w:r>
      <w:r>
        <w:rPr>
          <w:rFonts w:hint="eastAsia" w:ascii="宋体" w:hAnsi="宋体" w:cs="宋体"/>
          <w:color w:val="auto"/>
          <w:szCs w:val="21"/>
        </w:rPr>
        <w:t>采用单信封形式。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3.1.2投标人须知前附表规定不接受联合体投标的，投标文件不包括本章第3.1.1（3）目所指的联合体协议书。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3.1.3投标人须知前附表未要求提交投标保证金的，投标文件不包括本章第3.1.1（4）目所指的投标保证金。</w:t>
      </w:r>
    </w:p>
    <w:p>
      <w:pPr>
        <w:spacing w:line="360" w:lineRule="auto"/>
        <w:rPr>
          <w:rFonts w:ascii="宋体" w:hAnsi="宋体"/>
          <w:b/>
          <w:color w:val="auto"/>
          <w:sz w:val="24"/>
        </w:rPr>
      </w:pPr>
      <w:r>
        <w:rPr>
          <w:rFonts w:ascii="宋体" w:hAnsi="宋体"/>
          <w:b/>
          <w:color w:val="auto"/>
          <w:sz w:val="24"/>
        </w:rPr>
        <w:t xml:space="preserve">3.2 </w:t>
      </w:r>
      <w:r>
        <w:rPr>
          <w:rFonts w:hint="eastAsia" w:ascii="宋体" w:hAnsi="宋体"/>
          <w:b/>
          <w:color w:val="auto"/>
          <w:sz w:val="24"/>
        </w:rPr>
        <w:t>投标报价</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3.2.1 投标报价应包括国家规定的增值税税金，除投标人须知前附表另有规定外，增值税税金按一般计税方法计算。投标人应按第六章“投标文件格式”的要求在投标函中进行报价并填写费用清单相应表格。</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3.2.2 投标人应充分了解本项目的总体情况以及影响投标报价的其他要素，按照招标文件规定的工作内容和计划工作量，自行测算费用。</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3.2.3 本项目的报价方式见投标人须知前附表。投标人在投标截止时间前修改投标函中的投标报价总额，应同时修改投标文件“费用清单”中的相应报价。此修改须符合本章第4.3款的有关要求。</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3.2.4 招标人设有最高投标限价的，投标人的投标报价不得超过最高投标限价，最高投标限价在投标人须知前附表中载明。</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3.2.5 投标报价的其他要求见投标人须知前附表。</w:t>
      </w:r>
    </w:p>
    <w:p>
      <w:pPr>
        <w:pStyle w:val="108"/>
        <w:spacing w:line="360" w:lineRule="auto"/>
        <w:rPr>
          <w:rFonts w:ascii="宋体" w:hAnsi="宋体" w:cs="黑体"/>
          <w:b/>
          <w:color w:val="auto"/>
        </w:rPr>
      </w:pPr>
      <w:r>
        <w:rPr>
          <w:rFonts w:ascii="宋体" w:hAnsi="宋体"/>
          <w:b/>
          <w:color w:val="auto"/>
        </w:rPr>
        <w:t xml:space="preserve">3.3 </w:t>
      </w:r>
      <w:r>
        <w:rPr>
          <w:rFonts w:hint="eastAsia" w:ascii="宋体" w:hAnsi="宋体" w:cs="黑体"/>
          <w:b/>
          <w:color w:val="auto"/>
        </w:rPr>
        <w:t>投标有效期</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3.3.1 除投标人须知前附表另有规定外，投标有效期为90日。</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3.3.2 在投标有效期内，投标人撤销投标文件的，应承担招标文件和法律规定的责任。</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108"/>
        <w:spacing w:line="360" w:lineRule="auto"/>
        <w:rPr>
          <w:rFonts w:ascii="宋体" w:hAnsi="宋体" w:cs="黑体"/>
          <w:b/>
          <w:color w:val="auto"/>
        </w:rPr>
      </w:pPr>
      <w:r>
        <w:rPr>
          <w:rFonts w:ascii="宋体" w:hAnsi="宋体"/>
          <w:b/>
          <w:color w:val="auto"/>
        </w:rPr>
        <w:t xml:space="preserve">3.4 </w:t>
      </w:r>
      <w:r>
        <w:rPr>
          <w:rFonts w:hint="eastAsia" w:ascii="宋体" w:hAnsi="宋体" w:cs="黑体"/>
          <w:b/>
          <w:color w:val="auto"/>
        </w:rPr>
        <w:t>投标保证金</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3.4.1 投标人在递交投标文件的同时，应按投标人须知前附表规定的金额（投标保证金不得超过招标标段估算价的2%，招标人应据此测算出具体金额。）和第六章“投标文件格式”规定的投标保证金格式递交投标保证金，并作为其投标文件的组成部分。</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投标保证金应采用现金、支票、银行保函或招标人在投标人须知前附表规定的其他形式。</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（1）若采用现金或支票，投标人应在递交投标文件截止时间之前，将投标保证金由投标人的基本账户转入招标人指定账户，否则视为投标保证金无效。招标人指定的开户银行及账号见投标人须知前附表。</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（2）若采用银行保函，则应由符合投标人须知前附表规定级别的银行开具，并采用招标文件提供的格式。银行保函复印件装订在投标文件内，原件应在递交投标文件截止时间之前单独密封递交给招标人。</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无论采取何种形式的投标保证金，投标保证金有效期均应与投标有效期一致。招标人如果按本章第3.3.3项的规定延长了投标有效期，则投标保证金的有效期也相应延长。</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3.4.2 投标人不按本章第3.4.1项要求提交投标保证金的，评标委员会将否决其投标。</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利息计算原则见投标人须知前附表。</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3.4.4 有下列情形之一的，投标保证金将不予退还：</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（1）投标人在投标有效期内撤销投标文件；</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（2）中标人在收到中标通知书后，无正当理由不与招标人订立合同，在签订合同时向招标人提出附加条件，或不按照招标文件要求提交履约保证金；</w:t>
      </w:r>
    </w:p>
    <w:p>
      <w:pPr>
        <w:pStyle w:val="108"/>
        <w:spacing w:line="360" w:lineRule="auto"/>
        <w:ind w:firstLine="420" w:firstLineChars="200"/>
        <w:rPr>
          <w:rFonts w:ascii="宋体" w:hAnsi="宋体" w:cs="宋体"/>
          <w:color w:val="auto"/>
          <w:sz w:val="23"/>
          <w:szCs w:val="23"/>
        </w:rPr>
      </w:pPr>
      <w:r>
        <w:rPr>
          <w:rFonts w:hint="eastAsia" w:ascii="宋体" w:hAnsi="宋体" w:cs="宋体"/>
          <w:color w:val="auto"/>
          <w:sz w:val="21"/>
          <w:szCs w:val="21"/>
        </w:rPr>
        <w:t>（3）发生投标人须知前附表规定的其他可以不予退还投标保证金的情形。</w:t>
      </w:r>
    </w:p>
    <w:p>
      <w:pPr>
        <w:pStyle w:val="108"/>
        <w:spacing w:line="360" w:lineRule="auto"/>
        <w:rPr>
          <w:rFonts w:ascii="宋体" w:hAnsi="宋体" w:cs="黑体"/>
          <w:b/>
          <w:color w:val="auto"/>
        </w:rPr>
      </w:pPr>
      <w:r>
        <w:rPr>
          <w:rFonts w:ascii="宋体" w:hAnsi="宋体"/>
          <w:b/>
          <w:color w:val="auto"/>
        </w:rPr>
        <w:t xml:space="preserve">3.5 </w:t>
      </w:r>
      <w:r>
        <w:rPr>
          <w:rFonts w:hint="eastAsia" w:ascii="宋体" w:hAnsi="宋体" w:cs="黑体"/>
          <w:b/>
          <w:color w:val="auto"/>
        </w:rPr>
        <w:t>资格审查表</w:t>
      </w:r>
      <w:r>
        <w:rPr>
          <w:rFonts w:ascii="宋体" w:hAnsi="宋体" w:cs="黑体"/>
          <w:b/>
          <w:color w:val="auto"/>
        </w:rPr>
        <w:t xml:space="preserve"> </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3.5.1投标人应按前附表规定提供资格审查资料，以证明其满足本章第1.4款规定的资质、财务、业绩、信誉、服务等要求。</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3.5.2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信用信息管理系统。</w:t>
      </w:r>
    </w:p>
    <w:p>
      <w:pPr>
        <w:pStyle w:val="108"/>
        <w:spacing w:line="360" w:lineRule="auto"/>
        <w:rPr>
          <w:rFonts w:ascii="宋体" w:hAnsi="宋体"/>
          <w:b/>
          <w:color w:val="auto"/>
        </w:rPr>
      </w:pPr>
      <w:r>
        <w:rPr>
          <w:rFonts w:ascii="宋体" w:hAnsi="宋体"/>
          <w:b/>
          <w:color w:val="auto"/>
        </w:rPr>
        <w:t>3.6</w:t>
      </w:r>
      <w:r>
        <w:rPr>
          <w:rFonts w:hint="eastAsia" w:ascii="宋体" w:hAnsi="宋体"/>
          <w:b/>
          <w:color w:val="auto"/>
          <w:lang w:val="en-US" w:eastAsia="zh-CN"/>
        </w:rPr>
        <w:t xml:space="preserve"> </w:t>
      </w:r>
      <w:r>
        <w:rPr>
          <w:rFonts w:hint="eastAsia" w:ascii="宋体" w:hAnsi="宋体"/>
          <w:b/>
          <w:color w:val="auto"/>
        </w:rPr>
        <w:t>备选投标方案</w:t>
      </w:r>
    </w:p>
    <w:p>
      <w:pPr>
        <w:pStyle w:val="108"/>
        <w:spacing w:line="360" w:lineRule="auto"/>
        <w:ind w:firstLine="420" w:firstLineChars="200"/>
        <w:rPr>
          <w:rFonts w:ascii="宋体" w:hAnsi="宋体" w:cs="宋体"/>
          <w:color w:val="auto"/>
          <w:sz w:val="21"/>
          <w:szCs w:val="21"/>
        </w:rPr>
      </w:pPr>
      <w:r>
        <w:rPr>
          <w:rFonts w:ascii="宋体" w:hAnsi="宋体" w:cs="宋体"/>
          <w:color w:val="auto"/>
          <w:sz w:val="21"/>
          <w:szCs w:val="21"/>
        </w:rPr>
        <w:t xml:space="preserve">3.6.1 </w:t>
      </w:r>
      <w:r>
        <w:rPr>
          <w:rFonts w:hint="eastAsia" w:ascii="宋体" w:hAnsi="宋体" w:cs="宋体"/>
          <w:color w:val="auto"/>
          <w:sz w:val="21"/>
          <w:szCs w:val="21"/>
        </w:rPr>
        <w:t>除投标人须知前附表规定允许外，投标人不得递交备选投标方案，否则其投标将被否决。</w:t>
      </w:r>
    </w:p>
    <w:p>
      <w:pPr>
        <w:pStyle w:val="108"/>
        <w:spacing w:line="360" w:lineRule="auto"/>
        <w:ind w:firstLine="420" w:firstLineChars="200"/>
        <w:rPr>
          <w:rFonts w:ascii="宋体" w:hAnsi="宋体" w:cs="宋体"/>
          <w:color w:val="auto"/>
          <w:sz w:val="21"/>
          <w:szCs w:val="21"/>
        </w:rPr>
      </w:pPr>
      <w:r>
        <w:rPr>
          <w:rFonts w:ascii="宋体" w:hAnsi="宋体" w:cs="宋体"/>
          <w:color w:val="auto"/>
          <w:sz w:val="21"/>
          <w:szCs w:val="21"/>
        </w:rPr>
        <w:t xml:space="preserve">3.6.2 </w:t>
      </w:r>
      <w:r>
        <w:rPr>
          <w:rFonts w:hint="eastAsia" w:ascii="宋体" w:hAnsi="宋体" w:cs="宋体"/>
          <w:color w:val="auto"/>
          <w:sz w:val="21"/>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08"/>
        <w:spacing w:line="360" w:lineRule="auto"/>
        <w:ind w:firstLine="420" w:firstLineChars="200"/>
        <w:rPr>
          <w:rFonts w:ascii="宋体" w:hAnsi="宋体" w:cs="宋体"/>
          <w:color w:val="auto"/>
          <w:sz w:val="21"/>
          <w:szCs w:val="21"/>
        </w:rPr>
      </w:pPr>
      <w:r>
        <w:rPr>
          <w:rFonts w:ascii="宋体" w:hAnsi="宋体" w:cs="宋体"/>
          <w:color w:val="auto"/>
          <w:sz w:val="21"/>
          <w:szCs w:val="21"/>
        </w:rPr>
        <w:t xml:space="preserve">3.6.3 </w:t>
      </w:r>
      <w:r>
        <w:rPr>
          <w:rFonts w:hint="eastAsia" w:ascii="宋体" w:hAnsi="宋体" w:cs="宋体"/>
          <w:color w:val="auto"/>
          <w:sz w:val="21"/>
          <w:szCs w:val="21"/>
        </w:rPr>
        <w:t>投标人提供两个或两个以上投标报价，或在投标文件中提供一个报价，但同时提供两个或两个以上技术建议书的，视为提供备选方案。</w:t>
      </w:r>
    </w:p>
    <w:p>
      <w:pPr>
        <w:pStyle w:val="108"/>
        <w:spacing w:line="360" w:lineRule="auto"/>
        <w:rPr>
          <w:rFonts w:ascii="宋体" w:hAnsi="宋体" w:cs="黑体"/>
          <w:b/>
          <w:color w:val="auto"/>
        </w:rPr>
      </w:pPr>
      <w:r>
        <w:rPr>
          <w:rFonts w:ascii="宋体" w:hAnsi="宋体"/>
          <w:b/>
          <w:color w:val="auto"/>
        </w:rPr>
        <w:t xml:space="preserve">3.7 </w:t>
      </w:r>
      <w:r>
        <w:rPr>
          <w:rFonts w:hint="eastAsia" w:ascii="宋体" w:hAnsi="宋体" w:cs="黑体"/>
          <w:b/>
          <w:color w:val="auto"/>
        </w:rPr>
        <w:t>投标文件的编制</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3.7.1 投标文件应按第六章“投标文件格式”进行编写，如有必要，可以增加附页，作为投标文件的组成部分。</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3.7.2 投标文件应对招标文件有关保险期限、投标有效期发包人要求、招标范围等实质性内容作出响应。</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3.7.3 投标文件应用不褪色的材料书写或打印。投标文件格式中明确要求投标人法定负责人或其委托代理人签字</w:t>
      </w:r>
      <w:r>
        <w:rPr>
          <w:rFonts w:hint="eastAsia" w:ascii="宋体" w:hAnsi="宋体" w:cs="宋体"/>
          <w:color w:val="auto"/>
          <w:kern w:val="2"/>
          <w:sz w:val="21"/>
          <w:szCs w:val="21"/>
          <w:lang w:val="en-US" w:eastAsia="zh-CN"/>
        </w:rPr>
        <w:t>或签章</w:t>
      </w:r>
      <w:r>
        <w:rPr>
          <w:rFonts w:hint="eastAsia" w:ascii="宋体" w:hAnsi="宋体" w:cs="宋体"/>
          <w:color w:val="auto"/>
          <w:kern w:val="2"/>
          <w:sz w:val="21"/>
          <w:szCs w:val="21"/>
        </w:rPr>
        <w:t>；明确要求投标人加盖单位章之处，必须加盖单位章。其中投标函及对投标文件的澄清和说明应加盖投标人单位章，或由投标人的法定负责人或其委托代理人签字</w:t>
      </w:r>
      <w:r>
        <w:rPr>
          <w:rFonts w:hint="eastAsia" w:ascii="宋体" w:hAnsi="宋体" w:cs="宋体"/>
          <w:color w:val="auto"/>
          <w:kern w:val="2"/>
          <w:sz w:val="21"/>
          <w:szCs w:val="21"/>
          <w:lang w:val="en-US" w:eastAsia="zh-CN"/>
        </w:rPr>
        <w:t>或签章</w:t>
      </w:r>
      <w:r>
        <w:rPr>
          <w:rFonts w:hint="eastAsia" w:ascii="宋体" w:hAnsi="宋体" w:cs="宋体"/>
          <w:color w:val="auto"/>
          <w:kern w:val="2"/>
          <w:sz w:val="21"/>
          <w:szCs w:val="21"/>
        </w:rPr>
        <w:t>。</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如果投标文件由委托代理人签署，则投标人须提交授权委托书，授权委托书应按第六章“投标文件格式”的要求出具，并由法定负责人和委托代理人亲笔</w:t>
      </w:r>
      <w:r>
        <w:rPr>
          <w:rFonts w:hint="eastAsia" w:ascii="宋体" w:hAnsi="宋体" w:cs="宋体"/>
          <w:color w:val="auto"/>
          <w:kern w:val="2"/>
          <w:sz w:val="21"/>
          <w:szCs w:val="21"/>
          <w:lang w:eastAsia="zh-CN"/>
        </w:rPr>
        <w:t>签字或签章</w:t>
      </w:r>
      <w:r>
        <w:rPr>
          <w:rFonts w:hint="eastAsia" w:ascii="宋体" w:hAnsi="宋体" w:cs="宋体"/>
          <w:color w:val="auto"/>
          <w:kern w:val="2"/>
          <w:sz w:val="21"/>
          <w:szCs w:val="21"/>
        </w:rPr>
        <w:t>。</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如果由投标人的法定负责人亲自签署投标文件，则投标人须提交法定负责人身份证明，身份证明应符合第六章“投标文件格式”的要求。</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投标文件应尽量避免涂改、行间插字或删除。如果出现上述情况，改动之处应由投标人的法定负责人或其授权的代理人签字或盖单位章。</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3.7.4 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3.7.5 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pStyle w:val="108"/>
        <w:spacing w:line="360" w:lineRule="auto"/>
        <w:rPr>
          <w:rFonts w:ascii="宋体" w:hAnsi="宋体" w:cs="黑体"/>
          <w:b/>
          <w:color w:val="auto"/>
        </w:rPr>
      </w:pPr>
      <w:r>
        <w:rPr>
          <w:rFonts w:ascii="宋体" w:hAnsi="宋体"/>
          <w:b/>
          <w:color w:val="auto"/>
        </w:rPr>
        <w:t xml:space="preserve">4. </w:t>
      </w:r>
      <w:r>
        <w:rPr>
          <w:rFonts w:hint="eastAsia" w:ascii="宋体" w:hAnsi="宋体" w:cs="黑体"/>
          <w:b/>
          <w:color w:val="auto"/>
        </w:rPr>
        <w:t>投标</w:t>
      </w:r>
    </w:p>
    <w:p>
      <w:pPr>
        <w:pStyle w:val="108"/>
        <w:spacing w:line="360" w:lineRule="auto"/>
        <w:rPr>
          <w:rFonts w:ascii="宋体" w:hAnsi="宋体"/>
          <w:b/>
          <w:color w:val="auto"/>
          <w:sz w:val="28"/>
          <w:szCs w:val="28"/>
        </w:rPr>
      </w:pPr>
      <w:r>
        <w:rPr>
          <w:rFonts w:ascii="宋体" w:hAnsi="宋体"/>
          <w:b/>
          <w:color w:val="auto"/>
        </w:rPr>
        <w:t xml:space="preserve">4.1 </w:t>
      </w:r>
      <w:r>
        <w:rPr>
          <w:rFonts w:hint="eastAsia" w:ascii="宋体" w:hAnsi="宋体"/>
          <w:b/>
          <w:color w:val="auto"/>
        </w:rPr>
        <w:t>投标文件的密封和标识</w:t>
      </w:r>
      <w:r>
        <w:rPr>
          <w:rFonts w:ascii="宋体" w:hAnsi="宋体"/>
          <w:b/>
          <w:color w:val="auto"/>
          <w:sz w:val="28"/>
          <w:szCs w:val="28"/>
        </w:rPr>
        <w:t xml:space="preserve">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4.1.1本项目投标文件采用单信封形式，具体要求详见投标人须知前附表。</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4.1.2 投标文件封套上应写明的内容见投标人须知前附表。</w:t>
      </w:r>
    </w:p>
    <w:p>
      <w:pPr>
        <w:pStyle w:val="108"/>
        <w:spacing w:line="360" w:lineRule="auto"/>
        <w:ind w:firstLine="420" w:firstLineChars="200"/>
        <w:rPr>
          <w:rFonts w:ascii="宋体" w:hAnsi="宋体" w:cs="宋体"/>
          <w:color w:val="auto"/>
          <w:kern w:val="2"/>
          <w:sz w:val="23"/>
          <w:szCs w:val="23"/>
        </w:rPr>
      </w:pPr>
      <w:r>
        <w:rPr>
          <w:rFonts w:hint="eastAsia" w:ascii="宋体" w:hAnsi="宋体" w:cs="宋体"/>
          <w:color w:val="auto"/>
          <w:kern w:val="2"/>
          <w:sz w:val="21"/>
          <w:szCs w:val="21"/>
        </w:rPr>
        <w:t>4.1.3 未按本章第4.1.1项要求密封的投标文件，招标人将予以拒收。</w:t>
      </w:r>
      <w:r>
        <w:rPr>
          <w:rFonts w:ascii="宋体" w:hAnsi="宋体" w:cs="宋体"/>
          <w:color w:val="auto"/>
          <w:kern w:val="2"/>
          <w:sz w:val="23"/>
          <w:szCs w:val="23"/>
        </w:rPr>
        <w:t xml:space="preserve"> </w:t>
      </w:r>
    </w:p>
    <w:p>
      <w:pPr>
        <w:pStyle w:val="108"/>
        <w:spacing w:line="360" w:lineRule="auto"/>
        <w:rPr>
          <w:rFonts w:ascii="宋体" w:hAnsi="宋体"/>
          <w:b/>
          <w:color w:val="auto"/>
        </w:rPr>
      </w:pPr>
      <w:r>
        <w:rPr>
          <w:rFonts w:ascii="宋体" w:hAnsi="宋体"/>
          <w:b/>
          <w:color w:val="auto"/>
        </w:rPr>
        <w:t xml:space="preserve">4.2 </w:t>
      </w:r>
      <w:r>
        <w:rPr>
          <w:rFonts w:hint="eastAsia" w:ascii="宋体" w:hAnsi="宋体"/>
          <w:b/>
          <w:color w:val="auto"/>
        </w:rPr>
        <w:t>投标文件的递交</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4.2.1 投标人应在第一章“招标公告”或“投标邀请书”规定的投标截止时间前递交投标文件。</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4.2.2 投标人递交投标文件的地点：见第一章“招标公告”或“投标邀请书”。</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4.2.3 除投标人须知前附表另有规定外，投标人所递交的投标文件不予退还。投标人少于3个的，投标文件当场退还给投标人。</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4.2.4 招标人收到投标文件后，向投标人出具签收凭证。</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4.2.5 逾期送达的或未送达指定地点的投标文件，招标人将予以拒收。</w:t>
      </w:r>
    </w:p>
    <w:p>
      <w:pPr>
        <w:pStyle w:val="108"/>
        <w:spacing w:line="360" w:lineRule="auto"/>
        <w:rPr>
          <w:rFonts w:ascii="宋体" w:hAnsi="宋体" w:cs="黑体"/>
          <w:b/>
          <w:color w:val="auto"/>
        </w:rPr>
      </w:pPr>
      <w:r>
        <w:rPr>
          <w:rFonts w:ascii="宋体" w:hAnsi="宋体"/>
          <w:b/>
          <w:color w:val="auto"/>
        </w:rPr>
        <w:t xml:space="preserve">4.3 </w:t>
      </w:r>
      <w:r>
        <w:rPr>
          <w:rFonts w:hint="eastAsia" w:ascii="宋体" w:hAnsi="宋体" w:cs="黑体"/>
          <w:b/>
          <w:color w:val="auto"/>
        </w:rPr>
        <w:t>投标文件的修改与撤回</w:t>
      </w:r>
      <w:r>
        <w:rPr>
          <w:rFonts w:ascii="宋体" w:hAnsi="宋体" w:cs="黑体"/>
          <w:b/>
          <w:color w:val="auto"/>
        </w:rPr>
        <w:t xml:space="preserve">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4.3.1 在本章第4.2.1项规定的投标截止时间前，投标人可以修改或撤回已递交的投标文件，但应以书面形式通知招标人。</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4.3.2 投标人修改或撤回已递交投标文件的书面通知应按照本章第3.7.3项的要求签字或盖章。招标人收到书面通知后，向投标人出具签收凭证。</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4.3.3 投标人撤回投标文件的，招标人自收到投标人书面撤回通知之日起5日内退还已收取的投标保证金。</w:t>
      </w:r>
    </w:p>
    <w:p>
      <w:pPr>
        <w:pStyle w:val="108"/>
        <w:spacing w:line="360" w:lineRule="auto"/>
        <w:ind w:firstLine="420" w:firstLineChars="200"/>
        <w:rPr>
          <w:rFonts w:ascii="宋体" w:hAnsi="宋体" w:cs="宋体"/>
          <w:color w:val="auto"/>
          <w:kern w:val="2"/>
          <w:sz w:val="23"/>
          <w:szCs w:val="23"/>
        </w:rPr>
      </w:pPr>
      <w:r>
        <w:rPr>
          <w:rFonts w:hint="eastAsia" w:ascii="宋体" w:hAnsi="宋体" w:cs="宋体"/>
          <w:color w:val="auto"/>
          <w:kern w:val="2"/>
          <w:sz w:val="21"/>
          <w:szCs w:val="21"/>
        </w:rPr>
        <w:t>4.3.4 修改的内容为投标文件的组成部分。修改的投标文件应按照本章第3条、第4条的规定进行编制、密封、标记和递交，并标明“修改”字样。</w:t>
      </w:r>
    </w:p>
    <w:p>
      <w:pPr>
        <w:pStyle w:val="108"/>
        <w:spacing w:line="360" w:lineRule="auto"/>
        <w:rPr>
          <w:rFonts w:ascii="宋体" w:hAnsi="宋体"/>
          <w:b/>
          <w:color w:val="auto"/>
        </w:rPr>
      </w:pPr>
      <w:r>
        <w:rPr>
          <w:rFonts w:ascii="宋体" w:hAnsi="宋体"/>
          <w:b/>
          <w:color w:val="auto"/>
        </w:rPr>
        <w:t xml:space="preserve">5. </w:t>
      </w:r>
      <w:r>
        <w:rPr>
          <w:rFonts w:hint="eastAsia" w:ascii="宋体" w:hAnsi="宋体"/>
          <w:b/>
          <w:color w:val="auto"/>
        </w:rPr>
        <w:t>开标</w:t>
      </w:r>
      <w:r>
        <w:rPr>
          <w:rFonts w:ascii="宋体" w:hAnsi="宋体"/>
          <w:b/>
          <w:color w:val="auto"/>
        </w:rPr>
        <w:t xml:space="preserve"> </w:t>
      </w:r>
    </w:p>
    <w:p>
      <w:pPr>
        <w:pStyle w:val="108"/>
        <w:spacing w:line="360" w:lineRule="auto"/>
        <w:rPr>
          <w:rFonts w:ascii="宋体" w:hAnsi="宋体"/>
          <w:b/>
          <w:color w:val="auto"/>
        </w:rPr>
      </w:pPr>
      <w:r>
        <w:rPr>
          <w:rFonts w:ascii="宋体" w:hAnsi="宋体"/>
          <w:b/>
          <w:color w:val="auto"/>
        </w:rPr>
        <w:t xml:space="preserve">5.1 </w:t>
      </w:r>
      <w:r>
        <w:rPr>
          <w:rFonts w:hint="eastAsia" w:ascii="宋体" w:hAnsi="宋体"/>
          <w:b/>
          <w:color w:val="auto"/>
        </w:rPr>
        <w:t>开标时间和地点</w:t>
      </w:r>
    </w:p>
    <w:p>
      <w:pPr>
        <w:pStyle w:val="108"/>
        <w:spacing w:line="360" w:lineRule="auto"/>
        <w:ind w:firstLine="460" w:firstLineChars="200"/>
        <w:rPr>
          <w:rFonts w:ascii="宋体" w:hAnsi="宋体" w:cs="宋体"/>
          <w:color w:val="auto"/>
          <w:kern w:val="2"/>
          <w:sz w:val="21"/>
          <w:szCs w:val="21"/>
        </w:rPr>
      </w:pPr>
      <w:r>
        <w:rPr>
          <w:rFonts w:ascii="宋体" w:hAnsi="宋体" w:cs="宋体"/>
          <w:color w:val="auto"/>
          <w:kern w:val="2"/>
          <w:sz w:val="23"/>
          <w:szCs w:val="23"/>
        </w:rPr>
        <w:t xml:space="preserve"> </w:t>
      </w:r>
      <w:r>
        <w:rPr>
          <w:rFonts w:hint="eastAsia" w:ascii="宋体" w:hAnsi="宋体" w:cs="宋体"/>
          <w:color w:val="auto"/>
          <w:kern w:val="2"/>
          <w:sz w:val="21"/>
          <w:szCs w:val="21"/>
        </w:rPr>
        <w:t>详见投标人须知前附表。</w:t>
      </w:r>
    </w:p>
    <w:p>
      <w:pPr>
        <w:pStyle w:val="108"/>
        <w:spacing w:line="360" w:lineRule="auto"/>
        <w:rPr>
          <w:rFonts w:ascii="宋体" w:hAnsi="宋体"/>
          <w:b/>
          <w:color w:val="auto"/>
        </w:rPr>
      </w:pPr>
      <w:r>
        <w:rPr>
          <w:rFonts w:ascii="宋体" w:hAnsi="宋体"/>
          <w:b/>
          <w:color w:val="auto"/>
        </w:rPr>
        <w:t xml:space="preserve">5.2 </w:t>
      </w:r>
      <w:r>
        <w:rPr>
          <w:rFonts w:hint="eastAsia" w:ascii="宋体" w:hAnsi="宋体"/>
          <w:b/>
          <w:color w:val="auto"/>
        </w:rPr>
        <w:t>开标程序</w:t>
      </w:r>
      <w:r>
        <w:rPr>
          <w:rFonts w:ascii="宋体" w:hAnsi="宋体"/>
          <w:b/>
          <w:color w:val="auto"/>
        </w:rPr>
        <w:t xml:space="preserve">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详见投标人须知前附表。</w:t>
      </w:r>
    </w:p>
    <w:p>
      <w:pPr>
        <w:adjustRightInd w:val="0"/>
        <w:spacing w:line="360" w:lineRule="auto"/>
        <w:ind w:firstLine="420" w:firstLineChars="200"/>
        <w:textAlignment w:val="baseline"/>
        <w:rPr>
          <w:rFonts w:ascii="宋体" w:hAnsi="宋体" w:cs="宋体"/>
          <w:color w:val="auto"/>
          <w:szCs w:val="21"/>
        </w:rPr>
      </w:pPr>
      <w:bookmarkStart w:id="31" w:name="_Toc509993852"/>
      <w:bookmarkStart w:id="32" w:name="_Toc13706"/>
      <w:r>
        <w:rPr>
          <w:rFonts w:ascii="宋体" w:hAnsi="宋体" w:cs="宋体"/>
          <w:color w:val="auto"/>
          <w:szCs w:val="21"/>
        </w:rPr>
        <w:t>5.3</w:t>
      </w:r>
      <w:r>
        <w:rPr>
          <w:rFonts w:ascii="宋体" w:hAnsi="宋体" w:cs="宋体"/>
          <w:color w:val="auto"/>
          <w:szCs w:val="21"/>
        </w:rPr>
        <w:tab/>
      </w:r>
      <w:r>
        <w:rPr>
          <w:rFonts w:ascii="宋体" w:hAnsi="宋体" w:cs="宋体"/>
          <w:color w:val="auto"/>
          <w:szCs w:val="21"/>
        </w:rPr>
        <w:t xml:space="preserve"> 开标异议</w:t>
      </w:r>
      <w:bookmarkEnd w:id="31"/>
      <w:bookmarkEnd w:id="32"/>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投标人对开标有异议的，应在开标现场提出，招标人当场作出答复，并制作记录，有异议的投标人代表、招标人代表、记录人等有关人员在记录上签字确认。</w:t>
      </w:r>
    </w:p>
    <w:p>
      <w:pPr>
        <w:pStyle w:val="108"/>
        <w:spacing w:line="360" w:lineRule="auto"/>
        <w:rPr>
          <w:rFonts w:ascii="宋体" w:hAnsi="宋体"/>
          <w:b/>
          <w:color w:val="auto"/>
        </w:rPr>
      </w:pPr>
      <w:r>
        <w:rPr>
          <w:rFonts w:ascii="宋体" w:hAnsi="宋体"/>
          <w:b/>
          <w:color w:val="auto"/>
        </w:rPr>
        <w:t xml:space="preserve">6. </w:t>
      </w:r>
      <w:r>
        <w:rPr>
          <w:rFonts w:hint="eastAsia" w:ascii="宋体" w:hAnsi="宋体"/>
          <w:b/>
          <w:color w:val="auto"/>
        </w:rPr>
        <w:t>评标</w:t>
      </w:r>
      <w:r>
        <w:rPr>
          <w:rFonts w:ascii="宋体" w:hAnsi="宋体"/>
          <w:b/>
          <w:color w:val="auto"/>
        </w:rPr>
        <w:t xml:space="preserve"> </w:t>
      </w:r>
    </w:p>
    <w:p>
      <w:pPr>
        <w:pStyle w:val="108"/>
        <w:spacing w:line="360" w:lineRule="auto"/>
        <w:rPr>
          <w:rFonts w:ascii="宋体" w:hAnsi="宋体"/>
          <w:b/>
          <w:color w:val="auto"/>
          <w:sz w:val="28"/>
          <w:szCs w:val="28"/>
        </w:rPr>
      </w:pPr>
      <w:r>
        <w:rPr>
          <w:rFonts w:ascii="宋体" w:hAnsi="宋体"/>
          <w:b/>
          <w:color w:val="auto"/>
        </w:rPr>
        <w:t xml:space="preserve">6.1 </w:t>
      </w:r>
      <w:r>
        <w:rPr>
          <w:rFonts w:hint="eastAsia" w:ascii="宋体" w:hAnsi="宋体"/>
          <w:b/>
          <w:color w:val="auto"/>
        </w:rPr>
        <w:t>评标委员会</w:t>
      </w:r>
      <w:r>
        <w:rPr>
          <w:rFonts w:ascii="宋体" w:hAnsi="宋体"/>
          <w:b/>
          <w:color w:val="auto"/>
          <w:sz w:val="28"/>
          <w:szCs w:val="28"/>
        </w:rPr>
        <w:t xml:space="preserve">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6.1.2 评标委员会成员有下列情形之一的，应主动提出回避：</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（1）为负责招标项目监督管理的主管部门的工作人员；</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（2）与投标人法定负责人或其委托代理人有近亲属关系；</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（3）为投标人的工作人员或退休人员；</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（4）与投标人有其他利害关系，可能影响评标活动公正性；</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（5）在与招标投标有关的活动中有过违法违规行为、曾受过行政处罚或刑事处罚。</w:t>
      </w:r>
    </w:p>
    <w:p>
      <w:pPr>
        <w:pStyle w:val="108"/>
        <w:spacing w:line="360" w:lineRule="auto"/>
        <w:ind w:firstLine="420" w:firstLineChars="200"/>
        <w:rPr>
          <w:rFonts w:ascii="宋体" w:hAnsi="宋体" w:cs="宋体"/>
          <w:color w:val="auto"/>
          <w:sz w:val="21"/>
          <w:szCs w:val="21"/>
        </w:rPr>
      </w:pPr>
      <w:r>
        <w:rPr>
          <w:rFonts w:hint="eastAsia" w:ascii="宋体" w:hAnsi="宋体" w:cs="宋体"/>
          <w:color w:val="auto"/>
          <w:kern w:val="2"/>
          <w:sz w:val="21"/>
          <w:szCs w:val="21"/>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108"/>
        <w:spacing w:line="360" w:lineRule="auto"/>
        <w:rPr>
          <w:rFonts w:ascii="宋体" w:hAnsi="宋体"/>
          <w:b/>
          <w:color w:val="auto"/>
        </w:rPr>
      </w:pPr>
      <w:r>
        <w:rPr>
          <w:rFonts w:ascii="宋体" w:hAnsi="宋体"/>
          <w:b/>
          <w:color w:val="auto"/>
        </w:rPr>
        <w:t xml:space="preserve">6.2 </w:t>
      </w:r>
      <w:r>
        <w:rPr>
          <w:rFonts w:hint="eastAsia" w:ascii="宋体" w:hAnsi="宋体"/>
          <w:b/>
          <w:color w:val="auto"/>
        </w:rPr>
        <w:t>评标原则</w:t>
      </w:r>
      <w:r>
        <w:rPr>
          <w:rFonts w:ascii="宋体" w:hAnsi="宋体"/>
          <w:b/>
          <w:color w:val="auto"/>
        </w:rPr>
        <w:t xml:space="preserve">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评标活动遵循公平、公正、科学和择优的原则。</w:t>
      </w:r>
    </w:p>
    <w:p>
      <w:pPr>
        <w:pStyle w:val="108"/>
        <w:spacing w:line="360" w:lineRule="auto"/>
        <w:rPr>
          <w:rFonts w:ascii="宋体" w:hAnsi="宋体"/>
          <w:b/>
          <w:color w:val="auto"/>
        </w:rPr>
      </w:pPr>
      <w:r>
        <w:rPr>
          <w:rFonts w:ascii="宋体" w:hAnsi="宋体"/>
          <w:b/>
          <w:color w:val="auto"/>
        </w:rPr>
        <w:t xml:space="preserve">6.3 </w:t>
      </w:r>
      <w:r>
        <w:rPr>
          <w:rFonts w:hint="eastAsia" w:ascii="宋体" w:hAnsi="宋体"/>
          <w:b/>
          <w:color w:val="auto"/>
        </w:rPr>
        <w:t>评标</w:t>
      </w:r>
      <w:r>
        <w:rPr>
          <w:rFonts w:ascii="宋体" w:hAnsi="宋体"/>
          <w:b/>
          <w:color w:val="auto"/>
        </w:rPr>
        <w:t xml:space="preserve">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6.3.1 评标委员会按照第三章“评标办法”规定的方法、评审因素、标准和程序对投标文件进行评审。第三章“评标办法”没有规定的方法、评审因素和标准，不作为评标依据。</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6.3.2 评标完成后，评标委员会应向招标人提交书面评标报告和中标候选人名单。评标委员会推荐中标候选人的人数见投标人须知前附表。</w:t>
      </w:r>
    </w:p>
    <w:p>
      <w:pPr>
        <w:pStyle w:val="108"/>
        <w:spacing w:line="360" w:lineRule="auto"/>
        <w:rPr>
          <w:rFonts w:ascii="宋体" w:hAnsi="宋体"/>
          <w:b/>
          <w:color w:val="auto"/>
        </w:rPr>
      </w:pPr>
    </w:p>
    <w:p>
      <w:pPr>
        <w:pStyle w:val="108"/>
        <w:spacing w:line="360" w:lineRule="auto"/>
        <w:rPr>
          <w:rFonts w:ascii="宋体" w:hAnsi="宋体"/>
          <w:b/>
          <w:color w:val="auto"/>
        </w:rPr>
      </w:pPr>
      <w:r>
        <w:rPr>
          <w:rFonts w:ascii="宋体" w:hAnsi="宋体"/>
          <w:b/>
          <w:color w:val="auto"/>
        </w:rPr>
        <w:t xml:space="preserve">7. </w:t>
      </w:r>
      <w:r>
        <w:rPr>
          <w:rFonts w:hint="eastAsia" w:ascii="宋体" w:hAnsi="宋体"/>
          <w:b/>
          <w:color w:val="auto"/>
        </w:rPr>
        <w:t>合同授予</w:t>
      </w:r>
      <w:r>
        <w:rPr>
          <w:rFonts w:ascii="宋体" w:hAnsi="宋体"/>
          <w:b/>
          <w:color w:val="auto"/>
        </w:rPr>
        <w:t xml:space="preserve"> </w:t>
      </w:r>
    </w:p>
    <w:p>
      <w:pPr>
        <w:pStyle w:val="108"/>
        <w:spacing w:line="360" w:lineRule="auto"/>
        <w:rPr>
          <w:rFonts w:ascii="宋体" w:hAnsi="宋体"/>
          <w:b/>
          <w:color w:val="auto"/>
        </w:rPr>
      </w:pPr>
      <w:bookmarkStart w:id="33" w:name="_Toc503235782"/>
      <w:r>
        <w:rPr>
          <w:rFonts w:hint="eastAsia" w:ascii="宋体" w:hAnsi="宋体"/>
          <w:b/>
          <w:color w:val="auto"/>
        </w:rPr>
        <w:t>7</w:t>
      </w:r>
      <w:r>
        <w:rPr>
          <w:rFonts w:ascii="宋体" w:hAnsi="宋体"/>
          <w:b/>
          <w:color w:val="auto"/>
        </w:rPr>
        <w:t>.</w:t>
      </w:r>
      <w:r>
        <w:rPr>
          <w:rFonts w:hint="eastAsia" w:ascii="宋体" w:hAnsi="宋体"/>
          <w:b/>
          <w:color w:val="auto"/>
        </w:rPr>
        <w:t>1</w:t>
      </w:r>
      <w:r>
        <w:rPr>
          <w:rFonts w:ascii="宋体" w:hAnsi="宋体"/>
          <w:b/>
          <w:color w:val="auto"/>
        </w:rPr>
        <w:t xml:space="preserve"> </w:t>
      </w:r>
      <w:r>
        <w:rPr>
          <w:rFonts w:hint="eastAsia" w:ascii="宋体" w:hAnsi="宋体"/>
          <w:b/>
          <w:color w:val="auto"/>
        </w:rPr>
        <w:t>中标候选人公示</w:t>
      </w:r>
      <w:bookmarkEnd w:id="33"/>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招标人在收到评标报告之日起3日内，按照投标人须知前附表规定的公示媒介和期限公示中标候选人，公示期不得少于3日。公示内容包括：</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（1）中标候选人排序、名称、投标报价；</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（2）中标候选人在投标文件中承诺的项目负责人姓名、个人业绩、；</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（3）中标候选人在投标文件中填报的项目业绩；</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（4）被否决投标的投标人名称、否决依据和原因；</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（5）提出异议的渠道和方式；</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（6）投标人须知前附表规定公示的其他内容。</w:t>
      </w:r>
    </w:p>
    <w:p>
      <w:pPr>
        <w:pStyle w:val="108"/>
        <w:spacing w:line="360" w:lineRule="auto"/>
        <w:rPr>
          <w:rFonts w:ascii="宋体" w:hAnsi="宋体"/>
          <w:b/>
          <w:color w:val="auto"/>
        </w:rPr>
      </w:pPr>
      <w:bookmarkStart w:id="34" w:name="_Toc503235783"/>
      <w:r>
        <w:rPr>
          <w:rFonts w:hint="eastAsia" w:ascii="宋体" w:hAnsi="宋体"/>
          <w:b/>
          <w:color w:val="auto"/>
        </w:rPr>
        <w:t>7.2 评标结果异议</w:t>
      </w:r>
      <w:bookmarkEnd w:id="34"/>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投标人或其他利害关系人对依法必须进行招标的项目的评标结果有异议的，应在中标候选人公示期间提出。招标人将在收到异议之日起3日内作出答复；作出答复前，将暂停招标投标活动。</w:t>
      </w:r>
    </w:p>
    <w:p>
      <w:pPr>
        <w:pStyle w:val="108"/>
        <w:spacing w:line="360" w:lineRule="auto"/>
        <w:rPr>
          <w:rFonts w:ascii="宋体" w:hAnsi="宋体"/>
          <w:b/>
          <w:color w:val="auto"/>
        </w:rPr>
      </w:pPr>
      <w:bookmarkStart w:id="35" w:name="_Toc503235784"/>
      <w:r>
        <w:rPr>
          <w:rFonts w:hint="eastAsia" w:ascii="宋体" w:hAnsi="宋体"/>
          <w:b/>
          <w:color w:val="auto"/>
        </w:rPr>
        <w:t>7.3 中标候选人履约能力审查</w:t>
      </w:r>
      <w:bookmarkEnd w:id="35"/>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108"/>
        <w:spacing w:line="360" w:lineRule="auto"/>
        <w:rPr>
          <w:rFonts w:ascii="宋体" w:hAnsi="宋体"/>
          <w:b/>
          <w:color w:val="auto"/>
        </w:rPr>
      </w:pPr>
      <w:bookmarkStart w:id="36" w:name="_Toc503235785"/>
      <w:r>
        <w:rPr>
          <w:rFonts w:hint="eastAsia" w:ascii="宋体" w:hAnsi="宋体"/>
          <w:b/>
          <w:color w:val="auto"/>
        </w:rPr>
        <w:t>7.4 定标</w:t>
      </w:r>
      <w:bookmarkEnd w:id="36"/>
    </w:p>
    <w:p>
      <w:pPr>
        <w:spacing w:line="400" w:lineRule="atLeast"/>
        <w:ind w:firstLine="420" w:firstLineChars="200"/>
        <w:rPr>
          <w:color w:val="auto"/>
          <w:szCs w:val="21"/>
        </w:rPr>
      </w:pPr>
      <w:r>
        <w:rPr>
          <w:color w:val="auto"/>
          <w:szCs w:val="21"/>
        </w:rPr>
        <w:t>按照投标人须知前附表的规定，招标人或招标人授权的评标委员会依法确定中标人。</w:t>
      </w:r>
    </w:p>
    <w:p>
      <w:pPr>
        <w:pStyle w:val="108"/>
        <w:spacing w:line="360" w:lineRule="auto"/>
        <w:rPr>
          <w:rFonts w:ascii="宋体" w:hAnsi="宋体"/>
          <w:b/>
          <w:color w:val="auto"/>
        </w:rPr>
      </w:pPr>
      <w:bookmarkStart w:id="37" w:name="_Toc503235786"/>
      <w:r>
        <w:rPr>
          <w:rFonts w:hint="eastAsia" w:ascii="宋体" w:hAnsi="宋体"/>
          <w:b/>
          <w:color w:val="auto"/>
        </w:rPr>
        <w:t>7.5 中标通知</w:t>
      </w:r>
      <w:bookmarkEnd w:id="37"/>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在本章第3.3款规定的投标有效期内，招标人以投标人须知前附表规定的形式向中标人发出中标通知书，同时将中标结果通知未中标的投标人。</w:t>
      </w:r>
    </w:p>
    <w:p>
      <w:pPr>
        <w:pStyle w:val="108"/>
        <w:spacing w:line="360" w:lineRule="auto"/>
        <w:rPr>
          <w:rFonts w:ascii="宋体" w:hAnsi="宋体"/>
          <w:b/>
          <w:color w:val="auto"/>
        </w:rPr>
      </w:pPr>
      <w:bookmarkStart w:id="38" w:name="_Toc503235787"/>
      <w:r>
        <w:rPr>
          <w:rFonts w:hint="eastAsia" w:ascii="宋体" w:hAnsi="宋体"/>
          <w:b/>
          <w:color w:val="auto"/>
        </w:rPr>
        <w:t>7.6 中标结果公告</w:t>
      </w:r>
      <w:bookmarkEnd w:id="38"/>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招标人在确定中标人之日起3日内，按照投标人须知前附表规定的公告媒介和期限公告中标结果，公告期不得少于3日。公告内容包括中标人名称、中标价。</w:t>
      </w:r>
    </w:p>
    <w:p>
      <w:pPr>
        <w:pStyle w:val="108"/>
        <w:spacing w:line="360" w:lineRule="auto"/>
        <w:rPr>
          <w:rFonts w:ascii="宋体" w:hAnsi="宋体"/>
          <w:b/>
          <w:color w:val="auto"/>
        </w:rPr>
      </w:pPr>
      <w:bookmarkStart w:id="39" w:name="_Toc234832913"/>
      <w:bookmarkStart w:id="40" w:name="_Toc503235789"/>
      <w:r>
        <w:rPr>
          <w:rFonts w:hint="eastAsia" w:ascii="宋体" w:hAnsi="宋体"/>
          <w:b/>
          <w:color w:val="auto"/>
        </w:rPr>
        <w:t>7.7 技术成果经济补偿</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ascii="宋体" w:hAnsi="宋体" w:cs="宋体"/>
          <w:color w:val="auto"/>
          <w:kern w:val="2"/>
          <w:sz w:val="21"/>
          <w:szCs w:val="21"/>
        </w:rPr>
        <w:t>30日内向未中标人支付技术成果经济补偿费。</w:t>
      </w:r>
    </w:p>
    <w:p>
      <w:pPr>
        <w:pStyle w:val="108"/>
        <w:spacing w:line="360" w:lineRule="auto"/>
        <w:rPr>
          <w:rFonts w:ascii="宋体" w:hAnsi="宋体"/>
          <w:b/>
          <w:color w:val="auto"/>
        </w:rPr>
      </w:pPr>
      <w:r>
        <w:rPr>
          <w:rFonts w:hint="eastAsia" w:ascii="宋体" w:hAnsi="宋体"/>
          <w:b/>
          <w:color w:val="auto"/>
        </w:rPr>
        <w:t>7.8 履约</w:t>
      </w:r>
      <w:bookmarkEnd w:id="39"/>
      <w:r>
        <w:rPr>
          <w:rFonts w:hint="eastAsia" w:ascii="宋体" w:hAnsi="宋体"/>
          <w:b/>
          <w:color w:val="auto"/>
        </w:rPr>
        <w:t>保证金</w:t>
      </w:r>
      <w:bookmarkEnd w:id="40"/>
    </w:p>
    <w:p>
      <w:pPr>
        <w:pStyle w:val="108"/>
        <w:spacing w:line="360" w:lineRule="auto"/>
        <w:ind w:firstLine="420" w:firstLineChars="200"/>
        <w:rPr>
          <w:rFonts w:hint="eastAsia" w:ascii="宋体" w:hAnsi="宋体" w:cs="宋体"/>
          <w:color w:val="auto"/>
          <w:kern w:val="2"/>
          <w:sz w:val="21"/>
          <w:szCs w:val="21"/>
        </w:rPr>
      </w:pPr>
      <w:r>
        <w:rPr>
          <w:rFonts w:hint="eastAsia" w:ascii="宋体" w:hAnsi="宋体" w:cs="宋体"/>
          <w:color w:val="auto"/>
          <w:kern w:val="2"/>
          <w:sz w:val="21"/>
          <w:szCs w:val="21"/>
        </w:rPr>
        <w:t>7.8.1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采用银行保函时，应由符合投标人须知前附表规定级别的银行开具，所需的费用由中标人承担，中标人应保证银行保函有效。</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7.8.2 中标人不能按本章第7.8.1项要求提交履约保证金的，视为放弃中标，其投标保证金不予退还，给招标人造成的损失超过投标保证金数额的，中标人还应对超过部分予以赔偿。</w:t>
      </w:r>
    </w:p>
    <w:p>
      <w:pPr>
        <w:pStyle w:val="108"/>
        <w:spacing w:line="360" w:lineRule="auto"/>
        <w:rPr>
          <w:rFonts w:ascii="宋体" w:hAnsi="宋体"/>
          <w:b/>
          <w:color w:val="auto"/>
        </w:rPr>
      </w:pPr>
      <w:bookmarkStart w:id="41" w:name="_Toc503235790"/>
      <w:r>
        <w:rPr>
          <w:rFonts w:hint="eastAsia" w:ascii="宋体" w:hAnsi="宋体"/>
          <w:b/>
          <w:color w:val="auto"/>
        </w:rPr>
        <w:t>7.9 签订合同</w:t>
      </w:r>
      <w:bookmarkEnd w:id="41"/>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 xml:space="preserve">7.9.1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7.9.2 发出中标通知书后，招标人无正当理由拒签合同，或在签订合同时向中标人提出附加条件的，招标人向中标人退还投标保证金；给中标人造成损失的，还应赔偿损失。</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招标人不得以压低费用、增加工作量、延迟保险期限等作为中标的条件，不得与中标人再行订立背离合同实质性内容的其他协议。</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7.9.3 签约合同价的确定原则如下：</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（1）按照评标办法规定对投标报价进行修正后，若修正后的最终投标报价小于开标时的投标函大写金额报价，则签订合同时以修正后的最终投标报价为准；</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108"/>
        <w:spacing w:line="360" w:lineRule="auto"/>
        <w:ind w:firstLine="420" w:firstLineChars="200"/>
        <w:rPr>
          <w:rFonts w:ascii="宋体" w:hAnsi="宋体" w:cs="宋体"/>
          <w:color w:val="auto"/>
          <w:kern w:val="2"/>
          <w:sz w:val="23"/>
          <w:szCs w:val="23"/>
        </w:rPr>
      </w:pPr>
      <w:r>
        <w:rPr>
          <w:rFonts w:hint="eastAsia" w:ascii="宋体" w:hAnsi="宋体" w:cs="宋体"/>
          <w:color w:val="auto"/>
          <w:kern w:val="2"/>
          <w:sz w:val="21"/>
          <w:szCs w:val="21"/>
        </w:rPr>
        <w:t>7.9.</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 xml:space="preserve"> 招标人和中标人在签订合同协议书的同时，须按照本招标文件规定的格式和要求签订廉政合同，明确双方在廉政建设方面的权利和义务以及应承担的违约责任。 </w:t>
      </w:r>
    </w:p>
    <w:p>
      <w:pPr>
        <w:pStyle w:val="108"/>
        <w:spacing w:line="360" w:lineRule="auto"/>
        <w:rPr>
          <w:rFonts w:ascii="宋体" w:hAnsi="宋体"/>
          <w:b/>
          <w:color w:val="auto"/>
        </w:rPr>
      </w:pPr>
      <w:bookmarkStart w:id="42" w:name="_Toc503235791"/>
    </w:p>
    <w:p>
      <w:pPr>
        <w:pStyle w:val="108"/>
        <w:spacing w:line="360" w:lineRule="auto"/>
        <w:rPr>
          <w:rFonts w:ascii="宋体" w:hAnsi="宋体"/>
          <w:b/>
          <w:color w:val="auto"/>
        </w:rPr>
      </w:pPr>
      <w:r>
        <w:rPr>
          <w:rFonts w:hint="eastAsia" w:ascii="宋体" w:hAnsi="宋体"/>
          <w:b/>
          <w:color w:val="auto"/>
        </w:rPr>
        <w:t>8</w:t>
      </w:r>
      <w:r>
        <w:rPr>
          <w:rFonts w:ascii="宋体" w:hAnsi="宋体"/>
          <w:b/>
          <w:color w:val="auto"/>
        </w:rPr>
        <w:t>. 纪律和监督</w:t>
      </w:r>
      <w:bookmarkEnd w:id="42"/>
    </w:p>
    <w:p>
      <w:pPr>
        <w:pStyle w:val="108"/>
        <w:spacing w:line="360" w:lineRule="auto"/>
        <w:rPr>
          <w:rFonts w:ascii="宋体" w:hAnsi="宋体"/>
          <w:b/>
          <w:color w:val="auto"/>
        </w:rPr>
      </w:pPr>
      <w:bookmarkStart w:id="43" w:name="_Toc503235792"/>
      <w:r>
        <w:rPr>
          <w:rFonts w:hint="eastAsia" w:ascii="宋体" w:hAnsi="宋体"/>
          <w:b/>
          <w:color w:val="auto"/>
        </w:rPr>
        <w:t>8.1 对招标人的纪律要求</w:t>
      </w:r>
      <w:bookmarkEnd w:id="43"/>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招标人不得泄露招标投标活动中应保密的情况和资料，不得与投标人串通损害国家利益、社会公共利益或他人合法权益。</w:t>
      </w:r>
    </w:p>
    <w:p>
      <w:pPr>
        <w:pStyle w:val="108"/>
        <w:spacing w:line="360" w:lineRule="auto"/>
        <w:rPr>
          <w:rFonts w:ascii="宋体" w:hAnsi="宋体"/>
          <w:b/>
          <w:color w:val="auto"/>
        </w:rPr>
      </w:pPr>
      <w:bookmarkStart w:id="44" w:name="_Toc503235793"/>
      <w:r>
        <w:rPr>
          <w:rFonts w:hint="eastAsia" w:ascii="宋体" w:hAnsi="宋体"/>
          <w:b/>
          <w:color w:val="auto"/>
        </w:rPr>
        <w:t>8.2 对投标人的纪律要求</w:t>
      </w:r>
      <w:bookmarkEnd w:id="44"/>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108"/>
        <w:spacing w:line="360" w:lineRule="auto"/>
        <w:rPr>
          <w:rFonts w:ascii="宋体" w:hAnsi="宋体"/>
          <w:b/>
          <w:color w:val="auto"/>
        </w:rPr>
      </w:pPr>
      <w:bookmarkStart w:id="45" w:name="_Toc503235794"/>
      <w:r>
        <w:rPr>
          <w:rFonts w:hint="eastAsia" w:ascii="宋体" w:hAnsi="宋体"/>
          <w:b/>
          <w:color w:val="auto"/>
        </w:rPr>
        <w:t>8.3 对评标委员会成员的纪律要求</w:t>
      </w:r>
      <w:bookmarkEnd w:id="45"/>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108"/>
        <w:spacing w:line="360" w:lineRule="auto"/>
        <w:rPr>
          <w:rFonts w:ascii="宋体" w:hAnsi="宋体"/>
          <w:b/>
          <w:color w:val="auto"/>
        </w:rPr>
      </w:pPr>
      <w:bookmarkStart w:id="46" w:name="_Toc503235795"/>
      <w:r>
        <w:rPr>
          <w:rFonts w:hint="eastAsia" w:ascii="宋体" w:hAnsi="宋体"/>
          <w:b/>
          <w:color w:val="auto"/>
        </w:rPr>
        <w:t>8.4 对与评标活动有关的工作人员的纪律要求</w:t>
      </w:r>
      <w:bookmarkEnd w:id="46"/>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108"/>
        <w:spacing w:line="360" w:lineRule="auto"/>
        <w:rPr>
          <w:rFonts w:ascii="宋体" w:hAnsi="宋体"/>
          <w:b/>
          <w:color w:val="auto"/>
        </w:rPr>
      </w:pPr>
      <w:bookmarkStart w:id="47" w:name="_Toc503235796"/>
      <w:r>
        <w:rPr>
          <w:rFonts w:hint="eastAsia" w:ascii="宋体" w:hAnsi="宋体"/>
          <w:b/>
          <w:color w:val="auto"/>
        </w:rPr>
        <w:t>8.5 投诉</w:t>
      </w:r>
      <w:bookmarkEnd w:id="47"/>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8.5.1 投标人或其他利害关系人认为招标投标活动不符合法律、行政法规规定的，可以自知道或应当知道之日起10日内向有关行政监督部门投诉。投诉应有明确的请求和必要的证明材料。</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监督部门的联系方式见投标人须知前附表。</w:t>
      </w:r>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8.5.2 投标人或其他利害关系人对招标文件、开标和评标结果提出投诉的，应按照本章第2.4款、第5.3款和第7.2款的规定先向招标人提出异议。异议答复期间不计算在第8.5.1项规定的期限内。</w:t>
      </w:r>
    </w:p>
    <w:p>
      <w:pPr>
        <w:pStyle w:val="108"/>
        <w:spacing w:line="360" w:lineRule="auto"/>
        <w:rPr>
          <w:rFonts w:ascii="宋体" w:hAnsi="宋体"/>
          <w:b/>
          <w:color w:val="auto"/>
        </w:rPr>
      </w:pPr>
      <w:bookmarkStart w:id="48" w:name="_Toc503235797"/>
    </w:p>
    <w:p>
      <w:pPr>
        <w:pStyle w:val="108"/>
        <w:spacing w:line="360" w:lineRule="auto"/>
        <w:rPr>
          <w:rFonts w:ascii="宋体" w:hAnsi="宋体"/>
          <w:b/>
          <w:color w:val="auto"/>
        </w:rPr>
      </w:pPr>
      <w:r>
        <w:rPr>
          <w:rFonts w:hint="eastAsia" w:ascii="宋体" w:hAnsi="宋体"/>
          <w:b/>
          <w:color w:val="auto"/>
        </w:rPr>
        <w:t>9. 是否采用电子招标投标</w:t>
      </w:r>
      <w:bookmarkEnd w:id="48"/>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本招标项目是否采用电子招标投标方式，见投标人须知前附表。</w:t>
      </w:r>
    </w:p>
    <w:p>
      <w:pPr>
        <w:pStyle w:val="108"/>
        <w:spacing w:line="360" w:lineRule="auto"/>
        <w:rPr>
          <w:rFonts w:ascii="宋体" w:hAnsi="宋体"/>
          <w:b/>
          <w:color w:val="auto"/>
          <w:sz w:val="28"/>
          <w:szCs w:val="28"/>
        </w:rPr>
      </w:pPr>
      <w:bookmarkStart w:id="49" w:name="_Toc503235798"/>
    </w:p>
    <w:p>
      <w:pPr>
        <w:pStyle w:val="108"/>
        <w:spacing w:line="360" w:lineRule="auto"/>
        <w:rPr>
          <w:rFonts w:ascii="宋体" w:hAnsi="宋体"/>
          <w:b/>
          <w:color w:val="auto"/>
        </w:rPr>
      </w:pPr>
      <w:r>
        <w:rPr>
          <w:rFonts w:hint="eastAsia" w:ascii="宋体" w:hAnsi="宋体"/>
          <w:b/>
          <w:color w:val="auto"/>
        </w:rPr>
        <w:t>10. 需要补充的其他内容</w:t>
      </w:r>
      <w:bookmarkEnd w:id="49"/>
    </w:p>
    <w:p>
      <w:pPr>
        <w:pStyle w:val="108"/>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10.1 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ind w:firstLine="420" w:firstLineChars="200"/>
        <w:rPr>
          <w:b/>
          <w:color w:val="auto"/>
        </w:rPr>
      </w:pPr>
      <w:bookmarkStart w:id="50" w:name="_Toc29796221"/>
      <w:r>
        <w:rPr>
          <w:rFonts w:hint="eastAsia"/>
          <w:color w:val="auto"/>
        </w:rPr>
        <w:t>需要补充的其他内容：见投标人须知前附表。</w:t>
      </w:r>
      <w:bookmarkEnd w:id="50"/>
    </w:p>
    <w:p>
      <w:pPr>
        <w:rPr>
          <w:color w:val="auto"/>
        </w:rPr>
        <w:sectPr>
          <w:pgSz w:w="11906" w:h="16838"/>
          <w:pgMar w:top="1418" w:right="1469" w:bottom="1418" w:left="1418" w:header="851" w:footer="992" w:gutter="0"/>
          <w:cols w:space="720" w:num="1"/>
          <w:titlePg/>
          <w:docGrid w:type="lines" w:linePitch="312" w:charSpace="0"/>
        </w:sectPr>
      </w:pPr>
    </w:p>
    <w:p>
      <w:pPr>
        <w:pStyle w:val="4"/>
        <w:spacing w:before="0" w:after="0" w:line="400" w:lineRule="exact"/>
        <w:rPr>
          <w:rFonts w:ascii="宋体" w:hAnsi="宋体"/>
          <w:bCs w:val="0"/>
          <w:color w:val="auto"/>
          <w:sz w:val="28"/>
          <w:szCs w:val="28"/>
        </w:rPr>
      </w:pPr>
      <w:bookmarkStart w:id="51" w:name="_Toc29796222"/>
      <w:r>
        <w:rPr>
          <w:rFonts w:hint="eastAsia" w:ascii="宋体" w:hAnsi="宋体"/>
          <w:bCs w:val="0"/>
          <w:color w:val="auto"/>
          <w:sz w:val="28"/>
          <w:szCs w:val="28"/>
        </w:rPr>
        <w:t>附表一：开标记录表</w:t>
      </w:r>
      <w:bookmarkEnd w:id="51"/>
    </w:p>
    <w:p>
      <w:pPr>
        <w:autoSpaceDE w:val="0"/>
        <w:autoSpaceDN w:val="0"/>
        <w:spacing w:line="360" w:lineRule="auto"/>
        <w:jc w:val="center"/>
        <w:rPr>
          <w:rFonts w:ascii="宋体" w:hAnsi="宋体"/>
          <w:b/>
          <w:color w:val="auto"/>
          <w:sz w:val="28"/>
          <w:szCs w:val="28"/>
        </w:rPr>
      </w:pPr>
      <w:r>
        <w:rPr>
          <w:rFonts w:hint="eastAsia" w:ascii="宋体" w:hAnsi="宋体"/>
          <w:b/>
          <w:color w:val="auto"/>
          <w:sz w:val="28"/>
          <w:szCs w:val="28"/>
          <w:lang w:eastAsia="zh-CN"/>
        </w:rPr>
        <w:t>重庆渝合高速公路有限公司2021-2024年运营保险项目（第二次）</w:t>
      </w:r>
      <w:r>
        <w:rPr>
          <w:rFonts w:hint="eastAsia" w:ascii="宋体" w:hAnsi="宋体"/>
          <w:b/>
          <w:color w:val="auto"/>
          <w:sz w:val="28"/>
          <w:szCs w:val="28"/>
        </w:rPr>
        <w:t>开标记录表</w:t>
      </w:r>
    </w:p>
    <w:p>
      <w:pPr>
        <w:autoSpaceDE w:val="0"/>
        <w:autoSpaceDN w:val="0"/>
        <w:spacing w:line="360" w:lineRule="auto"/>
        <w:jc w:val="right"/>
        <w:rPr>
          <w:rFonts w:ascii="宋体" w:hAnsi="宋体"/>
          <w:color w:val="auto"/>
          <w:sz w:val="28"/>
          <w:szCs w:val="28"/>
        </w:rPr>
      </w:pPr>
      <w:r>
        <w:rPr>
          <w:rFonts w:hint="eastAsia" w:ascii="宋体" w:hAnsi="宋体"/>
          <w:color w:val="auto"/>
          <w:sz w:val="23"/>
          <w:szCs w:val="23"/>
        </w:rPr>
        <w:t>开标时间：</w:t>
      </w:r>
    </w:p>
    <w:tbl>
      <w:tblPr>
        <w:tblStyle w:val="88"/>
        <w:tblW w:w="15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190"/>
        <w:gridCol w:w="1228"/>
        <w:gridCol w:w="1308"/>
        <w:gridCol w:w="1217"/>
        <w:gridCol w:w="1523"/>
        <w:gridCol w:w="152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24" w:type="dxa"/>
            <w:vAlign w:val="center"/>
          </w:tcPr>
          <w:p>
            <w:pPr>
              <w:pStyle w:val="108"/>
              <w:jc w:val="center"/>
              <w:rPr>
                <w:rFonts w:ascii="宋体" w:hAnsi="宋体"/>
                <w:color w:val="auto"/>
                <w:sz w:val="21"/>
                <w:szCs w:val="21"/>
              </w:rPr>
            </w:pPr>
            <w:r>
              <w:rPr>
                <w:rFonts w:hint="eastAsia" w:ascii="宋体" w:hAnsi="宋体"/>
                <w:color w:val="auto"/>
                <w:sz w:val="21"/>
                <w:szCs w:val="21"/>
              </w:rPr>
              <w:t>序号</w:t>
            </w:r>
          </w:p>
        </w:tc>
        <w:tc>
          <w:tcPr>
            <w:tcW w:w="5190" w:type="dxa"/>
            <w:vAlign w:val="center"/>
          </w:tcPr>
          <w:p>
            <w:pPr>
              <w:pStyle w:val="108"/>
              <w:jc w:val="center"/>
              <w:rPr>
                <w:rFonts w:ascii="宋体" w:hAnsi="宋体"/>
                <w:color w:val="auto"/>
                <w:sz w:val="21"/>
                <w:szCs w:val="21"/>
              </w:rPr>
            </w:pPr>
            <w:r>
              <w:rPr>
                <w:rFonts w:hint="eastAsia" w:ascii="宋体" w:hAnsi="宋体"/>
                <w:color w:val="auto"/>
                <w:sz w:val="21"/>
                <w:szCs w:val="21"/>
              </w:rPr>
              <w:t>投标人</w:t>
            </w:r>
          </w:p>
        </w:tc>
        <w:tc>
          <w:tcPr>
            <w:tcW w:w="1228" w:type="dxa"/>
            <w:vAlign w:val="center"/>
          </w:tcPr>
          <w:p>
            <w:pPr>
              <w:pStyle w:val="108"/>
              <w:jc w:val="center"/>
              <w:rPr>
                <w:rFonts w:ascii="宋体" w:hAnsi="宋体"/>
                <w:color w:val="auto"/>
                <w:sz w:val="21"/>
                <w:szCs w:val="21"/>
              </w:rPr>
            </w:pPr>
            <w:r>
              <w:rPr>
                <w:rFonts w:hint="eastAsia" w:ascii="宋体" w:hAnsi="宋体"/>
                <w:color w:val="auto"/>
                <w:sz w:val="21"/>
                <w:szCs w:val="21"/>
              </w:rPr>
              <w:t>送达情况</w:t>
            </w:r>
          </w:p>
        </w:tc>
        <w:tc>
          <w:tcPr>
            <w:tcW w:w="1308" w:type="dxa"/>
            <w:vAlign w:val="center"/>
          </w:tcPr>
          <w:p>
            <w:pPr>
              <w:pStyle w:val="108"/>
              <w:jc w:val="center"/>
              <w:rPr>
                <w:rFonts w:ascii="宋体" w:hAnsi="宋体"/>
                <w:color w:val="auto"/>
                <w:sz w:val="21"/>
                <w:szCs w:val="21"/>
              </w:rPr>
            </w:pPr>
            <w:r>
              <w:rPr>
                <w:rFonts w:hint="eastAsia" w:ascii="宋体" w:hAnsi="宋体"/>
                <w:color w:val="auto"/>
                <w:sz w:val="21"/>
                <w:szCs w:val="21"/>
              </w:rPr>
              <w:t>密封情况</w:t>
            </w:r>
          </w:p>
        </w:tc>
        <w:tc>
          <w:tcPr>
            <w:tcW w:w="1217" w:type="dxa"/>
            <w:vAlign w:val="center"/>
          </w:tcPr>
          <w:p>
            <w:pPr>
              <w:pStyle w:val="108"/>
              <w:jc w:val="center"/>
              <w:rPr>
                <w:rFonts w:ascii="宋体" w:hAnsi="宋体"/>
                <w:color w:val="auto"/>
                <w:sz w:val="23"/>
                <w:szCs w:val="23"/>
              </w:rPr>
            </w:pPr>
            <w:r>
              <w:rPr>
                <w:rFonts w:hint="eastAsia" w:ascii="宋体" w:hAnsi="宋体"/>
                <w:color w:val="auto"/>
                <w:sz w:val="23"/>
                <w:szCs w:val="23"/>
              </w:rPr>
              <w:t>投标保证金递交情况</w:t>
            </w:r>
          </w:p>
        </w:tc>
        <w:tc>
          <w:tcPr>
            <w:tcW w:w="1523" w:type="dxa"/>
            <w:vAlign w:val="center"/>
          </w:tcPr>
          <w:p>
            <w:pPr>
              <w:pStyle w:val="108"/>
              <w:jc w:val="center"/>
              <w:rPr>
                <w:rFonts w:ascii="宋体" w:hAnsi="宋体"/>
                <w:color w:val="auto"/>
                <w:sz w:val="23"/>
                <w:szCs w:val="23"/>
              </w:rPr>
            </w:pPr>
            <w:r>
              <w:rPr>
                <w:rFonts w:hint="eastAsia" w:ascii="宋体" w:hAnsi="宋体"/>
                <w:color w:val="auto"/>
                <w:sz w:val="23"/>
                <w:szCs w:val="23"/>
              </w:rPr>
              <w:t>投标总报价</w:t>
            </w:r>
          </w:p>
        </w:tc>
        <w:tc>
          <w:tcPr>
            <w:tcW w:w="1523" w:type="dxa"/>
            <w:vAlign w:val="center"/>
          </w:tcPr>
          <w:p>
            <w:pPr>
              <w:pStyle w:val="108"/>
              <w:jc w:val="center"/>
              <w:rPr>
                <w:rFonts w:ascii="宋体" w:hAnsi="宋体"/>
                <w:color w:val="auto"/>
                <w:sz w:val="21"/>
                <w:szCs w:val="21"/>
              </w:rPr>
            </w:pPr>
            <w:r>
              <w:rPr>
                <w:rFonts w:hint="eastAsia" w:ascii="宋体" w:hAnsi="宋体"/>
                <w:color w:val="auto"/>
                <w:sz w:val="21"/>
                <w:szCs w:val="21"/>
              </w:rPr>
              <w:t>签名</w:t>
            </w:r>
          </w:p>
        </w:tc>
        <w:tc>
          <w:tcPr>
            <w:tcW w:w="1985" w:type="dxa"/>
            <w:vAlign w:val="center"/>
          </w:tcPr>
          <w:p>
            <w:pPr>
              <w:pStyle w:val="108"/>
              <w:jc w:val="center"/>
              <w:rPr>
                <w:rFonts w:ascii="宋体" w:hAnsi="宋体"/>
                <w:color w:val="auto"/>
                <w:sz w:val="21"/>
                <w:szCs w:val="21"/>
              </w:rPr>
            </w:pPr>
            <w:r>
              <w:rPr>
                <w:rFonts w:hint="eastAsia" w:ascii="宋体"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tcPr>
          <w:p>
            <w:pPr>
              <w:autoSpaceDE w:val="0"/>
              <w:autoSpaceDN w:val="0"/>
              <w:spacing w:line="360" w:lineRule="auto"/>
              <w:jc w:val="left"/>
              <w:rPr>
                <w:rFonts w:ascii="宋体" w:hAnsi="宋体" w:cs="黑体"/>
                <w:color w:val="auto"/>
                <w:kern w:val="0"/>
                <w:sz w:val="24"/>
              </w:rPr>
            </w:pPr>
          </w:p>
        </w:tc>
        <w:tc>
          <w:tcPr>
            <w:tcW w:w="5190" w:type="dxa"/>
          </w:tcPr>
          <w:p>
            <w:pPr>
              <w:autoSpaceDE w:val="0"/>
              <w:autoSpaceDN w:val="0"/>
              <w:spacing w:line="360" w:lineRule="auto"/>
              <w:jc w:val="left"/>
              <w:rPr>
                <w:rFonts w:ascii="宋体" w:hAnsi="宋体" w:cs="黑体"/>
                <w:color w:val="auto"/>
                <w:kern w:val="0"/>
                <w:sz w:val="24"/>
              </w:rPr>
            </w:pPr>
          </w:p>
        </w:tc>
        <w:tc>
          <w:tcPr>
            <w:tcW w:w="1228" w:type="dxa"/>
          </w:tcPr>
          <w:p>
            <w:pPr>
              <w:autoSpaceDE w:val="0"/>
              <w:autoSpaceDN w:val="0"/>
              <w:spacing w:line="360" w:lineRule="auto"/>
              <w:jc w:val="left"/>
              <w:rPr>
                <w:rFonts w:ascii="宋体" w:hAnsi="宋体" w:cs="黑体"/>
                <w:color w:val="auto"/>
                <w:kern w:val="0"/>
                <w:sz w:val="24"/>
              </w:rPr>
            </w:pPr>
          </w:p>
        </w:tc>
        <w:tc>
          <w:tcPr>
            <w:tcW w:w="1308" w:type="dxa"/>
          </w:tcPr>
          <w:p>
            <w:pPr>
              <w:autoSpaceDE w:val="0"/>
              <w:autoSpaceDN w:val="0"/>
              <w:spacing w:line="360" w:lineRule="auto"/>
              <w:jc w:val="left"/>
              <w:rPr>
                <w:rFonts w:ascii="宋体" w:hAnsi="宋体" w:cs="黑体"/>
                <w:color w:val="auto"/>
                <w:kern w:val="0"/>
                <w:sz w:val="24"/>
              </w:rPr>
            </w:pPr>
          </w:p>
        </w:tc>
        <w:tc>
          <w:tcPr>
            <w:tcW w:w="1217"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985" w:type="dxa"/>
          </w:tcPr>
          <w:p>
            <w:pPr>
              <w:autoSpaceDE w:val="0"/>
              <w:autoSpaceDN w:val="0"/>
              <w:spacing w:line="360" w:lineRule="auto"/>
              <w:jc w:val="left"/>
              <w:rPr>
                <w:rFonts w:ascii="宋体" w:hAnsi="宋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tcPr>
          <w:p>
            <w:pPr>
              <w:autoSpaceDE w:val="0"/>
              <w:autoSpaceDN w:val="0"/>
              <w:spacing w:line="360" w:lineRule="auto"/>
              <w:jc w:val="left"/>
              <w:rPr>
                <w:rFonts w:ascii="宋体" w:hAnsi="宋体" w:cs="黑体"/>
                <w:color w:val="auto"/>
                <w:kern w:val="0"/>
                <w:sz w:val="24"/>
              </w:rPr>
            </w:pPr>
          </w:p>
        </w:tc>
        <w:tc>
          <w:tcPr>
            <w:tcW w:w="5190" w:type="dxa"/>
          </w:tcPr>
          <w:p>
            <w:pPr>
              <w:autoSpaceDE w:val="0"/>
              <w:autoSpaceDN w:val="0"/>
              <w:spacing w:line="360" w:lineRule="auto"/>
              <w:jc w:val="left"/>
              <w:rPr>
                <w:rFonts w:ascii="宋体" w:hAnsi="宋体" w:cs="黑体"/>
                <w:color w:val="auto"/>
                <w:kern w:val="0"/>
                <w:sz w:val="24"/>
              </w:rPr>
            </w:pPr>
          </w:p>
        </w:tc>
        <w:tc>
          <w:tcPr>
            <w:tcW w:w="1228" w:type="dxa"/>
          </w:tcPr>
          <w:p>
            <w:pPr>
              <w:autoSpaceDE w:val="0"/>
              <w:autoSpaceDN w:val="0"/>
              <w:spacing w:line="360" w:lineRule="auto"/>
              <w:jc w:val="left"/>
              <w:rPr>
                <w:rFonts w:ascii="宋体" w:hAnsi="宋体" w:cs="黑体"/>
                <w:color w:val="auto"/>
                <w:kern w:val="0"/>
                <w:sz w:val="24"/>
              </w:rPr>
            </w:pPr>
          </w:p>
        </w:tc>
        <w:tc>
          <w:tcPr>
            <w:tcW w:w="1308" w:type="dxa"/>
          </w:tcPr>
          <w:p>
            <w:pPr>
              <w:autoSpaceDE w:val="0"/>
              <w:autoSpaceDN w:val="0"/>
              <w:spacing w:line="360" w:lineRule="auto"/>
              <w:jc w:val="left"/>
              <w:rPr>
                <w:rFonts w:ascii="宋体" w:hAnsi="宋体" w:cs="黑体"/>
                <w:color w:val="auto"/>
                <w:kern w:val="0"/>
                <w:sz w:val="24"/>
              </w:rPr>
            </w:pPr>
          </w:p>
        </w:tc>
        <w:tc>
          <w:tcPr>
            <w:tcW w:w="1217"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985" w:type="dxa"/>
          </w:tcPr>
          <w:p>
            <w:pPr>
              <w:autoSpaceDE w:val="0"/>
              <w:autoSpaceDN w:val="0"/>
              <w:spacing w:line="360" w:lineRule="auto"/>
              <w:jc w:val="left"/>
              <w:rPr>
                <w:rFonts w:ascii="宋体" w:hAnsi="宋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tcPr>
          <w:p>
            <w:pPr>
              <w:autoSpaceDE w:val="0"/>
              <w:autoSpaceDN w:val="0"/>
              <w:spacing w:line="360" w:lineRule="auto"/>
              <w:jc w:val="left"/>
              <w:rPr>
                <w:rFonts w:ascii="宋体" w:hAnsi="宋体" w:cs="黑体"/>
                <w:color w:val="auto"/>
                <w:kern w:val="0"/>
                <w:sz w:val="24"/>
              </w:rPr>
            </w:pPr>
          </w:p>
        </w:tc>
        <w:tc>
          <w:tcPr>
            <w:tcW w:w="5190" w:type="dxa"/>
          </w:tcPr>
          <w:p>
            <w:pPr>
              <w:autoSpaceDE w:val="0"/>
              <w:autoSpaceDN w:val="0"/>
              <w:spacing w:line="360" w:lineRule="auto"/>
              <w:jc w:val="left"/>
              <w:rPr>
                <w:rFonts w:ascii="宋体" w:hAnsi="宋体" w:cs="黑体"/>
                <w:color w:val="auto"/>
                <w:kern w:val="0"/>
                <w:sz w:val="24"/>
              </w:rPr>
            </w:pPr>
          </w:p>
        </w:tc>
        <w:tc>
          <w:tcPr>
            <w:tcW w:w="1228" w:type="dxa"/>
          </w:tcPr>
          <w:p>
            <w:pPr>
              <w:autoSpaceDE w:val="0"/>
              <w:autoSpaceDN w:val="0"/>
              <w:spacing w:line="360" w:lineRule="auto"/>
              <w:jc w:val="left"/>
              <w:rPr>
                <w:rFonts w:ascii="宋体" w:hAnsi="宋体" w:cs="黑体"/>
                <w:color w:val="auto"/>
                <w:kern w:val="0"/>
                <w:sz w:val="24"/>
              </w:rPr>
            </w:pPr>
          </w:p>
        </w:tc>
        <w:tc>
          <w:tcPr>
            <w:tcW w:w="1308" w:type="dxa"/>
          </w:tcPr>
          <w:p>
            <w:pPr>
              <w:autoSpaceDE w:val="0"/>
              <w:autoSpaceDN w:val="0"/>
              <w:spacing w:line="360" w:lineRule="auto"/>
              <w:jc w:val="left"/>
              <w:rPr>
                <w:rFonts w:ascii="宋体" w:hAnsi="宋体" w:cs="黑体"/>
                <w:color w:val="auto"/>
                <w:kern w:val="0"/>
                <w:sz w:val="24"/>
              </w:rPr>
            </w:pPr>
          </w:p>
        </w:tc>
        <w:tc>
          <w:tcPr>
            <w:tcW w:w="1217"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985" w:type="dxa"/>
          </w:tcPr>
          <w:p>
            <w:pPr>
              <w:autoSpaceDE w:val="0"/>
              <w:autoSpaceDN w:val="0"/>
              <w:spacing w:line="360" w:lineRule="auto"/>
              <w:jc w:val="left"/>
              <w:rPr>
                <w:rFonts w:ascii="宋体" w:hAnsi="宋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tcPr>
          <w:p>
            <w:pPr>
              <w:autoSpaceDE w:val="0"/>
              <w:autoSpaceDN w:val="0"/>
              <w:spacing w:line="360" w:lineRule="auto"/>
              <w:jc w:val="left"/>
              <w:rPr>
                <w:rFonts w:ascii="宋体" w:hAnsi="宋体" w:cs="黑体"/>
                <w:color w:val="auto"/>
                <w:kern w:val="0"/>
                <w:sz w:val="24"/>
              </w:rPr>
            </w:pPr>
          </w:p>
        </w:tc>
        <w:tc>
          <w:tcPr>
            <w:tcW w:w="5190" w:type="dxa"/>
          </w:tcPr>
          <w:p>
            <w:pPr>
              <w:autoSpaceDE w:val="0"/>
              <w:autoSpaceDN w:val="0"/>
              <w:spacing w:line="360" w:lineRule="auto"/>
              <w:jc w:val="left"/>
              <w:rPr>
                <w:rFonts w:ascii="宋体" w:hAnsi="宋体" w:cs="黑体"/>
                <w:color w:val="auto"/>
                <w:kern w:val="0"/>
                <w:sz w:val="24"/>
              </w:rPr>
            </w:pPr>
          </w:p>
        </w:tc>
        <w:tc>
          <w:tcPr>
            <w:tcW w:w="1228" w:type="dxa"/>
          </w:tcPr>
          <w:p>
            <w:pPr>
              <w:autoSpaceDE w:val="0"/>
              <w:autoSpaceDN w:val="0"/>
              <w:spacing w:line="360" w:lineRule="auto"/>
              <w:jc w:val="left"/>
              <w:rPr>
                <w:rFonts w:ascii="宋体" w:hAnsi="宋体" w:cs="黑体"/>
                <w:color w:val="auto"/>
                <w:kern w:val="0"/>
                <w:sz w:val="24"/>
              </w:rPr>
            </w:pPr>
          </w:p>
        </w:tc>
        <w:tc>
          <w:tcPr>
            <w:tcW w:w="1308" w:type="dxa"/>
          </w:tcPr>
          <w:p>
            <w:pPr>
              <w:autoSpaceDE w:val="0"/>
              <w:autoSpaceDN w:val="0"/>
              <w:spacing w:line="360" w:lineRule="auto"/>
              <w:jc w:val="left"/>
              <w:rPr>
                <w:rFonts w:ascii="宋体" w:hAnsi="宋体" w:cs="黑体"/>
                <w:color w:val="auto"/>
                <w:kern w:val="0"/>
                <w:sz w:val="24"/>
              </w:rPr>
            </w:pPr>
          </w:p>
        </w:tc>
        <w:tc>
          <w:tcPr>
            <w:tcW w:w="1217"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985" w:type="dxa"/>
          </w:tcPr>
          <w:p>
            <w:pPr>
              <w:autoSpaceDE w:val="0"/>
              <w:autoSpaceDN w:val="0"/>
              <w:spacing w:line="360" w:lineRule="auto"/>
              <w:jc w:val="left"/>
              <w:rPr>
                <w:rFonts w:ascii="宋体" w:hAnsi="宋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tcPr>
          <w:p>
            <w:pPr>
              <w:autoSpaceDE w:val="0"/>
              <w:autoSpaceDN w:val="0"/>
              <w:spacing w:line="360" w:lineRule="auto"/>
              <w:jc w:val="left"/>
              <w:rPr>
                <w:rFonts w:ascii="宋体" w:hAnsi="宋体" w:cs="黑体"/>
                <w:color w:val="auto"/>
                <w:kern w:val="0"/>
                <w:sz w:val="24"/>
              </w:rPr>
            </w:pPr>
          </w:p>
        </w:tc>
        <w:tc>
          <w:tcPr>
            <w:tcW w:w="5190" w:type="dxa"/>
          </w:tcPr>
          <w:p>
            <w:pPr>
              <w:autoSpaceDE w:val="0"/>
              <w:autoSpaceDN w:val="0"/>
              <w:spacing w:line="360" w:lineRule="auto"/>
              <w:jc w:val="left"/>
              <w:rPr>
                <w:rFonts w:ascii="宋体" w:hAnsi="宋体" w:cs="黑体"/>
                <w:color w:val="auto"/>
                <w:kern w:val="0"/>
                <w:sz w:val="24"/>
              </w:rPr>
            </w:pPr>
          </w:p>
        </w:tc>
        <w:tc>
          <w:tcPr>
            <w:tcW w:w="1228" w:type="dxa"/>
          </w:tcPr>
          <w:p>
            <w:pPr>
              <w:autoSpaceDE w:val="0"/>
              <w:autoSpaceDN w:val="0"/>
              <w:spacing w:line="360" w:lineRule="auto"/>
              <w:jc w:val="left"/>
              <w:rPr>
                <w:rFonts w:ascii="宋体" w:hAnsi="宋体" w:cs="黑体"/>
                <w:color w:val="auto"/>
                <w:kern w:val="0"/>
                <w:sz w:val="24"/>
              </w:rPr>
            </w:pPr>
          </w:p>
        </w:tc>
        <w:tc>
          <w:tcPr>
            <w:tcW w:w="1308" w:type="dxa"/>
          </w:tcPr>
          <w:p>
            <w:pPr>
              <w:autoSpaceDE w:val="0"/>
              <w:autoSpaceDN w:val="0"/>
              <w:spacing w:line="360" w:lineRule="auto"/>
              <w:jc w:val="left"/>
              <w:rPr>
                <w:rFonts w:ascii="宋体" w:hAnsi="宋体" w:cs="黑体"/>
                <w:color w:val="auto"/>
                <w:kern w:val="0"/>
                <w:sz w:val="24"/>
              </w:rPr>
            </w:pPr>
          </w:p>
        </w:tc>
        <w:tc>
          <w:tcPr>
            <w:tcW w:w="1217"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985" w:type="dxa"/>
          </w:tcPr>
          <w:p>
            <w:pPr>
              <w:autoSpaceDE w:val="0"/>
              <w:autoSpaceDN w:val="0"/>
              <w:spacing w:line="360" w:lineRule="auto"/>
              <w:jc w:val="left"/>
              <w:rPr>
                <w:rFonts w:ascii="宋体" w:hAnsi="宋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tcPr>
          <w:p>
            <w:pPr>
              <w:autoSpaceDE w:val="0"/>
              <w:autoSpaceDN w:val="0"/>
              <w:spacing w:line="360" w:lineRule="auto"/>
              <w:jc w:val="left"/>
              <w:rPr>
                <w:rFonts w:ascii="宋体" w:hAnsi="宋体" w:cs="黑体"/>
                <w:color w:val="auto"/>
                <w:kern w:val="0"/>
                <w:sz w:val="24"/>
              </w:rPr>
            </w:pPr>
          </w:p>
        </w:tc>
        <w:tc>
          <w:tcPr>
            <w:tcW w:w="5190" w:type="dxa"/>
          </w:tcPr>
          <w:p>
            <w:pPr>
              <w:autoSpaceDE w:val="0"/>
              <w:autoSpaceDN w:val="0"/>
              <w:spacing w:line="360" w:lineRule="auto"/>
              <w:jc w:val="left"/>
              <w:rPr>
                <w:rFonts w:ascii="宋体" w:hAnsi="宋体" w:cs="黑体"/>
                <w:color w:val="auto"/>
                <w:kern w:val="0"/>
                <w:sz w:val="24"/>
              </w:rPr>
            </w:pPr>
          </w:p>
        </w:tc>
        <w:tc>
          <w:tcPr>
            <w:tcW w:w="1228" w:type="dxa"/>
          </w:tcPr>
          <w:p>
            <w:pPr>
              <w:autoSpaceDE w:val="0"/>
              <w:autoSpaceDN w:val="0"/>
              <w:spacing w:line="360" w:lineRule="auto"/>
              <w:jc w:val="left"/>
              <w:rPr>
                <w:rFonts w:ascii="宋体" w:hAnsi="宋体" w:cs="黑体"/>
                <w:color w:val="auto"/>
                <w:kern w:val="0"/>
                <w:sz w:val="24"/>
              </w:rPr>
            </w:pPr>
          </w:p>
        </w:tc>
        <w:tc>
          <w:tcPr>
            <w:tcW w:w="1308" w:type="dxa"/>
          </w:tcPr>
          <w:p>
            <w:pPr>
              <w:autoSpaceDE w:val="0"/>
              <w:autoSpaceDN w:val="0"/>
              <w:spacing w:line="360" w:lineRule="auto"/>
              <w:jc w:val="left"/>
              <w:rPr>
                <w:rFonts w:ascii="宋体" w:hAnsi="宋体" w:cs="黑体"/>
                <w:color w:val="auto"/>
                <w:kern w:val="0"/>
                <w:sz w:val="24"/>
              </w:rPr>
            </w:pPr>
          </w:p>
        </w:tc>
        <w:tc>
          <w:tcPr>
            <w:tcW w:w="1217"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523" w:type="dxa"/>
          </w:tcPr>
          <w:p>
            <w:pPr>
              <w:autoSpaceDE w:val="0"/>
              <w:autoSpaceDN w:val="0"/>
              <w:spacing w:line="360" w:lineRule="auto"/>
              <w:jc w:val="left"/>
              <w:rPr>
                <w:rFonts w:ascii="宋体" w:hAnsi="宋体" w:cs="黑体"/>
                <w:color w:val="auto"/>
                <w:kern w:val="0"/>
                <w:sz w:val="24"/>
              </w:rPr>
            </w:pPr>
          </w:p>
        </w:tc>
        <w:tc>
          <w:tcPr>
            <w:tcW w:w="1985" w:type="dxa"/>
          </w:tcPr>
          <w:p>
            <w:pPr>
              <w:autoSpaceDE w:val="0"/>
              <w:autoSpaceDN w:val="0"/>
              <w:spacing w:line="360" w:lineRule="auto"/>
              <w:jc w:val="left"/>
              <w:rPr>
                <w:rFonts w:ascii="宋体" w:hAnsi="宋体" w:cs="黑体"/>
                <w:color w:val="auto"/>
                <w:kern w:val="0"/>
                <w:sz w:val="24"/>
              </w:rPr>
            </w:pPr>
          </w:p>
        </w:tc>
      </w:tr>
    </w:tbl>
    <w:p>
      <w:pPr>
        <w:autoSpaceDE w:val="0"/>
        <w:autoSpaceDN w:val="0"/>
        <w:spacing w:line="360" w:lineRule="auto"/>
        <w:ind w:firstLine="420" w:firstLineChars="200"/>
        <w:jc w:val="left"/>
        <w:rPr>
          <w:rFonts w:ascii="宋体" w:hAnsi="宋体" w:cs="黑体"/>
          <w:color w:val="auto"/>
          <w:kern w:val="0"/>
          <w:sz w:val="24"/>
        </w:rPr>
      </w:pPr>
      <w:r>
        <w:rPr>
          <w:rFonts w:hint="eastAsia" w:ascii="宋体" w:hAnsi="宋体"/>
          <w:color w:val="auto"/>
          <w:szCs w:val="21"/>
        </w:rPr>
        <w:t xml:space="preserve">开标人：                                         </w:t>
      </w:r>
      <w:r>
        <w:rPr>
          <w:rFonts w:ascii="宋体" w:hAnsi="宋体"/>
          <w:color w:val="auto"/>
          <w:szCs w:val="21"/>
        </w:rPr>
        <w:t xml:space="preserve"> </w:t>
      </w:r>
      <w:r>
        <w:rPr>
          <w:rFonts w:hint="eastAsia" w:ascii="宋体" w:hAnsi="宋体"/>
          <w:color w:val="auto"/>
          <w:szCs w:val="21"/>
        </w:rPr>
        <w:t>记录人：</w:t>
      </w:r>
      <w:r>
        <w:rPr>
          <w:rFonts w:ascii="宋体" w:hAnsi="宋体"/>
          <w:color w:val="auto"/>
          <w:szCs w:val="21"/>
        </w:rPr>
        <w:t xml:space="preserve"> </w:t>
      </w:r>
      <w:r>
        <w:rPr>
          <w:rFonts w:hint="eastAsia" w:ascii="宋体" w:hAnsi="宋体"/>
          <w:color w:val="auto"/>
          <w:szCs w:val="21"/>
        </w:rPr>
        <w:t xml:space="preserve">                                    监标人：</w:t>
      </w:r>
    </w:p>
    <w:p>
      <w:pPr>
        <w:autoSpaceDE w:val="0"/>
        <w:autoSpaceDN w:val="0"/>
        <w:spacing w:line="360" w:lineRule="auto"/>
        <w:ind w:firstLine="560" w:firstLineChars="200"/>
        <w:jc w:val="left"/>
        <w:rPr>
          <w:rFonts w:ascii="宋体" w:hAnsi="宋体"/>
          <w:b/>
          <w:color w:val="auto"/>
          <w:sz w:val="28"/>
          <w:szCs w:val="28"/>
        </w:rPr>
        <w:sectPr>
          <w:pgSz w:w="16838" w:h="11906" w:orient="landscape"/>
          <w:pgMar w:top="1418" w:right="1418" w:bottom="1418" w:left="1418" w:header="851" w:footer="992" w:gutter="0"/>
          <w:cols w:space="720" w:num="1"/>
          <w:docGrid w:type="linesAndChars" w:linePitch="312" w:charSpace="0"/>
        </w:sectPr>
      </w:pPr>
    </w:p>
    <w:p>
      <w:pPr>
        <w:pStyle w:val="108"/>
        <w:rPr>
          <w:rFonts w:ascii="宋体" w:hAnsi="宋体"/>
          <w:b/>
          <w:color w:val="auto"/>
          <w:sz w:val="28"/>
          <w:szCs w:val="28"/>
        </w:rPr>
      </w:pPr>
      <w:r>
        <w:rPr>
          <w:rFonts w:hint="eastAsia" w:ascii="宋体" w:hAnsi="宋体"/>
          <w:b/>
          <w:color w:val="auto"/>
          <w:sz w:val="28"/>
          <w:szCs w:val="28"/>
        </w:rPr>
        <w:t>附表二：问题澄清通知</w:t>
      </w:r>
    </w:p>
    <w:p>
      <w:pPr>
        <w:pStyle w:val="108"/>
        <w:jc w:val="center"/>
        <w:rPr>
          <w:rFonts w:ascii="宋体" w:hAnsi="宋体"/>
          <w:b/>
          <w:color w:val="auto"/>
          <w:sz w:val="32"/>
          <w:szCs w:val="32"/>
        </w:rPr>
      </w:pPr>
      <w:r>
        <w:rPr>
          <w:rFonts w:hint="eastAsia" w:ascii="宋体" w:hAnsi="宋体"/>
          <w:b/>
          <w:color w:val="auto"/>
          <w:sz w:val="32"/>
          <w:szCs w:val="32"/>
        </w:rPr>
        <w:t>问题澄清通知</w:t>
      </w:r>
    </w:p>
    <w:p>
      <w:pPr>
        <w:pStyle w:val="108"/>
        <w:jc w:val="center"/>
        <w:rPr>
          <w:rFonts w:ascii="宋体" w:hAnsi="宋体" w:cs="宋体"/>
          <w:color w:val="auto"/>
          <w:sz w:val="28"/>
          <w:szCs w:val="28"/>
        </w:rPr>
      </w:pPr>
      <w:r>
        <w:rPr>
          <w:rFonts w:hint="eastAsia" w:ascii="宋体" w:hAnsi="宋体" w:cs="宋体"/>
          <w:color w:val="auto"/>
          <w:sz w:val="28"/>
          <w:szCs w:val="28"/>
        </w:rPr>
        <w:t>编号：</w:t>
      </w:r>
    </w:p>
    <w:p>
      <w:pPr>
        <w:pStyle w:val="108"/>
        <w:rPr>
          <w:rFonts w:ascii="宋体" w:hAnsi="宋体" w:cs="宋体"/>
          <w:color w:val="auto"/>
          <w:sz w:val="23"/>
          <w:szCs w:val="23"/>
        </w:rPr>
      </w:pPr>
      <w:r>
        <w:rPr>
          <w:rFonts w:hint="eastAsia" w:ascii="宋体" w:hAnsi="宋体" w:cs="宋体"/>
          <w:color w:val="auto"/>
          <w:u w:val="single"/>
        </w:rPr>
        <w:t xml:space="preserve">          </w:t>
      </w:r>
      <w:r>
        <w:rPr>
          <w:rFonts w:ascii="宋体" w:hAnsi="宋体" w:cs="宋体"/>
          <w:color w:val="auto"/>
          <w:u w:val="single"/>
        </w:rPr>
        <w:t xml:space="preserve"> </w:t>
      </w:r>
      <w:r>
        <w:rPr>
          <w:rFonts w:ascii="宋体" w:hAnsi="宋体"/>
          <w:color w:val="auto"/>
          <w:sz w:val="23"/>
          <w:szCs w:val="23"/>
        </w:rPr>
        <w:t xml:space="preserve"> (</w:t>
      </w:r>
      <w:r>
        <w:rPr>
          <w:rFonts w:hint="eastAsia" w:ascii="宋体" w:hAnsi="宋体" w:cs="宋体"/>
          <w:color w:val="auto"/>
          <w:sz w:val="23"/>
          <w:szCs w:val="23"/>
        </w:rPr>
        <w:t>投标人名称</w:t>
      </w:r>
      <w:r>
        <w:rPr>
          <w:rFonts w:ascii="宋体" w:hAnsi="宋体"/>
          <w:color w:val="auto"/>
          <w:sz w:val="23"/>
          <w:szCs w:val="23"/>
        </w:rPr>
        <w:t>)</w:t>
      </w:r>
      <w:r>
        <w:rPr>
          <w:rFonts w:hint="eastAsia" w:ascii="宋体" w:hAnsi="宋体" w:cs="宋体"/>
          <w:color w:val="auto"/>
          <w:sz w:val="23"/>
          <w:szCs w:val="23"/>
        </w:rPr>
        <w:t>：</w:t>
      </w:r>
    </w:p>
    <w:p>
      <w:pPr>
        <w:pStyle w:val="108"/>
        <w:rPr>
          <w:rFonts w:ascii="宋体" w:hAnsi="宋体" w:cs="宋体"/>
          <w:color w:val="auto"/>
          <w:sz w:val="23"/>
          <w:szCs w:val="23"/>
        </w:rPr>
      </w:pPr>
      <w:r>
        <w:rPr>
          <w:rFonts w:ascii="宋体" w:hAnsi="宋体" w:cs="宋体"/>
          <w:color w:val="auto"/>
          <w:sz w:val="23"/>
          <w:szCs w:val="23"/>
        </w:rPr>
        <w:t xml:space="preserve"> </w:t>
      </w:r>
      <w:r>
        <w:rPr>
          <w:rFonts w:hint="eastAsia" w:ascii="宋体" w:hAnsi="宋体" w:cs="宋体"/>
          <w:color w:val="auto"/>
          <w:sz w:val="23"/>
          <w:szCs w:val="23"/>
        </w:rPr>
        <w:t xml:space="preserve">    </w:t>
      </w:r>
    </w:p>
    <w:p>
      <w:pPr>
        <w:autoSpaceDE w:val="0"/>
        <w:autoSpaceDN w:val="0"/>
        <w:spacing w:line="360" w:lineRule="auto"/>
        <w:ind w:firstLine="480" w:firstLineChars="200"/>
        <w:rPr>
          <w:rFonts w:ascii="宋体" w:hAnsi="宋体"/>
          <w:color w:val="auto"/>
          <w:sz w:val="24"/>
        </w:rPr>
      </w:pPr>
      <w:r>
        <w:rPr>
          <w:rFonts w:hint="eastAsia" w:ascii="宋体" w:hAnsi="宋体" w:cs="宋体"/>
          <w:color w:val="auto"/>
          <w:sz w:val="24"/>
          <w:lang w:eastAsia="zh-CN"/>
        </w:rPr>
        <w:t>重庆渝合高速公路有限公司2021-2024年运营保险项目（第二次）</w:t>
      </w:r>
      <w:r>
        <w:rPr>
          <w:rFonts w:hint="eastAsia" w:ascii="宋体" w:hAnsi="宋体" w:cs="宋体"/>
          <w:color w:val="auto"/>
          <w:sz w:val="24"/>
        </w:rPr>
        <w:t>评标委员会，对你方的投标文件进行了仔细的审查，现需你方对下列问题以书面形式予以澄清：</w:t>
      </w:r>
    </w:p>
    <w:p>
      <w:pPr>
        <w:pStyle w:val="108"/>
        <w:adjustRightInd/>
        <w:spacing w:line="360" w:lineRule="auto"/>
        <w:rPr>
          <w:rFonts w:ascii="宋体" w:hAnsi="宋体"/>
          <w:color w:val="auto"/>
        </w:rPr>
      </w:pPr>
      <w:r>
        <w:rPr>
          <w:rFonts w:ascii="宋体" w:hAnsi="宋体" w:cs="宋体"/>
          <w:color w:val="auto"/>
        </w:rPr>
        <w:t xml:space="preserve"> </w:t>
      </w:r>
      <w:r>
        <w:rPr>
          <w:rFonts w:hint="eastAsia" w:ascii="宋体" w:hAnsi="宋体" w:cs="宋体"/>
          <w:color w:val="auto"/>
        </w:rPr>
        <w:t xml:space="preserve">   </w:t>
      </w:r>
      <w:r>
        <w:rPr>
          <w:rFonts w:hint="eastAsia" w:ascii="宋体" w:hAnsi="宋体"/>
          <w:color w:val="auto"/>
        </w:rPr>
        <w:t>1.</w:t>
      </w:r>
    </w:p>
    <w:p>
      <w:pPr>
        <w:pStyle w:val="108"/>
        <w:adjustRightInd/>
        <w:spacing w:line="360" w:lineRule="auto"/>
        <w:ind w:firstLine="480" w:firstLineChars="200"/>
        <w:rPr>
          <w:rFonts w:ascii="宋体" w:hAnsi="宋体"/>
          <w:color w:val="auto"/>
        </w:rPr>
      </w:pPr>
      <w:r>
        <w:rPr>
          <w:rFonts w:hint="eastAsia" w:ascii="宋体" w:hAnsi="宋体"/>
          <w:color w:val="auto"/>
        </w:rPr>
        <w:t xml:space="preserve">2. </w:t>
      </w:r>
    </w:p>
    <w:p>
      <w:pPr>
        <w:pStyle w:val="108"/>
        <w:adjustRightInd/>
        <w:spacing w:line="360" w:lineRule="auto"/>
        <w:ind w:firstLine="480" w:firstLineChars="200"/>
        <w:rPr>
          <w:rFonts w:ascii="宋体" w:hAnsi="宋体"/>
          <w:color w:val="auto"/>
        </w:rPr>
      </w:pPr>
      <w:r>
        <w:rPr>
          <w:rFonts w:ascii="宋体" w:hAnsi="宋体"/>
          <w:color w:val="auto"/>
        </w:rPr>
        <w:t xml:space="preserve">...... </w:t>
      </w:r>
    </w:p>
    <w:p>
      <w:pPr>
        <w:pStyle w:val="108"/>
        <w:adjustRightInd/>
        <w:spacing w:line="360" w:lineRule="auto"/>
        <w:ind w:firstLine="600" w:firstLineChars="250"/>
        <w:rPr>
          <w:rFonts w:ascii="宋体" w:hAnsi="宋体" w:cs="宋体"/>
          <w:color w:val="auto"/>
        </w:rPr>
      </w:pPr>
      <w:r>
        <w:rPr>
          <w:rFonts w:hint="eastAsia" w:ascii="宋体" w:hAnsi="宋体" w:cs="宋体"/>
          <w:color w:val="auto"/>
        </w:rPr>
        <w:t>请将上述问题的澄清于</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日</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时前递交至</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olor w:val="auto"/>
          <w:u w:val="single"/>
        </w:rPr>
        <w:t>(</w:t>
      </w:r>
      <w:r>
        <w:rPr>
          <w:rFonts w:hint="eastAsia" w:ascii="宋体" w:hAnsi="宋体" w:cs="宋体"/>
          <w:color w:val="auto"/>
          <w:u w:val="single"/>
        </w:rPr>
        <w:t>详细地址</w:t>
      </w:r>
      <w:r>
        <w:rPr>
          <w:rFonts w:ascii="宋体" w:hAnsi="宋体"/>
          <w:color w:val="auto"/>
          <w:u w:val="single"/>
        </w:rPr>
        <w:t>)</w:t>
      </w:r>
      <w:r>
        <w:rPr>
          <w:rFonts w:hint="eastAsia" w:ascii="宋体" w:hAnsi="宋体" w:cs="宋体"/>
          <w:color w:val="auto"/>
          <w:u w:val="single"/>
        </w:rPr>
        <w:t xml:space="preserve">  </w:t>
      </w:r>
      <w:r>
        <w:rPr>
          <w:rFonts w:hint="eastAsia" w:ascii="宋体" w:hAnsi="宋体" w:cs="宋体"/>
          <w:color w:val="auto"/>
        </w:rPr>
        <w:t>或传真至</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olor w:val="auto"/>
          <w:u w:val="single"/>
        </w:rPr>
        <w:t>(</w:t>
      </w:r>
      <w:r>
        <w:rPr>
          <w:rFonts w:hint="eastAsia" w:ascii="宋体" w:hAnsi="宋体" w:cs="宋体"/>
          <w:color w:val="auto"/>
          <w:u w:val="single"/>
        </w:rPr>
        <w:t>传真号码</w:t>
      </w:r>
      <w:r>
        <w:rPr>
          <w:rFonts w:ascii="宋体" w:hAnsi="宋体"/>
          <w:color w:val="auto"/>
          <w:u w:val="single"/>
        </w:rPr>
        <w:t>)</w:t>
      </w:r>
      <w:r>
        <w:rPr>
          <w:rFonts w:hint="eastAsia" w:ascii="宋体" w:hAnsi="宋体"/>
          <w:color w:val="auto"/>
          <w:u w:val="single"/>
        </w:rPr>
        <w:t xml:space="preserve">   </w:t>
      </w:r>
      <w:r>
        <w:rPr>
          <w:rFonts w:hint="eastAsia" w:ascii="宋体" w:hAnsi="宋体" w:cs="宋体"/>
          <w:color w:val="auto"/>
        </w:rPr>
        <w:t>。采用传真方式的，应在</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日</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时前将原件递交至</w:t>
      </w:r>
      <w:r>
        <w:rPr>
          <w:rFonts w:ascii="宋体" w:hAnsi="宋体" w:cs="宋体"/>
          <w:color w:val="auto"/>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ascii="宋体" w:hAnsi="宋体"/>
          <w:color w:val="auto"/>
          <w:u w:val="single"/>
        </w:rPr>
        <w:t>(</w:t>
      </w:r>
      <w:r>
        <w:rPr>
          <w:rFonts w:hint="eastAsia" w:ascii="宋体" w:hAnsi="宋体" w:cs="宋体"/>
          <w:color w:val="auto"/>
          <w:u w:val="single"/>
        </w:rPr>
        <w:t>详细地址</w:t>
      </w:r>
      <w:r>
        <w:rPr>
          <w:rFonts w:ascii="宋体" w:hAnsi="宋体"/>
          <w:color w:val="auto"/>
          <w:u w:val="single"/>
        </w:rPr>
        <w:t>)</w:t>
      </w:r>
      <w:r>
        <w:rPr>
          <w:rFonts w:hint="eastAsia" w:ascii="宋体" w:hAnsi="宋体"/>
          <w:color w:val="auto"/>
          <w:u w:val="single"/>
        </w:rPr>
        <w:t xml:space="preserve">     </w:t>
      </w:r>
      <w:r>
        <w:rPr>
          <w:rFonts w:hint="eastAsia" w:ascii="宋体" w:hAnsi="宋体" w:cs="宋体"/>
          <w:color w:val="auto"/>
        </w:rPr>
        <w:t>。</w:t>
      </w:r>
    </w:p>
    <w:p>
      <w:pPr>
        <w:pStyle w:val="108"/>
        <w:adjustRightInd/>
        <w:spacing w:line="360" w:lineRule="auto"/>
        <w:ind w:firstLine="3840" w:firstLineChars="1600"/>
        <w:rPr>
          <w:rFonts w:ascii="宋体" w:hAnsi="宋体" w:cs="宋体"/>
          <w:color w:val="auto"/>
        </w:rPr>
      </w:pPr>
    </w:p>
    <w:p>
      <w:pPr>
        <w:pStyle w:val="108"/>
        <w:adjustRightInd/>
        <w:spacing w:line="360" w:lineRule="auto"/>
        <w:ind w:firstLine="1920" w:firstLineChars="800"/>
        <w:rPr>
          <w:rFonts w:ascii="宋体" w:hAnsi="宋体"/>
          <w:color w:val="auto"/>
        </w:rPr>
      </w:pPr>
    </w:p>
    <w:p>
      <w:pPr>
        <w:pStyle w:val="108"/>
        <w:adjustRightInd/>
        <w:spacing w:line="360" w:lineRule="auto"/>
        <w:ind w:right="120"/>
        <w:jc w:val="right"/>
        <w:rPr>
          <w:rFonts w:ascii="宋体" w:hAnsi="宋体" w:cs="宋体"/>
          <w:color w:val="auto"/>
        </w:rPr>
      </w:pPr>
    </w:p>
    <w:p>
      <w:pPr>
        <w:pStyle w:val="108"/>
        <w:adjustRightInd/>
        <w:spacing w:line="360" w:lineRule="auto"/>
        <w:ind w:right="120"/>
        <w:jc w:val="right"/>
        <w:rPr>
          <w:rFonts w:ascii="宋体" w:hAnsi="宋体"/>
          <w:color w:val="auto"/>
        </w:rPr>
      </w:pPr>
      <w:r>
        <w:rPr>
          <w:rFonts w:hint="eastAsia" w:ascii="宋体" w:hAnsi="宋体" w:cs="宋体"/>
          <w:color w:val="auto"/>
          <w:lang w:eastAsia="zh-CN"/>
        </w:rPr>
        <w:t>重庆渝合高速公路有限公司2021-2024年运营保险项目（第二次）</w:t>
      </w:r>
      <w:r>
        <w:rPr>
          <w:rFonts w:hint="eastAsia" w:ascii="宋体" w:hAnsi="宋体" w:cs="宋体"/>
          <w:color w:val="auto"/>
        </w:rPr>
        <w:t>评标委员会</w:t>
      </w:r>
      <w:r>
        <w:rPr>
          <w:rFonts w:ascii="宋体" w:hAnsi="宋体" w:cs="宋体"/>
          <w:color w:val="auto"/>
        </w:rPr>
        <w:t xml:space="preserve"> </w:t>
      </w:r>
    </w:p>
    <w:p>
      <w:pPr>
        <w:pStyle w:val="108"/>
        <w:adjustRightInd/>
        <w:spacing w:line="360" w:lineRule="auto"/>
        <w:jc w:val="both"/>
        <w:rPr>
          <w:rFonts w:ascii="宋体" w:hAnsi="宋体" w:cs="宋体"/>
          <w:color w:val="auto"/>
        </w:rPr>
      </w:pPr>
    </w:p>
    <w:p>
      <w:pPr>
        <w:pStyle w:val="108"/>
        <w:adjustRightInd/>
        <w:spacing w:line="360" w:lineRule="auto"/>
        <w:ind w:firstLine="5760" w:firstLineChars="2400"/>
        <w:rPr>
          <w:rFonts w:ascii="宋体" w:hAnsi="宋体" w:cs="宋体"/>
          <w:color w:val="auto"/>
        </w:rPr>
      </w:pP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日</w:t>
      </w:r>
    </w:p>
    <w:p>
      <w:pPr>
        <w:pStyle w:val="108"/>
        <w:rPr>
          <w:rFonts w:ascii="宋体" w:hAnsi="宋体"/>
          <w:b/>
          <w:color w:val="auto"/>
          <w:sz w:val="28"/>
          <w:szCs w:val="28"/>
        </w:rPr>
        <w:sectPr>
          <w:pgSz w:w="11906" w:h="16838"/>
          <w:pgMar w:top="1418" w:right="1418" w:bottom="1418" w:left="1418" w:header="851" w:footer="992" w:gutter="0"/>
          <w:cols w:space="720" w:num="1"/>
          <w:docGrid w:type="lines" w:linePitch="312" w:charSpace="0"/>
        </w:sectPr>
      </w:pPr>
    </w:p>
    <w:p>
      <w:pPr>
        <w:pStyle w:val="108"/>
        <w:rPr>
          <w:rFonts w:ascii="宋体" w:hAnsi="宋体"/>
          <w:b/>
          <w:color w:val="auto"/>
          <w:sz w:val="28"/>
          <w:szCs w:val="28"/>
        </w:rPr>
      </w:pPr>
      <w:r>
        <w:rPr>
          <w:rFonts w:hint="eastAsia" w:ascii="宋体" w:hAnsi="宋体"/>
          <w:b/>
          <w:color w:val="auto"/>
          <w:sz w:val="28"/>
          <w:szCs w:val="28"/>
        </w:rPr>
        <w:t>附表三：问题的澄清</w:t>
      </w:r>
    </w:p>
    <w:p>
      <w:pPr>
        <w:pStyle w:val="108"/>
        <w:jc w:val="center"/>
        <w:rPr>
          <w:rFonts w:ascii="宋体" w:hAnsi="宋体"/>
          <w:b/>
          <w:color w:val="auto"/>
          <w:sz w:val="32"/>
          <w:szCs w:val="32"/>
        </w:rPr>
      </w:pPr>
      <w:r>
        <w:rPr>
          <w:rFonts w:hint="eastAsia" w:ascii="宋体" w:hAnsi="宋体"/>
          <w:b/>
          <w:color w:val="auto"/>
          <w:sz w:val="32"/>
          <w:szCs w:val="32"/>
        </w:rPr>
        <w:t>问题的澄清</w:t>
      </w:r>
    </w:p>
    <w:p>
      <w:pPr>
        <w:pStyle w:val="108"/>
        <w:jc w:val="center"/>
        <w:rPr>
          <w:rFonts w:ascii="宋体" w:hAnsi="宋体"/>
          <w:b/>
          <w:color w:val="auto"/>
          <w:sz w:val="32"/>
          <w:szCs w:val="32"/>
        </w:rPr>
      </w:pPr>
      <w:r>
        <w:rPr>
          <w:rFonts w:hint="eastAsia" w:ascii="宋体" w:hAnsi="宋体"/>
          <w:b/>
          <w:color w:val="auto"/>
          <w:sz w:val="32"/>
          <w:szCs w:val="32"/>
        </w:rPr>
        <w:t>编号：</w:t>
      </w:r>
    </w:p>
    <w:p>
      <w:pPr>
        <w:autoSpaceDE w:val="0"/>
        <w:autoSpaceDN w:val="0"/>
        <w:spacing w:line="360" w:lineRule="auto"/>
        <w:ind w:firstLine="480" w:firstLineChars="200"/>
        <w:rPr>
          <w:rFonts w:ascii="宋体" w:hAnsi="宋体"/>
          <w:color w:val="auto"/>
          <w:kern w:val="0"/>
          <w:sz w:val="24"/>
        </w:rPr>
      </w:pPr>
      <w:r>
        <w:rPr>
          <w:rFonts w:hint="eastAsia" w:ascii="宋体" w:hAnsi="宋体" w:cs="宋体"/>
          <w:color w:val="auto"/>
          <w:sz w:val="24"/>
          <w:lang w:eastAsia="zh-CN"/>
        </w:rPr>
        <w:t>重庆渝合高速公路有限公司2021-2024年运营保险项目（第二次）</w:t>
      </w:r>
      <w:r>
        <w:rPr>
          <w:rFonts w:hint="eastAsia" w:ascii="宋体" w:hAnsi="宋体"/>
          <w:color w:val="auto"/>
          <w:kern w:val="0"/>
          <w:sz w:val="24"/>
        </w:rPr>
        <w:t>评标委员会</w:t>
      </w:r>
      <w:r>
        <w:rPr>
          <w:rFonts w:ascii="宋体" w:hAnsi="宋体"/>
          <w:color w:val="auto"/>
          <w:kern w:val="0"/>
          <w:sz w:val="24"/>
        </w:rPr>
        <w:t xml:space="preserve"> </w:t>
      </w:r>
      <w:r>
        <w:rPr>
          <w:rFonts w:hint="eastAsia" w:ascii="宋体" w:hAnsi="宋体"/>
          <w:color w:val="auto"/>
          <w:kern w:val="0"/>
          <w:sz w:val="24"/>
        </w:rPr>
        <w:t>：</w:t>
      </w:r>
    </w:p>
    <w:p>
      <w:pPr>
        <w:pStyle w:val="108"/>
        <w:adjustRightInd/>
        <w:spacing w:line="360" w:lineRule="auto"/>
        <w:rPr>
          <w:rFonts w:ascii="宋体" w:hAnsi="宋体" w:cs="宋体"/>
          <w:color w:val="auto"/>
        </w:rPr>
      </w:pPr>
      <w:r>
        <w:rPr>
          <w:rFonts w:ascii="宋体" w:hAnsi="宋体" w:cs="宋体"/>
          <w:color w:val="auto"/>
          <w:sz w:val="23"/>
          <w:szCs w:val="23"/>
        </w:rPr>
        <w:t xml:space="preserve"> </w:t>
      </w:r>
      <w:r>
        <w:rPr>
          <w:rFonts w:hint="eastAsia" w:ascii="宋体" w:hAnsi="宋体" w:cs="宋体"/>
          <w:color w:val="auto"/>
          <w:sz w:val="23"/>
          <w:szCs w:val="23"/>
        </w:rPr>
        <w:t xml:space="preserve">   </w:t>
      </w:r>
      <w:r>
        <w:rPr>
          <w:rFonts w:hint="eastAsia" w:ascii="宋体" w:hAnsi="宋体" w:cs="宋体"/>
          <w:color w:val="auto"/>
        </w:rPr>
        <w:t>问题澄清通知</w:t>
      </w:r>
      <w:r>
        <w:rPr>
          <w:rFonts w:ascii="宋体" w:hAnsi="宋体"/>
          <w:color w:val="auto"/>
        </w:rPr>
        <w:t>(</w:t>
      </w:r>
      <w:r>
        <w:rPr>
          <w:rFonts w:hint="eastAsia" w:ascii="宋体" w:hAnsi="宋体" w:cs="宋体"/>
          <w:color w:val="auto"/>
        </w:rPr>
        <w:t xml:space="preserve">编号：    </w:t>
      </w:r>
      <w:r>
        <w:rPr>
          <w:rFonts w:ascii="宋体" w:hAnsi="宋体" w:cs="宋体"/>
          <w:color w:val="auto"/>
        </w:rPr>
        <w:t xml:space="preserve"> </w:t>
      </w:r>
      <w:r>
        <w:rPr>
          <w:rFonts w:ascii="宋体" w:hAnsi="宋体"/>
          <w:color w:val="auto"/>
        </w:rPr>
        <w:t>)</w:t>
      </w:r>
      <w:r>
        <w:rPr>
          <w:rFonts w:hint="eastAsia" w:ascii="宋体" w:hAnsi="宋体" w:cs="宋体"/>
          <w:color w:val="auto"/>
        </w:rPr>
        <w:t>已收悉，现澄清如下：</w:t>
      </w:r>
    </w:p>
    <w:p>
      <w:pPr>
        <w:pStyle w:val="108"/>
        <w:adjustRightInd/>
        <w:spacing w:line="360" w:lineRule="auto"/>
        <w:ind w:firstLine="480" w:firstLineChars="200"/>
        <w:rPr>
          <w:rFonts w:ascii="宋体" w:hAnsi="宋体"/>
          <w:color w:val="auto"/>
        </w:rPr>
      </w:pPr>
      <w:r>
        <w:rPr>
          <w:rFonts w:ascii="宋体" w:hAnsi="宋体"/>
          <w:color w:val="auto"/>
        </w:rPr>
        <w:t xml:space="preserve">1. </w:t>
      </w:r>
    </w:p>
    <w:p>
      <w:pPr>
        <w:pStyle w:val="108"/>
        <w:adjustRightInd/>
        <w:spacing w:line="360" w:lineRule="auto"/>
        <w:ind w:firstLine="480" w:firstLineChars="200"/>
        <w:rPr>
          <w:rFonts w:ascii="宋体" w:hAnsi="宋体"/>
          <w:color w:val="auto"/>
        </w:rPr>
      </w:pPr>
      <w:r>
        <w:rPr>
          <w:rFonts w:ascii="宋体" w:hAnsi="宋体"/>
          <w:color w:val="auto"/>
        </w:rPr>
        <w:t xml:space="preserve">2. </w:t>
      </w:r>
    </w:p>
    <w:p>
      <w:pPr>
        <w:pStyle w:val="108"/>
        <w:adjustRightInd/>
        <w:spacing w:line="360" w:lineRule="auto"/>
        <w:ind w:firstLine="480" w:firstLineChars="200"/>
        <w:rPr>
          <w:rFonts w:ascii="宋体" w:hAnsi="宋体"/>
          <w:color w:val="auto"/>
        </w:rPr>
      </w:pPr>
    </w:p>
    <w:p>
      <w:pPr>
        <w:pStyle w:val="108"/>
        <w:adjustRightInd/>
        <w:spacing w:line="360" w:lineRule="auto"/>
        <w:ind w:firstLine="480" w:firstLineChars="200"/>
        <w:rPr>
          <w:rFonts w:ascii="宋体" w:hAnsi="宋体"/>
          <w:color w:val="auto"/>
        </w:rPr>
      </w:pPr>
      <w:r>
        <w:rPr>
          <w:rFonts w:ascii="宋体" w:hAnsi="宋体"/>
          <w:color w:val="auto"/>
        </w:rPr>
        <w:t>.....</w:t>
      </w:r>
    </w:p>
    <w:p>
      <w:pPr>
        <w:pStyle w:val="108"/>
        <w:adjustRightInd/>
        <w:spacing w:line="360" w:lineRule="auto"/>
        <w:ind w:firstLine="480" w:firstLineChars="200"/>
        <w:rPr>
          <w:rFonts w:ascii="宋体" w:hAnsi="宋体"/>
          <w:color w:val="auto"/>
        </w:rPr>
      </w:pPr>
    </w:p>
    <w:p>
      <w:pPr>
        <w:pStyle w:val="108"/>
        <w:adjustRightInd/>
        <w:spacing w:line="360" w:lineRule="auto"/>
        <w:ind w:firstLine="480" w:firstLineChars="200"/>
        <w:rPr>
          <w:rFonts w:ascii="宋体" w:hAnsi="宋体"/>
          <w:color w:val="auto"/>
        </w:rPr>
      </w:pPr>
    </w:p>
    <w:p>
      <w:pPr>
        <w:pStyle w:val="108"/>
        <w:adjustRightInd/>
        <w:spacing w:line="360" w:lineRule="auto"/>
        <w:ind w:firstLine="4080" w:firstLineChars="1700"/>
        <w:rPr>
          <w:rFonts w:ascii="宋体" w:hAnsi="宋体"/>
          <w:color w:val="auto"/>
        </w:rPr>
      </w:pPr>
      <w:r>
        <w:rPr>
          <w:rFonts w:hint="eastAsia" w:ascii="宋体" w:hAnsi="宋体"/>
          <w:color w:val="auto"/>
        </w:rPr>
        <w:t>投标人：</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 xml:space="preserve"> </w:t>
      </w:r>
      <w:r>
        <w:rPr>
          <w:rFonts w:ascii="宋体" w:hAnsi="宋体"/>
          <w:color w:val="auto"/>
        </w:rPr>
        <w:t>(</w:t>
      </w:r>
      <w:r>
        <w:rPr>
          <w:rFonts w:hint="eastAsia" w:ascii="宋体" w:hAnsi="宋体"/>
          <w:color w:val="auto"/>
        </w:rPr>
        <w:t>盖单位章</w:t>
      </w:r>
      <w:r>
        <w:rPr>
          <w:rFonts w:ascii="宋体" w:hAnsi="宋体"/>
          <w:color w:val="auto"/>
        </w:rPr>
        <w:t xml:space="preserve">) </w:t>
      </w:r>
    </w:p>
    <w:p>
      <w:pPr>
        <w:pStyle w:val="108"/>
        <w:adjustRightInd/>
        <w:spacing w:line="360" w:lineRule="auto"/>
        <w:ind w:firstLine="4080" w:firstLineChars="1700"/>
        <w:rPr>
          <w:rFonts w:ascii="宋体" w:hAnsi="宋体"/>
          <w:color w:val="auto"/>
          <w:u w:val="single"/>
        </w:rPr>
      </w:pPr>
      <w:r>
        <w:rPr>
          <w:rFonts w:hint="eastAsia" w:ascii="宋体" w:hAnsi="宋体"/>
          <w:color w:val="auto"/>
        </w:rPr>
        <w:t>法定负责人或其委托代理人：</w:t>
      </w:r>
      <w:r>
        <w:rPr>
          <w:rFonts w:ascii="宋体" w:hAnsi="宋体"/>
          <w:color w:val="auto"/>
          <w:u w:val="single"/>
        </w:rPr>
        <w:t xml:space="preserve"> (</w:t>
      </w:r>
      <w:r>
        <w:rPr>
          <w:rFonts w:hint="eastAsia" w:ascii="宋体" w:hAnsi="宋体"/>
          <w:color w:val="auto"/>
          <w:u w:val="single"/>
        </w:rPr>
        <w:t>签字</w:t>
      </w:r>
      <w:r>
        <w:rPr>
          <w:rFonts w:hint="eastAsia" w:ascii="宋体" w:hAnsi="宋体"/>
          <w:color w:val="auto"/>
          <w:u w:val="single"/>
          <w:lang w:val="en-US" w:eastAsia="zh-CN"/>
        </w:rPr>
        <w:t>或签章</w:t>
      </w:r>
      <w:r>
        <w:rPr>
          <w:rFonts w:ascii="宋体" w:hAnsi="宋体"/>
          <w:color w:val="auto"/>
          <w:u w:val="single"/>
        </w:rPr>
        <w:t xml:space="preserve">) </w:t>
      </w:r>
    </w:p>
    <w:p>
      <w:pPr>
        <w:pStyle w:val="108"/>
        <w:adjustRightInd/>
        <w:spacing w:line="360" w:lineRule="auto"/>
        <w:ind w:firstLine="5160" w:firstLineChars="2150"/>
        <w:rPr>
          <w:rFonts w:ascii="宋体" w:hAnsi="宋体" w:cs="宋体"/>
          <w:color w:val="auto"/>
        </w:rPr>
      </w:pP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日</w:t>
      </w:r>
    </w:p>
    <w:p>
      <w:pPr>
        <w:pStyle w:val="108"/>
        <w:rPr>
          <w:rFonts w:ascii="宋体" w:hAnsi="宋体"/>
          <w:b/>
          <w:color w:val="auto"/>
          <w:sz w:val="28"/>
          <w:szCs w:val="28"/>
        </w:rPr>
        <w:sectPr>
          <w:pgSz w:w="11906" w:h="16838"/>
          <w:pgMar w:top="1418" w:right="1418" w:bottom="1418" w:left="1418" w:header="851" w:footer="992" w:gutter="0"/>
          <w:cols w:space="720" w:num="1"/>
          <w:docGrid w:type="lines" w:linePitch="312" w:charSpace="0"/>
        </w:sectPr>
      </w:pPr>
    </w:p>
    <w:p>
      <w:pPr>
        <w:pStyle w:val="108"/>
        <w:rPr>
          <w:rFonts w:ascii="宋体" w:hAnsi="宋体"/>
          <w:b/>
          <w:color w:val="auto"/>
          <w:sz w:val="28"/>
          <w:szCs w:val="28"/>
        </w:rPr>
      </w:pPr>
      <w:r>
        <w:rPr>
          <w:rFonts w:hint="eastAsia" w:ascii="宋体" w:hAnsi="宋体"/>
          <w:b/>
          <w:color w:val="auto"/>
          <w:sz w:val="28"/>
          <w:szCs w:val="28"/>
        </w:rPr>
        <w:t>附表四：中标通知书</w:t>
      </w:r>
      <w:r>
        <w:rPr>
          <w:rFonts w:ascii="宋体" w:hAnsi="宋体"/>
          <w:b/>
          <w:color w:val="auto"/>
          <w:sz w:val="28"/>
          <w:szCs w:val="28"/>
        </w:rPr>
        <w:t xml:space="preserve"> </w:t>
      </w:r>
    </w:p>
    <w:p>
      <w:pPr>
        <w:pStyle w:val="108"/>
        <w:jc w:val="center"/>
        <w:rPr>
          <w:rFonts w:ascii="宋体" w:hAnsi="宋体"/>
          <w:b/>
          <w:color w:val="auto"/>
          <w:sz w:val="32"/>
          <w:szCs w:val="32"/>
        </w:rPr>
      </w:pPr>
      <w:r>
        <w:rPr>
          <w:rFonts w:hint="eastAsia" w:ascii="宋体" w:hAnsi="宋体"/>
          <w:b/>
          <w:color w:val="auto"/>
          <w:sz w:val="32"/>
          <w:szCs w:val="32"/>
        </w:rPr>
        <w:t>中标通知书</w:t>
      </w:r>
    </w:p>
    <w:p>
      <w:pPr>
        <w:pStyle w:val="108"/>
        <w:adjustRightInd/>
        <w:spacing w:line="360" w:lineRule="auto"/>
        <w:rPr>
          <w:rFonts w:ascii="宋体" w:hAnsi="宋体" w:cs="宋体"/>
          <w:color w:val="auto"/>
        </w:rPr>
      </w:pPr>
      <w:r>
        <w:rPr>
          <w:rFonts w:hint="eastAsia" w:ascii="宋体" w:hAnsi="宋体" w:cs="宋体"/>
          <w:color w:val="auto"/>
          <w:u w:val="single"/>
        </w:rPr>
        <w:t xml:space="preserve">              </w:t>
      </w:r>
      <w:r>
        <w:rPr>
          <w:rFonts w:ascii="宋体" w:hAnsi="宋体" w:cs="宋体"/>
          <w:color w:val="auto"/>
          <w:u w:val="single"/>
        </w:rPr>
        <w:t xml:space="preserve"> </w:t>
      </w:r>
      <w:r>
        <w:rPr>
          <w:rFonts w:ascii="宋体" w:hAnsi="宋体"/>
          <w:color w:val="auto"/>
        </w:rPr>
        <w:t xml:space="preserve"> (</w:t>
      </w:r>
      <w:r>
        <w:rPr>
          <w:rFonts w:hint="eastAsia" w:ascii="宋体" w:hAnsi="宋体" w:cs="宋体"/>
          <w:color w:val="auto"/>
        </w:rPr>
        <w:t>中标人名称</w:t>
      </w:r>
      <w:r>
        <w:rPr>
          <w:rFonts w:ascii="宋体" w:hAnsi="宋体"/>
          <w:color w:val="auto"/>
        </w:rPr>
        <w:t>)</w:t>
      </w:r>
      <w:r>
        <w:rPr>
          <w:rFonts w:hint="eastAsia" w:ascii="宋体" w:hAnsi="宋体" w:cs="宋体"/>
          <w:color w:val="auto"/>
        </w:rPr>
        <w:t>：</w:t>
      </w:r>
      <w:r>
        <w:rPr>
          <w:rFonts w:ascii="宋体" w:hAnsi="宋体" w:cs="宋体"/>
          <w:color w:val="auto"/>
        </w:rPr>
        <w:t xml:space="preserve"> </w:t>
      </w:r>
    </w:p>
    <w:p>
      <w:pPr>
        <w:pStyle w:val="108"/>
        <w:adjustRightInd/>
        <w:spacing w:line="360" w:lineRule="auto"/>
        <w:ind w:firstLine="480" w:firstLineChars="200"/>
        <w:rPr>
          <w:rFonts w:ascii="宋体" w:hAnsi="宋体" w:cs="宋体"/>
          <w:color w:val="auto"/>
        </w:rPr>
      </w:pPr>
      <w:r>
        <w:rPr>
          <w:rFonts w:hint="eastAsia" w:ascii="宋体" w:hAnsi="宋体" w:cs="宋体"/>
          <w:color w:val="auto"/>
        </w:rPr>
        <w:t>你方于</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olor w:val="auto"/>
          <w:u w:val="single"/>
        </w:rPr>
        <w:t>(</w:t>
      </w:r>
      <w:r>
        <w:rPr>
          <w:rFonts w:hint="eastAsia" w:ascii="宋体" w:hAnsi="宋体" w:cs="宋体"/>
          <w:color w:val="auto"/>
          <w:u w:val="single"/>
        </w:rPr>
        <w:t>投标日期</w:t>
      </w:r>
      <w:r>
        <w:rPr>
          <w:rFonts w:ascii="宋体" w:hAnsi="宋体"/>
          <w:color w:val="auto"/>
          <w:u w:val="single"/>
        </w:rPr>
        <w:t>)</w:t>
      </w:r>
      <w:r>
        <w:rPr>
          <w:rFonts w:hint="eastAsia" w:ascii="宋体" w:hAnsi="宋体" w:cs="宋体"/>
          <w:color w:val="auto"/>
          <w:u w:val="single"/>
        </w:rPr>
        <w:t xml:space="preserve">     </w:t>
      </w:r>
      <w:r>
        <w:rPr>
          <w:rFonts w:hint="eastAsia" w:ascii="宋体" w:hAnsi="宋体" w:cs="宋体"/>
          <w:color w:val="auto"/>
        </w:rPr>
        <w:t>所递交的</w:t>
      </w:r>
      <w:r>
        <w:rPr>
          <w:rFonts w:hint="eastAsia" w:ascii="宋体" w:hAnsi="宋体" w:cs="宋体"/>
          <w:color w:val="auto"/>
          <w:lang w:eastAsia="zh-CN"/>
        </w:rPr>
        <w:t>重庆渝合高速公路有限公司2021-2024年运营保险项目（第二次）</w:t>
      </w:r>
      <w:r>
        <w:rPr>
          <w:rFonts w:hint="eastAsia" w:ascii="宋体" w:hAnsi="宋体" w:cs="宋体"/>
          <w:color w:val="auto"/>
        </w:rPr>
        <w:t>投标文件已被我方接受，被确定为中标人。</w:t>
      </w:r>
      <w:r>
        <w:rPr>
          <w:rFonts w:ascii="宋体" w:hAnsi="宋体" w:cs="宋体"/>
          <w:color w:val="auto"/>
        </w:rPr>
        <w:t xml:space="preserve"> </w:t>
      </w:r>
    </w:p>
    <w:p>
      <w:pPr>
        <w:pStyle w:val="108"/>
        <w:adjustRightInd/>
        <w:spacing w:line="360" w:lineRule="auto"/>
        <w:ind w:firstLine="480" w:firstLineChars="200"/>
        <w:rPr>
          <w:rFonts w:ascii="宋体" w:hAnsi="宋体" w:cs="宋体"/>
          <w:color w:val="auto"/>
        </w:rPr>
      </w:pPr>
      <w:r>
        <w:rPr>
          <w:rFonts w:hint="eastAsia" w:ascii="宋体" w:hAnsi="宋体" w:cs="宋体"/>
          <w:color w:val="auto"/>
        </w:rPr>
        <w:t>中标价：</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w:t>
      </w:r>
      <w:r>
        <w:rPr>
          <w:rFonts w:ascii="宋体" w:hAnsi="宋体" w:cs="宋体"/>
          <w:color w:val="auto"/>
        </w:rPr>
        <w:t xml:space="preserve"> </w:t>
      </w:r>
    </w:p>
    <w:p>
      <w:pPr>
        <w:pStyle w:val="108"/>
        <w:adjustRightInd/>
        <w:spacing w:line="360" w:lineRule="auto"/>
        <w:ind w:firstLine="480" w:firstLineChars="200"/>
        <w:rPr>
          <w:rFonts w:ascii="宋体" w:hAnsi="宋体" w:cs="宋体"/>
          <w:color w:val="auto"/>
        </w:rPr>
      </w:pPr>
      <w:r>
        <w:rPr>
          <w:rFonts w:hint="eastAsia" w:ascii="宋体" w:hAnsi="宋体" w:cs="宋体"/>
          <w:color w:val="auto"/>
        </w:rPr>
        <w:t>请你方在接到本通知书后的</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日内到</w:t>
      </w:r>
      <w:r>
        <w:rPr>
          <w:rFonts w:hint="eastAsia" w:ascii="宋体" w:hAnsi="宋体" w:cs="宋体"/>
          <w:color w:val="auto"/>
          <w:u w:val="single"/>
        </w:rPr>
        <w:t xml:space="preserve">       </w:t>
      </w:r>
      <w:r>
        <w:rPr>
          <w:rFonts w:ascii="宋体" w:hAnsi="宋体"/>
          <w:color w:val="auto"/>
          <w:u w:val="single"/>
        </w:rPr>
        <w:t>(</w:t>
      </w:r>
      <w:r>
        <w:rPr>
          <w:rFonts w:hint="eastAsia" w:ascii="宋体" w:hAnsi="宋体" w:cs="宋体"/>
          <w:color w:val="auto"/>
          <w:u w:val="single"/>
        </w:rPr>
        <w:t>指定地点</w:t>
      </w:r>
      <w:r>
        <w:rPr>
          <w:rFonts w:ascii="宋体" w:hAnsi="宋体"/>
          <w:color w:val="auto"/>
          <w:u w:val="single"/>
        </w:rPr>
        <w:t>)</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与我方签订合同，在此之前按招标文件第二章</w:t>
      </w:r>
      <w:r>
        <w:rPr>
          <w:rFonts w:hint="eastAsia" w:ascii="宋体" w:hAnsi="宋体"/>
          <w:color w:val="auto"/>
        </w:rPr>
        <w:t>“</w:t>
      </w:r>
      <w:r>
        <w:rPr>
          <w:rFonts w:hint="eastAsia" w:ascii="宋体" w:hAnsi="宋体" w:cs="宋体"/>
          <w:color w:val="auto"/>
        </w:rPr>
        <w:t>投标人须知</w:t>
      </w:r>
      <w:r>
        <w:rPr>
          <w:rFonts w:hint="eastAsia" w:ascii="宋体" w:hAnsi="宋体"/>
          <w:color w:val="auto"/>
        </w:rPr>
        <w:t>”</w:t>
      </w:r>
      <w:r>
        <w:rPr>
          <w:rFonts w:hint="eastAsia" w:ascii="宋体" w:hAnsi="宋体" w:cs="宋体"/>
          <w:color w:val="auto"/>
        </w:rPr>
        <w:t>第</w:t>
      </w:r>
      <w:r>
        <w:rPr>
          <w:rFonts w:ascii="宋体" w:hAnsi="宋体"/>
          <w:color w:val="auto"/>
        </w:rPr>
        <w:t>7</w:t>
      </w:r>
      <w:r>
        <w:rPr>
          <w:rFonts w:hint="eastAsia" w:ascii="宋体" w:hAnsi="宋体"/>
          <w:color w:val="auto"/>
        </w:rPr>
        <w:t>.8</w:t>
      </w:r>
      <w:r>
        <w:rPr>
          <w:rFonts w:hint="eastAsia" w:ascii="宋体" w:hAnsi="宋体" w:cs="宋体"/>
          <w:color w:val="auto"/>
        </w:rPr>
        <w:t>款规定向我方提交履约担保。</w:t>
      </w:r>
    </w:p>
    <w:p>
      <w:pPr>
        <w:pStyle w:val="108"/>
        <w:adjustRightInd/>
        <w:spacing w:line="360" w:lineRule="auto"/>
        <w:rPr>
          <w:rFonts w:ascii="宋体" w:hAnsi="宋体" w:cs="宋体"/>
          <w:color w:val="auto"/>
        </w:rPr>
      </w:pPr>
      <w:r>
        <w:rPr>
          <w:rFonts w:ascii="宋体" w:hAnsi="宋体" w:cs="宋体"/>
          <w:color w:val="auto"/>
        </w:rPr>
        <w:t xml:space="preserve"> </w:t>
      </w:r>
      <w:r>
        <w:rPr>
          <w:rFonts w:hint="eastAsia" w:ascii="宋体" w:hAnsi="宋体" w:cs="宋体"/>
          <w:color w:val="auto"/>
        </w:rPr>
        <w:t xml:space="preserve">   特此通知。</w:t>
      </w:r>
      <w:r>
        <w:rPr>
          <w:rFonts w:ascii="宋体" w:hAnsi="宋体" w:cs="宋体"/>
          <w:color w:val="auto"/>
        </w:rPr>
        <w:t xml:space="preserve"> </w:t>
      </w:r>
    </w:p>
    <w:p>
      <w:pPr>
        <w:pStyle w:val="108"/>
        <w:adjustRightInd/>
        <w:spacing w:line="360" w:lineRule="auto"/>
        <w:rPr>
          <w:rFonts w:ascii="宋体" w:hAnsi="宋体" w:cs="宋体"/>
          <w:color w:val="auto"/>
        </w:rPr>
      </w:pPr>
    </w:p>
    <w:p>
      <w:pPr>
        <w:pStyle w:val="108"/>
        <w:adjustRightInd/>
        <w:spacing w:line="360" w:lineRule="auto"/>
        <w:ind w:right="480" w:firstLine="3480" w:firstLineChars="1450"/>
        <w:rPr>
          <w:rFonts w:ascii="宋体" w:hAnsi="宋体" w:cs="宋体"/>
          <w:color w:val="auto"/>
        </w:rPr>
      </w:pPr>
    </w:p>
    <w:p>
      <w:pPr>
        <w:pStyle w:val="108"/>
        <w:adjustRightInd/>
        <w:spacing w:line="360" w:lineRule="auto"/>
        <w:ind w:right="480" w:firstLine="3480" w:firstLineChars="1450"/>
        <w:rPr>
          <w:rFonts w:ascii="宋体" w:hAnsi="宋体" w:cs="宋体"/>
          <w:color w:val="auto"/>
        </w:rPr>
      </w:pPr>
    </w:p>
    <w:p>
      <w:pPr>
        <w:pStyle w:val="108"/>
        <w:adjustRightInd/>
        <w:spacing w:line="360" w:lineRule="auto"/>
        <w:ind w:right="480" w:firstLine="3480" w:firstLineChars="1450"/>
        <w:rPr>
          <w:rFonts w:ascii="宋体" w:hAnsi="宋体" w:cs="宋体"/>
          <w:color w:val="auto"/>
        </w:rPr>
      </w:pPr>
    </w:p>
    <w:p>
      <w:pPr>
        <w:pStyle w:val="108"/>
        <w:adjustRightInd/>
        <w:spacing w:line="360" w:lineRule="auto"/>
        <w:ind w:right="480" w:firstLine="1200" w:firstLineChars="500"/>
        <w:rPr>
          <w:rFonts w:ascii="宋体" w:hAnsi="宋体" w:cs="宋体"/>
          <w:color w:val="auto"/>
        </w:rPr>
      </w:pPr>
      <w:r>
        <w:rPr>
          <w:rFonts w:hint="eastAsia" w:ascii="宋体" w:hAnsi="宋体" w:cs="宋体"/>
          <w:color w:val="auto"/>
        </w:rPr>
        <w:t xml:space="preserve">                          招标人：</w:t>
      </w:r>
      <w:r>
        <w:rPr>
          <w:rFonts w:hint="eastAsia" w:ascii="宋体" w:hAnsi="宋体" w:cs="宋体"/>
          <w:color w:val="auto"/>
          <w:u w:val="single"/>
        </w:rPr>
        <w:t xml:space="preserve"> </w:t>
      </w:r>
      <w:r>
        <w:rPr>
          <w:rFonts w:ascii="宋体" w:hAnsi="宋体" w:cs="宋体"/>
          <w:color w:val="auto"/>
          <w:u w:val="single"/>
        </w:rPr>
        <w:t xml:space="preserve">               </w:t>
      </w:r>
      <w:r>
        <w:rPr>
          <w:rFonts w:ascii="宋体" w:hAnsi="宋体"/>
          <w:color w:val="auto"/>
        </w:rPr>
        <w:t xml:space="preserve"> (</w:t>
      </w:r>
      <w:r>
        <w:rPr>
          <w:rFonts w:hint="eastAsia" w:ascii="宋体" w:hAnsi="宋体" w:cs="宋体"/>
          <w:color w:val="auto"/>
        </w:rPr>
        <w:t>盖单位章</w:t>
      </w:r>
      <w:r>
        <w:rPr>
          <w:rFonts w:ascii="宋体" w:hAnsi="宋体"/>
          <w:color w:val="auto"/>
        </w:rPr>
        <w:t xml:space="preserve">) </w:t>
      </w:r>
    </w:p>
    <w:p>
      <w:pPr>
        <w:pStyle w:val="108"/>
        <w:adjustRightInd/>
        <w:spacing w:line="360" w:lineRule="auto"/>
        <w:ind w:right="480"/>
        <w:jc w:val="center"/>
        <w:rPr>
          <w:rFonts w:ascii="宋体" w:hAnsi="宋体" w:cs="宋体"/>
          <w:color w:val="auto"/>
        </w:rPr>
      </w:pPr>
      <w:r>
        <w:rPr>
          <w:rFonts w:hint="eastAsia" w:ascii="宋体" w:hAnsi="宋体" w:cs="宋体"/>
          <w:color w:val="auto"/>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widowControl/>
        <w:jc w:val="left"/>
        <w:rPr>
          <w:rFonts w:ascii="Times New Roman" w:hAnsi="Times New Roman" w:eastAsia="黑体"/>
          <w:b/>
          <w:bCs/>
          <w:color w:val="auto"/>
          <w:sz w:val="36"/>
          <w:szCs w:val="36"/>
        </w:rPr>
      </w:pPr>
      <w:bookmarkStart w:id="52" w:name="_Toc29796223"/>
      <w:r>
        <w:rPr>
          <w:rFonts w:ascii="Times New Roman" w:hAnsi="Times New Roman" w:eastAsia="黑体"/>
          <w:color w:val="auto"/>
          <w:sz w:val="36"/>
          <w:szCs w:val="36"/>
        </w:rPr>
        <w:br w:type="page"/>
      </w:r>
    </w:p>
    <w:p>
      <w:pPr>
        <w:pStyle w:val="84"/>
        <w:rPr>
          <w:rFonts w:ascii="Times New Roman" w:hAnsi="Times New Roman" w:eastAsia="黑体"/>
          <w:color w:val="auto"/>
          <w:sz w:val="36"/>
          <w:szCs w:val="36"/>
        </w:rPr>
      </w:pPr>
    </w:p>
    <w:p>
      <w:pPr>
        <w:pStyle w:val="84"/>
        <w:rPr>
          <w:rFonts w:ascii="Times New Roman" w:hAnsi="Times New Roman" w:eastAsia="黑体"/>
          <w:color w:val="auto"/>
          <w:sz w:val="36"/>
          <w:szCs w:val="36"/>
        </w:rPr>
      </w:pPr>
    </w:p>
    <w:p>
      <w:pPr>
        <w:pStyle w:val="84"/>
        <w:rPr>
          <w:rFonts w:ascii="Times New Roman" w:hAnsi="Times New Roman" w:eastAsia="黑体"/>
          <w:color w:val="auto"/>
          <w:sz w:val="36"/>
          <w:szCs w:val="36"/>
        </w:rPr>
      </w:pPr>
    </w:p>
    <w:p>
      <w:pPr>
        <w:pStyle w:val="84"/>
        <w:rPr>
          <w:rFonts w:ascii="Times New Roman" w:hAnsi="Times New Roman" w:eastAsia="黑体"/>
          <w:color w:val="auto"/>
          <w:sz w:val="36"/>
          <w:szCs w:val="36"/>
        </w:rPr>
      </w:pPr>
    </w:p>
    <w:p>
      <w:pPr>
        <w:pStyle w:val="84"/>
        <w:rPr>
          <w:rFonts w:ascii="Times New Roman" w:hAnsi="Times New Roman" w:eastAsia="黑体"/>
          <w:color w:val="auto"/>
          <w:sz w:val="36"/>
          <w:szCs w:val="36"/>
        </w:rPr>
      </w:pPr>
      <w:r>
        <w:rPr>
          <w:rFonts w:hint="eastAsia" w:ascii="Times New Roman" w:hAnsi="Times New Roman" w:eastAsia="黑体"/>
          <w:color w:val="auto"/>
          <w:sz w:val="36"/>
          <w:szCs w:val="36"/>
        </w:rPr>
        <w:t>第三章</w:t>
      </w:r>
      <w:r>
        <w:rPr>
          <w:rFonts w:ascii="Times New Roman" w:hAnsi="Times New Roman" w:eastAsia="黑体"/>
          <w:color w:val="auto"/>
          <w:sz w:val="36"/>
          <w:szCs w:val="36"/>
        </w:rPr>
        <w:t xml:space="preserve"> </w:t>
      </w:r>
      <w:r>
        <w:rPr>
          <w:rFonts w:hint="eastAsia" w:ascii="Times New Roman" w:hAnsi="Times New Roman" w:eastAsia="黑体"/>
          <w:color w:val="auto"/>
          <w:sz w:val="36"/>
          <w:szCs w:val="36"/>
        </w:rPr>
        <w:t>评标办法</w:t>
      </w:r>
      <w:bookmarkEnd w:id="52"/>
    </w:p>
    <w:p>
      <w:pPr>
        <w:widowControl/>
        <w:jc w:val="left"/>
        <w:rPr>
          <w:rFonts w:ascii="宋体" w:hAnsi="宋体" w:cs="黑体"/>
          <w:b/>
          <w:color w:val="auto"/>
          <w:kern w:val="0"/>
          <w:sz w:val="32"/>
          <w:szCs w:val="32"/>
        </w:rPr>
      </w:pPr>
      <w:r>
        <w:rPr>
          <w:rFonts w:ascii="宋体" w:hAnsi="宋体" w:cs="黑体"/>
          <w:b/>
          <w:color w:val="auto"/>
          <w:kern w:val="0"/>
          <w:sz w:val="32"/>
          <w:szCs w:val="32"/>
        </w:rPr>
        <w:br w:type="page"/>
      </w:r>
    </w:p>
    <w:p>
      <w:pPr>
        <w:spacing w:line="440" w:lineRule="exact"/>
        <w:ind w:firstLine="843" w:firstLineChars="200"/>
        <w:jc w:val="center"/>
        <w:outlineLvl w:val="0"/>
        <w:rPr>
          <w:rFonts w:ascii="黑体" w:hAnsi="Arial" w:eastAsia="黑体" w:cs="黑体"/>
          <w:b/>
          <w:bCs/>
          <w:color w:val="auto"/>
          <w:sz w:val="42"/>
          <w:szCs w:val="42"/>
        </w:rPr>
      </w:pPr>
      <w:bookmarkStart w:id="53" w:name="_Toc234832942"/>
      <w:bookmarkStart w:id="54" w:name="_Toc525771114"/>
      <w:bookmarkStart w:id="55" w:name="_Toc5221"/>
      <w:bookmarkStart w:id="56" w:name="_Toc234832944"/>
      <w:r>
        <w:rPr>
          <w:rFonts w:hint="eastAsia" w:ascii="黑体" w:hAnsi="Arial" w:eastAsia="黑体" w:cs="黑体"/>
          <w:b/>
          <w:bCs/>
          <w:color w:val="auto"/>
          <w:sz w:val="42"/>
          <w:szCs w:val="42"/>
        </w:rPr>
        <w:t>第三章</w:t>
      </w:r>
      <w:r>
        <w:rPr>
          <w:rFonts w:ascii="黑体" w:hAnsi="Arial" w:eastAsia="黑体" w:cs="黑体"/>
          <w:b/>
          <w:bCs/>
          <w:color w:val="auto"/>
          <w:sz w:val="42"/>
          <w:szCs w:val="42"/>
        </w:rPr>
        <w:t xml:space="preserve">  </w:t>
      </w:r>
      <w:r>
        <w:rPr>
          <w:rFonts w:hint="eastAsia" w:ascii="黑体" w:hAnsi="Arial" w:eastAsia="黑体" w:cs="黑体"/>
          <w:b/>
          <w:bCs/>
          <w:color w:val="auto"/>
          <w:sz w:val="42"/>
          <w:szCs w:val="42"/>
        </w:rPr>
        <w:t>评标办法（</w:t>
      </w:r>
      <w:r>
        <w:rPr>
          <w:rFonts w:hint="eastAsia" w:ascii="Arial" w:hAnsi="Arial"/>
          <w:b/>
          <w:bCs/>
          <w:color w:val="auto"/>
          <w:sz w:val="42"/>
          <w:szCs w:val="42"/>
        </w:rPr>
        <w:t>综合评分法</w:t>
      </w:r>
      <w:r>
        <w:rPr>
          <w:rFonts w:hint="eastAsia" w:ascii="黑体" w:hAnsi="Arial" w:eastAsia="黑体" w:cs="黑体"/>
          <w:b/>
          <w:bCs/>
          <w:color w:val="auto"/>
          <w:sz w:val="42"/>
          <w:szCs w:val="42"/>
        </w:rPr>
        <w:t>）</w:t>
      </w:r>
      <w:bookmarkEnd w:id="53"/>
      <w:bookmarkEnd w:id="54"/>
    </w:p>
    <w:bookmarkEnd w:id="55"/>
    <w:p>
      <w:pPr>
        <w:spacing w:line="360" w:lineRule="auto"/>
        <w:ind w:firstLine="422"/>
        <w:rPr>
          <w:rFonts w:ascii="Times New Roman" w:hAnsi="Times New Roman" w:cs="宋体"/>
          <w:b/>
          <w:bCs/>
          <w:color w:val="auto"/>
          <w:szCs w:val="21"/>
        </w:rPr>
      </w:pPr>
      <w:bookmarkStart w:id="57" w:name="_Toc234832943"/>
    </w:p>
    <w:p>
      <w:pPr>
        <w:spacing w:line="360" w:lineRule="auto"/>
        <w:ind w:firstLine="422"/>
        <w:rPr>
          <w:rFonts w:ascii="Times New Roman" w:hAnsi="Times New Roman"/>
          <w:b/>
          <w:bCs/>
          <w:color w:val="auto"/>
          <w:szCs w:val="21"/>
        </w:rPr>
      </w:pPr>
      <w:r>
        <w:rPr>
          <w:rFonts w:hint="eastAsia" w:ascii="Times New Roman" w:hAnsi="Times New Roman" w:cs="宋体"/>
          <w:b/>
          <w:bCs/>
          <w:color w:val="auto"/>
          <w:szCs w:val="21"/>
        </w:rPr>
        <w:t>评标办法前附表</w:t>
      </w:r>
    </w:p>
    <w:p>
      <w:pPr>
        <w:spacing w:line="360" w:lineRule="auto"/>
        <w:ind w:firstLine="422" w:firstLineChars="200"/>
        <w:rPr>
          <w:rFonts w:ascii="Times New Roman" w:hAnsi="Times New Roman"/>
          <w:b/>
          <w:bCs/>
          <w:color w:val="auto"/>
          <w:szCs w:val="21"/>
        </w:rPr>
      </w:pPr>
      <w:r>
        <w:rPr>
          <w:rFonts w:hint="eastAsia" w:ascii="宋体" w:hAnsi="宋体" w:cs="宋体"/>
          <w:b/>
          <w:bCs/>
          <w:color w:val="auto"/>
          <w:szCs w:val="21"/>
        </w:rPr>
        <w:t>本次招标将所有资格审查标准、否决投标情形以及评标标准方法等在此集中，未集中在此评标办法内的其他内容均不得作为重大偏差（或否决投标）的评标依据。</w:t>
      </w:r>
    </w:p>
    <w:tbl>
      <w:tblPr>
        <w:tblStyle w:val="8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1388"/>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392" w:type="dxa"/>
            <w:gridSpan w:val="2"/>
            <w:tcBorders>
              <w:right w:val="single" w:color="000000" w:sz="6" w:space="0"/>
            </w:tcBorders>
            <w:vAlign w:val="center"/>
          </w:tcPr>
          <w:p>
            <w:pPr>
              <w:autoSpaceDE w:val="0"/>
              <w:autoSpaceDN w:val="0"/>
              <w:spacing w:line="400" w:lineRule="exact"/>
              <w:ind w:firstLine="422" w:firstLineChars="200"/>
              <w:jc w:val="center"/>
              <w:rPr>
                <w:rFonts w:ascii="宋体" w:hAnsi="宋体"/>
                <w:b/>
                <w:bCs/>
                <w:color w:val="auto"/>
                <w:szCs w:val="21"/>
                <w:lang w:val="zh-CN" w:eastAsia="en-US"/>
              </w:rPr>
            </w:pPr>
            <w:r>
              <w:rPr>
                <w:rFonts w:hint="eastAsia" w:ascii="宋体" w:hAnsi="宋体" w:cs="宋体"/>
                <w:b/>
                <w:bCs/>
                <w:color w:val="auto"/>
                <w:szCs w:val="21"/>
                <w:lang w:val="zh-CN" w:eastAsia="en-US"/>
              </w:rPr>
              <w:t>条款号</w:t>
            </w:r>
          </w:p>
        </w:tc>
        <w:tc>
          <w:tcPr>
            <w:tcW w:w="6293" w:type="dxa"/>
            <w:tcBorders>
              <w:left w:val="single" w:color="000000" w:sz="6" w:space="0"/>
            </w:tcBorders>
            <w:vAlign w:val="center"/>
          </w:tcPr>
          <w:p>
            <w:pPr>
              <w:autoSpaceDE w:val="0"/>
              <w:autoSpaceDN w:val="0"/>
              <w:spacing w:line="400" w:lineRule="exact"/>
              <w:ind w:firstLine="422" w:firstLineChars="200"/>
              <w:jc w:val="center"/>
              <w:rPr>
                <w:rFonts w:ascii="宋体" w:hAnsi="宋体"/>
                <w:b/>
                <w:bCs/>
                <w:color w:val="auto"/>
                <w:szCs w:val="21"/>
                <w:lang w:val="zh-CN"/>
              </w:rPr>
            </w:pPr>
            <w:r>
              <w:rPr>
                <w:rFonts w:hint="eastAsia" w:ascii="宋体" w:hAnsi="宋体" w:cs="宋体"/>
                <w:b/>
                <w:bCs/>
                <w:color w:val="auto"/>
                <w:szCs w:val="21"/>
                <w:lang w:val="zh-CN" w:eastAsia="en-US"/>
              </w:rPr>
              <w:t>评审因素与评审</w:t>
            </w:r>
            <w:r>
              <w:rPr>
                <w:rFonts w:hint="eastAsia" w:ascii="宋体" w:hAnsi="宋体" w:cs="宋体"/>
                <w:b/>
                <w:bCs/>
                <w:color w:val="auto"/>
                <w:szCs w:val="21"/>
                <w:lang w:val="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9" w:hRule="atLeast"/>
        </w:trPr>
        <w:tc>
          <w:tcPr>
            <w:tcW w:w="1004" w:type="dxa"/>
            <w:vAlign w:val="center"/>
          </w:tcPr>
          <w:p>
            <w:pPr>
              <w:autoSpaceDE w:val="0"/>
              <w:autoSpaceDN w:val="0"/>
              <w:spacing w:line="400" w:lineRule="exact"/>
              <w:ind w:firstLine="420" w:firstLineChars="200"/>
              <w:jc w:val="center"/>
              <w:rPr>
                <w:rFonts w:ascii="宋体" w:hAnsi="宋体" w:cs="Calibri"/>
                <w:color w:val="auto"/>
                <w:szCs w:val="21"/>
                <w:lang w:val="zh-CN" w:eastAsia="en-US"/>
              </w:rPr>
            </w:pPr>
            <w:r>
              <w:rPr>
                <w:rFonts w:ascii="宋体" w:hAnsi="宋体" w:cs="Calibri"/>
                <w:color w:val="auto"/>
                <w:szCs w:val="21"/>
                <w:lang w:val="zh-CN" w:eastAsia="en-US"/>
              </w:rPr>
              <w:t>1</w:t>
            </w:r>
          </w:p>
        </w:tc>
        <w:tc>
          <w:tcPr>
            <w:tcW w:w="1388" w:type="dxa"/>
            <w:tcBorders>
              <w:right w:val="single" w:color="000000" w:sz="6" w:space="0"/>
            </w:tcBorders>
            <w:vAlign w:val="center"/>
          </w:tcPr>
          <w:p>
            <w:pPr>
              <w:autoSpaceDE w:val="0"/>
              <w:autoSpaceDN w:val="0"/>
              <w:spacing w:line="400" w:lineRule="exact"/>
              <w:jc w:val="center"/>
              <w:rPr>
                <w:rFonts w:ascii="宋体" w:hAnsi="宋体"/>
                <w:color w:val="auto"/>
                <w:szCs w:val="21"/>
                <w:lang w:val="zh-CN" w:eastAsia="en-US"/>
              </w:rPr>
            </w:pPr>
            <w:r>
              <w:rPr>
                <w:rFonts w:hint="eastAsia" w:ascii="宋体" w:hAnsi="宋体" w:cs="宋体"/>
                <w:color w:val="auto"/>
                <w:szCs w:val="21"/>
                <w:lang w:val="zh-CN" w:eastAsia="en-US"/>
              </w:rPr>
              <w:t>评标方法</w:t>
            </w:r>
          </w:p>
        </w:tc>
        <w:tc>
          <w:tcPr>
            <w:tcW w:w="6293" w:type="dxa"/>
            <w:tcBorders>
              <w:left w:val="single" w:color="000000" w:sz="6" w:space="0"/>
            </w:tcBorders>
            <w:vAlign w:val="center"/>
          </w:tcPr>
          <w:p>
            <w:pPr>
              <w:spacing w:line="400" w:lineRule="exact"/>
              <w:rPr>
                <w:rFonts w:ascii="宋体" w:hAnsi="宋体"/>
                <w:color w:val="auto"/>
                <w:szCs w:val="21"/>
              </w:rPr>
            </w:pPr>
            <w:r>
              <w:rPr>
                <w:rFonts w:hint="eastAsia" w:ascii="宋体" w:hAnsi="宋体"/>
                <w:color w:val="auto"/>
                <w:szCs w:val="21"/>
              </w:rPr>
              <w:t>1、最终综合</w:t>
            </w:r>
            <w:r>
              <w:rPr>
                <w:rFonts w:ascii="宋体" w:hAnsi="宋体"/>
                <w:color w:val="auto"/>
                <w:szCs w:val="21"/>
              </w:rPr>
              <w:t>评分相等时，评标委员会依次按照以下优先顺序推荐中标候选人或确定中标人：</w:t>
            </w:r>
          </w:p>
          <w:p>
            <w:pPr>
              <w:spacing w:line="400" w:lineRule="exac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报价低</w:t>
            </w:r>
            <w:r>
              <w:rPr>
                <w:rFonts w:ascii="宋体" w:hAnsi="宋体"/>
                <w:color w:val="auto"/>
                <w:szCs w:val="21"/>
              </w:rPr>
              <w:t>的优先；</w:t>
            </w:r>
          </w:p>
          <w:p>
            <w:pPr>
              <w:spacing w:line="400" w:lineRule="exact"/>
              <w:rPr>
                <w:rFonts w:ascii="宋体" w:hAnsi="宋体"/>
                <w:color w:val="auto"/>
                <w:szCs w:val="21"/>
              </w:rPr>
            </w:pPr>
            <w:r>
              <w:rPr>
                <w:rFonts w:hint="eastAsia" w:ascii="宋体" w:hAnsi="宋体"/>
                <w:color w:val="auto"/>
                <w:szCs w:val="21"/>
              </w:rPr>
              <w:t>（</w:t>
            </w:r>
            <w:r>
              <w:rPr>
                <w:rFonts w:ascii="宋体" w:hAnsi="宋体"/>
                <w:color w:val="auto"/>
                <w:szCs w:val="21"/>
              </w:rPr>
              <w:t>2）如</w:t>
            </w:r>
            <w:r>
              <w:rPr>
                <w:rFonts w:hint="eastAsia" w:ascii="宋体" w:hAnsi="宋体"/>
                <w:color w:val="auto"/>
                <w:szCs w:val="21"/>
              </w:rPr>
              <w:t>报价也</w:t>
            </w:r>
            <w:r>
              <w:rPr>
                <w:rFonts w:ascii="宋体" w:hAnsi="宋体"/>
                <w:color w:val="auto"/>
                <w:szCs w:val="21"/>
              </w:rPr>
              <w:t>相同，则</w:t>
            </w:r>
            <w:r>
              <w:rPr>
                <w:rFonts w:hint="eastAsia" w:ascii="宋体" w:hAnsi="宋体"/>
                <w:color w:val="auto"/>
                <w:szCs w:val="21"/>
              </w:rPr>
              <w:t>商务</w:t>
            </w:r>
            <w:r>
              <w:rPr>
                <w:rFonts w:ascii="宋体" w:hAnsi="宋体"/>
                <w:color w:val="auto"/>
                <w:szCs w:val="21"/>
              </w:rPr>
              <w:t>得分高的优先；</w:t>
            </w:r>
          </w:p>
          <w:p>
            <w:pPr>
              <w:autoSpaceDE w:val="0"/>
              <w:autoSpaceDN w:val="0"/>
              <w:spacing w:line="400" w:lineRule="exact"/>
              <w:rPr>
                <w:rFonts w:ascii="宋体" w:hAnsi="宋体" w:cs="Calibri"/>
                <w:color w:val="auto"/>
                <w:szCs w:val="21"/>
              </w:rPr>
            </w:pPr>
            <w:r>
              <w:rPr>
                <w:rFonts w:hint="eastAsia" w:ascii="宋体" w:hAnsi="宋体" w:cs="Calibri"/>
                <w:color w:val="auto"/>
                <w:szCs w:val="21"/>
              </w:rPr>
              <w:t>（3</w:t>
            </w:r>
            <w:r>
              <w:rPr>
                <w:rFonts w:ascii="宋体" w:hAnsi="宋体" w:cs="Calibri"/>
                <w:color w:val="auto"/>
                <w:szCs w:val="21"/>
              </w:rPr>
              <w:t>）如商务得分也相同，则由评标委员会</w:t>
            </w:r>
            <w:r>
              <w:rPr>
                <w:rFonts w:hint="eastAsia" w:ascii="宋体" w:hAnsi="宋体" w:cs="Calibri"/>
                <w:color w:val="auto"/>
                <w:szCs w:val="21"/>
              </w:rPr>
              <w:t>投票</w:t>
            </w:r>
            <w:r>
              <w:rPr>
                <w:rFonts w:ascii="宋体" w:hAnsi="宋体" w:cs="Calibri"/>
                <w:color w:val="auto"/>
                <w:szCs w:val="21"/>
              </w:rPr>
              <w:t>决定</w:t>
            </w:r>
            <w:r>
              <w:rPr>
                <w:rFonts w:hint="eastAsia" w:ascii="宋体" w:hAnsi="宋体" w:cs="Calibri"/>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0" w:hRule="atLeast"/>
        </w:trPr>
        <w:tc>
          <w:tcPr>
            <w:tcW w:w="1004" w:type="dxa"/>
            <w:vAlign w:val="center"/>
          </w:tcPr>
          <w:p>
            <w:pPr>
              <w:autoSpaceDE w:val="0"/>
              <w:autoSpaceDN w:val="0"/>
              <w:adjustRightInd w:val="0"/>
              <w:snapToGrid w:val="0"/>
              <w:spacing w:line="400" w:lineRule="exact"/>
              <w:jc w:val="center"/>
              <w:rPr>
                <w:rFonts w:ascii="宋体" w:hAnsi="宋体" w:cs="Calibri"/>
                <w:color w:val="auto"/>
                <w:szCs w:val="21"/>
                <w:lang w:val="zh-CN"/>
              </w:rPr>
            </w:pPr>
            <w:r>
              <w:rPr>
                <w:rFonts w:hint="eastAsia" w:ascii="宋体" w:hAnsi="宋体" w:cs="Calibri"/>
                <w:color w:val="auto"/>
                <w:szCs w:val="21"/>
                <w:lang w:val="zh-CN"/>
              </w:rPr>
              <w:t>2.1.1</w:t>
            </w:r>
          </w:p>
        </w:tc>
        <w:tc>
          <w:tcPr>
            <w:tcW w:w="1388" w:type="dxa"/>
            <w:tcBorders>
              <w:right w:val="single" w:color="000000" w:sz="6" w:space="0"/>
            </w:tcBorders>
            <w:vAlign w:val="center"/>
          </w:tcPr>
          <w:p>
            <w:pPr>
              <w:autoSpaceDE w:val="0"/>
              <w:autoSpaceDN w:val="0"/>
              <w:spacing w:line="400" w:lineRule="exact"/>
              <w:jc w:val="center"/>
              <w:rPr>
                <w:rFonts w:ascii="宋体" w:hAnsi="宋体" w:cs="宋体"/>
                <w:color w:val="auto"/>
                <w:szCs w:val="21"/>
                <w:lang w:val="zh-CN"/>
              </w:rPr>
            </w:pPr>
            <w:r>
              <w:rPr>
                <w:rFonts w:hint="eastAsia" w:ascii="宋体" w:hAnsi="宋体" w:cs="宋体"/>
                <w:color w:val="auto"/>
                <w:szCs w:val="21"/>
                <w:lang w:val="zh-CN"/>
              </w:rPr>
              <w:t>形式评审</w:t>
            </w:r>
          </w:p>
          <w:p>
            <w:pPr>
              <w:autoSpaceDE w:val="0"/>
              <w:autoSpaceDN w:val="0"/>
              <w:spacing w:line="400" w:lineRule="exact"/>
              <w:ind w:firstLine="420" w:firstLineChars="200"/>
              <w:jc w:val="left"/>
              <w:rPr>
                <w:rFonts w:ascii="宋体" w:hAnsi="宋体"/>
                <w:color w:val="auto"/>
                <w:szCs w:val="21"/>
                <w:lang w:val="zh-CN"/>
              </w:rPr>
            </w:pPr>
            <w:r>
              <w:rPr>
                <w:rFonts w:hint="eastAsia" w:ascii="宋体" w:hAnsi="宋体" w:cs="宋体"/>
                <w:color w:val="auto"/>
                <w:szCs w:val="21"/>
                <w:lang w:val="zh-CN"/>
              </w:rPr>
              <w:t>标准</w:t>
            </w:r>
          </w:p>
        </w:tc>
        <w:tc>
          <w:tcPr>
            <w:tcW w:w="6293" w:type="dxa"/>
            <w:tcBorders>
              <w:left w:val="single" w:color="000000" w:sz="6" w:space="0"/>
              <w:bottom w:val="single" w:color="auto" w:sz="4" w:space="0"/>
            </w:tcBorders>
          </w:tcPr>
          <w:p>
            <w:pPr>
              <w:autoSpaceDE w:val="0"/>
              <w:autoSpaceDN w:val="0"/>
              <w:spacing w:line="400" w:lineRule="exact"/>
              <w:ind w:right="95"/>
              <w:rPr>
                <w:rFonts w:ascii="宋体" w:hAnsi="宋体" w:cs="Calibri"/>
                <w:color w:val="auto"/>
                <w:szCs w:val="21"/>
                <w:lang w:val="zh-CN"/>
              </w:rPr>
            </w:pPr>
            <w:r>
              <w:rPr>
                <w:rFonts w:hint="eastAsia" w:ascii="宋体" w:hAnsi="宋体" w:cs="宋体"/>
                <w:color w:val="auto"/>
                <w:szCs w:val="21"/>
                <w:lang w:val="zh-CN"/>
              </w:rPr>
              <w:t>（</w:t>
            </w:r>
            <w:r>
              <w:rPr>
                <w:rFonts w:ascii="宋体" w:hAnsi="宋体" w:cs="Calibri"/>
                <w:color w:val="auto"/>
                <w:szCs w:val="21"/>
                <w:lang w:val="zh-CN"/>
              </w:rPr>
              <w:t>1</w:t>
            </w:r>
            <w:r>
              <w:rPr>
                <w:rFonts w:hint="eastAsia" w:ascii="宋体" w:hAnsi="宋体" w:cs="宋体"/>
                <w:color w:val="auto"/>
                <w:szCs w:val="21"/>
                <w:lang w:val="zh-CN"/>
              </w:rPr>
              <w:t>）投标文件按照招标文件规定的格式、内容填写，字迹清晰可辨：</w:t>
            </w:r>
          </w:p>
          <w:p>
            <w:pPr>
              <w:autoSpaceDE w:val="0"/>
              <w:autoSpaceDN w:val="0"/>
              <w:spacing w:line="400" w:lineRule="exact"/>
              <w:ind w:left="104" w:right="97"/>
              <w:rPr>
                <w:rFonts w:ascii="宋体" w:hAnsi="宋体" w:cs="宋体"/>
                <w:color w:val="auto"/>
                <w:szCs w:val="21"/>
                <w:lang w:val="zh-CN"/>
              </w:rPr>
            </w:pPr>
            <w:r>
              <w:rPr>
                <w:rFonts w:ascii="宋体" w:hAnsi="宋体" w:cs="Calibri"/>
                <w:color w:val="auto"/>
                <w:szCs w:val="21"/>
                <w:lang w:val="zh-CN"/>
              </w:rPr>
              <w:t>a.</w:t>
            </w:r>
            <w:r>
              <w:rPr>
                <w:rFonts w:hint="eastAsia" w:ascii="宋体" w:hAnsi="宋体" w:cs="宋体"/>
                <w:color w:val="auto"/>
                <w:szCs w:val="21"/>
                <w:lang w:val="zh-CN"/>
              </w:rPr>
              <w:t>投标函按招标文件规定填报了项目名称、补遗书编号（如有）、投标价（包括大写金额和小写金额）、项目负责人、服务期限、质量要求及安全目标等信息；</w:t>
            </w:r>
          </w:p>
          <w:p>
            <w:pPr>
              <w:autoSpaceDE w:val="0"/>
              <w:autoSpaceDN w:val="0"/>
              <w:spacing w:line="400" w:lineRule="exact"/>
              <w:ind w:left="104" w:right="97"/>
              <w:rPr>
                <w:rFonts w:ascii="宋体" w:hAnsi="宋体" w:cs="Calibri"/>
                <w:color w:val="auto"/>
                <w:szCs w:val="21"/>
                <w:lang w:val="zh-CN"/>
              </w:rPr>
            </w:pPr>
            <w:r>
              <w:rPr>
                <w:rFonts w:hint="eastAsia" w:ascii="宋体" w:hAnsi="宋体"/>
                <w:color w:val="auto"/>
                <w:szCs w:val="21"/>
              </w:rPr>
              <w:t>b</w:t>
            </w:r>
            <w:r>
              <w:rPr>
                <w:rFonts w:ascii="宋体" w:hAnsi="宋体"/>
                <w:color w:val="auto"/>
                <w:szCs w:val="21"/>
                <w:lang w:val="zh-CN"/>
              </w:rPr>
              <w:t>.</w:t>
            </w:r>
            <w:r>
              <w:rPr>
                <w:rFonts w:hint="eastAsia" w:ascii="宋体" w:hAnsi="宋体" w:cs="宋体"/>
                <w:color w:val="auto"/>
                <w:szCs w:val="21"/>
                <w:lang w:val="zh-CN"/>
              </w:rPr>
              <w:t>投标文件组成齐全完整，内容均按规定填写。</w:t>
            </w:r>
          </w:p>
          <w:p>
            <w:pPr>
              <w:autoSpaceDE w:val="0"/>
              <w:autoSpaceDN w:val="0"/>
              <w:spacing w:line="400" w:lineRule="exact"/>
              <w:ind w:right="95"/>
              <w:rPr>
                <w:rFonts w:ascii="宋体" w:hAns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）投标文件上法定</w:t>
            </w:r>
            <w:r>
              <w:rPr>
                <w:rFonts w:hint="eastAsia" w:ascii="宋体" w:hAnsi="宋体" w:cs="宋体"/>
                <w:color w:val="auto"/>
                <w:szCs w:val="21"/>
              </w:rPr>
              <w:t>负责</w:t>
            </w:r>
            <w:r>
              <w:rPr>
                <w:rFonts w:hint="eastAsia" w:ascii="宋体" w:hAnsi="宋体" w:cs="宋体"/>
                <w:color w:val="auto"/>
                <w:szCs w:val="21"/>
                <w:lang w:val="zh-CN"/>
              </w:rPr>
              <w:t>人或其委托代理人的签字</w:t>
            </w:r>
            <w:r>
              <w:rPr>
                <w:rFonts w:hint="eastAsia" w:ascii="宋体" w:hAnsi="宋体" w:cs="宋体"/>
                <w:color w:val="auto"/>
                <w:szCs w:val="21"/>
                <w:lang w:val="en-US" w:eastAsia="zh-CN"/>
              </w:rPr>
              <w:t>或签章</w:t>
            </w:r>
            <w:r>
              <w:rPr>
                <w:rFonts w:hint="eastAsia" w:ascii="宋体" w:hAnsi="宋体" w:cs="宋体"/>
                <w:color w:val="auto"/>
                <w:szCs w:val="21"/>
                <w:lang w:val="zh-CN"/>
              </w:rPr>
              <w:t>、投标人的单位章盖章齐全，符合招标文件规定。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1" w:hRule="atLeast"/>
        </w:trPr>
        <w:tc>
          <w:tcPr>
            <w:tcW w:w="1004" w:type="dxa"/>
            <w:tcBorders>
              <w:bottom w:val="single" w:color="auto" w:sz="4" w:space="0"/>
            </w:tcBorders>
            <w:vAlign w:val="center"/>
          </w:tcPr>
          <w:p>
            <w:pPr>
              <w:autoSpaceDE w:val="0"/>
              <w:autoSpaceDN w:val="0"/>
              <w:spacing w:before="177" w:line="400" w:lineRule="exact"/>
              <w:ind w:left="282"/>
              <w:rPr>
                <w:rFonts w:ascii="宋体" w:hAnsi="宋体"/>
                <w:color w:val="auto"/>
                <w:szCs w:val="21"/>
                <w:lang w:val="zh-CN" w:eastAsia="en-US"/>
              </w:rPr>
            </w:pPr>
            <w:r>
              <w:rPr>
                <w:rFonts w:ascii="宋体" w:hAnsi="宋体"/>
                <w:color w:val="auto"/>
                <w:szCs w:val="21"/>
                <w:lang w:val="zh-CN" w:eastAsia="en-US"/>
              </w:rPr>
              <w:t>2.1.2</w:t>
            </w:r>
          </w:p>
        </w:tc>
        <w:tc>
          <w:tcPr>
            <w:tcW w:w="1388" w:type="dxa"/>
            <w:tcBorders>
              <w:bottom w:val="single" w:color="auto" w:sz="4" w:space="0"/>
              <w:right w:val="single" w:color="000000" w:sz="6" w:space="0"/>
            </w:tcBorders>
            <w:vAlign w:val="center"/>
          </w:tcPr>
          <w:p>
            <w:pPr>
              <w:autoSpaceDE w:val="0"/>
              <w:autoSpaceDN w:val="0"/>
              <w:spacing w:line="400" w:lineRule="exact"/>
              <w:ind w:firstLine="210" w:firstLineChars="100"/>
              <w:rPr>
                <w:rFonts w:ascii="宋体" w:hAnsi="宋体"/>
                <w:color w:val="auto"/>
                <w:szCs w:val="21"/>
                <w:lang w:val="zh-CN"/>
              </w:rPr>
            </w:pPr>
            <w:r>
              <w:rPr>
                <w:rFonts w:hint="eastAsia" w:ascii="宋体" w:hAnsi="宋体" w:cs="宋体"/>
                <w:color w:val="auto"/>
                <w:szCs w:val="21"/>
                <w:lang w:val="zh-CN" w:eastAsia="en-US"/>
              </w:rPr>
              <w:t>资格评审</w:t>
            </w:r>
          </w:p>
          <w:p>
            <w:pPr>
              <w:autoSpaceDE w:val="0"/>
              <w:autoSpaceDN w:val="0"/>
              <w:spacing w:line="400" w:lineRule="exact"/>
              <w:ind w:firstLine="420" w:firstLineChars="200"/>
              <w:rPr>
                <w:rFonts w:ascii="宋体" w:hAnsi="宋体"/>
                <w:color w:val="auto"/>
                <w:szCs w:val="21"/>
                <w:lang w:val="zh-CN"/>
              </w:rPr>
            </w:pPr>
            <w:r>
              <w:rPr>
                <w:rFonts w:hint="eastAsia" w:ascii="宋体" w:hAnsi="宋体" w:cs="宋体"/>
                <w:color w:val="auto"/>
                <w:szCs w:val="21"/>
                <w:lang w:val="zh-CN" w:eastAsia="en-US"/>
              </w:rPr>
              <w:t>标准</w:t>
            </w:r>
          </w:p>
        </w:tc>
        <w:tc>
          <w:tcPr>
            <w:tcW w:w="6293" w:type="dxa"/>
            <w:tcBorders>
              <w:left w:val="single" w:color="000000" w:sz="6" w:space="0"/>
              <w:bottom w:val="single" w:color="auto" w:sz="4" w:space="0"/>
            </w:tcBorders>
            <w:vAlign w:val="center"/>
          </w:tcPr>
          <w:p>
            <w:pPr>
              <w:autoSpaceDE w:val="0"/>
              <w:autoSpaceDN w:val="0"/>
              <w:spacing w:line="400" w:lineRule="exact"/>
              <w:ind w:left="104" w:right="95"/>
              <w:rPr>
                <w:rFonts w:ascii="宋体" w:hAnsi="宋体"/>
                <w:color w:val="auto"/>
                <w:spacing w:val="-10"/>
                <w:szCs w:val="21"/>
              </w:rPr>
            </w:pPr>
            <w:r>
              <w:rPr>
                <w:rFonts w:hint="eastAsia" w:ascii="宋体" w:hAnsi="宋体" w:cs="宋体"/>
                <w:color w:val="auto"/>
                <w:spacing w:val="-10"/>
                <w:szCs w:val="21"/>
              </w:rPr>
              <w:t>（</w:t>
            </w:r>
            <w:r>
              <w:rPr>
                <w:rFonts w:ascii="宋体" w:hAnsi="宋体" w:cs="宋体"/>
                <w:color w:val="auto"/>
                <w:spacing w:val="-10"/>
                <w:szCs w:val="21"/>
              </w:rPr>
              <w:t>1</w:t>
            </w:r>
            <w:r>
              <w:rPr>
                <w:rFonts w:hint="eastAsia" w:ascii="宋体" w:hAnsi="宋体" w:cs="宋体"/>
                <w:color w:val="auto"/>
                <w:spacing w:val="-10"/>
                <w:szCs w:val="21"/>
              </w:rPr>
              <w:t>）投标人具备有效的营业执照</w:t>
            </w:r>
            <w:r>
              <w:rPr>
                <w:rFonts w:hint="eastAsia" w:ascii="宋体" w:hAnsi="宋体" w:cs="宋体"/>
                <w:color w:val="auto"/>
                <w:szCs w:val="21"/>
              </w:rPr>
              <w:t>或者事业单位法人证书</w:t>
            </w:r>
            <w:r>
              <w:rPr>
                <w:rFonts w:hint="eastAsia" w:ascii="宋体" w:hAnsi="宋体" w:cs="宋体"/>
                <w:color w:val="auto"/>
                <w:spacing w:val="-10"/>
                <w:szCs w:val="21"/>
              </w:rPr>
              <w:t>。</w:t>
            </w:r>
          </w:p>
          <w:p>
            <w:pPr>
              <w:autoSpaceDE w:val="0"/>
              <w:autoSpaceDN w:val="0"/>
              <w:spacing w:line="400" w:lineRule="exact"/>
              <w:ind w:left="104" w:right="95"/>
              <w:rPr>
                <w:rFonts w:ascii="宋体" w:hAnsi="宋体"/>
                <w:color w:val="auto"/>
                <w:spacing w:val="-10"/>
                <w:szCs w:val="21"/>
              </w:rPr>
            </w:pPr>
            <w:r>
              <w:rPr>
                <w:rFonts w:hint="eastAsia" w:ascii="宋体" w:hAnsi="宋体" w:cs="宋体"/>
                <w:color w:val="auto"/>
                <w:spacing w:val="-10"/>
                <w:szCs w:val="21"/>
              </w:rPr>
              <w:t>（</w:t>
            </w:r>
            <w:r>
              <w:rPr>
                <w:rFonts w:ascii="宋体" w:hAnsi="宋体" w:cs="宋体"/>
                <w:color w:val="auto"/>
                <w:spacing w:val="-10"/>
                <w:szCs w:val="21"/>
              </w:rPr>
              <w:t>2</w:t>
            </w:r>
            <w:r>
              <w:rPr>
                <w:rFonts w:hint="eastAsia" w:ascii="宋体" w:hAnsi="宋体" w:cs="宋体"/>
                <w:color w:val="auto"/>
                <w:spacing w:val="-10"/>
                <w:szCs w:val="21"/>
              </w:rPr>
              <w:t>）投标人的资质等级符合招标文件“投标人须知”附录</w:t>
            </w:r>
            <w:r>
              <w:rPr>
                <w:rFonts w:ascii="宋体" w:hAnsi="宋体" w:cs="宋体"/>
                <w:color w:val="auto"/>
                <w:spacing w:val="-10"/>
                <w:szCs w:val="21"/>
              </w:rPr>
              <w:t>1</w:t>
            </w:r>
            <w:r>
              <w:rPr>
                <w:rFonts w:hint="eastAsia" w:ascii="宋体" w:hAnsi="宋体" w:cs="宋体"/>
                <w:color w:val="auto"/>
                <w:spacing w:val="-10"/>
                <w:szCs w:val="21"/>
              </w:rPr>
              <w:t>的规定。</w:t>
            </w:r>
          </w:p>
          <w:p>
            <w:pPr>
              <w:autoSpaceDE w:val="0"/>
              <w:autoSpaceDN w:val="0"/>
              <w:spacing w:line="400" w:lineRule="exact"/>
              <w:ind w:left="104" w:right="95"/>
              <w:rPr>
                <w:rFonts w:ascii="宋体" w:hAnsi="宋体" w:cs="宋体"/>
                <w:color w:val="auto"/>
                <w:spacing w:val="-10"/>
                <w:szCs w:val="21"/>
              </w:rPr>
            </w:pPr>
            <w:r>
              <w:rPr>
                <w:rFonts w:hint="eastAsia" w:ascii="宋体" w:hAnsi="宋体" w:cs="宋体"/>
                <w:color w:val="auto"/>
                <w:spacing w:val="-10"/>
                <w:szCs w:val="21"/>
              </w:rPr>
              <w:t>（</w:t>
            </w:r>
            <w:r>
              <w:rPr>
                <w:rFonts w:ascii="宋体" w:hAnsi="宋体" w:cs="宋体"/>
                <w:color w:val="auto"/>
                <w:spacing w:val="-10"/>
                <w:szCs w:val="21"/>
              </w:rPr>
              <w:t>3</w:t>
            </w:r>
            <w:r>
              <w:rPr>
                <w:rFonts w:hint="eastAsia" w:ascii="宋体" w:hAnsi="宋体" w:cs="宋体"/>
                <w:color w:val="auto"/>
                <w:spacing w:val="-10"/>
                <w:szCs w:val="21"/>
              </w:rPr>
              <w:t>）投标人的财务符合招标文件“投标人须知”附录</w:t>
            </w:r>
            <w:r>
              <w:rPr>
                <w:rFonts w:ascii="宋体" w:hAnsi="宋体" w:cs="宋体"/>
                <w:color w:val="auto"/>
                <w:spacing w:val="-10"/>
                <w:szCs w:val="21"/>
              </w:rPr>
              <w:t>2</w:t>
            </w:r>
            <w:r>
              <w:rPr>
                <w:rFonts w:hint="eastAsia" w:ascii="宋体" w:hAnsi="宋体" w:cs="宋体"/>
                <w:color w:val="auto"/>
                <w:spacing w:val="-10"/>
                <w:szCs w:val="21"/>
              </w:rPr>
              <w:t>的规定。</w:t>
            </w:r>
          </w:p>
          <w:p>
            <w:pPr>
              <w:autoSpaceDE w:val="0"/>
              <w:autoSpaceDN w:val="0"/>
              <w:spacing w:line="400" w:lineRule="exact"/>
              <w:ind w:left="104" w:right="95"/>
              <w:rPr>
                <w:rFonts w:ascii="宋体" w:hAnsi="宋体"/>
                <w:color w:val="auto"/>
                <w:spacing w:val="-10"/>
                <w:szCs w:val="21"/>
              </w:rPr>
            </w:pPr>
            <w:r>
              <w:rPr>
                <w:rFonts w:hint="eastAsia" w:ascii="宋体" w:hAnsi="宋体" w:cs="宋体"/>
                <w:color w:val="auto"/>
                <w:spacing w:val="-10"/>
                <w:szCs w:val="21"/>
              </w:rPr>
              <w:t>（</w:t>
            </w:r>
            <w:r>
              <w:rPr>
                <w:rFonts w:ascii="宋体" w:hAnsi="宋体" w:cs="宋体"/>
                <w:color w:val="auto"/>
                <w:spacing w:val="-10"/>
                <w:szCs w:val="21"/>
              </w:rPr>
              <w:t>3</w:t>
            </w:r>
            <w:r>
              <w:rPr>
                <w:rFonts w:hint="eastAsia" w:ascii="宋体" w:hAnsi="宋体" w:cs="宋体"/>
                <w:color w:val="auto"/>
                <w:spacing w:val="-10"/>
                <w:szCs w:val="21"/>
              </w:rPr>
              <w:t>）投标人的业绩符合招标文件“投标人须知”附录3的规定。</w:t>
            </w:r>
          </w:p>
          <w:p>
            <w:pPr>
              <w:autoSpaceDE w:val="0"/>
              <w:autoSpaceDN w:val="0"/>
              <w:spacing w:line="400" w:lineRule="exact"/>
              <w:ind w:left="104" w:right="95"/>
              <w:rPr>
                <w:rFonts w:ascii="宋体" w:hAnsi="宋体"/>
                <w:color w:val="auto"/>
                <w:spacing w:val="-10"/>
                <w:szCs w:val="21"/>
              </w:rPr>
            </w:pPr>
            <w:r>
              <w:rPr>
                <w:rFonts w:hint="eastAsia" w:ascii="宋体" w:hAnsi="宋体" w:cs="宋体"/>
                <w:color w:val="auto"/>
                <w:spacing w:val="-10"/>
                <w:szCs w:val="21"/>
              </w:rPr>
              <w:t>（</w:t>
            </w:r>
            <w:r>
              <w:rPr>
                <w:rFonts w:ascii="宋体" w:hAnsi="宋体" w:cs="宋体"/>
                <w:color w:val="auto"/>
                <w:spacing w:val="-10"/>
                <w:szCs w:val="21"/>
              </w:rPr>
              <w:t>4</w:t>
            </w:r>
            <w:r>
              <w:rPr>
                <w:rFonts w:hint="eastAsia" w:ascii="宋体" w:hAnsi="宋体" w:cs="宋体"/>
                <w:color w:val="auto"/>
                <w:spacing w:val="-10"/>
                <w:szCs w:val="21"/>
              </w:rPr>
              <w:t>）投标人的信誉符合招标文件“投标人须知”附录4的规定。</w:t>
            </w:r>
          </w:p>
          <w:p>
            <w:pPr>
              <w:autoSpaceDE w:val="0"/>
              <w:autoSpaceDN w:val="0"/>
              <w:spacing w:line="400" w:lineRule="exact"/>
              <w:ind w:left="104" w:right="95"/>
              <w:rPr>
                <w:rFonts w:ascii="宋体" w:hAnsi="宋体"/>
                <w:color w:val="auto"/>
                <w:spacing w:val="-10"/>
                <w:szCs w:val="21"/>
              </w:rPr>
            </w:pPr>
            <w:r>
              <w:rPr>
                <w:rFonts w:hint="eastAsia" w:ascii="宋体" w:hAnsi="宋体" w:cs="宋体"/>
                <w:color w:val="auto"/>
                <w:spacing w:val="-10"/>
                <w:szCs w:val="21"/>
              </w:rPr>
              <w:t>（</w:t>
            </w:r>
            <w:r>
              <w:rPr>
                <w:rFonts w:ascii="宋体" w:hAnsi="宋体" w:cs="宋体"/>
                <w:color w:val="auto"/>
                <w:spacing w:val="-10"/>
                <w:szCs w:val="21"/>
              </w:rPr>
              <w:t>5</w:t>
            </w:r>
            <w:r>
              <w:rPr>
                <w:rFonts w:hint="eastAsia" w:ascii="宋体" w:hAnsi="宋体" w:cs="宋体"/>
                <w:color w:val="auto"/>
                <w:spacing w:val="-10"/>
                <w:szCs w:val="21"/>
              </w:rPr>
              <w:t>）投标人的服务符合招标文件“投标人须知”附录5的规定。</w:t>
            </w:r>
          </w:p>
          <w:p>
            <w:pPr>
              <w:autoSpaceDE w:val="0"/>
              <w:autoSpaceDN w:val="0"/>
              <w:spacing w:line="400" w:lineRule="exact"/>
              <w:ind w:left="104" w:right="95"/>
              <w:rPr>
                <w:rFonts w:ascii="宋体" w:hAnsi="宋体"/>
                <w:color w:val="auto"/>
                <w:spacing w:val="-10"/>
                <w:szCs w:val="21"/>
              </w:rPr>
            </w:pPr>
            <w:r>
              <w:rPr>
                <w:rFonts w:hint="eastAsia" w:ascii="宋体" w:hAnsi="宋体" w:cs="宋体"/>
                <w:color w:val="auto"/>
                <w:spacing w:val="-10"/>
                <w:szCs w:val="21"/>
              </w:rPr>
              <w:t>（6）投标人不存在第二章“投标人须知”第</w:t>
            </w:r>
            <w:r>
              <w:rPr>
                <w:rFonts w:ascii="宋体" w:hAnsi="宋体" w:cs="宋体"/>
                <w:color w:val="auto"/>
                <w:spacing w:val="-10"/>
                <w:szCs w:val="21"/>
              </w:rPr>
              <w:t>1.4.3</w:t>
            </w:r>
            <w:r>
              <w:rPr>
                <w:rFonts w:hint="eastAsia" w:ascii="宋体" w:hAnsi="宋体" w:cs="宋体"/>
                <w:color w:val="auto"/>
                <w:spacing w:val="-10"/>
                <w:szCs w:val="21"/>
              </w:rPr>
              <w:t>项或第</w:t>
            </w:r>
            <w:r>
              <w:rPr>
                <w:rFonts w:ascii="宋体" w:hAnsi="宋体" w:cs="宋体"/>
                <w:color w:val="auto"/>
                <w:spacing w:val="-10"/>
                <w:szCs w:val="21"/>
              </w:rPr>
              <w:t>1.4.4</w:t>
            </w:r>
            <w:r>
              <w:rPr>
                <w:rFonts w:hint="eastAsia" w:ascii="宋体" w:hAnsi="宋体" w:cs="宋体"/>
                <w:color w:val="auto"/>
                <w:spacing w:val="-10"/>
                <w:szCs w:val="21"/>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1004" w:type="dxa"/>
            <w:tcBorders>
              <w:top w:val="single" w:color="auto" w:sz="4" w:space="0"/>
            </w:tcBorders>
            <w:vAlign w:val="center"/>
          </w:tcPr>
          <w:p>
            <w:pPr>
              <w:autoSpaceDE w:val="0"/>
              <w:autoSpaceDN w:val="0"/>
              <w:spacing w:line="400" w:lineRule="exact"/>
              <w:jc w:val="center"/>
              <w:rPr>
                <w:rFonts w:ascii="宋体" w:hAnsi="宋体"/>
                <w:color w:val="auto"/>
                <w:sz w:val="24"/>
                <w:szCs w:val="21"/>
                <w:lang w:val="zh-CN" w:eastAsia="en-US"/>
              </w:rPr>
            </w:pPr>
            <w:r>
              <w:rPr>
                <w:rFonts w:hint="eastAsia" w:ascii="宋体" w:hAnsi="宋体"/>
                <w:color w:val="auto"/>
                <w:szCs w:val="21"/>
                <w:lang w:val="zh-CN"/>
              </w:rPr>
              <w:t>2.1.3</w:t>
            </w:r>
          </w:p>
        </w:tc>
        <w:tc>
          <w:tcPr>
            <w:tcW w:w="1388" w:type="dxa"/>
            <w:tcBorders>
              <w:top w:val="single" w:color="auto" w:sz="4" w:space="0"/>
              <w:right w:val="single" w:color="000000" w:sz="6" w:space="0"/>
            </w:tcBorders>
            <w:vAlign w:val="center"/>
          </w:tcPr>
          <w:p>
            <w:pPr>
              <w:autoSpaceDE w:val="0"/>
              <w:autoSpaceDN w:val="0"/>
              <w:spacing w:line="400" w:lineRule="exact"/>
              <w:jc w:val="center"/>
              <w:rPr>
                <w:rFonts w:ascii="宋体" w:hAnsi="宋体" w:cs="宋体"/>
                <w:color w:val="auto"/>
                <w:szCs w:val="21"/>
                <w:lang w:val="zh-CN"/>
              </w:rPr>
            </w:pPr>
            <w:r>
              <w:rPr>
                <w:rFonts w:hint="eastAsia" w:ascii="宋体" w:hAnsi="宋体" w:cs="宋体"/>
                <w:color w:val="auto"/>
                <w:szCs w:val="21"/>
                <w:lang w:val="zh-CN"/>
              </w:rPr>
              <w:t>响应性评审</w:t>
            </w:r>
          </w:p>
          <w:p>
            <w:pPr>
              <w:autoSpaceDE w:val="0"/>
              <w:autoSpaceDN w:val="0"/>
              <w:spacing w:line="400" w:lineRule="exact"/>
              <w:ind w:firstLine="420" w:firstLineChars="200"/>
              <w:rPr>
                <w:rFonts w:ascii="宋体" w:hAnsi="宋体" w:cs="宋体"/>
                <w:color w:val="auto"/>
                <w:szCs w:val="21"/>
                <w:lang w:val="zh-CN"/>
              </w:rPr>
            </w:pPr>
            <w:r>
              <w:rPr>
                <w:rFonts w:hint="eastAsia" w:ascii="宋体" w:hAnsi="宋体" w:cs="宋体"/>
                <w:color w:val="auto"/>
                <w:szCs w:val="21"/>
                <w:lang w:val="zh-CN"/>
              </w:rPr>
              <w:t>标准</w:t>
            </w:r>
          </w:p>
        </w:tc>
        <w:tc>
          <w:tcPr>
            <w:tcW w:w="6293" w:type="dxa"/>
            <w:tcBorders>
              <w:top w:val="single" w:color="auto" w:sz="4" w:space="0"/>
              <w:left w:val="single" w:color="000000" w:sz="6" w:space="0"/>
              <w:bottom w:val="single" w:color="auto" w:sz="4" w:space="0"/>
            </w:tcBorders>
          </w:tcPr>
          <w:p>
            <w:pPr>
              <w:autoSpaceDE w:val="0"/>
              <w:autoSpaceDN w:val="0"/>
              <w:spacing w:line="400" w:lineRule="exact"/>
              <w:jc w:val="left"/>
              <w:rPr>
                <w:rFonts w:ascii="宋体" w:hAnsi="宋体" w:cs="Calibri"/>
                <w:color w:val="auto"/>
                <w:szCs w:val="21"/>
                <w:lang w:val="zh-CN"/>
              </w:rPr>
            </w:pPr>
            <w:r>
              <w:rPr>
                <w:rFonts w:hint="eastAsia" w:ascii="宋体" w:hAnsi="宋体" w:cs="宋体"/>
                <w:color w:val="auto"/>
                <w:szCs w:val="21"/>
                <w:lang w:val="zh-CN"/>
              </w:rPr>
              <w:t>（</w:t>
            </w:r>
            <w:r>
              <w:rPr>
                <w:rFonts w:ascii="宋体" w:hAnsi="宋体" w:cs="Calibri"/>
                <w:color w:val="auto"/>
                <w:szCs w:val="21"/>
                <w:lang w:val="zh-CN"/>
              </w:rPr>
              <w:t>1</w:t>
            </w:r>
            <w:r>
              <w:rPr>
                <w:rFonts w:hint="eastAsia" w:ascii="宋体" w:hAnsi="宋体" w:cs="宋体"/>
                <w:color w:val="auto"/>
                <w:szCs w:val="21"/>
                <w:lang w:val="zh-CN"/>
              </w:rPr>
              <w:t>）投标人按照招标文件的规定提供了投标保证金：</w:t>
            </w:r>
          </w:p>
          <w:p>
            <w:pPr>
              <w:autoSpaceDE w:val="0"/>
              <w:autoSpaceDN w:val="0"/>
              <w:spacing w:before="13" w:line="400" w:lineRule="exact"/>
              <w:ind w:right="44"/>
              <w:jc w:val="left"/>
              <w:rPr>
                <w:rFonts w:ascii="宋体" w:hAnsi="宋体" w:cs="Calibri"/>
                <w:color w:val="auto"/>
                <w:szCs w:val="21"/>
                <w:lang w:val="zh-CN"/>
              </w:rPr>
            </w:pPr>
            <w:r>
              <w:rPr>
                <w:rFonts w:hint="eastAsia" w:ascii="宋体" w:hAnsi="宋体" w:cs="宋体"/>
                <w:color w:val="auto"/>
                <w:szCs w:val="21"/>
                <w:lang w:val="zh-CN"/>
              </w:rPr>
              <w:t>（</w:t>
            </w:r>
            <w:r>
              <w:rPr>
                <w:rFonts w:ascii="宋体" w:hAnsi="宋体" w:cs="Calibri"/>
                <w:color w:val="auto"/>
                <w:szCs w:val="21"/>
                <w:lang w:val="zh-CN"/>
              </w:rPr>
              <w:t>2</w:t>
            </w:r>
            <w:r>
              <w:rPr>
                <w:rFonts w:hint="eastAsia" w:ascii="宋体" w:hAnsi="宋体" w:cs="宋体"/>
                <w:color w:val="auto"/>
                <w:szCs w:val="21"/>
                <w:lang w:val="zh-CN"/>
              </w:rPr>
              <w:t>）投标人法定</w:t>
            </w:r>
            <w:r>
              <w:rPr>
                <w:rFonts w:hint="eastAsia" w:ascii="宋体" w:hAnsi="宋体" w:cs="宋体"/>
                <w:color w:val="auto"/>
                <w:szCs w:val="21"/>
              </w:rPr>
              <w:t>负责</w:t>
            </w:r>
            <w:r>
              <w:rPr>
                <w:rFonts w:hint="eastAsia" w:ascii="宋体" w:hAnsi="宋体" w:cs="宋体"/>
                <w:color w:val="auto"/>
                <w:szCs w:val="21"/>
                <w:lang w:val="zh-CN"/>
              </w:rPr>
              <w:t>人授权委托代理人签署投标文件的，须提交授权委托书，且授权人和被授权人均在授权委托书上签字或签章。</w:t>
            </w:r>
          </w:p>
          <w:p>
            <w:pPr>
              <w:autoSpaceDE w:val="0"/>
              <w:autoSpaceDN w:val="0"/>
              <w:spacing w:before="13" w:line="400" w:lineRule="exact"/>
              <w:ind w:right="44"/>
              <w:jc w:val="left"/>
              <w:rPr>
                <w:rFonts w:ascii="宋体" w:hAnsi="宋体" w:cs="Calibri"/>
                <w:color w:val="auto"/>
                <w:szCs w:val="21"/>
                <w:lang w:val="zh-CN"/>
              </w:rPr>
            </w:pPr>
            <w:r>
              <w:rPr>
                <w:rFonts w:hint="eastAsia" w:ascii="宋体" w:hAnsi="宋体" w:cs="宋体"/>
                <w:color w:val="auto"/>
                <w:szCs w:val="21"/>
                <w:lang w:val="zh-CN"/>
              </w:rPr>
              <w:t>（</w:t>
            </w:r>
            <w:r>
              <w:rPr>
                <w:rFonts w:ascii="宋体" w:hAnsi="宋体" w:cs="Calibri"/>
                <w:color w:val="auto"/>
                <w:szCs w:val="21"/>
                <w:lang w:val="zh-CN"/>
              </w:rPr>
              <w:t>3</w:t>
            </w:r>
            <w:r>
              <w:rPr>
                <w:rFonts w:hint="eastAsia" w:ascii="宋体" w:hAnsi="宋体" w:cs="宋体"/>
                <w:color w:val="auto"/>
                <w:szCs w:val="21"/>
                <w:lang w:val="zh-CN"/>
              </w:rPr>
              <w:t>）投标人法定</w:t>
            </w:r>
            <w:r>
              <w:rPr>
                <w:rFonts w:hint="eastAsia" w:ascii="宋体" w:hAnsi="宋体" w:cs="宋体"/>
                <w:color w:val="auto"/>
                <w:szCs w:val="21"/>
              </w:rPr>
              <w:t>负责</w:t>
            </w:r>
            <w:r>
              <w:rPr>
                <w:rFonts w:hint="eastAsia" w:ascii="宋体" w:hAnsi="宋体" w:cs="宋体"/>
                <w:color w:val="auto"/>
                <w:szCs w:val="21"/>
                <w:lang w:val="zh-CN"/>
              </w:rPr>
              <w:t>人亲自签署投标文件的，提供了法定</w:t>
            </w:r>
            <w:r>
              <w:rPr>
                <w:rFonts w:hint="eastAsia" w:ascii="宋体" w:hAnsi="宋体" w:cs="宋体"/>
                <w:color w:val="auto"/>
                <w:szCs w:val="21"/>
              </w:rPr>
              <w:t>负责</w:t>
            </w:r>
            <w:r>
              <w:rPr>
                <w:rFonts w:hint="eastAsia" w:ascii="宋体" w:hAnsi="宋体" w:cs="宋体"/>
                <w:color w:val="auto"/>
                <w:szCs w:val="21"/>
                <w:lang w:val="zh-CN"/>
              </w:rPr>
              <w:t>人身份证明，且法定</w:t>
            </w:r>
            <w:r>
              <w:rPr>
                <w:rFonts w:hint="eastAsia" w:ascii="宋体" w:hAnsi="宋体" w:cs="宋体"/>
                <w:color w:val="auto"/>
                <w:szCs w:val="21"/>
              </w:rPr>
              <w:t>负责</w:t>
            </w:r>
            <w:r>
              <w:rPr>
                <w:rFonts w:hint="eastAsia" w:ascii="宋体" w:hAnsi="宋体" w:cs="宋体"/>
                <w:color w:val="auto"/>
                <w:szCs w:val="21"/>
                <w:lang w:val="zh-CN"/>
              </w:rPr>
              <w:t>人在法定</w:t>
            </w:r>
            <w:r>
              <w:rPr>
                <w:rFonts w:hint="eastAsia" w:ascii="宋体" w:hAnsi="宋体" w:cs="宋体"/>
                <w:color w:val="auto"/>
                <w:szCs w:val="21"/>
              </w:rPr>
              <w:t>负责</w:t>
            </w:r>
            <w:r>
              <w:rPr>
                <w:rFonts w:hint="eastAsia" w:ascii="宋体" w:hAnsi="宋体" w:cs="宋体"/>
                <w:color w:val="auto"/>
                <w:szCs w:val="21"/>
                <w:lang w:val="zh-CN"/>
              </w:rPr>
              <w:t>人身份证明上签字或签章。</w:t>
            </w:r>
          </w:p>
          <w:p>
            <w:pPr>
              <w:autoSpaceDE w:val="0"/>
              <w:autoSpaceDN w:val="0"/>
              <w:spacing w:line="400" w:lineRule="exact"/>
              <w:jc w:val="left"/>
              <w:rPr>
                <w:rFonts w:ascii="宋体" w:hAnsi="宋体" w:cs="宋体"/>
                <w:color w:val="auto"/>
                <w:szCs w:val="21"/>
                <w:lang w:val="zh-CN"/>
              </w:rPr>
            </w:pPr>
            <w:r>
              <w:rPr>
                <w:rFonts w:hint="eastAsia" w:ascii="宋体" w:hAnsi="宋体" w:cs="宋体"/>
                <w:color w:val="auto"/>
                <w:szCs w:val="21"/>
                <w:lang w:val="zh-CN"/>
              </w:rPr>
              <w:t>（</w:t>
            </w:r>
            <w:r>
              <w:rPr>
                <w:rFonts w:ascii="宋体" w:hAnsi="宋体" w:cs="Calibri"/>
                <w:color w:val="auto"/>
                <w:szCs w:val="21"/>
                <w:lang w:val="zh-CN"/>
              </w:rPr>
              <w:t>4</w:t>
            </w:r>
            <w:r>
              <w:rPr>
                <w:rFonts w:hint="eastAsia" w:ascii="宋体" w:hAnsi="宋体" w:cs="宋体"/>
                <w:color w:val="auto"/>
                <w:szCs w:val="21"/>
                <w:lang w:val="zh-CN"/>
              </w:rPr>
              <w:t>）同一投标人同一合同段未提交两个及以上不同的投标文件或未提交两个及以上不同的投标报价。</w:t>
            </w:r>
          </w:p>
          <w:p>
            <w:pPr>
              <w:autoSpaceDE w:val="0"/>
              <w:autoSpaceDN w:val="0"/>
              <w:spacing w:line="400" w:lineRule="exact"/>
              <w:jc w:val="left"/>
              <w:rPr>
                <w:rFonts w:ascii="宋体" w:hAnsi="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5</w:t>
            </w:r>
            <w:r>
              <w:rPr>
                <w:rFonts w:hint="eastAsia" w:ascii="宋体" w:hAnsi="宋体" w:cs="宋体"/>
                <w:color w:val="auto"/>
                <w:szCs w:val="21"/>
                <w:lang w:val="zh-CN"/>
              </w:rPr>
              <w:t>）投标报价未超过招标文件设定的总价。</w:t>
            </w:r>
          </w:p>
          <w:p>
            <w:pPr>
              <w:autoSpaceDE w:val="0"/>
              <w:autoSpaceDN w:val="0"/>
              <w:spacing w:line="400" w:lineRule="exact"/>
              <w:jc w:val="left"/>
              <w:rPr>
                <w:rFonts w:ascii="宋体" w:hAnsi="宋体"/>
                <w:color w:val="auto"/>
                <w:szCs w:val="21"/>
                <w:lang w:val="zh-CN"/>
              </w:rPr>
            </w:pPr>
            <w:r>
              <w:rPr>
                <w:rFonts w:hint="eastAsia" w:ascii="宋体" w:hAnsi="宋体" w:cs="宋体"/>
                <w:color w:val="auto"/>
                <w:szCs w:val="21"/>
                <w:lang w:val="zh-CN"/>
              </w:rPr>
              <w:t>（</w:t>
            </w:r>
            <w:r>
              <w:rPr>
                <w:rFonts w:hint="eastAsia" w:ascii="宋体" w:hAnsi="宋体"/>
                <w:color w:val="auto"/>
                <w:szCs w:val="21"/>
                <w:lang w:val="zh-CN"/>
              </w:rPr>
              <w:t>6</w:t>
            </w:r>
            <w:r>
              <w:rPr>
                <w:rFonts w:hint="eastAsia" w:ascii="宋体" w:hAnsi="宋体" w:cs="宋体"/>
                <w:color w:val="auto"/>
                <w:szCs w:val="21"/>
                <w:lang w:val="zh-CN"/>
              </w:rPr>
              <w:t>）投标报价中报价的大写金额能够确定具体数值。</w:t>
            </w:r>
          </w:p>
          <w:p>
            <w:pPr>
              <w:spacing w:line="400" w:lineRule="exact"/>
              <w:rPr>
                <w:rFonts w:ascii="宋体" w:hAnsi="宋体"/>
                <w:color w:val="auto"/>
                <w:spacing w:val="-3"/>
                <w:szCs w:val="21"/>
                <w:lang w:val="zh-CN"/>
              </w:rPr>
            </w:pPr>
            <w:r>
              <w:rPr>
                <w:rFonts w:hint="eastAsia" w:ascii="宋体" w:hAnsi="宋体" w:cs="宋体"/>
                <w:color w:val="auto"/>
                <w:szCs w:val="21"/>
                <w:lang w:val="zh-CN"/>
              </w:rPr>
              <w:t>（</w:t>
            </w:r>
            <w:r>
              <w:rPr>
                <w:rFonts w:hint="eastAsia" w:ascii="宋体" w:hAnsi="宋体"/>
                <w:color w:val="auto"/>
                <w:szCs w:val="21"/>
                <w:lang w:val="zh-CN"/>
              </w:rPr>
              <w:t>7</w:t>
            </w:r>
            <w:r>
              <w:rPr>
                <w:rFonts w:hint="eastAsia" w:ascii="宋体" w:hAnsi="宋体" w:cs="宋体"/>
                <w:color w:val="auto"/>
                <w:szCs w:val="21"/>
                <w:lang w:val="zh-CN"/>
              </w:rPr>
              <w:t>）投标文件载明的招标项目完成期限未超</w:t>
            </w:r>
            <w:r>
              <w:rPr>
                <w:rFonts w:hint="eastAsia" w:ascii="宋体" w:hAnsi="宋体" w:cs="宋体"/>
                <w:color w:val="auto"/>
                <w:spacing w:val="-3"/>
                <w:szCs w:val="21"/>
                <w:lang w:val="zh-CN"/>
              </w:rPr>
              <w:t>过招标文件规定的时限。</w:t>
            </w:r>
          </w:p>
          <w:p>
            <w:pPr>
              <w:spacing w:line="400" w:lineRule="exact"/>
              <w:rPr>
                <w:rFonts w:ascii="宋体" w:hAnsi="宋体"/>
                <w:color w:val="auto"/>
                <w:szCs w:val="21"/>
                <w:lang w:val="zh-CN"/>
              </w:rPr>
            </w:pPr>
            <w:r>
              <w:rPr>
                <w:rFonts w:hint="eastAsia" w:ascii="宋体" w:hAnsi="宋体" w:cs="宋体"/>
                <w:color w:val="auto"/>
                <w:szCs w:val="21"/>
                <w:lang w:val="zh-CN"/>
              </w:rPr>
              <w:t>（</w:t>
            </w:r>
            <w:r>
              <w:rPr>
                <w:rFonts w:hint="eastAsia" w:ascii="宋体" w:hAnsi="宋体"/>
                <w:color w:val="auto"/>
                <w:szCs w:val="21"/>
                <w:lang w:val="zh-CN"/>
              </w:rPr>
              <w:t>8</w:t>
            </w:r>
            <w:r>
              <w:rPr>
                <w:rFonts w:hint="eastAsia" w:ascii="宋体" w:hAnsi="宋体" w:cs="宋体"/>
                <w:color w:val="auto"/>
                <w:szCs w:val="21"/>
                <w:lang w:val="zh-CN"/>
              </w:rPr>
              <w:t>）投标文件对招标文件的实质性要求和条件作出响应。</w:t>
            </w:r>
          </w:p>
          <w:p>
            <w:pPr>
              <w:spacing w:line="400" w:lineRule="exact"/>
              <w:rPr>
                <w:rFonts w:ascii="宋体" w:hAnsi="宋体" w:cs="Calibri"/>
                <w:color w:val="auto"/>
                <w:szCs w:val="21"/>
                <w:lang w:val="zh-CN"/>
              </w:rPr>
            </w:pPr>
            <w:r>
              <w:rPr>
                <w:rFonts w:hint="eastAsia" w:ascii="宋体" w:hAnsi="宋体" w:cs="宋体"/>
                <w:color w:val="auto"/>
                <w:szCs w:val="21"/>
                <w:lang w:val="zh-CN"/>
              </w:rPr>
              <w:t>（</w:t>
            </w:r>
            <w:r>
              <w:rPr>
                <w:rFonts w:ascii="宋体" w:hAnsi="宋体" w:cs="Calibri"/>
                <w:color w:val="auto"/>
                <w:szCs w:val="21"/>
                <w:lang w:val="zh-CN"/>
              </w:rPr>
              <w:t>8</w:t>
            </w:r>
            <w:r>
              <w:rPr>
                <w:rFonts w:hint="eastAsia" w:ascii="宋体" w:hAnsi="宋体" w:cs="宋体"/>
                <w:color w:val="auto"/>
                <w:szCs w:val="21"/>
                <w:lang w:val="zh-CN"/>
              </w:rPr>
              <w:t>）权利义务符合招标文件规定：</w:t>
            </w:r>
          </w:p>
          <w:p>
            <w:pPr>
              <w:spacing w:line="400" w:lineRule="exact"/>
              <w:ind w:firstLine="420" w:firstLineChars="200"/>
              <w:rPr>
                <w:rFonts w:ascii="宋体" w:hAnsi="宋体" w:cs="Calibri"/>
                <w:color w:val="auto"/>
                <w:szCs w:val="21"/>
                <w:lang w:val="zh-CN"/>
              </w:rPr>
            </w:pPr>
            <w:r>
              <w:rPr>
                <w:rFonts w:ascii="宋体" w:hAnsi="宋体" w:cs="Calibri"/>
                <w:color w:val="auto"/>
                <w:szCs w:val="21"/>
                <w:lang w:val="zh-CN"/>
              </w:rPr>
              <w:t>a.</w:t>
            </w:r>
            <w:r>
              <w:rPr>
                <w:rFonts w:hint="eastAsia" w:ascii="宋体" w:hAnsi="宋体" w:cs="宋体"/>
                <w:color w:val="auto"/>
                <w:szCs w:val="21"/>
                <w:lang w:val="zh-CN"/>
              </w:rPr>
              <w:t>投标人应接受招标文件规定的风险划分原则，未提出新的风险划分办法；</w:t>
            </w:r>
          </w:p>
          <w:p>
            <w:pPr>
              <w:spacing w:line="400" w:lineRule="exact"/>
              <w:ind w:firstLine="420" w:firstLineChars="200"/>
              <w:rPr>
                <w:rFonts w:ascii="宋体" w:hAnsi="宋体" w:cs="Calibri"/>
                <w:color w:val="auto"/>
                <w:szCs w:val="21"/>
                <w:lang w:val="zh-CN"/>
              </w:rPr>
            </w:pPr>
            <w:r>
              <w:rPr>
                <w:rFonts w:ascii="宋体" w:hAnsi="宋体" w:cs="Calibri"/>
                <w:color w:val="auto"/>
                <w:szCs w:val="21"/>
                <w:lang w:val="zh-CN"/>
              </w:rPr>
              <w:t>b.</w:t>
            </w:r>
            <w:r>
              <w:rPr>
                <w:rFonts w:hint="eastAsia" w:ascii="宋体" w:hAnsi="宋体" w:cs="宋体"/>
                <w:color w:val="auto"/>
                <w:szCs w:val="21"/>
                <w:lang w:val="zh-CN"/>
              </w:rPr>
              <w:t>投标人未增加发包人的责任范围，或减少投标人义务；</w:t>
            </w:r>
          </w:p>
          <w:p>
            <w:pPr>
              <w:spacing w:line="400" w:lineRule="exact"/>
              <w:ind w:firstLine="420" w:firstLineChars="200"/>
              <w:rPr>
                <w:rFonts w:ascii="宋体" w:hAnsi="宋体" w:cs="Calibri"/>
                <w:color w:val="auto"/>
                <w:szCs w:val="21"/>
                <w:lang w:val="zh-CN"/>
              </w:rPr>
            </w:pPr>
            <w:r>
              <w:rPr>
                <w:rFonts w:ascii="宋体" w:hAnsi="宋体" w:cs="Calibri"/>
                <w:color w:val="auto"/>
                <w:szCs w:val="21"/>
                <w:lang w:val="zh-CN"/>
              </w:rPr>
              <w:t>c.</w:t>
            </w:r>
            <w:r>
              <w:rPr>
                <w:rFonts w:hint="eastAsia" w:ascii="宋体" w:hAnsi="宋体" w:cs="宋体"/>
                <w:color w:val="auto"/>
                <w:szCs w:val="21"/>
                <w:lang w:val="zh-CN"/>
              </w:rPr>
              <w:t>投标人未提出不同的工程验收、计量、支付办法；</w:t>
            </w:r>
          </w:p>
          <w:p>
            <w:pPr>
              <w:spacing w:line="400" w:lineRule="exact"/>
              <w:ind w:firstLine="420" w:firstLineChars="200"/>
              <w:rPr>
                <w:rFonts w:ascii="宋体" w:hAnsi="宋体" w:cs="Calibri"/>
                <w:color w:val="auto"/>
                <w:szCs w:val="21"/>
                <w:lang w:val="zh-CN"/>
              </w:rPr>
            </w:pPr>
            <w:r>
              <w:rPr>
                <w:rFonts w:ascii="宋体" w:hAnsi="宋体" w:cs="Calibri"/>
                <w:color w:val="auto"/>
                <w:szCs w:val="21"/>
                <w:lang w:val="zh-CN"/>
              </w:rPr>
              <w:t>d.</w:t>
            </w:r>
            <w:r>
              <w:rPr>
                <w:rFonts w:hint="eastAsia" w:ascii="宋体" w:hAnsi="宋体" w:cs="宋体"/>
                <w:color w:val="auto"/>
                <w:szCs w:val="21"/>
                <w:lang w:val="zh-CN"/>
              </w:rPr>
              <w:t>投标人对合同纠纷、事故处理办法未提出异议；</w:t>
            </w:r>
          </w:p>
          <w:p>
            <w:pPr>
              <w:spacing w:line="400" w:lineRule="exact"/>
              <w:ind w:firstLine="420" w:firstLineChars="200"/>
              <w:rPr>
                <w:rFonts w:ascii="宋体" w:hAnsi="宋体" w:cs="Calibri"/>
                <w:color w:val="auto"/>
                <w:szCs w:val="21"/>
                <w:lang w:val="zh-CN"/>
              </w:rPr>
            </w:pPr>
            <w:r>
              <w:rPr>
                <w:rFonts w:ascii="宋体" w:hAnsi="宋体" w:cs="Calibri"/>
                <w:color w:val="auto"/>
                <w:szCs w:val="21"/>
                <w:lang w:val="zh-CN"/>
              </w:rPr>
              <w:t>e.</w:t>
            </w:r>
            <w:r>
              <w:rPr>
                <w:rFonts w:hint="eastAsia" w:ascii="宋体" w:hAnsi="宋体" w:cs="宋体"/>
                <w:color w:val="auto"/>
                <w:szCs w:val="21"/>
                <w:lang w:val="zh-CN"/>
              </w:rPr>
              <w:t>投标人在投标活动中无欺诈行为；</w:t>
            </w:r>
          </w:p>
          <w:p>
            <w:pPr>
              <w:spacing w:line="400" w:lineRule="exact"/>
              <w:ind w:firstLine="420" w:firstLineChars="200"/>
              <w:rPr>
                <w:rFonts w:ascii="宋体" w:hAnsi="宋体" w:cs="Calibri"/>
                <w:color w:val="auto"/>
                <w:szCs w:val="21"/>
                <w:lang w:val="zh-CN"/>
              </w:rPr>
            </w:pPr>
            <w:r>
              <w:rPr>
                <w:rFonts w:ascii="宋体" w:hAnsi="宋体" w:cs="Calibri"/>
                <w:color w:val="auto"/>
                <w:szCs w:val="21"/>
                <w:lang w:val="zh-CN"/>
              </w:rPr>
              <w:t>f.</w:t>
            </w:r>
            <w:r>
              <w:rPr>
                <w:rFonts w:hint="eastAsia" w:ascii="宋体" w:hAnsi="宋体" w:cs="宋体"/>
                <w:color w:val="auto"/>
                <w:szCs w:val="21"/>
                <w:lang w:val="zh-CN"/>
              </w:rPr>
              <w:t>投标人未对合同条款有重要保留。</w:t>
            </w:r>
          </w:p>
          <w:p>
            <w:pPr>
              <w:spacing w:line="400" w:lineRule="exact"/>
              <w:rPr>
                <w:rFonts w:ascii="宋体" w:hAnsi="宋体" w:cs="Calibri"/>
                <w:color w:val="auto"/>
                <w:szCs w:val="21"/>
                <w:lang w:val="zh-CN"/>
              </w:rPr>
            </w:pPr>
            <w:r>
              <w:rPr>
                <w:rFonts w:hint="eastAsia" w:ascii="宋体" w:hAnsi="宋体" w:cs="宋体"/>
                <w:color w:val="auto"/>
                <w:szCs w:val="21"/>
                <w:lang w:val="zh-CN"/>
              </w:rPr>
              <w:t>（</w:t>
            </w:r>
            <w:r>
              <w:rPr>
                <w:rFonts w:ascii="宋体" w:hAnsi="宋体" w:cs="Calibri"/>
                <w:color w:val="auto"/>
                <w:szCs w:val="21"/>
                <w:lang w:val="zh-CN"/>
              </w:rPr>
              <w:t>9</w:t>
            </w:r>
            <w:r>
              <w:rPr>
                <w:rFonts w:hint="eastAsia" w:ascii="宋体" w:hAnsi="宋体" w:cs="宋体"/>
                <w:color w:val="auto"/>
                <w:szCs w:val="21"/>
                <w:lang w:val="zh-CN"/>
              </w:rPr>
              <w:t>）投标文件正、副本份数及电子文件份数符合招标文件第二章</w:t>
            </w:r>
            <w:r>
              <w:rPr>
                <w:rFonts w:ascii="宋体" w:hAnsi="宋体" w:cs="Calibri"/>
                <w:color w:val="auto"/>
                <w:szCs w:val="21"/>
                <w:lang w:val="zh-CN"/>
              </w:rPr>
              <w:t>“</w:t>
            </w:r>
            <w:r>
              <w:rPr>
                <w:rFonts w:hint="eastAsia" w:ascii="宋体" w:hAnsi="宋体" w:cs="宋体"/>
                <w:color w:val="auto"/>
                <w:szCs w:val="21"/>
                <w:lang w:val="zh-CN"/>
              </w:rPr>
              <w:t>投标人须知</w:t>
            </w:r>
            <w:r>
              <w:rPr>
                <w:rFonts w:ascii="宋体" w:hAnsi="宋体" w:cs="Calibri"/>
                <w:color w:val="auto"/>
                <w:szCs w:val="21"/>
                <w:lang w:val="zh-CN"/>
              </w:rPr>
              <w:t xml:space="preserve">” </w:t>
            </w:r>
            <w:r>
              <w:rPr>
                <w:rFonts w:hint="eastAsia" w:ascii="宋体" w:hAnsi="宋体" w:cs="宋体"/>
                <w:color w:val="auto"/>
                <w:szCs w:val="21"/>
                <w:lang w:val="zh-CN"/>
              </w:rPr>
              <w:t>第</w:t>
            </w:r>
            <w:r>
              <w:rPr>
                <w:rFonts w:ascii="宋体" w:hAnsi="宋体" w:cs="Calibri"/>
                <w:color w:val="auto"/>
                <w:szCs w:val="21"/>
                <w:lang w:val="zh-CN"/>
              </w:rPr>
              <w:t xml:space="preserve"> 3.7.4 </w:t>
            </w:r>
            <w:r>
              <w:rPr>
                <w:rFonts w:hint="eastAsia" w:ascii="宋体" w:hAnsi="宋体" w:cs="宋体"/>
                <w:color w:val="auto"/>
                <w:szCs w:val="21"/>
                <w:lang w:val="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1004" w:type="dxa"/>
            <w:tcBorders>
              <w:bottom w:val="single" w:color="auto" w:sz="4" w:space="0"/>
            </w:tcBorders>
          </w:tcPr>
          <w:p>
            <w:pPr>
              <w:autoSpaceDE w:val="0"/>
              <w:autoSpaceDN w:val="0"/>
              <w:spacing w:before="109" w:line="400" w:lineRule="exact"/>
              <w:ind w:left="157" w:right="148"/>
              <w:jc w:val="center"/>
              <w:rPr>
                <w:rFonts w:ascii="宋体" w:hAnsi="宋体"/>
                <w:b/>
                <w:bCs/>
                <w:color w:val="auto"/>
                <w:szCs w:val="21"/>
                <w:lang w:val="zh-CN" w:eastAsia="en-US"/>
              </w:rPr>
            </w:pPr>
            <w:r>
              <w:rPr>
                <w:rFonts w:hint="eastAsia" w:ascii="宋体" w:hAnsi="宋体" w:cs="宋体"/>
                <w:b/>
                <w:bCs/>
                <w:color w:val="auto"/>
                <w:szCs w:val="21"/>
                <w:lang w:val="zh-CN" w:eastAsia="en-US"/>
              </w:rPr>
              <w:t>条款号</w:t>
            </w:r>
          </w:p>
        </w:tc>
        <w:tc>
          <w:tcPr>
            <w:tcW w:w="1388" w:type="dxa"/>
            <w:tcBorders>
              <w:bottom w:val="single" w:color="auto" w:sz="4" w:space="0"/>
              <w:right w:val="single" w:color="000000" w:sz="6" w:space="0"/>
            </w:tcBorders>
          </w:tcPr>
          <w:p>
            <w:pPr>
              <w:autoSpaceDE w:val="0"/>
              <w:autoSpaceDN w:val="0"/>
              <w:spacing w:before="109" w:line="400" w:lineRule="exact"/>
              <w:ind w:left="112" w:right="99"/>
              <w:jc w:val="center"/>
              <w:rPr>
                <w:rFonts w:ascii="宋体" w:hAnsi="宋体"/>
                <w:b/>
                <w:bCs/>
                <w:color w:val="auto"/>
                <w:szCs w:val="21"/>
                <w:lang w:val="zh-CN" w:eastAsia="en-US"/>
              </w:rPr>
            </w:pPr>
            <w:r>
              <w:rPr>
                <w:rFonts w:hint="eastAsia" w:ascii="宋体" w:hAnsi="宋体" w:cs="宋体"/>
                <w:b/>
                <w:bCs/>
                <w:color w:val="auto"/>
                <w:szCs w:val="21"/>
                <w:lang w:val="zh-CN" w:eastAsia="en-US"/>
              </w:rPr>
              <w:t>条款内容</w:t>
            </w:r>
          </w:p>
        </w:tc>
        <w:tc>
          <w:tcPr>
            <w:tcW w:w="6293" w:type="dxa"/>
            <w:tcBorders>
              <w:left w:val="single" w:color="000000" w:sz="6" w:space="0"/>
            </w:tcBorders>
          </w:tcPr>
          <w:p>
            <w:pPr>
              <w:autoSpaceDE w:val="0"/>
              <w:autoSpaceDN w:val="0"/>
              <w:spacing w:before="109" w:line="400" w:lineRule="exact"/>
              <w:ind w:left="2335" w:right="2331"/>
              <w:jc w:val="center"/>
              <w:rPr>
                <w:rFonts w:ascii="宋体" w:hAnsi="宋体"/>
                <w:b/>
                <w:bCs/>
                <w:color w:val="auto"/>
                <w:szCs w:val="21"/>
                <w:lang w:val="zh-CN" w:eastAsia="en-US"/>
              </w:rPr>
            </w:pPr>
            <w:r>
              <w:rPr>
                <w:rFonts w:hint="eastAsia" w:ascii="宋体" w:hAnsi="宋体" w:cs="宋体"/>
                <w:b/>
                <w:bCs/>
                <w:color w:val="auto"/>
                <w:szCs w:val="21"/>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10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left="157" w:right="148"/>
              <w:jc w:val="center"/>
              <w:rPr>
                <w:rFonts w:ascii="宋体" w:hAnsi="宋体"/>
                <w:color w:val="auto"/>
                <w:szCs w:val="21"/>
              </w:rPr>
            </w:pPr>
            <w:r>
              <w:rPr>
                <w:rFonts w:ascii="宋体" w:hAnsi="宋体"/>
                <w:color w:val="auto"/>
                <w:szCs w:val="21"/>
                <w:lang w:val="zh-CN" w:eastAsia="en-US"/>
              </w:rPr>
              <w:t>2.2.</w:t>
            </w:r>
            <w:r>
              <w:rPr>
                <w:rFonts w:hint="eastAsia" w:ascii="宋体" w:hAnsi="宋体"/>
                <w:color w:val="auto"/>
                <w:szCs w:val="21"/>
              </w:rPr>
              <w:t>1</w:t>
            </w:r>
          </w:p>
        </w:tc>
        <w:tc>
          <w:tcPr>
            <w:tcW w:w="13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cs="宋体"/>
                <w:color w:val="auto"/>
                <w:szCs w:val="21"/>
              </w:rPr>
            </w:pPr>
            <w:r>
              <w:rPr>
                <w:rFonts w:hint="eastAsia" w:ascii="宋体" w:hAnsi="宋体" w:cs="宋体"/>
                <w:color w:val="auto"/>
                <w:szCs w:val="21"/>
              </w:rPr>
              <w:t>评分分值</w:t>
            </w:r>
          </w:p>
          <w:p>
            <w:pPr>
              <w:autoSpaceDE w:val="0"/>
              <w:autoSpaceDN w:val="0"/>
              <w:spacing w:line="400" w:lineRule="exact"/>
              <w:jc w:val="center"/>
              <w:rPr>
                <w:rFonts w:ascii="宋体" w:hAnsi="宋体" w:cs="宋体"/>
                <w:color w:val="auto"/>
                <w:szCs w:val="21"/>
              </w:rPr>
            </w:pPr>
            <w:r>
              <w:rPr>
                <w:rFonts w:hint="eastAsia" w:ascii="宋体" w:hAnsi="宋体" w:cs="宋体"/>
                <w:color w:val="auto"/>
                <w:szCs w:val="21"/>
              </w:rPr>
              <w:t>构成（总分100分）</w:t>
            </w:r>
          </w:p>
        </w:tc>
        <w:tc>
          <w:tcPr>
            <w:tcW w:w="6293" w:type="dxa"/>
            <w:tcBorders>
              <w:left w:val="single" w:color="auto" w:sz="4" w:space="0"/>
            </w:tcBorders>
            <w:vAlign w:val="center"/>
          </w:tcPr>
          <w:p>
            <w:pPr>
              <w:spacing w:line="400" w:lineRule="exact"/>
              <w:rPr>
                <w:rFonts w:ascii="宋体" w:hAnsi="宋体"/>
                <w:b/>
                <w:bCs/>
                <w:color w:val="auto"/>
                <w:szCs w:val="21"/>
              </w:rPr>
            </w:pPr>
            <w:r>
              <w:rPr>
                <w:rFonts w:hint="eastAsia" w:ascii="宋体" w:hAnsi="宋体" w:cs="宋体"/>
                <w:b/>
                <w:bCs/>
                <w:color w:val="auto"/>
                <w:szCs w:val="21"/>
              </w:rPr>
              <w:t>评分分值构成：</w:t>
            </w:r>
          </w:p>
          <w:p>
            <w:pPr>
              <w:spacing w:line="400" w:lineRule="exact"/>
              <w:rPr>
                <w:rFonts w:ascii="宋体" w:hAnsi="宋体" w:cs="宋体"/>
                <w:color w:val="auto"/>
                <w:szCs w:val="21"/>
              </w:rPr>
            </w:pPr>
            <w:r>
              <w:rPr>
                <w:rFonts w:ascii="宋体" w:hAnsi="宋体" w:cs="宋体"/>
                <w:color w:val="auto"/>
                <w:szCs w:val="21"/>
              </w:rPr>
              <w:t>A技术文件：</w:t>
            </w:r>
            <w:r>
              <w:rPr>
                <w:rFonts w:hint="eastAsia" w:ascii="宋体" w:hAnsi="宋体" w:cs="宋体"/>
                <w:color w:val="auto"/>
                <w:szCs w:val="21"/>
              </w:rPr>
              <w:t>25</w:t>
            </w:r>
            <w:r>
              <w:rPr>
                <w:rFonts w:ascii="宋体" w:hAnsi="宋体" w:cs="宋体"/>
                <w:color w:val="auto"/>
                <w:szCs w:val="21"/>
              </w:rPr>
              <w:t>分</w:t>
            </w:r>
          </w:p>
          <w:p>
            <w:pPr>
              <w:spacing w:line="400" w:lineRule="exact"/>
              <w:rPr>
                <w:rFonts w:ascii="宋体" w:hAnsi="宋体" w:cs="宋体"/>
                <w:color w:val="auto"/>
                <w:szCs w:val="21"/>
              </w:rPr>
            </w:pPr>
            <w:r>
              <w:rPr>
                <w:rFonts w:ascii="宋体" w:hAnsi="宋体" w:cs="宋体"/>
                <w:color w:val="auto"/>
                <w:szCs w:val="21"/>
              </w:rPr>
              <w:t>B商务：</w:t>
            </w:r>
            <w:r>
              <w:rPr>
                <w:rFonts w:hint="eastAsia" w:ascii="宋体" w:hAnsi="宋体" w:cs="宋体"/>
                <w:color w:val="auto"/>
                <w:szCs w:val="21"/>
              </w:rPr>
              <w:t>35</w:t>
            </w:r>
            <w:r>
              <w:rPr>
                <w:rFonts w:ascii="宋体" w:hAnsi="宋体" w:cs="宋体"/>
                <w:color w:val="auto"/>
                <w:szCs w:val="21"/>
              </w:rPr>
              <w:t>分</w:t>
            </w:r>
          </w:p>
          <w:p>
            <w:pPr>
              <w:spacing w:line="400" w:lineRule="exact"/>
              <w:rPr>
                <w:rFonts w:ascii="宋体" w:hAnsi="宋体" w:cs="宋体"/>
                <w:b/>
                <w:bCs/>
                <w:color w:val="auto"/>
                <w:szCs w:val="21"/>
              </w:rPr>
            </w:pPr>
            <w:r>
              <w:rPr>
                <w:rFonts w:ascii="宋体" w:hAnsi="宋体" w:cs="宋体"/>
                <w:color w:val="auto"/>
                <w:szCs w:val="21"/>
              </w:rPr>
              <w:t>C评标价：</w:t>
            </w:r>
            <w:r>
              <w:rPr>
                <w:rFonts w:hint="eastAsia" w:ascii="宋体" w:hAnsi="宋体" w:cs="Calibri"/>
                <w:color w:val="auto"/>
                <w:szCs w:val="21"/>
              </w:rPr>
              <w:t>40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1004" w:type="dxa"/>
            <w:tcBorders>
              <w:top w:val="single" w:color="auto" w:sz="4" w:space="0"/>
            </w:tcBorders>
            <w:vAlign w:val="center"/>
          </w:tcPr>
          <w:p>
            <w:pPr>
              <w:autoSpaceDE w:val="0"/>
              <w:autoSpaceDN w:val="0"/>
              <w:spacing w:line="400" w:lineRule="exact"/>
              <w:ind w:left="157" w:right="148"/>
              <w:jc w:val="center"/>
              <w:rPr>
                <w:rFonts w:ascii="宋体" w:hAnsi="宋体"/>
                <w:color w:val="auto"/>
                <w:szCs w:val="21"/>
              </w:rPr>
            </w:pPr>
            <w:r>
              <w:rPr>
                <w:rFonts w:ascii="宋体" w:hAnsi="宋体"/>
                <w:color w:val="auto"/>
                <w:szCs w:val="21"/>
                <w:lang w:val="zh-CN" w:eastAsia="en-US"/>
              </w:rPr>
              <w:t>2.2.</w:t>
            </w:r>
            <w:r>
              <w:rPr>
                <w:rFonts w:ascii="宋体" w:hAnsi="宋体"/>
                <w:color w:val="auto"/>
                <w:szCs w:val="21"/>
              </w:rPr>
              <w:t>2</w:t>
            </w:r>
          </w:p>
        </w:tc>
        <w:tc>
          <w:tcPr>
            <w:tcW w:w="1388" w:type="dxa"/>
            <w:tcBorders>
              <w:top w:val="single" w:color="auto" w:sz="4" w:space="0"/>
              <w:right w:val="single" w:color="000000" w:sz="6" w:space="0"/>
            </w:tcBorders>
            <w:vAlign w:val="center"/>
          </w:tcPr>
          <w:p>
            <w:pPr>
              <w:autoSpaceDE w:val="0"/>
              <w:autoSpaceDN w:val="0"/>
              <w:spacing w:line="400" w:lineRule="exact"/>
              <w:jc w:val="center"/>
              <w:rPr>
                <w:rFonts w:ascii="宋体" w:hAnsi="宋体" w:cs="宋体"/>
                <w:color w:val="auto"/>
                <w:szCs w:val="21"/>
              </w:rPr>
            </w:pPr>
            <w:r>
              <w:rPr>
                <w:rFonts w:hint="eastAsia" w:ascii="宋体" w:hAnsi="宋体" w:cs="宋体"/>
                <w:color w:val="auto"/>
                <w:szCs w:val="21"/>
              </w:rPr>
              <w:t>评标基准价计算</w:t>
            </w:r>
          </w:p>
          <w:p>
            <w:pPr>
              <w:autoSpaceDE w:val="0"/>
              <w:autoSpaceDN w:val="0"/>
              <w:spacing w:line="400" w:lineRule="exact"/>
              <w:jc w:val="center"/>
              <w:rPr>
                <w:rFonts w:ascii="宋体" w:hAnsi="宋体" w:cs="宋体"/>
                <w:color w:val="auto"/>
                <w:szCs w:val="21"/>
              </w:rPr>
            </w:pPr>
            <w:r>
              <w:rPr>
                <w:rFonts w:hint="eastAsia" w:ascii="宋体" w:hAnsi="宋体" w:cs="宋体"/>
                <w:color w:val="auto"/>
                <w:szCs w:val="21"/>
              </w:rPr>
              <w:t>方法</w:t>
            </w:r>
          </w:p>
        </w:tc>
        <w:tc>
          <w:tcPr>
            <w:tcW w:w="6293" w:type="dxa"/>
            <w:tcBorders>
              <w:left w:val="single" w:color="000000" w:sz="6" w:space="0"/>
            </w:tcBorders>
            <w:vAlign w:val="center"/>
          </w:tcPr>
          <w:p>
            <w:pPr>
              <w:spacing w:line="400" w:lineRule="exact"/>
              <w:rPr>
                <w:rFonts w:ascii="宋体" w:hAnsi="宋体"/>
                <w:color w:val="auto"/>
                <w:szCs w:val="21"/>
              </w:rPr>
            </w:pPr>
            <w:r>
              <w:rPr>
                <w:rFonts w:hint="eastAsia" w:ascii="宋体" w:hAnsi="宋体"/>
                <w:color w:val="auto"/>
                <w:szCs w:val="21"/>
              </w:rPr>
              <w:t>评标基准价的计算：</w:t>
            </w:r>
          </w:p>
          <w:p>
            <w:pPr>
              <w:spacing w:line="400" w:lineRule="exact"/>
              <w:rPr>
                <w:rFonts w:ascii="宋体" w:hAnsi="宋体"/>
                <w:color w:val="auto"/>
                <w:szCs w:val="21"/>
              </w:rPr>
            </w:pPr>
            <w:r>
              <w:rPr>
                <w:rFonts w:hint="eastAsia" w:ascii="宋体" w:hAnsi="宋体"/>
                <w:color w:val="auto"/>
                <w:szCs w:val="21"/>
              </w:rPr>
              <w:t>（</w:t>
            </w:r>
            <w:r>
              <w:rPr>
                <w:rFonts w:ascii="宋体" w:hAnsi="宋体"/>
                <w:color w:val="auto"/>
                <w:szCs w:val="21"/>
              </w:rPr>
              <w:t>1）评标价的确定：</w:t>
            </w:r>
          </w:p>
          <w:p>
            <w:pPr>
              <w:spacing w:line="400" w:lineRule="exact"/>
              <w:rPr>
                <w:rFonts w:ascii="宋体" w:hAnsi="宋体"/>
                <w:color w:val="auto"/>
                <w:szCs w:val="21"/>
              </w:rPr>
            </w:pPr>
            <w:r>
              <w:rPr>
                <w:rFonts w:hint="eastAsia" w:ascii="宋体" w:hAnsi="宋体"/>
                <w:color w:val="auto"/>
                <w:szCs w:val="21"/>
              </w:rPr>
              <w:t>评标价＝投标函文字报价</w:t>
            </w:r>
          </w:p>
          <w:p>
            <w:pPr>
              <w:spacing w:line="400" w:lineRule="exact"/>
              <w:rPr>
                <w:rFonts w:ascii="宋体" w:hAnsi="宋体"/>
                <w:color w:val="auto"/>
                <w:szCs w:val="21"/>
              </w:rPr>
            </w:pPr>
            <w:r>
              <w:rPr>
                <w:rFonts w:hint="eastAsia" w:ascii="宋体" w:hAnsi="宋体"/>
                <w:color w:val="auto"/>
                <w:szCs w:val="21"/>
              </w:rPr>
              <w:t>（</w:t>
            </w:r>
            <w:r>
              <w:rPr>
                <w:rFonts w:ascii="宋体" w:hAnsi="宋体"/>
                <w:color w:val="auto"/>
                <w:szCs w:val="21"/>
              </w:rPr>
              <w:t>2）评标基准价的确定：</w:t>
            </w:r>
          </w:p>
          <w:p>
            <w:pPr>
              <w:spacing w:line="400" w:lineRule="exact"/>
              <w:rPr>
                <w:rFonts w:ascii="宋体" w:hAnsi="宋体"/>
                <w:color w:val="auto"/>
                <w:szCs w:val="21"/>
              </w:rPr>
            </w:pPr>
            <w:r>
              <w:rPr>
                <w:rFonts w:hint="eastAsia" w:ascii="宋体" w:hAnsi="宋体" w:cs="宋体"/>
                <w:color w:val="auto"/>
                <w:szCs w:val="21"/>
              </w:rPr>
              <w:t>所有通过资格、形式、响应性评审的投标人的投标报价中去掉六分之一（不能整除的按小数前整数取整，不足六家报价则不去掉）家数的最高价和相同家数的最低价后的算术平均值即为投标报价的评标基准价。</w:t>
            </w:r>
          </w:p>
          <w:p>
            <w:pPr>
              <w:autoSpaceDE w:val="0"/>
              <w:autoSpaceDN w:val="0"/>
              <w:spacing w:line="400" w:lineRule="exact"/>
              <w:rPr>
                <w:rFonts w:ascii="宋体" w:hAnsi="宋体" w:cs="宋体"/>
                <w:b/>
                <w:color w:val="auto"/>
                <w:szCs w:val="21"/>
              </w:rPr>
            </w:pPr>
            <w:r>
              <w:rPr>
                <w:rFonts w:hint="eastAsia" w:ascii="宋体" w:hAnsi="宋体" w:cs="宋体"/>
                <w:b/>
                <w:color w:val="auto"/>
                <w:szCs w:val="21"/>
              </w:rPr>
              <w:t>确认后的评标基准价在本次整个招标期间保持不变。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004" w:type="dxa"/>
            <w:vAlign w:val="center"/>
          </w:tcPr>
          <w:p>
            <w:pPr>
              <w:spacing w:line="400" w:lineRule="exact"/>
              <w:jc w:val="center"/>
              <w:rPr>
                <w:rFonts w:ascii="宋体" w:hAnsi="宋体"/>
                <w:color w:val="auto"/>
                <w:szCs w:val="21"/>
              </w:rPr>
            </w:pPr>
            <w:r>
              <w:rPr>
                <w:rFonts w:ascii="宋体" w:hAnsi="宋体"/>
                <w:color w:val="auto"/>
                <w:szCs w:val="21"/>
              </w:rPr>
              <w:t>2.2.3</w:t>
            </w:r>
          </w:p>
        </w:tc>
        <w:tc>
          <w:tcPr>
            <w:tcW w:w="1388" w:type="dxa"/>
            <w:tcBorders>
              <w:right w:val="single" w:color="000000" w:sz="6" w:space="0"/>
            </w:tcBorders>
            <w:vAlign w:val="center"/>
          </w:tcPr>
          <w:p>
            <w:pPr>
              <w:spacing w:line="400" w:lineRule="exact"/>
              <w:jc w:val="center"/>
              <w:rPr>
                <w:rFonts w:ascii="宋体" w:hAnsi="宋体" w:cs="Calibri"/>
                <w:color w:val="auto"/>
                <w:szCs w:val="21"/>
                <w:lang w:val="zh-CN"/>
              </w:rPr>
            </w:pPr>
            <w:r>
              <w:rPr>
                <w:rFonts w:hint="eastAsia" w:ascii="宋体" w:hAnsi="宋体" w:cs="宋体"/>
                <w:color w:val="auto"/>
                <w:szCs w:val="21"/>
              </w:rPr>
              <w:t>评标价的偏差率计算公式</w:t>
            </w:r>
          </w:p>
        </w:tc>
        <w:tc>
          <w:tcPr>
            <w:tcW w:w="6293" w:type="dxa"/>
            <w:tcBorders>
              <w:left w:val="single" w:color="000000" w:sz="6" w:space="0"/>
            </w:tcBorders>
            <w:vAlign w:val="center"/>
          </w:tcPr>
          <w:p>
            <w:pPr>
              <w:spacing w:line="400" w:lineRule="exact"/>
              <w:rPr>
                <w:rFonts w:ascii="宋体" w:hAnsi="宋体"/>
                <w:color w:val="auto"/>
                <w:szCs w:val="21"/>
                <w:lang w:val="zh-CN"/>
              </w:rPr>
            </w:pPr>
            <w:r>
              <w:rPr>
                <w:rFonts w:hint="eastAsia" w:ascii="宋体" w:hAnsi="宋体" w:cs="宋体"/>
                <w:color w:val="auto"/>
                <w:szCs w:val="21"/>
              </w:rPr>
              <w:t>偏差率</w:t>
            </w:r>
            <w:r>
              <w:rPr>
                <w:rFonts w:ascii="宋体" w:hAnsi="宋体"/>
                <w:color w:val="auto"/>
                <w:szCs w:val="21"/>
              </w:rPr>
              <w:t>=100% ×</w:t>
            </w:r>
            <w:r>
              <w:rPr>
                <w:rFonts w:hint="eastAsia" w:ascii="宋体" w:hAnsi="宋体" w:cs="宋体"/>
                <w:color w:val="auto"/>
                <w:szCs w:val="21"/>
              </w:rPr>
              <w:t>（投标人</w:t>
            </w:r>
            <w:r>
              <w:rPr>
                <w:rFonts w:ascii="宋体" w:hAnsi="宋体"/>
                <w:color w:val="auto"/>
                <w:szCs w:val="21"/>
              </w:rPr>
              <w:t>评</w:t>
            </w:r>
            <w:r>
              <w:rPr>
                <w:rFonts w:hint="eastAsia" w:ascii="宋体" w:hAnsi="宋体" w:cs="宋体"/>
                <w:color w:val="auto"/>
                <w:szCs w:val="21"/>
              </w:rPr>
              <w:t>标价－评标基准价）</w:t>
            </w:r>
            <w:r>
              <w:rPr>
                <w:rFonts w:ascii="宋体" w:hAnsi="宋体"/>
                <w:color w:val="auto"/>
                <w:szCs w:val="21"/>
              </w:rPr>
              <w:t>/</w:t>
            </w:r>
            <w:r>
              <w:rPr>
                <w:rFonts w:hint="eastAsia" w:ascii="宋体" w:hAnsi="宋体" w:cs="宋体"/>
                <w:color w:val="auto"/>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004" w:type="dxa"/>
            <w:vAlign w:val="center"/>
          </w:tcPr>
          <w:p>
            <w:pPr>
              <w:autoSpaceDE w:val="0"/>
              <w:autoSpaceDN w:val="0"/>
              <w:spacing w:before="1" w:line="400" w:lineRule="exact"/>
              <w:ind w:left="157" w:right="148"/>
              <w:jc w:val="center"/>
              <w:rPr>
                <w:rFonts w:ascii="宋体" w:hAnsi="宋体"/>
                <w:color w:val="auto"/>
                <w:szCs w:val="21"/>
                <w:lang w:val="zh-CN"/>
              </w:rPr>
            </w:pPr>
            <w:r>
              <w:rPr>
                <w:rFonts w:ascii="宋体" w:hAnsi="宋体"/>
                <w:color w:val="auto"/>
                <w:szCs w:val="21"/>
                <w:lang w:val="zh-CN"/>
              </w:rPr>
              <w:t>3.9.1</w:t>
            </w:r>
          </w:p>
        </w:tc>
        <w:tc>
          <w:tcPr>
            <w:tcW w:w="1388" w:type="dxa"/>
            <w:tcBorders>
              <w:right w:val="single" w:color="000000" w:sz="6" w:space="0"/>
            </w:tcBorders>
            <w:vAlign w:val="center"/>
          </w:tcPr>
          <w:p>
            <w:pPr>
              <w:autoSpaceDE w:val="0"/>
              <w:autoSpaceDN w:val="0"/>
              <w:spacing w:before="15" w:line="400" w:lineRule="exact"/>
              <w:ind w:left="112" w:right="99"/>
              <w:jc w:val="center"/>
              <w:rPr>
                <w:rFonts w:ascii="宋体" w:hAnsi="宋体"/>
                <w:color w:val="auto"/>
                <w:szCs w:val="21"/>
                <w:lang w:val="zh-CN"/>
              </w:rPr>
            </w:pPr>
            <w:r>
              <w:rPr>
                <w:rFonts w:hint="eastAsia" w:ascii="宋体" w:hAnsi="宋体" w:cs="宋体"/>
                <w:color w:val="auto"/>
                <w:szCs w:val="21"/>
                <w:lang w:val="zh-CN"/>
              </w:rPr>
              <w:t>评标结果</w:t>
            </w:r>
          </w:p>
        </w:tc>
        <w:tc>
          <w:tcPr>
            <w:tcW w:w="6293" w:type="dxa"/>
            <w:tcBorders>
              <w:left w:val="single" w:color="000000" w:sz="6" w:space="0"/>
            </w:tcBorders>
            <w:vAlign w:val="center"/>
          </w:tcPr>
          <w:p>
            <w:pPr>
              <w:tabs>
                <w:tab w:val="left" w:pos="5973"/>
              </w:tabs>
              <w:autoSpaceDE w:val="0"/>
              <w:autoSpaceDN w:val="0"/>
              <w:spacing w:before="18" w:line="400" w:lineRule="exact"/>
              <w:ind w:left="104" w:right="95"/>
              <w:rPr>
                <w:rFonts w:ascii="宋体" w:hAnsi="宋体" w:cs="宋体"/>
                <w:color w:val="auto"/>
                <w:szCs w:val="21"/>
              </w:rPr>
            </w:pPr>
            <w:r>
              <w:rPr>
                <w:rFonts w:hint="eastAsia" w:ascii="宋体" w:hAnsi="宋体" w:cs="宋体"/>
                <w:color w:val="auto"/>
                <w:szCs w:val="21"/>
              </w:rPr>
              <w:t>根据最终综合评分（</w:t>
            </w:r>
            <w:r>
              <w:rPr>
                <w:rFonts w:ascii="宋体" w:hAnsi="宋体" w:cs="宋体"/>
                <w:color w:val="auto"/>
                <w:szCs w:val="21"/>
              </w:rPr>
              <w:t>A+B+C）的高低顺序，推荐前3名为中标候选人（不足3名则只取相应数量）</w:t>
            </w:r>
          </w:p>
        </w:tc>
      </w:tr>
    </w:tbl>
    <w:p>
      <w:pPr>
        <w:autoSpaceDE w:val="0"/>
        <w:autoSpaceDN w:val="0"/>
        <w:spacing w:line="360" w:lineRule="auto"/>
        <w:ind w:firstLine="440" w:firstLineChars="200"/>
        <w:jc w:val="right"/>
        <w:rPr>
          <w:rFonts w:ascii="宋体" w:hAnsi="Times New Roman"/>
          <w:color w:val="auto"/>
          <w:kern w:val="0"/>
          <w:sz w:val="22"/>
          <w:szCs w:val="22"/>
          <w:lang w:val="zh-CN"/>
        </w:rPr>
      </w:pPr>
    </w:p>
    <w:p>
      <w:pPr>
        <w:autoSpaceDE w:val="0"/>
        <w:autoSpaceDN w:val="0"/>
        <w:spacing w:line="360" w:lineRule="auto"/>
        <w:ind w:firstLine="440" w:firstLineChars="200"/>
        <w:jc w:val="right"/>
        <w:rPr>
          <w:rFonts w:ascii="宋体" w:hAnsi="Times New Roman"/>
          <w:color w:val="auto"/>
          <w:kern w:val="0"/>
          <w:sz w:val="22"/>
          <w:szCs w:val="22"/>
          <w:lang w:val="zh-CN"/>
        </w:rPr>
      </w:pPr>
      <w:r>
        <w:rPr>
          <w:rFonts w:hint="eastAsia" w:ascii="宋体" w:hAnsi="Times New Roman"/>
          <w:color w:val="auto"/>
          <w:kern w:val="0"/>
          <w:sz w:val="22"/>
          <w:szCs w:val="22"/>
          <w:lang w:val="zh-CN"/>
        </w:rPr>
        <w:t>续前表</w:t>
      </w:r>
    </w:p>
    <w:tbl>
      <w:tblPr>
        <w:tblStyle w:val="8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1432"/>
        <w:gridCol w:w="41"/>
        <w:gridCol w:w="1019"/>
        <w:gridCol w:w="230"/>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990" w:type="dxa"/>
            <w:vMerge w:val="restart"/>
            <w:vAlign w:val="center"/>
          </w:tcPr>
          <w:p>
            <w:pPr>
              <w:autoSpaceDE w:val="0"/>
              <w:autoSpaceDN w:val="0"/>
              <w:spacing w:line="360" w:lineRule="auto"/>
              <w:jc w:val="center"/>
              <w:rPr>
                <w:rFonts w:ascii="宋体" w:hAnsi="宋体" w:cs="宋体"/>
                <w:b/>
                <w:bCs/>
                <w:color w:val="auto"/>
                <w:szCs w:val="21"/>
                <w:lang w:val="zh-CN"/>
              </w:rPr>
            </w:pPr>
            <w:r>
              <w:rPr>
                <w:rFonts w:hint="eastAsia" w:ascii="宋体" w:hAnsi="宋体" w:cs="宋体"/>
                <w:b/>
                <w:bCs/>
                <w:color w:val="auto"/>
                <w:szCs w:val="21"/>
                <w:lang w:val="zh-CN"/>
              </w:rPr>
              <w:t>条款号</w:t>
            </w:r>
          </w:p>
        </w:tc>
        <w:tc>
          <w:tcPr>
            <w:tcW w:w="7695" w:type="dxa"/>
            <w:gridSpan w:val="5"/>
            <w:vAlign w:val="center"/>
          </w:tcPr>
          <w:p>
            <w:pPr>
              <w:autoSpaceDE w:val="0"/>
              <w:autoSpaceDN w:val="0"/>
              <w:spacing w:line="360" w:lineRule="auto"/>
              <w:ind w:firstLine="422" w:firstLineChars="200"/>
              <w:jc w:val="center"/>
              <w:rPr>
                <w:rFonts w:ascii="宋体" w:hAnsi="宋体" w:cs="宋体"/>
                <w:b/>
                <w:bCs/>
                <w:color w:val="auto"/>
                <w:szCs w:val="21"/>
                <w:lang w:val="zh-CN"/>
              </w:rPr>
            </w:pPr>
            <w:r>
              <w:rPr>
                <w:rFonts w:hint="eastAsia" w:ascii="宋体" w:hAnsi="宋体" w:cs="宋体"/>
                <w:b/>
                <w:bCs/>
                <w:color w:val="auto"/>
                <w:szCs w:val="21"/>
                <w:lang w:val="zh-CN"/>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990" w:type="dxa"/>
            <w:vMerge w:val="continue"/>
            <w:vAlign w:val="center"/>
          </w:tcPr>
          <w:p>
            <w:pPr>
              <w:autoSpaceDE w:val="0"/>
              <w:autoSpaceDN w:val="0"/>
              <w:spacing w:line="360" w:lineRule="auto"/>
              <w:ind w:firstLine="422" w:firstLineChars="200"/>
              <w:jc w:val="center"/>
              <w:rPr>
                <w:rFonts w:ascii="宋体" w:hAnsi="宋体" w:cs="宋体"/>
                <w:b/>
                <w:bCs/>
                <w:color w:val="auto"/>
                <w:szCs w:val="21"/>
                <w:lang w:val="zh-CN"/>
              </w:rPr>
            </w:pPr>
          </w:p>
        </w:tc>
        <w:tc>
          <w:tcPr>
            <w:tcW w:w="1473" w:type="dxa"/>
            <w:gridSpan w:val="2"/>
            <w:vAlign w:val="center"/>
          </w:tcPr>
          <w:p>
            <w:pPr>
              <w:autoSpaceDE w:val="0"/>
              <w:autoSpaceDN w:val="0"/>
              <w:spacing w:line="360" w:lineRule="auto"/>
              <w:jc w:val="center"/>
              <w:rPr>
                <w:rFonts w:ascii="宋体" w:hAnsi="宋体" w:cs="宋体"/>
                <w:b/>
                <w:bCs/>
                <w:color w:val="auto"/>
                <w:szCs w:val="21"/>
                <w:lang w:val="zh-CN"/>
              </w:rPr>
            </w:pPr>
            <w:r>
              <w:rPr>
                <w:rFonts w:hint="eastAsia" w:ascii="宋体" w:hAnsi="宋体" w:cs="宋体"/>
                <w:b/>
                <w:bCs/>
                <w:color w:val="auto"/>
                <w:szCs w:val="21"/>
                <w:lang w:val="zh-CN"/>
              </w:rPr>
              <w:t>评分因素</w:t>
            </w:r>
          </w:p>
        </w:tc>
        <w:tc>
          <w:tcPr>
            <w:tcW w:w="1019" w:type="dxa"/>
            <w:vAlign w:val="center"/>
          </w:tcPr>
          <w:p>
            <w:pPr>
              <w:autoSpaceDE w:val="0"/>
              <w:autoSpaceDN w:val="0"/>
              <w:spacing w:line="360" w:lineRule="auto"/>
              <w:rPr>
                <w:rFonts w:ascii="宋体" w:hAnsi="宋体" w:cs="宋体"/>
                <w:b/>
                <w:bCs/>
                <w:color w:val="auto"/>
                <w:szCs w:val="21"/>
                <w:lang w:val="zh-CN"/>
              </w:rPr>
            </w:pPr>
            <w:r>
              <w:rPr>
                <w:rFonts w:hint="eastAsia" w:ascii="宋体" w:hAnsi="宋体" w:cs="宋体"/>
                <w:b/>
                <w:bCs/>
                <w:color w:val="auto"/>
                <w:szCs w:val="21"/>
                <w:lang w:val="zh-CN"/>
              </w:rPr>
              <w:t>评分因素</w:t>
            </w:r>
          </w:p>
          <w:p>
            <w:pPr>
              <w:autoSpaceDE w:val="0"/>
              <w:autoSpaceDN w:val="0"/>
              <w:spacing w:line="360" w:lineRule="auto"/>
              <w:rPr>
                <w:rFonts w:ascii="宋体" w:hAnsi="宋体" w:cs="宋体"/>
                <w:b/>
                <w:bCs/>
                <w:color w:val="auto"/>
                <w:szCs w:val="21"/>
                <w:lang w:val="zh-CN"/>
              </w:rPr>
            </w:pPr>
            <w:r>
              <w:rPr>
                <w:rFonts w:hint="eastAsia" w:ascii="宋体" w:hAnsi="宋体" w:cs="宋体"/>
                <w:b/>
                <w:bCs/>
                <w:color w:val="auto"/>
                <w:spacing w:val="-1"/>
                <w:szCs w:val="21"/>
                <w:lang w:val="zh-CN"/>
              </w:rPr>
              <w:t>权重分值</w:t>
            </w:r>
          </w:p>
        </w:tc>
        <w:tc>
          <w:tcPr>
            <w:tcW w:w="5203" w:type="dxa"/>
            <w:gridSpan w:val="2"/>
            <w:vAlign w:val="center"/>
          </w:tcPr>
          <w:p>
            <w:pPr>
              <w:autoSpaceDE w:val="0"/>
              <w:autoSpaceDN w:val="0"/>
              <w:spacing w:line="360" w:lineRule="auto"/>
              <w:ind w:firstLine="422" w:firstLineChars="200"/>
              <w:jc w:val="center"/>
              <w:rPr>
                <w:rFonts w:ascii="宋体" w:hAnsi="宋体" w:cs="宋体"/>
                <w:b/>
                <w:bCs/>
                <w:color w:val="auto"/>
                <w:szCs w:val="21"/>
                <w:lang w:val="zh-CN"/>
              </w:rPr>
            </w:pPr>
            <w:r>
              <w:rPr>
                <w:rFonts w:hint="eastAsia" w:ascii="宋体" w:hAnsi="宋体" w:cs="宋体"/>
                <w:b/>
                <w:bCs/>
                <w:color w:val="auto"/>
                <w:szCs w:val="21"/>
                <w:lang w:val="zh-CN"/>
              </w:rPr>
              <w:t>各评分因素细分项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0" w:type="dxa"/>
            <w:vMerge w:val="restart"/>
            <w:vAlign w:val="center"/>
          </w:tcPr>
          <w:p>
            <w:pPr>
              <w:autoSpaceDE w:val="0"/>
              <w:autoSpaceDN w:val="0"/>
              <w:spacing w:line="400" w:lineRule="exact"/>
              <w:ind w:firstLine="18" w:firstLineChars="9"/>
              <w:jc w:val="center"/>
              <w:rPr>
                <w:rFonts w:ascii="宋体" w:hAnsi="宋体" w:cs="宋体"/>
                <w:color w:val="auto"/>
                <w:sz w:val="24"/>
                <w:szCs w:val="21"/>
              </w:rPr>
            </w:pPr>
            <w:r>
              <w:rPr>
                <w:rFonts w:ascii="宋体" w:hAnsi="宋体" w:cs="宋体"/>
                <w:color w:val="auto"/>
                <w:szCs w:val="21"/>
              </w:rPr>
              <w:t>2.2.4</w:t>
            </w:r>
          </w:p>
          <w:p>
            <w:pPr>
              <w:autoSpaceDE w:val="0"/>
              <w:autoSpaceDN w:val="0"/>
              <w:spacing w:line="360" w:lineRule="auto"/>
              <w:jc w:val="center"/>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p>
        </w:tc>
        <w:tc>
          <w:tcPr>
            <w:tcW w:w="1473" w:type="dxa"/>
            <w:gridSpan w:val="2"/>
            <w:vMerge w:val="restart"/>
            <w:vAlign w:val="center"/>
          </w:tcPr>
          <w:p>
            <w:pPr>
              <w:autoSpaceDE w:val="0"/>
              <w:autoSpaceDN w:val="0"/>
              <w:spacing w:line="400" w:lineRule="exact"/>
              <w:ind w:firstLine="18" w:firstLineChars="9"/>
              <w:jc w:val="center"/>
              <w:rPr>
                <w:rFonts w:ascii="宋体" w:hAnsi="宋体" w:cs="宋体"/>
                <w:color w:val="auto"/>
                <w:sz w:val="24"/>
                <w:szCs w:val="21"/>
              </w:rPr>
            </w:pPr>
            <w:r>
              <w:rPr>
                <w:rFonts w:hint="eastAsia" w:ascii="宋体" w:hAnsi="宋体" w:cs="宋体"/>
                <w:color w:val="auto"/>
                <w:szCs w:val="21"/>
              </w:rPr>
              <w:t>技术文件A</w:t>
            </w:r>
          </w:p>
          <w:p>
            <w:pPr>
              <w:autoSpaceDE w:val="0"/>
              <w:autoSpaceDN w:val="0"/>
              <w:spacing w:line="400" w:lineRule="exact"/>
              <w:rPr>
                <w:rFonts w:ascii="宋体" w:hAnsi="宋体" w:cs="宋体"/>
                <w:color w:val="auto"/>
                <w:sz w:val="24"/>
                <w:szCs w:val="21"/>
              </w:rPr>
            </w:pPr>
          </w:p>
        </w:tc>
        <w:tc>
          <w:tcPr>
            <w:tcW w:w="1019" w:type="dxa"/>
            <w:vMerge w:val="restart"/>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25分</w:t>
            </w:r>
          </w:p>
          <w:p>
            <w:pPr>
              <w:autoSpaceDE w:val="0"/>
              <w:autoSpaceDN w:val="0"/>
              <w:spacing w:line="400" w:lineRule="exact"/>
              <w:ind w:firstLine="18" w:firstLineChars="9"/>
              <w:jc w:val="center"/>
              <w:rPr>
                <w:rFonts w:ascii="宋体" w:hAnsi="宋体" w:cs="宋体"/>
                <w:color w:val="auto"/>
                <w:szCs w:val="21"/>
              </w:rPr>
            </w:pPr>
          </w:p>
        </w:tc>
        <w:tc>
          <w:tcPr>
            <w:tcW w:w="5203" w:type="dxa"/>
            <w:gridSpan w:val="2"/>
            <w:vAlign w:val="center"/>
          </w:tcPr>
          <w:p>
            <w:pPr>
              <w:autoSpaceDE w:val="0"/>
              <w:autoSpaceDN w:val="0"/>
              <w:spacing w:line="326" w:lineRule="auto"/>
              <w:ind w:firstLine="420" w:firstLineChars="200"/>
              <w:jc w:val="center"/>
              <w:rPr>
                <w:rFonts w:ascii="宋体" w:hAnsi="宋体" w:cs="宋体"/>
                <w:color w:val="auto"/>
                <w:szCs w:val="22"/>
              </w:rPr>
            </w:pPr>
            <w:r>
              <w:rPr>
                <w:rFonts w:hint="eastAsia" w:ascii="宋体" w:hAnsi="宋体" w:cs="宋体"/>
                <w:color w:val="auto"/>
                <w:szCs w:val="22"/>
              </w:rPr>
              <w:t>承保条件响应情况（5分）</w:t>
            </w:r>
          </w:p>
          <w:p>
            <w:pPr>
              <w:autoSpaceDE w:val="0"/>
              <w:autoSpaceDN w:val="0"/>
              <w:spacing w:line="278"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1、对招标文件所列的各项承保条件要求完全响应得2分；</w:t>
            </w:r>
          </w:p>
          <w:p>
            <w:pPr>
              <w:autoSpaceDE w:val="0"/>
              <w:autoSpaceDN w:val="0"/>
              <w:spacing w:line="278"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2、对招标文件所列承保条件的优化情况。指投标人在完全响应招标文件承保条件的基础上，增加了明显有利于被保险人的扩展条款、特别约定、降低免赔率、提高赔偿限额以及其他有利于被保险人降低损失的优惠条件。每个优惠条件得1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0" w:type="dxa"/>
            <w:vMerge w:val="continue"/>
            <w:vAlign w:val="center"/>
          </w:tcPr>
          <w:p>
            <w:pPr>
              <w:autoSpaceDE w:val="0"/>
              <w:autoSpaceDN w:val="0"/>
              <w:spacing w:line="360" w:lineRule="auto"/>
              <w:ind w:firstLine="420" w:firstLineChars="200"/>
              <w:jc w:val="center"/>
              <w:rPr>
                <w:rFonts w:ascii="宋体" w:hAnsi="宋体" w:cs="宋体"/>
                <w:color w:val="auto"/>
                <w:szCs w:val="21"/>
                <w:lang w:val="zh-CN"/>
              </w:rPr>
            </w:pPr>
          </w:p>
        </w:tc>
        <w:tc>
          <w:tcPr>
            <w:tcW w:w="1473" w:type="dxa"/>
            <w:gridSpan w:val="2"/>
            <w:vMerge w:val="continue"/>
            <w:vAlign w:val="center"/>
          </w:tcPr>
          <w:p>
            <w:pPr>
              <w:autoSpaceDE w:val="0"/>
              <w:autoSpaceDN w:val="0"/>
              <w:spacing w:line="360" w:lineRule="auto"/>
              <w:ind w:firstLine="420" w:firstLineChars="200"/>
              <w:jc w:val="center"/>
              <w:rPr>
                <w:rFonts w:ascii="宋体" w:hAnsi="宋体" w:cs="宋体"/>
                <w:color w:val="auto"/>
                <w:szCs w:val="21"/>
                <w:lang w:val="zh-CN"/>
              </w:rPr>
            </w:pPr>
          </w:p>
        </w:tc>
        <w:tc>
          <w:tcPr>
            <w:tcW w:w="1019" w:type="dxa"/>
            <w:vMerge w:val="continue"/>
            <w:vAlign w:val="center"/>
          </w:tcPr>
          <w:p>
            <w:pPr>
              <w:autoSpaceDE w:val="0"/>
              <w:autoSpaceDN w:val="0"/>
              <w:spacing w:line="360" w:lineRule="auto"/>
              <w:ind w:firstLine="420" w:firstLineChars="200"/>
              <w:jc w:val="center"/>
              <w:rPr>
                <w:rFonts w:ascii="宋体" w:hAnsi="宋体" w:cs="宋体"/>
                <w:color w:val="auto"/>
                <w:szCs w:val="21"/>
              </w:rPr>
            </w:pPr>
          </w:p>
        </w:tc>
        <w:tc>
          <w:tcPr>
            <w:tcW w:w="5203" w:type="dxa"/>
            <w:gridSpan w:val="2"/>
            <w:vAlign w:val="center"/>
          </w:tcPr>
          <w:p>
            <w:pPr>
              <w:autoSpaceDE w:val="0"/>
              <w:autoSpaceDN w:val="0"/>
              <w:spacing w:line="360" w:lineRule="auto"/>
              <w:ind w:firstLine="420" w:firstLineChars="200"/>
              <w:jc w:val="center"/>
              <w:rPr>
                <w:rFonts w:ascii="宋体" w:hAnsi="宋体" w:cs="宋体"/>
                <w:color w:val="auto"/>
                <w:position w:val="1"/>
                <w:szCs w:val="21"/>
              </w:rPr>
            </w:pPr>
            <w:r>
              <w:rPr>
                <w:rFonts w:hint="eastAsia" w:ascii="宋体" w:hAnsi="宋体" w:cs="宋体"/>
                <w:color w:val="auto"/>
                <w:szCs w:val="22"/>
              </w:rPr>
              <w:t>培训服务</w:t>
            </w:r>
            <w:r>
              <w:rPr>
                <w:rFonts w:hint="eastAsia" w:ascii="宋体" w:hAnsi="宋体" w:cs="宋体"/>
                <w:color w:val="auto"/>
                <w:position w:val="1"/>
                <w:szCs w:val="21"/>
              </w:rPr>
              <w:t>（5分）</w:t>
            </w:r>
          </w:p>
          <w:p>
            <w:pPr>
              <w:autoSpaceDE w:val="0"/>
              <w:autoSpaceDN w:val="0"/>
              <w:spacing w:line="278" w:lineRule="auto"/>
              <w:ind w:firstLine="200"/>
              <w:jc w:val="left"/>
              <w:rPr>
                <w:rFonts w:ascii="宋体" w:hAnsi="宋体" w:cs="宋体"/>
                <w:color w:val="auto"/>
                <w:position w:val="1"/>
                <w:szCs w:val="21"/>
              </w:rPr>
            </w:pPr>
            <w:r>
              <w:rPr>
                <w:rFonts w:hint="eastAsia" w:ascii="宋体" w:hAnsi="宋体" w:cs="宋体"/>
                <w:color w:val="auto"/>
                <w:szCs w:val="21"/>
                <w:lang w:val="zh-CN"/>
              </w:rPr>
              <w:t>满足协议条件者得5分，不能满足者不得分。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0" w:type="dxa"/>
            <w:vMerge w:val="continue"/>
            <w:vAlign w:val="center"/>
          </w:tcPr>
          <w:p>
            <w:pPr>
              <w:autoSpaceDE w:val="0"/>
              <w:autoSpaceDN w:val="0"/>
              <w:spacing w:line="360" w:lineRule="auto"/>
              <w:ind w:firstLine="420" w:firstLineChars="200"/>
              <w:jc w:val="center"/>
              <w:rPr>
                <w:rFonts w:ascii="宋体" w:hAnsi="宋体" w:cs="宋体"/>
                <w:color w:val="auto"/>
                <w:szCs w:val="21"/>
                <w:lang w:val="zh-CN"/>
              </w:rPr>
            </w:pPr>
          </w:p>
        </w:tc>
        <w:tc>
          <w:tcPr>
            <w:tcW w:w="1473" w:type="dxa"/>
            <w:gridSpan w:val="2"/>
            <w:vMerge w:val="continue"/>
            <w:vAlign w:val="center"/>
          </w:tcPr>
          <w:p>
            <w:pPr>
              <w:autoSpaceDE w:val="0"/>
              <w:autoSpaceDN w:val="0"/>
              <w:spacing w:line="360" w:lineRule="auto"/>
              <w:ind w:firstLine="420" w:firstLineChars="200"/>
              <w:jc w:val="center"/>
              <w:rPr>
                <w:rFonts w:ascii="宋体" w:hAnsi="宋体" w:cs="宋体"/>
                <w:color w:val="auto"/>
                <w:szCs w:val="21"/>
                <w:lang w:val="zh-CN"/>
              </w:rPr>
            </w:pPr>
          </w:p>
        </w:tc>
        <w:tc>
          <w:tcPr>
            <w:tcW w:w="1019" w:type="dxa"/>
            <w:vMerge w:val="continue"/>
            <w:vAlign w:val="center"/>
          </w:tcPr>
          <w:p>
            <w:pPr>
              <w:autoSpaceDE w:val="0"/>
              <w:autoSpaceDN w:val="0"/>
              <w:spacing w:line="360" w:lineRule="auto"/>
              <w:ind w:firstLine="420" w:firstLineChars="200"/>
              <w:jc w:val="center"/>
              <w:rPr>
                <w:rFonts w:ascii="宋体" w:hAnsi="宋体" w:cs="宋体"/>
                <w:color w:val="auto"/>
                <w:szCs w:val="21"/>
              </w:rPr>
            </w:pPr>
          </w:p>
        </w:tc>
        <w:tc>
          <w:tcPr>
            <w:tcW w:w="5203" w:type="dxa"/>
            <w:gridSpan w:val="2"/>
            <w:vAlign w:val="center"/>
          </w:tcPr>
          <w:p>
            <w:pPr>
              <w:autoSpaceDE w:val="0"/>
              <w:autoSpaceDN w:val="0"/>
              <w:spacing w:line="360" w:lineRule="auto"/>
              <w:ind w:firstLine="420" w:firstLineChars="200"/>
              <w:jc w:val="center"/>
              <w:rPr>
                <w:rFonts w:ascii="宋体" w:hAnsi="宋体" w:cs="宋体"/>
                <w:color w:val="auto"/>
                <w:position w:val="1"/>
                <w:szCs w:val="21"/>
              </w:rPr>
            </w:pPr>
            <w:r>
              <w:rPr>
                <w:rFonts w:hint="eastAsia" w:ascii="宋体" w:hAnsi="宋体" w:cs="宋体"/>
                <w:color w:val="auto"/>
                <w:szCs w:val="22"/>
              </w:rPr>
              <w:t>索赔和理赔服务</w:t>
            </w:r>
            <w:r>
              <w:rPr>
                <w:rFonts w:hint="eastAsia" w:ascii="宋体" w:hAnsi="宋体" w:cs="宋体"/>
                <w:color w:val="auto"/>
                <w:position w:val="1"/>
                <w:szCs w:val="21"/>
              </w:rPr>
              <w:t>（10分）</w:t>
            </w:r>
          </w:p>
          <w:p>
            <w:pPr>
              <w:autoSpaceDE w:val="0"/>
              <w:autoSpaceDN w:val="0"/>
              <w:spacing w:line="278" w:lineRule="auto"/>
              <w:ind w:firstLine="315" w:firstLineChars="150"/>
              <w:jc w:val="left"/>
              <w:rPr>
                <w:rFonts w:ascii="宋体" w:hAnsi="宋体" w:cs="宋体"/>
                <w:color w:val="auto"/>
                <w:position w:val="1"/>
                <w:szCs w:val="21"/>
              </w:rPr>
            </w:pPr>
            <w:r>
              <w:rPr>
                <w:rFonts w:hint="eastAsia" w:ascii="宋体" w:hAnsi="宋体" w:cs="宋体"/>
                <w:color w:val="auto"/>
                <w:szCs w:val="21"/>
                <w:lang w:val="zh-CN"/>
              </w:rPr>
              <w:t>同意招标文件要求者得10分，一项不满足扣1分，最多扣5分。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trPr>
        <w:tc>
          <w:tcPr>
            <w:tcW w:w="990" w:type="dxa"/>
            <w:vMerge w:val="continue"/>
            <w:vAlign w:val="center"/>
          </w:tcPr>
          <w:p>
            <w:pPr>
              <w:autoSpaceDE w:val="0"/>
              <w:autoSpaceDN w:val="0"/>
              <w:spacing w:line="360" w:lineRule="auto"/>
              <w:ind w:firstLine="420" w:firstLineChars="200"/>
              <w:jc w:val="center"/>
              <w:rPr>
                <w:rFonts w:ascii="宋体" w:hAnsi="宋体" w:cs="宋体"/>
                <w:color w:val="auto"/>
                <w:szCs w:val="21"/>
                <w:lang w:val="zh-CN"/>
              </w:rPr>
            </w:pPr>
          </w:p>
        </w:tc>
        <w:tc>
          <w:tcPr>
            <w:tcW w:w="1473" w:type="dxa"/>
            <w:gridSpan w:val="2"/>
            <w:vMerge w:val="continue"/>
            <w:vAlign w:val="center"/>
          </w:tcPr>
          <w:p>
            <w:pPr>
              <w:autoSpaceDE w:val="0"/>
              <w:autoSpaceDN w:val="0"/>
              <w:spacing w:line="360" w:lineRule="auto"/>
              <w:ind w:firstLine="420" w:firstLineChars="200"/>
              <w:jc w:val="center"/>
              <w:rPr>
                <w:rFonts w:ascii="宋体" w:hAnsi="宋体" w:cs="宋体"/>
                <w:color w:val="auto"/>
                <w:szCs w:val="21"/>
                <w:lang w:val="zh-CN"/>
              </w:rPr>
            </w:pPr>
          </w:p>
        </w:tc>
        <w:tc>
          <w:tcPr>
            <w:tcW w:w="1019" w:type="dxa"/>
            <w:vMerge w:val="continue"/>
            <w:vAlign w:val="center"/>
          </w:tcPr>
          <w:p>
            <w:pPr>
              <w:autoSpaceDE w:val="0"/>
              <w:autoSpaceDN w:val="0"/>
              <w:spacing w:line="360" w:lineRule="auto"/>
              <w:ind w:firstLine="420" w:firstLineChars="200"/>
              <w:jc w:val="center"/>
              <w:rPr>
                <w:rFonts w:ascii="宋体" w:hAnsi="宋体" w:cs="宋体"/>
                <w:color w:val="auto"/>
                <w:szCs w:val="21"/>
                <w:lang w:val="zh-CN"/>
              </w:rPr>
            </w:pPr>
          </w:p>
        </w:tc>
        <w:tc>
          <w:tcPr>
            <w:tcW w:w="5203" w:type="dxa"/>
            <w:gridSpan w:val="2"/>
            <w:vAlign w:val="center"/>
          </w:tcPr>
          <w:p>
            <w:pPr>
              <w:autoSpaceDE w:val="0"/>
              <w:autoSpaceDN w:val="0"/>
              <w:spacing w:line="360" w:lineRule="auto"/>
              <w:ind w:firstLine="420" w:firstLineChars="200"/>
              <w:jc w:val="center"/>
              <w:rPr>
                <w:rFonts w:ascii="宋体" w:hAnsi="宋体" w:cs="宋体"/>
                <w:color w:val="auto"/>
                <w:position w:val="1"/>
                <w:szCs w:val="21"/>
              </w:rPr>
            </w:pPr>
            <w:r>
              <w:rPr>
                <w:rFonts w:hint="eastAsia" w:ascii="宋体" w:hAnsi="宋体" w:cs="宋体"/>
                <w:color w:val="auto"/>
                <w:szCs w:val="22"/>
              </w:rPr>
              <w:t>其他增值服务</w:t>
            </w:r>
            <w:r>
              <w:rPr>
                <w:rFonts w:hint="eastAsia" w:ascii="宋体" w:hAnsi="宋体" w:cs="宋体"/>
                <w:color w:val="auto"/>
                <w:position w:val="1"/>
                <w:szCs w:val="21"/>
              </w:rPr>
              <w:t>（5分）</w:t>
            </w:r>
          </w:p>
          <w:p>
            <w:pPr>
              <w:autoSpaceDE w:val="0"/>
              <w:autoSpaceDN w:val="0"/>
              <w:spacing w:line="278"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投标人根据自身情况可以提供的其他增值服务项目内容。每提供1条得1分，本项最高得5分。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7" w:hRule="atLeast"/>
        </w:trPr>
        <w:tc>
          <w:tcPr>
            <w:tcW w:w="990" w:type="dxa"/>
            <w:vMerge w:val="continue"/>
            <w:vAlign w:val="center"/>
          </w:tcPr>
          <w:p>
            <w:pPr>
              <w:autoSpaceDE w:val="0"/>
              <w:autoSpaceDN w:val="0"/>
              <w:spacing w:line="360" w:lineRule="auto"/>
              <w:ind w:firstLine="420" w:firstLineChars="200"/>
              <w:jc w:val="center"/>
              <w:rPr>
                <w:rFonts w:ascii="宋体" w:hAnsi="宋体" w:cs="宋体"/>
                <w:color w:val="auto"/>
                <w:szCs w:val="21"/>
                <w:lang w:val="zh-CN"/>
              </w:rPr>
            </w:pPr>
          </w:p>
        </w:tc>
        <w:tc>
          <w:tcPr>
            <w:tcW w:w="7695" w:type="dxa"/>
            <w:gridSpan w:val="5"/>
            <w:vAlign w:val="center"/>
          </w:tcPr>
          <w:p>
            <w:pPr>
              <w:autoSpaceDE w:val="0"/>
              <w:autoSpaceDN w:val="0"/>
              <w:spacing w:line="360" w:lineRule="auto"/>
              <w:ind w:firstLine="422" w:firstLineChars="200"/>
              <w:jc w:val="left"/>
              <w:rPr>
                <w:rFonts w:ascii="宋体" w:hAnsi="宋体" w:cs="宋体"/>
                <w:b/>
                <w:color w:val="auto"/>
                <w:szCs w:val="21"/>
              </w:rPr>
            </w:pPr>
            <w:r>
              <w:rPr>
                <w:rFonts w:hint="eastAsia" w:ascii="宋体" w:hAnsi="宋体" w:cs="宋体"/>
                <w:b/>
                <w:color w:val="auto"/>
                <w:szCs w:val="21"/>
                <w:lang w:val="zh-CN"/>
              </w:rPr>
              <w:t>其他说明：</w:t>
            </w:r>
            <w:r>
              <w:rPr>
                <w:rFonts w:ascii="宋体" w:hAnsi="宋体" w:cs="宋体"/>
                <w:b/>
                <w:color w:val="auto"/>
                <w:szCs w:val="21"/>
              </w:rPr>
              <w:t>对应以上技术文件评审，评标专家根据投标人技术文件编写的情况自行打分。</w:t>
            </w:r>
            <w:r>
              <w:rPr>
                <w:rFonts w:hint="eastAsia" w:ascii="宋体" w:hAnsi="宋体" w:cs="宋体"/>
                <w:b/>
                <w:color w:val="auto"/>
                <w:szCs w:val="21"/>
              </w:rPr>
              <w:t>最终计算技术得分时，去掉一个最高分和一个最低分后的算数平均分作为该投标人的最终技术得分。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3" w:hRule="atLeast"/>
        </w:trPr>
        <w:tc>
          <w:tcPr>
            <w:tcW w:w="990" w:type="dxa"/>
            <w:vMerge w:val="restart"/>
            <w:vAlign w:val="center"/>
          </w:tcPr>
          <w:p>
            <w:pPr>
              <w:autoSpaceDE w:val="0"/>
              <w:autoSpaceDN w:val="0"/>
              <w:spacing w:line="400" w:lineRule="exact"/>
              <w:ind w:firstLine="18" w:firstLineChars="9"/>
              <w:jc w:val="center"/>
              <w:rPr>
                <w:rFonts w:ascii="宋体" w:hAnsi="宋体" w:cs="宋体"/>
                <w:color w:val="auto"/>
                <w:sz w:val="24"/>
                <w:szCs w:val="21"/>
              </w:rPr>
            </w:pPr>
            <w:r>
              <w:rPr>
                <w:rFonts w:ascii="宋体" w:hAnsi="宋体" w:cs="宋体"/>
                <w:color w:val="auto"/>
                <w:szCs w:val="21"/>
              </w:rPr>
              <w:t>2.2.4</w:t>
            </w:r>
          </w:p>
          <w:p>
            <w:pPr>
              <w:autoSpaceDE w:val="0"/>
              <w:autoSpaceDN w:val="0"/>
              <w:spacing w:line="400" w:lineRule="exact"/>
              <w:ind w:firstLine="18" w:firstLineChars="9"/>
              <w:jc w:val="center"/>
              <w:rPr>
                <w:rFonts w:ascii="宋体" w:hAnsi="宋体" w:cs="宋体"/>
                <w:color w:val="auto"/>
                <w:sz w:val="24"/>
                <w:szCs w:val="21"/>
              </w:rPr>
            </w:pPr>
            <w:r>
              <w:rPr>
                <w:rFonts w:hint="eastAsia" w:ascii="宋体" w:hAnsi="宋体" w:cs="宋体"/>
                <w:color w:val="auto"/>
                <w:szCs w:val="21"/>
              </w:rPr>
              <w:t>（2</w:t>
            </w:r>
            <w:r>
              <w:rPr>
                <w:rFonts w:ascii="宋体" w:hAnsi="宋体" w:cs="宋体"/>
                <w:color w:val="auto"/>
                <w:szCs w:val="21"/>
              </w:rPr>
              <w:t>）</w:t>
            </w:r>
          </w:p>
        </w:tc>
        <w:tc>
          <w:tcPr>
            <w:tcW w:w="1432" w:type="dxa"/>
            <w:vMerge w:val="restart"/>
            <w:vAlign w:val="center"/>
          </w:tcPr>
          <w:p>
            <w:pPr>
              <w:autoSpaceDE w:val="0"/>
              <w:autoSpaceDN w:val="0"/>
              <w:spacing w:line="400" w:lineRule="exact"/>
              <w:ind w:firstLine="18" w:firstLineChars="9"/>
              <w:jc w:val="center"/>
              <w:rPr>
                <w:rFonts w:ascii="宋体" w:hAnsi="宋体" w:cs="宋体"/>
                <w:color w:val="auto"/>
                <w:sz w:val="24"/>
                <w:szCs w:val="21"/>
              </w:rPr>
            </w:pPr>
            <w:r>
              <w:rPr>
                <w:rFonts w:hint="eastAsia" w:ascii="宋体" w:hAnsi="宋体" w:cs="宋体"/>
                <w:color w:val="auto"/>
                <w:szCs w:val="21"/>
              </w:rPr>
              <w:t>商务B（35分）</w:t>
            </w: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注册资本金（6分）</w:t>
            </w:r>
          </w:p>
        </w:tc>
        <w:tc>
          <w:tcPr>
            <w:tcW w:w="4973" w:type="dxa"/>
            <w:vAlign w:val="center"/>
          </w:tcPr>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投标人总公司注册资本金150亿(含150亿)以上者得6分；100亿(含100亿)至150亿的得2分，100亿以下的得1分；</w:t>
            </w:r>
          </w:p>
          <w:p>
            <w:pPr>
              <w:autoSpaceDE w:val="0"/>
              <w:autoSpaceDN w:val="0"/>
              <w:spacing w:line="400" w:lineRule="exact"/>
              <w:ind w:firstLine="438" w:firstLineChars="209"/>
              <w:jc w:val="left"/>
              <w:rPr>
                <w:color w:val="auto"/>
              </w:rPr>
            </w:pPr>
            <w:r>
              <w:rPr>
                <w:rFonts w:hint="eastAsia"/>
                <w:color w:val="auto"/>
              </w:rPr>
              <w:t>提供：全国企业信用信息公示系统截图。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3" w:hRule="atLeast"/>
        </w:trPr>
        <w:tc>
          <w:tcPr>
            <w:tcW w:w="990"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432"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总公司保费收入（4分）</w:t>
            </w:r>
          </w:p>
        </w:tc>
        <w:tc>
          <w:tcPr>
            <w:tcW w:w="4973" w:type="dxa"/>
            <w:vAlign w:val="center"/>
          </w:tcPr>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投标人总公司</w:t>
            </w:r>
            <w:r>
              <w:rPr>
                <w:rFonts w:ascii="宋体" w:hAnsi="宋体" w:cs="宋体"/>
                <w:color w:val="auto"/>
                <w:szCs w:val="21"/>
              </w:rPr>
              <w:t>2020</w:t>
            </w:r>
            <w:r>
              <w:rPr>
                <w:rFonts w:hint="eastAsia" w:ascii="宋体" w:hAnsi="宋体" w:cs="宋体"/>
                <w:color w:val="auto"/>
                <w:szCs w:val="21"/>
              </w:rPr>
              <w:t>年度数据：保费收入1000亿（含1000亿）以上者得4分；500亿（含500亿）至1000亿得2分；500亿以下的得1分；</w:t>
            </w:r>
          </w:p>
          <w:p>
            <w:pPr>
              <w:autoSpaceDE w:val="0"/>
              <w:autoSpaceDN w:val="0"/>
              <w:spacing w:line="400" w:lineRule="exact"/>
              <w:ind w:firstLine="438" w:firstLineChars="209"/>
              <w:jc w:val="left"/>
              <w:rPr>
                <w:color w:val="auto"/>
              </w:rPr>
            </w:pPr>
            <w:r>
              <w:rPr>
                <w:rFonts w:hint="eastAsia"/>
                <w:color w:val="auto"/>
              </w:rPr>
              <w:t>提供：</w:t>
            </w:r>
            <w:r>
              <w:rPr>
                <w:rFonts w:hint="eastAsia" w:ascii="宋体" w:hAnsi="宋体" w:cs="宋体"/>
                <w:color w:val="auto"/>
                <w:szCs w:val="21"/>
              </w:rPr>
              <w:t>20</w:t>
            </w:r>
            <w:r>
              <w:rPr>
                <w:rFonts w:ascii="宋体" w:hAnsi="宋体" w:cs="宋体"/>
                <w:color w:val="auto"/>
                <w:szCs w:val="21"/>
              </w:rPr>
              <w:t>20</w:t>
            </w:r>
            <w:r>
              <w:rPr>
                <w:rFonts w:hint="eastAsia"/>
                <w:color w:val="auto"/>
              </w:rPr>
              <w:t>年度经审计的财务报告复印件（主表）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3" w:hRule="atLeast"/>
        </w:trPr>
        <w:tc>
          <w:tcPr>
            <w:tcW w:w="990"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432"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消费者满意度</w:t>
            </w:r>
          </w:p>
          <w:p>
            <w:pPr>
              <w:autoSpaceDE w:val="0"/>
              <w:autoSpaceDN w:val="0"/>
              <w:spacing w:line="400" w:lineRule="exact"/>
              <w:ind w:firstLine="18" w:firstLineChars="9"/>
              <w:jc w:val="center"/>
              <w:rPr>
                <w:color w:val="auto"/>
              </w:rPr>
            </w:pPr>
            <w:r>
              <w:rPr>
                <w:rFonts w:hint="eastAsia" w:ascii="宋体" w:hAnsi="宋体" w:cs="宋体"/>
                <w:color w:val="auto"/>
                <w:szCs w:val="21"/>
              </w:rPr>
              <w:t>（3分）</w:t>
            </w:r>
          </w:p>
        </w:tc>
        <w:tc>
          <w:tcPr>
            <w:tcW w:w="4973" w:type="dxa"/>
            <w:vAlign w:val="center"/>
          </w:tcPr>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根据投标人</w:t>
            </w:r>
            <w:r>
              <w:rPr>
                <w:rFonts w:ascii="宋体" w:hAnsi="宋体" w:cs="宋体"/>
                <w:color w:val="auto"/>
                <w:szCs w:val="21"/>
              </w:rPr>
              <w:t>2021</w:t>
            </w:r>
            <w:r>
              <w:rPr>
                <w:rFonts w:hint="eastAsia" w:ascii="宋体" w:hAnsi="宋体" w:cs="宋体"/>
                <w:color w:val="auto"/>
                <w:szCs w:val="21"/>
              </w:rPr>
              <w:t>年第一季度万张保单投诉量情况由低到高进行排名（无数据的按照0投诉计算排名），排名第一得3分，每降低一名减少1分，最多减3分。</w:t>
            </w:r>
          </w:p>
          <w:p>
            <w:pPr>
              <w:autoSpaceDE w:val="0"/>
              <w:autoSpaceDN w:val="0"/>
              <w:spacing w:line="400" w:lineRule="exact"/>
              <w:ind w:firstLine="438" w:firstLineChars="209"/>
              <w:jc w:val="left"/>
              <w:rPr>
                <w:rFonts w:ascii="宋体" w:hAnsi="宋体" w:cs="宋体"/>
                <w:color w:val="auto"/>
                <w:szCs w:val="21"/>
              </w:rPr>
            </w:pPr>
            <w:r>
              <w:rPr>
                <w:rFonts w:hint="eastAsia"/>
                <w:color w:val="auto"/>
              </w:rPr>
              <w:t>提供：重庆银保监局关于</w:t>
            </w:r>
            <w:r>
              <w:rPr>
                <w:rFonts w:ascii="宋体" w:hAnsi="宋体" w:cs="宋体"/>
                <w:color w:val="auto"/>
                <w:szCs w:val="21"/>
              </w:rPr>
              <w:t>2021</w:t>
            </w:r>
            <w:r>
              <w:rPr>
                <w:rFonts w:hint="eastAsia" w:ascii="宋体" w:hAnsi="宋体" w:cs="宋体"/>
                <w:color w:val="auto"/>
                <w:szCs w:val="21"/>
              </w:rPr>
              <w:t>年第一季度保险消费投诉情况通报文件复印件（渝银保监发〔2</w:t>
            </w:r>
            <w:r>
              <w:rPr>
                <w:rFonts w:ascii="宋体" w:hAnsi="宋体" w:cs="宋体"/>
                <w:color w:val="auto"/>
                <w:szCs w:val="21"/>
              </w:rPr>
              <w:t>021</w:t>
            </w:r>
            <w:r>
              <w:rPr>
                <w:rFonts w:hint="eastAsia" w:ascii="宋体" w:hAnsi="宋体" w:cs="宋体"/>
                <w:color w:val="auto"/>
                <w:szCs w:val="21"/>
              </w:rPr>
              <w:t>〕4</w:t>
            </w:r>
            <w:r>
              <w:rPr>
                <w:rFonts w:ascii="宋体" w:hAnsi="宋体" w:cs="宋体"/>
                <w:color w:val="auto"/>
                <w:szCs w:val="21"/>
              </w:rPr>
              <w:t>5</w:t>
            </w:r>
            <w:r>
              <w:rPr>
                <w:rFonts w:hint="eastAsia" w:ascii="宋体" w:hAnsi="宋体" w:cs="宋体"/>
                <w:color w:val="auto"/>
                <w:szCs w:val="21"/>
              </w:rPr>
              <w:t>号文件）及附件（万张保单投诉量情况）。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3" w:hRule="atLeast"/>
        </w:trPr>
        <w:tc>
          <w:tcPr>
            <w:tcW w:w="990"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432"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分支机构（4分）</w:t>
            </w:r>
          </w:p>
        </w:tc>
        <w:tc>
          <w:tcPr>
            <w:tcW w:w="4973" w:type="dxa"/>
            <w:vAlign w:val="center"/>
          </w:tcPr>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投标人在重庆市下辖38个行政区县均有分支机构的得4分，每少覆盖一个行政区域减0.5分，最多减4分。</w:t>
            </w:r>
          </w:p>
          <w:p>
            <w:pPr>
              <w:autoSpaceDE w:val="0"/>
              <w:autoSpaceDN w:val="0"/>
              <w:spacing w:line="400" w:lineRule="exact"/>
              <w:ind w:firstLine="438" w:firstLineChars="209"/>
              <w:jc w:val="left"/>
              <w:rPr>
                <w:rFonts w:ascii="宋体" w:hAnsi="宋体" w:cs="宋体"/>
                <w:color w:val="auto"/>
                <w:szCs w:val="21"/>
              </w:rPr>
            </w:pPr>
            <w:r>
              <w:rPr>
                <w:rFonts w:hint="eastAsia"/>
                <w:color w:val="auto"/>
              </w:rPr>
              <w:t>提供：</w:t>
            </w:r>
            <w:r>
              <w:rPr>
                <w:rFonts w:hint="eastAsia" w:ascii="宋体" w:hAnsi="宋体" w:cs="宋体"/>
                <w:color w:val="auto"/>
                <w:szCs w:val="21"/>
              </w:rPr>
              <w:t>各区县分支机构营业执照复印件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990"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432"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承保能力（6分）</w:t>
            </w:r>
          </w:p>
        </w:tc>
        <w:tc>
          <w:tcPr>
            <w:tcW w:w="4973" w:type="dxa"/>
            <w:vAlign w:val="center"/>
          </w:tcPr>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单个危险单位最大自留承保能力30亿（含30亿）以上得6分，10亿（含10亿）—30亿得3分，10亿以下得1分；</w:t>
            </w:r>
          </w:p>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注：每一危险单位最大自留承保能力=（注册资本金+公积金）*10%</w:t>
            </w:r>
          </w:p>
          <w:p>
            <w:pPr>
              <w:pStyle w:val="2"/>
              <w:ind w:firstLine="420" w:firstLineChars="200"/>
              <w:rPr>
                <w:color w:val="auto"/>
              </w:rPr>
            </w:pPr>
            <w:r>
              <w:rPr>
                <w:rFonts w:hint="eastAsia" w:ascii="宋体" w:hAnsi="宋体" w:eastAsia="宋体" w:cs="宋体"/>
                <w:b w:val="0"/>
                <w:bCs w:val="0"/>
                <w:color w:val="auto"/>
                <w:sz w:val="21"/>
                <w:szCs w:val="21"/>
              </w:rPr>
              <w:t>提供：2020年度经审计的财务报告复印件（主表）。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990"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432"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lang w:val="en-US" w:eastAsia="zh-CN"/>
              </w:rPr>
              <w:t>综合</w:t>
            </w:r>
            <w:r>
              <w:rPr>
                <w:rFonts w:hint="eastAsia" w:ascii="宋体" w:hAnsi="宋体" w:cs="宋体"/>
                <w:color w:val="auto"/>
                <w:szCs w:val="21"/>
              </w:rPr>
              <w:t>偿付能力充足率（2分）</w:t>
            </w:r>
          </w:p>
        </w:tc>
        <w:tc>
          <w:tcPr>
            <w:tcW w:w="4973" w:type="dxa"/>
            <w:vAlign w:val="center"/>
          </w:tcPr>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投标人总公司2020年数据，超过200％的得2分，100％至200％之间的得1分，低于100％的得0分。</w:t>
            </w:r>
          </w:p>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提供：2</w:t>
            </w:r>
            <w:r>
              <w:rPr>
                <w:rFonts w:ascii="宋体" w:hAnsi="宋体" w:cs="宋体"/>
                <w:color w:val="auto"/>
                <w:szCs w:val="21"/>
              </w:rPr>
              <w:t>020</w:t>
            </w:r>
            <w:r>
              <w:rPr>
                <w:rFonts w:hint="eastAsia" w:ascii="宋体" w:hAnsi="宋体" w:cs="宋体"/>
                <w:color w:val="auto"/>
                <w:szCs w:val="21"/>
              </w:rPr>
              <w:t>年度经审计的偿付能力报告复印件。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990"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432"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风险综合评级（</w:t>
            </w:r>
            <w:r>
              <w:rPr>
                <w:rFonts w:hint="eastAsia" w:ascii="宋体" w:hAnsi="宋体" w:cs="宋体"/>
                <w:color w:val="auto"/>
                <w:szCs w:val="21"/>
                <w:lang w:val="en-US" w:eastAsia="zh-CN"/>
              </w:rPr>
              <w:t>5</w:t>
            </w:r>
            <w:r>
              <w:rPr>
                <w:rFonts w:hint="eastAsia" w:ascii="宋体" w:hAnsi="宋体" w:cs="宋体"/>
                <w:color w:val="auto"/>
                <w:szCs w:val="21"/>
              </w:rPr>
              <w:t>分）</w:t>
            </w:r>
          </w:p>
        </w:tc>
        <w:tc>
          <w:tcPr>
            <w:tcW w:w="4973" w:type="dxa"/>
            <w:vAlign w:val="center"/>
          </w:tcPr>
          <w:p>
            <w:pPr>
              <w:autoSpaceDE w:val="0"/>
              <w:autoSpaceDN w:val="0"/>
              <w:spacing w:line="400" w:lineRule="exact"/>
              <w:ind w:firstLine="438" w:firstLineChars="209"/>
              <w:jc w:val="left"/>
              <w:rPr>
                <w:rFonts w:hint="eastAsia" w:ascii="宋体" w:hAnsi="宋体" w:cs="宋体"/>
                <w:color w:val="auto"/>
                <w:szCs w:val="21"/>
                <w:lang w:eastAsia="zh-CN"/>
              </w:rPr>
            </w:pPr>
            <w:r>
              <w:rPr>
                <w:rFonts w:hint="eastAsia" w:ascii="宋体" w:hAnsi="宋体" w:cs="宋体"/>
                <w:color w:val="auto"/>
                <w:szCs w:val="21"/>
              </w:rPr>
              <w:t>提供投标人总公司最近四个季度（2020年3季度、2020年4季度、2021年1季度、2021年2季度）的风险综合评级（分类监管）评价等级, 4个季度评价等级均为A级的得5分，3个季度评价等级为A级的得4分，2个季度评价等级为A级的得3分，只有1个季度评价等级为A级的得1分，四个季度中评价等级均无A级的得0分</w:t>
            </w:r>
            <w:r>
              <w:rPr>
                <w:rFonts w:hint="eastAsia" w:ascii="宋体" w:hAnsi="宋体" w:cs="宋体"/>
                <w:color w:val="auto"/>
                <w:szCs w:val="21"/>
                <w:lang w:eastAsia="zh-CN"/>
              </w:rPr>
              <w:t>。</w:t>
            </w:r>
          </w:p>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提供：C-ROSS中国银行保险监督管理委员会偿二代监管信息系统截图。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990"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432"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人员设置（2分）</w:t>
            </w:r>
          </w:p>
        </w:tc>
        <w:tc>
          <w:tcPr>
            <w:tcW w:w="4973" w:type="dxa"/>
            <w:vAlign w:val="center"/>
          </w:tcPr>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项目服务团队由省级分公司副总级以上人员带队，下设工作小组且成员分工明确得2分。其余不得分。</w:t>
            </w:r>
          </w:p>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提供：承诺书，格式及内容自拟。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7" w:hRule="atLeast"/>
        </w:trPr>
        <w:tc>
          <w:tcPr>
            <w:tcW w:w="990"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432" w:type="dxa"/>
            <w:vMerge w:val="continue"/>
            <w:vAlign w:val="center"/>
          </w:tcPr>
          <w:p>
            <w:pPr>
              <w:autoSpaceDE w:val="0"/>
              <w:autoSpaceDN w:val="0"/>
              <w:spacing w:line="400" w:lineRule="exact"/>
              <w:ind w:firstLine="18" w:firstLineChars="9"/>
              <w:jc w:val="center"/>
              <w:rPr>
                <w:rFonts w:ascii="宋体" w:hAnsi="宋体" w:cs="宋体"/>
                <w:color w:val="auto"/>
                <w:szCs w:val="21"/>
              </w:rPr>
            </w:pPr>
          </w:p>
        </w:tc>
        <w:tc>
          <w:tcPr>
            <w:tcW w:w="1290" w:type="dxa"/>
            <w:gridSpan w:val="3"/>
            <w:vAlign w:val="center"/>
          </w:tcPr>
          <w:p>
            <w:pPr>
              <w:autoSpaceDE w:val="0"/>
              <w:autoSpaceDN w:val="0"/>
              <w:spacing w:line="400" w:lineRule="exact"/>
              <w:ind w:firstLine="18" w:firstLineChars="9"/>
              <w:jc w:val="center"/>
              <w:rPr>
                <w:rFonts w:ascii="宋体" w:hAnsi="宋体" w:cs="宋体"/>
                <w:color w:val="auto"/>
                <w:szCs w:val="21"/>
              </w:rPr>
            </w:pPr>
            <w:r>
              <w:rPr>
                <w:rFonts w:hint="eastAsia" w:ascii="宋体" w:hAnsi="宋体" w:cs="宋体"/>
                <w:color w:val="auto"/>
                <w:szCs w:val="21"/>
              </w:rPr>
              <w:t>项目经验（3分）</w:t>
            </w:r>
          </w:p>
        </w:tc>
        <w:tc>
          <w:tcPr>
            <w:tcW w:w="4973" w:type="dxa"/>
            <w:vAlign w:val="center"/>
          </w:tcPr>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2018年至今同类项目承保经验数据：独家或主承重庆本地高速公路运营期保险保费规模30万以上的项目经验，每有一个得1分，此项最多得3分。</w:t>
            </w:r>
          </w:p>
          <w:p>
            <w:pPr>
              <w:autoSpaceDE w:val="0"/>
              <w:autoSpaceDN w:val="0"/>
              <w:spacing w:line="400" w:lineRule="exact"/>
              <w:ind w:firstLine="438" w:firstLineChars="209"/>
              <w:jc w:val="left"/>
              <w:rPr>
                <w:rFonts w:ascii="宋体" w:hAnsi="宋体" w:cs="宋体"/>
                <w:color w:val="auto"/>
                <w:szCs w:val="21"/>
              </w:rPr>
            </w:pPr>
            <w:r>
              <w:rPr>
                <w:rFonts w:hint="eastAsia" w:ascii="宋体" w:hAnsi="宋体" w:cs="宋体"/>
                <w:color w:val="auto"/>
                <w:szCs w:val="21"/>
              </w:rPr>
              <w:t>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90" w:type="dxa"/>
            <w:vAlign w:val="center"/>
          </w:tcPr>
          <w:p>
            <w:pPr>
              <w:autoSpaceDE w:val="0"/>
              <w:autoSpaceDN w:val="0"/>
              <w:spacing w:line="400" w:lineRule="exact"/>
              <w:ind w:firstLine="18" w:firstLineChars="9"/>
              <w:jc w:val="center"/>
              <w:rPr>
                <w:rFonts w:ascii="宋体" w:hAnsi="宋体" w:cs="宋体"/>
                <w:color w:val="auto"/>
                <w:sz w:val="24"/>
                <w:szCs w:val="21"/>
              </w:rPr>
            </w:pPr>
            <w:r>
              <w:rPr>
                <w:rFonts w:ascii="宋体" w:hAnsi="宋体" w:cs="宋体"/>
                <w:color w:val="auto"/>
                <w:szCs w:val="21"/>
              </w:rPr>
              <w:t>2.2.4</w:t>
            </w:r>
          </w:p>
          <w:p>
            <w:pPr>
              <w:autoSpaceDE w:val="0"/>
              <w:autoSpaceDN w:val="0"/>
              <w:spacing w:line="400" w:lineRule="exact"/>
              <w:ind w:firstLine="18" w:firstLineChars="9"/>
              <w:jc w:val="center"/>
              <w:rPr>
                <w:rFonts w:ascii="宋体" w:hAnsi="宋体" w:cs="宋体"/>
                <w:color w:val="auto"/>
                <w:sz w:val="24"/>
                <w:szCs w:val="21"/>
              </w:rPr>
            </w:pPr>
            <w:r>
              <w:rPr>
                <w:rFonts w:hint="eastAsia" w:ascii="宋体" w:hAnsi="宋体" w:cs="宋体"/>
                <w:color w:val="auto"/>
                <w:szCs w:val="21"/>
              </w:rPr>
              <w:t>（</w:t>
            </w:r>
            <w:r>
              <w:rPr>
                <w:rFonts w:ascii="宋体" w:hAnsi="宋体" w:cs="宋体"/>
                <w:color w:val="auto"/>
                <w:szCs w:val="21"/>
              </w:rPr>
              <w:t>3）</w:t>
            </w:r>
          </w:p>
        </w:tc>
        <w:tc>
          <w:tcPr>
            <w:tcW w:w="1432" w:type="dxa"/>
            <w:vAlign w:val="center"/>
          </w:tcPr>
          <w:p>
            <w:pPr>
              <w:autoSpaceDE w:val="0"/>
              <w:autoSpaceDN w:val="0"/>
              <w:spacing w:line="400" w:lineRule="exact"/>
              <w:ind w:firstLine="18" w:firstLineChars="9"/>
              <w:jc w:val="center"/>
              <w:rPr>
                <w:rFonts w:ascii="宋体" w:hAnsi="宋体" w:cs="宋体"/>
                <w:color w:val="auto"/>
                <w:sz w:val="24"/>
                <w:szCs w:val="21"/>
              </w:rPr>
            </w:pPr>
            <w:r>
              <w:rPr>
                <w:rFonts w:hint="eastAsia" w:ascii="宋体" w:hAnsi="宋体" w:cs="宋体"/>
                <w:color w:val="auto"/>
                <w:szCs w:val="21"/>
              </w:rPr>
              <w:t>评标价（</w:t>
            </w:r>
            <w:r>
              <w:rPr>
                <w:rFonts w:ascii="宋体" w:hAnsi="宋体" w:cs="宋体"/>
                <w:color w:val="auto"/>
                <w:szCs w:val="21"/>
              </w:rPr>
              <w:t>C）</w:t>
            </w:r>
          </w:p>
        </w:tc>
        <w:tc>
          <w:tcPr>
            <w:tcW w:w="1290" w:type="dxa"/>
            <w:gridSpan w:val="3"/>
            <w:vAlign w:val="center"/>
          </w:tcPr>
          <w:p>
            <w:pPr>
              <w:autoSpaceDE w:val="0"/>
              <w:autoSpaceDN w:val="0"/>
              <w:spacing w:line="400" w:lineRule="exact"/>
              <w:ind w:firstLine="18" w:firstLineChars="9"/>
              <w:jc w:val="center"/>
              <w:rPr>
                <w:rFonts w:ascii="宋体" w:hAnsi="宋体" w:cs="宋体"/>
                <w:color w:val="auto"/>
                <w:sz w:val="24"/>
                <w:szCs w:val="21"/>
              </w:rPr>
            </w:pPr>
            <w:r>
              <w:rPr>
                <w:rFonts w:hint="eastAsia" w:ascii="宋体" w:hAnsi="宋体" w:cs="宋体"/>
                <w:color w:val="auto"/>
                <w:szCs w:val="21"/>
              </w:rPr>
              <w:t>40</w:t>
            </w:r>
            <w:r>
              <w:rPr>
                <w:rFonts w:ascii="宋体" w:hAnsi="宋体" w:cs="宋体"/>
                <w:color w:val="auto"/>
                <w:szCs w:val="21"/>
              </w:rPr>
              <w:t>分</w:t>
            </w:r>
          </w:p>
        </w:tc>
        <w:tc>
          <w:tcPr>
            <w:tcW w:w="4973" w:type="dxa"/>
          </w:tcPr>
          <w:p>
            <w:pPr>
              <w:spacing w:line="360" w:lineRule="auto"/>
              <w:ind w:firstLine="420" w:firstLineChars="200"/>
              <w:rPr>
                <w:rFonts w:ascii="宋体" w:hAnsi="宋体"/>
                <w:color w:val="auto"/>
                <w:szCs w:val="21"/>
              </w:rPr>
            </w:pPr>
            <w:r>
              <w:rPr>
                <w:rFonts w:ascii="宋体" w:hAnsi="宋体"/>
                <w:color w:val="auto"/>
                <w:szCs w:val="21"/>
              </w:rPr>
              <w:t>评标价得分计算公式：</w:t>
            </w:r>
          </w:p>
          <w:p>
            <w:pPr>
              <w:spacing w:line="360" w:lineRule="auto"/>
              <w:ind w:firstLine="420" w:firstLineChars="200"/>
              <w:rPr>
                <w:rFonts w:ascii="宋体" w:hAnsi="宋体"/>
                <w:color w:val="auto"/>
                <w:szCs w:val="21"/>
              </w:rPr>
            </w:pPr>
            <w:r>
              <w:rPr>
                <w:rFonts w:ascii="宋体" w:hAnsi="宋体"/>
                <w:color w:val="auto"/>
                <w:szCs w:val="21"/>
              </w:rPr>
              <w:t>（1）如果投标人的评标价&gt;评标基准价，则评标价得分＝</w:t>
            </w:r>
            <w:r>
              <w:rPr>
                <w:rFonts w:hint="eastAsia" w:ascii="宋体" w:hAnsi="宋体"/>
                <w:color w:val="auto"/>
                <w:szCs w:val="21"/>
              </w:rPr>
              <w:t>40</w:t>
            </w:r>
            <w:r>
              <w:rPr>
                <w:rFonts w:ascii="宋体" w:hAnsi="宋体"/>
                <w:color w:val="auto"/>
                <w:szCs w:val="21"/>
              </w:rPr>
              <w:t>－偏差率×100× E1；</w:t>
            </w:r>
          </w:p>
          <w:p>
            <w:pPr>
              <w:spacing w:line="360" w:lineRule="auto"/>
              <w:ind w:firstLine="420" w:firstLineChars="200"/>
              <w:rPr>
                <w:rFonts w:ascii="宋体" w:hAnsi="宋体"/>
                <w:color w:val="auto"/>
                <w:szCs w:val="21"/>
              </w:rPr>
            </w:pPr>
            <w:r>
              <w:rPr>
                <w:rFonts w:ascii="宋体" w:hAnsi="宋体"/>
                <w:color w:val="auto"/>
                <w:szCs w:val="21"/>
              </w:rPr>
              <w:t>（2）如果投标人的评标价≤评标基准价，则评标价得分＝</w:t>
            </w:r>
            <w:r>
              <w:rPr>
                <w:rFonts w:hint="eastAsia" w:ascii="宋体" w:hAnsi="宋体"/>
                <w:color w:val="auto"/>
                <w:szCs w:val="21"/>
              </w:rPr>
              <w:t>40</w:t>
            </w:r>
            <w:r>
              <w:rPr>
                <w:rFonts w:ascii="宋体" w:hAnsi="宋体"/>
                <w:color w:val="auto"/>
                <w:szCs w:val="21"/>
              </w:rPr>
              <w:t>＋偏差率× 100× E2。</w:t>
            </w:r>
          </w:p>
          <w:p>
            <w:pPr>
              <w:widowControl/>
              <w:snapToGrid w:val="0"/>
              <w:spacing w:line="360" w:lineRule="auto"/>
              <w:ind w:firstLine="420" w:firstLineChars="200"/>
              <w:jc w:val="left"/>
              <w:rPr>
                <w:rFonts w:ascii="宋体" w:hAnsi="宋体"/>
                <w:color w:val="auto"/>
                <w:szCs w:val="21"/>
              </w:rPr>
            </w:pPr>
            <w:r>
              <w:rPr>
                <w:rFonts w:ascii="宋体" w:hAnsi="宋体"/>
                <w:color w:val="auto"/>
                <w:szCs w:val="21"/>
              </w:rPr>
              <w:t>其中</w:t>
            </w:r>
            <w:r>
              <w:rPr>
                <w:rFonts w:hint="eastAsia" w:ascii="宋体" w:hAnsi="宋体"/>
                <w:color w:val="auto"/>
                <w:szCs w:val="21"/>
              </w:rPr>
              <w:t>：</w:t>
            </w:r>
            <w:r>
              <w:rPr>
                <w:rFonts w:ascii="宋体" w:hAnsi="宋体"/>
                <w:color w:val="auto"/>
                <w:szCs w:val="21"/>
              </w:rPr>
              <w:t>其中：E1是评标价每高于评标基准价一个百分点的扣分值；E2是评标价每低于评标基准价一个百分点的扣分值。本项目设置E1=</w:t>
            </w:r>
            <w:r>
              <w:rPr>
                <w:rFonts w:hint="eastAsia" w:ascii="宋体" w:hAnsi="宋体"/>
                <w:color w:val="auto"/>
                <w:szCs w:val="21"/>
              </w:rPr>
              <w:t>0.5</w:t>
            </w:r>
            <w:r>
              <w:rPr>
                <w:rFonts w:ascii="宋体" w:hAnsi="宋体"/>
                <w:color w:val="auto"/>
                <w:szCs w:val="21"/>
              </w:rPr>
              <w:t>，E2=</w:t>
            </w:r>
            <w:r>
              <w:rPr>
                <w:rFonts w:hint="eastAsia" w:ascii="宋体" w:hAnsi="宋体"/>
                <w:color w:val="auto"/>
                <w:szCs w:val="21"/>
              </w:rPr>
              <w:t>0.25</w:t>
            </w:r>
            <w:r>
              <w:rPr>
                <w:rFonts w:ascii="宋体" w:hAnsi="宋体"/>
                <w:color w:val="auto"/>
                <w:szCs w:val="21"/>
              </w:rPr>
              <w:t>。</w:t>
            </w:r>
          </w:p>
          <w:p>
            <w:pPr>
              <w:spacing w:line="360" w:lineRule="auto"/>
              <w:ind w:right="420" w:rightChars="200"/>
              <w:rPr>
                <w:rFonts w:ascii="宋体" w:hAnsi="宋体"/>
                <w:color w:val="auto"/>
                <w:szCs w:val="21"/>
              </w:rPr>
            </w:pPr>
            <w:r>
              <w:rPr>
                <w:rFonts w:ascii="宋体" w:hAnsi="宋体"/>
                <w:color w:val="auto"/>
                <w:szCs w:val="21"/>
              </w:rPr>
              <w:t>最后得分保留2位小数，按四舍五入原则进行。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90" w:type="dxa"/>
            <w:vAlign w:val="center"/>
          </w:tcPr>
          <w:p>
            <w:pPr>
              <w:autoSpaceDE w:val="0"/>
              <w:autoSpaceDN w:val="0"/>
              <w:spacing w:line="400" w:lineRule="exact"/>
              <w:ind w:firstLine="18" w:firstLineChars="9"/>
              <w:jc w:val="center"/>
              <w:rPr>
                <w:rFonts w:ascii="宋体" w:hAnsi="宋体" w:cs="宋体"/>
                <w:color w:val="auto"/>
                <w:sz w:val="24"/>
                <w:szCs w:val="21"/>
                <w:lang w:val="zh-CN"/>
              </w:rPr>
            </w:pPr>
            <w:r>
              <w:rPr>
                <w:rFonts w:ascii="宋体" w:hAnsi="宋体" w:cs="宋体"/>
                <w:color w:val="auto"/>
                <w:szCs w:val="21"/>
              </w:rPr>
              <w:t>3.</w:t>
            </w:r>
            <w:r>
              <w:rPr>
                <w:rFonts w:hint="eastAsia" w:ascii="宋体" w:hAnsi="宋体" w:cs="宋体"/>
                <w:color w:val="auto"/>
                <w:szCs w:val="21"/>
              </w:rPr>
              <w:t>1.4</w:t>
            </w:r>
          </w:p>
        </w:tc>
        <w:tc>
          <w:tcPr>
            <w:tcW w:w="7695" w:type="dxa"/>
            <w:gridSpan w:val="5"/>
            <w:vAlign w:val="center"/>
          </w:tcPr>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当修正后的最终投标报价大于或等于原投标报价，则以原投标报价作为签订合同的依据并修正单价。</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zh-CN"/>
              </w:rPr>
              <w:t>当修正后的最终投标报价小于原投标报价，则以修正后的最终投标报价作为签订合同的依据。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90" w:type="dxa"/>
            <w:vAlign w:val="center"/>
          </w:tcPr>
          <w:p>
            <w:pPr>
              <w:autoSpaceDE w:val="0"/>
              <w:autoSpaceDN w:val="0"/>
              <w:spacing w:line="400" w:lineRule="exact"/>
              <w:ind w:firstLine="18" w:firstLineChars="9"/>
              <w:jc w:val="center"/>
              <w:rPr>
                <w:rFonts w:ascii="宋体" w:hAnsi="宋体" w:cs="宋体"/>
                <w:color w:val="auto"/>
                <w:szCs w:val="21"/>
              </w:rPr>
            </w:pPr>
            <w:r>
              <w:rPr>
                <w:rFonts w:ascii="宋体" w:hAnsi="宋体" w:cs="宋体"/>
                <w:color w:val="auto"/>
                <w:szCs w:val="21"/>
              </w:rPr>
              <w:t>3.2.1</w:t>
            </w:r>
            <w:r>
              <w:rPr>
                <w:rFonts w:hint="eastAsia" w:ascii="宋体" w:hAnsi="宋体" w:cs="宋体"/>
                <w:color w:val="auto"/>
                <w:szCs w:val="21"/>
              </w:rPr>
              <w:t>/</w:t>
            </w:r>
          </w:p>
          <w:p>
            <w:pPr>
              <w:autoSpaceDE w:val="0"/>
              <w:autoSpaceDN w:val="0"/>
              <w:spacing w:line="400" w:lineRule="exact"/>
              <w:ind w:firstLine="18" w:firstLineChars="9"/>
              <w:jc w:val="center"/>
              <w:rPr>
                <w:rFonts w:ascii="宋体" w:hAnsi="宋体" w:cs="宋体"/>
                <w:color w:val="auto"/>
                <w:sz w:val="24"/>
                <w:szCs w:val="21"/>
                <w:lang w:val="zh-CN"/>
              </w:rPr>
            </w:pPr>
            <w:r>
              <w:rPr>
                <w:rFonts w:hint="eastAsia" w:ascii="宋体" w:hAnsi="宋体" w:cs="宋体"/>
                <w:color w:val="auto"/>
                <w:szCs w:val="21"/>
              </w:rPr>
              <w:t>3.6</w:t>
            </w:r>
          </w:p>
        </w:tc>
        <w:tc>
          <w:tcPr>
            <w:tcW w:w="7695" w:type="dxa"/>
            <w:gridSpan w:val="5"/>
            <w:vAlign w:val="center"/>
          </w:tcPr>
          <w:p>
            <w:pPr>
              <w:autoSpaceDE w:val="0"/>
              <w:autoSpaceDN w:val="0"/>
              <w:spacing w:line="360"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评标委员会按本章第</w:t>
            </w:r>
            <w:r>
              <w:rPr>
                <w:rFonts w:ascii="宋体" w:hAnsi="宋体" w:cs="宋体"/>
                <w:color w:val="auto"/>
                <w:szCs w:val="21"/>
                <w:lang w:val="zh-CN"/>
              </w:rPr>
              <w:t xml:space="preserve"> 2.2 </w:t>
            </w:r>
            <w:r>
              <w:rPr>
                <w:rFonts w:hint="eastAsia" w:ascii="宋体" w:hAnsi="宋体" w:cs="宋体"/>
                <w:color w:val="auto"/>
                <w:szCs w:val="21"/>
                <w:lang w:val="zh-CN"/>
              </w:rPr>
              <w:t>款规定的量化因素和分值进行打分，并计算出各投标人的商务和技术得分。</w:t>
            </w:r>
          </w:p>
          <w:p>
            <w:pPr>
              <w:autoSpaceDE w:val="0"/>
              <w:autoSpaceDN w:val="0"/>
              <w:spacing w:line="360" w:lineRule="auto"/>
              <w:jc w:val="left"/>
              <w:rPr>
                <w:rFonts w:ascii="宋体" w:hAns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1）按本章第 2.2.4（1）项规定的评审因素和分值对技术文件部分计算出得分A；</w:t>
            </w:r>
          </w:p>
          <w:p>
            <w:pPr>
              <w:autoSpaceDE w:val="0"/>
              <w:autoSpaceDN w:val="0"/>
              <w:spacing w:line="360" w:lineRule="auto"/>
              <w:jc w:val="left"/>
              <w:rPr>
                <w:rFonts w:ascii="宋体" w:hAns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2）按本章第 2.2.4（2）项规定的评审因素和分值对商务业绩部分计算出得分B；</w:t>
            </w:r>
          </w:p>
          <w:p>
            <w:pPr>
              <w:autoSpaceDE w:val="0"/>
              <w:autoSpaceDN w:val="0"/>
              <w:spacing w:line="360" w:lineRule="auto"/>
              <w:jc w:val="left"/>
              <w:rPr>
                <w:rFonts w:ascii="宋体" w:hAns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3）按本章第 2.2.4（3）项规定的评审因素和分值对投标人的评标价计算出得分C；</w:t>
            </w:r>
          </w:p>
        </w:tc>
      </w:tr>
      <w:bookmarkEnd w:id="57"/>
    </w:tbl>
    <w:p>
      <w:pPr>
        <w:widowControl/>
        <w:jc w:val="left"/>
        <w:rPr>
          <w:rFonts w:ascii="Times New Roman" w:hAnsi="Times New Roman"/>
          <w:color w:val="auto"/>
          <w:szCs w:val="21"/>
        </w:rPr>
      </w:pPr>
      <w:bookmarkStart w:id="58" w:name="_Toc28654"/>
      <w:bookmarkStart w:id="59" w:name="_Toc15443"/>
      <w:r>
        <w:rPr>
          <w:rFonts w:ascii="Times New Roman" w:hAnsi="Times New Roman"/>
          <w:color w:val="auto"/>
          <w:sz w:val="24"/>
          <w:szCs w:val="21"/>
        </w:rPr>
        <w:br w:type="page"/>
      </w:r>
      <w:r>
        <w:rPr>
          <w:rFonts w:ascii="Times New Roman" w:hAnsi="Times New Roman"/>
          <w:color w:val="auto"/>
          <w:szCs w:val="21"/>
        </w:rPr>
        <w:t xml:space="preserve">1. </w:t>
      </w:r>
      <w:r>
        <w:rPr>
          <w:rFonts w:hint="eastAsia" w:ascii="Times New Roman" w:hAnsi="Times New Roman"/>
          <w:color w:val="auto"/>
          <w:szCs w:val="21"/>
        </w:rPr>
        <w:t>评标方法</w:t>
      </w:r>
      <w:bookmarkEnd w:id="58"/>
      <w:bookmarkEnd w:id="59"/>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本次评标采用综合评分法。评标委员会对满足招标文件实质性要求的投标文件，按照本章第</w:t>
      </w:r>
      <w:r>
        <w:rPr>
          <w:rFonts w:ascii="Times New Roman" w:hAnsi="Times New Roman"/>
          <w:color w:val="auto"/>
          <w:szCs w:val="21"/>
        </w:rPr>
        <w:t>2.2</w:t>
      </w:r>
      <w:r>
        <w:rPr>
          <w:rFonts w:hint="eastAsia" w:ascii="Times New Roman" w:hAnsi="Times New Roman" w:cs="宋体"/>
          <w:color w:val="auto"/>
          <w:szCs w:val="21"/>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line="360" w:lineRule="auto"/>
        <w:ind w:firstLine="174" w:firstLineChars="83"/>
        <w:rPr>
          <w:rFonts w:ascii="Times New Roman" w:hAnsi="Times New Roman"/>
          <w:color w:val="auto"/>
          <w:szCs w:val="21"/>
        </w:rPr>
      </w:pPr>
      <w:bookmarkStart w:id="60" w:name="_Toc16259"/>
      <w:bookmarkStart w:id="61" w:name="_Toc29833"/>
      <w:r>
        <w:rPr>
          <w:rFonts w:ascii="Times New Roman" w:hAnsi="Times New Roman"/>
          <w:color w:val="auto"/>
          <w:szCs w:val="21"/>
        </w:rPr>
        <w:t xml:space="preserve">2. </w:t>
      </w:r>
      <w:r>
        <w:rPr>
          <w:rFonts w:hint="eastAsia" w:ascii="Times New Roman" w:hAnsi="Times New Roman"/>
          <w:color w:val="auto"/>
          <w:szCs w:val="21"/>
        </w:rPr>
        <w:t>评审标准</w:t>
      </w:r>
      <w:bookmarkEnd w:id="60"/>
      <w:bookmarkEnd w:id="61"/>
    </w:p>
    <w:p>
      <w:pPr>
        <w:spacing w:line="360" w:lineRule="auto"/>
        <w:ind w:firstLine="420" w:firstLineChars="200"/>
        <w:rPr>
          <w:rFonts w:ascii="Times New Roman" w:hAnsi="Times New Roman"/>
          <w:color w:val="auto"/>
          <w:szCs w:val="21"/>
        </w:rPr>
      </w:pPr>
      <w:bookmarkStart w:id="62" w:name="_Toc13797"/>
      <w:bookmarkStart w:id="63" w:name="_Toc509841337"/>
      <w:bookmarkStart w:id="64" w:name="_Toc10215"/>
      <w:bookmarkStart w:id="65" w:name="_Toc508877731"/>
      <w:r>
        <w:rPr>
          <w:rFonts w:ascii="Times New Roman" w:hAnsi="Times New Roman"/>
          <w:color w:val="auto"/>
          <w:szCs w:val="21"/>
        </w:rPr>
        <w:t xml:space="preserve">2.1 </w:t>
      </w:r>
      <w:r>
        <w:rPr>
          <w:rFonts w:hint="eastAsia" w:ascii="Times New Roman" w:hAnsi="Times New Roman"/>
          <w:color w:val="auto"/>
          <w:szCs w:val="21"/>
        </w:rPr>
        <w:t>初步评审标准</w:t>
      </w:r>
      <w:bookmarkEnd w:id="62"/>
      <w:bookmarkEnd w:id="63"/>
      <w:bookmarkEnd w:id="64"/>
      <w:bookmarkEnd w:id="65"/>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2.1.1 </w:t>
      </w:r>
      <w:r>
        <w:rPr>
          <w:rFonts w:hint="eastAsia" w:ascii="Times New Roman" w:hAnsi="Times New Roman" w:cs="宋体"/>
          <w:color w:val="auto"/>
          <w:szCs w:val="21"/>
        </w:rPr>
        <w:t>形式评审标准：见评标办法前附表。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2.1.2 </w:t>
      </w:r>
      <w:r>
        <w:rPr>
          <w:rFonts w:hint="eastAsia" w:ascii="Times New Roman" w:hAnsi="Times New Roman" w:cs="宋体"/>
          <w:color w:val="auto"/>
          <w:szCs w:val="21"/>
        </w:rPr>
        <w:t>资格评审标准：见评标办法前附表。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2.1.3 </w:t>
      </w:r>
      <w:r>
        <w:rPr>
          <w:rFonts w:hint="eastAsia" w:ascii="Times New Roman" w:hAnsi="Times New Roman" w:cs="宋体"/>
          <w:color w:val="auto"/>
          <w:szCs w:val="21"/>
        </w:rPr>
        <w:t>响应性评审标准：见评标办法前附表。</w:t>
      </w:r>
    </w:p>
    <w:p>
      <w:pPr>
        <w:spacing w:line="360" w:lineRule="auto"/>
        <w:ind w:firstLine="420" w:firstLineChars="200"/>
        <w:rPr>
          <w:rFonts w:ascii="Times New Roman" w:hAnsi="Times New Roman"/>
          <w:color w:val="auto"/>
          <w:szCs w:val="21"/>
        </w:rPr>
      </w:pPr>
      <w:bookmarkStart w:id="66" w:name="_Toc509841338"/>
      <w:bookmarkStart w:id="67" w:name="_Toc16456"/>
      <w:bookmarkStart w:id="68" w:name="_Toc508877732"/>
      <w:bookmarkStart w:id="69" w:name="_Toc22520"/>
      <w:r>
        <w:rPr>
          <w:rFonts w:ascii="Times New Roman" w:hAnsi="Times New Roman"/>
          <w:color w:val="auto"/>
          <w:szCs w:val="21"/>
        </w:rPr>
        <w:t xml:space="preserve">2.2 </w:t>
      </w:r>
      <w:r>
        <w:rPr>
          <w:rFonts w:hint="eastAsia" w:ascii="Times New Roman" w:hAnsi="Times New Roman"/>
          <w:color w:val="auto"/>
          <w:szCs w:val="21"/>
        </w:rPr>
        <w:t>分值构成与评分标准</w:t>
      </w:r>
      <w:bookmarkEnd w:id="66"/>
      <w:bookmarkEnd w:id="67"/>
      <w:bookmarkEnd w:id="68"/>
      <w:bookmarkEnd w:id="69"/>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2.2.1 </w:t>
      </w:r>
      <w:r>
        <w:rPr>
          <w:rFonts w:hint="eastAsia" w:ascii="Times New Roman" w:hAnsi="Times New Roman"/>
          <w:color w:val="auto"/>
          <w:szCs w:val="21"/>
        </w:rPr>
        <w:t>分值构成</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1</w:t>
      </w:r>
      <w:r>
        <w:rPr>
          <w:rFonts w:hint="eastAsia" w:ascii="Times New Roman" w:hAnsi="Times New Roman" w:cs="宋体"/>
          <w:color w:val="auto"/>
          <w:szCs w:val="21"/>
        </w:rPr>
        <w:t>）技术评审：见评标办法前附表。</w:t>
      </w:r>
    </w:p>
    <w:p>
      <w:pPr>
        <w:spacing w:line="360" w:lineRule="auto"/>
        <w:ind w:firstLine="420" w:firstLineChars="200"/>
        <w:rPr>
          <w:rFonts w:ascii="Times New Roman" w:hAnsi="Times New Roman" w:cs="宋体"/>
          <w:color w:val="auto"/>
          <w:szCs w:val="21"/>
        </w:rPr>
      </w:pPr>
      <w:r>
        <w:rPr>
          <w:rFonts w:hint="eastAsia" w:ascii="Times New Roman" w:hAnsi="Times New Roman" w:cs="宋体"/>
          <w:color w:val="auto"/>
          <w:szCs w:val="21"/>
        </w:rPr>
        <w:t>（</w:t>
      </w:r>
      <w:r>
        <w:rPr>
          <w:rFonts w:hint="eastAsia" w:ascii="Times New Roman" w:hAnsi="Times New Roman"/>
          <w:color w:val="auto"/>
          <w:szCs w:val="21"/>
        </w:rPr>
        <w:t>2</w:t>
      </w:r>
      <w:r>
        <w:rPr>
          <w:rFonts w:hint="eastAsia" w:ascii="Times New Roman" w:hAnsi="Times New Roman" w:cs="宋体"/>
          <w:color w:val="auto"/>
          <w:szCs w:val="21"/>
        </w:rPr>
        <w:t>）商务评审：见评标办法前附表。</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hint="eastAsia" w:ascii="Times New Roman" w:hAnsi="Times New Roman"/>
          <w:color w:val="auto"/>
          <w:szCs w:val="21"/>
        </w:rPr>
        <w:t>3</w:t>
      </w:r>
      <w:r>
        <w:rPr>
          <w:rFonts w:hint="eastAsia" w:ascii="Times New Roman" w:hAnsi="Times New Roman" w:cs="宋体"/>
          <w:color w:val="auto"/>
          <w:szCs w:val="21"/>
        </w:rPr>
        <w:t>）报价评分：见评标办法前附表。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2.2.2 </w:t>
      </w:r>
      <w:r>
        <w:rPr>
          <w:rFonts w:hint="eastAsia" w:ascii="Times New Roman" w:hAnsi="Times New Roman"/>
          <w:color w:val="auto"/>
          <w:szCs w:val="21"/>
        </w:rPr>
        <w:t>评标基准价计算</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评标基准价计算方法：见评标办法前附表。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2.2.3 </w:t>
      </w:r>
      <w:r>
        <w:rPr>
          <w:rFonts w:hint="eastAsia" w:ascii="Times New Roman" w:hAnsi="Times New Roman"/>
          <w:color w:val="auto"/>
          <w:szCs w:val="21"/>
        </w:rPr>
        <w:t>评标价的偏差率计算</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评标价的偏差率计算公式：见评标办法前附表。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2.2.4 </w:t>
      </w:r>
      <w:r>
        <w:rPr>
          <w:rFonts w:hint="eastAsia" w:ascii="Times New Roman" w:hAnsi="Times New Roman"/>
          <w:color w:val="auto"/>
          <w:szCs w:val="21"/>
        </w:rPr>
        <w:t>评分标准</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1</w:t>
      </w:r>
      <w:r>
        <w:rPr>
          <w:rFonts w:hint="eastAsia" w:ascii="Times New Roman" w:hAnsi="Times New Roman" w:cs="宋体"/>
          <w:color w:val="auto"/>
          <w:szCs w:val="21"/>
        </w:rPr>
        <w:t>）技术部分评分标准：见评标办法前附表；</w:t>
      </w:r>
    </w:p>
    <w:p>
      <w:pPr>
        <w:spacing w:line="360" w:lineRule="auto"/>
        <w:ind w:firstLine="420" w:firstLineChars="200"/>
        <w:rPr>
          <w:rFonts w:ascii="Times New Roman" w:hAnsi="Times New Roman" w:cs="宋体"/>
          <w:color w:val="auto"/>
          <w:szCs w:val="21"/>
        </w:rPr>
      </w:pPr>
      <w:r>
        <w:rPr>
          <w:rFonts w:hint="eastAsia" w:ascii="Times New Roman" w:hAnsi="Times New Roman" w:cs="宋体"/>
          <w:color w:val="auto"/>
          <w:szCs w:val="21"/>
        </w:rPr>
        <w:t>（</w:t>
      </w:r>
      <w:r>
        <w:rPr>
          <w:rFonts w:hint="eastAsia" w:ascii="Times New Roman" w:hAnsi="Times New Roman"/>
          <w:color w:val="auto"/>
          <w:szCs w:val="21"/>
        </w:rPr>
        <w:t>2</w:t>
      </w:r>
      <w:r>
        <w:rPr>
          <w:rFonts w:hint="eastAsia" w:ascii="Times New Roman" w:hAnsi="Times New Roman" w:cs="宋体"/>
          <w:color w:val="auto"/>
          <w:szCs w:val="21"/>
        </w:rPr>
        <w:t>）商务部分评分标准：见评标办法前附表；</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hint="eastAsia" w:ascii="Times New Roman" w:hAnsi="Times New Roman"/>
          <w:color w:val="auto"/>
          <w:szCs w:val="21"/>
        </w:rPr>
        <w:t>3</w:t>
      </w:r>
      <w:r>
        <w:rPr>
          <w:rFonts w:hint="eastAsia" w:ascii="Times New Roman" w:hAnsi="Times New Roman" w:cs="宋体"/>
          <w:color w:val="auto"/>
          <w:szCs w:val="21"/>
        </w:rPr>
        <w:t>）报价部分评分标准：见评标办法前附表；</w:t>
      </w:r>
    </w:p>
    <w:p>
      <w:pPr>
        <w:spacing w:line="360" w:lineRule="auto"/>
        <w:ind w:firstLine="174" w:firstLineChars="83"/>
        <w:rPr>
          <w:rFonts w:ascii="Times New Roman" w:hAnsi="Times New Roman"/>
          <w:color w:val="auto"/>
          <w:szCs w:val="21"/>
        </w:rPr>
      </w:pPr>
      <w:bookmarkStart w:id="70" w:name="_Toc16821"/>
      <w:bookmarkStart w:id="71" w:name="_Toc3766"/>
      <w:r>
        <w:rPr>
          <w:rFonts w:ascii="Times New Roman" w:hAnsi="Times New Roman"/>
          <w:color w:val="auto"/>
          <w:szCs w:val="21"/>
        </w:rPr>
        <w:t xml:space="preserve">3. </w:t>
      </w:r>
      <w:r>
        <w:rPr>
          <w:rFonts w:hint="eastAsia" w:ascii="Times New Roman" w:hAnsi="Times New Roman"/>
          <w:color w:val="auto"/>
          <w:szCs w:val="21"/>
        </w:rPr>
        <w:t>评标程序</w:t>
      </w:r>
      <w:bookmarkEnd w:id="70"/>
      <w:bookmarkEnd w:id="71"/>
    </w:p>
    <w:p>
      <w:pPr>
        <w:spacing w:line="360" w:lineRule="auto"/>
        <w:ind w:firstLine="420" w:firstLineChars="200"/>
        <w:rPr>
          <w:rFonts w:ascii="Times New Roman" w:hAnsi="Times New Roman"/>
          <w:color w:val="auto"/>
          <w:szCs w:val="21"/>
        </w:rPr>
      </w:pPr>
      <w:bookmarkStart w:id="72" w:name="_Toc509841340"/>
      <w:bookmarkStart w:id="73" w:name="_Toc508877734"/>
      <w:bookmarkStart w:id="74" w:name="_Toc24603"/>
      <w:bookmarkStart w:id="75" w:name="_Toc25948"/>
      <w:r>
        <w:rPr>
          <w:rFonts w:ascii="Times New Roman" w:hAnsi="Times New Roman"/>
          <w:color w:val="auto"/>
          <w:szCs w:val="21"/>
        </w:rPr>
        <w:t>3.1</w:t>
      </w:r>
      <w:r>
        <w:rPr>
          <w:rFonts w:hint="eastAsia" w:ascii="Times New Roman" w:hAnsi="Times New Roman"/>
          <w:color w:val="auto"/>
          <w:szCs w:val="21"/>
        </w:rPr>
        <w:t xml:space="preserve"> 初步评审</w:t>
      </w:r>
      <w:bookmarkEnd w:id="72"/>
      <w:bookmarkEnd w:id="73"/>
      <w:bookmarkEnd w:id="74"/>
      <w:bookmarkEnd w:id="75"/>
    </w:p>
    <w:p>
      <w:pPr>
        <w:spacing w:line="360" w:lineRule="auto"/>
        <w:ind w:firstLine="420" w:firstLineChars="200"/>
        <w:rPr>
          <w:rFonts w:ascii="Times New Roman" w:hAnsi="Times New Roman" w:cs="宋体"/>
          <w:color w:val="auto"/>
          <w:szCs w:val="21"/>
        </w:rPr>
      </w:pPr>
      <w:r>
        <w:rPr>
          <w:rFonts w:ascii="Times New Roman" w:hAnsi="Times New Roman"/>
          <w:color w:val="auto"/>
          <w:szCs w:val="21"/>
        </w:rPr>
        <w:t xml:space="preserve">3.1.1 </w:t>
      </w:r>
      <w:r>
        <w:rPr>
          <w:rFonts w:hint="eastAsia" w:ascii="Times New Roman" w:hAnsi="Times New Roman" w:cs="宋体"/>
          <w:color w:val="auto"/>
          <w:szCs w:val="21"/>
        </w:rPr>
        <w:t>评标委员会可以要求投标人提交第二章</w:t>
      </w:r>
      <w:r>
        <w:rPr>
          <w:rFonts w:ascii="Times New Roman" w:hAnsi="Times New Roman"/>
          <w:color w:val="auto"/>
          <w:szCs w:val="21"/>
        </w:rPr>
        <w:t>“</w:t>
      </w:r>
      <w:r>
        <w:rPr>
          <w:rFonts w:hint="eastAsia" w:ascii="Times New Roman" w:hAnsi="Times New Roman" w:cs="宋体"/>
          <w:color w:val="auto"/>
          <w:szCs w:val="21"/>
        </w:rPr>
        <w:t>投标人须知</w:t>
      </w:r>
      <w:r>
        <w:rPr>
          <w:rFonts w:ascii="Times New Roman" w:hAnsi="Times New Roman"/>
          <w:color w:val="auto"/>
          <w:szCs w:val="21"/>
        </w:rPr>
        <w:t>”</w:t>
      </w:r>
      <w:r>
        <w:rPr>
          <w:rFonts w:hint="eastAsia" w:ascii="Times New Roman" w:hAnsi="Times New Roman" w:cs="宋体"/>
          <w:color w:val="auto"/>
          <w:szCs w:val="21"/>
        </w:rPr>
        <w:t>第</w:t>
      </w:r>
      <w:r>
        <w:rPr>
          <w:rFonts w:ascii="Times New Roman" w:hAnsi="Times New Roman"/>
          <w:color w:val="auto"/>
          <w:szCs w:val="21"/>
        </w:rPr>
        <w:t>3.5.1</w:t>
      </w:r>
      <w:r>
        <w:rPr>
          <w:rFonts w:hint="eastAsia" w:ascii="Times New Roman" w:hAnsi="Times New Roman" w:cs="宋体"/>
          <w:color w:val="auto"/>
          <w:szCs w:val="21"/>
        </w:rPr>
        <w:t>项至第</w:t>
      </w:r>
      <w:r>
        <w:rPr>
          <w:rFonts w:ascii="Times New Roman" w:hAnsi="Times New Roman"/>
          <w:color w:val="auto"/>
          <w:szCs w:val="21"/>
        </w:rPr>
        <w:t>3.5.5</w:t>
      </w:r>
      <w:r>
        <w:rPr>
          <w:rFonts w:hint="eastAsia" w:ascii="Times New Roman" w:hAnsi="Times New Roman" w:cs="宋体"/>
          <w:color w:val="auto"/>
          <w:szCs w:val="21"/>
        </w:rPr>
        <w:t>项规定的有关证明和证件的原件，以便核验。评标委员会依据本章第</w:t>
      </w:r>
      <w:r>
        <w:rPr>
          <w:rFonts w:ascii="Times New Roman" w:hAnsi="Times New Roman"/>
          <w:color w:val="auto"/>
          <w:szCs w:val="21"/>
        </w:rPr>
        <w:t>2.1</w:t>
      </w:r>
      <w:r>
        <w:rPr>
          <w:rFonts w:hint="eastAsia" w:ascii="Times New Roman" w:hAnsi="Times New Roman" w:cs="宋体"/>
          <w:color w:val="auto"/>
          <w:szCs w:val="21"/>
        </w:rPr>
        <w:t>款规定的标准对投标文件进行初步评审。有一项不符合评审标准的，评标委员会应否决其投标。</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3.1.2投标报价有算术错误的，评标委员会按以下原则对投标报价进行修正，修正的价格经投标人书面确认后具有约束力。投标人不接受修正价格的，评标委员会应否决其投标。</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1</w:t>
      </w:r>
      <w:r>
        <w:rPr>
          <w:rFonts w:hint="eastAsia" w:ascii="Times New Roman" w:hAnsi="Times New Roman" w:cs="宋体"/>
          <w:color w:val="auto"/>
          <w:szCs w:val="21"/>
        </w:rPr>
        <w:t>）投标文件中的大写金额与小写金额不一致的，以大写金额为准；</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2</w:t>
      </w:r>
      <w:r>
        <w:rPr>
          <w:rFonts w:hint="eastAsia" w:ascii="Times New Roman" w:hAnsi="Times New Roman" w:cs="宋体"/>
          <w:color w:val="auto"/>
          <w:szCs w:val="21"/>
        </w:rPr>
        <w:t>）总价金额与依据单价计算出的结果不一致的，以单价金额为准修正总价，但单价金额小数点有明显错误的除外；</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3</w:t>
      </w:r>
      <w:r>
        <w:rPr>
          <w:rFonts w:hint="eastAsia" w:ascii="Times New Roman" w:hAnsi="Times New Roman" w:cs="宋体"/>
          <w:color w:val="auto"/>
          <w:szCs w:val="21"/>
        </w:rPr>
        <w:t>）当单价与数量相乘不等于合价时，以单价计算为准，如果单价有明显的小数点位置差错，应以标出的合价为准，同时对单价予以修正；</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4</w:t>
      </w:r>
      <w:r>
        <w:rPr>
          <w:rFonts w:hint="eastAsia" w:ascii="Times New Roman" w:hAnsi="Times New Roman" w:cs="宋体"/>
          <w:color w:val="auto"/>
          <w:szCs w:val="21"/>
        </w:rPr>
        <w:t>）当各子目的合价累计不等于总价时，应以各子目合价累计数为准，修正总价。</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3.1.3</w:t>
      </w:r>
      <w:r>
        <w:rPr>
          <w:rFonts w:hint="eastAsia" w:ascii="Times New Roman" w:hAnsi="Times New Roman" w:cs="宋体"/>
          <w:color w:val="auto"/>
          <w:szCs w:val="21"/>
        </w:rPr>
        <w:t>修正后的最终投标报价若超过最高投标限价（如有），评标委员会应否决其投标。</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3.1.4</w:t>
      </w:r>
      <w:r>
        <w:rPr>
          <w:rFonts w:hint="eastAsia" w:ascii="Times New Roman" w:hAnsi="Times New Roman" w:cs="宋体"/>
          <w:color w:val="auto"/>
          <w:szCs w:val="21"/>
        </w:rPr>
        <w:t>修正后的最终投标报价仅作为签订合同的一个依据，不参与评标价得分的计算。</w:t>
      </w:r>
    </w:p>
    <w:p>
      <w:pPr>
        <w:spacing w:line="360" w:lineRule="auto"/>
        <w:ind w:firstLine="420" w:firstLineChars="200"/>
        <w:rPr>
          <w:rFonts w:ascii="Times New Roman" w:hAnsi="Times New Roman"/>
          <w:color w:val="auto"/>
          <w:szCs w:val="21"/>
        </w:rPr>
      </w:pPr>
      <w:bookmarkStart w:id="76" w:name="_Toc20371"/>
      <w:bookmarkStart w:id="77" w:name="_Toc508877735"/>
      <w:bookmarkStart w:id="78" w:name="_Toc509841341"/>
      <w:bookmarkStart w:id="79" w:name="_Toc16828"/>
      <w:r>
        <w:rPr>
          <w:rFonts w:ascii="Times New Roman" w:hAnsi="Times New Roman"/>
          <w:color w:val="auto"/>
          <w:szCs w:val="21"/>
        </w:rPr>
        <w:t xml:space="preserve">3.2 </w:t>
      </w:r>
      <w:r>
        <w:rPr>
          <w:rFonts w:hint="eastAsia" w:ascii="Times New Roman" w:hAnsi="Times New Roman"/>
          <w:color w:val="auto"/>
          <w:szCs w:val="21"/>
        </w:rPr>
        <w:t>详细评审</w:t>
      </w:r>
      <w:bookmarkEnd w:id="76"/>
      <w:bookmarkEnd w:id="77"/>
      <w:bookmarkEnd w:id="78"/>
      <w:bookmarkEnd w:id="79"/>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3.2.1 </w:t>
      </w:r>
      <w:r>
        <w:rPr>
          <w:rFonts w:hint="eastAsia" w:ascii="Times New Roman" w:hAnsi="Times New Roman" w:cs="宋体"/>
          <w:color w:val="auto"/>
          <w:szCs w:val="21"/>
        </w:rPr>
        <w:t>评标委员会按本章第</w:t>
      </w:r>
      <w:r>
        <w:rPr>
          <w:rFonts w:ascii="Times New Roman" w:hAnsi="Times New Roman"/>
          <w:color w:val="auto"/>
          <w:szCs w:val="21"/>
        </w:rPr>
        <w:t>2.2</w:t>
      </w:r>
      <w:r>
        <w:rPr>
          <w:rFonts w:hint="eastAsia" w:ascii="Times New Roman" w:hAnsi="Times New Roman" w:cs="宋体"/>
          <w:color w:val="auto"/>
          <w:szCs w:val="21"/>
        </w:rPr>
        <w:t>款规定的量化因素和分值进行打分，并计算出各投标人的商务和技术得分。</w:t>
      </w:r>
      <w:bookmarkStart w:id="80" w:name="_Toc508877736"/>
      <w:bookmarkStart w:id="81" w:name="_Toc509841342"/>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1</w:t>
      </w:r>
      <w:r>
        <w:rPr>
          <w:rFonts w:hint="eastAsia" w:ascii="Times New Roman" w:hAnsi="Times New Roman" w:cs="宋体"/>
          <w:color w:val="auto"/>
          <w:szCs w:val="21"/>
        </w:rPr>
        <w:t>）按本章第</w:t>
      </w:r>
      <w:r>
        <w:rPr>
          <w:rFonts w:ascii="Times New Roman" w:hAnsi="Times New Roman"/>
          <w:color w:val="auto"/>
          <w:szCs w:val="21"/>
        </w:rPr>
        <w:t xml:space="preserve"> 2.2.4</w:t>
      </w:r>
      <w:r>
        <w:rPr>
          <w:rFonts w:hint="eastAsia" w:ascii="Times New Roman" w:hAnsi="Times New Roman" w:cs="宋体"/>
          <w:color w:val="auto"/>
          <w:szCs w:val="21"/>
        </w:rPr>
        <w:t>（</w:t>
      </w:r>
      <w:r>
        <w:rPr>
          <w:rFonts w:ascii="Times New Roman" w:hAnsi="Times New Roman"/>
          <w:color w:val="auto"/>
          <w:szCs w:val="21"/>
        </w:rPr>
        <w:t>1</w:t>
      </w:r>
      <w:r>
        <w:rPr>
          <w:rFonts w:hint="eastAsia" w:ascii="Times New Roman" w:hAnsi="Times New Roman" w:cs="宋体"/>
          <w:color w:val="auto"/>
          <w:szCs w:val="21"/>
        </w:rPr>
        <w:t>）目规定的评审因素和分值对技术计算出得分</w:t>
      </w:r>
      <w:r>
        <w:rPr>
          <w:rFonts w:ascii="Times New Roman" w:hAnsi="Times New Roman"/>
          <w:color w:val="auto"/>
          <w:szCs w:val="21"/>
        </w:rPr>
        <w:t xml:space="preserve"> A</w:t>
      </w:r>
      <w:r>
        <w:rPr>
          <w:rFonts w:hint="eastAsia" w:ascii="Times New Roman" w:hAnsi="Times New Roman" w:cs="宋体"/>
          <w:color w:val="auto"/>
          <w:szCs w:val="21"/>
        </w:rPr>
        <w:t>；</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2</w:t>
      </w:r>
      <w:r>
        <w:rPr>
          <w:rFonts w:hint="eastAsia" w:ascii="Times New Roman" w:hAnsi="Times New Roman" w:cs="宋体"/>
          <w:color w:val="auto"/>
          <w:szCs w:val="21"/>
        </w:rPr>
        <w:t>）按本章第</w:t>
      </w:r>
      <w:r>
        <w:rPr>
          <w:rFonts w:ascii="Times New Roman" w:hAnsi="Times New Roman"/>
          <w:color w:val="auto"/>
          <w:szCs w:val="21"/>
        </w:rPr>
        <w:t xml:space="preserve"> 2.2.4</w:t>
      </w:r>
      <w:r>
        <w:rPr>
          <w:rFonts w:hint="eastAsia" w:ascii="Times New Roman" w:hAnsi="Times New Roman" w:cs="宋体"/>
          <w:color w:val="auto"/>
          <w:szCs w:val="21"/>
        </w:rPr>
        <w:t>（</w:t>
      </w:r>
      <w:r>
        <w:rPr>
          <w:rFonts w:ascii="Times New Roman" w:hAnsi="Times New Roman"/>
          <w:color w:val="auto"/>
          <w:szCs w:val="21"/>
        </w:rPr>
        <w:t>2</w:t>
      </w:r>
      <w:r>
        <w:rPr>
          <w:rFonts w:hint="eastAsia" w:ascii="Times New Roman" w:hAnsi="Times New Roman" w:cs="宋体"/>
          <w:color w:val="auto"/>
          <w:szCs w:val="21"/>
        </w:rPr>
        <w:t>）目规定的评审因素和分值对商务计算出得分</w:t>
      </w:r>
      <w:r>
        <w:rPr>
          <w:rFonts w:ascii="Times New Roman" w:hAnsi="Times New Roman"/>
          <w:color w:val="auto"/>
          <w:szCs w:val="21"/>
        </w:rPr>
        <w:t xml:space="preserve"> B</w:t>
      </w:r>
      <w:r>
        <w:rPr>
          <w:rFonts w:hint="eastAsia" w:ascii="Times New Roman" w:hAnsi="Times New Roman" w:cs="宋体"/>
          <w:color w:val="auto"/>
          <w:szCs w:val="21"/>
        </w:rPr>
        <w:t>；</w:t>
      </w:r>
    </w:p>
    <w:p>
      <w:pPr>
        <w:spacing w:line="360" w:lineRule="auto"/>
        <w:ind w:firstLine="420" w:firstLineChars="200"/>
        <w:rPr>
          <w:rFonts w:ascii="Times New Roman" w:hAnsi="Times New Roman" w:cs="宋体"/>
          <w:color w:val="auto"/>
          <w:szCs w:val="21"/>
        </w:rPr>
      </w:pPr>
      <w:r>
        <w:rPr>
          <w:rFonts w:hint="eastAsia" w:ascii="Times New Roman" w:hAnsi="Times New Roman" w:cs="宋体"/>
          <w:color w:val="auto"/>
          <w:szCs w:val="21"/>
        </w:rPr>
        <w:t>（</w:t>
      </w:r>
      <w:r>
        <w:rPr>
          <w:rFonts w:ascii="Times New Roman" w:hAnsi="Times New Roman"/>
          <w:color w:val="auto"/>
          <w:szCs w:val="21"/>
        </w:rPr>
        <w:t>3</w:t>
      </w:r>
      <w:r>
        <w:rPr>
          <w:rFonts w:hint="eastAsia" w:ascii="Times New Roman" w:hAnsi="Times New Roman" w:cs="宋体"/>
          <w:color w:val="auto"/>
          <w:szCs w:val="21"/>
        </w:rPr>
        <w:t>）按本章第</w:t>
      </w:r>
      <w:r>
        <w:rPr>
          <w:rFonts w:ascii="Times New Roman" w:hAnsi="Times New Roman"/>
          <w:color w:val="auto"/>
          <w:szCs w:val="21"/>
        </w:rPr>
        <w:t xml:space="preserve"> 2.2.4</w:t>
      </w:r>
      <w:r>
        <w:rPr>
          <w:rFonts w:hint="eastAsia" w:ascii="Times New Roman" w:hAnsi="Times New Roman" w:cs="宋体"/>
          <w:color w:val="auto"/>
          <w:szCs w:val="21"/>
        </w:rPr>
        <w:t>（</w:t>
      </w:r>
      <w:r>
        <w:rPr>
          <w:rFonts w:ascii="Times New Roman" w:hAnsi="Times New Roman"/>
          <w:color w:val="auto"/>
          <w:szCs w:val="21"/>
        </w:rPr>
        <w:t>3</w:t>
      </w:r>
      <w:r>
        <w:rPr>
          <w:rFonts w:hint="eastAsia" w:ascii="Times New Roman" w:hAnsi="Times New Roman" w:cs="宋体"/>
          <w:color w:val="auto"/>
          <w:szCs w:val="21"/>
        </w:rPr>
        <w:t>）目规定的评审因素和分值对报价计算出得分</w:t>
      </w:r>
      <w:r>
        <w:rPr>
          <w:rFonts w:ascii="Times New Roman" w:hAnsi="Times New Roman"/>
          <w:color w:val="auto"/>
          <w:szCs w:val="21"/>
        </w:rPr>
        <w:t xml:space="preserve"> C</w:t>
      </w:r>
      <w:r>
        <w:rPr>
          <w:rFonts w:hint="eastAsia" w:ascii="Times New Roman" w:hAnsi="Times New Roman" w:cs="宋体"/>
          <w:color w:val="auto"/>
          <w:szCs w:val="21"/>
        </w:rPr>
        <w:t>；</w:t>
      </w:r>
    </w:p>
    <w:p>
      <w:pPr>
        <w:spacing w:line="360" w:lineRule="auto"/>
        <w:ind w:firstLine="420" w:firstLineChars="200"/>
        <w:rPr>
          <w:rFonts w:ascii="Times New Roman" w:hAnsi="Times New Roman" w:cs="宋体"/>
          <w:color w:val="auto"/>
          <w:szCs w:val="21"/>
        </w:rPr>
      </w:pPr>
      <w:r>
        <w:rPr>
          <w:rFonts w:ascii="Times New Roman" w:hAnsi="Times New Roman"/>
          <w:color w:val="auto"/>
          <w:szCs w:val="21"/>
        </w:rPr>
        <w:t xml:space="preserve">3.2.2 </w:t>
      </w:r>
      <w:r>
        <w:rPr>
          <w:rFonts w:hint="eastAsia" w:ascii="Times New Roman" w:hAnsi="Times New Roman" w:cs="宋体"/>
          <w:color w:val="auto"/>
          <w:szCs w:val="21"/>
        </w:rPr>
        <w:t>评分分值计算保留小数点后两位，小数点后第三位</w:t>
      </w:r>
      <w:r>
        <w:rPr>
          <w:rFonts w:ascii="Times New Roman" w:hAnsi="Times New Roman"/>
          <w:color w:val="auto"/>
          <w:szCs w:val="21"/>
        </w:rPr>
        <w:t>“</w:t>
      </w:r>
      <w:r>
        <w:rPr>
          <w:rFonts w:hint="eastAsia" w:ascii="Times New Roman" w:hAnsi="Times New Roman" w:cs="宋体"/>
          <w:color w:val="auto"/>
          <w:szCs w:val="21"/>
        </w:rPr>
        <w:t>四舍五入</w:t>
      </w:r>
      <w:r>
        <w:rPr>
          <w:rFonts w:ascii="Times New Roman" w:hAnsi="Times New Roman"/>
          <w:color w:val="auto"/>
          <w:szCs w:val="21"/>
        </w:rPr>
        <w:t>”</w:t>
      </w:r>
      <w:r>
        <w:rPr>
          <w:rFonts w:hint="eastAsia" w:ascii="Times New Roman" w:hAnsi="Times New Roman" w:cs="宋体"/>
          <w:color w:val="auto"/>
          <w:szCs w:val="21"/>
        </w:rPr>
        <w:t>。</w:t>
      </w:r>
    </w:p>
    <w:p>
      <w:pPr>
        <w:spacing w:line="360" w:lineRule="auto"/>
        <w:ind w:firstLine="384" w:firstLineChars="183"/>
        <w:rPr>
          <w:rFonts w:ascii="Times New Roman" w:hAnsi="Times New Roman"/>
          <w:color w:val="auto"/>
          <w:sz w:val="24"/>
          <w:szCs w:val="21"/>
        </w:rPr>
      </w:pPr>
      <w:r>
        <w:rPr>
          <w:rFonts w:ascii="Times New Roman" w:hAnsi="Times New Roman"/>
          <w:color w:val="auto"/>
          <w:szCs w:val="21"/>
        </w:rPr>
        <w:t>3.2.</w:t>
      </w:r>
      <w:r>
        <w:rPr>
          <w:rFonts w:hint="eastAsia" w:ascii="Times New Roman" w:hAnsi="Times New Roman"/>
          <w:color w:val="auto"/>
          <w:szCs w:val="21"/>
        </w:rPr>
        <w:t>3</w:t>
      </w:r>
      <w:r>
        <w:rPr>
          <w:rFonts w:ascii="Times New Roman" w:hAnsi="Times New Roman"/>
          <w:color w:val="auto"/>
          <w:szCs w:val="21"/>
        </w:rPr>
        <w:t xml:space="preserve"> </w:t>
      </w:r>
      <w:r>
        <w:rPr>
          <w:rFonts w:hint="eastAsia" w:ascii="Times New Roman" w:hAnsi="Times New Roman"/>
          <w:color w:val="auto"/>
          <w:sz w:val="24"/>
          <w:szCs w:val="21"/>
        </w:rPr>
        <w:t xml:space="preserve"> </w:t>
      </w:r>
      <w:r>
        <w:rPr>
          <w:rFonts w:hint="eastAsia" w:ascii="Times New Roman" w:hAnsi="Times New Roman"/>
          <w:color w:val="auto"/>
          <w:szCs w:val="21"/>
        </w:rPr>
        <w:t>投标人综合得分=A+B+C</w:t>
      </w:r>
    </w:p>
    <w:bookmarkEnd w:id="80"/>
    <w:bookmarkEnd w:id="81"/>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2</w:t>
      </w:r>
      <w:r>
        <w:rPr>
          <w:rFonts w:ascii="Times New Roman" w:hAnsi="Times New Roman"/>
          <w:color w:val="auto"/>
          <w:szCs w:val="21"/>
        </w:rPr>
        <w:t>.</w:t>
      </w:r>
      <w:r>
        <w:rPr>
          <w:rFonts w:hint="eastAsia" w:ascii="Times New Roman" w:hAnsi="Times New Roman"/>
          <w:color w:val="auto"/>
          <w:szCs w:val="21"/>
        </w:rPr>
        <w:t>4</w:t>
      </w:r>
      <w:r>
        <w:rPr>
          <w:rFonts w:hint="eastAsia" w:ascii="Times New Roman" w:hAnsi="Times New Roman" w:cs="宋体"/>
          <w:color w:val="auto"/>
          <w:szCs w:val="21"/>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360" w:lineRule="auto"/>
        <w:ind w:firstLine="420" w:firstLineChars="200"/>
        <w:rPr>
          <w:rFonts w:ascii="Times New Roman" w:hAnsi="Times New Roman"/>
          <w:color w:val="auto"/>
          <w:szCs w:val="21"/>
        </w:rPr>
      </w:pPr>
      <w:bookmarkStart w:id="82" w:name="_Toc12379"/>
      <w:bookmarkStart w:id="83" w:name="_Toc509841345"/>
      <w:bookmarkStart w:id="84" w:name="_Toc24635"/>
      <w:bookmarkStart w:id="85" w:name="_Toc508877739"/>
      <w:r>
        <w:rPr>
          <w:rFonts w:ascii="Times New Roman" w:hAnsi="Times New Roman"/>
          <w:color w:val="auto"/>
          <w:szCs w:val="21"/>
        </w:rPr>
        <w:t>3.</w:t>
      </w:r>
      <w:r>
        <w:rPr>
          <w:rFonts w:hint="eastAsia" w:ascii="Times New Roman" w:hAnsi="Times New Roman"/>
          <w:color w:val="auto"/>
          <w:szCs w:val="21"/>
        </w:rPr>
        <w:t>3</w:t>
      </w:r>
      <w:r>
        <w:rPr>
          <w:rFonts w:ascii="Times New Roman" w:hAnsi="Times New Roman"/>
          <w:color w:val="auto"/>
          <w:szCs w:val="21"/>
        </w:rPr>
        <w:t xml:space="preserve"> </w:t>
      </w:r>
      <w:r>
        <w:rPr>
          <w:rFonts w:hint="eastAsia" w:ascii="Times New Roman" w:hAnsi="Times New Roman"/>
          <w:color w:val="auto"/>
          <w:szCs w:val="21"/>
        </w:rPr>
        <w:t>投标文件相关信息的核查</w:t>
      </w:r>
      <w:bookmarkEnd w:id="82"/>
      <w:bookmarkEnd w:id="83"/>
      <w:bookmarkEnd w:id="84"/>
      <w:bookmarkEnd w:id="85"/>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1</w:t>
      </w:r>
      <w:r>
        <w:rPr>
          <w:rFonts w:ascii="Times New Roman" w:hAnsi="Times New Roman"/>
          <w:color w:val="auto"/>
          <w:szCs w:val="21"/>
        </w:rPr>
        <w:t xml:space="preserve"> </w:t>
      </w:r>
      <w:r>
        <w:rPr>
          <w:rFonts w:hint="eastAsia" w:ascii="Times New Roman" w:hAnsi="Times New Roman" w:cs="宋体"/>
          <w:color w:val="auto"/>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1</w:t>
      </w:r>
      <w:r>
        <w:rPr>
          <w:rFonts w:hint="eastAsia" w:ascii="Times New Roman" w:hAnsi="Times New Roman" w:cs="宋体"/>
          <w:color w:val="auto"/>
          <w:szCs w:val="21"/>
        </w:rPr>
        <w:t>）有下列情形之一的，属于投标人相互串通投标：</w:t>
      </w:r>
    </w:p>
    <w:p>
      <w:pPr>
        <w:spacing w:line="360" w:lineRule="auto"/>
        <w:ind w:firstLine="420" w:firstLineChars="200"/>
        <w:rPr>
          <w:rFonts w:ascii="Times New Roman" w:hAnsi="Times New Roman"/>
          <w:color w:val="auto"/>
          <w:szCs w:val="21"/>
        </w:rPr>
      </w:pPr>
      <w:r>
        <w:rPr>
          <w:rFonts w:ascii="Times New Roman" w:hAnsi="Times New Roman"/>
          <w:color w:val="auto"/>
          <w:szCs w:val="21"/>
        </w:rPr>
        <w:t>a.</w:t>
      </w:r>
      <w:r>
        <w:rPr>
          <w:rFonts w:hint="eastAsia" w:ascii="Times New Roman" w:hAnsi="Times New Roman" w:cs="宋体"/>
          <w:color w:val="auto"/>
          <w:szCs w:val="21"/>
        </w:rPr>
        <w:t>投标人之间协商投标报价等投标文件的实质性内容；</w:t>
      </w:r>
    </w:p>
    <w:p>
      <w:pPr>
        <w:spacing w:line="360" w:lineRule="auto"/>
        <w:ind w:firstLine="420" w:firstLineChars="200"/>
        <w:rPr>
          <w:rFonts w:ascii="Times New Roman" w:hAnsi="Times New Roman"/>
          <w:color w:val="auto"/>
          <w:szCs w:val="21"/>
        </w:rPr>
      </w:pPr>
      <w:r>
        <w:rPr>
          <w:rFonts w:ascii="Times New Roman" w:hAnsi="Times New Roman"/>
          <w:color w:val="auto"/>
          <w:szCs w:val="21"/>
        </w:rPr>
        <w:t>b.</w:t>
      </w:r>
      <w:r>
        <w:rPr>
          <w:rFonts w:hint="eastAsia" w:ascii="Times New Roman" w:hAnsi="Times New Roman" w:cs="宋体"/>
          <w:color w:val="auto"/>
          <w:szCs w:val="21"/>
        </w:rPr>
        <w:t>投标人之间约定中标人；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c.</w:t>
      </w:r>
      <w:r>
        <w:rPr>
          <w:rFonts w:hint="eastAsia" w:ascii="Times New Roman" w:hAnsi="Times New Roman" w:cs="宋体"/>
          <w:color w:val="auto"/>
          <w:szCs w:val="21"/>
        </w:rPr>
        <w:t>投标人之间约定部分投标人放弃投标或中标；</w:t>
      </w:r>
    </w:p>
    <w:p>
      <w:pPr>
        <w:spacing w:line="360" w:lineRule="auto"/>
        <w:ind w:firstLine="420" w:firstLineChars="200"/>
        <w:rPr>
          <w:rFonts w:ascii="Times New Roman" w:hAnsi="Times New Roman"/>
          <w:color w:val="auto"/>
          <w:szCs w:val="21"/>
        </w:rPr>
      </w:pPr>
      <w:r>
        <w:rPr>
          <w:rFonts w:ascii="Times New Roman" w:hAnsi="Times New Roman"/>
          <w:color w:val="auto"/>
          <w:szCs w:val="21"/>
        </w:rPr>
        <w:t>d.</w:t>
      </w:r>
      <w:r>
        <w:rPr>
          <w:rFonts w:hint="eastAsia" w:ascii="Times New Roman" w:hAnsi="Times New Roman" w:cs="宋体"/>
          <w:color w:val="auto"/>
          <w:szCs w:val="21"/>
        </w:rPr>
        <w:t>属于同一集团、协会、商会等组织成员的投标人按照该组织要求协同投标；</w:t>
      </w:r>
    </w:p>
    <w:p>
      <w:pPr>
        <w:spacing w:line="360" w:lineRule="auto"/>
        <w:ind w:firstLine="420" w:firstLineChars="200"/>
        <w:rPr>
          <w:rFonts w:ascii="Times New Roman" w:hAnsi="Times New Roman"/>
          <w:color w:val="auto"/>
          <w:szCs w:val="21"/>
        </w:rPr>
      </w:pPr>
      <w:r>
        <w:rPr>
          <w:rFonts w:ascii="Times New Roman" w:hAnsi="Times New Roman"/>
          <w:color w:val="auto"/>
          <w:szCs w:val="21"/>
        </w:rPr>
        <w:t>e.</w:t>
      </w:r>
      <w:r>
        <w:rPr>
          <w:rFonts w:hint="eastAsia" w:ascii="Times New Roman" w:hAnsi="Times New Roman" w:cs="宋体"/>
          <w:color w:val="auto"/>
          <w:szCs w:val="21"/>
        </w:rPr>
        <w:t>投标人之间为谋取中标或排斥特定投标人而采取的其他联合行动。</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2</w:t>
      </w:r>
      <w:r>
        <w:rPr>
          <w:rFonts w:hint="eastAsia" w:ascii="Times New Roman" w:hAnsi="Times New Roman" w:cs="宋体"/>
          <w:color w:val="auto"/>
          <w:szCs w:val="21"/>
        </w:rPr>
        <w:t>）有下列情形之一的，视为投标人相互串通投标：</w:t>
      </w:r>
    </w:p>
    <w:p>
      <w:pPr>
        <w:spacing w:line="360" w:lineRule="auto"/>
        <w:ind w:firstLine="420" w:firstLineChars="200"/>
        <w:rPr>
          <w:rFonts w:ascii="Times New Roman" w:hAnsi="Times New Roman"/>
          <w:color w:val="auto"/>
          <w:szCs w:val="21"/>
        </w:rPr>
      </w:pPr>
      <w:r>
        <w:rPr>
          <w:rFonts w:ascii="Times New Roman" w:hAnsi="Times New Roman"/>
          <w:color w:val="auto"/>
          <w:szCs w:val="21"/>
        </w:rPr>
        <w:t>a.</w:t>
      </w:r>
      <w:r>
        <w:rPr>
          <w:rFonts w:hint="eastAsia" w:ascii="Times New Roman" w:hAnsi="Times New Roman" w:cs="宋体"/>
          <w:color w:val="auto"/>
          <w:szCs w:val="21"/>
        </w:rPr>
        <w:t>不同投标人的投标文件由同一单位或个人编制；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b.</w:t>
      </w:r>
      <w:r>
        <w:rPr>
          <w:rFonts w:hint="eastAsia" w:ascii="Times New Roman" w:hAnsi="Times New Roman" w:cs="宋体"/>
          <w:color w:val="auto"/>
          <w:szCs w:val="21"/>
        </w:rPr>
        <w:t>不同投标人委托同一单位或个人办理投标事宜；</w:t>
      </w:r>
    </w:p>
    <w:p>
      <w:pPr>
        <w:spacing w:line="360" w:lineRule="auto"/>
        <w:ind w:firstLine="420" w:firstLineChars="200"/>
        <w:rPr>
          <w:rFonts w:ascii="Times New Roman" w:hAnsi="Times New Roman"/>
          <w:color w:val="auto"/>
          <w:szCs w:val="21"/>
        </w:rPr>
      </w:pPr>
      <w:r>
        <w:rPr>
          <w:rFonts w:ascii="Times New Roman" w:hAnsi="Times New Roman"/>
          <w:color w:val="auto"/>
          <w:szCs w:val="21"/>
        </w:rPr>
        <w:t>c.</w:t>
      </w:r>
      <w:r>
        <w:rPr>
          <w:rFonts w:hint="eastAsia" w:ascii="Times New Roman" w:hAnsi="Times New Roman" w:cs="宋体"/>
          <w:color w:val="auto"/>
          <w:szCs w:val="21"/>
        </w:rPr>
        <w:t>不同投标人的投标文件载明的项目管理成员为同一人；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d.</w:t>
      </w:r>
      <w:r>
        <w:rPr>
          <w:rFonts w:hint="eastAsia" w:ascii="Times New Roman" w:hAnsi="Times New Roman" w:cs="宋体"/>
          <w:color w:val="auto"/>
          <w:szCs w:val="21"/>
        </w:rPr>
        <w:t>不同投标人的投标文件异常一致或投标报价呈规律性差异；</w:t>
      </w:r>
    </w:p>
    <w:p>
      <w:pPr>
        <w:spacing w:line="360" w:lineRule="auto"/>
        <w:ind w:firstLine="420" w:firstLineChars="200"/>
        <w:rPr>
          <w:rFonts w:ascii="Times New Roman" w:hAnsi="Times New Roman"/>
          <w:color w:val="auto"/>
          <w:szCs w:val="21"/>
        </w:rPr>
      </w:pPr>
      <w:r>
        <w:rPr>
          <w:rFonts w:ascii="Times New Roman" w:hAnsi="Times New Roman"/>
          <w:color w:val="auto"/>
          <w:szCs w:val="21"/>
        </w:rPr>
        <w:t>e.</w:t>
      </w:r>
      <w:r>
        <w:rPr>
          <w:rFonts w:hint="eastAsia" w:ascii="Times New Roman" w:hAnsi="Times New Roman" w:cs="宋体"/>
          <w:color w:val="auto"/>
          <w:szCs w:val="21"/>
        </w:rPr>
        <w:t>不同投标人的投标文件相互混装；</w:t>
      </w:r>
    </w:p>
    <w:p>
      <w:pPr>
        <w:spacing w:line="360" w:lineRule="auto"/>
        <w:ind w:firstLine="420" w:firstLineChars="200"/>
        <w:rPr>
          <w:rFonts w:ascii="Times New Roman" w:hAnsi="Times New Roman"/>
          <w:color w:val="auto"/>
          <w:szCs w:val="21"/>
        </w:rPr>
      </w:pPr>
      <w:r>
        <w:rPr>
          <w:rFonts w:ascii="Times New Roman" w:hAnsi="Times New Roman"/>
          <w:color w:val="auto"/>
          <w:szCs w:val="21"/>
        </w:rPr>
        <w:t>f.</w:t>
      </w:r>
      <w:r>
        <w:rPr>
          <w:rFonts w:hint="eastAsia" w:ascii="Times New Roman" w:hAnsi="Times New Roman" w:cs="宋体"/>
          <w:color w:val="auto"/>
          <w:szCs w:val="21"/>
        </w:rPr>
        <w:t>不同投标人的投标保证金从同一单位或个人的账户转出。</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3</w:t>
      </w:r>
      <w:r>
        <w:rPr>
          <w:rFonts w:hint="eastAsia" w:ascii="Times New Roman" w:hAnsi="Times New Roman" w:cs="宋体"/>
          <w:color w:val="auto"/>
          <w:szCs w:val="21"/>
        </w:rPr>
        <w:t>）有下列情形之一的，属于招标人与投标人串通投标：</w:t>
      </w:r>
    </w:p>
    <w:p>
      <w:pPr>
        <w:spacing w:line="360" w:lineRule="auto"/>
        <w:ind w:firstLine="420" w:firstLineChars="200"/>
        <w:rPr>
          <w:rFonts w:ascii="Times New Roman" w:hAnsi="Times New Roman"/>
          <w:color w:val="auto"/>
          <w:szCs w:val="21"/>
        </w:rPr>
      </w:pPr>
      <w:r>
        <w:rPr>
          <w:rFonts w:ascii="Times New Roman" w:hAnsi="Times New Roman"/>
          <w:color w:val="auto"/>
          <w:szCs w:val="21"/>
        </w:rPr>
        <w:t>a.</w:t>
      </w:r>
      <w:r>
        <w:rPr>
          <w:rFonts w:hint="eastAsia" w:ascii="Times New Roman" w:hAnsi="Times New Roman" w:cs="宋体"/>
          <w:color w:val="auto"/>
          <w:szCs w:val="21"/>
        </w:rPr>
        <w:t>招标人在开标前开启投标文件并将有关信息泄露给其他投标人</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b.</w:t>
      </w:r>
      <w:r>
        <w:rPr>
          <w:rFonts w:hint="eastAsia" w:ascii="Times New Roman" w:hAnsi="Times New Roman" w:cs="宋体"/>
          <w:color w:val="auto"/>
          <w:szCs w:val="21"/>
        </w:rPr>
        <w:t>招标人直接或间接向投标人泄露标底、评标委员会成员等信息；</w:t>
      </w:r>
    </w:p>
    <w:p>
      <w:pPr>
        <w:spacing w:line="360" w:lineRule="auto"/>
        <w:ind w:firstLine="420" w:firstLineChars="200"/>
        <w:rPr>
          <w:rFonts w:ascii="Times New Roman" w:hAnsi="Times New Roman"/>
          <w:color w:val="auto"/>
          <w:szCs w:val="21"/>
        </w:rPr>
      </w:pPr>
      <w:r>
        <w:rPr>
          <w:rFonts w:ascii="Times New Roman" w:hAnsi="Times New Roman"/>
          <w:color w:val="auto"/>
          <w:szCs w:val="21"/>
        </w:rPr>
        <w:t>c.</w:t>
      </w:r>
      <w:r>
        <w:rPr>
          <w:rFonts w:hint="eastAsia" w:ascii="Times New Roman" w:hAnsi="Times New Roman" w:cs="宋体"/>
          <w:color w:val="auto"/>
          <w:szCs w:val="21"/>
        </w:rPr>
        <w:t>招标人明示或暗示投标人压低或抬高投标报价；</w:t>
      </w:r>
    </w:p>
    <w:p>
      <w:pPr>
        <w:spacing w:line="360" w:lineRule="auto"/>
        <w:ind w:firstLine="420" w:firstLineChars="200"/>
        <w:rPr>
          <w:rFonts w:ascii="Times New Roman" w:hAnsi="Times New Roman"/>
          <w:color w:val="auto"/>
          <w:szCs w:val="21"/>
        </w:rPr>
      </w:pPr>
      <w:r>
        <w:rPr>
          <w:rFonts w:ascii="Times New Roman" w:hAnsi="Times New Roman"/>
          <w:color w:val="auto"/>
          <w:szCs w:val="21"/>
        </w:rPr>
        <w:t>d.</w:t>
      </w:r>
      <w:r>
        <w:rPr>
          <w:rFonts w:hint="eastAsia" w:ascii="Times New Roman" w:hAnsi="Times New Roman" w:cs="宋体"/>
          <w:color w:val="auto"/>
          <w:szCs w:val="21"/>
        </w:rPr>
        <w:t>招标人授意投标人撤换、修改投标文件；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e.</w:t>
      </w:r>
      <w:r>
        <w:rPr>
          <w:rFonts w:hint="eastAsia" w:ascii="Times New Roman" w:hAnsi="Times New Roman" w:cs="宋体"/>
          <w:color w:val="auto"/>
          <w:szCs w:val="21"/>
        </w:rPr>
        <w:t>招标人明示或暗示投标人为特定投标人中标提供方便；</w:t>
      </w:r>
    </w:p>
    <w:p>
      <w:pPr>
        <w:spacing w:line="360" w:lineRule="auto"/>
        <w:ind w:firstLine="420" w:firstLineChars="200"/>
        <w:rPr>
          <w:rFonts w:ascii="Times New Roman" w:hAnsi="Times New Roman"/>
          <w:color w:val="auto"/>
          <w:szCs w:val="21"/>
        </w:rPr>
      </w:pPr>
      <w:r>
        <w:rPr>
          <w:rFonts w:ascii="Times New Roman" w:hAnsi="Times New Roman"/>
          <w:color w:val="auto"/>
          <w:szCs w:val="21"/>
        </w:rPr>
        <w:t>f.</w:t>
      </w:r>
      <w:r>
        <w:rPr>
          <w:rFonts w:hint="eastAsia" w:ascii="Times New Roman" w:hAnsi="Times New Roman" w:cs="宋体"/>
          <w:color w:val="auto"/>
          <w:szCs w:val="21"/>
        </w:rPr>
        <w:t>招标人与投标人为谋求特定投标人中标而采取的其他串通行为。</w:t>
      </w:r>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w:t>
      </w:r>
      <w:r>
        <w:rPr>
          <w:rFonts w:ascii="Times New Roman" w:hAnsi="Times New Roman"/>
          <w:color w:val="auto"/>
          <w:szCs w:val="21"/>
        </w:rPr>
        <w:t>4</w:t>
      </w:r>
      <w:r>
        <w:rPr>
          <w:rFonts w:hint="eastAsia" w:ascii="Times New Roman" w:hAnsi="Times New Roman" w:cs="宋体"/>
          <w:color w:val="auto"/>
          <w:szCs w:val="21"/>
        </w:rPr>
        <w:t>）投标人有下列情形之一的，属于弄虚作假的行为：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a.</w:t>
      </w:r>
      <w:r>
        <w:rPr>
          <w:rFonts w:hint="eastAsia" w:ascii="Times New Roman" w:hAnsi="Times New Roman" w:cs="宋体"/>
          <w:color w:val="auto"/>
          <w:szCs w:val="21"/>
        </w:rPr>
        <w:t>使用通过受让或租借等方式获取的资格、资质证书投标；</w:t>
      </w:r>
    </w:p>
    <w:p>
      <w:pPr>
        <w:spacing w:line="360" w:lineRule="auto"/>
        <w:ind w:firstLine="420" w:firstLineChars="200"/>
        <w:rPr>
          <w:rFonts w:ascii="Times New Roman" w:hAnsi="Times New Roman"/>
          <w:color w:val="auto"/>
          <w:szCs w:val="21"/>
        </w:rPr>
      </w:pPr>
      <w:r>
        <w:rPr>
          <w:rFonts w:ascii="Times New Roman" w:hAnsi="Times New Roman"/>
          <w:color w:val="auto"/>
          <w:szCs w:val="21"/>
        </w:rPr>
        <w:t>b.</w:t>
      </w:r>
      <w:r>
        <w:rPr>
          <w:rFonts w:hint="eastAsia" w:ascii="Times New Roman" w:hAnsi="Times New Roman" w:cs="宋体"/>
          <w:color w:val="auto"/>
          <w:szCs w:val="21"/>
        </w:rPr>
        <w:t>使用伪造、变造的许可证件；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c.</w:t>
      </w:r>
      <w:r>
        <w:rPr>
          <w:rFonts w:hint="eastAsia" w:ascii="Times New Roman" w:hAnsi="Times New Roman" w:cs="宋体"/>
          <w:color w:val="auto"/>
          <w:szCs w:val="21"/>
        </w:rPr>
        <w:t>提供虚假的业绩；</w:t>
      </w:r>
    </w:p>
    <w:p>
      <w:pPr>
        <w:spacing w:line="360" w:lineRule="auto"/>
        <w:ind w:firstLine="420" w:firstLineChars="200"/>
        <w:rPr>
          <w:rFonts w:ascii="Times New Roman" w:hAnsi="Times New Roman"/>
          <w:color w:val="auto"/>
          <w:szCs w:val="21"/>
        </w:rPr>
      </w:pPr>
      <w:r>
        <w:rPr>
          <w:rFonts w:ascii="Times New Roman" w:hAnsi="Times New Roman"/>
          <w:color w:val="auto"/>
          <w:szCs w:val="21"/>
        </w:rPr>
        <w:t>d.</w:t>
      </w:r>
      <w:r>
        <w:rPr>
          <w:rFonts w:hint="eastAsia" w:ascii="Times New Roman" w:hAnsi="Times New Roman" w:cs="宋体"/>
          <w:color w:val="auto"/>
          <w:szCs w:val="21"/>
        </w:rPr>
        <w:t>提供虚假的项目负责人或主要技术人员简历、劳动关系证明；</w:t>
      </w:r>
    </w:p>
    <w:p>
      <w:pPr>
        <w:spacing w:line="360" w:lineRule="auto"/>
        <w:ind w:firstLine="420" w:firstLineChars="200"/>
        <w:rPr>
          <w:rFonts w:ascii="Times New Roman" w:hAnsi="Times New Roman"/>
          <w:color w:val="auto"/>
          <w:szCs w:val="21"/>
        </w:rPr>
      </w:pPr>
      <w:r>
        <w:rPr>
          <w:rFonts w:ascii="Times New Roman" w:hAnsi="Times New Roman"/>
          <w:color w:val="auto"/>
          <w:szCs w:val="21"/>
        </w:rPr>
        <w:t>e.</w:t>
      </w:r>
      <w:r>
        <w:rPr>
          <w:rFonts w:hint="eastAsia" w:ascii="Times New Roman" w:hAnsi="Times New Roman" w:cs="宋体"/>
          <w:color w:val="auto"/>
          <w:szCs w:val="21"/>
        </w:rPr>
        <w:t>提供虚假的信用状况；</w:t>
      </w:r>
    </w:p>
    <w:p>
      <w:pPr>
        <w:spacing w:line="360" w:lineRule="auto"/>
        <w:ind w:firstLine="420" w:firstLineChars="200"/>
        <w:rPr>
          <w:rFonts w:ascii="Times New Roman" w:hAnsi="Times New Roman"/>
          <w:color w:val="auto"/>
          <w:szCs w:val="21"/>
        </w:rPr>
      </w:pPr>
      <w:r>
        <w:rPr>
          <w:rFonts w:ascii="Times New Roman" w:hAnsi="Times New Roman"/>
          <w:color w:val="auto"/>
          <w:szCs w:val="21"/>
        </w:rPr>
        <w:t>f.</w:t>
      </w:r>
      <w:r>
        <w:rPr>
          <w:rFonts w:hint="eastAsia" w:ascii="Times New Roman" w:hAnsi="Times New Roman" w:cs="宋体"/>
          <w:color w:val="auto"/>
          <w:szCs w:val="21"/>
        </w:rPr>
        <w:t>其他弄虚作假的行为。</w:t>
      </w:r>
    </w:p>
    <w:p>
      <w:pPr>
        <w:spacing w:line="360" w:lineRule="auto"/>
        <w:ind w:firstLine="420" w:firstLineChars="200"/>
        <w:rPr>
          <w:rFonts w:ascii="Times New Roman" w:hAnsi="Times New Roman"/>
          <w:color w:val="auto"/>
          <w:szCs w:val="21"/>
        </w:rPr>
      </w:pPr>
      <w:bookmarkStart w:id="86" w:name="_Toc13634"/>
      <w:bookmarkStart w:id="87" w:name="_Toc509841346"/>
      <w:bookmarkStart w:id="88" w:name="_Toc508877740"/>
      <w:bookmarkStart w:id="89" w:name="_Toc6997"/>
      <w:r>
        <w:rPr>
          <w:rFonts w:ascii="Times New Roman" w:hAnsi="Times New Roman"/>
          <w:color w:val="auto"/>
          <w:szCs w:val="21"/>
        </w:rPr>
        <w:t>3.</w:t>
      </w:r>
      <w:r>
        <w:rPr>
          <w:rFonts w:hint="eastAsia" w:ascii="Times New Roman" w:hAnsi="Times New Roman"/>
          <w:color w:val="auto"/>
          <w:szCs w:val="21"/>
        </w:rPr>
        <w:t>4投标文件的澄清和说明</w:t>
      </w:r>
      <w:bookmarkEnd w:id="86"/>
      <w:bookmarkEnd w:id="87"/>
      <w:bookmarkEnd w:id="88"/>
      <w:bookmarkEnd w:id="89"/>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4</w:t>
      </w:r>
      <w:r>
        <w:rPr>
          <w:rFonts w:ascii="Times New Roman" w:hAnsi="Times New Roman"/>
          <w:color w:val="auto"/>
          <w:szCs w:val="21"/>
        </w:rPr>
        <w:t>.1</w:t>
      </w:r>
      <w:r>
        <w:rPr>
          <w:rFonts w:hint="eastAsia" w:ascii="Times New Roman" w:hAnsi="Times New Roman" w:cs="宋体"/>
          <w:color w:val="auto"/>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4</w:t>
      </w:r>
      <w:r>
        <w:rPr>
          <w:rFonts w:ascii="Times New Roman" w:hAnsi="Times New Roman"/>
          <w:color w:val="auto"/>
          <w:szCs w:val="21"/>
        </w:rPr>
        <w:t>.2</w:t>
      </w:r>
      <w:r>
        <w:rPr>
          <w:rFonts w:hint="eastAsia" w:ascii="Times New Roman" w:hAnsi="Times New Roman" w:cs="宋体"/>
          <w:color w:val="auto"/>
          <w:szCs w:val="21"/>
        </w:rPr>
        <w:t>澄清和说明不得超出投标文件的范围或改变投标文件的实质性内容（算术性错误的修正除外）。投标人的书面澄清、说明属于投标文件的组成部分。</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4</w:t>
      </w:r>
      <w:r>
        <w:rPr>
          <w:rFonts w:ascii="Times New Roman" w:hAnsi="Times New Roman"/>
          <w:color w:val="auto"/>
          <w:szCs w:val="21"/>
        </w:rPr>
        <w:t>.3</w:t>
      </w:r>
      <w:r>
        <w:rPr>
          <w:rFonts w:hint="eastAsia" w:ascii="Times New Roman" w:hAnsi="Times New Roman" w:cs="宋体"/>
          <w:color w:val="auto"/>
          <w:szCs w:val="21"/>
        </w:rPr>
        <w:t>评标委员会不得暗示或诱导投标人作出澄清、说明，对投标人提交的澄清、说明有疑问的，可以要求投标人进一步澄清或说明，直至满足评标委员会的要求。</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4</w:t>
      </w:r>
      <w:r>
        <w:rPr>
          <w:rFonts w:ascii="Times New Roman" w:hAnsi="Times New Roman"/>
          <w:color w:val="auto"/>
          <w:szCs w:val="21"/>
        </w:rPr>
        <w:t xml:space="preserve">.4 </w:t>
      </w:r>
      <w:r>
        <w:rPr>
          <w:rFonts w:hint="eastAsia" w:ascii="Times New Roman" w:hAnsi="Times New Roman" w:cs="宋体"/>
          <w:color w:val="auto"/>
          <w:szCs w:val="21"/>
        </w:rPr>
        <w:t>凡超出招标文件规定的或给发包人带来未曾要求的利益的变化、偏差或其他因素在评标时不予考虑。</w:t>
      </w:r>
    </w:p>
    <w:p>
      <w:pPr>
        <w:spacing w:line="360" w:lineRule="auto"/>
        <w:ind w:firstLine="420" w:firstLineChars="200"/>
        <w:rPr>
          <w:rFonts w:ascii="Times New Roman" w:hAnsi="Times New Roman"/>
          <w:color w:val="auto"/>
          <w:szCs w:val="21"/>
        </w:rPr>
      </w:pPr>
      <w:bookmarkStart w:id="90" w:name="_Toc509841347"/>
      <w:bookmarkStart w:id="91" w:name="_Toc4967"/>
      <w:bookmarkStart w:id="92" w:name="_Toc28499"/>
      <w:bookmarkStart w:id="93" w:name="_Toc508877741"/>
      <w:bookmarkStart w:id="94" w:name="_Toc501257170"/>
      <w:r>
        <w:rPr>
          <w:rFonts w:ascii="Times New Roman" w:hAnsi="Times New Roman"/>
          <w:color w:val="auto"/>
          <w:szCs w:val="21"/>
        </w:rPr>
        <w:t>3.</w:t>
      </w:r>
      <w:r>
        <w:rPr>
          <w:rFonts w:hint="eastAsia" w:ascii="Times New Roman" w:hAnsi="Times New Roman"/>
          <w:color w:val="auto"/>
          <w:szCs w:val="21"/>
        </w:rPr>
        <w:t>5</w:t>
      </w:r>
      <w:r>
        <w:rPr>
          <w:rFonts w:ascii="Times New Roman" w:hAnsi="Times New Roman"/>
          <w:color w:val="auto"/>
          <w:szCs w:val="21"/>
        </w:rPr>
        <w:t xml:space="preserve"> </w:t>
      </w:r>
      <w:r>
        <w:rPr>
          <w:rFonts w:hint="eastAsia" w:ascii="Times New Roman" w:hAnsi="Times New Roman"/>
          <w:color w:val="auto"/>
          <w:szCs w:val="21"/>
        </w:rPr>
        <w:t>不得否决投标的情形</w:t>
      </w:r>
      <w:bookmarkEnd w:id="90"/>
      <w:bookmarkEnd w:id="91"/>
      <w:bookmarkEnd w:id="92"/>
      <w:bookmarkEnd w:id="93"/>
      <w:bookmarkEnd w:id="94"/>
    </w:p>
    <w:p>
      <w:pPr>
        <w:spacing w:line="360" w:lineRule="auto"/>
        <w:ind w:firstLine="420" w:firstLineChars="200"/>
        <w:rPr>
          <w:rFonts w:ascii="Times New Roman" w:hAnsi="Times New Roman"/>
          <w:color w:val="auto"/>
          <w:szCs w:val="21"/>
        </w:rPr>
      </w:pPr>
      <w:r>
        <w:rPr>
          <w:rFonts w:hint="eastAsia" w:ascii="Times New Roman" w:hAnsi="Times New Roman" w:cs="宋体"/>
          <w:color w:val="auto"/>
          <w:szCs w:val="21"/>
        </w:rPr>
        <w:t>投标文件存在第二章“投标人须知”第</w:t>
      </w:r>
      <w:r>
        <w:rPr>
          <w:rFonts w:ascii="Times New Roman" w:hAnsi="Times New Roman"/>
          <w:color w:val="auto"/>
          <w:szCs w:val="21"/>
        </w:rPr>
        <w:t>1.12.3</w:t>
      </w:r>
      <w:r>
        <w:rPr>
          <w:rFonts w:hint="eastAsia" w:ascii="Times New Roman" w:hAnsi="Times New Roman" w:cs="宋体"/>
          <w:color w:val="auto"/>
          <w:szCs w:val="21"/>
        </w:rPr>
        <w:t>项所列情形的，均视为细微偏差，评标委员会不得否决投标人的投标，应按照第二章“投标人须知”第</w:t>
      </w:r>
      <w:r>
        <w:rPr>
          <w:rFonts w:ascii="Times New Roman" w:hAnsi="Times New Roman"/>
          <w:color w:val="auto"/>
          <w:szCs w:val="21"/>
        </w:rPr>
        <w:t>1.12.4</w:t>
      </w:r>
      <w:r>
        <w:rPr>
          <w:rFonts w:hint="eastAsia" w:ascii="Times New Roman" w:hAnsi="Times New Roman" w:cs="宋体"/>
          <w:color w:val="auto"/>
          <w:szCs w:val="21"/>
        </w:rPr>
        <w:t>项规定的原则处理。</w:t>
      </w:r>
    </w:p>
    <w:p>
      <w:pPr>
        <w:spacing w:line="360" w:lineRule="auto"/>
        <w:ind w:firstLine="420" w:firstLineChars="200"/>
        <w:rPr>
          <w:rFonts w:ascii="Times New Roman" w:hAnsi="Times New Roman"/>
          <w:color w:val="auto"/>
          <w:szCs w:val="21"/>
        </w:rPr>
      </w:pPr>
      <w:bookmarkStart w:id="95" w:name="_Toc29732"/>
      <w:bookmarkStart w:id="96" w:name="_Toc509841348"/>
      <w:bookmarkStart w:id="97" w:name="_Toc32"/>
      <w:bookmarkStart w:id="98" w:name="_Toc508877742"/>
      <w:r>
        <w:rPr>
          <w:rFonts w:ascii="Times New Roman" w:hAnsi="Times New Roman"/>
          <w:color w:val="auto"/>
          <w:szCs w:val="21"/>
        </w:rPr>
        <w:t>3.</w:t>
      </w:r>
      <w:r>
        <w:rPr>
          <w:rFonts w:hint="eastAsia" w:ascii="Times New Roman" w:hAnsi="Times New Roman"/>
          <w:color w:val="auto"/>
          <w:szCs w:val="21"/>
        </w:rPr>
        <w:t>6评标结果</w:t>
      </w:r>
      <w:bookmarkEnd w:id="95"/>
      <w:bookmarkEnd w:id="96"/>
      <w:bookmarkEnd w:id="97"/>
      <w:bookmarkEnd w:id="98"/>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6</w:t>
      </w:r>
      <w:r>
        <w:rPr>
          <w:rFonts w:ascii="Times New Roman" w:hAnsi="Times New Roman"/>
          <w:color w:val="auto"/>
          <w:szCs w:val="21"/>
        </w:rPr>
        <w:t>.1</w:t>
      </w:r>
      <w:r>
        <w:rPr>
          <w:rFonts w:hint="eastAsia" w:ascii="Times New Roman" w:hAnsi="Times New Roman" w:cs="宋体"/>
          <w:color w:val="auto"/>
          <w:szCs w:val="21"/>
        </w:rPr>
        <w:t>除第二章“投标人须知”前附表授权直接确定中标人外，评标委员会按照得分由高到低的顺序推荐中标候选人，并标明排序。</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6</w:t>
      </w:r>
      <w:r>
        <w:rPr>
          <w:rFonts w:ascii="Times New Roman" w:hAnsi="Times New Roman"/>
          <w:color w:val="auto"/>
          <w:szCs w:val="21"/>
        </w:rPr>
        <w:t xml:space="preserve">.2 </w:t>
      </w:r>
      <w:r>
        <w:rPr>
          <w:rFonts w:hint="eastAsia" w:ascii="Times New Roman" w:hAnsi="Times New Roman" w:cs="宋体"/>
          <w:color w:val="auto"/>
          <w:szCs w:val="21"/>
        </w:rPr>
        <w:t>评标委员会完成评标后，应向招标人提交书面评标报告。</w:t>
      </w:r>
      <w:bookmarkEnd w:id="56"/>
    </w:p>
    <w:p>
      <w:pPr>
        <w:spacing w:line="400" w:lineRule="atLeast"/>
        <w:ind w:firstLine="480" w:firstLineChars="200"/>
        <w:rPr>
          <w:rFonts w:ascii="Times New Roman" w:hAnsi="Times New Roman"/>
          <w:color w:val="auto"/>
          <w:sz w:val="24"/>
        </w:rPr>
      </w:pPr>
    </w:p>
    <w:p>
      <w:pPr>
        <w:widowControl/>
        <w:jc w:val="center"/>
        <w:rPr>
          <w:rFonts w:ascii="宋体" w:hAnsi="宋体"/>
          <w:b/>
          <w:color w:val="auto"/>
          <w:sz w:val="28"/>
          <w:szCs w:val="28"/>
        </w:rPr>
      </w:pPr>
      <w:r>
        <w:rPr>
          <w:rFonts w:ascii="Times New Roman" w:hAnsi="Times New Roman"/>
          <w:color w:val="auto"/>
          <w:sz w:val="24"/>
          <w:szCs w:val="21"/>
        </w:rPr>
        <w:br w:type="page"/>
      </w:r>
      <w:r>
        <w:rPr>
          <w:rFonts w:hint="eastAsia" w:ascii="宋体" w:hAnsi="宋体"/>
          <w:b/>
          <w:color w:val="auto"/>
          <w:sz w:val="28"/>
          <w:szCs w:val="28"/>
        </w:rPr>
        <w:t>综合评估法否决投标情况一览表</w:t>
      </w:r>
    </w:p>
    <w:p>
      <w:pPr>
        <w:spacing w:line="360" w:lineRule="auto"/>
        <w:ind w:firstLine="480" w:firstLineChars="200"/>
        <w:rPr>
          <w:rFonts w:ascii="Times New Roman" w:hAnsi="Times New Roman"/>
          <w:color w:val="auto"/>
          <w:sz w:val="24"/>
          <w:szCs w:val="21"/>
        </w:rPr>
      </w:pPr>
    </w:p>
    <w:p>
      <w:pPr>
        <w:spacing w:before="60" w:line="360" w:lineRule="auto"/>
        <w:ind w:firstLine="420" w:firstLineChars="200"/>
        <w:outlineLvl w:val="1"/>
        <w:rPr>
          <w:rFonts w:ascii="宋体" w:hAnsi="宋体"/>
          <w:b/>
          <w:color w:val="auto"/>
          <w:kern w:val="28"/>
          <w:szCs w:val="21"/>
        </w:rPr>
      </w:pPr>
      <w:r>
        <w:rPr>
          <w:rFonts w:hint="eastAsia" w:ascii="宋体" w:hAnsi="宋体"/>
          <w:color w:val="auto"/>
          <w:kern w:val="28"/>
          <w:szCs w:val="21"/>
        </w:rPr>
        <w:t>一览表否决投标条件之外的评标委员会不得判为重大偏差，也不得作为否决投标的情形。</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312"/>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Align w:val="center"/>
          </w:tcPr>
          <w:p>
            <w:pPr>
              <w:jc w:val="center"/>
              <w:rPr>
                <w:rFonts w:ascii="宋体" w:hAnsi="宋体"/>
                <w:b/>
                <w:color w:val="auto"/>
                <w:szCs w:val="21"/>
              </w:rPr>
            </w:pPr>
            <w:r>
              <w:rPr>
                <w:rFonts w:hint="eastAsia" w:ascii="宋体" w:hAnsi="宋体"/>
                <w:b/>
                <w:color w:val="auto"/>
                <w:szCs w:val="21"/>
              </w:rPr>
              <w:t>招标文件章节号</w:t>
            </w:r>
          </w:p>
        </w:tc>
        <w:tc>
          <w:tcPr>
            <w:tcW w:w="1312" w:type="dxa"/>
            <w:vAlign w:val="center"/>
          </w:tcPr>
          <w:p>
            <w:pPr>
              <w:jc w:val="center"/>
              <w:rPr>
                <w:rFonts w:ascii="宋体" w:hAnsi="宋体"/>
                <w:b/>
                <w:color w:val="auto"/>
                <w:szCs w:val="21"/>
              </w:rPr>
            </w:pPr>
            <w:r>
              <w:rPr>
                <w:rFonts w:hint="eastAsia" w:ascii="宋体" w:hAnsi="宋体"/>
                <w:b/>
                <w:color w:val="auto"/>
                <w:szCs w:val="21"/>
              </w:rPr>
              <w:t>条款名称</w:t>
            </w:r>
          </w:p>
        </w:tc>
        <w:tc>
          <w:tcPr>
            <w:tcW w:w="6376" w:type="dxa"/>
            <w:vAlign w:val="center"/>
          </w:tcPr>
          <w:p>
            <w:pPr>
              <w:jc w:val="center"/>
              <w:rPr>
                <w:rFonts w:ascii="宋体" w:hAnsi="宋体"/>
                <w:b/>
                <w:color w:val="auto"/>
                <w:szCs w:val="21"/>
              </w:rPr>
            </w:pPr>
            <w:r>
              <w:rPr>
                <w:rFonts w:hint="eastAsia" w:ascii="宋体" w:hAnsi="宋体"/>
                <w:b/>
                <w:color w:val="auto"/>
                <w:szCs w:val="21"/>
              </w:rPr>
              <w:t>否决投标条件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Align w:val="center"/>
          </w:tcPr>
          <w:p>
            <w:pPr>
              <w:snapToGrid w:val="0"/>
              <w:jc w:val="center"/>
              <w:rPr>
                <w:rFonts w:ascii="宋体" w:hAnsi="宋体" w:cs="宋体"/>
                <w:color w:val="auto"/>
                <w:kern w:val="0"/>
                <w:szCs w:val="21"/>
              </w:rPr>
            </w:pPr>
            <w:r>
              <w:rPr>
                <w:rFonts w:hint="eastAsia" w:ascii="宋体" w:hAnsi="宋体" w:cs="宋体"/>
                <w:color w:val="auto"/>
                <w:kern w:val="0"/>
                <w:szCs w:val="21"/>
              </w:rPr>
              <w:t>第二章</w:t>
            </w:r>
            <w:r>
              <w:rPr>
                <w:rFonts w:ascii="宋体" w:hAnsi="宋体" w:cs="宋体"/>
                <w:color w:val="auto"/>
                <w:kern w:val="0"/>
                <w:szCs w:val="21"/>
              </w:rPr>
              <w:t>1.4.1</w:t>
            </w:r>
          </w:p>
        </w:tc>
        <w:tc>
          <w:tcPr>
            <w:tcW w:w="1312" w:type="dxa"/>
            <w:vAlign w:val="center"/>
          </w:tcPr>
          <w:p>
            <w:pPr>
              <w:snapToGrid w:val="0"/>
              <w:jc w:val="left"/>
              <w:rPr>
                <w:rFonts w:ascii="宋体" w:hAnsi="宋体" w:cs="宋体"/>
                <w:color w:val="auto"/>
                <w:kern w:val="0"/>
                <w:szCs w:val="21"/>
              </w:rPr>
            </w:pPr>
            <w:r>
              <w:rPr>
                <w:rFonts w:hint="eastAsia" w:ascii="宋体" w:hAnsi="宋体" w:cs="宋体"/>
                <w:color w:val="auto"/>
                <w:kern w:val="0"/>
                <w:szCs w:val="21"/>
              </w:rPr>
              <w:t>投标人资质条件、能力和信誉</w:t>
            </w:r>
          </w:p>
        </w:tc>
        <w:tc>
          <w:tcPr>
            <w:tcW w:w="6376" w:type="dxa"/>
            <w:vAlign w:val="center"/>
          </w:tcPr>
          <w:p>
            <w:pPr>
              <w:autoSpaceDE w:val="0"/>
              <w:autoSpaceDN w:val="0"/>
              <w:adjustRightInd w:val="0"/>
              <w:spacing w:line="360" w:lineRule="atLeast"/>
              <w:rPr>
                <w:rFonts w:ascii="宋体" w:hAnsi="宋体" w:cs="Calibri"/>
                <w:color w:val="auto"/>
                <w:szCs w:val="18"/>
              </w:rPr>
            </w:pPr>
            <w:r>
              <w:rPr>
                <w:rFonts w:hint="eastAsia" w:ascii="宋体" w:hAnsi="宋体" w:cs="宋体"/>
                <w:color w:val="auto"/>
                <w:szCs w:val="21"/>
              </w:rPr>
              <w:t>投标人须满足招标文件第二章投标人须知前附表</w:t>
            </w:r>
            <w:r>
              <w:rPr>
                <w:rFonts w:ascii="宋体" w:hAnsi="宋体" w:cs="宋体"/>
                <w:color w:val="auto"/>
                <w:szCs w:val="21"/>
              </w:rPr>
              <w:t>1.4.1要求，否则投标文件按否决投标处理。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Align w:val="center"/>
          </w:tcPr>
          <w:p>
            <w:pPr>
              <w:jc w:val="center"/>
              <w:rPr>
                <w:rFonts w:ascii="宋体" w:hAnsi="宋体"/>
                <w:color w:val="auto"/>
                <w:szCs w:val="21"/>
              </w:rPr>
            </w:pPr>
            <w:r>
              <w:rPr>
                <w:rFonts w:hint="eastAsia" w:ascii="宋体" w:hAnsi="宋体"/>
                <w:color w:val="auto"/>
                <w:szCs w:val="21"/>
              </w:rPr>
              <w:t>第二章</w:t>
            </w:r>
          </w:p>
          <w:p>
            <w:pPr>
              <w:jc w:val="center"/>
              <w:rPr>
                <w:rFonts w:ascii="宋体" w:hAnsi="宋体"/>
                <w:b/>
                <w:bCs/>
                <w:color w:val="auto"/>
                <w:szCs w:val="21"/>
              </w:rPr>
            </w:pPr>
            <w:r>
              <w:rPr>
                <w:rFonts w:ascii="宋体" w:hAnsi="宋体"/>
                <w:color w:val="auto"/>
                <w:szCs w:val="21"/>
              </w:rPr>
              <w:t>1.12.2</w:t>
            </w:r>
          </w:p>
        </w:tc>
        <w:tc>
          <w:tcPr>
            <w:tcW w:w="1312" w:type="dxa"/>
            <w:vAlign w:val="center"/>
          </w:tcPr>
          <w:p>
            <w:pPr>
              <w:jc w:val="left"/>
              <w:rPr>
                <w:rFonts w:ascii="宋体" w:hAnsi="宋体"/>
                <w:color w:val="auto"/>
                <w:szCs w:val="21"/>
              </w:rPr>
            </w:pPr>
            <w:r>
              <w:rPr>
                <w:rFonts w:hint="eastAsia" w:ascii="宋体" w:hAnsi="宋体"/>
                <w:color w:val="auto"/>
                <w:szCs w:val="21"/>
              </w:rPr>
              <w:t>响应和偏差</w:t>
            </w:r>
          </w:p>
        </w:tc>
        <w:tc>
          <w:tcPr>
            <w:tcW w:w="6376" w:type="dxa"/>
            <w:vAlign w:val="center"/>
          </w:tcPr>
          <w:p>
            <w:pPr>
              <w:spacing w:line="360" w:lineRule="atLeast"/>
              <w:rPr>
                <w:rFonts w:ascii="宋体" w:hAnsi="宋体" w:cs="Calibri"/>
                <w:color w:val="auto"/>
                <w:szCs w:val="18"/>
              </w:rPr>
            </w:pPr>
            <w:r>
              <w:rPr>
                <w:rFonts w:hint="eastAsia" w:ascii="宋体" w:hAnsi="宋体"/>
                <w:color w:val="auto"/>
                <w:kern w:val="0"/>
                <w:szCs w:val="21"/>
              </w:rPr>
              <w:t>投标文件应对招标文件的实质性要求和条件作出满足性或更有利于招标人的响应，否则，视为投标文件存在重大偏差，投标人的投标将被否决。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Align w:val="center"/>
          </w:tcPr>
          <w:p>
            <w:pPr>
              <w:jc w:val="center"/>
              <w:rPr>
                <w:rFonts w:ascii="宋体" w:hAnsi="宋体"/>
                <w:color w:val="auto"/>
                <w:szCs w:val="21"/>
              </w:rPr>
            </w:pPr>
            <w:r>
              <w:rPr>
                <w:rFonts w:hint="eastAsia" w:ascii="宋体" w:hAnsi="宋体"/>
                <w:color w:val="auto"/>
                <w:szCs w:val="21"/>
              </w:rPr>
              <w:t>第二章</w:t>
            </w:r>
          </w:p>
          <w:p>
            <w:pPr>
              <w:jc w:val="center"/>
              <w:rPr>
                <w:rFonts w:ascii="宋体" w:hAnsi="宋体"/>
                <w:color w:val="auto"/>
                <w:szCs w:val="21"/>
              </w:rPr>
            </w:pPr>
            <w:r>
              <w:rPr>
                <w:rFonts w:ascii="宋体" w:hAnsi="宋体"/>
                <w:color w:val="auto"/>
                <w:szCs w:val="21"/>
              </w:rPr>
              <w:t>3.2</w:t>
            </w:r>
          </w:p>
        </w:tc>
        <w:tc>
          <w:tcPr>
            <w:tcW w:w="1312" w:type="dxa"/>
            <w:vAlign w:val="center"/>
          </w:tcPr>
          <w:p>
            <w:pPr>
              <w:jc w:val="left"/>
              <w:rPr>
                <w:rFonts w:ascii="宋体" w:hAnsi="宋体"/>
                <w:color w:val="auto"/>
                <w:szCs w:val="21"/>
              </w:rPr>
            </w:pPr>
            <w:r>
              <w:rPr>
                <w:rFonts w:hint="eastAsia" w:ascii="宋体" w:hAnsi="宋体"/>
                <w:color w:val="auto"/>
                <w:szCs w:val="21"/>
              </w:rPr>
              <w:t>投标报价</w:t>
            </w:r>
          </w:p>
        </w:tc>
        <w:tc>
          <w:tcPr>
            <w:tcW w:w="6376" w:type="dxa"/>
            <w:tcBorders>
              <w:top w:val="single" w:color="auto" w:sz="4" w:space="0"/>
            </w:tcBorders>
            <w:vAlign w:val="center"/>
          </w:tcPr>
          <w:p>
            <w:pPr>
              <w:spacing w:line="360" w:lineRule="atLeast"/>
              <w:rPr>
                <w:rFonts w:ascii="宋体" w:hAnsi="宋体" w:cs="Calibri"/>
                <w:color w:val="auto"/>
                <w:szCs w:val="18"/>
              </w:rPr>
            </w:pPr>
            <w:r>
              <w:rPr>
                <w:rFonts w:hint="eastAsia" w:ascii="宋体" w:hAnsi="宋体" w:cs="宋体"/>
                <w:color w:val="auto"/>
                <w:szCs w:val="21"/>
              </w:rPr>
              <w:t>投标人的投标报价不得超过相应的招标最高限价，否则投标文件按否决投标处理。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Align w:val="center"/>
          </w:tcPr>
          <w:p>
            <w:pPr>
              <w:jc w:val="center"/>
              <w:rPr>
                <w:rFonts w:ascii="宋体" w:hAnsi="宋体"/>
                <w:color w:val="auto"/>
                <w:szCs w:val="21"/>
              </w:rPr>
            </w:pPr>
            <w:r>
              <w:rPr>
                <w:rFonts w:hint="eastAsia" w:ascii="宋体" w:hAnsi="宋体"/>
                <w:color w:val="auto"/>
                <w:szCs w:val="21"/>
              </w:rPr>
              <w:t>第二章</w:t>
            </w:r>
            <w:r>
              <w:rPr>
                <w:rFonts w:ascii="宋体" w:hAnsi="宋体"/>
                <w:color w:val="auto"/>
                <w:szCs w:val="21"/>
              </w:rPr>
              <w:t>3.4.1</w:t>
            </w:r>
          </w:p>
        </w:tc>
        <w:tc>
          <w:tcPr>
            <w:tcW w:w="1312" w:type="dxa"/>
            <w:vAlign w:val="center"/>
          </w:tcPr>
          <w:p>
            <w:pPr>
              <w:jc w:val="left"/>
              <w:rPr>
                <w:rFonts w:ascii="宋体" w:hAnsi="宋体"/>
                <w:color w:val="auto"/>
                <w:szCs w:val="21"/>
              </w:rPr>
            </w:pPr>
            <w:r>
              <w:rPr>
                <w:rFonts w:hint="eastAsia" w:ascii="宋体" w:hAnsi="宋体"/>
                <w:color w:val="auto"/>
                <w:szCs w:val="21"/>
              </w:rPr>
              <w:t>投标保证金</w:t>
            </w:r>
          </w:p>
        </w:tc>
        <w:tc>
          <w:tcPr>
            <w:tcW w:w="6376" w:type="dxa"/>
            <w:vAlign w:val="center"/>
          </w:tcPr>
          <w:p>
            <w:pPr>
              <w:tabs>
                <w:tab w:val="left" w:pos="546"/>
                <w:tab w:val="left" w:pos="711"/>
              </w:tabs>
              <w:spacing w:line="360" w:lineRule="atLeast"/>
              <w:rPr>
                <w:rFonts w:ascii="宋体" w:hAnsi="宋体" w:cs="宋体"/>
                <w:bCs/>
                <w:snapToGrid w:val="0"/>
                <w:color w:val="auto"/>
                <w:kern w:val="0"/>
                <w:szCs w:val="18"/>
              </w:rPr>
            </w:pPr>
            <w:r>
              <w:rPr>
                <w:rFonts w:hint="eastAsia" w:ascii="宋体" w:hAnsi="宋体" w:cs="MingLiU"/>
                <w:snapToGrid w:val="0"/>
                <w:color w:val="auto"/>
                <w:kern w:val="0"/>
                <w:szCs w:val="21"/>
              </w:rPr>
              <w:t>投标人应按</w:t>
            </w:r>
            <w:r>
              <w:rPr>
                <w:rFonts w:hint="eastAsia" w:ascii="宋体" w:hAnsi="宋体" w:cs="宋体"/>
                <w:color w:val="auto"/>
                <w:szCs w:val="21"/>
              </w:rPr>
              <w:t>招标文件第二章投标人须知前附表</w:t>
            </w:r>
            <w:r>
              <w:rPr>
                <w:rFonts w:ascii="宋体" w:hAnsi="宋体" w:cs="宋体"/>
                <w:color w:val="auto"/>
                <w:szCs w:val="21"/>
              </w:rPr>
              <w:t>3.4.1</w:t>
            </w:r>
            <w:r>
              <w:rPr>
                <w:rFonts w:hint="eastAsia" w:ascii="宋体" w:hAnsi="宋体" w:cs="MingLiU"/>
                <w:snapToGrid w:val="0"/>
                <w:color w:val="auto"/>
                <w:kern w:val="0"/>
                <w:szCs w:val="21"/>
              </w:rPr>
              <w:t>的规定递交投标保证金。</w:t>
            </w:r>
            <w:r>
              <w:rPr>
                <w:rFonts w:hint="eastAsia" w:ascii="宋体" w:hAnsi="宋体" w:cs="宋体"/>
                <w:bCs/>
                <w:snapToGrid w:val="0"/>
                <w:color w:val="auto"/>
                <w:kern w:val="0"/>
                <w:szCs w:val="21"/>
              </w:rPr>
              <w:t>无论任何原因，未在招标文件规定的时间内，足额将投标保证金汇入招标文件指定账户的，其投标文件将视为无效。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Align w:val="center"/>
          </w:tcPr>
          <w:p>
            <w:pPr>
              <w:jc w:val="center"/>
              <w:rPr>
                <w:rFonts w:ascii="宋体" w:hAnsi="宋体"/>
                <w:color w:val="auto"/>
                <w:szCs w:val="21"/>
              </w:rPr>
            </w:pPr>
            <w:r>
              <w:rPr>
                <w:rFonts w:hint="eastAsia" w:ascii="宋体" w:hAnsi="宋体"/>
                <w:color w:val="auto"/>
                <w:szCs w:val="21"/>
              </w:rPr>
              <w:t>第二章</w:t>
            </w:r>
          </w:p>
          <w:p>
            <w:pPr>
              <w:jc w:val="center"/>
              <w:rPr>
                <w:rFonts w:ascii="宋体" w:hAnsi="宋体"/>
                <w:color w:val="auto"/>
                <w:szCs w:val="21"/>
              </w:rPr>
            </w:pPr>
            <w:r>
              <w:rPr>
                <w:rFonts w:ascii="宋体" w:hAnsi="宋体" w:cs="宋体"/>
                <w:color w:val="auto"/>
                <w:kern w:val="0"/>
                <w:szCs w:val="21"/>
              </w:rPr>
              <w:t>3.7.3</w:t>
            </w:r>
          </w:p>
        </w:tc>
        <w:tc>
          <w:tcPr>
            <w:tcW w:w="1312" w:type="dxa"/>
            <w:vAlign w:val="center"/>
          </w:tcPr>
          <w:p>
            <w:pPr>
              <w:jc w:val="left"/>
              <w:rPr>
                <w:rFonts w:ascii="宋体" w:hAnsi="宋体"/>
                <w:color w:val="auto"/>
                <w:szCs w:val="21"/>
              </w:rPr>
            </w:pPr>
            <w:r>
              <w:rPr>
                <w:rFonts w:hint="eastAsia" w:ascii="宋体" w:hAnsi="宋体" w:cs="宋体"/>
                <w:color w:val="auto"/>
                <w:kern w:val="0"/>
                <w:szCs w:val="21"/>
              </w:rPr>
              <w:t>签字盖章要求</w:t>
            </w:r>
          </w:p>
        </w:tc>
        <w:tc>
          <w:tcPr>
            <w:tcW w:w="6376" w:type="dxa"/>
            <w:vAlign w:val="center"/>
          </w:tcPr>
          <w:p>
            <w:pPr>
              <w:autoSpaceDE w:val="0"/>
              <w:autoSpaceDN w:val="0"/>
              <w:adjustRightInd w:val="0"/>
              <w:spacing w:line="360" w:lineRule="atLeast"/>
              <w:rPr>
                <w:rFonts w:ascii="宋体" w:hAnsi="宋体" w:cs="Calibri"/>
                <w:color w:val="auto"/>
                <w:szCs w:val="18"/>
              </w:rPr>
            </w:pPr>
            <w:r>
              <w:rPr>
                <w:rFonts w:hint="eastAsia" w:ascii="宋体" w:hAnsi="宋体" w:cs="宋体"/>
                <w:color w:val="auto"/>
                <w:szCs w:val="21"/>
              </w:rPr>
              <w:t>按本章投标人须知</w:t>
            </w:r>
            <w:r>
              <w:rPr>
                <w:rFonts w:ascii="宋体" w:hAnsi="宋体" w:cs="宋体"/>
                <w:color w:val="auto"/>
                <w:szCs w:val="21"/>
              </w:rPr>
              <w:t>3.7.3款执行</w:t>
            </w:r>
            <w:r>
              <w:rPr>
                <w:rFonts w:hint="eastAsia" w:ascii="宋体" w:hAnsi="宋体"/>
                <w:color w:val="auto"/>
                <w:kern w:val="0"/>
                <w:szCs w:val="21"/>
              </w:rPr>
              <w:t>，否则，按否决投标处理。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Merge w:val="restart"/>
            <w:vAlign w:val="center"/>
          </w:tcPr>
          <w:p>
            <w:pPr>
              <w:jc w:val="center"/>
              <w:rPr>
                <w:rFonts w:ascii="宋体" w:hAnsi="宋体"/>
                <w:color w:val="auto"/>
                <w:szCs w:val="21"/>
              </w:rPr>
            </w:pPr>
            <w:r>
              <w:rPr>
                <w:rFonts w:hint="eastAsia" w:ascii="宋体" w:hAnsi="宋体"/>
                <w:color w:val="auto"/>
                <w:szCs w:val="21"/>
              </w:rPr>
              <w:t>第三章</w:t>
            </w:r>
          </w:p>
          <w:p>
            <w:pPr>
              <w:jc w:val="center"/>
              <w:rPr>
                <w:rFonts w:ascii="宋体" w:hAnsi="宋体"/>
                <w:color w:val="auto"/>
                <w:szCs w:val="21"/>
              </w:rPr>
            </w:pPr>
            <w:r>
              <w:rPr>
                <w:rFonts w:hint="eastAsia" w:ascii="宋体" w:hAnsi="宋体"/>
                <w:color w:val="auto"/>
                <w:szCs w:val="21"/>
              </w:rPr>
              <w:t>评标方法</w:t>
            </w:r>
          </w:p>
        </w:tc>
        <w:tc>
          <w:tcPr>
            <w:tcW w:w="1312" w:type="dxa"/>
            <w:vAlign w:val="center"/>
          </w:tcPr>
          <w:p>
            <w:pPr>
              <w:jc w:val="left"/>
              <w:rPr>
                <w:rFonts w:ascii="宋体" w:hAnsi="宋体" w:cs="Calibri"/>
                <w:color w:val="auto"/>
                <w:szCs w:val="18"/>
              </w:rPr>
            </w:pPr>
            <w:r>
              <w:rPr>
                <w:rFonts w:ascii="宋体" w:hAnsi="宋体"/>
                <w:color w:val="auto"/>
                <w:szCs w:val="21"/>
              </w:rPr>
              <w:t>3.1.1</w:t>
            </w:r>
          </w:p>
        </w:tc>
        <w:tc>
          <w:tcPr>
            <w:tcW w:w="6376" w:type="dxa"/>
            <w:vAlign w:val="center"/>
          </w:tcPr>
          <w:p>
            <w:pPr>
              <w:spacing w:line="360" w:lineRule="atLeast"/>
              <w:rPr>
                <w:rFonts w:ascii="宋体" w:hAnsi="宋体" w:cs="MingLiU"/>
                <w:color w:val="auto"/>
                <w:kern w:val="0"/>
                <w:szCs w:val="18"/>
              </w:rPr>
            </w:pPr>
            <w:r>
              <w:rPr>
                <w:rFonts w:ascii="宋体" w:hAnsi="宋体"/>
                <w:color w:val="auto"/>
                <w:kern w:val="0"/>
                <w:szCs w:val="21"/>
              </w:rPr>
              <w:t>评标委员会依据本章第2.1.1款</w:t>
            </w:r>
            <w:r>
              <w:rPr>
                <w:rFonts w:hint="eastAsia" w:ascii="宋体" w:hAnsi="宋体"/>
                <w:color w:val="auto"/>
                <w:kern w:val="0"/>
                <w:szCs w:val="21"/>
              </w:rPr>
              <w:t>、</w:t>
            </w:r>
            <w:r>
              <w:rPr>
                <w:rFonts w:ascii="宋体" w:hAnsi="宋体"/>
                <w:color w:val="auto"/>
                <w:kern w:val="0"/>
                <w:szCs w:val="21"/>
              </w:rPr>
              <w:t>2.1.2款</w:t>
            </w:r>
            <w:r>
              <w:rPr>
                <w:rFonts w:hint="eastAsia" w:ascii="宋体" w:hAnsi="宋体"/>
                <w:color w:val="auto"/>
                <w:kern w:val="0"/>
                <w:szCs w:val="21"/>
              </w:rPr>
              <w:t>和</w:t>
            </w:r>
            <w:r>
              <w:rPr>
                <w:rFonts w:ascii="宋体" w:hAnsi="宋体"/>
                <w:color w:val="auto"/>
                <w:kern w:val="0"/>
                <w:szCs w:val="21"/>
              </w:rPr>
              <w:t>2.1.3款规定的标准对投标文件进行初步评审。有一项不符合评审标准的，</w:t>
            </w:r>
            <w:r>
              <w:rPr>
                <w:rFonts w:hint="eastAsia" w:ascii="宋体" w:hAnsi="宋体"/>
                <w:color w:val="auto"/>
                <w:kern w:val="0"/>
                <w:szCs w:val="21"/>
              </w:rPr>
              <w:t>评标委员会应否决其投标</w:t>
            </w:r>
            <w:r>
              <w:rPr>
                <w:rFonts w:ascii="宋体"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Merge w:val="continue"/>
            <w:vAlign w:val="center"/>
          </w:tcPr>
          <w:p>
            <w:pPr>
              <w:jc w:val="center"/>
              <w:rPr>
                <w:rFonts w:ascii="宋体" w:hAnsi="宋体"/>
                <w:color w:val="auto"/>
                <w:szCs w:val="21"/>
              </w:rPr>
            </w:pPr>
          </w:p>
        </w:tc>
        <w:tc>
          <w:tcPr>
            <w:tcW w:w="1312" w:type="dxa"/>
            <w:vAlign w:val="center"/>
          </w:tcPr>
          <w:p>
            <w:pPr>
              <w:jc w:val="left"/>
              <w:rPr>
                <w:rFonts w:ascii="宋体" w:hAnsi="宋体" w:cs="Calibri"/>
                <w:color w:val="auto"/>
                <w:szCs w:val="18"/>
              </w:rPr>
            </w:pPr>
            <w:r>
              <w:rPr>
                <w:rFonts w:hint="eastAsia" w:ascii="宋体" w:hAnsi="宋体"/>
                <w:color w:val="auto"/>
                <w:szCs w:val="21"/>
              </w:rPr>
              <w:t>3.1.2</w:t>
            </w:r>
          </w:p>
        </w:tc>
        <w:tc>
          <w:tcPr>
            <w:tcW w:w="6376" w:type="dxa"/>
            <w:vAlign w:val="center"/>
          </w:tcPr>
          <w:p>
            <w:pPr>
              <w:spacing w:line="360" w:lineRule="atLeast"/>
              <w:rPr>
                <w:rFonts w:ascii="宋体" w:hAnsi="宋体" w:cs="Calibri"/>
                <w:color w:val="auto"/>
                <w:kern w:val="0"/>
                <w:szCs w:val="18"/>
              </w:rPr>
            </w:pPr>
            <w:r>
              <w:rPr>
                <w:rFonts w:ascii="宋体" w:hAnsi="宋体"/>
                <w:color w:val="auto"/>
                <w:kern w:val="0"/>
                <w:szCs w:val="21"/>
              </w:rPr>
              <w:t>投标报价有算术错误的，评标委员会按</w:t>
            </w:r>
            <w:r>
              <w:rPr>
                <w:rFonts w:hint="eastAsia" w:ascii="宋体" w:hAnsi="宋体" w:cs="MingLiU"/>
                <w:color w:val="auto"/>
                <w:kern w:val="0"/>
                <w:szCs w:val="21"/>
              </w:rPr>
              <w:t>招标文件规定的</w:t>
            </w:r>
            <w:r>
              <w:rPr>
                <w:rFonts w:ascii="宋体" w:hAnsi="宋体"/>
                <w:color w:val="auto"/>
                <w:kern w:val="0"/>
                <w:szCs w:val="21"/>
              </w:rPr>
              <w:t>原则对投标报价进行修正，修正的价格经投标人书面确认后具有约束力。投标人不接受修正价格的，</w:t>
            </w:r>
            <w:r>
              <w:rPr>
                <w:rFonts w:hint="eastAsia" w:ascii="宋体" w:hAnsi="宋体"/>
                <w:color w:val="auto"/>
                <w:kern w:val="0"/>
                <w:szCs w:val="21"/>
              </w:rPr>
              <w:t>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Merge w:val="continue"/>
            <w:vAlign w:val="center"/>
          </w:tcPr>
          <w:p>
            <w:pPr>
              <w:jc w:val="center"/>
              <w:rPr>
                <w:rFonts w:ascii="宋体" w:hAnsi="宋体"/>
                <w:color w:val="auto"/>
                <w:szCs w:val="21"/>
              </w:rPr>
            </w:pPr>
          </w:p>
        </w:tc>
        <w:tc>
          <w:tcPr>
            <w:tcW w:w="1312" w:type="dxa"/>
            <w:vAlign w:val="center"/>
          </w:tcPr>
          <w:p>
            <w:pPr>
              <w:jc w:val="left"/>
              <w:rPr>
                <w:rFonts w:ascii="宋体" w:hAnsi="宋体" w:cs="Calibri"/>
                <w:color w:val="auto"/>
                <w:szCs w:val="18"/>
              </w:rPr>
            </w:pPr>
            <w:r>
              <w:rPr>
                <w:rFonts w:hint="eastAsia" w:ascii="宋体" w:hAnsi="宋体"/>
                <w:color w:val="auto"/>
                <w:szCs w:val="21"/>
              </w:rPr>
              <w:t>2.2.4</w:t>
            </w:r>
          </w:p>
        </w:tc>
        <w:tc>
          <w:tcPr>
            <w:tcW w:w="6376" w:type="dxa"/>
            <w:vAlign w:val="center"/>
          </w:tcPr>
          <w:p>
            <w:pPr>
              <w:spacing w:line="360" w:lineRule="atLeast"/>
              <w:rPr>
                <w:rFonts w:ascii="宋体" w:hAnsi="宋体" w:cs="Calibri"/>
                <w:color w:val="auto"/>
                <w:kern w:val="0"/>
                <w:szCs w:val="18"/>
              </w:rPr>
            </w:pPr>
            <w:r>
              <w:rPr>
                <w:rFonts w:ascii="宋体" w:hAnsi="宋体"/>
                <w:color w:val="auto"/>
                <w:kern w:val="0"/>
                <w:szCs w:val="21"/>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8" w:type="dxa"/>
            <w:vMerge w:val="continue"/>
            <w:vAlign w:val="center"/>
          </w:tcPr>
          <w:p>
            <w:pPr>
              <w:jc w:val="center"/>
              <w:rPr>
                <w:rFonts w:ascii="宋体" w:hAnsi="宋体"/>
                <w:color w:val="auto"/>
                <w:szCs w:val="21"/>
              </w:rPr>
            </w:pPr>
          </w:p>
        </w:tc>
        <w:tc>
          <w:tcPr>
            <w:tcW w:w="1312" w:type="dxa"/>
            <w:vAlign w:val="center"/>
          </w:tcPr>
          <w:p>
            <w:pPr>
              <w:jc w:val="left"/>
              <w:rPr>
                <w:rFonts w:ascii="宋体" w:hAnsi="宋体" w:cs="Calibri"/>
                <w:color w:val="auto"/>
                <w:szCs w:val="18"/>
              </w:rPr>
            </w:pPr>
            <w:r>
              <w:rPr>
                <w:rFonts w:ascii="宋体" w:hAnsi="宋体"/>
                <w:color w:val="auto"/>
                <w:szCs w:val="21"/>
              </w:rPr>
              <w:t>3.</w:t>
            </w:r>
            <w:r>
              <w:rPr>
                <w:rFonts w:hint="eastAsia" w:ascii="宋体" w:hAnsi="宋体"/>
                <w:color w:val="auto"/>
                <w:szCs w:val="21"/>
              </w:rPr>
              <w:t>4</w:t>
            </w:r>
            <w:r>
              <w:rPr>
                <w:rFonts w:ascii="宋体" w:hAnsi="宋体"/>
                <w:color w:val="auto"/>
                <w:szCs w:val="21"/>
              </w:rPr>
              <w:t>.1</w:t>
            </w:r>
          </w:p>
        </w:tc>
        <w:tc>
          <w:tcPr>
            <w:tcW w:w="6376" w:type="dxa"/>
            <w:vAlign w:val="center"/>
          </w:tcPr>
          <w:p>
            <w:pPr>
              <w:spacing w:line="360" w:lineRule="atLeast"/>
              <w:rPr>
                <w:rFonts w:ascii="宋体" w:hAnsi="宋体" w:cs="Calibri"/>
                <w:color w:val="auto"/>
                <w:kern w:val="0"/>
                <w:szCs w:val="18"/>
              </w:rPr>
            </w:pPr>
            <w:r>
              <w:rPr>
                <w:rFonts w:ascii="宋体" w:hAnsi="宋体"/>
                <w:color w:val="auto"/>
                <w:kern w:val="0"/>
                <w:szCs w:val="21"/>
              </w:rPr>
              <w:t>在评标过程中，评标委员会可以书面形式要求投标人对投标文件中</w:t>
            </w:r>
            <w:r>
              <w:rPr>
                <w:rFonts w:hint="eastAsia" w:ascii="宋体" w:hAnsi="宋体"/>
                <w:color w:val="auto"/>
                <w:kern w:val="0"/>
                <w:szCs w:val="21"/>
              </w:rPr>
              <w:t>含义</w:t>
            </w:r>
            <w:r>
              <w:rPr>
                <w:rFonts w:ascii="宋体" w:hAnsi="宋体"/>
                <w:color w:val="auto"/>
                <w:kern w:val="0"/>
                <w:szCs w:val="21"/>
              </w:rPr>
              <w:t>不明确的内容</w:t>
            </w:r>
            <w:r>
              <w:rPr>
                <w:rFonts w:hint="eastAsia" w:ascii="宋体" w:hAnsi="宋体"/>
                <w:color w:val="auto"/>
                <w:kern w:val="0"/>
                <w:szCs w:val="21"/>
              </w:rPr>
              <w:t>、明显文字或计算错误</w:t>
            </w:r>
            <w:r>
              <w:rPr>
                <w:rFonts w:ascii="宋体" w:hAnsi="宋体"/>
                <w:color w:val="auto"/>
                <w:kern w:val="0"/>
                <w:szCs w:val="21"/>
              </w:rPr>
              <w:t>进行书面澄清或说明。评标委员会不接受投标人主动提出的澄清、说明。</w:t>
            </w:r>
            <w:r>
              <w:rPr>
                <w:rFonts w:hint="eastAsia" w:ascii="宋体" w:hAnsi="宋体"/>
                <w:color w:val="auto"/>
                <w:kern w:val="0"/>
                <w:szCs w:val="21"/>
              </w:rPr>
              <w:t>投标人不按评标委员会要求澄清或说明的，评标委员会应否决其投标。</w:t>
            </w:r>
          </w:p>
        </w:tc>
      </w:tr>
    </w:tbl>
    <w:p>
      <w:pPr>
        <w:spacing w:line="360" w:lineRule="auto"/>
        <w:ind w:firstLine="1749" w:firstLineChars="396"/>
        <w:rPr>
          <w:rFonts w:ascii="宋体" w:hAnsi="宋体"/>
          <w:b/>
          <w:color w:val="auto"/>
          <w:sz w:val="44"/>
          <w:szCs w:val="44"/>
        </w:rPr>
      </w:pPr>
    </w:p>
    <w:p>
      <w:pPr>
        <w:pStyle w:val="84"/>
        <w:rPr>
          <w:rFonts w:ascii="Times New Roman" w:hAnsi="Times New Roman" w:eastAsia="黑体"/>
          <w:color w:val="auto"/>
          <w:sz w:val="36"/>
          <w:szCs w:val="36"/>
        </w:rPr>
      </w:pPr>
      <w:bookmarkStart w:id="99" w:name="_Toc29796226"/>
      <w:bookmarkStart w:id="100" w:name="_Toc490154378"/>
    </w:p>
    <w:p>
      <w:pPr>
        <w:widowControl/>
        <w:jc w:val="left"/>
        <w:rPr>
          <w:rFonts w:ascii="Times New Roman" w:hAnsi="Times New Roman" w:eastAsia="黑体"/>
          <w:b/>
          <w:bCs/>
          <w:color w:val="auto"/>
          <w:sz w:val="36"/>
          <w:szCs w:val="36"/>
        </w:rPr>
      </w:pPr>
      <w:r>
        <w:rPr>
          <w:rFonts w:ascii="Times New Roman" w:hAnsi="Times New Roman" w:eastAsia="黑体"/>
          <w:color w:val="auto"/>
          <w:sz w:val="36"/>
          <w:szCs w:val="36"/>
        </w:rPr>
        <w:br w:type="page"/>
      </w:r>
    </w:p>
    <w:p>
      <w:pPr>
        <w:pStyle w:val="84"/>
        <w:rPr>
          <w:rFonts w:ascii="Times New Roman" w:hAnsi="Times New Roman" w:eastAsia="黑体"/>
          <w:color w:val="auto"/>
          <w:sz w:val="36"/>
          <w:szCs w:val="36"/>
        </w:rPr>
      </w:pPr>
      <w:r>
        <w:rPr>
          <w:rFonts w:hint="eastAsia" w:ascii="Times New Roman" w:hAnsi="Times New Roman" w:eastAsia="黑体"/>
          <w:color w:val="auto"/>
          <w:sz w:val="36"/>
          <w:szCs w:val="36"/>
        </w:rPr>
        <w:t xml:space="preserve">       第四章 合同条款及格式</w:t>
      </w:r>
      <w:bookmarkEnd w:id="99"/>
      <w:bookmarkEnd w:id="100"/>
    </w:p>
    <w:p>
      <w:pPr>
        <w:pStyle w:val="2"/>
        <w:jc w:val="center"/>
        <w:rPr>
          <w:rFonts w:ascii="宋体" w:hAnsi="宋体" w:eastAsia="宋体"/>
          <w:color w:val="auto"/>
          <w:kern w:val="0"/>
        </w:rPr>
        <w:sectPr>
          <w:pgSz w:w="11906" w:h="16838"/>
          <w:pgMar w:top="1418" w:right="1418" w:bottom="1418" w:left="1418" w:header="851" w:footer="992" w:gutter="0"/>
          <w:cols w:space="720" w:num="1"/>
          <w:docGrid w:type="lines" w:linePitch="312" w:charSpace="0"/>
        </w:sectPr>
      </w:pPr>
    </w:p>
    <w:p>
      <w:pPr>
        <w:keepNext/>
        <w:keepLines/>
        <w:spacing w:before="260" w:after="260" w:line="416" w:lineRule="auto"/>
        <w:outlineLvl w:val="1"/>
        <w:rPr>
          <w:rFonts w:ascii="宋体" w:hAnsi="宋体"/>
          <w:b/>
          <w:bCs/>
          <w:color w:val="auto"/>
          <w:sz w:val="24"/>
          <w:szCs w:val="32"/>
        </w:rPr>
      </w:pPr>
      <w:bookmarkStart w:id="101" w:name="_Toc447047012"/>
      <w:bookmarkStart w:id="102" w:name="_Toc446782192"/>
      <w:r>
        <w:rPr>
          <w:rFonts w:hint="eastAsia" w:ascii="宋体" w:hAnsi="宋体"/>
          <w:b/>
          <w:bCs/>
          <w:color w:val="auto"/>
          <w:sz w:val="24"/>
          <w:szCs w:val="32"/>
        </w:rPr>
        <w:t>一、保险协议</w:t>
      </w:r>
    </w:p>
    <w:p>
      <w:pPr>
        <w:keepNext/>
        <w:keepLines/>
        <w:spacing w:before="260" w:after="260" w:line="416" w:lineRule="auto"/>
        <w:jc w:val="left"/>
        <w:outlineLvl w:val="1"/>
        <w:rPr>
          <w:rFonts w:ascii="Times New Roman" w:hAnsi="Times New Roman" w:eastAsia="黑体"/>
          <w:b/>
          <w:bCs/>
          <w:color w:val="auto"/>
          <w:sz w:val="32"/>
          <w:szCs w:val="28"/>
        </w:rPr>
      </w:pPr>
      <w:r>
        <w:rPr>
          <w:rFonts w:hint="eastAsia" w:ascii="宋体" w:hAnsi="宋体"/>
          <w:b/>
          <w:bCs/>
          <w:color w:val="auto"/>
          <w:sz w:val="24"/>
          <w:szCs w:val="32"/>
        </w:rPr>
        <w:t>二、基本条款及特别条款措辞</w:t>
      </w:r>
      <w:r>
        <w:rPr>
          <w:rFonts w:ascii="宋体" w:hAnsi="宋体"/>
          <w:b/>
          <w:bCs/>
          <w:color w:val="auto"/>
          <w:sz w:val="24"/>
          <w:szCs w:val="32"/>
        </w:rPr>
        <w:br w:type="page"/>
      </w:r>
      <w:r>
        <w:rPr>
          <w:rFonts w:hint="eastAsia" w:ascii="宋体" w:hAnsi="宋体"/>
          <w:b/>
          <w:bCs/>
          <w:color w:val="auto"/>
          <w:sz w:val="24"/>
          <w:szCs w:val="32"/>
        </w:rPr>
        <w:t>一、</w:t>
      </w:r>
      <w:r>
        <w:rPr>
          <w:rFonts w:ascii="Times New Roman" w:hAnsi="Times New Roman" w:eastAsia="黑体"/>
          <w:b/>
          <w:bCs/>
          <w:color w:val="auto"/>
          <w:sz w:val="32"/>
          <w:szCs w:val="28"/>
        </w:rPr>
        <w:t>保险协议</w:t>
      </w:r>
    </w:p>
    <w:p>
      <w:pPr>
        <w:spacing w:before="156" w:beforeLines="50" w:line="360" w:lineRule="auto"/>
        <w:ind w:firstLine="482" w:firstLineChars="200"/>
        <w:rPr>
          <w:rFonts w:ascii="Times New Roman" w:hAnsi="Times New Roman"/>
          <w:b/>
          <w:bCs/>
          <w:color w:val="auto"/>
          <w:sz w:val="24"/>
        </w:rPr>
      </w:pPr>
      <w:r>
        <w:rPr>
          <w:rFonts w:ascii="Times New Roman" w:hAnsi="Times New Roman"/>
          <w:b/>
          <w:bCs/>
          <w:color w:val="auto"/>
          <w:sz w:val="24"/>
        </w:rPr>
        <w:t>说明：本章节内容为保险协议格式及要求，内含相关服务项目及标准为</w:t>
      </w:r>
      <w:r>
        <w:rPr>
          <w:rFonts w:hint="eastAsia" w:ascii="Times New Roman" w:hAnsi="Times New Roman"/>
          <w:b/>
          <w:bCs/>
          <w:color w:val="auto"/>
          <w:sz w:val="24"/>
        </w:rPr>
        <w:t>招标</w:t>
      </w:r>
      <w:r>
        <w:rPr>
          <w:rFonts w:ascii="Times New Roman" w:hAnsi="Times New Roman"/>
          <w:b/>
          <w:bCs/>
          <w:color w:val="auto"/>
          <w:sz w:val="24"/>
        </w:rPr>
        <w:t>基本要求，报价单位可根据自身的情况相应调整（原则上不应低于</w:t>
      </w:r>
      <w:r>
        <w:rPr>
          <w:rFonts w:hint="eastAsia" w:ascii="Times New Roman" w:hAnsi="Times New Roman"/>
          <w:b/>
          <w:bCs/>
          <w:color w:val="auto"/>
          <w:sz w:val="24"/>
        </w:rPr>
        <w:t>招标</w:t>
      </w:r>
      <w:r>
        <w:rPr>
          <w:rFonts w:ascii="Times New Roman" w:hAnsi="Times New Roman"/>
          <w:b/>
          <w:bCs/>
          <w:color w:val="auto"/>
          <w:sz w:val="24"/>
        </w:rPr>
        <w:t>基本要求），并在报价文件的“项目服务承诺”中予以体现；报价单位将根据报价情况对保险协议进行最终调整（包括承保方式“共保或独家”、服务内容及标准等）。</w:t>
      </w:r>
    </w:p>
    <w:p>
      <w:pPr>
        <w:spacing w:before="156" w:beforeLines="50" w:line="360" w:lineRule="auto"/>
        <w:ind w:firstLine="482" w:firstLineChars="200"/>
        <w:rPr>
          <w:rFonts w:ascii="Times New Roman" w:hAnsi="Times New Roman"/>
          <w:b/>
          <w:bCs/>
          <w:color w:val="auto"/>
          <w:sz w:val="24"/>
        </w:rPr>
      </w:pPr>
    </w:p>
    <w:p>
      <w:pPr>
        <w:spacing w:before="156" w:beforeLines="50" w:line="360" w:lineRule="auto"/>
        <w:ind w:firstLine="482" w:firstLineChars="200"/>
        <w:rPr>
          <w:rFonts w:ascii="Times New Roman" w:hAnsi="Times New Roman"/>
          <w:b/>
          <w:bCs/>
          <w:color w:val="auto"/>
          <w:sz w:val="24"/>
        </w:rPr>
      </w:pPr>
    </w:p>
    <w:p>
      <w:pPr>
        <w:spacing w:before="156" w:beforeLines="50" w:line="360" w:lineRule="auto"/>
        <w:ind w:firstLine="482" w:firstLineChars="200"/>
        <w:rPr>
          <w:rFonts w:ascii="Times New Roman" w:hAnsi="Times New Roman"/>
          <w:b/>
          <w:bCs/>
          <w:color w:val="auto"/>
          <w:sz w:val="24"/>
        </w:rPr>
      </w:pPr>
      <w:r>
        <w:rPr>
          <w:rFonts w:ascii="Times New Roman" w:hAnsi="Times New Roman"/>
          <w:b/>
          <w:bCs/>
          <w:color w:val="auto"/>
          <w:sz w:val="24"/>
        </w:rPr>
        <w:t>协议方：</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 xml:space="preserve">甲方： </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地址：</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 xml:space="preserve">地址： </w:t>
      </w:r>
    </w:p>
    <w:p>
      <w:pPr>
        <w:spacing w:before="156" w:beforeLines="50" w:line="360" w:lineRule="auto"/>
        <w:ind w:firstLine="480" w:firstLineChars="200"/>
        <w:rPr>
          <w:rFonts w:ascii="Times New Roman" w:hAnsi="Times New Roman"/>
          <w:color w:val="auto"/>
          <w:sz w:val="24"/>
        </w:rPr>
      </w:pP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根据**项目（以下简称“本项目”）</w:t>
      </w:r>
      <w:r>
        <w:rPr>
          <w:rFonts w:ascii="Times New Roman" w:hAnsi="Times New Roman"/>
          <w:snapToGrid w:val="0"/>
          <w:color w:val="auto"/>
          <w:sz w:val="24"/>
        </w:rPr>
        <w:t>报价及保险谈判结果，经甲方、乙方友好协商，对本项目的</w:t>
      </w:r>
      <w:r>
        <w:rPr>
          <w:rFonts w:hint="eastAsia" w:ascii="Times New Roman" w:hAnsi="Times New Roman"/>
          <w:snapToGrid w:val="0"/>
          <w:color w:val="auto"/>
          <w:sz w:val="24"/>
        </w:rPr>
        <w:t>财产一切险、公众责任险、营业中断险、现金险</w:t>
      </w:r>
      <w:r>
        <w:rPr>
          <w:rFonts w:ascii="Times New Roman" w:hAnsi="Times New Roman"/>
          <w:snapToGrid w:val="0"/>
          <w:color w:val="auto"/>
          <w:sz w:val="24"/>
        </w:rPr>
        <w:t>的事宜达成一致意见，签订协议如下：</w:t>
      </w:r>
    </w:p>
    <w:p>
      <w:pPr>
        <w:spacing w:before="156" w:beforeLines="50" w:line="360" w:lineRule="auto"/>
        <w:ind w:firstLine="482" w:firstLineChars="200"/>
        <w:rPr>
          <w:rFonts w:ascii="Times New Roman" w:hAnsi="Times New Roman"/>
          <w:b/>
          <w:bCs/>
          <w:color w:val="auto"/>
          <w:sz w:val="24"/>
        </w:rPr>
      </w:pPr>
      <w:r>
        <w:rPr>
          <w:rFonts w:ascii="Times New Roman" w:hAnsi="Times New Roman"/>
          <w:b/>
          <w:bCs/>
          <w:color w:val="auto"/>
          <w:sz w:val="24"/>
        </w:rPr>
        <w:t>一、保险项目</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w:t>
      </w:r>
    </w:p>
    <w:p>
      <w:pPr>
        <w:spacing w:before="156" w:beforeLines="50" w:line="360" w:lineRule="auto"/>
        <w:ind w:firstLine="482" w:firstLineChars="200"/>
        <w:rPr>
          <w:rFonts w:ascii="Times New Roman" w:hAnsi="Times New Roman"/>
          <w:b/>
          <w:bCs/>
          <w:color w:val="auto"/>
          <w:sz w:val="24"/>
        </w:rPr>
      </w:pPr>
      <w:r>
        <w:rPr>
          <w:rFonts w:ascii="Times New Roman" w:hAnsi="Times New Roman"/>
          <w:b/>
          <w:bCs/>
          <w:color w:val="auto"/>
          <w:sz w:val="24"/>
        </w:rPr>
        <w:t>二、保险条件</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（根据最终商定的保险条件确定）</w:t>
      </w:r>
    </w:p>
    <w:p>
      <w:pPr>
        <w:spacing w:before="156" w:beforeLines="50" w:line="360" w:lineRule="auto"/>
        <w:ind w:firstLine="482" w:firstLineChars="200"/>
        <w:rPr>
          <w:rFonts w:ascii="Times New Roman" w:hAnsi="Times New Roman"/>
          <w:b/>
          <w:bCs/>
          <w:color w:val="auto"/>
          <w:sz w:val="24"/>
        </w:rPr>
      </w:pPr>
      <w:r>
        <w:rPr>
          <w:rFonts w:ascii="Times New Roman" w:hAnsi="Times New Roman"/>
          <w:b/>
          <w:bCs/>
          <w:color w:val="auto"/>
          <w:sz w:val="24"/>
        </w:rPr>
        <w:t xml:space="preserve">三、出单及保费支付 </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乙方将根据经甲方确认的承保方案及承保条件出具正式保险单，若有关保险单条款与本协议存在矛盾或不一致之处，应按本协议的规定优先执行。</w:t>
      </w:r>
    </w:p>
    <w:p>
      <w:pPr>
        <w:spacing w:before="156" w:beforeLines="50" w:line="360" w:lineRule="auto"/>
        <w:ind w:firstLine="480" w:firstLineChars="200"/>
        <w:rPr>
          <w:rFonts w:ascii="Times New Roman" w:hAnsi="Times New Roman"/>
          <w:b/>
          <w:bCs/>
          <w:color w:val="auto"/>
          <w:sz w:val="24"/>
        </w:rPr>
      </w:pPr>
      <w:r>
        <w:rPr>
          <w:rFonts w:ascii="Times New Roman" w:hAnsi="Times New Roman"/>
          <w:color w:val="auto"/>
          <w:sz w:val="24"/>
        </w:rPr>
        <w:t>甲乙双方约定，本项目的保费</w:t>
      </w:r>
      <w:r>
        <w:rPr>
          <w:rFonts w:hint="eastAsia" w:ascii="Times New Roman" w:hAnsi="Times New Roman"/>
          <w:color w:val="auto"/>
          <w:sz w:val="24"/>
        </w:rPr>
        <w:t>每年保单出具前一次性支付。</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shd w:val="pct10" w:color="auto" w:fill="FFFFFF"/>
        </w:rPr>
        <w:t>（一）项目服务小组</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乙方应专门为本项目成立</w:t>
      </w:r>
      <w:r>
        <w:rPr>
          <w:rFonts w:hint="eastAsia" w:ascii="Times New Roman" w:hAnsi="Times New Roman"/>
          <w:snapToGrid w:val="0"/>
          <w:color w:val="auto"/>
          <w:sz w:val="24"/>
        </w:rPr>
        <w:t>财产</w:t>
      </w:r>
      <w:r>
        <w:rPr>
          <w:rFonts w:ascii="Times New Roman" w:hAnsi="Times New Roman"/>
          <w:snapToGrid w:val="0"/>
          <w:color w:val="auto"/>
          <w:sz w:val="24"/>
        </w:rPr>
        <w:t>保险</w:t>
      </w:r>
      <w:r>
        <w:rPr>
          <w:rFonts w:ascii="Times New Roman" w:hAnsi="Times New Roman"/>
          <w:color w:val="auto"/>
          <w:sz w:val="24"/>
        </w:rPr>
        <w:t>服务小组，在本协议生效后立即投入正式操作，负责处理一切保险事宜。</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乙方项目负责人须书面报甲方批准同意后方可更换，其他成员的人员变动须提前7天通知甲方。若甲方认为项目小组成员不能履行其应尽的职责或服务，乙方应在收到甲方书面通知后3天内无条件撤换该成员。</w:t>
      </w:r>
    </w:p>
    <w:p>
      <w:pPr>
        <w:snapToGrid w:val="0"/>
        <w:spacing w:before="156" w:beforeLines="50" w:after="156" w:afterLines="50" w:line="360" w:lineRule="auto"/>
        <w:ind w:firstLine="480" w:firstLineChars="200"/>
        <w:rPr>
          <w:rFonts w:ascii="Times New Roman" w:hAnsi="Times New Roman"/>
          <w:color w:val="auto"/>
          <w:sz w:val="24"/>
        </w:rPr>
      </w:pPr>
      <w:r>
        <w:rPr>
          <w:rFonts w:ascii="Times New Roman" w:hAnsi="Times New Roman"/>
          <w:color w:val="auto"/>
          <w:sz w:val="24"/>
          <w:shd w:val="pct10" w:color="auto" w:fill="FFFFFF"/>
        </w:rPr>
        <w:t>（二）培训服务</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在保险有效期内，乙方负责每年举办至少1次保险知识和风险管理培训，以提高甲方相关人员的安全意识和防灾防损技能。培训费用由乙方承担，具体举办时间和地点由甲乙双方共同协商确定。</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shd w:val="pct10" w:color="auto" w:fill="FFFFFF"/>
        </w:rPr>
        <w:t>（三）防灾防损服务</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w:t>
      </w:r>
      <w:r>
        <w:rPr>
          <w:rFonts w:ascii="Times New Roman" w:hAnsi="Times New Roman"/>
          <w:color w:val="auto"/>
          <w:sz w:val="24"/>
        </w:rPr>
        <w:t>、风险评估服务</w:t>
      </w:r>
    </w:p>
    <w:p>
      <w:pPr>
        <w:spacing w:line="360" w:lineRule="auto"/>
        <w:ind w:firstLine="480" w:firstLineChars="200"/>
        <w:rPr>
          <w:rFonts w:ascii="Times New Roman" w:hAnsi="Times New Roman"/>
          <w:color w:val="auto"/>
          <w:sz w:val="24"/>
        </w:rPr>
      </w:pPr>
      <w:r>
        <w:rPr>
          <w:rFonts w:ascii="Times New Roman" w:hAnsi="Times New Roman"/>
          <w:color w:val="auto"/>
          <w:sz w:val="24"/>
        </w:rPr>
        <w:t>根据风险管理的特点，乙方应不定期组织国内风险管理公司或风险评估公司的有关专家对该项目进行风险评估，与甲方相关人员共同召开安全防范会议，有针对性地提出具体风险管理建议和意见，以便降低风险事故发生几率，确保其安全生产和持续发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、联席会议制度</w:t>
      </w:r>
    </w:p>
    <w:p>
      <w:pPr>
        <w:spacing w:line="360" w:lineRule="auto"/>
        <w:ind w:firstLine="480" w:firstLineChars="200"/>
        <w:rPr>
          <w:rFonts w:ascii="Times New Roman" w:hAnsi="Times New Roman"/>
          <w:color w:val="auto"/>
          <w:sz w:val="24"/>
        </w:rPr>
      </w:pPr>
      <w:r>
        <w:rPr>
          <w:rFonts w:ascii="Times New Roman" w:hAnsi="Times New Roman"/>
          <w:color w:val="auto"/>
          <w:sz w:val="24"/>
        </w:rPr>
        <w:t>乙方每年举办至少1次风险管理协调会，向被保险人通报前一阶段保险工作开展情况，协商解决项目保险服务过程中存在的问题，制定下一阶段工作方案。</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、提供理赔统计报表</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应承诺将对每一索赔案件的处理过程予以负责，按被保险人的要求（每季度一次）负责提供理赔进度及统计报表，报表包括损失发生的时间、地点、损失原因、估损金额、定损金额、赔款等与赔案处理有关的信息。</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w:t>
      </w:r>
      <w:r>
        <w:rPr>
          <w:rFonts w:ascii="Times New Roman" w:hAnsi="Times New Roman"/>
          <w:color w:val="auto"/>
          <w:sz w:val="24"/>
        </w:rPr>
        <w:t>、日常沟通服务</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乙方应为甲方提供优质防灾防损服务，加强同国家气象部门或其他相关部门合作，及时给甲方预报风险信息，并与甲方一起做好这些灾害的风险控制工作。</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乙方应积极定期与甲方联络，了解</w:t>
      </w:r>
      <w:r>
        <w:rPr>
          <w:rFonts w:hint="eastAsia" w:ascii="Times New Roman" w:hAnsi="Times New Roman"/>
          <w:color w:val="auto"/>
          <w:sz w:val="24"/>
        </w:rPr>
        <w:t>本项目</w:t>
      </w:r>
      <w:r>
        <w:rPr>
          <w:rFonts w:ascii="Times New Roman" w:hAnsi="Times New Roman"/>
          <w:color w:val="auto"/>
          <w:sz w:val="24"/>
        </w:rPr>
        <w:t>风险隐患，按照甲方要求及时提供咨询、防灾防损等方面的优质服务。</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shd w:val="pct10" w:color="auto" w:fill="FFFFFF"/>
        </w:rPr>
        <w:t>（四）索赔和理赔</w:t>
      </w:r>
    </w:p>
    <w:p>
      <w:pPr>
        <w:snapToGrid w:val="0"/>
        <w:spacing w:before="156" w:beforeLines="50" w:line="360" w:lineRule="auto"/>
        <w:ind w:firstLine="480" w:firstLineChars="200"/>
        <w:rPr>
          <w:rFonts w:ascii="Times New Roman" w:hAnsi="Times New Roman"/>
          <w:color w:val="auto"/>
          <w:sz w:val="24"/>
          <w:u w:val="single"/>
        </w:rPr>
      </w:pPr>
      <w:r>
        <w:rPr>
          <w:rFonts w:ascii="Times New Roman" w:hAnsi="Times New Roman"/>
          <w:color w:val="auto"/>
          <w:sz w:val="24"/>
          <w:u w:val="single"/>
        </w:rPr>
        <w:t>1、出险通知</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乙方应严格执行365天、24小时的全天候接报案制度（报案电话：**）。甲方在获悉发生损失后，应及时通知</w:t>
      </w:r>
      <w:r>
        <w:rPr>
          <w:rFonts w:hint="eastAsia" w:ascii="Times New Roman" w:hAnsi="Times New Roman"/>
          <w:color w:val="auto"/>
          <w:sz w:val="24"/>
        </w:rPr>
        <w:t>保险公司报案</w:t>
      </w:r>
      <w:r>
        <w:rPr>
          <w:rFonts w:ascii="Times New Roman" w:hAnsi="Times New Roman"/>
          <w:color w:val="auto"/>
          <w:sz w:val="24"/>
        </w:rPr>
        <w:t>。</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u w:val="single"/>
        </w:rPr>
        <w:t>2、现场查勘时限</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乙方根据自身的机构网络设置，接到甲方或其他被保险人的报案通知后，必须立即答复是否需要保留现场。如需要，乙方专责理赔人员须在4个小时内（不可抗力除外）赶到现场，或在24个小时内委托事先由甲方认可的具有相关资质的公估公司赶到损失现场，进行现场查勘。</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若</w:t>
      </w:r>
      <w:r>
        <w:rPr>
          <w:rFonts w:hint="eastAsia" w:ascii="Times New Roman" w:hAnsi="Times New Roman"/>
          <w:color w:val="auto"/>
          <w:sz w:val="24"/>
        </w:rPr>
        <w:t>发生损失</w:t>
      </w:r>
      <w:r>
        <w:rPr>
          <w:rFonts w:ascii="Times New Roman" w:hAnsi="Times New Roman"/>
          <w:color w:val="auto"/>
          <w:sz w:val="24"/>
        </w:rPr>
        <w:t>抢险需要，或乙方查勘人员未按上述规定时间及时到达出险现场。乙方允许被保险人自行处理事故现场，恢复</w:t>
      </w:r>
      <w:r>
        <w:rPr>
          <w:rFonts w:hint="eastAsia" w:ascii="Times New Roman" w:hAnsi="Times New Roman"/>
          <w:color w:val="auto"/>
          <w:sz w:val="24"/>
        </w:rPr>
        <w:t>通行</w:t>
      </w:r>
      <w:r>
        <w:rPr>
          <w:rFonts w:ascii="Times New Roman" w:hAnsi="Times New Roman"/>
          <w:color w:val="auto"/>
          <w:sz w:val="24"/>
        </w:rPr>
        <w:t>。</w:t>
      </w:r>
      <w:bookmarkStart w:id="103" w:name="OLE_LINK5"/>
      <w:bookmarkStart w:id="104" w:name="OLE_LINK6"/>
      <w:r>
        <w:rPr>
          <w:rFonts w:ascii="Times New Roman" w:hAnsi="Times New Roman"/>
          <w:color w:val="auto"/>
          <w:sz w:val="24"/>
        </w:rPr>
        <w:t>但被保险人应尽量如实保留事故现场的有关照片、录像及受损财产实物等。</w:t>
      </w:r>
      <w:bookmarkEnd w:id="103"/>
      <w:bookmarkEnd w:id="104"/>
      <w:r>
        <w:rPr>
          <w:rFonts w:ascii="Times New Roman" w:hAnsi="Times New Roman"/>
          <w:color w:val="auto"/>
          <w:sz w:val="24"/>
        </w:rPr>
        <w:t>保险人不得以未到现场查勘等事项为由而拒赔。</w:t>
      </w:r>
    </w:p>
    <w:p>
      <w:pPr>
        <w:spacing w:line="360" w:lineRule="auto"/>
        <w:ind w:firstLine="480" w:firstLineChars="200"/>
        <w:rPr>
          <w:rFonts w:ascii="Times New Roman" w:hAnsi="Times New Roman"/>
          <w:b/>
          <w:color w:val="auto"/>
          <w:sz w:val="24"/>
        </w:rPr>
      </w:pPr>
      <w:r>
        <w:rPr>
          <w:rFonts w:ascii="Times New Roman" w:hAnsi="Times New Roman"/>
          <w:color w:val="auto"/>
          <w:sz w:val="24"/>
          <w:u w:val="single"/>
        </w:rPr>
        <w:t>3、单证审核</w:t>
      </w:r>
    </w:p>
    <w:p>
      <w:pPr>
        <w:spacing w:before="156" w:beforeLines="50" w:line="360" w:lineRule="auto"/>
        <w:ind w:firstLine="480" w:firstLineChars="200"/>
        <w:rPr>
          <w:rFonts w:ascii="Times New Roman" w:hAnsi="Times New Roman"/>
          <w:i/>
          <w:color w:val="auto"/>
          <w:sz w:val="24"/>
          <w:shd w:val="pct10" w:color="auto" w:fill="FFFFFF"/>
        </w:rPr>
      </w:pPr>
      <w:r>
        <w:rPr>
          <w:rFonts w:ascii="Times New Roman" w:hAnsi="Times New Roman"/>
          <w:color w:val="auto"/>
          <w:sz w:val="24"/>
        </w:rPr>
        <w:t>甲方或其他被保险人按本保险有关规定以EMS、邮寄或其他方式向乙方项目服务小组提交必须的、有效的、真实的有关单证和资料。乙方在收到上述材料后应立即进行审查核实，乙方若认为有关证明和材料不完整，应立即以书面方式一次性通知甲方或其他被保险人补充提供有关证明或资料，乙方若在接到索赔资料后2个工作日内未提出有关审核意见，则视为认可索赔资料完整。</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资料清单如下：</w:t>
      </w:r>
    </w:p>
    <w:p>
      <w:pPr>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 xml:space="preserve">** </w:t>
      </w:r>
    </w:p>
    <w:p>
      <w:pPr>
        <w:spacing w:before="156" w:beforeLines="50" w:line="360" w:lineRule="auto"/>
        <w:ind w:firstLine="480" w:firstLineChars="200"/>
        <w:rPr>
          <w:rFonts w:ascii="Times New Roman" w:hAnsi="Times New Roman"/>
          <w:color w:val="auto"/>
          <w:sz w:val="24"/>
          <w:u w:val="single"/>
        </w:rPr>
      </w:pPr>
      <w:r>
        <w:rPr>
          <w:rFonts w:ascii="Times New Roman" w:hAnsi="Times New Roman"/>
          <w:color w:val="auto"/>
          <w:sz w:val="24"/>
          <w:u w:val="single"/>
        </w:rPr>
        <w:t>4、理赔处理</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对于估损金额超过人民币100万元的索赔，乙方应于理赔资料齐全后15个工作日内提出赔偿方案；对于估损金额低于人民币100万元的索赔，乙方应于理赔资料齐全后10个工作日内提出赔偿方案。</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 xml:space="preserve">赔款应在甲乙双方达成赔偿协议后由乙方在以下规定的时限内向甲方支付： </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spacing w:after="120"/>
              <w:rPr>
                <w:color w:val="auto"/>
                <w:sz w:val="24"/>
              </w:rPr>
            </w:pPr>
            <w:r>
              <w:rPr>
                <w:color w:val="auto"/>
                <w:sz w:val="24"/>
              </w:rPr>
              <w:t>人民币50万元以内赔案</w:t>
            </w:r>
          </w:p>
        </w:tc>
        <w:tc>
          <w:tcPr>
            <w:tcW w:w="4261" w:type="dxa"/>
          </w:tcPr>
          <w:p>
            <w:pPr>
              <w:spacing w:after="120"/>
              <w:rPr>
                <w:color w:val="auto"/>
                <w:sz w:val="24"/>
              </w:rPr>
            </w:pPr>
            <w:r>
              <w:rPr>
                <w:color w:val="auto"/>
                <w:sz w:val="24"/>
              </w:rPr>
              <w:t>5个工作日内支付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spacing w:after="120"/>
              <w:rPr>
                <w:color w:val="auto"/>
                <w:sz w:val="24"/>
              </w:rPr>
            </w:pPr>
            <w:r>
              <w:rPr>
                <w:color w:val="auto"/>
                <w:sz w:val="24"/>
              </w:rPr>
              <w:t>大于人民币50万元赔案</w:t>
            </w:r>
          </w:p>
        </w:tc>
        <w:tc>
          <w:tcPr>
            <w:tcW w:w="4261" w:type="dxa"/>
          </w:tcPr>
          <w:p>
            <w:pPr>
              <w:spacing w:after="120"/>
              <w:rPr>
                <w:color w:val="auto"/>
                <w:sz w:val="24"/>
              </w:rPr>
            </w:pPr>
            <w:r>
              <w:rPr>
                <w:color w:val="auto"/>
                <w:sz w:val="24"/>
              </w:rPr>
              <w:t>7个工作日内支付</w:t>
            </w:r>
          </w:p>
        </w:tc>
      </w:tr>
    </w:tbl>
    <w:p>
      <w:pPr>
        <w:spacing w:before="156" w:beforeLines="50" w:line="360" w:lineRule="auto"/>
        <w:ind w:firstLine="480" w:firstLineChars="200"/>
        <w:rPr>
          <w:rFonts w:ascii="Times New Roman" w:hAnsi="Times New Roman"/>
          <w:color w:val="auto"/>
          <w:sz w:val="24"/>
          <w:u w:val="single"/>
        </w:rPr>
      </w:pPr>
      <w:r>
        <w:rPr>
          <w:rFonts w:ascii="Times New Roman" w:hAnsi="Times New Roman"/>
          <w:color w:val="auto"/>
          <w:sz w:val="24"/>
          <w:u w:val="single"/>
        </w:rPr>
        <w:t>5、聘请公估公司及其费用</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发生保险事故后，如双方对事故的保险责任和/或损失金额的认定不能达成一致时，由乙方聘请事先由甲方认可的具有相关资质的保险公估公司协助认定责任或/和金额（名单如下，排名不分前后），聘请公估人所发生的全部费用由乙方承担。</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(1)**</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(2)**</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公估人应在2个工作日内提供工作计划表，并经甲方认可后严格执行，公估人的职责为确定损失原因、性质和理算损失金额，原则上应在相关索赔资料齐全后10个工作日内出具理算报告。</w:t>
      </w:r>
    </w:p>
    <w:p>
      <w:pPr>
        <w:snapToGrid w:val="0"/>
        <w:spacing w:before="156" w:beforeLines="50" w:line="360" w:lineRule="auto"/>
        <w:ind w:firstLine="480" w:firstLineChars="200"/>
        <w:rPr>
          <w:rFonts w:ascii="Times New Roman" w:hAnsi="Times New Roman"/>
          <w:color w:val="auto"/>
          <w:sz w:val="24"/>
          <w:u w:val="single"/>
        </w:rPr>
      </w:pPr>
      <w:r>
        <w:rPr>
          <w:rFonts w:ascii="Times New Roman" w:hAnsi="Times New Roman"/>
          <w:color w:val="auto"/>
          <w:sz w:val="24"/>
          <w:u w:val="single"/>
        </w:rPr>
        <w:t>7、预付赔款</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如果发生保险责任范围内的重大损失事故，在保险责任明确但损失金额尚不能完全确定的情况下，根据甲方要求，乙方应在收到甲方书面通知的5个工作日内支付一定数量的预付赔款，金额不低于每次初步核损金额的50%。</w:t>
      </w:r>
    </w:p>
    <w:p>
      <w:pPr>
        <w:spacing w:before="156" w:beforeLines="50" w:line="360" w:lineRule="auto"/>
        <w:ind w:firstLine="482" w:firstLineChars="200"/>
        <w:rPr>
          <w:rFonts w:ascii="Times New Roman" w:hAnsi="Times New Roman"/>
          <w:b/>
          <w:bCs/>
          <w:color w:val="auto"/>
          <w:sz w:val="24"/>
        </w:rPr>
      </w:pPr>
      <w:r>
        <w:rPr>
          <w:rFonts w:ascii="Times New Roman" w:hAnsi="Times New Roman"/>
          <w:b/>
          <w:bCs/>
          <w:color w:val="auto"/>
          <w:sz w:val="24"/>
        </w:rPr>
        <w:t>六、其他</w:t>
      </w:r>
    </w:p>
    <w:p>
      <w:pPr>
        <w:snapToGrid w:val="0"/>
        <w:spacing w:before="156" w:beforeLines="50" w:line="360" w:lineRule="auto"/>
        <w:ind w:firstLine="480" w:firstLineChars="200"/>
        <w:rPr>
          <w:rFonts w:ascii="Times New Roman" w:hAnsi="Times New Roman"/>
          <w:color w:val="auto"/>
          <w:sz w:val="24"/>
          <w:shd w:val="pct10" w:color="auto" w:fill="FFFFFF"/>
        </w:rPr>
      </w:pPr>
      <w:r>
        <w:rPr>
          <w:rFonts w:ascii="Times New Roman" w:hAnsi="Times New Roman"/>
          <w:color w:val="auto"/>
          <w:sz w:val="24"/>
          <w:shd w:val="pct10" w:color="auto" w:fill="FFFFFF"/>
        </w:rPr>
        <w:t>（一）保险合同构成</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保险合同的有效构成包括以下文件：</w:t>
      </w:r>
    </w:p>
    <w:p>
      <w:pPr>
        <w:numPr>
          <w:ilvl w:val="0"/>
          <w:numId w:val="3"/>
        </w:num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保险协议及补充协议；</w:t>
      </w:r>
    </w:p>
    <w:p>
      <w:pPr>
        <w:numPr>
          <w:ilvl w:val="0"/>
          <w:numId w:val="3"/>
        </w:num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批单及保单；</w:t>
      </w:r>
    </w:p>
    <w:p>
      <w:pPr>
        <w:numPr>
          <w:ilvl w:val="0"/>
          <w:numId w:val="3"/>
        </w:num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保险谈判过程文件（如谈判纪要等）；</w:t>
      </w:r>
    </w:p>
    <w:p>
      <w:pPr>
        <w:numPr>
          <w:ilvl w:val="0"/>
          <w:numId w:val="3"/>
        </w:numPr>
        <w:snapToGrid w:val="0"/>
        <w:spacing w:before="156" w:beforeLines="50" w:line="360" w:lineRule="auto"/>
        <w:ind w:firstLine="480" w:firstLineChars="200"/>
        <w:rPr>
          <w:rFonts w:ascii="Times New Roman" w:hAnsi="Times New Roman"/>
          <w:color w:val="auto"/>
          <w:sz w:val="24"/>
        </w:rPr>
      </w:pPr>
      <w:r>
        <w:rPr>
          <w:rFonts w:hint="eastAsia" w:ascii="Times New Roman" w:hAnsi="Times New Roman"/>
          <w:color w:val="auto"/>
          <w:sz w:val="24"/>
        </w:rPr>
        <w:t>招标</w:t>
      </w:r>
      <w:r>
        <w:rPr>
          <w:rFonts w:ascii="Times New Roman" w:hAnsi="Times New Roman"/>
          <w:color w:val="auto"/>
          <w:sz w:val="24"/>
        </w:rPr>
        <w:t>文件及相关澄清文件；</w:t>
      </w:r>
    </w:p>
    <w:p>
      <w:pPr>
        <w:numPr>
          <w:ilvl w:val="0"/>
          <w:numId w:val="3"/>
        </w:num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报价文件及相关澄清文件；</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如上述文件之间存在矛盾或不一致之处，除有明确约定外，以排序在前的文件规定的内容为准。</w:t>
      </w:r>
    </w:p>
    <w:p>
      <w:pPr>
        <w:snapToGrid w:val="0"/>
        <w:spacing w:before="156" w:beforeLines="50" w:line="360" w:lineRule="auto"/>
        <w:ind w:firstLine="480" w:firstLineChars="200"/>
        <w:rPr>
          <w:rFonts w:ascii="Times New Roman" w:hAnsi="Times New Roman"/>
          <w:color w:val="auto"/>
          <w:sz w:val="24"/>
          <w:shd w:val="pct10" w:color="auto" w:fill="FFFFFF"/>
        </w:rPr>
      </w:pPr>
      <w:r>
        <w:rPr>
          <w:rFonts w:ascii="Times New Roman" w:hAnsi="Times New Roman"/>
          <w:color w:val="auto"/>
          <w:sz w:val="24"/>
          <w:shd w:val="pct10" w:color="auto" w:fill="FFFFFF"/>
        </w:rPr>
        <w:t>（二）争议处理</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甲、乙双方之间的一切有关本协议的争议应通过友好协商解决。如果协商不成，可向</w:t>
      </w:r>
      <w:r>
        <w:rPr>
          <w:rFonts w:ascii="Times New Roman" w:hAnsi="Times New Roman"/>
          <w:color w:val="auto"/>
          <w:sz w:val="24"/>
          <w:u w:val="single"/>
        </w:rPr>
        <w:t>重庆仲裁委员会</w:t>
      </w:r>
      <w:r>
        <w:rPr>
          <w:rFonts w:ascii="Times New Roman" w:hAnsi="Times New Roman"/>
          <w:color w:val="auto"/>
          <w:sz w:val="24"/>
        </w:rPr>
        <w:t>申请仲裁。</w:t>
      </w:r>
    </w:p>
    <w:p>
      <w:pPr>
        <w:snapToGrid w:val="0"/>
        <w:spacing w:before="156" w:beforeLines="50" w:line="360" w:lineRule="auto"/>
        <w:ind w:firstLine="480" w:firstLineChars="200"/>
        <w:rPr>
          <w:rFonts w:ascii="Times New Roman" w:hAnsi="Times New Roman"/>
          <w:color w:val="auto"/>
          <w:sz w:val="24"/>
          <w:shd w:val="pct10" w:color="auto" w:fill="FFFFFF"/>
        </w:rPr>
      </w:pPr>
      <w:r>
        <w:rPr>
          <w:rFonts w:ascii="Times New Roman" w:hAnsi="Times New Roman"/>
          <w:color w:val="auto"/>
          <w:sz w:val="24"/>
          <w:shd w:val="pct10" w:color="auto" w:fill="FFFFFF"/>
        </w:rPr>
        <w:t>（三）协议的调整和取消</w:t>
      </w:r>
      <w:r>
        <w:rPr>
          <w:rFonts w:ascii="Times New Roman" w:hAnsi="Times New Roman"/>
          <w:color w:val="auto"/>
          <w:sz w:val="24"/>
          <w:shd w:val="pct10" w:color="auto" w:fill="FFFFFF"/>
        </w:rPr>
        <w:tab/>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在本协议正常执行期间，协议内容的任何修改、变更、取消，经由甲乙双方一致同意即可进行。</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szCs w:val="28"/>
        </w:rPr>
        <w:t>在本协议有效期内，如果乙方未能履行本协议义务，或在没有正当理由拒赔、拖赔的情况下，或者有违反本协议规定的保险服务承诺等行为，甲方有权单方取消本协议。</w:t>
      </w:r>
    </w:p>
    <w:p>
      <w:pPr>
        <w:snapToGrid w:val="0"/>
        <w:spacing w:before="156" w:beforeLines="50" w:line="360" w:lineRule="auto"/>
        <w:ind w:firstLine="480" w:firstLineChars="200"/>
        <w:rPr>
          <w:rFonts w:ascii="Times New Roman" w:hAnsi="Times New Roman"/>
          <w:color w:val="auto"/>
          <w:sz w:val="24"/>
          <w:shd w:val="pct10" w:color="auto" w:fill="FFFFFF"/>
        </w:rPr>
      </w:pPr>
      <w:r>
        <w:rPr>
          <w:rFonts w:ascii="Times New Roman" w:hAnsi="Times New Roman"/>
          <w:color w:val="auto"/>
          <w:sz w:val="24"/>
          <w:shd w:val="pct10" w:color="auto" w:fill="FFFFFF"/>
        </w:rPr>
        <w:t>（三）协议有效期</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本协议自</w:t>
      </w:r>
      <w:r>
        <w:rPr>
          <w:rFonts w:ascii="Times New Roman" w:hAnsi="Times New Roman"/>
          <w:color w:val="auto"/>
          <w:sz w:val="24"/>
          <w:u w:val="single"/>
        </w:rPr>
        <w:t xml:space="preserve">      年    月   日</w:t>
      </w:r>
      <w:r>
        <w:rPr>
          <w:rFonts w:ascii="Times New Roman" w:hAnsi="Times New Roman"/>
          <w:color w:val="auto"/>
          <w:sz w:val="24"/>
        </w:rPr>
        <w:t>起正式生效，适用于甲方与乙方签订的本项目</w:t>
      </w:r>
      <w:r>
        <w:rPr>
          <w:rFonts w:hint="eastAsia" w:ascii="宋体" w:hAnsi="宋体"/>
          <w:color w:val="auto"/>
          <w:sz w:val="24"/>
        </w:rPr>
        <w:t>营业中断险、财产一切险、公众责任保险、现金保险等</w:t>
      </w:r>
      <w:r>
        <w:rPr>
          <w:rFonts w:ascii="Times New Roman" w:hAnsi="Times New Roman"/>
          <w:color w:val="auto"/>
          <w:sz w:val="24"/>
        </w:rPr>
        <w:t>保险单，并在各保险单有效期内持续有效。如果该类保单结束后存在遗留问题，则本协议将持续有效，至保单涉及各项遗留事宜最终处理完毕时为止。</w:t>
      </w:r>
    </w:p>
    <w:p>
      <w:pPr>
        <w:snapToGrid w:val="0"/>
        <w:spacing w:before="156" w:beforeLines="50" w:line="360" w:lineRule="auto"/>
        <w:ind w:firstLine="480" w:firstLineChars="200"/>
        <w:rPr>
          <w:rFonts w:ascii="Times New Roman" w:hAnsi="Times New Roman"/>
          <w:color w:val="auto"/>
          <w:sz w:val="24"/>
          <w:shd w:val="pct10" w:color="auto" w:fill="FFFFFF"/>
        </w:rPr>
      </w:pPr>
      <w:r>
        <w:rPr>
          <w:rFonts w:ascii="Times New Roman" w:hAnsi="Times New Roman"/>
          <w:color w:val="auto"/>
          <w:sz w:val="24"/>
          <w:shd w:val="pct10" w:color="auto" w:fill="FFFFFF"/>
        </w:rPr>
        <w:t>（四）保密条款</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除非下列情况，自本协议生效之日起，乙方不得将本协议涉及的所有有形、无形的信息及资料（包括但不限于各方的往来书面文字文件、电子邮件及信息、软盘资料等）泄露给其他团体或个人：</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1、提供给与执行本协议服务内容有关的雇员或顾问，或</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2、应法律或司法管辖要求而提供，或</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3、经甲方书面同意。</w:t>
      </w:r>
    </w:p>
    <w:p>
      <w:pPr>
        <w:snapToGrid w:val="0"/>
        <w:spacing w:before="156" w:beforeLines="50" w:line="360" w:lineRule="auto"/>
        <w:ind w:firstLine="420" w:firstLineChars="175"/>
        <w:rPr>
          <w:rFonts w:ascii="Times New Roman" w:hAnsi="Times New Roman"/>
          <w:color w:val="auto"/>
          <w:sz w:val="24"/>
        </w:rPr>
      </w:pPr>
      <w:r>
        <w:rPr>
          <w:rFonts w:ascii="Times New Roman" w:hAnsi="Times New Roman"/>
          <w:color w:val="auto"/>
          <w:sz w:val="24"/>
        </w:rPr>
        <w:t>本协议一方因过错造成泄密而给其他方造成损失的，过错一方承担经济赔偿责任。</w:t>
      </w:r>
    </w:p>
    <w:p>
      <w:pPr>
        <w:snapToGrid w:val="0"/>
        <w:spacing w:before="156" w:beforeLines="50" w:line="360" w:lineRule="auto"/>
        <w:ind w:firstLine="420" w:firstLineChars="175"/>
        <w:rPr>
          <w:rFonts w:ascii="Times New Roman" w:hAnsi="Times New Roman"/>
          <w:color w:val="auto"/>
          <w:sz w:val="24"/>
        </w:rPr>
      </w:pPr>
      <w:r>
        <w:rPr>
          <w:rFonts w:ascii="Times New Roman" w:hAnsi="Times New Roman"/>
          <w:color w:val="auto"/>
          <w:sz w:val="24"/>
        </w:rPr>
        <w:t>本协议终止时本保密条款继续有效一年。</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shd w:val="pct10" w:color="auto" w:fill="FFFFFF"/>
        </w:rPr>
        <w:t>（五）协议份数</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 xml:space="preserve">本协议共**份，甲、乙方各*份。 </w:t>
      </w:r>
    </w:p>
    <w:p>
      <w:pPr>
        <w:spacing w:before="156" w:beforeLines="50" w:after="156" w:afterLines="50" w:line="360" w:lineRule="auto"/>
        <w:ind w:firstLine="480" w:firstLineChars="200"/>
        <w:rPr>
          <w:rFonts w:ascii="Times New Roman" w:hAnsi="Times New Roman"/>
          <w:color w:val="auto"/>
          <w:sz w:val="24"/>
        </w:rPr>
      </w:pPr>
      <w:r>
        <w:rPr>
          <w:rFonts w:ascii="Times New Roman" w:hAnsi="Times New Roman"/>
          <w:color w:val="auto"/>
          <w:sz w:val="24"/>
          <w:shd w:val="pct10" w:color="auto" w:fill="FFFFFF"/>
        </w:rPr>
        <w:t>（六）法律责任</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由于本协议任何一方当事人的过错，造成本协议不能履行或者不能完全履行的，由有过错的一方依法承担违约责任；如属双方当事人的过错，则根据双方当事人过错的实际情况，由双方当事人分别承担各自应负的违约责任；</w:t>
      </w:r>
    </w:p>
    <w:p>
      <w:pPr>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若发生违约情形，违约方依法依约承担其相应法律责任后，除非守约方同意终止本协议的，本协议仍须继续履行。</w:t>
      </w:r>
    </w:p>
    <w:p>
      <w:pPr>
        <w:widowControl/>
        <w:jc w:val="left"/>
        <w:rPr>
          <w:rFonts w:ascii="Times New Roman" w:hAnsi="Times New Roman"/>
          <w:b/>
          <w:bCs/>
          <w:color w:val="auto"/>
          <w:sz w:val="32"/>
          <w:szCs w:val="32"/>
        </w:rPr>
      </w:pPr>
      <w:r>
        <w:rPr>
          <w:rFonts w:ascii="Times New Roman" w:hAnsi="Times New Roman"/>
          <w:b/>
          <w:bCs/>
          <w:color w:val="auto"/>
          <w:sz w:val="32"/>
          <w:szCs w:val="32"/>
        </w:rPr>
        <w:br w:type="page"/>
      </w:r>
    </w:p>
    <w:p>
      <w:pPr>
        <w:spacing w:line="360" w:lineRule="auto"/>
        <w:ind w:right="43"/>
        <w:jc w:val="center"/>
        <w:rPr>
          <w:rFonts w:ascii="Times New Roman" w:hAnsi="Times New Roman"/>
          <w:b/>
          <w:bCs/>
          <w:color w:val="auto"/>
          <w:sz w:val="32"/>
          <w:szCs w:val="32"/>
        </w:rPr>
      </w:pPr>
      <w:r>
        <w:rPr>
          <w:rFonts w:hint="eastAsia" w:ascii="Times New Roman" w:hAnsi="Times New Roman"/>
          <w:b/>
          <w:bCs/>
          <w:color w:val="auto"/>
          <w:sz w:val="32"/>
          <w:szCs w:val="32"/>
        </w:rPr>
        <w:t>二、</w:t>
      </w:r>
      <w:r>
        <w:rPr>
          <w:rFonts w:ascii="Times New Roman" w:hAnsi="Times New Roman"/>
          <w:b/>
          <w:bCs/>
          <w:color w:val="auto"/>
          <w:sz w:val="32"/>
          <w:szCs w:val="32"/>
        </w:rPr>
        <w:t>基本条款及特别条款措辞</w:t>
      </w:r>
    </w:p>
    <w:p>
      <w:pPr>
        <w:keepNext/>
        <w:keepLines/>
        <w:spacing w:before="100" w:beforeAutospacing="1" w:after="156" w:afterLines="50"/>
        <w:jc w:val="center"/>
        <w:outlineLvl w:val="1"/>
        <w:rPr>
          <w:rFonts w:ascii="Arial" w:hAnsi="Arial" w:cs="Arial"/>
          <w:b/>
          <w:bCs/>
          <w:color w:val="auto"/>
          <w:sz w:val="28"/>
          <w:szCs w:val="28"/>
        </w:rPr>
      </w:pPr>
      <w:bookmarkStart w:id="105" w:name="_Toc3324"/>
      <w:bookmarkStart w:id="106" w:name="_Toc6532"/>
      <w:bookmarkStart w:id="107" w:name="_Toc9108"/>
      <w:r>
        <w:rPr>
          <w:rFonts w:ascii="Arial" w:hAnsi="Arial" w:cs="Arial"/>
          <w:b/>
          <w:bCs/>
          <w:color w:val="auto"/>
          <w:sz w:val="28"/>
          <w:szCs w:val="28"/>
        </w:rPr>
        <w:t>财产一切险条款</w:t>
      </w:r>
      <w:bookmarkEnd w:id="105"/>
      <w:bookmarkEnd w:id="106"/>
      <w:bookmarkEnd w:id="107"/>
    </w:p>
    <w:p>
      <w:pPr>
        <w:spacing w:after="156" w:afterLines="50"/>
        <w:jc w:val="center"/>
        <w:rPr>
          <w:rFonts w:ascii="Arial" w:hAnsi="Arial" w:cs="Arial"/>
          <w:b/>
          <w:bCs/>
          <w:color w:val="auto"/>
          <w:szCs w:val="21"/>
        </w:rPr>
      </w:pPr>
      <w:bookmarkStart w:id="108" w:name="总则"/>
    </w:p>
    <w:p>
      <w:pPr>
        <w:spacing w:after="156" w:afterLines="50"/>
        <w:jc w:val="center"/>
        <w:rPr>
          <w:rFonts w:ascii="Arial" w:hAnsi="Arial" w:cs="Arial"/>
          <w:b/>
          <w:bCs/>
          <w:color w:val="auto"/>
          <w:szCs w:val="21"/>
        </w:rPr>
      </w:pPr>
      <w:r>
        <w:rPr>
          <w:rFonts w:ascii="Arial" w:hAnsi="Arial" w:cs="Arial"/>
          <w:b/>
          <w:bCs/>
          <w:color w:val="auto"/>
          <w:szCs w:val="21"/>
        </w:rPr>
        <w:t>总则</w:t>
      </w:r>
      <w:bookmarkEnd w:id="108"/>
    </w:p>
    <w:p>
      <w:pPr>
        <w:spacing w:after="156" w:afterLines="50"/>
        <w:ind w:firstLine="420" w:firstLineChars="199"/>
        <w:rPr>
          <w:rFonts w:ascii="Arial" w:hAnsi="Arial" w:cs="Arial"/>
          <w:color w:val="auto"/>
          <w:szCs w:val="21"/>
        </w:rPr>
      </w:pPr>
      <w:r>
        <w:rPr>
          <w:rFonts w:ascii="Arial" w:hAnsi="Arial" w:cs="Arial"/>
          <w:b/>
          <w:color w:val="auto"/>
          <w:szCs w:val="21"/>
        </w:rPr>
        <w:t>第一条</w:t>
      </w:r>
      <w:r>
        <w:rPr>
          <w:rFonts w:ascii="Arial" w:hAnsi="Arial" w:cs="Arial"/>
          <w:color w:val="auto"/>
          <w:szCs w:val="21"/>
        </w:rPr>
        <w:t xml:space="preserve">  本保险合同由保险条款、投保单、保险单或其他保险凭证以及批单组成。凡涉及本保险合同的约定，均应采用书面形式。</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保险标的</w:t>
      </w:r>
    </w:p>
    <w:p>
      <w:pPr>
        <w:spacing w:after="156" w:afterLines="50"/>
        <w:ind w:firstLine="396" w:firstLineChars="188"/>
        <w:rPr>
          <w:rFonts w:ascii="Arial" w:hAnsi="Arial" w:cs="Arial"/>
          <w:color w:val="auto"/>
          <w:szCs w:val="21"/>
        </w:rPr>
      </w:pPr>
      <w:r>
        <w:rPr>
          <w:rFonts w:ascii="Arial" w:hAnsi="Arial" w:cs="Arial"/>
          <w:b/>
          <w:color w:val="auto"/>
          <w:szCs w:val="21"/>
        </w:rPr>
        <w:t>第二条</w:t>
      </w:r>
      <w:r>
        <w:rPr>
          <w:rFonts w:ascii="Arial" w:hAnsi="Arial" w:cs="Arial"/>
          <w:color w:val="auto"/>
          <w:szCs w:val="21"/>
        </w:rPr>
        <w:t xml:space="preserve">  本保险合同载明地址内的下列财产可作为保险标的：</w:t>
      </w:r>
    </w:p>
    <w:p>
      <w:pPr>
        <w:spacing w:after="156" w:afterLines="50"/>
        <w:ind w:firstLine="394" w:firstLineChars="188"/>
        <w:rPr>
          <w:rFonts w:ascii="Arial" w:hAnsi="Arial" w:cs="Arial"/>
          <w:color w:val="auto"/>
          <w:szCs w:val="21"/>
        </w:rPr>
      </w:pPr>
      <w:r>
        <w:rPr>
          <w:rFonts w:ascii="Arial" w:hAnsi="Arial" w:cs="Arial"/>
          <w:color w:val="auto"/>
          <w:szCs w:val="21"/>
        </w:rPr>
        <w:t>（一）属于被保险人所有或与他人共有而由被保险人负责的财产；</w:t>
      </w:r>
    </w:p>
    <w:p>
      <w:pPr>
        <w:spacing w:after="156" w:afterLines="50"/>
        <w:ind w:firstLine="394" w:firstLineChars="188"/>
        <w:rPr>
          <w:rFonts w:ascii="Arial" w:hAnsi="Arial" w:cs="Arial"/>
          <w:color w:val="auto"/>
          <w:szCs w:val="21"/>
        </w:rPr>
      </w:pPr>
      <w:r>
        <w:rPr>
          <w:rFonts w:ascii="Arial" w:hAnsi="Arial" w:cs="Arial"/>
          <w:color w:val="auto"/>
          <w:szCs w:val="21"/>
        </w:rPr>
        <w:t>（二）由被保险人经营管理或替他人保管的财产；</w:t>
      </w:r>
    </w:p>
    <w:p>
      <w:pPr>
        <w:spacing w:after="156" w:afterLines="50"/>
        <w:ind w:firstLine="394" w:firstLineChars="188"/>
        <w:rPr>
          <w:rFonts w:ascii="Arial" w:hAnsi="Arial" w:cs="Arial"/>
          <w:color w:val="auto"/>
          <w:szCs w:val="21"/>
        </w:rPr>
      </w:pPr>
      <w:r>
        <w:rPr>
          <w:rFonts w:ascii="Arial" w:hAnsi="Arial" w:cs="Arial"/>
          <w:color w:val="auto"/>
          <w:szCs w:val="21"/>
        </w:rPr>
        <w:t>（三）其他具有法律上承认的与被保险人有经济利害关系的财产。</w:t>
      </w:r>
    </w:p>
    <w:p>
      <w:pPr>
        <w:spacing w:after="156" w:afterLines="50"/>
        <w:ind w:firstLine="396" w:firstLineChars="188"/>
        <w:rPr>
          <w:rFonts w:ascii="Arial" w:hAnsi="Arial" w:cs="Arial"/>
          <w:color w:val="auto"/>
          <w:szCs w:val="21"/>
        </w:rPr>
      </w:pPr>
      <w:r>
        <w:rPr>
          <w:rFonts w:ascii="Arial" w:hAnsi="Arial" w:cs="Arial"/>
          <w:b/>
          <w:color w:val="auto"/>
          <w:szCs w:val="21"/>
        </w:rPr>
        <w:t>第三条</w:t>
      </w:r>
      <w:r>
        <w:rPr>
          <w:rFonts w:ascii="Arial" w:hAnsi="Arial" w:cs="Arial"/>
          <w:color w:val="auto"/>
          <w:szCs w:val="21"/>
        </w:rPr>
        <w:t xml:space="preserve">  本保险合同载明地址内的下列财产未经保险合同双方特别约定并在保险合同中载明保险价值的，不属于本保险合同的保险标的：</w:t>
      </w:r>
    </w:p>
    <w:p>
      <w:pPr>
        <w:spacing w:after="156" w:afterLines="50"/>
        <w:ind w:firstLine="394" w:firstLineChars="188"/>
        <w:rPr>
          <w:rFonts w:ascii="Arial" w:hAnsi="Arial" w:cs="Arial"/>
          <w:color w:val="auto"/>
          <w:szCs w:val="21"/>
        </w:rPr>
      </w:pPr>
      <w:r>
        <w:rPr>
          <w:rFonts w:ascii="Arial" w:hAnsi="Arial" w:cs="Arial"/>
          <w:color w:val="auto"/>
          <w:szCs w:val="21"/>
        </w:rPr>
        <w:t>（一） 金银、珠宝、钻石、玉器、首饰、古币、古玩、古书、古画、邮票、字画、艺术品、稀有金属等珍贵财物；</w:t>
      </w:r>
    </w:p>
    <w:p>
      <w:pPr>
        <w:spacing w:after="156" w:afterLines="50"/>
        <w:ind w:firstLine="420" w:firstLineChars="200"/>
        <w:rPr>
          <w:rFonts w:ascii="Arial" w:hAnsi="Arial" w:cs="Arial"/>
          <w:color w:val="auto"/>
          <w:szCs w:val="21"/>
        </w:rPr>
      </w:pPr>
      <w:r>
        <w:rPr>
          <w:rFonts w:ascii="Arial" w:hAnsi="Arial" w:cs="Arial"/>
          <w:color w:val="auto"/>
          <w:szCs w:val="21"/>
        </w:rPr>
        <w:t>（二）堤堰、水闸、铁路、道路、涵洞、隧道、桥梁、码头；</w:t>
      </w:r>
    </w:p>
    <w:p>
      <w:pPr>
        <w:spacing w:after="156" w:afterLines="50"/>
        <w:ind w:firstLine="420" w:firstLineChars="200"/>
        <w:rPr>
          <w:rFonts w:ascii="Arial" w:hAnsi="Arial" w:cs="Arial"/>
          <w:color w:val="auto"/>
          <w:szCs w:val="21"/>
        </w:rPr>
      </w:pPr>
      <w:r>
        <w:rPr>
          <w:rFonts w:ascii="Arial" w:hAnsi="Arial" w:cs="Arial"/>
          <w:color w:val="auto"/>
          <w:szCs w:val="21"/>
        </w:rPr>
        <w:t>（三）矿井（坑）内的设备和物资；</w:t>
      </w:r>
    </w:p>
    <w:p>
      <w:pPr>
        <w:spacing w:after="156" w:afterLines="50"/>
        <w:ind w:firstLine="420" w:firstLineChars="200"/>
        <w:rPr>
          <w:rFonts w:ascii="Arial" w:hAnsi="Arial" w:cs="Arial"/>
          <w:color w:val="auto"/>
          <w:szCs w:val="21"/>
        </w:rPr>
      </w:pPr>
      <w:r>
        <w:rPr>
          <w:rFonts w:ascii="Arial" w:hAnsi="Arial" w:cs="Arial"/>
          <w:color w:val="auto"/>
          <w:szCs w:val="21"/>
        </w:rPr>
        <w:t>（四）便携式通讯装置、便携式计算机设备、便携式照相摄像器材以及其他便携式装置、设备；</w:t>
      </w:r>
    </w:p>
    <w:p>
      <w:pPr>
        <w:spacing w:after="156" w:afterLines="50"/>
        <w:ind w:firstLine="420" w:firstLineChars="200"/>
        <w:rPr>
          <w:rFonts w:ascii="Arial" w:hAnsi="Arial" w:cs="Arial"/>
          <w:color w:val="auto"/>
          <w:szCs w:val="21"/>
        </w:rPr>
      </w:pPr>
      <w:r>
        <w:rPr>
          <w:rFonts w:ascii="Arial" w:hAnsi="Arial" w:cs="Arial"/>
          <w:color w:val="auto"/>
          <w:szCs w:val="21"/>
        </w:rPr>
        <w:t>（五）尚未交付使用或验收的工程。</w:t>
      </w:r>
    </w:p>
    <w:p>
      <w:pPr>
        <w:spacing w:after="156" w:afterLines="50"/>
        <w:ind w:firstLine="420" w:firstLineChars="199"/>
        <w:rPr>
          <w:rFonts w:ascii="Arial" w:hAnsi="Arial" w:cs="Arial"/>
          <w:color w:val="auto"/>
          <w:szCs w:val="21"/>
        </w:rPr>
      </w:pPr>
      <w:r>
        <w:rPr>
          <w:rFonts w:ascii="Arial" w:hAnsi="Arial" w:cs="Arial"/>
          <w:b/>
          <w:color w:val="auto"/>
          <w:szCs w:val="21"/>
        </w:rPr>
        <w:t>第四条</w:t>
      </w:r>
      <w:r>
        <w:rPr>
          <w:rFonts w:ascii="Arial" w:hAnsi="Arial" w:cs="Arial"/>
          <w:color w:val="auto"/>
          <w:szCs w:val="21"/>
        </w:rPr>
        <w:t xml:space="preserve">  下列财产不属于本保险合同的保险标的：</w:t>
      </w:r>
    </w:p>
    <w:p>
      <w:pPr>
        <w:spacing w:after="156" w:afterLines="50"/>
        <w:ind w:firstLine="420" w:firstLineChars="200"/>
        <w:rPr>
          <w:rFonts w:ascii="Arial" w:hAnsi="Arial" w:cs="Arial"/>
          <w:color w:val="auto"/>
          <w:szCs w:val="21"/>
        </w:rPr>
      </w:pPr>
      <w:r>
        <w:rPr>
          <w:rFonts w:ascii="Arial" w:hAnsi="Arial" w:cs="Arial"/>
          <w:color w:val="auto"/>
          <w:szCs w:val="21"/>
        </w:rPr>
        <w:t>（一）土地、矿藏、水资源及其他自然资源；</w:t>
      </w:r>
    </w:p>
    <w:p>
      <w:pPr>
        <w:spacing w:after="156" w:afterLines="50"/>
        <w:ind w:firstLine="420" w:firstLineChars="200"/>
        <w:rPr>
          <w:rFonts w:ascii="Arial" w:hAnsi="Arial" w:cs="Arial"/>
          <w:color w:val="auto"/>
          <w:szCs w:val="21"/>
        </w:rPr>
      </w:pPr>
      <w:r>
        <w:rPr>
          <w:rFonts w:ascii="Arial" w:hAnsi="Arial" w:cs="Arial"/>
          <w:color w:val="auto"/>
          <w:szCs w:val="21"/>
        </w:rPr>
        <w:t>（二）矿井、矿坑；</w:t>
      </w:r>
    </w:p>
    <w:p>
      <w:pPr>
        <w:spacing w:after="156" w:afterLines="50"/>
        <w:ind w:firstLine="420" w:firstLineChars="200"/>
        <w:rPr>
          <w:rFonts w:ascii="Arial" w:hAnsi="Arial" w:cs="Arial"/>
          <w:color w:val="auto"/>
          <w:szCs w:val="21"/>
        </w:rPr>
      </w:pPr>
      <w:r>
        <w:rPr>
          <w:rFonts w:ascii="Arial" w:hAnsi="Arial" w:cs="Arial"/>
          <w:color w:val="auto"/>
          <w:szCs w:val="21"/>
        </w:rPr>
        <w:t>（三）货币、票证、有价证券以及有现金价值的磁卡、集成电路（IC）卡等卡类；</w:t>
      </w:r>
    </w:p>
    <w:p>
      <w:pPr>
        <w:spacing w:after="156" w:afterLines="50"/>
        <w:ind w:firstLine="420" w:firstLineChars="200"/>
        <w:rPr>
          <w:rFonts w:ascii="Arial" w:hAnsi="Arial" w:cs="Arial"/>
          <w:color w:val="auto"/>
          <w:szCs w:val="21"/>
        </w:rPr>
      </w:pPr>
      <w:r>
        <w:rPr>
          <w:rFonts w:ascii="Arial" w:hAnsi="Arial" w:cs="Arial"/>
          <w:color w:val="auto"/>
          <w:szCs w:val="21"/>
        </w:rPr>
        <w:t>（四）文件、账册、图表、技术资料、计算机软件、计算机数据资料等无法鉴定价值的财产；</w:t>
      </w:r>
    </w:p>
    <w:p>
      <w:pPr>
        <w:spacing w:after="156" w:afterLines="50"/>
        <w:ind w:firstLine="420" w:firstLineChars="200"/>
        <w:rPr>
          <w:rFonts w:ascii="Arial" w:hAnsi="Arial" w:cs="Arial"/>
          <w:color w:val="auto"/>
          <w:szCs w:val="21"/>
        </w:rPr>
      </w:pPr>
      <w:r>
        <w:rPr>
          <w:rFonts w:ascii="Arial" w:hAnsi="Arial" w:cs="Arial"/>
          <w:color w:val="auto"/>
          <w:szCs w:val="21"/>
        </w:rPr>
        <w:t xml:space="preserve">（五）枪支弹药； </w:t>
      </w:r>
    </w:p>
    <w:p>
      <w:pPr>
        <w:spacing w:after="156" w:afterLines="50"/>
        <w:ind w:firstLine="420" w:firstLineChars="200"/>
        <w:rPr>
          <w:rFonts w:ascii="Arial" w:hAnsi="Arial" w:cs="Arial"/>
          <w:color w:val="auto"/>
          <w:szCs w:val="21"/>
        </w:rPr>
      </w:pPr>
      <w:r>
        <w:rPr>
          <w:rFonts w:ascii="Arial" w:hAnsi="Arial" w:cs="Arial"/>
          <w:color w:val="auto"/>
          <w:szCs w:val="21"/>
        </w:rPr>
        <w:t>（六）违章建筑、危险建筑、非法占用的财产；</w:t>
      </w:r>
    </w:p>
    <w:p>
      <w:pPr>
        <w:spacing w:after="156" w:afterLines="50"/>
        <w:ind w:firstLine="420" w:firstLineChars="200"/>
        <w:rPr>
          <w:rFonts w:ascii="Arial" w:hAnsi="Arial" w:cs="Arial"/>
          <w:color w:val="auto"/>
          <w:szCs w:val="21"/>
        </w:rPr>
      </w:pPr>
      <w:r>
        <w:rPr>
          <w:rFonts w:ascii="Arial" w:hAnsi="Arial" w:cs="Arial"/>
          <w:color w:val="auto"/>
          <w:szCs w:val="21"/>
        </w:rPr>
        <w:t>（七）领取公共行驶执照的机动车辆；</w:t>
      </w:r>
    </w:p>
    <w:p>
      <w:pPr>
        <w:spacing w:after="156" w:afterLines="50"/>
        <w:ind w:firstLine="420" w:firstLineChars="200"/>
        <w:rPr>
          <w:rFonts w:ascii="Arial" w:hAnsi="Arial" w:cs="Arial"/>
          <w:i/>
          <w:iCs/>
          <w:color w:val="auto"/>
          <w:szCs w:val="21"/>
        </w:rPr>
      </w:pPr>
      <w:r>
        <w:rPr>
          <w:rFonts w:ascii="Arial" w:hAnsi="Arial" w:cs="Arial"/>
          <w:color w:val="auto"/>
          <w:szCs w:val="21"/>
        </w:rPr>
        <w:t>（八）动物、植物、农作物。</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保险责任</w:t>
      </w:r>
    </w:p>
    <w:p>
      <w:pPr>
        <w:spacing w:after="156" w:afterLines="50"/>
        <w:ind w:firstLine="422" w:firstLineChars="200"/>
        <w:rPr>
          <w:rFonts w:ascii="Arial" w:hAnsi="Arial" w:cs="Arial"/>
          <w:color w:val="auto"/>
          <w:szCs w:val="21"/>
        </w:rPr>
      </w:pPr>
      <w:r>
        <w:rPr>
          <w:rFonts w:ascii="Arial" w:hAnsi="Arial" w:cs="Arial"/>
          <w:b/>
          <w:color w:val="auto"/>
          <w:szCs w:val="21"/>
        </w:rPr>
        <w:t>第五条</w:t>
      </w:r>
      <w:r>
        <w:rPr>
          <w:rFonts w:ascii="Arial" w:hAnsi="Arial" w:cs="Arial"/>
          <w:color w:val="auto"/>
          <w:szCs w:val="21"/>
        </w:rPr>
        <w:t xml:space="preserve">  在保险期间内，由于自然灾害或意外事故造成</w:t>
      </w:r>
      <w:r>
        <w:rPr>
          <w:rFonts w:ascii="Arial" w:hAnsi="Arial" w:cs="Arial"/>
          <w:bCs/>
          <w:color w:val="auto"/>
          <w:szCs w:val="21"/>
        </w:rPr>
        <w:t>保险标的直接物质损坏或灭失（以下简称“损失”）</w:t>
      </w:r>
      <w:r>
        <w:rPr>
          <w:rFonts w:ascii="Arial" w:hAnsi="Arial" w:cs="Arial"/>
          <w:color w:val="auto"/>
          <w:szCs w:val="21"/>
        </w:rPr>
        <w:t>，保险人按照本保险合同的约定负责赔偿。</w:t>
      </w:r>
    </w:p>
    <w:p>
      <w:pPr>
        <w:spacing w:before="156" w:beforeLines="50" w:after="156" w:afterLines="50" w:line="480" w:lineRule="auto"/>
        <w:ind w:firstLine="482" w:firstLineChars="200"/>
        <w:rPr>
          <w:rFonts w:ascii="Arial" w:hAnsi="Arial" w:cs="Arial"/>
          <w:b/>
          <w:bCs/>
          <w:color w:val="auto"/>
          <w:sz w:val="24"/>
          <w:szCs w:val="21"/>
        </w:rPr>
      </w:pPr>
      <w:r>
        <w:rPr>
          <w:rFonts w:ascii="Arial" w:hAnsi="Arial" w:cs="Arial"/>
          <w:b/>
          <w:bCs/>
          <w:color w:val="auto"/>
          <w:sz w:val="24"/>
          <w:szCs w:val="21"/>
        </w:rPr>
        <w:t>前款原因造成的保险事故发生时，为抢救保险标的或防止灾害蔓延，采取必要的、合理的措施而造成保险标的的损失，保险人按照本保险合同的约定也负责赔偿。</w:t>
      </w:r>
    </w:p>
    <w:p>
      <w:pPr>
        <w:spacing w:before="156" w:beforeLines="50" w:after="156" w:afterLines="50" w:line="480" w:lineRule="auto"/>
        <w:ind w:firstLine="477" w:firstLineChars="199"/>
        <w:rPr>
          <w:rFonts w:ascii="Arial" w:hAnsi="Arial" w:cs="Arial"/>
          <w:b/>
          <w:color w:val="auto"/>
          <w:sz w:val="24"/>
          <w:szCs w:val="21"/>
        </w:rPr>
      </w:pPr>
      <w:r>
        <w:rPr>
          <w:rFonts w:ascii="Arial" w:hAnsi="Arial" w:cs="Arial"/>
          <w:color w:val="auto"/>
          <w:sz w:val="24"/>
          <w:szCs w:val="21"/>
        </w:rPr>
        <w:t xml:space="preserve">第六条  </w:t>
      </w:r>
      <w:r>
        <w:rPr>
          <w:rFonts w:ascii="Arial" w:hAnsi="Arial" w:cs="Arial"/>
          <w:b/>
          <w:color w:val="auto"/>
          <w:sz w:val="24"/>
          <w:szCs w:val="21"/>
        </w:rPr>
        <w:t>保险事故发生后，被保险人为防止或减少保险标的的损失所支付的必要的、合理的费用，保险人按照本保险合同的约定也负责赔偿。</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责任免除</w:t>
      </w:r>
    </w:p>
    <w:p>
      <w:pPr>
        <w:spacing w:after="156" w:afterLines="50"/>
        <w:ind w:firstLine="420" w:firstLineChars="199"/>
        <w:rPr>
          <w:rFonts w:ascii="Arial" w:hAnsi="Arial" w:cs="Arial"/>
          <w:b/>
          <w:color w:val="auto"/>
          <w:szCs w:val="21"/>
        </w:rPr>
      </w:pPr>
      <w:r>
        <w:rPr>
          <w:rFonts w:ascii="Arial" w:hAnsi="Arial" w:cs="Arial"/>
          <w:b/>
          <w:color w:val="auto"/>
          <w:szCs w:val="21"/>
        </w:rPr>
        <w:t>第七条</w:t>
      </w:r>
      <w:r>
        <w:rPr>
          <w:rFonts w:ascii="Arial" w:hAnsi="Arial" w:cs="Arial"/>
          <w:color w:val="auto"/>
          <w:szCs w:val="21"/>
        </w:rPr>
        <w:t xml:space="preserve"> </w:t>
      </w:r>
      <w:r>
        <w:rPr>
          <w:rFonts w:ascii="Arial" w:hAnsi="Arial" w:cs="Arial"/>
          <w:b/>
          <w:color w:val="auto"/>
          <w:szCs w:val="21"/>
        </w:rPr>
        <w:t xml:space="preserve"> 下列原因造成的损失、费用，保险人不负责赔偿：</w:t>
      </w:r>
    </w:p>
    <w:p>
      <w:pPr>
        <w:spacing w:after="156" w:afterLines="50"/>
        <w:ind w:firstLine="420" w:firstLineChars="199"/>
        <w:rPr>
          <w:rFonts w:ascii="Arial" w:hAnsi="Arial" w:cs="Arial"/>
          <w:b/>
          <w:color w:val="auto"/>
          <w:szCs w:val="21"/>
        </w:rPr>
      </w:pPr>
      <w:r>
        <w:rPr>
          <w:rFonts w:ascii="Arial" w:hAnsi="Arial" w:cs="Arial"/>
          <w:b/>
          <w:color w:val="auto"/>
          <w:szCs w:val="21"/>
        </w:rPr>
        <w:t>（一）投保人、被保险人及其代表的故意或重大过失行为；</w:t>
      </w:r>
    </w:p>
    <w:p>
      <w:pPr>
        <w:spacing w:after="156" w:afterLines="50"/>
        <w:ind w:firstLine="422" w:firstLineChars="200"/>
        <w:rPr>
          <w:rFonts w:ascii="Arial" w:hAnsi="Arial" w:cs="Arial"/>
          <w:b/>
          <w:color w:val="auto"/>
          <w:szCs w:val="21"/>
        </w:rPr>
      </w:pPr>
      <w:r>
        <w:rPr>
          <w:rFonts w:ascii="Arial" w:hAnsi="Arial" w:cs="Arial"/>
          <w:b/>
          <w:color w:val="auto"/>
          <w:szCs w:val="21"/>
        </w:rPr>
        <w:t xml:space="preserve">（二）行政行为或司法行为； </w:t>
      </w:r>
    </w:p>
    <w:p>
      <w:pPr>
        <w:spacing w:after="156" w:afterLines="50"/>
        <w:ind w:firstLine="422" w:firstLineChars="200"/>
        <w:rPr>
          <w:rFonts w:ascii="Arial" w:hAnsi="Arial" w:cs="Arial"/>
          <w:b/>
          <w:color w:val="auto"/>
          <w:szCs w:val="21"/>
        </w:rPr>
      </w:pPr>
      <w:r>
        <w:rPr>
          <w:rFonts w:ascii="Arial" w:hAnsi="Arial" w:cs="Arial"/>
          <w:b/>
          <w:color w:val="auto"/>
          <w:szCs w:val="21"/>
        </w:rPr>
        <w:t xml:space="preserve">（三）战争、类似战争行为、敌对行动、军事行动、武装冲突、罢工、骚乱、暴动、政变、谋反、恐怖活动； </w:t>
      </w:r>
    </w:p>
    <w:p>
      <w:pPr>
        <w:spacing w:after="156" w:afterLines="50"/>
        <w:ind w:firstLine="422" w:firstLineChars="200"/>
        <w:rPr>
          <w:rFonts w:ascii="Arial" w:hAnsi="Arial" w:cs="Arial"/>
          <w:b/>
          <w:color w:val="auto"/>
          <w:szCs w:val="21"/>
        </w:rPr>
      </w:pPr>
      <w:r>
        <w:rPr>
          <w:rFonts w:ascii="Arial" w:hAnsi="Arial" w:cs="Arial"/>
          <w:b/>
          <w:color w:val="auto"/>
          <w:szCs w:val="21"/>
        </w:rPr>
        <w:t>（四）地震、海啸及其次生灾害；</w:t>
      </w:r>
    </w:p>
    <w:p>
      <w:pPr>
        <w:spacing w:after="156" w:afterLines="50"/>
        <w:ind w:firstLine="422" w:firstLineChars="200"/>
        <w:rPr>
          <w:rFonts w:ascii="Arial" w:hAnsi="Arial" w:cs="Arial"/>
          <w:b/>
          <w:color w:val="auto"/>
          <w:szCs w:val="21"/>
        </w:rPr>
      </w:pPr>
      <w:r>
        <w:rPr>
          <w:rFonts w:ascii="Arial" w:hAnsi="Arial" w:cs="Arial"/>
          <w:b/>
          <w:color w:val="auto"/>
          <w:szCs w:val="21"/>
        </w:rPr>
        <w:t>（五）核辐射、核裂变、核聚变、核污染及其他放射性污染；</w:t>
      </w:r>
    </w:p>
    <w:p>
      <w:pPr>
        <w:spacing w:after="156" w:afterLines="50"/>
        <w:ind w:firstLine="422" w:firstLineChars="200"/>
        <w:rPr>
          <w:rFonts w:ascii="Arial" w:hAnsi="Arial" w:cs="Arial"/>
          <w:b/>
          <w:color w:val="auto"/>
          <w:szCs w:val="21"/>
        </w:rPr>
      </w:pPr>
      <w:r>
        <w:rPr>
          <w:rFonts w:ascii="Arial" w:hAnsi="Arial" w:cs="Arial"/>
          <w:b/>
          <w:color w:val="auto"/>
          <w:szCs w:val="21"/>
        </w:rPr>
        <w:t>（六）大气污染、土地污染、水污染及其他非放射性污染，但因保险事故造成的非放射性污染不在此限；</w:t>
      </w:r>
    </w:p>
    <w:p>
      <w:pPr>
        <w:spacing w:after="156" w:afterLines="50"/>
        <w:ind w:firstLine="422" w:firstLineChars="200"/>
        <w:rPr>
          <w:rFonts w:ascii="Arial" w:hAnsi="Arial" w:cs="Arial"/>
          <w:b/>
          <w:color w:val="auto"/>
          <w:szCs w:val="21"/>
        </w:rPr>
      </w:pPr>
      <w:r>
        <w:rPr>
          <w:rFonts w:ascii="Arial" w:hAnsi="Arial" w:cs="Arial"/>
          <w:b/>
          <w:color w:val="auto"/>
          <w:szCs w:val="21"/>
        </w:rPr>
        <w:t>（七）保险标的的内在或潜在缺陷、自然磨损、自然损耗，大气（气候或气温）变化、正常水位变化或其他渐变原因，物质本身变化、霉烂、受潮、鼠咬、虫蛀、鸟啄、氧化、锈蚀、渗漏、烘焙；</w:t>
      </w:r>
    </w:p>
    <w:p>
      <w:pPr>
        <w:spacing w:after="156" w:afterLines="50"/>
        <w:ind w:firstLine="422" w:firstLineChars="200"/>
        <w:rPr>
          <w:rFonts w:ascii="Arial" w:hAnsi="Arial" w:cs="Arial"/>
          <w:b/>
          <w:color w:val="auto"/>
          <w:szCs w:val="21"/>
        </w:rPr>
      </w:pPr>
      <w:r>
        <w:rPr>
          <w:rFonts w:ascii="Arial" w:hAnsi="Arial" w:cs="Arial"/>
          <w:b/>
          <w:color w:val="auto"/>
          <w:szCs w:val="21"/>
        </w:rPr>
        <w:t>（八）盗窃、抢劫。</w:t>
      </w:r>
    </w:p>
    <w:p>
      <w:pPr>
        <w:spacing w:after="156" w:afterLines="50"/>
        <w:ind w:firstLine="420" w:firstLineChars="199"/>
        <w:rPr>
          <w:rFonts w:ascii="Arial" w:hAnsi="Arial" w:cs="Arial"/>
          <w:b/>
          <w:color w:val="auto"/>
          <w:szCs w:val="21"/>
        </w:rPr>
      </w:pPr>
      <w:r>
        <w:rPr>
          <w:rFonts w:ascii="Arial" w:hAnsi="Arial" w:cs="Arial"/>
          <w:b/>
          <w:color w:val="auto"/>
          <w:szCs w:val="21"/>
        </w:rPr>
        <w:t>第八条  下列损失、费用，保险人也不负责赔偿：</w:t>
      </w:r>
    </w:p>
    <w:p>
      <w:pPr>
        <w:spacing w:after="156" w:afterLines="50"/>
        <w:ind w:firstLine="420" w:firstLineChars="199"/>
        <w:rPr>
          <w:rFonts w:ascii="Arial" w:hAnsi="Arial" w:cs="Arial"/>
          <w:b/>
          <w:color w:val="auto"/>
          <w:szCs w:val="21"/>
        </w:rPr>
      </w:pPr>
      <w:r>
        <w:rPr>
          <w:rFonts w:ascii="Arial" w:hAnsi="Arial" w:cs="Arial"/>
          <w:b/>
          <w:color w:val="auto"/>
          <w:szCs w:val="21"/>
        </w:rPr>
        <w:t>（一） 保险标的遭受保险事故引起的各种间接损失；</w:t>
      </w:r>
    </w:p>
    <w:p>
      <w:pPr>
        <w:spacing w:after="156" w:afterLines="50"/>
        <w:ind w:firstLine="420" w:firstLineChars="199"/>
        <w:rPr>
          <w:rFonts w:ascii="Arial" w:hAnsi="Arial" w:cs="Arial"/>
          <w:b/>
          <w:color w:val="auto"/>
          <w:szCs w:val="21"/>
        </w:rPr>
      </w:pPr>
      <w:r>
        <w:rPr>
          <w:rFonts w:ascii="Arial" w:hAnsi="Arial" w:cs="Arial"/>
          <w:b/>
          <w:color w:val="auto"/>
          <w:szCs w:val="21"/>
        </w:rPr>
        <w:t>（二）设计错误、原材料缺陷或工艺不善造成保险标的本身的损失；</w:t>
      </w:r>
    </w:p>
    <w:p>
      <w:pPr>
        <w:spacing w:after="156" w:afterLines="50"/>
        <w:ind w:firstLine="420" w:firstLineChars="199"/>
        <w:rPr>
          <w:rFonts w:ascii="Arial" w:hAnsi="Arial" w:cs="Arial"/>
          <w:b/>
          <w:color w:val="auto"/>
          <w:szCs w:val="21"/>
        </w:rPr>
      </w:pPr>
      <w:r>
        <w:rPr>
          <w:rFonts w:ascii="Arial" w:hAnsi="Arial" w:cs="Arial"/>
          <w:b/>
          <w:color w:val="auto"/>
          <w:szCs w:val="21"/>
        </w:rPr>
        <w:t>（三）广告牌、天线、霓虹灯、太阳能装置等建筑物外部附属设施，存放于露天或简易建筑物内的保险标的以及简易建筑，由于雷电、暴雨、洪水、暴风、龙卷风、冰雹、台风、飓风、暴雪、冰凌、沙尘暴造成的损失；</w:t>
      </w:r>
    </w:p>
    <w:p>
      <w:pPr>
        <w:spacing w:after="156" w:afterLines="50"/>
        <w:ind w:firstLine="420" w:firstLineChars="199"/>
        <w:rPr>
          <w:rFonts w:ascii="Arial" w:hAnsi="Arial" w:cs="Arial"/>
          <w:b/>
          <w:color w:val="auto"/>
          <w:szCs w:val="21"/>
        </w:rPr>
      </w:pPr>
      <w:r>
        <w:rPr>
          <w:rFonts w:ascii="Arial" w:hAnsi="Arial" w:cs="Arial"/>
          <w:b/>
          <w:color w:val="auto"/>
          <w:szCs w:val="21"/>
        </w:rPr>
        <w:t>（四）锅炉及压力容器爆炸造成其本身的损失；</w:t>
      </w:r>
    </w:p>
    <w:p>
      <w:pPr>
        <w:spacing w:after="156" w:afterLines="50"/>
        <w:ind w:firstLine="420" w:firstLineChars="199"/>
        <w:rPr>
          <w:rFonts w:ascii="Arial" w:hAnsi="Arial" w:cs="Arial"/>
          <w:b/>
          <w:color w:val="auto"/>
          <w:szCs w:val="21"/>
        </w:rPr>
      </w:pPr>
      <w:r>
        <w:rPr>
          <w:rFonts w:ascii="Arial" w:hAnsi="Arial" w:cs="Arial"/>
          <w:b/>
          <w:color w:val="auto"/>
          <w:szCs w:val="21"/>
        </w:rPr>
        <w:t>（五）非外力造成机械或电气设备本身的损失；</w:t>
      </w:r>
    </w:p>
    <w:p>
      <w:pPr>
        <w:spacing w:after="156" w:afterLines="50"/>
        <w:ind w:firstLine="420" w:firstLineChars="199"/>
        <w:rPr>
          <w:rFonts w:ascii="Arial" w:hAnsi="Arial" w:cs="Arial"/>
          <w:b/>
          <w:color w:val="auto"/>
          <w:szCs w:val="21"/>
        </w:rPr>
      </w:pPr>
      <w:r>
        <w:rPr>
          <w:rFonts w:ascii="Arial" w:hAnsi="Arial" w:cs="Arial"/>
          <w:b/>
          <w:color w:val="auto"/>
          <w:szCs w:val="21"/>
        </w:rPr>
        <w:t>（六）被保险人及其雇员的操作不当、技术缺陷造成被操作的机械或电气设备的损失；</w:t>
      </w:r>
    </w:p>
    <w:p>
      <w:pPr>
        <w:spacing w:after="156" w:afterLines="50"/>
        <w:ind w:firstLine="422" w:firstLineChars="200"/>
        <w:rPr>
          <w:rFonts w:ascii="Arial" w:hAnsi="Arial" w:cs="Arial"/>
          <w:b/>
          <w:color w:val="auto"/>
          <w:szCs w:val="21"/>
        </w:rPr>
      </w:pPr>
      <w:r>
        <w:rPr>
          <w:rFonts w:ascii="Arial" w:hAnsi="Arial" w:cs="Arial"/>
          <w:b/>
          <w:color w:val="auto"/>
          <w:szCs w:val="21"/>
        </w:rPr>
        <w:t>（七）盘点时发现的短缺；</w:t>
      </w:r>
    </w:p>
    <w:p>
      <w:pPr>
        <w:spacing w:after="156" w:afterLines="50"/>
        <w:ind w:firstLine="422" w:firstLineChars="200"/>
        <w:rPr>
          <w:rFonts w:ascii="Arial" w:hAnsi="Arial" w:cs="Arial"/>
          <w:b/>
          <w:color w:val="auto"/>
          <w:szCs w:val="21"/>
        </w:rPr>
      </w:pPr>
      <w:r>
        <w:rPr>
          <w:rFonts w:ascii="Arial" w:hAnsi="Arial" w:cs="Arial"/>
          <w:b/>
          <w:color w:val="auto"/>
          <w:szCs w:val="21"/>
        </w:rPr>
        <w:t>（八）任何原因导致公共供电、供水、供气及其他能源供应中断造成的损失和费用；</w:t>
      </w:r>
    </w:p>
    <w:p>
      <w:pPr>
        <w:spacing w:after="156" w:afterLines="50"/>
        <w:ind w:firstLine="420" w:firstLineChars="199"/>
        <w:rPr>
          <w:rFonts w:ascii="Arial" w:hAnsi="Arial" w:cs="Arial"/>
          <w:color w:val="auto"/>
          <w:szCs w:val="21"/>
        </w:rPr>
      </w:pPr>
      <w:r>
        <w:rPr>
          <w:rFonts w:ascii="Arial" w:hAnsi="Arial" w:cs="Arial"/>
          <w:b/>
          <w:color w:val="auto"/>
          <w:szCs w:val="21"/>
        </w:rPr>
        <w:t xml:space="preserve">（九）本保险合同中载明的免赔额或按本保险合同中载明的免赔率计算的免赔额。 </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保险价值、保险金额与免赔额（率）</w:t>
      </w:r>
    </w:p>
    <w:p>
      <w:pPr>
        <w:spacing w:after="156" w:afterLines="50"/>
        <w:rPr>
          <w:rFonts w:ascii="Arial" w:hAnsi="Arial" w:cs="Arial"/>
          <w:b/>
          <w:bCs/>
          <w:color w:val="auto"/>
          <w:szCs w:val="21"/>
        </w:rPr>
      </w:pPr>
      <w:r>
        <w:rPr>
          <w:rFonts w:ascii="Arial" w:hAnsi="Arial" w:cs="Arial"/>
          <w:b/>
          <w:color w:val="auto"/>
          <w:szCs w:val="21"/>
        </w:rPr>
        <w:t xml:space="preserve">    第九条  </w:t>
      </w:r>
      <w:r>
        <w:rPr>
          <w:rFonts w:ascii="Arial" w:hAnsi="Arial" w:cs="Arial"/>
          <w:bCs/>
          <w:color w:val="auto"/>
          <w:szCs w:val="21"/>
        </w:rPr>
        <w:t>保险标的的保险价值可以为出险时的重置价值、出险时的账面余额、出险时的市场价值或其他价值，由投保人与保险人协商确定，并在本保险合同中载明。</w:t>
      </w:r>
      <w:r>
        <w:rPr>
          <w:rFonts w:ascii="Arial" w:hAnsi="Arial" w:cs="Arial"/>
          <w:b/>
          <w:bCs/>
          <w:color w:val="auto"/>
          <w:szCs w:val="21"/>
        </w:rPr>
        <w:t xml:space="preserve"> </w:t>
      </w:r>
    </w:p>
    <w:p>
      <w:pPr>
        <w:spacing w:after="156" w:afterLines="50"/>
        <w:ind w:firstLine="413" w:firstLineChars="196"/>
        <w:rPr>
          <w:rFonts w:ascii="Arial" w:hAnsi="Arial" w:cs="Arial"/>
          <w:color w:val="auto"/>
          <w:szCs w:val="21"/>
        </w:rPr>
      </w:pPr>
      <w:r>
        <w:rPr>
          <w:rFonts w:ascii="Arial" w:hAnsi="Arial" w:cs="Arial"/>
          <w:b/>
          <w:color w:val="auto"/>
          <w:szCs w:val="21"/>
        </w:rPr>
        <w:t>第十条</w:t>
      </w:r>
      <w:r>
        <w:rPr>
          <w:rFonts w:ascii="Arial" w:hAnsi="Arial" w:cs="Arial"/>
          <w:color w:val="auto"/>
          <w:szCs w:val="21"/>
        </w:rPr>
        <w:t xml:space="preserve">  保险金额由投保人参照保险价值自行确定，并在保险合同中载明。保险金额不得超过保险价值。超过保险价值的，超过部分无效，保险人应当退还相应的保险费。</w:t>
      </w:r>
    </w:p>
    <w:p>
      <w:pPr>
        <w:spacing w:after="156" w:afterLines="50"/>
        <w:ind w:firstLine="420" w:firstLineChars="199"/>
        <w:rPr>
          <w:rFonts w:ascii="Arial" w:hAnsi="Arial" w:cs="Arial"/>
          <w:color w:val="auto"/>
          <w:szCs w:val="21"/>
        </w:rPr>
      </w:pPr>
      <w:r>
        <w:rPr>
          <w:rFonts w:ascii="Arial" w:hAnsi="Arial" w:cs="Arial"/>
          <w:b/>
          <w:bCs/>
          <w:color w:val="auto"/>
          <w:szCs w:val="21"/>
        </w:rPr>
        <w:t>第十一条</w:t>
      </w:r>
      <w:r>
        <w:rPr>
          <w:rFonts w:ascii="Arial" w:hAnsi="Arial" w:cs="Arial"/>
          <w:color w:val="auto"/>
          <w:szCs w:val="21"/>
        </w:rPr>
        <w:t xml:space="preserve">  免赔额（率）由投保人与保险人在订立保险合同时协商确定，并在保险合同中载明。</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保险期间</w:t>
      </w:r>
    </w:p>
    <w:p>
      <w:pPr>
        <w:spacing w:after="156" w:afterLines="50"/>
        <w:ind w:firstLine="420" w:firstLineChars="199"/>
        <w:rPr>
          <w:rFonts w:ascii="Arial" w:hAnsi="Arial" w:cs="Arial"/>
          <w:b/>
          <w:color w:val="auto"/>
          <w:szCs w:val="21"/>
        </w:rPr>
      </w:pPr>
      <w:r>
        <w:rPr>
          <w:rFonts w:ascii="Arial" w:hAnsi="Arial" w:cs="Arial"/>
          <w:b/>
          <w:color w:val="auto"/>
          <w:szCs w:val="21"/>
        </w:rPr>
        <w:t xml:space="preserve">第十二条  </w:t>
      </w:r>
      <w:r>
        <w:rPr>
          <w:rFonts w:ascii="Arial" w:hAnsi="Arial" w:cs="Arial"/>
          <w:color w:val="auto"/>
          <w:szCs w:val="21"/>
        </w:rPr>
        <w:t>除另有约定外，保险期间为一年，以保险单载明的起讫时间为准。</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保险人义务</w:t>
      </w:r>
    </w:p>
    <w:p>
      <w:pPr>
        <w:spacing w:after="156" w:afterLines="50"/>
        <w:ind w:firstLine="413" w:firstLineChars="196"/>
        <w:rPr>
          <w:rFonts w:ascii="Arial" w:hAnsi="Arial" w:cs="Arial"/>
          <w:color w:val="auto"/>
          <w:szCs w:val="21"/>
        </w:rPr>
      </w:pPr>
      <w:r>
        <w:rPr>
          <w:rFonts w:ascii="Arial" w:hAnsi="Arial" w:cs="Arial"/>
          <w:b/>
          <w:bCs/>
          <w:color w:val="auto"/>
          <w:szCs w:val="21"/>
        </w:rPr>
        <w:t xml:space="preserve">第十三条 </w:t>
      </w:r>
      <w:r>
        <w:rPr>
          <w:rFonts w:ascii="Arial" w:hAnsi="Arial" w:cs="Arial"/>
          <w:color w:val="auto"/>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afterLines="50"/>
        <w:ind w:firstLine="413" w:firstLineChars="196"/>
        <w:rPr>
          <w:rFonts w:ascii="Arial" w:hAnsi="Arial" w:cs="Arial"/>
          <w:color w:val="auto"/>
          <w:szCs w:val="21"/>
        </w:rPr>
      </w:pPr>
      <w:r>
        <w:rPr>
          <w:rFonts w:ascii="Arial" w:hAnsi="Arial" w:cs="Arial"/>
          <w:b/>
          <w:bCs/>
          <w:color w:val="auto"/>
          <w:szCs w:val="21"/>
        </w:rPr>
        <w:t xml:space="preserve">第十四条 </w:t>
      </w:r>
      <w:r>
        <w:rPr>
          <w:rFonts w:ascii="Arial" w:hAnsi="Arial" w:cs="Arial"/>
          <w:color w:val="auto"/>
          <w:szCs w:val="21"/>
        </w:rPr>
        <w:t xml:space="preserve"> 本保险合同成立后，保险人应当及时向投保人签发保险单或其他保险凭证。</w:t>
      </w:r>
    </w:p>
    <w:p>
      <w:pPr>
        <w:spacing w:after="156" w:afterLines="50"/>
        <w:ind w:firstLine="379" w:firstLineChars="180"/>
        <w:rPr>
          <w:rFonts w:ascii="Arial" w:hAnsi="Arial" w:cs="Arial"/>
          <w:color w:val="auto"/>
          <w:szCs w:val="21"/>
        </w:rPr>
      </w:pPr>
      <w:r>
        <w:rPr>
          <w:rFonts w:ascii="Arial" w:hAnsi="Arial" w:cs="Arial"/>
          <w:b/>
          <w:bCs/>
          <w:color w:val="auto"/>
          <w:szCs w:val="21"/>
        </w:rPr>
        <w:t xml:space="preserve">第十五条 </w:t>
      </w:r>
      <w:r>
        <w:rPr>
          <w:rFonts w:ascii="Arial" w:hAnsi="Arial" w:cs="Arial"/>
          <w:color w:val="auto"/>
          <w:szCs w:val="21"/>
        </w:rPr>
        <w:t xml:space="preserve"> 保险人依据第十九条所取得的保险合同解除权，自保险人知道有解除事由之日起，超过三十日不行使而消灭。自保险合同成立之日起超过二年的，保险人不得解除合同；发生保险事故的，保险人承担赔偿责任。</w:t>
      </w:r>
    </w:p>
    <w:p>
      <w:pPr>
        <w:spacing w:after="156" w:afterLines="50"/>
        <w:ind w:firstLine="380" w:firstLineChars="181"/>
        <w:rPr>
          <w:rFonts w:ascii="Arial" w:hAnsi="Arial" w:cs="Arial"/>
          <w:color w:val="auto"/>
          <w:szCs w:val="21"/>
        </w:rPr>
      </w:pPr>
      <w:r>
        <w:rPr>
          <w:rFonts w:ascii="Arial" w:hAnsi="Arial" w:cs="Arial"/>
          <w:color w:val="auto"/>
          <w:szCs w:val="21"/>
        </w:rPr>
        <w:t>保险人在合同订立时已经知道投保人未如实告知的情况的，保险人不得解除合同；发生保险事故的，保险人应当承担赔偿责任。</w:t>
      </w:r>
    </w:p>
    <w:p>
      <w:pPr>
        <w:spacing w:after="156" w:afterLines="50"/>
        <w:ind w:firstLine="379" w:firstLineChars="180"/>
        <w:rPr>
          <w:rFonts w:ascii="Arial" w:hAnsi="Arial" w:cs="Arial"/>
          <w:color w:val="auto"/>
          <w:szCs w:val="21"/>
        </w:rPr>
      </w:pPr>
      <w:r>
        <w:rPr>
          <w:rFonts w:ascii="Arial" w:hAnsi="Arial" w:cs="Arial"/>
          <w:b/>
          <w:bCs/>
          <w:color w:val="auto"/>
          <w:szCs w:val="21"/>
        </w:rPr>
        <w:t xml:space="preserve">第十六条 </w:t>
      </w:r>
      <w:r>
        <w:rPr>
          <w:rFonts w:ascii="Arial" w:hAnsi="Arial" w:cs="Arial"/>
          <w:color w:val="auto"/>
          <w:szCs w:val="21"/>
        </w:rPr>
        <w:t xml:space="preserve"> 保险人按照第二十五条的约定，认为被保险人提供的有关索赔的证明和资料不完整的，应当及时一次性通知投保人、被保险人补充提供。</w:t>
      </w:r>
    </w:p>
    <w:p>
      <w:pPr>
        <w:adjustRightInd w:val="0"/>
        <w:snapToGrid w:val="0"/>
        <w:spacing w:after="156" w:afterLines="50"/>
        <w:ind w:firstLine="413" w:firstLineChars="196"/>
        <w:rPr>
          <w:rFonts w:ascii="Arial" w:hAnsi="Arial" w:cs="Arial"/>
          <w:color w:val="auto"/>
          <w:szCs w:val="21"/>
        </w:rPr>
      </w:pPr>
      <w:r>
        <w:rPr>
          <w:rFonts w:ascii="Arial" w:hAnsi="Arial" w:cs="Arial"/>
          <w:b/>
          <w:bCs/>
          <w:color w:val="auto"/>
          <w:szCs w:val="21"/>
        </w:rPr>
        <w:t xml:space="preserve">第十七条 </w:t>
      </w:r>
      <w:r>
        <w:rPr>
          <w:rFonts w:ascii="Arial" w:hAnsi="Arial" w:cs="Arial"/>
          <w:color w:val="auto"/>
          <w:szCs w:val="21"/>
        </w:rPr>
        <w:t xml:space="preserve"> 保险人收到被保险人的赔偿保险金的请求后，应当及时作出是否属于保险责任的核定；情形复杂的，应当在三十日内作出核定，但保险合同另有约定的除外。</w:t>
      </w:r>
    </w:p>
    <w:p>
      <w:pPr>
        <w:adjustRightInd w:val="0"/>
        <w:snapToGrid w:val="0"/>
        <w:spacing w:after="156" w:afterLines="50"/>
        <w:ind w:firstLine="411" w:firstLineChars="196"/>
        <w:rPr>
          <w:rFonts w:ascii="Arial" w:hAnsi="Arial" w:cs="Arial"/>
          <w:color w:val="auto"/>
          <w:szCs w:val="21"/>
        </w:rPr>
      </w:pPr>
      <w:r>
        <w:rPr>
          <w:rFonts w:ascii="Arial" w:hAnsi="Arial" w:cs="Arial"/>
          <w:color w:val="auto"/>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after="156" w:afterLines="50"/>
        <w:ind w:firstLine="422" w:firstLineChars="200"/>
        <w:rPr>
          <w:rFonts w:ascii="Arial" w:hAnsi="Arial" w:cs="Arial"/>
          <w:i/>
          <w:iCs/>
          <w:color w:val="auto"/>
          <w:szCs w:val="21"/>
        </w:rPr>
      </w:pPr>
      <w:r>
        <w:rPr>
          <w:rFonts w:ascii="Arial" w:hAnsi="Arial" w:cs="Arial"/>
          <w:b/>
          <w:bCs/>
          <w:color w:val="auto"/>
          <w:szCs w:val="21"/>
        </w:rPr>
        <w:t xml:space="preserve">第十八条 </w:t>
      </w:r>
      <w:r>
        <w:rPr>
          <w:rFonts w:ascii="Arial" w:hAnsi="Arial" w:cs="Arial"/>
          <w:color w:val="auto"/>
          <w:szCs w:val="21"/>
        </w:rPr>
        <w:t xml:space="preserve"> 保险人自收到赔偿的请求和有关证明、资料之日起六十日内，对其赔偿保险金的数额不能确定的，应当根据已有证明和资料可以确定的数额先予支付；保险人最终确定赔偿的数额后，应当支付相应的差额。 </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投保人、被保险人义务</w:t>
      </w:r>
    </w:p>
    <w:p>
      <w:pPr>
        <w:spacing w:after="156" w:afterLines="50"/>
        <w:ind w:firstLine="422" w:firstLineChars="200"/>
        <w:rPr>
          <w:rFonts w:ascii="Arial" w:hAnsi="Arial" w:cs="Arial"/>
          <w:color w:val="auto"/>
          <w:szCs w:val="21"/>
        </w:rPr>
      </w:pPr>
      <w:r>
        <w:rPr>
          <w:rFonts w:ascii="Arial" w:hAnsi="Arial" w:cs="Arial"/>
          <w:b/>
          <w:color w:val="auto"/>
          <w:szCs w:val="21"/>
        </w:rPr>
        <w:t>第十九条</w:t>
      </w:r>
      <w:r>
        <w:rPr>
          <w:rFonts w:ascii="Arial" w:hAnsi="Arial" w:cs="Arial"/>
          <w:color w:val="auto"/>
          <w:szCs w:val="21"/>
        </w:rPr>
        <w:t xml:space="preserve">  订立保险合同，保险人就保险标的或者被保险人的有关情况提出询问的，投保人应当如实告知，并如实填写投保单。</w:t>
      </w:r>
    </w:p>
    <w:p>
      <w:pPr>
        <w:spacing w:after="156" w:afterLines="50"/>
        <w:ind w:firstLine="420" w:firstLineChars="200"/>
        <w:rPr>
          <w:rFonts w:ascii="Arial" w:hAnsi="Arial" w:cs="Arial"/>
          <w:color w:val="auto"/>
          <w:szCs w:val="21"/>
        </w:rPr>
      </w:pPr>
      <w:r>
        <w:rPr>
          <w:rFonts w:ascii="Arial" w:hAnsi="Arial" w:cs="Arial"/>
          <w:color w:val="auto"/>
          <w:szCs w:val="21"/>
        </w:rPr>
        <w:t>投保人故意或者因重大过失未履行前款规定的如实告知义务，足以影响保险人决定是否同意承保或者提高保险费率的，保险人有权解除合同。</w:t>
      </w:r>
    </w:p>
    <w:p>
      <w:pPr>
        <w:spacing w:after="156" w:afterLines="50"/>
        <w:ind w:firstLine="420" w:firstLineChars="200"/>
        <w:rPr>
          <w:rFonts w:ascii="Arial" w:hAnsi="Arial" w:cs="Arial"/>
          <w:color w:val="auto"/>
          <w:szCs w:val="21"/>
        </w:rPr>
      </w:pPr>
      <w:r>
        <w:rPr>
          <w:rFonts w:ascii="Arial" w:hAnsi="Arial" w:cs="Arial"/>
          <w:color w:val="auto"/>
          <w:szCs w:val="21"/>
        </w:rPr>
        <w:t>投保人故意不履行如实告知义务的，保险人对于合同解除前发生的保险事故，不承担赔偿责任，并不退还保险费。</w:t>
      </w:r>
    </w:p>
    <w:p>
      <w:pPr>
        <w:spacing w:after="156" w:afterLines="50"/>
        <w:ind w:firstLine="420" w:firstLineChars="200"/>
        <w:rPr>
          <w:rFonts w:ascii="Arial" w:hAnsi="Arial" w:cs="Arial"/>
          <w:color w:val="auto"/>
          <w:szCs w:val="21"/>
        </w:rPr>
      </w:pPr>
      <w:r>
        <w:rPr>
          <w:rFonts w:ascii="Arial" w:hAnsi="Arial" w:cs="Arial"/>
          <w:color w:val="auto"/>
          <w:szCs w:val="21"/>
        </w:rPr>
        <w:t>投保人因重大过失未履行如实告知义务，对保险事故的发生有严重影响的，保险人对于合同解除前发生的保险事故，不承担赔偿责任，但应当退还保险费。</w:t>
      </w:r>
    </w:p>
    <w:p>
      <w:pPr>
        <w:spacing w:after="156" w:afterLines="50"/>
        <w:ind w:firstLine="422" w:firstLineChars="200"/>
        <w:rPr>
          <w:rFonts w:ascii="Arial" w:hAnsi="Arial" w:cs="Arial"/>
          <w:color w:val="auto"/>
        </w:rPr>
      </w:pPr>
      <w:r>
        <w:rPr>
          <w:rFonts w:ascii="Arial" w:hAnsi="Arial" w:cs="Arial"/>
          <w:b/>
          <w:color w:val="auto"/>
          <w:szCs w:val="21"/>
        </w:rPr>
        <w:t xml:space="preserve">第二十条  </w:t>
      </w:r>
      <w:r>
        <w:rPr>
          <w:rFonts w:ascii="Arial" w:hAnsi="Arial" w:cs="Arial"/>
          <w:color w:val="auto"/>
        </w:rPr>
        <w:t>投保人应按约定交付保险费。</w:t>
      </w:r>
    </w:p>
    <w:p>
      <w:pPr>
        <w:spacing w:after="156" w:afterLines="50"/>
        <w:ind w:firstLine="420" w:firstLineChars="200"/>
        <w:rPr>
          <w:rFonts w:ascii="Arial" w:hAnsi="Arial" w:cs="Arial"/>
          <w:color w:val="auto"/>
        </w:rPr>
      </w:pPr>
      <w:r>
        <w:rPr>
          <w:rFonts w:ascii="Arial" w:hAnsi="Arial" w:cs="Arial"/>
          <w:color w:val="auto"/>
        </w:rPr>
        <w:t>约定一次性交付保险费的，投保人在约定交费日后交付保险费的，保险人对交费之前发生的保险事故不承担保险责任。</w:t>
      </w:r>
    </w:p>
    <w:p>
      <w:pPr>
        <w:spacing w:after="156" w:afterLines="50"/>
        <w:ind w:firstLine="420" w:firstLineChars="200"/>
        <w:rPr>
          <w:rFonts w:ascii="Arial" w:hAnsi="Arial" w:cs="Arial"/>
          <w:color w:val="auto"/>
        </w:rPr>
      </w:pPr>
      <w:r>
        <w:rPr>
          <w:rFonts w:ascii="Arial" w:hAnsi="Arial" w:cs="Arial"/>
          <w:color w:val="auto"/>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pPr>
        <w:spacing w:before="156" w:beforeLines="50" w:after="156" w:afterLines="50" w:line="360" w:lineRule="auto"/>
        <w:ind w:firstLine="482" w:firstLineChars="200"/>
        <w:rPr>
          <w:rFonts w:ascii="Arial" w:hAnsi="Arial" w:cs="Arial"/>
          <w:color w:val="auto"/>
          <w:sz w:val="24"/>
        </w:rPr>
      </w:pPr>
      <w:r>
        <w:rPr>
          <w:rFonts w:ascii="Arial" w:hAnsi="Arial" w:cs="Arial"/>
          <w:b/>
          <w:color w:val="auto"/>
          <w:sz w:val="24"/>
          <w:szCs w:val="21"/>
        </w:rPr>
        <w:t>第二十一条</w:t>
      </w:r>
      <w:r>
        <w:rPr>
          <w:rFonts w:ascii="Arial" w:hAnsi="Arial" w:cs="Arial"/>
          <w:color w:val="auto"/>
          <w:sz w:val="24"/>
        </w:rPr>
        <w:t xml:space="preserve">  被保险人应当遵守国家有关消防、安全、生产操作、劳动保护等方面的相关法律、法规及规定，加强管理，采取合理的预防措施，尽力避免或减少责任事故的发生，维护保险标的的安全。</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保险人可以对被保险人遵守前款约定的情况进行检查，向投保人、被保险人提出消除不安全因素和隐患的书面建议，投保人、被保险人应该认真付诸实施。</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投保人、被保险人未按照约定履行其对保险标的的安全应尽责任的，保险人有权要求增加保险费或者解除合同。</w:t>
      </w:r>
    </w:p>
    <w:p>
      <w:pPr>
        <w:adjustRightInd w:val="0"/>
        <w:snapToGrid w:val="0"/>
        <w:spacing w:after="156" w:afterLines="50"/>
        <w:ind w:firstLine="422" w:firstLineChars="200"/>
        <w:rPr>
          <w:rFonts w:ascii="Arial" w:hAnsi="Arial" w:cs="Arial"/>
          <w:color w:val="auto"/>
        </w:rPr>
      </w:pPr>
      <w:r>
        <w:rPr>
          <w:rFonts w:ascii="Arial" w:hAnsi="Arial" w:cs="Arial"/>
          <w:b/>
          <w:bCs/>
          <w:color w:val="auto"/>
          <w:szCs w:val="21"/>
        </w:rPr>
        <w:t>第二十二条</w:t>
      </w:r>
      <w:r>
        <w:rPr>
          <w:rFonts w:ascii="Arial" w:hAnsi="Arial" w:cs="Arial"/>
          <w:color w:val="auto"/>
          <w:szCs w:val="21"/>
        </w:rPr>
        <w:t xml:space="preserve">  </w:t>
      </w:r>
      <w:r>
        <w:rPr>
          <w:rFonts w:ascii="Arial" w:hAnsi="Arial" w:cs="Arial"/>
          <w:color w:val="auto"/>
        </w:rPr>
        <w:t>保险标的转让的，被保险人或者受让人应当及时通知保险人。</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adjustRightInd w:val="0"/>
        <w:snapToGrid w:val="0"/>
        <w:spacing w:after="156" w:afterLines="50"/>
        <w:ind w:firstLine="420" w:firstLineChars="200"/>
        <w:rPr>
          <w:rFonts w:ascii="Arial" w:hAnsi="Arial" w:cs="Arial"/>
          <w:color w:val="auto"/>
          <w:szCs w:val="21"/>
        </w:rPr>
      </w:pPr>
      <w:r>
        <w:rPr>
          <w:rFonts w:ascii="Arial" w:hAnsi="Arial" w:cs="Arial"/>
          <w:color w:val="auto"/>
        </w:rPr>
        <w:t>被保险人、受让人未履行本条规定的通知义务的，因转让导致保险标的危险程度显著增加而发生的保险事故，保险人不承担赔偿责任。</w:t>
      </w:r>
    </w:p>
    <w:p>
      <w:pPr>
        <w:tabs>
          <w:tab w:val="left" w:pos="1800"/>
          <w:tab w:val="left" w:pos="8400"/>
        </w:tabs>
        <w:spacing w:before="156" w:beforeLines="50" w:after="156" w:afterLines="50"/>
        <w:ind w:left="424" w:leftChars="202"/>
        <w:rPr>
          <w:rFonts w:ascii="Arial" w:hAnsi="Arial" w:cs="Arial"/>
          <w:color w:val="auto"/>
          <w:szCs w:val="21"/>
        </w:rPr>
      </w:pPr>
      <w:r>
        <w:rPr>
          <w:rFonts w:ascii="Arial" w:hAnsi="Arial" w:cs="Arial"/>
          <w:b/>
          <w:bCs/>
          <w:color w:val="auto"/>
          <w:szCs w:val="21"/>
        </w:rPr>
        <w:t>第二十三条</w:t>
      </w:r>
      <w:r>
        <w:rPr>
          <w:rFonts w:ascii="Arial" w:hAnsi="Arial" w:cs="Arial"/>
          <w:color w:val="auto"/>
          <w:szCs w:val="21"/>
        </w:rPr>
        <w:t xml:space="preserve">  在合同有效期内，如保险标的占用与使用性质、保险标的地址及其他可能</w:t>
      </w:r>
    </w:p>
    <w:p>
      <w:pPr>
        <w:tabs>
          <w:tab w:val="left" w:pos="1800"/>
          <w:tab w:val="left" w:pos="8400"/>
        </w:tabs>
        <w:spacing w:before="156" w:beforeLines="50" w:after="156" w:afterLines="50"/>
        <w:ind w:left="420" w:leftChars="200"/>
        <w:rPr>
          <w:rFonts w:ascii="Arial" w:hAnsi="Arial" w:cs="Arial"/>
          <w:color w:val="auto"/>
          <w:szCs w:val="21"/>
        </w:rPr>
      </w:pPr>
      <w:r>
        <w:rPr>
          <w:rFonts w:ascii="Arial" w:hAnsi="Arial" w:cs="Arial"/>
          <w:color w:val="auto"/>
          <w:szCs w:val="21"/>
        </w:rPr>
        <w:t>导致保险标的危险程度显著增加的、或其他足以影响保险人决定是否继续承保或是否增加保险费的保险合同重要事项变更，被保险人应及时书面通知保险人，保险人有权要求增加保险费或者解除合同。</w:t>
      </w:r>
    </w:p>
    <w:p>
      <w:pPr>
        <w:spacing w:after="156" w:afterLines="50"/>
        <w:ind w:firstLine="420" w:firstLineChars="199"/>
        <w:rPr>
          <w:rFonts w:ascii="Arial" w:hAnsi="Arial" w:cs="Arial"/>
          <w:b/>
          <w:color w:val="auto"/>
          <w:szCs w:val="21"/>
        </w:rPr>
      </w:pPr>
      <w:r>
        <w:rPr>
          <w:rFonts w:ascii="Arial" w:hAnsi="Arial" w:cs="Arial"/>
          <w:b/>
          <w:color w:val="auto"/>
          <w:szCs w:val="21"/>
        </w:rPr>
        <w:t>被保险人未履行前款约定的通知义务的，因保险标的的危险程度显著增加而发生的保险事故，保险人不承担赔偿责任。</w:t>
      </w:r>
    </w:p>
    <w:p>
      <w:pPr>
        <w:spacing w:after="156" w:afterLines="50"/>
        <w:ind w:firstLine="420" w:firstLineChars="199"/>
        <w:rPr>
          <w:rFonts w:ascii="Arial" w:hAnsi="Arial" w:cs="Arial"/>
          <w:color w:val="auto"/>
          <w:szCs w:val="21"/>
        </w:rPr>
      </w:pPr>
      <w:r>
        <w:rPr>
          <w:rFonts w:ascii="Arial" w:hAnsi="Arial" w:cs="Arial"/>
          <w:b/>
          <w:color w:val="auto"/>
          <w:szCs w:val="21"/>
        </w:rPr>
        <w:t>第二十四条</w:t>
      </w:r>
      <w:r>
        <w:rPr>
          <w:rFonts w:ascii="Arial" w:hAnsi="Arial" w:cs="Arial"/>
          <w:color w:val="auto"/>
          <w:szCs w:val="21"/>
        </w:rPr>
        <w:t xml:space="preserve">  知道保险事故发生后，被保险人应该：</w:t>
      </w:r>
    </w:p>
    <w:p>
      <w:pPr>
        <w:spacing w:after="156" w:afterLines="50"/>
        <w:ind w:firstLine="420" w:firstLineChars="200"/>
        <w:rPr>
          <w:rFonts w:ascii="Arial" w:hAnsi="Arial" w:cs="Arial"/>
          <w:color w:val="auto"/>
          <w:szCs w:val="21"/>
        </w:rPr>
      </w:pPr>
      <w:r>
        <w:rPr>
          <w:rFonts w:ascii="Arial" w:hAnsi="Arial" w:cs="Arial"/>
          <w:color w:val="auto"/>
          <w:szCs w:val="21"/>
        </w:rPr>
        <w:t>（一）尽力采取必要、合理的措施，防止或减少损失，否则，</w:t>
      </w:r>
      <w:r>
        <w:rPr>
          <w:rFonts w:ascii="Arial" w:hAnsi="Arial" w:cs="Arial"/>
          <w:b/>
          <w:color w:val="auto"/>
          <w:szCs w:val="21"/>
        </w:rPr>
        <w:t>对因此扩大的损失，保险人不承担赔偿责任；</w:t>
      </w:r>
    </w:p>
    <w:p>
      <w:pPr>
        <w:spacing w:after="156" w:afterLines="50"/>
        <w:ind w:firstLine="420" w:firstLineChars="200"/>
        <w:rPr>
          <w:rFonts w:ascii="Arial" w:hAnsi="Arial" w:cs="Arial"/>
          <w:color w:val="auto"/>
          <w:szCs w:val="21"/>
        </w:rPr>
      </w:pPr>
      <w:r>
        <w:rPr>
          <w:rFonts w:ascii="Arial" w:hAnsi="Arial" w:cs="Arial"/>
          <w:color w:val="auto"/>
          <w:szCs w:val="21"/>
        </w:rPr>
        <w:t>（二）立即通知保险人，并书面说明事故发生的原因、经过和损失情况；</w:t>
      </w:r>
      <w:r>
        <w:rPr>
          <w:rFonts w:ascii="Arial" w:hAnsi="Arial" w:cs="Arial"/>
          <w:b/>
          <w:color w:val="auto"/>
          <w:szCs w:val="21"/>
        </w:rPr>
        <w:t>故意或者因重大过失未及时通知，致使保险事故的性质、原因、损失程度等难以确定的，保险人对无法确定的部分，不承担赔偿责任，但保险人通过其他途径已经及时知道或者应当及时知道保险事故发生的除外；</w:t>
      </w:r>
    </w:p>
    <w:p>
      <w:pPr>
        <w:spacing w:after="156" w:afterLines="50"/>
        <w:ind w:firstLine="420" w:firstLineChars="200"/>
        <w:rPr>
          <w:rFonts w:ascii="Arial" w:hAnsi="Arial" w:cs="Arial"/>
          <w:bCs/>
          <w:color w:val="auto"/>
          <w:szCs w:val="21"/>
        </w:rPr>
      </w:pPr>
      <w:r>
        <w:rPr>
          <w:rFonts w:ascii="Arial" w:hAnsi="Arial" w:cs="Arial"/>
          <w:bCs/>
          <w:color w:val="auto"/>
          <w:szCs w:val="21"/>
        </w:rPr>
        <w:t>（三）保护事故现场，允许并且协助保险人进行事故调查；</w:t>
      </w:r>
      <w:r>
        <w:rPr>
          <w:rFonts w:ascii="Arial" w:hAnsi="Arial" w:cs="Arial"/>
          <w:b/>
          <w:bCs/>
          <w:color w:val="auto"/>
          <w:szCs w:val="21"/>
        </w:rPr>
        <w:t>对于拒绝或者妨碍保险人进行事故调查导致无法确定事故原因或核实损失情况的，</w:t>
      </w:r>
      <w:r>
        <w:rPr>
          <w:rFonts w:ascii="Arial" w:hAnsi="Arial" w:cs="Arial"/>
          <w:b/>
          <w:color w:val="auto"/>
          <w:szCs w:val="21"/>
        </w:rPr>
        <w:t>保险人对无法核实的部分不承担赔偿责任</w:t>
      </w:r>
      <w:r>
        <w:rPr>
          <w:rFonts w:ascii="Arial" w:hAnsi="Arial" w:cs="Arial"/>
          <w:b/>
          <w:bCs/>
          <w:color w:val="auto"/>
          <w:szCs w:val="21"/>
        </w:rPr>
        <w:t>。</w:t>
      </w:r>
    </w:p>
    <w:p>
      <w:pPr>
        <w:spacing w:after="156" w:afterLines="50"/>
        <w:ind w:firstLine="420" w:firstLineChars="199"/>
        <w:rPr>
          <w:rFonts w:ascii="Arial" w:hAnsi="Arial" w:cs="Arial"/>
          <w:color w:val="auto"/>
          <w:szCs w:val="21"/>
        </w:rPr>
      </w:pPr>
      <w:r>
        <w:rPr>
          <w:rFonts w:ascii="Arial" w:hAnsi="Arial" w:cs="Arial"/>
          <w:b/>
          <w:color w:val="auto"/>
          <w:szCs w:val="21"/>
        </w:rPr>
        <w:t xml:space="preserve">第二十五条  </w:t>
      </w:r>
      <w:r>
        <w:rPr>
          <w:rFonts w:ascii="Arial" w:hAnsi="Arial" w:cs="Arial"/>
          <w:color w:val="auto"/>
          <w:szCs w:val="21"/>
        </w:rPr>
        <w:t>被保险人请求赔偿时，应向保险人提供下列证明和资料：</w:t>
      </w:r>
    </w:p>
    <w:p>
      <w:pPr>
        <w:spacing w:after="156" w:afterLines="50"/>
        <w:ind w:firstLine="417" w:firstLineChars="199"/>
        <w:rPr>
          <w:rFonts w:ascii="Arial" w:hAnsi="Arial" w:cs="Arial"/>
          <w:color w:val="auto"/>
          <w:szCs w:val="21"/>
        </w:rPr>
      </w:pPr>
      <w:r>
        <w:rPr>
          <w:rFonts w:ascii="Arial" w:hAnsi="Arial" w:cs="Arial"/>
          <w:color w:val="auto"/>
          <w:szCs w:val="21"/>
        </w:rPr>
        <w:t>（一）保险单正本、索赔申请、财产损失清单、技术鉴定证明、事故报告书、救护费用发票、必要的账簿、单据和有关部门的证明；</w:t>
      </w:r>
    </w:p>
    <w:p>
      <w:pPr>
        <w:spacing w:after="156" w:afterLines="50"/>
        <w:ind w:firstLine="417" w:firstLineChars="199"/>
        <w:rPr>
          <w:rFonts w:ascii="Arial" w:hAnsi="Arial" w:cs="Arial"/>
          <w:color w:val="auto"/>
          <w:szCs w:val="21"/>
        </w:rPr>
      </w:pPr>
      <w:r>
        <w:rPr>
          <w:rFonts w:ascii="Arial" w:hAnsi="Arial" w:cs="Arial"/>
          <w:color w:val="auto"/>
          <w:szCs w:val="21"/>
        </w:rPr>
        <w:t>（二）投保人、被保险人所能提供的与确认保险事故的性质、原因、损失程度等有关的其他证明和资料。</w:t>
      </w:r>
    </w:p>
    <w:p>
      <w:pPr>
        <w:spacing w:after="156" w:afterLines="50"/>
        <w:ind w:firstLine="420" w:firstLineChars="199"/>
        <w:rPr>
          <w:rFonts w:ascii="Arial" w:hAnsi="Arial" w:cs="Arial"/>
          <w:color w:val="auto"/>
          <w:szCs w:val="21"/>
        </w:rPr>
      </w:pPr>
      <w:r>
        <w:rPr>
          <w:rFonts w:ascii="Arial" w:hAnsi="Arial" w:cs="Arial"/>
          <w:b/>
          <w:color w:val="auto"/>
          <w:szCs w:val="21"/>
        </w:rPr>
        <w:t>投保人、被保险人未履行前款约定的单证提供义务，导致保险人无法核实损失情况的，保险人对无法核实的部分不承担赔偿责任。</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赔偿处理</w:t>
      </w:r>
    </w:p>
    <w:p>
      <w:pPr>
        <w:spacing w:after="156" w:afterLines="50"/>
        <w:ind w:firstLine="422" w:firstLineChars="200"/>
        <w:rPr>
          <w:rFonts w:ascii="Arial" w:hAnsi="Arial" w:cs="Arial"/>
          <w:color w:val="auto"/>
          <w:szCs w:val="21"/>
        </w:rPr>
      </w:pPr>
      <w:r>
        <w:rPr>
          <w:rFonts w:ascii="Arial" w:hAnsi="Arial" w:cs="Arial"/>
          <w:b/>
          <w:color w:val="auto"/>
          <w:szCs w:val="21"/>
        </w:rPr>
        <w:t>第二十六条</w:t>
      </w:r>
      <w:r>
        <w:rPr>
          <w:rFonts w:ascii="Arial" w:hAnsi="Arial" w:cs="Arial"/>
          <w:color w:val="auto"/>
          <w:szCs w:val="21"/>
        </w:rPr>
        <w:t xml:space="preserve">  </w:t>
      </w:r>
      <w:r>
        <w:rPr>
          <w:rFonts w:ascii="Arial" w:hAnsi="Arial" w:cs="Arial"/>
          <w:b/>
          <w:color w:val="auto"/>
          <w:szCs w:val="21"/>
        </w:rPr>
        <w:t>保险事故发生时，被保险人对保险标的不具有保险利益的，不得向保险人请求赔偿保险金。</w:t>
      </w:r>
    </w:p>
    <w:p>
      <w:pPr>
        <w:spacing w:after="156" w:afterLines="50"/>
        <w:ind w:firstLine="422" w:firstLineChars="200"/>
        <w:rPr>
          <w:rFonts w:ascii="Arial" w:hAnsi="Arial" w:cs="Arial"/>
          <w:color w:val="auto"/>
          <w:szCs w:val="21"/>
        </w:rPr>
      </w:pPr>
      <w:r>
        <w:rPr>
          <w:rFonts w:ascii="Arial" w:hAnsi="Arial" w:cs="Arial"/>
          <w:b/>
          <w:color w:val="auto"/>
          <w:szCs w:val="21"/>
        </w:rPr>
        <w:t>第二十七条</w:t>
      </w:r>
      <w:r>
        <w:rPr>
          <w:rFonts w:ascii="Arial" w:hAnsi="Arial" w:cs="Arial"/>
          <w:color w:val="auto"/>
          <w:szCs w:val="21"/>
        </w:rPr>
        <w:t xml:space="preserve">  保险标的发生保险责任范围内的损失，保险人有权选择下列方式赔偿：</w:t>
      </w:r>
    </w:p>
    <w:p>
      <w:pPr>
        <w:spacing w:after="156" w:afterLines="50"/>
        <w:ind w:firstLine="420" w:firstLineChars="200"/>
        <w:rPr>
          <w:rFonts w:ascii="Arial" w:hAnsi="Arial" w:cs="Arial"/>
          <w:color w:val="auto"/>
          <w:szCs w:val="21"/>
        </w:rPr>
      </w:pPr>
      <w:r>
        <w:rPr>
          <w:rFonts w:ascii="Arial" w:hAnsi="Arial" w:cs="Arial"/>
          <w:color w:val="auto"/>
          <w:szCs w:val="21"/>
        </w:rPr>
        <w:t>（一）货币赔偿：保险人以支付保险金的方式赔偿；</w:t>
      </w:r>
    </w:p>
    <w:p>
      <w:pPr>
        <w:spacing w:after="156" w:afterLines="50"/>
        <w:ind w:firstLine="420" w:firstLineChars="200"/>
        <w:rPr>
          <w:rFonts w:ascii="Arial" w:hAnsi="Arial" w:cs="Arial"/>
          <w:color w:val="auto"/>
          <w:szCs w:val="21"/>
        </w:rPr>
      </w:pPr>
      <w:r>
        <w:rPr>
          <w:rFonts w:ascii="Arial" w:hAnsi="Arial" w:cs="Arial"/>
          <w:color w:val="auto"/>
          <w:szCs w:val="21"/>
        </w:rPr>
        <w:t>（二）实物赔偿：保险人以实物替换受损标的，该实物应具有保险标的出险前同等的类型、结构、状态和性能；</w:t>
      </w:r>
    </w:p>
    <w:p>
      <w:pPr>
        <w:spacing w:after="156" w:afterLines="50"/>
        <w:ind w:firstLine="420" w:firstLineChars="200"/>
        <w:rPr>
          <w:rFonts w:ascii="Arial" w:hAnsi="Arial" w:cs="Arial"/>
          <w:color w:val="auto"/>
          <w:szCs w:val="21"/>
        </w:rPr>
      </w:pPr>
      <w:r>
        <w:rPr>
          <w:rFonts w:ascii="Arial" w:hAnsi="Arial" w:cs="Arial"/>
          <w:color w:val="auto"/>
          <w:szCs w:val="21"/>
        </w:rPr>
        <w:t>（三）实际修复：保险人自行或委托他人修理修复受损标的。</w:t>
      </w:r>
    </w:p>
    <w:p>
      <w:pPr>
        <w:spacing w:after="156" w:afterLines="50"/>
        <w:ind w:firstLine="422" w:firstLineChars="200"/>
        <w:rPr>
          <w:rFonts w:ascii="Arial" w:hAnsi="Arial" w:cs="Arial"/>
          <w:b/>
          <w:color w:val="auto"/>
          <w:szCs w:val="21"/>
        </w:rPr>
      </w:pPr>
      <w:r>
        <w:rPr>
          <w:rFonts w:ascii="Arial" w:hAnsi="Arial" w:cs="Arial"/>
          <w:b/>
          <w:color w:val="auto"/>
          <w:szCs w:val="21"/>
        </w:rPr>
        <w:t>对保险标的在修复或替换过程中，被保险人进行的任何变更、性能增加或改进所产生的额外费用，保险人不负责赔偿。</w:t>
      </w:r>
    </w:p>
    <w:p>
      <w:pPr>
        <w:adjustRightInd w:val="0"/>
        <w:snapToGrid w:val="0"/>
        <w:spacing w:before="156" w:beforeLines="50" w:after="156" w:afterLines="50" w:line="360" w:lineRule="auto"/>
        <w:ind w:firstLine="482" w:firstLineChars="200"/>
        <w:rPr>
          <w:rFonts w:ascii="Arial" w:hAnsi="Arial" w:cs="Arial"/>
          <w:color w:val="auto"/>
          <w:sz w:val="24"/>
          <w:szCs w:val="21"/>
        </w:rPr>
      </w:pPr>
      <w:r>
        <w:rPr>
          <w:rFonts w:ascii="Arial" w:hAnsi="Arial" w:cs="Arial"/>
          <w:b/>
          <w:color w:val="auto"/>
          <w:sz w:val="24"/>
          <w:szCs w:val="21"/>
        </w:rPr>
        <w:t>第二十八条</w:t>
      </w:r>
      <w:r>
        <w:rPr>
          <w:rFonts w:ascii="Arial" w:hAnsi="Arial" w:cs="Arial"/>
          <w:color w:val="auto"/>
          <w:sz w:val="24"/>
          <w:szCs w:val="21"/>
        </w:rPr>
        <w:t xml:space="preserve">  保险标的遭受损失后，如果有残余价值，</w:t>
      </w:r>
      <w:r>
        <w:rPr>
          <w:rFonts w:ascii="Arial" w:hAnsi="Arial" w:cs="Arial"/>
          <w:color w:val="auto"/>
          <w:kern w:val="0"/>
          <w:sz w:val="24"/>
          <w:szCs w:val="21"/>
        </w:rPr>
        <w:t>应由双方协商处理。如折归被保险人，由双方协商确定其价值，并在保险赔款中扣除。</w:t>
      </w:r>
    </w:p>
    <w:p>
      <w:pPr>
        <w:spacing w:after="156" w:afterLines="50"/>
        <w:ind w:firstLine="422" w:firstLineChars="200"/>
        <w:rPr>
          <w:rFonts w:ascii="Arial" w:hAnsi="Arial" w:cs="Arial"/>
          <w:color w:val="auto"/>
          <w:szCs w:val="21"/>
        </w:rPr>
      </w:pPr>
      <w:r>
        <w:rPr>
          <w:rFonts w:ascii="Arial" w:hAnsi="Arial" w:cs="Arial"/>
          <w:b/>
          <w:color w:val="auto"/>
          <w:szCs w:val="21"/>
        </w:rPr>
        <w:t>第二十九条</w:t>
      </w:r>
      <w:r>
        <w:rPr>
          <w:rFonts w:ascii="Arial" w:hAnsi="Arial" w:cs="Arial"/>
          <w:color w:val="auto"/>
          <w:szCs w:val="21"/>
        </w:rPr>
        <w:t xml:space="preserve">  保险标的发生保险责任范围内的损失，保险人按以下方式计算赔偿：</w:t>
      </w:r>
    </w:p>
    <w:p>
      <w:pPr>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（一）保险金额等于或高于保险价值时，按实际损失计算赔偿，最高不超过保险价值；</w:t>
      </w:r>
    </w:p>
    <w:p>
      <w:pPr>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（二）保险金额低于保险价值时，按保险金额与保险价值的比例乘以实际损失计算赔偿，最高不超过保险金额；</w:t>
      </w:r>
    </w:p>
    <w:p>
      <w:pPr>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（三）若本保险合同所列标的不止一项时，应分项按照本条约定处理。</w:t>
      </w:r>
    </w:p>
    <w:p>
      <w:pPr>
        <w:spacing w:before="156" w:beforeLines="50" w:after="156" w:afterLines="50" w:line="360" w:lineRule="auto"/>
        <w:ind w:firstLine="482" w:firstLineChars="200"/>
        <w:rPr>
          <w:rFonts w:ascii="Arial" w:hAnsi="Arial" w:cs="Arial"/>
          <w:color w:val="auto"/>
          <w:sz w:val="24"/>
          <w:szCs w:val="21"/>
        </w:rPr>
      </w:pPr>
      <w:r>
        <w:rPr>
          <w:rFonts w:ascii="Arial" w:hAnsi="Arial" w:cs="Arial"/>
          <w:b/>
          <w:color w:val="auto"/>
          <w:sz w:val="24"/>
          <w:szCs w:val="21"/>
        </w:rPr>
        <w:t xml:space="preserve">第三十条 </w:t>
      </w:r>
      <w:r>
        <w:rPr>
          <w:rFonts w:ascii="Arial" w:hAnsi="Arial" w:cs="Arial"/>
          <w:color w:val="auto"/>
          <w:sz w:val="24"/>
          <w:szCs w:val="21"/>
        </w:rPr>
        <w:t xml:space="preserve"> 保险标的的保险金额大于或等于其保险价值时，被保险人为防止或减少保险标的的损失所支付的必要的、合理的费用，在保险标的损失赔偿金额之外另行计算，最高不超过被施救保险标的的保险价值。</w:t>
      </w:r>
    </w:p>
    <w:p>
      <w:pPr>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保险标的的保险金额小于其保险价值时，上述费用按被施救保险标的的保险金额与其保险价值的比例在保险标的损失赔偿金额之外另行计算，最高不超过被施救保险标的的保险金额。</w:t>
      </w:r>
    </w:p>
    <w:p>
      <w:pPr>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被施救的财产中，含有本保险合同未承保财产的，按被施救保险标的的保险价值与全部被施救财产价值的比例分摊施救费用。</w:t>
      </w:r>
    </w:p>
    <w:p>
      <w:pPr>
        <w:spacing w:before="156" w:beforeLines="50" w:after="156" w:afterLines="50" w:line="360" w:lineRule="auto"/>
        <w:ind w:firstLine="482" w:firstLineChars="200"/>
        <w:rPr>
          <w:rFonts w:ascii="Arial" w:hAnsi="Arial" w:cs="Arial"/>
          <w:color w:val="auto"/>
          <w:sz w:val="24"/>
          <w:szCs w:val="21"/>
        </w:rPr>
      </w:pPr>
      <w:r>
        <w:rPr>
          <w:rFonts w:ascii="Arial" w:hAnsi="Arial" w:cs="Arial"/>
          <w:b/>
          <w:color w:val="auto"/>
          <w:sz w:val="24"/>
          <w:szCs w:val="21"/>
        </w:rPr>
        <w:t xml:space="preserve">第三十一条  </w:t>
      </w:r>
      <w:r>
        <w:rPr>
          <w:rFonts w:ascii="Arial" w:hAnsi="Arial" w:cs="Arial"/>
          <w:color w:val="auto"/>
          <w:sz w:val="24"/>
          <w:szCs w:val="21"/>
        </w:rPr>
        <w:t>每次事故保险人的赔偿金额为根据第二十九条、第三十条约定计算的金额扣除每次事故免赔额后的金额，或者为根据第二十九条、第三十条约定计算的金额扣除该金额与免赔率乘积后的金额。</w:t>
      </w:r>
    </w:p>
    <w:p>
      <w:pPr>
        <w:adjustRightInd w:val="0"/>
        <w:snapToGrid w:val="0"/>
        <w:spacing w:after="156" w:afterLines="50"/>
        <w:ind w:firstLine="420" w:firstLineChars="199"/>
        <w:rPr>
          <w:rFonts w:ascii="Arial" w:hAnsi="Arial" w:cs="Arial"/>
          <w:color w:val="auto"/>
          <w:szCs w:val="21"/>
        </w:rPr>
      </w:pPr>
      <w:r>
        <w:rPr>
          <w:rFonts w:ascii="Arial" w:hAnsi="Arial" w:cs="Arial"/>
          <w:b/>
          <w:color w:val="auto"/>
          <w:szCs w:val="21"/>
        </w:rPr>
        <w:t>第三十二条</w:t>
      </w:r>
      <w:r>
        <w:rPr>
          <w:rFonts w:ascii="Arial" w:hAnsi="Arial" w:cs="Arial"/>
          <w:color w:val="auto"/>
          <w:szCs w:val="21"/>
        </w:rPr>
        <w:t xml:space="preserve">  保险事故发生时，如果存在重复保险，保险人按照本保险合同的相应保险金额与其他保险合同及本保险合同相应保险金额总和的比例承担赔偿责任。</w:t>
      </w:r>
    </w:p>
    <w:p>
      <w:pPr>
        <w:adjustRightInd w:val="0"/>
        <w:snapToGrid w:val="0"/>
        <w:spacing w:after="156" w:afterLines="50"/>
        <w:ind w:firstLine="420" w:firstLineChars="199"/>
        <w:rPr>
          <w:rFonts w:ascii="Arial" w:hAnsi="Arial" w:cs="Arial"/>
          <w:color w:val="auto"/>
          <w:szCs w:val="21"/>
        </w:rPr>
      </w:pPr>
      <w:r>
        <w:rPr>
          <w:rFonts w:ascii="Arial" w:hAnsi="Arial" w:cs="Arial"/>
          <w:b/>
          <w:color w:val="auto"/>
          <w:szCs w:val="21"/>
        </w:rPr>
        <w:t>其他保险人应承担的赔偿金额，本保险人不负责垫付。若被保险人未如实告知导致保险人多支付赔偿金的，保险人有权向被保险人追回多支付的部分。</w:t>
      </w:r>
    </w:p>
    <w:p>
      <w:pPr>
        <w:autoSpaceDE w:val="0"/>
        <w:autoSpaceDN w:val="0"/>
        <w:spacing w:after="156" w:afterLines="50"/>
        <w:ind w:firstLine="420" w:firstLineChars="199"/>
        <w:rPr>
          <w:rFonts w:ascii="Arial" w:hAnsi="Arial" w:cs="Arial"/>
          <w:color w:val="auto"/>
          <w:szCs w:val="21"/>
        </w:rPr>
      </w:pPr>
      <w:r>
        <w:rPr>
          <w:rFonts w:ascii="Arial" w:hAnsi="Arial" w:cs="Arial"/>
          <w:b/>
          <w:color w:val="auto"/>
          <w:szCs w:val="21"/>
        </w:rPr>
        <w:t>第三十三条</w:t>
      </w:r>
      <w:r>
        <w:rPr>
          <w:rFonts w:ascii="Arial" w:hAnsi="Arial" w:cs="Arial"/>
          <w:color w:val="auto"/>
          <w:szCs w:val="21"/>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tabs>
          <w:tab w:val="left" w:pos="2160"/>
        </w:tabs>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第三十四条</w:t>
      </w:r>
      <w:r>
        <w:rPr>
          <w:rFonts w:ascii="Arial" w:hAnsi="Arial" w:cs="Arial"/>
          <w:color w:val="auto"/>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被保险人已经从有关责任方取得赔偿的，保险人赔偿保险金时，可以相应扣减被保险人已从有关责任方取得的赔偿金额。</w:t>
      </w:r>
    </w:p>
    <w:p>
      <w:pPr>
        <w:spacing w:after="156" w:afterLines="50"/>
        <w:ind w:firstLine="420" w:firstLineChars="199"/>
        <w:rPr>
          <w:rFonts w:ascii="Arial" w:hAnsi="Arial" w:cs="Arial"/>
          <w:b/>
          <w:color w:val="auto"/>
          <w:szCs w:val="21"/>
        </w:rPr>
      </w:pPr>
      <w:r>
        <w:rPr>
          <w:rFonts w:ascii="Arial" w:hAnsi="Arial" w:cs="Arial"/>
          <w:b/>
          <w:color w:val="auto"/>
          <w:szCs w:val="21"/>
        </w:rPr>
        <w:t>保险事故发生后，在保险人未赔偿保险金之前，被保险人放弃对有关责任方请求赔偿权利的，保险人不承担赔偿责任；</w:t>
      </w:r>
      <w:r>
        <w:rPr>
          <w:rFonts w:ascii="Arial" w:hAnsi="Arial" w:cs="Arial"/>
          <w:color w:val="auto"/>
          <w:szCs w:val="21"/>
        </w:rPr>
        <w:t>保险人向被保险人赔偿保险金后，被保险人未经保险人同意放弃对有关责任方请求赔偿权利的，该行为无效；</w:t>
      </w:r>
      <w:r>
        <w:rPr>
          <w:rFonts w:ascii="Arial" w:hAnsi="Arial" w:cs="Arial"/>
          <w:b/>
          <w:color w:val="auto"/>
          <w:szCs w:val="21"/>
        </w:rPr>
        <w:t>由于被保险人故意或者因重大过失致使保险人不能行使代位请求赔偿的权利的，保险人可以扣减或者要求返还相应的保险金。</w:t>
      </w:r>
    </w:p>
    <w:p>
      <w:pPr>
        <w:spacing w:after="156" w:afterLines="50"/>
        <w:ind w:firstLine="420" w:firstLineChars="199"/>
        <w:rPr>
          <w:rFonts w:ascii="Arial" w:hAnsi="Arial" w:cs="Arial"/>
          <w:color w:val="auto"/>
          <w:szCs w:val="21"/>
        </w:rPr>
      </w:pPr>
      <w:r>
        <w:rPr>
          <w:rFonts w:ascii="Arial" w:hAnsi="Arial" w:cs="Arial"/>
          <w:b/>
          <w:color w:val="auto"/>
          <w:szCs w:val="21"/>
        </w:rPr>
        <w:t>第三十五条</w:t>
      </w:r>
      <w:r>
        <w:rPr>
          <w:rFonts w:ascii="Arial" w:hAnsi="Arial" w:cs="Arial"/>
          <w:color w:val="auto"/>
          <w:szCs w:val="21"/>
        </w:rPr>
        <w:t xml:space="preserve">  被保险人向保险人请求赔偿保险金的诉讼时效期间为二年，自其知道或者应当知道保险事故发生之日起计算。 </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争议处理和法律适用</w:t>
      </w:r>
    </w:p>
    <w:p>
      <w:pPr>
        <w:spacing w:after="156" w:afterLines="50"/>
        <w:ind w:firstLine="420" w:firstLineChars="199"/>
        <w:rPr>
          <w:rFonts w:ascii="Arial" w:hAnsi="Arial" w:cs="Arial"/>
          <w:color w:val="auto"/>
          <w:szCs w:val="21"/>
        </w:rPr>
      </w:pPr>
      <w:r>
        <w:rPr>
          <w:rFonts w:ascii="Arial" w:hAnsi="Arial" w:cs="Arial"/>
          <w:b/>
          <w:color w:val="auto"/>
          <w:szCs w:val="21"/>
        </w:rPr>
        <w:t>第三十六条</w:t>
      </w:r>
      <w:r>
        <w:rPr>
          <w:rFonts w:ascii="Arial" w:hAnsi="Arial" w:cs="Arial"/>
          <w:color w:val="auto"/>
          <w:szCs w:val="21"/>
        </w:rPr>
        <w:t xml:space="preserve">  因履行本保险合同发生的争议，由当事人协商解决。协商不成的，提交保险单载明的仲裁机构仲裁；保险单未载明仲裁机构且争议发生后未达成仲裁协议的，依法向人民法院起诉。</w:t>
      </w:r>
    </w:p>
    <w:p>
      <w:pPr>
        <w:spacing w:after="156" w:afterLines="50"/>
        <w:ind w:firstLine="420" w:firstLineChars="199"/>
        <w:rPr>
          <w:rFonts w:ascii="Arial" w:hAnsi="Arial" w:cs="Arial"/>
          <w:color w:val="auto"/>
          <w:szCs w:val="21"/>
        </w:rPr>
      </w:pPr>
      <w:r>
        <w:rPr>
          <w:rFonts w:ascii="Arial" w:hAnsi="Arial" w:cs="Arial"/>
          <w:b/>
          <w:color w:val="auto"/>
          <w:szCs w:val="21"/>
        </w:rPr>
        <w:t>第三十七条</w:t>
      </w:r>
      <w:r>
        <w:rPr>
          <w:rFonts w:ascii="Arial" w:hAnsi="Arial" w:cs="Arial"/>
          <w:color w:val="auto"/>
          <w:szCs w:val="21"/>
        </w:rPr>
        <w:t xml:space="preserve">  与本保险合同有关的以及履行本保险合同产生的一切争议，适用中华人民共和国法律（不包括港澳台地区法律）。</w:t>
      </w:r>
    </w:p>
    <w:p>
      <w:pPr>
        <w:spacing w:after="156" w:afterLines="50"/>
        <w:jc w:val="center"/>
        <w:rPr>
          <w:rFonts w:ascii="Arial" w:hAnsi="Arial" w:cs="Arial"/>
          <w:b/>
          <w:bCs/>
          <w:color w:val="auto"/>
          <w:szCs w:val="21"/>
        </w:rPr>
      </w:pPr>
    </w:p>
    <w:p>
      <w:pPr>
        <w:spacing w:after="156" w:afterLines="50"/>
        <w:jc w:val="center"/>
        <w:rPr>
          <w:rFonts w:ascii="Arial" w:hAnsi="Arial" w:cs="Arial"/>
          <w:b/>
          <w:bCs/>
          <w:color w:val="auto"/>
          <w:szCs w:val="21"/>
        </w:rPr>
      </w:pPr>
      <w:r>
        <w:rPr>
          <w:rFonts w:ascii="Arial" w:hAnsi="Arial" w:cs="Arial"/>
          <w:b/>
          <w:bCs/>
          <w:color w:val="auto"/>
          <w:szCs w:val="21"/>
        </w:rPr>
        <w:t>其他事项</w:t>
      </w:r>
    </w:p>
    <w:p>
      <w:pPr>
        <w:spacing w:after="156" w:afterLines="50"/>
        <w:ind w:firstLine="420" w:firstLineChars="199"/>
        <w:rPr>
          <w:rFonts w:ascii="Arial" w:hAnsi="Arial" w:cs="Arial"/>
          <w:color w:val="auto"/>
          <w:szCs w:val="21"/>
        </w:rPr>
      </w:pPr>
      <w:r>
        <w:rPr>
          <w:rFonts w:ascii="Arial" w:hAnsi="Arial" w:cs="Arial"/>
          <w:b/>
          <w:color w:val="auto"/>
          <w:szCs w:val="21"/>
        </w:rPr>
        <w:t>第三十八条</w:t>
      </w:r>
      <w:r>
        <w:rPr>
          <w:rFonts w:ascii="Arial" w:hAnsi="Arial" w:cs="Arial"/>
          <w:color w:val="auto"/>
          <w:szCs w:val="21"/>
        </w:rPr>
        <w:t xml:space="preserve">  保险标的发生部分损失的，自保险人赔偿之日起三十日内，投保人可以解除合同；除合同另有约定外，保险人也可以解除合同，但应当提前十五日通知投保人。</w:t>
      </w:r>
    </w:p>
    <w:p>
      <w:pPr>
        <w:spacing w:after="156" w:afterLines="50"/>
        <w:ind w:firstLine="417" w:firstLineChars="199"/>
        <w:rPr>
          <w:rFonts w:ascii="Arial" w:hAnsi="Arial" w:cs="Arial"/>
          <w:color w:val="auto"/>
          <w:szCs w:val="21"/>
        </w:rPr>
      </w:pPr>
      <w:r>
        <w:rPr>
          <w:rFonts w:ascii="Arial" w:hAnsi="Arial" w:cs="Arial"/>
          <w:color w:val="auto"/>
          <w:szCs w:val="21"/>
        </w:rPr>
        <w:t>保险合同依据前款规定解除的，保险人应当将保险标的未受损失部分的保险费，按照合同约定扣除自保险责任开始之日起至合同解除之日止应收的部分后，退还投保人。</w:t>
      </w:r>
    </w:p>
    <w:p>
      <w:pPr>
        <w:spacing w:after="156" w:afterLines="50"/>
        <w:ind w:firstLine="422" w:firstLineChars="200"/>
        <w:rPr>
          <w:rFonts w:ascii="Arial" w:hAnsi="Arial" w:cs="Arial"/>
          <w:color w:val="auto"/>
          <w:szCs w:val="21"/>
        </w:rPr>
      </w:pPr>
      <w:r>
        <w:rPr>
          <w:rFonts w:ascii="Arial" w:hAnsi="Arial" w:cs="Arial"/>
          <w:b/>
          <w:color w:val="auto"/>
          <w:szCs w:val="21"/>
        </w:rPr>
        <w:t>第三十九条</w:t>
      </w:r>
      <w:r>
        <w:rPr>
          <w:rFonts w:ascii="Arial" w:hAnsi="Arial" w:cs="Arial"/>
          <w:color w:val="auto"/>
          <w:szCs w:val="21"/>
        </w:rPr>
        <w:t xml:space="preserve">  保险责任开始前，投保人要求解除保险合同的，应当按本保险合同的约定向保险人支付退保手续费，保险人应当退还剩余部分保险费。</w:t>
      </w:r>
    </w:p>
    <w:p>
      <w:pPr>
        <w:spacing w:after="156" w:afterLines="50"/>
        <w:ind w:firstLine="420" w:firstLineChars="200"/>
        <w:rPr>
          <w:rFonts w:ascii="Arial" w:hAnsi="Arial" w:cs="Arial"/>
          <w:color w:val="auto"/>
          <w:szCs w:val="21"/>
        </w:rPr>
      </w:pPr>
      <w:r>
        <w:rPr>
          <w:rFonts w:ascii="Arial" w:hAnsi="Arial" w:cs="Arial"/>
          <w:color w:val="auto"/>
          <w:szCs w:val="21"/>
        </w:rPr>
        <w:t>保险责任开始后，投保人要求解除保险合同的，自通知保险人之日起，保险合同解除，保险人按短期费率计收保险责任开始之日起至合同解除之日止期间的保险费，并退还剩余部分保险费。</w:t>
      </w:r>
    </w:p>
    <w:p>
      <w:pPr>
        <w:spacing w:after="156" w:afterLines="50"/>
        <w:ind w:firstLine="420" w:firstLineChars="200"/>
        <w:rPr>
          <w:rFonts w:ascii="Arial" w:hAnsi="Arial" w:cs="Arial"/>
          <w:color w:val="auto"/>
          <w:szCs w:val="21"/>
        </w:rPr>
      </w:pPr>
      <w:r>
        <w:rPr>
          <w:rFonts w:ascii="Arial" w:hAnsi="Arial" w:cs="Arial"/>
          <w:color w:val="auto"/>
          <w:szCs w:val="21"/>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spacing w:after="156" w:afterLines="50"/>
        <w:ind w:firstLine="420" w:firstLineChars="199"/>
        <w:rPr>
          <w:rFonts w:ascii="Arial" w:hAnsi="Arial" w:cs="Arial"/>
          <w:color w:val="auto"/>
          <w:szCs w:val="21"/>
        </w:rPr>
      </w:pPr>
      <w:r>
        <w:rPr>
          <w:rFonts w:ascii="Arial" w:hAnsi="Arial" w:cs="Arial"/>
          <w:b/>
          <w:color w:val="auto"/>
          <w:szCs w:val="21"/>
        </w:rPr>
        <w:t>第四十条</w:t>
      </w:r>
      <w:r>
        <w:rPr>
          <w:rFonts w:ascii="Arial" w:hAnsi="Arial" w:cs="Arial"/>
          <w:color w:val="auto"/>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pPr>
        <w:spacing w:after="156" w:afterLines="50"/>
        <w:ind w:firstLine="525" w:firstLineChars="249"/>
        <w:jc w:val="center"/>
        <w:rPr>
          <w:rFonts w:ascii="Arial" w:hAnsi="Arial" w:cs="Arial"/>
          <w:b/>
          <w:color w:val="auto"/>
          <w:szCs w:val="21"/>
        </w:rPr>
      </w:pPr>
    </w:p>
    <w:p>
      <w:pPr>
        <w:spacing w:after="156" w:afterLines="50"/>
        <w:ind w:firstLine="525" w:firstLineChars="249"/>
        <w:jc w:val="center"/>
        <w:rPr>
          <w:rFonts w:ascii="Arial" w:hAnsi="Arial" w:cs="Arial"/>
          <w:b/>
          <w:color w:val="auto"/>
          <w:szCs w:val="21"/>
        </w:rPr>
      </w:pPr>
      <w:r>
        <w:rPr>
          <w:rFonts w:ascii="Arial" w:hAnsi="Arial" w:cs="Arial"/>
          <w:b/>
          <w:color w:val="auto"/>
          <w:szCs w:val="21"/>
        </w:rPr>
        <w:t>释义</w:t>
      </w:r>
    </w:p>
    <w:p>
      <w:pPr>
        <w:spacing w:after="156" w:afterLines="50"/>
        <w:ind w:firstLine="420" w:firstLineChars="200"/>
        <w:rPr>
          <w:rFonts w:ascii="Arial" w:hAnsi="Arial" w:cs="Arial"/>
          <w:b/>
          <w:color w:val="auto"/>
          <w:szCs w:val="21"/>
        </w:rPr>
      </w:pPr>
      <w:r>
        <w:rPr>
          <w:rFonts w:ascii="Arial" w:hAnsi="Arial" w:cs="Arial"/>
          <w:color w:val="auto"/>
          <w:szCs w:val="21"/>
        </w:rPr>
        <w:t xml:space="preserve">第四十一条  </w:t>
      </w:r>
      <w:r>
        <w:rPr>
          <w:rFonts w:ascii="Arial" w:hAnsi="Arial" w:cs="Arial"/>
          <w:b/>
          <w:color w:val="auto"/>
          <w:szCs w:val="21"/>
        </w:rPr>
        <w:t>本保险合同涉及下列术语时，适用下列释义：</w:t>
      </w:r>
    </w:p>
    <w:p>
      <w:pPr>
        <w:spacing w:after="156" w:afterLines="50"/>
        <w:ind w:firstLine="380" w:firstLineChars="181"/>
        <w:rPr>
          <w:rFonts w:ascii="Arial" w:hAnsi="Arial" w:cs="Arial"/>
          <w:color w:val="auto"/>
          <w:szCs w:val="21"/>
        </w:rPr>
      </w:pPr>
      <w:r>
        <w:rPr>
          <w:rFonts w:ascii="Arial" w:hAnsi="Arial" w:cs="Arial"/>
          <w:color w:val="auto"/>
          <w:szCs w:val="21"/>
        </w:rPr>
        <w:t>（一）火灾</w:t>
      </w:r>
    </w:p>
    <w:p>
      <w:pPr>
        <w:spacing w:after="156" w:afterLines="50"/>
        <w:ind w:firstLine="420"/>
        <w:rPr>
          <w:rFonts w:ascii="Arial" w:hAnsi="Arial" w:cs="Arial"/>
          <w:color w:val="auto"/>
          <w:szCs w:val="21"/>
        </w:rPr>
      </w:pPr>
      <w:r>
        <w:rPr>
          <w:rFonts w:ascii="Arial" w:hAnsi="Arial" w:cs="Arial"/>
          <w:color w:val="auto"/>
          <w:szCs w:val="21"/>
        </w:rPr>
        <w:t>在时间或空间上失去控制的燃烧所造成的灾害。构成本保险的火灾责任必须同时具备以下三个条件：</w:t>
      </w:r>
    </w:p>
    <w:p>
      <w:pPr>
        <w:spacing w:after="156" w:afterLines="50"/>
        <w:ind w:firstLine="420"/>
        <w:rPr>
          <w:rFonts w:ascii="Arial" w:hAnsi="Arial" w:cs="Arial"/>
          <w:color w:val="auto"/>
          <w:szCs w:val="21"/>
        </w:rPr>
      </w:pPr>
      <w:r>
        <w:rPr>
          <w:rFonts w:ascii="Arial" w:hAnsi="Arial" w:cs="Arial"/>
          <w:color w:val="auto"/>
          <w:szCs w:val="21"/>
        </w:rPr>
        <w:t>1．有燃烧现象，即有热有光有火焰；</w:t>
      </w:r>
    </w:p>
    <w:p>
      <w:pPr>
        <w:spacing w:after="156" w:afterLines="50"/>
        <w:ind w:firstLine="420"/>
        <w:rPr>
          <w:rFonts w:ascii="Arial" w:hAnsi="Arial" w:cs="Arial"/>
          <w:color w:val="auto"/>
          <w:szCs w:val="21"/>
        </w:rPr>
      </w:pPr>
      <w:r>
        <w:rPr>
          <w:rFonts w:ascii="Arial" w:hAnsi="Arial" w:cs="Arial"/>
          <w:color w:val="auto"/>
          <w:szCs w:val="21"/>
        </w:rPr>
        <w:t>2．偶然、意外发生的燃烧；</w:t>
      </w:r>
    </w:p>
    <w:p>
      <w:pPr>
        <w:spacing w:after="156" w:afterLines="50"/>
        <w:ind w:firstLine="420"/>
        <w:rPr>
          <w:rFonts w:ascii="Arial" w:hAnsi="Arial" w:cs="Arial"/>
          <w:color w:val="auto"/>
          <w:szCs w:val="21"/>
        </w:rPr>
      </w:pPr>
      <w:r>
        <w:rPr>
          <w:rFonts w:ascii="Arial" w:hAnsi="Arial" w:cs="Arial"/>
          <w:color w:val="auto"/>
          <w:szCs w:val="21"/>
        </w:rPr>
        <w:t>3．燃烧失去控制并有蔓延扩大的趋势。</w:t>
      </w:r>
    </w:p>
    <w:p>
      <w:pPr>
        <w:spacing w:after="156" w:afterLines="50"/>
        <w:ind w:firstLine="420"/>
        <w:rPr>
          <w:rFonts w:ascii="Arial" w:hAnsi="Arial" w:cs="Arial"/>
          <w:color w:val="auto"/>
          <w:szCs w:val="21"/>
        </w:rPr>
      </w:pPr>
      <w:r>
        <w:rPr>
          <w:rFonts w:ascii="Arial" w:hAnsi="Arial" w:cs="Arial"/>
          <w:color w:val="auto"/>
          <w:szCs w:val="21"/>
        </w:rPr>
        <w:t>因此，仅有燃烧现象并不等于构成本保险中的火灾责任。在生产、生活中有目的用火，如为了防疫而焚毁站污的衣物，点火烧荒等属正常燃烧，不同于火灾责任。</w:t>
      </w:r>
    </w:p>
    <w:p>
      <w:pPr>
        <w:spacing w:after="156" w:afterLines="50"/>
        <w:ind w:firstLine="420"/>
        <w:rPr>
          <w:rFonts w:ascii="Arial" w:hAnsi="Arial" w:cs="Arial"/>
          <w:color w:val="auto"/>
          <w:szCs w:val="21"/>
        </w:rPr>
      </w:pPr>
      <w:r>
        <w:rPr>
          <w:rFonts w:ascii="Arial" w:hAnsi="Arial" w:cs="Arial"/>
          <w:color w:val="auto"/>
          <w:szCs w:val="21"/>
        </w:rPr>
        <w:t>因烘、烤、烫、烙造成焦糊变质等损失，既无燃烧现象，又无蔓延扩大趋势，也不属于火灾责任。</w:t>
      </w:r>
    </w:p>
    <w:p>
      <w:pPr>
        <w:spacing w:after="156" w:afterLines="50"/>
        <w:ind w:firstLine="420"/>
        <w:rPr>
          <w:rFonts w:ascii="Arial" w:hAnsi="Arial" w:cs="Arial"/>
          <w:color w:val="auto"/>
          <w:szCs w:val="21"/>
        </w:rPr>
      </w:pPr>
      <w:r>
        <w:rPr>
          <w:rFonts w:ascii="Arial" w:hAnsi="Arial" w:cs="Arial"/>
          <w:color w:val="auto"/>
          <w:szCs w:val="21"/>
        </w:rPr>
        <w:t>电机、电器、电气设备因使用过度、超电压、碰线、孤花、漏电、自身发热所造成的本身损毁，不属于火灾责任。但如果发生了燃烧并失去控制蔓延扩大，才构成火灾责任，并对电机、电器、电气设备本身的损失负责赔偿。</w:t>
      </w:r>
    </w:p>
    <w:p>
      <w:pPr>
        <w:spacing w:after="156" w:afterLines="50"/>
        <w:ind w:firstLine="420"/>
        <w:rPr>
          <w:rFonts w:ascii="Arial" w:hAnsi="Arial" w:cs="Arial"/>
          <w:color w:val="auto"/>
          <w:szCs w:val="21"/>
        </w:rPr>
      </w:pPr>
      <w:r>
        <w:rPr>
          <w:rFonts w:ascii="Arial" w:hAnsi="Arial" w:cs="Arial"/>
          <w:color w:val="auto"/>
          <w:szCs w:val="21"/>
        </w:rPr>
        <w:t>（二）爆炸</w:t>
      </w:r>
    </w:p>
    <w:p>
      <w:pPr>
        <w:spacing w:after="156" w:afterLines="50"/>
        <w:ind w:firstLine="420" w:firstLineChars="200"/>
        <w:rPr>
          <w:rFonts w:ascii="Arial" w:hAnsi="Arial" w:cs="Arial"/>
          <w:color w:val="auto"/>
          <w:szCs w:val="21"/>
        </w:rPr>
      </w:pPr>
      <w:r>
        <w:rPr>
          <w:rFonts w:ascii="Arial" w:hAnsi="Arial" w:cs="Arial"/>
          <w:color w:val="auto"/>
          <w:szCs w:val="21"/>
        </w:rPr>
        <w:t>爆炸分物理性爆炸和化学性爆炸。</w:t>
      </w:r>
    </w:p>
    <w:p>
      <w:pPr>
        <w:spacing w:after="156" w:afterLines="50"/>
        <w:ind w:firstLine="420" w:firstLineChars="200"/>
        <w:rPr>
          <w:rFonts w:ascii="Arial" w:hAnsi="Arial" w:cs="Arial"/>
          <w:color w:val="auto"/>
          <w:szCs w:val="21"/>
        </w:rPr>
      </w:pPr>
      <w:r>
        <w:rPr>
          <w:rFonts w:ascii="Arial" w:hAnsi="Arial" w:cs="Arial"/>
          <w:color w:val="auto"/>
          <w:szCs w:val="21"/>
        </w:rPr>
        <w:t>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spacing w:after="156" w:afterLines="50"/>
        <w:ind w:firstLine="380" w:firstLineChars="181"/>
        <w:rPr>
          <w:rFonts w:ascii="Arial" w:hAnsi="Arial" w:cs="Arial"/>
          <w:color w:val="auto"/>
          <w:szCs w:val="21"/>
        </w:rPr>
      </w:pPr>
      <w:r>
        <w:rPr>
          <w:rFonts w:ascii="Arial" w:hAnsi="Arial" w:cs="Arial"/>
          <w:color w:val="auto"/>
          <w:szCs w:val="21"/>
        </w:rPr>
        <w:t>2．化学性爆炸：物体在瞬息分解或燃烧时放出大量的热和气体，并以很大的压力向四周扩散的现象。如火药爆炸、可燃性粉尘纤维爆炸、可燃气体爆炸及各种化学物品的爆炸等。</w:t>
      </w:r>
    </w:p>
    <w:p>
      <w:pPr>
        <w:spacing w:after="156" w:afterLines="50"/>
        <w:ind w:firstLine="420" w:firstLineChars="200"/>
        <w:rPr>
          <w:rFonts w:ascii="Arial" w:hAnsi="Arial" w:cs="Arial"/>
          <w:color w:val="auto"/>
          <w:szCs w:val="21"/>
        </w:rPr>
      </w:pPr>
      <w:r>
        <w:rPr>
          <w:rFonts w:ascii="Arial" w:hAnsi="Arial" w:cs="Arial"/>
          <w:color w:val="auto"/>
          <w:szCs w:val="21"/>
        </w:rPr>
        <w:t>因物体本身的瑕疵，使用损耗或产品质量低劣以及由于容器内部承受“负压”（内压比外压小）造成的损失，不属于爆炸责任。</w:t>
      </w:r>
    </w:p>
    <w:p>
      <w:pPr>
        <w:spacing w:after="156" w:afterLines="50"/>
        <w:ind w:firstLine="420" w:firstLineChars="200"/>
        <w:rPr>
          <w:rFonts w:ascii="Arial" w:hAnsi="Arial" w:cs="Arial"/>
          <w:color w:val="auto"/>
          <w:szCs w:val="21"/>
        </w:rPr>
      </w:pPr>
      <w:r>
        <w:rPr>
          <w:rFonts w:ascii="Arial" w:hAnsi="Arial" w:cs="Arial"/>
          <w:color w:val="auto"/>
          <w:szCs w:val="21"/>
        </w:rPr>
        <w:t>（三）雷击</w:t>
      </w:r>
    </w:p>
    <w:p>
      <w:pPr>
        <w:spacing w:after="156" w:afterLines="50"/>
        <w:ind w:firstLine="420" w:firstLineChars="200"/>
        <w:rPr>
          <w:rFonts w:ascii="Arial" w:hAnsi="Arial" w:cs="Arial"/>
          <w:color w:val="auto"/>
          <w:szCs w:val="21"/>
        </w:rPr>
      </w:pPr>
      <w:r>
        <w:rPr>
          <w:rFonts w:ascii="Arial" w:hAnsi="Arial" w:cs="Arial"/>
          <w:color w:val="auto"/>
          <w:szCs w:val="21"/>
        </w:rPr>
        <w:t>击指由雷电造成的灾害。雷电为积雨云中、云间或云地之间产生的放电现象。雷击的破坏形式分直接雷击与感应雷击两种。</w:t>
      </w:r>
    </w:p>
    <w:p>
      <w:pPr>
        <w:spacing w:after="156" w:afterLines="50"/>
        <w:ind w:firstLine="420" w:firstLineChars="200"/>
        <w:rPr>
          <w:rFonts w:ascii="Arial" w:hAnsi="Arial" w:cs="Arial"/>
          <w:color w:val="auto"/>
          <w:szCs w:val="21"/>
        </w:rPr>
      </w:pPr>
      <w:r>
        <w:rPr>
          <w:rFonts w:ascii="Arial" w:hAnsi="Arial" w:cs="Arial"/>
          <w:color w:val="auto"/>
          <w:szCs w:val="21"/>
        </w:rPr>
        <w:t>1．直接雷击：由于雷电直接击中保险标的造成损失，属直接雷击责任。</w:t>
      </w:r>
    </w:p>
    <w:p>
      <w:pPr>
        <w:spacing w:after="156" w:afterLines="50"/>
        <w:ind w:firstLine="420" w:firstLineChars="200"/>
        <w:rPr>
          <w:rFonts w:ascii="Arial" w:hAnsi="Arial" w:cs="Arial"/>
          <w:color w:val="auto"/>
          <w:szCs w:val="21"/>
        </w:rPr>
      </w:pPr>
      <w:r>
        <w:rPr>
          <w:rFonts w:ascii="Arial" w:hAnsi="Arial" w:cs="Arial"/>
          <w:color w:val="auto"/>
          <w:szCs w:val="21"/>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spacing w:after="156" w:afterLines="50"/>
        <w:ind w:firstLine="420" w:firstLineChars="200"/>
        <w:rPr>
          <w:rFonts w:ascii="Arial" w:hAnsi="Arial" w:cs="Arial"/>
          <w:color w:val="auto"/>
          <w:szCs w:val="21"/>
        </w:rPr>
      </w:pPr>
      <w:r>
        <w:rPr>
          <w:rFonts w:ascii="Arial" w:hAnsi="Arial" w:cs="Arial"/>
          <w:color w:val="auto"/>
          <w:szCs w:val="21"/>
        </w:rPr>
        <w:t>（四）暴雨：指每小时降雨量达16毫米以上，或连续12小时降雨量达30毫米以上，或连续24小时降雨量达50毫米以上的降雨。</w:t>
      </w:r>
    </w:p>
    <w:p>
      <w:pPr>
        <w:spacing w:after="156" w:afterLines="50"/>
        <w:ind w:firstLine="420" w:firstLineChars="200"/>
        <w:rPr>
          <w:rFonts w:ascii="Arial" w:hAnsi="Arial" w:cs="Arial"/>
          <w:color w:val="auto"/>
          <w:szCs w:val="21"/>
        </w:rPr>
      </w:pPr>
      <w:r>
        <w:rPr>
          <w:rFonts w:ascii="Arial" w:hAnsi="Arial" w:cs="Arial"/>
          <w:color w:val="auto"/>
          <w:szCs w:val="21"/>
        </w:rPr>
        <w:t>（五）洪水：指山洪暴发、江河泛滥、潮水上岸及倒灌。但规律性的涨潮、自动灭火设施漏水以及在常年水位以下或地下渗水、水管爆裂不属于洪水责任。</w:t>
      </w:r>
    </w:p>
    <w:p>
      <w:pPr>
        <w:spacing w:after="156" w:afterLines="50"/>
        <w:ind w:firstLine="420" w:firstLineChars="200"/>
        <w:rPr>
          <w:rFonts w:ascii="Arial" w:hAnsi="Arial" w:cs="Arial"/>
          <w:color w:val="auto"/>
          <w:szCs w:val="21"/>
        </w:rPr>
      </w:pPr>
      <w:r>
        <w:rPr>
          <w:rFonts w:ascii="Arial" w:hAnsi="Arial" w:cs="Arial"/>
          <w:color w:val="auto"/>
          <w:szCs w:val="21"/>
        </w:rPr>
        <w:t>（六）暴风：指风力达8级、风速在17.2米/秒以上的自然风。</w:t>
      </w:r>
    </w:p>
    <w:p>
      <w:pPr>
        <w:spacing w:after="156" w:afterLines="50"/>
        <w:ind w:firstLine="420" w:firstLineChars="200"/>
        <w:rPr>
          <w:rFonts w:ascii="Arial" w:hAnsi="Arial" w:cs="Arial"/>
          <w:color w:val="auto"/>
          <w:szCs w:val="21"/>
        </w:rPr>
      </w:pPr>
      <w:r>
        <w:rPr>
          <w:rFonts w:ascii="Arial" w:hAnsi="Arial" w:cs="Arial"/>
          <w:color w:val="auto"/>
          <w:szCs w:val="21"/>
        </w:rPr>
        <w:t>（七）龙卷风：指一种范围小而时间短的猛烈旋风，陆地上平均最大风速在79米/秒-103米/秒，极端最大风速在100米/秒以上。</w:t>
      </w:r>
    </w:p>
    <w:p>
      <w:pPr>
        <w:spacing w:after="156" w:afterLines="50"/>
        <w:ind w:firstLine="420" w:firstLineChars="200"/>
        <w:rPr>
          <w:rFonts w:ascii="Arial" w:hAnsi="Arial" w:cs="Arial"/>
          <w:color w:val="auto"/>
          <w:szCs w:val="21"/>
        </w:rPr>
      </w:pPr>
      <w:r>
        <w:rPr>
          <w:rFonts w:ascii="Arial" w:hAnsi="Arial" w:cs="Arial"/>
          <w:color w:val="auto"/>
          <w:szCs w:val="21"/>
        </w:rPr>
        <w:t>（八）冰雹：指从强烈对流的积雨云中降落到地面的冰块或冰球，直径大于5毫米，核心坚硬的固体降水。</w:t>
      </w:r>
    </w:p>
    <w:p>
      <w:pPr>
        <w:spacing w:after="156" w:afterLines="50"/>
        <w:ind w:firstLine="420" w:firstLineChars="200"/>
        <w:rPr>
          <w:rFonts w:ascii="Arial" w:hAnsi="Arial" w:cs="Arial"/>
          <w:color w:val="auto"/>
          <w:szCs w:val="21"/>
        </w:rPr>
      </w:pPr>
      <w:r>
        <w:rPr>
          <w:rFonts w:ascii="Arial" w:hAnsi="Arial" w:cs="Arial"/>
          <w:color w:val="auto"/>
          <w:szCs w:val="21"/>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pacing w:after="156" w:afterLines="50"/>
        <w:ind w:firstLine="420" w:firstLineChars="200"/>
        <w:rPr>
          <w:rFonts w:ascii="Arial" w:hAnsi="Arial" w:cs="Arial"/>
          <w:color w:val="auto"/>
          <w:szCs w:val="21"/>
        </w:rPr>
      </w:pPr>
      <w:r>
        <w:rPr>
          <w:rFonts w:ascii="Arial" w:hAnsi="Arial" w:cs="Arial"/>
          <w:color w:val="auto"/>
          <w:szCs w:val="21"/>
        </w:rPr>
        <w:t>（十）沙尘暴：指强风将地面大量尘沙吹起，使空气很混浊，水平能见度小于1公里的天气现象。</w:t>
      </w:r>
    </w:p>
    <w:p>
      <w:pPr>
        <w:spacing w:after="156" w:afterLines="50"/>
        <w:ind w:firstLine="420" w:firstLineChars="200"/>
        <w:rPr>
          <w:rFonts w:ascii="Arial" w:hAnsi="Arial" w:cs="Arial"/>
          <w:color w:val="auto"/>
          <w:szCs w:val="21"/>
        </w:rPr>
      </w:pPr>
      <w:r>
        <w:rPr>
          <w:rFonts w:ascii="Arial" w:hAnsi="Arial" w:cs="Arial"/>
          <w:color w:val="auto"/>
          <w:szCs w:val="21"/>
        </w:rPr>
        <w:t>（十一）暴雪：指连续12小时的降雪量大于或等于10毫米的降雪现象。</w:t>
      </w:r>
    </w:p>
    <w:p>
      <w:pPr>
        <w:spacing w:after="156" w:afterLines="50"/>
        <w:ind w:firstLine="420" w:firstLineChars="200"/>
        <w:rPr>
          <w:rFonts w:ascii="Arial" w:hAnsi="Arial" w:cs="Arial"/>
          <w:color w:val="auto"/>
          <w:szCs w:val="21"/>
        </w:rPr>
      </w:pPr>
      <w:r>
        <w:rPr>
          <w:rFonts w:ascii="Arial" w:hAnsi="Arial" w:cs="Arial"/>
          <w:color w:val="auto"/>
          <w:szCs w:val="21"/>
        </w:rPr>
        <w:t>（十二）冰凌：指春季江河解冻期时冰块飘浮遇阻，堆积成坝，堵塞江道，造成水位急剧上升，以致江水溢出江道，漫延成灾。</w:t>
      </w:r>
    </w:p>
    <w:p>
      <w:pPr>
        <w:spacing w:after="156" w:afterLines="50"/>
        <w:ind w:firstLine="420" w:firstLineChars="200"/>
        <w:rPr>
          <w:rFonts w:ascii="Arial" w:hAnsi="Arial" w:cs="Arial"/>
          <w:color w:val="auto"/>
          <w:szCs w:val="21"/>
        </w:rPr>
      </w:pPr>
      <w:r>
        <w:rPr>
          <w:rFonts w:ascii="Arial" w:hAnsi="Arial" w:cs="Arial"/>
          <w:color w:val="auto"/>
          <w:szCs w:val="21"/>
        </w:rPr>
        <w:t>陆上有些地区，如山谷风口或酷寒致使雨雪在物体上结成冰块，成下垂形状，越结越厚，重量增加，由于下垂的拉力致使物体毁坏，也属冰凌责任。</w:t>
      </w:r>
    </w:p>
    <w:p>
      <w:pPr>
        <w:spacing w:after="156" w:afterLines="50"/>
        <w:ind w:firstLine="420" w:firstLineChars="200"/>
        <w:rPr>
          <w:rFonts w:ascii="Arial" w:hAnsi="Arial" w:cs="Arial"/>
          <w:color w:val="auto"/>
          <w:szCs w:val="21"/>
        </w:rPr>
      </w:pPr>
      <w:r>
        <w:rPr>
          <w:rFonts w:ascii="Arial" w:hAnsi="Arial" w:cs="Arial"/>
          <w:color w:val="auto"/>
          <w:szCs w:val="21"/>
        </w:rPr>
        <w:t>（十三）突发性滑坡：斜坡上不稳的岩土体或人为堆积物在重力作用下突然整体向下滑动的现象。</w:t>
      </w:r>
    </w:p>
    <w:p>
      <w:pPr>
        <w:spacing w:after="156" w:afterLines="50"/>
        <w:ind w:firstLine="420" w:firstLineChars="200"/>
        <w:rPr>
          <w:rFonts w:ascii="Arial" w:hAnsi="Arial" w:cs="Arial"/>
          <w:color w:val="auto"/>
          <w:szCs w:val="21"/>
        </w:rPr>
      </w:pPr>
      <w:r>
        <w:rPr>
          <w:rFonts w:ascii="Arial" w:hAnsi="Arial" w:cs="Arial"/>
          <w:color w:val="auto"/>
          <w:szCs w:val="21"/>
        </w:rPr>
        <w:t>（十四）崩塌：石崖、土崖、岩石受自然风化、雨蚀造成崩溃下塌，以及大量积雪在重力作用下从高处突然崩塌滚落。</w:t>
      </w:r>
    </w:p>
    <w:p>
      <w:pPr>
        <w:spacing w:after="156" w:afterLines="50"/>
        <w:ind w:firstLine="420" w:firstLineChars="200"/>
        <w:rPr>
          <w:rFonts w:ascii="Arial" w:hAnsi="Arial" w:cs="Arial"/>
          <w:color w:val="auto"/>
          <w:szCs w:val="21"/>
        </w:rPr>
      </w:pPr>
      <w:r>
        <w:rPr>
          <w:rFonts w:ascii="Arial" w:hAnsi="Arial" w:cs="Arial"/>
          <w:color w:val="auto"/>
          <w:szCs w:val="21"/>
        </w:rPr>
        <w:t>（十五）泥石流：由于雨水、冰雪融化等水源激发的、含有大量泥沙石块的特殊洪流。</w:t>
      </w:r>
    </w:p>
    <w:p>
      <w:pPr>
        <w:spacing w:after="156" w:afterLines="50"/>
        <w:ind w:firstLine="380" w:firstLineChars="181"/>
        <w:rPr>
          <w:rFonts w:ascii="Arial" w:hAnsi="Arial" w:cs="Arial"/>
          <w:color w:val="auto"/>
          <w:szCs w:val="21"/>
        </w:rPr>
      </w:pPr>
      <w:r>
        <w:rPr>
          <w:rFonts w:ascii="Arial" w:hAnsi="Arial" w:cs="Arial"/>
          <w:color w:val="auto"/>
          <w:szCs w:val="21"/>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pacing w:after="156" w:afterLines="50"/>
        <w:ind w:firstLine="420" w:firstLineChars="200"/>
        <w:rPr>
          <w:rFonts w:ascii="Arial" w:hAnsi="Arial" w:cs="Arial"/>
          <w:color w:val="auto"/>
          <w:szCs w:val="21"/>
        </w:rPr>
      </w:pPr>
      <w:r>
        <w:rPr>
          <w:rFonts w:ascii="Arial" w:hAnsi="Arial" w:cs="Arial"/>
          <w:color w:val="auto"/>
          <w:szCs w:val="21"/>
        </w:rPr>
        <w:t>（十七）飞行物体及其他空中运行物体坠落：指空中飞行器、人造卫星、陨石坠落，吊车、行车在运行时发生的物体坠落，人工开凿或爆炸而致石方、石块、土方飞射、塌下，建筑物倒塌、倒落、倾倒，以及其他空中运行物体坠落。</w:t>
      </w:r>
    </w:p>
    <w:p>
      <w:pPr>
        <w:spacing w:after="156" w:afterLines="50"/>
        <w:ind w:firstLine="420" w:firstLineChars="200"/>
        <w:rPr>
          <w:rFonts w:ascii="Arial" w:hAnsi="Arial" w:cs="Arial"/>
          <w:color w:val="auto"/>
          <w:szCs w:val="21"/>
        </w:rPr>
      </w:pPr>
      <w:r>
        <w:rPr>
          <w:rFonts w:ascii="Arial" w:hAnsi="Arial" w:cs="Arial"/>
          <w:color w:val="auto"/>
          <w:szCs w:val="21"/>
        </w:rPr>
        <w:t>（十八）自然灾害：指雷击、暴雨、洪水、暴风、龙卷风、冰雹、台风、飓风、沙尘暴、暴雪、冰凌、突发性滑坡、崩塌、泥石流、地面突然下陷下沉及其他人力不可抗拒的破坏力强大的自然现象。</w:t>
      </w:r>
    </w:p>
    <w:p>
      <w:pPr>
        <w:spacing w:after="156" w:afterLines="50"/>
        <w:ind w:firstLine="420" w:firstLineChars="200"/>
        <w:rPr>
          <w:rFonts w:ascii="Arial" w:hAnsi="Arial" w:cs="Arial"/>
          <w:color w:val="auto"/>
          <w:szCs w:val="21"/>
        </w:rPr>
      </w:pPr>
      <w:r>
        <w:rPr>
          <w:rFonts w:ascii="Arial" w:hAnsi="Arial" w:cs="Arial"/>
          <w:color w:val="auto"/>
          <w:szCs w:val="21"/>
        </w:rPr>
        <w:t>（十九）意外事故：指不可预料的以及被保险人无法控制并造成物质损失的突发性事件，包括火灾和爆炸。</w:t>
      </w:r>
    </w:p>
    <w:p>
      <w:pPr>
        <w:spacing w:after="156" w:afterLines="50"/>
        <w:ind w:firstLine="420" w:firstLineChars="200"/>
        <w:rPr>
          <w:rFonts w:ascii="Arial" w:hAnsi="Arial" w:cs="Arial"/>
          <w:color w:val="auto"/>
          <w:szCs w:val="21"/>
        </w:rPr>
      </w:pPr>
      <w:r>
        <w:rPr>
          <w:rFonts w:ascii="Arial" w:hAnsi="Arial" w:cs="Arial"/>
          <w:color w:val="auto"/>
          <w:szCs w:val="21"/>
        </w:rPr>
        <w:t>（二十）重大过失行为：指行为人不但没有遵守法律规范对其较高要求，甚至连人们都应当注意并能注意的一般标准也未达到的行为。</w:t>
      </w:r>
    </w:p>
    <w:p>
      <w:pPr>
        <w:spacing w:after="156" w:afterLines="50"/>
        <w:ind w:firstLine="420" w:firstLineChars="200"/>
        <w:rPr>
          <w:rFonts w:ascii="Arial" w:hAnsi="Arial" w:cs="Arial"/>
          <w:color w:val="auto"/>
          <w:szCs w:val="21"/>
        </w:rPr>
      </w:pPr>
      <w:r>
        <w:rPr>
          <w:rFonts w:ascii="Arial" w:hAnsi="Arial" w:cs="Arial"/>
          <w:color w:val="auto"/>
          <w:szCs w:val="21"/>
        </w:rPr>
        <w:t>（二十一）恐怖活动：指任何人以某一组织的名义或参与某一组织使用武力或暴力对任何政府进行恐吓或施加影响而采取的行动。</w:t>
      </w:r>
    </w:p>
    <w:p>
      <w:pPr>
        <w:spacing w:after="156" w:afterLines="50"/>
        <w:ind w:firstLine="420" w:firstLineChars="200"/>
        <w:rPr>
          <w:rFonts w:ascii="Arial" w:hAnsi="Arial" w:cs="Arial"/>
          <w:color w:val="auto"/>
          <w:szCs w:val="21"/>
        </w:rPr>
      </w:pPr>
      <w:r>
        <w:rPr>
          <w:rFonts w:ascii="Arial" w:hAnsi="Arial" w:cs="Arial"/>
          <w:color w:val="auto"/>
          <w:szCs w:val="21"/>
        </w:rPr>
        <w:t>（二十二）地震：地壳发生的震动。</w:t>
      </w:r>
    </w:p>
    <w:p>
      <w:pPr>
        <w:spacing w:after="156" w:afterLines="50"/>
        <w:ind w:firstLine="420" w:firstLineChars="200"/>
        <w:rPr>
          <w:rFonts w:ascii="Arial" w:hAnsi="Arial" w:cs="Arial"/>
          <w:color w:val="auto"/>
          <w:szCs w:val="21"/>
        </w:rPr>
      </w:pPr>
      <w:r>
        <w:rPr>
          <w:rFonts w:ascii="Arial" w:hAnsi="Arial" w:cs="Arial"/>
          <w:color w:val="auto"/>
          <w:szCs w:val="21"/>
        </w:rPr>
        <w:t>（二十三）海啸：海啸是指由海底地震，火山爆发或水下滑坡、塌陷所激发的海洋巨波。</w:t>
      </w:r>
    </w:p>
    <w:p>
      <w:pPr>
        <w:spacing w:after="156" w:afterLines="50"/>
        <w:ind w:firstLine="420" w:firstLineChars="200"/>
        <w:rPr>
          <w:rFonts w:ascii="Arial" w:hAnsi="Arial" w:cs="Arial"/>
          <w:color w:val="auto"/>
          <w:szCs w:val="21"/>
        </w:rPr>
      </w:pPr>
      <w:r>
        <w:rPr>
          <w:rFonts w:ascii="Arial" w:hAnsi="Arial" w:cs="Arial"/>
          <w:color w:val="auto"/>
          <w:szCs w:val="21"/>
        </w:rPr>
        <w:t>（二十四）行政行为或司法行为：指各级政府部门、执法机关或依法履行公共管理、社会管理职能的机构下令破坏、征用、罚没保险标的的行为。</w:t>
      </w:r>
    </w:p>
    <w:p>
      <w:pPr>
        <w:spacing w:after="156" w:afterLines="50"/>
        <w:ind w:firstLine="420" w:firstLineChars="200"/>
        <w:rPr>
          <w:rFonts w:ascii="Arial" w:hAnsi="Arial" w:cs="Arial"/>
          <w:color w:val="auto"/>
          <w:szCs w:val="21"/>
        </w:rPr>
      </w:pPr>
      <w:r>
        <w:rPr>
          <w:rFonts w:ascii="Arial" w:hAnsi="Arial" w:cs="Arial"/>
          <w:color w:val="auto"/>
          <w:szCs w:val="21"/>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pPr>
        <w:spacing w:after="156" w:afterLines="50"/>
        <w:ind w:firstLine="420" w:firstLineChars="200"/>
        <w:rPr>
          <w:rFonts w:ascii="Arial" w:hAnsi="Arial" w:cs="Arial"/>
          <w:color w:val="auto"/>
          <w:szCs w:val="21"/>
        </w:rPr>
      </w:pPr>
      <w:r>
        <w:rPr>
          <w:rFonts w:ascii="Arial" w:hAnsi="Arial" w:cs="Arial"/>
          <w:color w:val="auto"/>
          <w:szCs w:val="21"/>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pPr>
        <w:spacing w:after="156" w:afterLines="50"/>
        <w:ind w:firstLine="420" w:firstLineChars="200"/>
        <w:rPr>
          <w:rFonts w:ascii="Arial" w:hAnsi="Arial" w:cs="Arial"/>
          <w:color w:val="auto"/>
          <w:szCs w:val="21"/>
        </w:rPr>
      </w:pPr>
      <w:r>
        <w:rPr>
          <w:rFonts w:ascii="Arial" w:hAnsi="Arial" w:cs="Arial"/>
          <w:color w:val="auto"/>
          <w:szCs w:val="21"/>
        </w:rPr>
        <w:t>（二十七）重置价值：指替换、重建受损保险标的，以使其达到全新状态而发生的费用，但不包括被保险人进行的任何变更、性能增加或改进所产生的额外费用。</w:t>
      </w:r>
    </w:p>
    <w:p>
      <w:pPr>
        <w:spacing w:after="156" w:afterLines="50"/>
        <w:ind w:firstLine="420" w:firstLineChars="200"/>
        <w:rPr>
          <w:rFonts w:ascii="Arial" w:hAnsi="Arial" w:cs="Arial"/>
          <w:color w:val="auto"/>
          <w:szCs w:val="21"/>
        </w:rPr>
      </w:pPr>
      <w:r>
        <w:rPr>
          <w:rFonts w:ascii="Arial" w:hAnsi="Arial" w:cs="Arial"/>
          <w:color w:val="auto"/>
          <w:szCs w:val="21"/>
        </w:rPr>
        <w:t>（二十八）水箱、水管爆裂：包括冻裂和意外爆裂两种情况。水箱、水管爆裂一般是由水箱、水管本身瑕疵或使用耗损或严寒结冰造成的。</w:t>
      </w:r>
    </w:p>
    <w:p>
      <w:pPr>
        <w:spacing w:after="156" w:afterLines="50"/>
        <w:jc w:val="center"/>
        <w:rPr>
          <w:rFonts w:ascii="Arial" w:hAnsi="Arial" w:cs="Arial"/>
          <w:b/>
          <w:color w:val="auto"/>
          <w:szCs w:val="21"/>
        </w:rPr>
      </w:pPr>
    </w:p>
    <w:p>
      <w:pPr>
        <w:spacing w:after="156" w:afterLines="50"/>
        <w:jc w:val="center"/>
        <w:rPr>
          <w:rFonts w:ascii="Arial" w:hAnsi="Arial" w:cs="Arial"/>
          <w:b/>
          <w:color w:val="auto"/>
          <w:szCs w:val="21"/>
        </w:rPr>
      </w:pPr>
      <w:r>
        <w:rPr>
          <w:rFonts w:ascii="Arial" w:hAnsi="Arial" w:cs="Arial"/>
          <w:b/>
          <w:color w:val="auto"/>
          <w:szCs w:val="21"/>
        </w:rPr>
        <w:t>附录</w:t>
      </w:r>
    </w:p>
    <w:p>
      <w:pPr>
        <w:spacing w:after="156" w:afterLines="50"/>
        <w:jc w:val="center"/>
        <w:rPr>
          <w:rFonts w:ascii="Arial" w:hAnsi="Arial" w:cs="Arial"/>
          <w:color w:val="auto"/>
          <w:szCs w:val="21"/>
        </w:rPr>
      </w:pPr>
      <w:r>
        <w:rPr>
          <w:rFonts w:ascii="Arial" w:hAnsi="Arial" w:cs="Arial"/>
          <w:bCs/>
          <w:color w:val="auto"/>
          <w:szCs w:val="21"/>
        </w:rPr>
        <w:t>短期费率表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jc w:val="center"/>
              <w:rPr>
                <w:rFonts w:ascii="Arial" w:hAnsi="Arial" w:cs="Arial"/>
                <w:color w:val="auto"/>
                <w:szCs w:val="21"/>
              </w:rPr>
            </w:pPr>
            <w:r>
              <w:rPr>
                <w:rFonts w:ascii="Arial" w:hAnsi="Arial" w:cs="Arial"/>
                <w:color w:val="auto"/>
                <w:szCs w:val="21"/>
              </w:rPr>
              <w:t>保险</w:t>
            </w:r>
          </w:p>
          <w:p>
            <w:pPr>
              <w:jc w:val="center"/>
              <w:rPr>
                <w:rFonts w:ascii="Arial" w:hAnsi="Arial" w:cs="Arial"/>
                <w:color w:val="auto"/>
                <w:szCs w:val="21"/>
              </w:rPr>
            </w:pPr>
            <w:r>
              <w:rPr>
                <w:rFonts w:ascii="Arial" w:hAnsi="Arial" w:cs="Arial"/>
                <w:color w:val="auto"/>
                <w:szCs w:val="21"/>
              </w:rPr>
              <w:t>期间</w:t>
            </w:r>
          </w:p>
        </w:tc>
        <w:tc>
          <w:tcPr>
            <w:tcW w:w="540" w:type="dxa"/>
            <w:vAlign w:val="center"/>
          </w:tcPr>
          <w:p>
            <w:pPr>
              <w:jc w:val="center"/>
              <w:rPr>
                <w:rFonts w:ascii="Arial" w:hAnsi="Arial" w:cs="Arial"/>
                <w:color w:val="auto"/>
                <w:szCs w:val="21"/>
              </w:rPr>
            </w:pPr>
            <w:r>
              <w:rPr>
                <w:rFonts w:ascii="Arial" w:hAnsi="Arial" w:cs="Arial"/>
                <w:color w:val="auto"/>
                <w:szCs w:val="21"/>
              </w:rPr>
              <w:t>一</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二</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三</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四</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五</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六</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七</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八</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九</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40" w:type="dxa"/>
            <w:vAlign w:val="center"/>
          </w:tcPr>
          <w:p>
            <w:pPr>
              <w:jc w:val="center"/>
              <w:rPr>
                <w:rFonts w:ascii="Arial" w:hAnsi="Arial" w:cs="Arial"/>
                <w:color w:val="auto"/>
                <w:szCs w:val="21"/>
              </w:rPr>
            </w:pPr>
            <w:r>
              <w:rPr>
                <w:rFonts w:ascii="Arial" w:hAnsi="Arial" w:cs="Arial"/>
                <w:color w:val="auto"/>
                <w:szCs w:val="21"/>
              </w:rPr>
              <w:t>十</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37" w:type="dxa"/>
            <w:vAlign w:val="center"/>
          </w:tcPr>
          <w:p>
            <w:pPr>
              <w:jc w:val="center"/>
              <w:rPr>
                <w:rFonts w:ascii="Arial" w:hAnsi="Arial" w:cs="Arial"/>
                <w:color w:val="auto"/>
                <w:szCs w:val="21"/>
              </w:rPr>
            </w:pPr>
            <w:r>
              <w:rPr>
                <w:rFonts w:ascii="Arial" w:hAnsi="Arial" w:cs="Arial"/>
                <w:color w:val="auto"/>
                <w:szCs w:val="21"/>
              </w:rPr>
              <w:t>十</w:t>
            </w:r>
          </w:p>
          <w:p>
            <w:pPr>
              <w:jc w:val="center"/>
              <w:rPr>
                <w:rFonts w:ascii="Arial" w:hAnsi="Arial" w:cs="Arial"/>
                <w:color w:val="auto"/>
                <w:szCs w:val="21"/>
              </w:rPr>
            </w:pPr>
            <w:r>
              <w:rPr>
                <w:rFonts w:ascii="Arial" w:hAnsi="Arial" w:cs="Arial"/>
                <w:color w:val="auto"/>
                <w:szCs w:val="21"/>
              </w:rPr>
              <w:t>一</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567" w:type="dxa"/>
            <w:vAlign w:val="center"/>
          </w:tcPr>
          <w:p>
            <w:pPr>
              <w:jc w:val="center"/>
              <w:rPr>
                <w:rFonts w:ascii="Arial" w:hAnsi="Arial" w:cs="Arial"/>
                <w:color w:val="auto"/>
                <w:szCs w:val="21"/>
              </w:rPr>
            </w:pPr>
            <w:r>
              <w:rPr>
                <w:rFonts w:ascii="Arial" w:hAnsi="Arial" w:cs="Arial"/>
                <w:color w:val="auto"/>
                <w:szCs w:val="21"/>
              </w:rPr>
              <w:t>十</w:t>
            </w:r>
          </w:p>
          <w:p>
            <w:pPr>
              <w:jc w:val="center"/>
              <w:rPr>
                <w:rFonts w:ascii="Arial" w:hAnsi="Arial" w:cs="Arial"/>
                <w:color w:val="auto"/>
                <w:szCs w:val="21"/>
              </w:rPr>
            </w:pPr>
            <w:r>
              <w:rPr>
                <w:rFonts w:ascii="Arial" w:hAnsi="Arial" w:cs="Arial"/>
                <w:color w:val="auto"/>
                <w:szCs w:val="21"/>
              </w:rPr>
              <w:t>二</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after="156" w:afterLines="50"/>
              <w:jc w:val="center"/>
              <w:rPr>
                <w:rFonts w:ascii="Arial" w:hAnsi="Arial" w:cs="Arial"/>
                <w:color w:val="auto"/>
                <w:szCs w:val="21"/>
              </w:rPr>
            </w:pPr>
            <w:r>
              <w:rPr>
                <w:rFonts w:ascii="Arial" w:hAnsi="Arial" w:cs="Arial"/>
                <w:color w:val="auto"/>
                <w:szCs w:val="21"/>
              </w:rPr>
              <w:t>年费率的百分比</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10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20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30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40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50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60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70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80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85</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90</w:t>
            </w:r>
          </w:p>
        </w:tc>
        <w:tc>
          <w:tcPr>
            <w:tcW w:w="537" w:type="dxa"/>
            <w:vAlign w:val="center"/>
          </w:tcPr>
          <w:p>
            <w:pPr>
              <w:spacing w:after="156" w:afterLines="50"/>
              <w:jc w:val="center"/>
              <w:rPr>
                <w:rFonts w:ascii="Arial" w:hAnsi="Arial" w:cs="Arial"/>
                <w:color w:val="auto"/>
                <w:szCs w:val="21"/>
              </w:rPr>
            </w:pPr>
            <w:r>
              <w:rPr>
                <w:rFonts w:ascii="Arial" w:hAnsi="Arial" w:cs="Arial"/>
                <w:color w:val="auto"/>
                <w:szCs w:val="21"/>
              </w:rPr>
              <w:t>95</w:t>
            </w:r>
          </w:p>
        </w:tc>
        <w:tc>
          <w:tcPr>
            <w:tcW w:w="567" w:type="dxa"/>
            <w:vAlign w:val="center"/>
          </w:tcPr>
          <w:p>
            <w:pPr>
              <w:spacing w:after="156" w:afterLines="50"/>
              <w:jc w:val="center"/>
              <w:rPr>
                <w:rFonts w:ascii="Arial" w:hAnsi="Arial" w:cs="Arial"/>
                <w:color w:val="auto"/>
                <w:szCs w:val="21"/>
              </w:rPr>
            </w:pPr>
            <w:r>
              <w:rPr>
                <w:rFonts w:ascii="Arial" w:hAnsi="Arial" w:cs="Arial"/>
                <w:color w:val="auto"/>
                <w:szCs w:val="21"/>
              </w:rPr>
              <w:t>100</w:t>
            </w:r>
          </w:p>
        </w:tc>
      </w:tr>
    </w:tbl>
    <w:p>
      <w:pPr>
        <w:spacing w:after="156" w:afterLines="50"/>
        <w:rPr>
          <w:rFonts w:ascii="Arial" w:hAnsi="Arial" w:cs="Arial"/>
          <w:color w:val="auto"/>
          <w:szCs w:val="21"/>
        </w:rPr>
      </w:pPr>
      <w:r>
        <w:rPr>
          <w:rFonts w:ascii="Arial" w:hAnsi="Arial" w:cs="Arial"/>
          <w:color w:val="auto"/>
          <w:szCs w:val="21"/>
        </w:rPr>
        <w:t xml:space="preserve">注：不足一个月的部分按一个月计收。 </w:t>
      </w:r>
    </w:p>
    <w:p>
      <w:pPr>
        <w:rPr>
          <w:rFonts w:ascii="Arial" w:hAnsi="Arial" w:cs="Arial"/>
          <w:b/>
          <w:color w:val="auto"/>
          <w:sz w:val="24"/>
        </w:rPr>
      </w:pPr>
      <w:r>
        <w:rPr>
          <w:rFonts w:ascii="Arial" w:hAnsi="Arial" w:cs="Arial"/>
          <w:b/>
          <w:color w:val="auto"/>
          <w:sz w:val="24"/>
        </w:rPr>
        <w:t>扩展条款：</w:t>
      </w:r>
    </w:p>
    <w:p>
      <w:pPr>
        <w:autoSpaceDE w:val="0"/>
        <w:autoSpaceDN w:val="0"/>
        <w:adjustRightInd w:val="0"/>
        <w:spacing w:line="360" w:lineRule="auto"/>
        <w:rPr>
          <w:rFonts w:ascii="Arial" w:hAnsi="Arial" w:cs="Arial"/>
          <w:b/>
          <w:bCs/>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提前90天通知解除保单条款</w:t>
      </w:r>
    </w:p>
    <w:p>
      <w:pPr>
        <w:ind w:firstLine="420" w:firstLineChars="200"/>
        <w:rPr>
          <w:rFonts w:ascii="Arial" w:hAnsi="Arial" w:cs="Arial"/>
          <w:color w:val="auto"/>
          <w:szCs w:val="21"/>
        </w:rPr>
      </w:pPr>
      <w:r>
        <w:rPr>
          <w:rFonts w:ascii="Arial" w:hAnsi="Arial" w:cs="Arial"/>
          <w:color w:val="auto"/>
          <w:szCs w:val="21"/>
        </w:rPr>
        <w:t>兹经双方同意并约定,本保单应投保人的书面通知,可随时终止,保费按短期费率或者最低保费收取。本保单也可以在保险人的提前</w:t>
      </w:r>
      <w:r>
        <w:rPr>
          <w:rFonts w:ascii="Arial" w:hAnsi="Arial" w:cs="Arial"/>
          <w:color w:val="auto"/>
          <w:szCs w:val="21"/>
          <w:u w:val="single"/>
        </w:rPr>
        <w:t>_90_</w:t>
      </w:r>
      <w:r>
        <w:rPr>
          <w:rFonts w:ascii="Arial" w:hAnsi="Arial" w:cs="Arial"/>
          <w:color w:val="auto"/>
          <w:szCs w:val="21"/>
        </w:rPr>
        <w:t>天通知下终止,保费按日费率计算。</w:t>
      </w:r>
    </w:p>
    <w:p>
      <w:pPr>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spacing w:before="156" w:beforeLines="50" w:line="360" w:lineRule="auto"/>
        <w:ind w:firstLine="480" w:firstLineChars="200"/>
        <w:jc w:val="left"/>
        <w:rPr>
          <w:rFonts w:ascii="Arial" w:hAnsi="Arial" w:cs="Arial"/>
          <w:color w:val="auto"/>
          <w:sz w:val="24"/>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所有其他物品条款</w:t>
      </w:r>
      <w:r>
        <w:rPr>
          <w:rFonts w:ascii="Arial" w:hAnsi="Arial" w:cs="Arial"/>
          <w:b/>
          <w:bCs/>
          <w:color w:val="auto"/>
          <w:szCs w:val="21"/>
        </w:rPr>
        <w:t>（累计赔偿限额：RMB1,000,000)</w:t>
      </w:r>
      <w:r>
        <w:rPr>
          <w:rFonts w:ascii="Arial" w:hAnsi="Arial" w:cs="Arial"/>
          <w:color w:val="auto"/>
          <w:szCs w:val="21"/>
        </w:rPr>
        <w:t xml:space="preserve"> </w:t>
      </w:r>
    </w:p>
    <w:p>
      <w:pPr>
        <w:ind w:firstLine="420" w:firstLineChars="200"/>
        <w:contextualSpacing/>
        <w:rPr>
          <w:rFonts w:ascii="Arial" w:hAnsi="Arial" w:cs="Arial"/>
          <w:color w:val="auto"/>
        </w:rPr>
      </w:pPr>
      <w:r>
        <w:rPr>
          <w:rFonts w:ascii="Arial" w:hAnsi="Arial" w:cs="Arial"/>
          <w:color w:val="auto"/>
        </w:rPr>
        <w:t>兹经双方同意并约定,"其他财产"应包括:</w:t>
      </w:r>
    </w:p>
    <w:p>
      <w:pPr>
        <w:ind w:firstLine="420" w:firstLineChars="200"/>
        <w:rPr>
          <w:rFonts w:ascii="Arial" w:hAnsi="Arial" w:cs="Arial"/>
          <w:color w:val="auto"/>
        </w:rPr>
      </w:pPr>
      <w:r>
        <w:rPr>
          <w:rFonts w:ascii="Arial" w:hAnsi="Arial" w:cs="Arial"/>
          <w:color w:val="auto"/>
        </w:rPr>
        <w:t>1. 未经特别承保的现金和邮票;</w:t>
      </w:r>
    </w:p>
    <w:p>
      <w:pPr>
        <w:ind w:firstLine="420" w:firstLineChars="200"/>
        <w:rPr>
          <w:rFonts w:ascii="Arial" w:hAnsi="Arial" w:cs="Arial"/>
          <w:color w:val="auto"/>
        </w:rPr>
      </w:pPr>
      <w:r>
        <w:rPr>
          <w:rFonts w:ascii="Arial" w:hAnsi="Arial" w:cs="Arial"/>
          <w:color w:val="auto"/>
        </w:rPr>
        <w:t>2. 文件、手稿和商用工具书籍,但仅限于材料本身的价值,以及完成它们所需的人工费,不包括其中所含信息的价值;</w:t>
      </w:r>
    </w:p>
    <w:p>
      <w:pPr>
        <w:ind w:firstLine="420" w:firstLineChars="200"/>
        <w:rPr>
          <w:rFonts w:ascii="Arial" w:hAnsi="Arial" w:cs="Arial"/>
          <w:color w:val="auto"/>
        </w:rPr>
      </w:pPr>
      <w:r>
        <w:rPr>
          <w:rFonts w:ascii="Arial" w:hAnsi="Arial" w:cs="Arial"/>
          <w:color w:val="auto"/>
        </w:rPr>
        <w:t>3. 电脑系统资料,但仅限于其硬件材料的价值及为复制资料而需花费的人工及电脑费用(任何有关获得、制作这些信息的费用除外)，不包括其中所含的信息的价值;</w:t>
      </w:r>
    </w:p>
    <w:p>
      <w:pPr>
        <w:ind w:firstLine="420" w:firstLineChars="200"/>
        <w:rPr>
          <w:rFonts w:ascii="Arial" w:hAnsi="Arial" w:cs="Arial"/>
          <w:color w:val="auto"/>
        </w:rPr>
      </w:pPr>
      <w:r>
        <w:rPr>
          <w:rFonts w:ascii="Arial" w:hAnsi="Arial" w:cs="Arial"/>
          <w:color w:val="auto"/>
        </w:rPr>
        <w:t>4. 模型、模具、模板、设计图纸;</w:t>
      </w:r>
    </w:p>
    <w:p>
      <w:pPr>
        <w:ind w:firstLine="420" w:firstLineChars="200"/>
        <w:rPr>
          <w:rFonts w:ascii="Arial" w:hAnsi="Arial" w:cs="Arial"/>
          <w:color w:val="auto"/>
        </w:rPr>
      </w:pPr>
      <w:r>
        <w:rPr>
          <w:rFonts w:ascii="Arial" w:hAnsi="Arial" w:cs="Arial"/>
          <w:color w:val="auto"/>
        </w:rPr>
        <w:t>5. 雇员的衣物、工具和其他个人物品(不包括助动车、自行车、个人用器械装置如手提电脑和移动电话等)。</w:t>
      </w:r>
    </w:p>
    <w:p>
      <w:pPr>
        <w:ind w:firstLine="420" w:firstLineChars="200"/>
        <w:rPr>
          <w:rFonts w:ascii="Arial" w:hAnsi="Arial" w:cs="Arial"/>
          <w:color w:val="auto"/>
        </w:rPr>
      </w:pPr>
      <w:r>
        <w:rPr>
          <w:rFonts w:ascii="Arial" w:hAnsi="Arial" w:cs="Arial"/>
          <w:color w:val="auto"/>
        </w:rPr>
        <w:t>本保险单所载其它条件不变</w:t>
      </w:r>
      <w:r>
        <w:rPr>
          <w:rFonts w:ascii="Arial" w:hAnsi="Arial" w:cs="Arial"/>
          <w:color w:val="auto"/>
          <w:sz w:val="22"/>
        </w:rPr>
        <w:t>。</w:t>
      </w:r>
    </w:p>
    <w:p>
      <w:pPr>
        <w:autoSpaceDE w:val="0"/>
        <w:autoSpaceDN w:val="0"/>
        <w:adjustRightInd w:val="0"/>
        <w:spacing w:line="360" w:lineRule="auto"/>
        <w:ind w:firstLine="105" w:firstLineChars="50"/>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建筑物变动扩展条款(限额：合同总价以RMB5,000,000为限)</w:t>
      </w:r>
    </w:p>
    <w:p>
      <w:pPr>
        <w:ind w:firstLine="420" w:firstLineChars="200"/>
        <w:rPr>
          <w:rFonts w:ascii="Arial" w:hAnsi="Arial" w:cs="Arial"/>
          <w:color w:val="auto"/>
          <w:szCs w:val="21"/>
        </w:rPr>
      </w:pPr>
      <w:r>
        <w:rPr>
          <w:rFonts w:ascii="Arial" w:hAnsi="Arial" w:cs="Arial"/>
          <w:color w:val="auto"/>
          <w:szCs w:val="21"/>
        </w:rPr>
        <w:t>经双方同意，在对本保险合同中载明地址内的建筑物进行扩建、改建、维修、装修过程中发生保险责任范围内的损失的，保险人按照本保险合同的约定负责赔偿，但被保险人须以书面形式提前通知保险人并克尽职责防止损失发生。</w:t>
      </w:r>
    </w:p>
    <w:p>
      <w:pPr>
        <w:ind w:firstLine="420" w:firstLineChars="200"/>
        <w:rPr>
          <w:rFonts w:ascii="Arial" w:hAnsi="Arial" w:cs="Arial"/>
          <w:color w:val="auto"/>
          <w:szCs w:val="21"/>
        </w:rPr>
      </w:pPr>
      <w:r>
        <w:rPr>
          <w:rFonts w:ascii="Arial" w:hAnsi="Arial" w:cs="Arial"/>
          <w:color w:val="auto"/>
          <w:szCs w:val="21"/>
        </w:rPr>
        <w:t>本附加险条款项下总合同价不得超过</w:t>
      </w:r>
      <w:r>
        <w:rPr>
          <w:rFonts w:ascii="Arial" w:hAnsi="Arial" w:cs="Arial"/>
          <w:bCs/>
          <w:color w:val="auto"/>
          <w:szCs w:val="21"/>
        </w:rPr>
        <w:t>RMB5,000,000</w:t>
      </w:r>
      <w:r>
        <w:rPr>
          <w:rFonts w:ascii="Arial" w:hAnsi="Arial" w:cs="Arial"/>
          <w:color w:val="auto"/>
          <w:szCs w:val="21"/>
        </w:rPr>
        <w:t>。</w:t>
      </w:r>
    </w:p>
    <w:p>
      <w:pPr>
        <w:spacing w:after="156" w:afterLines="50"/>
        <w:ind w:firstLine="420" w:firstLineChars="200"/>
        <w:textAlignment w:val="bottom"/>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spacing w:after="156" w:afterLines="50"/>
        <w:textAlignment w:val="bottom"/>
        <w:rPr>
          <w:rFonts w:ascii="Arial" w:hAnsi="Arial" w:cs="Arial"/>
          <w:color w:val="auto"/>
          <w:szCs w:val="21"/>
        </w:rPr>
      </w:pPr>
    </w:p>
    <w:p>
      <w:pPr>
        <w:numPr>
          <w:ilvl w:val="0"/>
          <w:numId w:val="4"/>
        </w:numPr>
        <w:spacing w:after="156" w:afterLines="50"/>
        <w:textAlignment w:val="bottom"/>
        <w:rPr>
          <w:rFonts w:ascii="Arial" w:hAnsi="Arial" w:cs="Arial"/>
          <w:color w:val="auto"/>
          <w:szCs w:val="21"/>
        </w:rPr>
      </w:pPr>
      <w:r>
        <w:rPr>
          <w:rFonts w:ascii="Arial" w:hAnsi="Arial" w:cs="Arial"/>
          <w:b/>
          <w:bCs/>
          <w:color w:val="auto"/>
          <w:szCs w:val="21"/>
        </w:rPr>
        <w:t>空运费扩展条款（累计及每次事故赔偿限额：RMB5,000,000）</w:t>
      </w:r>
    </w:p>
    <w:p>
      <w:pPr>
        <w:ind w:firstLine="420" w:firstLineChars="200"/>
        <w:rPr>
          <w:rFonts w:ascii="Arial" w:hAnsi="Arial" w:cs="Arial"/>
          <w:bCs/>
          <w:color w:val="auto"/>
          <w:kern w:val="0"/>
          <w:szCs w:val="21"/>
        </w:rPr>
      </w:pPr>
      <w:r>
        <w:rPr>
          <w:rFonts w:ascii="Arial" w:hAnsi="Arial" w:cs="Arial"/>
          <w:bCs/>
          <w:color w:val="auto"/>
          <w:kern w:val="0"/>
          <w:szCs w:val="21"/>
        </w:rPr>
        <w:t>经双方同意，发生保险责任范围内的损失，为及时修复或恢复保险标的而发生的空运费，保险人按照本保险合同的约定负责赔偿。</w:t>
      </w:r>
    </w:p>
    <w:p>
      <w:pPr>
        <w:ind w:firstLine="420" w:firstLineChars="200"/>
        <w:rPr>
          <w:rFonts w:ascii="Arial" w:hAnsi="Arial" w:cs="Arial"/>
          <w:color w:val="auto"/>
          <w:szCs w:val="21"/>
        </w:rPr>
      </w:pPr>
      <w:r>
        <w:rPr>
          <w:rFonts w:ascii="Arial" w:hAnsi="Arial" w:cs="Arial"/>
          <w:bCs/>
          <w:color w:val="auto"/>
          <w:kern w:val="0"/>
          <w:szCs w:val="21"/>
        </w:rPr>
        <w:t>本附加险条款项下保险人的赔偿责任：</w:t>
      </w:r>
      <w:r>
        <w:rPr>
          <w:rFonts w:ascii="Arial" w:hAnsi="Arial" w:cs="Arial"/>
          <w:bCs/>
          <w:color w:val="auto"/>
          <w:szCs w:val="21"/>
        </w:rPr>
        <w:t>累计及每次事故赔偿限额：RMB5,000,000</w:t>
      </w:r>
      <w:r>
        <w:rPr>
          <w:rFonts w:ascii="Arial" w:hAnsi="Arial" w:cs="Arial"/>
          <w:color w:val="auto"/>
          <w:szCs w:val="21"/>
        </w:rPr>
        <w:t>。</w:t>
      </w:r>
    </w:p>
    <w:p>
      <w:pPr>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b/>
          <w:bCs/>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增加资产扩展条款( 累计限额为保险金额的10%)</w:t>
      </w:r>
    </w:p>
    <w:p>
      <w:pPr>
        <w:ind w:firstLine="420" w:firstLineChars="200"/>
        <w:rPr>
          <w:rFonts w:ascii="Arial" w:hAnsi="Arial" w:cs="Arial"/>
          <w:color w:val="auto"/>
          <w:szCs w:val="21"/>
        </w:rPr>
      </w:pPr>
      <w:r>
        <w:rPr>
          <w:rFonts w:ascii="Arial" w:hAnsi="Arial" w:cs="Arial"/>
          <w:color w:val="auto"/>
          <w:szCs w:val="21"/>
        </w:rPr>
        <w:t>经双方同意，本保险合同生效后，被保险人在中华人民共和国境内新增加的资产，但不包括财产本身的升值及存货，保险人按照本保险合同的约定承担保险责任，但保险期间内新增加资产的金额应不超过本保险合同中载明的相应限额，且被保险人须每半年申报增加资产的价值，并补交相应的保费。</w:t>
      </w:r>
    </w:p>
    <w:p>
      <w:pPr>
        <w:autoSpaceDE w:val="0"/>
        <w:autoSpaceDN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自动承保新营业地址</w:t>
      </w:r>
      <w:r>
        <w:rPr>
          <w:rFonts w:ascii="Arial" w:hAnsi="Arial" w:cs="Arial"/>
          <w:b/>
          <w:bCs/>
          <w:color w:val="auto"/>
          <w:szCs w:val="21"/>
        </w:rPr>
        <w:t>(90天报告期)</w:t>
      </w:r>
    </w:p>
    <w:p>
      <w:pPr>
        <w:ind w:firstLine="420" w:firstLineChars="200"/>
        <w:contextualSpacing/>
        <w:rPr>
          <w:rFonts w:ascii="Arial" w:hAnsi="Arial" w:cs="Arial"/>
          <w:color w:val="auto"/>
        </w:rPr>
      </w:pPr>
      <w:r>
        <w:rPr>
          <w:rFonts w:ascii="Arial" w:hAnsi="Arial" w:cs="Arial"/>
          <w:color w:val="auto"/>
        </w:rPr>
        <w:t>兹经双方同意并约定,本保单将自动承保被保险人新增加的保险处所的财产,但被保险人须在_</w:t>
      </w:r>
      <w:r>
        <w:rPr>
          <w:rFonts w:ascii="Arial" w:hAnsi="Arial" w:cs="Arial"/>
          <w:color w:val="auto"/>
          <w:u w:val="single"/>
        </w:rPr>
        <w:t>90</w:t>
      </w:r>
      <w:r>
        <w:rPr>
          <w:rFonts w:ascii="Arial" w:hAnsi="Arial" w:cs="Arial"/>
          <w:color w:val="auto"/>
        </w:rPr>
        <w:t>_天内将新增加财产通知保险公司并支付额外保费。</w:t>
      </w:r>
    </w:p>
    <w:p>
      <w:pPr>
        <w:ind w:firstLine="420" w:firstLineChars="200"/>
        <w:contextualSpacing/>
        <w:rPr>
          <w:rFonts w:ascii="Arial" w:hAnsi="Arial" w:cs="Arial"/>
          <w:color w:val="auto"/>
        </w:rPr>
      </w:pPr>
      <w:r>
        <w:rPr>
          <w:rFonts w:ascii="Arial" w:hAnsi="Arial" w:cs="Arial"/>
          <w:color w:val="auto"/>
        </w:rPr>
        <w:t>本附加险条款与主险条款内容相悖之处，以本附加险条款为准；未尽之处，以主险条款为准。</w:t>
      </w:r>
    </w:p>
    <w:p>
      <w:pPr>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自动恢复保险金额条款</w:t>
      </w:r>
    </w:p>
    <w:p>
      <w:pPr>
        <w:ind w:firstLine="420" w:firstLineChars="200"/>
        <w:contextualSpacing/>
        <w:rPr>
          <w:rFonts w:ascii="Arial" w:hAnsi="Arial" w:cs="Arial"/>
          <w:color w:val="auto"/>
          <w:szCs w:val="21"/>
        </w:rPr>
      </w:pPr>
      <w:r>
        <w:rPr>
          <w:rFonts w:ascii="Arial" w:hAnsi="Arial" w:cs="Arial"/>
          <w:color w:val="auto"/>
          <w:szCs w:val="21"/>
        </w:rPr>
        <w:t>经双方同意，发生保险责任范围内的损失时，各项受损保险标的的保险金额自动恢复，但投保人应按日比例支付保额恢复部分自损失发生之日起至本保险合同保险期间届满之日止期间的保险费。</w:t>
      </w:r>
    </w:p>
    <w:p>
      <w:pPr>
        <w:spacing w:after="156" w:afterLines="50"/>
        <w:ind w:firstLine="420" w:firstLineChars="200"/>
        <w:jc w:val="left"/>
        <w:rPr>
          <w:rFonts w:ascii="Arial" w:hAnsi="Arial" w:cs="Arial"/>
          <w:color w:val="auto"/>
          <w:sz w:val="24"/>
          <w:szCs w:val="21"/>
          <w:lang w:eastAsia="zh-TW"/>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违反条件条款</w:t>
      </w:r>
    </w:p>
    <w:p>
      <w:pPr>
        <w:ind w:firstLine="420" w:firstLineChars="200"/>
        <w:contextualSpacing/>
        <w:rPr>
          <w:rFonts w:ascii="Arial" w:hAnsi="Arial" w:cs="Arial"/>
          <w:color w:val="auto"/>
          <w:szCs w:val="21"/>
        </w:rPr>
      </w:pPr>
      <w:r>
        <w:rPr>
          <w:rFonts w:ascii="Arial" w:hAnsi="Arial" w:cs="Arial"/>
          <w:color w:val="auto"/>
          <w:szCs w:val="21"/>
        </w:rPr>
        <w:t>经双方同意，被保险人违反本保险合同约定的条件和保证的，仅导致被违反的条件和保证所对应的保障失效，而不影响其他保障的效力。</w:t>
      </w:r>
    </w:p>
    <w:p>
      <w:pPr>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盗窃险扩展条款A款</w:t>
      </w:r>
    </w:p>
    <w:p>
      <w:pPr>
        <w:spacing w:after="156" w:afterLines="50"/>
        <w:ind w:firstLine="420" w:firstLineChars="200"/>
        <w:rPr>
          <w:rFonts w:ascii="Arial" w:hAnsi="Arial" w:cs="Arial"/>
          <w:color w:val="auto"/>
          <w:szCs w:val="21"/>
        </w:rPr>
      </w:pPr>
      <w:r>
        <w:rPr>
          <w:rFonts w:ascii="Arial" w:hAnsi="Arial" w:cs="Arial"/>
          <w:color w:val="auto"/>
          <w:szCs w:val="21"/>
        </w:rPr>
        <w:t>兹经双方同意，本保险扩展承保保险期间内因抢劫、有痕迹的入室行窃或盗贼暴力侵入本保单所列明的营业处所（以下简称“盗窃”）而造成的被保险财产的灭失或损坏。</w:t>
      </w:r>
    </w:p>
    <w:p>
      <w:pPr>
        <w:spacing w:after="156" w:afterLines="50"/>
        <w:ind w:firstLine="420" w:firstLineChars="200"/>
        <w:rPr>
          <w:rFonts w:ascii="Arial" w:hAnsi="Arial" w:cs="Arial"/>
          <w:color w:val="auto"/>
          <w:szCs w:val="21"/>
        </w:rPr>
      </w:pPr>
      <w:r>
        <w:rPr>
          <w:rFonts w:ascii="Arial" w:hAnsi="Arial" w:cs="Arial"/>
          <w:color w:val="auto"/>
          <w:szCs w:val="21"/>
        </w:rPr>
        <w:t>保险人对下列各项，不负责赔偿：</w:t>
      </w:r>
    </w:p>
    <w:p>
      <w:pPr>
        <w:spacing w:after="156" w:afterLines="50"/>
        <w:ind w:firstLine="420" w:firstLineChars="200"/>
        <w:rPr>
          <w:rFonts w:ascii="Arial" w:hAnsi="Arial" w:cs="Arial"/>
          <w:color w:val="auto"/>
          <w:szCs w:val="21"/>
        </w:rPr>
      </w:pPr>
      <w:r>
        <w:rPr>
          <w:rFonts w:ascii="Arial" w:hAnsi="Arial" w:cs="Arial"/>
          <w:color w:val="auto"/>
          <w:szCs w:val="21"/>
        </w:rPr>
        <w:t>(一)被保险人或其代表的故意行为或重大过失造成保险财产的损失；</w:t>
      </w:r>
    </w:p>
    <w:p>
      <w:pPr>
        <w:spacing w:after="156" w:afterLines="50"/>
        <w:ind w:firstLine="420" w:firstLineChars="200"/>
        <w:rPr>
          <w:rFonts w:ascii="Arial" w:hAnsi="Arial" w:cs="Arial"/>
          <w:color w:val="auto"/>
          <w:szCs w:val="21"/>
        </w:rPr>
      </w:pPr>
      <w:r>
        <w:rPr>
          <w:rFonts w:ascii="Arial" w:hAnsi="Arial" w:cs="Arial"/>
          <w:color w:val="auto"/>
          <w:szCs w:val="21"/>
        </w:rPr>
        <w:t>(二)被保险人的家庭成员、亲属、雇员、同住人员或寄宿人员盗窃或纵容他人盗窃保险财产造成的损失；</w:t>
      </w:r>
    </w:p>
    <w:p>
      <w:pPr>
        <w:spacing w:after="156" w:afterLines="50"/>
        <w:ind w:firstLine="420" w:firstLineChars="200"/>
        <w:rPr>
          <w:rFonts w:ascii="Arial" w:hAnsi="Arial" w:cs="Arial"/>
          <w:color w:val="auto"/>
          <w:szCs w:val="21"/>
        </w:rPr>
      </w:pPr>
      <w:r>
        <w:rPr>
          <w:rFonts w:ascii="Arial" w:hAnsi="Arial" w:cs="Arial"/>
          <w:color w:val="auto"/>
          <w:szCs w:val="21"/>
        </w:rPr>
        <w:t>(三)放置在无人居住或看管超过七天的营业处所的保险财产被盗窃而造成的损失；</w:t>
      </w:r>
    </w:p>
    <w:p>
      <w:pPr>
        <w:spacing w:after="156" w:afterLines="50"/>
        <w:ind w:firstLine="420" w:firstLineChars="200"/>
        <w:rPr>
          <w:rFonts w:ascii="Arial" w:hAnsi="Arial" w:cs="Arial"/>
          <w:color w:val="auto"/>
          <w:szCs w:val="21"/>
        </w:rPr>
      </w:pPr>
      <w:r>
        <w:rPr>
          <w:rFonts w:ascii="Arial" w:hAnsi="Arial" w:cs="Arial"/>
          <w:color w:val="auto"/>
          <w:szCs w:val="21"/>
        </w:rPr>
        <w:t>(四)在发生地震、洪水等自然灾害时保险财产被盗窃而造成的损失；</w:t>
      </w:r>
    </w:p>
    <w:p>
      <w:pPr>
        <w:spacing w:after="156" w:afterLines="50"/>
        <w:ind w:firstLine="420" w:firstLineChars="200"/>
        <w:rPr>
          <w:rFonts w:ascii="Arial" w:hAnsi="Arial" w:cs="Arial"/>
          <w:color w:val="auto"/>
          <w:szCs w:val="21"/>
        </w:rPr>
      </w:pPr>
      <w:r>
        <w:rPr>
          <w:rFonts w:ascii="Arial" w:hAnsi="Arial" w:cs="Arial"/>
          <w:color w:val="auto"/>
          <w:szCs w:val="21"/>
        </w:rPr>
        <w:t>(五)在发生火灾时保险财产被盗窃而造成的损失。</w:t>
      </w:r>
    </w:p>
    <w:p>
      <w:pPr>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spacing w:after="156" w:afterLines="50"/>
        <w:ind w:firstLine="420" w:firstLineChars="200"/>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盗窃险扩展条款B款</w:t>
      </w:r>
    </w:p>
    <w:p>
      <w:pPr>
        <w:spacing w:after="156" w:afterLines="50"/>
        <w:ind w:firstLine="420" w:firstLineChars="200"/>
        <w:rPr>
          <w:rFonts w:ascii="Arial" w:hAnsi="Arial" w:cs="Arial"/>
          <w:color w:val="auto"/>
          <w:szCs w:val="21"/>
        </w:rPr>
      </w:pPr>
      <w:r>
        <w:rPr>
          <w:rFonts w:ascii="Arial" w:hAnsi="Arial" w:cs="Arial"/>
          <w:color w:val="auto"/>
          <w:szCs w:val="21"/>
        </w:rPr>
        <w:t>兹经双方同意并约定,同意本保单扩展承保非暴力侵入营业处所引起的偷窃损失。</w:t>
      </w:r>
    </w:p>
    <w:p>
      <w:pPr>
        <w:spacing w:after="156" w:afterLines="50"/>
        <w:ind w:firstLine="420" w:firstLineChars="200"/>
        <w:rPr>
          <w:rFonts w:ascii="Arial" w:hAnsi="Arial" w:cs="Arial"/>
          <w:color w:val="auto"/>
          <w:szCs w:val="21"/>
        </w:rPr>
      </w:pPr>
      <w:r>
        <w:rPr>
          <w:rFonts w:ascii="Arial" w:hAnsi="Arial" w:cs="Arial"/>
          <w:color w:val="auto"/>
          <w:szCs w:val="21"/>
        </w:rPr>
        <w:t>本条款不负责:</w:t>
      </w:r>
    </w:p>
    <w:p>
      <w:pPr>
        <w:spacing w:after="156" w:afterLines="50"/>
        <w:ind w:firstLine="420" w:firstLineChars="200"/>
        <w:rPr>
          <w:rFonts w:ascii="Arial" w:hAnsi="Arial" w:cs="Arial"/>
          <w:color w:val="auto"/>
          <w:szCs w:val="21"/>
        </w:rPr>
      </w:pPr>
      <w:r>
        <w:rPr>
          <w:rFonts w:ascii="Arial" w:hAnsi="Arial" w:cs="Arial"/>
          <w:color w:val="auto"/>
          <w:szCs w:val="21"/>
        </w:rPr>
        <w:t>a)由被保险人、其他利益方、或其雇员、代理人或保险财产托管人的不忠实或不诚实造成的损失。</w:t>
      </w:r>
    </w:p>
    <w:p>
      <w:pPr>
        <w:spacing w:after="156" w:afterLines="50"/>
        <w:ind w:firstLine="420" w:firstLineChars="200"/>
        <w:rPr>
          <w:rFonts w:ascii="Arial" w:hAnsi="Arial" w:cs="Arial"/>
          <w:color w:val="auto"/>
          <w:szCs w:val="21"/>
        </w:rPr>
      </w:pPr>
      <w:r>
        <w:rPr>
          <w:rFonts w:ascii="Arial" w:hAnsi="Arial" w:cs="Arial"/>
          <w:color w:val="auto"/>
          <w:szCs w:val="21"/>
        </w:rPr>
        <w:t>b)盘点时发生的不可解释的遗失或短量。</w:t>
      </w:r>
    </w:p>
    <w:p>
      <w:pPr>
        <w:spacing w:after="156" w:afterLines="50"/>
        <w:ind w:firstLine="420" w:firstLineChars="200"/>
        <w:rPr>
          <w:rFonts w:ascii="Arial" w:hAnsi="Arial" w:cs="Arial"/>
          <w:color w:val="auto"/>
          <w:szCs w:val="21"/>
        </w:rPr>
      </w:pPr>
      <w:r>
        <w:rPr>
          <w:rFonts w:ascii="Arial" w:hAnsi="Arial" w:cs="Arial"/>
          <w:color w:val="auto"/>
          <w:szCs w:val="21"/>
        </w:rPr>
        <w:t>本条款赔偿限额不超过明细表列明的限额。</w:t>
      </w:r>
    </w:p>
    <w:p>
      <w:pPr>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spacing w:after="156" w:afterLines="50"/>
        <w:ind w:firstLine="420" w:firstLineChars="200"/>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索赔准备费用条款</w:t>
      </w:r>
      <w:r>
        <w:rPr>
          <w:rFonts w:ascii="Arial" w:hAnsi="Arial" w:cs="Arial"/>
          <w:b/>
          <w:bCs/>
          <w:color w:val="auto"/>
          <w:szCs w:val="21"/>
        </w:rPr>
        <w:t>（每次事故赔偿限额：RMB5,000,000）</w:t>
      </w:r>
    </w:p>
    <w:p>
      <w:pPr>
        <w:ind w:firstLine="420" w:firstLineChars="200"/>
        <w:contextualSpacing/>
        <w:rPr>
          <w:rFonts w:ascii="Arial" w:hAnsi="Arial" w:cs="Arial"/>
          <w:color w:val="auto"/>
          <w:szCs w:val="21"/>
        </w:rPr>
      </w:pPr>
      <w:r>
        <w:rPr>
          <w:rFonts w:ascii="Arial" w:hAnsi="Arial" w:cs="Arial"/>
          <w:color w:val="auto"/>
        </w:rPr>
        <w:t>在事先征得保险公司的同意后，本保险扩展承保被保险人在准备索赔过程中为制作或证明保险公司所需的任何记录、信息、证据或其他证明材料而所花费的合理的材料和人工费用。但每次事故以不超过_</w:t>
      </w:r>
      <w:r>
        <w:rPr>
          <w:rFonts w:ascii="Arial" w:hAnsi="Arial" w:cs="Arial"/>
          <w:color w:val="auto"/>
          <w:u w:val="single"/>
        </w:rPr>
        <w:t xml:space="preserve"> RMB5,000,000</w:t>
      </w:r>
      <w:r>
        <w:rPr>
          <w:rFonts w:ascii="Arial" w:hAnsi="Arial" w:cs="Arial"/>
          <w:color w:val="auto"/>
        </w:rPr>
        <w:t>_。本保险单项下保险公司对财产损失及此类费用的总赔偿金额以保险金额为限。</w:t>
      </w:r>
    </w:p>
    <w:p>
      <w:pPr>
        <w:tabs>
          <w:tab w:val="left" w:pos="0"/>
          <w:tab w:val="left" w:pos="720"/>
          <w:tab w:val="left" w:pos="1440"/>
          <w:tab w:val="left" w:pos="2160"/>
          <w:tab w:val="left" w:pos="2880"/>
          <w:tab w:val="left" w:pos="3600"/>
          <w:tab w:val="left" w:pos="4320"/>
        </w:tabs>
        <w:autoSpaceDE w:val="0"/>
        <w:autoSpaceDN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清理排放管道条款</w:t>
      </w:r>
      <w:r>
        <w:rPr>
          <w:rFonts w:ascii="Arial" w:hAnsi="Arial" w:cs="Arial"/>
          <w:b/>
          <w:bCs/>
          <w:color w:val="auto"/>
          <w:szCs w:val="21"/>
        </w:rPr>
        <w:t>（每次事故赔偿限额：RMB5,000,000，累计赔偿限额：RMB50,000,000）</w:t>
      </w:r>
    </w:p>
    <w:p>
      <w:pPr>
        <w:ind w:firstLine="420" w:firstLineChars="200"/>
        <w:contextualSpacing/>
        <w:rPr>
          <w:rFonts w:ascii="Arial" w:hAnsi="Arial" w:cs="Arial"/>
          <w:color w:val="auto"/>
          <w:szCs w:val="21"/>
        </w:rPr>
      </w:pPr>
      <w:r>
        <w:rPr>
          <w:rFonts w:ascii="Arial" w:hAnsi="Arial" w:cs="Arial"/>
          <w:color w:val="auto"/>
          <w:szCs w:val="21"/>
        </w:rPr>
        <w:t>兹经双方同意，本保险负责赔偿由于保险责任范围内的原因导致需对保险地域范围内及其周边的被保险水沟、水渠、下水道等进行清理、清洗和修理而产生的合理的必要费用。</w:t>
      </w:r>
    </w:p>
    <w:p>
      <w:pPr>
        <w:widowControl/>
        <w:snapToGrid w:val="0"/>
        <w:spacing w:after="156" w:afterLines="50"/>
        <w:ind w:firstLine="420" w:firstLineChars="200"/>
        <w:rPr>
          <w:rFonts w:ascii="Arial" w:hAnsi="Arial" w:cs="Arial"/>
          <w:color w:val="auto"/>
          <w:kern w:val="0"/>
          <w:szCs w:val="21"/>
          <w:lang w:val="en-GB"/>
        </w:rPr>
      </w:pPr>
      <w:r>
        <w:rPr>
          <w:rFonts w:ascii="Arial" w:hAnsi="Arial" w:cs="Arial"/>
          <w:color w:val="auto"/>
          <w:kern w:val="0"/>
          <w:szCs w:val="21"/>
          <w:lang w:val="en-GB"/>
        </w:rPr>
        <w:t>本保险单所载其他条件不变。</w:t>
      </w:r>
    </w:p>
    <w:p>
      <w:pPr>
        <w:autoSpaceDE w:val="0"/>
        <w:autoSpaceDN w:val="0"/>
        <w:adjustRightInd w:val="0"/>
        <w:spacing w:line="360" w:lineRule="auto"/>
        <w:ind w:left="420"/>
        <w:rPr>
          <w:rFonts w:ascii="Arial" w:hAnsi="Arial" w:cs="Arial"/>
          <w:b/>
          <w:bCs/>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清理残骸费用扩展条款（每次事故赔偿限额：RMB2,000,000）</w:t>
      </w:r>
    </w:p>
    <w:p>
      <w:pPr>
        <w:autoSpaceDE w:val="0"/>
        <w:autoSpaceDN w:val="0"/>
        <w:spacing w:after="156" w:afterLines="50"/>
        <w:ind w:firstLine="420" w:firstLineChars="200"/>
        <w:rPr>
          <w:rFonts w:ascii="Arial" w:hAnsi="Arial" w:cs="Arial"/>
          <w:color w:val="auto"/>
          <w:szCs w:val="21"/>
        </w:rPr>
      </w:pPr>
      <w:r>
        <w:rPr>
          <w:rFonts w:ascii="Arial" w:hAnsi="Arial" w:cs="Arial"/>
          <w:bCs/>
          <w:color w:val="auto"/>
          <w:kern w:val="0"/>
          <w:szCs w:val="21"/>
        </w:rPr>
        <w:t>经双方同意，因发生保险责任范围内的损失而产生的清除、拆除或支撑受损保险标的的费用，</w:t>
      </w:r>
      <w:r>
        <w:rPr>
          <w:rFonts w:ascii="Arial" w:hAnsi="Arial" w:cs="Arial"/>
          <w:color w:val="auto"/>
          <w:szCs w:val="21"/>
        </w:rPr>
        <w:t>保险人按照本保险合同的约定负责赔偿。</w:t>
      </w:r>
    </w:p>
    <w:p>
      <w:pPr>
        <w:ind w:firstLine="420" w:firstLineChars="200"/>
        <w:contextualSpacing/>
        <w:rPr>
          <w:rFonts w:ascii="Arial" w:hAnsi="Arial" w:cs="Arial"/>
          <w:color w:val="auto"/>
          <w:szCs w:val="21"/>
        </w:rPr>
      </w:pPr>
      <w:r>
        <w:rPr>
          <w:rFonts w:ascii="Arial" w:hAnsi="Arial" w:cs="Arial"/>
          <w:color w:val="auto"/>
          <w:szCs w:val="21"/>
        </w:rPr>
        <w:t>本附加险条款项下保险人的赔偿责任：</w:t>
      </w:r>
      <w:r>
        <w:rPr>
          <w:rFonts w:ascii="Arial" w:hAnsi="Arial" w:cs="Arial"/>
          <w:bCs/>
          <w:color w:val="auto"/>
          <w:szCs w:val="21"/>
        </w:rPr>
        <w:t>每次事故赔偿限额：RMB2,000,000</w:t>
      </w:r>
      <w:r>
        <w:rPr>
          <w:rFonts w:ascii="Arial" w:hAnsi="Arial" w:cs="Arial"/>
          <w:color w:val="auto"/>
          <w:szCs w:val="21"/>
        </w:rPr>
        <w:t>。</w:t>
      </w:r>
    </w:p>
    <w:p>
      <w:pPr>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财产分类条款</w:t>
      </w:r>
    </w:p>
    <w:p>
      <w:pPr>
        <w:ind w:firstLine="420" w:firstLineChars="200"/>
        <w:contextualSpacing/>
        <w:rPr>
          <w:rFonts w:ascii="Arial" w:hAnsi="Arial" w:cs="Arial"/>
          <w:color w:val="auto"/>
          <w:szCs w:val="21"/>
        </w:rPr>
      </w:pPr>
      <w:r>
        <w:rPr>
          <w:rFonts w:ascii="Arial" w:hAnsi="Arial" w:cs="Arial"/>
          <w:color w:val="auto"/>
        </w:rPr>
        <w:t>兹经双方同意并约定,为明确保险财产的对应投保项目,保险人同意以被保险人的财务账册中的会计科目作为确定某项财产所对应的投保栏目项归属的依据。</w:t>
      </w:r>
    </w:p>
    <w:p>
      <w:pPr>
        <w:rPr>
          <w:rFonts w:ascii="Arial" w:hAnsi="Arial" w:cs="Arial"/>
          <w:bCs/>
          <w:color w:val="auto"/>
          <w:szCs w:val="21"/>
        </w:rPr>
      </w:pPr>
    </w:p>
    <w:p>
      <w:pPr>
        <w:ind w:firstLine="420" w:firstLineChars="200"/>
        <w:contextualSpacing/>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地震扩展条款</w:t>
      </w:r>
      <w:r>
        <w:rPr>
          <w:rFonts w:ascii="Arial" w:hAnsi="Arial" w:cs="Arial"/>
          <w:b/>
          <w:bCs/>
          <w:color w:val="auto"/>
          <w:szCs w:val="21"/>
        </w:rPr>
        <w:t>(赔偿限额: 保险金额的100%)</w:t>
      </w:r>
    </w:p>
    <w:p>
      <w:pPr>
        <w:ind w:firstLine="420" w:firstLineChars="200"/>
        <w:contextualSpacing/>
        <w:rPr>
          <w:rFonts w:ascii="Arial" w:hAnsi="Arial" w:cs="Arial"/>
          <w:color w:val="auto"/>
        </w:rPr>
      </w:pPr>
      <w:r>
        <w:rPr>
          <w:rFonts w:ascii="Arial" w:hAnsi="Arial" w:cs="Arial"/>
          <w:color w:val="auto"/>
        </w:rPr>
        <w:t>本条款扩展承保本保险单明细表中列明的保险财产因破坏性地震（由国家地震部门最终测定的里氏震级在4.7级及其以上且烈度达到六度以上的地震）震动或由此引起的海啸、火灾、爆炸、滑坡、地陷所造成的直接物质损坏或灭失。</w:t>
      </w:r>
    </w:p>
    <w:p>
      <w:pPr>
        <w:ind w:firstLine="420" w:firstLineChars="200"/>
        <w:contextualSpacing/>
        <w:rPr>
          <w:rFonts w:ascii="Arial" w:hAnsi="Arial" w:cs="Arial"/>
          <w:color w:val="auto"/>
        </w:rPr>
      </w:pPr>
      <w:r>
        <w:rPr>
          <w:rFonts w:ascii="Arial" w:hAnsi="Arial" w:cs="Arial"/>
          <w:color w:val="auto"/>
        </w:rPr>
        <w:t>由于地震引起的在连续的72小时内的损失视为一次事故的损失。被保险人可以选择前述72小时的开始时间，但两次事故的时间不应当有重叠部分。保险人不承担在本保险单保险期间开始前发生地震引起的损失，也不承担在本保险单保险期间终止后发生地震引起的损失。</w:t>
      </w:r>
    </w:p>
    <w:p>
      <w:pPr>
        <w:ind w:firstLine="420" w:firstLineChars="200"/>
        <w:contextualSpacing/>
        <w:rPr>
          <w:rFonts w:ascii="Arial" w:hAnsi="Arial" w:cs="Arial"/>
          <w:color w:val="auto"/>
        </w:rPr>
      </w:pPr>
      <w:r>
        <w:rPr>
          <w:rFonts w:ascii="Arial" w:hAnsi="Arial" w:cs="Arial"/>
          <w:color w:val="auto"/>
        </w:rPr>
        <w:t>本附加保险条款与财产保险条款内容相悖时，以本条款为准，其他未尽事项以财产保险条款为准。</w:t>
      </w:r>
    </w:p>
    <w:p>
      <w:pPr>
        <w:ind w:firstLine="420" w:firstLineChars="200"/>
        <w:contextualSpacing/>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紧急抢险条款</w:t>
      </w:r>
    </w:p>
    <w:p>
      <w:pPr>
        <w:ind w:firstLine="420" w:firstLineChars="200"/>
        <w:contextualSpacing/>
        <w:rPr>
          <w:rFonts w:ascii="Arial" w:hAnsi="Arial" w:cs="Arial"/>
          <w:color w:val="auto"/>
          <w:szCs w:val="21"/>
        </w:rPr>
      </w:pPr>
      <w:r>
        <w:rPr>
          <w:rFonts w:ascii="Arial" w:hAnsi="Arial" w:cs="Arial"/>
          <w:color w:val="auto"/>
          <w:szCs w:val="21"/>
        </w:rPr>
        <w:t>经双方同意，保险事故发生后，如保险人在接到被保险人出险通知两小时内未到达事故现场，且对紧急抢险措施未提出反对意见，被保险人可按照规范要求以及生产与安全需要，立即组织抢险、抢修工作，但被保险人应认真做好相关记录，并在条件许可时对第一现场情况进行拍照或录像。</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错误和遗漏条款</w:t>
      </w:r>
    </w:p>
    <w:p>
      <w:pPr>
        <w:ind w:firstLine="420" w:firstLineChars="200"/>
        <w:contextualSpacing/>
        <w:rPr>
          <w:rFonts w:ascii="Arial" w:hAnsi="Arial" w:cs="Arial"/>
          <w:color w:val="auto"/>
          <w:szCs w:val="21"/>
        </w:rPr>
      </w:pPr>
      <w:r>
        <w:rPr>
          <w:rFonts w:ascii="Arial" w:hAnsi="Arial" w:cs="Arial"/>
          <w:color w:val="auto"/>
          <w:szCs w:val="21"/>
        </w:rPr>
        <w:t>经双方同意，投保人、被保险人在向保险人告知或通知保险标的所占用的场地或价值的变更、保险标的危险程度增加或其他重要事项过程中因过失存在延迟、错误或遗漏的，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color w:val="auto"/>
          <w:szCs w:val="21"/>
        </w:rPr>
      </w:pPr>
      <w:r>
        <w:rPr>
          <w:rFonts w:ascii="Arial" w:hAnsi="Arial" w:cs="Arial"/>
          <w:b/>
          <w:bCs/>
          <w:color w:val="auto"/>
          <w:szCs w:val="21"/>
        </w:rPr>
        <w:t>自动升值扩展条款(限额: 保险金额的10%)</w:t>
      </w:r>
    </w:p>
    <w:p>
      <w:pPr>
        <w:ind w:firstLine="420" w:firstLineChars="200"/>
        <w:contextualSpacing/>
        <w:rPr>
          <w:rFonts w:ascii="Arial" w:hAnsi="Arial" w:cs="Arial"/>
          <w:color w:val="auto"/>
          <w:szCs w:val="21"/>
        </w:rPr>
      </w:pPr>
      <w:r>
        <w:rPr>
          <w:rFonts w:ascii="Arial" w:hAnsi="Arial" w:cs="Arial"/>
          <w:color w:val="auto"/>
          <w:szCs w:val="21"/>
        </w:rPr>
        <w:t>兹经双方同意，鉴于被保险人已缴纳额外保费，保险人同意本保单明细表所列各项目的保险金额应在本保险期间内增加百分之十。</w:t>
      </w:r>
    </w:p>
    <w:p>
      <w:pPr>
        <w:ind w:firstLine="420" w:firstLineChars="200"/>
        <w:contextualSpacing/>
        <w:rPr>
          <w:rFonts w:ascii="Arial" w:hAnsi="Arial" w:cs="Arial"/>
          <w:color w:val="auto"/>
          <w:szCs w:val="21"/>
        </w:rPr>
      </w:pPr>
      <w:r>
        <w:rPr>
          <w:rFonts w:ascii="Arial" w:hAnsi="Arial" w:cs="Arial"/>
          <w:color w:val="auto"/>
          <w:szCs w:val="21"/>
        </w:rPr>
        <w:t>除非保单另有规定，本条款只对保单生效之日的保险金额有效。</w:t>
      </w:r>
    </w:p>
    <w:p>
      <w:pPr>
        <w:ind w:firstLine="420" w:firstLineChars="200"/>
        <w:contextualSpacing/>
        <w:rPr>
          <w:rFonts w:ascii="Arial" w:hAnsi="Arial" w:cs="Arial"/>
          <w:color w:val="auto"/>
          <w:szCs w:val="21"/>
        </w:rPr>
      </w:pPr>
      <w:r>
        <w:rPr>
          <w:rFonts w:ascii="Arial" w:hAnsi="Arial" w:cs="Arial"/>
          <w:color w:val="auto"/>
          <w:szCs w:val="21"/>
        </w:rPr>
        <w:t>被保险人在每次续保日期，均应通知保险人下述情况：</w:t>
      </w:r>
    </w:p>
    <w:p>
      <w:pPr>
        <w:ind w:firstLine="420" w:firstLineChars="200"/>
        <w:contextualSpacing/>
        <w:rPr>
          <w:rFonts w:ascii="Arial" w:hAnsi="Arial" w:cs="Arial"/>
          <w:color w:val="auto"/>
          <w:szCs w:val="21"/>
        </w:rPr>
      </w:pPr>
      <w:r>
        <w:rPr>
          <w:rFonts w:ascii="Arial" w:hAnsi="Arial" w:cs="Arial"/>
          <w:color w:val="auto"/>
          <w:szCs w:val="21"/>
        </w:rPr>
        <w:t>（1）每次续保开始时需要保险的金额；</w:t>
      </w:r>
    </w:p>
    <w:p>
      <w:pPr>
        <w:ind w:firstLine="420" w:firstLineChars="200"/>
        <w:contextualSpacing/>
        <w:rPr>
          <w:rFonts w:ascii="Arial" w:hAnsi="Arial" w:cs="Arial"/>
          <w:color w:val="auto"/>
          <w:szCs w:val="21"/>
        </w:rPr>
      </w:pPr>
      <w:r>
        <w:rPr>
          <w:rFonts w:ascii="Arial" w:hAnsi="Arial" w:cs="Arial"/>
          <w:color w:val="auto"/>
          <w:szCs w:val="21"/>
        </w:rPr>
        <w:t>（2）续保期内需要增加的百分率。</w:t>
      </w:r>
    </w:p>
    <w:p>
      <w:pPr>
        <w:ind w:firstLine="420" w:firstLineChars="200"/>
        <w:contextualSpacing/>
        <w:rPr>
          <w:rFonts w:ascii="Arial" w:hAnsi="Arial" w:cs="Arial"/>
          <w:color w:val="auto"/>
          <w:szCs w:val="21"/>
        </w:rPr>
      </w:pPr>
      <w:r>
        <w:rPr>
          <w:rFonts w:ascii="Arial" w:hAnsi="Arial" w:cs="Arial"/>
          <w:color w:val="auto"/>
          <w:szCs w:val="21"/>
        </w:rPr>
        <w:t>如不按上述执行，本条款规定停止使用。在这种情况下，上述项目在续保前的保险金额将转为明细表中各项目的保险金额。</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ind w:firstLine="420" w:firstLineChars="200"/>
        <w:contextualSpacing/>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特别费用扩展条款（每次事故赔偿限额：RMB1,000,000）</w:t>
      </w:r>
    </w:p>
    <w:p>
      <w:pPr>
        <w:ind w:firstLine="420" w:firstLineChars="200"/>
        <w:contextualSpacing/>
        <w:rPr>
          <w:rFonts w:ascii="Arial" w:hAnsi="Arial" w:cs="Arial"/>
          <w:color w:val="auto"/>
          <w:szCs w:val="21"/>
        </w:rPr>
      </w:pPr>
      <w:r>
        <w:rPr>
          <w:rFonts w:ascii="Arial" w:hAnsi="Arial" w:cs="Arial"/>
          <w:color w:val="auto"/>
          <w:szCs w:val="21"/>
        </w:rPr>
        <w:t>兹经双方同意, 鉴于被保险人已缴付了附加的保险费, 本保险扩展承保下列特别费用, 即: 加班费、夜班费、节假日加班费以及快运费 (不包括空运费) 。但该特别费用须与本保险单项下予以赔偿的保险财产的损失有关。且本条款项下特别费用的最高赔偿金额在保险期限内不超过以下列明限额。若保险财产的保额不足,本条款项下特别费用的赔偿金额按比例减少。</w:t>
      </w:r>
    </w:p>
    <w:p>
      <w:pPr>
        <w:ind w:firstLine="420" w:firstLineChars="200"/>
        <w:contextualSpacing/>
        <w:rPr>
          <w:rFonts w:ascii="Arial" w:hAnsi="Arial" w:cs="Arial"/>
          <w:color w:val="auto"/>
          <w:szCs w:val="21"/>
        </w:rPr>
      </w:pPr>
      <w:r>
        <w:rPr>
          <w:rFonts w:ascii="Arial" w:hAnsi="Arial" w:cs="Arial"/>
          <w:color w:val="auto"/>
          <w:szCs w:val="21"/>
        </w:rPr>
        <w:t>每次事故赔偿限额: ____</w:t>
      </w:r>
      <w:r>
        <w:rPr>
          <w:rFonts w:ascii="Arial" w:hAnsi="Arial" w:cs="Arial"/>
          <w:color w:val="auto"/>
          <w:szCs w:val="21"/>
          <w:u w:val="single"/>
        </w:rPr>
        <w:t xml:space="preserve">RMB1,000,000 </w:t>
      </w:r>
      <w:r>
        <w:rPr>
          <w:rFonts w:ascii="Arial" w:hAnsi="Arial" w:cs="Arial"/>
          <w:color w:val="auto"/>
          <w:szCs w:val="21"/>
        </w:rPr>
        <w:t>__</w:t>
      </w:r>
    </w:p>
    <w:p>
      <w:pPr>
        <w:ind w:firstLine="420" w:firstLineChars="200"/>
        <w:contextualSpacing/>
        <w:rPr>
          <w:rFonts w:ascii="Arial" w:hAnsi="Arial" w:cs="Arial"/>
          <w:color w:val="auto"/>
          <w:szCs w:val="21"/>
        </w:rPr>
      </w:pPr>
      <w:r>
        <w:rPr>
          <w:rFonts w:ascii="Arial" w:hAnsi="Arial" w:cs="Arial"/>
          <w:color w:val="auto"/>
          <w:szCs w:val="21"/>
        </w:rPr>
        <w:t>本保单所载其它条件不变。</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灭火费用扩展条款（每次事故赔偿限额：RMB1,000,000）</w:t>
      </w:r>
    </w:p>
    <w:p>
      <w:pPr>
        <w:ind w:firstLine="420" w:firstLineChars="200"/>
        <w:contextualSpacing/>
        <w:rPr>
          <w:rFonts w:ascii="Arial" w:hAnsi="Arial" w:cs="Arial"/>
          <w:color w:val="auto"/>
          <w:szCs w:val="21"/>
        </w:rPr>
      </w:pPr>
      <w:r>
        <w:rPr>
          <w:rFonts w:ascii="Arial" w:hAnsi="Arial" w:cs="Arial"/>
          <w:color w:val="auto"/>
          <w:szCs w:val="21"/>
        </w:rPr>
        <w:t>兹经双方同意，本保险扩展承保：</w:t>
      </w:r>
    </w:p>
    <w:p>
      <w:pPr>
        <w:ind w:firstLine="420" w:firstLineChars="200"/>
        <w:contextualSpacing/>
        <w:rPr>
          <w:rFonts w:ascii="Arial" w:hAnsi="Arial" w:cs="Arial"/>
          <w:color w:val="auto"/>
          <w:szCs w:val="21"/>
        </w:rPr>
      </w:pPr>
      <w:r>
        <w:rPr>
          <w:rFonts w:ascii="Arial" w:hAnsi="Arial" w:cs="Arial"/>
          <w:color w:val="auto"/>
          <w:szCs w:val="21"/>
        </w:rPr>
        <w:t>1.</w:t>
      </w:r>
      <w:r>
        <w:rPr>
          <w:rFonts w:ascii="Arial" w:hAnsi="Arial" w:cs="Arial"/>
          <w:color w:val="auto"/>
          <w:szCs w:val="21"/>
        </w:rPr>
        <w:tab/>
      </w:r>
      <w:r>
        <w:rPr>
          <w:rFonts w:ascii="Arial" w:hAnsi="Arial" w:cs="Arial"/>
          <w:color w:val="auto"/>
          <w:szCs w:val="21"/>
        </w:rPr>
        <w:t>参加救火的被保险人雇员，但不包括工厂消防队专职队员的工资。</w:t>
      </w:r>
    </w:p>
    <w:p>
      <w:pPr>
        <w:ind w:firstLine="420" w:firstLineChars="200"/>
        <w:contextualSpacing/>
        <w:rPr>
          <w:rFonts w:ascii="Arial" w:hAnsi="Arial" w:cs="Arial"/>
          <w:color w:val="auto"/>
          <w:szCs w:val="21"/>
        </w:rPr>
      </w:pPr>
      <w:r>
        <w:rPr>
          <w:rFonts w:ascii="Arial" w:hAnsi="Arial" w:cs="Arial"/>
          <w:color w:val="auto"/>
          <w:szCs w:val="21"/>
        </w:rPr>
        <w:t>2.</w:t>
      </w:r>
      <w:r>
        <w:rPr>
          <w:rFonts w:ascii="Arial" w:hAnsi="Arial" w:cs="Arial"/>
          <w:color w:val="auto"/>
          <w:szCs w:val="21"/>
        </w:rPr>
        <w:tab/>
      </w:r>
      <w:r>
        <w:rPr>
          <w:rFonts w:ascii="Arial" w:hAnsi="Arial" w:cs="Arial"/>
          <w:color w:val="auto"/>
          <w:szCs w:val="21"/>
        </w:rPr>
        <w:t>除非另有其它保险，补充消防器具及损毁材料（包括雇员的衣服及私人物品）的费用，以及重置或修理救火过程中使用的材料或设备的费用。</w:t>
      </w:r>
    </w:p>
    <w:p>
      <w:pPr>
        <w:ind w:firstLine="420" w:firstLineChars="200"/>
        <w:contextualSpacing/>
        <w:rPr>
          <w:rFonts w:ascii="Arial" w:hAnsi="Arial" w:cs="Arial"/>
          <w:color w:val="auto"/>
          <w:szCs w:val="21"/>
        </w:rPr>
      </w:pPr>
      <w:r>
        <w:rPr>
          <w:rFonts w:ascii="Arial" w:hAnsi="Arial" w:cs="Arial"/>
          <w:color w:val="auto"/>
          <w:szCs w:val="21"/>
        </w:rPr>
        <w:t>3.</w:t>
      </w:r>
      <w:r>
        <w:rPr>
          <w:rFonts w:ascii="Arial" w:hAnsi="Arial" w:cs="Arial"/>
          <w:color w:val="auto"/>
          <w:szCs w:val="21"/>
        </w:rPr>
        <w:tab/>
      </w:r>
      <w:r>
        <w:rPr>
          <w:rFonts w:ascii="Arial" w:hAnsi="Arial" w:cs="Arial"/>
          <w:color w:val="auto"/>
          <w:szCs w:val="21"/>
        </w:rPr>
        <w:t>所有其他有关救火或防止火势蔓延，或因火或其他承保风险受损或存在受损的威胁，而提供临时安全装置的费用。</w:t>
      </w:r>
    </w:p>
    <w:p>
      <w:pPr>
        <w:ind w:firstLine="420" w:firstLineChars="200"/>
        <w:contextualSpacing/>
        <w:rPr>
          <w:rFonts w:ascii="Arial" w:hAnsi="Arial" w:cs="Arial"/>
          <w:color w:val="auto"/>
          <w:szCs w:val="21"/>
        </w:rPr>
      </w:pPr>
      <w:r>
        <w:rPr>
          <w:rFonts w:ascii="Arial" w:hAnsi="Arial" w:cs="Arial"/>
          <w:color w:val="auto"/>
          <w:szCs w:val="21"/>
        </w:rPr>
        <w:t>但是，本公司对于上述工资及费用的责任限于，扑灭发生在本保险单项下保险财产所在地或其附近的，或即将危及保险财产的火灾过程中，必要和合理的支出。</w:t>
      </w:r>
    </w:p>
    <w:p>
      <w:pPr>
        <w:ind w:firstLine="420" w:firstLineChars="200"/>
        <w:contextualSpacing/>
        <w:rPr>
          <w:rFonts w:ascii="Arial" w:hAnsi="Arial" w:cs="Arial"/>
          <w:color w:val="auto"/>
          <w:szCs w:val="21"/>
        </w:rPr>
      </w:pPr>
      <w:r>
        <w:rPr>
          <w:rFonts w:ascii="Arial" w:hAnsi="Arial" w:cs="Arial"/>
          <w:color w:val="auto"/>
          <w:szCs w:val="21"/>
        </w:rPr>
        <w:t>本保险单所载其他条件不变。</w:t>
      </w:r>
    </w:p>
    <w:p>
      <w:pPr>
        <w:spacing w:before="156" w:beforeLines="50" w:line="360" w:lineRule="auto"/>
        <w:ind w:firstLine="480" w:firstLineChars="200"/>
        <w:jc w:val="left"/>
        <w:rPr>
          <w:rFonts w:ascii="Arial" w:hAnsi="Arial" w:cs="Arial"/>
          <w:color w:val="auto"/>
          <w:sz w:val="24"/>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园林、绿化保险条款（每次事故赔偿限额：RMB5,000,000，累计赔偿限额：RMB50,000,000）</w:t>
      </w:r>
    </w:p>
    <w:p>
      <w:pPr>
        <w:ind w:firstLine="420" w:firstLineChars="200"/>
        <w:contextualSpacing/>
        <w:rPr>
          <w:rFonts w:ascii="Arial" w:hAnsi="Arial" w:cs="Arial"/>
          <w:color w:val="auto"/>
          <w:szCs w:val="21"/>
        </w:rPr>
      </w:pPr>
      <w:r>
        <w:rPr>
          <w:rFonts w:ascii="Arial" w:hAnsi="Arial" w:cs="Arial"/>
          <w:color w:val="auto"/>
          <w:szCs w:val="21"/>
        </w:rPr>
        <w:t>兹经双方同意，保险人同意赔偿由于保险事故造成被保险人的园林、绿化的枯死或倾斜扶正费用，赔偿范围为苗木价，包括苗木费、苗木包装、运输到施工现场费用，但累计赔偿限额为</w:t>
      </w:r>
      <w:r>
        <w:rPr>
          <w:rFonts w:ascii="Arial" w:hAnsi="Arial" w:cs="Arial"/>
          <w:bCs/>
          <w:color w:val="auto"/>
          <w:szCs w:val="21"/>
        </w:rPr>
        <w:t>RMB50,000,000</w:t>
      </w:r>
      <w:r>
        <w:rPr>
          <w:rFonts w:ascii="Arial" w:hAnsi="Arial" w:cs="Arial"/>
          <w:color w:val="auto"/>
          <w:szCs w:val="21"/>
        </w:rPr>
        <w:t>，每次事故免赔额</w:t>
      </w:r>
      <w:r>
        <w:rPr>
          <w:rFonts w:ascii="Arial" w:hAnsi="Arial" w:cs="Arial"/>
          <w:bCs/>
          <w:color w:val="auto"/>
          <w:szCs w:val="21"/>
        </w:rPr>
        <w:t>RMB10,000</w:t>
      </w:r>
      <w:r>
        <w:rPr>
          <w:rFonts w:ascii="Arial" w:hAnsi="Arial" w:cs="Arial"/>
          <w:color w:val="auto"/>
          <w:szCs w:val="21"/>
        </w:rPr>
        <w:t>。</w:t>
      </w:r>
    </w:p>
    <w:p>
      <w:pPr>
        <w:autoSpaceDE w:val="0"/>
        <w:autoSpaceDN w:val="0"/>
        <w:adjustRightInd w:val="0"/>
        <w:spacing w:line="360" w:lineRule="auto"/>
        <w:ind w:left="420"/>
        <w:rPr>
          <w:rFonts w:ascii="Arial" w:hAnsi="Arial" w:cs="Arial"/>
          <w:color w:val="auto"/>
          <w:szCs w:val="21"/>
          <w:lang w:eastAsia="zh-TW"/>
        </w:rPr>
      </w:pPr>
      <w:r>
        <w:rPr>
          <w:rFonts w:ascii="Arial" w:hAnsi="Arial" w:cs="Arial"/>
          <w:color w:val="auto"/>
          <w:szCs w:val="21"/>
        </w:rPr>
        <w:t>本保险单所载其他条件不变。</w:t>
      </w:r>
    </w:p>
    <w:p>
      <w:pPr>
        <w:spacing w:before="156" w:beforeLines="50" w:line="360" w:lineRule="auto"/>
        <w:ind w:firstLine="480" w:firstLineChars="200"/>
        <w:jc w:val="left"/>
        <w:rPr>
          <w:rFonts w:ascii="Arial" w:hAnsi="Arial" w:cs="Arial"/>
          <w:color w:val="auto"/>
          <w:sz w:val="24"/>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碰撞扩展条款</w:t>
      </w:r>
    </w:p>
    <w:p>
      <w:pPr>
        <w:ind w:firstLine="420" w:firstLineChars="200"/>
        <w:contextualSpacing/>
        <w:rPr>
          <w:rFonts w:ascii="Arial" w:hAnsi="Arial" w:cs="Arial"/>
          <w:color w:val="auto"/>
          <w:szCs w:val="21"/>
        </w:rPr>
      </w:pPr>
      <w:r>
        <w:rPr>
          <w:rFonts w:ascii="Arial" w:hAnsi="Arial" w:cs="Arial"/>
          <w:color w:val="auto"/>
          <w:szCs w:val="21"/>
        </w:rPr>
        <w:t>经双方同意，对由于非被保险人及其雇员所有的或管控的动物、车辆及船舶等交通工具的碰撞所造成的保险标的的损失，保险人按照本保险合同的约定负责赔偿。</w:t>
      </w:r>
    </w:p>
    <w:p>
      <w:pPr>
        <w:ind w:firstLine="420" w:firstLineChars="200"/>
        <w:contextualSpacing/>
        <w:rPr>
          <w:rFonts w:ascii="Arial" w:hAnsi="Arial" w:cs="Arial"/>
          <w:color w:val="auto"/>
          <w:szCs w:val="21"/>
          <w:lang w:eastAsia="zh-TW"/>
        </w:rPr>
      </w:pPr>
      <w:r>
        <w:rPr>
          <w:rFonts w:ascii="Arial" w:hAnsi="Arial" w:cs="Arial"/>
          <w:color w:val="auto"/>
          <w:szCs w:val="21"/>
        </w:rPr>
        <w:t>本附加险条款与主险条款内容相悖之处，以本附加险条款为准；未尽之处，以主险条款为准。</w:t>
      </w:r>
    </w:p>
    <w:p>
      <w:pPr>
        <w:rPr>
          <w:rFonts w:ascii="Arial" w:hAnsi="Arial" w:cs="Arial"/>
          <w:color w:val="auto"/>
          <w:szCs w:val="21"/>
        </w:rPr>
      </w:pPr>
    </w:p>
    <w:p>
      <w:pPr>
        <w:widowControl/>
        <w:numPr>
          <w:ilvl w:val="0"/>
          <w:numId w:val="4"/>
        </w:numPr>
        <w:autoSpaceDE w:val="0"/>
        <w:autoSpaceDN w:val="0"/>
        <w:adjustRightInd w:val="0"/>
        <w:spacing w:line="360" w:lineRule="auto"/>
        <w:rPr>
          <w:rFonts w:ascii="Arial" w:hAnsi="Arial" w:cs="Arial"/>
          <w:b/>
          <w:bCs/>
          <w:color w:val="auto"/>
          <w:szCs w:val="21"/>
        </w:rPr>
      </w:pPr>
      <w:r>
        <w:rPr>
          <w:rFonts w:ascii="Arial" w:hAnsi="Arial" w:cs="Arial"/>
          <w:b/>
          <w:bCs/>
          <w:color w:val="auto"/>
          <w:szCs w:val="21"/>
        </w:rPr>
        <w:t>内陆运输扩展条款（单一运输工具赔偿限额RMB2,000,000元）</w:t>
      </w:r>
    </w:p>
    <w:p>
      <w:pPr>
        <w:ind w:firstLine="420" w:firstLineChars="200"/>
        <w:contextualSpacing/>
        <w:rPr>
          <w:rFonts w:ascii="Arial" w:hAnsi="Arial" w:cs="Arial"/>
          <w:color w:val="auto"/>
          <w:szCs w:val="21"/>
        </w:rPr>
      </w:pPr>
      <w:r>
        <w:rPr>
          <w:rFonts w:ascii="Arial" w:hAnsi="Arial" w:cs="Arial"/>
          <w:color w:val="auto"/>
          <w:szCs w:val="21"/>
        </w:rPr>
        <w:t xml:space="preserve">经双方同意，在中华人民共和国境内，保险标的在除水运和空运以外的内陆运输途中（包括装卸过程、临时存放），因本保险责任范围内的事故造成的损失，保险人按照本保险合同的约定负责赔偿，但保险标的的运输必须有合适的包装及装载。 </w:t>
      </w:r>
    </w:p>
    <w:p>
      <w:pPr>
        <w:ind w:firstLine="420" w:firstLineChars="200"/>
        <w:contextualSpacing/>
        <w:rPr>
          <w:rFonts w:ascii="Arial" w:hAnsi="Arial" w:cs="Arial"/>
          <w:color w:val="auto"/>
          <w:szCs w:val="21"/>
        </w:rPr>
      </w:pPr>
      <w:r>
        <w:rPr>
          <w:rFonts w:ascii="Arial" w:hAnsi="Arial" w:cs="Arial"/>
          <w:color w:val="auto"/>
          <w:szCs w:val="21"/>
        </w:rPr>
        <w:t xml:space="preserve">本附加条款项下保险人的赔偿责任不超过RMB2,000,000元。 </w:t>
      </w:r>
    </w:p>
    <w:p>
      <w:pPr>
        <w:ind w:firstLine="420" w:firstLineChars="200"/>
        <w:contextualSpacing/>
        <w:rPr>
          <w:rFonts w:ascii="Arial" w:hAnsi="Arial" w:cs="Arial"/>
          <w:bCs/>
          <w:color w:val="auto"/>
          <w:szCs w:val="21"/>
        </w:rPr>
      </w:pPr>
      <w:r>
        <w:rPr>
          <w:rFonts w:ascii="Arial" w:hAnsi="Arial" w:cs="Arial"/>
          <w:color w:val="auto"/>
          <w:szCs w:val="21"/>
        </w:rPr>
        <w:t>本保险单所载其它条件不变。</w:t>
      </w:r>
    </w:p>
    <w:p>
      <w:pPr>
        <w:autoSpaceDE w:val="0"/>
        <w:autoSpaceDN w:val="0"/>
        <w:adjustRightInd w:val="0"/>
        <w:spacing w:line="360" w:lineRule="auto"/>
        <w:rPr>
          <w:rFonts w:ascii="Arial" w:hAnsi="Arial" w:cs="Arial"/>
          <w:b/>
          <w:bCs/>
          <w:color w:val="auto"/>
          <w:szCs w:val="21"/>
        </w:rPr>
      </w:pPr>
    </w:p>
    <w:p>
      <w:pPr>
        <w:widowControl/>
        <w:numPr>
          <w:ilvl w:val="0"/>
          <w:numId w:val="4"/>
        </w:numPr>
        <w:autoSpaceDE w:val="0"/>
        <w:autoSpaceDN w:val="0"/>
        <w:adjustRightInd w:val="0"/>
        <w:spacing w:line="360" w:lineRule="auto"/>
        <w:rPr>
          <w:rFonts w:ascii="Arial" w:hAnsi="Arial" w:cs="Arial"/>
          <w:b/>
          <w:bCs/>
          <w:color w:val="auto"/>
          <w:szCs w:val="21"/>
        </w:rPr>
      </w:pPr>
      <w:r>
        <w:rPr>
          <w:rFonts w:ascii="Arial" w:hAnsi="Arial" w:cs="Arial"/>
          <w:b/>
          <w:bCs/>
          <w:color w:val="auto"/>
          <w:szCs w:val="21"/>
        </w:rPr>
        <w:t>滑坡与地陷条款</w:t>
      </w:r>
    </w:p>
    <w:p>
      <w:pPr>
        <w:ind w:left="720"/>
        <w:rPr>
          <w:rFonts w:ascii="Arial" w:hAnsi="Arial" w:cs="Arial"/>
          <w:color w:val="auto"/>
          <w:szCs w:val="21"/>
        </w:rPr>
      </w:pPr>
      <w:r>
        <w:rPr>
          <w:rFonts w:ascii="Arial" w:hAnsi="Arial" w:cs="Arial"/>
          <w:color w:val="auto"/>
          <w:szCs w:val="21"/>
        </w:rPr>
        <w:t xml:space="preserve">兹经双方同意，本保险单扩展承保营业场所发生的滑坡或地陷直接导致被保险财产所遭受的损失。但本保险不负责赔偿下列损失： </w:t>
      </w:r>
      <w:r>
        <w:rPr>
          <w:rFonts w:ascii="Arial" w:hAnsi="Arial" w:cs="Arial"/>
          <w:color w:val="auto"/>
          <w:szCs w:val="21"/>
        </w:rPr>
        <w:br w:type="textWrapping"/>
      </w:r>
      <w:r>
        <w:rPr>
          <w:rFonts w:ascii="Arial" w:hAnsi="Arial" w:cs="Arial"/>
          <w:color w:val="auto"/>
          <w:szCs w:val="21"/>
        </w:rPr>
        <w:t xml:space="preserve">(一) 设计错误、工艺不善或原材料缺陷直接导致的损失； </w:t>
      </w:r>
      <w:r>
        <w:rPr>
          <w:rFonts w:ascii="Arial" w:hAnsi="Arial" w:cs="Arial"/>
          <w:color w:val="auto"/>
          <w:szCs w:val="21"/>
        </w:rPr>
        <w:br w:type="textWrapping"/>
      </w:r>
      <w:r>
        <w:rPr>
          <w:rFonts w:ascii="Arial" w:hAnsi="Arial" w:cs="Arial"/>
          <w:color w:val="auto"/>
          <w:szCs w:val="21"/>
        </w:rPr>
        <w:t xml:space="preserve">(二) 由于海水、河水侵蚀造成的损失； </w:t>
      </w:r>
      <w:r>
        <w:rPr>
          <w:rFonts w:ascii="Arial" w:hAnsi="Arial" w:cs="Arial"/>
          <w:color w:val="auto"/>
          <w:szCs w:val="21"/>
        </w:rPr>
        <w:br w:type="textWrapping"/>
      </w:r>
      <w:r>
        <w:rPr>
          <w:rFonts w:ascii="Arial" w:hAnsi="Arial" w:cs="Arial"/>
          <w:color w:val="auto"/>
          <w:szCs w:val="21"/>
        </w:rPr>
        <w:t xml:space="preserve">(三) 在保险资产附近，因拆除、挖掘，或其他建筑施工导致的地面沉降而造成的损失； </w:t>
      </w:r>
      <w:r>
        <w:rPr>
          <w:rFonts w:ascii="Arial" w:hAnsi="Arial" w:cs="Arial"/>
          <w:color w:val="auto"/>
          <w:szCs w:val="21"/>
        </w:rPr>
        <w:br w:type="textWrapping"/>
      </w:r>
      <w:r>
        <w:rPr>
          <w:rFonts w:ascii="Arial" w:hAnsi="Arial" w:cs="Arial"/>
          <w:color w:val="auto"/>
          <w:szCs w:val="21"/>
        </w:rPr>
        <w:t>本保险单所载其他条件不变。</w:t>
      </w:r>
    </w:p>
    <w:p>
      <w:pPr>
        <w:ind w:left="720"/>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损失通知条款</w:t>
      </w:r>
    </w:p>
    <w:p>
      <w:pPr>
        <w:ind w:firstLine="420" w:firstLineChars="200"/>
        <w:contextualSpacing/>
        <w:rPr>
          <w:rFonts w:ascii="Arial" w:hAnsi="Arial" w:cs="Arial"/>
          <w:color w:val="auto"/>
          <w:szCs w:val="21"/>
        </w:rPr>
      </w:pPr>
      <w:r>
        <w:rPr>
          <w:rFonts w:ascii="Arial" w:hAnsi="Arial" w:cs="Arial"/>
          <w:color w:val="auto"/>
          <w:szCs w:val="21"/>
        </w:rPr>
        <w:t>兹经双方同意并约定，被保险人对损失通知的偶然延误、失误将不会影响其在保单下的索赔权力。</w:t>
      </w:r>
    </w:p>
    <w:p>
      <w:pPr>
        <w:ind w:firstLine="420" w:firstLineChars="200"/>
        <w:contextualSpacing/>
        <w:rPr>
          <w:rFonts w:ascii="Arial" w:hAnsi="Arial" w:cs="Arial"/>
          <w:color w:val="auto"/>
          <w:szCs w:val="21"/>
        </w:rPr>
      </w:pPr>
      <w:r>
        <w:rPr>
          <w:rFonts w:ascii="Arial" w:hAnsi="Arial" w:cs="Arial"/>
          <w:color w:val="auto"/>
          <w:szCs w:val="21"/>
        </w:rPr>
        <w:t>本保险单所载其他条件不变。</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恶意破坏扩展条款</w:t>
      </w:r>
    </w:p>
    <w:p>
      <w:pPr>
        <w:ind w:firstLine="420" w:firstLineChars="200"/>
        <w:contextualSpacing/>
        <w:rPr>
          <w:rFonts w:ascii="Arial" w:hAnsi="Arial" w:cs="Arial"/>
          <w:color w:val="auto"/>
          <w:szCs w:val="21"/>
        </w:rPr>
      </w:pPr>
      <w:r>
        <w:rPr>
          <w:rFonts w:ascii="Arial" w:hAnsi="Arial" w:cs="Arial"/>
          <w:color w:val="auto"/>
          <w:szCs w:val="21"/>
        </w:rPr>
        <w:t>兹经双方同意，鉴于被保险人已支付了附加的保险费，本保险扩展承保本保险单明细表中列明的保险财产因他人的恶意行为所致的损失，但不包括作为建筑物组成部分的玻璃破碎或任何室外招牌的破碎损失，也不包括偷窃损失（破门而入偷窃损失除外）。</w:t>
      </w:r>
    </w:p>
    <w:p>
      <w:pPr>
        <w:ind w:firstLine="420" w:firstLineChars="200"/>
        <w:contextualSpacing/>
        <w:rPr>
          <w:rFonts w:ascii="Arial" w:hAnsi="Arial" w:cs="Arial"/>
          <w:color w:val="auto"/>
          <w:szCs w:val="21"/>
        </w:rPr>
      </w:pPr>
      <w:r>
        <w:rPr>
          <w:rFonts w:ascii="Arial" w:hAnsi="Arial" w:cs="Arial"/>
          <w:color w:val="auto"/>
          <w:szCs w:val="21"/>
        </w:rPr>
        <w:t>本保险单所载其它条件均不变。</w:t>
      </w:r>
    </w:p>
    <w:p>
      <w:pPr>
        <w:ind w:firstLine="420" w:firstLineChars="200"/>
        <w:contextualSpacing/>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玻璃破碎扩展条款</w:t>
      </w:r>
    </w:p>
    <w:p>
      <w:pPr>
        <w:ind w:firstLine="420" w:firstLineChars="200"/>
        <w:contextualSpacing/>
        <w:rPr>
          <w:rFonts w:ascii="Arial" w:hAnsi="Arial" w:cs="Arial"/>
          <w:color w:val="auto"/>
          <w:szCs w:val="21"/>
        </w:rPr>
      </w:pPr>
      <w:r>
        <w:rPr>
          <w:rFonts w:ascii="Arial" w:hAnsi="Arial" w:cs="Arial"/>
          <w:color w:val="auto"/>
          <w:szCs w:val="21"/>
        </w:rPr>
        <w:t>经双方同意，本保险扩展承保本保险单中列明的保险财产的玻璃破碎损失。但由于该玻璃破碎引起的其他物品的损失，保险人不负责赔偿。</w:t>
      </w:r>
    </w:p>
    <w:p>
      <w:pPr>
        <w:ind w:firstLine="420" w:firstLineChars="200"/>
        <w:contextualSpacing/>
        <w:rPr>
          <w:rFonts w:ascii="Arial" w:hAnsi="Arial" w:cs="Arial"/>
          <w:color w:val="auto"/>
          <w:szCs w:val="21"/>
        </w:rPr>
      </w:pPr>
      <w:r>
        <w:rPr>
          <w:rFonts w:ascii="Arial" w:hAnsi="Arial" w:cs="Arial"/>
          <w:color w:val="auto"/>
          <w:szCs w:val="21"/>
        </w:rPr>
        <w:t>因下列原因造成的玻璃破碎损失，保险人也不负责赔偿：</w:t>
      </w:r>
    </w:p>
    <w:p>
      <w:pPr>
        <w:ind w:firstLine="420" w:firstLineChars="200"/>
        <w:contextualSpacing/>
        <w:rPr>
          <w:rFonts w:ascii="Arial" w:hAnsi="Arial" w:cs="Arial"/>
          <w:color w:val="auto"/>
          <w:szCs w:val="21"/>
        </w:rPr>
      </w:pPr>
      <w:r>
        <w:rPr>
          <w:rFonts w:ascii="Arial" w:hAnsi="Arial" w:cs="Arial"/>
          <w:color w:val="auto"/>
          <w:szCs w:val="21"/>
        </w:rPr>
        <w:t>（一）火灾；</w:t>
      </w:r>
    </w:p>
    <w:p>
      <w:pPr>
        <w:ind w:firstLine="420" w:firstLineChars="200"/>
        <w:contextualSpacing/>
        <w:rPr>
          <w:rFonts w:ascii="Arial" w:hAnsi="Arial" w:cs="Arial"/>
          <w:color w:val="auto"/>
          <w:szCs w:val="21"/>
        </w:rPr>
      </w:pPr>
      <w:r>
        <w:rPr>
          <w:rFonts w:ascii="Arial" w:hAnsi="Arial" w:cs="Arial"/>
          <w:color w:val="auto"/>
          <w:szCs w:val="21"/>
        </w:rPr>
        <w:t>（二）地震。</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spacing w:after="156" w:afterLines="50"/>
        <w:rPr>
          <w:rFonts w:ascii="Arial" w:hAnsi="Arial" w:cs="Arial"/>
          <w:color w:val="auto"/>
          <w:szCs w:val="21"/>
        </w:rPr>
      </w:pPr>
    </w:p>
    <w:p>
      <w:pPr>
        <w:numPr>
          <w:ilvl w:val="0"/>
          <w:numId w:val="4"/>
        </w:numPr>
        <w:autoSpaceDE w:val="0"/>
        <w:autoSpaceDN w:val="0"/>
        <w:spacing w:after="156" w:afterLines="50"/>
        <w:rPr>
          <w:rFonts w:ascii="Arial" w:hAnsi="Arial" w:cs="Arial"/>
          <w:b/>
          <w:bCs/>
          <w:color w:val="auto"/>
          <w:szCs w:val="21"/>
        </w:rPr>
      </w:pPr>
      <w:r>
        <w:rPr>
          <w:rFonts w:ascii="Arial" w:hAnsi="Arial" w:cs="Arial"/>
          <w:b/>
          <w:bCs/>
          <w:color w:val="auto"/>
          <w:szCs w:val="21"/>
        </w:rPr>
        <w:t>不受控制条款</w:t>
      </w:r>
    </w:p>
    <w:p>
      <w:pPr>
        <w:ind w:firstLine="420" w:firstLineChars="200"/>
        <w:contextualSpacing/>
        <w:rPr>
          <w:rFonts w:ascii="Arial" w:hAnsi="Arial" w:cs="Arial"/>
          <w:color w:val="auto"/>
          <w:szCs w:val="21"/>
        </w:rPr>
      </w:pPr>
      <w:r>
        <w:rPr>
          <w:rFonts w:ascii="Arial" w:hAnsi="Arial" w:cs="Arial"/>
          <w:color w:val="auto"/>
          <w:szCs w:val="21"/>
        </w:rPr>
        <w:t>经双方同意，被保险人在无法控制或不存在过错的情况下违反本保险合同的条件和保证，本保险合同的保障不受影响。</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ind w:firstLine="105" w:firstLineChars="50"/>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指定公估人条款</w:t>
      </w:r>
      <w:r>
        <w:rPr>
          <w:rFonts w:ascii="Arial" w:hAnsi="Arial" w:cs="Arial"/>
          <w:color w:val="auto"/>
          <w:szCs w:val="21"/>
        </w:rPr>
        <w:t xml:space="preserve"> </w:t>
      </w:r>
    </w:p>
    <w:p>
      <w:pPr>
        <w:ind w:firstLine="420" w:firstLineChars="200"/>
        <w:contextualSpacing/>
        <w:rPr>
          <w:rFonts w:ascii="Arial" w:hAnsi="Arial" w:cs="Arial"/>
          <w:color w:val="auto"/>
          <w:szCs w:val="21"/>
        </w:rPr>
      </w:pPr>
      <w:r>
        <w:rPr>
          <w:rFonts w:ascii="Arial" w:hAnsi="Arial" w:cs="Arial"/>
          <w:color w:val="auto"/>
          <w:szCs w:val="21"/>
        </w:rPr>
        <w:t>经双方同意，当发生保险责任范围内的损失，估损金额超过本保险合同中载明的相应金额时，可以指定双方认可的有合法执业资格的机构作为公估人（明细如下），公估费用由保险人承担。</w:t>
      </w:r>
    </w:p>
    <w:p>
      <w:pPr>
        <w:ind w:firstLine="420" w:firstLineChars="200"/>
        <w:contextualSpacing/>
        <w:rPr>
          <w:rFonts w:ascii="Arial" w:hAnsi="Arial" w:cs="Arial"/>
          <w:color w:val="auto"/>
          <w:szCs w:val="21"/>
        </w:rPr>
      </w:pPr>
      <w:r>
        <w:rPr>
          <w:rFonts w:ascii="Arial" w:hAnsi="Arial" w:cs="Arial"/>
          <w:color w:val="auto"/>
          <w:szCs w:val="21"/>
        </w:rPr>
        <w:t>预定的牵头损失理算师为:    Crawford （天诺嘉福）；</w:t>
      </w:r>
    </w:p>
    <w:p>
      <w:pPr>
        <w:ind w:firstLine="420" w:firstLineChars="200"/>
        <w:contextualSpacing/>
        <w:rPr>
          <w:rFonts w:ascii="Arial" w:hAnsi="Arial" w:cs="Arial"/>
          <w:color w:val="auto"/>
          <w:szCs w:val="21"/>
        </w:rPr>
      </w:pPr>
      <w:r>
        <w:rPr>
          <w:rFonts w:ascii="Arial" w:hAnsi="Arial" w:cs="Arial"/>
          <w:color w:val="auto"/>
          <w:szCs w:val="21"/>
        </w:rPr>
        <w:t>另可供选择的损失理算师为:  Cunningham (根宁翰)。</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b/>
          <w:bCs/>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不可失效条款</w:t>
      </w:r>
    </w:p>
    <w:p>
      <w:pPr>
        <w:ind w:firstLine="420" w:firstLineChars="200"/>
        <w:contextualSpacing/>
        <w:rPr>
          <w:rFonts w:ascii="Arial" w:hAnsi="Arial" w:cs="Arial"/>
          <w:color w:val="auto"/>
          <w:szCs w:val="21"/>
        </w:rPr>
      </w:pPr>
      <w:r>
        <w:rPr>
          <w:rFonts w:ascii="Arial" w:hAnsi="Arial" w:cs="Arial"/>
          <w:color w:val="auto"/>
          <w:szCs w:val="21"/>
        </w:rPr>
        <w:t>兹经双方同意并约定,本保险不因下述原因而失效：在被保险人不知情的前提下，承保项目的财产占用性质改变或风险程度增加。但一旦知道该情况，被保险人应立即通知保险人并缴付从风险增加之日起的额外保费。</w:t>
      </w:r>
    </w:p>
    <w:p>
      <w:pPr>
        <w:ind w:firstLine="420" w:firstLineChars="200"/>
        <w:contextualSpacing/>
        <w:rPr>
          <w:rFonts w:ascii="Arial" w:hAnsi="Arial" w:cs="Arial"/>
          <w:color w:val="auto"/>
          <w:szCs w:val="21"/>
        </w:rPr>
      </w:pPr>
      <w:r>
        <w:rPr>
          <w:rFonts w:ascii="Arial" w:hAnsi="Arial" w:cs="Arial"/>
          <w:color w:val="auto"/>
          <w:szCs w:val="21"/>
        </w:rPr>
        <w:t>本保险合同所载其它条件不变。</w:t>
      </w:r>
    </w:p>
    <w:p>
      <w:pPr>
        <w:ind w:firstLine="420" w:firstLineChars="200"/>
        <w:contextualSpacing/>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预付赔款条款（估损金额的50%）</w:t>
      </w:r>
    </w:p>
    <w:p>
      <w:pPr>
        <w:ind w:firstLine="420" w:firstLineChars="200"/>
        <w:contextualSpacing/>
        <w:rPr>
          <w:rFonts w:ascii="Arial" w:hAnsi="Arial" w:cs="Arial"/>
          <w:color w:val="auto"/>
          <w:szCs w:val="21"/>
        </w:rPr>
      </w:pPr>
      <w:r>
        <w:rPr>
          <w:rFonts w:ascii="Arial" w:hAnsi="Arial" w:cs="Arial"/>
          <w:color w:val="auto"/>
          <w:szCs w:val="21"/>
        </w:rPr>
        <w:t>兹经双方同意，发生本保险单项下的损失时，依据被保险人的要求及理算师的建议，本公司可以预先支付赔款。</w:t>
      </w:r>
    </w:p>
    <w:p>
      <w:pPr>
        <w:ind w:firstLine="420" w:firstLineChars="200"/>
        <w:contextualSpacing/>
        <w:rPr>
          <w:rFonts w:ascii="Arial" w:hAnsi="Arial" w:cs="Arial"/>
          <w:color w:val="auto"/>
        </w:rPr>
      </w:pPr>
      <w:r>
        <w:rPr>
          <w:rFonts w:ascii="Arial" w:hAnsi="Arial" w:cs="Arial"/>
          <w:color w:val="auto"/>
          <w:szCs w:val="21"/>
        </w:rPr>
        <w:t>本保险单所载其他条件不变。</w:t>
      </w:r>
    </w:p>
    <w:p>
      <w:pPr>
        <w:spacing w:before="156" w:beforeLines="50" w:line="360" w:lineRule="auto"/>
        <w:ind w:firstLine="480" w:firstLineChars="200"/>
        <w:jc w:val="left"/>
        <w:rPr>
          <w:rFonts w:ascii="Arial" w:hAnsi="Arial" w:cs="Arial"/>
          <w:color w:val="auto"/>
          <w:sz w:val="24"/>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专业费用扩展条款（每次事故赔偿限额：RMB1,000,000）</w:t>
      </w:r>
    </w:p>
    <w:p>
      <w:pPr>
        <w:ind w:firstLine="420" w:firstLineChars="200"/>
        <w:contextualSpacing/>
        <w:rPr>
          <w:rFonts w:ascii="Arial" w:hAnsi="Arial" w:cs="Arial"/>
          <w:color w:val="auto"/>
          <w:szCs w:val="21"/>
        </w:rPr>
      </w:pPr>
      <w:r>
        <w:rPr>
          <w:rFonts w:ascii="Arial" w:hAnsi="Arial" w:cs="Arial"/>
          <w:color w:val="auto"/>
          <w:szCs w:val="21"/>
        </w:rPr>
        <w:t>兹经双方同意，鉴于被保险人已缴付了附加的保险费，本公司负责赔偿被保险人因本公司保险单项下承保风险造成保险财产损失后，在重置过程中发生的必要的设计师、检验师及工程咨询人费用，但不包括被保险人为了准备索赔或估损所发生的任何费用。上述赔偿费用应以财产损失时适用的有关行业管理部门收费规定为准，但本公司在本扩展条款项下的赔偿责任：每次事故不得超过_ RMB1,000,000___。</w:t>
      </w:r>
    </w:p>
    <w:p>
      <w:pPr>
        <w:ind w:firstLine="420" w:firstLineChars="200"/>
        <w:contextualSpacing/>
        <w:rPr>
          <w:rFonts w:ascii="Arial" w:hAnsi="Arial" w:cs="Arial"/>
          <w:color w:val="auto"/>
          <w:szCs w:val="21"/>
        </w:rPr>
      </w:pPr>
      <w:r>
        <w:rPr>
          <w:rFonts w:ascii="Arial" w:hAnsi="Arial" w:cs="Arial"/>
          <w:color w:val="auto"/>
          <w:szCs w:val="21"/>
        </w:rPr>
        <w:t>本保险单所载其它条件均不变。</w:t>
      </w:r>
    </w:p>
    <w:p>
      <w:pPr>
        <w:ind w:firstLine="420" w:firstLineChars="200"/>
        <w:contextualSpacing/>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按比例退费条款</w:t>
      </w:r>
    </w:p>
    <w:p>
      <w:pPr>
        <w:ind w:firstLine="420" w:firstLineChars="200"/>
        <w:contextualSpacing/>
        <w:rPr>
          <w:rFonts w:ascii="Arial" w:hAnsi="Arial" w:cs="Arial"/>
          <w:color w:val="auto"/>
          <w:szCs w:val="21"/>
        </w:rPr>
      </w:pPr>
      <w:r>
        <w:rPr>
          <w:rFonts w:ascii="Arial" w:hAnsi="Arial" w:cs="Arial"/>
          <w:color w:val="auto"/>
          <w:szCs w:val="21"/>
        </w:rPr>
        <w:t>被保险人可以在任何时间以书面形式要求取消本保单。在此情况下，保险人可根据日比例计算保单实际生效的时间应相应收取保费。</w:t>
      </w:r>
    </w:p>
    <w:p>
      <w:pPr>
        <w:spacing w:after="156" w:afterLines="50"/>
        <w:rPr>
          <w:rFonts w:ascii="Arial" w:hAnsi="Arial" w:cs="Arial"/>
          <w:b/>
          <w:bCs/>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公共当局扩展条款</w:t>
      </w:r>
    </w:p>
    <w:p>
      <w:pPr>
        <w:ind w:firstLine="420" w:firstLineChars="200"/>
        <w:contextualSpacing/>
        <w:rPr>
          <w:rFonts w:ascii="Arial" w:hAnsi="Arial" w:cs="Arial"/>
          <w:color w:val="auto"/>
          <w:szCs w:val="21"/>
        </w:rPr>
      </w:pPr>
      <w:r>
        <w:rPr>
          <w:rFonts w:ascii="Arial" w:hAnsi="Arial" w:cs="Arial"/>
          <w:color w:val="auto"/>
          <w:szCs w:val="21"/>
        </w:rPr>
        <w:t>经双方同意，因保险事故造成保险标的损失，在重建或修复时，由于必须执行公共当局的有关法律、法令、法规产生的额外费用，保险人按照本保险合同的约定负责赔偿。但以下列约定为条件：</w:t>
      </w:r>
    </w:p>
    <w:p>
      <w:pPr>
        <w:ind w:firstLine="420" w:firstLineChars="200"/>
        <w:contextualSpacing/>
        <w:rPr>
          <w:rFonts w:ascii="Arial" w:hAnsi="Arial" w:cs="Arial"/>
          <w:color w:val="auto"/>
          <w:szCs w:val="21"/>
        </w:rPr>
      </w:pPr>
      <w:r>
        <w:rPr>
          <w:rFonts w:ascii="Arial" w:hAnsi="Arial" w:cs="Arial"/>
          <w:color w:val="auto"/>
          <w:szCs w:val="21"/>
        </w:rPr>
        <w:t>（一）下列情况下执行上述法律、法令、法规产生的额外费用，保险人不负责赔偿：</w:t>
      </w:r>
    </w:p>
    <w:p>
      <w:pPr>
        <w:ind w:firstLine="420" w:firstLineChars="200"/>
        <w:contextualSpacing/>
        <w:rPr>
          <w:rFonts w:ascii="Arial" w:hAnsi="Arial" w:cs="Arial"/>
          <w:color w:val="auto"/>
          <w:szCs w:val="21"/>
        </w:rPr>
      </w:pPr>
      <w:r>
        <w:rPr>
          <w:rFonts w:ascii="Arial" w:hAnsi="Arial" w:cs="Arial"/>
          <w:color w:val="auto"/>
          <w:szCs w:val="21"/>
        </w:rPr>
        <w:t>1、本条款生效之前发生的损失；</w:t>
      </w:r>
    </w:p>
    <w:p>
      <w:pPr>
        <w:ind w:firstLine="420" w:firstLineChars="200"/>
        <w:contextualSpacing/>
        <w:rPr>
          <w:rFonts w:ascii="Arial" w:hAnsi="Arial" w:cs="Arial"/>
          <w:color w:val="auto"/>
          <w:szCs w:val="21"/>
        </w:rPr>
      </w:pPr>
      <w:r>
        <w:rPr>
          <w:rFonts w:ascii="Arial" w:hAnsi="Arial" w:cs="Arial"/>
          <w:color w:val="auto"/>
          <w:szCs w:val="21"/>
        </w:rPr>
        <w:t>2、本保险责任范围以外的损失；</w:t>
      </w:r>
    </w:p>
    <w:p>
      <w:pPr>
        <w:ind w:firstLine="420" w:firstLineChars="200"/>
        <w:contextualSpacing/>
        <w:rPr>
          <w:rFonts w:ascii="Arial" w:hAnsi="Arial" w:cs="Arial"/>
          <w:color w:val="auto"/>
          <w:szCs w:val="21"/>
        </w:rPr>
      </w:pPr>
      <w:r>
        <w:rPr>
          <w:rFonts w:ascii="Arial" w:hAnsi="Arial" w:cs="Arial"/>
          <w:color w:val="auto"/>
          <w:szCs w:val="21"/>
        </w:rPr>
        <w:t>3、发生损失前被保险人已接到有关当局关于拆除、重建的通知；</w:t>
      </w:r>
    </w:p>
    <w:p>
      <w:pPr>
        <w:ind w:firstLine="420" w:firstLineChars="200"/>
        <w:contextualSpacing/>
        <w:rPr>
          <w:rFonts w:ascii="Arial" w:hAnsi="Arial" w:cs="Arial"/>
          <w:color w:val="auto"/>
          <w:szCs w:val="21"/>
        </w:rPr>
      </w:pPr>
      <w:r>
        <w:rPr>
          <w:rFonts w:ascii="Arial" w:hAnsi="Arial" w:cs="Arial"/>
          <w:color w:val="auto"/>
          <w:szCs w:val="21"/>
        </w:rPr>
        <w:t>4、未受损保险标的（但不包括被保险的地基）的修复、拆除、重建。</w:t>
      </w:r>
    </w:p>
    <w:p>
      <w:pPr>
        <w:ind w:firstLine="420" w:firstLineChars="200"/>
        <w:contextualSpacing/>
        <w:rPr>
          <w:rFonts w:ascii="Arial" w:hAnsi="Arial" w:cs="Arial"/>
          <w:color w:val="auto"/>
          <w:szCs w:val="21"/>
        </w:rPr>
      </w:pPr>
      <w:r>
        <w:rPr>
          <w:rFonts w:ascii="Arial" w:hAnsi="Arial" w:cs="Arial"/>
          <w:color w:val="auto"/>
          <w:szCs w:val="21"/>
        </w:rPr>
        <w:t>（二）被保险人的重建、修复工作必须立即实施，并在损失发生之日起十二个月或经保险人书面同意延长的期限内完工；若根据有关法律、法令、法规及其附则，该受损保险标的必须在其他地点重建、修复时，保险人亦可赔偿，但保险人的赔偿责任不得因此增加。</w:t>
      </w:r>
    </w:p>
    <w:p>
      <w:pPr>
        <w:ind w:firstLine="420" w:firstLineChars="200"/>
        <w:contextualSpacing/>
        <w:rPr>
          <w:rFonts w:ascii="Arial" w:hAnsi="Arial" w:cs="Arial"/>
          <w:color w:val="auto"/>
          <w:szCs w:val="21"/>
        </w:rPr>
      </w:pPr>
      <w:r>
        <w:rPr>
          <w:rFonts w:ascii="Arial" w:hAnsi="Arial" w:cs="Arial"/>
          <w:color w:val="auto"/>
          <w:szCs w:val="21"/>
        </w:rPr>
        <w:t>（三）若在本保险合同项下保险标的受损，但按本保险合同约定，保险人的赔偿责任减少时，则本附加险条款项下的赔偿责任也相应减少。</w:t>
      </w:r>
    </w:p>
    <w:p>
      <w:pPr>
        <w:ind w:firstLine="420" w:firstLineChars="200"/>
        <w:contextualSpacing/>
        <w:rPr>
          <w:rFonts w:ascii="Arial" w:hAnsi="Arial" w:cs="Arial"/>
          <w:color w:val="auto"/>
          <w:szCs w:val="21"/>
        </w:rPr>
      </w:pPr>
      <w:r>
        <w:rPr>
          <w:rFonts w:ascii="Arial" w:hAnsi="Arial" w:cs="Arial"/>
          <w:color w:val="auto"/>
          <w:szCs w:val="21"/>
        </w:rPr>
        <w:t>（四）保险人对任何一项受损保险标的的赔偿金额不得超过该项目在本保险合同中列明的保险金额。</w:t>
      </w:r>
    </w:p>
    <w:p>
      <w:pPr>
        <w:ind w:firstLine="420" w:firstLineChars="200"/>
        <w:contextualSpacing/>
        <w:rPr>
          <w:rFonts w:ascii="Arial" w:hAnsi="Arial" w:cs="Arial"/>
          <w:color w:val="auto"/>
          <w:szCs w:val="21"/>
          <w:lang w:eastAsia="zh-TW"/>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重置价值条款</w:t>
      </w:r>
    </w:p>
    <w:p>
      <w:pPr>
        <w:ind w:firstLine="420" w:firstLineChars="200"/>
        <w:contextualSpacing/>
        <w:rPr>
          <w:rFonts w:ascii="Arial" w:hAnsi="Arial" w:cs="Arial"/>
          <w:color w:val="auto"/>
          <w:szCs w:val="21"/>
        </w:rPr>
      </w:pPr>
      <w:r>
        <w:rPr>
          <w:rFonts w:ascii="Arial" w:hAnsi="Arial" w:cs="Arial"/>
          <w:color w:val="auto"/>
          <w:szCs w:val="21"/>
        </w:rPr>
        <w:t>经双方同意，若投保人与保险人约定保险价值为出险时的重置价值，则适用下列约定：</w:t>
      </w:r>
    </w:p>
    <w:p>
      <w:pPr>
        <w:ind w:firstLine="420" w:firstLineChars="200"/>
        <w:contextualSpacing/>
        <w:rPr>
          <w:rFonts w:ascii="Arial" w:hAnsi="Arial" w:cs="Arial"/>
          <w:color w:val="auto"/>
          <w:szCs w:val="21"/>
        </w:rPr>
      </w:pPr>
      <w:r>
        <w:rPr>
          <w:rFonts w:ascii="Arial" w:hAnsi="Arial" w:cs="Arial"/>
          <w:color w:val="auto"/>
          <w:szCs w:val="21"/>
        </w:rPr>
        <w:t>（一）发生保险事故后，被保险人应对受损保险标的进行重置。</w:t>
      </w:r>
    </w:p>
    <w:p>
      <w:pPr>
        <w:ind w:firstLine="420" w:firstLineChars="200"/>
        <w:contextualSpacing/>
        <w:rPr>
          <w:rFonts w:ascii="Arial" w:hAnsi="Arial" w:cs="Arial"/>
          <w:color w:val="auto"/>
          <w:szCs w:val="21"/>
        </w:rPr>
      </w:pPr>
      <w:r>
        <w:rPr>
          <w:rFonts w:ascii="Arial" w:hAnsi="Arial" w:cs="Arial"/>
          <w:color w:val="auto"/>
          <w:szCs w:val="21"/>
        </w:rPr>
        <w:t>重置是指：</w:t>
      </w:r>
    </w:p>
    <w:p>
      <w:pPr>
        <w:ind w:firstLine="420" w:firstLineChars="200"/>
        <w:contextualSpacing/>
        <w:rPr>
          <w:rFonts w:ascii="Arial" w:hAnsi="Arial" w:cs="Arial"/>
          <w:color w:val="auto"/>
          <w:szCs w:val="21"/>
        </w:rPr>
      </w:pPr>
      <w:r>
        <w:rPr>
          <w:rFonts w:ascii="Arial" w:hAnsi="Arial" w:cs="Arial"/>
          <w:color w:val="auto"/>
          <w:szCs w:val="21"/>
        </w:rPr>
        <w:t>1、替换、重建保险标的；</w:t>
      </w:r>
    </w:p>
    <w:p>
      <w:pPr>
        <w:ind w:firstLine="420" w:firstLineChars="200"/>
        <w:contextualSpacing/>
        <w:rPr>
          <w:rFonts w:ascii="Arial" w:hAnsi="Arial" w:cs="Arial"/>
          <w:color w:val="auto"/>
          <w:szCs w:val="21"/>
        </w:rPr>
      </w:pPr>
      <w:r>
        <w:rPr>
          <w:rFonts w:ascii="Arial" w:hAnsi="Arial" w:cs="Arial"/>
          <w:color w:val="auto"/>
          <w:szCs w:val="21"/>
        </w:rPr>
        <w:t>2、修理、修复保险标的。</w:t>
      </w:r>
    </w:p>
    <w:p>
      <w:pPr>
        <w:ind w:firstLine="420" w:firstLineChars="200"/>
        <w:contextualSpacing/>
        <w:rPr>
          <w:rFonts w:ascii="Arial" w:hAnsi="Arial" w:cs="Arial"/>
          <w:color w:val="auto"/>
          <w:szCs w:val="21"/>
        </w:rPr>
      </w:pPr>
      <w:r>
        <w:rPr>
          <w:rFonts w:ascii="Arial" w:hAnsi="Arial" w:cs="Arial"/>
          <w:color w:val="auto"/>
          <w:szCs w:val="21"/>
        </w:rPr>
        <w:t>无论采用上述哪一种方式，目的是使保险标的的受损部分经过重置后达到其全新时的状态。</w:t>
      </w:r>
    </w:p>
    <w:p>
      <w:pPr>
        <w:ind w:firstLine="420" w:firstLineChars="200"/>
        <w:contextualSpacing/>
        <w:rPr>
          <w:rFonts w:ascii="Arial" w:hAnsi="Arial" w:cs="Arial"/>
          <w:color w:val="auto"/>
          <w:szCs w:val="21"/>
        </w:rPr>
      </w:pPr>
      <w:r>
        <w:rPr>
          <w:rFonts w:ascii="Arial" w:hAnsi="Arial" w:cs="Arial"/>
          <w:color w:val="auto"/>
          <w:szCs w:val="21"/>
        </w:rPr>
        <w:t>（二）若遇下列情况，保险价值变更为出险时的市场价值：</w:t>
      </w:r>
    </w:p>
    <w:p>
      <w:pPr>
        <w:ind w:firstLine="420" w:firstLineChars="200"/>
        <w:contextualSpacing/>
        <w:rPr>
          <w:rFonts w:ascii="Arial" w:hAnsi="Arial" w:cs="Arial"/>
          <w:color w:val="auto"/>
          <w:szCs w:val="21"/>
        </w:rPr>
      </w:pPr>
      <w:r>
        <w:rPr>
          <w:rFonts w:ascii="Arial" w:hAnsi="Arial" w:cs="Arial"/>
          <w:color w:val="auto"/>
          <w:szCs w:val="21"/>
        </w:rPr>
        <w:t>1、被保险人没有合理的原因和理由而推迟、延误重置工作；</w:t>
      </w:r>
    </w:p>
    <w:p>
      <w:pPr>
        <w:ind w:firstLine="420" w:firstLineChars="200"/>
        <w:contextualSpacing/>
        <w:rPr>
          <w:rFonts w:ascii="Arial" w:hAnsi="Arial" w:cs="Arial"/>
          <w:color w:val="auto"/>
          <w:szCs w:val="21"/>
        </w:rPr>
      </w:pPr>
      <w:r>
        <w:rPr>
          <w:rFonts w:ascii="Arial" w:hAnsi="Arial" w:cs="Arial"/>
          <w:color w:val="auto"/>
          <w:szCs w:val="21"/>
        </w:rPr>
        <w:t>2、被保险人没有对受损保险标的进行重置；</w:t>
      </w:r>
    </w:p>
    <w:p>
      <w:pPr>
        <w:ind w:firstLine="420" w:firstLineChars="200"/>
        <w:contextualSpacing/>
        <w:rPr>
          <w:rFonts w:ascii="Arial" w:hAnsi="Arial" w:cs="Arial"/>
          <w:color w:val="auto"/>
          <w:szCs w:val="21"/>
        </w:rPr>
      </w:pPr>
      <w:r>
        <w:rPr>
          <w:rFonts w:ascii="Arial" w:hAnsi="Arial" w:cs="Arial"/>
          <w:color w:val="auto"/>
          <w:szCs w:val="21"/>
        </w:rPr>
        <w:t>3、发生损失时，若存在重复保险且其他保险合同没有按重置价值承保。</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ind w:firstLine="420" w:firstLineChars="200"/>
        <w:contextualSpacing/>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露天存放及简易建筑内财产扩展条款</w:t>
      </w:r>
    </w:p>
    <w:p>
      <w:pPr>
        <w:autoSpaceDE w:val="0"/>
        <w:autoSpaceDN w:val="0"/>
        <w:adjustRightInd w:val="0"/>
        <w:spacing w:line="360" w:lineRule="auto"/>
        <w:ind w:firstLine="420" w:firstLineChars="200"/>
        <w:rPr>
          <w:rFonts w:ascii="Arial" w:hAnsi="Arial" w:cs="Arial"/>
          <w:color w:val="auto"/>
          <w:szCs w:val="21"/>
        </w:rPr>
      </w:pPr>
      <w:r>
        <w:rPr>
          <w:rFonts w:ascii="Arial" w:hAnsi="Arial" w:cs="Arial"/>
          <w:color w:val="auto"/>
          <w:szCs w:val="21"/>
        </w:rPr>
        <w:t xml:space="preserve">经双方同意，对由暴风、暴雨、龙卷风、台风、飓风、雷电、冰雹、暴雪、冰凌、洪水造成的存放于露天或简易建筑内的保险标的的损失，保险人按照本保险合同的约定负责赔偿。 被保险人对露天及简易建筑内财产的存放，应符合仓储及有关部门的规定，并采取相应的安全防护措施。 </w:t>
      </w:r>
      <w:r>
        <w:rPr>
          <w:rFonts w:ascii="Arial" w:hAnsi="Arial" w:cs="Arial"/>
          <w:color w:val="auto"/>
          <w:szCs w:val="21"/>
        </w:rPr>
        <w:br w:type="textWrapping"/>
      </w:r>
      <w:r>
        <w:rPr>
          <w:rFonts w:ascii="Arial" w:hAnsi="Arial" w:cs="Arial"/>
          <w:color w:val="auto"/>
          <w:szCs w:val="21"/>
        </w:rPr>
        <w:t>本附加险条款与主险条款内容相悖之处，以本附加险条款为准；未尽之处，以主险条款为准。</w:t>
      </w: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自动喷淋系统水损扩展条款</w:t>
      </w:r>
    </w:p>
    <w:p>
      <w:pPr>
        <w:ind w:firstLine="420" w:firstLineChars="200"/>
        <w:contextualSpacing/>
        <w:rPr>
          <w:rFonts w:ascii="Arial" w:hAnsi="Arial" w:cs="Arial"/>
          <w:color w:val="auto"/>
          <w:szCs w:val="21"/>
        </w:rPr>
      </w:pPr>
      <w:r>
        <w:rPr>
          <w:rFonts w:ascii="Arial" w:hAnsi="Arial" w:cs="Arial"/>
          <w:color w:val="auto"/>
          <w:szCs w:val="21"/>
        </w:rPr>
        <w:t>经双方同意，由于自动喷淋系统的突然破裂、失灵造成保险标的的损失，保险人按照本保险合同的约定负责赔偿。但下列损失，保险人不负责赔偿：</w:t>
      </w:r>
    </w:p>
    <w:p>
      <w:pPr>
        <w:ind w:firstLine="420" w:firstLineChars="200"/>
        <w:contextualSpacing/>
        <w:rPr>
          <w:rFonts w:ascii="Arial" w:hAnsi="Arial" w:cs="Arial"/>
          <w:color w:val="auto"/>
          <w:szCs w:val="21"/>
        </w:rPr>
      </w:pPr>
      <w:r>
        <w:rPr>
          <w:rFonts w:ascii="Arial" w:hAnsi="Arial" w:cs="Arial"/>
          <w:color w:val="auto"/>
          <w:szCs w:val="21"/>
        </w:rPr>
        <w:t>（一）自动喷淋系统本身的损失；</w:t>
      </w:r>
      <w:r>
        <w:rPr>
          <w:rFonts w:ascii="Arial" w:hAnsi="Arial" w:cs="Arial"/>
          <w:color w:val="auto"/>
          <w:szCs w:val="21"/>
        </w:rPr>
        <w:tab/>
      </w:r>
    </w:p>
    <w:p>
      <w:pPr>
        <w:ind w:firstLine="420" w:firstLineChars="200"/>
        <w:contextualSpacing/>
        <w:rPr>
          <w:rFonts w:ascii="Arial" w:hAnsi="Arial" w:cs="Arial"/>
          <w:color w:val="auto"/>
          <w:szCs w:val="21"/>
        </w:rPr>
      </w:pPr>
      <w:r>
        <w:rPr>
          <w:rFonts w:ascii="Arial" w:hAnsi="Arial" w:cs="Arial"/>
          <w:color w:val="auto"/>
          <w:szCs w:val="21"/>
        </w:rPr>
        <w:t>（二）严寒致使自动喷淋系统的破裂造成的损失；</w:t>
      </w:r>
    </w:p>
    <w:p>
      <w:pPr>
        <w:ind w:firstLine="420" w:firstLineChars="200"/>
        <w:contextualSpacing/>
        <w:rPr>
          <w:rFonts w:ascii="Arial" w:hAnsi="Arial" w:cs="Arial"/>
          <w:color w:val="auto"/>
          <w:szCs w:val="21"/>
        </w:rPr>
      </w:pPr>
      <w:r>
        <w:rPr>
          <w:rFonts w:ascii="Arial" w:hAnsi="Arial" w:cs="Arial"/>
          <w:color w:val="auto"/>
          <w:szCs w:val="21"/>
        </w:rPr>
        <w:t>（三）自动喷淋系统未处于工作状态或废弃期间发生的损失。</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罢工、暴乱及民众骚乱扩展条款</w:t>
      </w:r>
    </w:p>
    <w:p>
      <w:pPr>
        <w:ind w:firstLine="420" w:firstLineChars="200"/>
        <w:contextualSpacing/>
        <w:rPr>
          <w:rFonts w:ascii="Arial" w:hAnsi="Arial" w:cs="Arial"/>
          <w:color w:val="auto"/>
          <w:szCs w:val="21"/>
        </w:rPr>
      </w:pPr>
      <w:r>
        <w:rPr>
          <w:rFonts w:ascii="Arial" w:hAnsi="Arial" w:cs="Arial"/>
          <w:color w:val="auto"/>
          <w:szCs w:val="21"/>
        </w:rPr>
        <w:t xml:space="preserve">经双方同意，本保险扩展承保本保险单明细表中列明的保险财产在列明地点范围内由于罢工、暴乱或民众骚动造成的损失，包括在此期间罢工人员在本保险单列明地点范围内的行为造成的损失，以及在罢工、暴乱或民众骚动期间，因发生抢劫造成保险财产的损失。但本扩展条款对由于政府或公共当局的命令、没收、征用或拆毁造成的损失以及因罢工人员或任何人故意纵火造成的损失不负责赔偿。 </w:t>
      </w:r>
    </w:p>
    <w:p>
      <w:pPr>
        <w:ind w:firstLine="420" w:firstLineChars="200"/>
        <w:contextualSpacing/>
        <w:rPr>
          <w:rFonts w:ascii="Arial" w:hAnsi="Arial" w:cs="Arial"/>
          <w:color w:val="auto"/>
          <w:szCs w:val="21"/>
        </w:rPr>
      </w:pPr>
      <w:r>
        <w:rPr>
          <w:rFonts w:ascii="Arial" w:hAnsi="Arial" w:cs="Arial"/>
          <w:color w:val="auto"/>
          <w:szCs w:val="21"/>
        </w:rPr>
        <w:t>本保险单所载其他条件均不变。</w:t>
      </w:r>
    </w:p>
    <w:p>
      <w:pPr>
        <w:ind w:firstLine="420" w:firstLineChars="200"/>
        <w:contextualSpacing/>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突然意外污染责任条款（每次事故赔偿限额：RMB5,000,000）</w:t>
      </w:r>
    </w:p>
    <w:p>
      <w:pPr>
        <w:ind w:firstLine="420" w:firstLineChars="200"/>
        <w:contextualSpacing/>
        <w:rPr>
          <w:rFonts w:ascii="Arial" w:hAnsi="Arial" w:cs="Arial"/>
          <w:color w:val="auto"/>
          <w:szCs w:val="21"/>
        </w:rPr>
      </w:pPr>
      <w:r>
        <w:rPr>
          <w:rFonts w:ascii="Arial" w:hAnsi="Arial" w:cs="Arial"/>
          <w:color w:val="auto"/>
          <w:szCs w:val="21"/>
        </w:rPr>
        <w:t>本条款扩展承保被保险人在保险期间内由突然、意外的污染引起的人身伤害和损失的赔偿责任，被保险人须证明该污染满足如下条件：</w:t>
      </w:r>
    </w:p>
    <w:p>
      <w:pPr>
        <w:ind w:firstLine="420" w:firstLineChars="200"/>
        <w:contextualSpacing/>
        <w:rPr>
          <w:rFonts w:ascii="Arial" w:hAnsi="Arial" w:cs="Arial"/>
          <w:color w:val="auto"/>
          <w:szCs w:val="21"/>
        </w:rPr>
      </w:pPr>
      <w:r>
        <w:rPr>
          <w:rFonts w:ascii="Arial" w:hAnsi="Arial" w:cs="Arial"/>
          <w:color w:val="auto"/>
          <w:szCs w:val="21"/>
        </w:rPr>
        <w:t>（1）污染是保险期间内发生的突然的、特殊及可查明的事件的直接结果。</w:t>
      </w:r>
    </w:p>
    <w:p>
      <w:pPr>
        <w:ind w:firstLine="420" w:firstLineChars="200"/>
        <w:contextualSpacing/>
        <w:rPr>
          <w:rFonts w:ascii="Arial" w:hAnsi="Arial" w:cs="Arial"/>
          <w:color w:val="auto"/>
          <w:szCs w:val="21"/>
        </w:rPr>
      </w:pPr>
      <w:r>
        <w:rPr>
          <w:rFonts w:ascii="Arial" w:hAnsi="Arial" w:cs="Arial"/>
          <w:color w:val="auto"/>
          <w:szCs w:val="21"/>
        </w:rPr>
        <w:t>（2）污染并非由于被保险人未采取合理预防措施所致。</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诉讼及施救费用</w:t>
      </w:r>
    </w:p>
    <w:p>
      <w:pPr>
        <w:ind w:firstLine="420" w:firstLineChars="200"/>
        <w:contextualSpacing/>
        <w:rPr>
          <w:rFonts w:ascii="Arial" w:hAnsi="Arial" w:cs="Arial"/>
          <w:color w:val="auto"/>
          <w:szCs w:val="21"/>
        </w:rPr>
      </w:pPr>
      <w:r>
        <w:rPr>
          <w:rFonts w:ascii="Arial" w:hAnsi="Arial" w:cs="Arial"/>
          <w:color w:val="auto"/>
          <w:szCs w:val="21"/>
        </w:rPr>
        <w:t>当发生本保单承保的风险时，被保险人或其代表有权也必须是做没有本保险一样为受损权益去起诉、辩护及恢复救援被保险财产。而被保险人或保险公司的任何旨在恢复、挽救和保存被保财产的行为不能是做对各自权益的放弃或同意放弃。由此产生的救援费用应由被保险人和保险公司按照各自的利益进行比例分摊。</w:t>
      </w:r>
    </w:p>
    <w:p>
      <w:pPr>
        <w:ind w:firstLine="420" w:firstLineChars="200"/>
        <w:contextualSpacing/>
        <w:rPr>
          <w:rFonts w:ascii="Arial" w:hAnsi="Arial" w:cs="Arial"/>
          <w:color w:val="auto"/>
        </w:rPr>
      </w:pPr>
      <w:r>
        <w:rPr>
          <w:rFonts w:ascii="Arial" w:hAnsi="Arial" w:cs="Arial"/>
          <w:color w:val="auto"/>
          <w:szCs w:val="21"/>
        </w:rPr>
        <w:t>本保单所载的其他条件不变。</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临时保护措施扩展条款（每次事故赔偿限额：RMB5,000,000，累计赔偿限额：RMB50,000,000）</w:t>
      </w:r>
    </w:p>
    <w:p>
      <w:pPr>
        <w:ind w:firstLine="420" w:firstLineChars="200"/>
        <w:contextualSpacing/>
        <w:rPr>
          <w:rFonts w:ascii="Arial" w:hAnsi="Arial" w:cs="Arial"/>
          <w:color w:val="auto"/>
          <w:szCs w:val="21"/>
        </w:rPr>
      </w:pPr>
      <w:r>
        <w:rPr>
          <w:rFonts w:ascii="Arial" w:hAnsi="Arial" w:cs="Arial"/>
          <w:color w:val="auto"/>
          <w:szCs w:val="21"/>
        </w:rPr>
        <w:t>经双方同意，由于对受损保险标的进行合理的临时或永久性的修理、保护而产生的必要费用，保险人按照本保险合同的约定负责赔偿,</w:t>
      </w:r>
    </w:p>
    <w:p>
      <w:pPr>
        <w:ind w:firstLine="420" w:firstLineChars="200"/>
        <w:contextualSpacing/>
        <w:rPr>
          <w:rFonts w:ascii="Arial" w:hAnsi="Arial" w:cs="Arial"/>
          <w:color w:val="auto"/>
          <w:szCs w:val="21"/>
        </w:rPr>
      </w:pPr>
      <w:r>
        <w:rPr>
          <w:rFonts w:ascii="Arial" w:hAnsi="Arial" w:cs="Arial"/>
          <w:color w:val="auto"/>
          <w:szCs w:val="21"/>
        </w:rPr>
        <w:t>但上述费用仅限于为防止受损保险标的遭受进一步损失所进行的修理、保护而产生的费用。</w:t>
      </w:r>
    </w:p>
    <w:p>
      <w:pPr>
        <w:ind w:firstLine="420" w:firstLineChars="200"/>
        <w:contextualSpacing/>
        <w:rPr>
          <w:rFonts w:ascii="Arial" w:hAnsi="Arial" w:cs="Arial"/>
          <w:color w:val="auto"/>
          <w:szCs w:val="21"/>
        </w:rPr>
      </w:pPr>
      <w:r>
        <w:rPr>
          <w:rFonts w:ascii="Arial" w:hAnsi="Arial" w:cs="Arial"/>
          <w:color w:val="auto"/>
          <w:szCs w:val="21"/>
        </w:rPr>
        <w:t>本附加险条款项下保险人的赔偿责任不超过本保险合同中载明的相应赔偿限额。</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b/>
          <w:bCs/>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临时移动扩展条款（累计赔偿限额：保险金额的10%）</w:t>
      </w:r>
    </w:p>
    <w:p>
      <w:pPr>
        <w:ind w:firstLine="420" w:firstLineChars="200"/>
        <w:contextualSpacing/>
        <w:rPr>
          <w:rFonts w:ascii="Arial" w:hAnsi="Arial" w:cs="Arial"/>
          <w:color w:val="auto"/>
          <w:szCs w:val="21"/>
        </w:rPr>
      </w:pPr>
      <w:r>
        <w:rPr>
          <w:rFonts w:ascii="Arial" w:hAnsi="Arial" w:cs="Arial"/>
          <w:color w:val="auto"/>
          <w:szCs w:val="21"/>
        </w:rPr>
        <w:t>经双方同意，保险标的（不包括存货）因为清洁、改装、维修或其他类似目的而临时移动，或临时从本保险合同中载明地址移动至中华人民共和国境内（不包括香港、澳门、台湾）的任何地方，在陆路、水路、铁路和航空往返运输途中因保险事故造成的损失，保险人按照本保险合同的约定负责赔偿。</w:t>
      </w:r>
    </w:p>
    <w:p>
      <w:pPr>
        <w:ind w:firstLine="420" w:firstLineChars="200"/>
        <w:contextualSpacing/>
        <w:rPr>
          <w:rFonts w:ascii="Arial" w:hAnsi="Arial" w:cs="Arial"/>
          <w:color w:val="auto"/>
          <w:szCs w:val="21"/>
        </w:rPr>
      </w:pPr>
      <w:r>
        <w:rPr>
          <w:rFonts w:ascii="Arial" w:hAnsi="Arial" w:cs="Arial"/>
          <w:color w:val="auto"/>
          <w:szCs w:val="21"/>
        </w:rPr>
        <w:t>本附加险条款项下保险人的赔偿责任不超过本保险合同中载明的相应赔偿限额。</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恐怖主义扩展条款</w:t>
      </w:r>
    </w:p>
    <w:p>
      <w:pPr>
        <w:ind w:firstLine="420" w:firstLineChars="200"/>
        <w:rPr>
          <w:rFonts w:ascii="Arial" w:hAnsi="Arial" w:cs="Arial"/>
          <w:color w:val="auto"/>
          <w:szCs w:val="21"/>
        </w:rPr>
      </w:pPr>
      <w:r>
        <w:rPr>
          <w:rFonts w:ascii="Arial" w:hAnsi="Arial" w:cs="Arial"/>
          <w:color w:val="auto"/>
          <w:szCs w:val="21"/>
        </w:rPr>
        <w:t>经双方同意，由于恐怖活动引起火灾、爆炸而造成保险标的的损失，保险人按照本保险合同的约定负责赔偿。</w:t>
      </w:r>
    </w:p>
    <w:p>
      <w:pPr>
        <w:ind w:firstLine="420" w:firstLineChars="200"/>
        <w:rPr>
          <w:rFonts w:ascii="Arial" w:hAnsi="Arial" w:cs="Arial"/>
          <w:color w:val="auto"/>
          <w:szCs w:val="21"/>
        </w:rPr>
      </w:pPr>
      <w:r>
        <w:rPr>
          <w:rFonts w:ascii="Arial" w:hAnsi="Arial" w:cs="Arial"/>
          <w:color w:val="auto"/>
          <w:szCs w:val="21"/>
        </w:rPr>
        <w:t>但对下列损失不负责赔偿：</w:t>
      </w:r>
    </w:p>
    <w:p>
      <w:pPr>
        <w:ind w:firstLine="420" w:firstLineChars="200"/>
        <w:rPr>
          <w:rFonts w:ascii="Arial" w:hAnsi="Arial" w:cs="Arial"/>
          <w:color w:val="auto"/>
          <w:szCs w:val="21"/>
        </w:rPr>
      </w:pPr>
      <w:r>
        <w:rPr>
          <w:rFonts w:ascii="Arial" w:hAnsi="Arial" w:cs="Arial"/>
          <w:color w:val="auto"/>
          <w:szCs w:val="21"/>
        </w:rPr>
        <w:t>（一）任何精神损失或其他间接损失</w:t>
      </w:r>
    </w:p>
    <w:p>
      <w:pPr>
        <w:ind w:firstLine="420" w:firstLineChars="200"/>
        <w:rPr>
          <w:rFonts w:ascii="Arial" w:hAnsi="Arial" w:cs="Arial"/>
          <w:color w:val="auto"/>
          <w:szCs w:val="21"/>
        </w:rPr>
      </w:pPr>
      <w:r>
        <w:rPr>
          <w:rFonts w:ascii="Arial" w:hAnsi="Arial" w:cs="Arial"/>
          <w:color w:val="auto"/>
          <w:szCs w:val="21"/>
        </w:rPr>
        <w:t>（二）公共当局没收、临时或永久征用所致的损失；</w:t>
      </w:r>
    </w:p>
    <w:p>
      <w:pPr>
        <w:ind w:firstLine="420" w:firstLineChars="200"/>
        <w:rPr>
          <w:rFonts w:ascii="Arial" w:hAnsi="Arial" w:cs="Arial"/>
          <w:color w:val="auto"/>
          <w:szCs w:val="21"/>
        </w:rPr>
      </w:pPr>
      <w:r>
        <w:rPr>
          <w:rFonts w:ascii="Arial" w:hAnsi="Arial" w:cs="Arial"/>
          <w:color w:val="auto"/>
          <w:szCs w:val="21"/>
        </w:rPr>
        <w:t>（三）由于建筑物临时或永久被非法占据所致的损失；</w:t>
      </w:r>
    </w:p>
    <w:p>
      <w:pPr>
        <w:ind w:firstLine="420" w:firstLineChars="200"/>
        <w:rPr>
          <w:rFonts w:ascii="Arial" w:hAnsi="Arial" w:cs="Arial"/>
          <w:color w:val="auto"/>
          <w:szCs w:val="21"/>
        </w:rPr>
      </w:pPr>
      <w:r>
        <w:rPr>
          <w:rFonts w:ascii="Arial" w:hAnsi="Arial" w:cs="Arial"/>
          <w:color w:val="auto"/>
          <w:szCs w:val="21"/>
        </w:rPr>
        <w:t>（四）由于核辐射、核爆炸、核污染及其他放射性污染所致的损失。</w:t>
      </w:r>
    </w:p>
    <w:p>
      <w:pPr>
        <w:ind w:firstLine="420" w:firstLineChars="200"/>
        <w:rPr>
          <w:rFonts w:ascii="Arial" w:hAnsi="Arial" w:cs="Arial"/>
          <w:color w:val="auto"/>
          <w:szCs w:val="21"/>
        </w:rPr>
      </w:pPr>
      <w:r>
        <w:rPr>
          <w:rFonts w:ascii="Arial" w:hAnsi="Arial" w:cs="Arial"/>
          <w:color w:val="auto"/>
          <w:szCs w:val="21"/>
        </w:rPr>
        <w:t>每次事故及累计赔偿限额不超过RMB100,000,000。</w:t>
      </w:r>
    </w:p>
    <w:p>
      <w:pPr>
        <w:ind w:firstLine="420" w:firstLineChars="200"/>
        <w:rPr>
          <w:rFonts w:ascii="Arial" w:hAnsi="Arial" w:cs="Arial"/>
          <w:color w:val="auto"/>
          <w:szCs w:val="21"/>
        </w:rPr>
      </w:pPr>
      <w:r>
        <w:rPr>
          <w:rFonts w:ascii="Arial" w:hAnsi="Arial" w:cs="Arial"/>
          <w:color w:val="auto"/>
          <w:szCs w:val="21"/>
        </w:rPr>
        <w:t>每次事故免赔额：RMB200,000或损失金额的5%，以高者为准。</w:t>
      </w:r>
    </w:p>
    <w:p>
      <w:pPr>
        <w:ind w:firstLine="420" w:firstLineChars="200"/>
        <w:rPr>
          <w:rFonts w:ascii="Arial" w:hAnsi="Arial" w:cs="Arial"/>
          <w:color w:val="auto"/>
          <w:szCs w:val="21"/>
        </w:rPr>
      </w:pPr>
      <w:r>
        <w:rPr>
          <w:rFonts w:ascii="Arial" w:hAnsi="Arial" w:cs="Arial"/>
          <w:color w:val="auto"/>
          <w:szCs w:val="21"/>
        </w:rPr>
        <w:t>“恐怖活动”是指任何人或团体出于政治、宗教、意识形态或类似目的。为影响政府、引起公众或部分公众恐慌，单独或代表或联合其它组织或政府而从事使用暴力，但不仅限于暴力的行为。</w:t>
      </w:r>
    </w:p>
    <w:p>
      <w:pPr>
        <w:ind w:firstLine="420" w:firstLineChars="200"/>
        <w:rPr>
          <w:rFonts w:ascii="Arial" w:hAnsi="Arial" w:cs="Arial"/>
          <w:color w:val="auto"/>
        </w:rPr>
      </w:pPr>
      <w:r>
        <w:rPr>
          <w:rFonts w:ascii="Arial" w:hAnsi="Arial" w:cs="Arial"/>
          <w:color w:val="auto"/>
          <w:szCs w:val="21"/>
        </w:rPr>
        <w:t>本附加条款与主条款内容相悖之处，以本附加条款为准；未尽之处，以主条款为准。</w:t>
      </w:r>
    </w:p>
    <w:p>
      <w:pPr>
        <w:autoSpaceDE w:val="0"/>
        <w:autoSpaceDN w:val="0"/>
        <w:adjustRightInd w:val="0"/>
        <w:spacing w:line="360" w:lineRule="auto"/>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72小时条款</w:t>
      </w:r>
    </w:p>
    <w:p>
      <w:pPr>
        <w:ind w:firstLine="420" w:firstLineChars="200"/>
        <w:rPr>
          <w:rFonts w:ascii="Arial" w:hAnsi="Arial" w:cs="Arial"/>
          <w:color w:val="auto"/>
          <w:szCs w:val="21"/>
        </w:rPr>
      </w:pPr>
      <w:r>
        <w:rPr>
          <w:rFonts w:ascii="Arial" w:hAnsi="Arial" w:cs="Arial"/>
          <w:color w:val="auto"/>
          <w:szCs w:val="21"/>
        </w:rPr>
        <w:t>经双方同意，本保险合同项下保险标的在连续72小时内遭受暴风雨、台风、洪水或地震所致损失应视为一单独事件，在计算赔偿时视为一次保险事故。被保险人可自行决定72小时的起始时间，但若在连续数个72小时时间内发生损失，任何两个或两个以上72小时期限不得重叠。</w:t>
      </w:r>
    </w:p>
    <w:p>
      <w:pPr>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utoSpaceDE w:val="0"/>
        <w:autoSpaceDN w:val="0"/>
        <w:adjustRightInd w:val="0"/>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工人条款</w:t>
      </w:r>
    </w:p>
    <w:p>
      <w:pPr>
        <w:ind w:firstLine="420" w:firstLineChars="200"/>
        <w:rPr>
          <w:rFonts w:ascii="Arial" w:hAnsi="Arial" w:cs="Arial"/>
          <w:color w:val="auto"/>
          <w:szCs w:val="21"/>
        </w:rPr>
      </w:pPr>
      <w:r>
        <w:rPr>
          <w:rFonts w:ascii="Arial" w:hAnsi="Arial" w:cs="Arial"/>
          <w:color w:val="auto"/>
          <w:szCs w:val="21"/>
        </w:rPr>
        <w:t>兹经双方同意并约定，允许工人在营业处所内或周围进行修理或改建，而不应视为是对本保险单条款的违背。本条款的最高赔偿限额不超过：RMB5,000,000 。</w:t>
      </w:r>
    </w:p>
    <w:p>
      <w:pPr>
        <w:ind w:firstLine="420" w:firstLineChars="200"/>
        <w:rPr>
          <w:rFonts w:ascii="Arial" w:hAnsi="Arial" w:cs="Arial"/>
          <w:bCs/>
          <w:color w:val="auto"/>
          <w:sz w:val="24"/>
          <w:szCs w:val="21"/>
          <w:lang w:eastAsia="zh-TW"/>
        </w:rPr>
      </w:pPr>
      <w:r>
        <w:rPr>
          <w:rFonts w:ascii="Arial" w:hAnsi="Arial" w:cs="Arial"/>
          <w:color w:val="auto"/>
          <w:szCs w:val="21"/>
        </w:rPr>
        <w:t>本保险单所载其他条件不变。</w:t>
      </w:r>
    </w:p>
    <w:p>
      <w:pPr>
        <w:autoSpaceDE w:val="0"/>
        <w:autoSpaceDN w:val="0"/>
        <w:adjustRightInd w:val="0"/>
        <w:spacing w:line="360" w:lineRule="auto"/>
        <w:ind w:left="420"/>
        <w:rPr>
          <w:rFonts w:ascii="Arial" w:hAnsi="Arial" w:cs="Arial"/>
          <w:b/>
          <w:bCs/>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放弃代位追偿扩展条款</w:t>
      </w:r>
    </w:p>
    <w:p>
      <w:pPr>
        <w:ind w:firstLine="420" w:firstLineChars="200"/>
        <w:rPr>
          <w:rFonts w:ascii="Arial" w:hAnsi="Arial" w:cs="Arial"/>
          <w:color w:val="auto"/>
          <w:szCs w:val="21"/>
        </w:rPr>
      </w:pPr>
      <w:r>
        <w:rPr>
          <w:rFonts w:ascii="Arial" w:hAnsi="Arial" w:cs="Arial"/>
          <w:color w:val="auto"/>
          <w:szCs w:val="21"/>
        </w:rPr>
        <w:t>经双方同意，保险人同意放弃对下列各方可能拥有的代位求偿权：</w:t>
      </w:r>
    </w:p>
    <w:p>
      <w:pPr>
        <w:ind w:firstLine="420" w:firstLineChars="200"/>
        <w:rPr>
          <w:rFonts w:ascii="Arial" w:hAnsi="Arial" w:cs="Arial"/>
          <w:color w:val="auto"/>
          <w:szCs w:val="21"/>
        </w:rPr>
      </w:pPr>
      <w:r>
        <w:rPr>
          <w:rFonts w:ascii="Arial" w:hAnsi="Arial" w:cs="Arial"/>
          <w:color w:val="auto"/>
          <w:szCs w:val="21"/>
        </w:rPr>
        <w:t>（一）被保险人的关联或联营公司；</w:t>
      </w:r>
    </w:p>
    <w:p>
      <w:pPr>
        <w:ind w:firstLine="420" w:firstLineChars="200"/>
        <w:rPr>
          <w:rFonts w:ascii="Arial" w:hAnsi="Arial" w:cs="Arial"/>
          <w:color w:val="auto"/>
          <w:szCs w:val="21"/>
        </w:rPr>
      </w:pPr>
      <w:r>
        <w:rPr>
          <w:rFonts w:ascii="Arial" w:hAnsi="Arial" w:cs="Arial"/>
          <w:color w:val="auto"/>
          <w:szCs w:val="21"/>
        </w:rPr>
        <w:t>（二）被保险人的子公司或控股公司；</w:t>
      </w:r>
    </w:p>
    <w:p>
      <w:pPr>
        <w:ind w:firstLine="420" w:firstLineChars="200"/>
        <w:rPr>
          <w:rFonts w:ascii="Arial" w:hAnsi="Arial" w:cs="Arial"/>
          <w:color w:val="auto"/>
          <w:szCs w:val="21"/>
        </w:rPr>
      </w:pPr>
      <w:r>
        <w:rPr>
          <w:rFonts w:ascii="Arial" w:hAnsi="Arial" w:cs="Arial"/>
          <w:color w:val="auto"/>
          <w:szCs w:val="21"/>
        </w:rPr>
        <w:t>（三）被保险人的董事、合伙人；</w:t>
      </w:r>
    </w:p>
    <w:p>
      <w:pPr>
        <w:ind w:firstLine="420" w:firstLineChars="200"/>
        <w:rPr>
          <w:rFonts w:ascii="Arial" w:hAnsi="Arial" w:cs="Arial"/>
          <w:color w:val="auto"/>
          <w:szCs w:val="21"/>
        </w:rPr>
      </w:pPr>
      <w:r>
        <w:rPr>
          <w:rFonts w:ascii="Arial" w:hAnsi="Arial" w:cs="Arial"/>
          <w:color w:val="auto"/>
          <w:szCs w:val="21"/>
        </w:rPr>
        <w:t>（四）被保险人的雇员。</w:t>
      </w:r>
    </w:p>
    <w:p>
      <w:pPr>
        <w:ind w:firstLine="420" w:firstLineChars="200"/>
        <w:rPr>
          <w:rFonts w:ascii="Arial" w:hAnsi="Arial" w:cs="Arial"/>
          <w:color w:val="auto"/>
          <w:szCs w:val="21"/>
        </w:rPr>
      </w:pPr>
      <w:r>
        <w:rPr>
          <w:rFonts w:ascii="Arial" w:hAnsi="Arial" w:cs="Arial"/>
          <w:color w:val="auto"/>
          <w:szCs w:val="21"/>
        </w:rPr>
        <w:t>但上述各方的故意行为造成保险事故的，保险人保留代位求偿权。</w:t>
      </w:r>
    </w:p>
    <w:p>
      <w:pPr>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ind w:firstLine="482" w:firstLineChars="200"/>
        <w:rPr>
          <w:rFonts w:ascii="Arial" w:hAnsi="Arial" w:eastAsia="楷体_GB2312" w:cs="Arial"/>
          <w:b/>
          <w:caps/>
          <w:color w:val="auto"/>
          <w:sz w:val="24"/>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未受损地基条款</w:t>
      </w:r>
    </w:p>
    <w:p>
      <w:pPr>
        <w:ind w:firstLine="420" w:firstLineChars="200"/>
        <w:rPr>
          <w:rFonts w:ascii="Arial" w:hAnsi="Arial" w:eastAsia="楷体_GB2312" w:cs="Arial"/>
          <w:b/>
          <w:caps/>
          <w:color w:val="auto"/>
          <w:sz w:val="24"/>
        </w:rPr>
      </w:pPr>
      <w:r>
        <w:rPr>
          <w:rFonts w:ascii="Arial" w:hAnsi="Arial" w:cs="Arial"/>
          <w:color w:val="auto"/>
          <w:szCs w:val="21"/>
        </w:rPr>
        <w:t xml:space="preserve">本保险合同项下发生损失时，如果被保财产的地基未受损或部分受损，那么：　　 </w:t>
      </w:r>
      <w:r>
        <w:rPr>
          <w:rFonts w:ascii="Arial" w:hAnsi="Arial" w:cs="Arial"/>
          <w:color w:val="auto"/>
          <w:szCs w:val="21"/>
        </w:rPr>
        <w:br w:type="textWrapping"/>
      </w:r>
      <w:r>
        <w:rPr>
          <w:rFonts w:ascii="Arial" w:hAnsi="Arial" w:cs="Arial"/>
          <w:color w:val="auto"/>
          <w:szCs w:val="21"/>
        </w:rPr>
        <w:t xml:space="preserve">    A：如果由于政策、法令和行政机构的行为或要求，重置不能在同一地点进行或　　 </w:t>
      </w:r>
      <w:r>
        <w:rPr>
          <w:rFonts w:ascii="Arial" w:hAnsi="Arial" w:cs="Arial"/>
          <w:color w:val="auto"/>
          <w:szCs w:val="21"/>
        </w:rPr>
        <w:br w:type="textWrapping"/>
      </w:r>
      <w:r>
        <w:rPr>
          <w:rFonts w:ascii="Arial" w:hAnsi="Arial" w:cs="Arial"/>
          <w:color w:val="auto"/>
          <w:szCs w:val="21"/>
        </w:rPr>
        <w:t xml:space="preserve">    B：如果由于其他被保财产的损失，该地基被认为不合适或不坚固或不再有价值，则其损失将被认为是全损而被保险人将获得相应的赔偿。　　 </w:t>
      </w:r>
      <w:r>
        <w:rPr>
          <w:rFonts w:ascii="Arial" w:hAnsi="Arial" w:cs="Arial"/>
          <w:color w:val="auto"/>
          <w:szCs w:val="21"/>
        </w:rPr>
        <w:br w:type="textWrapping"/>
      </w:r>
      <w:r>
        <w:rPr>
          <w:rFonts w:ascii="Arial" w:hAnsi="Arial" w:cs="Arial"/>
          <w:color w:val="auto"/>
          <w:szCs w:val="21"/>
        </w:rPr>
        <w:t xml:space="preserve">被保险人清除地基所花费的必要费用也可以获得赔偿。如果废弃地基的存在增加了原建筑物地址的重新销售价值，那么这种重新销售的价值被视为残值，这笔费用相应的由被保险人支付给保险人。　　 </w:t>
      </w:r>
      <w:r>
        <w:rPr>
          <w:rFonts w:ascii="Arial" w:hAnsi="Arial" w:cs="Arial"/>
          <w:color w:val="auto"/>
          <w:szCs w:val="21"/>
        </w:rPr>
        <w:br w:type="textWrapping"/>
      </w:r>
      <w:r>
        <w:rPr>
          <w:rFonts w:ascii="Arial" w:hAnsi="Arial" w:cs="Arial"/>
          <w:color w:val="auto"/>
          <w:szCs w:val="21"/>
        </w:rPr>
        <w:t xml:space="preserve">    本保险合同所载其它条件不变。</w:t>
      </w:r>
    </w:p>
    <w:p>
      <w:pPr>
        <w:rPr>
          <w:rFonts w:ascii="Arial" w:hAnsi="Arial" w:eastAsia="楷体_GB2312" w:cs="Arial"/>
          <w:b/>
          <w:caps/>
          <w:color w:val="auto"/>
          <w:sz w:val="24"/>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供应中断扩展条款B</w:t>
      </w:r>
    </w:p>
    <w:p>
      <w:pPr>
        <w:spacing w:after="156" w:afterLines="50"/>
        <w:ind w:firstLine="420" w:firstLineChars="200"/>
        <w:rPr>
          <w:rFonts w:ascii="Arial" w:hAnsi="Arial" w:cs="Arial"/>
          <w:color w:val="auto"/>
          <w:szCs w:val="21"/>
        </w:rPr>
      </w:pPr>
      <w:r>
        <w:rPr>
          <w:rFonts w:ascii="Arial" w:hAnsi="Arial" w:cs="Arial"/>
          <w:color w:val="auto"/>
          <w:szCs w:val="21"/>
        </w:rPr>
        <w:t>经双方同意，由于本保险合同载明地址内的供应电、水、气及其他能源的设备或本保险合同中载明地址外被保险人所有的上述设备遭受保险事故致使供应中断造成的保险标的的损失，保险人按照本保险合同的约定负责赔偿。</w:t>
      </w:r>
    </w:p>
    <w:p>
      <w:pPr>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spacing w:after="156" w:afterLines="50"/>
        <w:ind w:firstLine="420" w:firstLineChars="200"/>
        <w:rPr>
          <w:rFonts w:ascii="Arial" w:hAnsi="Arial" w:cs="Arial"/>
          <w:color w:val="auto"/>
          <w:szCs w:val="21"/>
        </w:rPr>
      </w:pPr>
    </w:p>
    <w:p>
      <w:pPr>
        <w:widowControl/>
        <w:numPr>
          <w:ilvl w:val="0"/>
          <w:numId w:val="4"/>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建筑物外部附属设施扩展条款B</w:t>
      </w:r>
    </w:p>
    <w:p>
      <w:pPr>
        <w:spacing w:after="156" w:afterLines="50"/>
        <w:ind w:firstLine="420" w:firstLineChars="200"/>
        <w:rPr>
          <w:rFonts w:ascii="Arial" w:hAnsi="Arial" w:cs="Arial"/>
          <w:color w:val="auto"/>
          <w:szCs w:val="21"/>
        </w:rPr>
      </w:pPr>
      <w:r>
        <w:rPr>
          <w:rFonts w:ascii="Arial" w:hAnsi="Arial" w:cs="Arial"/>
          <w:color w:val="auto"/>
          <w:szCs w:val="21"/>
        </w:rPr>
        <w:t>经双方同意，由于暴风、暴雨、龙卷风、台风、飓风、雷电、冰雹、暴雪、冰凌、洪水造成被保险建筑物外部的广告牌、天线、太阳能装置、霓虹灯的直接物质损失，保险人按照本保险合同的约定负责赔偿。</w:t>
      </w:r>
    </w:p>
    <w:p>
      <w:pPr>
        <w:tabs>
          <w:tab w:val="left" w:pos="1800"/>
          <w:tab w:val="left" w:pos="8400"/>
        </w:tabs>
        <w:spacing w:before="156" w:beforeLines="50" w:after="156" w:afterLines="50" w:line="480" w:lineRule="auto"/>
        <w:ind w:left="420" w:leftChars="200" w:firstLine="420" w:firstLineChars="200"/>
        <w:rPr>
          <w:rFonts w:ascii="Arial" w:hAnsi="Arial" w:cs="Arial"/>
          <w:color w:val="auto"/>
          <w:szCs w:val="21"/>
        </w:rPr>
      </w:pPr>
      <w:r>
        <w:rPr>
          <w:rFonts w:ascii="Arial" w:hAnsi="Arial" w:cs="Arial"/>
          <w:color w:val="auto"/>
          <w:szCs w:val="21"/>
        </w:rPr>
        <w:t>被保险人保证按相关规范对上述设施进行定期检查并采取合理的维护措施。</w:t>
      </w:r>
    </w:p>
    <w:p>
      <w:pPr>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rPr>
          <w:rFonts w:ascii="Arial" w:hAnsi="Arial" w:eastAsia="楷体_GB2312" w:cs="Arial"/>
          <w:color w:val="auto"/>
          <w:sz w:val="24"/>
        </w:rPr>
      </w:pPr>
    </w:p>
    <w:p>
      <w:pPr>
        <w:spacing w:after="156" w:afterLines="50"/>
        <w:jc w:val="center"/>
        <w:rPr>
          <w:rFonts w:ascii="Arial" w:hAnsi="Arial" w:cs="Arial"/>
          <w:b/>
          <w:bCs/>
          <w:color w:val="auto"/>
          <w:sz w:val="28"/>
          <w:szCs w:val="28"/>
        </w:rPr>
      </w:pPr>
      <w:r>
        <w:rPr>
          <w:rFonts w:ascii="Arial" w:hAnsi="Arial" w:cs="Arial"/>
          <w:b/>
          <w:bCs/>
          <w:color w:val="auto"/>
          <w:sz w:val="28"/>
          <w:szCs w:val="28"/>
        </w:rPr>
        <w:t>营业中断保险条款</w:t>
      </w:r>
    </w:p>
    <w:p>
      <w:pPr>
        <w:spacing w:after="156" w:afterLines="50"/>
        <w:ind w:firstLine="420" w:firstLineChars="200"/>
        <w:rPr>
          <w:rFonts w:ascii="Arial" w:hAnsi="Arial" w:cs="Arial"/>
          <w:color w:val="auto"/>
          <w:szCs w:val="21"/>
        </w:rPr>
      </w:pPr>
      <w:r>
        <w:rPr>
          <w:rFonts w:ascii="Arial" w:hAnsi="Arial" w:cs="Arial"/>
          <w:color w:val="auto"/>
          <w:szCs w:val="21"/>
        </w:rPr>
        <w:t>总则</w:t>
      </w:r>
    </w:p>
    <w:p>
      <w:pPr>
        <w:spacing w:after="156" w:afterLines="50"/>
        <w:ind w:firstLine="422" w:firstLineChars="200"/>
        <w:jc w:val="left"/>
        <w:rPr>
          <w:rFonts w:ascii="Arial" w:hAnsi="Arial" w:cs="Arial"/>
          <w:color w:val="auto"/>
          <w:szCs w:val="21"/>
        </w:rPr>
      </w:pPr>
      <w:r>
        <w:rPr>
          <w:rFonts w:ascii="Arial" w:hAnsi="Arial" w:cs="Arial"/>
          <w:b/>
          <w:color w:val="auto"/>
          <w:szCs w:val="21"/>
        </w:rPr>
        <w:t>第一条</w:t>
      </w:r>
      <w:r>
        <w:rPr>
          <w:rFonts w:ascii="Arial" w:hAnsi="Arial" w:cs="Arial"/>
          <w:color w:val="auto"/>
          <w:szCs w:val="21"/>
        </w:rPr>
        <w:t xml:space="preserve">  本保险合同由保险条款、投保单、保险单或其他保险凭证以及批单组成。凡涉及本保险合同的约定，均应采用书面形式。</w:t>
      </w:r>
    </w:p>
    <w:p>
      <w:pPr>
        <w:spacing w:after="156" w:afterLines="50"/>
        <w:ind w:firstLine="422" w:firstLineChars="200"/>
        <w:jc w:val="left"/>
        <w:rPr>
          <w:rFonts w:ascii="Arial" w:hAnsi="Arial" w:cs="Arial"/>
          <w:color w:val="auto"/>
          <w:szCs w:val="21"/>
        </w:rPr>
      </w:pPr>
      <w:r>
        <w:rPr>
          <w:rFonts w:ascii="Arial" w:hAnsi="Arial" w:cs="Arial"/>
          <w:b/>
          <w:bCs/>
          <w:color w:val="auto"/>
          <w:kern w:val="0"/>
          <w:szCs w:val="21"/>
        </w:rPr>
        <w:t>第二条</w:t>
      </w:r>
      <w:r>
        <w:rPr>
          <w:rFonts w:ascii="Arial" w:hAnsi="Arial" w:cs="Arial"/>
          <w:color w:val="auto"/>
          <w:kern w:val="0"/>
          <w:szCs w:val="21"/>
        </w:rPr>
        <w:t xml:space="preserve">  投保人应将</w:t>
      </w:r>
      <w:r>
        <w:rPr>
          <w:rFonts w:ascii="Arial" w:hAnsi="Arial" w:cs="Arial"/>
          <w:color w:val="auto"/>
          <w:szCs w:val="21"/>
        </w:rPr>
        <w:t>被保险人在本保险合同载明的营业处所从事载明的经营业务（以下简称“营业”）所使用的物质财产向保险人投保相关的物质财产损失保险。物质财产损失保险合同（以下简称“物质损失保险合同”）号应在本保险合同中载明。</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保险责任</w:t>
      </w:r>
    </w:p>
    <w:p>
      <w:pPr>
        <w:spacing w:before="156" w:beforeLines="50" w:after="156" w:afterLines="50"/>
        <w:ind w:firstLine="482" w:firstLineChars="200"/>
        <w:rPr>
          <w:rFonts w:ascii="Arial" w:hAnsi="Arial" w:cs="Arial"/>
          <w:color w:val="auto"/>
          <w:sz w:val="24"/>
          <w:szCs w:val="21"/>
        </w:rPr>
      </w:pPr>
      <w:r>
        <w:rPr>
          <w:rFonts w:ascii="Arial" w:hAnsi="Arial" w:cs="Arial"/>
          <w:b/>
          <w:bCs/>
          <w:color w:val="auto"/>
          <w:sz w:val="24"/>
          <w:szCs w:val="21"/>
        </w:rPr>
        <w:t>第三条</w:t>
      </w:r>
      <w:r>
        <w:rPr>
          <w:rFonts w:ascii="Arial" w:hAnsi="Arial" w:cs="Arial"/>
          <w:b/>
          <w:color w:val="auto"/>
          <w:sz w:val="24"/>
          <w:szCs w:val="21"/>
        </w:rPr>
        <w:t xml:space="preserve"> </w:t>
      </w:r>
      <w:r>
        <w:rPr>
          <w:rFonts w:ascii="Arial" w:hAnsi="Arial" w:cs="Arial"/>
          <w:color w:val="auto"/>
          <w:sz w:val="24"/>
          <w:szCs w:val="21"/>
        </w:rPr>
        <w:t xml:space="preserve"> 在保险期间内，被保险人因物质损失保险合同主险条款所承保的风险造成营业所使用的物质财产遭受损失（以下简称“物质保险损失”），导致被保险人营业受到干扰或中断，由此产生的赔偿期间内的毛利润损失，保险人按照本保险合同的约定负责赔偿。</w:t>
      </w:r>
    </w:p>
    <w:p>
      <w:pPr>
        <w:spacing w:before="156" w:beforeLines="50" w:after="156" w:afterLines="50"/>
        <w:ind w:firstLine="480" w:firstLineChars="200"/>
        <w:rPr>
          <w:rFonts w:ascii="Arial" w:hAnsi="Arial" w:cs="Arial"/>
          <w:bCs/>
          <w:color w:val="auto"/>
          <w:sz w:val="24"/>
          <w:szCs w:val="21"/>
        </w:rPr>
      </w:pPr>
      <w:r>
        <w:rPr>
          <w:rFonts w:ascii="Arial" w:hAnsi="Arial" w:cs="Arial"/>
          <w:bCs/>
          <w:color w:val="auto"/>
          <w:sz w:val="24"/>
          <w:szCs w:val="21"/>
        </w:rPr>
        <w:t>本保险合同所称赔偿期间是指自物质保险损失发生之日起，被保险人的营业结果因该物质保险损失而受到影响的期间，但该期间最长不得超过本保险合同约定的最大赔偿期。</w:t>
      </w:r>
    </w:p>
    <w:p>
      <w:pPr>
        <w:spacing w:before="156" w:beforeLines="50" w:after="156" w:afterLines="50"/>
        <w:ind w:firstLine="480" w:firstLineChars="200"/>
        <w:rPr>
          <w:rFonts w:ascii="Arial" w:hAnsi="Arial" w:cs="Arial"/>
          <w:bCs/>
          <w:color w:val="auto"/>
          <w:sz w:val="24"/>
          <w:szCs w:val="21"/>
        </w:rPr>
      </w:pPr>
      <w:r>
        <w:rPr>
          <w:rFonts w:ascii="Arial" w:hAnsi="Arial" w:cs="Arial"/>
          <w:bCs/>
          <w:color w:val="auto"/>
          <w:sz w:val="24"/>
          <w:szCs w:val="21"/>
        </w:rPr>
        <w:t>本保险合同所称毛利润是指按照下述公式计算的金额：</w:t>
      </w:r>
    </w:p>
    <w:p>
      <w:pPr>
        <w:spacing w:before="156" w:beforeLines="50" w:after="156" w:afterLines="50"/>
        <w:ind w:firstLine="482" w:firstLineChars="200"/>
        <w:rPr>
          <w:rFonts w:ascii="Arial" w:hAnsi="Arial" w:cs="Arial"/>
          <w:b/>
          <w:bCs/>
          <w:color w:val="auto"/>
          <w:sz w:val="24"/>
          <w:szCs w:val="21"/>
        </w:rPr>
      </w:pPr>
      <w:r>
        <w:rPr>
          <w:rFonts w:ascii="Arial" w:hAnsi="Arial" w:cs="Arial"/>
          <w:b/>
          <w:bCs/>
          <w:color w:val="auto"/>
          <w:sz w:val="24"/>
          <w:szCs w:val="21"/>
        </w:rPr>
        <w:t>毛利润=营业利润+约定的维持费用</w:t>
      </w:r>
    </w:p>
    <w:p>
      <w:pPr>
        <w:spacing w:before="156" w:beforeLines="50" w:after="156" w:afterLines="50"/>
        <w:ind w:firstLine="482" w:firstLineChars="200"/>
        <w:rPr>
          <w:rFonts w:ascii="Arial" w:hAnsi="Arial" w:cs="Arial"/>
          <w:b/>
          <w:bCs/>
          <w:color w:val="auto"/>
          <w:sz w:val="24"/>
          <w:szCs w:val="21"/>
        </w:rPr>
      </w:pPr>
      <w:r>
        <w:rPr>
          <w:rFonts w:ascii="Arial" w:hAnsi="Arial" w:cs="Arial"/>
          <w:b/>
          <w:bCs/>
          <w:color w:val="auto"/>
          <w:sz w:val="24"/>
          <w:szCs w:val="21"/>
        </w:rPr>
        <w:t>或</w:t>
      </w:r>
    </w:p>
    <w:p>
      <w:pPr>
        <w:spacing w:before="156" w:beforeLines="50" w:after="156" w:afterLines="50"/>
        <w:ind w:firstLine="482" w:firstLineChars="200"/>
        <w:rPr>
          <w:rFonts w:ascii="Arial" w:hAnsi="Arial" w:cs="Arial"/>
          <w:b/>
          <w:bCs/>
          <w:color w:val="auto"/>
          <w:sz w:val="24"/>
          <w:szCs w:val="21"/>
        </w:rPr>
      </w:pPr>
      <w:r>
        <w:rPr>
          <w:rFonts w:ascii="Arial" w:hAnsi="Arial" w:cs="Arial"/>
          <w:b/>
          <w:bCs/>
          <w:color w:val="auto"/>
          <w:sz w:val="24"/>
          <w:szCs w:val="21"/>
        </w:rPr>
        <w:t>毛利润=约定的维持费用-营业亏损×约定的维持费用/全部的维持费用</w:t>
      </w:r>
    </w:p>
    <w:p>
      <w:pPr>
        <w:spacing w:before="156" w:beforeLines="50" w:after="156" w:afterLines="50"/>
        <w:ind w:firstLine="480" w:firstLineChars="200"/>
        <w:rPr>
          <w:rFonts w:ascii="Arial" w:hAnsi="Arial" w:cs="Arial"/>
          <w:bCs/>
          <w:color w:val="auto"/>
          <w:sz w:val="24"/>
          <w:szCs w:val="21"/>
        </w:rPr>
      </w:pPr>
      <w:r>
        <w:rPr>
          <w:rFonts w:ascii="Arial" w:hAnsi="Arial" w:cs="Arial"/>
          <w:bCs/>
          <w:color w:val="auto"/>
          <w:sz w:val="24"/>
          <w:szCs w:val="21"/>
        </w:rPr>
        <w:t>本保险合同所称维持费用是指被保险人为维持正常的营业活动而发生的、不随被保险人营业收入的减少而成正比例减少的成本或费用。约定的维持费用由投保人自行确定，经保险人确认后在保险合同中载明。</w:t>
      </w:r>
    </w:p>
    <w:p>
      <w:pPr>
        <w:spacing w:before="156" w:beforeLines="50" w:after="156" w:afterLines="50"/>
        <w:ind w:firstLine="482" w:firstLineChars="200"/>
        <w:rPr>
          <w:rFonts w:ascii="Arial" w:hAnsi="Arial" w:cs="Arial"/>
          <w:b/>
          <w:bCs/>
          <w:color w:val="auto"/>
          <w:sz w:val="24"/>
          <w:szCs w:val="21"/>
        </w:rPr>
      </w:pPr>
      <w:r>
        <w:rPr>
          <w:rFonts w:ascii="Arial" w:hAnsi="Arial" w:cs="Arial"/>
          <w:b/>
          <w:bCs/>
          <w:color w:val="auto"/>
          <w:sz w:val="24"/>
          <w:szCs w:val="21"/>
        </w:rPr>
        <w:t>除另有约定外，上述公式所用的会计措辞的含义与被保险人会计账表中的含义一致。</w:t>
      </w:r>
    </w:p>
    <w:p>
      <w:pPr>
        <w:spacing w:before="156" w:beforeLines="50" w:after="156" w:afterLines="50" w:line="360" w:lineRule="auto"/>
        <w:ind w:firstLine="482" w:firstLineChars="200"/>
        <w:rPr>
          <w:rFonts w:ascii="Arial" w:hAnsi="Arial" w:cs="Arial"/>
          <w:color w:val="auto"/>
          <w:sz w:val="24"/>
          <w:szCs w:val="21"/>
        </w:rPr>
      </w:pPr>
      <w:r>
        <w:rPr>
          <w:rFonts w:ascii="Arial" w:hAnsi="Arial" w:cs="Arial"/>
          <w:b/>
          <w:bCs/>
          <w:color w:val="auto"/>
          <w:sz w:val="24"/>
          <w:szCs w:val="21"/>
        </w:rPr>
        <w:t>第四条</w:t>
      </w:r>
      <w:r>
        <w:rPr>
          <w:rFonts w:ascii="Arial" w:hAnsi="Arial" w:cs="Arial"/>
          <w:b/>
          <w:color w:val="auto"/>
          <w:sz w:val="24"/>
          <w:szCs w:val="21"/>
        </w:rPr>
        <w:t xml:space="preserve">  </w:t>
      </w:r>
      <w:r>
        <w:rPr>
          <w:rFonts w:ascii="Arial" w:hAnsi="Arial" w:cs="Arial"/>
          <w:bCs/>
          <w:color w:val="auto"/>
          <w:sz w:val="24"/>
          <w:szCs w:val="21"/>
        </w:rPr>
        <w:t>发生第三条约定的保险事故后，</w:t>
      </w:r>
      <w:r>
        <w:rPr>
          <w:rFonts w:ascii="Arial" w:hAnsi="Arial" w:cs="Arial"/>
          <w:color w:val="auto"/>
          <w:sz w:val="24"/>
          <w:szCs w:val="21"/>
        </w:rPr>
        <w:t>被保险人申请赔偿时，按照保险人的要求提供有关账表、账表审计结果或其他证据所付给被保险人聘请的注册会计师的合理的、必要的费用（以下简称“审计费用”），保险人在本保险合同约定的赔偿限额内也负责赔偿。</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责任免除</w:t>
      </w:r>
    </w:p>
    <w:p>
      <w:pPr>
        <w:spacing w:after="156" w:afterLines="50"/>
        <w:ind w:firstLine="422" w:firstLineChars="200"/>
        <w:rPr>
          <w:rFonts w:ascii="Arial" w:hAnsi="Arial" w:cs="Arial"/>
          <w:b/>
          <w:color w:val="auto"/>
          <w:szCs w:val="21"/>
        </w:rPr>
      </w:pPr>
      <w:r>
        <w:rPr>
          <w:rFonts w:ascii="Arial" w:hAnsi="Arial" w:cs="Arial"/>
          <w:b/>
          <w:color w:val="auto"/>
          <w:szCs w:val="21"/>
        </w:rPr>
        <w:t>第五条  保险人不负责赔偿下列损失：</w:t>
      </w:r>
    </w:p>
    <w:p>
      <w:pPr>
        <w:spacing w:after="156" w:afterLines="50"/>
        <w:ind w:firstLine="422" w:firstLineChars="200"/>
        <w:rPr>
          <w:rFonts w:ascii="Arial" w:hAnsi="Arial" w:cs="Arial"/>
          <w:b/>
          <w:color w:val="auto"/>
          <w:szCs w:val="21"/>
        </w:rPr>
      </w:pPr>
      <w:r>
        <w:rPr>
          <w:rFonts w:ascii="Arial" w:hAnsi="Arial" w:cs="Arial"/>
          <w:b/>
          <w:color w:val="auto"/>
          <w:szCs w:val="21"/>
        </w:rPr>
        <w:t>（一）投保人、被保险人的故意或重大过失行为产生或扩大的任何损失；</w:t>
      </w:r>
    </w:p>
    <w:p>
      <w:pPr>
        <w:tabs>
          <w:tab w:val="left" w:pos="1800"/>
          <w:tab w:val="left" w:pos="8400"/>
        </w:tabs>
        <w:spacing w:before="156" w:beforeLines="50" w:after="156" w:afterLines="50"/>
        <w:ind w:left="424" w:leftChars="202"/>
        <w:rPr>
          <w:rFonts w:ascii="Arial" w:hAnsi="Arial" w:cs="Arial"/>
          <w:b/>
          <w:color w:val="auto"/>
          <w:szCs w:val="21"/>
        </w:rPr>
      </w:pPr>
      <w:r>
        <w:rPr>
          <w:rFonts w:ascii="Arial" w:hAnsi="Arial" w:cs="Arial"/>
          <w:b/>
          <w:color w:val="auto"/>
          <w:szCs w:val="21"/>
        </w:rPr>
        <w:t>（二）由于物质损失保险合同主险条款责任范围以外的原因产生或扩大的损失</w:t>
      </w:r>
      <w:r>
        <w:rPr>
          <w:rFonts w:ascii="Arial" w:hAnsi="Arial" w:cs="Arial"/>
          <w:b/>
          <w:bCs/>
          <w:color w:val="auto"/>
          <w:szCs w:val="21"/>
        </w:rPr>
        <w:t>；</w:t>
      </w:r>
    </w:p>
    <w:p>
      <w:pPr>
        <w:tabs>
          <w:tab w:val="left" w:pos="1800"/>
          <w:tab w:val="left" w:pos="8400"/>
        </w:tabs>
        <w:spacing w:before="156" w:beforeLines="50" w:after="156" w:afterLines="50"/>
        <w:ind w:left="566" w:leftChars="206" w:hanging="133" w:hangingChars="63"/>
        <w:rPr>
          <w:rFonts w:ascii="Arial" w:hAnsi="Arial" w:cs="Arial"/>
          <w:b/>
          <w:color w:val="auto"/>
          <w:szCs w:val="21"/>
        </w:rPr>
      </w:pPr>
      <w:r>
        <w:rPr>
          <w:rFonts w:ascii="Arial" w:hAnsi="Arial" w:cs="Arial"/>
          <w:b/>
          <w:color w:val="auto"/>
          <w:szCs w:val="21"/>
        </w:rPr>
        <w:t>（三）地震、海啸及其次生灾害产生或扩大的损失；</w:t>
      </w:r>
    </w:p>
    <w:p>
      <w:pPr>
        <w:spacing w:after="156" w:afterLines="50"/>
        <w:ind w:firstLine="422" w:firstLineChars="200"/>
        <w:rPr>
          <w:rFonts w:ascii="Arial" w:hAnsi="Arial" w:cs="Arial"/>
          <w:b/>
          <w:bCs/>
          <w:color w:val="auto"/>
          <w:szCs w:val="21"/>
        </w:rPr>
      </w:pPr>
      <w:r>
        <w:rPr>
          <w:rFonts w:ascii="Arial" w:hAnsi="Arial" w:cs="Arial"/>
          <w:b/>
          <w:bCs/>
          <w:color w:val="auto"/>
          <w:szCs w:val="21"/>
        </w:rPr>
        <w:t>（四）由于政府对受损财产的修建或修复的限制而产生或扩大的损失；</w:t>
      </w:r>
    </w:p>
    <w:p>
      <w:pPr>
        <w:spacing w:after="156" w:afterLines="50"/>
        <w:ind w:firstLine="422" w:firstLineChars="200"/>
        <w:rPr>
          <w:rFonts w:ascii="Arial" w:hAnsi="Arial" w:cs="Arial"/>
          <w:b/>
          <w:bCs/>
          <w:color w:val="auto"/>
          <w:szCs w:val="21"/>
        </w:rPr>
      </w:pPr>
      <w:r>
        <w:rPr>
          <w:rFonts w:ascii="Arial" w:hAnsi="Arial" w:cs="Arial"/>
          <w:b/>
          <w:bCs/>
          <w:color w:val="auto"/>
          <w:szCs w:val="21"/>
        </w:rPr>
        <w:t>（五）恐怖主义活动</w:t>
      </w:r>
      <w:r>
        <w:rPr>
          <w:rFonts w:ascii="Arial" w:hAnsi="Arial" w:cs="Arial"/>
          <w:b/>
          <w:color w:val="auto"/>
          <w:szCs w:val="21"/>
        </w:rPr>
        <w:t>产生或扩大的损失</w:t>
      </w:r>
      <w:r>
        <w:rPr>
          <w:rFonts w:ascii="Arial" w:hAnsi="Arial" w:cs="Arial"/>
          <w:b/>
          <w:bCs/>
          <w:color w:val="auto"/>
          <w:szCs w:val="21"/>
        </w:rPr>
        <w:t>；</w:t>
      </w:r>
    </w:p>
    <w:p>
      <w:pPr>
        <w:spacing w:after="156" w:afterLines="50"/>
        <w:ind w:firstLine="422" w:firstLineChars="200"/>
        <w:rPr>
          <w:rFonts w:ascii="Arial" w:hAnsi="Arial" w:cs="Arial"/>
          <w:b/>
          <w:color w:val="auto"/>
          <w:szCs w:val="21"/>
        </w:rPr>
      </w:pPr>
      <w:r>
        <w:rPr>
          <w:rFonts w:ascii="Arial" w:hAnsi="Arial" w:cs="Arial"/>
          <w:b/>
          <w:bCs/>
          <w:color w:val="auto"/>
          <w:szCs w:val="21"/>
        </w:rPr>
        <w:t>（六）本保险合同载明的免赔额或本保险合同约定的免赔期内的损失。</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保险金额与赔偿限额</w:t>
      </w:r>
    </w:p>
    <w:p>
      <w:pPr>
        <w:spacing w:after="156" w:afterLines="50"/>
        <w:ind w:firstLine="422" w:firstLineChars="200"/>
        <w:rPr>
          <w:rFonts w:ascii="Arial" w:hAnsi="Arial" w:cs="Arial"/>
          <w:color w:val="auto"/>
          <w:szCs w:val="21"/>
        </w:rPr>
      </w:pPr>
      <w:r>
        <w:rPr>
          <w:rFonts w:ascii="Arial" w:hAnsi="Arial" w:cs="Arial"/>
          <w:b/>
          <w:color w:val="auto"/>
          <w:szCs w:val="21"/>
        </w:rPr>
        <w:t>第六条</w:t>
      </w:r>
      <w:r>
        <w:rPr>
          <w:rFonts w:ascii="Arial" w:hAnsi="Arial" w:cs="Arial"/>
          <w:color w:val="auto"/>
          <w:szCs w:val="21"/>
        </w:rPr>
        <w:t xml:space="preserve">  毛利润损失保险金额由投保人自行确定并在保险合同中载明。</w:t>
      </w:r>
    </w:p>
    <w:p>
      <w:pPr>
        <w:spacing w:after="156" w:afterLines="50"/>
        <w:ind w:firstLine="422" w:firstLineChars="200"/>
        <w:rPr>
          <w:rFonts w:ascii="Arial" w:hAnsi="Arial" w:cs="Arial"/>
          <w:color w:val="auto"/>
          <w:szCs w:val="21"/>
        </w:rPr>
      </w:pPr>
      <w:r>
        <w:rPr>
          <w:rFonts w:ascii="Arial" w:hAnsi="Arial" w:cs="Arial"/>
          <w:b/>
          <w:bCs/>
          <w:color w:val="auto"/>
          <w:szCs w:val="21"/>
        </w:rPr>
        <w:t xml:space="preserve">第七条  </w:t>
      </w:r>
      <w:r>
        <w:rPr>
          <w:rFonts w:ascii="Arial" w:hAnsi="Arial" w:cs="Arial"/>
          <w:color w:val="auto"/>
          <w:szCs w:val="21"/>
        </w:rPr>
        <w:t>审计费用赔偿限额由投保人自行确定并在保险合同中载明。</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保险期间与最大赔偿期</w:t>
      </w:r>
    </w:p>
    <w:p>
      <w:pPr>
        <w:spacing w:after="156" w:afterLines="50"/>
        <w:ind w:firstLine="422" w:firstLineChars="200"/>
        <w:rPr>
          <w:rFonts w:ascii="Arial" w:hAnsi="Arial" w:cs="Arial"/>
          <w:color w:val="auto"/>
          <w:szCs w:val="21"/>
        </w:rPr>
      </w:pPr>
      <w:r>
        <w:rPr>
          <w:rFonts w:ascii="Arial" w:hAnsi="Arial" w:cs="Arial"/>
          <w:b/>
          <w:color w:val="auto"/>
          <w:szCs w:val="21"/>
        </w:rPr>
        <w:t xml:space="preserve">第八条  </w:t>
      </w:r>
      <w:r>
        <w:rPr>
          <w:rFonts w:ascii="Arial" w:hAnsi="Arial" w:cs="Arial"/>
          <w:color w:val="auto"/>
          <w:szCs w:val="21"/>
        </w:rPr>
        <w:t>除另有约定外，保险期间为一年，以保险单载明的起讫时间为准。</w:t>
      </w:r>
    </w:p>
    <w:p>
      <w:pPr>
        <w:spacing w:after="156" w:afterLines="50"/>
        <w:ind w:firstLine="422" w:firstLineChars="200"/>
        <w:rPr>
          <w:rFonts w:ascii="Arial" w:hAnsi="Arial" w:cs="Arial"/>
          <w:bCs/>
          <w:color w:val="auto"/>
          <w:szCs w:val="21"/>
        </w:rPr>
      </w:pPr>
      <w:r>
        <w:rPr>
          <w:rFonts w:ascii="Arial" w:hAnsi="Arial" w:cs="Arial"/>
          <w:b/>
          <w:color w:val="auto"/>
          <w:szCs w:val="21"/>
        </w:rPr>
        <w:t xml:space="preserve">第九条  </w:t>
      </w:r>
      <w:r>
        <w:rPr>
          <w:rFonts w:ascii="Arial" w:hAnsi="Arial" w:cs="Arial"/>
          <w:bCs/>
          <w:color w:val="auto"/>
          <w:szCs w:val="21"/>
        </w:rPr>
        <w:t>最大赔偿期由投保人自行确定并在保险合同中载明。</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免赔额与免赔期</w:t>
      </w:r>
    </w:p>
    <w:p>
      <w:pPr>
        <w:spacing w:after="156" w:afterLines="50"/>
        <w:ind w:firstLine="422" w:firstLineChars="200"/>
        <w:rPr>
          <w:rFonts w:ascii="Arial" w:hAnsi="Arial" w:cs="Arial"/>
          <w:bCs/>
          <w:color w:val="auto"/>
          <w:szCs w:val="21"/>
        </w:rPr>
      </w:pPr>
      <w:r>
        <w:rPr>
          <w:rFonts w:ascii="Arial" w:hAnsi="Arial" w:cs="Arial"/>
          <w:b/>
          <w:bCs/>
          <w:color w:val="auto"/>
          <w:szCs w:val="21"/>
        </w:rPr>
        <w:t>第十条</w:t>
      </w:r>
      <w:r>
        <w:rPr>
          <w:rFonts w:ascii="Arial" w:hAnsi="Arial" w:cs="Arial"/>
          <w:color w:val="auto"/>
          <w:szCs w:val="21"/>
        </w:rPr>
        <w:t xml:space="preserve">  免赔额或免赔期由投保人与保险人在订立保险合同时协商确定，并在保险合同中载明。</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保险人义务</w:t>
      </w:r>
    </w:p>
    <w:p>
      <w:pPr>
        <w:spacing w:after="156" w:afterLines="50"/>
        <w:ind w:firstLine="422" w:firstLineChars="200"/>
        <w:rPr>
          <w:rFonts w:ascii="Arial" w:hAnsi="Arial" w:cs="Arial"/>
          <w:bCs/>
          <w:color w:val="auto"/>
          <w:szCs w:val="21"/>
        </w:rPr>
      </w:pPr>
      <w:r>
        <w:rPr>
          <w:rFonts w:ascii="Arial" w:hAnsi="Arial" w:cs="Arial"/>
          <w:b/>
          <w:bCs/>
          <w:color w:val="auto"/>
          <w:szCs w:val="21"/>
        </w:rPr>
        <w:t>第十一条</w:t>
      </w:r>
      <w:r>
        <w:rPr>
          <w:rFonts w:ascii="Arial" w:hAnsi="Arial" w:cs="Arial"/>
          <w:b/>
          <w:color w:val="auto"/>
          <w:szCs w:val="21"/>
        </w:rPr>
        <w:t xml:space="preserve">  </w:t>
      </w:r>
      <w:r>
        <w:rPr>
          <w:rFonts w:ascii="Arial" w:hAnsi="Arial" w:cs="Arial"/>
          <w:color w:val="auto"/>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bCs/>
          <w:color w:val="auto"/>
          <w:szCs w:val="21"/>
        </w:rPr>
        <w:t>第十二条</w:t>
      </w:r>
      <w:r>
        <w:rPr>
          <w:rFonts w:ascii="Arial" w:hAnsi="Arial" w:cs="Arial"/>
          <w:b/>
          <w:color w:val="auto"/>
          <w:szCs w:val="21"/>
        </w:rPr>
        <w:t xml:space="preserve">  </w:t>
      </w:r>
      <w:r>
        <w:rPr>
          <w:rFonts w:ascii="Arial" w:hAnsi="Arial" w:cs="Arial"/>
          <w:bCs/>
          <w:color w:val="auto"/>
          <w:szCs w:val="21"/>
        </w:rPr>
        <w:t>本保险合同成立后，保险人应当及时向投保人签发保险单或其他保险凭证。</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bCs/>
          <w:color w:val="auto"/>
          <w:szCs w:val="21"/>
        </w:rPr>
        <w:t>第十三条</w:t>
      </w:r>
      <w:r>
        <w:rPr>
          <w:rFonts w:ascii="Arial" w:hAnsi="Arial" w:cs="Arial"/>
          <w:b/>
          <w:color w:val="auto"/>
          <w:szCs w:val="21"/>
        </w:rPr>
        <w:t xml:space="preserve">  </w:t>
      </w:r>
      <w:r>
        <w:rPr>
          <w:rFonts w:ascii="Arial" w:hAnsi="Arial" w:cs="Arial"/>
          <w:bCs/>
          <w:color w:val="auto"/>
          <w:szCs w:val="21"/>
        </w:rPr>
        <w:t>保险人依据第十七条所取得的保险合同解除权，自保险人知道有解除事由之日起，超过三十日不行使而消灭。自保险合同成立之日起超过二年的，保险人不得解除合同；发生保险事故的，保险人承担赔偿责任。</w:t>
      </w:r>
    </w:p>
    <w:p>
      <w:pPr>
        <w:adjustRightInd w:val="0"/>
        <w:snapToGrid w:val="0"/>
        <w:spacing w:after="156" w:afterLines="50"/>
        <w:ind w:firstLine="420" w:firstLineChars="200"/>
        <w:jc w:val="left"/>
        <w:rPr>
          <w:rFonts w:ascii="Arial" w:hAnsi="Arial" w:cs="Arial"/>
          <w:bCs/>
          <w:color w:val="auto"/>
          <w:szCs w:val="21"/>
        </w:rPr>
      </w:pPr>
      <w:r>
        <w:rPr>
          <w:rFonts w:ascii="Arial" w:hAnsi="Arial" w:cs="Arial"/>
          <w:bCs/>
          <w:color w:val="auto"/>
          <w:szCs w:val="21"/>
        </w:rPr>
        <w:t>保险人在合同订立时已经知道投保人未如实告知的情况的，保险人不得解除合同；发生保险事故的，保险人应当承担赔偿责任。</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bCs/>
          <w:color w:val="auto"/>
          <w:szCs w:val="21"/>
        </w:rPr>
        <w:t>第十四条</w:t>
      </w:r>
      <w:r>
        <w:rPr>
          <w:rFonts w:ascii="Arial" w:hAnsi="Arial" w:cs="Arial"/>
          <w:b/>
          <w:color w:val="auto"/>
          <w:szCs w:val="21"/>
        </w:rPr>
        <w:t xml:space="preserve">  </w:t>
      </w:r>
      <w:r>
        <w:rPr>
          <w:rFonts w:ascii="Arial" w:hAnsi="Arial" w:cs="Arial"/>
          <w:bCs/>
          <w:color w:val="auto"/>
          <w:szCs w:val="21"/>
        </w:rPr>
        <w:t>保险人按照第二十二条的约定，认为被保险人提供的有关索赔的证明和资料不完整的，应当及时一次性通知投保人、被保险人补充提供。</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bCs/>
          <w:color w:val="auto"/>
          <w:szCs w:val="21"/>
        </w:rPr>
        <w:t>第十五条</w:t>
      </w:r>
      <w:r>
        <w:rPr>
          <w:rFonts w:ascii="Arial" w:hAnsi="Arial" w:cs="Arial"/>
          <w:b/>
          <w:color w:val="auto"/>
          <w:szCs w:val="21"/>
        </w:rPr>
        <w:t xml:space="preserve">  </w:t>
      </w:r>
      <w:r>
        <w:rPr>
          <w:rFonts w:ascii="Arial" w:hAnsi="Arial" w:cs="Arial"/>
          <w:bCs/>
          <w:color w:val="auto"/>
          <w:szCs w:val="21"/>
        </w:rPr>
        <w:t>保险人收到被保险人的赔偿保险金的请求后，应当及时作出是否属于保险责任的核定；情形复杂的，应当在三十日内作出核定，但保险合同另有约定的除外。</w:t>
      </w:r>
    </w:p>
    <w:p>
      <w:pPr>
        <w:adjustRightInd w:val="0"/>
        <w:snapToGrid w:val="0"/>
        <w:spacing w:after="156" w:afterLines="50"/>
        <w:ind w:firstLine="420" w:firstLineChars="200"/>
        <w:jc w:val="left"/>
        <w:rPr>
          <w:rFonts w:ascii="Arial" w:hAnsi="Arial" w:cs="Arial"/>
          <w:bCs/>
          <w:color w:val="auto"/>
          <w:szCs w:val="21"/>
        </w:rPr>
      </w:pPr>
      <w:r>
        <w:rPr>
          <w:rFonts w:ascii="Arial" w:hAnsi="Arial" w:cs="Arial"/>
          <w:bCs/>
          <w:color w:val="auto"/>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bCs/>
          <w:color w:val="auto"/>
          <w:szCs w:val="21"/>
        </w:rPr>
        <w:t>第十六条</w:t>
      </w:r>
      <w:r>
        <w:rPr>
          <w:rFonts w:ascii="Arial" w:hAnsi="Arial" w:cs="Arial"/>
          <w:b/>
          <w:color w:val="auto"/>
          <w:szCs w:val="21"/>
        </w:rPr>
        <w:t xml:space="preserve">  </w:t>
      </w:r>
      <w:r>
        <w:rPr>
          <w:rFonts w:ascii="Arial" w:hAnsi="Arial" w:cs="Arial"/>
          <w:bCs/>
          <w:color w:val="auto"/>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投保人、被保险人义务</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color w:val="auto"/>
          <w:szCs w:val="21"/>
        </w:rPr>
        <w:t>第十七条</w:t>
      </w:r>
      <w:r>
        <w:rPr>
          <w:rFonts w:ascii="Arial" w:hAnsi="Arial" w:cs="Arial"/>
          <w:color w:val="auto"/>
          <w:szCs w:val="21"/>
        </w:rPr>
        <w:t xml:space="preserve">  订立保险合同，保险人就保险标的或者被保险人的有关情况提出询问的，投保人应当如实告知。</w:t>
      </w:r>
    </w:p>
    <w:p>
      <w:pPr>
        <w:adjustRightInd w:val="0"/>
        <w:snapToGrid w:val="0"/>
        <w:spacing w:after="156" w:afterLines="50"/>
        <w:ind w:firstLine="420" w:firstLineChars="200"/>
        <w:jc w:val="left"/>
        <w:rPr>
          <w:rFonts w:ascii="Arial" w:hAnsi="Arial" w:cs="Arial"/>
          <w:bCs/>
          <w:color w:val="auto"/>
          <w:szCs w:val="21"/>
        </w:rPr>
      </w:pPr>
      <w:r>
        <w:rPr>
          <w:rFonts w:ascii="Arial" w:hAnsi="Arial" w:cs="Arial"/>
          <w:color w:val="auto"/>
          <w:szCs w:val="21"/>
        </w:rPr>
        <w:t>投保人故意或者因重大过失未履行前款规定的如实告知义务，足以影响保险人决定是否同意承保或者提高保险费率的，保险人有权解除保险合同。</w:t>
      </w:r>
    </w:p>
    <w:p>
      <w:pPr>
        <w:adjustRightInd w:val="0"/>
        <w:snapToGrid w:val="0"/>
        <w:spacing w:after="156" w:afterLines="50"/>
        <w:ind w:firstLine="422" w:firstLineChars="200"/>
        <w:jc w:val="left"/>
        <w:rPr>
          <w:rFonts w:ascii="Arial" w:hAnsi="Arial" w:cs="Arial"/>
          <w:b/>
          <w:bCs/>
          <w:color w:val="auto"/>
          <w:szCs w:val="21"/>
        </w:rPr>
      </w:pPr>
      <w:r>
        <w:rPr>
          <w:rFonts w:ascii="Arial" w:hAnsi="Arial" w:cs="Arial"/>
          <w:b/>
          <w:color w:val="auto"/>
          <w:szCs w:val="21"/>
        </w:rPr>
        <w:t>投保人故意不履行如实告知义务的，保险人对于合同解除前发生的保险事故，不承担赔偿责任，并不退还保险费。</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color w:val="auto"/>
          <w:szCs w:val="21"/>
        </w:rPr>
        <w:t>投保人因重大过失未履行如实告知义务，对保险事故的发生有严重影响的，保险人对于合同解除前发生的保险事故，不承担赔偿责任，但应当退还保险费。</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color w:val="auto"/>
          <w:szCs w:val="21"/>
        </w:rPr>
        <w:t xml:space="preserve">第十八条  </w:t>
      </w:r>
      <w:r>
        <w:rPr>
          <w:rFonts w:ascii="Arial" w:hAnsi="Arial" w:cs="Arial"/>
          <w:bCs/>
          <w:color w:val="auto"/>
          <w:szCs w:val="21"/>
        </w:rPr>
        <w:t>除另有约定外，</w:t>
      </w:r>
      <w:r>
        <w:rPr>
          <w:rFonts w:ascii="Arial" w:hAnsi="Arial" w:cs="Arial"/>
          <w:color w:val="auto"/>
          <w:szCs w:val="21"/>
        </w:rPr>
        <w:t>投保人应在保险合同成立时一次性支付全部保险费。</w:t>
      </w:r>
      <w:r>
        <w:rPr>
          <w:rFonts w:ascii="Arial" w:hAnsi="Arial" w:cs="Arial"/>
          <w:b/>
          <w:color w:val="auto"/>
          <w:szCs w:val="21"/>
        </w:rPr>
        <w:t>保险费交付前发生的保险事故，保险人不承担赔偿责任。</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color w:val="auto"/>
          <w:szCs w:val="21"/>
        </w:rPr>
        <w:t>第十九条</w:t>
      </w:r>
      <w:r>
        <w:rPr>
          <w:rFonts w:ascii="Arial" w:hAnsi="Arial" w:cs="Arial"/>
          <w:color w:val="auto"/>
          <w:szCs w:val="21"/>
        </w:rPr>
        <w:t xml:space="preserve">  被保险人应当遵守国家有关消防、安全、生产操作、劳动保护等方面规定，加强管理，采取合理的预防措施，尽力避免或减少责任事故的发生，维护保险标的的安全。</w:t>
      </w:r>
    </w:p>
    <w:p>
      <w:pPr>
        <w:adjustRightInd w:val="0"/>
        <w:snapToGrid w:val="0"/>
        <w:spacing w:after="156" w:afterLines="50"/>
        <w:ind w:firstLine="420" w:firstLineChars="200"/>
        <w:jc w:val="left"/>
        <w:rPr>
          <w:rFonts w:ascii="Arial" w:hAnsi="Arial" w:cs="Arial"/>
          <w:bCs/>
          <w:color w:val="auto"/>
          <w:szCs w:val="21"/>
        </w:rPr>
      </w:pPr>
      <w:r>
        <w:rPr>
          <w:rFonts w:ascii="Arial" w:hAnsi="Arial" w:cs="Arial"/>
          <w:color w:val="auto"/>
          <w:szCs w:val="21"/>
        </w:rPr>
        <w:t>保险人可以对被保险人遵守前款约定的情况进行检查，向投保人、被保险人提出消除不安全因素和隐患的书面建议，投保人、被保险人应该认真付诸实施。</w:t>
      </w:r>
    </w:p>
    <w:p>
      <w:pPr>
        <w:adjustRightInd w:val="0"/>
        <w:snapToGrid w:val="0"/>
        <w:spacing w:after="156" w:afterLines="50"/>
        <w:ind w:firstLine="420" w:firstLineChars="200"/>
        <w:jc w:val="left"/>
        <w:rPr>
          <w:rFonts w:ascii="Arial" w:hAnsi="Arial" w:cs="Arial"/>
          <w:bCs/>
          <w:color w:val="auto"/>
          <w:szCs w:val="21"/>
        </w:rPr>
      </w:pPr>
      <w:r>
        <w:rPr>
          <w:rFonts w:ascii="Arial" w:hAnsi="Arial" w:cs="Arial"/>
          <w:color w:val="auto"/>
          <w:szCs w:val="21"/>
        </w:rPr>
        <w:t>投保人、被保险人未按照约定履行其对保险标的的安全应尽责任的，保险人有权要求增加保险费或者解除合同。</w:t>
      </w:r>
    </w:p>
    <w:p>
      <w:pPr>
        <w:spacing w:after="156" w:afterLines="50"/>
        <w:ind w:firstLine="422" w:firstLineChars="200"/>
        <w:rPr>
          <w:rFonts w:ascii="Arial" w:hAnsi="Arial" w:cs="Arial"/>
          <w:color w:val="auto"/>
          <w:szCs w:val="21"/>
        </w:rPr>
      </w:pPr>
      <w:r>
        <w:rPr>
          <w:rFonts w:ascii="Arial" w:hAnsi="Arial" w:cs="Arial"/>
          <w:b/>
          <w:color w:val="auto"/>
          <w:szCs w:val="21"/>
        </w:rPr>
        <w:t>第二十条</w:t>
      </w:r>
      <w:r>
        <w:rPr>
          <w:rFonts w:ascii="Arial" w:hAnsi="Arial" w:cs="Arial"/>
          <w:color w:val="auto"/>
          <w:szCs w:val="21"/>
        </w:rPr>
        <w:t xml:space="preserve">  </w:t>
      </w:r>
      <w:r>
        <w:rPr>
          <w:rFonts w:ascii="Arial" w:hAnsi="Arial" w:cs="Arial"/>
          <w:bCs/>
          <w:color w:val="auto"/>
          <w:szCs w:val="21"/>
        </w:rPr>
        <w:t>在保险期间内，如被保险人在保险合同载明的营业处所经营的业务发生变化、被进行清算或由清算人或财产管理人接管经营，或</w:t>
      </w:r>
      <w:r>
        <w:rPr>
          <w:rFonts w:ascii="Arial" w:hAnsi="Arial" w:cs="Arial"/>
          <w:color w:val="auto"/>
          <w:szCs w:val="21"/>
        </w:rPr>
        <w:t>营业所用的物质财产的风险加大，以及足以影响保险人决定是否继续承保或是否增加保险费的保险合同重要事项变更，被保险人应及时书面通知保险人，保险人有权要求增加保险费或者解除合同。</w:t>
      </w:r>
    </w:p>
    <w:p>
      <w:pPr>
        <w:adjustRightInd w:val="0"/>
        <w:snapToGrid w:val="0"/>
        <w:spacing w:after="156" w:afterLines="50"/>
        <w:ind w:firstLine="422" w:firstLineChars="200"/>
        <w:jc w:val="left"/>
        <w:rPr>
          <w:rFonts w:ascii="Arial" w:hAnsi="Arial" w:cs="Arial"/>
          <w:b/>
          <w:color w:val="auto"/>
          <w:szCs w:val="21"/>
        </w:rPr>
      </w:pPr>
      <w:r>
        <w:rPr>
          <w:rFonts w:ascii="Arial" w:hAnsi="Arial" w:cs="Arial"/>
          <w:b/>
          <w:color w:val="auto"/>
          <w:szCs w:val="21"/>
        </w:rPr>
        <w:t>被保险人未履行前款约定的通知义务的，因保险标的的危险程度显著增加而发生的保险事故，保险人不承担赔偿责任。</w:t>
      </w:r>
    </w:p>
    <w:p>
      <w:pPr>
        <w:adjustRightInd w:val="0"/>
        <w:snapToGrid w:val="0"/>
        <w:spacing w:after="156" w:afterLines="50"/>
        <w:ind w:firstLine="422" w:firstLineChars="200"/>
        <w:jc w:val="left"/>
        <w:rPr>
          <w:rFonts w:ascii="Arial" w:hAnsi="Arial" w:cs="Arial"/>
          <w:bCs/>
          <w:color w:val="auto"/>
          <w:szCs w:val="21"/>
        </w:rPr>
      </w:pPr>
      <w:r>
        <w:rPr>
          <w:rFonts w:ascii="Arial" w:hAnsi="Arial" w:cs="Arial"/>
          <w:b/>
          <w:color w:val="auto"/>
          <w:szCs w:val="21"/>
        </w:rPr>
        <w:t>第二十一条</w:t>
      </w:r>
      <w:r>
        <w:rPr>
          <w:rFonts w:ascii="Arial" w:hAnsi="Arial" w:cs="Arial"/>
          <w:color w:val="auto"/>
          <w:szCs w:val="21"/>
        </w:rPr>
        <w:t xml:space="preserve">  知道保险事故发生后，被保险人应当：</w:t>
      </w:r>
    </w:p>
    <w:p>
      <w:pPr>
        <w:tabs>
          <w:tab w:val="left" w:pos="1800"/>
          <w:tab w:val="left" w:pos="8400"/>
        </w:tabs>
        <w:spacing w:before="156" w:beforeLines="50" w:after="156" w:afterLines="50" w:line="480" w:lineRule="auto"/>
        <w:ind w:left="420" w:leftChars="200" w:firstLine="422" w:firstLineChars="200"/>
        <w:rPr>
          <w:rFonts w:ascii="Arial" w:hAnsi="Arial" w:cs="Arial"/>
          <w:b/>
          <w:bCs/>
          <w:color w:val="auto"/>
          <w:szCs w:val="21"/>
        </w:rPr>
      </w:pPr>
      <w:r>
        <w:rPr>
          <w:rFonts w:ascii="Arial" w:hAnsi="Arial" w:cs="Arial"/>
          <w:b/>
          <w:color w:val="auto"/>
          <w:szCs w:val="21"/>
        </w:rPr>
        <w:t>（一）尽力采取必要、合理的措施以修理、修</w:t>
      </w:r>
      <w:r>
        <w:rPr>
          <w:rFonts w:ascii="Arial" w:hAnsi="Arial" w:cs="Arial"/>
          <w:b/>
          <w:bCs/>
          <w:color w:val="auto"/>
          <w:szCs w:val="21"/>
        </w:rPr>
        <w:t>复营业所用的受损的物质财产，尽快恢复营业以防止或减少因营业受到干扰或中断所造成的</w:t>
      </w:r>
      <w:r>
        <w:rPr>
          <w:rFonts w:ascii="Arial" w:hAnsi="Arial" w:cs="Arial"/>
          <w:b/>
          <w:color w:val="auto"/>
          <w:szCs w:val="21"/>
        </w:rPr>
        <w:t>损失，</w:t>
      </w:r>
      <w:r>
        <w:rPr>
          <w:rFonts w:ascii="Arial" w:hAnsi="Arial" w:cs="Arial"/>
          <w:color w:val="auto"/>
          <w:szCs w:val="21"/>
        </w:rPr>
        <w:t>否则，对因此扩大的损失，保险人不承担赔偿责任</w:t>
      </w:r>
      <w:r>
        <w:rPr>
          <w:rFonts w:ascii="Arial" w:hAnsi="Arial" w:cs="Arial"/>
          <w:b/>
          <w:color w:val="auto"/>
          <w:szCs w:val="21"/>
        </w:rPr>
        <w:t>；</w:t>
      </w:r>
    </w:p>
    <w:p>
      <w:pPr>
        <w:spacing w:after="156" w:afterLines="50"/>
        <w:ind w:firstLine="420" w:firstLineChars="200"/>
        <w:rPr>
          <w:rFonts w:ascii="Arial" w:hAnsi="Arial" w:cs="Arial"/>
          <w:color w:val="auto"/>
          <w:szCs w:val="21"/>
        </w:rPr>
      </w:pPr>
      <w:r>
        <w:rPr>
          <w:rFonts w:ascii="Arial" w:hAnsi="Arial" w:cs="Arial"/>
          <w:color w:val="auto"/>
          <w:szCs w:val="21"/>
        </w:rPr>
        <w:t>（二）立即通知保险人，并书面说明事故发生的原因、经过和损失情况；</w:t>
      </w:r>
      <w:r>
        <w:rPr>
          <w:rFonts w:ascii="Arial" w:hAnsi="Arial" w:cs="Arial"/>
          <w:b/>
          <w:color w:val="auto"/>
          <w:szCs w:val="21"/>
        </w:rPr>
        <w:t>故意或者因重大过失未及时通知，致使保险事故的性质、原因、损失程度等难以确定的，保险人对无法确定的部分，不承担赔偿责任，</w:t>
      </w:r>
      <w:r>
        <w:rPr>
          <w:rFonts w:ascii="Arial" w:hAnsi="Arial" w:cs="Arial"/>
          <w:color w:val="auto"/>
          <w:szCs w:val="21"/>
        </w:rPr>
        <w:t>但保险人通过其他途径已经及时知道或者应当及时知道保险事故发生的除外；</w:t>
      </w:r>
    </w:p>
    <w:p>
      <w:pPr>
        <w:tabs>
          <w:tab w:val="left" w:pos="1800"/>
          <w:tab w:val="left" w:pos="8400"/>
        </w:tabs>
        <w:spacing w:before="156" w:beforeLines="50" w:after="156" w:afterLines="50" w:line="480" w:lineRule="auto"/>
        <w:ind w:left="420" w:leftChars="200" w:firstLine="422" w:firstLineChars="200"/>
        <w:rPr>
          <w:rFonts w:ascii="Arial" w:hAnsi="Arial" w:cs="Arial"/>
          <w:b/>
          <w:color w:val="auto"/>
          <w:szCs w:val="21"/>
        </w:rPr>
      </w:pPr>
      <w:r>
        <w:rPr>
          <w:rFonts w:ascii="Arial" w:hAnsi="Arial" w:cs="Arial"/>
          <w:b/>
          <w:color w:val="auto"/>
          <w:szCs w:val="21"/>
        </w:rPr>
        <w:t>（三）</w:t>
      </w:r>
      <w:r>
        <w:rPr>
          <w:rFonts w:ascii="Arial" w:hAnsi="Arial" w:cs="Arial"/>
          <w:b/>
          <w:bCs/>
          <w:color w:val="auto"/>
          <w:szCs w:val="21"/>
        </w:rPr>
        <w:t>保护事故现场，</w:t>
      </w:r>
      <w:r>
        <w:rPr>
          <w:rFonts w:ascii="Arial" w:hAnsi="Arial" w:cs="Arial"/>
          <w:b/>
          <w:color w:val="auto"/>
          <w:szCs w:val="21"/>
        </w:rPr>
        <w:t>允许并且协助保险人进行事故原因和损失情况的调查，以及对被保险人相关的会计凭证和账表的检查；</w:t>
      </w:r>
      <w:r>
        <w:rPr>
          <w:rFonts w:ascii="Arial" w:hAnsi="Arial" w:cs="Arial"/>
          <w:color w:val="auto"/>
          <w:szCs w:val="21"/>
        </w:rPr>
        <w:t>对于拒绝或者妨碍保险人进行上述调查或检查导致无法确定事故原因或核实损失情况的，保险人对无法核实的部分不承担赔偿责任。</w:t>
      </w:r>
    </w:p>
    <w:p>
      <w:pPr>
        <w:spacing w:after="156" w:afterLines="50"/>
        <w:ind w:firstLine="422" w:firstLineChars="200"/>
        <w:rPr>
          <w:rFonts w:ascii="Arial" w:hAnsi="Arial" w:cs="Arial"/>
          <w:color w:val="auto"/>
          <w:szCs w:val="21"/>
        </w:rPr>
      </w:pPr>
      <w:r>
        <w:rPr>
          <w:rFonts w:ascii="Arial" w:hAnsi="Arial" w:cs="Arial"/>
          <w:b/>
          <w:color w:val="auto"/>
          <w:szCs w:val="21"/>
        </w:rPr>
        <w:t>第二十二条</w:t>
      </w:r>
      <w:r>
        <w:rPr>
          <w:rFonts w:ascii="Arial" w:hAnsi="Arial" w:cs="Arial"/>
          <w:color w:val="auto"/>
          <w:szCs w:val="21"/>
        </w:rPr>
        <w:t xml:space="preserve">  被保险人请求赔偿时，应向保险人提供下列证明和资料：</w:t>
      </w:r>
    </w:p>
    <w:p>
      <w:pPr>
        <w:spacing w:after="156" w:afterLines="50"/>
        <w:ind w:firstLine="420" w:firstLineChars="200"/>
        <w:rPr>
          <w:rFonts w:ascii="Arial" w:hAnsi="Arial" w:cs="Arial"/>
          <w:color w:val="auto"/>
          <w:szCs w:val="21"/>
        </w:rPr>
      </w:pPr>
      <w:r>
        <w:rPr>
          <w:rFonts w:ascii="Arial" w:hAnsi="Arial" w:cs="Arial"/>
          <w:color w:val="auto"/>
          <w:szCs w:val="21"/>
        </w:rPr>
        <w:t>（一）保险单正本、索赔申请、财产损失清单、技术鉴定证明、事故报告书、救护费用发票、相关的会计凭证及账表、单据和有关部门的证明；</w:t>
      </w:r>
    </w:p>
    <w:p>
      <w:pPr>
        <w:spacing w:after="156" w:afterLines="50"/>
        <w:ind w:firstLine="420" w:firstLineChars="200"/>
        <w:rPr>
          <w:rFonts w:ascii="Arial" w:hAnsi="Arial" w:cs="Arial"/>
          <w:color w:val="auto"/>
          <w:szCs w:val="21"/>
        </w:rPr>
      </w:pPr>
      <w:r>
        <w:rPr>
          <w:rFonts w:ascii="Arial" w:hAnsi="Arial" w:cs="Arial"/>
          <w:color w:val="auto"/>
          <w:szCs w:val="21"/>
        </w:rPr>
        <w:t>（二）投保人、被保险人所能提供的与确认保险事故的性质、原因、损失程度等有关的其他证明和资料。</w:t>
      </w:r>
    </w:p>
    <w:p>
      <w:pPr>
        <w:spacing w:after="156" w:afterLines="50"/>
        <w:ind w:firstLine="422" w:firstLineChars="200"/>
        <w:rPr>
          <w:rFonts w:ascii="Arial" w:hAnsi="Arial" w:cs="Arial"/>
          <w:color w:val="auto"/>
          <w:szCs w:val="21"/>
        </w:rPr>
      </w:pPr>
      <w:r>
        <w:rPr>
          <w:rFonts w:ascii="Arial" w:hAnsi="Arial" w:cs="Arial"/>
          <w:b/>
          <w:color w:val="auto"/>
          <w:szCs w:val="21"/>
        </w:rPr>
        <w:t>投保人、被保险人未履行前款约定的单证提供义务，导致保险人无法核实损失情况的，保险人对无法核实的部分不承担赔偿责任。</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赔偿处理</w:t>
      </w:r>
    </w:p>
    <w:p>
      <w:pPr>
        <w:spacing w:after="156" w:afterLines="50"/>
        <w:ind w:firstLine="422" w:firstLineChars="200"/>
        <w:rPr>
          <w:rFonts w:ascii="Arial" w:hAnsi="Arial" w:cs="Arial"/>
          <w:bCs/>
          <w:color w:val="auto"/>
          <w:szCs w:val="21"/>
        </w:rPr>
      </w:pPr>
      <w:r>
        <w:rPr>
          <w:rFonts w:ascii="Arial" w:hAnsi="Arial" w:cs="Arial"/>
          <w:b/>
          <w:color w:val="auto"/>
          <w:szCs w:val="21"/>
        </w:rPr>
        <w:t>第二十三条</w:t>
      </w:r>
      <w:r>
        <w:rPr>
          <w:rFonts w:ascii="Arial" w:hAnsi="Arial" w:cs="Arial"/>
          <w:color w:val="auto"/>
          <w:szCs w:val="21"/>
        </w:rPr>
        <w:t xml:space="preserve">  </w:t>
      </w:r>
      <w:r>
        <w:rPr>
          <w:rFonts w:ascii="Arial" w:hAnsi="Arial" w:cs="Arial"/>
          <w:b/>
          <w:bCs/>
          <w:color w:val="auto"/>
          <w:szCs w:val="21"/>
        </w:rPr>
        <w:t>发生保险事故后，被保险人</w:t>
      </w:r>
      <w:r>
        <w:rPr>
          <w:rFonts w:ascii="Arial" w:hAnsi="Arial" w:cs="Arial"/>
          <w:b/>
          <w:color w:val="auto"/>
          <w:szCs w:val="21"/>
        </w:rPr>
        <w:t>在物质损失</w:t>
      </w:r>
      <w:r>
        <w:rPr>
          <w:rFonts w:ascii="Arial" w:hAnsi="Arial" w:cs="Arial"/>
          <w:b/>
          <w:bCs/>
          <w:color w:val="auto"/>
          <w:szCs w:val="21"/>
        </w:rPr>
        <w:t>保险合同主险条款项下取得赔款或其保险责任已获保险人认定，是保险人承担本保险合同项下赔偿责任的前提条件。</w:t>
      </w:r>
    </w:p>
    <w:p>
      <w:pPr>
        <w:spacing w:after="156" w:afterLines="50"/>
        <w:ind w:firstLine="420" w:firstLineChars="200"/>
        <w:rPr>
          <w:rFonts w:ascii="Arial" w:hAnsi="Arial" w:cs="Arial"/>
          <w:color w:val="auto"/>
          <w:szCs w:val="21"/>
        </w:rPr>
      </w:pPr>
      <w:r>
        <w:rPr>
          <w:rFonts w:ascii="Arial" w:hAnsi="Arial" w:cs="Arial"/>
          <w:bCs/>
          <w:color w:val="auto"/>
          <w:szCs w:val="21"/>
        </w:rPr>
        <w:t>如被保险人因物质损失保险合同主险条款项下的免赔额而无法获得该合同项下的赔款，则不受本条前款约定所限。</w:t>
      </w:r>
    </w:p>
    <w:p>
      <w:pPr>
        <w:spacing w:before="156" w:beforeLines="50" w:after="156" w:afterLines="50" w:line="360" w:lineRule="auto"/>
        <w:ind w:firstLine="482" w:firstLineChars="200"/>
        <w:rPr>
          <w:rFonts w:ascii="Arial" w:hAnsi="Arial" w:cs="Arial"/>
          <w:color w:val="auto"/>
          <w:sz w:val="24"/>
          <w:szCs w:val="21"/>
        </w:rPr>
      </w:pPr>
      <w:r>
        <w:rPr>
          <w:rFonts w:ascii="Arial" w:hAnsi="Arial" w:cs="Arial"/>
          <w:b/>
          <w:color w:val="auto"/>
          <w:sz w:val="24"/>
          <w:szCs w:val="21"/>
        </w:rPr>
        <w:t>第二十四条</w:t>
      </w:r>
      <w:r>
        <w:rPr>
          <w:rFonts w:ascii="Arial" w:hAnsi="Arial" w:cs="Arial"/>
          <w:color w:val="auto"/>
          <w:sz w:val="24"/>
          <w:szCs w:val="21"/>
        </w:rPr>
        <w:t xml:space="preserve">  赔偿期间内的毛利润损失为分别按照营业收入的减少和经营费用的增加计算的损失之和，扣除在赔偿期间内被保险人因保险事故的发生而从毛利润中减少或停止支付的费用：</w:t>
      </w:r>
    </w:p>
    <w:p>
      <w:pPr>
        <w:autoSpaceDE w:val="0"/>
        <w:autoSpaceDN w:val="0"/>
        <w:adjustRightInd w:val="0"/>
        <w:spacing w:after="156" w:afterLines="50"/>
        <w:ind w:firstLine="420" w:firstLineChars="200"/>
        <w:rPr>
          <w:rFonts w:ascii="Arial" w:hAnsi="Arial" w:cs="Arial"/>
          <w:color w:val="auto"/>
          <w:szCs w:val="21"/>
        </w:rPr>
      </w:pPr>
      <w:r>
        <w:rPr>
          <w:rFonts w:ascii="Arial" w:hAnsi="Arial" w:cs="Arial"/>
          <w:color w:val="auto"/>
          <w:szCs w:val="21"/>
        </w:rPr>
        <w:t>（一）因营业收入减少导致的损失为毛利润率乘以赔偿期间内的实际营业收入与标准营业收入的差额，即：</w:t>
      </w:r>
    </w:p>
    <w:p>
      <w:pPr>
        <w:autoSpaceDE w:val="0"/>
        <w:autoSpaceDN w:val="0"/>
        <w:adjustRightInd w:val="0"/>
        <w:spacing w:after="156" w:afterLines="50"/>
        <w:ind w:firstLine="420" w:firstLineChars="200"/>
        <w:rPr>
          <w:rFonts w:ascii="Arial" w:hAnsi="Arial" w:cs="Arial"/>
          <w:color w:val="auto"/>
          <w:szCs w:val="21"/>
        </w:rPr>
      </w:pPr>
      <w:r>
        <w:rPr>
          <w:rFonts w:ascii="Arial" w:hAnsi="Arial" w:cs="Arial"/>
          <w:color w:val="auto"/>
          <w:szCs w:val="21"/>
        </w:rPr>
        <w:t>毛利润率×（标准营业收入－赔偿期间内的实际营业收入）</w:t>
      </w:r>
    </w:p>
    <w:p>
      <w:pPr>
        <w:autoSpaceDE w:val="0"/>
        <w:autoSpaceDN w:val="0"/>
        <w:adjustRightInd w:val="0"/>
        <w:spacing w:after="156" w:afterLines="50"/>
        <w:ind w:left="-60" w:firstLine="420" w:firstLineChars="200"/>
        <w:rPr>
          <w:rFonts w:ascii="Arial" w:hAnsi="Arial" w:cs="Arial"/>
          <w:color w:val="auto"/>
          <w:szCs w:val="21"/>
        </w:rPr>
      </w:pPr>
      <w:r>
        <w:rPr>
          <w:rFonts w:ascii="Arial" w:hAnsi="Arial" w:cs="Arial"/>
          <w:color w:val="auto"/>
          <w:szCs w:val="21"/>
        </w:rPr>
        <w:t>本保险合同所称营业收入是指被保险人在营业过程中，因销售商品、提供劳务或者让渡资产使用权等实现的收入金额。</w:t>
      </w:r>
    </w:p>
    <w:p>
      <w:pPr>
        <w:tabs>
          <w:tab w:val="left" w:pos="2730"/>
        </w:tabs>
        <w:autoSpaceDE w:val="0"/>
        <w:autoSpaceDN w:val="0"/>
        <w:adjustRightInd w:val="0"/>
        <w:spacing w:after="156" w:afterLines="50"/>
        <w:ind w:left="-60" w:firstLine="420" w:firstLineChars="200"/>
        <w:rPr>
          <w:rFonts w:ascii="Arial" w:hAnsi="Arial" w:cs="Arial"/>
          <w:color w:val="auto"/>
          <w:szCs w:val="21"/>
        </w:rPr>
      </w:pPr>
      <w:r>
        <w:rPr>
          <w:rFonts w:ascii="Arial" w:hAnsi="Arial" w:cs="Arial"/>
          <w:color w:val="auto"/>
          <w:szCs w:val="21"/>
        </w:rPr>
        <w:t>本保险合同所称毛利润率是指发生物质保险损失之日前最近一个完整的会计年度内的毛利润与营业收入的比率。</w:t>
      </w:r>
    </w:p>
    <w:p>
      <w:pPr>
        <w:autoSpaceDE w:val="0"/>
        <w:autoSpaceDN w:val="0"/>
        <w:adjustRightInd w:val="0"/>
        <w:spacing w:after="156" w:afterLines="50"/>
        <w:ind w:left="-60" w:firstLine="420" w:firstLineChars="200"/>
        <w:rPr>
          <w:rFonts w:ascii="Arial" w:hAnsi="Arial" w:cs="Arial"/>
          <w:color w:val="auto"/>
          <w:szCs w:val="21"/>
        </w:rPr>
      </w:pPr>
      <w:r>
        <w:rPr>
          <w:rFonts w:ascii="Arial" w:hAnsi="Arial" w:cs="Arial"/>
          <w:color w:val="auto"/>
          <w:szCs w:val="21"/>
        </w:rPr>
        <w:t>本保险合同所称标准营业收入是指发生物质保险损失之日前十二个月中与赔偿期间对应的日历期间的营业收入。</w:t>
      </w:r>
    </w:p>
    <w:p>
      <w:pPr>
        <w:autoSpaceDE w:val="0"/>
        <w:autoSpaceDN w:val="0"/>
        <w:adjustRightInd w:val="0"/>
        <w:spacing w:after="156" w:afterLines="50"/>
        <w:ind w:left="-60" w:firstLine="420" w:firstLineChars="200"/>
        <w:rPr>
          <w:rFonts w:ascii="Arial" w:hAnsi="Arial" w:cs="Arial"/>
          <w:color w:val="auto"/>
          <w:szCs w:val="21"/>
        </w:rPr>
      </w:pPr>
      <w:r>
        <w:rPr>
          <w:rFonts w:ascii="Arial" w:hAnsi="Arial" w:cs="Arial"/>
          <w:color w:val="auto"/>
          <w:szCs w:val="21"/>
        </w:rPr>
        <w:t>在赔偿期间内，被保险人或他人代其在保险合同载明的营业处所以外的地点从事保险合同载明的经营业务而取得的营业收入，应计算在赔偿期间内的实际营业收入内。</w:t>
      </w:r>
    </w:p>
    <w:p>
      <w:pPr>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二）经营费用增加导致的损失是指被保险人专门为避免或降低赔偿期间内营业收入的减少而额外支出的必要的、合理的经营费用或成本；如果不予支出，则赔偿期间内的营业收入就会因保险事故的发生而降低。但该项损失以不超过毛利润率乘以因花费该经营费用而避免降低的营业收入为限。</w:t>
      </w:r>
    </w:p>
    <w:p>
      <w:pPr>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若投保人确定的维持费用仅包括营业所需的部分维持费用，则保险人对额外增加的经营费用的赔偿金额按照该经营费用乘以毛利润与毛利润加上未承保的维持费用的比例计算，即：</w:t>
      </w:r>
    </w:p>
    <w:p>
      <w:pPr>
        <w:spacing w:before="156" w:beforeLines="50" w:after="156" w:afterLines="50" w:line="360" w:lineRule="auto"/>
        <w:ind w:left="420" w:leftChars="200" w:firstLine="480" w:firstLineChars="200"/>
        <w:rPr>
          <w:rFonts w:ascii="Arial" w:hAnsi="Arial" w:cs="Arial"/>
          <w:color w:val="auto"/>
          <w:sz w:val="24"/>
          <w:szCs w:val="21"/>
        </w:rPr>
      </w:pPr>
      <w:r>
        <w:rPr>
          <w:rFonts w:ascii="Arial" w:hAnsi="Arial" w:cs="Arial"/>
          <w:color w:val="auto"/>
          <w:sz w:val="24"/>
          <w:szCs w:val="21"/>
        </w:rPr>
        <w:t>增加的经营费用×毛利润/（毛利润+未承保的维持费用）</w:t>
      </w:r>
    </w:p>
    <w:p>
      <w:pPr>
        <w:spacing w:after="156" w:afterLines="50"/>
        <w:ind w:firstLine="422" w:firstLineChars="200"/>
        <w:rPr>
          <w:rFonts w:ascii="Arial" w:hAnsi="Arial" w:cs="Arial"/>
          <w:color w:val="auto"/>
          <w:szCs w:val="21"/>
        </w:rPr>
      </w:pPr>
      <w:r>
        <w:rPr>
          <w:rFonts w:ascii="Arial" w:hAnsi="Arial" w:cs="Arial"/>
          <w:b/>
          <w:color w:val="auto"/>
          <w:szCs w:val="21"/>
        </w:rPr>
        <w:t>第二十五条</w:t>
      </w:r>
      <w:r>
        <w:rPr>
          <w:rFonts w:ascii="Arial" w:hAnsi="Arial" w:cs="Arial"/>
          <w:bCs/>
          <w:color w:val="auto"/>
          <w:szCs w:val="21"/>
        </w:rPr>
        <w:t xml:space="preserve">  若最大赔偿期小于或等于十二个月，且</w:t>
      </w:r>
      <w:r>
        <w:rPr>
          <w:rFonts w:ascii="Arial" w:hAnsi="Arial" w:cs="Arial"/>
          <w:color w:val="auto"/>
          <w:szCs w:val="21"/>
        </w:rPr>
        <w:t>保险金额低于毛利润率与年度营业收入的乘积，则保险人对毛利润损失的赔偿金额应按保险金额和前述乘积的比例计算确定，即：</w:t>
      </w:r>
    </w:p>
    <w:p>
      <w:pPr>
        <w:spacing w:after="156" w:afterLines="50"/>
        <w:ind w:firstLine="420" w:firstLineChars="200"/>
        <w:rPr>
          <w:rFonts w:ascii="Arial" w:hAnsi="Arial" w:cs="Arial"/>
          <w:color w:val="auto"/>
          <w:szCs w:val="21"/>
        </w:rPr>
      </w:pPr>
      <w:r>
        <w:rPr>
          <w:rFonts w:ascii="Arial" w:hAnsi="Arial" w:cs="Arial"/>
          <w:color w:val="auto"/>
          <w:szCs w:val="21"/>
        </w:rPr>
        <w:t>赔偿金额＝毛利润损失×保险金额/（毛利润率×年度营业收入）</w:t>
      </w:r>
    </w:p>
    <w:p>
      <w:pPr>
        <w:spacing w:after="156" w:afterLines="50"/>
        <w:ind w:firstLine="420" w:firstLineChars="200"/>
        <w:rPr>
          <w:rFonts w:ascii="Arial" w:hAnsi="Arial" w:cs="Arial"/>
          <w:color w:val="auto"/>
          <w:szCs w:val="21"/>
        </w:rPr>
      </w:pPr>
      <w:r>
        <w:rPr>
          <w:rFonts w:ascii="Arial" w:hAnsi="Arial" w:cs="Arial"/>
          <w:color w:val="auto"/>
          <w:szCs w:val="21"/>
        </w:rPr>
        <w:t>若最大赔偿期大于十二个月，且保险金额低于毛利润率与年度营业收入及最大赔偿期与十二个月的比例的乘积，则保险人对毛利润损失的赔偿金额应按保险金额和前述乘积的比例计算确定，即：</w:t>
      </w:r>
    </w:p>
    <w:p>
      <w:pPr>
        <w:spacing w:after="156" w:afterLines="50"/>
        <w:ind w:firstLine="420" w:firstLineChars="200"/>
        <w:rPr>
          <w:rFonts w:ascii="Arial" w:hAnsi="Arial" w:cs="Arial"/>
          <w:color w:val="auto"/>
          <w:szCs w:val="21"/>
        </w:rPr>
      </w:pPr>
      <w:r>
        <w:rPr>
          <w:rFonts w:ascii="Arial" w:hAnsi="Arial" w:cs="Arial"/>
          <w:color w:val="auto"/>
          <w:szCs w:val="21"/>
        </w:rPr>
        <w:t>赔偿金额＝毛利润损失×保险金额/（毛利润率×年度营业收入×最大赔偿期/12）。</w:t>
      </w:r>
    </w:p>
    <w:p>
      <w:pPr>
        <w:spacing w:after="156" w:afterLines="50"/>
        <w:ind w:firstLine="420" w:firstLineChars="200"/>
        <w:rPr>
          <w:rFonts w:ascii="Arial" w:hAnsi="Arial" w:cs="Arial"/>
          <w:color w:val="auto"/>
          <w:szCs w:val="21"/>
        </w:rPr>
      </w:pPr>
      <w:r>
        <w:rPr>
          <w:rFonts w:ascii="Arial" w:hAnsi="Arial" w:cs="Arial"/>
          <w:color w:val="auto"/>
          <w:szCs w:val="21"/>
        </w:rPr>
        <w:t>本保险合同所称年度营业收入是指发生物质保险损失之日前十二个月内的营业收入。</w:t>
      </w:r>
    </w:p>
    <w:p>
      <w:pPr>
        <w:autoSpaceDE w:val="0"/>
        <w:autoSpaceDN w:val="0"/>
        <w:adjustRightInd w:val="0"/>
        <w:spacing w:after="156" w:afterLines="50"/>
        <w:ind w:left="-60" w:firstLine="422" w:firstLineChars="200"/>
        <w:rPr>
          <w:rFonts w:ascii="Arial" w:hAnsi="Arial" w:cs="Arial"/>
          <w:bCs/>
          <w:color w:val="auto"/>
          <w:szCs w:val="21"/>
        </w:rPr>
      </w:pPr>
      <w:r>
        <w:rPr>
          <w:rFonts w:ascii="Arial" w:hAnsi="Arial" w:cs="Arial"/>
          <w:b/>
          <w:color w:val="auto"/>
          <w:szCs w:val="21"/>
        </w:rPr>
        <w:t>第二十</w:t>
      </w:r>
      <w:r>
        <w:rPr>
          <w:rFonts w:ascii="Arial" w:hAnsi="Arial" w:cs="Arial"/>
          <w:b/>
          <w:bCs/>
          <w:color w:val="auto"/>
          <w:szCs w:val="21"/>
        </w:rPr>
        <w:t>六</w:t>
      </w:r>
      <w:r>
        <w:rPr>
          <w:rFonts w:ascii="Arial" w:hAnsi="Arial" w:cs="Arial"/>
          <w:b/>
          <w:color w:val="auto"/>
          <w:szCs w:val="21"/>
        </w:rPr>
        <w:t>条</w:t>
      </w:r>
      <w:r>
        <w:rPr>
          <w:rFonts w:ascii="Arial" w:hAnsi="Arial" w:cs="Arial"/>
          <w:bCs/>
          <w:color w:val="auto"/>
          <w:szCs w:val="21"/>
        </w:rPr>
        <w:t xml:space="preserve">  被保险人、保险人应根据被保险人营业趋势及情况的变化、物质保险损失发生前后营业受影响的情况或若未发生物质保险损失原本会影响营业的其他情况对毛利润率、标准营业收入以及年度营业收入进行必要的调整，使调整后的数额尽可能合理地接近在赔偿期间内若未发生损失被保险人原本可以取得的经营成果。</w:t>
      </w:r>
    </w:p>
    <w:p>
      <w:pPr>
        <w:autoSpaceDE w:val="0"/>
        <w:autoSpaceDN w:val="0"/>
        <w:adjustRightInd w:val="0"/>
        <w:spacing w:after="156" w:afterLines="50"/>
        <w:ind w:left="-60" w:firstLine="422" w:firstLineChars="200"/>
        <w:rPr>
          <w:rFonts w:ascii="Arial" w:hAnsi="Arial" w:cs="Arial"/>
          <w:bCs/>
          <w:color w:val="auto"/>
          <w:szCs w:val="21"/>
        </w:rPr>
      </w:pPr>
      <w:r>
        <w:rPr>
          <w:rFonts w:ascii="Arial" w:hAnsi="Arial" w:cs="Arial"/>
          <w:b/>
          <w:color w:val="auto"/>
          <w:szCs w:val="21"/>
        </w:rPr>
        <w:t xml:space="preserve">第二十七条  </w:t>
      </w:r>
      <w:r>
        <w:rPr>
          <w:rFonts w:ascii="Arial" w:hAnsi="Arial" w:cs="Arial"/>
          <w:bCs/>
          <w:color w:val="auto"/>
          <w:szCs w:val="21"/>
        </w:rPr>
        <w:t>若保险合同约定了免赔额，保险人按照第二十四条、第二十五条计算的毛利润损失扣除保险合同约定的免赔额计算毛利润损失赔偿金额。</w:t>
      </w:r>
    </w:p>
    <w:p>
      <w:pPr>
        <w:autoSpaceDE w:val="0"/>
        <w:autoSpaceDN w:val="0"/>
        <w:adjustRightInd w:val="0"/>
        <w:spacing w:after="156" w:afterLines="50"/>
        <w:ind w:left="-60" w:firstLine="420" w:firstLineChars="200"/>
        <w:rPr>
          <w:rFonts w:ascii="Arial" w:hAnsi="Arial" w:cs="Arial"/>
          <w:color w:val="auto"/>
          <w:szCs w:val="21"/>
        </w:rPr>
      </w:pPr>
      <w:r>
        <w:rPr>
          <w:rFonts w:ascii="Arial" w:hAnsi="Arial" w:cs="Arial"/>
          <w:bCs/>
          <w:color w:val="auto"/>
          <w:szCs w:val="21"/>
        </w:rPr>
        <w:t>若保险合同约定了免赔期，则免赔额为免赔期和赔偿期间的比例与按照本条款第二十四条、第二十五条计算出的毛利润损失的乘积。</w:t>
      </w:r>
    </w:p>
    <w:p>
      <w:pPr>
        <w:spacing w:after="156" w:afterLines="50"/>
        <w:ind w:firstLine="422" w:firstLineChars="200"/>
        <w:rPr>
          <w:rFonts w:ascii="Arial" w:hAnsi="Arial" w:cs="Arial"/>
          <w:b/>
          <w:bCs/>
          <w:color w:val="auto"/>
          <w:szCs w:val="21"/>
        </w:rPr>
      </w:pPr>
      <w:r>
        <w:rPr>
          <w:rFonts w:ascii="Arial" w:hAnsi="Arial" w:cs="Arial"/>
          <w:b/>
          <w:color w:val="auto"/>
          <w:szCs w:val="21"/>
        </w:rPr>
        <w:t>第二十八条</w:t>
      </w:r>
      <w:r>
        <w:rPr>
          <w:rFonts w:ascii="Arial" w:hAnsi="Arial" w:cs="Arial"/>
          <w:bCs/>
          <w:color w:val="auto"/>
          <w:szCs w:val="21"/>
        </w:rPr>
        <w:t xml:space="preserve">  </w:t>
      </w:r>
      <w:r>
        <w:rPr>
          <w:rFonts w:ascii="Arial" w:hAnsi="Arial" w:cs="Arial"/>
          <w:color w:val="auto"/>
          <w:szCs w:val="21"/>
        </w:rPr>
        <w:t>因保险事故而发生的保险责任约定的审计费用，保险人按费用实际发生数予以赔偿，但最高不超过保险合同中载明的相应赔偿限额。</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第二十九条</w:t>
      </w:r>
      <w:r>
        <w:rPr>
          <w:rFonts w:ascii="Arial" w:hAnsi="Arial" w:cs="Arial"/>
          <w:color w:val="auto"/>
          <w:szCs w:val="21"/>
        </w:rPr>
        <w:t xml:space="preserve">  被保险人在请求赔偿时应当如实向保险人说明与本保险有关的其他保险合同的情况。保险事故发生时，如果存在重复保险，保险人按照本保险合同的相应保险金额与其他保险合同及本保险合同相应保险金额总和的比例承担赔偿责任。</w:t>
      </w:r>
    </w:p>
    <w:p>
      <w:pPr>
        <w:spacing w:after="156" w:afterLines="50"/>
        <w:ind w:firstLine="422" w:firstLineChars="200"/>
        <w:rPr>
          <w:rFonts w:ascii="Arial" w:hAnsi="Arial" w:cs="Arial"/>
          <w:b/>
          <w:color w:val="auto"/>
          <w:szCs w:val="21"/>
        </w:rPr>
      </w:pPr>
      <w:r>
        <w:rPr>
          <w:rFonts w:ascii="Arial" w:hAnsi="Arial" w:cs="Arial"/>
          <w:b/>
          <w:color w:val="auto"/>
          <w:szCs w:val="21"/>
        </w:rPr>
        <w:t>其他保险人应承担的赔偿金额，保险人不负责垫付。若被保险人未如实告知导致保险人多支付赔偿金的，保险人有权向被保险人追回多支付的部分。</w:t>
      </w:r>
    </w:p>
    <w:p>
      <w:pPr>
        <w:tabs>
          <w:tab w:val="left" w:pos="2160"/>
        </w:tabs>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第三十条</w:t>
      </w:r>
      <w:r>
        <w:rPr>
          <w:rFonts w:ascii="Arial" w:hAnsi="Arial" w:cs="Arial"/>
          <w:color w:val="auto"/>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被保险人已经从有关责任方取得赔偿的，保险人赔偿保险金时，可以相应扣减被保险人已从有关责任方取得的赔偿金额。</w:t>
      </w:r>
    </w:p>
    <w:p>
      <w:pPr>
        <w:spacing w:after="156" w:afterLines="50"/>
        <w:ind w:firstLine="422" w:firstLineChars="200"/>
        <w:rPr>
          <w:rFonts w:ascii="Arial" w:hAnsi="Arial" w:cs="Arial"/>
          <w:color w:val="auto"/>
          <w:szCs w:val="21"/>
        </w:rPr>
      </w:pPr>
      <w:r>
        <w:rPr>
          <w:rFonts w:ascii="Arial" w:hAnsi="Arial" w:cs="Arial"/>
          <w:b/>
          <w:color w:val="auto"/>
          <w:szCs w:val="21"/>
        </w:rPr>
        <w:t>保险事故发生后，在保险人未赔偿保险金之前，被保险人放弃对有关责任方请求赔偿权利的，保险人不承担赔偿责任</w:t>
      </w:r>
      <w:r>
        <w:rPr>
          <w:rFonts w:ascii="Arial" w:hAnsi="Arial" w:cs="Arial"/>
          <w:color w:val="auto"/>
          <w:szCs w:val="21"/>
        </w:rPr>
        <w:t>；保险人向被保险人赔偿保险金后，被保险人未经保险人同意放弃对有关责任方请求赔偿权利的，该行为无效；</w:t>
      </w:r>
      <w:r>
        <w:rPr>
          <w:rFonts w:ascii="Arial" w:hAnsi="Arial" w:cs="Arial"/>
          <w:b/>
          <w:color w:val="auto"/>
          <w:szCs w:val="21"/>
        </w:rPr>
        <w:t>由于被保险人故意或者因重大过失致使保险人不能行使代位请求赔偿的权利的，保险人可以扣减或者要求返还相应的保险金</w:t>
      </w:r>
      <w:r>
        <w:rPr>
          <w:rFonts w:ascii="Arial" w:hAnsi="Arial" w:cs="Arial"/>
          <w:color w:val="auto"/>
          <w:szCs w:val="21"/>
        </w:rPr>
        <w:t>。</w:t>
      </w:r>
    </w:p>
    <w:p>
      <w:pPr>
        <w:autoSpaceDE w:val="0"/>
        <w:autoSpaceDN w:val="0"/>
        <w:spacing w:after="156" w:afterLines="50"/>
        <w:ind w:firstLine="422" w:firstLineChars="200"/>
        <w:jc w:val="left"/>
        <w:rPr>
          <w:rFonts w:ascii="Arial" w:hAnsi="Arial" w:cs="Arial"/>
          <w:color w:val="auto"/>
          <w:szCs w:val="21"/>
        </w:rPr>
      </w:pPr>
      <w:r>
        <w:rPr>
          <w:rFonts w:ascii="Arial" w:hAnsi="Arial" w:cs="Arial"/>
          <w:b/>
          <w:color w:val="auto"/>
          <w:szCs w:val="21"/>
        </w:rPr>
        <w:t>第三十一条</w:t>
      </w:r>
      <w:r>
        <w:rPr>
          <w:rFonts w:ascii="Arial" w:hAnsi="Arial" w:cs="Arial"/>
          <w:color w:val="auto"/>
          <w:szCs w:val="21"/>
        </w:rPr>
        <w:t xml:space="preserve">  保险人履行赔偿义务后，本保险合同的保险金额自物质保险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spacing w:after="156" w:afterLines="50"/>
        <w:ind w:firstLine="422" w:firstLineChars="200"/>
        <w:rPr>
          <w:rFonts w:ascii="Arial" w:hAnsi="Arial" w:cs="Arial"/>
          <w:color w:val="auto"/>
          <w:szCs w:val="21"/>
        </w:rPr>
      </w:pPr>
      <w:r>
        <w:rPr>
          <w:rFonts w:ascii="Arial" w:hAnsi="Arial" w:cs="Arial"/>
          <w:b/>
          <w:color w:val="auto"/>
          <w:szCs w:val="21"/>
        </w:rPr>
        <w:t>第三十二条</w:t>
      </w:r>
      <w:r>
        <w:rPr>
          <w:rFonts w:ascii="Arial" w:hAnsi="Arial" w:cs="Arial"/>
          <w:color w:val="auto"/>
          <w:szCs w:val="21"/>
        </w:rPr>
        <w:t xml:space="preserve">  被保险人向保险人请求赔偿保险金的诉讼时效期间为二年，自其知道或者应当知道保险事故发生之日起计算。</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争议处理和法律适用</w:t>
      </w:r>
    </w:p>
    <w:p>
      <w:pPr>
        <w:spacing w:after="156" w:afterLines="50"/>
        <w:ind w:firstLine="422" w:firstLineChars="200"/>
        <w:rPr>
          <w:rFonts w:ascii="Arial" w:hAnsi="Arial" w:cs="Arial"/>
          <w:color w:val="auto"/>
          <w:szCs w:val="21"/>
        </w:rPr>
      </w:pPr>
      <w:r>
        <w:rPr>
          <w:rFonts w:ascii="Arial" w:hAnsi="Arial" w:cs="Arial"/>
          <w:b/>
          <w:color w:val="auto"/>
          <w:szCs w:val="21"/>
        </w:rPr>
        <w:t>第三十三条</w:t>
      </w:r>
      <w:r>
        <w:rPr>
          <w:rFonts w:ascii="Arial" w:hAnsi="Arial" w:cs="Arial"/>
          <w:color w:val="auto"/>
          <w:szCs w:val="21"/>
        </w:rPr>
        <w:t xml:space="preserve">  因履行本保险合同发生的争议，由当事人协商解决。协商不成的，提交保险合同载明的仲裁机构仲裁；保险合同未载明仲裁机构且争议发生后未达成仲裁协议的，可向人民法院起诉。</w:t>
      </w:r>
    </w:p>
    <w:p>
      <w:pPr>
        <w:spacing w:after="156" w:afterLines="50"/>
        <w:ind w:firstLine="422" w:firstLineChars="200"/>
        <w:rPr>
          <w:rFonts w:ascii="Arial" w:hAnsi="Arial" w:cs="Arial"/>
          <w:color w:val="auto"/>
          <w:szCs w:val="21"/>
        </w:rPr>
      </w:pPr>
      <w:r>
        <w:rPr>
          <w:rFonts w:ascii="Arial" w:hAnsi="Arial" w:cs="Arial"/>
          <w:b/>
          <w:color w:val="auto"/>
          <w:szCs w:val="21"/>
        </w:rPr>
        <w:t>第三十四条</w:t>
      </w:r>
      <w:r>
        <w:rPr>
          <w:rFonts w:ascii="Arial" w:hAnsi="Arial" w:cs="Arial"/>
          <w:color w:val="auto"/>
          <w:szCs w:val="21"/>
        </w:rPr>
        <w:t xml:space="preserve">  与本保险合同有关的以及履行本保险合同产生的一切争议，适用中华人民共和国法律（不包括港澳台地区法律）。</w:t>
      </w:r>
    </w:p>
    <w:p>
      <w:pPr>
        <w:spacing w:after="156" w:afterLines="50"/>
        <w:ind w:firstLine="422" w:firstLineChars="200"/>
        <w:jc w:val="center"/>
        <w:rPr>
          <w:rFonts w:ascii="Arial" w:hAnsi="Arial" w:cs="Arial"/>
          <w:b/>
          <w:bCs/>
          <w:color w:val="auto"/>
          <w:szCs w:val="21"/>
        </w:rPr>
      </w:pPr>
    </w:p>
    <w:p>
      <w:pPr>
        <w:spacing w:after="156" w:afterLines="50"/>
        <w:ind w:firstLine="422" w:firstLineChars="200"/>
        <w:jc w:val="center"/>
        <w:rPr>
          <w:rFonts w:ascii="Arial" w:hAnsi="Arial" w:cs="Arial"/>
          <w:b/>
          <w:bCs/>
          <w:color w:val="auto"/>
          <w:szCs w:val="21"/>
        </w:rPr>
      </w:pPr>
      <w:r>
        <w:rPr>
          <w:rFonts w:ascii="Arial" w:hAnsi="Arial" w:cs="Arial"/>
          <w:b/>
          <w:bCs/>
          <w:color w:val="auto"/>
          <w:szCs w:val="21"/>
        </w:rPr>
        <w:t>其他事项</w:t>
      </w:r>
    </w:p>
    <w:p>
      <w:pPr>
        <w:spacing w:after="156" w:afterLines="50"/>
        <w:ind w:firstLine="422" w:firstLineChars="200"/>
        <w:rPr>
          <w:rFonts w:ascii="Arial" w:hAnsi="Arial" w:cs="Arial"/>
          <w:bCs/>
          <w:color w:val="auto"/>
          <w:szCs w:val="21"/>
        </w:rPr>
      </w:pPr>
      <w:r>
        <w:rPr>
          <w:rFonts w:ascii="Arial" w:hAnsi="Arial" w:cs="Arial"/>
          <w:b/>
          <w:color w:val="auto"/>
          <w:szCs w:val="21"/>
        </w:rPr>
        <w:t xml:space="preserve">第三十五条  </w:t>
      </w:r>
      <w:r>
        <w:rPr>
          <w:rFonts w:ascii="Arial" w:hAnsi="Arial" w:cs="Arial"/>
          <w:bCs/>
          <w:color w:val="auto"/>
          <w:szCs w:val="21"/>
        </w:rPr>
        <w:t>若被保险人聘请的注册会计师证明被保险人在与保险期间重合程度最高的一个会计年度内的毛利润（若最大赔偿期大于十二个月，则该毛利润金额应按照最大赔偿期与十二个月的比例扩大后计算）少于投保的保险金额，则被保险人可以在保险期间届满后六个月内向保险人提供书面退还多余保险费的申请，保险人按照保险金额减去前述毛利润的差额与保险金额的比例计算退还差额部分的保险费，但保险人退还保险费的比例最高不得超过保险期间内对该项保险金额所交保险费的百分之五十。</w:t>
      </w:r>
    </w:p>
    <w:p>
      <w:pPr>
        <w:spacing w:after="156" w:afterLines="50"/>
        <w:ind w:firstLine="420" w:firstLineChars="200"/>
        <w:rPr>
          <w:rFonts w:ascii="Arial" w:hAnsi="Arial" w:cs="Arial"/>
          <w:b/>
          <w:color w:val="auto"/>
          <w:szCs w:val="21"/>
        </w:rPr>
      </w:pPr>
      <w:r>
        <w:rPr>
          <w:rFonts w:ascii="Arial" w:hAnsi="Arial" w:cs="Arial"/>
          <w:bCs/>
          <w:color w:val="auto"/>
          <w:szCs w:val="21"/>
        </w:rPr>
        <w:t>若被保险人在保险期间内因保险事故发生索赔，则应从保险金额中扣除保险人因此而支付的赔款金额后，再按照前款约定计算应退还的保险费。</w:t>
      </w:r>
    </w:p>
    <w:p>
      <w:pPr>
        <w:spacing w:after="156" w:afterLines="50"/>
        <w:ind w:firstLine="422" w:firstLineChars="200"/>
        <w:rPr>
          <w:rFonts w:ascii="Arial" w:hAnsi="Arial" w:cs="Arial"/>
          <w:color w:val="auto"/>
          <w:szCs w:val="21"/>
        </w:rPr>
      </w:pPr>
      <w:r>
        <w:rPr>
          <w:rFonts w:ascii="Arial" w:hAnsi="Arial" w:cs="Arial"/>
          <w:b/>
          <w:color w:val="auto"/>
          <w:szCs w:val="21"/>
        </w:rPr>
        <w:t>第三十六条</w:t>
      </w:r>
      <w:r>
        <w:rPr>
          <w:rFonts w:ascii="Arial" w:hAnsi="Arial" w:cs="Arial"/>
          <w:color w:val="auto"/>
          <w:szCs w:val="21"/>
        </w:rPr>
        <w:t xml:space="preserve">  保险责任开始前，投保人要求解除保险合同的，应当按本保险合同的约定向保险人支付退保手续费，保险人应当退还剩余部分保险费。</w:t>
      </w:r>
    </w:p>
    <w:p>
      <w:pPr>
        <w:spacing w:after="156" w:afterLines="50"/>
        <w:ind w:firstLine="420" w:firstLineChars="200"/>
        <w:rPr>
          <w:rFonts w:ascii="Arial" w:hAnsi="Arial" w:cs="Arial"/>
          <w:color w:val="auto"/>
          <w:szCs w:val="21"/>
        </w:rPr>
      </w:pPr>
      <w:r>
        <w:rPr>
          <w:rFonts w:ascii="Arial" w:hAnsi="Arial" w:cs="Arial"/>
          <w:color w:val="auto"/>
          <w:szCs w:val="21"/>
        </w:rPr>
        <w:t>保险责任开始后，投保人要求解除保险合同的，自通知保险人之日起，保险合同解除，保险人按短期费率计收保险责任开始之日起至合同解除之日止期间的保险费，并退还剩余部分保险费。</w:t>
      </w:r>
    </w:p>
    <w:p>
      <w:pPr>
        <w:spacing w:after="156" w:afterLines="50"/>
        <w:ind w:firstLine="420" w:firstLineChars="200"/>
        <w:rPr>
          <w:rFonts w:ascii="Arial" w:hAnsi="Arial" w:cs="Arial"/>
          <w:color w:val="auto"/>
          <w:szCs w:val="21"/>
        </w:rPr>
      </w:pPr>
      <w:r>
        <w:rPr>
          <w:rFonts w:ascii="Arial" w:hAnsi="Arial" w:cs="Arial"/>
          <w:color w:val="auto"/>
          <w:szCs w:val="21"/>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spacing w:after="156" w:afterLines="50"/>
        <w:jc w:val="center"/>
        <w:rPr>
          <w:rFonts w:ascii="Arial" w:hAnsi="Arial" w:cs="Arial"/>
          <w:b/>
          <w:color w:val="auto"/>
          <w:szCs w:val="21"/>
        </w:rPr>
      </w:pPr>
    </w:p>
    <w:p>
      <w:pPr>
        <w:spacing w:after="156" w:afterLines="50"/>
        <w:jc w:val="center"/>
        <w:rPr>
          <w:rFonts w:ascii="Arial" w:hAnsi="Arial" w:cs="Arial"/>
          <w:b/>
          <w:color w:val="auto"/>
          <w:szCs w:val="21"/>
        </w:rPr>
      </w:pPr>
      <w:r>
        <w:rPr>
          <w:rFonts w:ascii="Arial" w:hAnsi="Arial" w:cs="Arial"/>
          <w:b/>
          <w:color w:val="auto"/>
          <w:szCs w:val="21"/>
        </w:rPr>
        <w:t>附录</w:t>
      </w:r>
    </w:p>
    <w:p>
      <w:pPr>
        <w:spacing w:after="156" w:afterLines="50"/>
        <w:jc w:val="center"/>
        <w:rPr>
          <w:rFonts w:ascii="Arial" w:hAnsi="Arial" w:cs="Arial"/>
          <w:color w:val="auto"/>
          <w:szCs w:val="21"/>
        </w:rPr>
      </w:pPr>
      <w:r>
        <w:rPr>
          <w:rFonts w:ascii="Arial" w:hAnsi="Arial" w:cs="Arial"/>
          <w:color w:val="auto"/>
          <w:szCs w:val="21"/>
        </w:rPr>
        <w:t>短期费率表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540"/>
        <w:gridCol w:w="540"/>
        <w:gridCol w:w="540"/>
        <w:gridCol w:w="540"/>
        <w:gridCol w:w="540"/>
        <w:gridCol w:w="540"/>
        <w:gridCol w:w="540"/>
        <w:gridCol w:w="540"/>
        <w:gridCol w:w="540"/>
        <w:gridCol w:w="540"/>
        <w:gridCol w:w="78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jc w:val="center"/>
              <w:rPr>
                <w:rFonts w:ascii="Arial" w:hAnsi="Arial" w:cs="Arial"/>
                <w:color w:val="auto"/>
                <w:szCs w:val="21"/>
              </w:rPr>
            </w:pPr>
            <w:r>
              <w:rPr>
                <w:rFonts w:ascii="Arial" w:hAnsi="Arial" w:cs="Arial"/>
                <w:color w:val="auto"/>
                <w:szCs w:val="21"/>
              </w:rPr>
              <w:t>保险</w:t>
            </w:r>
          </w:p>
          <w:p>
            <w:pPr>
              <w:jc w:val="center"/>
              <w:rPr>
                <w:rFonts w:ascii="Arial" w:hAnsi="Arial" w:cs="Arial"/>
                <w:color w:val="auto"/>
                <w:szCs w:val="21"/>
              </w:rPr>
            </w:pPr>
            <w:r>
              <w:rPr>
                <w:rFonts w:ascii="Arial" w:hAnsi="Arial" w:cs="Arial"/>
                <w:color w:val="auto"/>
                <w:szCs w:val="21"/>
              </w:rPr>
              <w:t>期间</w:t>
            </w:r>
          </w:p>
        </w:tc>
        <w:tc>
          <w:tcPr>
            <w:tcW w:w="540" w:type="dxa"/>
            <w:vAlign w:val="center"/>
          </w:tcPr>
          <w:p>
            <w:pPr>
              <w:rPr>
                <w:rFonts w:ascii="Arial" w:hAnsi="Arial" w:cs="Arial"/>
                <w:color w:val="auto"/>
                <w:szCs w:val="21"/>
              </w:rPr>
            </w:pPr>
            <w:r>
              <w:rPr>
                <w:rFonts w:ascii="Arial" w:hAnsi="Arial" w:cs="Arial"/>
                <w:color w:val="auto"/>
                <w:szCs w:val="21"/>
              </w:rPr>
              <w:t>一</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二</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三</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四</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五</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六</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七</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八</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九</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540" w:type="dxa"/>
            <w:vAlign w:val="center"/>
          </w:tcPr>
          <w:p>
            <w:pPr>
              <w:rPr>
                <w:rFonts w:ascii="Arial" w:hAnsi="Arial" w:cs="Arial"/>
                <w:color w:val="auto"/>
                <w:szCs w:val="21"/>
              </w:rPr>
            </w:pPr>
            <w:r>
              <w:rPr>
                <w:rFonts w:ascii="Arial" w:hAnsi="Arial" w:cs="Arial"/>
                <w:color w:val="auto"/>
                <w:szCs w:val="21"/>
              </w:rPr>
              <w:t>十</w:t>
            </w:r>
          </w:p>
          <w:p>
            <w:pPr>
              <w:rPr>
                <w:rFonts w:ascii="Arial" w:hAnsi="Arial" w:cs="Arial"/>
                <w:color w:val="auto"/>
                <w:szCs w:val="21"/>
              </w:rPr>
            </w:pPr>
            <w:r>
              <w:rPr>
                <w:rFonts w:ascii="Arial" w:hAnsi="Arial" w:cs="Arial"/>
                <w:color w:val="auto"/>
                <w:szCs w:val="21"/>
              </w:rPr>
              <w:t>个</w:t>
            </w:r>
          </w:p>
          <w:p>
            <w:pPr>
              <w:rPr>
                <w:rFonts w:ascii="Arial" w:hAnsi="Arial" w:cs="Arial"/>
                <w:color w:val="auto"/>
                <w:szCs w:val="21"/>
              </w:rPr>
            </w:pPr>
            <w:r>
              <w:rPr>
                <w:rFonts w:ascii="Arial" w:hAnsi="Arial" w:cs="Arial"/>
                <w:color w:val="auto"/>
                <w:szCs w:val="21"/>
              </w:rPr>
              <w:t>月</w:t>
            </w:r>
          </w:p>
        </w:tc>
        <w:tc>
          <w:tcPr>
            <w:tcW w:w="788" w:type="dxa"/>
            <w:vAlign w:val="center"/>
          </w:tcPr>
          <w:p>
            <w:pPr>
              <w:jc w:val="center"/>
              <w:rPr>
                <w:rFonts w:ascii="Arial" w:hAnsi="Arial" w:cs="Arial"/>
                <w:color w:val="auto"/>
                <w:szCs w:val="21"/>
              </w:rPr>
            </w:pPr>
            <w:r>
              <w:rPr>
                <w:rFonts w:ascii="Arial" w:hAnsi="Arial" w:cs="Arial"/>
                <w:color w:val="auto"/>
                <w:szCs w:val="21"/>
              </w:rPr>
              <w:t>十</w:t>
            </w:r>
          </w:p>
          <w:p>
            <w:pPr>
              <w:jc w:val="center"/>
              <w:rPr>
                <w:rFonts w:ascii="Arial" w:hAnsi="Arial" w:cs="Arial"/>
                <w:color w:val="auto"/>
                <w:szCs w:val="21"/>
              </w:rPr>
            </w:pPr>
            <w:r>
              <w:rPr>
                <w:rFonts w:ascii="Arial" w:hAnsi="Arial" w:cs="Arial"/>
                <w:color w:val="auto"/>
                <w:szCs w:val="21"/>
              </w:rPr>
              <w:t>一</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c>
          <w:tcPr>
            <w:tcW w:w="708" w:type="dxa"/>
            <w:vAlign w:val="center"/>
          </w:tcPr>
          <w:p>
            <w:pPr>
              <w:jc w:val="center"/>
              <w:rPr>
                <w:rFonts w:ascii="Arial" w:hAnsi="Arial" w:cs="Arial"/>
                <w:color w:val="auto"/>
                <w:szCs w:val="21"/>
              </w:rPr>
            </w:pPr>
            <w:r>
              <w:rPr>
                <w:rFonts w:ascii="Arial" w:hAnsi="Arial" w:cs="Arial"/>
                <w:color w:val="auto"/>
                <w:szCs w:val="21"/>
              </w:rPr>
              <w:t>十</w:t>
            </w:r>
          </w:p>
          <w:p>
            <w:pPr>
              <w:jc w:val="center"/>
              <w:rPr>
                <w:rFonts w:ascii="Arial" w:hAnsi="Arial" w:cs="Arial"/>
                <w:color w:val="auto"/>
                <w:szCs w:val="21"/>
              </w:rPr>
            </w:pPr>
            <w:r>
              <w:rPr>
                <w:rFonts w:ascii="Arial" w:hAnsi="Arial" w:cs="Arial"/>
                <w:color w:val="auto"/>
                <w:szCs w:val="21"/>
              </w:rPr>
              <w:t>二</w:t>
            </w:r>
          </w:p>
          <w:p>
            <w:pPr>
              <w:jc w:val="center"/>
              <w:rPr>
                <w:rFonts w:ascii="Arial" w:hAnsi="Arial" w:cs="Arial"/>
                <w:color w:val="auto"/>
                <w:szCs w:val="21"/>
              </w:rPr>
            </w:pPr>
            <w:r>
              <w:rPr>
                <w:rFonts w:ascii="Arial" w:hAnsi="Arial" w:cs="Arial"/>
                <w:color w:val="auto"/>
                <w:szCs w:val="21"/>
              </w:rPr>
              <w:t>个</w:t>
            </w:r>
          </w:p>
          <w:p>
            <w:pPr>
              <w:jc w:val="center"/>
              <w:rPr>
                <w:rFonts w:ascii="Arial" w:hAnsi="Arial" w:cs="Arial"/>
                <w:color w:val="auto"/>
                <w:szCs w:val="21"/>
              </w:rPr>
            </w:pPr>
            <w:r>
              <w:rPr>
                <w:rFonts w:ascii="Arial" w:hAnsi="Arial" w:cs="Arial"/>
                <w:color w:val="auto"/>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spacing w:after="156" w:afterLines="50"/>
              <w:jc w:val="center"/>
              <w:rPr>
                <w:rFonts w:ascii="Arial" w:hAnsi="Arial" w:cs="Arial"/>
                <w:color w:val="auto"/>
                <w:szCs w:val="21"/>
              </w:rPr>
            </w:pPr>
            <w:r>
              <w:rPr>
                <w:rFonts w:ascii="Arial" w:hAnsi="Arial" w:cs="Arial"/>
                <w:color w:val="auto"/>
                <w:szCs w:val="21"/>
              </w:rPr>
              <w:t>年费率的</w:t>
            </w:r>
          </w:p>
          <w:p>
            <w:pPr>
              <w:spacing w:after="156" w:afterLines="50"/>
              <w:jc w:val="center"/>
              <w:rPr>
                <w:rFonts w:ascii="Arial" w:hAnsi="Arial" w:cs="Arial"/>
                <w:color w:val="auto"/>
                <w:szCs w:val="21"/>
              </w:rPr>
            </w:pPr>
            <w:r>
              <w:rPr>
                <w:rFonts w:ascii="Arial" w:hAnsi="Arial" w:cs="Arial"/>
                <w:color w:val="auto"/>
                <w:szCs w:val="21"/>
              </w:rPr>
              <w:t>百分比</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10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20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30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40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50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60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70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80</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85</w:t>
            </w:r>
          </w:p>
        </w:tc>
        <w:tc>
          <w:tcPr>
            <w:tcW w:w="540" w:type="dxa"/>
            <w:vAlign w:val="center"/>
          </w:tcPr>
          <w:p>
            <w:pPr>
              <w:spacing w:after="156" w:afterLines="50"/>
              <w:jc w:val="center"/>
              <w:rPr>
                <w:rFonts w:ascii="Arial" w:hAnsi="Arial" w:cs="Arial"/>
                <w:color w:val="auto"/>
                <w:szCs w:val="21"/>
              </w:rPr>
            </w:pPr>
            <w:r>
              <w:rPr>
                <w:rFonts w:ascii="Arial" w:hAnsi="Arial" w:cs="Arial"/>
                <w:color w:val="auto"/>
                <w:szCs w:val="21"/>
              </w:rPr>
              <w:t>90</w:t>
            </w:r>
          </w:p>
        </w:tc>
        <w:tc>
          <w:tcPr>
            <w:tcW w:w="788" w:type="dxa"/>
            <w:vAlign w:val="center"/>
          </w:tcPr>
          <w:p>
            <w:pPr>
              <w:spacing w:after="156" w:afterLines="50"/>
              <w:jc w:val="center"/>
              <w:rPr>
                <w:rFonts w:ascii="Arial" w:hAnsi="Arial" w:cs="Arial"/>
                <w:color w:val="auto"/>
                <w:szCs w:val="21"/>
              </w:rPr>
            </w:pPr>
            <w:r>
              <w:rPr>
                <w:rFonts w:ascii="Arial" w:hAnsi="Arial" w:cs="Arial"/>
                <w:color w:val="auto"/>
                <w:szCs w:val="21"/>
              </w:rPr>
              <w:t>95</w:t>
            </w:r>
          </w:p>
        </w:tc>
        <w:tc>
          <w:tcPr>
            <w:tcW w:w="708" w:type="dxa"/>
            <w:vAlign w:val="center"/>
          </w:tcPr>
          <w:p>
            <w:pPr>
              <w:spacing w:after="156" w:afterLines="50"/>
              <w:jc w:val="center"/>
              <w:rPr>
                <w:rFonts w:ascii="Arial" w:hAnsi="Arial" w:cs="Arial"/>
                <w:color w:val="auto"/>
                <w:szCs w:val="21"/>
              </w:rPr>
            </w:pPr>
            <w:r>
              <w:rPr>
                <w:rFonts w:ascii="Arial" w:hAnsi="Arial" w:cs="Arial"/>
                <w:color w:val="auto"/>
                <w:szCs w:val="21"/>
              </w:rPr>
              <w:t>100</w:t>
            </w:r>
          </w:p>
        </w:tc>
      </w:tr>
    </w:tbl>
    <w:p>
      <w:pPr>
        <w:spacing w:after="156" w:afterLines="50"/>
        <w:ind w:firstLine="630" w:firstLineChars="300"/>
        <w:rPr>
          <w:rFonts w:ascii="Arial" w:hAnsi="Arial" w:eastAsia="楷体_GB2312" w:cs="Arial"/>
          <w:b/>
          <w:caps/>
          <w:color w:val="auto"/>
          <w:sz w:val="24"/>
        </w:rPr>
      </w:pPr>
      <w:r>
        <w:rPr>
          <w:rFonts w:ascii="Arial" w:hAnsi="Arial" w:cs="Arial"/>
          <w:color w:val="auto"/>
          <w:szCs w:val="21"/>
        </w:rPr>
        <w:t>注：不足一个月的部分按一个月计收。</w:t>
      </w:r>
    </w:p>
    <w:p>
      <w:pPr>
        <w:rPr>
          <w:rFonts w:ascii="Arial" w:hAnsi="Arial" w:eastAsia="楷体_GB2312" w:cs="Arial"/>
          <w:b/>
          <w:caps/>
          <w:color w:val="auto"/>
          <w:sz w:val="24"/>
        </w:rPr>
      </w:pPr>
    </w:p>
    <w:p>
      <w:pPr>
        <w:rPr>
          <w:rFonts w:ascii="Arial" w:hAnsi="Arial" w:cs="Arial"/>
          <w:b/>
          <w:caps/>
          <w:color w:val="auto"/>
          <w:sz w:val="28"/>
          <w:szCs w:val="28"/>
        </w:rPr>
      </w:pPr>
      <w:r>
        <w:rPr>
          <w:rFonts w:ascii="Arial" w:hAnsi="Arial" w:cs="Arial"/>
          <w:b/>
          <w:caps/>
          <w:color w:val="auto"/>
          <w:sz w:val="28"/>
          <w:szCs w:val="28"/>
        </w:rPr>
        <w:t>扩展条款</w:t>
      </w:r>
    </w:p>
    <w:p>
      <w:pPr>
        <w:rPr>
          <w:rFonts w:ascii="Arial" w:hAnsi="Arial" w:cs="Arial"/>
          <w:b/>
          <w:caps/>
          <w:color w:val="auto"/>
          <w:sz w:val="28"/>
          <w:szCs w:val="28"/>
        </w:rPr>
      </w:pPr>
    </w:p>
    <w:p>
      <w:pPr>
        <w:widowControl/>
        <w:numPr>
          <w:ilvl w:val="0"/>
          <w:numId w:val="5"/>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指定公估人条款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兹经双方同意，发生因本合同保险责任范围内的事故索赔时，由保险公司与被保险人共同确定的损失理算师（明细如下）处理索赔事项，费用由保险公司负责:</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根宁翰保险公估(中国)有限公司</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天诺嘉福保险公估有限公司</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麦理伦-万宜保险公估公司</w:t>
      </w:r>
    </w:p>
    <w:p>
      <w:pPr>
        <w:adjustRightInd w:val="0"/>
        <w:snapToGrid w:val="0"/>
        <w:spacing w:after="156" w:afterLines="50"/>
        <w:ind w:firstLine="420" w:firstLineChars="200"/>
        <w:rPr>
          <w:rFonts w:ascii="Arial" w:hAnsi="Arial" w:cs="Arial"/>
          <w:b/>
          <w:bCs/>
          <w:color w:val="auto"/>
          <w:szCs w:val="21"/>
        </w:rPr>
      </w:pPr>
      <w:r>
        <w:rPr>
          <w:rFonts w:ascii="Arial" w:hAnsi="Arial" w:cs="Arial"/>
          <w:color w:val="auto"/>
          <w:szCs w:val="21"/>
        </w:rPr>
        <w:t>本附加条款与主条款内容相悖之处，以本附加条款为准；未尽之处，以主条款为准</w:t>
      </w:r>
    </w:p>
    <w:p>
      <w:pPr>
        <w:numPr>
          <w:ilvl w:val="0"/>
          <w:numId w:val="5"/>
        </w:numPr>
        <w:adjustRightInd w:val="0"/>
        <w:snapToGrid w:val="0"/>
        <w:spacing w:after="156" w:afterLines="50"/>
        <w:rPr>
          <w:rFonts w:ascii="Arial" w:hAnsi="Arial" w:cs="Arial"/>
          <w:b/>
          <w:bCs/>
          <w:color w:val="auto"/>
          <w:szCs w:val="21"/>
        </w:rPr>
      </w:pPr>
      <w:r>
        <w:rPr>
          <w:rFonts w:ascii="Arial" w:hAnsi="Arial" w:cs="Arial"/>
          <w:b/>
          <w:bCs/>
          <w:color w:val="auto"/>
          <w:szCs w:val="21"/>
        </w:rPr>
        <w:t>营业费用增加条款</w:t>
      </w:r>
    </w:p>
    <w:p>
      <w:pPr>
        <w:spacing w:before="156" w:beforeLines="50" w:line="360" w:lineRule="auto"/>
        <w:ind w:firstLine="480" w:firstLineChars="200"/>
        <w:rPr>
          <w:rFonts w:ascii="Arial" w:hAnsi="Arial" w:cs="Arial"/>
          <w:color w:val="auto"/>
          <w:sz w:val="24"/>
          <w:szCs w:val="21"/>
        </w:rPr>
      </w:pPr>
      <w:r>
        <w:rPr>
          <w:rFonts w:ascii="Arial" w:hAnsi="Arial" w:cs="Arial"/>
          <w:color w:val="auto"/>
          <w:sz w:val="24"/>
          <w:szCs w:val="21"/>
        </w:rPr>
        <w:t>保险人将承担为减少赔偿期内的营业中断而发生的合理的额外费用。这些额外费用包括：来往与新租赁的临时营业场所的费用，临时营业场所的租赁费用，置办办公设施的费用，额外的水电气等费用，新雇员工的费用及现有员工的加班费津贴等，为重置因保险事故损坏的文件、契约、计划、图纸、帐册等发生的人工费等。</w:t>
      </w:r>
    </w:p>
    <w:p>
      <w:pPr>
        <w:spacing w:before="156" w:beforeLines="50" w:line="360" w:lineRule="auto"/>
        <w:ind w:firstLine="480" w:firstLineChars="200"/>
        <w:rPr>
          <w:rFonts w:ascii="Arial" w:hAnsi="Arial" w:cs="Arial"/>
          <w:color w:val="auto"/>
          <w:sz w:val="24"/>
          <w:szCs w:val="21"/>
        </w:rPr>
      </w:pPr>
    </w:p>
    <w:p>
      <w:pPr>
        <w:widowControl/>
        <w:numPr>
          <w:ilvl w:val="0"/>
          <w:numId w:val="5"/>
        </w:numPr>
        <w:spacing w:after="120" w:line="0" w:lineRule="atLeast"/>
        <w:ind w:right="-25" w:rightChars="-12"/>
        <w:rPr>
          <w:rFonts w:ascii="Arial" w:hAnsi="Arial" w:cs="Arial"/>
          <w:b/>
          <w:color w:val="auto"/>
          <w:szCs w:val="21"/>
        </w:rPr>
      </w:pPr>
      <w:r>
        <w:rPr>
          <w:rFonts w:ascii="Arial" w:hAnsi="Arial" w:cs="Arial"/>
          <w:b/>
          <w:color w:val="auto"/>
          <w:szCs w:val="21"/>
        </w:rPr>
        <w:t>审计师费用条款（每次事故赔偿限额：RMB 1,000,000）</w:t>
      </w:r>
    </w:p>
    <w:p>
      <w:pPr>
        <w:ind w:firstLine="420" w:firstLineChars="200"/>
        <w:rPr>
          <w:rFonts w:ascii="Arial" w:hAnsi="Arial" w:cs="Arial"/>
          <w:color w:val="auto"/>
          <w:szCs w:val="21"/>
        </w:rPr>
      </w:pPr>
      <w:r>
        <w:rPr>
          <w:rFonts w:ascii="Arial" w:hAnsi="Arial" w:cs="Arial"/>
          <w:color w:val="auto"/>
          <w:szCs w:val="21"/>
        </w:rPr>
        <w:t>兹经双方同意，经保险公司要求，被保险人出示、证实与保险赔案有关的被保险人账册或其它营业账册或文件或此类证明材料中的情况或证据的细目和详情，而聘请审计师的合理费用由保险公司承担。</w:t>
      </w:r>
    </w:p>
    <w:p>
      <w:pPr>
        <w:tabs>
          <w:tab w:val="left" w:pos="567"/>
        </w:tabs>
        <w:spacing w:after="120" w:line="0" w:lineRule="atLeast"/>
        <w:ind w:right="-25" w:rightChars="-12" w:firstLine="420" w:firstLineChars="200"/>
        <w:rPr>
          <w:rFonts w:ascii="Arial" w:hAnsi="Arial" w:cs="Arial"/>
          <w:color w:val="auto"/>
          <w:szCs w:val="21"/>
        </w:rPr>
      </w:pPr>
      <w:r>
        <w:rPr>
          <w:rFonts w:ascii="Arial" w:hAnsi="Arial" w:cs="Arial"/>
          <w:color w:val="auto"/>
          <w:szCs w:val="21"/>
        </w:rPr>
        <w:t>本保单所载其它条件不变。</w:t>
      </w:r>
    </w:p>
    <w:p>
      <w:pPr>
        <w:tabs>
          <w:tab w:val="left" w:pos="567"/>
        </w:tabs>
        <w:spacing w:after="120" w:line="0" w:lineRule="atLeast"/>
        <w:ind w:right="-25" w:rightChars="-12" w:firstLine="420" w:firstLineChars="200"/>
        <w:rPr>
          <w:rFonts w:ascii="Arial" w:hAnsi="Arial" w:cs="Arial"/>
          <w:color w:val="auto"/>
          <w:szCs w:val="21"/>
        </w:rPr>
      </w:pPr>
    </w:p>
    <w:p>
      <w:pPr>
        <w:widowControl/>
        <w:numPr>
          <w:ilvl w:val="0"/>
          <w:numId w:val="5"/>
        </w:numPr>
        <w:spacing w:after="120" w:line="0" w:lineRule="atLeast"/>
        <w:ind w:right="-25" w:rightChars="-12"/>
        <w:rPr>
          <w:rFonts w:ascii="Arial" w:hAnsi="Arial" w:cs="Arial"/>
          <w:b/>
          <w:color w:val="auto"/>
          <w:szCs w:val="21"/>
        </w:rPr>
      </w:pPr>
      <w:r>
        <w:rPr>
          <w:rFonts w:ascii="Arial" w:hAnsi="Arial" w:cs="Arial"/>
          <w:b/>
          <w:color w:val="auto"/>
          <w:szCs w:val="21"/>
        </w:rPr>
        <w:t>自动恢复保额条款</w:t>
      </w:r>
    </w:p>
    <w:p>
      <w:pPr>
        <w:ind w:firstLine="420" w:firstLineChars="200"/>
        <w:rPr>
          <w:rFonts w:ascii="Arial" w:hAnsi="Arial" w:cs="Arial"/>
          <w:color w:val="auto"/>
          <w:szCs w:val="21"/>
        </w:rPr>
      </w:pPr>
      <w:r>
        <w:rPr>
          <w:rFonts w:ascii="Arial" w:hAnsi="Arial" w:cs="Arial"/>
          <w:color w:val="auto"/>
          <w:szCs w:val="21"/>
        </w:rPr>
        <w:t>兹经双方同意，在本公司对本保险单明细表中列明的被保险财产的损失予以赔偿后，原保险金额自动恢复。但被保险人应按日比例补缴自损失发生之日起至保险单终止之日止保险金额恢复部分的保险费。</w:t>
      </w:r>
    </w:p>
    <w:p>
      <w:pPr>
        <w:ind w:firstLine="420" w:firstLineChars="200"/>
        <w:rPr>
          <w:rFonts w:ascii="Arial" w:hAnsi="Arial" w:cs="Arial"/>
          <w:color w:val="auto"/>
          <w:szCs w:val="21"/>
        </w:rPr>
      </w:pPr>
      <w:r>
        <w:rPr>
          <w:rFonts w:ascii="Arial" w:hAnsi="Arial" w:cs="Arial"/>
          <w:color w:val="auto"/>
          <w:szCs w:val="21"/>
        </w:rPr>
        <w:t>本保险单所载其它条件不变</w:t>
      </w:r>
    </w:p>
    <w:p>
      <w:pPr>
        <w:widowControl/>
        <w:spacing w:after="120" w:line="0" w:lineRule="atLeast"/>
        <w:ind w:right="-25" w:rightChars="-12"/>
        <w:rPr>
          <w:rFonts w:ascii="Arial" w:hAnsi="Arial" w:cs="Arial"/>
          <w:b/>
          <w:color w:val="auto"/>
          <w:szCs w:val="21"/>
        </w:rPr>
      </w:pPr>
    </w:p>
    <w:p>
      <w:pPr>
        <w:widowControl/>
        <w:numPr>
          <w:ilvl w:val="0"/>
          <w:numId w:val="5"/>
        </w:numPr>
        <w:spacing w:after="120" w:line="0" w:lineRule="atLeast"/>
        <w:ind w:right="-25" w:rightChars="-12"/>
        <w:rPr>
          <w:rFonts w:ascii="Arial" w:hAnsi="Arial" w:cs="Arial"/>
          <w:b/>
          <w:bCs/>
          <w:color w:val="auto"/>
          <w:szCs w:val="21"/>
        </w:rPr>
      </w:pPr>
      <w:r>
        <w:rPr>
          <w:rFonts w:ascii="Arial" w:hAnsi="Arial" w:cs="Arial"/>
          <w:b/>
          <w:bCs/>
          <w:color w:val="auto"/>
          <w:szCs w:val="21"/>
        </w:rPr>
        <w:t>违反保证条件条款</w:t>
      </w:r>
    </w:p>
    <w:p>
      <w:pPr>
        <w:ind w:firstLine="420" w:firstLineChars="200"/>
        <w:rPr>
          <w:rFonts w:ascii="Arial" w:hAnsi="Arial" w:cs="Arial"/>
          <w:color w:val="auto"/>
          <w:szCs w:val="21"/>
        </w:rPr>
      </w:pPr>
      <w:r>
        <w:rPr>
          <w:rFonts w:ascii="Arial" w:hAnsi="Arial" w:cs="Arial"/>
          <w:color w:val="auto"/>
          <w:szCs w:val="21"/>
        </w:rPr>
        <w:t>经双方同意并约定，本保险单的条件和保证将分别适用于每一承保风险，而非共同适用于所有承保风险。因此，对某些条件和保证的违反仅使该违反所适用风险的那一部分保障失效，不影响对其他风险保障的有效性。</w:t>
      </w:r>
    </w:p>
    <w:p>
      <w:pPr>
        <w:ind w:firstLine="420" w:firstLineChars="200"/>
        <w:rPr>
          <w:rFonts w:ascii="Arial" w:hAnsi="Arial" w:cs="Arial"/>
          <w:color w:val="auto"/>
          <w:szCs w:val="21"/>
        </w:rPr>
      </w:pPr>
      <w:r>
        <w:rPr>
          <w:rFonts w:ascii="Arial" w:hAnsi="Arial" w:cs="Arial"/>
          <w:color w:val="auto"/>
          <w:szCs w:val="21"/>
        </w:rPr>
        <w:t>本保险单所载其他条件不变。</w:t>
      </w:r>
    </w:p>
    <w:p>
      <w:pPr>
        <w:ind w:firstLine="420" w:firstLineChars="200"/>
        <w:rPr>
          <w:rFonts w:ascii="Arial" w:hAnsi="Arial" w:cs="Arial"/>
          <w:color w:val="auto"/>
          <w:szCs w:val="21"/>
        </w:rPr>
      </w:pPr>
    </w:p>
    <w:p>
      <w:pPr>
        <w:widowControl/>
        <w:numPr>
          <w:ilvl w:val="0"/>
          <w:numId w:val="5"/>
        </w:numPr>
        <w:autoSpaceDE w:val="0"/>
        <w:autoSpaceDN w:val="0"/>
        <w:adjustRightInd w:val="0"/>
        <w:spacing w:line="360" w:lineRule="auto"/>
        <w:jc w:val="left"/>
        <w:rPr>
          <w:rFonts w:ascii="Arial" w:hAnsi="Arial" w:cs="Arial"/>
          <w:b/>
          <w:bCs/>
          <w:color w:val="auto"/>
          <w:szCs w:val="21"/>
        </w:rPr>
      </w:pPr>
      <w:r>
        <w:rPr>
          <w:rFonts w:ascii="Arial" w:hAnsi="Arial" w:cs="Arial"/>
          <w:b/>
          <w:color w:val="auto"/>
          <w:szCs w:val="21"/>
        </w:rPr>
        <w:t>索赔准备费用条款</w:t>
      </w:r>
    </w:p>
    <w:p>
      <w:pPr>
        <w:ind w:firstLine="420" w:firstLineChars="200"/>
        <w:contextualSpacing/>
        <w:rPr>
          <w:rFonts w:ascii="Arial" w:hAnsi="Arial" w:cs="Arial"/>
          <w:color w:val="auto"/>
          <w:szCs w:val="21"/>
        </w:rPr>
      </w:pPr>
      <w:r>
        <w:rPr>
          <w:rFonts w:ascii="Arial" w:hAnsi="Arial" w:cs="Arial"/>
          <w:color w:val="auto"/>
          <w:szCs w:val="21"/>
        </w:rPr>
        <w:t>在事先征得保险公司的同意后，本保险扩展承保被保险人在准备索赔过程中为制作或证明保险公司所需的任何记录、信息、证据或其他证明材料而所花费的合理的材料和人工费用。但每次事故以不超过_</w:t>
      </w:r>
      <w:r>
        <w:rPr>
          <w:rFonts w:ascii="Arial" w:hAnsi="Arial" w:cs="Arial"/>
          <w:color w:val="auto"/>
          <w:szCs w:val="21"/>
          <w:u w:val="single"/>
        </w:rPr>
        <w:t xml:space="preserve"> RMB5,000,000</w:t>
      </w:r>
      <w:r>
        <w:rPr>
          <w:rFonts w:ascii="Arial" w:hAnsi="Arial" w:cs="Arial"/>
          <w:color w:val="auto"/>
          <w:szCs w:val="21"/>
        </w:rPr>
        <w:t>_。本保险单项下保险公司对财产损失及此类费用的总赔偿金额以保险金额为限。</w:t>
      </w:r>
    </w:p>
    <w:p>
      <w:pPr>
        <w:tabs>
          <w:tab w:val="left" w:pos="0"/>
          <w:tab w:val="left" w:pos="720"/>
          <w:tab w:val="left" w:pos="1440"/>
          <w:tab w:val="left" w:pos="2160"/>
          <w:tab w:val="left" w:pos="2880"/>
          <w:tab w:val="left" w:pos="3600"/>
          <w:tab w:val="left" w:pos="4320"/>
        </w:tabs>
        <w:autoSpaceDE w:val="0"/>
        <w:autoSpaceDN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widowControl/>
        <w:spacing w:after="120" w:line="0" w:lineRule="atLeast"/>
        <w:ind w:right="-25" w:rightChars="-12"/>
        <w:rPr>
          <w:rFonts w:ascii="Arial" w:hAnsi="Arial" w:cs="Arial"/>
          <w:b/>
          <w:color w:val="auto"/>
          <w:szCs w:val="21"/>
        </w:rPr>
      </w:pPr>
    </w:p>
    <w:p>
      <w:pPr>
        <w:widowControl/>
        <w:numPr>
          <w:ilvl w:val="0"/>
          <w:numId w:val="5"/>
        </w:numPr>
        <w:autoSpaceDE w:val="0"/>
        <w:autoSpaceDN w:val="0"/>
        <w:adjustRightInd w:val="0"/>
        <w:spacing w:line="360" w:lineRule="auto"/>
        <w:jc w:val="left"/>
        <w:rPr>
          <w:rFonts w:ascii="Arial" w:hAnsi="Arial" w:cs="Arial"/>
          <w:b/>
          <w:color w:val="auto"/>
          <w:szCs w:val="21"/>
        </w:rPr>
      </w:pPr>
      <w:r>
        <w:rPr>
          <w:rFonts w:ascii="Arial" w:hAnsi="Arial" w:cs="Arial"/>
          <w:b/>
          <w:color w:val="auto"/>
          <w:szCs w:val="21"/>
        </w:rPr>
        <w:t>通道堵塞条款</w:t>
      </w:r>
    </w:p>
    <w:p>
      <w:pPr>
        <w:ind w:firstLine="420" w:firstLineChars="200"/>
        <w:contextualSpacing/>
        <w:rPr>
          <w:rFonts w:ascii="Arial" w:hAnsi="Arial" w:cs="Arial"/>
          <w:color w:val="auto"/>
          <w:szCs w:val="21"/>
        </w:rPr>
      </w:pPr>
      <w:r>
        <w:rPr>
          <w:rFonts w:ascii="Arial" w:hAnsi="Arial" w:cs="Arial"/>
          <w:color w:val="auto"/>
          <w:szCs w:val="21"/>
        </w:rPr>
        <w:t>经保险合同双方特别约定且投保人已支付相应的附加保险费，若本保险合同载明的营业处所临近的财产因发生物质财产损失保险合同主险条款责任范围内的事故遭受物质损失，造成该营业处所无法使用或堵塞进出该营业处所的通道，使被保险人营业受到干扰或中断，无论被保险人在该营业处所的财产是否发生物质保险损失，保险人均将其视为保险事故并对被保险人的损失按照保险合同约定进行赔偿。</w:t>
      </w:r>
    </w:p>
    <w:p>
      <w:pPr>
        <w:ind w:firstLine="420" w:firstLineChars="200"/>
        <w:contextualSpacing/>
        <w:rPr>
          <w:rFonts w:ascii="Arial" w:hAnsi="Arial" w:cs="Arial"/>
          <w:color w:val="auto"/>
          <w:szCs w:val="21"/>
        </w:rPr>
      </w:pPr>
      <w:r>
        <w:rPr>
          <w:rFonts w:ascii="Arial" w:hAnsi="Arial" w:cs="Arial"/>
          <w:color w:val="auto"/>
          <w:szCs w:val="21"/>
        </w:rPr>
        <w:t>但是对于临近本保险合同载明的营业处所并向该营业处所供气或供水的燃（煤）气厂或自来水厂，因其财产发生物质财产损失保险合同主险条款责任范围内的事故遭受物质损失而无法向该营业处所供气或供水，造成该营业处所无法使用或堵塞进出该营业处所的通道，使被保险人营业受到干扰或中断，则保险人不负责赔偿被保险人因此而遭受的损失。</w:t>
      </w:r>
    </w:p>
    <w:p>
      <w:pPr>
        <w:ind w:firstLine="420" w:firstLineChars="200"/>
        <w:contextualSpacing/>
        <w:rPr>
          <w:rFonts w:ascii="Arial" w:hAnsi="Arial" w:cs="Arial"/>
          <w:color w:val="auto"/>
          <w:szCs w:val="21"/>
        </w:rPr>
      </w:pPr>
      <w:r>
        <w:rPr>
          <w:rFonts w:ascii="Arial" w:hAnsi="Arial" w:cs="Arial"/>
          <w:color w:val="auto"/>
          <w:szCs w:val="21"/>
        </w:rPr>
        <w:t>保险人在本附加险条款项下的赔偿责任最高不得超过保险合同约定的相应的分项保险金额。</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spacing w:after="120" w:line="0" w:lineRule="atLeast"/>
        <w:ind w:right="-25" w:rightChars="-12"/>
        <w:rPr>
          <w:rFonts w:ascii="Arial" w:hAnsi="Arial" w:cs="Arial"/>
          <w:color w:val="auto"/>
          <w:szCs w:val="21"/>
        </w:rPr>
      </w:pPr>
    </w:p>
    <w:p>
      <w:pPr>
        <w:widowControl/>
        <w:numPr>
          <w:ilvl w:val="0"/>
          <w:numId w:val="5"/>
        </w:numPr>
        <w:spacing w:after="120" w:line="0" w:lineRule="atLeast"/>
        <w:ind w:right="-25" w:rightChars="-12"/>
        <w:rPr>
          <w:rFonts w:ascii="Arial" w:hAnsi="Arial" w:cs="Arial"/>
          <w:b/>
          <w:bCs/>
          <w:color w:val="auto"/>
          <w:szCs w:val="21"/>
        </w:rPr>
      </w:pPr>
      <w:r>
        <w:rPr>
          <w:rFonts w:ascii="Arial" w:hAnsi="Arial" w:cs="Arial"/>
          <w:b/>
          <w:color w:val="auto"/>
          <w:szCs w:val="21"/>
        </w:rPr>
        <w:t>公共设备供应中断条款（最大赔偿期限： 90天）</w:t>
      </w:r>
    </w:p>
    <w:p>
      <w:pPr>
        <w:ind w:firstLine="420" w:firstLineChars="200"/>
        <w:contextualSpacing/>
        <w:rPr>
          <w:rFonts w:ascii="Arial" w:hAnsi="Arial" w:cs="Arial"/>
          <w:color w:val="auto"/>
          <w:szCs w:val="21"/>
        </w:rPr>
      </w:pPr>
      <w:r>
        <w:rPr>
          <w:rFonts w:ascii="Arial" w:hAnsi="Arial" w:cs="Arial"/>
          <w:color w:val="auto"/>
          <w:szCs w:val="21"/>
        </w:rPr>
        <w:t>兹经双方约定，如发生本保险单所承保的损失，其原因是由于向被保险人营业处所供电，供气或供水的发电站，煤气厂或自来水厂不能供应电、气或水，使被保险人在本保险单指定的处所经营的业务中断或受到干扰所致，而不能供应电、气或水是直接由于被保险人获得这些供应的发电站或公共供电单位分站的财产遭受的损失（本保险单的定义）所致，则这项损失应视为被保险人在营业处所使用的财产遭受损坏所造成的损失。</w:t>
      </w:r>
    </w:p>
    <w:p>
      <w:pPr>
        <w:ind w:firstLine="420" w:firstLineChars="200"/>
        <w:contextualSpacing/>
        <w:rPr>
          <w:rFonts w:ascii="Arial" w:hAnsi="Arial" w:cs="Arial"/>
          <w:color w:val="auto"/>
          <w:szCs w:val="21"/>
        </w:rPr>
      </w:pPr>
      <w:r>
        <w:rPr>
          <w:rFonts w:ascii="Arial" w:hAnsi="Arial" w:cs="Arial"/>
          <w:color w:val="auto"/>
          <w:szCs w:val="21"/>
        </w:rPr>
        <w:t>但保险人对下列损失不负责任：</w:t>
      </w:r>
    </w:p>
    <w:p>
      <w:pPr>
        <w:ind w:firstLine="420" w:firstLineChars="200"/>
        <w:contextualSpacing/>
        <w:rPr>
          <w:rFonts w:ascii="Arial" w:hAnsi="Arial" w:cs="Arial"/>
          <w:color w:val="auto"/>
          <w:szCs w:val="21"/>
        </w:rPr>
      </w:pPr>
      <w:r>
        <w:rPr>
          <w:rFonts w:ascii="Arial" w:hAnsi="Arial" w:cs="Arial"/>
          <w:color w:val="auto"/>
          <w:szCs w:val="21"/>
        </w:rPr>
        <w:t>政府、市政或地方当局或供应部门不是单纯为了保护人民生命安全或保障供应系统的其任何部分的有意行为所造成的任何损失，或上述任何当局或部门不是单纯出于供应单位的发电或供应设施，遭受所保风险造成损坏的需要，而行使其停止，限量或按配额供电、供气、供水的权力，因而造成的任何损失。</w:t>
      </w:r>
    </w:p>
    <w:p>
      <w:pPr>
        <w:ind w:firstLine="420" w:firstLineChars="200"/>
        <w:contextualSpacing/>
        <w:rPr>
          <w:rFonts w:ascii="Arial" w:hAnsi="Arial" w:cs="Arial"/>
          <w:color w:val="auto"/>
          <w:szCs w:val="21"/>
        </w:rPr>
      </w:pPr>
      <w:r>
        <w:rPr>
          <w:rFonts w:ascii="Arial" w:hAnsi="Arial" w:cs="Arial"/>
          <w:color w:val="auto"/>
          <w:szCs w:val="21"/>
        </w:rPr>
        <w:t>就上述扩展责任而言，对由于或归因于一种来源或原因所致的每项损失或一系列损失的赔偿期限如下：</w:t>
      </w:r>
    </w:p>
    <w:p>
      <w:pPr>
        <w:ind w:firstLine="420" w:firstLineChars="200"/>
        <w:contextualSpacing/>
        <w:rPr>
          <w:rFonts w:ascii="Arial" w:hAnsi="Arial" w:cs="Arial"/>
          <w:color w:val="auto"/>
          <w:szCs w:val="21"/>
        </w:rPr>
      </w:pPr>
      <w:r>
        <w:rPr>
          <w:rFonts w:ascii="Arial" w:hAnsi="Arial" w:cs="Arial"/>
          <w:color w:val="auto"/>
          <w:szCs w:val="21"/>
        </w:rPr>
        <w:t>自发生损失之日起，至此后不迟于九十天为止并由于发生损失而营业受影响的一段时间。</w:t>
      </w:r>
    </w:p>
    <w:p>
      <w:pPr>
        <w:ind w:firstLine="420" w:firstLineChars="200"/>
        <w:contextualSpacing/>
        <w:rPr>
          <w:rFonts w:ascii="Arial" w:hAnsi="Arial" w:cs="Arial"/>
          <w:color w:val="auto"/>
          <w:szCs w:val="21"/>
        </w:rPr>
      </w:pPr>
      <w:r>
        <w:rPr>
          <w:rFonts w:ascii="Arial" w:hAnsi="Arial" w:cs="Arial"/>
          <w:color w:val="auto"/>
          <w:szCs w:val="21"/>
        </w:rPr>
        <w:t>但除非每次停止供电、供气、供水持续二十四小时以上，否则保险人对由此而发生的任何损失不负责任。</w:t>
      </w:r>
    </w:p>
    <w:p>
      <w:pPr>
        <w:ind w:firstLine="420" w:firstLineChars="200"/>
        <w:contextualSpacing/>
        <w:rPr>
          <w:rFonts w:ascii="Arial" w:hAnsi="Arial" w:cs="Arial"/>
          <w:color w:val="auto"/>
          <w:szCs w:val="21"/>
        </w:rPr>
      </w:pPr>
      <w:r>
        <w:rPr>
          <w:rFonts w:ascii="Arial" w:hAnsi="Arial" w:cs="Arial"/>
          <w:color w:val="auto"/>
          <w:szCs w:val="21"/>
        </w:rPr>
        <w:t>保险人对上述每次停止供应的头二十四小时所遭受的任何损失也不负责任。</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widowControl/>
        <w:spacing w:after="120" w:line="0" w:lineRule="atLeast"/>
        <w:ind w:right="-25" w:rightChars="-12"/>
        <w:rPr>
          <w:rFonts w:ascii="Arial" w:hAnsi="Arial" w:cs="Arial"/>
          <w:b/>
          <w:bCs/>
          <w:color w:val="auto"/>
          <w:szCs w:val="21"/>
        </w:rPr>
      </w:pPr>
    </w:p>
    <w:p>
      <w:pPr>
        <w:widowControl/>
        <w:numPr>
          <w:ilvl w:val="0"/>
          <w:numId w:val="5"/>
        </w:numPr>
        <w:spacing w:after="120" w:line="0" w:lineRule="atLeast"/>
        <w:ind w:right="-25" w:rightChars="-12"/>
        <w:rPr>
          <w:rFonts w:ascii="Arial" w:hAnsi="Arial" w:cs="Arial"/>
          <w:b/>
          <w:bCs/>
          <w:color w:val="auto"/>
          <w:szCs w:val="21"/>
        </w:rPr>
      </w:pPr>
      <w:r>
        <w:rPr>
          <w:rFonts w:ascii="Arial" w:hAnsi="Arial" w:cs="Arial"/>
          <w:b/>
          <w:bCs/>
          <w:color w:val="auto"/>
          <w:szCs w:val="21"/>
        </w:rPr>
        <w:t>错误和遗漏条款</w:t>
      </w:r>
    </w:p>
    <w:p>
      <w:pPr>
        <w:ind w:firstLine="420" w:firstLineChars="200"/>
        <w:contextualSpacing/>
        <w:rPr>
          <w:rFonts w:ascii="Arial" w:hAnsi="Arial" w:cs="Arial"/>
          <w:color w:val="auto"/>
          <w:szCs w:val="21"/>
        </w:rPr>
      </w:pPr>
      <w:r>
        <w:rPr>
          <w:rFonts w:ascii="Arial" w:hAnsi="Arial" w:cs="Arial"/>
          <w:color w:val="auto"/>
          <w:szCs w:val="21"/>
        </w:rPr>
        <w:t>兹经双方同意，本保险项下的赔偿责任不因被保险人非故意地延迟、错误或遗漏向本公司申报有关所占用的场地、保险财产价值的变更或其它有关信息而被拒负，一旦被保险人明白其疏忽或遗漏应在合理的时间内尽快向本公司申报，并根据保险公司要求支付自风险增加之日起的适当的附加保险费。</w:t>
      </w:r>
    </w:p>
    <w:p>
      <w:pPr>
        <w:ind w:firstLine="420" w:firstLineChars="200"/>
        <w:contextualSpacing/>
        <w:rPr>
          <w:rFonts w:ascii="Arial" w:hAnsi="Arial" w:cs="Arial"/>
          <w:color w:val="auto"/>
          <w:szCs w:val="21"/>
        </w:rPr>
      </w:pPr>
      <w:r>
        <w:rPr>
          <w:rFonts w:ascii="Arial" w:hAnsi="Arial" w:cs="Arial"/>
          <w:color w:val="auto"/>
          <w:szCs w:val="21"/>
        </w:rPr>
        <w:t>不正确的、有缺陷的或错误的评估不可视为非故意的错误与遗漏。</w:t>
      </w:r>
    </w:p>
    <w:p>
      <w:pPr>
        <w:spacing w:after="120" w:line="0" w:lineRule="atLeast"/>
        <w:ind w:right="-25" w:rightChars="-12"/>
        <w:rPr>
          <w:rFonts w:ascii="Arial" w:hAnsi="Arial" w:cs="Arial"/>
          <w:color w:val="auto"/>
          <w:szCs w:val="21"/>
        </w:rPr>
      </w:pPr>
    </w:p>
    <w:p>
      <w:pPr>
        <w:widowControl/>
        <w:numPr>
          <w:ilvl w:val="0"/>
          <w:numId w:val="5"/>
        </w:numPr>
        <w:spacing w:after="120" w:line="0" w:lineRule="atLeast"/>
        <w:ind w:right="-25" w:rightChars="-12"/>
        <w:rPr>
          <w:rFonts w:ascii="Arial" w:hAnsi="Arial" w:cs="Arial"/>
          <w:b/>
          <w:bCs/>
          <w:color w:val="auto"/>
          <w:szCs w:val="21"/>
        </w:rPr>
      </w:pPr>
      <w:r>
        <w:rPr>
          <w:rFonts w:ascii="Arial" w:hAnsi="Arial" w:cs="Arial"/>
          <w:b/>
          <w:bCs/>
          <w:color w:val="auto"/>
          <w:szCs w:val="21"/>
        </w:rPr>
        <w:t>损失通知条款</w:t>
      </w:r>
    </w:p>
    <w:p>
      <w:pPr>
        <w:ind w:firstLine="420" w:firstLineChars="200"/>
        <w:contextualSpacing/>
        <w:rPr>
          <w:rFonts w:ascii="Arial" w:hAnsi="Arial" w:cs="Arial"/>
          <w:color w:val="auto"/>
          <w:szCs w:val="21"/>
        </w:rPr>
      </w:pPr>
      <w:r>
        <w:rPr>
          <w:rFonts w:ascii="Arial" w:hAnsi="Arial" w:cs="Arial"/>
          <w:color w:val="auto"/>
          <w:szCs w:val="21"/>
        </w:rPr>
        <w:t>若有其他内容与本条款不符，以本条款为主。在通知保险人发生或可能发生保险事故时, 被保险人的权利不得因其非有意的延迟、错误、遗漏而受到损害。</w:t>
      </w:r>
    </w:p>
    <w:p>
      <w:pPr>
        <w:ind w:firstLine="420" w:firstLineChars="200"/>
        <w:contextualSpacing/>
        <w:rPr>
          <w:rFonts w:ascii="Arial" w:hAnsi="Arial" w:cs="Arial"/>
          <w:color w:val="auto"/>
          <w:szCs w:val="21"/>
        </w:rPr>
      </w:pPr>
    </w:p>
    <w:p>
      <w:pPr>
        <w:numPr>
          <w:ilvl w:val="0"/>
          <w:numId w:val="5"/>
        </w:numPr>
        <w:autoSpaceDE w:val="0"/>
        <w:autoSpaceDN w:val="0"/>
        <w:spacing w:after="156" w:afterLines="50"/>
        <w:rPr>
          <w:rFonts w:ascii="Arial" w:hAnsi="Arial" w:cs="Arial"/>
          <w:b/>
          <w:bCs/>
          <w:color w:val="auto"/>
          <w:szCs w:val="21"/>
        </w:rPr>
      </w:pPr>
      <w:r>
        <w:rPr>
          <w:rFonts w:ascii="Arial" w:hAnsi="Arial" w:cs="Arial"/>
          <w:b/>
          <w:bCs/>
          <w:color w:val="auto"/>
          <w:szCs w:val="21"/>
        </w:rPr>
        <w:t>不受控制条款</w:t>
      </w:r>
    </w:p>
    <w:p>
      <w:pPr>
        <w:ind w:firstLine="420" w:firstLineChars="200"/>
        <w:contextualSpacing/>
        <w:rPr>
          <w:rFonts w:ascii="Arial" w:hAnsi="Arial" w:cs="Arial"/>
          <w:color w:val="auto"/>
          <w:szCs w:val="21"/>
        </w:rPr>
      </w:pPr>
      <w:r>
        <w:rPr>
          <w:rFonts w:ascii="Arial" w:hAnsi="Arial" w:cs="Arial"/>
          <w:color w:val="auto"/>
          <w:szCs w:val="21"/>
        </w:rPr>
        <w:t>经双方同意，被保险人在无法控制或不存在过错的情况下违反本保险合同的条件和保证，本保险合同的保障不受影响。</w:t>
      </w:r>
    </w:p>
    <w:p>
      <w:pPr>
        <w:ind w:firstLine="420" w:firstLineChars="200"/>
        <w:contextualSpacing/>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contextualSpacing/>
        <w:rPr>
          <w:rFonts w:ascii="Arial" w:hAnsi="Arial" w:cs="Arial"/>
          <w:color w:val="auto"/>
          <w:szCs w:val="21"/>
        </w:rPr>
      </w:pPr>
    </w:p>
    <w:p>
      <w:pPr>
        <w:numPr>
          <w:ilvl w:val="0"/>
          <w:numId w:val="5"/>
        </w:numPr>
        <w:contextualSpacing/>
        <w:rPr>
          <w:rFonts w:ascii="Arial" w:hAnsi="Arial" w:cs="Arial"/>
          <w:color w:val="auto"/>
          <w:szCs w:val="21"/>
        </w:rPr>
      </w:pPr>
      <w:r>
        <w:rPr>
          <w:rFonts w:ascii="Arial" w:hAnsi="Arial" w:cs="Arial"/>
          <w:b/>
          <w:bCs/>
          <w:color w:val="auto"/>
          <w:szCs w:val="21"/>
        </w:rPr>
        <w:t>放弃代位求偿权条款</w:t>
      </w:r>
    </w:p>
    <w:p>
      <w:pPr>
        <w:tabs>
          <w:tab w:val="left" w:pos="567"/>
        </w:tabs>
        <w:spacing w:after="120" w:line="0" w:lineRule="atLeast"/>
        <w:ind w:right="-25" w:rightChars="-12" w:firstLine="420" w:firstLineChars="200"/>
        <w:rPr>
          <w:rFonts w:ascii="Arial" w:hAnsi="Arial" w:cs="Arial"/>
          <w:color w:val="auto"/>
          <w:szCs w:val="21"/>
        </w:rPr>
      </w:pPr>
      <w:r>
        <w:rPr>
          <w:rFonts w:ascii="Arial" w:hAnsi="Arial" w:cs="Arial"/>
          <w:color w:val="auto"/>
          <w:szCs w:val="21"/>
        </w:rPr>
        <w:t>兹经双方同意，保险公司同意放弃与保险财产有关的对被保险人所拥有的代位求偿权。被放弃代位求偿权的对象包括：所有保单列明的被保险人。</w:t>
      </w:r>
    </w:p>
    <w:p>
      <w:pPr>
        <w:autoSpaceDE w:val="0"/>
        <w:autoSpaceDN w:val="0"/>
        <w:adjustRightInd w:val="0"/>
        <w:spacing w:line="360" w:lineRule="auto"/>
        <w:rPr>
          <w:rFonts w:ascii="Arial" w:hAnsi="Arial" w:cs="Arial"/>
          <w:color w:val="auto"/>
          <w:szCs w:val="21"/>
        </w:rPr>
      </w:pPr>
      <w:r>
        <w:rPr>
          <w:rFonts w:ascii="Arial" w:hAnsi="Arial" w:cs="Arial"/>
          <w:color w:val="auto"/>
          <w:szCs w:val="21"/>
        </w:rPr>
        <w:t>本保险单所载其它条件不变</w:t>
      </w:r>
    </w:p>
    <w:p>
      <w:pPr>
        <w:widowControl/>
        <w:numPr>
          <w:ilvl w:val="0"/>
          <w:numId w:val="5"/>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预付赔款条款（估损金额的50%）</w:t>
      </w:r>
    </w:p>
    <w:p>
      <w:pPr>
        <w:ind w:firstLine="420" w:firstLineChars="200"/>
        <w:contextualSpacing/>
        <w:rPr>
          <w:rFonts w:ascii="Arial" w:hAnsi="Arial" w:cs="Arial"/>
          <w:color w:val="auto"/>
          <w:szCs w:val="21"/>
        </w:rPr>
      </w:pPr>
      <w:r>
        <w:rPr>
          <w:rFonts w:ascii="Arial" w:hAnsi="Arial" w:cs="Arial"/>
          <w:color w:val="auto"/>
          <w:szCs w:val="21"/>
        </w:rPr>
        <w:t>兹经双方同意，发生本保险单项下的损失时，依据被保险人的要求及理算师的建议，本公司可以预先支付赔款。</w:t>
      </w:r>
    </w:p>
    <w:p>
      <w:pPr>
        <w:ind w:firstLine="420" w:firstLineChars="200"/>
        <w:contextualSpacing/>
        <w:rPr>
          <w:rFonts w:ascii="Arial" w:hAnsi="Arial" w:cs="Arial"/>
          <w:color w:val="auto"/>
          <w:szCs w:val="21"/>
        </w:rPr>
      </w:pPr>
      <w:r>
        <w:rPr>
          <w:rFonts w:ascii="Arial" w:hAnsi="Arial" w:cs="Arial"/>
          <w:color w:val="auto"/>
          <w:szCs w:val="21"/>
        </w:rPr>
        <w:t>本保险单所载其他条件不变。</w:t>
      </w:r>
    </w:p>
    <w:p>
      <w:pPr>
        <w:contextualSpacing/>
        <w:rPr>
          <w:rFonts w:ascii="Arial" w:hAnsi="Arial" w:cs="Arial"/>
          <w:color w:val="auto"/>
          <w:szCs w:val="21"/>
        </w:rPr>
      </w:pPr>
    </w:p>
    <w:p>
      <w:pPr>
        <w:widowControl/>
        <w:numPr>
          <w:ilvl w:val="0"/>
          <w:numId w:val="5"/>
        </w:numPr>
        <w:spacing w:after="120" w:line="0" w:lineRule="atLeast"/>
        <w:ind w:right="-25" w:rightChars="-12"/>
        <w:rPr>
          <w:rFonts w:ascii="Arial" w:hAnsi="Arial" w:cs="Arial"/>
          <w:b/>
          <w:bCs/>
          <w:color w:val="auto"/>
          <w:szCs w:val="21"/>
        </w:rPr>
      </w:pPr>
      <w:r>
        <w:rPr>
          <w:rFonts w:ascii="Arial" w:hAnsi="Arial" w:cs="Arial"/>
          <w:b/>
          <w:bCs/>
          <w:color w:val="auto"/>
          <w:szCs w:val="21"/>
        </w:rPr>
        <w:t>物质损失放弃免赔条款</w:t>
      </w:r>
    </w:p>
    <w:p>
      <w:pPr>
        <w:ind w:firstLine="420" w:firstLineChars="200"/>
        <w:contextualSpacing/>
        <w:rPr>
          <w:rFonts w:ascii="Arial" w:hAnsi="Arial" w:cs="Arial"/>
          <w:color w:val="auto"/>
          <w:szCs w:val="21"/>
        </w:rPr>
      </w:pPr>
      <w:r>
        <w:rPr>
          <w:rFonts w:ascii="Arial" w:hAnsi="Arial" w:cs="Arial"/>
          <w:color w:val="auto"/>
          <w:szCs w:val="21"/>
        </w:rPr>
        <w:t>兹经双方同意并约定,若物质损失保单(财产一切险)项下之损失低于免赔额，保险公司同意本保单不以下列条件为保险生效的先决条件：营业中断的损失赔偿须以在发生损失时，应有承保被保险人在上述处所的财产利益的物质损失的有效保险，并已在该保险项下取得赔款或已由保险人承认赔偿责任为基础。即营业中断险保单仍然必须承担赔偿责任。</w:t>
      </w:r>
    </w:p>
    <w:p>
      <w:pPr>
        <w:ind w:firstLine="420" w:firstLineChars="200"/>
        <w:contextualSpacing/>
        <w:rPr>
          <w:rFonts w:ascii="Arial" w:hAnsi="Arial" w:cs="Arial"/>
          <w:color w:val="auto"/>
          <w:szCs w:val="21"/>
        </w:rPr>
      </w:pPr>
      <w:r>
        <w:rPr>
          <w:rFonts w:ascii="Arial" w:hAnsi="Arial" w:cs="Arial"/>
          <w:color w:val="auto"/>
          <w:szCs w:val="21"/>
        </w:rPr>
        <w:t>本保险单所载其它条件不变。</w:t>
      </w:r>
    </w:p>
    <w:p>
      <w:pPr>
        <w:ind w:firstLine="420" w:firstLineChars="200"/>
        <w:contextualSpacing/>
        <w:rPr>
          <w:rFonts w:ascii="Arial" w:hAnsi="Arial" w:cs="Arial"/>
          <w:color w:val="auto"/>
          <w:szCs w:val="21"/>
        </w:rPr>
      </w:pPr>
    </w:p>
    <w:p>
      <w:pPr>
        <w:rPr>
          <w:rFonts w:ascii="Arial" w:hAnsi="Arial" w:cs="Arial"/>
          <w:b/>
          <w:bCs/>
          <w:color w:val="auto"/>
          <w:szCs w:val="21"/>
        </w:rPr>
      </w:pPr>
      <w:r>
        <w:rPr>
          <w:rFonts w:ascii="Arial" w:hAnsi="Arial" w:cs="Arial"/>
          <w:b/>
          <w:caps/>
          <w:color w:val="auto"/>
          <w:szCs w:val="21"/>
        </w:rPr>
        <w:t>15.</w:t>
      </w:r>
      <w:r>
        <w:rPr>
          <w:rFonts w:ascii="Arial" w:hAnsi="Arial" w:cs="Arial"/>
          <w:b/>
          <w:bCs/>
          <w:color w:val="auto"/>
          <w:szCs w:val="21"/>
        </w:rPr>
        <w:t xml:space="preserve"> 保险责任触发条款</w:t>
      </w:r>
    </w:p>
    <w:p>
      <w:pPr>
        <w:ind w:firstLine="420" w:firstLineChars="200"/>
        <w:rPr>
          <w:rFonts w:ascii="Arial" w:hAnsi="Arial" w:cs="Arial"/>
          <w:color w:val="auto"/>
          <w:szCs w:val="21"/>
        </w:rPr>
      </w:pPr>
      <w:r>
        <w:rPr>
          <w:rFonts w:ascii="Arial" w:hAnsi="Arial" w:cs="Arial"/>
          <w:color w:val="auto"/>
          <w:szCs w:val="21"/>
        </w:rPr>
        <w:t>兹经双方同意，在保险期间内，被保险人因物质损失保险合同所承保的风险造成营业所使用的物质财产遭受损失（以下简称“物质保险损失”），导致被保险人营业受到干扰或中断，由此产生的赔偿期间内的毛利润损失，保险人按照本保险合同的约定负责赔偿。</w:t>
      </w:r>
    </w:p>
    <w:p>
      <w:pPr>
        <w:ind w:firstLine="422" w:firstLineChars="200"/>
        <w:rPr>
          <w:rFonts w:ascii="Arial" w:hAnsi="Arial" w:cs="Arial"/>
          <w:b/>
          <w:bCs/>
          <w:color w:val="auto"/>
          <w:szCs w:val="21"/>
        </w:rPr>
      </w:pPr>
    </w:p>
    <w:p>
      <w:pPr>
        <w:rPr>
          <w:rFonts w:ascii="Arial" w:hAnsi="Arial" w:cs="Arial"/>
          <w:b/>
          <w:bCs/>
          <w:color w:val="auto"/>
          <w:szCs w:val="21"/>
        </w:rPr>
      </w:pPr>
      <w:r>
        <w:rPr>
          <w:rFonts w:ascii="Arial" w:hAnsi="Arial" w:cs="Arial"/>
          <w:b/>
          <w:bCs/>
          <w:color w:val="auto"/>
          <w:szCs w:val="21"/>
        </w:rPr>
        <w:t>16.</w:t>
      </w:r>
      <w:r>
        <w:rPr>
          <w:rFonts w:ascii="Arial" w:hAnsi="Arial" w:cs="Arial"/>
          <w:b/>
          <w:bCs/>
          <w:color w:val="auto"/>
          <w:szCs w:val="21"/>
        </w:rPr>
        <w:tab/>
      </w:r>
      <w:r>
        <w:rPr>
          <w:rFonts w:ascii="Arial" w:hAnsi="Arial" w:cs="Arial"/>
          <w:b/>
          <w:bCs/>
          <w:color w:val="auto"/>
          <w:szCs w:val="21"/>
        </w:rPr>
        <w:t>政府法令条款</w:t>
      </w:r>
    </w:p>
    <w:p>
      <w:pPr>
        <w:ind w:firstLine="420" w:firstLineChars="200"/>
        <w:rPr>
          <w:rFonts w:ascii="Arial" w:hAnsi="Arial" w:cs="Arial"/>
          <w:color w:val="auto"/>
          <w:szCs w:val="21"/>
        </w:rPr>
      </w:pPr>
      <w:r>
        <w:rPr>
          <w:rFonts w:ascii="Arial" w:hAnsi="Arial" w:cs="Arial"/>
          <w:color w:val="auto"/>
          <w:szCs w:val="21"/>
        </w:rPr>
        <w:t>兹经双方同意，由于发生财产一切险所保风险，直接导致政府当局颁令禁止到达或进入保险地点，致使被保险人业务中断或受到干扰而遭受的营业损失，本保单负责赔偿。</w:t>
      </w:r>
    </w:p>
    <w:p>
      <w:pPr>
        <w:ind w:firstLine="420" w:firstLineChars="200"/>
        <w:rPr>
          <w:rFonts w:ascii="Arial" w:hAnsi="Arial" w:cs="Arial"/>
          <w:color w:val="auto"/>
          <w:szCs w:val="21"/>
        </w:rPr>
      </w:pPr>
      <w:r>
        <w:rPr>
          <w:rFonts w:ascii="Arial" w:hAnsi="Arial" w:cs="Arial"/>
          <w:color w:val="auto"/>
          <w:szCs w:val="21"/>
        </w:rPr>
        <w:t>本保险单所载其它条件不变。</w:t>
      </w:r>
    </w:p>
    <w:p>
      <w:pPr>
        <w:rPr>
          <w:rFonts w:ascii="Arial" w:hAnsi="Arial" w:cs="Arial"/>
          <w:b/>
          <w:bCs/>
          <w:color w:val="auto"/>
          <w:szCs w:val="21"/>
        </w:rPr>
      </w:pPr>
    </w:p>
    <w:p>
      <w:pPr>
        <w:rPr>
          <w:rFonts w:ascii="Arial" w:hAnsi="Arial" w:cs="Arial"/>
          <w:b/>
          <w:bCs/>
          <w:color w:val="auto"/>
          <w:szCs w:val="21"/>
        </w:rPr>
      </w:pPr>
      <w:r>
        <w:rPr>
          <w:rFonts w:ascii="Arial" w:hAnsi="Arial" w:cs="Arial"/>
          <w:b/>
          <w:bCs/>
          <w:color w:val="auto"/>
          <w:szCs w:val="21"/>
        </w:rPr>
        <w:t>17.</w:t>
      </w:r>
      <w:r>
        <w:rPr>
          <w:rFonts w:ascii="Arial" w:hAnsi="Arial" w:cs="Arial"/>
          <w:b/>
          <w:bCs/>
          <w:color w:val="auto"/>
          <w:szCs w:val="21"/>
        </w:rPr>
        <w:tab/>
      </w:r>
      <w:r>
        <w:rPr>
          <w:rFonts w:ascii="Arial" w:hAnsi="Arial" w:cs="Arial"/>
          <w:b/>
          <w:bCs/>
          <w:color w:val="auto"/>
          <w:szCs w:val="21"/>
        </w:rPr>
        <w:t>遗失欠款账册条款</w:t>
      </w:r>
    </w:p>
    <w:p>
      <w:pPr>
        <w:ind w:firstLine="420" w:firstLineChars="200"/>
        <w:rPr>
          <w:rFonts w:ascii="Arial" w:hAnsi="Arial" w:cs="Arial"/>
          <w:color w:val="auto"/>
          <w:szCs w:val="21"/>
        </w:rPr>
      </w:pPr>
      <w:r>
        <w:rPr>
          <w:rFonts w:ascii="Arial" w:hAnsi="Arial" w:cs="Arial"/>
          <w:bCs/>
          <w:color w:val="auto"/>
          <w:szCs w:val="21"/>
        </w:rPr>
        <w:t>兹约</w:t>
      </w:r>
      <w:r>
        <w:rPr>
          <w:rFonts w:ascii="Arial" w:hAnsi="Arial" w:cs="Arial"/>
          <w:color w:val="auto"/>
          <w:szCs w:val="21"/>
        </w:rPr>
        <w:t>定，在本保险单各项保险金额的限度以内，如果因本保险所承保的风险，保存在营业处所的应收未收帐目的记录遗失，受毁或受损，本公司可以赔偿下列各项：</w:t>
      </w:r>
    </w:p>
    <w:p>
      <w:pPr>
        <w:ind w:firstLine="420" w:firstLineChars="200"/>
        <w:rPr>
          <w:rFonts w:ascii="Arial" w:hAnsi="Arial" w:cs="Arial"/>
          <w:color w:val="auto"/>
          <w:szCs w:val="21"/>
        </w:rPr>
      </w:pPr>
      <w:r>
        <w:rPr>
          <w:rFonts w:ascii="Arial" w:hAnsi="Arial" w:cs="Arial"/>
          <w:color w:val="auto"/>
          <w:szCs w:val="21"/>
        </w:rPr>
        <w:t>（1）顾客应付被保险人的一切数额，但以被保险人因损失账册的直接后果，而不能收取这些欠款为限。</w:t>
      </w:r>
    </w:p>
    <w:p>
      <w:pPr>
        <w:ind w:firstLine="420" w:firstLineChars="200"/>
        <w:rPr>
          <w:rFonts w:ascii="Arial" w:hAnsi="Arial" w:cs="Arial"/>
          <w:color w:val="auto"/>
          <w:szCs w:val="21"/>
        </w:rPr>
      </w:pPr>
      <w:r>
        <w:rPr>
          <w:rFonts w:ascii="Arial" w:hAnsi="Arial" w:cs="Arial"/>
          <w:color w:val="auto"/>
          <w:szCs w:val="21"/>
        </w:rPr>
        <w:t>（2）因损失账册而必须支付的超过正常收款费用部分的费用。</w:t>
      </w:r>
    </w:p>
    <w:p>
      <w:pPr>
        <w:ind w:firstLine="420" w:firstLineChars="200"/>
        <w:rPr>
          <w:rFonts w:ascii="Arial" w:hAnsi="Arial" w:cs="Arial"/>
          <w:color w:val="auto"/>
          <w:szCs w:val="21"/>
        </w:rPr>
      </w:pPr>
      <w:r>
        <w:rPr>
          <w:rFonts w:ascii="Arial" w:hAnsi="Arial" w:cs="Arial"/>
          <w:color w:val="auto"/>
          <w:szCs w:val="21"/>
        </w:rPr>
        <w:t>（3）证明本扩展责任条款项下的任何索赔时必须支付审计师的合理费用。</w:t>
      </w:r>
    </w:p>
    <w:p>
      <w:pPr>
        <w:ind w:firstLine="420" w:firstLineChars="200"/>
        <w:rPr>
          <w:rFonts w:ascii="Arial" w:hAnsi="Arial" w:cs="Arial"/>
          <w:color w:val="auto"/>
          <w:szCs w:val="21"/>
        </w:rPr>
      </w:pPr>
      <w:r>
        <w:rPr>
          <w:rFonts w:ascii="Arial" w:hAnsi="Arial" w:cs="Arial"/>
          <w:color w:val="auto"/>
          <w:szCs w:val="21"/>
        </w:rPr>
        <w:t>但以被保险人能凭审计师的书面证明证实其损失的为限。</w:t>
      </w:r>
    </w:p>
    <w:p>
      <w:pPr>
        <w:ind w:firstLine="420" w:firstLineChars="200"/>
        <w:rPr>
          <w:rFonts w:ascii="Arial" w:hAnsi="Arial" w:cs="Arial"/>
          <w:color w:val="auto"/>
          <w:szCs w:val="21"/>
        </w:rPr>
      </w:pPr>
      <w:r>
        <w:rPr>
          <w:rFonts w:ascii="Arial" w:hAnsi="Arial" w:cs="Arial"/>
          <w:color w:val="auto"/>
          <w:szCs w:val="21"/>
        </w:rPr>
        <w:t>本扩展条款只适用于保险期内发生的应收未收帐目记录灭失或损毁。</w:t>
      </w:r>
    </w:p>
    <w:p>
      <w:pPr>
        <w:ind w:firstLine="420" w:firstLineChars="200"/>
        <w:rPr>
          <w:rFonts w:ascii="Arial" w:hAnsi="Arial" w:cs="Arial"/>
          <w:color w:val="auto"/>
          <w:szCs w:val="21"/>
        </w:rPr>
      </w:pPr>
      <w:r>
        <w:rPr>
          <w:rFonts w:ascii="Arial" w:hAnsi="Arial" w:cs="Arial"/>
          <w:color w:val="auto"/>
          <w:szCs w:val="21"/>
        </w:rPr>
        <w:t>本保险单所载其它条件不变。</w:t>
      </w:r>
    </w:p>
    <w:p>
      <w:pPr>
        <w:rPr>
          <w:rFonts w:ascii="Arial" w:hAnsi="Arial" w:cs="Arial"/>
          <w:b/>
          <w:bCs/>
          <w:color w:val="auto"/>
          <w:szCs w:val="21"/>
        </w:rPr>
      </w:pPr>
    </w:p>
    <w:p>
      <w:pPr>
        <w:rPr>
          <w:rFonts w:ascii="Arial" w:hAnsi="Arial" w:cs="Arial"/>
          <w:b/>
          <w:bCs/>
          <w:color w:val="auto"/>
          <w:szCs w:val="21"/>
        </w:rPr>
      </w:pPr>
      <w:r>
        <w:rPr>
          <w:rFonts w:ascii="Arial" w:hAnsi="Arial" w:cs="Arial"/>
          <w:b/>
          <w:bCs/>
          <w:color w:val="auto"/>
          <w:szCs w:val="21"/>
        </w:rPr>
        <w:t>18.</w:t>
      </w:r>
      <w:r>
        <w:rPr>
          <w:rFonts w:ascii="Arial" w:hAnsi="Arial" w:cs="Arial"/>
          <w:b/>
          <w:bCs/>
          <w:color w:val="auto"/>
          <w:szCs w:val="21"/>
        </w:rPr>
        <w:tab/>
      </w:r>
      <w:r>
        <w:rPr>
          <w:rFonts w:ascii="Arial" w:hAnsi="Arial" w:cs="Arial"/>
          <w:b/>
          <w:bCs/>
          <w:color w:val="auto"/>
          <w:szCs w:val="21"/>
        </w:rPr>
        <w:t>关联条款（限额：保险金额的20%）</w:t>
      </w:r>
    </w:p>
    <w:p>
      <w:pPr>
        <w:ind w:firstLine="420" w:firstLineChars="200"/>
        <w:rPr>
          <w:rFonts w:ascii="Arial" w:hAnsi="Arial" w:cs="Arial"/>
          <w:color w:val="auto"/>
          <w:szCs w:val="21"/>
        </w:rPr>
      </w:pPr>
      <w:r>
        <w:rPr>
          <w:rFonts w:ascii="Arial" w:hAnsi="Arial" w:cs="Arial"/>
          <w:color w:val="auto"/>
          <w:szCs w:val="21"/>
        </w:rPr>
        <w:t>本保险单扩展承保一个被保险营业处所的物质损失导致另一个被保险营业处所经营中断所导致的利润损失，且该利润损失已在本保险单项下投保。本条除上述规定外，其他均以本保险单所载条款为准。</w:t>
      </w:r>
    </w:p>
    <w:p>
      <w:pPr>
        <w:ind w:firstLine="420" w:firstLineChars="200"/>
        <w:rPr>
          <w:rFonts w:ascii="Arial" w:hAnsi="Arial" w:cs="Arial"/>
          <w:color w:val="auto"/>
          <w:szCs w:val="21"/>
        </w:rPr>
      </w:pPr>
      <w:r>
        <w:rPr>
          <w:rFonts w:ascii="Arial" w:hAnsi="Arial" w:cs="Arial"/>
          <w:color w:val="auto"/>
          <w:szCs w:val="21"/>
        </w:rPr>
        <w:t>本保险单所载其它条件不变。</w:t>
      </w:r>
    </w:p>
    <w:p>
      <w:pPr>
        <w:rPr>
          <w:rFonts w:ascii="Arial" w:hAnsi="Arial" w:cs="Arial"/>
          <w:b/>
          <w:bCs/>
          <w:color w:val="auto"/>
          <w:szCs w:val="21"/>
        </w:rPr>
      </w:pPr>
    </w:p>
    <w:p>
      <w:pPr>
        <w:rPr>
          <w:rFonts w:ascii="Arial" w:hAnsi="Arial" w:cs="Arial"/>
          <w:b/>
          <w:bCs/>
          <w:color w:val="auto"/>
          <w:szCs w:val="21"/>
        </w:rPr>
      </w:pPr>
      <w:r>
        <w:rPr>
          <w:rFonts w:ascii="Arial" w:hAnsi="Arial" w:cs="Arial"/>
          <w:b/>
          <w:bCs/>
          <w:color w:val="auto"/>
          <w:szCs w:val="21"/>
        </w:rPr>
        <w:t>19</w:t>
      </w:r>
      <w:r>
        <w:rPr>
          <w:rFonts w:ascii="Arial" w:hAnsi="Arial" w:cs="Arial"/>
          <w:b/>
          <w:bCs/>
          <w:color w:val="auto"/>
          <w:szCs w:val="21"/>
        </w:rPr>
        <w:tab/>
      </w:r>
      <w:r>
        <w:rPr>
          <w:rFonts w:ascii="Arial" w:hAnsi="Arial" w:cs="Arial"/>
          <w:b/>
          <w:bCs/>
          <w:color w:val="auto"/>
          <w:szCs w:val="21"/>
        </w:rPr>
        <w:t>保费调整条款</w:t>
      </w:r>
    </w:p>
    <w:p>
      <w:pPr>
        <w:ind w:firstLine="420" w:firstLineChars="200"/>
        <w:rPr>
          <w:rFonts w:ascii="Arial" w:hAnsi="Arial" w:cs="Arial"/>
          <w:b/>
          <w:caps/>
          <w:color w:val="auto"/>
          <w:sz w:val="28"/>
          <w:szCs w:val="28"/>
        </w:rPr>
      </w:pPr>
      <w:r>
        <w:rPr>
          <w:rFonts w:ascii="Arial" w:hAnsi="Arial" w:cs="Arial"/>
          <w:color w:val="auto"/>
          <w:szCs w:val="21"/>
        </w:rPr>
        <w:t>兹经双方同意，被保险人如最迟在任何保险单年度满期后六个月内声明，根据审计师（查帐员）的证明，与任何保险期最接近同期的十二个月会计期间所赚得的毛利润少于所保保险金额，可按比例退还差额部分的保险费，但退还保费不得超过保险期内对此项保险金额所付保险费的三分之一。如因任何意外事故而在本保险单项下索赔，则上述保险费的退还，只限于非该意外事故所造成保额减少的那部分差额项下的保险费</w:t>
      </w:r>
      <w:r>
        <w:rPr>
          <w:rFonts w:ascii="Arial" w:hAnsi="Arial" w:cs="Arial"/>
          <w:b/>
          <w:caps/>
          <w:color w:val="auto"/>
          <w:sz w:val="28"/>
          <w:szCs w:val="28"/>
        </w:rPr>
        <w:t>。</w:t>
      </w:r>
    </w:p>
    <w:p>
      <w:pPr>
        <w:ind w:firstLine="420" w:firstLineChars="200"/>
        <w:rPr>
          <w:rFonts w:ascii="Arial" w:hAnsi="Arial" w:cs="Arial"/>
          <w:color w:val="auto"/>
          <w:szCs w:val="21"/>
        </w:rPr>
      </w:pPr>
      <w:r>
        <w:rPr>
          <w:rFonts w:ascii="Arial" w:hAnsi="Arial" w:cs="Arial"/>
          <w:color w:val="auto"/>
          <w:szCs w:val="21"/>
        </w:rPr>
        <w:t>本保险单所载其它条件不变。</w:t>
      </w:r>
    </w:p>
    <w:p>
      <w:pPr>
        <w:rPr>
          <w:rFonts w:ascii="Arial" w:hAnsi="Arial" w:cs="Arial"/>
          <w:b/>
          <w:bCs/>
          <w:color w:val="auto"/>
          <w:szCs w:val="21"/>
        </w:rPr>
      </w:pPr>
    </w:p>
    <w:p>
      <w:pPr>
        <w:rPr>
          <w:rFonts w:ascii="Arial" w:hAnsi="Arial" w:cs="Arial"/>
          <w:b/>
          <w:bCs/>
          <w:color w:val="auto"/>
          <w:szCs w:val="21"/>
        </w:rPr>
      </w:pPr>
      <w:r>
        <w:rPr>
          <w:rFonts w:ascii="Arial" w:hAnsi="Arial" w:cs="Arial"/>
          <w:b/>
          <w:bCs/>
          <w:color w:val="auto"/>
          <w:szCs w:val="21"/>
        </w:rPr>
        <w:t>20.</w:t>
      </w:r>
      <w:r>
        <w:rPr>
          <w:rFonts w:ascii="Arial" w:hAnsi="Arial" w:cs="Arial"/>
          <w:b/>
          <w:bCs/>
          <w:color w:val="auto"/>
          <w:szCs w:val="21"/>
        </w:rPr>
        <w:tab/>
      </w:r>
      <w:r>
        <w:rPr>
          <w:rFonts w:ascii="Arial" w:hAnsi="Arial" w:cs="Arial"/>
          <w:b/>
          <w:bCs/>
          <w:color w:val="auto"/>
          <w:szCs w:val="21"/>
        </w:rPr>
        <w:t>地震、海啸条款</w:t>
      </w:r>
    </w:p>
    <w:p>
      <w:pPr>
        <w:ind w:firstLine="420" w:firstLineChars="200"/>
        <w:rPr>
          <w:rFonts w:ascii="Arial" w:hAnsi="Arial" w:cs="Arial"/>
          <w:color w:val="auto"/>
          <w:szCs w:val="21"/>
        </w:rPr>
      </w:pPr>
      <w:r>
        <w:rPr>
          <w:rFonts w:ascii="Arial" w:hAnsi="Arial" w:cs="Arial"/>
          <w:color w:val="auto"/>
          <w:szCs w:val="21"/>
        </w:rPr>
        <w:t xml:space="preserve"> 兹经双方同意，本保单扩展承保由于地震、海啸及其次生灾害导致保险财产发生损失，从而导致营业中断所产生的毛利润损失或营业费用的增加。 </w:t>
      </w:r>
    </w:p>
    <w:p>
      <w:pPr>
        <w:ind w:firstLine="420" w:firstLineChars="200"/>
        <w:rPr>
          <w:rFonts w:ascii="Arial" w:hAnsi="Arial" w:cs="Arial"/>
          <w:color w:val="auto"/>
          <w:szCs w:val="21"/>
        </w:rPr>
      </w:pPr>
      <w:r>
        <w:rPr>
          <w:rFonts w:ascii="Arial" w:hAnsi="Arial" w:cs="Arial"/>
          <w:color w:val="auto"/>
          <w:szCs w:val="21"/>
        </w:rPr>
        <w:t>本保险单所载其它约定不变。</w:t>
      </w:r>
    </w:p>
    <w:p>
      <w:pPr>
        <w:rPr>
          <w:rFonts w:ascii="宋体" w:hAnsi="宋体"/>
          <w:color w:val="auto"/>
        </w:rPr>
      </w:pPr>
    </w:p>
    <w:p>
      <w:pPr>
        <w:rPr>
          <w:rFonts w:ascii="宋体" w:hAnsi="宋体"/>
          <w:color w:val="auto"/>
        </w:rPr>
      </w:pPr>
    </w:p>
    <w:p>
      <w:pPr>
        <w:autoSpaceDE w:val="0"/>
        <w:autoSpaceDN w:val="0"/>
        <w:adjustRightInd w:val="0"/>
        <w:spacing w:after="156" w:afterLines="50"/>
        <w:jc w:val="center"/>
        <w:rPr>
          <w:rFonts w:ascii="Arial" w:hAnsi="Arial" w:cs="Arial"/>
          <w:b/>
          <w:bCs/>
          <w:color w:val="auto"/>
          <w:kern w:val="0"/>
          <w:sz w:val="28"/>
          <w:szCs w:val="28"/>
          <w:lang w:val="zh-CN"/>
        </w:rPr>
      </w:pPr>
      <w:r>
        <w:rPr>
          <w:rFonts w:ascii="Arial" w:hAnsi="Arial" w:cs="Arial"/>
          <w:b/>
          <w:bCs/>
          <w:color w:val="auto"/>
          <w:kern w:val="0"/>
          <w:sz w:val="28"/>
          <w:szCs w:val="28"/>
          <w:lang w:val="zh-CN"/>
        </w:rPr>
        <w:t>现金保险条款</w:t>
      </w:r>
    </w:p>
    <w:p>
      <w:pPr>
        <w:adjustRightInd w:val="0"/>
        <w:snapToGrid w:val="0"/>
        <w:spacing w:after="50"/>
        <w:ind w:firstLine="420" w:firstLineChars="200"/>
        <w:rPr>
          <w:rFonts w:ascii="Arial" w:hAnsi="Arial" w:cs="Arial"/>
          <w:color w:val="auto"/>
          <w:szCs w:val="21"/>
        </w:rPr>
      </w:pPr>
    </w:p>
    <w:p>
      <w:pPr>
        <w:adjustRightInd w:val="0"/>
        <w:snapToGrid w:val="0"/>
        <w:spacing w:after="50"/>
        <w:ind w:firstLine="422" w:firstLineChars="200"/>
        <w:jc w:val="center"/>
        <w:rPr>
          <w:rFonts w:ascii="Arial" w:hAnsi="Arial" w:cs="Arial"/>
          <w:b/>
          <w:bCs/>
          <w:color w:val="auto"/>
          <w:szCs w:val="21"/>
        </w:rPr>
      </w:pPr>
      <w:r>
        <w:rPr>
          <w:rFonts w:ascii="Arial" w:hAnsi="Arial" w:cs="Arial"/>
          <w:b/>
          <w:bCs/>
          <w:color w:val="auto"/>
          <w:szCs w:val="21"/>
        </w:rPr>
        <w:t>总则</w:t>
      </w:r>
    </w:p>
    <w:p>
      <w:pPr>
        <w:adjustRightInd w:val="0"/>
        <w:snapToGrid w:val="0"/>
        <w:spacing w:after="50"/>
        <w:ind w:firstLine="422" w:firstLineChars="200"/>
        <w:rPr>
          <w:rFonts w:ascii="Arial" w:hAnsi="Arial" w:cs="Arial"/>
          <w:color w:val="auto"/>
          <w:szCs w:val="21"/>
        </w:rPr>
      </w:pPr>
      <w:r>
        <w:rPr>
          <w:rFonts w:ascii="Arial" w:hAnsi="Arial" w:cs="Arial"/>
          <w:b/>
          <w:color w:val="auto"/>
          <w:szCs w:val="21"/>
        </w:rPr>
        <w:t>第一条</w:t>
      </w:r>
      <w:r>
        <w:rPr>
          <w:rFonts w:ascii="Arial" w:hAnsi="Arial" w:cs="Arial"/>
          <w:color w:val="auto"/>
          <w:szCs w:val="21"/>
        </w:rPr>
        <w:t xml:space="preserve">  保险合同由保险条款、投保单、保险单、保险凭证以及批单组成。凡涉及本保险合同的约定，均应采用书面形式。</w:t>
      </w:r>
    </w:p>
    <w:p>
      <w:pPr>
        <w:widowControl/>
        <w:adjustRightInd w:val="0"/>
        <w:snapToGrid w:val="0"/>
        <w:spacing w:after="156" w:afterLines="50"/>
        <w:ind w:firstLine="422" w:firstLineChars="200"/>
        <w:rPr>
          <w:rFonts w:ascii="Arial" w:hAnsi="Arial" w:cs="Arial"/>
          <w:color w:val="auto"/>
          <w:kern w:val="0"/>
          <w:szCs w:val="21"/>
        </w:rPr>
      </w:pPr>
      <w:r>
        <w:rPr>
          <w:rFonts w:ascii="Arial" w:hAnsi="Arial" w:cs="Arial"/>
          <w:b/>
          <w:color w:val="auto"/>
          <w:kern w:val="0"/>
          <w:szCs w:val="21"/>
        </w:rPr>
        <w:t>第二条</w:t>
      </w:r>
      <w:r>
        <w:rPr>
          <w:rFonts w:ascii="Arial" w:hAnsi="Arial" w:cs="Arial"/>
          <w:color w:val="auto"/>
          <w:kern w:val="0"/>
          <w:szCs w:val="21"/>
        </w:rPr>
        <w:t xml:space="preserve">  凡依法设立且财务制度健全的国家机关、企业事业单位及其他组织，均可向保险人投保本保险，成为本保险的被保险人。</w:t>
      </w:r>
    </w:p>
    <w:p>
      <w:pPr>
        <w:adjustRightInd w:val="0"/>
        <w:snapToGrid w:val="0"/>
        <w:spacing w:after="50"/>
        <w:ind w:firstLine="420" w:firstLineChars="200"/>
        <w:rPr>
          <w:rFonts w:ascii="Arial" w:hAnsi="Arial" w:cs="Arial"/>
          <w:color w:val="auto"/>
          <w:szCs w:val="21"/>
        </w:rPr>
      </w:pPr>
    </w:p>
    <w:p>
      <w:pPr>
        <w:adjustRightInd w:val="0"/>
        <w:snapToGrid w:val="0"/>
        <w:spacing w:after="50"/>
        <w:ind w:firstLine="420" w:firstLineChars="200"/>
        <w:rPr>
          <w:rFonts w:ascii="Arial" w:hAnsi="Arial" w:cs="Arial"/>
          <w:color w:val="auto"/>
          <w:szCs w:val="21"/>
        </w:rPr>
      </w:pPr>
    </w:p>
    <w:p>
      <w:pPr>
        <w:adjustRightInd w:val="0"/>
        <w:snapToGrid w:val="0"/>
        <w:spacing w:after="50"/>
        <w:ind w:firstLine="422" w:firstLineChars="200"/>
        <w:jc w:val="center"/>
        <w:rPr>
          <w:rFonts w:ascii="Arial" w:hAnsi="Arial" w:cs="Arial"/>
          <w:b/>
          <w:bCs/>
          <w:color w:val="auto"/>
          <w:szCs w:val="21"/>
        </w:rPr>
      </w:pPr>
      <w:r>
        <w:rPr>
          <w:rFonts w:ascii="Arial" w:hAnsi="Arial" w:cs="Arial"/>
          <w:b/>
          <w:bCs/>
          <w:color w:val="auto"/>
          <w:szCs w:val="21"/>
        </w:rPr>
        <w:t>保险标的</w:t>
      </w:r>
    </w:p>
    <w:p>
      <w:pPr>
        <w:adjustRightInd w:val="0"/>
        <w:snapToGrid w:val="0"/>
        <w:spacing w:after="50"/>
        <w:ind w:firstLine="422" w:firstLineChars="200"/>
        <w:rPr>
          <w:rFonts w:ascii="Arial" w:hAnsi="Arial" w:cs="Arial"/>
          <w:color w:val="auto"/>
          <w:szCs w:val="21"/>
        </w:rPr>
      </w:pPr>
      <w:r>
        <w:rPr>
          <w:rFonts w:ascii="Arial" w:hAnsi="Arial" w:cs="Arial"/>
          <w:b/>
          <w:color w:val="auto"/>
          <w:szCs w:val="21"/>
        </w:rPr>
        <w:t>第三条</w:t>
      </w:r>
      <w:r>
        <w:rPr>
          <w:rFonts w:ascii="Arial" w:hAnsi="Arial" w:cs="Arial"/>
          <w:color w:val="auto"/>
          <w:szCs w:val="21"/>
        </w:rPr>
        <w:t xml:space="preserve">  凡属于被保险人所有的下列财产均可列入本保险的保险标的范围内：</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（一）现金；</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（二）支票、本票、汇票；</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（三）政府债券。</w:t>
      </w:r>
    </w:p>
    <w:p>
      <w:pPr>
        <w:adjustRightInd w:val="0"/>
        <w:snapToGrid w:val="0"/>
        <w:spacing w:after="50"/>
        <w:ind w:firstLine="422" w:firstLineChars="200"/>
        <w:rPr>
          <w:rFonts w:ascii="Arial" w:hAnsi="Arial" w:cs="Arial"/>
          <w:color w:val="auto"/>
          <w:szCs w:val="21"/>
        </w:rPr>
      </w:pPr>
      <w:r>
        <w:rPr>
          <w:rFonts w:ascii="Arial" w:hAnsi="Arial" w:cs="Arial"/>
          <w:b/>
          <w:color w:val="auto"/>
          <w:szCs w:val="21"/>
        </w:rPr>
        <w:t>第四条</w:t>
      </w:r>
      <w:r>
        <w:rPr>
          <w:rFonts w:ascii="Arial" w:hAnsi="Arial" w:cs="Arial"/>
          <w:color w:val="auto"/>
          <w:szCs w:val="21"/>
        </w:rPr>
        <w:t xml:space="preserve">  若被保险人为具备相应资质、向金融机构及其他单位提供武装押运服务的押运公司，则其负责押运的现金、支票、本票、汇票或政府债券也可列入本保险的保险标的范围内。</w:t>
      </w:r>
    </w:p>
    <w:p>
      <w:pPr>
        <w:adjustRightInd w:val="0"/>
        <w:snapToGrid w:val="0"/>
        <w:spacing w:after="50"/>
        <w:ind w:firstLine="420" w:firstLineChars="200"/>
        <w:rPr>
          <w:rFonts w:ascii="Arial" w:hAnsi="Arial" w:cs="Arial"/>
          <w:i/>
          <w:iCs/>
          <w:color w:val="auto"/>
          <w:szCs w:val="21"/>
        </w:rPr>
      </w:pPr>
    </w:p>
    <w:p>
      <w:pPr>
        <w:adjustRightInd w:val="0"/>
        <w:snapToGrid w:val="0"/>
        <w:spacing w:after="50"/>
        <w:ind w:firstLine="422" w:firstLineChars="200"/>
        <w:jc w:val="center"/>
        <w:rPr>
          <w:rFonts w:ascii="Arial" w:hAnsi="Arial" w:cs="Arial"/>
          <w:b/>
          <w:bCs/>
          <w:color w:val="auto"/>
          <w:szCs w:val="21"/>
        </w:rPr>
      </w:pPr>
      <w:r>
        <w:rPr>
          <w:rFonts w:ascii="Arial" w:hAnsi="Arial" w:cs="Arial"/>
          <w:b/>
          <w:bCs/>
          <w:color w:val="auto"/>
          <w:szCs w:val="21"/>
        </w:rPr>
        <w:t>保险责任</w:t>
      </w:r>
    </w:p>
    <w:p>
      <w:pPr>
        <w:adjustRightInd w:val="0"/>
        <w:snapToGrid w:val="0"/>
        <w:spacing w:after="50"/>
        <w:ind w:firstLine="422" w:firstLineChars="200"/>
        <w:rPr>
          <w:rFonts w:ascii="Arial" w:hAnsi="Arial" w:cs="Arial"/>
          <w:color w:val="auto"/>
          <w:szCs w:val="21"/>
        </w:rPr>
      </w:pPr>
      <w:r>
        <w:rPr>
          <w:rFonts w:ascii="Arial" w:hAnsi="Arial" w:cs="Arial"/>
          <w:b/>
          <w:color w:val="auto"/>
          <w:szCs w:val="21"/>
        </w:rPr>
        <w:t>第五条</w:t>
      </w:r>
      <w:r>
        <w:rPr>
          <w:rFonts w:ascii="Arial" w:hAnsi="Arial" w:cs="Arial"/>
          <w:color w:val="auto"/>
          <w:szCs w:val="21"/>
        </w:rPr>
        <w:t xml:space="preserve">  在保险期间内，在保险单明细表中列明的场所、线路范围内，由于下列原因造成</w:t>
      </w:r>
      <w:r>
        <w:rPr>
          <w:rFonts w:ascii="Arial" w:hAnsi="Arial" w:cs="Arial"/>
          <w:bCs/>
          <w:color w:val="auto"/>
          <w:szCs w:val="21"/>
        </w:rPr>
        <w:t>保险标的的损失</w:t>
      </w:r>
      <w:r>
        <w:rPr>
          <w:rFonts w:ascii="Arial" w:hAnsi="Arial" w:cs="Arial"/>
          <w:color w:val="auto"/>
          <w:szCs w:val="21"/>
        </w:rPr>
        <w:t>，保险人按照本保险合同的约定负责赔偿：</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（一）火灾、爆炸、洪水；</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（二）被保险人的雇员在前往银行送款或自银行提款回程中遭受抢劫；</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（三）存放在金库、保险箱（柜）内遭受盗窃；</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（四）或在营业过程中遭受抢劫。</w:t>
      </w:r>
    </w:p>
    <w:p>
      <w:pPr>
        <w:adjustRightInd w:val="0"/>
        <w:snapToGrid w:val="0"/>
        <w:spacing w:before="156" w:beforeLines="50" w:after="50" w:line="480" w:lineRule="auto"/>
        <w:ind w:firstLine="482" w:firstLineChars="200"/>
        <w:rPr>
          <w:rFonts w:ascii="Arial" w:hAnsi="Arial" w:cs="Arial"/>
          <w:b/>
          <w:bCs/>
          <w:color w:val="auto"/>
          <w:sz w:val="24"/>
          <w:szCs w:val="21"/>
        </w:rPr>
      </w:pPr>
      <w:r>
        <w:rPr>
          <w:rFonts w:ascii="Arial" w:hAnsi="Arial" w:cs="Arial"/>
          <w:b/>
          <w:bCs/>
          <w:color w:val="auto"/>
          <w:sz w:val="24"/>
          <w:szCs w:val="21"/>
        </w:rPr>
        <w:t>前款原因造成的保险事故发生时，为抢救保险标的或防止灾害蔓延，采取必要的、合理的措施而造成保险标的的损失，保险人按照本保险合同的约定也负责赔偿。</w:t>
      </w:r>
    </w:p>
    <w:p>
      <w:pPr>
        <w:adjustRightInd w:val="0"/>
        <w:snapToGrid w:val="0"/>
        <w:spacing w:after="50"/>
        <w:ind w:firstLine="422" w:firstLineChars="200"/>
        <w:rPr>
          <w:rFonts w:ascii="Arial" w:hAnsi="Arial" w:cs="Arial"/>
          <w:color w:val="auto"/>
          <w:szCs w:val="21"/>
        </w:rPr>
      </w:pPr>
      <w:r>
        <w:rPr>
          <w:rFonts w:ascii="Arial" w:hAnsi="Arial" w:cs="Arial"/>
          <w:b/>
          <w:color w:val="auto"/>
          <w:szCs w:val="21"/>
        </w:rPr>
        <w:t>第六条</w:t>
      </w:r>
      <w:r>
        <w:rPr>
          <w:rFonts w:ascii="Arial" w:hAnsi="Arial" w:cs="Arial"/>
          <w:color w:val="auto"/>
          <w:szCs w:val="21"/>
        </w:rPr>
        <w:t xml:space="preserve">  保险事故发生后，被保险人为防止或减少保险标的的损失所支付的必要的、合理的费用，保险人按照本保险合同的约定也负责赔偿。</w:t>
      </w:r>
    </w:p>
    <w:p>
      <w:pPr>
        <w:adjustRightInd w:val="0"/>
        <w:snapToGrid w:val="0"/>
        <w:spacing w:before="156" w:beforeLines="50" w:after="50" w:line="480" w:lineRule="auto"/>
        <w:ind w:firstLine="482" w:firstLineChars="200"/>
        <w:rPr>
          <w:rFonts w:ascii="Arial" w:hAnsi="Arial" w:cs="Arial"/>
          <w:b/>
          <w:color w:val="auto"/>
          <w:sz w:val="24"/>
          <w:szCs w:val="21"/>
        </w:rPr>
      </w:pPr>
    </w:p>
    <w:p>
      <w:pPr>
        <w:adjustRightInd w:val="0"/>
        <w:snapToGrid w:val="0"/>
        <w:spacing w:after="50"/>
        <w:ind w:firstLine="422" w:firstLineChars="200"/>
        <w:jc w:val="center"/>
        <w:rPr>
          <w:rFonts w:ascii="Arial" w:hAnsi="Arial" w:cs="Arial"/>
          <w:b/>
          <w:bCs/>
          <w:color w:val="auto"/>
          <w:szCs w:val="21"/>
        </w:rPr>
      </w:pPr>
      <w:r>
        <w:rPr>
          <w:rFonts w:ascii="Arial" w:hAnsi="Arial" w:cs="Arial"/>
          <w:b/>
          <w:bCs/>
          <w:color w:val="auto"/>
          <w:szCs w:val="21"/>
        </w:rPr>
        <w:t>责任免除</w:t>
      </w:r>
    </w:p>
    <w:p>
      <w:pPr>
        <w:adjustRightInd w:val="0"/>
        <w:snapToGrid w:val="0"/>
        <w:spacing w:after="50"/>
        <w:ind w:firstLine="422" w:firstLineChars="200"/>
        <w:rPr>
          <w:rFonts w:ascii="Arial" w:hAnsi="Arial" w:cs="Arial"/>
          <w:b/>
          <w:color w:val="auto"/>
          <w:szCs w:val="21"/>
        </w:rPr>
      </w:pPr>
      <w:r>
        <w:rPr>
          <w:rFonts w:ascii="Arial" w:hAnsi="Arial" w:cs="Arial"/>
          <w:b/>
          <w:color w:val="auto"/>
          <w:szCs w:val="21"/>
        </w:rPr>
        <w:t>第七条</w:t>
      </w:r>
      <w:r>
        <w:rPr>
          <w:rFonts w:ascii="Arial" w:hAnsi="Arial" w:cs="Arial"/>
          <w:color w:val="auto"/>
          <w:szCs w:val="21"/>
        </w:rPr>
        <w:t xml:space="preserve">  </w:t>
      </w:r>
      <w:r>
        <w:rPr>
          <w:rFonts w:ascii="Arial" w:hAnsi="Arial" w:cs="Arial"/>
          <w:b/>
          <w:color w:val="auto"/>
          <w:szCs w:val="21"/>
        </w:rPr>
        <w:t>下列原因造成的损失、费用，保险人不负责赔偿：</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（一）投保人、被保险人及其代表的故意或重大过失行为；</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（二）战争、敌对行动、军事行为、武装冲突、罢工、骚乱、暴动、恐怖活动；</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（三）核辐射、核爆炸、核污染及其他放射性污染；</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（四）地震、海啸；</w:t>
      </w:r>
    </w:p>
    <w:p>
      <w:pPr>
        <w:adjustRightInd w:val="0"/>
        <w:snapToGrid w:val="0"/>
        <w:spacing w:after="156" w:afterLines="50"/>
        <w:ind w:firstLine="422" w:firstLineChars="200"/>
        <w:rPr>
          <w:rFonts w:ascii="Arial" w:hAnsi="Arial" w:cs="Arial"/>
          <w:b/>
          <w:bCs/>
          <w:color w:val="auto"/>
          <w:szCs w:val="21"/>
        </w:rPr>
      </w:pPr>
      <w:r>
        <w:rPr>
          <w:rFonts w:ascii="Arial" w:hAnsi="Arial" w:cs="Arial"/>
          <w:b/>
          <w:bCs/>
          <w:color w:val="auto"/>
          <w:szCs w:val="21"/>
        </w:rPr>
        <w:t>（五）行政行为或司法行为；</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（六）被保险人雇员的盗窃、抢劫、抢夺、诈骗及其他不诚实行为；</w:t>
      </w:r>
    </w:p>
    <w:p>
      <w:pPr>
        <w:adjustRightInd w:val="0"/>
        <w:snapToGrid w:val="0"/>
        <w:spacing w:after="156" w:afterLines="50"/>
        <w:ind w:firstLine="422" w:firstLineChars="200"/>
        <w:rPr>
          <w:rFonts w:ascii="Arial" w:hAnsi="Arial" w:cs="Arial"/>
          <w:b/>
          <w:bCs/>
          <w:color w:val="auto"/>
          <w:szCs w:val="21"/>
        </w:rPr>
      </w:pPr>
      <w:r>
        <w:rPr>
          <w:rFonts w:ascii="Arial" w:hAnsi="Arial" w:cs="Arial"/>
          <w:b/>
          <w:color w:val="auto"/>
          <w:szCs w:val="21"/>
        </w:rPr>
        <w:t>（七）金库、保险箱（柜）在非营业时间未上锁。</w:t>
      </w:r>
    </w:p>
    <w:p>
      <w:pPr>
        <w:adjustRightInd w:val="0"/>
        <w:snapToGrid w:val="0"/>
        <w:spacing w:after="50"/>
        <w:ind w:firstLine="422" w:firstLineChars="200"/>
        <w:rPr>
          <w:rFonts w:ascii="Arial" w:hAnsi="Arial" w:cs="Arial"/>
          <w:b/>
          <w:color w:val="auto"/>
          <w:szCs w:val="21"/>
        </w:rPr>
      </w:pPr>
      <w:r>
        <w:rPr>
          <w:rFonts w:ascii="Arial" w:hAnsi="Arial" w:cs="Arial"/>
          <w:b/>
          <w:color w:val="auto"/>
          <w:szCs w:val="21"/>
        </w:rPr>
        <w:t>第八条</w:t>
      </w:r>
      <w:r>
        <w:rPr>
          <w:rFonts w:ascii="Arial" w:hAnsi="Arial" w:cs="Arial"/>
          <w:color w:val="auto"/>
          <w:szCs w:val="21"/>
        </w:rPr>
        <w:t xml:space="preserve">  </w:t>
      </w:r>
      <w:r>
        <w:rPr>
          <w:rFonts w:ascii="Arial" w:hAnsi="Arial" w:cs="Arial"/>
          <w:b/>
          <w:color w:val="auto"/>
          <w:szCs w:val="21"/>
        </w:rPr>
        <w:t>下列损失、费用，保险人也不负责赔偿：</w:t>
      </w:r>
    </w:p>
    <w:p>
      <w:pPr>
        <w:widowControl/>
        <w:adjustRightInd w:val="0"/>
        <w:snapToGrid w:val="0"/>
        <w:spacing w:after="156" w:afterLines="50"/>
        <w:ind w:firstLine="422" w:firstLineChars="200"/>
        <w:rPr>
          <w:rFonts w:ascii="Arial" w:hAnsi="Arial" w:cs="Arial"/>
          <w:b/>
          <w:color w:val="auto"/>
          <w:kern w:val="0"/>
          <w:szCs w:val="21"/>
        </w:rPr>
      </w:pPr>
      <w:r>
        <w:rPr>
          <w:rFonts w:ascii="Arial" w:hAnsi="Arial" w:cs="Arial"/>
          <w:b/>
          <w:color w:val="auto"/>
          <w:kern w:val="0"/>
          <w:szCs w:val="21"/>
        </w:rPr>
        <w:t>（一）送款或提款时由于无故绕道及随意停留造成的损失；</w:t>
      </w:r>
    </w:p>
    <w:p>
      <w:pPr>
        <w:widowControl/>
        <w:adjustRightInd w:val="0"/>
        <w:snapToGrid w:val="0"/>
        <w:spacing w:after="156" w:afterLines="50"/>
        <w:ind w:firstLine="422" w:firstLineChars="200"/>
        <w:rPr>
          <w:rFonts w:ascii="Arial" w:hAnsi="Arial" w:cs="Arial"/>
          <w:b/>
          <w:color w:val="auto"/>
          <w:kern w:val="0"/>
          <w:szCs w:val="21"/>
        </w:rPr>
      </w:pPr>
      <w:r>
        <w:rPr>
          <w:rFonts w:ascii="Arial" w:hAnsi="Arial" w:cs="Arial"/>
          <w:b/>
          <w:color w:val="auto"/>
          <w:kern w:val="0"/>
          <w:szCs w:val="21"/>
        </w:rPr>
        <w:t>（二）存放在ATM（自动柜员机）中的现金遭受的损失；</w:t>
      </w:r>
    </w:p>
    <w:p>
      <w:pPr>
        <w:widowControl/>
        <w:adjustRightInd w:val="0"/>
        <w:snapToGrid w:val="0"/>
        <w:spacing w:after="156" w:afterLines="50"/>
        <w:ind w:firstLine="422" w:firstLineChars="200"/>
        <w:rPr>
          <w:rFonts w:ascii="Arial" w:hAnsi="Arial" w:cs="Arial"/>
          <w:b/>
          <w:color w:val="auto"/>
          <w:kern w:val="0"/>
          <w:szCs w:val="21"/>
        </w:rPr>
      </w:pPr>
      <w:r>
        <w:rPr>
          <w:rFonts w:ascii="Arial" w:hAnsi="Arial" w:cs="Arial"/>
          <w:b/>
          <w:color w:val="auto"/>
          <w:kern w:val="0"/>
          <w:szCs w:val="21"/>
        </w:rPr>
        <w:t>（三）因保管不善导致保险标的损坏、霉烂、虫咬的损失；</w:t>
      </w:r>
    </w:p>
    <w:p>
      <w:pPr>
        <w:adjustRightInd w:val="0"/>
        <w:snapToGrid w:val="0"/>
        <w:spacing w:after="50"/>
        <w:ind w:firstLine="422" w:firstLineChars="200"/>
        <w:rPr>
          <w:rFonts w:ascii="Arial" w:hAnsi="Arial" w:cs="Arial"/>
          <w:b/>
          <w:color w:val="auto"/>
          <w:szCs w:val="21"/>
        </w:rPr>
      </w:pPr>
      <w:r>
        <w:rPr>
          <w:rFonts w:ascii="Arial" w:hAnsi="Arial" w:cs="Arial"/>
          <w:b/>
          <w:color w:val="auto"/>
          <w:szCs w:val="21"/>
        </w:rPr>
        <w:t>（四）间接损失；</w:t>
      </w:r>
    </w:p>
    <w:p>
      <w:pPr>
        <w:adjustRightInd w:val="0"/>
        <w:snapToGrid w:val="0"/>
        <w:spacing w:after="50"/>
        <w:ind w:firstLine="422" w:firstLineChars="200"/>
        <w:rPr>
          <w:rFonts w:ascii="Arial" w:hAnsi="Arial" w:cs="Arial"/>
          <w:b/>
          <w:color w:val="auto"/>
          <w:szCs w:val="21"/>
        </w:rPr>
      </w:pPr>
      <w:r>
        <w:rPr>
          <w:rFonts w:ascii="Arial" w:hAnsi="Arial" w:cs="Arial"/>
          <w:b/>
          <w:color w:val="auto"/>
          <w:szCs w:val="21"/>
        </w:rPr>
        <w:t>（五）本保险合同中载明的免赔额。</w:t>
      </w:r>
    </w:p>
    <w:p>
      <w:pPr>
        <w:adjustRightInd w:val="0"/>
        <w:snapToGrid w:val="0"/>
        <w:spacing w:after="50"/>
        <w:ind w:firstLine="422" w:firstLineChars="200"/>
        <w:rPr>
          <w:rFonts w:ascii="Arial" w:hAnsi="Arial" w:cs="Arial"/>
          <w:i/>
          <w:iCs/>
          <w:color w:val="auto"/>
          <w:szCs w:val="21"/>
        </w:rPr>
      </w:pPr>
      <w:r>
        <w:rPr>
          <w:rFonts w:ascii="Arial" w:hAnsi="Arial" w:cs="Arial"/>
          <w:b/>
          <w:color w:val="auto"/>
          <w:szCs w:val="21"/>
        </w:rPr>
        <w:t>第九条  其他不属于本保险合同责任范围内的损失和费用，保险人不负责赔偿。</w:t>
      </w:r>
    </w:p>
    <w:p>
      <w:pPr>
        <w:adjustRightInd w:val="0"/>
        <w:snapToGrid w:val="0"/>
        <w:spacing w:after="50"/>
        <w:ind w:firstLine="422" w:firstLineChars="200"/>
        <w:rPr>
          <w:rFonts w:ascii="Arial" w:hAnsi="Arial" w:cs="Arial"/>
          <w:b/>
          <w:color w:val="auto"/>
          <w:szCs w:val="21"/>
        </w:rPr>
      </w:pPr>
    </w:p>
    <w:p>
      <w:pPr>
        <w:adjustRightInd w:val="0"/>
        <w:snapToGrid w:val="0"/>
        <w:spacing w:after="50"/>
        <w:ind w:firstLine="422" w:firstLineChars="200"/>
        <w:jc w:val="center"/>
        <w:rPr>
          <w:rFonts w:ascii="Arial" w:hAnsi="Arial" w:cs="Arial"/>
          <w:b/>
          <w:bCs/>
          <w:color w:val="auto"/>
          <w:szCs w:val="21"/>
        </w:rPr>
      </w:pPr>
      <w:r>
        <w:rPr>
          <w:rFonts w:ascii="Arial" w:hAnsi="Arial" w:cs="Arial"/>
          <w:b/>
          <w:bCs/>
          <w:color w:val="auto"/>
          <w:szCs w:val="21"/>
        </w:rPr>
        <w:t>保险价值、保险金额与免赔额</w:t>
      </w:r>
    </w:p>
    <w:p>
      <w:pPr>
        <w:widowControl/>
        <w:adjustRightInd w:val="0"/>
        <w:snapToGrid w:val="0"/>
        <w:spacing w:after="156" w:afterLines="50"/>
        <w:ind w:firstLine="422" w:firstLineChars="200"/>
        <w:rPr>
          <w:rFonts w:ascii="Arial" w:hAnsi="Arial" w:cs="Arial"/>
          <w:color w:val="auto"/>
          <w:kern w:val="0"/>
          <w:szCs w:val="21"/>
        </w:rPr>
      </w:pPr>
      <w:r>
        <w:rPr>
          <w:rFonts w:ascii="Arial" w:hAnsi="Arial" w:cs="Arial"/>
          <w:b/>
          <w:color w:val="auto"/>
          <w:kern w:val="0"/>
          <w:szCs w:val="21"/>
        </w:rPr>
        <w:t>第十条</w:t>
      </w:r>
      <w:r>
        <w:rPr>
          <w:rFonts w:ascii="Arial" w:hAnsi="Arial" w:cs="Arial"/>
          <w:color w:val="auto"/>
          <w:kern w:val="0"/>
          <w:szCs w:val="21"/>
        </w:rPr>
        <w:t xml:space="preserve">  属于被保险人所有的财产的保险价值按以下方法计算：</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（一）现金的保险价值为发生保险事故时被保险人帐面现金余额；</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（二）支票、本票、汇票、政府债券的保险价值为发生保险事故时被保险人实际持有的支票、本票、汇票、政府债券可以合法兑现的价值。</w:t>
      </w:r>
    </w:p>
    <w:p>
      <w:pPr>
        <w:widowControl/>
        <w:adjustRightInd w:val="0"/>
        <w:snapToGrid w:val="0"/>
        <w:spacing w:after="156" w:afterLines="50"/>
        <w:ind w:firstLine="422" w:firstLineChars="200"/>
        <w:rPr>
          <w:rFonts w:ascii="Arial" w:hAnsi="Arial" w:cs="Arial"/>
          <w:color w:val="auto"/>
          <w:kern w:val="0"/>
          <w:szCs w:val="21"/>
        </w:rPr>
      </w:pPr>
      <w:r>
        <w:rPr>
          <w:rFonts w:ascii="Arial" w:hAnsi="Arial" w:cs="Arial"/>
          <w:b/>
          <w:color w:val="auto"/>
          <w:kern w:val="0"/>
          <w:szCs w:val="21"/>
        </w:rPr>
        <w:t>第十一条</w:t>
      </w:r>
      <w:r>
        <w:rPr>
          <w:rFonts w:ascii="Arial" w:hAnsi="Arial" w:cs="Arial"/>
          <w:color w:val="auto"/>
          <w:kern w:val="0"/>
          <w:szCs w:val="21"/>
        </w:rPr>
        <w:t xml:space="preserve">  押运公司负责押运的财产的保险价值按以下方法计算：</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（一）现金的保险价值为发生保险事故当日被保险人押运的现金总额；</w:t>
      </w:r>
    </w:p>
    <w:p>
      <w:pPr>
        <w:adjustRightInd w:val="0"/>
        <w:snapToGrid w:val="0"/>
        <w:spacing w:after="50"/>
        <w:ind w:firstLine="420" w:firstLineChars="200"/>
        <w:rPr>
          <w:rFonts w:ascii="Arial" w:hAnsi="Arial" w:cs="Arial"/>
          <w:color w:val="auto"/>
          <w:szCs w:val="21"/>
        </w:rPr>
      </w:pPr>
      <w:r>
        <w:rPr>
          <w:rFonts w:ascii="Arial" w:hAnsi="Arial" w:cs="Arial"/>
          <w:color w:val="auto"/>
          <w:szCs w:val="21"/>
        </w:rPr>
        <w:t>（二）本票、支票、汇票、政府债券的保险价值为发生保险事故当日被保险人押运的所有本票、支票、汇票、政府债券可以合法兑现的价值。</w:t>
      </w:r>
    </w:p>
    <w:p>
      <w:pPr>
        <w:adjustRightInd w:val="0"/>
        <w:snapToGrid w:val="0"/>
        <w:spacing w:after="50"/>
        <w:ind w:firstLine="422" w:firstLineChars="200"/>
        <w:rPr>
          <w:rFonts w:ascii="Arial" w:hAnsi="Arial" w:cs="Arial"/>
          <w:color w:val="auto"/>
          <w:szCs w:val="21"/>
        </w:rPr>
      </w:pPr>
      <w:r>
        <w:rPr>
          <w:rFonts w:ascii="Arial" w:hAnsi="Arial" w:cs="Arial"/>
          <w:b/>
          <w:color w:val="auto"/>
          <w:szCs w:val="21"/>
        </w:rPr>
        <w:t>第十二条</w:t>
      </w:r>
      <w:r>
        <w:rPr>
          <w:rFonts w:ascii="Arial" w:hAnsi="Arial" w:cs="Arial"/>
          <w:color w:val="auto"/>
          <w:szCs w:val="21"/>
        </w:rPr>
        <w:t xml:space="preserve">  保险金额由投保人参照保险价值自行确定，并按照保险标的的种类在保险合同中分项载明。保险金额不得超过保险价值。</w:t>
      </w:r>
    </w:p>
    <w:p>
      <w:pPr>
        <w:adjustRightInd w:val="0"/>
        <w:snapToGrid w:val="0"/>
        <w:spacing w:after="50"/>
        <w:ind w:firstLine="422" w:firstLineChars="200"/>
        <w:rPr>
          <w:rFonts w:ascii="Arial" w:hAnsi="Arial" w:cs="Arial"/>
          <w:color w:val="auto"/>
          <w:szCs w:val="21"/>
        </w:rPr>
      </w:pPr>
      <w:r>
        <w:rPr>
          <w:rFonts w:ascii="Arial" w:hAnsi="Arial" w:cs="Arial"/>
          <w:b/>
          <w:bCs/>
          <w:color w:val="auto"/>
          <w:szCs w:val="21"/>
        </w:rPr>
        <w:t>第十三条</w:t>
      </w:r>
      <w:r>
        <w:rPr>
          <w:rFonts w:ascii="Arial" w:hAnsi="Arial" w:cs="Arial"/>
          <w:color w:val="auto"/>
          <w:szCs w:val="21"/>
        </w:rPr>
        <w:t xml:space="preserve">  免赔额由投保人与保险人在订立保险合同时协商确定，并在保险合同中载明。</w:t>
      </w:r>
    </w:p>
    <w:p>
      <w:pPr>
        <w:adjustRightInd w:val="0"/>
        <w:snapToGrid w:val="0"/>
        <w:spacing w:after="50"/>
        <w:ind w:firstLine="420" w:firstLineChars="200"/>
        <w:rPr>
          <w:rFonts w:ascii="Arial" w:hAnsi="Arial" w:cs="Arial"/>
          <w:color w:val="auto"/>
          <w:szCs w:val="21"/>
        </w:rPr>
      </w:pPr>
    </w:p>
    <w:p>
      <w:pPr>
        <w:adjustRightInd w:val="0"/>
        <w:snapToGrid w:val="0"/>
        <w:spacing w:after="50"/>
        <w:ind w:firstLine="422" w:firstLineChars="200"/>
        <w:jc w:val="center"/>
        <w:rPr>
          <w:rFonts w:ascii="Arial" w:hAnsi="Arial" w:cs="Arial"/>
          <w:b/>
          <w:bCs/>
          <w:color w:val="auto"/>
          <w:szCs w:val="21"/>
        </w:rPr>
      </w:pPr>
      <w:r>
        <w:rPr>
          <w:rFonts w:ascii="Arial" w:hAnsi="Arial" w:cs="Arial"/>
          <w:b/>
          <w:bCs/>
          <w:color w:val="auto"/>
          <w:szCs w:val="21"/>
        </w:rPr>
        <w:t>保险期间</w:t>
      </w:r>
    </w:p>
    <w:p>
      <w:pPr>
        <w:adjustRightInd w:val="0"/>
        <w:snapToGrid w:val="0"/>
        <w:spacing w:after="50"/>
        <w:ind w:firstLine="422" w:firstLineChars="200"/>
        <w:rPr>
          <w:rFonts w:ascii="Arial" w:hAnsi="Arial" w:cs="Arial"/>
          <w:b/>
          <w:color w:val="auto"/>
          <w:szCs w:val="21"/>
        </w:rPr>
      </w:pPr>
      <w:r>
        <w:rPr>
          <w:rFonts w:ascii="Arial" w:hAnsi="Arial" w:cs="Arial"/>
          <w:b/>
          <w:color w:val="auto"/>
          <w:szCs w:val="21"/>
        </w:rPr>
        <w:t xml:space="preserve">第十四条  </w:t>
      </w:r>
      <w:r>
        <w:rPr>
          <w:rFonts w:ascii="Arial" w:hAnsi="Arial" w:cs="Arial"/>
          <w:color w:val="auto"/>
          <w:szCs w:val="21"/>
        </w:rPr>
        <w:t>除另有约定外，保险期间为一年，以保险单载明的起讫时间为准。</w:t>
      </w:r>
    </w:p>
    <w:p>
      <w:pPr>
        <w:adjustRightInd w:val="0"/>
        <w:snapToGrid w:val="0"/>
        <w:spacing w:after="50"/>
        <w:ind w:firstLine="420" w:firstLineChars="200"/>
        <w:rPr>
          <w:rFonts w:ascii="Arial" w:hAnsi="Arial" w:cs="Arial"/>
          <w:i/>
          <w:iCs/>
          <w:color w:val="auto"/>
          <w:szCs w:val="21"/>
        </w:rPr>
      </w:pPr>
    </w:p>
    <w:p>
      <w:pPr>
        <w:adjustRightInd w:val="0"/>
        <w:snapToGrid w:val="0"/>
        <w:spacing w:after="50"/>
        <w:ind w:firstLine="422" w:firstLineChars="200"/>
        <w:jc w:val="center"/>
        <w:rPr>
          <w:rFonts w:ascii="Arial" w:hAnsi="Arial" w:cs="Arial"/>
          <w:b/>
          <w:bCs/>
          <w:color w:val="auto"/>
          <w:szCs w:val="21"/>
        </w:rPr>
      </w:pPr>
      <w:r>
        <w:rPr>
          <w:rFonts w:ascii="Arial" w:hAnsi="Arial" w:cs="Arial"/>
          <w:b/>
          <w:bCs/>
          <w:color w:val="auto"/>
          <w:szCs w:val="21"/>
        </w:rPr>
        <w:t>保险人义务</w:t>
      </w:r>
    </w:p>
    <w:p>
      <w:pPr>
        <w:adjustRightInd w:val="0"/>
        <w:snapToGrid w:val="0"/>
        <w:spacing w:after="50"/>
        <w:ind w:firstLine="422" w:firstLineChars="200"/>
        <w:rPr>
          <w:rFonts w:ascii="Arial" w:hAnsi="Arial" w:cs="Arial"/>
          <w:b/>
          <w:bCs/>
          <w:color w:val="auto"/>
          <w:szCs w:val="21"/>
        </w:rPr>
      </w:pPr>
      <w:r>
        <w:rPr>
          <w:rFonts w:ascii="Arial" w:hAnsi="Arial" w:cs="Arial"/>
          <w:b/>
          <w:bCs/>
          <w:color w:val="auto"/>
          <w:szCs w:val="21"/>
        </w:rPr>
        <w:t xml:space="preserve">第十五条  </w:t>
      </w:r>
      <w:r>
        <w:rPr>
          <w:rFonts w:ascii="Arial" w:hAnsi="Arial" w:cs="Arial"/>
          <w:color w:val="auto"/>
          <w:szCs w:val="21"/>
        </w:rPr>
        <w:t>本保险合同成立后，保险人应当及时向投保人签发保险单或其他保险凭证。</w:t>
      </w:r>
    </w:p>
    <w:p>
      <w:pPr>
        <w:adjustRightInd w:val="0"/>
        <w:snapToGrid w:val="0"/>
        <w:spacing w:after="50"/>
        <w:ind w:firstLine="422" w:firstLineChars="200"/>
        <w:rPr>
          <w:rFonts w:ascii="Arial" w:hAnsi="Arial" w:cs="Arial"/>
          <w:color w:val="auto"/>
          <w:szCs w:val="21"/>
        </w:rPr>
      </w:pPr>
      <w:r>
        <w:rPr>
          <w:rFonts w:ascii="Arial" w:hAnsi="Arial" w:cs="Arial"/>
          <w:b/>
          <w:bCs/>
          <w:color w:val="auto"/>
          <w:szCs w:val="21"/>
        </w:rPr>
        <w:t xml:space="preserve">第十六条  </w:t>
      </w:r>
      <w:r>
        <w:rPr>
          <w:rFonts w:ascii="Arial" w:hAnsi="Arial" w:cs="Arial"/>
          <w:color w:val="auto"/>
          <w:szCs w:val="21"/>
        </w:rPr>
        <w:t>保险人按照第二十四条的约定，认为被保险人提供的有关索赔的证明和资料不完整的，应当及时一次性通知投保人、被保险人补充提供。</w:t>
      </w:r>
    </w:p>
    <w:p>
      <w:pPr>
        <w:adjustRightInd w:val="0"/>
        <w:snapToGrid w:val="0"/>
        <w:spacing w:after="50"/>
        <w:ind w:firstLine="422" w:firstLineChars="200"/>
        <w:rPr>
          <w:rFonts w:ascii="Arial" w:hAnsi="Arial" w:cs="Arial"/>
          <w:color w:val="auto"/>
          <w:szCs w:val="21"/>
        </w:rPr>
      </w:pPr>
      <w:r>
        <w:rPr>
          <w:rFonts w:ascii="Arial" w:hAnsi="Arial" w:cs="Arial"/>
          <w:b/>
          <w:bCs/>
          <w:color w:val="auto"/>
          <w:szCs w:val="21"/>
        </w:rPr>
        <w:t xml:space="preserve">第十七条  </w:t>
      </w:r>
      <w:r>
        <w:rPr>
          <w:rFonts w:ascii="Arial" w:hAnsi="Arial" w:cs="Arial"/>
          <w:color w:val="auto"/>
          <w:szCs w:val="21"/>
        </w:rPr>
        <w:t>保险人收到被保险人的赔偿保险金的请求后，应当及时作出是否属于保险责任的核定；情形复杂的，保险人将在确定是否属于保险责任的基本材料收集齐全后，尽快做出核定。</w:t>
      </w:r>
    </w:p>
    <w:p>
      <w:pPr>
        <w:adjustRightInd w:val="0"/>
        <w:snapToGrid w:val="0"/>
        <w:spacing w:after="50"/>
        <w:ind w:firstLine="420" w:firstLineChars="200"/>
        <w:rPr>
          <w:rFonts w:ascii="Arial" w:hAnsi="Arial" w:cs="Arial"/>
          <w:color w:val="auto"/>
          <w:szCs w:val="21"/>
        </w:rPr>
      </w:pPr>
      <w:r>
        <w:rPr>
          <w:rFonts w:ascii="Arial" w:hAnsi="Arial" w:cs="Arial"/>
          <w:color w:val="auto"/>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adjustRightInd w:val="0"/>
        <w:snapToGrid w:val="0"/>
        <w:spacing w:after="50"/>
        <w:ind w:firstLine="422" w:firstLineChars="200"/>
        <w:rPr>
          <w:rFonts w:ascii="Arial" w:hAnsi="Arial" w:cs="Arial"/>
          <w:color w:val="auto"/>
          <w:szCs w:val="21"/>
        </w:rPr>
      </w:pPr>
      <w:r>
        <w:rPr>
          <w:rFonts w:ascii="Arial" w:hAnsi="Arial" w:cs="Arial"/>
          <w:b/>
          <w:bCs/>
          <w:color w:val="auto"/>
          <w:szCs w:val="21"/>
        </w:rPr>
        <w:t xml:space="preserve">第十八条  </w:t>
      </w:r>
      <w:r>
        <w:rPr>
          <w:rFonts w:ascii="Arial" w:hAnsi="Arial" w:cs="Arial"/>
          <w:color w:val="auto"/>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 </w:t>
      </w:r>
    </w:p>
    <w:p>
      <w:pPr>
        <w:adjustRightInd w:val="0"/>
        <w:snapToGrid w:val="0"/>
        <w:spacing w:after="50"/>
        <w:ind w:firstLine="420" w:firstLineChars="200"/>
        <w:rPr>
          <w:rFonts w:ascii="Arial" w:hAnsi="Arial" w:cs="Arial"/>
          <w:i/>
          <w:iCs/>
          <w:color w:val="auto"/>
          <w:szCs w:val="21"/>
        </w:rPr>
      </w:pPr>
    </w:p>
    <w:p>
      <w:pPr>
        <w:adjustRightInd w:val="0"/>
        <w:snapToGrid w:val="0"/>
        <w:spacing w:after="50"/>
        <w:ind w:firstLine="422" w:firstLineChars="200"/>
        <w:jc w:val="center"/>
        <w:rPr>
          <w:rFonts w:ascii="Arial" w:hAnsi="Arial" w:cs="Arial"/>
          <w:b/>
          <w:bCs/>
          <w:color w:val="auto"/>
          <w:szCs w:val="21"/>
        </w:rPr>
      </w:pPr>
      <w:r>
        <w:rPr>
          <w:rFonts w:ascii="Arial" w:hAnsi="Arial" w:cs="Arial"/>
          <w:b/>
          <w:bCs/>
          <w:color w:val="auto"/>
          <w:szCs w:val="21"/>
        </w:rPr>
        <w:t>投保人、被保险人义务</w:t>
      </w:r>
    </w:p>
    <w:p>
      <w:pPr>
        <w:tabs>
          <w:tab w:val="left" w:pos="1800"/>
          <w:tab w:val="left" w:pos="8400"/>
        </w:tabs>
        <w:adjustRightInd w:val="0"/>
        <w:snapToGrid w:val="0"/>
        <w:spacing w:before="156" w:beforeLines="50" w:after="156" w:afterLines="50"/>
        <w:ind w:left="424" w:leftChars="202"/>
        <w:rPr>
          <w:rFonts w:ascii="Arial" w:hAnsi="Arial" w:cs="Arial"/>
          <w:color w:val="auto"/>
          <w:szCs w:val="21"/>
        </w:rPr>
      </w:pPr>
      <w:r>
        <w:rPr>
          <w:rFonts w:ascii="Arial" w:hAnsi="Arial" w:cs="Arial"/>
          <w:b/>
          <w:bCs/>
          <w:color w:val="auto"/>
          <w:szCs w:val="21"/>
        </w:rPr>
        <w:t xml:space="preserve">第十九条  </w:t>
      </w:r>
      <w:r>
        <w:rPr>
          <w:rFonts w:ascii="Arial" w:hAnsi="Arial" w:cs="Arial"/>
          <w:color w:val="auto"/>
          <w:szCs w:val="21"/>
        </w:rPr>
        <w:t>订立保险合同，保险人就保险标的或者被保险人的有关情况提出询问的，投</w:t>
      </w:r>
    </w:p>
    <w:p>
      <w:pPr>
        <w:tabs>
          <w:tab w:val="left" w:pos="1800"/>
          <w:tab w:val="left" w:pos="8400"/>
        </w:tabs>
        <w:adjustRightInd w:val="0"/>
        <w:snapToGrid w:val="0"/>
        <w:spacing w:before="156" w:beforeLines="50" w:after="156" w:afterLines="50"/>
        <w:ind w:left="-1149" w:leftChars="-547" w:firstLine="1155" w:firstLineChars="550"/>
        <w:rPr>
          <w:rFonts w:ascii="Arial" w:hAnsi="Arial" w:cs="Arial"/>
          <w:color w:val="auto"/>
          <w:szCs w:val="21"/>
        </w:rPr>
      </w:pPr>
      <w:r>
        <w:rPr>
          <w:rFonts w:ascii="Arial" w:hAnsi="Arial" w:cs="Arial"/>
          <w:color w:val="auto"/>
          <w:szCs w:val="21"/>
        </w:rPr>
        <w:t>保人应当如实告知。</w:t>
      </w:r>
    </w:p>
    <w:p>
      <w:pPr>
        <w:tabs>
          <w:tab w:val="left" w:pos="1620"/>
        </w:tabs>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投保人故意或者因重大过失未履行前款规定的如实告知义务，足以影响保险人决定是否同意承保或者提高保险费率的，保险人有权解除保险合同。</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前款规定的合同解除权，自保险人知道有解除事由之日起，超过三十日不行使而消灭。自合同成立之日起超过二年的，保险人不得解除合同；发生保险事故的，保险人应当承担赔偿保险金的责任。</w:t>
      </w:r>
    </w:p>
    <w:p>
      <w:pPr>
        <w:tabs>
          <w:tab w:val="left" w:pos="1620"/>
        </w:tabs>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投保人故意不履行如实告知义务的，保险人对于合同解除前发生的保险事故，不承担赔偿保险金的责任，并不退还保险费。</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 xml:space="preserve">投保人因重大过失未履行如实告知义务，对保险事故的发生有严重影响的，保险人对于合同解除前发生的保险事故，不承担赔偿保险金的责任，但应当退还保险费。    </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保险人在合同订立时已经知道投保人未如实告知的情况的，保险人不得解除合同；发生保险事故的，保险人应当承担赔偿保险金的责任。</w:t>
      </w:r>
    </w:p>
    <w:p>
      <w:pPr>
        <w:adjustRightInd w:val="0"/>
        <w:snapToGrid w:val="0"/>
        <w:spacing w:before="156" w:beforeLines="50" w:after="156" w:afterLines="50" w:line="360" w:lineRule="auto"/>
        <w:ind w:firstLine="602" w:firstLineChars="250"/>
        <w:rPr>
          <w:rFonts w:ascii="Arial" w:hAnsi="Arial" w:cs="Arial"/>
          <w:color w:val="auto"/>
          <w:sz w:val="24"/>
          <w:szCs w:val="21"/>
        </w:rPr>
      </w:pPr>
      <w:r>
        <w:rPr>
          <w:rFonts w:ascii="Arial" w:hAnsi="Arial" w:cs="Arial"/>
          <w:b/>
          <w:color w:val="auto"/>
          <w:sz w:val="24"/>
          <w:szCs w:val="21"/>
        </w:rPr>
        <w:t xml:space="preserve">第二十条  </w:t>
      </w:r>
      <w:r>
        <w:rPr>
          <w:rFonts w:ascii="Arial" w:hAnsi="Arial" w:cs="Arial"/>
          <w:color w:val="auto"/>
          <w:sz w:val="24"/>
          <w:szCs w:val="21"/>
        </w:rPr>
        <w:t>除另有约定外，投保人应当在保险合同成立时交付保险费。</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约定一次性交付保险费的，投保人在约定交费日后交付保险费的，保险人对交费之前发生的保险事故不承担保险责任。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pPr>
        <w:tabs>
          <w:tab w:val="left" w:pos="1800"/>
          <w:tab w:val="left" w:pos="8400"/>
        </w:tabs>
        <w:adjustRightInd w:val="0"/>
        <w:snapToGrid w:val="0"/>
        <w:spacing w:before="156" w:beforeLines="50" w:after="50" w:line="480" w:lineRule="auto"/>
        <w:ind w:left="424" w:leftChars="202"/>
        <w:rPr>
          <w:rFonts w:ascii="Arial" w:hAnsi="Arial" w:cs="Arial"/>
          <w:color w:val="auto"/>
          <w:szCs w:val="21"/>
        </w:rPr>
      </w:pPr>
      <w:r>
        <w:rPr>
          <w:rFonts w:ascii="Arial" w:hAnsi="Arial" w:cs="Arial"/>
          <w:b/>
          <w:bCs/>
          <w:color w:val="auto"/>
          <w:szCs w:val="21"/>
        </w:rPr>
        <w:t>第二十一条</w:t>
      </w:r>
      <w:r>
        <w:rPr>
          <w:rFonts w:ascii="Arial" w:hAnsi="Arial" w:cs="Arial"/>
          <w:color w:val="auto"/>
          <w:szCs w:val="21"/>
        </w:rPr>
        <w:t xml:space="preserve">  被保险人应当遵守国家有关部门制定的会计制度和有关保护财产安全的各项规定，加强管理，采取合理的预防措施，尽力避免或减少责任事故的发生，维护保险标的的安全。</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金库必须具备适当的防盗保卫制度；保险箱（柜）必须符合特殊设计的技术标准，在非营业期间必须上锁。</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金库、保险箱（柜）的所有钥匙和备用钥匙必须由两人保管。除必要，在晚上或其他非营业期间钥匙均应取走。在营业期间，所使用的钥匙应谨慎、合理保管。</w:t>
      </w:r>
    </w:p>
    <w:p>
      <w:pPr>
        <w:adjustRightInd w:val="0"/>
        <w:snapToGrid w:val="0"/>
        <w:spacing w:after="50"/>
        <w:ind w:firstLine="420" w:firstLineChars="200"/>
        <w:rPr>
          <w:rFonts w:ascii="Arial" w:hAnsi="Arial" w:cs="Arial"/>
          <w:color w:val="auto"/>
          <w:szCs w:val="21"/>
        </w:rPr>
      </w:pPr>
      <w:r>
        <w:rPr>
          <w:rFonts w:ascii="Arial" w:hAnsi="Arial" w:cs="Arial"/>
          <w:color w:val="auto"/>
          <w:szCs w:val="21"/>
        </w:rPr>
        <w:t>保险人可以对被保险人遵守前款约定的情况进行检查，向投保人、被保险人提出消除不安全因素和隐患的书面建议，投保人、被保险人应该认真付诸实施。</w:t>
      </w:r>
      <w:r>
        <w:rPr>
          <w:rFonts w:ascii="Arial" w:hAnsi="Arial" w:cs="Arial"/>
          <w:snapToGrid w:val="0"/>
          <w:color w:val="auto"/>
          <w:kern w:val="0"/>
          <w:szCs w:val="21"/>
        </w:rPr>
        <w:t>但前述检查并不构成保险人对被保险人的任何承诺。</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投保人、被保险人未按照约定履行其对保险标的的安全应尽责任的，保险人有权要求增加保险费或者解除合同。</w:t>
      </w:r>
    </w:p>
    <w:p>
      <w:pPr>
        <w:tabs>
          <w:tab w:val="left" w:pos="1800"/>
          <w:tab w:val="left" w:pos="8400"/>
        </w:tabs>
        <w:adjustRightInd w:val="0"/>
        <w:snapToGrid w:val="0"/>
        <w:spacing w:before="156" w:beforeLines="50" w:after="156" w:afterLines="50" w:line="480" w:lineRule="auto"/>
        <w:ind w:left="1252" w:leftChars="203" w:hanging="826" w:hangingChars="392"/>
        <w:rPr>
          <w:rFonts w:ascii="Arial" w:hAnsi="Arial" w:cs="Arial"/>
          <w:color w:val="auto"/>
          <w:szCs w:val="21"/>
        </w:rPr>
      </w:pPr>
      <w:r>
        <w:rPr>
          <w:rFonts w:ascii="Arial" w:hAnsi="Arial" w:cs="Arial"/>
          <w:b/>
          <w:bCs/>
          <w:color w:val="auto"/>
          <w:szCs w:val="21"/>
        </w:rPr>
        <w:t>第二十二条</w:t>
      </w:r>
      <w:r>
        <w:rPr>
          <w:rFonts w:ascii="Arial" w:hAnsi="Arial" w:cs="Arial"/>
          <w:color w:val="auto"/>
          <w:szCs w:val="21"/>
        </w:rPr>
        <w:t xml:space="preserve">  保险标的转让的，被保险人或者受让人应当及时通知保险人。</w:t>
      </w:r>
    </w:p>
    <w:p>
      <w:pPr>
        <w:tabs>
          <w:tab w:val="left" w:pos="1800"/>
          <w:tab w:val="left" w:pos="8400"/>
        </w:tabs>
        <w:adjustRightInd w:val="0"/>
        <w:snapToGrid w:val="0"/>
        <w:spacing w:before="156" w:beforeLines="50" w:after="156" w:afterLines="50" w:line="480" w:lineRule="auto"/>
        <w:ind w:left="283" w:leftChars="110" w:hanging="52" w:hangingChars="25"/>
        <w:rPr>
          <w:rFonts w:ascii="Arial" w:hAnsi="Arial" w:cs="Arial"/>
          <w:color w:val="auto"/>
          <w:szCs w:val="21"/>
        </w:rPr>
      </w:pPr>
      <w:r>
        <w:rPr>
          <w:rFonts w:ascii="Arial" w:hAnsi="Arial" w:cs="Arial"/>
          <w:color w:val="auto"/>
          <w:szCs w:val="21"/>
        </w:rPr>
        <w:t>因保险标的转让导致危险程度显著增加的，保险人自收到前款规定的通知之日起三十日内，可以根据费率表的规定增加保险费或者解除合同。</w:t>
      </w:r>
    </w:p>
    <w:p>
      <w:pPr>
        <w:tabs>
          <w:tab w:val="left" w:pos="1800"/>
          <w:tab w:val="left" w:pos="8400"/>
        </w:tabs>
        <w:adjustRightInd w:val="0"/>
        <w:snapToGrid w:val="0"/>
        <w:spacing w:before="156" w:beforeLines="50" w:after="156" w:afterLines="50" w:line="480" w:lineRule="auto"/>
        <w:ind w:left="151" w:leftChars="72" w:firstLine="422" w:firstLineChars="200"/>
        <w:rPr>
          <w:rFonts w:ascii="Arial" w:hAnsi="Arial" w:cs="Arial"/>
          <w:b/>
          <w:color w:val="auto"/>
          <w:szCs w:val="21"/>
        </w:rPr>
      </w:pPr>
      <w:r>
        <w:rPr>
          <w:rFonts w:ascii="Arial" w:hAnsi="Arial" w:cs="Arial"/>
          <w:b/>
          <w:color w:val="auto"/>
          <w:szCs w:val="21"/>
        </w:rPr>
        <w:t>被保险人、受让人未履行本条规定的通知义务的，因转让导致保险标的危险程度显著增加而发生的保险事故，保险人不承担赔偿保险金的责任。</w:t>
      </w:r>
    </w:p>
    <w:p>
      <w:pPr>
        <w:tabs>
          <w:tab w:val="left" w:pos="1800"/>
          <w:tab w:val="left" w:pos="8400"/>
        </w:tabs>
        <w:adjustRightInd w:val="0"/>
        <w:snapToGrid w:val="0"/>
        <w:spacing w:before="156" w:beforeLines="50" w:after="156" w:afterLines="50" w:line="480" w:lineRule="auto"/>
        <w:ind w:left="420" w:leftChars="200" w:firstLine="422" w:firstLineChars="200"/>
        <w:rPr>
          <w:rFonts w:ascii="Arial" w:hAnsi="Arial" w:cs="Arial"/>
          <w:color w:val="auto"/>
          <w:szCs w:val="21"/>
        </w:rPr>
      </w:pPr>
      <w:r>
        <w:rPr>
          <w:rFonts w:ascii="Arial" w:hAnsi="Arial" w:cs="Arial"/>
          <w:b/>
          <w:bCs/>
          <w:color w:val="auto"/>
          <w:szCs w:val="21"/>
        </w:rPr>
        <w:t>第二十三条</w:t>
      </w:r>
      <w:r>
        <w:rPr>
          <w:rFonts w:ascii="Arial" w:hAnsi="Arial" w:cs="Arial"/>
          <w:color w:val="auto"/>
          <w:szCs w:val="21"/>
        </w:rPr>
        <w:t xml:space="preserve">  在合同有效期内，被保险人名称变更，被保险人营业场所或往返银行的线路变动，或有保险标的的危险程度显著增加的其他情形的，被保险人应当及时通知保险人，保险人可以根据费率表的规定增加保险费或者解除合同。</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被保险人未履行前款约定的通知义务的，因保险标的的危险程度显著增加而发生的保险事故，保险人不承担赔偿保险金的责任。</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第二十四条</w:t>
      </w:r>
      <w:r>
        <w:rPr>
          <w:rFonts w:ascii="Arial" w:hAnsi="Arial" w:cs="Arial"/>
          <w:color w:val="auto"/>
          <w:szCs w:val="21"/>
        </w:rPr>
        <w:t xml:space="preserve">  知道保险事故发生后，被保险人应该：</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（一）尽力采取必要、合理的措施，防止或减少损失，否则，</w:t>
      </w:r>
      <w:r>
        <w:rPr>
          <w:rFonts w:ascii="Arial" w:hAnsi="Arial" w:cs="Arial"/>
          <w:b/>
          <w:color w:val="auto"/>
          <w:szCs w:val="21"/>
        </w:rPr>
        <w:t>对因此扩大的损失，保险人不承担赔偿责任；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（二）及时通知保险人，并书面说明事故发生的原因、经过和损失情况；</w:t>
      </w:r>
      <w:r>
        <w:rPr>
          <w:rFonts w:ascii="Arial" w:hAnsi="Arial" w:cs="Arial"/>
          <w:b/>
          <w:color w:val="auto"/>
          <w:szCs w:val="21"/>
        </w:rPr>
        <w:t>故意或者因重大过失未及时通知，致使保险事故的性质、原因、损失程度等难以确定的，保险人对无法确定的部分，不承担赔偿保险金的责任，</w:t>
      </w:r>
      <w:r>
        <w:rPr>
          <w:rFonts w:ascii="Arial" w:hAnsi="Arial" w:cs="Arial"/>
          <w:color w:val="auto"/>
          <w:szCs w:val="21"/>
        </w:rPr>
        <w:t>但保险人通过其他途径已经及时知道或者应当及时知道保险事故发生的除外；</w:t>
      </w:r>
    </w:p>
    <w:p>
      <w:pPr>
        <w:adjustRightInd w:val="0"/>
        <w:snapToGrid w:val="0"/>
        <w:spacing w:after="156" w:afterLines="50"/>
        <w:ind w:firstLine="420" w:firstLineChars="200"/>
        <w:rPr>
          <w:rFonts w:ascii="Arial" w:hAnsi="Arial" w:cs="Arial"/>
          <w:bCs/>
          <w:color w:val="auto"/>
          <w:szCs w:val="21"/>
        </w:rPr>
      </w:pPr>
      <w:r>
        <w:rPr>
          <w:rFonts w:ascii="Arial" w:hAnsi="Arial" w:cs="Arial"/>
          <w:bCs/>
          <w:color w:val="auto"/>
          <w:szCs w:val="21"/>
        </w:rPr>
        <w:t>（三）保护事故现场，允许并且协助保险人进行事故调查，</w:t>
      </w:r>
      <w:r>
        <w:rPr>
          <w:rFonts w:ascii="Arial" w:hAnsi="Arial" w:cs="Arial"/>
          <w:b/>
          <w:color w:val="auto"/>
          <w:szCs w:val="21"/>
        </w:rPr>
        <w:t>对于拒绝或者妨碍保险人进行事故调查导致无法确定事故原因或核实损失情况的，保险人对无法确定或核实的部分，不承担赔偿责任；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（四）涉及违法、犯罪的，应立即向公安部门报案，</w:t>
      </w:r>
      <w:r>
        <w:rPr>
          <w:rFonts w:ascii="Arial" w:hAnsi="Arial" w:cs="Arial"/>
          <w:b/>
          <w:color w:val="auto"/>
          <w:szCs w:val="21"/>
        </w:rPr>
        <w:t>否则，对因此扩大的损失，保险人不承担赔偿责任。</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第二十五条</w:t>
      </w:r>
      <w:r>
        <w:rPr>
          <w:rFonts w:ascii="Arial" w:hAnsi="Arial" w:cs="Arial"/>
          <w:color w:val="auto"/>
          <w:szCs w:val="21"/>
        </w:rPr>
        <w:t xml:space="preserve">  被保险人请求赔偿时，应向保险人提供下列证明和资料：</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（一）保险单正本；</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（二）被保险人或其代表填具的索赔申请书；</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（三）财产损失、费用清单；</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（四）事故证明；</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（五）账册、单据；</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（六）投保人、被保险人所能提供的与确认保险事故的性质、原因、损失程度等有关的其他证明和资料。</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被保险人未履行前款约定的索赔材料提供义务，导致保险人无法核实损失情况的，保险人对无法核实的部分不承担赔偿责任。</w:t>
      </w:r>
    </w:p>
    <w:p>
      <w:pPr>
        <w:adjustRightInd w:val="0"/>
        <w:snapToGrid w:val="0"/>
        <w:spacing w:after="50"/>
        <w:ind w:firstLine="422" w:firstLineChars="200"/>
        <w:jc w:val="center"/>
        <w:rPr>
          <w:rFonts w:ascii="Arial" w:hAnsi="Arial" w:cs="Arial"/>
          <w:b/>
          <w:bCs/>
          <w:color w:val="auto"/>
          <w:szCs w:val="21"/>
        </w:rPr>
      </w:pPr>
    </w:p>
    <w:p>
      <w:pPr>
        <w:adjustRightInd w:val="0"/>
        <w:snapToGrid w:val="0"/>
        <w:spacing w:after="156" w:afterLines="50"/>
        <w:ind w:firstLine="422" w:firstLineChars="200"/>
        <w:jc w:val="center"/>
        <w:rPr>
          <w:rFonts w:ascii="Arial" w:hAnsi="Arial" w:cs="Arial"/>
          <w:b/>
          <w:bCs/>
          <w:color w:val="auto"/>
          <w:szCs w:val="21"/>
        </w:rPr>
      </w:pPr>
      <w:r>
        <w:rPr>
          <w:rFonts w:ascii="Arial" w:hAnsi="Arial" w:cs="Arial"/>
          <w:b/>
          <w:bCs/>
          <w:color w:val="auto"/>
          <w:szCs w:val="21"/>
        </w:rPr>
        <w:t>赔偿处理</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第二十六条</w:t>
      </w:r>
      <w:r>
        <w:rPr>
          <w:rFonts w:ascii="Arial" w:hAnsi="Arial" w:cs="Arial"/>
          <w:color w:val="auto"/>
          <w:szCs w:val="21"/>
        </w:rPr>
        <w:t xml:space="preserve">  </w:t>
      </w:r>
      <w:r>
        <w:rPr>
          <w:rFonts w:ascii="Arial" w:hAnsi="Arial" w:cs="Arial"/>
          <w:b/>
          <w:color w:val="auto"/>
          <w:szCs w:val="21"/>
        </w:rPr>
        <w:t>保险事故发生时，被保险人对保险标的不具有保险利益的，不得向保险人请求赔偿保险金。</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第二十七条</w:t>
      </w:r>
      <w:r>
        <w:rPr>
          <w:rFonts w:ascii="Arial" w:hAnsi="Arial" w:cs="Arial"/>
          <w:color w:val="auto"/>
          <w:szCs w:val="21"/>
        </w:rPr>
        <w:t xml:space="preserve">  </w:t>
      </w:r>
      <w:r>
        <w:rPr>
          <w:rFonts w:ascii="Arial" w:hAnsi="Arial" w:cs="Arial"/>
          <w:color w:val="auto"/>
          <w:kern w:val="0"/>
          <w:szCs w:val="21"/>
        </w:rPr>
        <w:t>保险标的遭受损失后，如果有残余价值，应由双方协商处理。如折归被保险人，由双方协商确定其价值，并在保险赔款中扣除。</w:t>
      </w:r>
    </w:p>
    <w:p>
      <w:pPr>
        <w:adjustRightInd w:val="0"/>
        <w:snapToGrid w:val="0"/>
        <w:spacing w:before="156" w:beforeLines="50" w:after="156" w:afterLines="50" w:line="360" w:lineRule="auto"/>
        <w:ind w:firstLine="482" w:firstLineChars="200"/>
        <w:rPr>
          <w:rFonts w:ascii="Arial" w:hAnsi="Arial" w:cs="Arial"/>
          <w:color w:val="auto"/>
          <w:sz w:val="24"/>
          <w:szCs w:val="21"/>
        </w:rPr>
      </w:pPr>
      <w:r>
        <w:rPr>
          <w:rFonts w:ascii="Arial" w:hAnsi="Arial" w:cs="Arial"/>
          <w:b/>
          <w:color w:val="auto"/>
          <w:sz w:val="24"/>
          <w:szCs w:val="21"/>
        </w:rPr>
        <w:t>第二十八条</w:t>
      </w:r>
      <w:r>
        <w:rPr>
          <w:rFonts w:ascii="Arial" w:hAnsi="Arial" w:cs="Arial"/>
          <w:color w:val="auto"/>
          <w:sz w:val="24"/>
          <w:szCs w:val="21"/>
        </w:rPr>
        <w:t xml:space="preserve">  保险标的发生保险责任范围内的损失，保险人按以下方式计算赔偿：</w:t>
      </w:r>
    </w:p>
    <w:p>
      <w:pPr>
        <w:adjustRightInd w:val="0"/>
        <w:snapToGrid w:val="0"/>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（一）保险金额等于或高于保险价值时，按实际损失计算赔偿，最高不超过保险价值；</w:t>
      </w:r>
    </w:p>
    <w:p>
      <w:pPr>
        <w:adjustRightInd w:val="0"/>
        <w:snapToGrid w:val="0"/>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（二）保险金额低于保险价值时，按保险金额与保险价值的比例乘以实际损失计算赔偿，最高不超过保险金额；</w:t>
      </w:r>
    </w:p>
    <w:p>
      <w:pPr>
        <w:adjustRightInd w:val="0"/>
        <w:snapToGrid w:val="0"/>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（三）若本保险合同所列标的不止一项时，应分项按照本条约定处理。</w:t>
      </w:r>
    </w:p>
    <w:p>
      <w:pPr>
        <w:adjustRightInd w:val="0"/>
        <w:snapToGrid w:val="0"/>
        <w:spacing w:before="156" w:beforeLines="50" w:after="156" w:afterLines="50" w:line="360" w:lineRule="auto"/>
        <w:ind w:firstLine="482" w:firstLineChars="200"/>
        <w:rPr>
          <w:rFonts w:ascii="Arial" w:hAnsi="Arial" w:cs="Arial"/>
          <w:color w:val="auto"/>
          <w:sz w:val="24"/>
          <w:szCs w:val="21"/>
        </w:rPr>
      </w:pPr>
      <w:r>
        <w:rPr>
          <w:rFonts w:ascii="Arial" w:hAnsi="Arial" w:cs="Arial"/>
          <w:b/>
          <w:color w:val="auto"/>
          <w:sz w:val="24"/>
          <w:szCs w:val="21"/>
        </w:rPr>
        <w:t xml:space="preserve">第二十九条 </w:t>
      </w:r>
      <w:r>
        <w:rPr>
          <w:rFonts w:ascii="Arial" w:hAnsi="Arial" w:cs="Arial"/>
          <w:color w:val="auto"/>
          <w:sz w:val="24"/>
          <w:szCs w:val="21"/>
        </w:rPr>
        <w:t xml:space="preserve"> 保险标的的保险金额大于或等于其保险价值时，被保险人为防止或减少保险标的的损失所支付的必要的、合理的费用，在保险标的损失赔偿金额之外另行计算，最高不超过被施救保险标的的保险价值。</w:t>
      </w:r>
    </w:p>
    <w:p>
      <w:pPr>
        <w:adjustRightInd w:val="0"/>
        <w:snapToGrid w:val="0"/>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保险标的的保险金额小于其保险价值时，上述费用按被施救标的的保险金额与其保险价值的比例在保险标的损失赔偿金额之外另行计算，最高不超过被施救保险标的的保险金额。</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被施救的财产中，含有本保险合同未承保财产的，按被施救保险标的的保险价值与全部被施救财产价值的比例分摊施救费用。</w:t>
      </w:r>
    </w:p>
    <w:p>
      <w:pPr>
        <w:adjustRightInd w:val="0"/>
        <w:snapToGrid w:val="0"/>
        <w:spacing w:before="156" w:beforeLines="50" w:after="156" w:afterLines="50" w:line="360" w:lineRule="auto"/>
        <w:ind w:firstLine="482" w:firstLineChars="200"/>
        <w:rPr>
          <w:rFonts w:ascii="Arial" w:hAnsi="Arial" w:cs="Arial"/>
          <w:color w:val="auto"/>
          <w:sz w:val="24"/>
          <w:szCs w:val="21"/>
          <w:u w:val="single"/>
        </w:rPr>
      </w:pPr>
      <w:r>
        <w:rPr>
          <w:rFonts w:ascii="Arial" w:hAnsi="Arial" w:cs="Arial"/>
          <w:b/>
          <w:color w:val="auto"/>
          <w:sz w:val="24"/>
          <w:szCs w:val="21"/>
        </w:rPr>
        <w:t xml:space="preserve">第三十条  </w:t>
      </w:r>
      <w:r>
        <w:rPr>
          <w:rFonts w:ascii="Arial" w:hAnsi="Arial" w:cs="Arial"/>
          <w:color w:val="auto"/>
          <w:sz w:val="24"/>
          <w:szCs w:val="21"/>
        </w:rPr>
        <w:t>每次事故保险人的赔偿金额为根据第二十八条约定计算的金额扣除每次事故免赔额（或免赔率）后的金额。</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第三十一条</w:t>
      </w:r>
      <w:r>
        <w:rPr>
          <w:rFonts w:ascii="Arial" w:hAnsi="Arial" w:cs="Arial"/>
          <w:color w:val="auto"/>
          <w:szCs w:val="21"/>
        </w:rPr>
        <w:t xml:space="preserve">  保险事故发生时，如果存在重复保险，保险人按照本保险合同的相应保险金额与其他保险合同及本保险合同相应保险金额总和的比例承担赔偿责任。</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其他保险人应承担的赔偿金额，本保险人不负责垫付。</w:t>
      </w:r>
      <w:r>
        <w:rPr>
          <w:rFonts w:ascii="Arial" w:hAnsi="Arial" w:cs="Arial"/>
          <w:color w:val="auto"/>
          <w:szCs w:val="21"/>
        </w:rPr>
        <w:t>若被保险人未如实告知导致保险人多支付赔偿金的，保险人有权向被保险人追回多支付的部分。</w:t>
      </w:r>
    </w:p>
    <w:p>
      <w:pPr>
        <w:adjustRightInd w:val="0"/>
        <w:snapToGrid w:val="0"/>
        <w:spacing w:after="156" w:afterLines="50"/>
        <w:ind w:firstLine="422" w:firstLineChars="200"/>
        <w:jc w:val="left"/>
        <w:rPr>
          <w:rFonts w:ascii="Arial" w:hAnsi="Arial" w:cs="Arial"/>
          <w:color w:val="auto"/>
          <w:szCs w:val="21"/>
        </w:rPr>
      </w:pPr>
      <w:r>
        <w:rPr>
          <w:rFonts w:ascii="Arial" w:hAnsi="Arial" w:cs="Arial"/>
          <w:b/>
          <w:color w:val="auto"/>
          <w:szCs w:val="21"/>
        </w:rPr>
        <w:t>第三十二条</w:t>
      </w:r>
      <w:r>
        <w:rPr>
          <w:rFonts w:ascii="Arial" w:hAnsi="Arial" w:cs="Arial"/>
          <w:color w:val="auto"/>
          <w:szCs w:val="21"/>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第三十三条</w:t>
      </w:r>
      <w:r>
        <w:rPr>
          <w:rFonts w:ascii="Arial" w:hAnsi="Arial" w:cs="Arial"/>
          <w:color w:val="auto"/>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被保险人已经从有关责任方取得赔偿的，保险人赔偿保险金时，可以相应扣减被保险人已从有关责任方取得的赔偿金额。</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保险事故发生后，在保险人未赔偿保险金之前，被保险人放弃对有关责任方请求赔偿权利的，保险人不承担赔偿责任</w:t>
      </w:r>
      <w:r>
        <w:rPr>
          <w:rFonts w:ascii="Arial" w:hAnsi="Arial" w:cs="Arial"/>
          <w:color w:val="auto"/>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adjustRightInd w:val="0"/>
        <w:snapToGrid w:val="0"/>
        <w:spacing w:after="156" w:afterLines="50"/>
        <w:ind w:firstLine="422" w:firstLineChars="200"/>
        <w:rPr>
          <w:rFonts w:ascii="Arial" w:hAnsi="Arial" w:cs="Arial"/>
          <w:snapToGrid w:val="0"/>
          <w:color w:val="auto"/>
          <w:kern w:val="0"/>
          <w:szCs w:val="21"/>
        </w:rPr>
      </w:pPr>
      <w:r>
        <w:rPr>
          <w:rFonts w:ascii="Arial" w:hAnsi="Arial" w:cs="Arial"/>
          <w:b/>
          <w:snapToGrid w:val="0"/>
          <w:color w:val="auto"/>
          <w:kern w:val="0"/>
          <w:szCs w:val="21"/>
        </w:rPr>
        <w:t>第三十四条</w:t>
      </w:r>
      <w:r>
        <w:rPr>
          <w:rFonts w:ascii="Arial" w:hAnsi="Arial" w:cs="Arial"/>
          <w:snapToGrid w:val="0"/>
          <w:color w:val="auto"/>
          <w:kern w:val="0"/>
          <w:szCs w:val="21"/>
        </w:rPr>
        <w:t xml:space="preserve">  保险人受理报案、进行现场查勘、核损定价、参与案件诉讼、向被保险人提供建议等行为，均不构成保险人对赔偿责任的承诺。</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第三十五条</w:t>
      </w:r>
      <w:r>
        <w:rPr>
          <w:rFonts w:ascii="Arial" w:hAnsi="Arial" w:cs="Arial"/>
          <w:color w:val="auto"/>
          <w:szCs w:val="21"/>
        </w:rPr>
        <w:t xml:space="preserve">  被保险人向保险人请求赔偿保险金的诉讼时效期间为二年，自其知道或者应当知道保险事故发生之日起计算。 </w:t>
      </w:r>
    </w:p>
    <w:p>
      <w:pPr>
        <w:adjustRightInd w:val="0"/>
        <w:snapToGrid w:val="0"/>
        <w:spacing w:after="50"/>
        <w:ind w:firstLine="420" w:firstLineChars="200"/>
        <w:rPr>
          <w:rFonts w:ascii="Arial" w:hAnsi="Arial" w:cs="Arial"/>
          <w:color w:val="auto"/>
          <w:szCs w:val="21"/>
        </w:rPr>
      </w:pPr>
    </w:p>
    <w:p>
      <w:pPr>
        <w:adjustRightInd w:val="0"/>
        <w:snapToGrid w:val="0"/>
        <w:spacing w:after="156" w:afterLines="50"/>
        <w:ind w:firstLine="422" w:firstLineChars="200"/>
        <w:jc w:val="center"/>
        <w:rPr>
          <w:rFonts w:ascii="Arial" w:hAnsi="Arial" w:cs="Arial"/>
          <w:b/>
          <w:bCs/>
          <w:color w:val="auto"/>
          <w:szCs w:val="21"/>
        </w:rPr>
      </w:pPr>
      <w:r>
        <w:rPr>
          <w:rFonts w:ascii="Arial" w:hAnsi="Arial" w:cs="Arial"/>
          <w:b/>
          <w:bCs/>
          <w:color w:val="auto"/>
          <w:szCs w:val="21"/>
        </w:rPr>
        <w:t>争议处理和法律适用</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第三十六条</w:t>
      </w:r>
      <w:r>
        <w:rPr>
          <w:rFonts w:ascii="Arial" w:hAnsi="Arial" w:cs="Arial"/>
          <w:color w:val="auto"/>
          <w:szCs w:val="21"/>
        </w:rPr>
        <w:t xml:space="preserve">  因履行本保险合同发生的争议，由当事人协商解决。协商不成的，提交保险单载明的仲裁机构仲裁；保险单未载明仲裁机构且争议发生后未达成仲裁协议的，依法向人民法院起诉。</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第三十七条</w:t>
      </w:r>
      <w:r>
        <w:rPr>
          <w:rFonts w:ascii="Arial" w:hAnsi="Arial" w:cs="Arial"/>
          <w:color w:val="auto"/>
          <w:szCs w:val="21"/>
        </w:rPr>
        <w:t xml:space="preserve">  与本保险合同有关的以及履行本保险合同产生的一切争议，适用中华人民共和国法律（不包括港澳台地区法律）。</w:t>
      </w:r>
    </w:p>
    <w:p>
      <w:pPr>
        <w:adjustRightInd w:val="0"/>
        <w:snapToGrid w:val="0"/>
        <w:spacing w:after="50"/>
        <w:ind w:firstLine="420" w:firstLineChars="200"/>
        <w:rPr>
          <w:rFonts w:ascii="Arial" w:hAnsi="Arial" w:cs="Arial"/>
          <w:color w:val="auto"/>
          <w:szCs w:val="21"/>
        </w:rPr>
      </w:pPr>
    </w:p>
    <w:p>
      <w:pPr>
        <w:adjustRightInd w:val="0"/>
        <w:snapToGrid w:val="0"/>
        <w:spacing w:after="156" w:afterLines="50"/>
        <w:ind w:firstLine="422" w:firstLineChars="200"/>
        <w:jc w:val="center"/>
        <w:rPr>
          <w:rFonts w:ascii="Arial" w:hAnsi="Arial" w:cs="Arial"/>
          <w:b/>
          <w:bCs/>
          <w:color w:val="auto"/>
          <w:szCs w:val="21"/>
        </w:rPr>
      </w:pPr>
      <w:r>
        <w:rPr>
          <w:rFonts w:ascii="Arial" w:hAnsi="Arial" w:cs="Arial"/>
          <w:b/>
          <w:bCs/>
          <w:color w:val="auto"/>
          <w:szCs w:val="21"/>
        </w:rPr>
        <w:t>其他事项</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第三十八条</w:t>
      </w:r>
      <w:r>
        <w:rPr>
          <w:rFonts w:ascii="Arial" w:hAnsi="Arial" w:cs="Arial"/>
          <w:color w:val="auto"/>
          <w:szCs w:val="21"/>
        </w:rPr>
        <w:t xml:space="preserve">  投保人和保险人可以协商变更合同内容。</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变更保险合同的，应当由保险人在保险单或者其他保险凭证上批注或附贴批单，或者投保人和保险人订立变更的书面协议。</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第三十九条</w:t>
      </w:r>
      <w:r>
        <w:rPr>
          <w:rFonts w:ascii="Arial" w:hAnsi="Arial" w:cs="Arial"/>
          <w:color w:val="auto"/>
          <w:szCs w:val="21"/>
        </w:rPr>
        <w:t xml:space="preserve">  投保人可随时书面申请解除本保险合同，本保险合同自保险人收到投保人的书面申请之日的二十四时起终止。保险责任开始前，投保人要求解除合同的，保险人扣除3%手续费后，剩余部分的保险费退还投保人；保险责任开始后，投保人要求解除合同的，对保险责任开始之日起至合同解除之日止期间的保险费，按短期费率计收，剩余部分退还投保人。</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保险人亦可解除本保险合同。保险责任开始前，保险人要求解除合同的，不得向投保人收取手续费并应退还已收取的保险费；保险责任开始后，保险人可提前十五天通知投保人解除合同，对保险责任开始之日起至合同解除之日止期间的保险费，按日比例计收，剩余部分退还投保人。</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第四十条</w:t>
      </w:r>
      <w:r>
        <w:rPr>
          <w:rFonts w:ascii="Arial" w:hAnsi="Arial" w:cs="Arial"/>
          <w:color w:val="auto"/>
          <w:szCs w:val="21"/>
        </w:rPr>
        <w:t xml:space="preserve">  保险标的发生部分损失的，自保险人赔偿之日起三十日内，投保人可以解除合同；除合同另有约定外，保险人也可以解除合同，但应当提前十五日通知投保人。</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保险合同依据前款规定解除的，保险人应当将保险标的未受损部分的保险费，按照合同约定扣除自保险责任开始之日起至合同解除之日止应收的部分后，退还投保人。</w:t>
      </w:r>
    </w:p>
    <w:p>
      <w:pPr>
        <w:adjustRightInd w:val="0"/>
        <w:snapToGrid w:val="0"/>
        <w:spacing w:after="50"/>
        <w:ind w:firstLine="422" w:firstLineChars="200"/>
        <w:jc w:val="center"/>
        <w:rPr>
          <w:rFonts w:ascii="Arial" w:hAnsi="Arial" w:cs="Arial"/>
          <w:b/>
          <w:color w:val="auto"/>
          <w:szCs w:val="21"/>
        </w:rPr>
      </w:pPr>
    </w:p>
    <w:p>
      <w:pPr>
        <w:adjustRightInd w:val="0"/>
        <w:snapToGrid w:val="0"/>
        <w:spacing w:after="50"/>
        <w:ind w:firstLine="422" w:firstLineChars="200"/>
        <w:jc w:val="center"/>
        <w:rPr>
          <w:rFonts w:ascii="Arial" w:hAnsi="Arial" w:cs="Arial"/>
          <w:b/>
          <w:color w:val="auto"/>
          <w:szCs w:val="21"/>
        </w:rPr>
      </w:pPr>
      <w:r>
        <w:rPr>
          <w:rFonts w:ascii="Arial" w:hAnsi="Arial" w:cs="Arial"/>
          <w:b/>
          <w:color w:val="auto"/>
          <w:szCs w:val="21"/>
        </w:rPr>
        <w:t>释义</w:t>
      </w:r>
    </w:p>
    <w:p>
      <w:pPr>
        <w:widowControl/>
        <w:adjustRightInd w:val="0"/>
        <w:snapToGrid w:val="0"/>
        <w:spacing w:after="156" w:afterLines="50"/>
        <w:ind w:firstLine="422" w:firstLineChars="200"/>
        <w:rPr>
          <w:rFonts w:ascii="Arial" w:hAnsi="Arial" w:cs="Arial"/>
          <w:b/>
          <w:color w:val="auto"/>
          <w:kern w:val="0"/>
          <w:szCs w:val="21"/>
        </w:rPr>
      </w:pPr>
      <w:r>
        <w:rPr>
          <w:rFonts w:ascii="Arial" w:hAnsi="Arial" w:cs="Arial"/>
          <w:b/>
          <w:color w:val="auto"/>
          <w:kern w:val="0"/>
          <w:szCs w:val="21"/>
        </w:rPr>
        <w:t>第四十一条</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【政府债券】指中华人民共和国政府债券，即国库券。</w:t>
      </w:r>
    </w:p>
    <w:p>
      <w:pPr>
        <w:widowControl/>
        <w:adjustRightInd w:val="0"/>
        <w:snapToGrid w:val="0"/>
        <w:spacing w:after="156" w:afterLines="50"/>
        <w:ind w:firstLine="420" w:firstLineChars="200"/>
        <w:rPr>
          <w:rFonts w:ascii="Arial" w:hAnsi="Arial" w:cs="Arial"/>
          <w:color w:val="auto"/>
          <w:kern w:val="0"/>
          <w:szCs w:val="21"/>
        </w:rPr>
      </w:pPr>
      <w:r>
        <w:rPr>
          <w:rFonts w:ascii="Arial" w:hAnsi="Arial" w:cs="Arial"/>
          <w:color w:val="auto"/>
          <w:kern w:val="0"/>
          <w:szCs w:val="21"/>
        </w:rPr>
        <w:t>【盗窃】指公安机关证明的、外来人员（被保险人的雇员除外）实施的，以非法占有为目的，有明显痕迹的偷盗行为。</w:t>
      </w:r>
    </w:p>
    <w:p>
      <w:pPr>
        <w:widowControl/>
        <w:adjustRightInd w:val="0"/>
        <w:snapToGrid w:val="0"/>
        <w:spacing w:after="156" w:afterLines="50"/>
        <w:ind w:firstLine="420" w:firstLineChars="200"/>
        <w:rPr>
          <w:rFonts w:ascii="Arial" w:hAnsi="Arial" w:cs="Arial"/>
          <w:color w:val="auto"/>
          <w:kern w:val="0"/>
          <w:sz w:val="24"/>
          <w:szCs w:val="21"/>
        </w:rPr>
      </w:pPr>
      <w:r>
        <w:rPr>
          <w:rFonts w:ascii="Arial" w:hAnsi="Arial" w:cs="Arial"/>
          <w:color w:val="auto"/>
          <w:kern w:val="0"/>
          <w:szCs w:val="21"/>
        </w:rPr>
        <w:t>【抢劫】指公安机关证明的、外来人员（被保险人的雇员除外）实施的、以非法占有为目的，以暴力、胁迫或者其他方法强行占有保险财产的行为。</w:t>
      </w:r>
    </w:p>
    <w:p>
      <w:pPr>
        <w:adjustRightInd w:val="0"/>
        <w:snapToGrid w:val="0"/>
        <w:spacing w:after="50"/>
        <w:ind w:firstLine="422" w:firstLineChars="200"/>
        <w:jc w:val="center"/>
        <w:rPr>
          <w:rFonts w:ascii="Arial" w:hAnsi="Arial" w:cs="Arial"/>
          <w:b/>
          <w:color w:val="auto"/>
          <w:szCs w:val="21"/>
        </w:rPr>
      </w:pPr>
      <w:r>
        <w:rPr>
          <w:rFonts w:ascii="Arial" w:hAnsi="Arial" w:cs="Arial"/>
          <w:b/>
          <w:color w:val="auto"/>
          <w:szCs w:val="21"/>
        </w:rPr>
        <w:t>附录</w:t>
      </w:r>
    </w:p>
    <w:p>
      <w:pPr>
        <w:adjustRightInd w:val="0"/>
        <w:snapToGrid w:val="0"/>
        <w:spacing w:after="156" w:afterLines="50"/>
        <w:ind w:firstLine="420" w:firstLineChars="200"/>
        <w:jc w:val="center"/>
        <w:rPr>
          <w:rFonts w:ascii="Arial" w:hAnsi="Arial" w:cs="Arial"/>
          <w:snapToGrid w:val="0"/>
          <w:color w:val="auto"/>
          <w:kern w:val="0"/>
          <w:szCs w:val="21"/>
        </w:rPr>
      </w:pPr>
      <w:r>
        <w:rPr>
          <w:rFonts w:ascii="Arial" w:hAnsi="Arial" w:cs="Arial"/>
          <w:snapToGrid w:val="0"/>
          <w:color w:val="auto"/>
          <w:kern w:val="0"/>
          <w:szCs w:val="21"/>
        </w:rPr>
        <w:t>短期费率表</w:t>
      </w:r>
    </w:p>
    <w:tbl>
      <w:tblPr>
        <w:tblStyle w:val="88"/>
        <w:tblW w:w="0" w:type="auto"/>
        <w:jc w:val="center"/>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Layout w:type="fixed"/>
        <w:tblCellMar>
          <w:top w:w="0" w:type="dxa"/>
          <w:left w:w="0" w:type="dxa"/>
          <w:bottom w:w="0" w:type="dxa"/>
          <w:right w:w="0" w:type="dxa"/>
        </w:tblCellMar>
      </w:tblPr>
      <w:tblGrid>
        <w:gridCol w:w="2368"/>
        <w:gridCol w:w="533"/>
        <w:gridCol w:w="533"/>
        <w:gridCol w:w="534"/>
        <w:gridCol w:w="533"/>
        <w:gridCol w:w="533"/>
        <w:gridCol w:w="534"/>
        <w:gridCol w:w="533"/>
        <w:gridCol w:w="533"/>
        <w:gridCol w:w="534"/>
        <w:gridCol w:w="533"/>
        <w:gridCol w:w="533"/>
        <w:gridCol w:w="534"/>
      </w:tblGrid>
      <w:tr>
        <w:tblPrEx>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CellMar>
            <w:top w:w="0" w:type="dxa"/>
            <w:left w:w="0" w:type="dxa"/>
            <w:bottom w:w="0" w:type="dxa"/>
            <w:right w:w="0" w:type="dxa"/>
          </w:tblCellMar>
        </w:tblPrEx>
        <w:trPr>
          <w:cantSplit/>
          <w:trHeight w:val="435" w:hRule="atLeast"/>
          <w:jc w:val="center"/>
        </w:trPr>
        <w:tc>
          <w:tcPr>
            <w:tcW w:w="2368" w:type="dxa"/>
            <w:vAlign w:val="center"/>
          </w:tcPr>
          <w:p>
            <w:pPr>
              <w:snapToGrid w:val="0"/>
              <w:spacing w:after="50"/>
              <w:ind w:firstLine="420" w:firstLineChars="200"/>
              <w:jc w:val="center"/>
              <w:rPr>
                <w:rFonts w:ascii="Arial" w:hAnsi="Arial" w:cs="Arial"/>
                <w:color w:val="auto"/>
                <w:szCs w:val="21"/>
              </w:rPr>
            </w:pPr>
            <w:r>
              <w:rPr>
                <w:rFonts w:ascii="Arial" w:hAnsi="Arial" w:cs="Arial"/>
                <w:color w:val="auto"/>
                <w:szCs w:val="21"/>
              </w:rPr>
              <w:t>保险期间已经过月数（个月）</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1</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2</w:t>
            </w:r>
          </w:p>
        </w:tc>
        <w:tc>
          <w:tcPr>
            <w:tcW w:w="534" w:type="dxa"/>
            <w:vAlign w:val="center"/>
          </w:tcPr>
          <w:p>
            <w:pPr>
              <w:snapToGrid w:val="0"/>
              <w:spacing w:after="50"/>
              <w:rPr>
                <w:rFonts w:ascii="Arial" w:hAnsi="Arial" w:cs="Arial"/>
                <w:color w:val="auto"/>
                <w:szCs w:val="21"/>
              </w:rPr>
            </w:pPr>
            <w:r>
              <w:rPr>
                <w:rFonts w:ascii="Arial" w:hAnsi="Arial" w:cs="Arial"/>
                <w:color w:val="auto"/>
                <w:szCs w:val="21"/>
              </w:rPr>
              <w:t>3</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4</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5</w:t>
            </w:r>
          </w:p>
        </w:tc>
        <w:tc>
          <w:tcPr>
            <w:tcW w:w="534" w:type="dxa"/>
            <w:vAlign w:val="center"/>
          </w:tcPr>
          <w:p>
            <w:pPr>
              <w:snapToGrid w:val="0"/>
              <w:spacing w:after="50"/>
              <w:rPr>
                <w:rFonts w:ascii="Arial" w:hAnsi="Arial" w:cs="Arial"/>
                <w:color w:val="auto"/>
                <w:szCs w:val="21"/>
              </w:rPr>
            </w:pPr>
            <w:r>
              <w:rPr>
                <w:rFonts w:ascii="Arial" w:hAnsi="Arial" w:cs="Arial"/>
                <w:color w:val="auto"/>
                <w:szCs w:val="21"/>
              </w:rPr>
              <w:t>6</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7</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8</w:t>
            </w:r>
          </w:p>
        </w:tc>
        <w:tc>
          <w:tcPr>
            <w:tcW w:w="534" w:type="dxa"/>
            <w:vAlign w:val="center"/>
          </w:tcPr>
          <w:p>
            <w:pPr>
              <w:snapToGrid w:val="0"/>
              <w:spacing w:after="50"/>
              <w:rPr>
                <w:rFonts w:ascii="Arial" w:hAnsi="Arial" w:cs="Arial"/>
                <w:color w:val="auto"/>
                <w:szCs w:val="21"/>
              </w:rPr>
            </w:pPr>
            <w:r>
              <w:rPr>
                <w:rFonts w:ascii="Arial" w:hAnsi="Arial" w:cs="Arial"/>
                <w:color w:val="auto"/>
                <w:szCs w:val="21"/>
              </w:rPr>
              <w:t>9</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10</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11</w:t>
            </w:r>
          </w:p>
        </w:tc>
        <w:tc>
          <w:tcPr>
            <w:tcW w:w="534" w:type="dxa"/>
            <w:vAlign w:val="center"/>
          </w:tcPr>
          <w:p>
            <w:pPr>
              <w:snapToGrid w:val="0"/>
              <w:spacing w:after="50"/>
              <w:rPr>
                <w:rFonts w:ascii="Arial" w:hAnsi="Arial" w:cs="Arial"/>
                <w:color w:val="auto"/>
                <w:szCs w:val="21"/>
              </w:rPr>
            </w:pPr>
            <w:r>
              <w:rPr>
                <w:rFonts w:ascii="Arial" w:hAnsi="Arial" w:cs="Arial"/>
                <w:color w:val="auto"/>
                <w:szCs w:val="21"/>
              </w:rPr>
              <w:t>12</w:t>
            </w:r>
          </w:p>
        </w:tc>
      </w:tr>
      <w:tr>
        <w:tblPrEx>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CellMar>
            <w:top w:w="0" w:type="dxa"/>
            <w:left w:w="0" w:type="dxa"/>
            <w:bottom w:w="0" w:type="dxa"/>
            <w:right w:w="0" w:type="dxa"/>
          </w:tblCellMar>
        </w:tblPrEx>
        <w:trPr>
          <w:cantSplit/>
          <w:trHeight w:val="435" w:hRule="atLeast"/>
          <w:jc w:val="center"/>
        </w:trPr>
        <w:tc>
          <w:tcPr>
            <w:tcW w:w="2368" w:type="dxa"/>
            <w:vAlign w:val="center"/>
          </w:tcPr>
          <w:p>
            <w:pPr>
              <w:snapToGrid w:val="0"/>
              <w:spacing w:after="50"/>
              <w:ind w:firstLine="420" w:firstLineChars="200"/>
              <w:jc w:val="center"/>
              <w:rPr>
                <w:rFonts w:ascii="Arial" w:hAnsi="Arial" w:cs="Arial"/>
                <w:color w:val="auto"/>
                <w:szCs w:val="21"/>
              </w:rPr>
            </w:pPr>
            <w:r>
              <w:rPr>
                <w:rFonts w:ascii="Arial" w:hAnsi="Arial" w:cs="Arial"/>
                <w:color w:val="auto"/>
                <w:szCs w:val="21"/>
              </w:rPr>
              <w:t>年费率的比例（％）</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10</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20</w:t>
            </w:r>
          </w:p>
        </w:tc>
        <w:tc>
          <w:tcPr>
            <w:tcW w:w="534" w:type="dxa"/>
            <w:vAlign w:val="center"/>
          </w:tcPr>
          <w:p>
            <w:pPr>
              <w:snapToGrid w:val="0"/>
              <w:spacing w:after="50"/>
              <w:rPr>
                <w:rFonts w:ascii="Arial" w:hAnsi="Arial" w:cs="Arial"/>
                <w:color w:val="auto"/>
                <w:szCs w:val="21"/>
              </w:rPr>
            </w:pPr>
            <w:r>
              <w:rPr>
                <w:rFonts w:ascii="Arial" w:hAnsi="Arial" w:cs="Arial"/>
                <w:color w:val="auto"/>
                <w:szCs w:val="21"/>
              </w:rPr>
              <w:t>30</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40</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50</w:t>
            </w:r>
          </w:p>
        </w:tc>
        <w:tc>
          <w:tcPr>
            <w:tcW w:w="534" w:type="dxa"/>
            <w:vAlign w:val="center"/>
          </w:tcPr>
          <w:p>
            <w:pPr>
              <w:snapToGrid w:val="0"/>
              <w:spacing w:after="50"/>
              <w:rPr>
                <w:rFonts w:ascii="Arial" w:hAnsi="Arial" w:cs="Arial"/>
                <w:color w:val="auto"/>
                <w:szCs w:val="21"/>
              </w:rPr>
            </w:pPr>
            <w:r>
              <w:rPr>
                <w:rFonts w:ascii="Arial" w:hAnsi="Arial" w:cs="Arial"/>
                <w:color w:val="auto"/>
                <w:szCs w:val="21"/>
              </w:rPr>
              <w:t>60</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70</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80</w:t>
            </w:r>
          </w:p>
        </w:tc>
        <w:tc>
          <w:tcPr>
            <w:tcW w:w="534" w:type="dxa"/>
            <w:vAlign w:val="center"/>
          </w:tcPr>
          <w:p>
            <w:pPr>
              <w:snapToGrid w:val="0"/>
              <w:spacing w:after="50"/>
              <w:rPr>
                <w:rFonts w:ascii="Arial" w:hAnsi="Arial" w:cs="Arial"/>
                <w:color w:val="auto"/>
                <w:szCs w:val="21"/>
              </w:rPr>
            </w:pPr>
            <w:r>
              <w:rPr>
                <w:rFonts w:ascii="Arial" w:hAnsi="Arial" w:cs="Arial"/>
                <w:color w:val="auto"/>
                <w:szCs w:val="21"/>
              </w:rPr>
              <w:t>85</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90</w:t>
            </w:r>
          </w:p>
        </w:tc>
        <w:tc>
          <w:tcPr>
            <w:tcW w:w="533" w:type="dxa"/>
            <w:vAlign w:val="center"/>
          </w:tcPr>
          <w:p>
            <w:pPr>
              <w:snapToGrid w:val="0"/>
              <w:spacing w:after="50"/>
              <w:rPr>
                <w:rFonts w:ascii="Arial" w:hAnsi="Arial" w:cs="Arial"/>
                <w:color w:val="auto"/>
                <w:szCs w:val="21"/>
              </w:rPr>
            </w:pPr>
            <w:r>
              <w:rPr>
                <w:rFonts w:ascii="Arial" w:hAnsi="Arial" w:cs="Arial"/>
                <w:color w:val="auto"/>
                <w:szCs w:val="21"/>
              </w:rPr>
              <w:t>95</w:t>
            </w:r>
          </w:p>
        </w:tc>
        <w:tc>
          <w:tcPr>
            <w:tcW w:w="534" w:type="dxa"/>
            <w:vAlign w:val="center"/>
          </w:tcPr>
          <w:p>
            <w:pPr>
              <w:snapToGrid w:val="0"/>
              <w:spacing w:after="50"/>
              <w:rPr>
                <w:rFonts w:ascii="Arial" w:hAnsi="Arial" w:cs="Arial"/>
                <w:color w:val="auto"/>
                <w:szCs w:val="21"/>
              </w:rPr>
            </w:pPr>
            <w:r>
              <w:rPr>
                <w:rFonts w:ascii="Arial" w:hAnsi="Arial" w:cs="Arial"/>
                <w:color w:val="auto"/>
                <w:szCs w:val="21"/>
              </w:rPr>
              <w:t>100</w:t>
            </w:r>
          </w:p>
        </w:tc>
      </w:tr>
    </w:tbl>
    <w:p>
      <w:pPr>
        <w:adjustRightInd w:val="0"/>
        <w:snapToGrid w:val="0"/>
        <w:spacing w:after="156" w:afterLines="50"/>
        <w:ind w:firstLine="420" w:firstLineChars="200"/>
        <w:rPr>
          <w:rFonts w:ascii="Arial" w:hAnsi="Arial" w:cs="Arial"/>
          <w:snapToGrid w:val="0"/>
          <w:color w:val="auto"/>
          <w:kern w:val="0"/>
          <w:szCs w:val="21"/>
        </w:rPr>
      </w:pPr>
      <w:r>
        <w:rPr>
          <w:rFonts w:ascii="Arial" w:hAnsi="Arial" w:cs="Arial"/>
          <w:snapToGrid w:val="0"/>
          <w:color w:val="auto"/>
          <w:kern w:val="0"/>
          <w:szCs w:val="21"/>
        </w:rPr>
        <w:t>（注：保险期间已经过月数不足一月的按一月计算）。</w:t>
      </w:r>
    </w:p>
    <w:p>
      <w:pPr>
        <w:widowControl/>
        <w:jc w:val="left"/>
        <w:rPr>
          <w:rFonts w:ascii="Arial" w:hAnsi="Arial" w:cs="Arial"/>
          <w:b/>
          <w:color w:val="auto"/>
          <w:sz w:val="24"/>
        </w:rPr>
      </w:pPr>
      <w:r>
        <w:rPr>
          <w:rFonts w:ascii="Arial" w:hAnsi="Arial" w:cs="Arial"/>
          <w:b/>
          <w:color w:val="auto"/>
          <w:sz w:val="24"/>
        </w:rPr>
        <w:t>扩展条款：</w:t>
      </w:r>
    </w:p>
    <w:p>
      <w:pPr>
        <w:widowControl/>
        <w:jc w:val="left"/>
        <w:rPr>
          <w:rFonts w:ascii="Arial" w:hAnsi="Arial" w:cs="Arial"/>
          <w:b/>
          <w:color w:val="auto"/>
          <w:sz w:val="24"/>
        </w:rPr>
      </w:pPr>
    </w:p>
    <w:p>
      <w:pPr>
        <w:widowControl/>
        <w:numPr>
          <w:ilvl w:val="0"/>
          <w:numId w:val="6"/>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提前90天通知解除保单条款</w:t>
      </w:r>
    </w:p>
    <w:p>
      <w:pPr>
        <w:ind w:firstLine="420" w:firstLineChars="200"/>
        <w:rPr>
          <w:rFonts w:ascii="Arial" w:hAnsi="Arial" w:cs="Arial"/>
          <w:color w:val="auto"/>
          <w:szCs w:val="21"/>
        </w:rPr>
      </w:pPr>
      <w:r>
        <w:rPr>
          <w:rFonts w:ascii="Arial" w:hAnsi="Arial" w:cs="Arial"/>
          <w:color w:val="auto"/>
          <w:szCs w:val="21"/>
        </w:rPr>
        <w:t>兹经双方同意并约定,本保单应投保人的书面通知,可随时终止,保费按短期费率或者最低保费收取。本保单也可以在保险人的提前</w:t>
      </w:r>
      <w:r>
        <w:rPr>
          <w:rFonts w:ascii="Arial" w:hAnsi="Arial" w:cs="Arial"/>
          <w:color w:val="auto"/>
          <w:szCs w:val="21"/>
          <w:u w:val="single"/>
        </w:rPr>
        <w:t>_90_</w:t>
      </w:r>
      <w:r>
        <w:rPr>
          <w:rFonts w:ascii="Arial" w:hAnsi="Arial" w:cs="Arial"/>
          <w:color w:val="auto"/>
          <w:szCs w:val="21"/>
        </w:rPr>
        <w:t>天通知下终止,保费按日费率计算。</w:t>
      </w:r>
    </w:p>
    <w:p>
      <w:pPr>
        <w:widowControl/>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widowControl/>
        <w:numPr>
          <w:ilvl w:val="0"/>
          <w:numId w:val="6"/>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 xml:space="preserve">自动恢复保险金额条款  </w:t>
      </w:r>
    </w:p>
    <w:p>
      <w:pPr>
        <w:ind w:firstLine="420" w:firstLineChars="200"/>
        <w:rPr>
          <w:rFonts w:ascii="Arial" w:hAnsi="Arial" w:cs="Arial"/>
          <w:color w:val="auto"/>
          <w:szCs w:val="21"/>
        </w:rPr>
      </w:pPr>
      <w:r>
        <w:rPr>
          <w:rFonts w:ascii="Arial" w:hAnsi="Arial" w:cs="Arial"/>
          <w:color w:val="auto"/>
          <w:szCs w:val="21"/>
        </w:rPr>
        <w:t>经双方同意，发生保险责任范围内的损失时，各项受损保险标的的保险金额自动恢复，但投保人应按日比例支付保额恢复部分自损失发生之日起至本保险合同保险期间届满之日止期间的保险费。</w:t>
      </w:r>
    </w:p>
    <w:p>
      <w:pPr>
        <w:ind w:firstLine="420" w:firstLineChars="200"/>
        <w:rPr>
          <w:rFonts w:ascii="Arial" w:hAnsi="Arial" w:cs="Arial"/>
          <w:bCs/>
          <w:color w:val="auto"/>
          <w:szCs w:val="21"/>
        </w:rPr>
      </w:pPr>
      <w:r>
        <w:rPr>
          <w:rFonts w:ascii="Arial" w:hAnsi="Arial" w:cs="Arial"/>
          <w:color w:val="auto"/>
          <w:szCs w:val="21"/>
        </w:rPr>
        <w:t>本附加险条款与主险条款内容相悖之处，以本附加险条款为准；未尽之处，以主险条款为准。</w:t>
      </w:r>
    </w:p>
    <w:p>
      <w:pPr>
        <w:widowControl/>
        <w:numPr>
          <w:ilvl w:val="0"/>
          <w:numId w:val="6"/>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盗窃扩展条款</w:t>
      </w:r>
    </w:p>
    <w:p>
      <w:pPr>
        <w:ind w:firstLine="420" w:firstLineChars="200"/>
        <w:rPr>
          <w:rFonts w:ascii="Arial" w:hAnsi="Arial" w:cs="Arial"/>
          <w:color w:val="auto"/>
          <w:szCs w:val="21"/>
        </w:rPr>
      </w:pPr>
      <w:r>
        <w:rPr>
          <w:rFonts w:ascii="Arial" w:hAnsi="Arial" w:cs="Arial"/>
          <w:color w:val="auto"/>
          <w:szCs w:val="21"/>
        </w:rPr>
        <w:t>兹约定，本保单扩展承保被保险现金因遭受偷窃或盗窃或盗贼侵入被保险营业场所而造成的灭失或损失，不论盗窃有无明显盗窃痕迹，但须获得公安机关现金盗窃立案证明。</w:t>
      </w:r>
    </w:p>
    <w:p>
      <w:pPr>
        <w:widowControl/>
        <w:numPr>
          <w:ilvl w:val="0"/>
          <w:numId w:val="6"/>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 xml:space="preserve">或有现金条款  </w:t>
      </w:r>
    </w:p>
    <w:p>
      <w:pPr>
        <w:ind w:firstLine="420" w:firstLineChars="200"/>
        <w:rPr>
          <w:rFonts w:ascii="Arial" w:hAnsi="Arial" w:cs="Arial"/>
          <w:bCs/>
          <w:color w:val="auto"/>
          <w:szCs w:val="21"/>
        </w:rPr>
      </w:pPr>
      <w:r>
        <w:rPr>
          <w:rFonts w:ascii="Arial" w:hAnsi="Arial" w:cs="Arial"/>
          <w:color w:val="auto"/>
          <w:szCs w:val="21"/>
        </w:rPr>
        <w:t>本保单扩展承保由安保公司或/和银行运送的被保险人的现金。但在其运送的保证或担保文件中，被保险人有责任确保该指定的安保公司或/和银行对运送的现金负有赔偿责任。</w:t>
      </w:r>
    </w:p>
    <w:p>
      <w:pPr>
        <w:widowControl/>
        <w:numPr>
          <w:ilvl w:val="0"/>
          <w:numId w:val="6"/>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保险箱损毁条款</w:t>
      </w:r>
    </w:p>
    <w:p>
      <w:pPr>
        <w:ind w:firstLine="420" w:firstLineChars="200"/>
        <w:rPr>
          <w:rFonts w:ascii="Arial" w:hAnsi="Arial" w:cs="Arial"/>
          <w:color w:val="auto"/>
          <w:szCs w:val="21"/>
        </w:rPr>
      </w:pPr>
      <w:r>
        <w:rPr>
          <w:rFonts w:ascii="Arial" w:hAnsi="Arial" w:cs="Arial"/>
          <w:color w:val="auto"/>
          <w:szCs w:val="21"/>
        </w:rPr>
        <w:t>1）本保险扩展承保贮存或运送现金的保险箱、金库、容器或包袋直接因盗窃或企图盗窃的行为造成的损失，</w:t>
      </w:r>
    </w:p>
    <w:p>
      <w:pPr>
        <w:ind w:firstLine="420" w:firstLineChars="200"/>
        <w:rPr>
          <w:rFonts w:ascii="Arial" w:hAnsi="Arial" w:cs="Arial"/>
          <w:color w:val="auto"/>
          <w:szCs w:val="21"/>
        </w:rPr>
      </w:pPr>
      <w:r>
        <w:rPr>
          <w:rFonts w:ascii="Arial" w:hAnsi="Arial" w:cs="Arial"/>
          <w:color w:val="auto"/>
          <w:szCs w:val="21"/>
        </w:rPr>
        <w:t>2）在保险期限内，由于盗窃或企图盗窃的行为导致存放保险标的的保险箱遭受毁坏或损毁，其修理或替换费用保险人负责赔偿。</w:t>
      </w:r>
    </w:p>
    <w:p>
      <w:pPr>
        <w:ind w:firstLine="420" w:firstLineChars="200"/>
        <w:rPr>
          <w:rFonts w:ascii="Arial" w:hAnsi="Arial" w:cs="Arial"/>
          <w:color w:val="auto"/>
          <w:szCs w:val="21"/>
        </w:rPr>
      </w:pPr>
      <w:r>
        <w:rPr>
          <w:rFonts w:ascii="Arial" w:hAnsi="Arial" w:cs="Arial"/>
          <w:color w:val="auto"/>
          <w:szCs w:val="21"/>
        </w:rPr>
        <w:t>本附加险条款项下每次事故赔偿限额不超过</w:t>
      </w:r>
      <w:r>
        <w:rPr>
          <w:rFonts w:ascii="Arial" w:hAnsi="Arial" w:cs="Arial"/>
          <w:color w:val="auto"/>
          <w:szCs w:val="21"/>
          <w:u w:val="single"/>
        </w:rPr>
        <w:t>RMB30,000</w:t>
      </w:r>
      <w:r>
        <w:rPr>
          <w:rFonts w:ascii="Arial" w:hAnsi="Arial" w:cs="Arial"/>
          <w:color w:val="auto"/>
          <w:szCs w:val="21"/>
        </w:rPr>
        <w:t>_。</w:t>
      </w:r>
    </w:p>
    <w:p>
      <w:pPr>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rPr>
          <w:rFonts w:ascii="Arial" w:hAnsi="Arial" w:eastAsia="楷体_GB2312" w:cs="Arial"/>
          <w:b/>
          <w:caps/>
          <w:color w:val="auto"/>
          <w:sz w:val="24"/>
        </w:rPr>
      </w:pPr>
    </w:p>
    <w:p>
      <w:pPr>
        <w:widowControl/>
        <w:numPr>
          <w:ilvl w:val="0"/>
          <w:numId w:val="6"/>
        </w:numPr>
        <w:autoSpaceDE w:val="0"/>
        <w:autoSpaceDN w:val="0"/>
        <w:adjustRightInd w:val="0"/>
        <w:spacing w:line="360" w:lineRule="auto"/>
        <w:jc w:val="left"/>
        <w:rPr>
          <w:rFonts w:ascii="Arial" w:hAnsi="Arial" w:cs="Arial"/>
          <w:b/>
          <w:bCs/>
          <w:color w:val="auto"/>
          <w:szCs w:val="21"/>
        </w:rPr>
      </w:pPr>
      <w:r>
        <w:rPr>
          <w:rFonts w:ascii="Arial" w:hAnsi="Arial" w:cs="Arial"/>
          <w:b/>
          <w:bCs/>
          <w:color w:val="auto"/>
          <w:szCs w:val="21"/>
        </w:rPr>
        <w:t xml:space="preserve">罢工、暴乱及民众骚乱扩展条款 </w:t>
      </w:r>
    </w:p>
    <w:p>
      <w:pPr>
        <w:ind w:firstLine="420" w:firstLineChars="200"/>
        <w:rPr>
          <w:rFonts w:ascii="Arial" w:hAnsi="Arial" w:cs="Arial"/>
          <w:color w:val="auto"/>
          <w:szCs w:val="21"/>
        </w:rPr>
      </w:pPr>
      <w:r>
        <w:rPr>
          <w:rFonts w:ascii="Arial" w:hAnsi="Arial" w:cs="Arial"/>
          <w:color w:val="auto"/>
          <w:szCs w:val="21"/>
        </w:rPr>
        <w:t xml:space="preserve">经双方同意，在罢工、暴乱或民众骚动期间，对由于参与罢工、暴乱或民众骚动的人员造成保险标的的损失，以及因发生抢劫造成保险标的的损失，保险人按照本保险合同的约定负责赔偿。但由于国家有关部门的命令、没收、征用或拆毁造成的损失以及因参与人员或其他人故意纵火造成的损失，保险人不负责赔偿。 </w:t>
      </w:r>
    </w:p>
    <w:p>
      <w:pPr>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rPr>
          <w:rFonts w:ascii="宋体" w:hAnsi="宋体"/>
          <w:color w:val="auto"/>
        </w:rPr>
      </w:pPr>
    </w:p>
    <w:p>
      <w:pPr>
        <w:keepNext/>
        <w:keepLines/>
        <w:spacing w:before="260" w:after="260" w:line="416" w:lineRule="auto"/>
        <w:jc w:val="center"/>
        <w:outlineLvl w:val="2"/>
        <w:rPr>
          <w:rFonts w:ascii="Arial" w:hAnsi="Arial" w:cs="Arial"/>
          <w:bCs/>
          <w:color w:val="auto"/>
          <w:sz w:val="28"/>
          <w:szCs w:val="28"/>
        </w:rPr>
      </w:pPr>
      <w:bookmarkStart w:id="109" w:name="_Toc9671"/>
      <w:bookmarkStart w:id="110" w:name="_Toc4879"/>
      <w:bookmarkStart w:id="111" w:name="_Toc345347259"/>
      <w:bookmarkStart w:id="112" w:name="_Toc345351848"/>
      <w:bookmarkStart w:id="113" w:name="_Toc19645"/>
      <w:r>
        <w:rPr>
          <w:rFonts w:ascii="Arial" w:hAnsi="Arial" w:cs="Arial"/>
          <w:b/>
          <w:bCs/>
          <w:color w:val="auto"/>
          <w:sz w:val="28"/>
          <w:szCs w:val="28"/>
        </w:rPr>
        <w:t>公众责任保险条款</w:t>
      </w:r>
      <w:bookmarkEnd w:id="109"/>
      <w:bookmarkEnd w:id="110"/>
      <w:bookmarkEnd w:id="111"/>
      <w:bookmarkEnd w:id="112"/>
      <w:bookmarkEnd w:id="113"/>
    </w:p>
    <w:p>
      <w:pPr>
        <w:jc w:val="left"/>
        <w:rPr>
          <w:rFonts w:ascii="Arial" w:hAnsi="Arial" w:cs="Arial"/>
          <w:b/>
          <w:color w:val="auto"/>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总则</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第一条</w:t>
      </w:r>
      <w:r>
        <w:rPr>
          <w:rFonts w:ascii="Arial" w:hAnsi="Arial" w:cs="Arial"/>
          <w:color w:val="auto"/>
          <w:szCs w:val="21"/>
        </w:rPr>
        <w:t xml:space="preserve">  本保险合同由保险条款、投保单、保险单、保险凭证以及批单组成。凡涉及本保险合同的约定，均应采用书面形式。</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第二条</w:t>
      </w:r>
      <w:r>
        <w:rPr>
          <w:rFonts w:ascii="Arial" w:hAnsi="Arial" w:cs="Arial"/>
          <w:color w:val="auto"/>
          <w:szCs w:val="21"/>
        </w:rPr>
        <w:t xml:space="preserve">  中华人民共和国境内的各类机关、企事业单位、个体经济组织以及其他组织，均可作为本保险合同的被保险人。</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保险责任</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第三条</w:t>
      </w:r>
      <w:r>
        <w:rPr>
          <w:rFonts w:ascii="Arial" w:hAnsi="Arial" w:cs="Arial"/>
          <w:color w:val="auto"/>
          <w:szCs w:val="21"/>
        </w:rPr>
        <w:t xml:space="preserve">  在保险期间内，被保险人在保险单载明的区域范围内因经营业务发生意外事故，造成第三者的人身伤亡或财产损失，依照中华人民共和国法律（不包括港澳台地区法律）应由被保险人承担的经济赔偿责任，保险人按照本保险合同约定负责赔偿。</w:t>
      </w:r>
    </w:p>
    <w:p>
      <w:pPr>
        <w:snapToGrid w:val="0"/>
        <w:spacing w:after="156" w:afterLines="50"/>
        <w:ind w:firstLine="422" w:firstLineChars="200"/>
        <w:rPr>
          <w:rFonts w:ascii="Arial" w:hAnsi="Arial" w:cs="Arial"/>
          <w:snapToGrid w:val="0"/>
          <w:color w:val="auto"/>
          <w:kern w:val="0"/>
          <w:szCs w:val="21"/>
        </w:rPr>
      </w:pPr>
      <w:r>
        <w:rPr>
          <w:rFonts w:ascii="Arial" w:hAnsi="Arial" w:cs="Arial"/>
          <w:b/>
          <w:bCs/>
          <w:snapToGrid w:val="0"/>
          <w:color w:val="auto"/>
          <w:kern w:val="0"/>
          <w:szCs w:val="21"/>
        </w:rPr>
        <w:t>第四条</w:t>
      </w:r>
      <w:r>
        <w:rPr>
          <w:rFonts w:ascii="Arial" w:hAnsi="Arial" w:cs="Arial"/>
          <w:snapToGrid w:val="0"/>
          <w:color w:val="auto"/>
          <w:kern w:val="0"/>
          <w:szCs w:val="21"/>
        </w:rPr>
        <w:t xml:space="preserve">  在保险期间内，发生本条款第三条所规定的意外事故造成第三者的人身伤亡，受害人或其近亲属提出精神损害赔偿的，</w:t>
      </w:r>
      <w:r>
        <w:rPr>
          <w:rFonts w:ascii="Arial" w:hAnsi="Arial" w:cs="Arial"/>
          <w:color w:val="auto"/>
          <w:szCs w:val="21"/>
        </w:rPr>
        <w:t>依照中华人民共和国（不包括港澳台地区）法院判决应由</w:t>
      </w:r>
      <w:r>
        <w:rPr>
          <w:rFonts w:ascii="Arial" w:hAnsi="Arial" w:cs="Arial"/>
          <w:snapToGrid w:val="0"/>
          <w:color w:val="auto"/>
          <w:kern w:val="0"/>
          <w:szCs w:val="21"/>
        </w:rPr>
        <w:t>被保险人承担的精神损害赔偿责任，保险人按照本保险合同约定负责赔偿。</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第五条</w:t>
      </w:r>
      <w:r>
        <w:rPr>
          <w:rFonts w:ascii="Arial" w:hAnsi="Arial" w:cs="Arial"/>
          <w:color w:val="auto"/>
          <w:szCs w:val="21"/>
        </w:rPr>
        <w:t xml:space="preserve">  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责任免除</w:t>
      </w:r>
    </w:p>
    <w:p>
      <w:pPr>
        <w:adjustRightInd w:val="0"/>
        <w:snapToGrid w:val="0"/>
        <w:spacing w:after="156" w:afterLines="50"/>
        <w:ind w:firstLine="422" w:firstLineChars="200"/>
        <w:rPr>
          <w:rFonts w:ascii="Arial" w:hAnsi="Arial" w:cs="Arial"/>
          <w:b/>
          <w:color w:val="auto"/>
          <w:szCs w:val="21"/>
        </w:rPr>
      </w:pPr>
      <w:r>
        <w:rPr>
          <w:rFonts w:ascii="Arial" w:hAnsi="Arial" w:cs="Arial"/>
          <w:b/>
          <w:bCs/>
          <w:color w:val="auto"/>
          <w:szCs w:val="21"/>
        </w:rPr>
        <w:t>第六条</w:t>
      </w:r>
      <w:r>
        <w:rPr>
          <w:rFonts w:ascii="Arial" w:hAnsi="Arial" w:cs="Arial"/>
          <w:color w:val="auto"/>
          <w:szCs w:val="21"/>
        </w:rPr>
        <w:t xml:space="preserve">  </w:t>
      </w:r>
      <w:r>
        <w:rPr>
          <w:rFonts w:ascii="Arial" w:hAnsi="Arial" w:cs="Arial"/>
          <w:b/>
          <w:color w:val="auto"/>
          <w:szCs w:val="21"/>
        </w:rPr>
        <w:t>下列原因造成的损失、费用和责任，保险人不负责赔偿：</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（一）投保人、被保险人及其代表的故意行为或重大过失；</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（二）战争、敌对行动、军事行为、武装冲突、罢工、骚乱、暴动、恐怖活动；</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（三）核辐射、核爆炸、核污染及其他放射性污染；</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（四）大气污染、土地污染、水污染及其他各种污染；</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（五）行政行为或司法行为；</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（六）地震、台风、暴雨、洪水等自然灾害；</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（七）火灾、爆炸、烟熏；</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（八）被保险人超越经营范围的行为；</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（九）被保险人侵害他人姓名权、名称权、肖像权、名誉权、荣誉权以及个人隐私的行为；</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（十）被保险人侵害他人商标权、专利权、著作权以及商业秘密的行为；</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（十一）被保险人所有、管理的机动车辆、核设施、航空航天器、铁路机车、海上设施、船舶、起重机械、电梯、升降机、自动扶梯导致的损失。</w:t>
      </w:r>
    </w:p>
    <w:p>
      <w:pPr>
        <w:adjustRightInd w:val="0"/>
        <w:snapToGrid w:val="0"/>
        <w:spacing w:after="156" w:afterLines="50"/>
        <w:ind w:firstLine="422" w:firstLineChars="200"/>
        <w:rPr>
          <w:rFonts w:ascii="Arial" w:hAnsi="Arial" w:cs="Arial"/>
          <w:b/>
          <w:color w:val="auto"/>
          <w:szCs w:val="21"/>
        </w:rPr>
      </w:pPr>
      <w:r>
        <w:rPr>
          <w:rFonts w:ascii="Arial" w:hAnsi="Arial" w:cs="Arial"/>
          <w:b/>
          <w:bCs/>
          <w:color w:val="auto"/>
          <w:szCs w:val="21"/>
        </w:rPr>
        <w:t>第七条</w:t>
      </w:r>
      <w:r>
        <w:rPr>
          <w:rFonts w:ascii="Arial" w:hAnsi="Arial" w:cs="Arial"/>
          <w:color w:val="auto"/>
          <w:szCs w:val="21"/>
        </w:rPr>
        <w:t xml:space="preserve">  </w:t>
      </w:r>
      <w:r>
        <w:rPr>
          <w:rFonts w:ascii="Arial" w:hAnsi="Arial" w:cs="Arial"/>
          <w:b/>
          <w:color w:val="auto"/>
          <w:szCs w:val="21"/>
        </w:rPr>
        <w:t>下列损失、费用和责任，保险人不负责赔偿：</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（一）被保险人或其雇员的人身伤亡及其所有或管理的财产的损失；</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（二）被保险人应该承担的合同责任，但无合同存在时依法仍然应由被保险人承担的经济赔偿责任不在此限；</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 xml:space="preserve">（三）罚款、罚金及惩罚性赔偿； </w:t>
      </w:r>
    </w:p>
    <w:p>
      <w:pPr>
        <w:tabs>
          <w:tab w:val="left" w:pos="1800"/>
        </w:tabs>
        <w:snapToGrid w:val="0"/>
        <w:spacing w:after="156" w:afterLines="50"/>
        <w:ind w:firstLine="422" w:firstLineChars="200"/>
        <w:rPr>
          <w:rFonts w:ascii="Arial" w:hAnsi="Arial" w:cs="Arial"/>
          <w:b/>
          <w:color w:val="auto"/>
          <w:szCs w:val="21"/>
        </w:rPr>
      </w:pPr>
      <w:r>
        <w:rPr>
          <w:rFonts w:ascii="Arial" w:hAnsi="Arial" w:cs="Arial"/>
          <w:b/>
          <w:color w:val="auto"/>
          <w:szCs w:val="21"/>
        </w:rPr>
        <w:t>（四）</w:t>
      </w:r>
      <w:r>
        <w:rPr>
          <w:rFonts w:ascii="Arial" w:hAnsi="Arial" w:cs="Arial"/>
          <w:b/>
          <w:snapToGrid w:val="0"/>
          <w:color w:val="auto"/>
          <w:kern w:val="0"/>
          <w:szCs w:val="21"/>
        </w:rPr>
        <w:t>非人民法院以判决方式做出的</w:t>
      </w:r>
      <w:r>
        <w:rPr>
          <w:rFonts w:ascii="Arial" w:hAnsi="Arial" w:cs="Arial"/>
          <w:b/>
          <w:color w:val="auto"/>
          <w:szCs w:val="21"/>
        </w:rPr>
        <w:t>精神损害赔偿，但</w:t>
      </w:r>
      <w:r>
        <w:rPr>
          <w:rFonts w:ascii="Arial" w:hAnsi="Arial" w:cs="Arial"/>
          <w:b/>
          <w:snapToGrid w:val="0"/>
          <w:color w:val="auto"/>
          <w:kern w:val="0"/>
          <w:szCs w:val="21"/>
        </w:rPr>
        <w:t>保险人事先书面同意的不在此限</w:t>
      </w:r>
      <w:r>
        <w:rPr>
          <w:rFonts w:ascii="Arial" w:hAnsi="Arial" w:cs="Arial"/>
          <w:b/>
          <w:color w:val="auto"/>
          <w:szCs w:val="21"/>
        </w:rPr>
        <w:t>；</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（五）间接损失；</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（六）</w:t>
      </w:r>
      <w:r>
        <w:rPr>
          <w:rFonts w:ascii="Arial" w:hAnsi="Arial" w:cs="Arial"/>
          <w:b/>
          <w:snapToGrid w:val="0"/>
          <w:color w:val="auto"/>
          <w:spacing w:val="-6"/>
          <w:kern w:val="0"/>
          <w:szCs w:val="21"/>
        </w:rPr>
        <w:t>投保人、被保险人在投保之前已经知道或可以合理预见的索赔情况；</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（七）被保险人或其雇员出售、赠与的产品、货物、商品所导致的损失；</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（八）因建设工程施工引起的任何人身伤害和财产损失；</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（九）患传染病以及食物、饮料、酒精中毒造成的损失；</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（十）被保险人或其雇员因从事医师、药剂师、美容师、会计师、审计师、设计师、监理师、评估师、律师等专门职业造成的损失；</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（十一）被保险人或其雇员因从事加工、修理、改进、承揽等工作造成委托人的损失；</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（十二）停放车辆车内财产的损失或因刮蹭、碰撞、倾覆造成停放车辆的损失；</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（十三）在中华人民共和国境外（包括港澳台地区）所发生的任何事故所造成的损失；</w:t>
      </w:r>
    </w:p>
    <w:p>
      <w:pPr>
        <w:snapToGrid w:val="0"/>
        <w:spacing w:after="156" w:afterLines="50"/>
        <w:ind w:firstLine="422" w:firstLineChars="200"/>
        <w:rPr>
          <w:rFonts w:ascii="Arial" w:hAnsi="Arial" w:cs="Arial"/>
          <w:b/>
          <w:snapToGrid w:val="0"/>
          <w:color w:val="auto"/>
          <w:kern w:val="0"/>
          <w:szCs w:val="21"/>
        </w:rPr>
      </w:pPr>
      <w:r>
        <w:rPr>
          <w:rFonts w:ascii="Arial" w:hAnsi="Arial" w:cs="Arial"/>
          <w:b/>
          <w:snapToGrid w:val="0"/>
          <w:color w:val="auto"/>
          <w:kern w:val="0"/>
          <w:szCs w:val="21"/>
        </w:rPr>
        <w:t>（十四）在保险单列明的区域范围外所发生的任何损失；</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（十五）本保险合同中载明的免赔额。</w:t>
      </w:r>
    </w:p>
    <w:p>
      <w:pPr>
        <w:adjustRightInd w:val="0"/>
        <w:snapToGrid w:val="0"/>
        <w:spacing w:after="156" w:afterLines="50"/>
        <w:ind w:firstLine="422" w:firstLineChars="200"/>
        <w:rPr>
          <w:rFonts w:ascii="Arial" w:hAnsi="Arial" w:cs="Arial"/>
          <w:b/>
          <w:color w:val="auto"/>
          <w:szCs w:val="21"/>
          <w:u w:val="single"/>
        </w:rPr>
      </w:pPr>
      <w:r>
        <w:rPr>
          <w:rFonts w:ascii="Arial" w:hAnsi="Arial" w:cs="Arial"/>
          <w:b/>
          <w:bCs/>
          <w:color w:val="auto"/>
          <w:szCs w:val="21"/>
        </w:rPr>
        <w:t>第八条</w:t>
      </w:r>
      <w:r>
        <w:rPr>
          <w:rFonts w:ascii="Arial" w:hAnsi="Arial" w:cs="Arial"/>
          <w:color w:val="auto"/>
          <w:szCs w:val="21"/>
        </w:rPr>
        <w:t xml:space="preserve">  </w:t>
      </w:r>
      <w:r>
        <w:rPr>
          <w:rFonts w:ascii="Arial" w:hAnsi="Arial" w:cs="Arial"/>
          <w:b/>
          <w:color w:val="auto"/>
          <w:szCs w:val="21"/>
        </w:rPr>
        <w:t>其他不属于本保险责任范围内的损失、费用和责任，保险人不负责赔偿。</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ind w:firstLine="422" w:firstLineChars="200"/>
        <w:jc w:val="center"/>
        <w:rPr>
          <w:rFonts w:ascii="Arial" w:hAnsi="Arial" w:cs="Arial"/>
          <w:b/>
          <w:bCs/>
          <w:color w:val="auto"/>
          <w:szCs w:val="21"/>
        </w:rPr>
      </w:pPr>
      <w:r>
        <w:rPr>
          <w:rFonts w:ascii="Arial" w:hAnsi="Arial" w:cs="Arial"/>
          <w:b/>
          <w:bCs/>
          <w:color w:val="auto"/>
          <w:szCs w:val="21"/>
        </w:rPr>
        <w:t>赔偿限额与免赔额</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第九条</w:t>
      </w:r>
      <w:r>
        <w:rPr>
          <w:rFonts w:ascii="Arial" w:hAnsi="Arial" w:cs="Arial"/>
          <w:color w:val="auto"/>
          <w:szCs w:val="21"/>
        </w:rPr>
        <w:t xml:space="preserve">  赔偿限额包括每次事故</w:t>
      </w:r>
      <w:r>
        <w:rPr>
          <w:rFonts w:ascii="Arial" w:hAnsi="Arial" w:cs="Arial"/>
          <w:bCs/>
          <w:color w:val="auto"/>
          <w:szCs w:val="21"/>
        </w:rPr>
        <w:t>赔偿限额</w:t>
      </w:r>
      <w:r>
        <w:rPr>
          <w:rFonts w:ascii="Arial" w:hAnsi="Arial" w:cs="Arial"/>
          <w:color w:val="auto"/>
          <w:szCs w:val="21"/>
        </w:rPr>
        <w:t>、每次事故每人</w:t>
      </w:r>
      <w:r>
        <w:rPr>
          <w:rFonts w:ascii="Arial" w:hAnsi="Arial" w:cs="Arial"/>
          <w:bCs/>
          <w:color w:val="auto"/>
          <w:szCs w:val="21"/>
        </w:rPr>
        <w:t>赔偿限额</w:t>
      </w:r>
      <w:r>
        <w:rPr>
          <w:rFonts w:ascii="Arial" w:hAnsi="Arial" w:cs="Arial"/>
          <w:color w:val="auto"/>
          <w:szCs w:val="21"/>
        </w:rPr>
        <w:t>、每次事故人身伤亡赔偿限额、每次事故财产损失赔偿限额、累计赔偿限额，由投保人与保险人协商确定，并在保险合同中载明。</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第十条</w:t>
      </w:r>
      <w:r>
        <w:rPr>
          <w:rFonts w:ascii="Arial" w:hAnsi="Arial" w:cs="Arial"/>
          <w:color w:val="auto"/>
          <w:szCs w:val="21"/>
        </w:rPr>
        <w:t xml:space="preserve">  每次事故免赔额由投保人与保险人在签订保险合同时协商确定，并在保险合同中载明。</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保险期间</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 xml:space="preserve">第十一条  </w:t>
      </w:r>
      <w:r>
        <w:rPr>
          <w:rFonts w:ascii="Arial" w:hAnsi="Arial" w:cs="Arial"/>
          <w:color w:val="auto"/>
          <w:szCs w:val="21"/>
        </w:rPr>
        <w:t>除另有约定外，保险期间为一年，以保险单载明的起讫时间为准。</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保险人义务</w:t>
      </w:r>
    </w:p>
    <w:p>
      <w:pPr>
        <w:adjustRightInd w:val="0"/>
        <w:snapToGrid w:val="0"/>
        <w:spacing w:after="156" w:afterLines="50"/>
        <w:ind w:firstLine="422" w:firstLineChars="200"/>
        <w:rPr>
          <w:rFonts w:ascii="Arial" w:hAnsi="Arial" w:cs="Arial"/>
          <w:b/>
          <w:bCs/>
          <w:color w:val="auto"/>
          <w:szCs w:val="21"/>
        </w:rPr>
      </w:pPr>
      <w:r>
        <w:rPr>
          <w:rFonts w:ascii="Arial" w:hAnsi="Arial" w:cs="Arial"/>
          <w:b/>
          <w:bCs/>
          <w:color w:val="auto"/>
          <w:szCs w:val="21"/>
        </w:rPr>
        <w:t xml:space="preserve">第十二条  </w:t>
      </w:r>
      <w:r>
        <w:rPr>
          <w:rFonts w:ascii="Arial" w:hAnsi="Arial" w:cs="Arial"/>
          <w:color w:val="auto"/>
          <w:szCs w:val="21"/>
        </w:rPr>
        <w:t>本保险合同成立后，保险人应当及时向投保人签发保险单或其他保险凭证。</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 xml:space="preserve">第十三条  </w:t>
      </w:r>
      <w:r>
        <w:rPr>
          <w:rFonts w:ascii="Arial" w:hAnsi="Arial" w:cs="Arial"/>
          <w:color w:val="auto"/>
          <w:szCs w:val="21"/>
        </w:rPr>
        <w:t>保险人按照第二十三条的约定，认为被保险人提供的有关索赔的证明和资料不完整的，应当及时一次性通知投保人、被保险人补充提供。</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 xml:space="preserve">第十四条  </w:t>
      </w:r>
      <w:r>
        <w:rPr>
          <w:rFonts w:ascii="Arial" w:hAnsi="Arial" w:cs="Arial"/>
          <w:color w:val="auto"/>
          <w:szCs w:val="21"/>
        </w:rPr>
        <w:t>保险人收到被保险人的赔偿保险金的请求后，应当及时作出是否属于保险责任的核定；情形复杂的，保险人将在确定是否属于保险责任的基本材料收集齐全后，尽快做出核定。</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 xml:space="preserve">第十五条  </w:t>
      </w:r>
      <w:r>
        <w:rPr>
          <w:rFonts w:ascii="Arial" w:hAnsi="Arial" w:cs="Arial"/>
          <w:color w:val="auto"/>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 </w:t>
      </w:r>
    </w:p>
    <w:p>
      <w:pPr>
        <w:adjustRightInd w:val="0"/>
        <w:snapToGrid w:val="0"/>
        <w:spacing w:after="156" w:afterLines="50"/>
        <w:ind w:firstLine="422" w:firstLineChars="200"/>
        <w:jc w:val="center"/>
        <w:rPr>
          <w:rFonts w:ascii="Arial" w:hAnsi="Arial" w:cs="Arial"/>
          <w:b/>
          <w:bCs/>
          <w:color w:val="auto"/>
          <w:szCs w:val="21"/>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投保人、被保险人义务</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第十六条</w:t>
      </w:r>
      <w:r>
        <w:rPr>
          <w:rFonts w:ascii="Arial" w:hAnsi="Arial" w:cs="Arial"/>
          <w:color w:val="auto"/>
          <w:szCs w:val="21"/>
        </w:rPr>
        <w:t xml:space="preserve">  订立保险合同，保险人就保险标的或者被保险人的有关情况提出询问的，投保人应当如实告知。</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投保人故意或者因重大过失未履行前款规定的如实告知义务，足以影响保险人决定是否同意承保或者提高保险费率的，保险人有权解除保险合同。</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前款规定的合同解除权，自保险人知道有解除事由之日起，超过三十日不行使而消灭。自合同成立之日起超过二年的，保险人不得解除合同；发生保险事故的，保险人应当承担赔偿保险金的责任。</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投保人故意不履行如实告知义务的，保险人对于合同解除前发生的保险事故，不承担赔偿保险金的责任，并不退还保险费。</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投保人因重大过失未履行如实告知义务，对保险事故的发生有严重影响的，保险人对于合同解除前发生的保险事故，不承担赔偿保险金的责任，但应当退还保险费。</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保险人在合同订立时已经知道投保人未如实告知的情况的，保险人不得解除合同；发生保险事故的，保险人应当承担赔偿保险金的责任。</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第十七条</w:t>
      </w:r>
      <w:r>
        <w:rPr>
          <w:rFonts w:ascii="Arial" w:hAnsi="Arial" w:cs="Arial"/>
          <w:color w:val="auto"/>
          <w:szCs w:val="21"/>
        </w:rPr>
        <w:t xml:space="preserve">  除另有约定外，投保人应当在保险合同成立时交付保险费。</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约定一次性交付保险费的，投保人在约定交费日后交付保险费的，保险人对交费之前发生的保险事故不承担保险责任。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第十八条</w:t>
      </w:r>
      <w:r>
        <w:rPr>
          <w:rFonts w:ascii="Arial" w:hAnsi="Arial" w:cs="Arial"/>
          <w:color w:val="auto"/>
          <w:szCs w:val="21"/>
        </w:rPr>
        <w:t xml:space="preserve">  被保险人应严格遵守以及国家有关消防、安全、生产操作等方面的规定，加强管理，采取合理的预防措施，尽力避免或减少责任事故的发生。</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保险人可以对被保险人遵守前款约定的情况进行检查，向投保人、被保险人提出消除不安全因素和隐患的书面建议，投保人、被保险人应该认真付诸实施。</w:t>
      </w:r>
      <w:r>
        <w:rPr>
          <w:rFonts w:ascii="Arial" w:hAnsi="Arial" w:cs="Arial"/>
          <w:snapToGrid w:val="0"/>
          <w:color w:val="auto"/>
          <w:kern w:val="0"/>
          <w:szCs w:val="21"/>
        </w:rPr>
        <w:t>但前述检查并不构成保险人对被保险人的任何承诺。</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投保人、被保险人未按照约定履行上述安全义务的，保险人有权要求增加保险费或者解除合同。</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第十九条</w:t>
      </w:r>
      <w:r>
        <w:rPr>
          <w:rFonts w:ascii="Arial" w:hAnsi="Arial" w:cs="Arial"/>
          <w:color w:val="auto"/>
          <w:szCs w:val="21"/>
        </w:rPr>
        <w:t xml:space="preserve">  在保险合同有效期内，保险标的的危险程度显著增加的，被保险人应当及时通知保险人，保险人可以根据费率表的规定增加保险费或者解除合同。</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被保险人未履行前款约定的通知义务的，因保险标的的危险程度显著增加而发生的保险事故，保险人不承担赔偿保险金的责任。</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第二十条</w:t>
      </w:r>
      <w:r>
        <w:rPr>
          <w:rFonts w:ascii="Arial" w:hAnsi="Arial" w:cs="Arial"/>
          <w:color w:val="auto"/>
          <w:szCs w:val="21"/>
        </w:rPr>
        <w:t xml:space="preserve">  知道保险事故发生后，被保险人应该：</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（一）尽力采取必要、合理的措施，防止或减少损失，</w:t>
      </w:r>
      <w:r>
        <w:rPr>
          <w:rFonts w:ascii="Arial" w:hAnsi="Arial" w:cs="Arial"/>
          <w:b/>
          <w:color w:val="auto"/>
          <w:szCs w:val="21"/>
        </w:rPr>
        <w:t>否则，对因此扩大的损失，保险人不承担赔偿责任；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（二）及时通知保险人，并书面说明事故发生的原因、经过和损失情况；</w:t>
      </w:r>
      <w:r>
        <w:rPr>
          <w:rFonts w:ascii="Arial" w:hAnsi="Arial" w:cs="Arial"/>
          <w:b/>
          <w:color w:val="auto"/>
          <w:szCs w:val="21"/>
        </w:rPr>
        <w:t>故意或者因重大过失未及时通知，致使保险事故的性质、原因、损失程度等难以确定的，保险人对无法确定的部分，不承担赔偿责任，</w:t>
      </w:r>
      <w:r>
        <w:rPr>
          <w:rFonts w:ascii="Arial" w:hAnsi="Arial" w:cs="Arial"/>
          <w:color w:val="auto"/>
          <w:szCs w:val="21"/>
        </w:rPr>
        <w:t>但保险人通过其他途径已经及时知道或者应当及时知道保险事故发生的除外；</w:t>
      </w:r>
    </w:p>
    <w:p>
      <w:pPr>
        <w:adjustRightInd w:val="0"/>
        <w:snapToGrid w:val="0"/>
        <w:spacing w:after="156" w:afterLines="50"/>
        <w:ind w:firstLine="420" w:firstLineChars="200"/>
        <w:rPr>
          <w:rFonts w:ascii="Arial" w:hAnsi="Arial" w:cs="Arial"/>
          <w:b/>
          <w:color w:val="auto"/>
          <w:szCs w:val="21"/>
        </w:rPr>
      </w:pPr>
      <w:r>
        <w:rPr>
          <w:rFonts w:ascii="Arial" w:hAnsi="Arial" w:cs="Arial"/>
          <w:color w:val="auto"/>
          <w:szCs w:val="21"/>
        </w:rPr>
        <w:t>（三）保护事故现场，允许并且协助保险人进行事故调查；</w:t>
      </w:r>
      <w:r>
        <w:rPr>
          <w:rFonts w:ascii="Arial" w:hAnsi="Arial" w:cs="Arial"/>
          <w:b/>
          <w:color w:val="auto"/>
          <w:szCs w:val="21"/>
        </w:rPr>
        <w:t>对于拒绝或者妨碍保险人进行事故调查导致无法确定事故原因或核实损失情况的，保险人对无法确定或核实的部分，不承担赔偿责任；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（四）涉及违法、犯罪的，应立即向公安部门报案，</w:t>
      </w:r>
      <w:r>
        <w:rPr>
          <w:rFonts w:ascii="Arial" w:hAnsi="Arial" w:cs="Arial"/>
          <w:b/>
          <w:color w:val="auto"/>
          <w:szCs w:val="21"/>
        </w:rPr>
        <w:t>否则，对因此扩大的损失，保险人不承担赔偿责任。</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第二十一条</w:t>
      </w:r>
      <w:r>
        <w:rPr>
          <w:rFonts w:ascii="Arial" w:hAnsi="Arial" w:cs="Arial"/>
          <w:color w:val="auto"/>
          <w:szCs w:val="21"/>
        </w:rPr>
        <w:t xml:space="preserve">  被保险人收到受害人的损害赔偿请求时，应立即通知保险人。未经保险人书面同意，被保险人对受害人作出的任何承诺、拒绝、出价、约定、付款或赔偿，保险人不受其约束。</w:t>
      </w:r>
      <w:r>
        <w:rPr>
          <w:rFonts w:ascii="Arial" w:hAnsi="Arial" w:cs="Arial"/>
          <w:b/>
          <w:color w:val="auto"/>
          <w:szCs w:val="21"/>
        </w:rPr>
        <w:t>对于被保险人自行承诺或支付的赔偿金额，保险人有权重新核定，不属于本保险责任范围或超出应赔偿限额的，保险人不承担赔偿责任。</w:t>
      </w:r>
      <w:r>
        <w:rPr>
          <w:rFonts w:ascii="Arial" w:hAnsi="Arial" w:cs="Arial"/>
          <w:color w:val="auto"/>
          <w:szCs w:val="21"/>
        </w:rPr>
        <w:t>在处理索赔过程中，保险人有权自行处理由其承担最终赔偿责任的任何索赔案件，被保险人有义务向保险人提供其所能提供的资料和协助</w:t>
      </w:r>
      <w:r>
        <w:rPr>
          <w:rFonts w:ascii="Arial" w:hAnsi="Arial" w:cs="Arial"/>
          <w:b/>
          <w:color w:val="auto"/>
          <w:szCs w:val="21"/>
        </w:rPr>
        <w:t>。</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第二十二条</w:t>
      </w:r>
      <w:r>
        <w:rPr>
          <w:rFonts w:ascii="Arial" w:hAnsi="Arial" w:cs="Arial"/>
          <w:color w:val="auto"/>
          <w:szCs w:val="21"/>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对因未及时提供上述通知或必要协助导致扩大的损失，保险人不承担赔偿责任。</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第二十三条</w:t>
      </w:r>
      <w:r>
        <w:rPr>
          <w:rFonts w:ascii="Arial" w:hAnsi="Arial" w:cs="Arial"/>
          <w:color w:val="auto"/>
          <w:szCs w:val="21"/>
        </w:rPr>
        <w:t xml:space="preserve">  被保险人请求赔偿时，应向保险人提供下列证明和资料：</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（一）保险单正本；</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（二）被保险人或其代表填具的索赔申请书；</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（三）受害人向被保险人提出索赔的相关材料；</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四）造成受害人人身伤害的，应包括：受害人的病历、诊断证明、医疗费等医疗原始单据；受害人的人身伤害程度证明：受害人伤残的，应当提供具备相关法律法规要求的伤残鉴定资格的医疗机构出具的伤残程度证明；受害人死亡的，公安机关或医疗机构出具的死亡证明书；</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（五）造成受害人财产损失的，应包括：损失、费用清单；</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（六）被保险人与受害人所签订的赔偿协议书或和解书；经判决或仲裁的，应提供判决文书或仲裁裁决文书；</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（七）投保人、被保险人所能提供的与确认保险事故的性质、原因、损失程度等有关的其他证明和资料。</w:t>
      </w:r>
    </w:p>
    <w:p>
      <w:pPr>
        <w:adjustRightInd w:val="0"/>
        <w:snapToGrid w:val="0"/>
        <w:spacing w:after="156" w:afterLines="50"/>
        <w:ind w:firstLine="422" w:firstLineChars="200"/>
        <w:rPr>
          <w:rFonts w:ascii="Arial" w:hAnsi="Arial" w:cs="Arial"/>
          <w:b/>
          <w:color w:val="auto"/>
          <w:szCs w:val="21"/>
        </w:rPr>
      </w:pPr>
      <w:r>
        <w:rPr>
          <w:rFonts w:ascii="Arial" w:hAnsi="Arial" w:cs="Arial"/>
          <w:b/>
          <w:color w:val="auto"/>
          <w:szCs w:val="21"/>
        </w:rPr>
        <w:t>被保险人未履行前款约定的索赔材料提供义务，导致保险人无法核实损失情况的，保险人对无法核实部分不承担赔偿责任。</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赔偿处理</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第二十四条</w:t>
      </w:r>
      <w:r>
        <w:rPr>
          <w:rFonts w:ascii="Arial" w:hAnsi="Arial" w:cs="Arial"/>
          <w:color w:val="auto"/>
          <w:szCs w:val="21"/>
        </w:rPr>
        <w:t xml:space="preserve">  保险人的赔偿以下列方式之一确定的被保险人的赔偿责任为基础：</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（一）被保险人和向其提出损害赔偿请求的受害人协商并经保险人确认；</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（二）仲裁机构裁决；</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（三）人民法院判决；</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（四）保险人认可的其他方式。</w:t>
      </w:r>
    </w:p>
    <w:p>
      <w:pPr>
        <w:adjustRightInd w:val="0"/>
        <w:snapToGrid w:val="0"/>
        <w:spacing w:after="156" w:afterLines="50"/>
        <w:ind w:firstLine="422" w:firstLineChars="200"/>
        <w:rPr>
          <w:rFonts w:ascii="Arial" w:hAnsi="Arial" w:cs="Arial"/>
          <w:b/>
          <w:color w:val="auto"/>
          <w:szCs w:val="21"/>
        </w:rPr>
      </w:pPr>
      <w:r>
        <w:rPr>
          <w:rFonts w:ascii="Arial" w:hAnsi="Arial" w:cs="Arial"/>
          <w:b/>
          <w:bCs/>
          <w:color w:val="auto"/>
          <w:szCs w:val="21"/>
        </w:rPr>
        <w:t>第二十五条</w:t>
      </w:r>
      <w:r>
        <w:rPr>
          <w:rFonts w:ascii="Arial" w:hAnsi="Arial" w:cs="Arial"/>
          <w:color w:val="auto"/>
          <w:szCs w:val="21"/>
        </w:rPr>
        <w:t xml:space="preserve">  </w:t>
      </w:r>
      <w:r>
        <w:rPr>
          <w:rFonts w:ascii="Arial" w:hAnsi="Arial" w:cs="Arial"/>
          <w:b/>
          <w:color w:val="auto"/>
          <w:szCs w:val="21"/>
        </w:rPr>
        <w:t>被保险人给第三者造成损害，被保险人未向该第三者赔偿的，保险人不负责向被保险人赔偿保险金。</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 xml:space="preserve">第二十六条  </w:t>
      </w:r>
      <w:r>
        <w:rPr>
          <w:rFonts w:ascii="Arial" w:hAnsi="Arial" w:cs="Arial"/>
          <w:color w:val="auto"/>
          <w:szCs w:val="21"/>
        </w:rPr>
        <w:t>发生保险责任范围内的损失，保险人按以下方式计算赔偿：</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对于每次事故造成的损失，保险人在每次事故赔偿限额内计算赔偿，其中对每人的赔偿金额不得超过每次事故每人赔偿限额，对每次事故多人人身伤亡的赔偿金额不得超过每次事故人身伤亡赔偿限额，对每次事故多人财产损失的赔偿金额不得超过每次事故财产损失赔偿限额，对每次事故承担的法律费用的赔偿金额不超过每次事故赔偿限额的10%，但合同另有约定的除外。</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（二）在依据本条第（一）项计算的基础上，保险人在扣除每次事故免赔额后进行赔偿；</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（三）在保险期间内，保险人对多次事故承担的本条款第三、四、五条规定的赔偿金额之和累计不超过累计赔偿限额。</w:t>
      </w:r>
    </w:p>
    <w:p>
      <w:pPr>
        <w:tabs>
          <w:tab w:val="left" w:pos="1800"/>
        </w:tabs>
        <w:snapToGrid w:val="0"/>
        <w:spacing w:after="156" w:afterLines="50"/>
        <w:ind w:firstLine="422" w:firstLineChars="200"/>
        <w:rPr>
          <w:rFonts w:ascii="Arial" w:hAnsi="Arial" w:cs="Arial"/>
          <w:snapToGrid w:val="0"/>
          <w:color w:val="auto"/>
          <w:kern w:val="0"/>
          <w:szCs w:val="21"/>
        </w:rPr>
      </w:pPr>
      <w:r>
        <w:rPr>
          <w:rFonts w:ascii="Arial" w:hAnsi="Arial" w:cs="Arial"/>
          <w:b/>
          <w:bCs/>
          <w:snapToGrid w:val="0"/>
          <w:color w:val="auto"/>
          <w:kern w:val="0"/>
          <w:szCs w:val="21"/>
        </w:rPr>
        <w:t>第二十七条</w:t>
      </w:r>
      <w:r>
        <w:rPr>
          <w:rFonts w:ascii="Arial" w:hAnsi="Arial" w:cs="Arial"/>
          <w:snapToGrid w:val="0"/>
          <w:color w:val="auto"/>
          <w:kern w:val="0"/>
          <w:szCs w:val="21"/>
        </w:rPr>
        <w:t xml:space="preserve">  发生保险事故造成财产损失的，应当尽量修复。修理前被保险人须会同保险人检验，确定修理项目、方式和费用。否则，保险人有权重新核定或拒绝赔偿。</w:t>
      </w:r>
    </w:p>
    <w:p>
      <w:pPr>
        <w:tabs>
          <w:tab w:val="left" w:pos="1800"/>
        </w:tabs>
        <w:snapToGrid w:val="0"/>
        <w:spacing w:after="156" w:afterLines="50"/>
        <w:ind w:firstLine="422" w:firstLineChars="200"/>
        <w:rPr>
          <w:rFonts w:ascii="Arial" w:hAnsi="Arial" w:cs="Arial"/>
          <w:snapToGrid w:val="0"/>
          <w:color w:val="auto"/>
          <w:kern w:val="0"/>
          <w:szCs w:val="21"/>
        </w:rPr>
      </w:pPr>
      <w:r>
        <w:rPr>
          <w:rFonts w:ascii="Arial" w:hAnsi="Arial" w:cs="Arial"/>
          <w:b/>
          <w:bCs/>
          <w:snapToGrid w:val="0"/>
          <w:color w:val="auto"/>
          <w:kern w:val="0"/>
          <w:szCs w:val="21"/>
        </w:rPr>
        <w:t>第二十八条</w:t>
      </w:r>
      <w:r>
        <w:rPr>
          <w:rFonts w:ascii="Arial" w:hAnsi="Arial" w:cs="Arial"/>
          <w:snapToGrid w:val="0"/>
          <w:color w:val="auto"/>
          <w:kern w:val="0"/>
          <w:szCs w:val="21"/>
        </w:rPr>
        <w:t xml:space="preserve">  死亡赔偿金按照事故发生地城镇居民人均可支配收入或农村居民人均纯收入标准，按二十年计算。但六十岁以上的，年龄每增加一岁减少一年；七十五岁以上的，按五年计算。</w:t>
      </w:r>
    </w:p>
    <w:p>
      <w:pPr>
        <w:tabs>
          <w:tab w:val="left" w:pos="1800"/>
        </w:tabs>
        <w:snapToGrid w:val="0"/>
        <w:spacing w:after="156" w:afterLines="50"/>
        <w:ind w:firstLine="420" w:firstLineChars="200"/>
        <w:rPr>
          <w:rFonts w:ascii="Arial" w:hAnsi="Arial" w:cs="Arial"/>
          <w:snapToGrid w:val="0"/>
          <w:color w:val="auto"/>
          <w:kern w:val="0"/>
          <w:szCs w:val="21"/>
        </w:rPr>
      </w:pPr>
      <w:r>
        <w:rPr>
          <w:rFonts w:ascii="Arial" w:hAnsi="Arial" w:cs="Arial"/>
          <w:snapToGrid w:val="0"/>
          <w:color w:val="auto"/>
          <w:kern w:val="0"/>
          <w:szCs w:val="21"/>
        </w:rPr>
        <w:t>死亡赔偿金＝城镇居民人均可支配收入（或农村居民人均纯收入）×计算年限</w:t>
      </w:r>
    </w:p>
    <w:p>
      <w:pPr>
        <w:tabs>
          <w:tab w:val="left" w:pos="1800"/>
        </w:tabs>
        <w:snapToGrid w:val="0"/>
        <w:spacing w:after="156" w:afterLines="50"/>
        <w:ind w:firstLine="422" w:firstLineChars="200"/>
        <w:rPr>
          <w:rFonts w:ascii="Arial" w:hAnsi="Arial" w:cs="Arial"/>
          <w:snapToGrid w:val="0"/>
          <w:color w:val="auto"/>
          <w:kern w:val="0"/>
          <w:szCs w:val="21"/>
        </w:rPr>
      </w:pPr>
      <w:r>
        <w:rPr>
          <w:rFonts w:ascii="Arial" w:hAnsi="Arial" w:cs="Arial"/>
          <w:b/>
          <w:bCs/>
          <w:snapToGrid w:val="0"/>
          <w:color w:val="auto"/>
          <w:kern w:val="0"/>
          <w:szCs w:val="21"/>
        </w:rPr>
        <w:t>第二十九条</w:t>
      </w:r>
      <w:r>
        <w:rPr>
          <w:rFonts w:ascii="Arial" w:hAnsi="Arial" w:cs="Arial"/>
          <w:snapToGrid w:val="0"/>
          <w:color w:val="auto"/>
          <w:kern w:val="0"/>
          <w:szCs w:val="21"/>
        </w:rPr>
        <w:t xml:space="preserve">  残疾赔偿金根据受害人丧失劳动能力程度或伤残等级参照死亡赔偿金的标准计算。</w:t>
      </w:r>
    </w:p>
    <w:p>
      <w:pPr>
        <w:tabs>
          <w:tab w:val="left" w:pos="1800"/>
        </w:tabs>
        <w:snapToGrid w:val="0"/>
        <w:spacing w:after="156" w:afterLines="50"/>
        <w:ind w:firstLine="420" w:firstLineChars="200"/>
        <w:rPr>
          <w:rFonts w:ascii="Arial" w:hAnsi="Arial" w:cs="Arial"/>
          <w:snapToGrid w:val="0"/>
          <w:color w:val="auto"/>
          <w:kern w:val="0"/>
          <w:szCs w:val="21"/>
        </w:rPr>
      </w:pPr>
      <w:r>
        <w:rPr>
          <w:rFonts w:ascii="Arial" w:hAnsi="Arial" w:cs="Arial"/>
          <w:snapToGrid w:val="0"/>
          <w:color w:val="auto"/>
          <w:kern w:val="0"/>
          <w:szCs w:val="21"/>
        </w:rPr>
        <w:t>伤残赔偿金＝死亡赔偿金×伤残赔偿系数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3776"/>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b/>
                <w:bCs/>
                <w:snapToGrid w:val="0"/>
                <w:color w:val="auto"/>
                <w:kern w:val="0"/>
                <w:szCs w:val="21"/>
              </w:rPr>
            </w:pPr>
            <w:r>
              <w:rPr>
                <w:rFonts w:ascii="Arial" w:hAnsi="Arial" w:cs="Arial"/>
                <w:b/>
                <w:bCs/>
                <w:snapToGrid w:val="0"/>
                <w:color w:val="auto"/>
                <w:kern w:val="0"/>
                <w:szCs w:val="21"/>
              </w:rPr>
              <w:t>伤残等级</w:t>
            </w:r>
          </w:p>
        </w:tc>
        <w:tc>
          <w:tcPr>
            <w:tcW w:w="3776" w:type="dxa"/>
            <w:vAlign w:val="center"/>
          </w:tcPr>
          <w:p>
            <w:pPr>
              <w:snapToGrid w:val="0"/>
              <w:jc w:val="center"/>
              <w:rPr>
                <w:rFonts w:ascii="Arial" w:hAnsi="Arial" w:cs="Arial"/>
                <w:b/>
                <w:bCs/>
                <w:snapToGrid w:val="0"/>
                <w:color w:val="auto"/>
                <w:kern w:val="0"/>
                <w:szCs w:val="21"/>
              </w:rPr>
            </w:pPr>
            <w:r>
              <w:rPr>
                <w:rFonts w:ascii="Arial" w:hAnsi="Arial" w:cs="Arial"/>
                <w:b/>
                <w:bCs/>
                <w:snapToGrid w:val="0"/>
                <w:color w:val="auto"/>
                <w:kern w:val="0"/>
                <w:szCs w:val="21"/>
              </w:rPr>
              <w:t>丧失劳动能力程度</w:t>
            </w:r>
          </w:p>
        </w:tc>
        <w:tc>
          <w:tcPr>
            <w:tcW w:w="3070" w:type="dxa"/>
            <w:vAlign w:val="center"/>
          </w:tcPr>
          <w:p>
            <w:pPr>
              <w:snapToGrid w:val="0"/>
              <w:jc w:val="center"/>
              <w:rPr>
                <w:rFonts w:ascii="Arial" w:hAnsi="Arial" w:cs="Arial"/>
                <w:b/>
                <w:bCs/>
                <w:snapToGrid w:val="0"/>
                <w:color w:val="auto"/>
                <w:kern w:val="0"/>
                <w:szCs w:val="21"/>
              </w:rPr>
            </w:pPr>
            <w:r>
              <w:rPr>
                <w:rFonts w:ascii="Arial" w:hAnsi="Arial" w:cs="Arial"/>
                <w:b/>
                <w:bCs/>
                <w:snapToGrid w:val="0"/>
                <w:color w:val="auto"/>
                <w:kern w:val="0"/>
                <w:szCs w:val="21"/>
              </w:rPr>
              <w:t>伤残赔偿系数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1级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100%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2级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90%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3级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80%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4级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70%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5级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60%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6级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50%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7级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40%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8级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30%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9级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20%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25"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10级</w:t>
            </w:r>
          </w:p>
        </w:tc>
        <w:tc>
          <w:tcPr>
            <w:tcW w:w="3776"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10%</w:t>
            </w:r>
          </w:p>
        </w:tc>
        <w:tc>
          <w:tcPr>
            <w:tcW w:w="3070" w:type="dxa"/>
            <w:vAlign w:val="center"/>
          </w:tcPr>
          <w:p>
            <w:pPr>
              <w:snapToGrid w:val="0"/>
              <w:jc w:val="center"/>
              <w:rPr>
                <w:rFonts w:ascii="Arial" w:hAnsi="Arial" w:cs="Arial"/>
                <w:snapToGrid w:val="0"/>
                <w:color w:val="auto"/>
                <w:kern w:val="0"/>
                <w:szCs w:val="21"/>
              </w:rPr>
            </w:pPr>
            <w:r>
              <w:rPr>
                <w:rFonts w:ascii="Arial" w:hAnsi="Arial" w:cs="Arial"/>
                <w:snapToGrid w:val="0"/>
                <w:color w:val="auto"/>
                <w:kern w:val="0"/>
                <w:szCs w:val="21"/>
              </w:rPr>
              <w:t>0.1</w:t>
            </w:r>
          </w:p>
        </w:tc>
      </w:tr>
    </w:tbl>
    <w:p>
      <w:pPr>
        <w:tabs>
          <w:tab w:val="left" w:pos="1800"/>
        </w:tabs>
        <w:snapToGrid w:val="0"/>
        <w:spacing w:before="156" w:beforeLines="50" w:after="156" w:afterLines="50"/>
        <w:ind w:firstLine="422" w:firstLineChars="200"/>
        <w:rPr>
          <w:rFonts w:ascii="Arial" w:hAnsi="Arial" w:cs="Arial"/>
          <w:snapToGrid w:val="0"/>
          <w:color w:val="auto"/>
          <w:kern w:val="0"/>
          <w:szCs w:val="21"/>
        </w:rPr>
      </w:pPr>
      <w:r>
        <w:rPr>
          <w:rFonts w:ascii="Arial" w:hAnsi="Arial" w:cs="Arial"/>
          <w:b/>
          <w:bCs/>
          <w:snapToGrid w:val="0"/>
          <w:color w:val="auto"/>
          <w:kern w:val="0"/>
          <w:szCs w:val="21"/>
        </w:rPr>
        <w:t xml:space="preserve">第三十条  </w:t>
      </w:r>
      <w:r>
        <w:rPr>
          <w:rFonts w:ascii="Arial" w:hAnsi="Arial" w:cs="Arial"/>
          <w:snapToGrid w:val="0"/>
          <w:color w:val="auto"/>
          <w:kern w:val="0"/>
          <w:szCs w:val="21"/>
        </w:rPr>
        <w:t>保险人将结合病历、诊断证明等材料审核诊疗费、治疗费、化验费、药费、住院费等用以治疗人身伤害的费用，</w:t>
      </w:r>
      <w:r>
        <w:rPr>
          <w:rFonts w:ascii="Arial" w:hAnsi="Arial" w:cs="Arial"/>
          <w:b/>
          <w:snapToGrid w:val="0"/>
          <w:color w:val="auto"/>
          <w:kern w:val="0"/>
          <w:szCs w:val="21"/>
        </w:rPr>
        <w:t>对超出《国家基本医疗保险和工伤保险药品目录》的药品费用、超出事故发生地基本医疗保险诊疗项目范围和标准的任何费用，保险人不负责赔偿。</w:t>
      </w:r>
    </w:p>
    <w:p>
      <w:pPr>
        <w:snapToGrid w:val="0"/>
        <w:spacing w:after="156" w:afterLines="50"/>
        <w:ind w:firstLine="422" w:firstLineChars="200"/>
        <w:rPr>
          <w:rFonts w:ascii="Arial" w:hAnsi="Arial" w:cs="Arial"/>
          <w:snapToGrid w:val="0"/>
          <w:color w:val="auto"/>
          <w:kern w:val="0"/>
          <w:szCs w:val="21"/>
        </w:rPr>
      </w:pPr>
      <w:r>
        <w:rPr>
          <w:rFonts w:ascii="Arial" w:hAnsi="Arial" w:cs="Arial"/>
          <w:b/>
          <w:bCs/>
          <w:snapToGrid w:val="0"/>
          <w:color w:val="auto"/>
          <w:kern w:val="0"/>
          <w:szCs w:val="21"/>
        </w:rPr>
        <w:t xml:space="preserve">第三十一条  </w:t>
      </w:r>
      <w:r>
        <w:rPr>
          <w:rFonts w:ascii="Arial" w:hAnsi="Arial" w:cs="Arial"/>
          <w:snapToGrid w:val="0"/>
          <w:color w:val="auto"/>
          <w:kern w:val="0"/>
          <w:szCs w:val="21"/>
        </w:rPr>
        <w:t>误工费用的赔偿根据受害人误工时间和收入状况确定。</w:t>
      </w:r>
    </w:p>
    <w:p>
      <w:pPr>
        <w:snapToGrid w:val="0"/>
        <w:spacing w:after="156" w:afterLines="50"/>
        <w:ind w:firstLine="420" w:firstLineChars="200"/>
        <w:rPr>
          <w:rFonts w:ascii="Arial" w:hAnsi="Arial" w:cs="Arial"/>
          <w:snapToGrid w:val="0"/>
          <w:color w:val="auto"/>
          <w:kern w:val="0"/>
          <w:szCs w:val="21"/>
        </w:rPr>
      </w:pPr>
      <w:r>
        <w:rPr>
          <w:rFonts w:ascii="Arial" w:hAnsi="Arial" w:cs="Arial"/>
          <w:snapToGrid w:val="0"/>
          <w:color w:val="auto"/>
          <w:kern w:val="0"/>
          <w:szCs w:val="21"/>
        </w:rPr>
        <w:t>受害人有固定收入的，按照其实际减少的收入计算，</w:t>
      </w:r>
      <w:r>
        <w:rPr>
          <w:rFonts w:ascii="Arial" w:hAnsi="Arial" w:cs="Arial"/>
          <w:b/>
          <w:snapToGrid w:val="0"/>
          <w:color w:val="auto"/>
          <w:kern w:val="0"/>
          <w:szCs w:val="21"/>
        </w:rPr>
        <w:t>但对超过事故发生地上一年度职工平均工资三倍以上的部分，保险人不负责赔偿。</w:t>
      </w:r>
    </w:p>
    <w:p>
      <w:pPr>
        <w:snapToGrid w:val="0"/>
        <w:spacing w:after="156" w:afterLines="50"/>
        <w:ind w:firstLine="420" w:firstLineChars="200"/>
        <w:rPr>
          <w:rFonts w:ascii="Arial" w:hAnsi="Arial" w:cs="Arial"/>
          <w:snapToGrid w:val="0"/>
          <w:color w:val="auto"/>
          <w:kern w:val="0"/>
          <w:szCs w:val="21"/>
        </w:rPr>
      </w:pPr>
      <w:r>
        <w:rPr>
          <w:rFonts w:ascii="Arial" w:hAnsi="Arial" w:cs="Arial"/>
          <w:snapToGrid w:val="0"/>
          <w:color w:val="auto"/>
          <w:kern w:val="0"/>
          <w:szCs w:val="21"/>
        </w:rPr>
        <w:t>受害人无固定收入的，误工费用的赔付标准以不超过事故发生地上一年度职工平均工资为限。</w:t>
      </w:r>
    </w:p>
    <w:p>
      <w:pPr>
        <w:snapToGrid w:val="0"/>
        <w:spacing w:after="156" w:afterLines="50"/>
        <w:ind w:firstLine="422" w:firstLineChars="200"/>
        <w:rPr>
          <w:rFonts w:ascii="Arial" w:hAnsi="Arial" w:cs="Arial"/>
          <w:snapToGrid w:val="0"/>
          <w:color w:val="auto"/>
          <w:kern w:val="0"/>
          <w:szCs w:val="21"/>
        </w:rPr>
      </w:pPr>
      <w:r>
        <w:rPr>
          <w:rFonts w:ascii="Arial" w:hAnsi="Arial" w:cs="Arial"/>
          <w:b/>
          <w:bCs/>
          <w:snapToGrid w:val="0"/>
          <w:color w:val="auto"/>
          <w:kern w:val="0"/>
          <w:szCs w:val="21"/>
        </w:rPr>
        <w:t xml:space="preserve">第三十二条  </w:t>
      </w:r>
      <w:r>
        <w:rPr>
          <w:rFonts w:ascii="Arial" w:hAnsi="Arial" w:cs="Arial"/>
          <w:snapToGrid w:val="0"/>
          <w:color w:val="auto"/>
          <w:kern w:val="0"/>
          <w:szCs w:val="21"/>
        </w:rPr>
        <w:t>护理费用的赔付标准不超过事故发生地上一年度职工平均工资的50%。</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第三十三条</w:t>
      </w:r>
      <w:r>
        <w:rPr>
          <w:rFonts w:ascii="Arial" w:hAnsi="Arial" w:cs="Arial"/>
          <w:color w:val="auto"/>
          <w:szCs w:val="21"/>
        </w:rPr>
        <w:t xml:space="preserve">  发生保险事故时，如果被保险人的损失在有相同保障的其他保险项下也能够获得赔偿，则本保险人按照本保险合同的赔偿限额与其他保险合同及本保险合同的赔偿限额总和的比例承担赔偿责任。</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其他保险人应承担的赔偿金额，本保险人不负责垫付。</w:t>
      </w:r>
      <w:r>
        <w:rPr>
          <w:rFonts w:ascii="Arial" w:hAnsi="Arial" w:cs="Arial"/>
          <w:color w:val="auto"/>
          <w:szCs w:val="21"/>
        </w:rPr>
        <w:t>若被保险人未如实告知导致保险人多支付赔偿金的，保险人有权向被保险人追回多支付的部分。</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 xml:space="preserve">第三十四条  </w:t>
      </w:r>
      <w:r>
        <w:rPr>
          <w:rFonts w:ascii="Arial" w:hAnsi="Arial" w:cs="Arial"/>
          <w:color w:val="auto"/>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被保险人已经从有关责任方取得赔偿的，保险人赔偿保险金时，可以相应扣减被保险人已从有关责任方取得的赔偿金额。</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保险事故发生后，在保险人未赔偿保险金之前，被保险人放弃对有关责任方请求赔偿权利的，保险人不承担赔偿责任；</w:t>
      </w:r>
      <w:r>
        <w:rPr>
          <w:rFonts w:ascii="Arial" w:hAnsi="Arial" w:cs="Arial"/>
          <w:color w:val="auto"/>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adjustRightInd w:val="0"/>
        <w:snapToGrid w:val="0"/>
        <w:spacing w:after="156" w:afterLines="50"/>
        <w:ind w:firstLine="422" w:firstLineChars="200"/>
        <w:rPr>
          <w:rFonts w:ascii="Arial" w:hAnsi="Arial" w:cs="Arial"/>
          <w:snapToGrid w:val="0"/>
          <w:color w:val="auto"/>
          <w:kern w:val="0"/>
          <w:szCs w:val="21"/>
        </w:rPr>
      </w:pPr>
      <w:r>
        <w:rPr>
          <w:rFonts w:ascii="Arial" w:hAnsi="Arial" w:cs="Arial"/>
          <w:b/>
          <w:snapToGrid w:val="0"/>
          <w:color w:val="auto"/>
          <w:kern w:val="0"/>
          <w:szCs w:val="21"/>
        </w:rPr>
        <w:t>第三十五条</w:t>
      </w:r>
      <w:r>
        <w:rPr>
          <w:rFonts w:ascii="Arial" w:hAnsi="Arial" w:cs="Arial"/>
          <w:snapToGrid w:val="0"/>
          <w:color w:val="auto"/>
          <w:kern w:val="0"/>
          <w:szCs w:val="21"/>
        </w:rPr>
        <w:t xml:space="preserve">  保险人受理报案、进行现场查勘、核损定价、参与案件诉讼、向被保险人提供建议等行为，均不构成保险人对赔偿责任的承诺。</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第三十六条</w:t>
      </w:r>
      <w:r>
        <w:rPr>
          <w:rFonts w:ascii="Arial" w:hAnsi="Arial" w:cs="Arial"/>
          <w:color w:val="auto"/>
          <w:szCs w:val="21"/>
        </w:rPr>
        <w:t xml:space="preserve">  被保险人向保险人请求赔偿保险金的诉讼时效期间为二年，自其知道或者应当知道保险事故发生之日起计算。</w:t>
      </w:r>
    </w:p>
    <w:p>
      <w:pPr>
        <w:adjustRightInd w:val="0"/>
        <w:snapToGrid w:val="0"/>
        <w:spacing w:after="156" w:afterLines="50"/>
        <w:jc w:val="center"/>
        <w:rPr>
          <w:rFonts w:ascii="Arial" w:hAnsi="Arial" w:cs="Arial"/>
          <w:b/>
          <w:bCs/>
          <w:color w:val="auto"/>
          <w:szCs w:val="21"/>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争议处理和法律适用</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第三十七条</w:t>
      </w:r>
      <w:r>
        <w:rPr>
          <w:rFonts w:ascii="Arial" w:hAnsi="Arial" w:cs="Arial"/>
          <w:color w:val="auto"/>
          <w:szCs w:val="21"/>
        </w:rPr>
        <w:t xml:space="preserve">  因履行本保险合同发生的争议，由当事人协商解决。协商不成的，提交保险单载明的仲裁机构仲裁；保险单未载明仲裁机构且争议发生后未达成仲裁协议的，依法向中华人民共和国人民法院起诉。</w:t>
      </w:r>
    </w:p>
    <w:p>
      <w:pPr>
        <w:adjustRightInd w:val="0"/>
        <w:snapToGrid w:val="0"/>
        <w:spacing w:after="156" w:afterLines="50"/>
        <w:ind w:firstLine="422" w:firstLineChars="200"/>
        <w:rPr>
          <w:rFonts w:ascii="Arial" w:hAnsi="Arial" w:cs="Arial"/>
          <w:color w:val="auto"/>
          <w:szCs w:val="21"/>
        </w:rPr>
      </w:pPr>
      <w:r>
        <w:rPr>
          <w:rFonts w:ascii="Arial" w:hAnsi="Arial" w:cs="Arial"/>
          <w:b/>
          <w:bCs/>
          <w:color w:val="auto"/>
          <w:szCs w:val="21"/>
        </w:rPr>
        <w:t xml:space="preserve">第三十八条 </w:t>
      </w:r>
      <w:r>
        <w:rPr>
          <w:rFonts w:ascii="Arial" w:hAnsi="Arial" w:cs="Arial"/>
          <w:color w:val="auto"/>
          <w:szCs w:val="21"/>
        </w:rPr>
        <w:t xml:space="preserve"> 本保险合同的争议处理适用中华人民共和国法律（不包括港澳台地区法律）。</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jc w:val="center"/>
        <w:rPr>
          <w:rFonts w:ascii="Arial" w:hAnsi="Arial" w:cs="Arial"/>
          <w:b/>
          <w:bCs/>
          <w:color w:val="auto"/>
          <w:szCs w:val="21"/>
        </w:rPr>
      </w:pPr>
      <w:r>
        <w:rPr>
          <w:rFonts w:ascii="Arial" w:hAnsi="Arial" w:cs="Arial"/>
          <w:b/>
          <w:bCs/>
          <w:color w:val="auto"/>
          <w:szCs w:val="21"/>
        </w:rPr>
        <w:t>其他事项</w:t>
      </w:r>
    </w:p>
    <w:p>
      <w:pPr>
        <w:ind w:firstLine="422" w:firstLineChars="200"/>
        <w:rPr>
          <w:rFonts w:ascii="Arial" w:hAnsi="Arial" w:cs="Arial"/>
          <w:color w:val="auto"/>
          <w:szCs w:val="21"/>
        </w:rPr>
      </w:pPr>
      <w:r>
        <w:rPr>
          <w:rFonts w:ascii="Arial" w:hAnsi="Arial" w:cs="Arial"/>
          <w:b/>
          <w:color w:val="auto"/>
          <w:szCs w:val="21"/>
        </w:rPr>
        <w:t>第三十九条</w:t>
      </w:r>
      <w:r>
        <w:rPr>
          <w:rFonts w:ascii="Arial" w:hAnsi="Arial" w:cs="Arial"/>
          <w:color w:val="auto"/>
          <w:szCs w:val="21"/>
        </w:rPr>
        <w:t xml:space="preserve">  投保人和保险人可以协商变更合同内容。</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变更保险合同的，应当由保险人在保险单或者其他保险凭证上批注或附贴批单，或者投保人和保险人订立变更的书面协议。</w:t>
      </w:r>
    </w:p>
    <w:p>
      <w:pPr>
        <w:adjustRightInd w:val="0"/>
        <w:snapToGrid w:val="0"/>
        <w:spacing w:after="156" w:afterLines="50"/>
        <w:ind w:firstLine="422" w:firstLineChars="200"/>
        <w:rPr>
          <w:rFonts w:ascii="Arial" w:hAnsi="Arial" w:cs="Arial"/>
          <w:color w:val="auto"/>
          <w:szCs w:val="21"/>
        </w:rPr>
      </w:pPr>
      <w:r>
        <w:rPr>
          <w:rFonts w:ascii="Arial" w:hAnsi="Arial" w:cs="Arial"/>
          <w:b/>
          <w:color w:val="auto"/>
          <w:szCs w:val="21"/>
        </w:rPr>
        <w:t>第四十条</w:t>
      </w:r>
      <w:r>
        <w:rPr>
          <w:rFonts w:ascii="Arial" w:hAnsi="Arial" w:cs="Arial"/>
          <w:color w:val="auto"/>
          <w:szCs w:val="21"/>
        </w:rPr>
        <w:t xml:space="preserve">  投保人可随时书面申请解除本保险合同，本保险合同自保险人收到投保人的书面申请之日的二十四时起终止。保险责任开始前，投保人要求解除合同的，保险人扣除3%手续费后，剩余部分的保险费退还投保人；保险责任开始后，投保人要求解除合同的，对保险责任开始之日起至合同解除之日止期间的保险费，按短期费率计收，剩余部分退还投保人。</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保险人亦可解除本保险合同。保险责任开始前，保险人要求解除合同的，</w:t>
      </w:r>
      <w:r>
        <w:rPr>
          <w:rFonts w:ascii="Arial" w:hAnsi="Arial" w:cs="Arial"/>
          <w:color w:val="auto"/>
        </w:rPr>
        <w:t>不得向投保人收取手续费并应退还已收取的保险费；保险责任开始后，保险人可</w:t>
      </w:r>
      <w:r>
        <w:rPr>
          <w:rFonts w:ascii="Arial" w:hAnsi="Arial" w:cs="Arial"/>
          <w:color w:val="auto"/>
          <w:szCs w:val="21"/>
        </w:rPr>
        <w:t>提前十五天通知投保人解除合同，对保险责任开始之日起至合同解除之日止期间的保险费，按日比例计收，剩余部分退还投保人。</w:t>
      </w:r>
    </w:p>
    <w:p>
      <w:pPr>
        <w:adjustRightInd w:val="0"/>
        <w:snapToGrid w:val="0"/>
        <w:spacing w:after="156" w:afterLines="50"/>
        <w:ind w:firstLine="422" w:firstLineChars="200"/>
        <w:rPr>
          <w:rFonts w:ascii="Arial" w:hAnsi="Arial" w:cs="Arial"/>
          <w:color w:val="auto"/>
        </w:rPr>
      </w:pPr>
      <w:r>
        <w:rPr>
          <w:rFonts w:ascii="Arial" w:hAnsi="Arial" w:cs="Arial"/>
          <w:b/>
          <w:color w:val="auto"/>
          <w:szCs w:val="21"/>
        </w:rPr>
        <w:t>第四十一条</w:t>
      </w:r>
      <w:r>
        <w:rPr>
          <w:rFonts w:ascii="Arial" w:hAnsi="Arial" w:cs="Arial"/>
          <w:color w:val="auto"/>
          <w:szCs w:val="21"/>
        </w:rPr>
        <w:t xml:space="preserve">  </w:t>
      </w:r>
      <w:r>
        <w:rPr>
          <w:rFonts w:ascii="Arial" w:hAnsi="Arial" w:cs="Arial"/>
          <w:color w:val="auto"/>
        </w:rPr>
        <w:t>发生保险事故且保险人已承担赔偿责任的，自保险人赔偿之日起三十日内，投保人可以解除合同；除合同另有约定外，保险人也可以解除合同，但应当提前十五日通知投保人。</w:t>
      </w:r>
    </w:p>
    <w:p>
      <w:pPr>
        <w:adjustRightInd w:val="0"/>
        <w:snapToGrid w:val="0"/>
        <w:spacing w:after="156" w:afterLines="50"/>
        <w:ind w:firstLine="420" w:firstLineChars="200"/>
        <w:rPr>
          <w:rFonts w:ascii="Arial" w:hAnsi="Arial" w:cs="Arial"/>
          <w:color w:val="auto"/>
        </w:rPr>
      </w:pPr>
      <w:r>
        <w:rPr>
          <w:rFonts w:ascii="Arial" w:hAnsi="Arial" w:cs="Arial"/>
          <w:color w:val="auto"/>
        </w:rPr>
        <w:t>保险合同依据前款规定解除的，保险人应当将累计赔偿限额扣除累计已赔偿金额后剩余部分的保险费，按照合同约定扣除自保险责任开始之日起至合同解除之日止应收的部分后，退还投保人。</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jc w:val="center"/>
        <w:rPr>
          <w:rFonts w:ascii="Arial" w:hAnsi="Arial" w:cs="Arial"/>
          <w:b/>
          <w:color w:val="auto"/>
          <w:szCs w:val="21"/>
        </w:rPr>
      </w:pPr>
      <w:r>
        <w:rPr>
          <w:rFonts w:ascii="Arial" w:hAnsi="Arial" w:cs="Arial"/>
          <w:b/>
          <w:color w:val="auto"/>
          <w:szCs w:val="21"/>
        </w:rPr>
        <w:t>释义</w:t>
      </w:r>
    </w:p>
    <w:p>
      <w:pPr>
        <w:snapToGrid w:val="0"/>
        <w:spacing w:after="156" w:afterLines="50"/>
        <w:ind w:firstLine="420" w:firstLineChars="200"/>
        <w:rPr>
          <w:rFonts w:ascii="Arial" w:hAnsi="Arial" w:eastAsia="楷体_GB2312" w:cs="Arial"/>
          <w:b/>
          <w:caps/>
          <w:color w:val="auto"/>
          <w:sz w:val="24"/>
        </w:rPr>
      </w:pPr>
      <w:r>
        <w:rPr>
          <w:rFonts w:ascii="Arial" w:hAnsi="Arial" w:cs="Arial"/>
          <w:snapToGrid w:val="0"/>
          <w:color w:val="auto"/>
          <w:kern w:val="0"/>
          <w:szCs w:val="21"/>
        </w:rPr>
        <w:t>【传染病】是指《传染病防治法》所规定的各种传染病。</w:t>
      </w:r>
    </w:p>
    <w:p>
      <w:pPr>
        <w:rPr>
          <w:rFonts w:ascii="Arial" w:hAnsi="Arial" w:eastAsia="楷体_GB2312" w:cs="Arial"/>
          <w:b/>
          <w:caps/>
          <w:color w:val="auto"/>
          <w:sz w:val="24"/>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 w:val="30"/>
          <w:szCs w:val="28"/>
          <w:u w:color="000000"/>
        </w:rPr>
      </w:pPr>
      <w:r>
        <w:rPr>
          <w:rFonts w:ascii="Arial" w:hAnsi="Arial" w:eastAsia="黑体" w:cs="Arial"/>
          <w:bCs/>
          <w:color w:val="auto"/>
          <w:kern w:val="0"/>
          <w:sz w:val="30"/>
          <w:szCs w:val="28"/>
          <w:u w:color="000000"/>
        </w:rPr>
        <w:t>扩展条款</w:t>
      </w:r>
    </w:p>
    <w:p>
      <w:pPr>
        <w:rPr>
          <w:rFonts w:ascii="Times New Roman" w:hAnsi="Times New Roman"/>
          <w:color w:val="auto"/>
          <w:lang w:val="zh-CN"/>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1．交叉责任条款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兹经双方同意，鉴于被保险人己缴付附加保险费，本保险保障适用于保险单中列明的每一个被保险人，如同本公司对每一个被保险人签发独立的保险单。</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本公司对所有被保险人由一次事故或同一事件引起的数次事故承担的全部赔偿金额不超过本保险单列明的每次事故赔偿限额。</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bookmarkStart w:id="114" w:name="_Toc345351944"/>
      <w:bookmarkStart w:id="115" w:name="_Toc345347354"/>
      <w:r>
        <w:rPr>
          <w:rFonts w:ascii="Arial" w:hAnsi="Arial" w:eastAsia="黑体" w:cs="Arial"/>
          <w:bCs/>
          <w:color w:val="auto"/>
          <w:kern w:val="0"/>
          <w:szCs w:val="21"/>
          <w:u w:color="000000"/>
        </w:rPr>
        <w:t>2. 90天通知解除保单条款</w:t>
      </w:r>
      <w:bookmarkEnd w:id="114"/>
      <w:bookmarkEnd w:id="115"/>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投保人可随时申请解除本保险单，保险人则需提前</w:t>
      </w:r>
      <w:r>
        <w:rPr>
          <w:rFonts w:ascii="Arial" w:hAnsi="Arial" w:cs="Arial"/>
          <w:color w:val="auto"/>
          <w:szCs w:val="21"/>
          <w:u w:val="single"/>
        </w:rPr>
        <w:t>九十</w:t>
      </w:r>
      <w:r>
        <w:rPr>
          <w:rFonts w:ascii="Arial" w:hAnsi="Arial" w:cs="Arial"/>
          <w:color w:val="auto"/>
          <w:szCs w:val="21"/>
        </w:rPr>
        <w:t>天通知解除本保险单。对于保险单已生效期间的保费，两种情况下均按日比例计收。</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3．火灾、爆炸及水损责任条款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鉴于被保险人已支付了附加保险费，本保险扩展承保本保险单明细表列明地点范围内因火灾、爆炸以及由此引起的烟熏或者因水损造成第三者人身伤亡或财产损失时被保险人依法应负的赔偿责任，但不得超过本保险期间内保险单明细表中列明的责任限额。</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keepLines/>
        <w:widowControl/>
        <w:tabs>
          <w:tab w:val="left" w:pos="2340"/>
        </w:tabs>
        <w:snapToGrid w:val="0"/>
        <w:spacing w:after="156" w:afterLines="50"/>
        <w:ind w:left="1008" w:firstLine="420" w:firstLineChars="200"/>
        <w:textAlignment w:val="baseline"/>
        <w:outlineLvl w:val="4"/>
        <w:rPr>
          <w:rFonts w:ascii="Arial" w:hAnsi="Arial" w:eastAsia="黑体" w:cs="Arial"/>
          <w:bCs/>
          <w:color w:val="auto"/>
          <w:kern w:val="0"/>
          <w:szCs w:val="21"/>
          <w:u w:color="000000"/>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4．监管之财产条款（赔偿限额：每次事故RMB1,000,000）</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兹经合同双方同意，本保险扩展承保被保险人监管或控制下的财产发生意外损坏时，被</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保险人应负的法律赔偿责任。</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但保险人承担赔偿责任的前提条件是：</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（一） 被保险人不能在任何其他保险单项下获得赔偿；</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（二） 被保险人应遵守及履行所适用的保险单条款、限制和条件；</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本保单所载其他条件不变。</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本附加险条款与主险条款内容相悖之处，以本附加险条款为准；未尽之处，以主险条款</w:t>
      </w:r>
    </w:p>
    <w:p>
      <w:pPr>
        <w:autoSpaceDE w:val="0"/>
        <w:autoSpaceDN w:val="0"/>
        <w:adjustRightInd w:val="0"/>
        <w:jc w:val="left"/>
        <w:rPr>
          <w:rFonts w:ascii="Arial" w:hAnsi="Arial" w:cs="Arial"/>
          <w:color w:val="auto"/>
          <w:kern w:val="0"/>
          <w:sz w:val="20"/>
        </w:rPr>
      </w:pPr>
      <w:r>
        <w:rPr>
          <w:rFonts w:ascii="Arial" w:hAnsi="Arial" w:cs="Arial"/>
          <w:color w:val="auto"/>
          <w:kern w:val="0"/>
          <w:szCs w:val="21"/>
        </w:rPr>
        <w:t>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bookmarkStart w:id="116" w:name="_Toc461274913"/>
      <w:bookmarkStart w:id="117" w:name="_Toc470682666"/>
      <w:bookmarkStart w:id="118" w:name="_Toc442695435"/>
      <w:r>
        <w:rPr>
          <w:rFonts w:ascii="Arial" w:hAnsi="Arial" w:eastAsia="黑体" w:cs="Arial"/>
          <w:bCs/>
          <w:color w:val="auto"/>
          <w:kern w:val="0"/>
          <w:szCs w:val="21"/>
          <w:u w:color="000000"/>
        </w:rPr>
        <w:t>5．广告招牌及装饰物责任条款</w:t>
      </w:r>
      <w:bookmarkEnd w:id="116"/>
      <w:bookmarkEnd w:id="117"/>
      <w:bookmarkEnd w:id="118"/>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本保险扩展承保完全由于拥有、维护或使用位于______境内任何地方，处在或不处在被保险人场所内的霓虹或广告招牌及装饰物造成人身伤害或财产损失时，列名被保险人依法应负的赔偿责任，但以下列规定为条件：</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（一）如果任何霓虹或广告招牌及装饰物正处在列名被保险人或代表其进行的安装、维修或修理过程中，则本附加保险不适用。</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列名被保险人应保证遵守所有的法令、法规、条例及规章，并保证在任何时候霓虹或广告招牌及装饰物均处于良好的维修状态，任何缺陷一经发现，列名被保险人应立即予以修复，同时视情况需要采取额外防护措施以预防事故发生，且除非经保险人事先同意，否则霓虹或广告招牌及装饰物的位置变更后，本附加保障失效。</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（三）在合理和可行的情况下，非经保险人事先同意，意外事故发生后，在给予保险人进行检查的机会之前，被保险人或任何其他人不得对上述霓虹或广告招牌及装饰物进行变更或修理。</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bookmarkStart w:id="119" w:name="_Toc461274947"/>
      <w:bookmarkStart w:id="120" w:name="_Toc470682692"/>
      <w:r>
        <w:rPr>
          <w:rFonts w:ascii="Arial" w:hAnsi="Arial" w:eastAsia="黑体" w:cs="Arial"/>
          <w:bCs/>
          <w:color w:val="auto"/>
          <w:kern w:val="0"/>
          <w:szCs w:val="21"/>
          <w:u w:color="000000"/>
        </w:rPr>
        <w:t>6．食品、饮料责任条款</w:t>
      </w:r>
      <w:bookmarkEnd w:id="119"/>
      <w:bookmarkEnd w:id="120"/>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鉴于被保险人已支付了附加保险费，本保险扩展承保被保险人在本保险单明细表中列明地点范围内因其提供的食品、饮料或掺有异物的食品、饮料造成第三者人身伤亡或财产损失时依法应负的赔偿责任。被保险人应克尽职责防止出售或提供任何不洁的或不符合消费标准的食品或饮料。</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bookmarkStart w:id="121" w:name="_Toc431287391"/>
      <w:bookmarkStart w:id="122" w:name="_Toc470682690"/>
      <w:bookmarkStart w:id="123" w:name="_Toc461274945"/>
      <w:r>
        <w:rPr>
          <w:rFonts w:ascii="Arial" w:hAnsi="Arial" w:eastAsia="黑体" w:cs="Arial"/>
          <w:bCs/>
          <w:color w:val="auto"/>
          <w:kern w:val="0"/>
          <w:szCs w:val="21"/>
          <w:u w:color="000000"/>
        </w:rPr>
        <w:t>7．急救费用条款</w:t>
      </w:r>
      <w:bookmarkEnd w:id="121"/>
      <w:bookmarkEnd w:id="122"/>
      <w:bookmarkEnd w:id="123"/>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兹经合同双方同意，鉴于被保险人已缴付了附加保险费，本保险扩展承保被保险人因本保险单明细表中列明的营业场所内发生意外事故造成第三者人身伤害时应支付的合理急救费用。</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本保险单所载其他条件不变。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8．承租人责任条款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本条款扩展承保被保险人因营业活动租用的场所（及固定设备、室内装备等）发生损失所引起的被保险人依法应当承担的赔偿责任，但本扩展条款不适用于被保险人无法提供租用协议的情况。</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9．社交或体育活动责任条款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本保险扩展承保被保险人、其社交或体育俱乐部、或该俱乐部的任何个人会员在代表俱乐部举办活动时（不管是否委员会成员），因发生与该俱乐部业务相关的意外事故导致第三者人身伤害或财产损失时，被保险人依法应负的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但是，保险人承担赔偿责任的前提条件是：</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（一）该俱乐部无法在其他保险单项下得到赔偿，否则本保险单只负责超出其他保险单赔偿金额的那一部分；</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 该俱乐部和其会员应同被保险人一样遵守及履行所适用的保险单条款、除外责任及条件。</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10．车辆装卸责任条款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兹经合同双方同意，鉴于被保险人已交付了附加保险费，本保险扩展承保被保险人因其拥有的车辆在营业场所内进行与经营有关的装卸过程中发生意外事故造成第三者人身伤亡或财产损失时依法应负的赔偿责任。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11．董事及非体力劳动雇员临时海外公干责任条款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兹经合同双方同意，本保险扩展负责被保险人常住中国的董事及非体力劳动雇员因公出国（中国以外但不包括美国及其领地及加拿大），引起第三者人身伤亡或财产损失，被保险人应负的法律赔偿责任。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但是，有关在任何国家（中国以外）提出的对被保险人的索赔，如果在该国有代表被保险人的分支机构或居住于该国的雇员，或有公司、商号或个人持有被保险人的代理权，则本扩展条款不适用。</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本保险单所载其他条件均不变。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12．租用的员工住所条款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兹经双方协商约定，本保险扩展承保被保险人租用的员工宿舍所引起的对第三者人身伤亡或财产损失的赔偿责任。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本保险单所载其他条件不变。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bookmarkStart w:id="124" w:name="_Toc442695439"/>
      <w:bookmarkStart w:id="125" w:name="_Toc461274919"/>
      <w:bookmarkStart w:id="126" w:name="_Toc470682672"/>
      <w:r>
        <w:rPr>
          <w:rFonts w:ascii="Arial" w:hAnsi="Arial" w:eastAsia="黑体" w:cs="Arial"/>
          <w:bCs/>
          <w:color w:val="auto"/>
          <w:kern w:val="0"/>
          <w:szCs w:val="21"/>
          <w:u w:color="000000"/>
        </w:rPr>
        <w:t>13．停车场责任条款</w:t>
      </w:r>
      <w:bookmarkEnd w:id="124"/>
      <w:bookmarkEnd w:id="125"/>
      <w:bookmarkEnd w:id="126"/>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本保险扩展承保因发生意外事故导致处于被保险人控制下的或停放于被保险人场所内或其毗邻场地的机动车辆（被保险人及其雇员自有或管控下的车辆除外）遭受损失时，被保险人应负的法律赔偿责任。但保险人在此扩展条款项下的最高赔偿责任不得超过每辆车</w:t>
      </w:r>
      <w:r>
        <w:rPr>
          <w:rFonts w:ascii="Arial" w:hAnsi="Arial" w:cs="Arial"/>
          <w:color w:val="auto"/>
          <w:szCs w:val="21"/>
          <w:u w:val="single"/>
        </w:rPr>
        <w:t>RMB50万_</w:t>
      </w:r>
      <w:r>
        <w:rPr>
          <w:rFonts w:ascii="Arial" w:hAnsi="Arial" w:cs="Arial"/>
          <w:color w:val="auto"/>
          <w:szCs w:val="21"/>
        </w:rPr>
        <w:t>，每次事故</w:t>
      </w:r>
      <w:r>
        <w:rPr>
          <w:rFonts w:ascii="Arial" w:hAnsi="Arial" w:cs="Arial"/>
          <w:color w:val="auto"/>
          <w:szCs w:val="21"/>
          <w:u w:val="single"/>
        </w:rPr>
        <w:t>_RMB200万_</w:t>
      </w:r>
      <w:r>
        <w:rPr>
          <w:rFonts w:ascii="Arial" w:hAnsi="Arial" w:cs="Arial"/>
          <w:color w:val="auto"/>
          <w:szCs w:val="21"/>
        </w:rPr>
        <w:t>_，及累计_</w:t>
      </w:r>
      <w:r>
        <w:rPr>
          <w:rFonts w:ascii="Arial" w:hAnsi="Arial" w:cs="Arial"/>
          <w:color w:val="auto"/>
          <w:szCs w:val="21"/>
          <w:u w:val="single"/>
        </w:rPr>
        <w:t>_RMB500万</w:t>
      </w:r>
      <w:r>
        <w:rPr>
          <w:rFonts w:ascii="Arial" w:hAnsi="Arial" w:cs="Arial"/>
          <w:color w:val="auto"/>
          <w:szCs w:val="21"/>
        </w:rPr>
        <w:t>____。且此限额是包含在明细表规定的累计赔偿限额之内，而并非是在其基础上的附加。</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被保险人遵守以下要求是保险人承担责任的先决条件：</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（一） 在机动车辆停放于被保险人场所内或处于其控制之下时，克尽职责防止损失发生；</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（二） 在停车场内应一直张贴保险人认可的免责通知。</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14．独立承包人责任条款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兹经合同双方同意，本保险扩展承保因被保险人拥有、占用或管理的场所进行改建或扩建，引致第三者人身伤亡或财产损失时，被保险人应负的法律赔偿责任，但上述工程的合同价值总计不得超过_</w:t>
      </w:r>
      <w:r>
        <w:rPr>
          <w:rFonts w:ascii="Arial" w:hAnsi="Arial" w:cs="Arial"/>
          <w:color w:val="auto"/>
          <w:szCs w:val="21"/>
          <w:u w:val="single"/>
        </w:rPr>
        <w:t>RMB1000万___</w:t>
      </w:r>
      <w:r>
        <w:rPr>
          <w:rFonts w:ascii="Arial" w:hAnsi="Arial" w:cs="Arial"/>
          <w:color w:val="auto"/>
          <w:szCs w:val="21"/>
        </w:rPr>
        <w:t>。</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双方进一步同意，如果任何索赔可以在被保险人或其承包商持有的有效的第三者责任保险或建筑工程一切险的第三者责任部分项下得到赔偿，则保险人不予负责。</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adjustRightInd w:val="0"/>
        <w:snapToGrid w:val="0"/>
        <w:spacing w:after="156" w:afterLines="50"/>
        <w:rPr>
          <w:rFonts w:ascii="Arial" w:hAnsi="Arial" w:cs="Arial"/>
          <w:color w:val="auto"/>
          <w:szCs w:val="21"/>
        </w:rPr>
      </w:pPr>
      <w:r>
        <w:rPr>
          <w:rFonts w:ascii="Arial" w:hAnsi="Arial" w:cs="Arial"/>
          <w:b/>
          <w:color w:val="auto"/>
          <w:szCs w:val="21"/>
        </w:rPr>
        <w:t>15.</w:t>
      </w:r>
      <w:r>
        <w:rPr>
          <w:rFonts w:ascii="Arial" w:hAnsi="Arial" w:cs="Arial"/>
          <w:color w:val="auto"/>
          <w:szCs w:val="21"/>
        </w:rPr>
        <w:t xml:space="preserve"> </w:t>
      </w:r>
      <w:bookmarkStart w:id="127" w:name="_Toc467380142"/>
      <w:bookmarkStart w:id="128" w:name="_Toc345351930"/>
      <w:bookmarkStart w:id="129" w:name="_Toc345347340"/>
      <w:bookmarkStart w:id="130" w:name="_Toc470682471"/>
      <w:bookmarkStart w:id="131" w:name="_Toc461353703"/>
      <w:bookmarkStart w:id="132" w:name="_Toc442695387"/>
      <w:r>
        <w:rPr>
          <w:rFonts w:ascii="Arial" w:hAnsi="Arial" w:cs="Arial"/>
          <w:b/>
          <w:bCs/>
          <w:color w:val="auto"/>
          <w:szCs w:val="21"/>
        </w:rPr>
        <w:t>不受控制条款</w:t>
      </w:r>
      <w:bookmarkEnd w:id="127"/>
      <w:bookmarkEnd w:id="128"/>
      <w:bookmarkEnd w:id="129"/>
      <w:bookmarkEnd w:id="130"/>
      <w:bookmarkEnd w:id="131"/>
      <w:r>
        <w:rPr>
          <w:rFonts w:ascii="Arial" w:hAnsi="Arial" w:cs="Arial"/>
          <w:b/>
          <w:bCs/>
          <w:color w:val="auto"/>
          <w:szCs w:val="21"/>
        </w:rPr>
        <w:t xml:space="preserve"> </w:t>
      </w:r>
      <w:bookmarkEnd w:id="132"/>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被保险人在占用或使用营业场所时，由于不知情或由于非其所能控制的事件发生造成的遗漏申报或任何类似行为，不会影响本保险单的有效性，一旦被保险人知道应立即通知保险人，并按保险人的要求支付适当的附加保险费。</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本保险单所载其他条件不变。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16．污染条款(每次事故及累计赔偿限额:RMB5,000,000)</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兹经合同双方同意，保险人扩展承保因发生突发的、不可预见的、非故意的意外事故引起的污染和沾污对第三者造成人身伤亡或财产损失而引起的任何法律赔偿责任，此项责任的累计赔偿限额以_</w:t>
      </w:r>
      <w:r>
        <w:rPr>
          <w:rFonts w:ascii="Arial" w:hAnsi="Arial" w:cs="Arial"/>
          <w:color w:val="auto"/>
          <w:szCs w:val="21"/>
          <w:u w:val="single"/>
        </w:rPr>
        <w:t>RMB500万</w:t>
      </w:r>
      <w:r>
        <w:rPr>
          <w:rFonts w:ascii="Arial" w:hAnsi="Arial" w:cs="Arial"/>
          <w:color w:val="auto"/>
          <w:szCs w:val="21"/>
        </w:rPr>
        <w:t>_为限。</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任何源于同一意外事故引起的连续的或一系列的污染和沾污损失的发生时间应以这一意外事故首次开始发生的时间为准。保险人对所有源于同一意外事件的赔偿责任的承担以</w:t>
      </w:r>
      <w:r>
        <w:rPr>
          <w:rFonts w:ascii="Arial" w:hAnsi="Arial" w:cs="Arial"/>
          <w:color w:val="auto"/>
          <w:szCs w:val="21"/>
          <w:u w:val="single"/>
        </w:rPr>
        <w:t>RMB500万</w:t>
      </w:r>
      <w:r>
        <w:rPr>
          <w:rFonts w:ascii="Arial" w:hAnsi="Arial" w:cs="Arial"/>
          <w:color w:val="auto"/>
          <w:szCs w:val="21"/>
        </w:rPr>
        <w:t>_为限。</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本附加险的污染和沾污是指：</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1．任何对建筑物、大气、土地、水体造成的污染和沾污；</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2．任何由于上述污染和沾污造成的直接的物质损失和人身伤害。</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本保险单所载其他条件不变。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17．电梯责任条款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鉴于被保险人已支付附加保险费，本保险扩展承保本保险单明细表中列明地点范围内的电梯、升降机在正常使用过程中发生意外事故造成第三者人身伤亡或财产损失时被保险人依法应负的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被保险人应持有政府有关部门颁发的电梯、升降机合格证书及运营许可证，并保证由合格的技术人员定期对电梯、升降机进行检查和维修。</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18．人身侵害责任条款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兹经合同双方同意，鉴于被保险人已缴付了附加保险费，本保险扩展承保在本保险单明细表中列明的营业场所内，被保险人由于下列情况造成第三者人身侵害时依法应负的赔偿责任：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1.错误逮捕、拘留或监禁或诬告；</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2.侮辱、诽谤或侵犯私人权利；</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3.非法侵入、驱逐或其他侵犯私人权利行为；</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被保险人遵守中华人民共和国法律和法规是保险人承担任何责任的先决条件。</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本保险单所载其他条件不变。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19.错误和遗漏条款</w:t>
      </w:r>
    </w:p>
    <w:p>
      <w:pPr>
        <w:snapToGrid w:val="0"/>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兹经双方同意，本保险项下的赔偿责任不因被保险人非故意地延迟、错误或遗漏向保险人申报有关变更或其它有关信息而被拒负，一旦被保险人明白其疏忽或遗漏应在合理的时间内尽快向保险人申报，并根据保险人要求支付自风险增加之日起的适当的附加保险费。</w:t>
      </w:r>
    </w:p>
    <w:p>
      <w:pPr>
        <w:snapToGrid w:val="0"/>
        <w:spacing w:before="156" w:beforeLines="50" w:after="156" w:afterLines="50" w:line="360" w:lineRule="auto"/>
        <w:ind w:firstLine="480" w:firstLineChars="200"/>
        <w:rPr>
          <w:rFonts w:ascii="Arial" w:hAnsi="Arial" w:cs="Arial"/>
          <w:color w:val="auto"/>
          <w:sz w:val="24"/>
          <w:szCs w:val="21"/>
        </w:rPr>
      </w:pPr>
      <w:r>
        <w:rPr>
          <w:rFonts w:ascii="Arial" w:hAnsi="Arial" w:cs="Arial"/>
          <w:color w:val="auto"/>
          <w:sz w:val="24"/>
          <w:szCs w:val="21"/>
        </w:rPr>
        <w:t>不正确的、有缺陷的或错误的评估不可视为非故意的错误与遗漏。</w:t>
      </w:r>
    </w:p>
    <w:p>
      <w:pPr>
        <w:snapToGrid w:val="0"/>
        <w:spacing w:before="156" w:beforeLines="50" w:after="156" w:afterLines="50" w:line="360" w:lineRule="auto"/>
        <w:ind w:firstLine="480" w:firstLineChars="200"/>
        <w:rPr>
          <w:rFonts w:ascii="Arial" w:hAnsi="Arial" w:cs="Arial"/>
          <w:color w:val="auto"/>
          <w:sz w:val="24"/>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20．自动承保新地点条款(60天报告期)</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自明细表中描述的新置财产建成或获得，或被转移至被保险人名下，或被保险人开始对其负有法律责任（除非有其他保险存在）时起，本保险将自动适用于和包括其所引致的被保险人的法律赔偿责任。双方同意，被保险人应在获得上述财产的六十天内通知保险人，并支付日比例的附加保险费。</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r>
        <w:rPr>
          <w:rFonts w:ascii="Arial" w:hAnsi="Arial" w:eastAsia="黑体" w:cs="Arial"/>
          <w:bCs/>
          <w:color w:val="auto"/>
          <w:kern w:val="0"/>
          <w:szCs w:val="21"/>
          <w:u w:color="000000"/>
        </w:rPr>
        <w:t>21．罢工、暴动、民众骚乱及恶意破坏条款</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双方同意，鉴于被保险人已缴付了附加的保险费，本保险扩展承保在本保险单中列明的地点范围内，直接由于罢工，暴动、民众骚乱及恶意破坏造成第三者人身伤亡或财产损失时被保险人应付的赔偿责任，但不超过本保险单列明的赔偿限额。</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keepLines/>
        <w:widowControl/>
        <w:tabs>
          <w:tab w:val="left" w:pos="2340"/>
        </w:tabs>
        <w:snapToGrid w:val="0"/>
        <w:spacing w:after="156" w:afterLines="50"/>
        <w:ind w:left="1008" w:hanging="1008"/>
        <w:textAlignment w:val="baseline"/>
        <w:outlineLvl w:val="4"/>
        <w:rPr>
          <w:rFonts w:ascii="Arial" w:hAnsi="Arial" w:eastAsia="黑体" w:cs="Arial"/>
          <w:bCs/>
          <w:color w:val="auto"/>
          <w:kern w:val="0"/>
          <w:szCs w:val="21"/>
          <w:u w:color="000000"/>
        </w:rPr>
      </w:pPr>
      <w:bookmarkStart w:id="133" w:name="_Toc470682694"/>
      <w:bookmarkStart w:id="134" w:name="_Toc461274949"/>
      <w:r>
        <w:rPr>
          <w:rFonts w:ascii="Arial" w:hAnsi="Arial" w:eastAsia="黑体" w:cs="Arial"/>
          <w:bCs/>
          <w:color w:val="auto"/>
          <w:kern w:val="0"/>
          <w:szCs w:val="21"/>
          <w:u w:color="000000"/>
        </w:rPr>
        <w:t>22．提供物品及服务条款</w:t>
      </w:r>
      <w:bookmarkEnd w:id="133"/>
      <w:bookmarkEnd w:id="134"/>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兹经合同双方同意，鉴于被保险人已支付了附加保险费，本保险扩展承保被保险人因提供物品及服务，包括作为其正常经营过程中的运输服务，造成第三者人身伤亡或财产损失时依法应负的赔偿责任。</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本保单所载其他条件不变。</w:t>
      </w:r>
    </w:p>
    <w:p>
      <w:pPr>
        <w:adjustRightInd w:val="0"/>
        <w:snapToGrid w:val="0"/>
        <w:spacing w:after="156" w:afterLines="50"/>
        <w:ind w:firstLine="420" w:firstLineChars="200"/>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adjustRightInd w:val="0"/>
        <w:snapToGrid w:val="0"/>
        <w:spacing w:after="156" w:afterLines="50"/>
        <w:ind w:firstLine="420" w:firstLineChars="200"/>
        <w:rPr>
          <w:rFonts w:ascii="Arial" w:hAnsi="Arial" w:cs="Arial"/>
          <w:color w:val="auto"/>
          <w:szCs w:val="21"/>
        </w:rPr>
      </w:pPr>
    </w:p>
    <w:p>
      <w:pPr>
        <w:snapToGrid w:val="0"/>
        <w:spacing w:before="156" w:beforeLines="50"/>
        <w:outlineLvl w:val="2"/>
        <w:rPr>
          <w:rFonts w:ascii="Arial" w:hAnsi="Arial" w:cs="Arial"/>
          <w:b/>
          <w:color w:val="auto"/>
          <w:szCs w:val="21"/>
        </w:rPr>
      </w:pPr>
      <w:bookmarkStart w:id="135" w:name="_Toc20490"/>
      <w:bookmarkStart w:id="136" w:name="_Toc345347332"/>
      <w:bookmarkStart w:id="137" w:name="_Toc18537"/>
      <w:bookmarkStart w:id="138" w:name="_Toc345351922"/>
      <w:bookmarkStart w:id="139" w:name="_Toc20911"/>
      <w:r>
        <w:rPr>
          <w:rFonts w:ascii="Arial" w:hAnsi="Arial" w:cs="Arial"/>
          <w:b/>
          <w:color w:val="auto"/>
          <w:szCs w:val="21"/>
        </w:rPr>
        <w:t>23.放弃代位追偿权利条款</w:t>
      </w:r>
      <w:bookmarkEnd w:id="135"/>
      <w:bookmarkEnd w:id="136"/>
      <w:bookmarkEnd w:id="137"/>
      <w:bookmarkEnd w:id="138"/>
      <w:bookmarkEnd w:id="139"/>
      <w:r>
        <w:rPr>
          <w:rFonts w:ascii="Arial" w:hAnsi="Arial" w:cs="Arial"/>
          <w:b/>
          <w:color w:val="auto"/>
          <w:szCs w:val="21"/>
        </w:rPr>
        <w:t xml:space="preserve"> </w:t>
      </w:r>
    </w:p>
    <w:p>
      <w:pPr>
        <w:snapToGrid w:val="0"/>
        <w:spacing w:before="156" w:beforeLines="50"/>
        <w:ind w:firstLine="420" w:firstLineChars="200"/>
        <w:rPr>
          <w:rFonts w:ascii="Arial" w:hAnsi="Arial" w:cs="Arial"/>
          <w:color w:val="auto"/>
          <w:szCs w:val="21"/>
        </w:rPr>
      </w:pPr>
      <w:r>
        <w:rPr>
          <w:rFonts w:ascii="Arial" w:hAnsi="Arial" w:cs="Arial"/>
          <w:color w:val="auto"/>
          <w:szCs w:val="21"/>
        </w:rPr>
        <w:t>兹经双方同意，保险人在此同意放弃向被保险人的联营公司或分公司，任何子公司、控股公司，或任何有关的团体、官员或个人进行追偿的权利，除非该种权利是源于被保险人的欺骗、不实陈述、隐瞒或违反条款。</w:t>
      </w:r>
    </w:p>
    <w:p>
      <w:pPr>
        <w:rPr>
          <w:rFonts w:ascii="Arial" w:hAnsi="Arial" w:cs="Arial"/>
          <w:color w:val="auto"/>
          <w:szCs w:val="21"/>
        </w:rPr>
      </w:pPr>
      <w:r>
        <w:rPr>
          <w:rFonts w:ascii="Arial" w:hAnsi="Arial" w:cs="Arial"/>
          <w:color w:val="auto"/>
          <w:szCs w:val="21"/>
        </w:rPr>
        <w:t>本保险单所载其他条件不变。</w:t>
      </w:r>
    </w:p>
    <w:p>
      <w:pPr>
        <w:rPr>
          <w:rFonts w:ascii="Arial" w:hAnsi="Arial" w:cs="Arial"/>
          <w:color w:val="auto"/>
          <w:szCs w:val="21"/>
        </w:rPr>
      </w:pPr>
      <w:r>
        <w:rPr>
          <w:rFonts w:ascii="Arial" w:hAnsi="Arial" w:cs="Arial"/>
          <w:color w:val="auto"/>
          <w:szCs w:val="21"/>
        </w:rPr>
        <w:t>本附加险条款与主险条款内容相悖之处，以本附加险条款为准；未尽之处，以主险条款为准。</w:t>
      </w:r>
    </w:p>
    <w:p>
      <w:pPr>
        <w:rPr>
          <w:rFonts w:ascii="Arial" w:hAnsi="Arial" w:cs="Arial"/>
          <w:color w:val="auto"/>
        </w:rPr>
      </w:pPr>
    </w:p>
    <w:p>
      <w:pPr>
        <w:snapToGrid w:val="0"/>
        <w:spacing w:before="156" w:beforeLines="50"/>
        <w:outlineLvl w:val="2"/>
        <w:rPr>
          <w:rFonts w:ascii="Arial" w:hAnsi="Arial" w:cs="Arial"/>
          <w:b/>
          <w:color w:val="auto"/>
          <w:szCs w:val="21"/>
        </w:rPr>
      </w:pPr>
      <w:bookmarkStart w:id="140" w:name="_Toc20652"/>
      <w:bookmarkStart w:id="141" w:name="_Toc22376"/>
      <w:bookmarkStart w:id="142" w:name="_Toc10507"/>
      <w:r>
        <w:rPr>
          <w:rFonts w:ascii="Arial" w:hAnsi="Arial" w:cs="Arial"/>
          <w:b/>
          <w:color w:val="auto"/>
          <w:szCs w:val="21"/>
        </w:rPr>
        <w:t>24.附加恐怖活动扩展（不包括NBCR恐怖活动）条款（每次事故赔偿限额：RMB</w:t>
      </w:r>
      <w:r>
        <w:rPr>
          <w:rFonts w:ascii="Arial" w:hAnsi="Arial" w:cs="Arial"/>
          <w:b/>
          <w:bCs/>
          <w:color w:val="auto"/>
          <w:kern w:val="0"/>
          <w:sz w:val="20"/>
        </w:rPr>
        <w:t xml:space="preserve"> </w:t>
      </w:r>
      <w:r>
        <w:rPr>
          <w:rFonts w:ascii="Arial" w:hAnsi="Arial" w:cs="Arial"/>
          <w:b/>
          <w:color w:val="auto"/>
          <w:szCs w:val="21"/>
        </w:rPr>
        <w:t>5,000,000）</w:t>
      </w:r>
      <w:bookmarkEnd w:id="140"/>
      <w:bookmarkEnd w:id="141"/>
      <w:bookmarkEnd w:id="142"/>
    </w:p>
    <w:p>
      <w:pPr>
        <w:snapToGrid w:val="0"/>
        <w:spacing w:before="156" w:beforeLines="50"/>
        <w:ind w:firstLine="420" w:firstLineChars="200"/>
        <w:outlineLvl w:val="2"/>
        <w:rPr>
          <w:rFonts w:ascii="Arial" w:hAnsi="Arial" w:cs="Arial"/>
          <w:color w:val="auto"/>
          <w:szCs w:val="21"/>
        </w:rPr>
      </w:pPr>
      <w:bookmarkStart w:id="143" w:name="_Toc2011"/>
      <w:bookmarkStart w:id="144" w:name="_Toc23273"/>
      <w:bookmarkStart w:id="145" w:name="_Toc11765"/>
      <w:r>
        <w:rPr>
          <w:rFonts w:ascii="Arial" w:hAnsi="Arial" w:cs="Arial"/>
          <w:color w:val="auto"/>
          <w:szCs w:val="21"/>
        </w:rPr>
        <w:t>兹经合同双方同意，鉴于被保险人已缴付了附加保险费，本保险扩展承保恐怖活动导致的主险约定的责任、损失和费用。</w:t>
      </w:r>
      <w:bookmarkEnd w:id="143"/>
      <w:bookmarkEnd w:id="144"/>
      <w:bookmarkEnd w:id="145"/>
    </w:p>
    <w:p>
      <w:pPr>
        <w:snapToGrid w:val="0"/>
        <w:spacing w:before="156" w:beforeLines="50"/>
        <w:ind w:firstLine="420" w:firstLineChars="200"/>
        <w:outlineLvl w:val="2"/>
        <w:rPr>
          <w:rFonts w:ascii="Arial" w:hAnsi="Arial" w:cs="Arial"/>
          <w:color w:val="auto"/>
          <w:szCs w:val="21"/>
        </w:rPr>
      </w:pPr>
      <w:bookmarkStart w:id="146" w:name="_Toc6761"/>
      <w:bookmarkStart w:id="147" w:name="_Toc11680"/>
      <w:bookmarkStart w:id="148" w:name="_Toc21640"/>
      <w:r>
        <w:rPr>
          <w:rFonts w:ascii="Arial" w:hAnsi="Arial" w:cs="Arial"/>
          <w:color w:val="auto"/>
          <w:szCs w:val="21"/>
        </w:rPr>
        <w:t>“恐怖活动”是指为了政治、宗教或意识形态或类似目的，包括意图影响任何政府和/或使公众或部分公众恐慌，任何个人或团体所单独作出的、代表任何组织或政府做出的或与之相关的行为，其方式包括但不限于使用或威胁使用武力或暴力。</w:t>
      </w:r>
      <w:bookmarkEnd w:id="146"/>
      <w:bookmarkEnd w:id="147"/>
      <w:bookmarkEnd w:id="148"/>
    </w:p>
    <w:p>
      <w:pPr>
        <w:snapToGrid w:val="0"/>
        <w:spacing w:before="156" w:beforeLines="50"/>
        <w:ind w:firstLine="422" w:firstLineChars="200"/>
        <w:outlineLvl w:val="2"/>
        <w:rPr>
          <w:rFonts w:ascii="Arial" w:hAnsi="Arial" w:cs="Arial"/>
          <w:b/>
          <w:color w:val="auto"/>
          <w:szCs w:val="21"/>
        </w:rPr>
      </w:pPr>
      <w:bookmarkStart w:id="149" w:name="_Toc21717"/>
      <w:bookmarkStart w:id="150" w:name="_Toc15070"/>
      <w:bookmarkStart w:id="151" w:name="_Toc20592"/>
      <w:r>
        <w:rPr>
          <w:rFonts w:ascii="Arial" w:hAnsi="Arial" w:cs="Arial"/>
          <w:b/>
          <w:color w:val="auto"/>
          <w:szCs w:val="21"/>
        </w:rPr>
        <w:t>但是，本保险不适用于由以下定义的任何“NBCR恐怖活动”以及任何采取的旨在阻止、防范或应对此类活动的行动直接或间接引起或与之相关的所有损失、成本或费用。无论是否有其他任何原因或事件同时或先后导致此类损失、成本或费用，本除外条款仍适用。</w:t>
      </w:r>
      <w:bookmarkEnd w:id="149"/>
      <w:bookmarkEnd w:id="150"/>
      <w:bookmarkEnd w:id="151"/>
    </w:p>
    <w:p>
      <w:pPr>
        <w:snapToGrid w:val="0"/>
        <w:spacing w:before="156" w:beforeLines="50"/>
        <w:ind w:firstLine="420" w:firstLineChars="200"/>
        <w:outlineLvl w:val="2"/>
        <w:rPr>
          <w:rFonts w:ascii="Arial" w:hAnsi="Arial" w:cs="Arial"/>
          <w:color w:val="auto"/>
          <w:szCs w:val="21"/>
        </w:rPr>
      </w:pPr>
      <w:bookmarkStart w:id="152" w:name="_Toc13619"/>
      <w:bookmarkStart w:id="153" w:name="_Toc10724"/>
      <w:bookmarkStart w:id="154" w:name="_Toc27602"/>
      <w:r>
        <w:rPr>
          <w:rFonts w:ascii="Arial" w:hAnsi="Arial" w:cs="Arial"/>
          <w:color w:val="auto"/>
          <w:szCs w:val="21"/>
        </w:rPr>
        <w:t>“NBCR恐怖活动”是指全部或部分包括、涉及或关系到使用或威胁使用，或释放或威胁释放任何核、生物、化学或放射性药品、材料、装置或武器的故意的、违法的下列行为：</w:t>
      </w:r>
      <w:bookmarkEnd w:id="152"/>
      <w:bookmarkEnd w:id="153"/>
      <w:bookmarkEnd w:id="154"/>
    </w:p>
    <w:p>
      <w:pPr>
        <w:snapToGrid w:val="0"/>
        <w:spacing w:before="156" w:beforeLines="50"/>
        <w:ind w:firstLine="420" w:firstLineChars="200"/>
        <w:outlineLvl w:val="2"/>
        <w:rPr>
          <w:rFonts w:ascii="Arial" w:hAnsi="Arial" w:cs="Arial"/>
          <w:color w:val="auto"/>
          <w:szCs w:val="21"/>
        </w:rPr>
      </w:pPr>
      <w:bookmarkStart w:id="155" w:name="_Toc17046"/>
      <w:bookmarkStart w:id="156" w:name="_Toc5788"/>
      <w:bookmarkStart w:id="157" w:name="_Toc4227"/>
      <w:r>
        <w:rPr>
          <w:rFonts w:ascii="Arial" w:hAnsi="Arial" w:cs="Arial"/>
          <w:color w:val="auto"/>
          <w:szCs w:val="21"/>
        </w:rPr>
        <w:t>1. 由任何授权的政府官员宣布为或涉及恐怖主义、恐怖活动或恐怖主义行为；或</w:t>
      </w:r>
      <w:bookmarkEnd w:id="155"/>
      <w:bookmarkEnd w:id="156"/>
      <w:bookmarkEnd w:id="157"/>
    </w:p>
    <w:p>
      <w:pPr>
        <w:snapToGrid w:val="0"/>
        <w:spacing w:before="156" w:beforeLines="50"/>
        <w:ind w:firstLine="420" w:firstLineChars="200"/>
        <w:outlineLvl w:val="2"/>
        <w:rPr>
          <w:rFonts w:ascii="Arial" w:hAnsi="Arial" w:cs="Arial"/>
          <w:color w:val="auto"/>
          <w:szCs w:val="21"/>
        </w:rPr>
      </w:pPr>
      <w:bookmarkStart w:id="158" w:name="_Toc17982"/>
      <w:bookmarkStart w:id="159" w:name="_Toc13359"/>
      <w:r>
        <w:rPr>
          <w:rFonts w:ascii="Arial" w:hAnsi="Arial" w:cs="Arial"/>
          <w:color w:val="auto"/>
          <w:szCs w:val="21"/>
        </w:rPr>
        <w:t>2. 全部或部分地与下列企图有关：</w:t>
      </w:r>
      <w:bookmarkEnd w:id="158"/>
      <w:bookmarkEnd w:id="159"/>
    </w:p>
    <w:p>
      <w:pPr>
        <w:snapToGrid w:val="0"/>
        <w:spacing w:before="156" w:beforeLines="50"/>
        <w:ind w:firstLine="420" w:firstLineChars="200"/>
        <w:outlineLvl w:val="2"/>
        <w:rPr>
          <w:rFonts w:ascii="Arial" w:hAnsi="Arial" w:cs="Arial"/>
          <w:color w:val="auto"/>
          <w:szCs w:val="21"/>
        </w:rPr>
      </w:pPr>
      <w:r>
        <w:rPr>
          <w:rFonts w:ascii="Arial" w:hAnsi="Arial" w:cs="Arial"/>
          <w:color w:val="auto"/>
          <w:szCs w:val="21"/>
        </w:rPr>
        <w:t xml:space="preserve">      </w:t>
      </w:r>
      <w:bookmarkStart w:id="160" w:name="_Toc22155"/>
      <w:bookmarkStart w:id="161" w:name="_Toc11402"/>
      <w:bookmarkStart w:id="162" w:name="_Toc26563"/>
      <w:r>
        <w:rPr>
          <w:rFonts w:ascii="Arial" w:hAnsi="Arial" w:cs="Arial"/>
          <w:color w:val="auto"/>
          <w:szCs w:val="21"/>
        </w:rPr>
        <w:t>(a)   鼓动、加深或表示反对任何政治、思想、哲学、种族、民族、社会或宗教因素或目的；或</w:t>
      </w:r>
      <w:bookmarkEnd w:id="160"/>
      <w:bookmarkEnd w:id="161"/>
      <w:bookmarkEnd w:id="162"/>
    </w:p>
    <w:p>
      <w:pPr>
        <w:snapToGrid w:val="0"/>
        <w:spacing w:before="156" w:beforeLines="50"/>
        <w:ind w:firstLine="420" w:firstLineChars="200"/>
        <w:outlineLvl w:val="2"/>
        <w:rPr>
          <w:rFonts w:ascii="Arial" w:hAnsi="Arial" w:cs="Arial"/>
          <w:color w:val="auto"/>
          <w:szCs w:val="21"/>
        </w:rPr>
      </w:pPr>
      <w:r>
        <w:rPr>
          <w:rFonts w:ascii="Arial" w:hAnsi="Arial" w:cs="Arial"/>
          <w:color w:val="auto"/>
          <w:szCs w:val="21"/>
        </w:rPr>
        <w:t xml:space="preserve">      </w:t>
      </w:r>
      <w:bookmarkStart w:id="163" w:name="_Toc16813"/>
      <w:bookmarkStart w:id="164" w:name="_Toc19072"/>
      <w:bookmarkStart w:id="165" w:name="_Toc19706"/>
      <w:r>
        <w:rPr>
          <w:rFonts w:ascii="Arial" w:hAnsi="Arial" w:cs="Arial"/>
          <w:color w:val="auto"/>
          <w:szCs w:val="21"/>
        </w:rPr>
        <w:t>(b)   影响、破环或妨碍任何政府的运作、活动或政策；或</w:t>
      </w:r>
      <w:bookmarkEnd w:id="163"/>
      <w:bookmarkEnd w:id="164"/>
      <w:bookmarkEnd w:id="165"/>
    </w:p>
    <w:p>
      <w:pPr>
        <w:snapToGrid w:val="0"/>
        <w:spacing w:before="156" w:beforeLines="50"/>
        <w:ind w:firstLine="420" w:firstLineChars="200"/>
        <w:outlineLvl w:val="2"/>
        <w:rPr>
          <w:rFonts w:ascii="Arial" w:hAnsi="Arial" w:cs="Arial"/>
          <w:color w:val="auto"/>
          <w:szCs w:val="21"/>
        </w:rPr>
      </w:pPr>
      <w:r>
        <w:rPr>
          <w:rFonts w:ascii="Arial" w:hAnsi="Arial" w:cs="Arial"/>
          <w:color w:val="auto"/>
          <w:szCs w:val="21"/>
        </w:rPr>
        <w:t xml:space="preserve">      </w:t>
      </w:r>
      <w:bookmarkStart w:id="166" w:name="_Toc9394"/>
      <w:bookmarkStart w:id="167" w:name="_Toc18484"/>
      <w:bookmarkStart w:id="168" w:name="_Toc11452"/>
      <w:r>
        <w:rPr>
          <w:rFonts w:ascii="Arial" w:hAnsi="Arial" w:cs="Arial"/>
          <w:color w:val="auto"/>
          <w:szCs w:val="21"/>
        </w:rPr>
        <w:t>(c)   威胁、胁迫或恐吓公众或部分公众；或</w:t>
      </w:r>
      <w:bookmarkEnd w:id="166"/>
      <w:bookmarkEnd w:id="167"/>
      <w:bookmarkEnd w:id="168"/>
    </w:p>
    <w:p>
      <w:pPr>
        <w:snapToGrid w:val="0"/>
        <w:spacing w:before="156" w:beforeLines="50"/>
        <w:ind w:firstLine="420" w:firstLineChars="200"/>
        <w:outlineLvl w:val="2"/>
        <w:rPr>
          <w:rFonts w:ascii="Arial" w:hAnsi="Arial" w:cs="Arial"/>
          <w:color w:val="auto"/>
          <w:szCs w:val="21"/>
        </w:rPr>
      </w:pPr>
      <w:r>
        <w:rPr>
          <w:rFonts w:ascii="Arial" w:hAnsi="Arial" w:cs="Arial"/>
          <w:color w:val="auto"/>
          <w:szCs w:val="21"/>
        </w:rPr>
        <w:t xml:space="preserve">      </w:t>
      </w:r>
      <w:bookmarkStart w:id="169" w:name="_Toc32071"/>
      <w:bookmarkStart w:id="170" w:name="_Toc23910"/>
      <w:bookmarkStart w:id="171" w:name="_Toc1444"/>
      <w:r>
        <w:rPr>
          <w:rFonts w:ascii="Arial" w:hAnsi="Arial" w:cs="Arial"/>
          <w:color w:val="auto"/>
          <w:szCs w:val="21"/>
        </w:rPr>
        <w:t>(d)   破环或干扰国家经济或国家经济的任何领域。</w:t>
      </w:r>
      <w:bookmarkEnd w:id="169"/>
      <w:bookmarkEnd w:id="170"/>
      <w:bookmarkEnd w:id="171"/>
    </w:p>
    <w:p>
      <w:pPr>
        <w:snapToGrid w:val="0"/>
        <w:spacing w:before="156" w:beforeLines="50"/>
        <w:ind w:firstLine="420" w:firstLineChars="200"/>
        <w:outlineLvl w:val="2"/>
        <w:rPr>
          <w:rFonts w:ascii="Arial" w:hAnsi="Arial" w:cs="Arial"/>
          <w:color w:val="auto"/>
          <w:szCs w:val="21"/>
        </w:rPr>
      </w:pPr>
      <w:bookmarkStart w:id="172" w:name="_Toc25060"/>
      <w:bookmarkStart w:id="173" w:name="_Toc8265"/>
      <w:bookmarkStart w:id="174" w:name="_Toc13005"/>
      <w:r>
        <w:rPr>
          <w:rFonts w:ascii="Arial" w:hAnsi="Arial" w:cs="Arial"/>
          <w:color w:val="auto"/>
          <w:szCs w:val="21"/>
        </w:rPr>
        <w:t>除非该公司能够向保险人证明此类活动或威胁系受肇事者个人目的所鼓动，否则第2项中所规定的NBCR恐怖活动应被视为NBCR恐怖活动。</w:t>
      </w:r>
      <w:bookmarkEnd w:id="172"/>
      <w:bookmarkEnd w:id="173"/>
      <w:bookmarkEnd w:id="174"/>
    </w:p>
    <w:p>
      <w:pPr>
        <w:snapToGrid w:val="0"/>
        <w:spacing w:before="156" w:beforeLines="50"/>
        <w:ind w:firstLine="420" w:firstLineChars="200"/>
        <w:outlineLvl w:val="2"/>
        <w:rPr>
          <w:rFonts w:ascii="Arial" w:hAnsi="Arial" w:cs="Arial"/>
          <w:color w:val="auto"/>
          <w:szCs w:val="21"/>
        </w:rPr>
      </w:pPr>
      <w:bookmarkStart w:id="175" w:name="_Toc15899"/>
      <w:bookmarkStart w:id="176" w:name="_Toc18394"/>
      <w:bookmarkStart w:id="177" w:name="_Toc13230"/>
      <w:r>
        <w:rPr>
          <w:rFonts w:ascii="Arial" w:hAnsi="Arial" w:cs="Arial"/>
          <w:color w:val="auto"/>
          <w:szCs w:val="21"/>
        </w:rPr>
        <w:t>本附加险不改变主险项下的赔偿限额。</w:t>
      </w:r>
      <w:bookmarkEnd w:id="175"/>
      <w:bookmarkEnd w:id="176"/>
      <w:bookmarkEnd w:id="177"/>
    </w:p>
    <w:p>
      <w:pPr>
        <w:snapToGrid w:val="0"/>
        <w:spacing w:before="156" w:beforeLines="50"/>
        <w:ind w:firstLine="420" w:firstLineChars="200"/>
        <w:outlineLvl w:val="2"/>
        <w:rPr>
          <w:rFonts w:ascii="Arial" w:hAnsi="Arial" w:cs="Arial"/>
          <w:color w:val="auto"/>
          <w:szCs w:val="21"/>
        </w:rPr>
      </w:pPr>
      <w:bookmarkStart w:id="178" w:name="_Toc19850"/>
      <w:bookmarkStart w:id="179" w:name="_Toc2705"/>
      <w:bookmarkStart w:id="180" w:name="_Toc5423"/>
      <w:r>
        <w:rPr>
          <w:rFonts w:ascii="Arial" w:hAnsi="Arial" w:cs="Arial"/>
          <w:color w:val="auto"/>
          <w:szCs w:val="21"/>
        </w:rPr>
        <w:t>本附加险条款与主险条款内容相悖之处，以本附加险条款为准；未尽之处，以主险条款为准。</w:t>
      </w:r>
      <w:bookmarkEnd w:id="178"/>
      <w:bookmarkEnd w:id="179"/>
      <w:bookmarkEnd w:id="180"/>
    </w:p>
    <w:p>
      <w:pPr>
        <w:snapToGrid w:val="0"/>
        <w:spacing w:before="156" w:beforeLines="50"/>
        <w:outlineLvl w:val="2"/>
        <w:rPr>
          <w:rFonts w:ascii="Arial" w:hAnsi="Arial" w:eastAsia="楷体_GB2312" w:cs="Arial"/>
          <w:b/>
          <w:caps/>
          <w:color w:val="auto"/>
          <w:sz w:val="24"/>
        </w:rPr>
      </w:pPr>
    </w:p>
    <w:p>
      <w:pPr>
        <w:snapToGrid w:val="0"/>
        <w:spacing w:before="156" w:beforeLines="50"/>
        <w:outlineLvl w:val="2"/>
        <w:rPr>
          <w:rFonts w:ascii="Arial" w:hAnsi="Arial" w:cs="Arial"/>
          <w:b/>
          <w:color w:val="auto"/>
          <w:szCs w:val="21"/>
        </w:rPr>
      </w:pPr>
      <w:bookmarkStart w:id="181" w:name="_Toc31972"/>
      <w:bookmarkStart w:id="182" w:name="_Toc3216"/>
      <w:bookmarkStart w:id="183" w:name="_Toc26448"/>
      <w:r>
        <w:rPr>
          <w:rFonts w:ascii="Arial" w:hAnsi="Arial" w:cs="Arial"/>
          <w:b/>
          <w:color w:val="auto"/>
          <w:szCs w:val="21"/>
        </w:rPr>
        <w:t>25.</w:t>
      </w:r>
      <w:r>
        <w:rPr>
          <w:rFonts w:ascii="Arial" w:hAnsi="Arial" w:eastAsia="华文中宋" w:cs="Arial"/>
          <w:color w:val="auto"/>
        </w:rPr>
        <w:t xml:space="preserve"> </w:t>
      </w:r>
      <w:r>
        <w:rPr>
          <w:rFonts w:ascii="Arial" w:hAnsi="Arial" w:cs="Arial"/>
          <w:b/>
          <w:color w:val="auto"/>
          <w:szCs w:val="21"/>
        </w:rPr>
        <w:t>暴力行为、抢劫责任条款</w:t>
      </w:r>
      <w:bookmarkEnd w:id="181"/>
      <w:bookmarkEnd w:id="182"/>
      <w:bookmarkEnd w:id="183"/>
    </w:p>
    <w:p>
      <w:pPr>
        <w:autoSpaceDE w:val="0"/>
        <w:autoSpaceDN w:val="0"/>
        <w:adjustRightInd w:val="0"/>
        <w:ind w:firstLine="420" w:firstLineChars="200"/>
        <w:jc w:val="left"/>
        <w:rPr>
          <w:rFonts w:ascii="Arial" w:hAnsi="Arial" w:cs="Arial"/>
          <w:color w:val="auto"/>
          <w:kern w:val="0"/>
          <w:szCs w:val="21"/>
        </w:rPr>
      </w:pPr>
      <w:r>
        <w:rPr>
          <w:rFonts w:ascii="Arial" w:hAnsi="Arial" w:cs="Arial"/>
          <w:color w:val="auto"/>
          <w:kern w:val="0"/>
          <w:szCs w:val="21"/>
        </w:rPr>
        <w:t>兹经合同双方同意，本保险扩展承保被保险人在本保险单明细表中列明的地址场所内，</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由于发生暴力抢劫、劫持、导致第三者的人身伤亡或财产损失，依法应由被保险人承担的经</w:t>
      </w:r>
    </w:p>
    <w:p>
      <w:pPr>
        <w:autoSpaceDE w:val="0"/>
        <w:autoSpaceDN w:val="0"/>
        <w:adjustRightInd w:val="0"/>
        <w:jc w:val="left"/>
        <w:rPr>
          <w:rFonts w:ascii="Arial" w:hAnsi="Arial" w:cs="Arial"/>
          <w:color w:val="auto"/>
          <w:kern w:val="0"/>
          <w:szCs w:val="21"/>
        </w:rPr>
      </w:pPr>
      <w:r>
        <w:rPr>
          <w:rFonts w:ascii="Arial" w:hAnsi="Arial" w:cs="Arial"/>
          <w:color w:val="auto"/>
          <w:kern w:val="0"/>
          <w:szCs w:val="21"/>
        </w:rPr>
        <w:t>济赔偿责任。</w:t>
      </w:r>
    </w:p>
    <w:p>
      <w:pPr>
        <w:autoSpaceDE w:val="0"/>
        <w:autoSpaceDN w:val="0"/>
        <w:adjustRightInd w:val="0"/>
        <w:ind w:firstLine="420" w:firstLineChars="200"/>
        <w:jc w:val="left"/>
        <w:rPr>
          <w:rFonts w:ascii="Arial" w:hAnsi="Arial" w:cs="Arial"/>
          <w:color w:val="auto"/>
          <w:kern w:val="0"/>
          <w:szCs w:val="21"/>
        </w:rPr>
      </w:pPr>
      <w:r>
        <w:rPr>
          <w:rFonts w:ascii="Arial" w:hAnsi="Arial" w:cs="Arial"/>
          <w:color w:val="auto"/>
          <w:kern w:val="0"/>
          <w:szCs w:val="21"/>
        </w:rPr>
        <w:t>本附加险条款与主险条款内容相悖之处，以本附加险条款为准；未尽之处，以主险条款</w:t>
      </w:r>
    </w:p>
    <w:p>
      <w:pPr>
        <w:autoSpaceDE w:val="0"/>
        <w:autoSpaceDN w:val="0"/>
        <w:adjustRightInd w:val="0"/>
        <w:jc w:val="left"/>
        <w:rPr>
          <w:rFonts w:ascii="Arial" w:hAnsi="Arial" w:cs="Arial"/>
          <w:color w:val="auto"/>
          <w:kern w:val="0"/>
          <w:sz w:val="20"/>
        </w:rPr>
      </w:pPr>
      <w:r>
        <w:rPr>
          <w:rFonts w:ascii="Arial" w:hAnsi="Arial" w:cs="Arial"/>
          <w:color w:val="auto"/>
          <w:kern w:val="0"/>
          <w:szCs w:val="21"/>
        </w:rPr>
        <w:t>为准。</w:t>
      </w:r>
    </w:p>
    <w:p>
      <w:pPr>
        <w:adjustRightInd w:val="0"/>
        <w:snapToGrid w:val="0"/>
        <w:spacing w:line="360" w:lineRule="auto"/>
        <w:ind w:firstLine="2891" w:firstLineChars="1200"/>
        <w:rPr>
          <w:rFonts w:ascii="宋体" w:hAnsi="宋体"/>
          <w:b/>
          <w:bCs/>
          <w:color w:val="auto"/>
          <w:sz w:val="24"/>
        </w:rPr>
      </w:pPr>
    </w:p>
    <w:p>
      <w:pPr>
        <w:rPr>
          <w:color w:val="auto"/>
        </w:rPr>
      </w:pPr>
    </w:p>
    <w:p>
      <w:pPr>
        <w:widowControl/>
        <w:jc w:val="left"/>
        <w:rPr>
          <w:rFonts w:ascii="宋体" w:hAnsi="宋体"/>
          <w:b/>
          <w:bCs/>
          <w:iCs/>
          <w:color w:val="auto"/>
          <w:sz w:val="28"/>
          <w:szCs w:val="28"/>
        </w:rPr>
      </w:pPr>
      <w:r>
        <w:rPr>
          <w:rFonts w:ascii="宋体" w:hAnsi="宋体"/>
          <w:iCs/>
          <w:color w:val="auto"/>
        </w:rPr>
        <w:br w:type="page"/>
      </w:r>
    </w:p>
    <w:p>
      <w:pPr>
        <w:pStyle w:val="6"/>
        <w:jc w:val="left"/>
        <w:rPr>
          <w:rFonts w:ascii="宋体" w:hAnsi="宋体"/>
          <w:iCs/>
          <w:color w:val="auto"/>
        </w:rPr>
      </w:pPr>
      <w:r>
        <w:rPr>
          <w:rFonts w:ascii="宋体" w:hAnsi="宋体"/>
          <w:iCs/>
          <w:color w:val="auto"/>
        </w:rPr>
        <w:t>附件</w:t>
      </w:r>
      <w:r>
        <w:rPr>
          <w:rFonts w:hint="eastAsia" w:ascii="宋体" w:hAnsi="宋体"/>
          <w:iCs/>
          <w:color w:val="auto"/>
        </w:rPr>
        <w:t xml:space="preserve"> </w:t>
      </w:r>
      <w:r>
        <w:rPr>
          <w:rFonts w:ascii="宋体" w:hAnsi="宋体"/>
          <w:iCs/>
          <w:color w:val="auto"/>
        </w:rPr>
        <w:t xml:space="preserve">  履约保函格式</w:t>
      </w:r>
      <w:bookmarkEnd w:id="101"/>
      <w:bookmarkEnd w:id="102"/>
    </w:p>
    <w:p>
      <w:pPr>
        <w:adjustRightInd w:val="0"/>
        <w:spacing w:line="480" w:lineRule="exact"/>
        <w:jc w:val="center"/>
        <w:rPr>
          <w:rFonts w:ascii="宋体" w:hAnsi="宋体"/>
          <w:b/>
          <w:color w:val="auto"/>
          <w:sz w:val="24"/>
        </w:rPr>
      </w:pPr>
      <w:r>
        <w:rPr>
          <w:rFonts w:ascii="宋体" w:hAnsi="宋体"/>
          <w:b/>
          <w:color w:val="auto"/>
          <w:sz w:val="24"/>
        </w:rPr>
        <w:t>履约保函</w:t>
      </w:r>
    </w:p>
    <w:p>
      <w:pPr>
        <w:adjustRightInd w:val="0"/>
        <w:snapToGrid w:val="0"/>
        <w:spacing w:line="460" w:lineRule="exact"/>
        <w:rPr>
          <w:rFonts w:ascii="宋体" w:hAnsi="宋体"/>
          <w:color w:val="auto"/>
          <w:sz w:val="24"/>
        </w:rPr>
      </w:pPr>
      <w:r>
        <w:rPr>
          <w:rFonts w:ascii="宋体" w:hAnsi="宋体"/>
          <w:color w:val="auto"/>
          <w:sz w:val="24"/>
        </w:rPr>
        <w:t>致：</w:t>
      </w:r>
      <w:r>
        <w:rPr>
          <w:rFonts w:ascii="宋体" w:hAnsi="宋体"/>
          <w:color w:val="auto"/>
          <w:sz w:val="24"/>
          <w:u w:val="single"/>
        </w:rPr>
        <w:t xml:space="preserve">            </w:t>
      </w:r>
      <w:r>
        <w:rPr>
          <w:rFonts w:ascii="宋体" w:hAnsi="宋体"/>
          <w:color w:val="auto"/>
          <w:sz w:val="24"/>
        </w:rPr>
        <w:t>（发包人全称）</w:t>
      </w:r>
    </w:p>
    <w:p>
      <w:pPr>
        <w:adjustRightInd w:val="0"/>
        <w:snapToGrid w:val="0"/>
        <w:spacing w:line="460" w:lineRule="exact"/>
        <w:ind w:firstLine="430"/>
        <w:rPr>
          <w:rFonts w:ascii="宋体" w:hAnsi="宋体"/>
          <w:color w:val="auto"/>
          <w:sz w:val="24"/>
        </w:rPr>
      </w:pPr>
      <w:r>
        <w:rPr>
          <w:rFonts w:ascii="宋体" w:hAnsi="宋体"/>
          <w:color w:val="auto"/>
          <w:sz w:val="24"/>
        </w:rPr>
        <w:t>鉴于</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服务方</w:t>
      </w:r>
      <w:r>
        <w:rPr>
          <w:rFonts w:ascii="宋体" w:hAnsi="宋体"/>
          <w:color w:val="auto"/>
          <w:sz w:val="24"/>
        </w:rPr>
        <w:t>全称）（下称“</w:t>
      </w:r>
      <w:r>
        <w:rPr>
          <w:rFonts w:hint="eastAsia" w:ascii="宋体" w:hAnsi="宋体"/>
          <w:color w:val="auto"/>
          <w:sz w:val="24"/>
        </w:rPr>
        <w:t>服务方</w:t>
      </w:r>
      <w:r>
        <w:rPr>
          <w:rFonts w:ascii="宋体" w:hAnsi="宋体"/>
          <w:color w:val="auto"/>
          <w:sz w:val="24"/>
        </w:rPr>
        <w:t>”）将与</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（发包人全称）（下称“发包人”）签订</w:t>
      </w:r>
      <w:r>
        <w:rPr>
          <w:rFonts w:hint="eastAsia" w:ascii="宋体" w:hAnsi="宋体"/>
          <w:color w:val="auto"/>
          <w:sz w:val="24"/>
          <w:u w:val="single"/>
        </w:rPr>
        <w:t xml:space="preserve">  </w:t>
      </w:r>
      <w:r>
        <w:rPr>
          <w:rFonts w:hint="eastAsia" w:ascii="宋体" w:hAnsi="宋体"/>
          <w:color w:val="auto"/>
          <w:sz w:val="24"/>
          <w:u w:val="single"/>
          <w:lang w:eastAsia="zh-CN"/>
        </w:rPr>
        <w:t>重庆渝合高速公路有限公司2021-2024年运营保险项目（第二次）</w:t>
      </w:r>
      <w:r>
        <w:rPr>
          <w:rFonts w:hint="eastAsia" w:ascii="宋体" w:hAnsi="宋体"/>
          <w:color w:val="auto"/>
          <w:sz w:val="24"/>
          <w:u w:val="single"/>
        </w:rPr>
        <w:t xml:space="preserve"> </w:t>
      </w:r>
      <w:r>
        <w:rPr>
          <w:rFonts w:ascii="宋体" w:hAnsi="宋体"/>
          <w:color w:val="auto"/>
          <w:sz w:val="24"/>
        </w:rPr>
        <w:t>合同协议书，我方愿意无条件地、不可撤销地就</w:t>
      </w:r>
      <w:r>
        <w:rPr>
          <w:rFonts w:hint="eastAsia" w:ascii="宋体" w:hAnsi="宋体"/>
          <w:color w:val="auto"/>
          <w:sz w:val="24"/>
        </w:rPr>
        <w:t>服务方</w:t>
      </w:r>
      <w:r>
        <w:rPr>
          <w:rFonts w:ascii="宋体" w:hAnsi="宋体"/>
          <w:color w:val="auto"/>
          <w:sz w:val="24"/>
        </w:rPr>
        <w:t>履行与你方订立的合同，向你方提供担保。</w:t>
      </w:r>
    </w:p>
    <w:p>
      <w:pPr>
        <w:adjustRightInd w:val="0"/>
        <w:snapToGrid w:val="0"/>
        <w:spacing w:line="460" w:lineRule="exact"/>
        <w:ind w:left="430"/>
        <w:rPr>
          <w:rFonts w:ascii="宋体" w:hAnsi="宋体"/>
          <w:color w:val="auto"/>
          <w:sz w:val="24"/>
        </w:rPr>
      </w:pPr>
      <w:r>
        <w:rPr>
          <w:rFonts w:ascii="宋体" w:hAnsi="宋体"/>
          <w:color w:val="auto"/>
          <w:sz w:val="24"/>
        </w:rPr>
        <w:t>1. 担保金额为人民币（大写）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元）。</w:t>
      </w:r>
    </w:p>
    <w:p>
      <w:pPr>
        <w:adjustRightInd w:val="0"/>
        <w:snapToGrid w:val="0"/>
        <w:spacing w:line="460" w:lineRule="exact"/>
        <w:ind w:firstLine="430"/>
        <w:rPr>
          <w:rFonts w:ascii="宋体" w:hAnsi="宋体"/>
          <w:color w:val="auto"/>
          <w:sz w:val="24"/>
        </w:rPr>
      </w:pPr>
      <w:r>
        <w:rPr>
          <w:rFonts w:ascii="宋体" w:hAnsi="宋体"/>
          <w:color w:val="auto"/>
          <w:sz w:val="24"/>
        </w:rPr>
        <w:t>2. 担保有效期自发包人与</w:t>
      </w:r>
      <w:r>
        <w:rPr>
          <w:rFonts w:hint="eastAsia" w:ascii="宋体" w:hAnsi="宋体"/>
          <w:color w:val="auto"/>
          <w:sz w:val="24"/>
        </w:rPr>
        <w:t>服务方</w:t>
      </w:r>
      <w:r>
        <w:rPr>
          <w:rFonts w:ascii="宋体" w:hAnsi="宋体"/>
          <w:color w:val="auto"/>
          <w:sz w:val="24"/>
        </w:rPr>
        <w:t>签订的合同生效之日起至</w:t>
      </w:r>
      <w:r>
        <w:rPr>
          <w:rFonts w:hint="eastAsia" w:ascii="宋体" w:hAnsi="宋体"/>
          <w:color w:val="auto"/>
          <w:sz w:val="24"/>
        </w:rPr>
        <w:t>合同履行完毕失效止</w:t>
      </w:r>
      <w:r>
        <w:rPr>
          <w:rFonts w:ascii="宋体" w:hAnsi="宋体"/>
          <w:color w:val="auto"/>
          <w:sz w:val="24"/>
        </w:rPr>
        <w:t>。</w:t>
      </w:r>
    </w:p>
    <w:p>
      <w:pPr>
        <w:adjustRightInd w:val="0"/>
        <w:snapToGrid w:val="0"/>
        <w:spacing w:line="460" w:lineRule="exact"/>
        <w:ind w:firstLine="430"/>
        <w:rPr>
          <w:rFonts w:ascii="宋体" w:hAnsi="宋体"/>
          <w:color w:val="auto"/>
          <w:sz w:val="24"/>
        </w:rPr>
      </w:pPr>
      <w:r>
        <w:rPr>
          <w:rFonts w:ascii="宋体" w:hAnsi="宋体"/>
          <w:color w:val="auto"/>
          <w:sz w:val="24"/>
        </w:rPr>
        <w:t>3. 在本担保有效期内，因</w:t>
      </w:r>
      <w:r>
        <w:rPr>
          <w:rFonts w:hint="eastAsia" w:ascii="宋体" w:hAnsi="宋体"/>
          <w:color w:val="auto"/>
          <w:sz w:val="24"/>
        </w:rPr>
        <w:t>服务方</w:t>
      </w:r>
      <w:r>
        <w:rPr>
          <w:rFonts w:ascii="宋体" w:hAnsi="宋体"/>
          <w:color w:val="auto"/>
          <w:sz w:val="24"/>
        </w:rPr>
        <w:t>违反合同约定的义务给你方造成经济损失时，我方在收到你方以书面形式提出的在担保金额内的赔偿要求后，在7天内无条件支付，无须你方出具证明或陈述理由。</w:t>
      </w:r>
    </w:p>
    <w:p>
      <w:pPr>
        <w:adjustRightInd w:val="0"/>
        <w:snapToGrid w:val="0"/>
        <w:spacing w:line="460" w:lineRule="exact"/>
        <w:ind w:firstLine="430"/>
        <w:rPr>
          <w:rFonts w:ascii="宋体" w:hAnsi="宋体"/>
          <w:color w:val="auto"/>
          <w:sz w:val="24"/>
        </w:rPr>
      </w:pPr>
      <w:r>
        <w:rPr>
          <w:rFonts w:ascii="宋体" w:hAnsi="宋体"/>
          <w:color w:val="auto"/>
          <w:sz w:val="24"/>
        </w:rPr>
        <w:t>4. 发包人和</w:t>
      </w:r>
      <w:r>
        <w:rPr>
          <w:rFonts w:hint="eastAsia" w:ascii="宋体" w:hAnsi="宋体"/>
          <w:color w:val="auto"/>
          <w:sz w:val="24"/>
        </w:rPr>
        <w:t>服务方</w:t>
      </w:r>
      <w:r>
        <w:rPr>
          <w:rFonts w:ascii="宋体" w:hAnsi="宋体"/>
          <w:color w:val="auto"/>
          <w:sz w:val="24"/>
        </w:rPr>
        <w:t>对合同条款进行任何修改或补充，我方承担本保函规定的义务不变。</w:t>
      </w:r>
    </w:p>
    <w:p>
      <w:pPr>
        <w:adjustRightInd w:val="0"/>
        <w:snapToGrid w:val="0"/>
        <w:spacing w:line="460" w:lineRule="exact"/>
        <w:ind w:firstLine="430"/>
        <w:rPr>
          <w:rFonts w:ascii="宋体" w:hAnsi="宋体"/>
          <w:color w:val="auto"/>
          <w:sz w:val="24"/>
        </w:rPr>
      </w:pPr>
    </w:p>
    <w:p>
      <w:pPr>
        <w:adjustRightInd w:val="0"/>
        <w:snapToGrid w:val="0"/>
        <w:spacing w:line="460" w:lineRule="exact"/>
        <w:rPr>
          <w:rFonts w:ascii="宋体" w:hAnsi="宋体"/>
          <w:color w:val="auto"/>
          <w:sz w:val="24"/>
          <w:u w:val="single"/>
        </w:rPr>
      </w:pPr>
      <w:r>
        <w:rPr>
          <w:rFonts w:ascii="宋体" w:hAnsi="宋体"/>
          <w:color w:val="auto"/>
          <w:sz w:val="24"/>
        </w:rPr>
        <w:t xml:space="preserve">                                   担保银行：</w:t>
      </w:r>
      <w:r>
        <w:rPr>
          <w:rFonts w:ascii="宋体" w:hAnsi="宋体"/>
          <w:color w:val="auto"/>
          <w:sz w:val="24"/>
          <w:u w:val="single"/>
        </w:rPr>
        <w:t xml:space="preserve">  （银行全称）  （盖单位章）  </w:t>
      </w:r>
    </w:p>
    <w:p>
      <w:pPr>
        <w:adjustRightInd w:val="0"/>
        <w:snapToGrid w:val="0"/>
        <w:spacing w:line="460" w:lineRule="exact"/>
        <w:rPr>
          <w:rFonts w:ascii="宋体" w:hAnsi="宋体"/>
          <w:color w:val="auto"/>
          <w:sz w:val="24"/>
        </w:rPr>
      </w:pPr>
      <w:r>
        <w:rPr>
          <w:rFonts w:ascii="宋体" w:hAnsi="宋体"/>
          <w:color w:val="auto"/>
          <w:sz w:val="24"/>
        </w:rPr>
        <w:t xml:space="preserve">                                   法定</w:t>
      </w:r>
      <w:r>
        <w:rPr>
          <w:rFonts w:hint="eastAsia" w:ascii="宋体" w:hAnsi="宋体"/>
          <w:color w:val="auto"/>
          <w:sz w:val="24"/>
        </w:rPr>
        <w:t>负责</w:t>
      </w:r>
      <w:r>
        <w:rPr>
          <w:rFonts w:ascii="宋体" w:hAnsi="宋体"/>
          <w:color w:val="auto"/>
          <w:sz w:val="24"/>
        </w:rPr>
        <w:t>人</w:t>
      </w:r>
    </w:p>
    <w:p>
      <w:pPr>
        <w:adjustRightInd w:val="0"/>
        <w:snapToGrid w:val="0"/>
        <w:spacing w:line="460" w:lineRule="exact"/>
        <w:rPr>
          <w:rFonts w:ascii="宋体" w:hAnsi="宋体"/>
          <w:color w:val="auto"/>
          <w:sz w:val="24"/>
        </w:rPr>
      </w:pPr>
      <w:r>
        <w:rPr>
          <w:rFonts w:ascii="宋体" w:hAnsi="宋体"/>
          <w:color w:val="auto"/>
          <w:sz w:val="24"/>
        </w:rPr>
        <w:t xml:space="preserve">                                   或</w:t>
      </w:r>
    </w:p>
    <w:p>
      <w:pPr>
        <w:adjustRightInd w:val="0"/>
        <w:snapToGrid w:val="0"/>
        <w:spacing w:line="460" w:lineRule="exact"/>
        <w:rPr>
          <w:rFonts w:ascii="宋体" w:hAnsi="宋体"/>
          <w:color w:val="auto"/>
          <w:sz w:val="24"/>
          <w:u w:val="single"/>
        </w:rPr>
      </w:pPr>
      <w:r>
        <w:rPr>
          <w:rFonts w:ascii="宋体" w:hAnsi="宋体"/>
          <w:color w:val="auto"/>
          <w:sz w:val="24"/>
        </w:rPr>
        <w:t xml:space="preserve">                                   其委托代理人：</w:t>
      </w:r>
      <w:r>
        <w:rPr>
          <w:rFonts w:ascii="宋体" w:hAnsi="宋体"/>
          <w:color w:val="auto"/>
          <w:sz w:val="24"/>
          <w:u w:val="single"/>
        </w:rPr>
        <w:t xml:space="preserve">   （职务）  </w:t>
      </w:r>
    </w:p>
    <w:p>
      <w:pPr>
        <w:adjustRightInd w:val="0"/>
        <w:snapToGrid w:val="0"/>
        <w:spacing w:line="460" w:lineRule="exact"/>
        <w:rPr>
          <w:rFonts w:ascii="宋体" w:hAnsi="宋体"/>
          <w:color w:val="auto"/>
          <w:sz w:val="24"/>
          <w:u w:val="single"/>
        </w:rPr>
      </w:pPr>
      <w:r>
        <w:rPr>
          <w:rFonts w:ascii="宋体" w:hAnsi="宋体"/>
          <w:color w:val="auto"/>
          <w:sz w:val="24"/>
        </w:rPr>
        <w:t xml:space="preserve">                                                  </w:t>
      </w:r>
      <w:r>
        <w:rPr>
          <w:rFonts w:ascii="宋体" w:hAnsi="宋体"/>
          <w:color w:val="auto"/>
          <w:sz w:val="24"/>
          <w:u w:val="single"/>
        </w:rPr>
        <w:t xml:space="preserve">   （姓名）  </w:t>
      </w:r>
    </w:p>
    <w:p>
      <w:pPr>
        <w:adjustRightInd w:val="0"/>
        <w:snapToGrid w:val="0"/>
        <w:spacing w:line="460" w:lineRule="exact"/>
        <w:rPr>
          <w:rFonts w:ascii="宋体" w:hAnsi="宋体"/>
          <w:color w:val="auto"/>
          <w:sz w:val="24"/>
          <w:u w:val="single"/>
        </w:rPr>
      </w:pPr>
      <w:r>
        <w:rPr>
          <w:rFonts w:ascii="宋体" w:hAnsi="宋体"/>
          <w:color w:val="auto"/>
          <w:sz w:val="24"/>
        </w:rPr>
        <w:t xml:space="preserve">                                                  </w:t>
      </w:r>
      <w:r>
        <w:rPr>
          <w:rFonts w:ascii="宋体" w:hAnsi="宋体"/>
          <w:color w:val="auto"/>
          <w:sz w:val="24"/>
          <w:u w:val="single"/>
        </w:rPr>
        <w:t xml:space="preserve">   （签字</w:t>
      </w:r>
      <w:r>
        <w:rPr>
          <w:rFonts w:hint="eastAsia" w:ascii="宋体" w:hAnsi="宋体"/>
          <w:color w:val="auto"/>
          <w:sz w:val="24"/>
          <w:u w:val="single"/>
          <w:lang w:val="en-US" w:eastAsia="zh-CN"/>
        </w:rPr>
        <w:t>或签章</w:t>
      </w:r>
      <w:r>
        <w:rPr>
          <w:rFonts w:ascii="宋体" w:hAnsi="宋体"/>
          <w:color w:val="auto"/>
          <w:sz w:val="24"/>
          <w:u w:val="single"/>
        </w:rPr>
        <w:t xml:space="preserve">）  </w:t>
      </w:r>
    </w:p>
    <w:p>
      <w:pPr>
        <w:adjustRightInd w:val="0"/>
        <w:snapToGrid w:val="0"/>
        <w:spacing w:line="460" w:lineRule="exact"/>
        <w:rPr>
          <w:rFonts w:ascii="宋体" w:hAnsi="宋体"/>
          <w:color w:val="auto"/>
          <w:sz w:val="24"/>
        </w:rPr>
      </w:pPr>
      <w:r>
        <w:rPr>
          <w:rFonts w:ascii="宋体" w:hAnsi="宋体"/>
          <w:color w:val="auto"/>
          <w:sz w:val="24"/>
        </w:rPr>
        <w:t>地    址：</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u w:val="single"/>
        </w:rPr>
        <w:t xml:space="preserve">              </w:t>
      </w:r>
    </w:p>
    <w:p>
      <w:pPr>
        <w:adjustRightInd w:val="0"/>
        <w:snapToGrid w:val="0"/>
        <w:spacing w:line="460" w:lineRule="exact"/>
        <w:rPr>
          <w:rFonts w:ascii="宋体" w:hAnsi="宋体"/>
          <w:color w:val="auto"/>
          <w:sz w:val="24"/>
        </w:rPr>
      </w:pPr>
      <w:r>
        <w:rPr>
          <w:rFonts w:ascii="宋体" w:hAnsi="宋体"/>
          <w:color w:val="auto"/>
          <w:sz w:val="24"/>
        </w:rPr>
        <w:t>邮政编码：</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p>
    <w:p>
      <w:pPr>
        <w:adjustRightInd w:val="0"/>
        <w:snapToGrid w:val="0"/>
        <w:spacing w:line="460" w:lineRule="exact"/>
        <w:rPr>
          <w:rFonts w:ascii="宋体" w:hAnsi="宋体"/>
          <w:color w:val="auto"/>
          <w:sz w:val="24"/>
        </w:rPr>
      </w:pPr>
      <w:r>
        <w:rPr>
          <w:rFonts w:ascii="宋体" w:hAnsi="宋体"/>
          <w:color w:val="auto"/>
          <w:sz w:val="24"/>
        </w:rPr>
        <w:t>电    话：</w:t>
      </w:r>
      <w:r>
        <w:rPr>
          <w:rFonts w:ascii="宋体" w:hAnsi="宋体"/>
          <w:color w:val="auto"/>
          <w:sz w:val="24"/>
          <w:u w:val="single"/>
        </w:rPr>
        <w:t xml:space="preserve">                             </w:t>
      </w:r>
    </w:p>
    <w:p>
      <w:pPr>
        <w:adjustRightInd w:val="0"/>
        <w:snapToGrid w:val="0"/>
        <w:spacing w:line="460" w:lineRule="exact"/>
        <w:rPr>
          <w:rFonts w:ascii="宋体" w:hAnsi="宋体"/>
          <w:color w:val="auto"/>
          <w:sz w:val="24"/>
        </w:rPr>
      </w:pPr>
      <w:r>
        <w:rPr>
          <w:rFonts w:ascii="宋体" w:hAnsi="宋体"/>
          <w:color w:val="auto"/>
          <w:sz w:val="24"/>
        </w:rPr>
        <w:t>传    真：</w:t>
      </w:r>
      <w:r>
        <w:rPr>
          <w:rFonts w:ascii="宋体" w:hAnsi="宋体"/>
          <w:color w:val="auto"/>
          <w:sz w:val="24"/>
          <w:u w:val="single"/>
        </w:rPr>
        <w:t xml:space="preserve">                             </w:t>
      </w:r>
    </w:p>
    <w:p>
      <w:pPr>
        <w:spacing w:line="460" w:lineRule="exact"/>
        <w:rPr>
          <w:rFonts w:ascii="宋体" w:hAnsi="宋体"/>
          <w:color w:val="auto"/>
          <w:sz w:val="24"/>
        </w:rPr>
      </w:pPr>
      <w:r>
        <w:rPr>
          <w:rFonts w:ascii="宋体" w:hAnsi="宋体"/>
          <w:color w:val="auto"/>
          <w:sz w:val="24"/>
        </w:rPr>
        <w:t xml:space="preserve">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pStyle w:val="84"/>
        <w:rPr>
          <w:rFonts w:ascii="Times New Roman" w:hAnsi="Times New Roman" w:eastAsia="黑体"/>
          <w:color w:val="auto"/>
          <w:sz w:val="36"/>
          <w:szCs w:val="36"/>
        </w:rPr>
      </w:pPr>
      <w:r>
        <w:rPr>
          <w:rFonts w:ascii="宋体" w:hAnsi="宋体"/>
          <w:color w:val="auto"/>
          <w:sz w:val="28"/>
        </w:rPr>
        <w:br w:type="page"/>
      </w:r>
      <w:bookmarkStart w:id="184" w:name="_Toc29796227"/>
      <w:r>
        <w:rPr>
          <w:rFonts w:hint="eastAsia" w:ascii="Times New Roman" w:hAnsi="Times New Roman" w:eastAsia="黑体"/>
          <w:color w:val="auto"/>
          <w:sz w:val="36"/>
          <w:szCs w:val="36"/>
        </w:rPr>
        <w:t>第五章 发包人要求</w:t>
      </w:r>
      <w:bookmarkEnd w:id="184"/>
    </w:p>
    <w:p>
      <w:pPr>
        <w:rPr>
          <w:color w:val="auto"/>
        </w:rPr>
      </w:pPr>
    </w:p>
    <w:p>
      <w:pPr>
        <w:adjustRightInd w:val="0"/>
        <w:snapToGrid w:val="0"/>
        <w:spacing w:line="360" w:lineRule="auto"/>
        <w:ind w:firstLine="2891" w:firstLineChars="1200"/>
        <w:rPr>
          <w:rFonts w:ascii="宋体" w:hAnsi="宋体" w:cs="Arial"/>
          <w:b/>
          <w:bCs/>
          <w:caps/>
          <w:color w:val="auto"/>
          <w:sz w:val="24"/>
        </w:rPr>
      </w:pPr>
      <w:r>
        <w:rPr>
          <w:rFonts w:hint="eastAsia" w:ascii="宋体" w:hAnsi="宋体"/>
          <w:b/>
          <w:bCs/>
          <w:color w:val="auto"/>
          <w:sz w:val="24"/>
        </w:rPr>
        <w:t>20</w:t>
      </w:r>
      <w:r>
        <w:rPr>
          <w:rFonts w:ascii="宋体" w:hAnsi="宋体"/>
          <w:b/>
          <w:bCs/>
          <w:color w:val="auto"/>
          <w:sz w:val="24"/>
        </w:rPr>
        <w:t>21</w:t>
      </w:r>
      <w:r>
        <w:rPr>
          <w:rFonts w:hint="eastAsia" w:ascii="宋体" w:hAnsi="宋体"/>
          <w:b/>
          <w:bCs/>
          <w:color w:val="auto"/>
          <w:sz w:val="24"/>
        </w:rPr>
        <w:t xml:space="preserve">-2024 财产一切险 </w:t>
      </w:r>
    </w:p>
    <w:tbl>
      <w:tblPr>
        <w:tblStyle w:val="88"/>
        <w:tblW w:w="0" w:type="auto"/>
        <w:tblCellSpacing w:w="11"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537" w:type="dxa"/>
          </w:tcPr>
          <w:p>
            <w:pPr>
              <w:tabs>
                <w:tab w:val="left" w:pos="2340"/>
              </w:tabs>
              <w:spacing w:line="320" w:lineRule="exact"/>
              <w:rPr>
                <w:rFonts w:ascii="宋体" w:hAnsi="宋体" w:cs="Arial"/>
                <w:b/>
                <w:color w:val="auto"/>
                <w:lang w:val="en-GB"/>
              </w:rPr>
            </w:pPr>
            <w:r>
              <w:rPr>
                <w:rFonts w:ascii="宋体" w:hAnsi="宋体" w:cs="Arial"/>
                <w:b/>
                <w:color w:val="auto"/>
                <w:lang w:val="en-GB"/>
              </w:rPr>
              <w:t xml:space="preserve">投保人： </w:t>
            </w:r>
          </w:p>
        </w:tc>
        <w:tc>
          <w:tcPr>
            <w:tcW w:w="7338" w:type="dxa"/>
          </w:tcPr>
          <w:p>
            <w:pPr>
              <w:rPr>
                <w:rFonts w:ascii="宋体" w:hAnsi="宋体" w:cs="Arial"/>
                <w:color w:val="auto"/>
              </w:rPr>
            </w:pPr>
            <w:r>
              <w:rPr>
                <w:rFonts w:ascii="宋体" w:hAnsi="宋体" w:cs="Arial"/>
                <w:color w:val="auto"/>
                <w:szCs w:val="21"/>
              </w:rPr>
              <w:t>重庆渝合高速公路有限公司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537" w:type="dxa"/>
          </w:tcPr>
          <w:p>
            <w:pPr>
              <w:tabs>
                <w:tab w:val="left" w:pos="2340"/>
              </w:tabs>
              <w:spacing w:line="320" w:lineRule="exact"/>
              <w:rPr>
                <w:rFonts w:ascii="宋体" w:hAnsi="宋体" w:cs="Arial"/>
                <w:b/>
                <w:color w:val="auto"/>
              </w:rPr>
            </w:pPr>
            <w:r>
              <w:rPr>
                <w:rFonts w:ascii="宋体" w:hAnsi="宋体" w:cs="Arial"/>
                <w:b/>
                <w:color w:val="auto"/>
              </w:rPr>
              <w:t>保险地址：</w:t>
            </w:r>
          </w:p>
        </w:tc>
        <w:tc>
          <w:tcPr>
            <w:tcW w:w="7338" w:type="dxa"/>
          </w:tcPr>
          <w:p>
            <w:pPr>
              <w:tabs>
                <w:tab w:val="left" w:pos="2340"/>
              </w:tabs>
              <w:spacing w:line="320" w:lineRule="exact"/>
              <w:rPr>
                <w:rFonts w:ascii="宋体" w:hAnsi="宋体" w:cs="Arial"/>
                <w:color w:val="auto"/>
                <w:lang w:val="en-GB"/>
              </w:rPr>
            </w:pPr>
            <w:r>
              <w:rPr>
                <w:rFonts w:ascii="宋体" w:hAnsi="宋体" w:cs="Arial"/>
                <w:color w:val="auto"/>
                <w:lang w:val="en-GB"/>
              </w:rPr>
              <w:t>1.重庆市渝北区银杉路66号</w:t>
            </w:r>
          </w:p>
          <w:p>
            <w:pPr>
              <w:tabs>
                <w:tab w:val="left" w:pos="2340"/>
              </w:tabs>
              <w:spacing w:line="320" w:lineRule="exact"/>
              <w:rPr>
                <w:rFonts w:ascii="宋体" w:hAnsi="宋体" w:cs="Arial"/>
                <w:color w:val="auto"/>
                <w:lang w:val="en-GB"/>
              </w:rPr>
            </w:pPr>
            <w:r>
              <w:rPr>
                <w:rFonts w:ascii="宋体" w:hAnsi="宋体" w:cs="Arial"/>
                <w:color w:val="auto"/>
                <w:lang w:val="en-GB"/>
              </w:rPr>
              <w:t>2.重庆渝合高速公路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537" w:type="dxa"/>
          </w:tcPr>
          <w:p>
            <w:pPr>
              <w:tabs>
                <w:tab w:val="left" w:pos="2340"/>
              </w:tabs>
              <w:spacing w:line="320" w:lineRule="exact"/>
              <w:rPr>
                <w:rFonts w:ascii="宋体" w:hAnsi="宋体" w:cs="Arial"/>
                <w:b/>
                <w:color w:val="auto"/>
              </w:rPr>
            </w:pPr>
            <w:r>
              <w:rPr>
                <w:rFonts w:ascii="宋体" w:hAnsi="宋体" w:cs="Arial"/>
                <w:b/>
                <w:color w:val="auto"/>
              </w:rPr>
              <w:t xml:space="preserve">营业性质： </w:t>
            </w:r>
          </w:p>
        </w:tc>
        <w:tc>
          <w:tcPr>
            <w:tcW w:w="7338" w:type="dxa"/>
          </w:tcPr>
          <w:p>
            <w:pPr>
              <w:tabs>
                <w:tab w:val="left" w:pos="2340"/>
              </w:tabs>
              <w:spacing w:line="320" w:lineRule="exact"/>
              <w:rPr>
                <w:rFonts w:ascii="宋体" w:hAnsi="宋体" w:cs="Arial"/>
                <w:color w:val="auto"/>
                <w:szCs w:val="21"/>
              </w:rPr>
            </w:pPr>
            <w:r>
              <w:rPr>
                <w:rFonts w:ascii="宋体" w:hAnsi="宋体" w:cs="Arial"/>
                <w:color w:val="auto"/>
                <w:szCs w:val="21"/>
              </w:rPr>
              <w:t>所有业务项目包括但不限于重庆渝合高速公路的运营、管理、及维护等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537" w:type="dxa"/>
          </w:tcPr>
          <w:p>
            <w:pPr>
              <w:tabs>
                <w:tab w:val="left" w:pos="2340"/>
              </w:tabs>
              <w:spacing w:line="320" w:lineRule="exact"/>
              <w:rPr>
                <w:rFonts w:ascii="宋体" w:hAnsi="宋体" w:cs="Arial"/>
                <w:b/>
                <w:color w:val="auto"/>
              </w:rPr>
            </w:pPr>
            <w:r>
              <w:rPr>
                <w:rFonts w:ascii="宋体" w:hAnsi="宋体" w:cs="Arial"/>
                <w:b/>
                <w:color w:val="auto"/>
              </w:rPr>
              <w:t>保险利益：</w:t>
            </w:r>
          </w:p>
        </w:tc>
        <w:tc>
          <w:tcPr>
            <w:tcW w:w="7338" w:type="dxa"/>
          </w:tcPr>
          <w:p>
            <w:pPr>
              <w:tabs>
                <w:tab w:val="left" w:pos="2340"/>
              </w:tabs>
              <w:spacing w:line="320" w:lineRule="exact"/>
              <w:rPr>
                <w:rFonts w:ascii="宋体" w:hAnsi="宋体" w:cs="Arial"/>
                <w:color w:val="auto"/>
                <w:szCs w:val="21"/>
              </w:rPr>
            </w:pPr>
            <w:r>
              <w:rPr>
                <w:rFonts w:ascii="宋体" w:hAnsi="宋体" w:cs="Arial"/>
                <w:color w:val="auto"/>
                <w:szCs w:val="21"/>
              </w:rPr>
              <w:t>所有属于被保险人或由被保险人照管或控制而需负责之各种类型的财产，包括但不限于：公路（包括路面、路基）道路网络，桥梁与隧道，立交或高架桥，护土坡，排水系统，广告牌，标志牌，防眩板，绿化带，建筑物及楼房之装修和附属设施，电力系统，空调系统，监控系统，通讯系统等其他公路沿线服务配套设施/设备，收费亭/站，以及其他属于被保险人或由被保险人照管或控制而需负责之各种类型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537" w:type="dxa"/>
          </w:tcPr>
          <w:p>
            <w:pPr>
              <w:tabs>
                <w:tab w:val="left" w:pos="2340"/>
              </w:tabs>
              <w:spacing w:line="320" w:lineRule="exact"/>
              <w:rPr>
                <w:rFonts w:ascii="宋体" w:hAnsi="宋体" w:cs="Arial"/>
                <w:b/>
                <w:color w:val="auto"/>
              </w:rPr>
            </w:pPr>
            <w:r>
              <w:rPr>
                <w:rFonts w:ascii="宋体" w:hAnsi="宋体" w:cs="Arial"/>
                <w:b/>
                <w:color w:val="auto"/>
              </w:rPr>
              <w:t>保险金额：</w:t>
            </w:r>
          </w:p>
          <w:p>
            <w:pPr>
              <w:tabs>
                <w:tab w:val="left" w:pos="2340"/>
              </w:tabs>
              <w:spacing w:line="320" w:lineRule="exact"/>
              <w:rPr>
                <w:rFonts w:ascii="宋体" w:hAnsi="宋体" w:cs="Arial"/>
                <w:b/>
                <w:color w:val="auto"/>
              </w:rPr>
            </w:pPr>
          </w:p>
        </w:tc>
        <w:tc>
          <w:tcPr>
            <w:tcW w:w="7338" w:type="dxa"/>
          </w:tcPr>
          <w:p>
            <w:pPr>
              <w:tabs>
                <w:tab w:val="left" w:pos="9245"/>
              </w:tabs>
              <w:spacing w:line="320" w:lineRule="exact"/>
              <w:rPr>
                <w:rFonts w:ascii="宋体" w:hAnsi="宋体" w:cs="Arial"/>
                <w:b/>
                <w:color w:val="auto"/>
                <w:szCs w:val="21"/>
              </w:rPr>
            </w:pPr>
            <w:r>
              <w:rPr>
                <w:rFonts w:hint="eastAsia" w:ascii="宋体" w:hAnsi="宋体" w:cs="Arial"/>
                <w:b/>
                <w:color w:val="auto"/>
                <w:szCs w:val="21"/>
              </w:rPr>
              <w:t>总保险金额（包含路基、桥梁、隧道等资产，详见清单）：</w:t>
            </w:r>
          </w:p>
          <w:p>
            <w:pPr>
              <w:tabs>
                <w:tab w:val="left" w:pos="9245"/>
              </w:tabs>
              <w:spacing w:line="320" w:lineRule="exact"/>
              <w:rPr>
                <w:rFonts w:ascii="宋体" w:hAnsi="宋体" w:cs="Arial"/>
                <w:i/>
                <w:color w:val="auto"/>
                <w:szCs w:val="21"/>
                <w:u w:val="single"/>
              </w:rPr>
            </w:pPr>
            <w:r>
              <w:rPr>
                <w:rFonts w:ascii="宋体" w:hAnsi="宋体" w:cs="Arial"/>
                <w:b/>
                <w:color w:val="auto"/>
                <w:kern w:val="0"/>
                <w:sz w:val="20"/>
              </w:rPr>
              <w:t xml:space="preserve">RMB </w:t>
            </w:r>
            <w:r>
              <w:rPr>
                <w:rFonts w:ascii="宋体" w:hAnsi="宋体" w:cs="Arial"/>
                <w:color w:val="auto"/>
                <w:kern w:val="0"/>
                <w:szCs w:val="21"/>
              </w:rPr>
              <w:t xml:space="preserve"> </w:t>
            </w:r>
            <w:r>
              <w:rPr>
                <w:rFonts w:ascii="宋体" w:hAnsi="宋体" w:cs="Arial"/>
                <w:b/>
                <w:color w:val="auto"/>
                <w:kern w:val="0"/>
                <w:szCs w:val="21"/>
              </w:rPr>
              <w:t xml:space="preserve">RMB </w:t>
            </w:r>
            <w:r>
              <w:rPr>
                <w:rFonts w:hint="eastAsia" w:ascii="宋体" w:hAnsi="宋体" w:cs="Arial"/>
                <w:b/>
                <w:color w:val="auto"/>
                <w:kern w:val="0"/>
                <w:szCs w:val="21"/>
              </w:rPr>
              <w:t>2</w:t>
            </w:r>
            <w:r>
              <w:rPr>
                <w:rFonts w:ascii="宋体" w:hAnsi="宋体" w:cs="Arial"/>
                <w:b/>
                <w:color w:val="auto"/>
                <w:kern w:val="0"/>
                <w:szCs w:val="21"/>
              </w:rPr>
              <w:t>,</w:t>
            </w:r>
            <w:r>
              <w:rPr>
                <w:rFonts w:hint="eastAsia" w:ascii="宋体" w:hAnsi="宋体" w:cs="Arial"/>
                <w:b/>
                <w:color w:val="auto"/>
                <w:kern w:val="0"/>
                <w:szCs w:val="21"/>
              </w:rPr>
              <w:t>815</w:t>
            </w:r>
            <w:r>
              <w:rPr>
                <w:rFonts w:ascii="宋体" w:hAnsi="宋体" w:cs="Arial"/>
                <w:b/>
                <w:color w:val="auto"/>
                <w:kern w:val="0"/>
                <w:szCs w:val="21"/>
              </w:rPr>
              <w:t>,</w:t>
            </w:r>
            <w:r>
              <w:rPr>
                <w:rFonts w:hint="eastAsia" w:ascii="宋体" w:hAnsi="宋体" w:cs="Arial"/>
                <w:b/>
                <w:color w:val="auto"/>
                <w:kern w:val="0"/>
                <w:szCs w:val="21"/>
              </w:rPr>
              <w:t>529</w:t>
            </w:r>
            <w:r>
              <w:rPr>
                <w:rFonts w:ascii="宋体" w:hAnsi="宋体" w:cs="Arial"/>
                <w:b/>
                <w:color w:val="auto"/>
                <w:kern w:val="0"/>
                <w:szCs w:val="21"/>
              </w:rPr>
              <w:t>,</w:t>
            </w:r>
            <w:r>
              <w:rPr>
                <w:rFonts w:hint="eastAsia" w:ascii="宋体" w:hAnsi="宋体" w:cs="Arial"/>
                <w:b/>
                <w:color w:val="auto"/>
                <w:kern w:val="0"/>
                <w:szCs w:val="21"/>
              </w:rPr>
              <w:t>558</w:t>
            </w:r>
            <w:r>
              <w:rPr>
                <w:rFonts w:ascii="宋体" w:hAnsi="宋体" w:cs="Arial"/>
                <w:b/>
                <w:color w:val="auto"/>
                <w:kern w:val="0"/>
                <w:szCs w:val="21"/>
              </w:rPr>
              <w:t>.</w:t>
            </w:r>
            <w:r>
              <w:rPr>
                <w:rFonts w:hint="eastAsia" w:ascii="宋体" w:hAnsi="宋体" w:cs="Arial"/>
                <w:b/>
                <w:color w:val="auto"/>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537" w:type="dxa"/>
          </w:tcPr>
          <w:p>
            <w:pPr>
              <w:tabs>
                <w:tab w:val="left" w:pos="2340"/>
              </w:tabs>
              <w:spacing w:line="320" w:lineRule="exact"/>
              <w:rPr>
                <w:rFonts w:ascii="宋体" w:hAnsi="宋体" w:cs="Arial"/>
                <w:b/>
                <w:color w:val="auto"/>
              </w:rPr>
            </w:pPr>
            <w:r>
              <w:rPr>
                <w:rFonts w:ascii="宋体" w:hAnsi="宋体" w:cs="Arial"/>
                <w:b/>
                <w:color w:val="auto"/>
              </w:rPr>
              <w:t>免赔额：</w:t>
            </w:r>
          </w:p>
        </w:tc>
        <w:tc>
          <w:tcPr>
            <w:tcW w:w="7338" w:type="dxa"/>
          </w:tcPr>
          <w:p>
            <w:pPr>
              <w:tabs>
                <w:tab w:val="left" w:pos="2340"/>
              </w:tabs>
              <w:spacing w:line="320" w:lineRule="exact"/>
              <w:rPr>
                <w:rFonts w:ascii="宋体" w:hAnsi="宋体" w:cs="Arial"/>
                <w:color w:val="auto"/>
                <w:szCs w:val="21"/>
              </w:rPr>
            </w:pPr>
            <w:r>
              <w:rPr>
                <w:rFonts w:ascii="宋体" w:hAnsi="宋体" w:cs="Arial"/>
                <w:b/>
                <w:color w:val="auto"/>
                <w:szCs w:val="21"/>
              </w:rPr>
              <w:t>地震：</w:t>
            </w:r>
            <w:r>
              <w:rPr>
                <w:rFonts w:ascii="宋体" w:hAnsi="宋体" w:cs="Arial"/>
                <w:color w:val="auto"/>
                <w:szCs w:val="21"/>
              </w:rPr>
              <w:t>每次事故绝对免赔额为RMB 400,000元或损失金额的20% ,以高者为准；</w:t>
            </w:r>
          </w:p>
          <w:p>
            <w:pPr>
              <w:tabs>
                <w:tab w:val="left" w:pos="2340"/>
              </w:tabs>
              <w:spacing w:line="320" w:lineRule="exact"/>
              <w:rPr>
                <w:rFonts w:ascii="宋体" w:hAnsi="宋体" w:cs="Arial"/>
                <w:color w:val="auto"/>
                <w:szCs w:val="21"/>
              </w:rPr>
            </w:pPr>
            <w:r>
              <w:rPr>
                <w:rFonts w:ascii="宋体" w:hAnsi="宋体" w:cs="Arial"/>
                <w:b/>
                <w:color w:val="auto"/>
                <w:szCs w:val="21"/>
              </w:rPr>
              <w:t xml:space="preserve">滑坡: </w:t>
            </w:r>
            <w:r>
              <w:rPr>
                <w:rFonts w:ascii="宋体" w:hAnsi="宋体" w:cs="Arial"/>
                <w:color w:val="auto"/>
                <w:szCs w:val="21"/>
              </w:rPr>
              <w:t>每次事故绝对免赔额为RMB30,000元；</w:t>
            </w:r>
          </w:p>
          <w:p>
            <w:pPr>
              <w:tabs>
                <w:tab w:val="left" w:pos="2340"/>
              </w:tabs>
              <w:spacing w:line="320" w:lineRule="exact"/>
              <w:rPr>
                <w:rFonts w:ascii="宋体" w:hAnsi="宋体" w:cs="Arial"/>
                <w:color w:val="auto"/>
              </w:rPr>
            </w:pPr>
            <w:r>
              <w:rPr>
                <w:rFonts w:ascii="宋体" w:hAnsi="宋体" w:cs="Arial"/>
                <w:b/>
                <w:color w:val="auto"/>
                <w:szCs w:val="21"/>
              </w:rPr>
              <w:t>其他风险：</w:t>
            </w:r>
            <w:r>
              <w:rPr>
                <w:rFonts w:ascii="宋体" w:hAnsi="宋体" w:cs="Arial"/>
                <w:color w:val="auto"/>
                <w:szCs w:val="21"/>
              </w:rPr>
              <w:t>每次事故绝对免赔额为RMB3,000元。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537" w:type="dxa"/>
          </w:tcPr>
          <w:p>
            <w:pPr>
              <w:tabs>
                <w:tab w:val="left" w:pos="2340"/>
              </w:tabs>
              <w:spacing w:line="320" w:lineRule="exact"/>
              <w:rPr>
                <w:rFonts w:ascii="宋体" w:hAnsi="宋体" w:cs="Arial"/>
                <w:b/>
                <w:color w:val="auto"/>
              </w:rPr>
            </w:pPr>
            <w:r>
              <w:rPr>
                <w:rFonts w:ascii="宋体" w:hAnsi="宋体" w:cs="Arial"/>
                <w:b/>
                <w:color w:val="auto"/>
              </w:rPr>
              <w:t>司法管辖：</w:t>
            </w:r>
          </w:p>
        </w:tc>
        <w:tc>
          <w:tcPr>
            <w:tcW w:w="7338" w:type="dxa"/>
            <w:vAlign w:val="center"/>
          </w:tcPr>
          <w:p>
            <w:pPr>
              <w:tabs>
                <w:tab w:val="left" w:pos="2340"/>
              </w:tabs>
              <w:spacing w:line="320" w:lineRule="exact"/>
              <w:rPr>
                <w:rFonts w:ascii="宋体" w:hAnsi="宋体" w:cs="Arial"/>
                <w:color w:val="auto"/>
              </w:rPr>
            </w:pPr>
            <w:r>
              <w:rPr>
                <w:rFonts w:ascii="宋体" w:hAnsi="宋体" w:cs="Arial"/>
                <w:color w:val="auto"/>
              </w:rPr>
              <w:t>中华人民共和国(港、澳、台除外)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blCellSpacing w:w="11" w:type="dxa"/>
        </w:trPr>
        <w:tc>
          <w:tcPr>
            <w:tcW w:w="1537" w:type="dxa"/>
          </w:tcPr>
          <w:p>
            <w:pPr>
              <w:tabs>
                <w:tab w:val="left" w:pos="2340"/>
              </w:tabs>
              <w:spacing w:line="320" w:lineRule="exact"/>
              <w:rPr>
                <w:rFonts w:ascii="宋体" w:hAnsi="宋体" w:cs="Arial"/>
                <w:b/>
                <w:color w:val="auto"/>
              </w:rPr>
            </w:pPr>
            <w:r>
              <w:rPr>
                <w:rFonts w:ascii="宋体" w:hAnsi="宋体" w:cs="Arial"/>
                <w:b/>
                <w:color w:val="auto"/>
              </w:rPr>
              <w:t>扩展条款：</w:t>
            </w:r>
          </w:p>
        </w:tc>
        <w:tc>
          <w:tcPr>
            <w:tcW w:w="7338" w:type="dxa"/>
          </w:tcPr>
          <w:p>
            <w:pPr>
              <w:numPr>
                <w:ilvl w:val="0"/>
                <w:numId w:val="7"/>
              </w:numPr>
              <w:rPr>
                <w:rFonts w:ascii="宋体" w:hAnsi="宋体" w:cs="Arial"/>
                <w:color w:val="auto"/>
                <w:szCs w:val="21"/>
              </w:rPr>
            </w:pPr>
            <w:r>
              <w:rPr>
                <w:rFonts w:ascii="宋体" w:hAnsi="宋体" w:cs="Arial"/>
                <w:color w:val="auto"/>
                <w:szCs w:val="21"/>
              </w:rPr>
              <w:t>提前90天通知解除保单条款</w:t>
            </w:r>
          </w:p>
          <w:p>
            <w:pPr>
              <w:numPr>
                <w:ilvl w:val="0"/>
                <w:numId w:val="7"/>
              </w:numPr>
              <w:rPr>
                <w:rFonts w:ascii="宋体" w:hAnsi="宋体" w:cs="Arial"/>
                <w:color w:val="auto"/>
                <w:szCs w:val="21"/>
              </w:rPr>
            </w:pPr>
            <w:r>
              <w:rPr>
                <w:rFonts w:ascii="宋体" w:hAnsi="宋体" w:cs="Arial"/>
                <w:color w:val="auto"/>
                <w:szCs w:val="21"/>
              </w:rPr>
              <w:t xml:space="preserve">所有其他物品条款（累计赔偿限额：RMB1,000,000) </w:t>
            </w:r>
          </w:p>
          <w:p>
            <w:pPr>
              <w:numPr>
                <w:ilvl w:val="0"/>
                <w:numId w:val="7"/>
              </w:numPr>
              <w:rPr>
                <w:rFonts w:ascii="宋体" w:hAnsi="宋体" w:cs="Arial"/>
                <w:color w:val="auto"/>
                <w:szCs w:val="21"/>
              </w:rPr>
            </w:pPr>
            <w:r>
              <w:rPr>
                <w:rFonts w:ascii="宋体" w:hAnsi="宋体" w:cs="Arial"/>
                <w:color w:val="auto"/>
                <w:szCs w:val="21"/>
              </w:rPr>
              <w:t>建筑物变动扩展条款(限额：合同总价以RMB5,000,000为限)</w:t>
            </w:r>
          </w:p>
          <w:p>
            <w:pPr>
              <w:numPr>
                <w:ilvl w:val="0"/>
                <w:numId w:val="7"/>
              </w:numPr>
              <w:rPr>
                <w:rFonts w:ascii="宋体" w:hAnsi="宋体" w:cs="Arial"/>
                <w:color w:val="auto"/>
                <w:szCs w:val="21"/>
              </w:rPr>
            </w:pPr>
            <w:r>
              <w:rPr>
                <w:rFonts w:ascii="宋体" w:hAnsi="宋体" w:cs="Arial"/>
                <w:color w:val="auto"/>
                <w:szCs w:val="21"/>
              </w:rPr>
              <w:t>空运费扩展条款（每次事故及累计赔偿限额：RMB5,000,000）</w:t>
            </w:r>
          </w:p>
          <w:p>
            <w:pPr>
              <w:numPr>
                <w:ilvl w:val="0"/>
                <w:numId w:val="7"/>
              </w:numPr>
              <w:rPr>
                <w:rFonts w:ascii="宋体" w:hAnsi="宋体" w:cs="Arial"/>
                <w:color w:val="auto"/>
                <w:szCs w:val="21"/>
              </w:rPr>
            </w:pPr>
            <w:r>
              <w:rPr>
                <w:rFonts w:ascii="宋体" w:hAnsi="宋体" w:cs="Arial"/>
                <w:color w:val="auto"/>
                <w:szCs w:val="21"/>
              </w:rPr>
              <w:t>增加资产扩展条款(累计限额</w:t>
            </w:r>
            <w:r>
              <w:rPr>
                <w:rFonts w:hint="eastAsia" w:ascii="宋体" w:hAnsi="宋体" w:cs="Arial"/>
                <w:color w:val="auto"/>
                <w:szCs w:val="21"/>
              </w:rPr>
              <w:t>：</w:t>
            </w:r>
            <w:r>
              <w:rPr>
                <w:rFonts w:ascii="宋体" w:hAnsi="宋体" w:cs="Arial"/>
                <w:color w:val="auto"/>
                <w:szCs w:val="21"/>
              </w:rPr>
              <w:t>保险金额的10%)</w:t>
            </w:r>
          </w:p>
          <w:p>
            <w:pPr>
              <w:numPr>
                <w:ilvl w:val="0"/>
                <w:numId w:val="7"/>
              </w:numPr>
              <w:rPr>
                <w:rFonts w:ascii="宋体" w:hAnsi="宋体" w:cs="Arial"/>
                <w:color w:val="auto"/>
                <w:szCs w:val="21"/>
              </w:rPr>
            </w:pPr>
            <w:r>
              <w:rPr>
                <w:rFonts w:ascii="宋体" w:hAnsi="宋体" w:cs="Arial"/>
                <w:color w:val="auto"/>
                <w:szCs w:val="21"/>
              </w:rPr>
              <w:t>自动承保新营业</w:t>
            </w:r>
            <w:r>
              <w:rPr>
                <w:rFonts w:hint="eastAsia" w:ascii="宋体" w:hAnsi="宋体" w:cs="Arial"/>
                <w:color w:val="auto"/>
                <w:szCs w:val="21"/>
              </w:rPr>
              <w:t>场所</w:t>
            </w:r>
            <w:r>
              <w:rPr>
                <w:rFonts w:ascii="宋体" w:hAnsi="宋体" w:cs="Arial"/>
                <w:color w:val="auto"/>
                <w:szCs w:val="21"/>
              </w:rPr>
              <w:t>(90天报告期)</w:t>
            </w:r>
          </w:p>
          <w:p>
            <w:pPr>
              <w:numPr>
                <w:ilvl w:val="0"/>
                <w:numId w:val="7"/>
              </w:numPr>
              <w:rPr>
                <w:rFonts w:ascii="宋体" w:hAnsi="宋体" w:cs="Arial"/>
                <w:color w:val="auto"/>
                <w:szCs w:val="21"/>
              </w:rPr>
            </w:pPr>
            <w:r>
              <w:rPr>
                <w:rFonts w:ascii="宋体" w:hAnsi="宋体" w:cs="Arial"/>
                <w:color w:val="auto"/>
                <w:szCs w:val="21"/>
              </w:rPr>
              <w:t>自动恢复保险金额条款</w:t>
            </w:r>
          </w:p>
          <w:p>
            <w:pPr>
              <w:numPr>
                <w:ilvl w:val="0"/>
                <w:numId w:val="7"/>
              </w:numPr>
              <w:rPr>
                <w:rFonts w:ascii="宋体" w:hAnsi="宋体" w:cs="Arial"/>
                <w:color w:val="auto"/>
                <w:szCs w:val="21"/>
              </w:rPr>
            </w:pPr>
            <w:r>
              <w:rPr>
                <w:rFonts w:ascii="宋体" w:hAnsi="宋体" w:cs="Arial"/>
                <w:color w:val="auto"/>
                <w:szCs w:val="21"/>
              </w:rPr>
              <w:t>违反条件条款</w:t>
            </w:r>
          </w:p>
          <w:p>
            <w:pPr>
              <w:numPr>
                <w:ilvl w:val="0"/>
                <w:numId w:val="7"/>
              </w:numPr>
              <w:rPr>
                <w:rFonts w:ascii="宋体" w:hAnsi="宋体" w:cs="Arial"/>
                <w:color w:val="auto"/>
                <w:szCs w:val="21"/>
              </w:rPr>
            </w:pPr>
            <w:r>
              <w:rPr>
                <w:rFonts w:ascii="宋体" w:hAnsi="宋体" w:cs="Arial"/>
                <w:color w:val="auto"/>
                <w:szCs w:val="21"/>
              </w:rPr>
              <w:t>盗窃险扩展条款</w:t>
            </w:r>
            <w:r>
              <w:rPr>
                <w:rFonts w:hint="eastAsia" w:ascii="宋体" w:hAnsi="宋体" w:cs="Arial"/>
                <w:color w:val="auto"/>
                <w:szCs w:val="21"/>
              </w:rPr>
              <w:t>A</w:t>
            </w:r>
          </w:p>
          <w:p>
            <w:pPr>
              <w:numPr>
                <w:ilvl w:val="0"/>
                <w:numId w:val="7"/>
              </w:numPr>
              <w:rPr>
                <w:rFonts w:ascii="宋体" w:hAnsi="宋体" w:cs="Arial"/>
                <w:color w:val="auto"/>
                <w:szCs w:val="21"/>
              </w:rPr>
            </w:pPr>
            <w:r>
              <w:rPr>
                <w:rFonts w:ascii="宋体" w:hAnsi="宋体" w:cs="Arial"/>
                <w:color w:val="auto"/>
                <w:szCs w:val="21"/>
              </w:rPr>
              <w:t>盗窃险扩展条款</w:t>
            </w:r>
            <w:r>
              <w:rPr>
                <w:rFonts w:hint="eastAsia" w:ascii="宋体" w:hAnsi="宋体" w:cs="Arial"/>
                <w:color w:val="auto"/>
                <w:szCs w:val="21"/>
              </w:rPr>
              <w:t>B</w:t>
            </w:r>
          </w:p>
          <w:p>
            <w:pPr>
              <w:numPr>
                <w:ilvl w:val="0"/>
                <w:numId w:val="7"/>
              </w:numPr>
              <w:rPr>
                <w:rFonts w:ascii="宋体" w:hAnsi="宋体" w:cs="Arial"/>
                <w:color w:val="auto"/>
                <w:szCs w:val="21"/>
              </w:rPr>
            </w:pPr>
            <w:r>
              <w:rPr>
                <w:rFonts w:ascii="宋体" w:hAnsi="宋体" w:cs="Arial"/>
                <w:color w:val="auto"/>
                <w:szCs w:val="21"/>
              </w:rPr>
              <w:t>索赔准备费用条款（每次事故赔偿限额：RMB5,000,000）</w:t>
            </w:r>
          </w:p>
          <w:p>
            <w:pPr>
              <w:numPr>
                <w:ilvl w:val="0"/>
                <w:numId w:val="7"/>
              </w:numPr>
              <w:rPr>
                <w:rFonts w:ascii="宋体" w:hAnsi="宋体" w:cs="Arial"/>
                <w:color w:val="auto"/>
                <w:szCs w:val="21"/>
              </w:rPr>
            </w:pPr>
            <w:r>
              <w:rPr>
                <w:rFonts w:ascii="宋体" w:hAnsi="宋体" w:cs="Arial"/>
                <w:color w:val="auto"/>
                <w:szCs w:val="21"/>
              </w:rPr>
              <w:t>清理排放管道条款（每次事故赔偿限额：RMB5,000,000，累计赔偿限额：RMB50,000,000）</w:t>
            </w:r>
          </w:p>
          <w:p>
            <w:pPr>
              <w:numPr>
                <w:ilvl w:val="0"/>
                <w:numId w:val="7"/>
              </w:numPr>
              <w:rPr>
                <w:rFonts w:ascii="宋体" w:hAnsi="宋体" w:cs="Arial"/>
                <w:color w:val="auto"/>
                <w:szCs w:val="21"/>
              </w:rPr>
            </w:pPr>
            <w:r>
              <w:rPr>
                <w:rFonts w:ascii="宋体" w:hAnsi="宋体" w:cs="Arial"/>
                <w:color w:val="auto"/>
                <w:szCs w:val="21"/>
              </w:rPr>
              <w:t>清理残骸费用扩展条款（每次事故赔偿限额：RMB2,000,000）</w:t>
            </w:r>
          </w:p>
          <w:p>
            <w:pPr>
              <w:numPr>
                <w:ilvl w:val="0"/>
                <w:numId w:val="7"/>
              </w:numPr>
              <w:rPr>
                <w:rFonts w:ascii="宋体" w:hAnsi="宋体" w:cs="Arial"/>
                <w:color w:val="auto"/>
                <w:szCs w:val="21"/>
              </w:rPr>
            </w:pPr>
            <w:r>
              <w:rPr>
                <w:rFonts w:ascii="宋体" w:hAnsi="宋体" w:cs="Arial"/>
                <w:color w:val="auto"/>
                <w:szCs w:val="21"/>
              </w:rPr>
              <w:t>财产分类条款</w:t>
            </w:r>
          </w:p>
          <w:p>
            <w:pPr>
              <w:numPr>
                <w:ilvl w:val="0"/>
                <w:numId w:val="7"/>
              </w:numPr>
              <w:rPr>
                <w:rFonts w:ascii="宋体" w:hAnsi="宋体" w:cs="Arial"/>
                <w:color w:val="auto"/>
                <w:szCs w:val="21"/>
              </w:rPr>
            </w:pPr>
            <w:r>
              <w:rPr>
                <w:rFonts w:ascii="宋体" w:hAnsi="宋体" w:cs="Arial"/>
                <w:color w:val="auto"/>
                <w:szCs w:val="21"/>
              </w:rPr>
              <w:t xml:space="preserve">地震扩展条款(赔偿限额: 保险金额的100%) </w:t>
            </w:r>
          </w:p>
          <w:p>
            <w:pPr>
              <w:numPr>
                <w:ilvl w:val="0"/>
                <w:numId w:val="7"/>
              </w:numPr>
              <w:rPr>
                <w:rFonts w:ascii="宋体" w:hAnsi="宋体" w:cs="Arial"/>
                <w:color w:val="auto"/>
                <w:szCs w:val="21"/>
              </w:rPr>
            </w:pPr>
            <w:r>
              <w:rPr>
                <w:rFonts w:ascii="宋体" w:hAnsi="宋体" w:cs="Arial"/>
                <w:color w:val="auto"/>
                <w:szCs w:val="21"/>
              </w:rPr>
              <w:t>紧急抢险条款</w:t>
            </w:r>
          </w:p>
          <w:p>
            <w:pPr>
              <w:numPr>
                <w:ilvl w:val="0"/>
                <w:numId w:val="7"/>
              </w:numPr>
              <w:rPr>
                <w:rFonts w:ascii="宋体" w:hAnsi="宋体" w:cs="Arial"/>
                <w:color w:val="auto"/>
                <w:szCs w:val="21"/>
              </w:rPr>
            </w:pPr>
            <w:r>
              <w:rPr>
                <w:rFonts w:ascii="宋体" w:hAnsi="宋体" w:cs="Arial"/>
                <w:color w:val="auto"/>
                <w:szCs w:val="21"/>
              </w:rPr>
              <w:t>错误和遗漏条款</w:t>
            </w:r>
          </w:p>
          <w:p>
            <w:pPr>
              <w:numPr>
                <w:ilvl w:val="0"/>
                <w:numId w:val="7"/>
              </w:numPr>
              <w:rPr>
                <w:rFonts w:ascii="宋体" w:hAnsi="宋体" w:cs="Arial"/>
                <w:color w:val="auto"/>
                <w:szCs w:val="21"/>
              </w:rPr>
            </w:pPr>
            <w:r>
              <w:rPr>
                <w:rFonts w:ascii="宋体" w:hAnsi="宋体" w:cs="Arial"/>
                <w:color w:val="auto"/>
                <w:szCs w:val="21"/>
              </w:rPr>
              <w:t>自动升值条款(累计限额</w:t>
            </w:r>
            <w:r>
              <w:rPr>
                <w:rFonts w:hint="eastAsia" w:ascii="宋体" w:hAnsi="宋体" w:cs="Arial"/>
                <w:color w:val="auto"/>
                <w:szCs w:val="21"/>
              </w:rPr>
              <w:t>：</w:t>
            </w:r>
            <w:r>
              <w:rPr>
                <w:rFonts w:ascii="宋体" w:hAnsi="宋体" w:cs="Arial"/>
                <w:color w:val="auto"/>
                <w:szCs w:val="21"/>
              </w:rPr>
              <w:t>保险金额的10%)</w:t>
            </w:r>
          </w:p>
          <w:p>
            <w:pPr>
              <w:numPr>
                <w:ilvl w:val="0"/>
                <w:numId w:val="7"/>
              </w:numPr>
              <w:rPr>
                <w:rFonts w:ascii="宋体" w:hAnsi="宋体" w:cs="Arial"/>
                <w:color w:val="auto"/>
                <w:szCs w:val="21"/>
              </w:rPr>
            </w:pPr>
            <w:r>
              <w:rPr>
                <w:rFonts w:ascii="宋体" w:hAnsi="宋体" w:cs="Arial"/>
                <w:color w:val="auto"/>
                <w:szCs w:val="21"/>
              </w:rPr>
              <w:t>特别费用扩展条款（每次事故赔偿限额：RMB1,000,000）</w:t>
            </w:r>
          </w:p>
          <w:p>
            <w:pPr>
              <w:numPr>
                <w:ilvl w:val="0"/>
                <w:numId w:val="7"/>
              </w:numPr>
              <w:rPr>
                <w:rFonts w:ascii="宋体" w:hAnsi="宋体" w:cs="Arial"/>
                <w:color w:val="auto"/>
                <w:szCs w:val="21"/>
              </w:rPr>
            </w:pPr>
            <w:r>
              <w:rPr>
                <w:rFonts w:ascii="宋体" w:hAnsi="宋体" w:cs="Arial"/>
                <w:color w:val="auto"/>
                <w:szCs w:val="21"/>
              </w:rPr>
              <w:t>灭火费用扩展条款（每次事故赔偿限额：RMB1,000,000）</w:t>
            </w:r>
          </w:p>
          <w:p>
            <w:pPr>
              <w:numPr>
                <w:ilvl w:val="0"/>
                <w:numId w:val="7"/>
              </w:numPr>
              <w:rPr>
                <w:rFonts w:ascii="宋体" w:hAnsi="宋体" w:cs="Arial"/>
                <w:color w:val="auto"/>
                <w:szCs w:val="21"/>
              </w:rPr>
            </w:pPr>
            <w:r>
              <w:rPr>
                <w:rFonts w:ascii="宋体" w:hAnsi="宋体" w:cs="Arial"/>
                <w:color w:val="auto"/>
                <w:szCs w:val="21"/>
              </w:rPr>
              <w:t>园林、绿化保险条款（每次事故赔偿限额：RMB5,000,000，累计赔偿限额：RMB50,000,000）</w:t>
            </w:r>
          </w:p>
          <w:p>
            <w:pPr>
              <w:numPr>
                <w:ilvl w:val="0"/>
                <w:numId w:val="7"/>
              </w:numPr>
              <w:rPr>
                <w:rFonts w:ascii="宋体" w:hAnsi="宋体" w:cs="Arial"/>
                <w:color w:val="auto"/>
                <w:szCs w:val="21"/>
              </w:rPr>
            </w:pPr>
            <w:r>
              <w:rPr>
                <w:rFonts w:ascii="宋体" w:hAnsi="宋体" w:cs="Arial"/>
                <w:color w:val="auto"/>
                <w:szCs w:val="21"/>
              </w:rPr>
              <w:t>碰撞扩展条款</w:t>
            </w:r>
          </w:p>
          <w:p>
            <w:pPr>
              <w:numPr>
                <w:ilvl w:val="0"/>
                <w:numId w:val="7"/>
              </w:numPr>
              <w:rPr>
                <w:rFonts w:ascii="宋体" w:hAnsi="宋体" w:cs="Arial"/>
                <w:color w:val="auto"/>
                <w:szCs w:val="21"/>
              </w:rPr>
            </w:pPr>
            <w:r>
              <w:rPr>
                <w:rFonts w:ascii="宋体" w:hAnsi="宋体" w:cs="Arial"/>
                <w:color w:val="auto"/>
                <w:szCs w:val="21"/>
              </w:rPr>
              <w:t>内陆运输扩展条款（单一运输工具赔偿限额RMB2,000,000元）</w:t>
            </w:r>
          </w:p>
          <w:p>
            <w:pPr>
              <w:numPr>
                <w:ilvl w:val="0"/>
                <w:numId w:val="7"/>
              </w:numPr>
              <w:rPr>
                <w:rFonts w:ascii="宋体" w:hAnsi="宋体" w:cs="Arial"/>
                <w:color w:val="auto"/>
                <w:szCs w:val="21"/>
              </w:rPr>
            </w:pPr>
            <w:r>
              <w:rPr>
                <w:rFonts w:ascii="宋体" w:hAnsi="宋体" w:cs="Arial"/>
                <w:color w:val="auto"/>
                <w:szCs w:val="21"/>
              </w:rPr>
              <w:t>滑坡与地陷条款</w:t>
            </w:r>
          </w:p>
          <w:p>
            <w:pPr>
              <w:numPr>
                <w:ilvl w:val="0"/>
                <w:numId w:val="7"/>
              </w:numPr>
              <w:rPr>
                <w:rFonts w:ascii="宋体" w:hAnsi="宋体" w:cs="Arial"/>
                <w:color w:val="auto"/>
                <w:szCs w:val="21"/>
              </w:rPr>
            </w:pPr>
            <w:r>
              <w:rPr>
                <w:rFonts w:ascii="宋体" w:hAnsi="宋体" w:cs="Arial"/>
                <w:color w:val="auto"/>
                <w:szCs w:val="21"/>
              </w:rPr>
              <w:t>损失通知条款</w:t>
            </w:r>
          </w:p>
          <w:p>
            <w:pPr>
              <w:numPr>
                <w:ilvl w:val="0"/>
                <w:numId w:val="7"/>
              </w:numPr>
              <w:rPr>
                <w:rFonts w:ascii="宋体" w:hAnsi="宋体" w:cs="Arial"/>
                <w:color w:val="auto"/>
                <w:szCs w:val="21"/>
              </w:rPr>
            </w:pPr>
            <w:r>
              <w:rPr>
                <w:rFonts w:ascii="宋体" w:hAnsi="宋体" w:cs="Arial"/>
                <w:color w:val="auto"/>
                <w:szCs w:val="21"/>
              </w:rPr>
              <w:t>恶意破坏扩展条款</w:t>
            </w:r>
          </w:p>
          <w:p>
            <w:pPr>
              <w:numPr>
                <w:ilvl w:val="0"/>
                <w:numId w:val="7"/>
              </w:numPr>
              <w:rPr>
                <w:rFonts w:ascii="宋体" w:hAnsi="宋体" w:cs="Arial"/>
                <w:color w:val="auto"/>
                <w:szCs w:val="21"/>
              </w:rPr>
            </w:pPr>
            <w:r>
              <w:rPr>
                <w:rFonts w:ascii="宋体" w:hAnsi="宋体" w:cs="Arial"/>
                <w:color w:val="auto"/>
                <w:szCs w:val="21"/>
              </w:rPr>
              <w:t>玻璃破碎扩展条款</w:t>
            </w:r>
          </w:p>
          <w:p>
            <w:pPr>
              <w:numPr>
                <w:ilvl w:val="0"/>
                <w:numId w:val="7"/>
              </w:numPr>
              <w:rPr>
                <w:rFonts w:ascii="宋体" w:hAnsi="宋体" w:cs="Arial"/>
                <w:color w:val="auto"/>
                <w:szCs w:val="21"/>
              </w:rPr>
            </w:pPr>
            <w:r>
              <w:rPr>
                <w:rFonts w:ascii="宋体" w:hAnsi="宋体" w:cs="Arial"/>
                <w:color w:val="auto"/>
                <w:szCs w:val="21"/>
              </w:rPr>
              <w:t>不受控制条款</w:t>
            </w:r>
          </w:p>
          <w:p>
            <w:pPr>
              <w:numPr>
                <w:ilvl w:val="0"/>
                <w:numId w:val="7"/>
              </w:numPr>
              <w:rPr>
                <w:rFonts w:ascii="宋体" w:hAnsi="宋体" w:cs="Arial"/>
                <w:color w:val="auto"/>
                <w:szCs w:val="21"/>
              </w:rPr>
            </w:pPr>
            <w:r>
              <w:rPr>
                <w:rFonts w:ascii="宋体" w:hAnsi="宋体" w:cs="Arial"/>
                <w:color w:val="auto"/>
                <w:szCs w:val="21"/>
              </w:rPr>
              <w:t>指定公估人条款</w:t>
            </w:r>
          </w:p>
          <w:p>
            <w:pPr>
              <w:numPr>
                <w:ilvl w:val="0"/>
                <w:numId w:val="7"/>
              </w:numPr>
              <w:rPr>
                <w:rFonts w:ascii="宋体" w:hAnsi="宋体" w:cs="Arial"/>
                <w:color w:val="auto"/>
                <w:szCs w:val="21"/>
              </w:rPr>
            </w:pPr>
            <w:r>
              <w:rPr>
                <w:rFonts w:ascii="宋体" w:hAnsi="宋体" w:cs="Arial"/>
                <w:color w:val="auto"/>
                <w:szCs w:val="21"/>
              </w:rPr>
              <w:t>不可失效条款</w:t>
            </w:r>
          </w:p>
          <w:p>
            <w:pPr>
              <w:numPr>
                <w:ilvl w:val="0"/>
                <w:numId w:val="7"/>
              </w:numPr>
              <w:rPr>
                <w:rFonts w:ascii="宋体" w:hAnsi="宋体" w:cs="Arial"/>
                <w:color w:val="auto"/>
                <w:szCs w:val="21"/>
              </w:rPr>
            </w:pPr>
            <w:r>
              <w:rPr>
                <w:rFonts w:ascii="宋体" w:hAnsi="宋体" w:cs="Arial"/>
                <w:color w:val="auto"/>
                <w:szCs w:val="21"/>
              </w:rPr>
              <w:t>预付赔款条款（估损金额的50%）</w:t>
            </w:r>
          </w:p>
          <w:p>
            <w:pPr>
              <w:numPr>
                <w:ilvl w:val="0"/>
                <w:numId w:val="7"/>
              </w:numPr>
              <w:rPr>
                <w:rFonts w:ascii="宋体" w:hAnsi="宋体" w:cs="Arial"/>
                <w:color w:val="auto"/>
                <w:szCs w:val="21"/>
              </w:rPr>
            </w:pPr>
            <w:r>
              <w:rPr>
                <w:rFonts w:ascii="宋体" w:hAnsi="宋体" w:cs="Arial"/>
                <w:color w:val="auto"/>
                <w:szCs w:val="21"/>
              </w:rPr>
              <w:t>专业费用扩展条款（每次事故赔偿限额：RMB1,000,000）</w:t>
            </w:r>
          </w:p>
          <w:p>
            <w:pPr>
              <w:numPr>
                <w:ilvl w:val="0"/>
                <w:numId w:val="7"/>
              </w:numPr>
              <w:rPr>
                <w:rFonts w:ascii="宋体" w:hAnsi="宋体" w:cs="Arial"/>
                <w:color w:val="auto"/>
                <w:szCs w:val="21"/>
              </w:rPr>
            </w:pPr>
            <w:r>
              <w:rPr>
                <w:rFonts w:ascii="宋体" w:hAnsi="宋体" w:cs="Arial"/>
                <w:color w:val="auto"/>
                <w:szCs w:val="21"/>
              </w:rPr>
              <w:t>按比例退费条款</w:t>
            </w:r>
          </w:p>
          <w:p>
            <w:pPr>
              <w:numPr>
                <w:ilvl w:val="0"/>
                <w:numId w:val="7"/>
              </w:numPr>
              <w:rPr>
                <w:rFonts w:ascii="宋体" w:hAnsi="宋体" w:cs="Arial"/>
                <w:color w:val="auto"/>
                <w:szCs w:val="21"/>
              </w:rPr>
            </w:pPr>
            <w:r>
              <w:rPr>
                <w:rFonts w:ascii="宋体" w:hAnsi="宋体" w:cs="Arial"/>
                <w:color w:val="auto"/>
                <w:szCs w:val="21"/>
              </w:rPr>
              <w:t>公共当局扩展条款</w:t>
            </w:r>
          </w:p>
          <w:p>
            <w:pPr>
              <w:numPr>
                <w:ilvl w:val="0"/>
                <w:numId w:val="7"/>
              </w:numPr>
              <w:rPr>
                <w:rFonts w:ascii="宋体" w:hAnsi="宋体" w:cs="Arial"/>
                <w:color w:val="auto"/>
                <w:szCs w:val="21"/>
              </w:rPr>
            </w:pPr>
            <w:r>
              <w:rPr>
                <w:rFonts w:ascii="宋体" w:hAnsi="宋体" w:cs="Arial"/>
                <w:color w:val="auto"/>
                <w:szCs w:val="21"/>
              </w:rPr>
              <w:t>重置价值条款</w:t>
            </w:r>
          </w:p>
          <w:p>
            <w:pPr>
              <w:numPr>
                <w:ilvl w:val="0"/>
                <w:numId w:val="7"/>
              </w:numPr>
              <w:rPr>
                <w:rFonts w:ascii="宋体" w:hAnsi="宋体" w:cs="Arial"/>
                <w:bCs/>
                <w:color w:val="auto"/>
                <w:szCs w:val="21"/>
              </w:rPr>
            </w:pPr>
            <w:r>
              <w:rPr>
                <w:rFonts w:ascii="宋体" w:hAnsi="宋体" w:cs="Arial"/>
                <w:bCs/>
                <w:color w:val="auto"/>
                <w:szCs w:val="21"/>
              </w:rPr>
              <w:t>露天存放及简易建筑内财产扩展条款</w:t>
            </w:r>
          </w:p>
          <w:p>
            <w:pPr>
              <w:numPr>
                <w:ilvl w:val="0"/>
                <w:numId w:val="7"/>
              </w:numPr>
              <w:rPr>
                <w:rFonts w:ascii="宋体" w:hAnsi="宋体" w:cs="Arial"/>
                <w:color w:val="auto"/>
                <w:szCs w:val="21"/>
              </w:rPr>
            </w:pPr>
            <w:r>
              <w:rPr>
                <w:rFonts w:ascii="宋体" w:hAnsi="宋体" w:cs="Arial"/>
                <w:color w:val="auto"/>
                <w:szCs w:val="21"/>
              </w:rPr>
              <w:t>自动喷淋系统水损扩展条款</w:t>
            </w:r>
          </w:p>
          <w:p>
            <w:pPr>
              <w:numPr>
                <w:ilvl w:val="0"/>
                <w:numId w:val="7"/>
              </w:numPr>
              <w:rPr>
                <w:rFonts w:ascii="宋体" w:hAnsi="宋体" w:cs="Arial"/>
                <w:color w:val="auto"/>
                <w:szCs w:val="21"/>
              </w:rPr>
            </w:pPr>
            <w:r>
              <w:rPr>
                <w:rFonts w:ascii="宋体" w:hAnsi="宋体" w:cs="Arial"/>
                <w:color w:val="auto"/>
                <w:szCs w:val="21"/>
              </w:rPr>
              <w:t>罢工、暴乱及民众骚乱扩展条款</w:t>
            </w:r>
          </w:p>
          <w:p>
            <w:pPr>
              <w:numPr>
                <w:ilvl w:val="0"/>
                <w:numId w:val="7"/>
              </w:numPr>
              <w:rPr>
                <w:rFonts w:ascii="宋体" w:hAnsi="宋体" w:cs="Arial"/>
                <w:color w:val="auto"/>
                <w:szCs w:val="21"/>
              </w:rPr>
            </w:pPr>
            <w:r>
              <w:rPr>
                <w:rFonts w:ascii="宋体" w:hAnsi="宋体" w:cs="Arial"/>
                <w:color w:val="auto"/>
                <w:szCs w:val="21"/>
              </w:rPr>
              <w:t>突然意外污染责任条款（每次事故赔偿限额：RMB5,000,000）</w:t>
            </w:r>
          </w:p>
          <w:p>
            <w:pPr>
              <w:numPr>
                <w:ilvl w:val="0"/>
                <w:numId w:val="7"/>
              </w:numPr>
              <w:rPr>
                <w:rFonts w:ascii="宋体" w:hAnsi="宋体" w:cs="Arial"/>
                <w:color w:val="auto"/>
                <w:szCs w:val="21"/>
              </w:rPr>
            </w:pPr>
            <w:r>
              <w:rPr>
                <w:rFonts w:ascii="宋体" w:hAnsi="宋体" w:cs="Arial"/>
                <w:color w:val="auto"/>
                <w:szCs w:val="21"/>
              </w:rPr>
              <w:t>诉讼及施救费用</w:t>
            </w:r>
          </w:p>
          <w:p>
            <w:pPr>
              <w:numPr>
                <w:ilvl w:val="0"/>
                <w:numId w:val="7"/>
              </w:numPr>
              <w:rPr>
                <w:rFonts w:ascii="宋体" w:hAnsi="宋体" w:cs="Arial"/>
                <w:color w:val="auto"/>
                <w:szCs w:val="21"/>
              </w:rPr>
            </w:pPr>
            <w:r>
              <w:rPr>
                <w:rFonts w:ascii="宋体" w:hAnsi="宋体" w:cs="Arial"/>
                <w:color w:val="auto"/>
                <w:szCs w:val="21"/>
              </w:rPr>
              <w:t>临时保护措施扩展条款（每次事故赔偿限额：RMB5,000,000，累计赔偿限额：RMB50,000,000）</w:t>
            </w:r>
          </w:p>
          <w:p>
            <w:pPr>
              <w:numPr>
                <w:ilvl w:val="0"/>
                <w:numId w:val="7"/>
              </w:numPr>
              <w:rPr>
                <w:rFonts w:ascii="宋体" w:hAnsi="宋体" w:cs="Arial"/>
                <w:color w:val="auto"/>
                <w:szCs w:val="21"/>
              </w:rPr>
            </w:pPr>
            <w:r>
              <w:rPr>
                <w:rFonts w:ascii="宋体" w:hAnsi="宋体" w:cs="Arial"/>
                <w:color w:val="auto"/>
                <w:szCs w:val="21"/>
              </w:rPr>
              <w:t>临时移动扩展条款（累计赔偿限额：保险金额的10%）</w:t>
            </w:r>
          </w:p>
          <w:p>
            <w:pPr>
              <w:numPr>
                <w:ilvl w:val="0"/>
                <w:numId w:val="7"/>
              </w:numPr>
              <w:rPr>
                <w:rFonts w:ascii="宋体" w:hAnsi="宋体" w:cs="Arial"/>
                <w:color w:val="auto"/>
                <w:szCs w:val="21"/>
              </w:rPr>
            </w:pPr>
            <w:r>
              <w:rPr>
                <w:rFonts w:ascii="宋体" w:hAnsi="宋体" w:cs="Arial"/>
                <w:color w:val="auto"/>
                <w:szCs w:val="21"/>
              </w:rPr>
              <w:t>72小时条款</w:t>
            </w:r>
          </w:p>
          <w:p>
            <w:pPr>
              <w:numPr>
                <w:ilvl w:val="0"/>
                <w:numId w:val="7"/>
              </w:numPr>
              <w:rPr>
                <w:rFonts w:ascii="宋体" w:hAnsi="宋体" w:cs="Arial"/>
                <w:color w:val="auto"/>
                <w:szCs w:val="21"/>
              </w:rPr>
            </w:pPr>
            <w:r>
              <w:rPr>
                <w:rFonts w:ascii="宋体" w:hAnsi="宋体" w:cs="Arial"/>
                <w:color w:val="auto"/>
                <w:szCs w:val="21"/>
              </w:rPr>
              <w:t>工人条款</w:t>
            </w:r>
          </w:p>
          <w:p>
            <w:pPr>
              <w:numPr>
                <w:ilvl w:val="0"/>
                <w:numId w:val="7"/>
              </w:numPr>
              <w:rPr>
                <w:rFonts w:ascii="宋体" w:hAnsi="宋体" w:cs="Arial"/>
                <w:color w:val="auto"/>
                <w:szCs w:val="21"/>
              </w:rPr>
            </w:pPr>
            <w:r>
              <w:rPr>
                <w:rFonts w:ascii="宋体" w:hAnsi="宋体" w:cs="Arial"/>
                <w:color w:val="auto"/>
                <w:szCs w:val="21"/>
              </w:rPr>
              <w:t>放弃代位追偿扩展条款</w:t>
            </w:r>
          </w:p>
          <w:p>
            <w:pPr>
              <w:numPr>
                <w:ilvl w:val="0"/>
                <w:numId w:val="7"/>
              </w:numPr>
              <w:rPr>
                <w:rFonts w:ascii="宋体" w:hAnsi="宋体" w:cs="Arial"/>
                <w:color w:val="auto"/>
                <w:szCs w:val="21"/>
              </w:rPr>
            </w:pPr>
            <w:r>
              <w:rPr>
                <w:rFonts w:ascii="宋体" w:hAnsi="宋体" w:cs="Arial"/>
                <w:bCs/>
                <w:color w:val="auto"/>
                <w:szCs w:val="21"/>
              </w:rPr>
              <w:t>未受损地基条款</w:t>
            </w:r>
          </w:p>
          <w:p>
            <w:pPr>
              <w:numPr>
                <w:ilvl w:val="0"/>
                <w:numId w:val="7"/>
              </w:numPr>
              <w:rPr>
                <w:rFonts w:ascii="宋体" w:hAnsi="宋体" w:cs="Arial"/>
                <w:bCs/>
                <w:color w:val="auto"/>
                <w:szCs w:val="21"/>
              </w:rPr>
            </w:pPr>
            <w:r>
              <w:rPr>
                <w:rFonts w:ascii="宋体" w:hAnsi="宋体" w:cs="Arial"/>
                <w:bCs/>
                <w:color w:val="auto"/>
                <w:szCs w:val="21"/>
              </w:rPr>
              <w:t>供应中断扩展条款B</w:t>
            </w:r>
          </w:p>
          <w:p>
            <w:pPr>
              <w:numPr>
                <w:ilvl w:val="0"/>
                <w:numId w:val="7"/>
              </w:numPr>
              <w:rPr>
                <w:rFonts w:ascii="宋体" w:hAnsi="宋体" w:cs="Arial"/>
                <w:b/>
                <w:bCs/>
                <w:color w:val="auto"/>
                <w:szCs w:val="21"/>
              </w:rPr>
            </w:pPr>
            <w:r>
              <w:rPr>
                <w:rFonts w:ascii="宋体" w:hAnsi="宋体" w:cs="Arial"/>
                <w:bCs/>
                <w:color w:val="auto"/>
                <w:szCs w:val="21"/>
              </w:rPr>
              <w:t>建筑物外部附属设施扩展条款B</w:t>
            </w:r>
          </w:p>
          <w:p>
            <w:pPr>
              <w:numPr>
                <w:ilvl w:val="0"/>
                <w:numId w:val="7"/>
              </w:numPr>
              <w:rPr>
                <w:rFonts w:ascii="宋体" w:hAnsi="宋体" w:cs="Arial"/>
                <w:b/>
                <w:bCs/>
                <w:color w:val="auto"/>
                <w:szCs w:val="21"/>
              </w:rPr>
            </w:pPr>
            <w:r>
              <w:rPr>
                <w:rFonts w:ascii="宋体" w:hAnsi="宋体" w:cs="Arial"/>
                <w:color w:val="auto"/>
                <w:szCs w:val="21"/>
              </w:rPr>
              <w:t>恐怖主义扩展条款（每次及累计赔偿限额RMB100,000,000.00元</w:t>
            </w:r>
            <w:r>
              <w:rPr>
                <w:rFonts w:hint="eastAsia" w:ascii="宋体" w:hAnsi="宋体" w:cs="Arial"/>
                <w:color w:val="auto"/>
                <w:szCs w:val="21"/>
              </w:rPr>
              <w:t>；每次事故绝对免赔额为200000.00或损失金额的5%,两者以高者为准.</w:t>
            </w:r>
            <w:r>
              <w:rPr>
                <w:rFonts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blCellSpacing w:w="11" w:type="dxa"/>
        </w:trPr>
        <w:tc>
          <w:tcPr>
            <w:tcW w:w="1537" w:type="dxa"/>
          </w:tcPr>
          <w:p>
            <w:pPr>
              <w:tabs>
                <w:tab w:val="left" w:pos="2340"/>
              </w:tabs>
              <w:spacing w:line="320" w:lineRule="exact"/>
              <w:rPr>
                <w:rFonts w:ascii="宋体" w:hAnsi="宋体" w:cs="Arial"/>
                <w:b/>
                <w:color w:val="auto"/>
              </w:rPr>
            </w:pPr>
            <w:r>
              <w:rPr>
                <w:rFonts w:ascii="宋体" w:hAnsi="宋体" w:cs="Arial"/>
                <w:b/>
                <w:color w:val="auto"/>
              </w:rPr>
              <w:t>特别约定：</w:t>
            </w:r>
          </w:p>
        </w:tc>
        <w:tc>
          <w:tcPr>
            <w:tcW w:w="7338" w:type="dxa"/>
          </w:tcPr>
          <w:p>
            <w:pPr>
              <w:autoSpaceDE w:val="0"/>
              <w:autoSpaceDN w:val="0"/>
              <w:adjustRightInd w:val="0"/>
              <w:jc w:val="left"/>
              <w:rPr>
                <w:rFonts w:ascii="宋体" w:hAnsi="宋体" w:cs="Arial"/>
                <w:color w:val="auto"/>
                <w:szCs w:val="21"/>
              </w:rPr>
            </w:pPr>
            <w:r>
              <w:rPr>
                <w:rFonts w:ascii="宋体" w:hAnsi="宋体" w:cs="Arial"/>
                <w:color w:val="auto"/>
                <w:szCs w:val="21"/>
              </w:rPr>
              <w:t>1. 保险金额按照账面价值加成8%作为重置价值投保，并视为足额投保。发生保险责任事故时，保险人按照受损财产的实际重置价值予以赔付。</w:t>
            </w:r>
          </w:p>
          <w:p>
            <w:pPr>
              <w:autoSpaceDE w:val="0"/>
              <w:autoSpaceDN w:val="0"/>
              <w:adjustRightInd w:val="0"/>
              <w:jc w:val="left"/>
              <w:rPr>
                <w:rFonts w:ascii="宋体" w:hAnsi="宋体" w:cs="Arial"/>
                <w:color w:val="auto"/>
                <w:szCs w:val="21"/>
              </w:rPr>
            </w:pPr>
            <w:r>
              <w:rPr>
                <w:rFonts w:ascii="宋体" w:hAnsi="宋体" w:cs="Arial"/>
                <w:color w:val="auto"/>
                <w:lang w:val="en-GB"/>
              </w:rPr>
              <w:t>2. 若在本保单项下发生任何理赔争议，争议解决机构应为重庆渝合高速公路有限公司所在地的人民法院。</w:t>
            </w:r>
          </w:p>
        </w:tc>
      </w:tr>
    </w:tbl>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adjustRightInd w:val="0"/>
        <w:snapToGrid w:val="0"/>
        <w:spacing w:line="360" w:lineRule="auto"/>
        <w:ind w:firstLine="2640" w:firstLineChars="1100"/>
        <w:rPr>
          <w:rFonts w:ascii="宋体" w:hAnsi="宋体"/>
          <w:color w:val="auto"/>
          <w:sz w:val="24"/>
        </w:rPr>
      </w:pPr>
    </w:p>
    <w:p>
      <w:pPr>
        <w:adjustRightInd w:val="0"/>
        <w:snapToGrid w:val="0"/>
        <w:spacing w:line="360" w:lineRule="auto"/>
        <w:ind w:firstLine="2650" w:firstLineChars="1100"/>
        <w:rPr>
          <w:rFonts w:ascii="宋体" w:hAnsi="宋体"/>
          <w:b/>
          <w:bCs/>
          <w:color w:val="auto"/>
          <w:sz w:val="24"/>
        </w:rPr>
      </w:pPr>
      <w:r>
        <w:rPr>
          <w:rFonts w:hint="eastAsia" w:ascii="宋体" w:hAnsi="宋体"/>
          <w:b/>
          <w:bCs/>
          <w:color w:val="auto"/>
          <w:sz w:val="24"/>
        </w:rPr>
        <w:t>20</w:t>
      </w:r>
      <w:r>
        <w:rPr>
          <w:rFonts w:ascii="宋体" w:hAnsi="宋体"/>
          <w:b/>
          <w:bCs/>
          <w:color w:val="auto"/>
          <w:sz w:val="24"/>
        </w:rPr>
        <w:t>21</w:t>
      </w:r>
      <w:r>
        <w:rPr>
          <w:rFonts w:hint="eastAsia" w:ascii="宋体" w:hAnsi="宋体"/>
          <w:b/>
          <w:bCs/>
          <w:color w:val="auto"/>
          <w:sz w:val="24"/>
        </w:rPr>
        <w:t>-2024 公众责任险</w:t>
      </w:r>
    </w:p>
    <w:tbl>
      <w:tblPr>
        <w:tblStyle w:val="88"/>
        <w:tblW w:w="0" w:type="auto"/>
        <w:tblCellSpacing w:w="11"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395" w:type="dxa"/>
          </w:tcPr>
          <w:p>
            <w:pPr>
              <w:tabs>
                <w:tab w:val="left" w:pos="2340"/>
              </w:tabs>
              <w:spacing w:line="320" w:lineRule="exact"/>
              <w:rPr>
                <w:rFonts w:ascii="宋体" w:hAnsi="宋体" w:cs="Arial"/>
                <w:b/>
                <w:color w:val="auto"/>
                <w:lang w:val="en-GB"/>
              </w:rPr>
            </w:pPr>
            <w:r>
              <w:rPr>
                <w:rFonts w:ascii="宋体" w:hAnsi="宋体" w:cs="Arial"/>
                <w:b/>
                <w:color w:val="auto"/>
                <w:lang w:val="en-GB"/>
              </w:rPr>
              <w:t xml:space="preserve">投保人： </w:t>
            </w:r>
          </w:p>
        </w:tc>
        <w:tc>
          <w:tcPr>
            <w:tcW w:w="7328" w:type="dxa"/>
          </w:tcPr>
          <w:p>
            <w:pPr>
              <w:rPr>
                <w:rFonts w:ascii="宋体" w:hAnsi="宋体" w:cs="Arial"/>
                <w:color w:val="auto"/>
              </w:rPr>
            </w:pPr>
            <w:r>
              <w:rPr>
                <w:rFonts w:ascii="宋体" w:hAnsi="宋体" w:cs="Arial"/>
                <w:color w:val="auto"/>
                <w:szCs w:val="21"/>
              </w:rPr>
              <w:t>重庆渝合高速公路有限公司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395" w:type="dxa"/>
          </w:tcPr>
          <w:p>
            <w:pPr>
              <w:tabs>
                <w:tab w:val="left" w:pos="2340"/>
              </w:tabs>
              <w:spacing w:line="320" w:lineRule="exact"/>
              <w:rPr>
                <w:rFonts w:ascii="宋体" w:hAnsi="宋体" w:cs="Arial"/>
                <w:b/>
                <w:color w:val="auto"/>
              </w:rPr>
            </w:pPr>
            <w:r>
              <w:rPr>
                <w:rFonts w:ascii="宋体" w:hAnsi="宋体" w:cs="Arial"/>
                <w:b/>
                <w:color w:val="auto"/>
              </w:rPr>
              <w:t>保险地址：</w:t>
            </w:r>
          </w:p>
        </w:tc>
        <w:tc>
          <w:tcPr>
            <w:tcW w:w="7328" w:type="dxa"/>
          </w:tcPr>
          <w:p>
            <w:pPr>
              <w:tabs>
                <w:tab w:val="left" w:pos="2340"/>
              </w:tabs>
              <w:spacing w:line="320" w:lineRule="exact"/>
              <w:rPr>
                <w:rFonts w:ascii="宋体" w:hAnsi="宋体" w:cs="Arial"/>
                <w:color w:val="auto"/>
                <w:lang w:val="en-GB"/>
              </w:rPr>
            </w:pPr>
            <w:r>
              <w:rPr>
                <w:rFonts w:ascii="宋体" w:hAnsi="宋体" w:cs="Arial"/>
                <w:color w:val="auto"/>
                <w:lang w:val="en-GB"/>
              </w:rPr>
              <w:t>1.重庆市渝北区银杉路66号</w:t>
            </w:r>
          </w:p>
          <w:p>
            <w:pPr>
              <w:tabs>
                <w:tab w:val="left" w:pos="2340"/>
              </w:tabs>
              <w:spacing w:line="320" w:lineRule="exact"/>
              <w:rPr>
                <w:rFonts w:ascii="宋体" w:hAnsi="宋体" w:cs="Arial"/>
                <w:color w:val="auto"/>
                <w:lang w:val="en-GB"/>
              </w:rPr>
            </w:pPr>
            <w:r>
              <w:rPr>
                <w:rFonts w:ascii="宋体" w:hAnsi="宋体" w:cs="Arial"/>
                <w:color w:val="auto"/>
                <w:lang w:val="en-GB"/>
              </w:rPr>
              <w:t>2.重庆渝合高速公路全程</w:t>
            </w:r>
          </w:p>
          <w:p>
            <w:pPr>
              <w:tabs>
                <w:tab w:val="left" w:pos="2340"/>
              </w:tabs>
              <w:spacing w:line="320" w:lineRule="exact"/>
              <w:rPr>
                <w:rFonts w:ascii="宋体" w:hAnsi="宋体" w:cs="Arial"/>
                <w:color w:val="auto"/>
                <w:lang w:val="en-GB"/>
              </w:rPr>
            </w:pPr>
            <w:r>
              <w:rPr>
                <w:rFonts w:ascii="宋体" w:hAnsi="宋体" w:cs="Arial"/>
                <w:color w:val="auto"/>
                <w:lang w:val="en-GB"/>
              </w:rPr>
              <w:t>3.员工租用宿舍</w:t>
            </w:r>
          </w:p>
          <w:p>
            <w:pPr>
              <w:tabs>
                <w:tab w:val="left" w:pos="2340"/>
              </w:tabs>
              <w:spacing w:line="320" w:lineRule="exact"/>
              <w:rPr>
                <w:rFonts w:ascii="宋体" w:hAnsi="宋体" w:cs="Arial"/>
                <w:color w:val="auto"/>
                <w:lang w:val="en-GB"/>
              </w:rPr>
            </w:pPr>
            <w:r>
              <w:rPr>
                <w:rFonts w:ascii="宋体" w:hAnsi="宋体" w:cs="Arial"/>
                <w:color w:val="auto"/>
                <w:lang w:val="en-GB"/>
              </w:rPr>
              <w:t>以及被保险人负责或管理的其他场所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395" w:type="dxa"/>
          </w:tcPr>
          <w:p>
            <w:pPr>
              <w:tabs>
                <w:tab w:val="left" w:pos="2340"/>
              </w:tabs>
              <w:spacing w:line="320" w:lineRule="exact"/>
              <w:rPr>
                <w:rFonts w:ascii="宋体" w:hAnsi="宋体" w:cs="Arial"/>
                <w:b/>
                <w:color w:val="auto"/>
              </w:rPr>
            </w:pPr>
            <w:r>
              <w:rPr>
                <w:rFonts w:ascii="宋体" w:hAnsi="宋体" w:cs="Arial"/>
                <w:b/>
                <w:color w:val="auto"/>
              </w:rPr>
              <w:t xml:space="preserve">营业性质： </w:t>
            </w:r>
          </w:p>
        </w:tc>
        <w:tc>
          <w:tcPr>
            <w:tcW w:w="7328" w:type="dxa"/>
          </w:tcPr>
          <w:p>
            <w:pPr>
              <w:tabs>
                <w:tab w:val="left" w:pos="2340"/>
              </w:tabs>
              <w:spacing w:line="320" w:lineRule="exact"/>
              <w:rPr>
                <w:rFonts w:ascii="宋体" w:hAnsi="宋体" w:cs="Arial"/>
                <w:color w:val="auto"/>
                <w:szCs w:val="21"/>
              </w:rPr>
            </w:pPr>
            <w:r>
              <w:rPr>
                <w:rFonts w:ascii="宋体" w:hAnsi="宋体" w:cs="Arial"/>
                <w:color w:val="auto"/>
                <w:szCs w:val="21"/>
              </w:rPr>
              <w:t>所有业务项目包括但不限于重庆渝合高速公路的运营、管理、及维护等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395" w:type="dxa"/>
          </w:tcPr>
          <w:p>
            <w:pPr>
              <w:tabs>
                <w:tab w:val="left" w:pos="2340"/>
              </w:tabs>
              <w:spacing w:line="320" w:lineRule="exact"/>
              <w:rPr>
                <w:rFonts w:ascii="宋体" w:hAnsi="宋体" w:cs="Arial"/>
                <w:b/>
                <w:color w:val="auto"/>
              </w:rPr>
            </w:pPr>
            <w:r>
              <w:rPr>
                <w:rFonts w:ascii="宋体" w:hAnsi="宋体" w:cs="Arial"/>
                <w:b/>
                <w:color w:val="auto"/>
              </w:rPr>
              <w:t>保险责任：</w:t>
            </w:r>
          </w:p>
        </w:tc>
        <w:tc>
          <w:tcPr>
            <w:tcW w:w="7328" w:type="dxa"/>
          </w:tcPr>
          <w:p>
            <w:pPr>
              <w:tabs>
                <w:tab w:val="left" w:pos="2340"/>
              </w:tabs>
              <w:spacing w:line="320" w:lineRule="exact"/>
              <w:rPr>
                <w:rFonts w:ascii="宋体" w:hAnsi="宋体" w:cs="Arial"/>
                <w:color w:val="auto"/>
                <w:szCs w:val="21"/>
              </w:rPr>
            </w:pPr>
            <w:r>
              <w:rPr>
                <w:rFonts w:ascii="宋体" w:hAnsi="宋体" w:cs="Arial"/>
                <w:color w:val="auto"/>
                <w:szCs w:val="21"/>
              </w:rPr>
              <w:t>在保险期间内，被保险人在保险单载明的区域范围内因经营业务发生意外事故，造成第三者的人身伤亡或财产损失，依照中华人民共和国法律（不包括港澳台地区法律）应由被保险人承担的经济赔偿责任，保险人按照本保险合同约定负责赔偿。</w:t>
            </w:r>
          </w:p>
          <w:p>
            <w:pPr>
              <w:tabs>
                <w:tab w:val="left" w:pos="2340"/>
              </w:tabs>
              <w:spacing w:line="320" w:lineRule="exact"/>
              <w:rPr>
                <w:rFonts w:ascii="宋体" w:hAnsi="宋体" w:cs="Arial"/>
                <w:color w:val="auto"/>
                <w:szCs w:val="21"/>
              </w:rPr>
            </w:pPr>
            <w:r>
              <w:rPr>
                <w:rFonts w:ascii="宋体" w:hAnsi="宋体" w:cs="Arial"/>
                <w:color w:val="auto"/>
                <w:szCs w:val="21"/>
              </w:rPr>
              <w:t>在保险期间内，发生以上所规定的意外事故造成第三者的人身伤亡，受害人或其近亲属提出精神损害赔偿的，依照中华人民共和国（不包括港澳台地区）法院判决应由被保险人承担的精神损害赔偿责任，保险人按照本保险合同约定负责赔偿。</w:t>
            </w:r>
          </w:p>
          <w:p>
            <w:pPr>
              <w:tabs>
                <w:tab w:val="left" w:pos="2340"/>
              </w:tabs>
              <w:spacing w:line="320" w:lineRule="exact"/>
              <w:rPr>
                <w:rFonts w:ascii="宋体" w:hAnsi="宋体" w:cs="Arial"/>
                <w:color w:val="auto"/>
              </w:rPr>
            </w:pPr>
            <w:r>
              <w:rPr>
                <w:rFonts w:ascii="宋体" w:hAnsi="宋体" w:cs="Arial"/>
                <w:color w:val="auto"/>
                <w:szCs w:val="21"/>
              </w:rPr>
              <w:t>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395" w:type="dxa"/>
          </w:tcPr>
          <w:p>
            <w:pPr>
              <w:tabs>
                <w:tab w:val="left" w:pos="2340"/>
              </w:tabs>
              <w:spacing w:line="320" w:lineRule="exact"/>
              <w:rPr>
                <w:rFonts w:ascii="宋体" w:hAnsi="宋体" w:cs="Arial"/>
                <w:b/>
                <w:color w:val="auto"/>
              </w:rPr>
            </w:pPr>
            <w:r>
              <w:rPr>
                <w:rFonts w:ascii="宋体" w:hAnsi="宋体" w:cs="Arial"/>
                <w:b/>
                <w:color w:val="auto"/>
              </w:rPr>
              <w:t>赔偿限额：</w:t>
            </w:r>
          </w:p>
          <w:p>
            <w:pPr>
              <w:tabs>
                <w:tab w:val="left" w:pos="2340"/>
              </w:tabs>
              <w:spacing w:line="320" w:lineRule="exact"/>
              <w:rPr>
                <w:rFonts w:ascii="宋体" w:hAnsi="宋体" w:cs="Arial"/>
                <w:b/>
                <w:color w:val="auto"/>
              </w:rPr>
            </w:pPr>
          </w:p>
        </w:tc>
        <w:tc>
          <w:tcPr>
            <w:tcW w:w="7328" w:type="dxa"/>
          </w:tcPr>
          <w:p>
            <w:pPr>
              <w:tabs>
                <w:tab w:val="left" w:pos="9245"/>
              </w:tabs>
              <w:spacing w:line="320" w:lineRule="exact"/>
              <w:rPr>
                <w:rFonts w:ascii="宋体" w:hAnsi="宋体" w:cs="Arial"/>
                <w:color w:val="auto"/>
                <w:szCs w:val="21"/>
              </w:rPr>
            </w:pPr>
            <w:r>
              <w:rPr>
                <w:rFonts w:ascii="宋体" w:hAnsi="宋体" w:cs="Arial"/>
                <w:color w:val="auto"/>
                <w:szCs w:val="21"/>
              </w:rPr>
              <w:t>累计赔偿限额：RMB 20,000,000 ,</w:t>
            </w:r>
          </w:p>
          <w:p>
            <w:pPr>
              <w:tabs>
                <w:tab w:val="left" w:pos="9245"/>
              </w:tabs>
              <w:spacing w:line="320" w:lineRule="exact"/>
              <w:rPr>
                <w:rFonts w:ascii="宋体" w:hAnsi="宋体" w:cs="Arial"/>
                <w:color w:val="auto"/>
                <w:szCs w:val="21"/>
              </w:rPr>
            </w:pPr>
            <w:r>
              <w:rPr>
                <w:rFonts w:ascii="宋体" w:hAnsi="宋体" w:cs="Arial"/>
                <w:color w:val="auto"/>
                <w:szCs w:val="21"/>
              </w:rPr>
              <w:t>每次事故赔偿限额：RMB 10,000,000</w:t>
            </w:r>
          </w:p>
          <w:p>
            <w:pPr>
              <w:tabs>
                <w:tab w:val="left" w:pos="9245"/>
              </w:tabs>
              <w:spacing w:line="320" w:lineRule="exact"/>
              <w:rPr>
                <w:rFonts w:ascii="宋体" w:hAnsi="宋体" w:cs="Arial"/>
                <w:color w:val="auto"/>
                <w:szCs w:val="21"/>
              </w:rPr>
            </w:pPr>
            <w:r>
              <w:rPr>
                <w:rFonts w:ascii="宋体" w:hAnsi="宋体" w:cs="Arial"/>
                <w:color w:val="auto"/>
                <w:szCs w:val="21"/>
              </w:rPr>
              <w:t>每人每次伤亡赔偿限额：RMB 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395" w:type="dxa"/>
          </w:tcPr>
          <w:p>
            <w:pPr>
              <w:tabs>
                <w:tab w:val="left" w:pos="2340"/>
              </w:tabs>
              <w:spacing w:line="320" w:lineRule="exact"/>
              <w:rPr>
                <w:rFonts w:ascii="宋体" w:hAnsi="宋体" w:cs="Arial"/>
                <w:b/>
                <w:color w:val="auto"/>
              </w:rPr>
            </w:pPr>
            <w:r>
              <w:rPr>
                <w:rFonts w:ascii="宋体" w:hAnsi="宋体" w:cs="Arial"/>
                <w:b/>
                <w:color w:val="auto"/>
              </w:rPr>
              <w:t>免赔额：</w:t>
            </w:r>
          </w:p>
        </w:tc>
        <w:tc>
          <w:tcPr>
            <w:tcW w:w="7328" w:type="dxa"/>
          </w:tcPr>
          <w:p>
            <w:pPr>
              <w:tabs>
                <w:tab w:val="left" w:pos="2340"/>
              </w:tabs>
              <w:spacing w:line="320" w:lineRule="exact"/>
              <w:rPr>
                <w:rFonts w:ascii="宋体" w:hAnsi="宋体" w:cs="Arial"/>
                <w:color w:val="auto"/>
              </w:rPr>
            </w:pPr>
            <w:r>
              <w:rPr>
                <w:rFonts w:ascii="宋体" w:hAnsi="宋体" w:cs="Arial"/>
                <w:color w:val="auto"/>
              </w:rPr>
              <w:t>无免赔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395" w:type="dxa"/>
          </w:tcPr>
          <w:p>
            <w:pPr>
              <w:tabs>
                <w:tab w:val="left" w:pos="2340"/>
              </w:tabs>
              <w:spacing w:line="320" w:lineRule="exact"/>
              <w:rPr>
                <w:rFonts w:ascii="宋体" w:hAnsi="宋体" w:cs="Arial"/>
                <w:b/>
                <w:color w:val="auto"/>
              </w:rPr>
            </w:pPr>
            <w:r>
              <w:rPr>
                <w:rFonts w:ascii="宋体" w:hAnsi="宋体" w:cs="Arial"/>
                <w:b/>
                <w:color w:val="auto"/>
              </w:rPr>
              <w:t>司法管辖：</w:t>
            </w:r>
          </w:p>
        </w:tc>
        <w:tc>
          <w:tcPr>
            <w:tcW w:w="7328" w:type="dxa"/>
            <w:vAlign w:val="center"/>
          </w:tcPr>
          <w:p>
            <w:pPr>
              <w:tabs>
                <w:tab w:val="left" w:pos="2340"/>
              </w:tabs>
              <w:spacing w:line="320" w:lineRule="exact"/>
              <w:rPr>
                <w:rFonts w:ascii="宋体" w:hAnsi="宋体" w:cs="Arial"/>
                <w:color w:val="auto"/>
              </w:rPr>
            </w:pPr>
            <w:r>
              <w:rPr>
                <w:rFonts w:ascii="宋体" w:hAnsi="宋体" w:cs="Arial"/>
                <w:color w:val="auto"/>
              </w:rPr>
              <w:t>中华人民共和国(港、澳、台除外)；海外差旅扩展至全球范围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blCellSpacing w:w="11" w:type="dxa"/>
        </w:trPr>
        <w:tc>
          <w:tcPr>
            <w:tcW w:w="1395" w:type="dxa"/>
          </w:tcPr>
          <w:p>
            <w:pPr>
              <w:tabs>
                <w:tab w:val="left" w:pos="2340"/>
              </w:tabs>
              <w:spacing w:line="320" w:lineRule="exact"/>
              <w:rPr>
                <w:rFonts w:ascii="宋体" w:hAnsi="宋体" w:cs="Arial"/>
                <w:b/>
                <w:color w:val="auto"/>
              </w:rPr>
            </w:pPr>
            <w:r>
              <w:rPr>
                <w:rFonts w:ascii="宋体" w:hAnsi="宋体" w:cs="Arial"/>
                <w:b/>
                <w:color w:val="auto"/>
              </w:rPr>
              <w:t>扩展条款：</w:t>
            </w:r>
          </w:p>
        </w:tc>
        <w:tc>
          <w:tcPr>
            <w:tcW w:w="7328" w:type="dxa"/>
          </w:tcPr>
          <w:p>
            <w:pPr>
              <w:tabs>
                <w:tab w:val="left" w:pos="2340"/>
              </w:tabs>
              <w:spacing w:line="320" w:lineRule="exact"/>
              <w:rPr>
                <w:rFonts w:ascii="宋体" w:hAnsi="宋体" w:cs="Arial"/>
                <w:color w:val="auto"/>
              </w:rPr>
            </w:pPr>
            <w:r>
              <w:rPr>
                <w:rFonts w:ascii="宋体" w:hAnsi="宋体" w:cs="Arial"/>
                <w:color w:val="auto"/>
              </w:rPr>
              <w:t>1.</w:t>
            </w:r>
            <w:r>
              <w:rPr>
                <w:rFonts w:hint="eastAsia" w:ascii="宋体" w:hAnsi="宋体" w:cs="Arial"/>
                <w:color w:val="auto"/>
              </w:rPr>
              <w:t xml:space="preserve"> </w:t>
            </w:r>
            <w:r>
              <w:rPr>
                <w:rFonts w:ascii="宋体" w:hAnsi="宋体" w:cs="Arial"/>
                <w:color w:val="auto"/>
              </w:rPr>
              <w:t xml:space="preserve">交叉责任条款 </w:t>
            </w:r>
          </w:p>
          <w:p>
            <w:pPr>
              <w:tabs>
                <w:tab w:val="left" w:pos="2340"/>
              </w:tabs>
              <w:spacing w:line="320" w:lineRule="exact"/>
              <w:rPr>
                <w:rFonts w:ascii="宋体" w:hAnsi="宋体" w:cs="Arial"/>
                <w:color w:val="auto"/>
              </w:rPr>
            </w:pPr>
            <w:r>
              <w:rPr>
                <w:rFonts w:ascii="宋体" w:hAnsi="宋体" w:cs="Arial"/>
                <w:color w:val="auto"/>
              </w:rPr>
              <w:t>2.</w:t>
            </w:r>
            <w:r>
              <w:rPr>
                <w:rFonts w:hint="eastAsia" w:ascii="宋体" w:hAnsi="宋体" w:cs="Arial"/>
                <w:color w:val="auto"/>
              </w:rPr>
              <w:t xml:space="preserve"> 90天取消保单条款</w:t>
            </w:r>
          </w:p>
          <w:p>
            <w:pPr>
              <w:tabs>
                <w:tab w:val="left" w:pos="2340"/>
              </w:tabs>
              <w:spacing w:line="320" w:lineRule="exact"/>
              <w:rPr>
                <w:rFonts w:ascii="宋体" w:hAnsi="宋体" w:cs="Arial"/>
                <w:color w:val="auto"/>
              </w:rPr>
            </w:pPr>
            <w:r>
              <w:rPr>
                <w:rFonts w:ascii="宋体" w:hAnsi="宋体" w:cs="Arial"/>
                <w:color w:val="auto"/>
              </w:rPr>
              <w:t>3. 火灾、爆炸及水损责任条款</w:t>
            </w:r>
          </w:p>
          <w:p>
            <w:pPr>
              <w:tabs>
                <w:tab w:val="left" w:pos="2340"/>
              </w:tabs>
              <w:spacing w:line="320" w:lineRule="exact"/>
              <w:rPr>
                <w:rFonts w:ascii="宋体" w:hAnsi="宋体" w:cs="Arial"/>
                <w:color w:val="auto"/>
              </w:rPr>
            </w:pPr>
            <w:r>
              <w:rPr>
                <w:rFonts w:ascii="宋体" w:hAnsi="宋体" w:cs="Arial"/>
                <w:color w:val="auto"/>
              </w:rPr>
              <w:t>4.</w:t>
            </w:r>
            <w:r>
              <w:rPr>
                <w:rFonts w:ascii="宋体" w:hAnsi="宋体" w:cs="Arial"/>
                <w:color w:val="auto"/>
                <w:szCs w:val="21"/>
              </w:rPr>
              <w:t xml:space="preserve"> 监管之财产条款</w:t>
            </w:r>
            <w:r>
              <w:rPr>
                <w:rFonts w:hint="eastAsia" w:ascii="宋体" w:hAnsi="宋体" w:cs="Arial"/>
                <w:color w:val="auto"/>
                <w:szCs w:val="21"/>
              </w:rPr>
              <w:t>（</w:t>
            </w:r>
            <w:r>
              <w:rPr>
                <w:rFonts w:ascii="宋体" w:hAnsi="宋体" w:cs="Arial"/>
                <w:color w:val="auto"/>
              </w:rPr>
              <w:t>赔偿限额：每次事故RMB</w:t>
            </w:r>
            <w:r>
              <w:rPr>
                <w:rFonts w:hint="eastAsia" w:ascii="宋体" w:hAnsi="宋体" w:cs="Arial"/>
                <w:color w:val="auto"/>
              </w:rPr>
              <w:t>1</w:t>
            </w:r>
            <w:r>
              <w:rPr>
                <w:rFonts w:ascii="宋体" w:hAnsi="宋体" w:cs="Arial"/>
                <w:color w:val="auto"/>
              </w:rPr>
              <w:t>,000,000</w:t>
            </w:r>
            <w:r>
              <w:rPr>
                <w:rFonts w:hint="eastAsia" w:ascii="宋体" w:hAnsi="宋体" w:cs="Arial"/>
                <w:color w:val="auto"/>
              </w:rPr>
              <w:t>）</w:t>
            </w:r>
          </w:p>
          <w:p>
            <w:pPr>
              <w:tabs>
                <w:tab w:val="left" w:pos="2340"/>
              </w:tabs>
              <w:spacing w:line="320" w:lineRule="exact"/>
              <w:rPr>
                <w:rFonts w:ascii="宋体" w:hAnsi="宋体" w:cs="Arial"/>
                <w:color w:val="auto"/>
              </w:rPr>
            </w:pPr>
            <w:r>
              <w:rPr>
                <w:rFonts w:ascii="宋体" w:hAnsi="宋体" w:cs="Arial"/>
                <w:color w:val="auto"/>
              </w:rPr>
              <w:t>5. 广告招牌及装饰物责任条款</w:t>
            </w:r>
          </w:p>
          <w:p>
            <w:pPr>
              <w:tabs>
                <w:tab w:val="left" w:pos="2340"/>
              </w:tabs>
              <w:spacing w:line="320" w:lineRule="exact"/>
              <w:rPr>
                <w:rFonts w:ascii="宋体" w:hAnsi="宋体" w:cs="Arial"/>
                <w:color w:val="auto"/>
              </w:rPr>
            </w:pPr>
            <w:r>
              <w:rPr>
                <w:rFonts w:ascii="宋体" w:hAnsi="宋体" w:cs="Arial"/>
                <w:color w:val="auto"/>
              </w:rPr>
              <w:t>6. 食品、饮料责任条款</w:t>
            </w:r>
          </w:p>
          <w:p>
            <w:pPr>
              <w:tabs>
                <w:tab w:val="left" w:pos="2340"/>
              </w:tabs>
              <w:spacing w:line="320" w:lineRule="exact"/>
              <w:rPr>
                <w:rFonts w:ascii="宋体" w:hAnsi="宋体" w:cs="Arial"/>
                <w:color w:val="auto"/>
              </w:rPr>
            </w:pPr>
            <w:r>
              <w:rPr>
                <w:rFonts w:ascii="宋体" w:hAnsi="宋体" w:cs="Arial"/>
                <w:color w:val="auto"/>
              </w:rPr>
              <w:t>7. 急救费用条款</w:t>
            </w:r>
          </w:p>
          <w:p>
            <w:pPr>
              <w:tabs>
                <w:tab w:val="left" w:pos="2340"/>
              </w:tabs>
              <w:spacing w:line="320" w:lineRule="exact"/>
              <w:rPr>
                <w:rFonts w:ascii="宋体" w:hAnsi="宋体" w:cs="Arial"/>
                <w:color w:val="auto"/>
              </w:rPr>
            </w:pPr>
            <w:r>
              <w:rPr>
                <w:rFonts w:ascii="宋体" w:hAnsi="宋体" w:cs="Arial"/>
                <w:color w:val="auto"/>
              </w:rPr>
              <w:t>8. 承租人责任条款</w:t>
            </w:r>
          </w:p>
          <w:p>
            <w:pPr>
              <w:tabs>
                <w:tab w:val="left" w:pos="2340"/>
              </w:tabs>
              <w:spacing w:line="320" w:lineRule="exact"/>
              <w:rPr>
                <w:rFonts w:ascii="宋体" w:hAnsi="宋体" w:cs="Arial"/>
                <w:color w:val="auto"/>
              </w:rPr>
            </w:pPr>
            <w:r>
              <w:rPr>
                <w:rFonts w:ascii="宋体" w:hAnsi="宋体" w:cs="Arial"/>
                <w:color w:val="auto"/>
              </w:rPr>
              <w:t>9.</w:t>
            </w:r>
            <w:r>
              <w:rPr>
                <w:rFonts w:hint="eastAsia" w:ascii="宋体" w:hAnsi="宋体" w:cs="Arial"/>
                <w:color w:val="auto"/>
              </w:rPr>
              <w:t>社交或体育活动条款或社交及娱乐场所责任条款</w:t>
            </w:r>
          </w:p>
          <w:p>
            <w:pPr>
              <w:tabs>
                <w:tab w:val="left" w:pos="2340"/>
              </w:tabs>
              <w:spacing w:line="320" w:lineRule="exact"/>
              <w:rPr>
                <w:rFonts w:ascii="宋体" w:hAnsi="宋体" w:cs="Arial"/>
                <w:color w:val="auto"/>
              </w:rPr>
            </w:pPr>
            <w:r>
              <w:rPr>
                <w:rFonts w:ascii="宋体" w:hAnsi="宋体" w:cs="Arial"/>
                <w:color w:val="auto"/>
              </w:rPr>
              <w:t>10. 车辆装卸责任条款</w:t>
            </w:r>
          </w:p>
          <w:p>
            <w:pPr>
              <w:tabs>
                <w:tab w:val="left" w:pos="2340"/>
              </w:tabs>
              <w:spacing w:line="320" w:lineRule="exact"/>
              <w:rPr>
                <w:rFonts w:ascii="宋体" w:hAnsi="宋体" w:cs="Arial"/>
                <w:color w:val="auto"/>
              </w:rPr>
            </w:pPr>
            <w:r>
              <w:rPr>
                <w:rFonts w:ascii="宋体" w:hAnsi="宋体" w:cs="Arial"/>
                <w:color w:val="auto"/>
              </w:rPr>
              <w:t>11. 董事及非体力劳动雇员临时海外公干责任条款</w:t>
            </w:r>
          </w:p>
          <w:p>
            <w:pPr>
              <w:tabs>
                <w:tab w:val="left" w:pos="2340"/>
              </w:tabs>
              <w:spacing w:line="320" w:lineRule="exact"/>
              <w:rPr>
                <w:rFonts w:ascii="宋体" w:hAnsi="宋体" w:cs="Arial"/>
                <w:color w:val="auto"/>
              </w:rPr>
            </w:pPr>
            <w:r>
              <w:rPr>
                <w:rFonts w:ascii="宋体" w:hAnsi="宋体" w:cs="Arial"/>
                <w:color w:val="auto"/>
              </w:rPr>
              <w:t>12. 租用的员工住所条款</w:t>
            </w:r>
          </w:p>
          <w:p>
            <w:pPr>
              <w:tabs>
                <w:tab w:val="left" w:pos="2340"/>
              </w:tabs>
              <w:spacing w:line="320" w:lineRule="exact"/>
              <w:rPr>
                <w:rFonts w:ascii="宋体" w:hAnsi="宋体" w:cs="Arial"/>
                <w:color w:val="auto"/>
              </w:rPr>
            </w:pPr>
            <w:r>
              <w:rPr>
                <w:rFonts w:ascii="宋体" w:hAnsi="宋体" w:cs="Arial"/>
                <w:color w:val="auto"/>
              </w:rPr>
              <w:t>13. 停车场责任条款（赔偿限额：每次事故RMB2,000,000，累计RMB5,000,000）</w:t>
            </w:r>
          </w:p>
          <w:p>
            <w:pPr>
              <w:tabs>
                <w:tab w:val="left" w:pos="2340"/>
              </w:tabs>
              <w:spacing w:line="320" w:lineRule="exact"/>
              <w:rPr>
                <w:rFonts w:ascii="宋体" w:hAnsi="宋体" w:cs="Arial"/>
                <w:color w:val="auto"/>
              </w:rPr>
            </w:pPr>
            <w:r>
              <w:rPr>
                <w:rFonts w:ascii="宋体" w:hAnsi="宋体" w:cs="Arial"/>
                <w:color w:val="auto"/>
              </w:rPr>
              <w:t>14. 独立承包人责任条款（合同价值限额：RMB10,000,000）</w:t>
            </w:r>
          </w:p>
          <w:p>
            <w:pPr>
              <w:tabs>
                <w:tab w:val="left" w:pos="2340"/>
              </w:tabs>
              <w:spacing w:line="320" w:lineRule="exact"/>
              <w:rPr>
                <w:rFonts w:ascii="宋体" w:hAnsi="宋体" w:cs="Arial"/>
                <w:color w:val="auto"/>
              </w:rPr>
            </w:pPr>
            <w:r>
              <w:rPr>
                <w:rFonts w:ascii="宋体" w:hAnsi="宋体" w:cs="Arial"/>
                <w:color w:val="auto"/>
              </w:rPr>
              <w:t>15. 不受控制条款</w:t>
            </w:r>
          </w:p>
          <w:p>
            <w:pPr>
              <w:tabs>
                <w:tab w:val="left" w:pos="2340"/>
              </w:tabs>
              <w:spacing w:line="320" w:lineRule="exact"/>
              <w:rPr>
                <w:rFonts w:ascii="宋体" w:hAnsi="宋体" w:cs="Arial"/>
                <w:color w:val="auto"/>
              </w:rPr>
            </w:pPr>
            <w:r>
              <w:rPr>
                <w:rFonts w:ascii="宋体" w:hAnsi="宋体" w:cs="Arial"/>
                <w:color w:val="auto"/>
              </w:rPr>
              <w:t>16. 电梯责任条款</w:t>
            </w:r>
          </w:p>
          <w:p>
            <w:pPr>
              <w:tabs>
                <w:tab w:val="left" w:pos="2340"/>
              </w:tabs>
              <w:spacing w:line="320" w:lineRule="exact"/>
              <w:rPr>
                <w:rFonts w:ascii="宋体" w:hAnsi="宋体" w:cs="Arial"/>
                <w:color w:val="auto"/>
              </w:rPr>
            </w:pPr>
            <w:r>
              <w:rPr>
                <w:rFonts w:ascii="宋体" w:hAnsi="宋体" w:cs="Arial"/>
                <w:color w:val="auto"/>
              </w:rPr>
              <w:t>1</w:t>
            </w:r>
            <w:r>
              <w:rPr>
                <w:rFonts w:hint="eastAsia" w:ascii="宋体" w:hAnsi="宋体" w:cs="Arial"/>
                <w:color w:val="auto"/>
              </w:rPr>
              <w:t>7</w:t>
            </w:r>
            <w:r>
              <w:rPr>
                <w:rFonts w:ascii="宋体" w:hAnsi="宋体" w:cs="Arial"/>
                <w:color w:val="auto"/>
              </w:rPr>
              <w:t>. 人身侵害条款</w:t>
            </w:r>
          </w:p>
          <w:p>
            <w:pPr>
              <w:tabs>
                <w:tab w:val="left" w:pos="2340"/>
              </w:tabs>
              <w:spacing w:line="320" w:lineRule="exact"/>
              <w:rPr>
                <w:rFonts w:ascii="宋体" w:hAnsi="宋体" w:cs="Arial"/>
                <w:color w:val="auto"/>
              </w:rPr>
            </w:pPr>
            <w:r>
              <w:rPr>
                <w:rFonts w:ascii="宋体" w:hAnsi="宋体" w:cs="Arial"/>
                <w:color w:val="auto"/>
              </w:rPr>
              <w:t>1</w:t>
            </w:r>
            <w:r>
              <w:rPr>
                <w:rFonts w:hint="eastAsia" w:ascii="宋体" w:hAnsi="宋体" w:cs="Arial"/>
                <w:color w:val="auto"/>
              </w:rPr>
              <w:t>8</w:t>
            </w:r>
            <w:r>
              <w:rPr>
                <w:rFonts w:ascii="宋体" w:hAnsi="宋体" w:cs="Arial"/>
                <w:color w:val="auto"/>
              </w:rPr>
              <w:t>. 错误和遗漏条款</w:t>
            </w:r>
          </w:p>
          <w:p>
            <w:pPr>
              <w:tabs>
                <w:tab w:val="left" w:pos="2340"/>
              </w:tabs>
              <w:spacing w:line="320" w:lineRule="exact"/>
              <w:rPr>
                <w:rFonts w:ascii="宋体" w:hAnsi="宋体" w:cs="Arial"/>
                <w:color w:val="auto"/>
              </w:rPr>
            </w:pPr>
            <w:r>
              <w:rPr>
                <w:rFonts w:hint="eastAsia" w:ascii="宋体" w:hAnsi="宋体" w:cs="Arial"/>
                <w:color w:val="auto"/>
              </w:rPr>
              <w:t>19</w:t>
            </w:r>
            <w:r>
              <w:rPr>
                <w:rFonts w:ascii="宋体" w:hAnsi="宋体" w:cs="Arial"/>
                <w:color w:val="auto"/>
              </w:rPr>
              <w:t>. 自动承保新地点条款(60天报告期)</w:t>
            </w:r>
          </w:p>
          <w:p>
            <w:pPr>
              <w:tabs>
                <w:tab w:val="left" w:pos="2340"/>
              </w:tabs>
              <w:spacing w:line="320" w:lineRule="exact"/>
              <w:rPr>
                <w:rFonts w:ascii="宋体" w:hAnsi="宋体" w:cs="Arial"/>
                <w:color w:val="auto"/>
              </w:rPr>
            </w:pPr>
            <w:r>
              <w:rPr>
                <w:rFonts w:ascii="宋体" w:hAnsi="宋体" w:cs="Arial"/>
                <w:color w:val="auto"/>
              </w:rPr>
              <w:t>2</w:t>
            </w:r>
            <w:r>
              <w:rPr>
                <w:rFonts w:hint="eastAsia" w:ascii="宋体" w:hAnsi="宋体" w:cs="Arial"/>
                <w:color w:val="auto"/>
              </w:rPr>
              <w:t>0</w:t>
            </w:r>
            <w:r>
              <w:rPr>
                <w:rFonts w:ascii="宋体" w:hAnsi="宋体" w:cs="Arial"/>
                <w:color w:val="auto"/>
              </w:rPr>
              <w:t>. 罢工、暴动、民众骚乱及恶意破坏条款</w:t>
            </w:r>
          </w:p>
          <w:p>
            <w:pPr>
              <w:tabs>
                <w:tab w:val="left" w:pos="2340"/>
              </w:tabs>
              <w:spacing w:line="320" w:lineRule="exact"/>
              <w:rPr>
                <w:rFonts w:ascii="宋体" w:hAnsi="宋体" w:cs="Arial"/>
                <w:color w:val="auto"/>
              </w:rPr>
            </w:pPr>
            <w:r>
              <w:rPr>
                <w:rFonts w:ascii="宋体" w:hAnsi="宋体" w:cs="Arial"/>
                <w:color w:val="auto"/>
              </w:rPr>
              <w:t>2</w:t>
            </w:r>
            <w:r>
              <w:rPr>
                <w:rFonts w:hint="eastAsia" w:ascii="宋体" w:hAnsi="宋体" w:cs="Arial"/>
                <w:color w:val="auto"/>
              </w:rPr>
              <w:t>1</w:t>
            </w:r>
            <w:r>
              <w:rPr>
                <w:rFonts w:ascii="宋体" w:hAnsi="宋体" w:cs="Arial"/>
                <w:color w:val="auto"/>
              </w:rPr>
              <w:t>. 提供物品及服务条款</w:t>
            </w:r>
          </w:p>
          <w:p>
            <w:pPr>
              <w:tabs>
                <w:tab w:val="left" w:pos="2340"/>
              </w:tabs>
              <w:spacing w:line="320" w:lineRule="exact"/>
              <w:rPr>
                <w:rFonts w:ascii="宋体" w:hAnsi="宋体" w:cs="Arial"/>
                <w:color w:val="auto"/>
              </w:rPr>
            </w:pPr>
            <w:r>
              <w:rPr>
                <w:rFonts w:ascii="宋体" w:hAnsi="宋体" w:cs="Arial"/>
                <w:color w:val="auto"/>
              </w:rPr>
              <w:t>2</w:t>
            </w:r>
            <w:r>
              <w:rPr>
                <w:rFonts w:hint="eastAsia" w:ascii="宋体" w:hAnsi="宋体" w:cs="Arial"/>
                <w:color w:val="auto"/>
              </w:rPr>
              <w:t>2</w:t>
            </w:r>
            <w:r>
              <w:rPr>
                <w:rFonts w:ascii="宋体" w:hAnsi="宋体" w:cs="Arial"/>
                <w:color w:val="auto"/>
              </w:rPr>
              <w:t>. 放弃代位求偿权条款</w:t>
            </w:r>
          </w:p>
          <w:p>
            <w:pPr>
              <w:tabs>
                <w:tab w:val="left" w:pos="2340"/>
              </w:tabs>
              <w:spacing w:line="320" w:lineRule="exact"/>
              <w:rPr>
                <w:rFonts w:ascii="宋体" w:hAnsi="宋体" w:cs="Arial"/>
                <w:color w:val="auto"/>
              </w:rPr>
            </w:pPr>
            <w:r>
              <w:rPr>
                <w:rFonts w:ascii="宋体" w:hAnsi="宋体" w:cs="Arial"/>
                <w:color w:val="auto"/>
              </w:rPr>
              <w:t>2</w:t>
            </w:r>
            <w:r>
              <w:rPr>
                <w:rFonts w:hint="eastAsia" w:ascii="宋体" w:hAnsi="宋体" w:cs="Arial"/>
                <w:color w:val="auto"/>
              </w:rPr>
              <w:t>3</w:t>
            </w:r>
            <w:r>
              <w:rPr>
                <w:rFonts w:ascii="宋体" w:hAnsi="宋体" w:cs="Arial"/>
                <w:color w:val="auto"/>
              </w:rPr>
              <w:t>. 附加恐怖活动扩展(每次事故赔偿限额：RMB 5,000,000）</w:t>
            </w:r>
          </w:p>
          <w:p>
            <w:pPr>
              <w:tabs>
                <w:tab w:val="left" w:pos="2340"/>
              </w:tabs>
              <w:spacing w:line="320" w:lineRule="exact"/>
              <w:rPr>
                <w:rFonts w:ascii="宋体" w:hAnsi="宋体" w:cs="Arial"/>
                <w:color w:val="auto"/>
              </w:rPr>
            </w:pPr>
            <w:r>
              <w:rPr>
                <w:rFonts w:hint="eastAsia" w:ascii="宋体" w:hAnsi="宋体" w:cs="Arial"/>
                <w:color w:val="auto"/>
              </w:rPr>
              <w:t xml:space="preserve">24. </w:t>
            </w:r>
            <w:r>
              <w:rPr>
                <w:rFonts w:ascii="宋体" w:hAnsi="宋体" w:cs="Arial"/>
                <w:color w:val="auto"/>
              </w:rPr>
              <w:t>暴力行为、抢劫责任条款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blCellSpacing w:w="11" w:type="dxa"/>
        </w:trPr>
        <w:tc>
          <w:tcPr>
            <w:tcW w:w="1395" w:type="dxa"/>
          </w:tcPr>
          <w:p>
            <w:pPr>
              <w:tabs>
                <w:tab w:val="left" w:pos="2340"/>
              </w:tabs>
              <w:spacing w:line="320" w:lineRule="exact"/>
              <w:rPr>
                <w:rFonts w:ascii="宋体" w:hAnsi="宋体" w:cs="Arial"/>
                <w:b/>
                <w:color w:val="auto"/>
              </w:rPr>
            </w:pPr>
            <w:r>
              <w:rPr>
                <w:rFonts w:ascii="宋体" w:hAnsi="宋体" w:cs="Arial"/>
                <w:b/>
                <w:color w:val="auto"/>
              </w:rPr>
              <w:t>特别约定：</w:t>
            </w:r>
          </w:p>
        </w:tc>
        <w:tc>
          <w:tcPr>
            <w:tcW w:w="7328" w:type="dxa"/>
          </w:tcPr>
          <w:p>
            <w:pPr>
              <w:tabs>
                <w:tab w:val="left" w:pos="2340"/>
              </w:tabs>
              <w:spacing w:line="320" w:lineRule="exact"/>
              <w:rPr>
                <w:rFonts w:ascii="宋体" w:hAnsi="宋体" w:cs="Arial"/>
                <w:color w:val="auto"/>
                <w:lang w:val="en-GB"/>
              </w:rPr>
            </w:pPr>
            <w:r>
              <w:rPr>
                <w:rFonts w:ascii="宋体" w:hAnsi="宋体" w:cs="Arial"/>
                <w:color w:val="auto"/>
                <w:lang w:val="en-GB"/>
              </w:rPr>
              <w:t>1.对于下列原因造成第三者人身伤亡或财产损失而依法应承担的经济赔偿责任，本保险人负责赔偿：</w:t>
            </w:r>
          </w:p>
          <w:p>
            <w:pPr>
              <w:tabs>
                <w:tab w:val="left" w:pos="2340"/>
              </w:tabs>
              <w:spacing w:line="320" w:lineRule="exact"/>
              <w:rPr>
                <w:rFonts w:ascii="宋体" w:hAnsi="宋体" w:cs="Arial"/>
                <w:color w:val="auto"/>
                <w:lang w:val="en-GB"/>
              </w:rPr>
            </w:pPr>
            <w:r>
              <w:rPr>
                <w:rFonts w:ascii="宋体" w:hAnsi="宋体" w:cs="Arial"/>
                <w:color w:val="auto"/>
                <w:lang w:val="en-GB"/>
              </w:rPr>
              <w:t>1）公路设施损坏后维修不及时（如防护栏缺损、路面坑凼、沉陷等）导致第三者人身伤亡或财产损失；</w:t>
            </w:r>
          </w:p>
          <w:p>
            <w:pPr>
              <w:tabs>
                <w:tab w:val="left" w:pos="2340"/>
              </w:tabs>
              <w:spacing w:line="320" w:lineRule="exact"/>
              <w:rPr>
                <w:rFonts w:ascii="宋体" w:hAnsi="宋体" w:cs="Arial"/>
                <w:color w:val="auto"/>
                <w:lang w:val="en-GB"/>
              </w:rPr>
            </w:pPr>
            <w:r>
              <w:rPr>
                <w:rFonts w:ascii="宋体" w:hAnsi="宋体" w:cs="Arial"/>
                <w:color w:val="auto"/>
                <w:lang w:val="en-GB"/>
              </w:rPr>
              <w:t>2）路面杂物清理不及时而发生意外事故导致第三者人身伤亡或财产损失；</w:t>
            </w:r>
          </w:p>
          <w:p>
            <w:pPr>
              <w:tabs>
                <w:tab w:val="left" w:pos="2340"/>
              </w:tabs>
              <w:spacing w:line="320" w:lineRule="exact"/>
              <w:rPr>
                <w:rFonts w:ascii="宋体" w:hAnsi="宋体" w:cs="Arial"/>
                <w:color w:val="auto"/>
                <w:lang w:val="en-GB"/>
              </w:rPr>
            </w:pPr>
            <w:r>
              <w:rPr>
                <w:rFonts w:ascii="宋体" w:hAnsi="宋体" w:cs="Arial"/>
                <w:color w:val="auto"/>
                <w:lang w:val="en-GB"/>
              </w:rPr>
              <w:t>3）使用未领有公共运输行驶牌照的作业车辆或机械设备因疏忽而发生意外事故导致第三者人身伤亡或财产损失；</w:t>
            </w:r>
          </w:p>
          <w:p>
            <w:pPr>
              <w:tabs>
                <w:tab w:val="left" w:pos="2340"/>
              </w:tabs>
              <w:spacing w:line="320" w:lineRule="exact"/>
              <w:rPr>
                <w:rFonts w:ascii="宋体" w:hAnsi="宋体" w:cs="Arial"/>
                <w:color w:val="auto"/>
              </w:rPr>
            </w:pPr>
            <w:r>
              <w:rPr>
                <w:rFonts w:ascii="宋体" w:hAnsi="宋体" w:cs="Arial"/>
                <w:color w:val="auto"/>
                <w:lang w:val="en-GB"/>
              </w:rPr>
              <w:t>4）由于其他管理责任造成的第三者人身伤亡或财产损失。</w:t>
            </w:r>
          </w:p>
          <w:p>
            <w:pPr>
              <w:tabs>
                <w:tab w:val="left" w:pos="2340"/>
              </w:tabs>
              <w:spacing w:line="320" w:lineRule="exact"/>
              <w:rPr>
                <w:rFonts w:ascii="宋体" w:hAnsi="宋体" w:cs="Arial"/>
                <w:color w:val="auto"/>
                <w:lang w:val="en-GB"/>
              </w:rPr>
            </w:pPr>
            <w:r>
              <w:rPr>
                <w:rFonts w:ascii="宋体" w:hAnsi="宋体" w:cs="Arial"/>
                <w:color w:val="auto"/>
                <w:lang w:val="en-GB"/>
              </w:rPr>
              <w:t>2. 索赔费用约定：在事先征得保险公司的同意后，本保险扩展承保被保险人在准备索赔过程中为制作或证明保险公司所需的任何记录、信息、证据或其他证明材料而所花费的合理的材料和人工费用。但每次事故以不超过RMB5,000,000。本保险单项下保险公司对财产损失及此类费用的总赔偿金额以保险金额为限。</w:t>
            </w:r>
          </w:p>
          <w:p>
            <w:pPr>
              <w:tabs>
                <w:tab w:val="left" w:pos="2340"/>
              </w:tabs>
              <w:spacing w:line="320" w:lineRule="exact"/>
              <w:rPr>
                <w:rFonts w:ascii="宋体" w:hAnsi="宋体" w:cs="Arial"/>
                <w:color w:val="auto"/>
                <w:lang w:val="en-GB"/>
              </w:rPr>
            </w:pPr>
            <w:r>
              <w:rPr>
                <w:rFonts w:ascii="宋体" w:hAnsi="宋体" w:cs="Arial"/>
                <w:color w:val="auto"/>
                <w:lang w:val="en-GB"/>
              </w:rPr>
              <w:t>3. 因第三方车辆抛洒物或异物、天桥抛洒物或掉落物造成的其他第三方财产损失或人员伤亡，经法院司法判决应由被保险人承担责任的部分，本保险人在保单限额内负责赔偿。</w:t>
            </w:r>
          </w:p>
          <w:p>
            <w:pPr>
              <w:tabs>
                <w:tab w:val="left" w:pos="2340"/>
              </w:tabs>
              <w:spacing w:line="320" w:lineRule="exact"/>
              <w:rPr>
                <w:rFonts w:ascii="宋体" w:hAnsi="宋体" w:cs="Arial"/>
                <w:color w:val="auto"/>
                <w:lang w:val="en-GB"/>
              </w:rPr>
            </w:pPr>
            <w:r>
              <w:rPr>
                <w:rFonts w:ascii="宋体" w:hAnsi="宋体" w:cs="Arial"/>
                <w:color w:val="auto"/>
                <w:lang w:val="en-GB"/>
              </w:rPr>
              <w:t xml:space="preserve">4. </w:t>
            </w:r>
            <w:r>
              <w:rPr>
                <w:rFonts w:hint="eastAsia" w:ascii="宋体" w:hAnsi="宋体" w:cs="Arial"/>
                <w:color w:val="auto"/>
                <w:lang w:val="en-GB"/>
              </w:rPr>
              <w:t>不论以下《公众责任保险条款》如何约定，赔偿处理中，死亡赔偿标准和伤残赔偿标准均按照国家标准赔付（适用《最高人民法院关于审理人身损害赔偿案件适用法律若干问题的解释》以及相应增补和修订（如有））。</w:t>
            </w:r>
          </w:p>
          <w:p>
            <w:pPr>
              <w:tabs>
                <w:tab w:val="left" w:pos="2340"/>
              </w:tabs>
              <w:spacing w:line="320" w:lineRule="exact"/>
              <w:rPr>
                <w:rFonts w:ascii="宋体" w:hAnsi="宋体" w:cs="Arial"/>
                <w:color w:val="auto"/>
                <w:lang w:val="en-GB"/>
              </w:rPr>
            </w:pPr>
            <w:r>
              <w:rPr>
                <w:rFonts w:ascii="宋体" w:hAnsi="宋体" w:cs="Arial"/>
                <w:color w:val="auto"/>
                <w:lang w:val="en-GB"/>
              </w:rPr>
              <w:t xml:space="preserve">5. 损失通知约定： 兹经双方同意，无论是否与本保险单其它内容相抵触，被保险人因过失而延迟、错误或遗漏向保险人告知或通知保险人任何导致或可能导致索赔的事件，被保险人在本保险合同项下的权益不受影响。 </w:t>
            </w:r>
          </w:p>
          <w:p>
            <w:pPr>
              <w:tabs>
                <w:tab w:val="left" w:pos="2340"/>
              </w:tabs>
              <w:spacing w:line="320" w:lineRule="exact"/>
              <w:rPr>
                <w:rFonts w:ascii="宋体" w:hAnsi="宋体" w:cs="Arial"/>
                <w:color w:val="auto"/>
                <w:lang w:val="en-GB"/>
              </w:rPr>
            </w:pPr>
            <w:r>
              <w:rPr>
                <w:rFonts w:ascii="宋体" w:hAnsi="宋体" w:cs="Arial"/>
                <w:color w:val="auto"/>
                <w:lang w:val="en-GB"/>
              </w:rPr>
              <w:t>6. 不使保单失效</w:t>
            </w:r>
            <w:r>
              <w:rPr>
                <w:rFonts w:hint="eastAsia" w:ascii="宋体" w:hAnsi="宋体" w:cs="Arial"/>
                <w:color w:val="auto"/>
                <w:lang w:val="en-GB"/>
              </w:rPr>
              <w:t>约定</w:t>
            </w:r>
            <w:r>
              <w:rPr>
                <w:rFonts w:ascii="宋体" w:hAnsi="宋体" w:cs="Arial"/>
                <w:color w:val="auto"/>
                <w:lang w:val="en-GB"/>
              </w:rPr>
              <w:t xml:space="preserve">：兹经双方同意并约定,本保险不因下述原因而失效：在被保险人不知情的前提下，承保项目的财产占用性质改变或分险程度增加。但一旦知道该情况，被保险人应立即通知保险人并缴付从风险增加之日起的额外保费。 </w:t>
            </w:r>
          </w:p>
          <w:p>
            <w:pPr>
              <w:tabs>
                <w:tab w:val="left" w:pos="2340"/>
              </w:tabs>
              <w:spacing w:line="320" w:lineRule="exact"/>
              <w:rPr>
                <w:rFonts w:ascii="宋体" w:hAnsi="宋体" w:cs="Arial"/>
                <w:b/>
                <w:color w:val="auto"/>
              </w:rPr>
            </w:pPr>
            <w:r>
              <w:rPr>
                <w:rFonts w:ascii="宋体" w:hAnsi="宋体" w:cs="Arial"/>
                <w:color w:val="auto"/>
                <w:lang w:val="en-GB"/>
              </w:rPr>
              <w:t>7. 若在本保单项下发生任何理赔争议，争议解决机构应为重庆渝合高速公路有限公司所在地的人民法院</w:t>
            </w:r>
            <w:r>
              <w:rPr>
                <w:rFonts w:hint="eastAsia" w:ascii="宋体" w:hAnsi="宋体" w:cs="Arial"/>
                <w:color w:val="auto"/>
                <w:lang w:val="en-GB"/>
              </w:rPr>
              <w:t>。</w:t>
            </w:r>
          </w:p>
        </w:tc>
      </w:tr>
    </w:tbl>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ind w:firstLine="420"/>
        <w:rPr>
          <w:rFonts w:ascii="宋体" w:hAnsi="宋体"/>
          <w:color w:val="auto"/>
          <w:lang w:val="en-GB"/>
        </w:rPr>
      </w:pPr>
    </w:p>
    <w:p>
      <w:pPr>
        <w:adjustRightInd w:val="0"/>
        <w:snapToGrid w:val="0"/>
        <w:spacing w:line="360" w:lineRule="auto"/>
        <w:ind w:firstLine="1687" w:firstLineChars="700"/>
        <w:rPr>
          <w:rFonts w:ascii="宋体" w:hAnsi="宋体" w:cs="Arial"/>
          <w:b/>
          <w:caps/>
          <w:color w:val="auto"/>
          <w:sz w:val="24"/>
        </w:rPr>
      </w:pPr>
      <w:r>
        <w:rPr>
          <w:rFonts w:hint="eastAsia" w:ascii="宋体" w:hAnsi="宋体"/>
          <w:b/>
          <w:bCs/>
          <w:color w:val="auto"/>
          <w:sz w:val="24"/>
        </w:rPr>
        <w:t>20</w:t>
      </w:r>
      <w:r>
        <w:rPr>
          <w:rFonts w:ascii="宋体" w:hAnsi="宋体"/>
          <w:b/>
          <w:bCs/>
          <w:color w:val="auto"/>
          <w:sz w:val="24"/>
        </w:rPr>
        <w:t>21</w:t>
      </w:r>
      <w:r>
        <w:rPr>
          <w:rFonts w:hint="eastAsia" w:ascii="宋体" w:hAnsi="宋体"/>
          <w:b/>
          <w:bCs/>
          <w:color w:val="auto"/>
          <w:sz w:val="24"/>
        </w:rPr>
        <w:t xml:space="preserve"> - 2024营业中断险（财产一切险项下）</w:t>
      </w:r>
    </w:p>
    <w:tbl>
      <w:tblPr>
        <w:tblStyle w:val="88"/>
        <w:tblW w:w="0" w:type="auto"/>
        <w:tblCellSpacing w:w="11"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679" w:type="dxa"/>
          </w:tcPr>
          <w:p>
            <w:pPr>
              <w:tabs>
                <w:tab w:val="left" w:pos="2340"/>
              </w:tabs>
              <w:spacing w:line="320" w:lineRule="exact"/>
              <w:rPr>
                <w:rFonts w:ascii="宋体" w:hAnsi="宋体" w:cs="Arial"/>
                <w:b/>
                <w:color w:val="auto"/>
                <w:lang w:val="en-GB"/>
              </w:rPr>
            </w:pPr>
            <w:r>
              <w:rPr>
                <w:rFonts w:ascii="宋体" w:hAnsi="宋体" w:cs="Arial"/>
                <w:b/>
                <w:color w:val="auto"/>
                <w:lang w:val="en-GB"/>
              </w:rPr>
              <w:t xml:space="preserve">投保人： </w:t>
            </w:r>
          </w:p>
        </w:tc>
        <w:tc>
          <w:tcPr>
            <w:tcW w:w="7044" w:type="dxa"/>
          </w:tcPr>
          <w:p>
            <w:pPr>
              <w:rPr>
                <w:rFonts w:ascii="宋体" w:hAnsi="宋体" w:cs="Arial"/>
                <w:color w:val="auto"/>
              </w:rPr>
            </w:pPr>
            <w:r>
              <w:rPr>
                <w:rFonts w:ascii="宋体" w:hAnsi="宋体" w:cs="Arial"/>
                <w:color w:val="auto"/>
                <w:szCs w:val="21"/>
              </w:rPr>
              <w:t>重庆渝合高速公路有限公司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679" w:type="dxa"/>
          </w:tcPr>
          <w:p>
            <w:pPr>
              <w:tabs>
                <w:tab w:val="left" w:pos="2340"/>
              </w:tabs>
              <w:spacing w:line="320" w:lineRule="exact"/>
              <w:rPr>
                <w:rFonts w:ascii="宋体" w:hAnsi="宋体" w:cs="Arial"/>
                <w:b/>
                <w:color w:val="auto"/>
              </w:rPr>
            </w:pPr>
            <w:r>
              <w:rPr>
                <w:rFonts w:ascii="宋体" w:hAnsi="宋体" w:cs="Arial"/>
                <w:b/>
                <w:color w:val="auto"/>
              </w:rPr>
              <w:t>保险地址：</w:t>
            </w:r>
          </w:p>
        </w:tc>
        <w:tc>
          <w:tcPr>
            <w:tcW w:w="7044" w:type="dxa"/>
          </w:tcPr>
          <w:p>
            <w:pPr>
              <w:tabs>
                <w:tab w:val="left" w:pos="2340"/>
              </w:tabs>
              <w:spacing w:line="320" w:lineRule="exact"/>
              <w:rPr>
                <w:rFonts w:ascii="宋体" w:hAnsi="宋体" w:cs="Arial"/>
                <w:color w:val="auto"/>
                <w:lang w:val="en-GB"/>
              </w:rPr>
            </w:pPr>
            <w:r>
              <w:rPr>
                <w:rFonts w:ascii="宋体" w:hAnsi="宋体" w:cs="Arial"/>
                <w:color w:val="auto"/>
                <w:lang w:val="en-GB"/>
              </w:rPr>
              <w:t>1.重庆市渝北区银杉路66号</w:t>
            </w:r>
            <w:r>
              <w:rPr>
                <w:rFonts w:hint="eastAsia" w:ascii="宋体" w:hAnsi="宋体" w:cs="Arial"/>
                <w:color w:val="auto"/>
                <w:lang w:val="en-GB"/>
              </w:rPr>
              <w:t>；</w:t>
            </w:r>
            <w:r>
              <w:rPr>
                <w:rFonts w:ascii="宋体" w:hAnsi="宋体" w:cs="Arial"/>
                <w:color w:val="auto"/>
                <w:lang w:val="en-GB"/>
              </w:rPr>
              <w:t>2.重庆渝合高速公路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679" w:type="dxa"/>
          </w:tcPr>
          <w:p>
            <w:pPr>
              <w:tabs>
                <w:tab w:val="left" w:pos="2340"/>
              </w:tabs>
              <w:spacing w:line="320" w:lineRule="exact"/>
              <w:rPr>
                <w:rFonts w:ascii="宋体" w:hAnsi="宋体" w:cs="Arial"/>
                <w:b/>
                <w:color w:val="auto"/>
              </w:rPr>
            </w:pPr>
            <w:r>
              <w:rPr>
                <w:rFonts w:ascii="宋体" w:hAnsi="宋体" w:cs="Arial"/>
                <w:b/>
                <w:color w:val="auto"/>
              </w:rPr>
              <w:t xml:space="preserve">营业性质： </w:t>
            </w:r>
          </w:p>
        </w:tc>
        <w:tc>
          <w:tcPr>
            <w:tcW w:w="7044" w:type="dxa"/>
          </w:tcPr>
          <w:p>
            <w:pPr>
              <w:tabs>
                <w:tab w:val="left" w:pos="2340"/>
              </w:tabs>
              <w:spacing w:line="320" w:lineRule="exact"/>
              <w:rPr>
                <w:rFonts w:ascii="宋体" w:hAnsi="宋体" w:cs="Arial"/>
                <w:color w:val="auto"/>
                <w:szCs w:val="21"/>
              </w:rPr>
            </w:pPr>
            <w:r>
              <w:rPr>
                <w:rFonts w:ascii="宋体" w:hAnsi="宋体" w:cs="Arial"/>
                <w:color w:val="auto"/>
                <w:szCs w:val="21"/>
              </w:rPr>
              <w:t>所有业务项目包括但不限于重庆渝合高速公路的运营、管理、及维护等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679" w:type="dxa"/>
          </w:tcPr>
          <w:p>
            <w:pPr>
              <w:tabs>
                <w:tab w:val="left" w:pos="2340"/>
              </w:tabs>
              <w:spacing w:line="320" w:lineRule="exact"/>
              <w:rPr>
                <w:rFonts w:ascii="宋体" w:hAnsi="宋体" w:cs="Arial"/>
                <w:b/>
                <w:color w:val="auto"/>
              </w:rPr>
            </w:pPr>
            <w:r>
              <w:rPr>
                <w:rFonts w:ascii="宋体" w:hAnsi="宋体" w:cs="Arial"/>
                <w:b/>
                <w:color w:val="auto"/>
              </w:rPr>
              <w:t>保险</w:t>
            </w:r>
            <w:r>
              <w:rPr>
                <w:rFonts w:hint="eastAsia" w:ascii="宋体" w:hAnsi="宋体" w:cs="Arial"/>
                <w:b/>
                <w:color w:val="auto"/>
              </w:rPr>
              <w:t>责任</w:t>
            </w:r>
            <w:r>
              <w:rPr>
                <w:rFonts w:ascii="宋体" w:hAnsi="宋体" w:cs="Arial"/>
                <w:b/>
                <w:color w:val="auto"/>
              </w:rPr>
              <w:t>：</w:t>
            </w:r>
          </w:p>
        </w:tc>
        <w:tc>
          <w:tcPr>
            <w:tcW w:w="7044" w:type="dxa"/>
          </w:tcPr>
          <w:p>
            <w:pPr>
              <w:tabs>
                <w:tab w:val="left" w:pos="2340"/>
              </w:tabs>
              <w:spacing w:line="320" w:lineRule="exact"/>
              <w:rPr>
                <w:rFonts w:ascii="宋体" w:hAnsi="宋体" w:cs="Arial"/>
                <w:color w:val="auto"/>
                <w:szCs w:val="21"/>
              </w:rPr>
            </w:pPr>
            <w:r>
              <w:rPr>
                <w:rFonts w:ascii="宋体" w:hAnsi="宋体" w:cs="Arial"/>
                <w:color w:val="auto"/>
                <w:szCs w:val="21"/>
              </w:rPr>
              <w:t>在保险期间内，被保险人因物质损失保险合同</w:t>
            </w:r>
            <w:r>
              <w:rPr>
                <w:rFonts w:hint="eastAsia" w:ascii="宋体" w:hAnsi="宋体" w:cs="Arial"/>
                <w:color w:val="auto"/>
                <w:szCs w:val="21"/>
              </w:rPr>
              <w:t>（</w:t>
            </w:r>
            <w:r>
              <w:rPr>
                <w:rFonts w:ascii="宋体" w:hAnsi="宋体" w:cs="Arial"/>
                <w:color w:val="auto"/>
                <w:szCs w:val="21"/>
              </w:rPr>
              <w:t>财产一切险主险及扩展条款</w:t>
            </w:r>
            <w:r>
              <w:rPr>
                <w:rFonts w:hint="eastAsia" w:ascii="宋体" w:hAnsi="宋体" w:cs="Arial"/>
                <w:color w:val="auto"/>
                <w:szCs w:val="21"/>
              </w:rPr>
              <w:t>）</w:t>
            </w:r>
            <w:r>
              <w:rPr>
                <w:rFonts w:ascii="宋体" w:hAnsi="宋体" w:cs="Arial"/>
                <w:color w:val="auto"/>
                <w:szCs w:val="21"/>
              </w:rPr>
              <w:t>所承保的风险造成营业所使用的物质财产遭受损失（以下简称“物质保险损失”），导致被保险人营业受到干扰或中断，由此产生的赔偿期间内的毛利润损失，保险人按照本保险合同的约定负责赔偿</w:t>
            </w: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679" w:type="dxa"/>
          </w:tcPr>
          <w:p>
            <w:pPr>
              <w:tabs>
                <w:tab w:val="left" w:pos="2340"/>
              </w:tabs>
              <w:spacing w:line="320" w:lineRule="exact"/>
              <w:rPr>
                <w:rFonts w:ascii="宋体" w:hAnsi="宋体" w:cs="Arial"/>
                <w:b/>
                <w:color w:val="auto"/>
              </w:rPr>
            </w:pPr>
            <w:r>
              <w:rPr>
                <w:rFonts w:ascii="宋体" w:hAnsi="宋体" w:cs="Arial"/>
                <w:b/>
                <w:color w:val="auto"/>
              </w:rPr>
              <w:t>保险金额：</w:t>
            </w:r>
          </w:p>
          <w:p>
            <w:pPr>
              <w:tabs>
                <w:tab w:val="left" w:pos="2340"/>
              </w:tabs>
              <w:spacing w:line="320" w:lineRule="exact"/>
              <w:rPr>
                <w:rFonts w:ascii="宋体" w:hAnsi="宋体" w:cs="Arial"/>
                <w:b/>
                <w:color w:val="auto"/>
              </w:rPr>
            </w:pPr>
          </w:p>
        </w:tc>
        <w:tc>
          <w:tcPr>
            <w:tcW w:w="7044" w:type="dxa"/>
          </w:tcPr>
          <w:p>
            <w:pPr>
              <w:tabs>
                <w:tab w:val="left" w:pos="2340"/>
              </w:tabs>
              <w:spacing w:line="320" w:lineRule="exact"/>
              <w:rPr>
                <w:rFonts w:ascii="宋体" w:hAnsi="宋体" w:cs="Arial"/>
                <w:color w:val="auto"/>
                <w:szCs w:val="21"/>
              </w:rPr>
            </w:pPr>
            <w:r>
              <w:rPr>
                <w:rFonts w:hint="eastAsia" w:ascii="宋体" w:hAnsi="宋体" w:cs="Arial"/>
                <w:color w:val="auto"/>
                <w:szCs w:val="21"/>
              </w:rPr>
              <w:t>营业</w:t>
            </w:r>
            <w:r>
              <w:rPr>
                <w:rFonts w:ascii="宋体" w:hAnsi="宋体" w:cs="Arial"/>
                <w:color w:val="auto"/>
                <w:szCs w:val="21"/>
              </w:rPr>
              <w:t>利润          RMB 196,651,004.93</w:t>
            </w:r>
          </w:p>
          <w:p>
            <w:pPr>
              <w:tabs>
                <w:tab w:val="left" w:pos="2340"/>
              </w:tabs>
              <w:spacing w:line="320" w:lineRule="exact"/>
              <w:rPr>
                <w:rFonts w:ascii="宋体" w:hAnsi="宋体" w:cs="Arial"/>
                <w:color w:val="auto"/>
                <w:szCs w:val="21"/>
                <w:u w:val="single"/>
              </w:rPr>
            </w:pPr>
            <w:r>
              <w:rPr>
                <w:rFonts w:ascii="宋体" w:hAnsi="宋体" w:cs="Arial"/>
                <w:color w:val="auto"/>
                <w:szCs w:val="21"/>
                <w:u w:val="single"/>
              </w:rPr>
              <w:t xml:space="preserve">固定维持费用     </w:t>
            </w:r>
            <w:r>
              <w:rPr>
                <w:rFonts w:hint="eastAsia" w:ascii="宋体" w:hAnsi="宋体" w:cs="Arial"/>
                <w:color w:val="auto"/>
                <w:szCs w:val="21"/>
                <w:u w:val="single"/>
              </w:rPr>
              <w:t xml:space="preserve"> </w:t>
            </w:r>
            <w:r>
              <w:rPr>
                <w:rFonts w:ascii="宋体" w:hAnsi="宋体" w:cs="Arial"/>
                <w:color w:val="auto"/>
                <w:szCs w:val="21"/>
                <w:u w:val="single"/>
              </w:rPr>
              <w:t>RMB 145,637,168.27</w:t>
            </w:r>
            <w:r>
              <w:rPr>
                <w:rFonts w:hint="eastAsia" w:ascii="宋体" w:hAnsi="宋体" w:cs="Arial"/>
                <w:color w:val="auto"/>
                <w:szCs w:val="21"/>
                <w:u w:val="single"/>
              </w:rPr>
              <w:t xml:space="preserve">  </w:t>
            </w:r>
          </w:p>
          <w:p>
            <w:pPr>
              <w:tabs>
                <w:tab w:val="left" w:pos="2340"/>
              </w:tabs>
              <w:spacing w:line="320" w:lineRule="exact"/>
              <w:rPr>
                <w:rFonts w:ascii="宋体" w:hAnsi="宋体" w:cs="Arial"/>
                <w:b/>
                <w:i/>
                <w:color w:val="auto"/>
                <w:szCs w:val="21"/>
              </w:rPr>
            </w:pPr>
            <w:r>
              <w:rPr>
                <w:rFonts w:ascii="宋体" w:hAnsi="宋体" w:cs="Arial"/>
                <w:b/>
                <w:i/>
                <w:color w:val="auto"/>
                <w:szCs w:val="21"/>
              </w:rPr>
              <w:t xml:space="preserve">合  计         </w:t>
            </w:r>
            <w:r>
              <w:rPr>
                <w:rFonts w:hint="eastAsia" w:ascii="宋体" w:hAnsi="宋体" w:cs="Arial"/>
                <w:b/>
                <w:i/>
                <w:color w:val="auto"/>
                <w:szCs w:val="21"/>
              </w:rPr>
              <w:t xml:space="preserve"> </w:t>
            </w:r>
            <w:r>
              <w:rPr>
                <w:rFonts w:ascii="宋体" w:hAnsi="宋体" w:cs="Arial"/>
                <w:b/>
                <w:i/>
                <w:color w:val="auto"/>
                <w:szCs w:val="21"/>
              </w:rPr>
              <w:t xml:space="preserve">  RMB 342,288,173.20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CellSpacing w:w="11" w:type="dxa"/>
        </w:trPr>
        <w:tc>
          <w:tcPr>
            <w:tcW w:w="1679" w:type="dxa"/>
            <w:tcBorders>
              <w:bottom w:val="single" w:color="auto" w:sz="4" w:space="0"/>
            </w:tcBorders>
          </w:tcPr>
          <w:p>
            <w:pPr>
              <w:tabs>
                <w:tab w:val="left" w:pos="2340"/>
              </w:tabs>
              <w:spacing w:line="320" w:lineRule="exact"/>
              <w:rPr>
                <w:rFonts w:ascii="宋体" w:hAnsi="宋体" w:cs="Arial"/>
                <w:b/>
                <w:color w:val="auto"/>
              </w:rPr>
            </w:pPr>
            <w:r>
              <w:rPr>
                <w:rFonts w:hint="eastAsia" w:ascii="宋体" w:hAnsi="宋体" w:cs="Arial"/>
                <w:b/>
                <w:color w:val="auto"/>
              </w:rPr>
              <w:t>最大赔偿期限：</w:t>
            </w:r>
          </w:p>
        </w:tc>
        <w:tc>
          <w:tcPr>
            <w:tcW w:w="7044" w:type="dxa"/>
            <w:tcBorders>
              <w:bottom w:val="single" w:color="auto" w:sz="4" w:space="0"/>
            </w:tcBorders>
          </w:tcPr>
          <w:p>
            <w:pPr>
              <w:tabs>
                <w:tab w:val="left" w:pos="2340"/>
              </w:tabs>
              <w:spacing w:line="320" w:lineRule="exact"/>
              <w:rPr>
                <w:rFonts w:ascii="宋体" w:hAnsi="宋体" w:cs="Arial"/>
                <w:color w:val="auto"/>
              </w:rPr>
            </w:pPr>
            <w:r>
              <w:rPr>
                <w:rFonts w:hint="eastAsia" w:ascii="宋体" w:hAnsi="宋体" w:cs="Arial"/>
                <w:color w:val="auto"/>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CellSpacing w:w="11" w:type="dxa"/>
        </w:trPr>
        <w:tc>
          <w:tcPr>
            <w:tcW w:w="1679" w:type="dxa"/>
            <w:tcBorders>
              <w:top w:val="single" w:color="auto" w:sz="4" w:space="0"/>
            </w:tcBorders>
          </w:tcPr>
          <w:p>
            <w:pPr>
              <w:tabs>
                <w:tab w:val="left" w:pos="2340"/>
              </w:tabs>
              <w:spacing w:line="320" w:lineRule="exact"/>
              <w:rPr>
                <w:rFonts w:ascii="宋体" w:hAnsi="宋体" w:cs="Arial"/>
                <w:b/>
                <w:color w:val="auto"/>
              </w:rPr>
            </w:pPr>
            <w:r>
              <w:rPr>
                <w:rFonts w:ascii="宋体" w:hAnsi="宋体" w:cs="Arial"/>
                <w:b/>
                <w:color w:val="auto"/>
              </w:rPr>
              <w:t>免赔额：</w:t>
            </w:r>
          </w:p>
        </w:tc>
        <w:tc>
          <w:tcPr>
            <w:tcW w:w="7044" w:type="dxa"/>
            <w:tcBorders>
              <w:top w:val="single" w:color="auto" w:sz="4" w:space="0"/>
            </w:tcBorders>
          </w:tcPr>
          <w:p>
            <w:pPr>
              <w:tabs>
                <w:tab w:val="left" w:pos="2340"/>
              </w:tabs>
              <w:spacing w:line="320" w:lineRule="exact"/>
              <w:rPr>
                <w:rFonts w:ascii="宋体" w:hAnsi="宋体" w:cs="Arial"/>
                <w:color w:val="auto"/>
                <w:szCs w:val="21"/>
              </w:rPr>
            </w:pPr>
            <w:r>
              <w:rPr>
                <w:rFonts w:ascii="宋体" w:hAnsi="宋体" w:cs="Arial"/>
                <w:color w:val="auto"/>
              </w:rPr>
              <w:t>每次事故绝对免赔3天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1" w:type="dxa"/>
        </w:trPr>
        <w:tc>
          <w:tcPr>
            <w:tcW w:w="1679" w:type="dxa"/>
          </w:tcPr>
          <w:p>
            <w:pPr>
              <w:tabs>
                <w:tab w:val="left" w:pos="2340"/>
              </w:tabs>
              <w:spacing w:line="320" w:lineRule="exact"/>
              <w:rPr>
                <w:rFonts w:ascii="宋体" w:hAnsi="宋体" w:cs="Arial"/>
                <w:b/>
                <w:color w:val="auto"/>
              </w:rPr>
            </w:pPr>
            <w:r>
              <w:rPr>
                <w:rFonts w:ascii="宋体" w:hAnsi="宋体" w:cs="Arial"/>
                <w:b/>
                <w:color w:val="auto"/>
              </w:rPr>
              <w:t>司法管辖：</w:t>
            </w:r>
          </w:p>
        </w:tc>
        <w:tc>
          <w:tcPr>
            <w:tcW w:w="7044" w:type="dxa"/>
            <w:vAlign w:val="center"/>
          </w:tcPr>
          <w:p>
            <w:pPr>
              <w:tabs>
                <w:tab w:val="left" w:pos="2340"/>
              </w:tabs>
              <w:spacing w:line="320" w:lineRule="exact"/>
              <w:rPr>
                <w:rFonts w:ascii="宋体" w:hAnsi="宋体" w:cs="Arial"/>
                <w:color w:val="auto"/>
              </w:rPr>
            </w:pPr>
            <w:r>
              <w:rPr>
                <w:rFonts w:ascii="宋体" w:hAnsi="宋体" w:cs="Arial"/>
                <w:color w:val="auto"/>
              </w:rPr>
              <w:t>中华人民共和国(港、澳、台除外)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blCellSpacing w:w="11" w:type="dxa"/>
        </w:trPr>
        <w:tc>
          <w:tcPr>
            <w:tcW w:w="1679" w:type="dxa"/>
          </w:tcPr>
          <w:p>
            <w:pPr>
              <w:tabs>
                <w:tab w:val="left" w:pos="2340"/>
              </w:tabs>
              <w:spacing w:line="320" w:lineRule="exact"/>
              <w:rPr>
                <w:rFonts w:ascii="宋体" w:hAnsi="宋体" w:cs="Arial"/>
                <w:b/>
                <w:color w:val="auto"/>
              </w:rPr>
            </w:pPr>
            <w:r>
              <w:rPr>
                <w:rFonts w:ascii="宋体" w:hAnsi="宋体" w:cs="Arial"/>
                <w:b/>
                <w:color w:val="auto"/>
              </w:rPr>
              <w:t>扩展条款：</w:t>
            </w:r>
          </w:p>
        </w:tc>
        <w:tc>
          <w:tcPr>
            <w:tcW w:w="7044" w:type="dxa"/>
          </w:tcPr>
          <w:p>
            <w:pPr>
              <w:numPr>
                <w:ilvl w:val="0"/>
                <w:numId w:val="8"/>
              </w:numPr>
              <w:tabs>
                <w:tab w:val="left" w:pos="447"/>
              </w:tabs>
              <w:spacing w:line="320" w:lineRule="exact"/>
              <w:rPr>
                <w:rFonts w:ascii="宋体" w:hAnsi="宋体" w:cs="Arial"/>
                <w:color w:val="auto"/>
              </w:rPr>
            </w:pPr>
            <w:r>
              <w:rPr>
                <w:rFonts w:ascii="宋体" w:hAnsi="宋体" w:cs="Arial"/>
                <w:color w:val="auto"/>
              </w:rPr>
              <w:t>指定公估人条款</w:t>
            </w:r>
          </w:p>
          <w:p>
            <w:pPr>
              <w:numPr>
                <w:ilvl w:val="0"/>
                <w:numId w:val="8"/>
              </w:numPr>
              <w:tabs>
                <w:tab w:val="left" w:pos="447"/>
              </w:tabs>
              <w:spacing w:line="320" w:lineRule="exact"/>
              <w:rPr>
                <w:rFonts w:ascii="宋体" w:hAnsi="宋体" w:cs="Arial"/>
                <w:color w:val="auto"/>
              </w:rPr>
            </w:pPr>
            <w:r>
              <w:rPr>
                <w:rFonts w:ascii="宋体" w:hAnsi="宋体" w:cs="Arial"/>
                <w:color w:val="auto"/>
              </w:rPr>
              <w:t>营业费用增加条款</w:t>
            </w:r>
          </w:p>
          <w:p>
            <w:pPr>
              <w:numPr>
                <w:ilvl w:val="0"/>
                <w:numId w:val="8"/>
              </w:numPr>
              <w:tabs>
                <w:tab w:val="left" w:pos="447"/>
              </w:tabs>
              <w:spacing w:line="320" w:lineRule="exact"/>
              <w:rPr>
                <w:rFonts w:ascii="宋体" w:hAnsi="宋体" w:cs="Arial"/>
                <w:color w:val="auto"/>
              </w:rPr>
            </w:pPr>
            <w:r>
              <w:rPr>
                <w:rFonts w:ascii="宋体" w:hAnsi="宋体" w:cs="Arial"/>
                <w:color w:val="auto"/>
              </w:rPr>
              <w:t>审计师费用条款（每次事故赔偿限额：RMB1,000,000）</w:t>
            </w:r>
          </w:p>
          <w:p>
            <w:pPr>
              <w:numPr>
                <w:ilvl w:val="0"/>
                <w:numId w:val="8"/>
              </w:numPr>
              <w:tabs>
                <w:tab w:val="left" w:pos="447"/>
              </w:tabs>
              <w:spacing w:line="320" w:lineRule="exact"/>
              <w:rPr>
                <w:rFonts w:ascii="宋体" w:hAnsi="宋体" w:cs="Arial"/>
                <w:color w:val="auto"/>
              </w:rPr>
            </w:pPr>
            <w:r>
              <w:rPr>
                <w:rFonts w:ascii="宋体" w:hAnsi="宋体" w:cs="Arial"/>
                <w:color w:val="auto"/>
              </w:rPr>
              <w:t>自动恢复保额条款</w:t>
            </w:r>
          </w:p>
          <w:p>
            <w:pPr>
              <w:numPr>
                <w:ilvl w:val="0"/>
                <w:numId w:val="8"/>
              </w:numPr>
              <w:tabs>
                <w:tab w:val="left" w:pos="447"/>
              </w:tabs>
              <w:spacing w:line="320" w:lineRule="exact"/>
              <w:rPr>
                <w:rFonts w:ascii="宋体" w:hAnsi="宋体" w:cs="Arial"/>
                <w:color w:val="auto"/>
              </w:rPr>
            </w:pPr>
            <w:r>
              <w:rPr>
                <w:rFonts w:ascii="宋体" w:hAnsi="宋体" w:cs="Arial"/>
                <w:color w:val="auto"/>
              </w:rPr>
              <w:t>违反保证条件条款</w:t>
            </w:r>
          </w:p>
          <w:p>
            <w:pPr>
              <w:numPr>
                <w:ilvl w:val="0"/>
                <w:numId w:val="8"/>
              </w:numPr>
              <w:tabs>
                <w:tab w:val="left" w:pos="447"/>
              </w:tabs>
              <w:spacing w:line="320" w:lineRule="exact"/>
              <w:rPr>
                <w:rFonts w:ascii="宋体" w:hAnsi="宋体" w:cs="Arial"/>
                <w:color w:val="auto"/>
              </w:rPr>
            </w:pPr>
            <w:r>
              <w:rPr>
                <w:rFonts w:ascii="宋体" w:hAnsi="宋体" w:cs="Arial"/>
                <w:color w:val="auto"/>
              </w:rPr>
              <w:t>索赔准备费用条款</w:t>
            </w:r>
          </w:p>
          <w:p>
            <w:pPr>
              <w:numPr>
                <w:ilvl w:val="0"/>
                <w:numId w:val="8"/>
              </w:numPr>
              <w:tabs>
                <w:tab w:val="left" w:pos="447"/>
              </w:tabs>
              <w:spacing w:line="320" w:lineRule="exact"/>
              <w:rPr>
                <w:rFonts w:ascii="宋体" w:hAnsi="宋体" w:cs="Arial"/>
                <w:color w:val="auto"/>
              </w:rPr>
            </w:pPr>
            <w:r>
              <w:rPr>
                <w:rFonts w:ascii="宋体" w:hAnsi="宋体" w:cs="Arial"/>
                <w:color w:val="auto"/>
              </w:rPr>
              <w:t>通道堵塞条款</w:t>
            </w:r>
          </w:p>
          <w:p>
            <w:pPr>
              <w:numPr>
                <w:ilvl w:val="0"/>
                <w:numId w:val="8"/>
              </w:numPr>
              <w:tabs>
                <w:tab w:val="left" w:pos="447"/>
              </w:tabs>
              <w:spacing w:line="320" w:lineRule="exact"/>
              <w:rPr>
                <w:rFonts w:ascii="宋体" w:hAnsi="宋体" w:cs="Arial"/>
                <w:color w:val="auto"/>
              </w:rPr>
            </w:pPr>
            <w:r>
              <w:rPr>
                <w:rFonts w:ascii="宋体" w:hAnsi="宋体" w:cs="Arial"/>
                <w:color w:val="auto"/>
              </w:rPr>
              <w:t>公共设备供应中断条款</w:t>
            </w:r>
            <w:r>
              <w:rPr>
                <w:rFonts w:hint="eastAsia" w:ascii="宋体" w:hAnsi="宋体" w:cs="Arial"/>
                <w:color w:val="auto"/>
              </w:rPr>
              <w:t>（最大赔偿期限：90天）</w:t>
            </w:r>
          </w:p>
          <w:p>
            <w:pPr>
              <w:numPr>
                <w:ilvl w:val="0"/>
                <w:numId w:val="8"/>
              </w:numPr>
              <w:tabs>
                <w:tab w:val="left" w:pos="447"/>
              </w:tabs>
              <w:spacing w:line="320" w:lineRule="exact"/>
              <w:rPr>
                <w:rFonts w:ascii="宋体" w:hAnsi="宋体" w:cs="Arial"/>
                <w:color w:val="auto"/>
              </w:rPr>
            </w:pPr>
            <w:r>
              <w:rPr>
                <w:rFonts w:ascii="宋体" w:hAnsi="宋体" w:cs="Arial"/>
                <w:color w:val="auto"/>
              </w:rPr>
              <w:t>错误和遗漏条款</w:t>
            </w:r>
          </w:p>
          <w:p>
            <w:pPr>
              <w:numPr>
                <w:ilvl w:val="0"/>
                <w:numId w:val="8"/>
              </w:numPr>
              <w:tabs>
                <w:tab w:val="left" w:pos="447"/>
              </w:tabs>
              <w:spacing w:line="320" w:lineRule="exact"/>
              <w:rPr>
                <w:rFonts w:ascii="宋体" w:hAnsi="宋体" w:cs="Arial"/>
                <w:color w:val="auto"/>
              </w:rPr>
            </w:pPr>
            <w:r>
              <w:rPr>
                <w:rFonts w:ascii="宋体" w:hAnsi="宋体" w:cs="Arial"/>
                <w:color w:val="auto"/>
              </w:rPr>
              <w:t>损失通知条款</w:t>
            </w:r>
          </w:p>
          <w:p>
            <w:pPr>
              <w:numPr>
                <w:ilvl w:val="0"/>
                <w:numId w:val="8"/>
              </w:numPr>
              <w:tabs>
                <w:tab w:val="left" w:pos="447"/>
              </w:tabs>
              <w:spacing w:line="320" w:lineRule="exact"/>
              <w:rPr>
                <w:rFonts w:ascii="宋体" w:hAnsi="宋体" w:cs="Arial"/>
                <w:color w:val="auto"/>
              </w:rPr>
            </w:pPr>
            <w:r>
              <w:rPr>
                <w:rFonts w:ascii="宋体" w:hAnsi="宋体" w:cs="Arial"/>
                <w:color w:val="auto"/>
              </w:rPr>
              <w:t>不受控制条款</w:t>
            </w:r>
          </w:p>
          <w:p>
            <w:pPr>
              <w:numPr>
                <w:ilvl w:val="0"/>
                <w:numId w:val="8"/>
              </w:numPr>
              <w:tabs>
                <w:tab w:val="left" w:pos="447"/>
              </w:tabs>
              <w:spacing w:line="320" w:lineRule="exact"/>
              <w:rPr>
                <w:rFonts w:ascii="宋体" w:hAnsi="宋体" w:cs="Arial"/>
                <w:color w:val="auto"/>
              </w:rPr>
            </w:pPr>
            <w:r>
              <w:rPr>
                <w:rFonts w:ascii="宋体" w:hAnsi="宋体" w:cs="Arial"/>
                <w:color w:val="auto"/>
              </w:rPr>
              <w:t>放弃代位求偿权条款</w:t>
            </w:r>
          </w:p>
          <w:p>
            <w:pPr>
              <w:numPr>
                <w:ilvl w:val="0"/>
                <w:numId w:val="8"/>
              </w:numPr>
              <w:tabs>
                <w:tab w:val="left" w:pos="447"/>
              </w:tabs>
              <w:spacing w:line="320" w:lineRule="exact"/>
              <w:rPr>
                <w:rFonts w:ascii="宋体" w:hAnsi="宋体" w:cs="Arial"/>
                <w:color w:val="auto"/>
              </w:rPr>
            </w:pPr>
            <w:r>
              <w:rPr>
                <w:rFonts w:ascii="宋体" w:hAnsi="宋体" w:cs="Arial"/>
                <w:color w:val="auto"/>
              </w:rPr>
              <w:t>预付赔款条款</w:t>
            </w:r>
          </w:p>
          <w:p>
            <w:pPr>
              <w:numPr>
                <w:ilvl w:val="0"/>
                <w:numId w:val="8"/>
              </w:numPr>
              <w:tabs>
                <w:tab w:val="left" w:pos="447"/>
              </w:tabs>
              <w:spacing w:line="320" w:lineRule="exact"/>
              <w:rPr>
                <w:rFonts w:ascii="宋体" w:hAnsi="宋体" w:cs="Arial"/>
                <w:color w:val="auto"/>
              </w:rPr>
            </w:pPr>
            <w:r>
              <w:rPr>
                <w:rFonts w:ascii="宋体" w:hAnsi="宋体" w:cs="Arial"/>
                <w:color w:val="auto"/>
              </w:rPr>
              <w:t>物质损失放弃免赔条款</w:t>
            </w:r>
          </w:p>
          <w:p>
            <w:pPr>
              <w:numPr>
                <w:ilvl w:val="0"/>
                <w:numId w:val="8"/>
              </w:numPr>
              <w:tabs>
                <w:tab w:val="left" w:pos="447"/>
              </w:tabs>
              <w:spacing w:line="320" w:lineRule="exact"/>
              <w:rPr>
                <w:rFonts w:ascii="宋体" w:hAnsi="宋体" w:cs="Arial"/>
                <w:color w:val="auto"/>
              </w:rPr>
            </w:pPr>
            <w:r>
              <w:rPr>
                <w:rFonts w:ascii="宋体" w:hAnsi="宋体" w:cs="Arial"/>
                <w:color w:val="auto"/>
              </w:rPr>
              <w:t>保险责任触发条款</w:t>
            </w:r>
          </w:p>
          <w:p>
            <w:pPr>
              <w:numPr>
                <w:ilvl w:val="0"/>
                <w:numId w:val="8"/>
              </w:numPr>
              <w:tabs>
                <w:tab w:val="left" w:pos="447"/>
              </w:tabs>
              <w:spacing w:line="320" w:lineRule="exact"/>
              <w:rPr>
                <w:rFonts w:ascii="宋体" w:hAnsi="宋体" w:cs="Arial"/>
                <w:color w:val="auto"/>
              </w:rPr>
            </w:pPr>
            <w:r>
              <w:rPr>
                <w:rFonts w:ascii="宋体" w:hAnsi="宋体" w:cs="Arial"/>
                <w:color w:val="auto"/>
              </w:rPr>
              <w:t>政府法令条款</w:t>
            </w:r>
          </w:p>
          <w:p>
            <w:pPr>
              <w:numPr>
                <w:ilvl w:val="0"/>
                <w:numId w:val="8"/>
              </w:numPr>
              <w:tabs>
                <w:tab w:val="left" w:pos="447"/>
              </w:tabs>
              <w:spacing w:line="320" w:lineRule="exact"/>
              <w:rPr>
                <w:rFonts w:ascii="宋体" w:hAnsi="宋体" w:cs="Arial"/>
                <w:color w:val="auto"/>
              </w:rPr>
            </w:pPr>
            <w:r>
              <w:rPr>
                <w:rFonts w:ascii="宋体" w:hAnsi="宋体" w:cs="Arial"/>
                <w:color w:val="auto"/>
              </w:rPr>
              <w:t>遗失欠款账册条款</w:t>
            </w:r>
          </w:p>
          <w:p>
            <w:pPr>
              <w:numPr>
                <w:ilvl w:val="0"/>
                <w:numId w:val="8"/>
              </w:numPr>
              <w:tabs>
                <w:tab w:val="left" w:pos="447"/>
              </w:tabs>
              <w:spacing w:line="320" w:lineRule="exact"/>
              <w:rPr>
                <w:rFonts w:ascii="宋体" w:hAnsi="宋体" w:cs="Arial"/>
                <w:color w:val="auto"/>
              </w:rPr>
            </w:pPr>
            <w:r>
              <w:rPr>
                <w:rFonts w:ascii="宋体" w:hAnsi="宋体" w:cs="Arial"/>
                <w:color w:val="auto"/>
              </w:rPr>
              <w:t>关联条款（限额：保险金额的20%）</w:t>
            </w:r>
          </w:p>
          <w:p>
            <w:pPr>
              <w:numPr>
                <w:ilvl w:val="0"/>
                <w:numId w:val="8"/>
              </w:numPr>
              <w:tabs>
                <w:tab w:val="left" w:pos="447"/>
              </w:tabs>
              <w:spacing w:line="320" w:lineRule="exact"/>
              <w:rPr>
                <w:rFonts w:ascii="宋体" w:hAnsi="宋体" w:cs="Arial"/>
                <w:color w:val="auto"/>
              </w:rPr>
            </w:pPr>
            <w:r>
              <w:rPr>
                <w:rFonts w:ascii="宋体" w:hAnsi="宋体" w:cs="Arial"/>
                <w:color w:val="auto"/>
              </w:rPr>
              <w:t>保费调整条款</w:t>
            </w:r>
          </w:p>
          <w:p>
            <w:pPr>
              <w:numPr>
                <w:ilvl w:val="0"/>
                <w:numId w:val="8"/>
              </w:numPr>
              <w:tabs>
                <w:tab w:val="left" w:pos="447"/>
              </w:tabs>
              <w:spacing w:line="320" w:lineRule="exact"/>
              <w:rPr>
                <w:rFonts w:ascii="宋体" w:hAnsi="宋体" w:cs="Arial"/>
                <w:b/>
                <w:bCs/>
                <w:color w:val="auto"/>
                <w:szCs w:val="21"/>
              </w:rPr>
            </w:pPr>
            <w:r>
              <w:rPr>
                <w:rFonts w:ascii="宋体" w:hAnsi="宋体" w:cs="Arial"/>
                <w:color w:val="auto"/>
              </w:rPr>
              <w:t>地震、海啸条款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blCellSpacing w:w="11" w:type="dxa"/>
        </w:trPr>
        <w:tc>
          <w:tcPr>
            <w:tcW w:w="1679" w:type="dxa"/>
          </w:tcPr>
          <w:p>
            <w:pPr>
              <w:tabs>
                <w:tab w:val="left" w:pos="2340"/>
              </w:tabs>
              <w:spacing w:line="320" w:lineRule="exact"/>
              <w:rPr>
                <w:rFonts w:ascii="宋体" w:hAnsi="宋体" w:cs="Arial"/>
                <w:b/>
                <w:color w:val="auto"/>
              </w:rPr>
            </w:pPr>
            <w:r>
              <w:rPr>
                <w:rFonts w:ascii="宋体" w:hAnsi="宋体" w:cs="Arial"/>
                <w:b/>
                <w:color w:val="auto"/>
              </w:rPr>
              <w:t>特别约定：</w:t>
            </w:r>
          </w:p>
        </w:tc>
        <w:tc>
          <w:tcPr>
            <w:tcW w:w="7044" w:type="dxa"/>
          </w:tcPr>
          <w:p>
            <w:pPr>
              <w:tabs>
                <w:tab w:val="left" w:pos="2340"/>
              </w:tabs>
              <w:spacing w:line="320" w:lineRule="exact"/>
              <w:rPr>
                <w:rFonts w:ascii="宋体" w:hAnsi="宋体" w:cs="Arial"/>
                <w:color w:val="auto"/>
                <w:szCs w:val="21"/>
              </w:rPr>
            </w:pPr>
            <w:r>
              <w:rPr>
                <w:rFonts w:hint="eastAsia" w:ascii="宋体" w:hAnsi="宋体" w:cs="Arial"/>
                <w:color w:val="auto"/>
                <w:szCs w:val="21"/>
              </w:rPr>
              <w:t>1. 在未获得被保险人书面同意的前提下，保险人不能终止本保单；</w:t>
            </w:r>
          </w:p>
          <w:p>
            <w:pPr>
              <w:tabs>
                <w:tab w:val="left" w:pos="2340"/>
              </w:tabs>
              <w:spacing w:line="320" w:lineRule="exact"/>
              <w:rPr>
                <w:rFonts w:ascii="宋体" w:hAnsi="宋体" w:cs="Arial"/>
                <w:color w:val="auto"/>
                <w:szCs w:val="21"/>
              </w:rPr>
            </w:pPr>
            <w:r>
              <w:rPr>
                <w:rFonts w:hint="eastAsia" w:ascii="宋体" w:hAnsi="宋体" w:cs="Arial"/>
                <w:color w:val="auto"/>
                <w:szCs w:val="21"/>
              </w:rPr>
              <w:t xml:space="preserve">2. </w:t>
            </w:r>
            <w:r>
              <w:rPr>
                <w:rFonts w:ascii="宋体" w:hAnsi="宋体" w:cs="Arial"/>
                <w:color w:val="auto"/>
                <w:szCs w:val="21"/>
              </w:rPr>
              <w:t>本保单中的“物质损失保险合同”是指财产一切险主险条款及其扩展条款。</w:t>
            </w:r>
          </w:p>
        </w:tc>
      </w:tr>
    </w:tbl>
    <w:p>
      <w:pPr>
        <w:rPr>
          <w:rFonts w:ascii="宋体" w:hAnsi="宋体"/>
          <w:color w:val="auto"/>
          <w:lang w:val="en-GB"/>
        </w:rPr>
      </w:pPr>
    </w:p>
    <w:p>
      <w:pPr>
        <w:spacing w:before="209" w:after="209" w:line="320" w:lineRule="exact"/>
        <w:ind w:left="1"/>
        <w:jc w:val="center"/>
        <w:textAlignment w:val="bottom"/>
        <w:rPr>
          <w:rFonts w:ascii="宋体" w:hAnsi="宋体" w:eastAsia="黑体" w:cs="Arial"/>
          <w:color w:val="auto"/>
          <w:kern w:val="0"/>
          <w:sz w:val="52"/>
          <w:szCs w:val="20"/>
        </w:rPr>
      </w:pPr>
    </w:p>
    <w:p>
      <w:pPr>
        <w:adjustRightInd w:val="0"/>
        <w:snapToGrid w:val="0"/>
        <w:spacing w:line="360" w:lineRule="auto"/>
        <w:ind w:firstLine="2650" w:firstLineChars="1100"/>
        <w:rPr>
          <w:rFonts w:ascii="宋体" w:hAnsi="宋体" w:cs="Arial"/>
          <w:b/>
          <w:caps/>
          <w:color w:val="auto"/>
          <w:sz w:val="24"/>
        </w:rPr>
      </w:pPr>
      <w:r>
        <w:rPr>
          <w:rFonts w:hint="eastAsia" w:ascii="宋体" w:hAnsi="宋体"/>
          <w:b/>
          <w:bCs/>
          <w:color w:val="auto"/>
          <w:sz w:val="24"/>
        </w:rPr>
        <w:t>2</w:t>
      </w:r>
      <w:r>
        <w:rPr>
          <w:rFonts w:ascii="宋体" w:hAnsi="宋体"/>
          <w:b/>
          <w:bCs/>
          <w:color w:val="auto"/>
          <w:sz w:val="24"/>
        </w:rPr>
        <w:t>021</w:t>
      </w:r>
      <w:r>
        <w:rPr>
          <w:rFonts w:hint="eastAsia" w:ascii="宋体" w:hAnsi="宋体"/>
          <w:b/>
          <w:bCs/>
          <w:color w:val="auto"/>
          <w:sz w:val="24"/>
        </w:rPr>
        <w:t xml:space="preserve"> -2024 现金险</w:t>
      </w:r>
    </w:p>
    <w:tbl>
      <w:tblPr>
        <w:tblStyle w:val="88"/>
        <w:tblW w:w="0" w:type="auto"/>
        <w:tblCellSpacing w:w="11"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11" w:type="dxa"/>
        </w:trPr>
        <w:tc>
          <w:tcPr>
            <w:tcW w:w="1982" w:type="dxa"/>
          </w:tcPr>
          <w:p>
            <w:pPr>
              <w:tabs>
                <w:tab w:val="left" w:pos="2340"/>
              </w:tabs>
              <w:spacing w:line="320" w:lineRule="exact"/>
              <w:rPr>
                <w:rFonts w:ascii="宋体" w:hAnsi="宋体" w:cs="Arial"/>
                <w:b/>
                <w:color w:val="auto"/>
                <w:lang w:val="en-GB"/>
              </w:rPr>
            </w:pPr>
            <w:r>
              <w:rPr>
                <w:rFonts w:ascii="宋体" w:hAnsi="宋体" w:cs="Arial"/>
                <w:b/>
                <w:color w:val="auto"/>
                <w:lang w:val="en-GB"/>
              </w:rPr>
              <w:t xml:space="preserve">投保人： </w:t>
            </w:r>
          </w:p>
        </w:tc>
        <w:tc>
          <w:tcPr>
            <w:tcW w:w="6872" w:type="dxa"/>
            <w:vAlign w:val="center"/>
          </w:tcPr>
          <w:p>
            <w:pPr>
              <w:rPr>
                <w:rFonts w:ascii="宋体" w:hAnsi="宋体" w:cs="Arial"/>
                <w:color w:val="auto"/>
              </w:rPr>
            </w:pPr>
            <w:r>
              <w:rPr>
                <w:rFonts w:ascii="宋体" w:hAnsi="宋体" w:cs="Arial"/>
                <w:color w:val="auto"/>
                <w:szCs w:val="21"/>
              </w:rPr>
              <w:t>重庆渝合高速公路有限公司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CellSpacing w:w="11" w:type="dxa"/>
        </w:trPr>
        <w:tc>
          <w:tcPr>
            <w:tcW w:w="1982" w:type="dxa"/>
          </w:tcPr>
          <w:p>
            <w:pPr>
              <w:tabs>
                <w:tab w:val="left" w:pos="2340"/>
              </w:tabs>
              <w:spacing w:line="320" w:lineRule="exact"/>
              <w:rPr>
                <w:rFonts w:ascii="宋体" w:hAnsi="宋体" w:cs="Arial"/>
                <w:b/>
                <w:color w:val="auto"/>
              </w:rPr>
            </w:pPr>
            <w:r>
              <w:rPr>
                <w:rFonts w:ascii="宋体" w:hAnsi="宋体" w:cs="Arial"/>
                <w:b/>
                <w:color w:val="auto"/>
              </w:rPr>
              <w:t>保险地址：</w:t>
            </w:r>
          </w:p>
        </w:tc>
        <w:tc>
          <w:tcPr>
            <w:tcW w:w="6872" w:type="dxa"/>
            <w:vAlign w:val="center"/>
          </w:tcPr>
          <w:p>
            <w:pPr>
              <w:tabs>
                <w:tab w:val="left" w:pos="2340"/>
              </w:tabs>
              <w:spacing w:line="320" w:lineRule="exact"/>
              <w:rPr>
                <w:rFonts w:ascii="宋体" w:hAnsi="宋体" w:cs="Arial"/>
                <w:color w:val="auto"/>
                <w:lang w:val="en-GB"/>
              </w:rPr>
            </w:pPr>
            <w:r>
              <w:rPr>
                <w:rFonts w:ascii="宋体" w:hAnsi="宋体" w:cs="Arial"/>
                <w:color w:val="auto"/>
                <w:lang w:val="en-GB"/>
              </w:rPr>
              <w:t>1.重庆市渝北区银杉路66号</w:t>
            </w:r>
          </w:p>
          <w:p>
            <w:pPr>
              <w:tabs>
                <w:tab w:val="left" w:pos="2340"/>
              </w:tabs>
              <w:spacing w:line="320" w:lineRule="exact"/>
              <w:rPr>
                <w:rFonts w:ascii="宋体" w:hAnsi="宋体" w:cs="Arial"/>
                <w:color w:val="auto"/>
                <w:lang w:val="en-GB"/>
              </w:rPr>
            </w:pPr>
            <w:r>
              <w:rPr>
                <w:rFonts w:ascii="宋体" w:hAnsi="宋体" w:cs="Arial"/>
                <w:color w:val="auto"/>
                <w:lang w:val="en-GB"/>
              </w:rPr>
              <w:t>2.重庆渝合高速公路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CellSpacing w:w="11" w:type="dxa"/>
        </w:trPr>
        <w:tc>
          <w:tcPr>
            <w:tcW w:w="1982" w:type="dxa"/>
          </w:tcPr>
          <w:p>
            <w:pPr>
              <w:tabs>
                <w:tab w:val="left" w:pos="2340"/>
              </w:tabs>
              <w:spacing w:line="320" w:lineRule="exact"/>
              <w:rPr>
                <w:rFonts w:ascii="宋体" w:hAnsi="宋体" w:cs="Arial"/>
                <w:b/>
                <w:color w:val="auto"/>
              </w:rPr>
            </w:pPr>
            <w:r>
              <w:rPr>
                <w:rFonts w:ascii="宋体" w:hAnsi="宋体" w:cs="Arial"/>
                <w:b/>
                <w:color w:val="auto"/>
              </w:rPr>
              <w:t xml:space="preserve">营业性质： </w:t>
            </w:r>
          </w:p>
        </w:tc>
        <w:tc>
          <w:tcPr>
            <w:tcW w:w="6872" w:type="dxa"/>
            <w:vAlign w:val="center"/>
          </w:tcPr>
          <w:p>
            <w:pPr>
              <w:tabs>
                <w:tab w:val="left" w:pos="2340"/>
              </w:tabs>
              <w:spacing w:line="320" w:lineRule="exact"/>
              <w:rPr>
                <w:rFonts w:ascii="宋体" w:hAnsi="宋体" w:cs="Arial"/>
                <w:color w:val="auto"/>
                <w:szCs w:val="21"/>
              </w:rPr>
            </w:pPr>
            <w:r>
              <w:rPr>
                <w:rFonts w:ascii="宋体" w:hAnsi="宋体" w:cs="Arial"/>
                <w:color w:val="auto"/>
                <w:szCs w:val="21"/>
              </w:rPr>
              <w:t>所有业务项目包括但不限于重庆渝合高速公路的运营、管理、及维护等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blCellSpacing w:w="11" w:type="dxa"/>
        </w:trPr>
        <w:tc>
          <w:tcPr>
            <w:tcW w:w="1982" w:type="dxa"/>
            <w:tcBorders>
              <w:bottom w:val="single" w:color="auto" w:sz="4" w:space="0"/>
            </w:tcBorders>
          </w:tcPr>
          <w:p>
            <w:pPr>
              <w:tabs>
                <w:tab w:val="left" w:pos="2340"/>
              </w:tabs>
              <w:spacing w:line="320" w:lineRule="exact"/>
              <w:rPr>
                <w:rFonts w:ascii="宋体" w:hAnsi="宋体" w:cs="Arial"/>
                <w:b/>
                <w:color w:val="auto"/>
              </w:rPr>
            </w:pPr>
            <w:r>
              <w:rPr>
                <w:rFonts w:ascii="宋体" w:hAnsi="宋体" w:cs="Arial"/>
                <w:b/>
                <w:color w:val="auto"/>
              </w:rPr>
              <w:t>保险利益</w:t>
            </w:r>
          </w:p>
        </w:tc>
        <w:tc>
          <w:tcPr>
            <w:tcW w:w="6872" w:type="dxa"/>
            <w:tcBorders>
              <w:bottom w:val="single" w:color="auto" w:sz="4" w:space="0"/>
            </w:tcBorders>
            <w:vAlign w:val="center"/>
          </w:tcPr>
          <w:p>
            <w:pPr>
              <w:tabs>
                <w:tab w:val="left" w:pos="2340"/>
              </w:tabs>
              <w:spacing w:line="320" w:lineRule="exact"/>
              <w:rPr>
                <w:rFonts w:ascii="宋体" w:hAnsi="宋体" w:cs="Arial"/>
                <w:color w:val="auto"/>
              </w:rPr>
            </w:pPr>
            <w:r>
              <w:rPr>
                <w:rFonts w:ascii="宋体" w:hAnsi="宋体" w:cs="Arial"/>
                <w:color w:val="auto"/>
                <w:szCs w:val="21"/>
              </w:rPr>
              <w:t>在保险单中载明承保区域范围内存放或运输的现金、支票、本票、汇票、有价证券以及其他有价票证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tblCellSpacing w:w="11" w:type="dxa"/>
        </w:trPr>
        <w:tc>
          <w:tcPr>
            <w:tcW w:w="1982" w:type="dxa"/>
            <w:tcBorders>
              <w:top w:val="single" w:color="auto" w:sz="4" w:space="0"/>
            </w:tcBorders>
          </w:tcPr>
          <w:p>
            <w:pPr>
              <w:tabs>
                <w:tab w:val="left" w:pos="2340"/>
              </w:tabs>
              <w:spacing w:line="320" w:lineRule="exact"/>
              <w:rPr>
                <w:rFonts w:ascii="宋体" w:hAnsi="宋体" w:cs="Arial"/>
                <w:b/>
                <w:color w:val="auto"/>
              </w:rPr>
            </w:pPr>
            <w:r>
              <w:rPr>
                <w:rFonts w:ascii="宋体" w:hAnsi="宋体" w:cs="Arial"/>
                <w:b/>
                <w:color w:val="auto"/>
              </w:rPr>
              <w:t>保险责任：</w:t>
            </w:r>
          </w:p>
        </w:tc>
        <w:tc>
          <w:tcPr>
            <w:tcW w:w="6872" w:type="dxa"/>
            <w:tcBorders>
              <w:top w:val="single" w:color="auto" w:sz="4" w:space="0"/>
            </w:tcBorders>
            <w:vAlign w:val="center"/>
          </w:tcPr>
          <w:p>
            <w:pPr>
              <w:tabs>
                <w:tab w:val="left" w:pos="2340"/>
              </w:tabs>
              <w:spacing w:line="320" w:lineRule="exact"/>
              <w:rPr>
                <w:rFonts w:ascii="宋体" w:hAnsi="宋体" w:cs="Arial"/>
                <w:color w:val="auto"/>
                <w:szCs w:val="21"/>
              </w:rPr>
            </w:pPr>
            <w:r>
              <w:rPr>
                <w:rFonts w:ascii="宋体" w:hAnsi="宋体" w:cs="Arial"/>
                <w:color w:val="auto"/>
                <w:szCs w:val="21"/>
              </w:rPr>
              <w:t>在保险期间内，在保险单明细表中列明的场所、线路范围内，由于下列原因造成保险标的的损失，保险人按照本保险合同的约定负责赔偿：</w:t>
            </w:r>
          </w:p>
          <w:p>
            <w:pPr>
              <w:tabs>
                <w:tab w:val="left" w:pos="2340"/>
              </w:tabs>
              <w:spacing w:line="320" w:lineRule="exact"/>
              <w:rPr>
                <w:rFonts w:ascii="宋体" w:hAnsi="宋体" w:cs="Arial"/>
                <w:color w:val="auto"/>
                <w:szCs w:val="21"/>
              </w:rPr>
            </w:pPr>
            <w:r>
              <w:rPr>
                <w:rFonts w:ascii="宋体" w:hAnsi="宋体" w:cs="Arial"/>
                <w:color w:val="auto"/>
                <w:szCs w:val="21"/>
              </w:rPr>
              <w:t>（一）火灾、爆炸、洪水；</w:t>
            </w:r>
          </w:p>
          <w:p>
            <w:pPr>
              <w:tabs>
                <w:tab w:val="left" w:pos="2340"/>
              </w:tabs>
              <w:spacing w:line="320" w:lineRule="exact"/>
              <w:rPr>
                <w:rFonts w:ascii="宋体" w:hAnsi="宋体" w:cs="Arial"/>
                <w:color w:val="auto"/>
                <w:szCs w:val="21"/>
              </w:rPr>
            </w:pPr>
            <w:r>
              <w:rPr>
                <w:rFonts w:ascii="宋体" w:hAnsi="宋体" w:cs="Arial"/>
                <w:color w:val="auto"/>
                <w:szCs w:val="21"/>
              </w:rPr>
              <w:t>（二）被保险人的雇员在前往银行送款或自银行提款回程中遭受抢劫；</w:t>
            </w:r>
          </w:p>
          <w:p>
            <w:pPr>
              <w:tabs>
                <w:tab w:val="left" w:pos="2340"/>
              </w:tabs>
              <w:spacing w:line="320" w:lineRule="exact"/>
              <w:rPr>
                <w:rFonts w:ascii="宋体" w:hAnsi="宋体" w:cs="Arial"/>
                <w:color w:val="auto"/>
                <w:szCs w:val="21"/>
              </w:rPr>
            </w:pPr>
            <w:r>
              <w:rPr>
                <w:rFonts w:ascii="宋体" w:hAnsi="宋体" w:cs="Arial"/>
                <w:color w:val="auto"/>
                <w:szCs w:val="21"/>
              </w:rPr>
              <w:t>（三）存放在金库、保险箱（柜）内遭受盗窃；</w:t>
            </w:r>
          </w:p>
          <w:p>
            <w:pPr>
              <w:tabs>
                <w:tab w:val="left" w:pos="2340"/>
              </w:tabs>
              <w:spacing w:line="320" w:lineRule="exact"/>
              <w:rPr>
                <w:rFonts w:ascii="宋体" w:hAnsi="宋体" w:cs="Arial"/>
                <w:color w:val="auto"/>
                <w:szCs w:val="21"/>
              </w:rPr>
            </w:pPr>
            <w:r>
              <w:rPr>
                <w:rFonts w:ascii="宋体" w:hAnsi="宋体" w:cs="Arial"/>
                <w:color w:val="auto"/>
                <w:szCs w:val="21"/>
              </w:rPr>
              <w:t>（四）或在营业过程中遭受抢劫。</w:t>
            </w:r>
          </w:p>
          <w:p>
            <w:pPr>
              <w:tabs>
                <w:tab w:val="left" w:pos="2340"/>
              </w:tabs>
              <w:spacing w:line="320" w:lineRule="exact"/>
              <w:rPr>
                <w:rFonts w:ascii="宋体" w:hAnsi="宋体" w:cs="Arial"/>
                <w:color w:val="auto"/>
                <w:szCs w:val="21"/>
              </w:rPr>
            </w:pPr>
            <w:r>
              <w:rPr>
                <w:rFonts w:ascii="宋体" w:hAnsi="宋体" w:cs="Arial"/>
                <w:color w:val="auto"/>
                <w:szCs w:val="21"/>
              </w:rPr>
              <w:t>前款原因造成的保险事故发生时，为抢救保险标的或防止灾害蔓延，采取必要的、合理的措施而造成保险标的的损失，保险人按照本保险合同的约定也负责赔偿。</w:t>
            </w:r>
          </w:p>
          <w:p>
            <w:pPr>
              <w:tabs>
                <w:tab w:val="left" w:pos="2340"/>
              </w:tabs>
              <w:spacing w:line="320" w:lineRule="exact"/>
              <w:rPr>
                <w:rFonts w:ascii="宋体" w:hAnsi="宋体" w:cs="Arial"/>
                <w:color w:val="auto"/>
                <w:szCs w:val="21"/>
              </w:rPr>
            </w:pPr>
            <w:r>
              <w:rPr>
                <w:rFonts w:ascii="宋体" w:hAnsi="宋体" w:cs="Arial"/>
                <w:color w:val="auto"/>
                <w:szCs w:val="21"/>
              </w:rPr>
              <w:t>保险事故发生后，被保险人为防止或减少保险标的的损失所支付的必要的、合理的费用，保险人按照本保险合同的约定也负责赔偿。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blCellSpacing w:w="11" w:type="dxa"/>
        </w:trPr>
        <w:tc>
          <w:tcPr>
            <w:tcW w:w="1982" w:type="dxa"/>
          </w:tcPr>
          <w:p>
            <w:pPr>
              <w:tabs>
                <w:tab w:val="left" w:pos="2340"/>
              </w:tabs>
              <w:spacing w:line="320" w:lineRule="exact"/>
              <w:rPr>
                <w:rFonts w:ascii="宋体" w:hAnsi="宋体" w:cs="Arial"/>
                <w:b/>
                <w:color w:val="auto"/>
              </w:rPr>
            </w:pPr>
            <w:r>
              <w:rPr>
                <w:rFonts w:ascii="宋体" w:hAnsi="宋体" w:cs="Arial"/>
                <w:b/>
                <w:color w:val="auto"/>
              </w:rPr>
              <w:t>赔偿限额：</w:t>
            </w:r>
          </w:p>
        </w:tc>
        <w:tc>
          <w:tcPr>
            <w:tcW w:w="6872" w:type="dxa"/>
            <w:vAlign w:val="center"/>
          </w:tcPr>
          <w:p>
            <w:pPr>
              <w:tabs>
                <w:tab w:val="left" w:pos="2340"/>
              </w:tabs>
              <w:spacing w:line="320" w:lineRule="exact"/>
              <w:rPr>
                <w:rFonts w:ascii="宋体" w:hAnsi="宋体" w:cs="Arial"/>
                <w:b/>
                <w:color w:val="auto"/>
                <w:szCs w:val="21"/>
              </w:rPr>
            </w:pPr>
            <w:r>
              <w:rPr>
                <w:rFonts w:ascii="宋体" w:hAnsi="宋体" w:cs="Arial"/>
                <w:b/>
                <w:color w:val="auto"/>
                <w:szCs w:val="21"/>
              </w:rPr>
              <w:t>1.运输途中现金：RMB 500,000</w:t>
            </w:r>
          </w:p>
          <w:p>
            <w:pPr>
              <w:tabs>
                <w:tab w:val="left" w:pos="2340"/>
              </w:tabs>
              <w:spacing w:line="320" w:lineRule="exact"/>
              <w:rPr>
                <w:rFonts w:ascii="宋体" w:hAnsi="宋体" w:cs="Arial"/>
                <w:b/>
                <w:color w:val="auto"/>
                <w:szCs w:val="21"/>
              </w:rPr>
            </w:pPr>
            <w:r>
              <w:rPr>
                <w:rFonts w:ascii="宋体" w:hAnsi="宋体" w:cs="Arial"/>
                <w:b/>
                <w:color w:val="auto"/>
                <w:szCs w:val="21"/>
              </w:rPr>
              <w:t>2.存放于营业场所/保管处所的现金：</w:t>
            </w:r>
          </w:p>
          <w:p>
            <w:pPr>
              <w:tabs>
                <w:tab w:val="left" w:pos="2340"/>
              </w:tabs>
              <w:spacing w:line="320" w:lineRule="exact"/>
              <w:rPr>
                <w:rFonts w:ascii="宋体" w:hAnsi="宋体" w:cs="Arial"/>
                <w:color w:val="auto"/>
                <w:szCs w:val="21"/>
              </w:rPr>
            </w:pPr>
            <w:r>
              <w:rPr>
                <w:rFonts w:ascii="宋体" w:hAnsi="宋体" w:cs="Arial"/>
                <w:color w:val="auto"/>
                <w:szCs w:val="21"/>
              </w:rPr>
              <w:t>1)营业时间内： RMB 500,000</w:t>
            </w:r>
          </w:p>
          <w:p>
            <w:pPr>
              <w:tabs>
                <w:tab w:val="left" w:pos="2340"/>
              </w:tabs>
              <w:spacing w:line="320" w:lineRule="exact"/>
              <w:rPr>
                <w:rFonts w:ascii="宋体" w:hAnsi="宋体" w:cs="Arial"/>
                <w:color w:val="auto"/>
                <w:szCs w:val="21"/>
              </w:rPr>
            </w:pPr>
            <w:r>
              <w:rPr>
                <w:rFonts w:ascii="宋体" w:hAnsi="宋体" w:cs="Arial"/>
                <w:color w:val="auto"/>
                <w:szCs w:val="21"/>
              </w:rPr>
              <w:t>2)非营业时间内： RMB 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CellSpacing w:w="11" w:type="dxa"/>
        </w:trPr>
        <w:tc>
          <w:tcPr>
            <w:tcW w:w="1982" w:type="dxa"/>
          </w:tcPr>
          <w:p>
            <w:pPr>
              <w:tabs>
                <w:tab w:val="left" w:pos="2340"/>
              </w:tabs>
              <w:spacing w:line="320" w:lineRule="exact"/>
              <w:rPr>
                <w:rFonts w:ascii="宋体" w:hAnsi="宋体" w:cs="Arial"/>
                <w:b/>
                <w:color w:val="auto"/>
              </w:rPr>
            </w:pPr>
            <w:r>
              <w:rPr>
                <w:rFonts w:ascii="宋体" w:hAnsi="宋体" w:cs="Arial"/>
                <w:b/>
                <w:color w:val="auto"/>
              </w:rPr>
              <w:t>免赔额：</w:t>
            </w:r>
          </w:p>
        </w:tc>
        <w:tc>
          <w:tcPr>
            <w:tcW w:w="6872" w:type="dxa"/>
            <w:vAlign w:val="center"/>
          </w:tcPr>
          <w:p>
            <w:pPr>
              <w:tabs>
                <w:tab w:val="left" w:pos="2340"/>
              </w:tabs>
              <w:spacing w:line="320" w:lineRule="exact"/>
              <w:rPr>
                <w:rFonts w:ascii="宋体" w:hAnsi="宋体" w:cs="Arial"/>
                <w:color w:val="auto"/>
              </w:rPr>
            </w:pPr>
            <w:r>
              <w:rPr>
                <w:rFonts w:ascii="宋体" w:hAnsi="宋体" w:cs="Arial"/>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CellSpacing w:w="11" w:type="dxa"/>
        </w:trPr>
        <w:tc>
          <w:tcPr>
            <w:tcW w:w="1982" w:type="dxa"/>
          </w:tcPr>
          <w:p>
            <w:pPr>
              <w:tabs>
                <w:tab w:val="left" w:pos="2340"/>
              </w:tabs>
              <w:spacing w:line="320" w:lineRule="exact"/>
              <w:rPr>
                <w:rFonts w:ascii="宋体" w:hAnsi="宋体" w:cs="Arial"/>
                <w:b/>
                <w:color w:val="auto"/>
              </w:rPr>
            </w:pPr>
            <w:r>
              <w:rPr>
                <w:rFonts w:ascii="宋体" w:hAnsi="宋体" w:cs="Arial"/>
                <w:b/>
                <w:color w:val="auto"/>
              </w:rPr>
              <w:t>司法管辖：</w:t>
            </w:r>
          </w:p>
        </w:tc>
        <w:tc>
          <w:tcPr>
            <w:tcW w:w="6872" w:type="dxa"/>
            <w:vAlign w:val="center"/>
          </w:tcPr>
          <w:p>
            <w:pPr>
              <w:tabs>
                <w:tab w:val="left" w:pos="2340"/>
              </w:tabs>
              <w:spacing w:line="320" w:lineRule="exact"/>
              <w:rPr>
                <w:rFonts w:ascii="宋体" w:hAnsi="宋体" w:cs="Arial"/>
                <w:color w:val="auto"/>
              </w:rPr>
            </w:pPr>
            <w:r>
              <w:rPr>
                <w:rFonts w:ascii="宋体" w:hAnsi="宋体" w:cs="Arial"/>
                <w:color w:val="auto"/>
              </w:rPr>
              <w:t>中华人民共和国(港、澳、台除外)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blCellSpacing w:w="11" w:type="dxa"/>
        </w:trPr>
        <w:tc>
          <w:tcPr>
            <w:tcW w:w="1982" w:type="dxa"/>
          </w:tcPr>
          <w:p>
            <w:pPr>
              <w:tabs>
                <w:tab w:val="left" w:pos="2340"/>
              </w:tabs>
              <w:spacing w:line="320" w:lineRule="exact"/>
              <w:rPr>
                <w:rFonts w:ascii="宋体" w:hAnsi="宋体" w:cs="Arial"/>
                <w:b/>
                <w:color w:val="auto"/>
              </w:rPr>
            </w:pPr>
            <w:r>
              <w:rPr>
                <w:rFonts w:ascii="宋体" w:hAnsi="宋体" w:cs="Arial"/>
                <w:b/>
                <w:color w:val="auto"/>
              </w:rPr>
              <w:t>扩展条款：</w:t>
            </w:r>
          </w:p>
          <w:p>
            <w:pPr>
              <w:tabs>
                <w:tab w:val="left" w:pos="2340"/>
              </w:tabs>
              <w:spacing w:line="320" w:lineRule="exact"/>
              <w:rPr>
                <w:rFonts w:ascii="宋体" w:hAnsi="宋体" w:cs="Arial"/>
                <w:b/>
                <w:color w:val="auto"/>
              </w:rPr>
            </w:pPr>
          </w:p>
          <w:p>
            <w:pPr>
              <w:tabs>
                <w:tab w:val="left" w:pos="2340"/>
              </w:tabs>
              <w:spacing w:line="320" w:lineRule="exact"/>
              <w:rPr>
                <w:rFonts w:ascii="宋体" w:hAnsi="宋体" w:cs="Arial"/>
                <w:b/>
                <w:color w:val="auto"/>
              </w:rPr>
            </w:pPr>
          </w:p>
          <w:p>
            <w:pPr>
              <w:tabs>
                <w:tab w:val="left" w:pos="2340"/>
              </w:tabs>
              <w:spacing w:line="320" w:lineRule="exact"/>
              <w:rPr>
                <w:rFonts w:ascii="宋体" w:hAnsi="宋体" w:cs="Arial"/>
                <w:b/>
                <w:color w:val="auto"/>
              </w:rPr>
            </w:pPr>
          </w:p>
          <w:p>
            <w:pPr>
              <w:rPr>
                <w:rFonts w:ascii="宋体" w:hAnsi="宋体"/>
                <w:color w:val="auto"/>
              </w:rPr>
            </w:pPr>
          </w:p>
        </w:tc>
        <w:tc>
          <w:tcPr>
            <w:tcW w:w="6872" w:type="dxa"/>
            <w:vAlign w:val="center"/>
          </w:tcPr>
          <w:p>
            <w:pPr>
              <w:numPr>
                <w:ilvl w:val="0"/>
                <w:numId w:val="9"/>
              </w:numPr>
              <w:rPr>
                <w:rFonts w:ascii="宋体" w:hAnsi="宋体" w:cs="Arial"/>
                <w:bCs/>
                <w:color w:val="auto"/>
                <w:szCs w:val="21"/>
              </w:rPr>
            </w:pPr>
            <w:r>
              <w:rPr>
                <w:rFonts w:ascii="宋体" w:hAnsi="宋体" w:cs="Arial"/>
                <w:bCs/>
                <w:color w:val="auto"/>
                <w:szCs w:val="21"/>
              </w:rPr>
              <w:t>提前90天通知解除保单条款</w:t>
            </w:r>
          </w:p>
          <w:p>
            <w:pPr>
              <w:numPr>
                <w:ilvl w:val="0"/>
                <w:numId w:val="9"/>
              </w:numPr>
              <w:rPr>
                <w:rFonts w:ascii="宋体" w:hAnsi="宋体" w:cs="Arial"/>
                <w:bCs/>
                <w:color w:val="auto"/>
                <w:szCs w:val="21"/>
              </w:rPr>
            </w:pPr>
            <w:r>
              <w:rPr>
                <w:rFonts w:ascii="宋体" w:hAnsi="宋体" w:cs="Arial"/>
                <w:bCs/>
                <w:color w:val="auto"/>
                <w:szCs w:val="21"/>
              </w:rPr>
              <w:t xml:space="preserve">自动恢复保险金额条款  </w:t>
            </w:r>
          </w:p>
          <w:p>
            <w:pPr>
              <w:numPr>
                <w:ilvl w:val="0"/>
                <w:numId w:val="9"/>
              </w:numPr>
              <w:rPr>
                <w:rFonts w:ascii="宋体" w:hAnsi="宋体" w:cs="Arial"/>
                <w:bCs/>
                <w:color w:val="auto"/>
                <w:szCs w:val="21"/>
              </w:rPr>
            </w:pPr>
            <w:r>
              <w:rPr>
                <w:rFonts w:ascii="宋体" w:hAnsi="宋体" w:cs="Arial"/>
                <w:bCs/>
                <w:color w:val="auto"/>
                <w:szCs w:val="21"/>
              </w:rPr>
              <w:t>偷窃条款</w:t>
            </w:r>
          </w:p>
          <w:p>
            <w:pPr>
              <w:numPr>
                <w:ilvl w:val="0"/>
                <w:numId w:val="9"/>
              </w:numPr>
              <w:rPr>
                <w:rFonts w:ascii="宋体" w:hAnsi="宋体" w:cs="Arial"/>
                <w:bCs/>
                <w:color w:val="auto"/>
                <w:szCs w:val="21"/>
              </w:rPr>
            </w:pPr>
            <w:r>
              <w:rPr>
                <w:rFonts w:ascii="宋体" w:hAnsi="宋体" w:cs="Arial"/>
                <w:bCs/>
                <w:color w:val="auto"/>
                <w:szCs w:val="21"/>
              </w:rPr>
              <w:t xml:space="preserve">或有现金条款  </w:t>
            </w:r>
          </w:p>
          <w:p>
            <w:pPr>
              <w:numPr>
                <w:ilvl w:val="0"/>
                <w:numId w:val="9"/>
              </w:numPr>
              <w:rPr>
                <w:rFonts w:ascii="宋体" w:hAnsi="宋体" w:cs="Arial"/>
                <w:bCs/>
                <w:color w:val="auto"/>
                <w:szCs w:val="21"/>
              </w:rPr>
            </w:pPr>
            <w:r>
              <w:rPr>
                <w:rFonts w:ascii="宋体" w:hAnsi="宋体" w:cs="Arial"/>
                <w:bCs/>
                <w:color w:val="auto"/>
                <w:szCs w:val="21"/>
              </w:rPr>
              <w:t>保险箱损毁条款</w:t>
            </w:r>
          </w:p>
          <w:p>
            <w:pPr>
              <w:numPr>
                <w:ilvl w:val="0"/>
                <w:numId w:val="9"/>
              </w:numPr>
              <w:rPr>
                <w:rFonts w:ascii="宋体" w:hAnsi="宋体" w:cs="Arial"/>
                <w:color w:val="auto"/>
              </w:rPr>
            </w:pPr>
            <w:r>
              <w:rPr>
                <w:rFonts w:ascii="宋体" w:hAnsi="宋体" w:cs="Arial"/>
                <w:bCs/>
                <w:color w:val="auto"/>
              </w:rPr>
              <w:t>罢工、暴乱及民众骚乱扩展条款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CellSpacing w:w="11" w:type="dxa"/>
        </w:trPr>
        <w:tc>
          <w:tcPr>
            <w:tcW w:w="1982" w:type="dxa"/>
          </w:tcPr>
          <w:p>
            <w:pPr>
              <w:tabs>
                <w:tab w:val="left" w:pos="2340"/>
              </w:tabs>
              <w:spacing w:line="320" w:lineRule="exact"/>
              <w:rPr>
                <w:rFonts w:ascii="宋体" w:hAnsi="宋体" w:cs="Arial"/>
                <w:b/>
                <w:color w:val="auto"/>
              </w:rPr>
            </w:pPr>
            <w:r>
              <w:rPr>
                <w:rFonts w:ascii="宋体" w:hAnsi="宋体" w:cs="Arial"/>
                <w:b/>
                <w:color w:val="auto"/>
              </w:rPr>
              <w:t>特别约定：</w:t>
            </w:r>
          </w:p>
        </w:tc>
        <w:tc>
          <w:tcPr>
            <w:tcW w:w="6872" w:type="dxa"/>
            <w:vAlign w:val="center"/>
          </w:tcPr>
          <w:p>
            <w:pPr>
              <w:autoSpaceDE w:val="0"/>
              <w:autoSpaceDN w:val="0"/>
              <w:adjustRightInd w:val="0"/>
              <w:rPr>
                <w:rFonts w:ascii="宋体" w:hAnsi="宋体" w:cs="Arial"/>
                <w:color w:val="auto"/>
                <w:szCs w:val="21"/>
              </w:rPr>
            </w:pPr>
            <w:r>
              <w:rPr>
                <w:rFonts w:ascii="宋体" w:hAnsi="宋体" w:cs="Arial"/>
                <w:color w:val="auto"/>
                <w:lang w:val="en-GB"/>
              </w:rPr>
              <w:t>若在本保单项下发生任何理赔争议，争议解决机构应为重庆渝合高速公路有限公司所在地的人民法院。</w:t>
            </w:r>
          </w:p>
        </w:tc>
      </w:tr>
    </w:tbl>
    <w:p>
      <w:pPr>
        <w:spacing w:line="360" w:lineRule="auto"/>
        <w:ind w:firstLine="2530" w:firstLineChars="700"/>
        <w:rPr>
          <w:rFonts w:ascii="宋体" w:hAnsi="宋体"/>
          <w:b/>
          <w:color w:val="auto"/>
          <w:sz w:val="36"/>
          <w:szCs w:val="36"/>
        </w:rPr>
        <w:sectPr>
          <w:pgSz w:w="11906" w:h="16838"/>
          <w:pgMar w:top="1418" w:right="1418" w:bottom="1418" w:left="1418" w:header="851" w:footer="992" w:gutter="0"/>
          <w:cols w:space="720" w:num="1"/>
          <w:docGrid w:type="lines" w:linePitch="312" w:charSpace="0"/>
        </w:sectPr>
      </w:pPr>
    </w:p>
    <w:p>
      <w:pPr>
        <w:spacing w:line="360" w:lineRule="auto"/>
        <w:ind w:firstLine="2530" w:firstLineChars="700"/>
        <w:rPr>
          <w:rFonts w:ascii="宋体" w:hAnsi="宋体"/>
          <w:b/>
          <w:color w:val="auto"/>
          <w:sz w:val="36"/>
          <w:szCs w:val="36"/>
        </w:rPr>
      </w:pPr>
    </w:p>
    <w:p>
      <w:pPr>
        <w:pStyle w:val="84"/>
        <w:rPr>
          <w:rFonts w:ascii="Times New Roman" w:hAnsi="Times New Roman" w:eastAsia="黑体"/>
          <w:color w:val="auto"/>
          <w:sz w:val="36"/>
          <w:szCs w:val="36"/>
        </w:rPr>
      </w:pPr>
      <w:bookmarkStart w:id="185" w:name="_Toc29796228"/>
      <w:r>
        <w:rPr>
          <w:rFonts w:hint="eastAsia" w:ascii="Times New Roman" w:hAnsi="Times New Roman" w:eastAsia="黑体"/>
          <w:color w:val="auto"/>
          <w:sz w:val="36"/>
          <w:szCs w:val="36"/>
        </w:rPr>
        <w:t>第六章</w:t>
      </w:r>
      <w:r>
        <w:rPr>
          <w:rFonts w:ascii="Times New Roman" w:hAnsi="Times New Roman" w:eastAsia="黑体"/>
          <w:color w:val="auto"/>
          <w:sz w:val="36"/>
          <w:szCs w:val="36"/>
        </w:rPr>
        <w:t xml:space="preserve"> </w:t>
      </w:r>
      <w:r>
        <w:rPr>
          <w:rFonts w:hint="eastAsia" w:ascii="Times New Roman" w:hAnsi="Times New Roman" w:eastAsia="黑体"/>
          <w:color w:val="auto"/>
          <w:sz w:val="36"/>
          <w:szCs w:val="36"/>
        </w:rPr>
        <w:t>投标文件格式</w:t>
      </w:r>
      <w:bookmarkEnd w:id="185"/>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jc w:val="center"/>
        <w:rPr>
          <w:rFonts w:ascii="宋体" w:hAnsi="宋体"/>
          <w:b/>
          <w:bCs/>
          <w:color w:val="auto"/>
          <w:sz w:val="30"/>
          <w:szCs w:val="30"/>
        </w:rPr>
      </w:pPr>
      <w:r>
        <w:rPr>
          <w:rFonts w:ascii="宋体" w:hAnsi="宋体"/>
          <w:b/>
          <w:color w:val="auto"/>
          <w:sz w:val="30"/>
          <w:szCs w:val="30"/>
        </w:rPr>
        <w:br w:type="page"/>
      </w:r>
      <w:r>
        <w:rPr>
          <w:rFonts w:hint="eastAsia" w:ascii="宋体" w:hAnsi="宋体"/>
          <w:b/>
          <w:bCs/>
          <w:color w:val="auto"/>
          <w:sz w:val="30"/>
          <w:szCs w:val="30"/>
        </w:rPr>
        <w:t>目 录</w:t>
      </w:r>
    </w:p>
    <w:p>
      <w:pPr>
        <w:autoSpaceDE/>
        <w:autoSpaceDN/>
        <w:spacing w:line="360" w:lineRule="auto"/>
        <w:ind w:firstLine="480" w:firstLineChars="200"/>
        <w:jc w:val="both"/>
        <w:rPr>
          <w:rFonts w:eastAsia="等线"/>
          <w:color w:val="auto"/>
          <w:kern w:val="2"/>
          <w:sz w:val="24"/>
        </w:rPr>
      </w:pPr>
      <w:r>
        <w:rPr>
          <w:rFonts w:hint="eastAsia" w:eastAsia="等线"/>
          <w:color w:val="auto"/>
          <w:kern w:val="2"/>
          <w:sz w:val="24"/>
        </w:rPr>
        <w:t>一、投标函；</w:t>
      </w:r>
    </w:p>
    <w:p>
      <w:pPr>
        <w:autoSpaceDE/>
        <w:autoSpaceDN/>
        <w:spacing w:line="360" w:lineRule="auto"/>
        <w:ind w:firstLine="480" w:firstLineChars="200"/>
        <w:jc w:val="both"/>
        <w:rPr>
          <w:rFonts w:eastAsia="等线"/>
          <w:color w:val="auto"/>
          <w:kern w:val="2"/>
          <w:sz w:val="24"/>
        </w:rPr>
      </w:pPr>
      <w:r>
        <w:rPr>
          <w:rFonts w:hint="eastAsia" w:eastAsia="等线"/>
          <w:color w:val="auto"/>
          <w:kern w:val="2"/>
          <w:sz w:val="24"/>
        </w:rPr>
        <w:t>二、法定负责人身份证明及法定负责人的授权委托书；</w:t>
      </w:r>
    </w:p>
    <w:p>
      <w:pPr>
        <w:autoSpaceDE/>
        <w:autoSpaceDN/>
        <w:spacing w:line="360" w:lineRule="auto"/>
        <w:ind w:firstLine="480" w:firstLineChars="200"/>
        <w:jc w:val="both"/>
        <w:rPr>
          <w:rFonts w:eastAsia="等线"/>
          <w:color w:val="auto"/>
          <w:kern w:val="2"/>
          <w:sz w:val="24"/>
        </w:rPr>
      </w:pPr>
      <w:r>
        <w:rPr>
          <w:rFonts w:hint="eastAsia" w:eastAsia="等线"/>
          <w:color w:val="auto"/>
          <w:kern w:val="2"/>
          <w:sz w:val="24"/>
        </w:rPr>
        <w:t>三、投标保证金；</w:t>
      </w:r>
    </w:p>
    <w:p>
      <w:pPr>
        <w:autoSpaceDE/>
        <w:autoSpaceDN/>
        <w:spacing w:line="360" w:lineRule="auto"/>
        <w:ind w:firstLine="480" w:firstLineChars="200"/>
        <w:jc w:val="both"/>
        <w:rPr>
          <w:rFonts w:eastAsia="等线"/>
          <w:color w:val="auto"/>
          <w:kern w:val="2"/>
          <w:sz w:val="24"/>
        </w:rPr>
      </w:pPr>
      <w:r>
        <w:rPr>
          <w:rFonts w:hint="eastAsia" w:eastAsia="等线"/>
          <w:color w:val="auto"/>
          <w:kern w:val="2"/>
          <w:sz w:val="24"/>
        </w:rPr>
        <w:t>四、资格审查表；</w:t>
      </w:r>
    </w:p>
    <w:p>
      <w:pPr>
        <w:autoSpaceDE/>
        <w:autoSpaceDN/>
        <w:spacing w:line="360" w:lineRule="auto"/>
        <w:ind w:firstLine="480" w:firstLineChars="200"/>
        <w:jc w:val="both"/>
        <w:rPr>
          <w:rFonts w:eastAsia="等线"/>
          <w:color w:val="auto"/>
          <w:kern w:val="2"/>
          <w:sz w:val="24"/>
        </w:rPr>
      </w:pPr>
      <w:r>
        <w:rPr>
          <w:rFonts w:hint="eastAsia" w:eastAsia="等线"/>
          <w:color w:val="auto"/>
          <w:kern w:val="2"/>
          <w:sz w:val="24"/>
        </w:rPr>
        <w:t>五、商务文件</w:t>
      </w:r>
    </w:p>
    <w:p>
      <w:pPr>
        <w:autoSpaceDE/>
        <w:autoSpaceDN/>
        <w:spacing w:line="360" w:lineRule="auto"/>
        <w:ind w:firstLine="480" w:firstLineChars="200"/>
        <w:jc w:val="both"/>
        <w:rPr>
          <w:rFonts w:eastAsia="等线"/>
          <w:color w:val="auto"/>
          <w:kern w:val="2"/>
          <w:sz w:val="24"/>
        </w:rPr>
      </w:pPr>
      <w:r>
        <w:rPr>
          <w:rFonts w:hint="eastAsia" w:eastAsia="等线"/>
          <w:color w:val="auto"/>
          <w:kern w:val="2"/>
          <w:sz w:val="24"/>
        </w:rPr>
        <w:t>六、技术文件</w:t>
      </w:r>
    </w:p>
    <w:p>
      <w:pPr>
        <w:spacing w:line="360" w:lineRule="auto"/>
        <w:ind w:firstLine="480" w:firstLineChars="200"/>
        <w:rPr>
          <w:rFonts w:eastAsia="等线"/>
          <w:color w:val="auto"/>
          <w:kern w:val="2"/>
          <w:sz w:val="24"/>
        </w:rPr>
      </w:pPr>
      <w:r>
        <w:rPr>
          <w:rFonts w:hint="eastAsia" w:eastAsia="等线"/>
          <w:color w:val="auto"/>
          <w:kern w:val="2"/>
          <w:sz w:val="24"/>
        </w:rPr>
        <w:t>七、其他资料</w:t>
      </w:r>
    </w:p>
    <w:p>
      <w:pPr>
        <w:spacing w:line="360" w:lineRule="auto"/>
        <w:rPr>
          <w:rFonts w:ascii="宋体" w:hAnsi="宋体"/>
          <w:color w:val="auto"/>
          <w:sz w:val="23"/>
          <w:szCs w:val="23"/>
        </w:rPr>
      </w:pPr>
      <w:r>
        <w:rPr>
          <w:rFonts w:ascii="宋体" w:hAnsi="宋体"/>
          <w:color w:val="auto"/>
          <w:sz w:val="23"/>
          <w:szCs w:val="23"/>
        </w:rPr>
        <w:br w:type="page"/>
      </w:r>
    </w:p>
    <w:p>
      <w:pPr>
        <w:jc w:val="center"/>
        <w:rPr>
          <w:rFonts w:hint="eastAsia" w:ascii="宋体" w:hAnsi="宋体" w:eastAsia="宋体"/>
          <w:b/>
          <w:color w:val="auto"/>
          <w:sz w:val="36"/>
          <w:szCs w:val="36"/>
          <w:lang w:eastAsia="zh-CN"/>
        </w:rPr>
      </w:pPr>
      <w:r>
        <w:rPr>
          <w:rFonts w:hint="eastAsia" w:ascii="宋体" w:hAnsi="宋体"/>
          <w:b/>
          <w:color w:val="auto"/>
          <w:sz w:val="36"/>
          <w:szCs w:val="36"/>
          <w:lang w:eastAsia="zh-CN"/>
        </w:rPr>
        <w:t>重庆渝合高速公路有限公司2021-2024年运营保险项目（第二次）</w:t>
      </w: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pStyle w:val="59"/>
        <w:rPr>
          <w:rFonts w:ascii="宋体" w:hAnsi="宋体"/>
          <w:color w:val="auto"/>
        </w:rPr>
      </w:pPr>
    </w:p>
    <w:p>
      <w:pPr>
        <w:rPr>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sz w:val="52"/>
          <w:szCs w:val="52"/>
        </w:rPr>
      </w:pPr>
      <w:r>
        <w:rPr>
          <w:rFonts w:hint="eastAsia" w:ascii="宋体" w:hAnsi="宋体"/>
          <w:color w:val="auto"/>
          <w:sz w:val="52"/>
          <w:szCs w:val="52"/>
        </w:rPr>
        <w:t>投标文件</w:t>
      </w:r>
    </w:p>
    <w:p>
      <w:pPr>
        <w:jc w:val="center"/>
        <w:rPr>
          <w:rFonts w:ascii="宋体" w:hAnsi="宋体"/>
          <w:color w:val="auto"/>
        </w:rPr>
      </w:pPr>
      <w:bookmarkStart w:id="186" w:name="_Toc29796229"/>
    </w:p>
    <w:bookmarkEnd w:id="186"/>
    <w:p>
      <w:pPr>
        <w:jc w:val="center"/>
        <w:rPr>
          <w:rFonts w:ascii="宋体" w:hAnsi="宋体"/>
          <w:b/>
          <w:color w:val="auto"/>
        </w:rPr>
      </w:pPr>
    </w:p>
    <w:p>
      <w:pPr>
        <w:jc w:val="center"/>
        <w:rPr>
          <w:rFonts w:ascii="宋体" w:hAnsi="宋体"/>
          <w:b/>
          <w:color w:val="auto"/>
        </w:rPr>
      </w:pPr>
    </w:p>
    <w:p>
      <w:pPr>
        <w:jc w:val="center"/>
        <w:rPr>
          <w:rFonts w:ascii="宋体" w:hAnsi="宋体"/>
          <w:b/>
          <w:color w:val="auto"/>
        </w:rPr>
      </w:pPr>
    </w:p>
    <w:p>
      <w:pPr>
        <w:jc w:val="center"/>
        <w:rPr>
          <w:rFonts w:ascii="宋体" w:hAnsi="宋体"/>
          <w:b/>
          <w:color w:val="auto"/>
        </w:rPr>
      </w:pPr>
    </w:p>
    <w:p>
      <w:pPr>
        <w:jc w:val="center"/>
        <w:rPr>
          <w:rFonts w:ascii="宋体" w:hAnsi="宋体"/>
          <w:b/>
          <w:color w:val="auto"/>
        </w:rPr>
      </w:pPr>
    </w:p>
    <w:p>
      <w:pPr>
        <w:pStyle w:val="59"/>
        <w:rPr>
          <w:color w:val="auto"/>
        </w:rPr>
      </w:pPr>
    </w:p>
    <w:p>
      <w:pPr>
        <w:jc w:val="center"/>
        <w:rPr>
          <w:rFonts w:ascii="宋体" w:hAnsi="宋体"/>
          <w:b/>
          <w:color w:val="auto"/>
        </w:rPr>
      </w:pPr>
    </w:p>
    <w:p>
      <w:pPr>
        <w:jc w:val="center"/>
        <w:rPr>
          <w:rFonts w:ascii="宋体" w:hAnsi="宋体"/>
          <w:b/>
          <w:color w:val="auto"/>
        </w:rPr>
      </w:pPr>
    </w:p>
    <w:p>
      <w:pPr>
        <w:jc w:val="center"/>
        <w:rPr>
          <w:rFonts w:ascii="宋体" w:hAnsi="宋体"/>
          <w:b/>
          <w:color w:val="auto"/>
        </w:rPr>
      </w:pPr>
    </w:p>
    <w:p>
      <w:pPr>
        <w:jc w:val="center"/>
        <w:rPr>
          <w:rFonts w:ascii="宋体" w:hAnsi="宋体"/>
          <w:b/>
          <w:color w:val="auto"/>
        </w:rPr>
      </w:pPr>
    </w:p>
    <w:p>
      <w:pPr>
        <w:jc w:val="center"/>
        <w:rPr>
          <w:rFonts w:ascii="宋体" w:hAnsi="宋体"/>
          <w:b/>
          <w:color w:val="auto"/>
        </w:rPr>
      </w:pPr>
    </w:p>
    <w:p>
      <w:pPr>
        <w:spacing w:before="156" w:beforeLines="50" w:after="156" w:afterLines="50" w:line="360" w:lineRule="auto"/>
        <w:jc w:val="center"/>
        <w:rPr>
          <w:rFonts w:ascii="宋体" w:hAnsi="宋体"/>
          <w:b/>
          <w:color w:val="auto"/>
          <w:sz w:val="32"/>
          <w:u w:val="single"/>
        </w:rPr>
      </w:pPr>
      <w:r>
        <w:rPr>
          <w:rFonts w:ascii="宋体" w:hAnsi="宋体"/>
          <w:b/>
          <w:color w:val="auto"/>
          <w:sz w:val="32"/>
        </w:rPr>
        <w:t>投标人</w:t>
      </w:r>
      <w:r>
        <w:rPr>
          <w:rFonts w:hint="eastAsia" w:ascii="宋体" w:hAnsi="宋体"/>
          <w:b/>
          <w:color w:val="auto"/>
          <w:sz w:val="32"/>
        </w:rPr>
        <w:t>：</w:t>
      </w:r>
      <w:r>
        <w:rPr>
          <w:rFonts w:ascii="宋体" w:hAnsi="宋体"/>
          <w:b/>
          <w:color w:val="auto"/>
          <w:sz w:val="32"/>
          <w:u w:val="single"/>
        </w:rPr>
        <w:t xml:space="preserve">        （盖</w:t>
      </w:r>
      <w:r>
        <w:rPr>
          <w:rFonts w:hint="eastAsia" w:ascii="宋体" w:hAnsi="宋体"/>
          <w:b/>
          <w:color w:val="auto"/>
          <w:sz w:val="32"/>
          <w:u w:val="single"/>
        </w:rPr>
        <w:t>单位</w:t>
      </w:r>
      <w:r>
        <w:rPr>
          <w:rFonts w:ascii="宋体" w:hAnsi="宋体"/>
          <w:b/>
          <w:color w:val="auto"/>
          <w:sz w:val="32"/>
          <w:u w:val="single"/>
        </w:rPr>
        <w:t>章）</w:t>
      </w:r>
      <w:r>
        <w:rPr>
          <w:rFonts w:hint="eastAsia" w:ascii="宋体" w:hAnsi="宋体"/>
          <w:b/>
          <w:color w:val="auto"/>
          <w:sz w:val="32"/>
          <w:u w:val="single"/>
        </w:rPr>
        <w:t xml:space="preserve">     </w:t>
      </w:r>
    </w:p>
    <w:p>
      <w:pPr>
        <w:spacing w:before="156" w:beforeLines="50" w:after="156" w:afterLines="50" w:line="360" w:lineRule="auto"/>
        <w:rPr>
          <w:rFonts w:ascii="宋体" w:hAnsi="宋体"/>
          <w:b/>
          <w:color w:val="auto"/>
          <w:sz w:val="30"/>
          <w:szCs w:val="30"/>
        </w:rPr>
      </w:pPr>
      <w:r>
        <w:rPr>
          <w:rFonts w:ascii="宋体" w:hAnsi="宋体"/>
          <w:b/>
          <w:color w:val="auto"/>
        </w:rPr>
        <w:t xml:space="preserve">                            </w:t>
      </w:r>
      <w:r>
        <w:rPr>
          <w:rFonts w:ascii="宋体" w:hAnsi="宋体"/>
          <w:b/>
          <w:color w:val="auto"/>
          <w:sz w:val="30"/>
          <w:szCs w:val="30"/>
          <w:u w:val="single"/>
        </w:rPr>
        <w:t xml:space="preserve">         </w:t>
      </w:r>
      <w:r>
        <w:rPr>
          <w:rFonts w:ascii="宋体" w:hAnsi="宋体"/>
          <w:b/>
          <w:color w:val="auto"/>
          <w:sz w:val="30"/>
          <w:szCs w:val="30"/>
        </w:rPr>
        <w:t>年</w:t>
      </w:r>
      <w:r>
        <w:rPr>
          <w:rFonts w:ascii="宋体" w:hAnsi="宋体"/>
          <w:b/>
          <w:color w:val="auto"/>
          <w:sz w:val="30"/>
          <w:szCs w:val="30"/>
          <w:u w:val="single"/>
        </w:rPr>
        <w:t xml:space="preserve">    </w:t>
      </w:r>
      <w:r>
        <w:rPr>
          <w:rFonts w:ascii="宋体" w:hAnsi="宋体"/>
          <w:b/>
          <w:color w:val="auto"/>
          <w:sz w:val="30"/>
          <w:szCs w:val="30"/>
        </w:rPr>
        <w:t>月</w:t>
      </w:r>
      <w:r>
        <w:rPr>
          <w:rFonts w:ascii="宋体" w:hAnsi="宋体"/>
          <w:b/>
          <w:color w:val="auto"/>
          <w:sz w:val="30"/>
          <w:szCs w:val="30"/>
          <w:u w:val="single"/>
        </w:rPr>
        <w:t xml:space="preserve">      </w:t>
      </w:r>
      <w:r>
        <w:rPr>
          <w:rFonts w:hint="eastAsia" w:ascii="宋体" w:hAnsi="宋体"/>
          <w:b/>
          <w:color w:val="auto"/>
          <w:sz w:val="30"/>
          <w:szCs w:val="30"/>
        </w:rPr>
        <w:t>日</w:t>
      </w:r>
    </w:p>
    <w:p>
      <w:pPr>
        <w:pStyle w:val="5"/>
        <w:jc w:val="center"/>
        <w:rPr>
          <w:rFonts w:ascii="宋体" w:hAnsi="宋体"/>
          <w:color w:val="auto"/>
        </w:rPr>
      </w:pPr>
      <w:r>
        <w:rPr>
          <w:rFonts w:ascii="宋体" w:hAnsi="宋体"/>
          <w:color w:val="auto"/>
          <w:sz w:val="30"/>
          <w:szCs w:val="30"/>
        </w:rPr>
        <w:br w:type="page"/>
      </w:r>
      <w:bookmarkStart w:id="187" w:name="_Toc29796230"/>
      <w:bookmarkStart w:id="188" w:name="_Toc457224250"/>
      <w:r>
        <w:rPr>
          <w:rFonts w:hint="eastAsia" w:ascii="宋体" w:hAnsi="宋体"/>
          <w:color w:val="auto"/>
        </w:rPr>
        <w:t>一、投标函</w:t>
      </w:r>
      <w:bookmarkEnd w:id="187"/>
      <w:bookmarkEnd w:id="188"/>
    </w:p>
    <w:p>
      <w:pPr>
        <w:autoSpaceDE w:val="0"/>
        <w:autoSpaceDN w:val="0"/>
        <w:spacing w:line="360" w:lineRule="auto"/>
        <w:jc w:val="lef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（招标人全称）</w:t>
      </w:r>
      <w:r>
        <w:rPr>
          <w:rFonts w:ascii="宋体" w:hAnsi="宋体" w:cs="宋体"/>
          <w:color w:val="auto"/>
          <w:kern w:val="0"/>
          <w:sz w:val="24"/>
          <w:u w:val="single"/>
        </w:rPr>
        <w:t xml:space="preserve"> </w:t>
      </w:r>
      <w:r>
        <w:rPr>
          <w:rFonts w:hint="eastAsia" w:ascii="宋体" w:hAnsi="宋体" w:cs="宋体"/>
          <w:color w:val="auto"/>
          <w:kern w:val="0"/>
          <w:sz w:val="24"/>
          <w:u w:val="single"/>
        </w:rPr>
        <w:t>：</w:t>
      </w:r>
      <w:r>
        <w:rPr>
          <w:rFonts w:ascii="宋体" w:hAnsi="宋体" w:cs="宋体"/>
          <w:color w:val="auto"/>
          <w:kern w:val="0"/>
          <w:sz w:val="24"/>
        </w:rPr>
        <w:t xml:space="preserve"> </w:t>
      </w:r>
    </w:p>
    <w:p>
      <w:pPr>
        <w:autoSpaceDE w:val="0"/>
        <w:autoSpaceDN w:val="0"/>
        <w:spacing w:line="360" w:lineRule="auto"/>
        <w:ind w:firstLine="480" w:firstLineChars="200"/>
        <w:jc w:val="left"/>
        <w:rPr>
          <w:rFonts w:ascii="宋体" w:hAnsi="宋体" w:cs="宋体"/>
          <w:color w:val="auto"/>
          <w:kern w:val="0"/>
          <w:sz w:val="24"/>
        </w:rPr>
      </w:pPr>
      <w:r>
        <w:rPr>
          <w:rFonts w:ascii="宋体" w:hAnsi="宋体"/>
          <w:color w:val="auto"/>
          <w:kern w:val="0"/>
          <w:sz w:val="24"/>
        </w:rPr>
        <w:t xml:space="preserve">1. </w:t>
      </w:r>
      <w:r>
        <w:rPr>
          <w:rFonts w:hint="eastAsia" w:ascii="宋体" w:hAnsi="宋体" w:cs="宋体"/>
          <w:color w:val="auto"/>
          <w:kern w:val="0"/>
          <w:sz w:val="24"/>
        </w:rPr>
        <w:t>经研究</w:t>
      </w:r>
      <w:r>
        <w:rPr>
          <w:rFonts w:hint="eastAsia" w:ascii="宋体" w:hAnsi="宋体" w:cs="宋体"/>
          <w:b/>
          <w:color w:val="auto"/>
          <w:kern w:val="0"/>
          <w:sz w:val="24"/>
          <w:u w:val="single"/>
          <w:lang w:eastAsia="zh-CN"/>
        </w:rPr>
        <w:t>重庆渝合高速公路有限公司2021-2024年运营保险项目（第二次）</w:t>
      </w:r>
      <w:r>
        <w:rPr>
          <w:rFonts w:hint="eastAsia" w:ascii="宋体" w:hAnsi="宋体" w:cs="宋体"/>
          <w:color w:val="auto"/>
          <w:kern w:val="0"/>
          <w:sz w:val="24"/>
        </w:rPr>
        <w:t>文件的全部内容（含第</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号至第</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号补遗书）后，我方就上述相关服务进行投标，我方愿以大写</w:t>
      </w:r>
      <w:r>
        <w:rPr>
          <w:rFonts w:hint="eastAsia" w:ascii="宋体" w:hAnsi="宋体" w:cs="宋体"/>
          <w:color w:val="auto"/>
          <w:kern w:val="0"/>
          <w:sz w:val="24"/>
          <w:u w:val="single"/>
        </w:rPr>
        <w:t xml:space="preserve">：    小写：   </w:t>
      </w:r>
      <w:r>
        <w:rPr>
          <w:rFonts w:hint="eastAsia" w:ascii="宋体" w:hAnsi="宋体" w:cs="宋体"/>
          <w:color w:val="auto"/>
          <w:kern w:val="0"/>
          <w:sz w:val="24"/>
        </w:rPr>
        <w:t>的投标总报价</w:t>
      </w:r>
      <w:r>
        <w:rPr>
          <w:rFonts w:ascii="宋体" w:hAnsi="宋体"/>
          <w:snapToGrid w:val="0"/>
          <w:color w:val="auto"/>
          <w:sz w:val="24"/>
        </w:rPr>
        <w:t>完成本招标项目规定的所有工作内容</w:t>
      </w:r>
    </w:p>
    <w:p>
      <w:pPr>
        <w:autoSpaceDE w:val="0"/>
        <w:autoSpaceDN w:val="0"/>
        <w:spacing w:line="360" w:lineRule="auto"/>
        <w:ind w:firstLine="480" w:firstLineChars="200"/>
        <w:jc w:val="left"/>
        <w:rPr>
          <w:rFonts w:ascii="宋体" w:hAnsi="宋体" w:cs="宋体"/>
          <w:color w:val="auto"/>
          <w:kern w:val="0"/>
          <w:sz w:val="24"/>
        </w:rPr>
      </w:pPr>
      <w:r>
        <w:rPr>
          <w:rFonts w:ascii="宋体" w:hAnsi="宋体"/>
          <w:color w:val="auto"/>
          <w:kern w:val="0"/>
          <w:sz w:val="24"/>
        </w:rPr>
        <w:t xml:space="preserve">2. </w:t>
      </w:r>
      <w:r>
        <w:rPr>
          <w:rFonts w:hint="eastAsia" w:ascii="宋体" w:hAnsi="宋体" w:cs="宋体"/>
          <w:color w:val="auto"/>
          <w:kern w:val="0"/>
          <w:sz w:val="24"/>
        </w:rPr>
        <w:t>如果我方中标，我方保证在收到中标通知书规定的期限内与你方签订合同协议书，并在合同书所规定的时间内完成通知要求的服务内容。</w:t>
      </w:r>
      <w:r>
        <w:rPr>
          <w:rFonts w:ascii="宋体" w:hAnsi="宋体" w:cs="宋体"/>
          <w:color w:val="auto"/>
          <w:kern w:val="0"/>
          <w:sz w:val="24"/>
        </w:rPr>
        <w:t xml:space="preserve"> </w:t>
      </w:r>
    </w:p>
    <w:p>
      <w:pPr>
        <w:autoSpaceDE w:val="0"/>
        <w:autoSpaceDN w:val="0"/>
        <w:spacing w:line="360" w:lineRule="auto"/>
        <w:ind w:firstLine="480" w:firstLineChars="200"/>
        <w:jc w:val="left"/>
        <w:rPr>
          <w:rFonts w:ascii="宋体" w:hAnsi="宋体" w:cs="宋体"/>
          <w:color w:val="auto"/>
          <w:kern w:val="0"/>
          <w:sz w:val="24"/>
        </w:rPr>
      </w:pPr>
      <w:r>
        <w:rPr>
          <w:rFonts w:hint="eastAsia" w:ascii="宋体" w:hAnsi="宋体"/>
          <w:color w:val="auto"/>
          <w:kern w:val="0"/>
          <w:sz w:val="24"/>
        </w:rPr>
        <w:t>3</w:t>
      </w:r>
      <w:r>
        <w:rPr>
          <w:rFonts w:ascii="宋体" w:hAnsi="宋体"/>
          <w:color w:val="auto"/>
          <w:kern w:val="0"/>
          <w:sz w:val="24"/>
        </w:rPr>
        <w:t xml:space="preserve">. </w:t>
      </w:r>
      <w:r>
        <w:rPr>
          <w:rFonts w:hint="eastAsia" w:ascii="宋体" w:hAnsi="宋体" w:cs="宋体"/>
          <w:color w:val="auto"/>
          <w:kern w:val="0"/>
          <w:sz w:val="24"/>
        </w:rPr>
        <w:t>如果我方中标，我方将按照规定提交履约担保，共同地和分别地承担责任。</w:t>
      </w:r>
      <w:r>
        <w:rPr>
          <w:rFonts w:ascii="宋体" w:hAnsi="宋体" w:cs="宋体"/>
          <w:color w:val="auto"/>
          <w:kern w:val="0"/>
          <w:sz w:val="24"/>
        </w:rPr>
        <w:t xml:space="preserve"> </w:t>
      </w:r>
    </w:p>
    <w:p>
      <w:pPr>
        <w:autoSpaceDE w:val="0"/>
        <w:autoSpaceDN w:val="0"/>
        <w:spacing w:line="360" w:lineRule="auto"/>
        <w:ind w:firstLine="480" w:firstLineChars="200"/>
        <w:jc w:val="left"/>
        <w:rPr>
          <w:rFonts w:ascii="宋体" w:hAnsi="宋体" w:cs="宋体"/>
          <w:color w:val="auto"/>
          <w:kern w:val="0"/>
          <w:sz w:val="24"/>
        </w:rPr>
      </w:pPr>
      <w:r>
        <w:rPr>
          <w:rFonts w:hint="eastAsia" w:ascii="宋体" w:hAnsi="宋体"/>
          <w:color w:val="auto"/>
          <w:kern w:val="0"/>
          <w:sz w:val="24"/>
        </w:rPr>
        <w:t>4</w:t>
      </w:r>
      <w:r>
        <w:rPr>
          <w:rFonts w:ascii="宋体" w:hAnsi="宋体"/>
          <w:color w:val="auto"/>
          <w:kern w:val="0"/>
          <w:sz w:val="24"/>
        </w:rPr>
        <w:t xml:space="preserve">. </w:t>
      </w:r>
      <w:r>
        <w:rPr>
          <w:rFonts w:hint="eastAsia" w:ascii="宋体" w:hAnsi="宋体" w:cs="宋体"/>
          <w:color w:val="auto"/>
          <w:kern w:val="0"/>
          <w:sz w:val="24"/>
        </w:rPr>
        <w:t>我方承诺在本投标文件有效期内，本投标函对我方具有约束力，并随时接受中标。</w:t>
      </w:r>
      <w:r>
        <w:rPr>
          <w:rFonts w:ascii="宋体" w:hAnsi="宋体" w:cs="宋体"/>
          <w:color w:val="auto"/>
          <w:kern w:val="0"/>
          <w:sz w:val="24"/>
        </w:rPr>
        <w:t xml:space="preserve"> </w:t>
      </w:r>
    </w:p>
    <w:p>
      <w:pPr>
        <w:autoSpaceDE w:val="0"/>
        <w:autoSpaceDN w:val="0"/>
        <w:spacing w:line="360" w:lineRule="auto"/>
        <w:ind w:firstLine="480" w:firstLineChars="200"/>
        <w:jc w:val="left"/>
        <w:rPr>
          <w:rFonts w:ascii="宋体" w:hAnsi="宋体" w:cs="宋体"/>
          <w:color w:val="auto"/>
          <w:kern w:val="0"/>
          <w:sz w:val="24"/>
        </w:rPr>
      </w:pPr>
      <w:r>
        <w:rPr>
          <w:rFonts w:hint="eastAsia" w:ascii="宋体" w:hAnsi="宋体"/>
          <w:color w:val="auto"/>
          <w:kern w:val="0"/>
          <w:sz w:val="24"/>
        </w:rPr>
        <w:t>5</w:t>
      </w:r>
      <w:r>
        <w:rPr>
          <w:rFonts w:ascii="宋体" w:hAnsi="宋体"/>
          <w:color w:val="auto"/>
          <w:kern w:val="0"/>
          <w:sz w:val="24"/>
        </w:rPr>
        <w:t xml:space="preserve">. </w:t>
      </w:r>
      <w:r>
        <w:rPr>
          <w:rFonts w:hint="eastAsia" w:ascii="宋体" w:hAnsi="宋体" w:cs="宋体"/>
          <w:color w:val="auto"/>
          <w:kern w:val="0"/>
          <w:sz w:val="24"/>
        </w:rPr>
        <w:t>在合同协议书正式签署生效之前，本投标函连同你方的中标通知书将构成我们双方之间共同遵守的文件，对双方具有约束力。</w:t>
      </w:r>
      <w:r>
        <w:rPr>
          <w:rFonts w:ascii="宋体" w:hAnsi="宋体" w:cs="宋体"/>
          <w:color w:val="auto"/>
          <w:kern w:val="0"/>
          <w:sz w:val="24"/>
        </w:rPr>
        <w:t xml:space="preserve"> </w:t>
      </w:r>
    </w:p>
    <w:p>
      <w:pPr>
        <w:autoSpaceDE w:val="0"/>
        <w:autoSpaceDN w:val="0"/>
        <w:spacing w:line="360" w:lineRule="auto"/>
        <w:ind w:firstLine="480" w:firstLineChars="200"/>
        <w:jc w:val="left"/>
        <w:rPr>
          <w:rFonts w:ascii="宋体" w:hAnsi="宋体" w:cs="宋体"/>
          <w:color w:val="auto"/>
          <w:kern w:val="0"/>
          <w:sz w:val="24"/>
        </w:rPr>
      </w:pPr>
      <w:r>
        <w:rPr>
          <w:rFonts w:hint="eastAsia" w:ascii="宋体" w:hAnsi="宋体"/>
          <w:color w:val="auto"/>
          <w:kern w:val="0"/>
          <w:sz w:val="24"/>
        </w:rPr>
        <w:t>6</w:t>
      </w:r>
      <w:r>
        <w:rPr>
          <w:rFonts w:ascii="宋体" w:hAnsi="宋体"/>
          <w:color w:val="auto"/>
          <w:kern w:val="0"/>
          <w:sz w:val="24"/>
        </w:rPr>
        <w:t xml:space="preserve">. </w:t>
      </w:r>
      <w:r>
        <w:rPr>
          <w:rFonts w:hint="eastAsia" w:ascii="宋体" w:hAnsi="宋体" w:cs="宋体"/>
          <w:color w:val="auto"/>
          <w:kern w:val="0"/>
          <w:sz w:val="24"/>
        </w:rPr>
        <w:t>我方以金额为人民币</w:t>
      </w:r>
      <w:r>
        <w:rPr>
          <w:rFonts w:hint="eastAsia" w:ascii="宋体" w:hAnsi="宋体" w:cs="宋体"/>
          <w:color w:val="auto"/>
          <w:kern w:val="0"/>
          <w:sz w:val="24"/>
          <w:u w:val="single"/>
        </w:rPr>
        <w:t xml:space="preserve">      </w:t>
      </w:r>
      <w:r>
        <w:rPr>
          <w:rFonts w:hint="eastAsia" w:ascii="宋体" w:hAnsi="宋体" w:cs="宋体"/>
          <w:color w:val="auto"/>
          <w:kern w:val="0"/>
          <w:sz w:val="24"/>
        </w:rPr>
        <w:t>万元的投标担保与本投标函同时递交。</w:t>
      </w:r>
      <w:r>
        <w:rPr>
          <w:rFonts w:ascii="宋体" w:hAnsi="宋体" w:cs="宋体"/>
          <w:color w:val="auto"/>
          <w:kern w:val="0"/>
          <w:sz w:val="24"/>
        </w:rPr>
        <w:t xml:space="preserve"> </w:t>
      </w:r>
    </w:p>
    <w:p>
      <w:pPr>
        <w:autoSpaceDE w:val="0"/>
        <w:autoSpaceDN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7.</w:t>
      </w:r>
      <w:r>
        <w:rPr>
          <w:rFonts w:hint="eastAsia"/>
          <w:color w:val="auto"/>
        </w:rPr>
        <w:t xml:space="preserve"> </w:t>
      </w:r>
      <w:r>
        <w:rPr>
          <w:rFonts w:hint="eastAsia" w:ascii="宋体" w:hAnsi="宋体"/>
          <w:color w:val="auto"/>
          <w:kern w:val="0"/>
          <w:sz w:val="24"/>
        </w:rPr>
        <w:t>上述报价条件是建立在后附差异条件、优惠条件以及服务承诺的基础上。</w:t>
      </w:r>
    </w:p>
    <w:p>
      <w:pPr>
        <w:autoSpaceDE w:val="0"/>
        <w:autoSpaceDN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8.</w:t>
      </w:r>
      <w:r>
        <w:rPr>
          <w:rFonts w:hint="eastAsia"/>
          <w:color w:val="auto"/>
        </w:rPr>
        <w:t xml:space="preserve"> </w:t>
      </w:r>
      <w:r>
        <w:rPr>
          <w:rFonts w:hint="eastAsia" w:ascii="宋体" w:hAnsi="宋体"/>
          <w:color w:val="auto"/>
          <w:kern w:val="0"/>
          <w:sz w:val="24"/>
        </w:rPr>
        <w:t>我方已详细审核招标文件，我们知道必须放弃提出含糊不清或误解的权利。</w:t>
      </w:r>
    </w:p>
    <w:p>
      <w:pPr>
        <w:autoSpaceDE w:val="0"/>
        <w:autoSpaceDN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9.</w:t>
      </w:r>
      <w:r>
        <w:rPr>
          <w:rFonts w:ascii="Times New Roman" w:hAnsi="Times New Roman"/>
          <w:color w:val="auto"/>
        </w:rPr>
        <w:t xml:space="preserve"> </w:t>
      </w:r>
      <w:r>
        <w:rPr>
          <w:rFonts w:ascii="宋体" w:hAnsi="宋体"/>
          <w:color w:val="auto"/>
          <w:kern w:val="0"/>
          <w:sz w:val="24"/>
        </w:rPr>
        <w:t>我方承诺：如我方中选，自</w:t>
      </w:r>
      <w:r>
        <w:rPr>
          <w:rFonts w:hint="eastAsia" w:ascii="宋体" w:hAnsi="宋体"/>
          <w:color w:val="auto"/>
          <w:kern w:val="0"/>
          <w:sz w:val="24"/>
          <w:u w:val="single"/>
        </w:rPr>
        <w:t xml:space="preserve">     </w:t>
      </w:r>
      <w:r>
        <w:rPr>
          <w:rFonts w:ascii="宋体" w:hAnsi="宋体"/>
          <w:color w:val="auto"/>
          <w:kern w:val="0"/>
          <w:sz w:val="24"/>
          <w:u w:val="single"/>
        </w:rPr>
        <w:t>年</w:t>
      </w:r>
      <w:r>
        <w:rPr>
          <w:rFonts w:hint="eastAsia" w:ascii="宋体" w:hAnsi="宋体"/>
          <w:color w:val="auto"/>
          <w:kern w:val="0"/>
          <w:sz w:val="24"/>
          <w:u w:val="single"/>
        </w:rPr>
        <w:t xml:space="preserve">    </w:t>
      </w:r>
      <w:r>
        <w:rPr>
          <w:rFonts w:ascii="宋体" w:hAnsi="宋体"/>
          <w:color w:val="auto"/>
          <w:kern w:val="0"/>
          <w:sz w:val="24"/>
          <w:u w:val="single"/>
        </w:rPr>
        <w:t>月</w:t>
      </w:r>
      <w:r>
        <w:rPr>
          <w:rFonts w:hint="eastAsia" w:ascii="宋体" w:hAnsi="宋体"/>
          <w:color w:val="auto"/>
          <w:kern w:val="0"/>
          <w:sz w:val="24"/>
          <w:u w:val="single"/>
        </w:rPr>
        <w:t xml:space="preserve">    </w:t>
      </w:r>
      <w:r>
        <w:rPr>
          <w:rFonts w:ascii="宋体" w:hAnsi="宋体"/>
          <w:color w:val="auto"/>
          <w:kern w:val="0"/>
          <w:sz w:val="24"/>
          <w:u w:val="single"/>
        </w:rPr>
        <w:t>日</w:t>
      </w:r>
      <w:r>
        <w:rPr>
          <w:rFonts w:ascii="宋体" w:hAnsi="宋体"/>
          <w:color w:val="auto"/>
          <w:kern w:val="0"/>
          <w:sz w:val="24"/>
        </w:rPr>
        <w:t>0时对本项目进行承保，期间发生的保险事故损失将根据最终达成一致的</w:t>
      </w:r>
    </w:p>
    <w:p>
      <w:pPr>
        <w:autoSpaceDE w:val="0"/>
        <w:autoSpaceDN w:val="0"/>
        <w:spacing w:line="360" w:lineRule="auto"/>
        <w:ind w:firstLine="480" w:firstLineChars="200"/>
        <w:jc w:val="left"/>
        <w:rPr>
          <w:rFonts w:ascii="宋体" w:hAnsi="宋体" w:cs="宋体"/>
          <w:color w:val="auto"/>
          <w:kern w:val="0"/>
          <w:sz w:val="24"/>
        </w:rPr>
      </w:pPr>
      <w:r>
        <w:rPr>
          <w:rFonts w:hint="eastAsia" w:ascii="宋体" w:hAnsi="宋体"/>
          <w:color w:val="auto"/>
          <w:kern w:val="0"/>
          <w:sz w:val="24"/>
        </w:rPr>
        <w:t>10.</w:t>
      </w:r>
      <w:r>
        <w:rPr>
          <w:rFonts w:ascii="宋体" w:hAnsi="宋体"/>
          <w:color w:val="auto"/>
          <w:kern w:val="0"/>
          <w:sz w:val="24"/>
        </w:rPr>
        <w:t xml:space="preserve"> </w:t>
      </w:r>
      <w:r>
        <w:rPr>
          <w:rFonts w:hint="eastAsia" w:ascii="宋体" w:hAnsi="宋体" w:cs="宋体"/>
          <w:color w:val="auto"/>
          <w:kern w:val="0"/>
          <w:sz w:val="24"/>
        </w:rPr>
        <w:t>在此我方郑重承诺：我方将按发包人的要求提供高质量的后续服务，后续服务的承诺为</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ascii="宋体" w:hAnsi="宋体" w:cs="宋体"/>
          <w:color w:val="auto"/>
          <w:kern w:val="0"/>
          <w:sz w:val="24"/>
        </w:rPr>
        <w:t xml:space="preserve"> </w:t>
      </w:r>
    </w:p>
    <w:p>
      <w:pPr>
        <w:spacing w:line="360" w:lineRule="auto"/>
        <w:ind w:firstLine="4600" w:firstLineChars="2000"/>
        <w:rPr>
          <w:rFonts w:ascii="宋体" w:hAnsi="宋体" w:cs="宋体"/>
          <w:color w:val="auto"/>
          <w:kern w:val="0"/>
          <w:sz w:val="23"/>
          <w:szCs w:val="23"/>
        </w:rPr>
      </w:pPr>
    </w:p>
    <w:p>
      <w:pPr>
        <w:spacing w:line="360" w:lineRule="auto"/>
        <w:ind w:firstLine="4140" w:firstLineChars="1800"/>
        <w:rPr>
          <w:rFonts w:ascii="宋体" w:hAnsi="宋体"/>
          <w:color w:val="auto"/>
          <w:kern w:val="0"/>
          <w:sz w:val="23"/>
          <w:szCs w:val="23"/>
        </w:rPr>
      </w:pPr>
      <w:r>
        <w:rPr>
          <w:rFonts w:hint="eastAsia" w:ascii="宋体" w:hAnsi="宋体" w:cs="宋体"/>
          <w:color w:val="auto"/>
          <w:kern w:val="0"/>
          <w:sz w:val="23"/>
          <w:szCs w:val="23"/>
        </w:rPr>
        <w:t>投</w:t>
      </w:r>
      <w:r>
        <w:rPr>
          <w:rFonts w:ascii="宋体" w:hAnsi="宋体" w:cs="宋体"/>
          <w:color w:val="auto"/>
          <w:kern w:val="0"/>
          <w:sz w:val="23"/>
          <w:szCs w:val="23"/>
        </w:rPr>
        <w:t xml:space="preserve"> </w:t>
      </w:r>
      <w:r>
        <w:rPr>
          <w:rFonts w:hint="eastAsia" w:ascii="宋体" w:hAnsi="宋体" w:cs="宋体"/>
          <w:color w:val="auto"/>
          <w:kern w:val="0"/>
          <w:sz w:val="23"/>
          <w:szCs w:val="23"/>
        </w:rPr>
        <w:t>标</w:t>
      </w:r>
      <w:r>
        <w:rPr>
          <w:rFonts w:ascii="宋体" w:hAnsi="宋体" w:cs="宋体"/>
          <w:color w:val="auto"/>
          <w:kern w:val="0"/>
          <w:sz w:val="23"/>
          <w:szCs w:val="23"/>
        </w:rPr>
        <w:t xml:space="preserve"> </w:t>
      </w:r>
      <w:r>
        <w:rPr>
          <w:rFonts w:hint="eastAsia" w:ascii="宋体" w:hAnsi="宋体" w:cs="宋体"/>
          <w:color w:val="auto"/>
          <w:kern w:val="0"/>
          <w:sz w:val="23"/>
          <w:szCs w:val="23"/>
        </w:rPr>
        <w:t>人：</w:t>
      </w:r>
      <w:r>
        <w:rPr>
          <w:rFonts w:ascii="宋体" w:hAnsi="宋体" w:cs="宋体"/>
          <w:color w:val="auto"/>
          <w:kern w:val="0"/>
          <w:sz w:val="23"/>
          <w:szCs w:val="23"/>
          <w:u w:val="single"/>
        </w:rPr>
        <w:t xml:space="preserve"> </w:t>
      </w:r>
      <w:r>
        <w:rPr>
          <w:rFonts w:hint="eastAsia" w:ascii="宋体" w:hAnsi="宋体" w:cs="宋体"/>
          <w:color w:val="auto"/>
          <w:kern w:val="0"/>
          <w:sz w:val="23"/>
          <w:szCs w:val="23"/>
          <w:u w:val="single"/>
        </w:rPr>
        <w:t xml:space="preserve">                </w:t>
      </w:r>
      <w:r>
        <w:rPr>
          <w:rFonts w:ascii="宋体" w:hAnsi="宋体"/>
          <w:color w:val="auto"/>
          <w:kern w:val="0"/>
          <w:sz w:val="23"/>
          <w:szCs w:val="23"/>
          <w:u w:val="single"/>
        </w:rPr>
        <w:t>(</w:t>
      </w:r>
      <w:r>
        <w:rPr>
          <w:rFonts w:hint="eastAsia" w:ascii="宋体" w:hAnsi="宋体" w:cs="宋体"/>
          <w:color w:val="auto"/>
          <w:kern w:val="0"/>
          <w:sz w:val="23"/>
          <w:szCs w:val="23"/>
          <w:u w:val="single"/>
        </w:rPr>
        <w:t>盖单位章</w:t>
      </w:r>
      <w:r>
        <w:rPr>
          <w:rFonts w:ascii="宋体" w:hAnsi="宋体"/>
          <w:color w:val="auto"/>
          <w:kern w:val="0"/>
          <w:sz w:val="23"/>
          <w:szCs w:val="23"/>
          <w:u w:val="single"/>
        </w:rPr>
        <w:t xml:space="preserve">) </w:t>
      </w:r>
    </w:p>
    <w:p>
      <w:pPr>
        <w:spacing w:line="360" w:lineRule="auto"/>
        <w:ind w:firstLine="4140" w:firstLineChars="1800"/>
        <w:rPr>
          <w:rFonts w:ascii="宋体" w:hAnsi="宋体" w:cs="宋体"/>
          <w:color w:val="auto"/>
          <w:kern w:val="0"/>
          <w:sz w:val="24"/>
          <w:u w:val="single"/>
        </w:rPr>
      </w:pPr>
      <w:r>
        <w:rPr>
          <w:rFonts w:hint="eastAsia" w:ascii="宋体" w:hAnsi="宋体" w:cs="宋体"/>
          <w:color w:val="auto"/>
          <w:kern w:val="0"/>
          <w:sz w:val="23"/>
          <w:szCs w:val="23"/>
        </w:rPr>
        <w:t>法定负责人或其委托代理人：</w:t>
      </w:r>
      <w:r>
        <w:rPr>
          <w:rFonts w:hint="eastAsia" w:ascii="宋体" w:hAnsi="宋体" w:cs="宋体"/>
          <w:color w:val="auto"/>
          <w:kern w:val="0"/>
          <w:sz w:val="24"/>
          <w:u w:val="single"/>
        </w:rPr>
        <w:t xml:space="preserve">    （签字</w:t>
      </w:r>
      <w:r>
        <w:rPr>
          <w:rFonts w:hint="eastAsia" w:ascii="宋体" w:hAnsi="宋体" w:cs="宋体"/>
          <w:color w:val="auto"/>
          <w:kern w:val="0"/>
          <w:sz w:val="24"/>
          <w:u w:val="single"/>
          <w:lang w:val="en-US" w:eastAsia="zh-CN"/>
        </w:rPr>
        <w:t>或签章</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p>
    <w:p>
      <w:pPr>
        <w:spacing w:line="360" w:lineRule="auto"/>
        <w:ind w:firstLine="4140" w:firstLineChars="1800"/>
        <w:rPr>
          <w:rFonts w:ascii="宋体" w:hAnsi="宋体" w:cs="宋体"/>
          <w:color w:val="auto"/>
          <w:kern w:val="0"/>
          <w:sz w:val="24"/>
          <w:u w:val="single"/>
        </w:rPr>
      </w:pPr>
      <w:r>
        <w:rPr>
          <w:rFonts w:hint="eastAsia" w:ascii="宋体" w:hAnsi="宋体" w:cs="宋体"/>
          <w:color w:val="auto"/>
          <w:kern w:val="0"/>
          <w:sz w:val="23"/>
          <w:szCs w:val="23"/>
        </w:rPr>
        <w:t>地址：</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p>
    <w:p>
      <w:pPr>
        <w:spacing w:line="360" w:lineRule="auto"/>
        <w:ind w:firstLine="4140" w:firstLineChars="1800"/>
        <w:rPr>
          <w:rFonts w:ascii="宋体" w:hAnsi="宋体" w:cs="宋体"/>
          <w:color w:val="auto"/>
          <w:kern w:val="0"/>
          <w:sz w:val="23"/>
          <w:szCs w:val="23"/>
        </w:rPr>
      </w:pPr>
      <w:r>
        <w:rPr>
          <w:rFonts w:hint="eastAsia" w:ascii="宋体" w:hAnsi="宋体" w:cs="宋体"/>
          <w:color w:val="auto"/>
          <w:kern w:val="0"/>
          <w:sz w:val="23"/>
          <w:szCs w:val="23"/>
        </w:rPr>
        <w:t>网址：</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ascii="宋体" w:hAnsi="宋体" w:cs="宋体"/>
          <w:color w:val="auto"/>
          <w:kern w:val="0"/>
          <w:sz w:val="23"/>
          <w:szCs w:val="23"/>
        </w:rPr>
        <w:t xml:space="preserve"> </w:t>
      </w:r>
    </w:p>
    <w:p>
      <w:pPr>
        <w:spacing w:line="360" w:lineRule="auto"/>
        <w:ind w:firstLine="4140" w:firstLineChars="1800"/>
        <w:rPr>
          <w:rFonts w:ascii="宋体" w:hAnsi="宋体" w:cs="宋体"/>
          <w:color w:val="auto"/>
          <w:kern w:val="0"/>
          <w:sz w:val="23"/>
          <w:szCs w:val="23"/>
        </w:rPr>
      </w:pPr>
      <w:r>
        <w:rPr>
          <w:rFonts w:hint="eastAsia" w:ascii="宋体" w:hAnsi="宋体" w:cs="宋体"/>
          <w:color w:val="auto"/>
          <w:kern w:val="0"/>
          <w:sz w:val="23"/>
          <w:szCs w:val="23"/>
        </w:rPr>
        <w:t>电话：</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ascii="宋体" w:hAnsi="宋体" w:cs="宋体"/>
          <w:color w:val="auto"/>
          <w:kern w:val="0"/>
          <w:sz w:val="23"/>
          <w:szCs w:val="23"/>
        </w:rPr>
        <w:t xml:space="preserve"> </w:t>
      </w:r>
    </w:p>
    <w:p>
      <w:pPr>
        <w:spacing w:line="360" w:lineRule="auto"/>
        <w:ind w:firstLine="4140" w:firstLineChars="1800"/>
        <w:rPr>
          <w:rFonts w:ascii="宋体" w:hAnsi="宋体" w:cs="宋体"/>
          <w:color w:val="auto"/>
          <w:kern w:val="0"/>
          <w:sz w:val="23"/>
          <w:szCs w:val="23"/>
        </w:rPr>
      </w:pPr>
      <w:r>
        <w:rPr>
          <w:rFonts w:hint="eastAsia" w:ascii="宋体" w:hAnsi="宋体" w:cs="宋体"/>
          <w:color w:val="auto"/>
          <w:kern w:val="0"/>
          <w:sz w:val="23"/>
          <w:szCs w:val="23"/>
        </w:rPr>
        <w:t>传真：</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ascii="宋体" w:hAnsi="宋体" w:cs="宋体"/>
          <w:color w:val="auto"/>
          <w:kern w:val="0"/>
          <w:sz w:val="23"/>
          <w:szCs w:val="23"/>
        </w:rPr>
        <w:t xml:space="preserve"> </w:t>
      </w:r>
    </w:p>
    <w:p>
      <w:pPr>
        <w:spacing w:line="360" w:lineRule="auto"/>
        <w:ind w:firstLine="4140" w:firstLineChars="1800"/>
        <w:rPr>
          <w:rFonts w:ascii="宋体" w:hAnsi="宋体" w:cs="宋体"/>
          <w:color w:val="auto"/>
          <w:kern w:val="0"/>
          <w:sz w:val="23"/>
          <w:szCs w:val="23"/>
        </w:rPr>
      </w:pPr>
      <w:r>
        <w:rPr>
          <w:rFonts w:hint="eastAsia" w:ascii="宋体" w:hAnsi="宋体" w:cs="宋体"/>
          <w:color w:val="auto"/>
          <w:kern w:val="0"/>
          <w:sz w:val="23"/>
          <w:szCs w:val="23"/>
        </w:rPr>
        <w:t>邮政编码：</w:t>
      </w:r>
      <w:r>
        <w:rPr>
          <w:rFonts w:hint="eastAsia" w:ascii="宋体" w:hAnsi="宋体" w:cs="宋体"/>
          <w:color w:val="auto"/>
          <w:kern w:val="0"/>
          <w:sz w:val="24"/>
          <w:u w:val="single"/>
        </w:rPr>
        <w:t xml:space="preserve">                          </w:t>
      </w:r>
      <w:r>
        <w:rPr>
          <w:rFonts w:ascii="宋体" w:hAnsi="宋体" w:cs="宋体"/>
          <w:color w:val="auto"/>
          <w:kern w:val="0"/>
          <w:sz w:val="23"/>
          <w:szCs w:val="23"/>
        </w:rPr>
        <w:t xml:space="preserve"> </w:t>
      </w:r>
    </w:p>
    <w:p>
      <w:pPr>
        <w:spacing w:line="360" w:lineRule="auto"/>
        <w:ind w:firstLine="5880" w:firstLineChars="2450"/>
        <w:rPr>
          <w:rFonts w:ascii="宋体" w:hAnsi="宋体" w:cs="宋体"/>
          <w:color w:val="auto"/>
          <w:kern w:val="0"/>
          <w:sz w:val="23"/>
          <w:szCs w:val="23"/>
        </w:rPr>
      </w:pP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3"/>
          <w:szCs w:val="23"/>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ascii="宋体" w:hAnsi="宋体" w:cs="宋体"/>
          <w:color w:val="auto"/>
          <w:kern w:val="0"/>
          <w:sz w:val="23"/>
          <w:szCs w:val="23"/>
        </w:rPr>
        <w:t xml:space="preserve"> </w:t>
      </w:r>
      <w:r>
        <w:rPr>
          <w:rFonts w:hint="eastAsia" w:ascii="宋体" w:hAnsi="宋体" w:cs="宋体"/>
          <w:color w:val="auto"/>
          <w:kern w:val="0"/>
          <w:sz w:val="23"/>
          <w:szCs w:val="23"/>
        </w:rPr>
        <w:t>月</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ascii="宋体" w:hAnsi="宋体" w:cs="宋体"/>
          <w:color w:val="auto"/>
          <w:kern w:val="0"/>
          <w:sz w:val="23"/>
          <w:szCs w:val="23"/>
        </w:rPr>
        <w:t xml:space="preserve"> </w:t>
      </w:r>
      <w:r>
        <w:rPr>
          <w:rFonts w:hint="eastAsia" w:ascii="宋体" w:hAnsi="宋体" w:cs="宋体"/>
          <w:color w:val="auto"/>
          <w:kern w:val="0"/>
          <w:sz w:val="23"/>
          <w:szCs w:val="23"/>
        </w:rPr>
        <w:t>日</w:t>
      </w:r>
    </w:p>
    <w:p>
      <w:pPr>
        <w:pStyle w:val="5"/>
        <w:jc w:val="center"/>
        <w:rPr>
          <w:rFonts w:ascii="宋体" w:hAnsi="宋体"/>
          <w:color w:val="auto"/>
        </w:rPr>
      </w:pPr>
      <w:bookmarkStart w:id="189" w:name="_Toc29796231"/>
      <w:bookmarkStart w:id="190" w:name="_Toc457224251"/>
      <w:r>
        <w:rPr>
          <w:rFonts w:hint="eastAsia" w:ascii="宋体" w:hAnsi="宋体"/>
          <w:color w:val="auto"/>
        </w:rPr>
        <w:t>投标报价清单</w:t>
      </w:r>
    </w:p>
    <w:p>
      <w:pPr>
        <w:autoSpaceDE/>
        <w:autoSpaceDN/>
        <w:spacing w:before="156" w:beforeLines="50" w:line="360" w:lineRule="auto"/>
        <w:ind w:firstLine="482" w:firstLineChars="200"/>
        <w:jc w:val="both"/>
        <w:rPr>
          <w:rFonts w:ascii="Times New Roman" w:hAnsi="Times New Roman" w:cs="Times New Roman"/>
          <w:b/>
          <w:color w:val="auto"/>
          <w:kern w:val="2"/>
          <w:sz w:val="24"/>
          <w:szCs w:val="24"/>
        </w:rPr>
      </w:pPr>
      <w:r>
        <w:rPr>
          <w:rFonts w:ascii="Times New Roman" w:hAnsi="Times New Roman" w:cs="Times New Roman"/>
          <w:b/>
          <w:color w:val="auto"/>
          <w:kern w:val="2"/>
          <w:sz w:val="24"/>
          <w:szCs w:val="24"/>
        </w:rPr>
        <w:t>险种一：</w:t>
      </w:r>
      <w:r>
        <w:rPr>
          <w:rFonts w:hint="eastAsia" w:ascii="Times New Roman" w:hAnsi="Times New Roman" w:cs="Times New Roman"/>
          <w:b/>
          <w:color w:val="auto"/>
          <w:kern w:val="2"/>
          <w:sz w:val="24"/>
          <w:szCs w:val="24"/>
        </w:rPr>
        <w:t>财产一切险</w:t>
      </w:r>
    </w:p>
    <w:tbl>
      <w:tblPr>
        <w:tblStyle w:val="88"/>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20"/>
        <w:gridCol w:w="2642"/>
        <w:gridCol w:w="1321"/>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40"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项目</w:t>
            </w:r>
          </w:p>
        </w:tc>
        <w:tc>
          <w:tcPr>
            <w:tcW w:w="1320" w:type="dxa"/>
            <w:shd w:val="clear" w:color="auto" w:fill="E6E6E6"/>
            <w:noWrap w:val="0"/>
            <w:vAlign w:val="center"/>
          </w:tcPr>
          <w:p>
            <w:pPr>
              <w:autoSpaceDE/>
              <w:autoSpaceDN/>
              <w:spacing w:before="156" w:beforeLines="50"/>
              <w:jc w:val="both"/>
              <w:rPr>
                <w:rFonts w:ascii="Calibri" w:hAnsi="Calibri" w:cs="Times New Roman"/>
                <w:b/>
                <w:color w:val="auto"/>
                <w:kern w:val="2"/>
                <w:sz w:val="24"/>
                <w:szCs w:val="24"/>
              </w:rPr>
            </w:pPr>
            <w:r>
              <w:rPr>
                <w:rFonts w:hint="eastAsia" w:ascii="Calibri" w:hAnsi="Calibri" w:cs="Times New Roman"/>
                <w:b/>
                <w:color w:val="auto"/>
                <w:kern w:val="2"/>
                <w:sz w:val="24"/>
                <w:szCs w:val="24"/>
              </w:rPr>
              <w:t>保险周期</w:t>
            </w:r>
          </w:p>
        </w:tc>
        <w:tc>
          <w:tcPr>
            <w:tcW w:w="2642" w:type="dxa"/>
            <w:shd w:val="clear" w:color="auto" w:fill="E6E6E6"/>
            <w:noWrap w:val="0"/>
            <w:vAlign w:val="center"/>
          </w:tcPr>
          <w:p>
            <w:pPr>
              <w:autoSpaceDE/>
              <w:autoSpaceDN/>
              <w:spacing w:before="156" w:beforeLines="50"/>
              <w:jc w:val="both"/>
              <w:rPr>
                <w:rFonts w:ascii="Calibri" w:hAnsi="Calibri" w:cs="Times New Roman"/>
                <w:b/>
                <w:color w:val="auto"/>
                <w:kern w:val="2"/>
                <w:sz w:val="24"/>
                <w:szCs w:val="24"/>
              </w:rPr>
            </w:pPr>
            <w:r>
              <w:rPr>
                <w:rFonts w:hint="eastAsia" w:ascii="Calibri" w:hAnsi="Calibri" w:cs="Times New Roman"/>
                <w:b/>
                <w:color w:val="auto"/>
                <w:kern w:val="2"/>
                <w:sz w:val="24"/>
                <w:szCs w:val="24"/>
              </w:rPr>
              <w:t>保险金额（元）</w:t>
            </w:r>
          </w:p>
        </w:tc>
        <w:tc>
          <w:tcPr>
            <w:tcW w:w="1321" w:type="dxa"/>
            <w:shd w:val="clear" w:color="auto" w:fill="E6E6E6"/>
            <w:noWrap w:val="0"/>
            <w:vAlign w:val="center"/>
          </w:tcPr>
          <w:p>
            <w:pPr>
              <w:autoSpaceDE/>
              <w:autoSpaceDN/>
              <w:spacing w:before="156" w:beforeLines="50"/>
              <w:jc w:val="both"/>
              <w:rPr>
                <w:rFonts w:ascii="Calibri" w:hAnsi="Calibri" w:cs="Times New Roman"/>
                <w:b/>
                <w:color w:val="auto"/>
                <w:kern w:val="2"/>
                <w:sz w:val="24"/>
                <w:szCs w:val="24"/>
              </w:rPr>
            </w:pPr>
            <w:r>
              <w:rPr>
                <w:rFonts w:ascii="Calibri" w:hAnsi="Calibri" w:cs="Times New Roman"/>
                <w:b/>
                <w:color w:val="auto"/>
                <w:kern w:val="2"/>
                <w:sz w:val="24"/>
                <w:szCs w:val="24"/>
              </w:rPr>
              <w:t>费</w:t>
            </w:r>
            <w:r>
              <w:rPr>
                <w:rFonts w:hint="eastAsia" w:ascii="Calibri" w:hAnsi="Calibri" w:cs="Times New Roman"/>
                <w:b/>
                <w:color w:val="auto"/>
                <w:kern w:val="2"/>
                <w:sz w:val="24"/>
                <w:szCs w:val="24"/>
              </w:rPr>
              <w:t>率</w:t>
            </w:r>
            <w:r>
              <w:rPr>
                <w:rFonts w:ascii="Calibri" w:hAnsi="Calibri" w:cs="Times New Roman"/>
                <w:b/>
                <w:color w:val="auto"/>
                <w:kern w:val="2"/>
                <w:sz w:val="24"/>
                <w:szCs w:val="24"/>
              </w:rPr>
              <w:t>（‰）</w:t>
            </w:r>
          </w:p>
        </w:tc>
        <w:tc>
          <w:tcPr>
            <w:tcW w:w="2402"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40" w:type="dxa"/>
            <w:vMerge w:val="restart"/>
            <w:noWrap w:val="0"/>
            <w:vAlign w:val="top"/>
          </w:tcPr>
          <w:p>
            <w:pPr>
              <w:autoSpaceDE/>
              <w:autoSpaceDN/>
              <w:spacing w:before="156" w:beforeLines="50" w:line="300" w:lineRule="exact"/>
              <w:jc w:val="both"/>
              <w:rPr>
                <w:rFonts w:hint="eastAsia" w:ascii="Calibri" w:hAnsi="Calibri" w:eastAsia="宋体" w:cs="Times New Roman"/>
                <w:color w:val="auto"/>
                <w:kern w:val="2"/>
                <w:sz w:val="24"/>
                <w:szCs w:val="24"/>
                <w:lang w:eastAsia="zh-CN"/>
              </w:rPr>
            </w:pPr>
            <w:r>
              <w:rPr>
                <w:rFonts w:hint="eastAsia" w:cs="Times New Roman"/>
                <w:color w:val="auto"/>
                <w:kern w:val="2"/>
                <w:sz w:val="21"/>
                <w:szCs w:val="24"/>
                <w:lang w:eastAsia="zh-CN"/>
              </w:rPr>
              <w:t>重庆渝合高速公路有限公司2021-2024年运营保险项目（第二次）</w:t>
            </w:r>
          </w:p>
        </w:tc>
        <w:tc>
          <w:tcPr>
            <w:tcW w:w="1320" w:type="dxa"/>
            <w:noWrap w:val="0"/>
            <w:vAlign w:val="top"/>
          </w:tcPr>
          <w:p>
            <w:pPr>
              <w:autoSpaceDE/>
              <w:autoSpaceDN/>
              <w:spacing w:before="156" w:beforeLines="50" w:line="300" w:lineRule="exact"/>
              <w:rPr>
                <w:rFonts w:ascii="Calibri" w:hAnsi="Calibri" w:cs="Times New Roman"/>
                <w:color w:val="auto"/>
                <w:kern w:val="2"/>
                <w:sz w:val="24"/>
                <w:szCs w:val="24"/>
              </w:rPr>
            </w:pPr>
            <w:r>
              <w:rPr>
                <w:rFonts w:hint="eastAsia" w:eastAsia="等线" w:cs="Times New Roman"/>
                <w:color w:val="auto"/>
                <w:kern w:val="2"/>
                <w:sz w:val="21"/>
              </w:rPr>
              <w:t>20</w:t>
            </w:r>
            <w:r>
              <w:rPr>
                <w:rFonts w:eastAsia="等线" w:cs="Times New Roman"/>
                <w:color w:val="auto"/>
                <w:kern w:val="2"/>
                <w:sz w:val="21"/>
              </w:rPr>
              <w:t>21</w:t>
            </w:r>
            <w:r>
              <w:rPr>
                <w:rFonts w:hint="eastAsia" w:eastAsia="等线" w:cs="Times New Roman"/>
                <w:color w:val="auto"/>
                <w:kern w:val="2"/>
                <w:sz w:val="21"/>
              </w:rPr>
              <w:t>年</w:t>
            </w:r>
            <w:r>
              <w:rPr>
                <w:rFonts w:hint="eastAsia" w:eastAsia="等线" w:cs="Times New Roman"/>
                <w:color w:val="auto"/>
                <w:kern w:val="2"/>
                <w:sz w:val="21"/>
                <w:lang w:val="en-US" w:eastAsia="zh-CN"/>
              </w:rPr>
              <w:t>12</w:t>
            </w:r>
            <w:r>
              <w:rPr>
                <w:rFonts w:hint="eastAsia" w:eastAsia="等线" w:cs="Times New Roman"/>
                <w:color w:val="auto"/>
                <w:kern w:val="2"/>
                <w:sz w:val="21"/>
              </w:rPr>
              <w:t>月1日0时至20</w:t>
            </w:r>
            <w:r>
              <w:rPr>
                <w:rFonts w:eastAsia="等线" w:cs="Times New Roman"/>
                <w:color w:val="auto"/>
                <w:kern w:val="2"/>
                <w:sz w:val="21"/>
              </w:rPr>
              <w:t>22</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642" w:type="dxa"/>
            <w:noWrap w:val="0"/>
            <w:vAlign w:val="center"/>
          </w:tcPr>
          <w:p>
            <w:pPr>
              <w:autoSpaceDE/>
              <w:autoSpaceDN/>
              <w:spacing w:before="156" w:beforeLines="50" w:line="300" w:lineRule="exact"/>
              <w:jc w:val="center"/>
              <w:rPr>
                <w:rFonts w:ascii="Calibri" w:hAnsi="Calibri" w:cs="Times New Roman"/>
                <w:color w:val="auto"/>
                <w:kern w:val="2"/>
                <w:sz w:val="24"/>
                <w:szCs w:val="24"/>
              </w:rPr>
            </w:pPr>
            <w:r>
              <w:rPr>
                <w:rFonts w:hint="eastAsia" w:eastAsia="等线" w:cs="Arial"/>
                <w:b/>
                <w:color w:val="auto"/>
                <w:sz w:val="21"/>
                <w:szCs w:val="21"/>
              </w:rPr>
              <w:t>2</w:t>
            </w:r>
            <w:r>
              <w:rPr>
                <w:rFonts w:eastAsia="等线" w:cs="Arial"/>
                <w:b/>
                <w:color w:val="auto"/>
                <w:sz w:val="21"/>
                <w:szCs w:val="21"/>
              </w:rPr>
              <w:t>,</w:t>
            </w:r>
            <w:r>
              <w:rPr>
                <w:rFonts w:hint="eastAsia" w:eastAsia="等线" w:cs="Arial"/>
                <w:b/>
                <w:color w:val="auto"/>
                <w:sz w:val="21"/>
                <w:szCs w:val="21"/>
              </w:rPr>
              <w:t>815</w:t>
            </w:r>
            <w:r>
              <w:rPr>
                <w:rFonts w:eastAsia="等线" w:cs="Arial"/>
                <w:b/>
                <w:color w:val="auto"/>
                <w:sz w:val="21"/>
                <w:szCs w:val="21"/>
              </w:rPr>
              <w:t>,</w:t>
            </w:r>
            <w:r>
              <w:rPr>
                <w:rFonts w:hint="eastAsia" w:eastAsia="等线" w:cs="Arial"/>
                <w:b/>
                <w:color w:val="auto"/>
                <w:sz w:val="21"/>
                <w:szCs w:val="21"/>
              </w:rPr>
              <w:t>529</w:t>
            </w:r>
            <w:r>
              <w:rPr>
                <w:rFonts w:eastAsia="等线" w:cs="Arial"/>
                <w:b/>
                <w:color w:val="auto"/>
                <w:sz w:val="21"/>
                <w:szCs w:val="21"/>
              </w:rPr>
              <w:t>,</w:t>
            </w:r>
            <w:r>
              <w:rPr>
                <w:rFonts w:hint="eastAsia" w:eastAsia="等线" w:cs="Arial"/>
                <w:b/>
                <w:color w:val="auto"/>
                <w:sz w:val="21"/>
                <w:szCs w:val="21"/>
              </w:rPr>
              <w:t>558</w:t>
            </w:r>
            <w:r>
              <w:rPr>
                <w:rFonts w:eastAsia="等线" w:cs="Arial"/>
                <w:b/>
                <w:color w:val="auto"/>
                <w:sz w:val="21"/>
                <w:szCs w:val="21"/>
              </w:rPr>
              <w:t>.</w:t>
            </w:r>
            <w:r>
              <w:rPr>
                <w:rFonts w:hint="eastAsia" w:eastAsia="等线" w:cs="Arial"/>
                <w:b/>
                <w:color w:val="auto"/>
                <w:sz w:val="21"/>
                <w:szCs w:val="21"/>
              </w:rPr>
              <w:t>80</w:t>
            </w:r>
          </w:p>
        </w:tc>
        <w:tc>
          <w:tcPr>
            <w:tcW w:w="1321"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402"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40" w:type="dxa"/>
            <w:vMerge w:val="continue"/>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1320" w:type="dxa"/>
            <w:noWrap w:val="0"/>
            <w:vAlign w:val="top"/>
          </w:tcPr>
          <w:p>
            <w:pPr>
              <w:autoSpaceDE/>
              <w:autoSpaceDN/>
              <w:spacing w:before="156" w:beforeLines="50" w:line="300" w:lineRule="exact"/>
              <w:rPr>
                <w:rFonts w:eastAsia="等线" w:cs="Times New Roman"/>
                <w:color w:val="auto"/>
                <w:kern w:val="2"/>
                <w:sz w:val="21"/>
              </w:rPr>
            </w:pPr>
            <w:r>
              <w:rPr>
                <w:rFonts w:hint="eastAsia" w:eastAsia="等线" w:cs="Times New Roman"/>
                <w:color w:val="auto"/>
                <w:kern w:val="2"/>
                <w:sz w:val="21"/>
              </w:rPr>
              <w:t>20</w:t>
            </w:r>
            <w:r>
              <w:rPr>
                <w:rFonts w:eastAsia="等线" w:cs="Times New Roman"/>
                <w:color w:val="auto"/>
                <w:kern w:val="2"/>
                <w:sz w:val="21"/>
              </w:rPr>
              <w:t>22</w:t>
            </w:r>
            <w:r>
              <w:rPr>
                <w:rFonts w:hint="eastAsia" w:eastAsia="等线" w:cs="Times New Roman"/>
                <w:color w:val="auto"/>
                <w:kern w:val="2"/>
                <w:sz w:val="21"/>
              </w:rPr>
              <w:t>年</w:t>
            </w:r>
            <w:r>
              <w:rPr>
                <w:rFonts w:hint="eastAsia" w:eastAsia="等线" w:cs="Times New Roman"/>
                <w:color w:val="auto"/>
                <w:kern w:val="2"/>
                <w:sz w:val="21"/>
                <w:lang w:val="en-US" w:eastAsia="zh-CN"/>
              </w:rPr>
              <w:t>6</w:t>
            </w:r>
            <w:r>
              <w:rPr>
                <w:rFonts w:hint="eastAsia" w:eastAsia="等线" w:cs="Times New Roman"/>
                <w:color w:val="auto"/>
                <w:kern w:val="2"/>
                <w:sz w:val="21"/>
              </w:rPr>
              <w:t>月1日0时至20</w:t>
            </w:r>
            <w:r>
              <w:rPr>
                <w:rFonts w:eastAsia="等线" w:cs="Times New Roman"/>
                <w:color w:val="auto"/>
                <w:kern w:val="2"/>
                <w:sz w:val="21"/>
              </w:rPr>
              <w:t>23</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642" w:type="dxa"/>
            <w:noWrap w:val="0"/>
            <w:vAlign w:val="center"/>
          </w:tcPr>
          <w:p>
            <w:pPr>
              <w:autoSpaceDE/>
              <w:autoSpaceDN/>
              <w:spacing w:before="156" w:beforeLines="50" w:line="300" w:lineRule="exact"/>
              <w:jc w:val="center"/>
              <w:rPr>
                <w:rFonts w:ascii="Calibri" w:hAnsi="Calibri" w:cs="Times New Roman"/>
                <w:color w:val="auto"/>
                <w:kern w:val="2"/>
                <w:sz w:val="24"/>
                <w:szCs w:val="24"/>
              </w:rPr>
            </w:pPr>
            <w:r>
              <w:rPr>
                <w:rFonts w:hint="eastAsia" w:eastAsia="等线" w:cs="Arial"/>
                <w:b/>
                <w:color w:val="auto"/>
                <w:sz w:val="21"/>
                <w:szCs w:val="21"/>
              </w:rPr>
              <w:t>2</w:t>
            </w:r>
            <w:r>
              <w:rPr>
                <w:rFonts w:eastAsia="等线" w:cs="Arial"/>
                <w:b/>
                <w:color w:val="auto"/>
                <w:sz w:val="21"/>
                <w:szCs w:val="21"/>
              </w:rPr>
              <w:t>,</w:t>
            </w:r>
            <w:r>
              <w:rPr>
                <w:rFonts w:hint="eastAsia" w:eastAsia="等线" w:cs="Arial"/>
                <w:b/>
                <w:color w:val="auto"/>
                <w:sz w:val="21"/>
                <w:szCs w:val="21"/>
              </w:rPr>
              <w:t>815</w:t>
            </w:r>
            <w:r>
              <w:rPr>
                <w:rFonts w:eastAsia="等线" w:cs="Arial"/>
                <w:b/>
                <w:color w:val="auto"/>
                <w:sz w:val="21"/>
                <w:szCs w:val="21"/>
              </w:rPr>
              <w:t>,</w:t>
            </w:r>
            <w:r>
              <w:rPr>
                <w:rFonts w:hint="eastAsia" w:eastAsia="等线" w:cs="Arial"/>
                <w:b/>
                <w:color w:val="auto"/>
                <w:sz w:val="21"/>
                <w:szCs w:val="21"/>
              </w:rPr>
              <w:t>529</w:t>
            </w:r>
            <w:r>
              <w:rPr>
                <w:rFonts w:eastAsia="等线" w:cs="Arial"/>
                <w:b/>
                <w:color w:val="auto"/>
                <w:sz w:val="21"/>
                <w:szCs w:val="21"/>
              </w:rPr>
              <w:t>,</w:t>
            </w:r>
            <w:r>
              <w:rPr>
                <w:rFonts w:hint="eastAsia" w:eastAsia="等线" w:cs="Arial"/>
                <w:b/>
                <w:color w:val="auto"/>
                <w:sz w:val="21"/>
                <w:szCs w:val="21"/>
              </w:rPr>
              <w:t>558</w:t>
            </w:r>
            <w:r>
              <w:rPr>
                <w:rFonts w:eastAsia="等线" w:cs="Arial"/>
                <w:b/>
                <w:color w:val="auto"/>
                <w:sz w:val="21"/>
                <w:szCs w:val="21"/>
              </w:rPr>
              <w:t>.</w:t>
            </w:r>
            <w:r>
              <w:rPr>
                <w:rFonts w:hint="eastAsia" w:eastAsia="等线" w:cs="Arial"/>
                <w:b/>
                <w:color w:val="auto"/>
                <w:sz w:val="21"/>
                <w:szCs w:val="21"/>
              </w:rPr>
              <w:t>80</w:t>
            </w:r>
          </w:p>
        </w:tc>
        <w:tc>
          <w:tcPr>
            <w:tcW w:w="1321"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402"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40" w:type="dxa"/>
            <w:vMerge w:val="continue"/>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1320" w:type="dxa"/>
            <w:noWrap w:val="0"/>
            <w:vAlign w:val="top"/>
          </w:tcPr>
          <w:p>
            <w:pPr>
              <w:autoSpaceDE/>
              <w:autoSpaceDN/>
              <w:spacing w:before="156" w:beforeLines="50" w:line="300" w:lineRule="exact"/>
              <w:rPr>
                <w:rFonts w:eastAsia="等线" w:cs="Times New Roman"/>
                <w:color w:val="auto"/>
                <w:kern w:val="2"/>
                <w:sz w:val="21"/>
              </w:rPr>
            </w:pPr>
            <w:r>
              <w:rPr>
                <w:rFonts w:hint="eastAsia" w:eastAsia="等线" w:cs="Times New Roman"/>
                <w:color w:val="auto"/>
                <w:kern w:val="2"/>
                <w:sz w:val="21"/>
              </w:rPr>
              <w:t>20</w:t>
            </w:r>
            <w:r>
              <w:rPr>
                <w:rFonts w:eastAsia="等线" w:cs="Times New Roman"/>
                <w:color w:val="auto"/>
                <w:kern w:val="2"/>
                <w:sz w:val="21"/>
              </w:rPr>
              <w:t>23</w:t>
            </w:r>
            <w:r>
              <w:rPr>
                <w:rFonts w:hint="eastAsia" w:eastAsia="等线" w:cs="Times New Roman"/>
                <w:color w:val="auto"/>
                <w:kern w:val="2"/>
                <w:sz w:val="21"/>
              </w:rPr>
              <w:t>年</w:t>
            </w:r>
            <w:r>
              <w:rPr>
                <w:rFonts w:hint="eastAsia" w:eastAsia="等线" w:cs="Times New Roman"/>
                <w:color w:val="auto"/>
                <w:kern w:val="2"/>
                <w:sz w:val="21"/>
                <w:lang w:val="en-US" w:eastAsia="zh-CN"/>
              </w:rPr>
              <w:t>6</w:t>
            </w:r>
            <w:r>
              <w:rPr>
                <w:rFonts w:hint="eastAsia" w:eastAsia="等线" w:cs="Times New Roman"/>
                <w:color w:val="auto"/>
                <w:kern w:val="2"/>
                <w:sz w:val="21"/>
              </w:rPr>
              <w:t>月</w:t>
            </w:r>
            <w:r>
              <w:rPr>
                <w:rFonts w:hint="eastAsia" w:eastAsia="等线" w:cs="Times New Roman"/>
                <w:color w:val="auto"/>
                <w:kern w:val="2"/>
                <w:sz w:val="21"/>
                <w:lang w:val="en-US" w:eastAsia="zh-CN"/>
              </w:rPr>
              <w:t>1</w:t>
            </w:r>
            <w:r>
              <w:rPr>
                <w:rFonts w:hint="eastAsia" w:eastAsia="等线" w:cs="Times New Roman"/>
                <w:color w:val="auto"/>
                <w:kern w:val="2"/>
                <w:sz w:val="21"/>
              </w:rPr>
              <w:t>日0时至202</w:t>
            </w:r>
            <w:r>
              <w:rPr>
                <w:rFonts w:eastAsia="等线" w:cs="Times New Roman"/>
                <w:color w:val="auto"/>
                <w:kern w:val="2"/>
                <w:sz w:val="21"/>
              </w:rPr>
              <w:t>4</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642" w:type="dxa"/>
            <w:noWrap w:val="0"/>
            <w:vAlign w:val="center"/>
          </w:tcPr>
          <w:p>
            <w:pPr>
              <w:autoSpaceDE/>
              <w:autoSpaceDN/>
              <w:spacing w:before="156" w:beforeLines="50" w:line="300" w:lineRule="exact"/>
              <w:jc w:val="center"/>
              <w:rPr>
                <w:rFonts w:ascii="Calibri" w:hAnsi="Calibri" w:cs="Times New Roman"/>
                <w:color w:val="auto"/>
                <w:kern w:val="2"/>
                <w:sz w:val="24"/>
                <w:szCs w:val="24"/>
              </w:rPr>
            </w:pPr>
            <w:r>
              <w:rPr>
                <w:rFonts w:hint="eastAsia" w:eastAsia="等线" w:cs="Arial"/>
                <w:b/>
                <w:color w:val="auto"/>
                <w:sz w:val="21"/>
                <w:szCs w:val="21"/>
              </w:rPr>
              <w:t>2</w:t>
            </w:r>
            <w:r>
              <w:rPr>
                <w:rFonts w:eastAsia="等线" w:cs="Arial"/>
                <w:b/>
                <w:color w:val="auto"/>
                <w:sz w:val="21"/>
                <w:szCs w:val="21"/>
              </w:rPr>
              <w:t>,</w:t>
            </w:r>
            <w:r>
              <w:rPr>
                <w:rFonts w:hint="eastAsia" w:eastAsia="等线" w:cs="Arial"/>
                <w:b/>
                <w:color w:val="auto"/>
                <w:sz w:val="21"/>
                <w:szCs w:val="21"/>
              </w:rPr>
              <w:t>815</w:t>
            </w:r>
            <w:r>
              <w:rPr>
                <w:rFonts w:eastAsia="等线" w:cs="Arial"/>
                <w:b/>
                <w:color w:val="auto"/>
                <w:sz w:val="21"/>
                <w:szCs w:val="21"/>
              </w:rPr>
              <w:t>,</w:t>
            </w:r>
            <w:r>
              <w:rPr>
                <w:rFonts w:hint="eastAsia" w:eastAsia="等线" w:cs="Arial"/>
                <w:b/>
                <w:color w:val="auto"/>
                <w:sz w:val="21"/>
                <w:szCs w:val="21"/>
              </w:rPr>
              <w:t>529</w:t>
            </w:r>
            <w:r>
              <w:rPr>
                <w:rFonts w:eastAsia="等线" w:cs="Arial"/>
                <w:b/>
                <w:color w:val="auto"/>
                <w:sz w:val="21"/>
                <w:szCs w:val="21"/>
              </w:rPr>
              <w:t>,</w:t>
            </w:r>
            <w:r>
              <w:rPr>
                <w:rFonts w:hint="eastAsia" w:eastAsia="等线" w:cs="Arial"/>
                <w:b/>
                <w:color w:val="auto"/>
                <w:sz w:val="21"/>
                <w:szCs w:val="21"/>
              </w:rPr>
              <w:t>558</w:t>
            </w:r>
            <w:r>
              <w:rPr>
                <w:rFonts w:eastAsia="等线" w:cs="Arial"/>
                <w:b/>
                <w:color w:val="auto"/>
                <w:sz w:val="21"/>
                <w:szCs w:val="21"/>
              </w:rPr>
              <w:t>.</w:t>
            </w:r>
            <w:r>
              <w:rPr>
                <w:rFonts w:hint="eastAsia" w:eastAsia="等线" w:cs="Arial"/>
                <w:b/>
                <w:color w:val="auto"/>
                <w:sz w:val="21"/>
                <w:szCs w:val="21"/>
              </w:rPr>
              <w:t>80</w:t>
            </w:r>
          </w:p>
        </w:tc>
        <w:tc>
          <w:tcPr>
            <w:tcW w:w="1321"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402"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825" w:type="dxa"/>
            <w:gridSpan w:val="5"/>
            <w:noWrap w:val="0"/>
            <w:vAlign w:val="top"/>
          </w:tcPr>
          <w:p>
            <w:pPr>
              <w:autoSpaceDE/>
              <w:autoSpaceDN/>
              <w:spacing w:before="156" w:beforeLines="50" w:line="300" w:lineRule="exact"/>
              <w:ind w:firstLine="482" w:firstLineChars="200"/>
              <w:jc w:val="both"/>
              <w:rPr>
                <w:rFonts w:ascii="Calibri" w:hAnsi="Calibri" w:cs="Times New Roman"/>
                <w:color w:val="auto"/>
                <w:kern w:val="2"/>
                <w:sz w:val="24"/>
                <w:szCs w:val="24"/>
              </w:rPr>
            </w:pPr>
            <w:r>
              <w:rPr>
                <w:rFonts w:ascii="Calibri" w:hAnsi="Calibri" w:cs="Times New Roman"/>
                <w:b/>
                <w:color w:val="auto"/>
                <w:kern w:val="2"/>
                <w:sz w:val="24"/>
                <w:szCs w:val="24"/>
              </w:rPr>
              <w:t>保费合计人民币：（大写）</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  </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825" w:type="dxa"/>
            <w:gridSpan w:val="5"/>
            <w:noWrap w:val="0"/>
            <w:vAlign w:val="top"/>
          </w:tcPr>
          <w:p>
            <w:pPr>
              <w:autoSpaceDE/>
              <w:autoSpaceDN/>
              <w:spacing w:before="156" w:beforeLines="50" w:line="300" w:lineRule="exact"/>
              <w:ind w:firstLine="482" w:firstLineChars="200"/>
              <w:jc w:val="both"/>
              <w:rPr>
                <w:rFonts w:ascii="Calibri" w:hAnsi="Calibri" w:cs="Times New Roman"/>
                <w:b/>
                <w:color w:val="auto"/>
                <w:kern w:val="2"/>
                <w:sz w:val="24"/>
                <w:szCs w:val="24"/>
              </w:rPr>
            </w:pPr>
            <w:r>
              <w:rPr>
                <w:rFonts w:ascii="Calibri" w:hAnsi="Calibri" w:cs="Times New Roman"/>
                <w:b/>
                <w:color w:val="auto"/>
                <w:kern w:val="2"/>
                <w:sz w:val="24"/>
                <w:szCs w:val="24"/>
              </w:rPr>
              <w:t>报价说明：</w:t>
            </w:r>
            <w:r>
              <w:rPr>
                <w:rFonts w:hint="eastAsia" w:ascii="Calibri" w:hAnsi="Calibri" w:cs="Times New Roman"/>
                <w:b/>
                <w:color w:val="auto"/>
                <w:kern w:val="2"/>
                <w:sz w:val="24"/>
                <w:szCs w:val="24"/>
              </w:rPr>
              <w:t>1</w:t>
            </w:r>
            <w:r>
              <w:rPr>
                <w:rFonts w:ascii="Calibri" w:hAnsi="Calibri" w:cs="Times New Roman"/>
                <w:b/>
                <w:color w:val="auto"/>
                <w:kern w:val="2"/>
                <w:sz w:val="24"/>
                <w:szCs w:val="24"/>
              </w:rPr>
              <w:t>.</w:t>
            </w:r>
            <w:r>
              <w:rPr>
                <w:rFonts w:hint="eastAsia" w:ascii="Calibri" w:hAnsi="Calibri" w:cs="Times New Roman"/>
                <w:b/>
                <w:color w:val="auto"/>
                <w:kern w:val="2"/>
                <w:sz w:val="24"/>
                <w:szCs w:val="24"/>
              </w:rPr>
              <w:t>第一个保险周期为半年，费率填写短期费率。2</w:t>
            </w:r>
            <w:r>
              <w:rPr>
                <w:rFonts w:ascii="Calibri" w:hAnsi="Calibri" w:cs="Times New Roman"/>
                <w:b/>
                <w:color w:val="auto"/>
                <w:kern w:val="2"/>
                <w:sz w:val="24"/>
                <w:szCs w:val="24"/>
              </w:rPr>
              <w:t>.</w:t>
            </w:r>
            <w:r>
              <w:rPr>
                <w:rFonts w:hint="eastAsia" w:ascii="Calibri" w:hAnsi="Calibri" w:cs="Times New Roman"/>
                <w:b/>
                <w:color w:val="auto"/>
                <w:kern w:val="2"/>
                <w:sz w:val="24"/>
                <w:szCs w:val="24"/>
              </w:rPr>
              <w:t>费率和保费均保留2位小数。</w:t>
            </w:r>
          </w:p>
        </w:tc>
      </w:tr>
    </w:tbl>
    <w:p>
      <w:pPr>
        <w:autoSpaceDE/>
        <w:autoSpaceDN/>
        <w:spacing w:before="156" w:beforeLines="50" w:line="360" w:lineRule="auto"/>
        <w:ind w:firstLine="482" w:firstLineChars="200"/>
        <w:jc w:val="both"/>
        <w:rPr>
          <w:rFonts w:ascii="Times New Roman" w:hAnsi="Times New Roman" w:cs="Times New Roman"/>
          <w:b/>
          <w:color w:val="auto"/>
          <w:kern w:val="2"/>
          <w:sz w:val="24"/>
          <w:szCs w:val="24"/>
        </w:rPr>
      </w:pPr>
      <w:r>
        <w:rPr>
          <w:rFonts w:ascii="Times New Roman" w:hAnsi="Times New Roman" w:cs="Times New Roman"/>
          <w:b/>
          <w:color w:val="auto"/>
          <w:kern w:val="2"/>
          <w:sz w:val="24"/>
          <w:szCs w:val="24"/>
        </w:rPr>
        <w:t>险种二：</w:t>
      </w:r>
      <w:r>
        <w:rPr>
          <w:rFonts w:hint="eastAsia" w:ascii="Times New Roman" w:hAnsi="Times New Roman" w:cs="Times New Roman"/>
          <w:b/>
          <w:color w:val="auto"/>
          <w:kern w:val="2"/>
          <w:sz w:val="24"/>
          <w:szCs w:val="24"/>
        </w:rPr>
        <w:t>公众责任险</w:t>
      </w:r>
    </w:p>
    <w:tbl>
      <w:tblPr>
        <w:tblStyle w:val="8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2551"/>
        <w:gridCol w:w="1276"/>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29"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项目</w:t>
            </w:r>
          </w:p>
        </w:tc>
        <w:tc>
          <w:tcPr>
            <w:tcW w:w="1418"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hint="eastAsia" w:ascii="Calibri" w:hAnsi="Calibri" w:cs="Times New Roman"/>
                <w:b/>
                <w:color w:val="auto"/>
                <w:kern w:val="2"/>
                <w:sz w:val="24"/>
                <w:szCs w:val="24"/>
              </w:rPr>
              <w:t>保险周期</w:t>
            </w:r>
          </w:p>
        </w:tc>
        <w:tc>
          <w:tcPr>
            <w:tcW w:w="2551"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保险金额/赔偿限额（元）</w:t>
            </w:r>
          </w:p>
        </w:tc>
        <w:tc>
          <w:tcPr>
            <w:tcW w:w="1276"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费率（‰）</w:t>
            </w:r>
          </w:p>
        </w:tc>
        <w:tc>
          <w:tcPr>
            <w:tcW w:w="2355"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29" w:type="dxa"/>
            <w:vMerge w:val="restart"/>
            <w:noWrap w:val="0"/>
            <w:vAlign w:val="top"/>
          </w:tcPr>
          <w:p>
            <w:pPr>
              <w:autoSpaceDE/>
              <w:autoSpaceDN/>
              <w:spacing w:before="156" w:beforeLines="50" w:line="300" w:lineRule="exact"/>
              <w:jc w:val="both"/>
              <w:rPr>
                <w:rFonts w:hint="eastAsia" w:ascii="Calibri" w:hAnsi="Calibri" w:eastAsia="宋体" w:cs="Times New Roman"/>
                <w:color w:val="auto"/>
                <w:kern w:val="2"/>
                <w:sz w:val="24"/>
                <w:szCs w:val="24"/>
                <w:lang w:eastAsia="zh-CN"/>
              </w:rPr>
            </w:pPr>
            <w:r>
              <w:rPr>
                <w:rFonts w:hint="eastAsia" w:cs="Times New Roman"/>
                <w:color w:val="auto"/>
                <w:kern w:val="2"/>
                <w:sz w:val="21"/>
                <w:szCs w:val="24"/>
                <w:lang w:eastAsia="zh-CN"/>
              </w:rPr>
              <w:t>重庆渝合高速公路有限公司2021-2024年运营保险项目（第二次）</w:t>
            </w:r>
          </w:p>
        </w:tc>
        <w:tc>
          <w:tcPr>
            <w:tcW w:w="1418" w:type="dxa"/>
            <w:noWrap w:val="0"/>
            <w:vAlign w:val="top"/>
          </w:tcPr>
          <w:p>
            <w:pPr>
              <w:autoSpaceDE/>
              <w:autoSpaceDN/>
              <w:spacing w:before="156" w:beforeLines="50" w:line="300" w:lineRule="exact"/>
              <w:rPr>
                <w:rFonts w:ascii="Calibri" w:hAnsi="Calibri" w:cs="Times New Roman"/>
                <w:color w:val="auto"/>
                <w:kern w:val="2"/>
                <w:sz w:val="24"/>
                <w:szCs w:val="24"/>
              </w:rPr>
            </w:pPr>
            <w:r>
              <w:rPr>
                <w:rFonts w:hint="eastAsia" w:eastAsia="等线" w:cs="Times New Roman"/>
                <w:color w:val="auto"/>
                <w:kern w:val="2"/>
                <w:sz w:val="21"/>
              </w:rPr>
              <w:t>20</w:t>
            </w:r>
            <w:r>
              <w:rPr>
                <w:rFonts w:eastAsia="等线" w:cs="Times New Roman"/>
                <w:color w:val="auto"/>
                <w:kern w:val="2"/>
                <w:sz w:val="21"/>
              </w:rPr>
              <w:t>21</w:t>
            </w:r>
            <w:r>
              <w:rPr>
                <w:rFonts w:hint="eastAsia" w:eastAsia="等线" w:cs="Times New Roman"/>
                <w:color w:val="auto"/>
                <w:kern w:val="2"/>
                <w:sz w:val="21"/>
              </w:rPr>
              <w:t>年</w:t>
            </w:r>
            <w:r>
              <w:rPr>
                <w:rFonts w:hint="eastAsia" w:eastAsia="等线" w:cs="Times New Roman"/>
                <w:color w:val="auto"/>
                <w:kern w:val="2"/>
                <w:sz w:val="21"/>
                <w:lang w:val="en-US" w:eastAsia="zh-CN"/>
              </w:rPr>
              <w:t>12</w:t>
            </w:r>
            <w:r>
              <w:rPr>
                <w:rFonts w:hint="eastAsia" w:eastAsia="等线" w:cs="Times New Roman"/>
                <w:color w:val="auto"/>
                <w:kern w:val="2"/>
                <w:sz w:val="21"/>
              </w:rPr>
              <w:t>月1日0时至20</w:t>
            </w:r>
            <w:r>
              <w:rPr>
                <w:rFonts w:eastAsia="等线" w:cs="Times New Roman"/>
                <w:color w:val="auto"/>
                <w:kern w:val="2"/>
                <w:sz w:val="21"/>
              </w:rPr>
              <w:t>22</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551" w:type="dxa"/>
            <w:noWrap w:val="0"/>
            <w:vAlign w:val="center"/>
          </w:tcPr>
          <w:p>
            <w:pPr>
              <w:autoSpaceDE/>
              <w:autoSpaceDN/>
              <w:spacing w:before="156" w:beforeLines="50" w:line="300" w:lineRule="exact"/>
              <w:jc w:val="center"/>
              <w:rPr>
                <w:rFonts w:ascii="Calibri" w:hAnsi="Calibri" w:cs="Times New Roman"/>
                <w:color w:val="auto"/>
                <w:kern w:val="2"/>
                <w:sz w:val="24"/>
                <w:szCs w:val="24"/>
              </w:rPr>
            </w:pPr>
            <w:r>
              <w:rPr>
                <w:rFonts w:eastAsia="等线" w:cs="Arial"/>
                <w:color w:val="auto"/>
                <w:kern w:val="2"/>
                <w:sz w:val="21"/>
                <w:szCs w:val="21"/>
              </w:rPr>
              <w:t>20,000,000</w:t>
            </w:r>
            <w:r>
              <w:rPr>
                <w:rFonts w:hint="eastAsia" w:eastAsia="等线" w:cs="Arial"/>
                <w:color w:val="auto"/>
                <w:kern w:val="2"/>
                <w:sz w:val="21"/>
                <w:szCs w:val="21"/>
              </w:rPr>
              <w:t>.</w:t>
            </w:r>
            <w:r>
              <w:rPr>
                <w:rFonts w:eastAsia="等线" w:cs="Arial"/>
                <w:color w:val="auto"/>
                <w:kern w:val="2"/>
                <w:sz w:val="21"/>
                <w:szCs w:val="21"/>
              </w:rPr>
              <w:t>00</w:t>
            </w:r>
          </w:p>
        </w:tc>
        <w:tc>
          <w:tcPr>
            <w:tcW w:w="1276"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355"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29" w:type="dxa"/>
            <w:vMerge w:val="continue"/>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1418" w:type="dxa"/>
            <w:noWrap w:val="0"/>
            <w:vAlign w:val="top"/>
          </w:tcPr>
          <w:p>
            <w:pPr>
              <w:autoSpaceDE/>
              <w:autoSpaceDN/>
              <w:spacing w:before="156" w:beforeLines="50" w:line="300" w:lineRule="exact"/>
              <w:rPr>
                <w:rFonts w:eastAsia="等线" w:cs="Times New Roman"/>
                <w:color w:val="auto"/>
                <w:kern w:val="2"/>
                <w:sz w:val="21"/>
              </w:rPr>
            </w:pPr>
            <w:r>
              <w:rPr>
                <w:rFonts w:hint="eastAsia" w:eastAsia="等线" w:cs="Times New Roman"/>
                <w:color w:val="auto"/>
                <w:kern w:val="2"/>
                <w:sz w:val="21"/>
              </w:rPr>
              <w:t>20</w:t>
            </w:r>
            <w:r>
              <w:rPr>
                <w:rFonts w:eastAsia="等线" w:cs="Times New Roman"/>
                <w:color w:val="auto"/>
                <w:kern w:val="2"/>
                <w:sz w:val="21"/>
              </w:rPr>
              <w:t>22</w:t>
            </w:r>
            <w:r>
              <w:rPr>
                <w:rFonts w:hint="eastAsia" w:eastAsia="等线" w:cs="Times New Roman"/>
                <w:color w:val="auto"/>
                <w:kern w:val="2"/>
                <w:sz w:val="21"/>
              </w:rPr>
              <w:t>年</w:t>
            </w:r>
            <w:r>
              <w:rPr>
                <w:rFonts w:hint="eastAsia" w:eastAsia="等线" w:cs="Times New Roman"/>
                <w:color w:val="auto"/>
                <w:kern w:val="2"/>
                <w:sz w:val="21"/>
                <w:lang w:val="en-US" w:eastAsia="zh-CN"/>
              </w:rPr>
              <w:t>6</w:t>
            </w:r>
            <w:r>
              <w:rPr>
                <w:rFonts w:hint="eastAsia" w:eastAsia="等线" w:cs="Times New Roman"/>
                <w:color w:val="auto"/>
                <w:kern w:val="2"/>
                <w:sz w:val="21"/>
              </w:rPr>
              <w:t>月1日0时至20</w:t>
            </w:r>
            <w:r>
              <w:rPr>
                <w:rFonts w:eastAsia="等线" w:cs="Times New Roman"/>
                <w:color w:val="auto"/>
                <w:kern w:val="2"/>
                <w:sz w:val="21"/>
              </w:rPr>
              <w:t>23</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551" w:type="dxa"/>
            <w:noWrap w:val="0"/>
            <w:vAlign w:val="center"/>
          </w:tcPr>
          <w:p>
            <w:pPr>
              <w:autoSpaceDE/>
              <w:autoSpaceDN/>
              <w:spacing w:before="156" w:beforeLines="50" w:line="300" w:lineRule="exact"/>
              <w:jc w:val="center"/>
              <w:rPr>
                <w:rFonts w:eastAsia="等线" w:cs="Arial"/>
                <w:color w:val="auto"/>
                <w:kern w:val="2"/>
                <w:sz w:val="21"/>
                <w:szCs w:val="21"/>
              </w:rPr>
            </w:pPr>
            <w:r>
              <w:rPr>
                <w:rFonts w:eastAsia="等线" w:cs="Arial"/>
                <w:color w:val="auto"/>
                <w:kern w:val="2"/>
                <w:sz w:val="21"/>
                <w:szCs w:val="21"/>
              </w:rPr>
              <w:t>20,000,000</w:t>
            </w:r>
            <w:r>
              <w:rPr>
                <w:rFonts w:hint="eastAsia" w:eastAsia="等线" w:cs="Arial"/>
                <w:color w:val="auto"/>
                <w:kern w:val="2"/>
                <w:sz w:val="21"/>
                <w:szCs w:val="21"/>
              </w:rPr>
              <w:t>.</w:t>
            </w:r>
            <w:r>
              <w:rPr>
                <w:rFonts w:eastAsia="等线" w:cs="Arial"/>
                <w:color w:val="auto"/>
                <w:kern w:val="2"/>
                <w:sz w:val="21"/>
                <w:szCs w:val="21"/>
              </w:rPr>
              <w:t>00</w:t>
            </w:r>
          </w:p>
        </w:tc>
        <w:tc>
          <w:tcPr>
            <w:tcW w:w="1276"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355"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29" w:type="dxa"/>
            <w:vMerge w:val="continue"/>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1418" w:type="dxa"/>
            <w:noWrap w:val="0"/>
            <w:vAlign w:val="top"/>
          </w:tcPr>
          <w:p>
            <w:pPr>
              <w:autoSpaceDE/>
              <w:autoSpaceDN/>
              <w:spacing w:before="156" w:beforeLines="50" w:line="300" w:lineRule="exact"/>
              <w:rPr>
                <w:rFonts w:eastAsia="等线" w:cs="Times New Roman"/>
                <w:color w:val="auto"/>
                <w:kern w:val="2"/>
                <w:sz w:val="21"/>
              </w:rPr>
            </w:pPr>
            <w:r>
              <w:rPr>
                <w:rFonts w:hint="eastAsia" w:eastAsia="等线" w:cs="Times New Roman"/>
                <w:color w:val="auto"/>
                <w:kern w:val="2"/>
                <w:sz w:val="21"/>
              </w:rPr>
              <w:t>20</w:t>
            </w:r>
            <w:r>
              <w:rPr>
                <w:rFonts w:eastAsia="等线" w:cs="Times New Roman"/>
                <w:color w:val="auto"/>
                <w:kern w:val="2"/>
                <w:sz w:val="21"/>
              </w:rPr>
              <w:t>23</w:t>
            </w:r>
            <w:r>
              <w:rPr>
                <w:rFonts w:hint="eastAsia" w:eastAsia="等线" w:cs="Times New Roman"/>
                <w:color w:val="auto"/>
                <w:kern w:val="2"/>
                <w:sz w:val="21"/>
              </w:rPr>
              <w:t>年</w:t>
            </w:r>
            <w:r>
              <w:rPr>
                <w:rFonts w:hint="eastAsia" w:eastAsia="等线" w:cs="Times New Roman"/>
                <w:color w:val="auto"/>
                <w:kern w:val="2"/>
                <w:sz w:val="21"/>
                <w:lang w:val="en-US" w:eastAsia="zh-CN"/>
              </w:rPr>
              <w:t>6</w:t>
            </w:r>
            <w:r>
              <w:rPr>
                <w:rFonts w:hint="eastAsia" w:eastAsia="等线" w:cs="Times New Roman"/>
                <w:color w:val="auto"/>
                <w:kern w:val="2"/>
                <w:sz w:val="21"/>
              </w:rPr>
              <w:t>月</w:t>
            </w:r>
            <w:r>
              <w:rPr>
                <w:rFonts w:hint="eastAsia" w:eastAsia="等线" w:cs="Times New Roman"/>
                <w:color w:val="auto"/>
                <w:kern w:val="2"/>
                <w:sz w:val="21"/>
                <w:lang w:val="en-US" w:eastAsia="zh-CN"/>
              </w:rPr>
              <w:t>1</w:t>
            </w:r>
            <w:r>
              <w:rPr>
                <w:rFonts w:hint="eastAsia" w:eastAsia="等线" w:cs="Times New Roman"/>
                <w:color w:val="auto"/>
                <w:kern w:val="2"/>
                <w:sz w:val="21"/>
              </w:rPr>
              <w:t>日0时至202</w:t>
            </w:r>
            <w:r>
              <w:rPr>
                <w:rFonts w:eastAsia="等线" w:cs="Times New Roman"/>
                <w:color w:val="auto"/>
                <w:kern w:val="2"/>
                <w:sz w:val="21"/>
              </w:rPr>
              <w:t>4</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551" w:type="dxa"/>
            <w:noWrap w:val="0"/>
            <w:vAlign w:val="center"/>
          </w:tcPr>
          <w:p>
            <w:pPr>
              <w:autoSpaceDE/>
              <w:autoSpaceDN/>
              <w:spacing w:before="156" w:beforeLines="50" w:line="300" w:lineRule="exact"/>
              <w:jc w:val="center"/>
              <w:rPr>
                <w:rFonts w:eastAsia="等线" w:cs="Arial"/>
                <w:color w:val="auto"/>
                <w:kern w:val="2"/>
                <w:sz w:val="21"/>
                <w:szCs w:val="21"/>
              </w:rPr>
            </w:pPr>
            <w:r>
              <w:rPr>
                <w:rFonts w:eastAsia="等线" w:cs="Arial"/>
                <w:color w:val="auto"/>
                <w:kern w:val="2"/>
                <w:sz w:val="21"/>
                <w:szCs w:val="21"/>
              </w:rPr>
              <w:t>20,000,000</w:t>
            </w:r>
            <w:r>
              <w:rPr>
                <w:rFonts w:hint="eastAsia" w:eastAsia="等线" w:cs="Arial"/>
                <w:color w:val="auto"/>
                <w:kern w:val="2"/>
                <w:sz w:val="21"/>
                <w:szCs w:val="21"/>
              </w:rPr>
              <w:t>.</w:t>
            </w:r>
            <w:r>
              <w:rPr>
                <w:rFonts w:eastAsia="等线" w:cs="Arial"/>
                <w:color w:val="auto"/>
                <w:kern w:val="2"/>
                <w:sz w:val="21"/>
                <w:szCs w:val="21"/>
              </w:rPr>
              <w:t>00</w:t>
            </w:r>
          </w:p>
        </w:tc>
        <w:tc>
          <w:tcPr>
            <w:tcW w:w="1276"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355" w:type="dxa"/>
            <w:noWrap w:val="0"/>
            <w:vAlign w:val="top"/>
          </w:tcPr>
          <w:p>
            <w:pPr>
              <w:autoSpaceDE/>
              <w:autoSpaceDN/>
              <w:spacing w:before="156" w:beforeLines="50" w:line="300" w:lineRule="exact"/>
              <w:jc w:val="center"/>
              <w:rPr>
                <w:rFonts w:eastAsia="等线" w:cs="Arial"/>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29" w:type="dxa"/>
            <w:gridSpan w:val="5"/>
            <w:noWrap w:val="0"/>
            <w:vAlign w:val="top"/>
          </w:tcPr>
          <w:p>
            <w:pPr>
              <w:autoSpaceDE/>
              <w:autoSpaceDN/>
              <w:spacing w:before="156" w:beforeLines="50" w:line="300" w:lineRule="exact"/>
              <w:ind w:firstLine="482" w:firstLineChars="200"/>
              <w:jc w:val="both"/>
              <w:rPr>
                <w:rFonts w:ascii="Calibri" w:hAnsi="Calibri" w:cs="Times New Roman"/>
                <w:color w:val="auto"/>
                <w:kern w:val="2"/>
                <w:sz w:val="24"/>
                <w:szCs w:val="24"/>
              </w:rPr>
            </w:pPr>
            <w:r>
              <w:rPr>
                <w:rFonts w:ascii="Calibri" w:hAnsi="Calibri" w:cs="Times New Roman"/>
                <w:b/>
                <w:color w:val="auto"/>
                <w:kern w:val="2"/>
                <w:sz w:val="24"/>
                <w:szCs w:val="24"/>
              </w:rPr>
              <w:t>保费合计人民币：（大写）</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  </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29" w:type="dxa"/>
            <w:gridSpan w:val="5"/>
            <w:noWrap w:val="0"/>
            <w:vAlign w:val="top"/>
          </w:tcPr>
          <w:p>
            <w:pPr>
              <w:autoSpaceDE/>
              <w:autoSpaceDN/>
              <w:spacing w:before="156" w:beforeLines="50" w:line="300" w:lineRule="exact"/>
              <w:ind w:firstLine="482" w:firstLineChars="200"/>
              <w:jc w:val="both"/>
              <w:rPr>
                <w:rFonts w:ascii="Calibri" w:hAnsi="Calibri" w:cs="Times New Roman"/>
                <w:b/>
                <w:color w:val="auto"/>
                <w:kern w:val="2"/>
                <w:sz w:val="24"/>
                <w:szCs w:val="24"/>
              </w:rPr>
            </w:pPr>
            <w:r>
              <w:rPr>
                <w:rFonts w:ascii="Calibri" w:hAnsi="Calibri" w:cs="Times New Roman"/>
                <w:b/>
                <w:color w:val="auto"/>
                <w:kern w:val="2"/>
                <w:sz w:val="24"/>
                <w:szCs w:val="24"/>
              </w:rPr>
              <w:t>报价说明：</w:t>
            </w:r>
            <w:r>
              <w:rPr>
                <w:rFonts w:hint="eastAsia" w:ascii="Calibri" w:hAnsi="Calibri" w:cs="Times New Roman"/>
                <w:b/>
                <w:color w:val="auto"/>
                <w:kern w:val="2"/>
                <w:sz w:val="24"/>
                <w:szCs w:val="24"/>
              </w:rPr>
              <w:t>1</w:t>
            </w:r>
            <w:r>
              <w:rPr>
                <w:rFonts w:ascii="Calibri" w:hAnsi="Calibri" w:cs="Times New Roman"/>
                <w:b/>
                <w:color w:val="auto"/>
                <w:kern w:val="2"/>
                <w:sz w:val="24"/>
                <w:szCs w:val="24"/>
              </w:rPr>
              <w:t>.</w:t>
            </w:r>
            <w:r>
              <w:rPr>
                <w:rFonts w:hint="eastAsia" w:ascii="Calibri" w:hAnsi="Calibri" w:cs="Times New Roman"/>
                <w:b/>
                <w:color w:val="auto"/>
                <w:kern w:val="2"/>
                <w:sz w:val="24"/>
                <w:szCs w:val="24"/>
              </w:rPr>
              <w:t>第一个保险周期为半年，费率填写短期费率。2</w:t>
            </w:r>
            <w:r>
              <w:rPr>
                <w:rFonts w:ascii="Calibri" w:hAnsi="Calibri" w:cs="Times New Roman"/>
                <w:b/>
                <w:color w:val="auto"/>
                <w:kern w:val="2"/>
                <w:sz w:val="24"/>
                <w:szCs w:val="24"/>
              </w:rPr>
              <w:t>.</w:t>
            </w:r>
            <w:r>
              <w:rPr>
                <w:rFonts w:hint="eastAsia" w:ascii="Calibri" w:hAnsi="Calibri" w:cs="Times New Roman"/>
                <w:b/>
                <w:color w:val="auto"/>
                <w:kern w:val="2"/>
                <w:sz w:val="24"/>
                <w:szCs w:val="24"/>
              </w:rPr>
              <w:t>费率和保费均保留2位小数。</w:t>
            </w:r>
          </w:p>
        </w:tc>
      </w:tr>
    </w:tbl>
    <w:p>
      <w:pPr>
        <w:autoSpaceDE/>
        <w:autoSpaceDN/>
        <w:spacing w:before="156" w:beforeLines="50" w:line="360" w:lineRule="auto"/>
        <w:ind w:firstLine="482" w:firstLineChars="200"/>
        <w:jc w:val="both"/>
        <w:rPr>
          <w:rFonts w:ascii="Times New Roman" w:hAnsi="Times New Roman" w:cs="Times New Roman"/>
          <w:b/>
          <w:color w:val="auto"/>
          <w:kern w:val="2"/>
          <w:sz w:val="24"/>
          <w:szCs w:val="24"/>
        </w:rPr>
      </w:pPr>
      <w:r>
        <w:rPr>
          <w:rFonts w:ascii="Times New Roman" w:hAnsi="Times New Roman" w:cs="Times New Roman"/>
          <w:b/>
          <w:color w:val="auto"/>
          <w:kern w:val="2"/>
          <w:sz w:val="24"/>
          <w:szCs w:val="24"/>
        </w:rPr>
        <w:t>险种三：</w:t>
      </w:r>
      <w:r>
        <w:rPr>
          <w:rFonts w:hint="eastAsia" w:ascii="Times New Roman" w:hAnsi="Times New Roman" w:cs="Times New Roman"/>
          <w:b/>
          <w:color w:val="auto"/>
          <w:kern w:val="2"/>
          <w:sz w:val="24"/>
          <w:szCs w:val="24"/>
        </w:rPr>
        <w:t>营业中断险</w:t>
      </w:r>
    </w:p>
    <w:tbl>
      <w:tblPr>
        <w:tblStyle w:val="88"/>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437"/>
        <w:gridCol w:w="2473"/>
        <w:gridCol w:w="127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609" w:type="dxa"/>
            <w:shd w:val="clear" w:color="auto" w:fill="E6E6E6"/>
            <w:noWrap w:val="0"/>
            <w:vAlign w:val="center"/>
          </w:tcPr>
          <w:p>
            <w:pPr>
              <w:autoSpaceDE/>
              <w:autoSpaceDN/>
              <w:spacing w:before="156" w:beforeLines="50"/>
              <w:ind w:firstLine="419" w:firstLineChars="174"/>
              <w:jc w:val="both"/>
              <w:rPr>
                <w:rFonts w:ascii="Calibri" w:hAnsi="Calibri" w:cs="Times New Roman"/>
                <w:b/>
                <w:color w:val="auto"/>
                <w:kern w:val="2"/>
                <w:sz w:val="24"/>
                <w:szCs w:val="24"/>
              </w:rPr>
            </w:pPr>
            <w:r>
              <w:rPr>
                <w:rFonts w:ascii="Calibri" w:hAnsi="Calibri" w:cs="Times New Roman"/>
                <w:b/>
                <w:color w:val="auto"/>
                <w:kern w:val="2"/>
                <w:sz w:val="24"/>
                <w:szCs w:val="24"/>
              </w:rPr>
              <w:t>项目</w:t>
            </w:r>
          </w:p>
        </w:tc>
        <w:tc>
          <w:tcPr>
            <w:tcW w:w="1437"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hint="eastAsia" w:ascii="Calibri" w:hAnsi="Calibri" w:cs="Times New Roman"/>
                <w:b/>
                <w:color w:val="auto"/>
                <w:kern w:val="2"/>
                <w:sz w:val="24"/>
                <w:szCs w:val="24"/>
              </w:rPr>
              <w:t>保险周期</w:t>
            </w:r>
          </w:p>
        </w:tc>
        <w:tc>
          <w:tcPr>
            <w:tcW w:w="2473"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hint="eastAsia" w:ascii="Calibri" w:hAnsi="Calibri" w:cs="Times New Roman"/>
                <w:b/>
                <w:color w:val="auto"/>
                <w:kern w:val="2"/>
                <w:sz w:val="24"/>
                <w:szCs w:val="24"/>
              </w:rPr>
              <w:t>保险金额</w:t>
            </w:r>
            <w:r>
              <w:rPr>
                <w:rFonts w:ascii="Calibri" w:hAnsi="Calibri" w:cs="Times New Roman"/>
                <w:b/>
                <w:color w:val="auto"/>
                <w:kern w:val="2"/>
                <w:sz w:val="24"/>
                <w:szCs w:val="24"/>
              </w:rPr>
              <w:t>（元）</w:t>
            </w:r>
          </w:p>
        </w:tc>
        <w:tc>
          <w:tcPr>
            <w:tcW w:w="1270"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费率（‰）</w:t>
            </w:r>
          </w:p>
        </w:tc>
        <w:tc>
          <w:tcPr>
            <w:tcW w:w="2036"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09" w:type="dxa"/>
            <w:vMerge w:val="restart"/>
            <w:noWrap w:val="0"/>
            <w:vAlign w:val="top"/>
          </w:tcPr>
          <w:p>
            <w:pPr>
              <w:autoSpaceDE/>
              <w:autoSpaceDN/>
              <w:spacing w:before="156" w:beforeLines="50" w:line="300" w:lineRule="exact"/>
              <w:jc w:val="both"/>
              <w:rPr>
                <w:rFonts w:hint="eastAsia" w:ascii="Calibri" w:hAnsi="Calibri" w:eastAsia="宋体" w:cs="Times New Roman"/>
                <w:color w:val="auto"/>
                <w:kern w:val="2"/>
                <w:sz w:val="24"/>
                <w:szCs w:val="24"/>
                <w:lang w:eastAsia="zh-CN"/>
              </w:rPr>
            </w:pPr>
            <w:r>
              <w:rPr>
                <w:rFonts w:hint="eastAsia" w:cs="Times New Roman"/>
                <w:color w:val="auto"/>
                <w:kern w:val="2"/>
                <w:sz w:val="21"/>
                <w:szCs w:val="24"/>
                <w:lang w:eastAsia="zh-CN"/>
              </w:rPr>
              <w:t>重庆渝合高速公路有限公司2021-2024年运营保险项目（第二次）</w:t>
            </w:r>
          </w:p>
        </w:tc>
        <w:tc>
          <w:tcPr>
            <w:tcW w:w="1437" w:type="dxa"/>
            <w:noWrap w:val="0"/>
            <w:vAlign w:val="top"/>
          </w:tcPr>
          <w:p>
            <w:pPr>
              <w:autoSpaceDE/>
              <w:autoSpaceDN/>
              <w:spacing w:before="156" w:beforeLines="50" w:line="300" w:lineRule="exact"/>
              <w:rPr>
                <w:rFonts w:ascii="Calibri" w:hAnsi="Calibri" w:cs="Times New Roman"/>
                <w:color w:val="auto"/>
                <w:kern w:val="2"/>
                <w:sz w:val="24"/>
                <w:szCs w:val="24"/>
              </w:rPr>
            </w:pPr>
            <w:r>
              <w:rPr>
                <w:rFonts w:hint="eastAsia" w:eastAsia="等线" w:cs="Times New Roman"/>
                <w:color w:val="auto"/>
                <w:kern w:val="2"/>
                <w:sz w:val="21"/>
              </w:rPr>
              <w:t>20</w:t>
            </w:r>
            <w:r>
              <w:rPr>
                <w:rFonts w:eastAsia="等线" w:cs="Times New Roman"/>
                <w:color w:val="auto"/>
                <w:kern w:val="2"/>
                <w:sz w:val="21"/>
              </w:rPr>
              <w:t>21</w:t>
            </w:r>
            <w:r>
              <w:rPr>
                <w:rFonts w:hint="eastAsia" w:eastAsia="等线" w:cs="Times New Roman"/>
                <w:color w:val="auto"/>
                <w:kern w:val="2"/>
                <w:sz w:val="21"/>
              </w:rPr>
              <w:t>年</w:t>
            </w:r>
            <w:r>
              <w:rPr>
                <w:rFonts w:hint="eastAsia" w:eastAsia="等线" w:cs="Times New Roman"/>
                <w:color w:val="auto"/>
                <w:kern w:val="2"/>
                <w:sz w:val="21"/>
                <w:lang w:val="en-US" w:eastAsia="zh-CN"/>
              </w:rPr>
              <w:t>12</w:t>
            </w:r>
            <w:r>
              <w:rPr>
                <w:rFonts w:hint="eastAsia" w:eastAsia="等线" w:cs="Times New Roman"/>
                <w:color w:val="auto"/>
                <w:kern w:val="2"/>
                <w:sz w:val="21"/>
              </w:rPr>
              <w:t>月1日0时至20</w:t>
            </w:r>
            <w:r>
              <w:rPr>
                <w:rFonts w:eastAsia="等线" w:cs="Times New Roman"/>
                <w:color w:val="auto"/>
                <w:kern w:val="2"/>
                <w:sz w:val="21"/>
              </w:rPr>
              <w:t>22</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473" w:type="dxa"/>
            <w:noWrap w:val="0"/>
            <w:vAlign w:val="center"/>
          </w:tcPr>
          <w:p>
            <w:pPr>
              <w:autoSpaceDE/>
              <w:autoSpaceDN/>
              <w:spacing w:before="156" w:beforeLines="50" w:line="300" w:lineRule="exact"/>
              <w:jc w:val="center"/>
              <w:rPr>
                <w:rFonts w:ascii="Calibri" w:hAnsi="Calibri" w:cs="Times New Roman"/>
                <w:color w:val="auto"/>
                <w:kern w:val="2"/>
                <w:sz w:val="24"/>
                <w:szCs w:val="24"/>
              </w:rPr>
            </w:pPr>
            <w:r>
              <w:rPr>
                <w:rFonts w:eastAsia="等线" w:cs="Arial"/>
                <w:color w:val="auto"/>
                <w:kern w:val="2"/>
                <w:sz w:val="21"/>
                <w:szCs w:val="21"/>
              </w:rPr>
              <w:t>342,288,173.20</w:t>
            </w:r>
          </w:p>
        </w:tc>
        <w:tc>
          <w:tcPr>
            <w:tcW w:w="1270"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036"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09" w:type="dxa"/>
            <w:vMerge w:val="continue"/>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1437" w:type="dxa"/>
            <w:noWrap w:val="0"/>
            <w:vAlign w:val="top"/>
          </w:tcPr>
          <w:p>
            <w:pPr>
              <w:autoSpaceDE/>
              <w:autoSpaceDN/>
              <w:spacing w:before="156" w:beforeLines="50" w:line="300" w:lineRule="exact"/>
              <w:rPr>
                <w:rFonts w:eastAsia="等线" w:cs="Times New Roman"/>
                <w:color w:val="auto"/>
                <w:kern w:val="2"/>
                <w:sz w:val="21"/>
              </w:rPr>
            </w:pPr>
            <w:r>
              <w:rPr>
                <w:rFonts w:hint="eastAsia" w:eastAsia="等线" w:cs="Times New Roman"/>
                <w:color w:val="auto"/>
                <w:kern w:val="2"/>
                <w:sz w:val="21"/>
              </w:rPr>
              <w:t>20</w:t>
            </w:r>
            <w:r>
              <w:rPr>
                <w:rFonts w:eastAsia="等线" w:cs="Times New Roman"/>
                <w:color w:val="auto"/>
                <w:kern w:val="2"/>
                <w:sz w:val="21"/>
              </w:rPr>
              <w:t>22</w:t>
            </w:r>
            <w:r>
              <w:rPr>
                <w:rFonts w:hint="eastAsia" w:eastAsia="等线" w:cs="Times New Roman"/>
                <w:color w:val="auto"/>
                <w:kern w:val="2"/>
                <w:sz w:val="21"/>
              </w:rPr>
              <w:t>年</w:t>
            </w:r>
            <w:r>
              <w:rPr>
                <w:rFonts w:hint="eastAsia" w:eastAsia="等线" w:cs="Times New Roman"/>
                <w:color w:val="auto"/>
                <w:kern w:val="2"/>
                <w:sz w:val="21"/>
                <w:lang w:val="en-US" w:eastAsia="zh-CN"/>
              </w:rPr>
              <w:t>6</w:t>
            </w:r>
            <w:r>
              <w:rPr>
                <w:rFonts w:hint="eastAsia" w:eastAsia="等线" w:cs="Times New Roman"/>
                <w:color w:val="auto"/>
                <w:kern w:val="2"/>
                <w:sz w:val="21"/>
              </w:rPr>
              <w:t>月1日0时至20</w:t>
            </w:r>
            <w:r>
              <w:rPr>
                <w:rFonts w:eastAsia="等线" w:cs="Times New Roman"/>
                <w:color w:val="auto"/>
                <w:kern w:val="2"/>
                <w:sz w:val="21"/>
              </w:rPr>
              <w:t>23</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473" w:type="dxa"/>
            <w:noWrap w:val="0"/>
            <w:vAlign w:val="center"/>
          </w:tcPr>
          <w:p>
            <w:pPr>
              <w:autoSpaceDE/>
              <w:autoSpaceDN/>
              <w:spacing w:before="156" w:beforeLines="50" w:line="300" w:lineRule="exact"/>
              <w:jc w:val="center"/>
              <w:rPr>
                <w:rFonts w:ascii="Calibri" w:hAnsi="Calibri" w:cs="Times New Roman"/>
                <w:color w:val="auto"/>
                <w:kern w:val="2"/>
                <w:sz w:val="24"/>
                <w:szCs w:val="24"/>
              </w:rPr>
            </w:pPr>
            <w:r>
              <w:rPr>
                <w:rFonts w:eastAsia="等线" w:cs="Arial"/>
                <w:color w:val="auto"/>
                <w:kern w:val="2"/>
                <w:sz w:val="21"/>
                <w:szCs w:val="21"/>
              </w:rPr>
              <w:t>342,288,173.20</w:t>
            </w:r>
          </w:p>
        </w:tc>
        <w:tc>
          <w:tcPr>
            <w:tcW w:w="1270"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036"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09" w:type="dxa"/>
            <w:vMerge w:val="continue"/>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1437" w:type="dxa"/>
            <w:noWrap w:val="0"/>
            <w:vAlign w:val="top"/>
          </w:tcPr>
          <w:p>
            <w:pPr>
              <w:autoSpaceDE/>
              <w:autoSpaceDN/>
              <w:spacing w:before="156" w:beforeLines="50" w:line="300" w:lineRule="exact"/>
              <w:rPr>
                <w:rFonts w:eastAsia="等线" w:cs="Times New Roman"/>
                <w:color w:val="auto"/>
                <w:kern w:val="2"/>
                <w:sz w:val="21"/>
              </w:rPr>
            </w:pPr>
            <w:r>
              <w:rPr>
                <w:rFonts w:hint="eastAsia" w:eastAsia="等线" w:cs="Times New Roman"/>
                <w:color w:val="auto"/>
                <w:kern w:val="2"/>
                <w:sz w:val="21"/>
              </w:rPr>
              <w:t>20</w:t>
            </w:r>
            <w:r>
              <w:rPr>
                <w:rFonts w:eastAsia="等线" w:cs="Times New Roman"/>
                <w:color w:val="auto"/>
                <w:kern w:val="2"/>
                <w:sz w:val="21"/>
              </w:rPr>
              <w:t>23</w:t>
            </w:r>
            <w:r>
              <w:rPr>
                <w:rFonts w:hint="eastAsia" w:eastAsia="等线" w:cs="Times New Roman"/>
                <w:color w:val="auto"/>
                <w:kern w:val="2"/>
                <w:sz w:val="21"/>
              </w:rPr>
              <w:t>年</w:t>
            </w:r>
            <w:r>
              <w:rPr>
                <w:rFonts w:hint="eastAsia" w:eastAsia="等线" w:cs="Times New Roman"/>
                <w:color w:val="auto"/>
                <w:kern w:val="2"/>
                <w:sz w:val="21"/>
                <w:lang w:val="en-US" w:eastAsia="zh-CN"/>
              </w:rPr>
              <w:t>6</w:t>
            </w:r>
            <w:r>
              <w:rPr>
                <w:rFonts w:hint="eastAsia" w:eastAsia="等线" w:cs="Times New Roman"/>
                <w:color w:val="auto"/>
                <w:kern w:val="2"/>
                <w:sz w:val="21"/>
              </w:rPr>
              <w:t>月</w:t>
            </w:r>
            <w:r>
              <w:rPr>
                <w:rFonts w:hint="eastAsia" w:eastAsia="等线" w:cs="Times New Roman"/>
                <w:color w:val="auto"/>
                <w:kern w:val="2"/>
                <w:sz w:val="21"/>
                <w:lang w:val="en-US" w:eastAsia="zh-CN"/>
              </w:rPr>
              <w:t>1</w:t>
            </w:r>
            <w:r>
              <w:rPr>
                <w:rFonts w:hint="eastAsia" w:eastAsia="等线" w:cs="Times New Roman"/>
                <w:color w:val="auto"/>
                <w:kern w:val="2"/>
                <w:sz w:val="21"/>
              </w:rPr>
              <w:t>日0时至202</w:t>
            </w:r>
            <w:r>
              <w:rPr>
                <w:rFonts w:eastAsia="等线" w:cs="Times New Roman"/>
                <w:color w:val="auto"/>
                <w:kern w:val="2"/>
                <w:sz w:val="21"/>
              </w:rPr>
              <w:t>4</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473" w:type="dxa"/>
            <w:noWrap w:val="0"/>
            <w:vAlign w:val="center"/>
          </w:tcPr>
          <w:p>
            <w:pPr>
              <w:autoSpaceDE/>
              <w:autoSpaceDN/>
              <w:spacing w:before="156" w:beforeLines="50" w:line="300" w:lineRule="exact"/>
              <w:jc w:val="center"/>
              <w:rPr>
                <w:rFonts w:ascii="Calibri" w:hAnsi="Calibri" w:cs="Times New Roman"/>
                <w:color w:val="auto"/>
                <w:kern w:val="2"/>
                <w:sz w:val="24"/>
                <w:szCs w:val="24"/>
              </w:rPr>
            </w:pPr>
            <w:r>
              <w:rPr>
                <w:rFonts w:eastAsia="等线" w:cs="Arial"/>
                <w:color w:val="auto"/>
                <w:kern w:val="2"/>
                <w:sz w:val="21"/>
                <w:szCs w:val="21"/>
              </w:rPr>
              <w:t>342,288,173.20</w:t>
            </w:r>
          </w:p>
        </w:tc>
        <w:tc>
          <w:tcPr>
            <w:tcW w:w="1270"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2036"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825" w:type="dxa"/>
            <w:gridSpan w:val="5"/>
            <w:noWrap w:val="0"/>
            <w:vAlign w:val="top"/>
          </w:tcPr>
          <w:p>
            <w:pPr>
              <w:autoSpaceDE/>
              <w:autoSpaceDN/>
              <w:spacing w:before="156" w:beforeLines="50" w:line="300" w:lineRule="exact"/>
              <w:ind w:firstLine="482" w:firstLineChars="200"/>
              <w:jc w:val="both"/>
              <w:rPr>
                <w:rFonts w:ascii="Calibri" w:hAnsi="Calibri" w:cs="Times New Roman"/>
                <w:color w:val="auto"/>
                <w:kern w:val="2"/>
                <w:sz w:val="24"/>
                <w:szCs w:val="24"/>
              </w:rPr>
            </w:pPr>
            <w:r>
              <w:rPr>
                <w:rFonts w:ascii="Calibri" w:hAnsi="Calibri" w:cs="Times New Roman"/>
                <w:b/>
                <w:color w:val="auto"/>
                <w:kern w:val="2"/>
                <w:sz w:val="24"/>
                <w:szCs w:val="24"/>
              </w:rPr>
              <w:t>保费合计人民币：（大写）</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  </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825" w:type="dxa"/>
            <w:gridSpan w:val="5"/>
            <w:noWrap w:val="0"/>
            <w:vAlign w:val="top"/>
          </w:tcPr>
          <w:p>
            <w:pPr>
              <w:autoSpaceDE/>
              <w:autoSpaceDN/>
              <w:spacing w:before="156" w:beforeLines="50" w:line="300" w:lineRule="exact"/>
              <w:ind w:firstLine="482" w:firstLineChars="200"/>
              <w:jc w:val="both"/>
              <w:rPr>
                <w:rFonts w:ascii="Calibri" w:hAnsi="Calibri" w:cs="Times New Roman"/>
                <w:b/>
                <w:color w:val="auto"/>
                <w:kern w:val="2"/>
                <w:sz w:val="24"/>
                <w:szCs w:val="24"/>
              </w:rPr>
            </w:pPr>
            <w:r>
              <w:rPr>
                <w:rFonts w:ascii="Calibri" w:hAnsi="Calibri" w:cs="Times New Roman"/>
                <w:b/>
                <w:color w:val="auto"/>
                <w:kern w:val="2"/>
                <w:sz w:val="24"/>
                <w:szCs w:val="24"/>
              </w:rPr>
              <w:t>报价说明：</w:t>
            </w:r>
            <w:r>
              <w:rPr>
                <w:rFonts w:hint="eastAsia" w:ascii="Calibri" w:hAnsi="Calibri" w:cs="Times New Roman"/>
                <w:b/>
                <w:color w:val="auto"/>
                <w:kern w:val="2"/>
                <w:sz w:val="24"/>
                <w:szCs w:val="24"/>
              </w:rPr>
              <w:t>1</w:t>
            </w:r>
            <w:r>
              <w:rPr>
                <w:rFonts w:ascii="Calibri" w:hAnsi="Calibri" w:cs="Times New Roman"/>
                <w:b/>
                <w:color w:val="auto"/>
                <w:kern w:val="2"/>
                <w:sz w:val="24"/>
                <w:szCs w:val="24"/>
              </w:rPr>
              <w:t>.</w:t>
            </w:r>
            <w:r>
              <w:rPr>
                <w:rFonts w:hint="eastAsia" w:ascii="Calibri" w:hAnsi="Calibri" w:cs="Times New Roman"/>
                <w:b/>
                <w:color w:val="auto"/>
                <w:kern w:val="2"/>
                <w:sz w:val="24"/>
                <w:szCs w:val="24"/>
              </w:rPr>
              <w:t>第一个保险周期为半年，费率填写短期费率。2</w:t>
            </w:r>
            <w:r>
              <w:rPr>
                <w:rFonts w:ascii="Calibri" w:hAnsi="Calibri" w:cs="Times New Roman"/>
                <w:b/>
                <w:color w:val="auto"/>
                <w:kern w:val="2"/>
                <w:sz w:val="24"/>
                <w:szCs w:val="24"/>
              </w:rPr>
              <w:t>.</w:t>
            </w:r>
            <w:r>
              <w:rPr>
                <w:rFonts w:hint="eastAsia" w:ascii="Calibri" w:hAnsi="Calibri" w:cs="Times New Roman"/>
                <w:b/>
                <w:color w:val="auto"/>
                <w:kern w:val="2"/>
                <w:sz w:val="24"/>
                <w:szCs w:val="24"/>
              </w:rPr>
              <w:t>费率和保费均保留2位小数。</w:t>
            </w:r>
          </w:p>
        </w:tc>
      </w:tr>
    </w:tbl>
    <w:p>
      <w:pPr>
        <w:autoSpaceDE/>
        <w:autoSpaceDN/>
        <w:spacing w:before="156" w:beforeLines="50" w:line="360" w:lineRule="auto"/>
        <w:ind w:firstLine="482" w:firstLineChars="200"/>
        <w:jc w:val="both"/>
        <w:rPr>
          <w:rFonts w:ascii="Times New Roman" w:hAnsi="Times New Roman" w:cs="Times New Roman"/>
          <w:b/>
          <w:color w:val="auto"/>
          <w:kern w:val="2"/>
          <w:sz w:val="24"/>
          <w:szCs w:val="24"/>
        </w:rPr>
      </w:pPr>
      <w:r>
        <w:rPr>
          <w:rFonts w:ascii="Times New Roman" w:hAnsi="Times New Roman" w:cs="Times New Roman"/>
          <w:b/>
          <w:color w:val="auto"/>
          <w:kern w:val="2"/>
          <w:sz w:val="24"/>
          <w:szCs w:val="24"/>
        </w:rPr>
        <w:t>险种</w:t>
      </w:r>
      <w:r>
        <w:rPr>
          <w:rFonts w:hint="eastAsia" w:ascii="Times New Roman" w:hAnsi="Times New Roman" w:cs="Times New Roman"/>
          <w:b/>
          <w:color w:val="auto"/>
          <w:kern w:val="2"/>
          <w:sz w:val="24"/>
          <w:szCs w:val="24"/>
        </w:rPr>
        <w:t>四</w:t>
      </w:r>
      <w:r>
        <w:rPr>
          <w:rFonts w:ascii="Times New Roman" w:hAnsi="Times New Roman" w:cs="Times New Roman"/>
          <w:b/>
          <w:color w:val="auto"/>
          <w:kern w:val="2"/>
          <w:sz w:val="24"/>
          <w:szCs w:val="24"/>
        </w:rPr>
        <w:t>：</w:t>
      </w:r>
      <w:r>
        <w:rPr>
          <w:rFonts w:hint="eastAsia" w:ascii="Times New Roman" w:hAnsi="Times New Roman" w:cs="Times New Roman"/>
          <w:b/>
          <w:color w:val="auto"/>
          <w:kern w:val="2"/>
          <w:sz w:val="24"/>
          <w:szCs w:val="24"/>
        </w:rPr>
        <w:t>现金险</w:t>
      </w:r>
    </w:p>
    <w:tbl>
      <w:tblPr>
        <w:tblStyle w:val="88"/>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453"/>
        <w:gridCol w:w="2487"/>
        <w:gridCol w:w="127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94"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项目</w:t>
            </w:r>
          </w:p>
        </w:tc>
        <w:tc>
          <w:tcPr>
            <w:tcW w:w="1453"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hint="eastAsia" w:ascii="Calibri" w:hAnsi="Calibri" w:cs="Times New Roman"/>
                <w:b/>
                <w:color w:val="auto"/>
                <w:kern w:val="2"/>
                <w:sz w:val="24"/>
                <w:szCs w:val="24"/>
              </w:rPr>
              <w:t>保险周期</w:t>
            </w:r>
          </w:p>
        </w:tc>
        <w:tc>
          <w:tcPr>
            <w:tcW w:w="2487"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保险金额/赔偿限额（元）</w:t>
            </w:r>
          </w:p>
        </w:tc>
        <w:tc>
          <w:tcPr>
            <w:tcW w:w="1270"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费率（‰）</w:t>
            </w:r>
          </w:p>
        </w:tc>
        <w:tc>
          <w:tcPr>
            <w:tcW w:w="2021" w:type="dxa"/>
            <w:shd w:val="clear" w:color="auto" w:fill="E6E6E6"/>
            <w:noWrap w:val="0"/>
            <w:vAlign w:val="center"/>
          </w:tcPr>
          <w:p>
            <w:pPr>
              <w:autoSpaceDE/>
              <w:autoSpaceDN/>
              <w:spacing w:before="156" w:beforeLines="50"/>
              <w:jc w:val="center"/>
              <w:rPr>
                <w:rFonts w:ascii="Calibri" w:hAnsi="Calibri" w:cs="Times New Roman"/>
                <w:b/>
                <w:color w:val="auto"/>
                <w:kern w:val="2"/>
                <w:sz w:val="24"/>
                <w:szCs w:val="24"/>
              </w:rPr>
            </w:pPr>
            <w:r>
              <w:rPr>
                <w:rFonts w:ascii="Calibri" w:hAnsi="Calibri" w:cs="Times New Roman"/>
                <w:b/>
                <w:color w:val="auto"/>
                <w:kern w:val="2"/>
                <w:sz w:val="24"/>
                <w:szCs w:val="24"/>
              </w:rPr>
              <w:t>保费（人民币元）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94" w:type="dxa"/>
            <w:vMerge w:val="restart"/>
            <w:noWrap w:val="0"/>
            <w:vAlign w:val="top"/>
          </w:tcPr>
          <w:p>
            <w:pPr>
              <w:autoSpaceDE/>
              <w:autoSpaceDN/>
              <w:spacing w:before="156" w:beforeLines="50" w:line="300" w:lineRule="exact"/>
              <w:jc w:val="both"/>
              <w:rPr>
                <w:rFonts w:hint="eastAsia" w:ascii="Calibri" w:hAnsi="Calibri" w:eastAsia="宋体" w:cs="Times New Roman"/>
                <w:color w:val="auto"/>
                <w:kern w:val="2"/>
                <w:sz w:val="24"/>
                <w:szCs w:val="24"/>
                <w:lang w:eastAsia="zh-CN"/>
              </w:rPr>
            </w:pPr>
            <w:r>
              <w:rPr>
                <w:rFonts w:hint="eastAsia" w:cs="Times New Roman"/>
                <w:color w:val="auto"/>
                <w:kern w:val="2"/>
                <w:sz w:val="21"/>
                <w:szCs w:val="24"/>
                <w:lang w:eastAsia="zh-CN"/>
              </w:rPr>
              <w:t>重庆渝合高速公路有限公司2021-2024年运营保险项目（第二次）</w:t>
            </w:r>
          </w:p>
        </w:tc>
        <w:tc>
          <w:tcPr>
            <w:tcW w:w="1453" w:type="dxa"/>
            <w:noWrap w:val="0"/>
            <w:vAlign w:val="top"/>
          </w:tcPr>
          <w:p>
            <w:pPr>
              <w:autoSpaceDE/>
              <w:autoSpaceDN/>
              <w:spacing w:before="156" w:beforeLines="50" w:line="300" w:lineRule="exact"/>
              <w:rPr>
                <w:rFonts w:ascii="Calibri" w:hAnsi="Calibri" w:cs="Times New Roman"/>
                <w:color w:val="auto"/>
                <w:kern w:val="2"/>
                <w:sz w:val="24"/>
                <w:szCs w:val="24"/>
              </w:rPr>
            </w:pPr>
            <w:r>
              <w:rPr>
                <w:rFonts w:hint="eastAsia" w:eastAsia="等线" w:cs="Times New Roman"/>
                <w:color w:val="auto"/>
                <w:kern w:val="2"/>
                <w:sz w:val="21"/>
              </w:rPr>
              <w:t>20</w:t>
            </w:r>
            <w:r>
              <w:rPr>
                <w:rFonts w:eastAsia="等线" w:cs="Times New Roman"/>
                <w:color w:val="auto"/>
                <w:kern w:val="2"/>
                <w:sz w:val="21"/>
              </w:rPr>
              <w:t>21</w:t>
            </w:r>
            <w:r>
              <w:rPr>
                <w:rFonts w:hint="eastAsia" w:eastAsia="等线" w:cs="Times New Roman"/>
                <w:color w:val="auto"/>
                <w:kern w:val="2"/>
                <w:sz w:val="21"/>
              </w:rPr>
              <w:t>年</w:t>
            </w:r>
            <w:r>
              <w:rPr>
                <w:rFonts w:hint="eastAsia" w:eastAsia="等线" w:cs="Times New Roman"/>
                <w:color w:val="auto"/>
                <w:kern w:val="2"/>
                <w:sz w:val="21"/>
                <w:lang w:val="en-US" w:eastAsia="zh-CN"/>
              </w:rPr>
              <w:t>12</w:t>
            </w:r>
            <w:r>
              <w:rPr>
                <w:rFonts w:hint="eastAsia" w:eastAsia="等线" w:cs="Times New Roman"/>
                <w:color w:val="auto"/>
                <w:kern w:val="2"/>
                <w:sz w:val="21"/>
              </w:rPr>
              <w:t>月1日0时至20</w:t>
            </w:r>
            <w:r>
              <w:rPr>
                <w:rFonts w:eastAsia="等线" w:cs="Times New Roman"/>
                <w:color w:val="auto"/>
                <w:kern w:val="2"/>
                <w:sz w:val="21"/>
              </w:rPr>
              <w:t>22</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487" w:type="dxa"/>
            <w:noWrap w:val="0"/>
            <w:vAlign w:val="center"/>
          </w:tcPr>
          <w:p>
            <w:pPr>
              <w:autoSpaceDE/>
              <w:autoSpaceDN/>
              <w:spacing w:before="156" w:beforeLines="50" w:line="300" w:lineRule="exact"/>
              <w:jc w:val="center"/>
              <w:rPr>
                <w:rFonts w:ascii="Calibri" w:hAnsi="Calibri" w:cs="Times New Roman"/>
                <w:color w:val="auto"/>
                <w:kern w:val="2"/>
                <w:sz w:val="24"/>
                <w:szCs w:val="24"/>
              </w:rPr>
            </w:pPr>
            <w:r>
              <w:rPr>
                <w:rFonts w:hint="eastAsia" w:eastAsia="等线" w:cs="Arial"/>
                <w:color w:val="auto"/>
                <w:kern w:val="2"/>
                <w:sz w:val="21"/>
                <w:szCs w:val="21"/>
              </w:rPr>
              <w:t>1</w:t>
            </w:r>
            <w:r>
              <w:rPr>
                <w:rFonts w:eastAsia="等线" w:cs="Arial"/>
                <w:color w:val="auto"/>
                <w:kern w:val="2"/>
                <w:sz w:val="21"/>
                <w:szCs w:val="21"/>
              </w:rPr>
              <w:t>,000,000</w:t>
            </w:r>
            <w:r>
              <w:rPr>
                <w:rFonts w:hint="eastAsia" w:eastAsia="等线" w:cs="Arial"/>
                <w:color w:val="auto"/>
                <w:kern w:val="2"/>
                <w:sz w:val="21"/>
                <w:szCs w:val="21"/>
              </w:rPr>
              <w:t>.</w:t>
            </w:r>
            <w:r>
              <w:rPr>
                <w:rFonts w:eastAsia="等线" w:cs="Arial"/>
                <w:color w:val="auto"/>
                <w:kern w:val="2"/>
                <w:sz w:val="21"/>
                <w:szCs w:val="21"/>
              </w:rPr>
              <w:t>00</w:t>
            </w:r>
          </w:p>
        </w:tc>
        <w:tc>
          <w:tcPr>
            <w:tcW w:w="1270" w:type="dxa"/>
            <w:noWrap w:val="0"/>
            <w:vAlign w:val="top"/>
          </w:tcPr>
          <w:p>
            <w:pPr>
              <w:autoSpaceDE/>
              <w:autoSpaceDN/>
              <w:spacing w:before="156" w:beforeLines="50" w:line="300" w:lineRule="exact"/>
              <w:ind w:firstLine="480" w:firstLineChars="200"/>
              <w:rPr>
                <w:rFonts w:ascii="Calibri" w:hAnsi="Calibri" w:cs="Times New Roman"/>
                <w:color w:val="auto"/>
                <w:kern w:val="2"/>
                <w:sz w:val="24"/>
                <w:szCs w:val="24"/>
              </w:rPr>
            </w:pPr>
          </w:p>
        </w:tc>
        <w:tc>
          <w:tcPr>
            <w:tcW w:w="2021" w:type="dxa"/>
            <w:noWrap w:val="0"/>
            <w:vAlign w:val="top"/>
          </w:tcPr>
          <w:p>
            <w:pPr>
              <w:autoSpaceDE/>
              <w:autoSpaceDN/>
              <w:spacing w:before="156" w:beforeLines="50" w:line="300" w:lineRule="exact"/>
              <w:ind w:firstLine="480" w:firstLineChars="200"/>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94" w:type="dxa"/>
            <w:vMerge w:val="continue"/>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1453" w:type="dxa"/>
            <w:noWrap w:val="0"/>
            <w:vAlign w:val="top"/>
          </w:tcPr>
          <w:p>
            <w:pPr>
              <w:autoSpaceDE/>
              <w:autoSpaceDN/>
              <w:spacing w:before="156" w:beforeLines="50" w:line="300" w:lineRule="exact"/>
              <w:rPr>
                <w:rFonts w:eastAsia="等线" w:cs="Times New Roman"/>
                <w:color w:val="auto"/>
                <w:kern w:val="2"/>
                <w:sz w:val="21"/>
              </w:rPr>
            </w:pPr>
            <w:r>
              <w:rPr>
                <w:rFonts w:hint="eastAsia" w:eastAsia="等线" w:cs="Times New Roman"/>
                <w:color w:val="auto"/>
                <w:kern w:val="2"/>
                <w:sz w:val="21"/>
              </w:rPr>
              <w:t>20</w:t>
            </w:r>
            <w:r>
              <w:rPr>
                <w:rFonts w:eastAsia="等线" w:cs="Times New Roman"/>
                <w:color w:val="auto"/>
                <w:kern w:val="2"/>
                <w:sz w:val="21"/>
              </w:rPr>
              <w:t>22</w:t>
            </w:r>
            <w:r>
              <w:rPr>
                <w:rFonts w:hint="eastAsia" w:eastAsia="等线" w:cs="Times New Roman"/>
                <w:color w:val="auto"/>
                <w:kern w:val="2"/>
                <w:sz w:val="21"/>
              </w:rPr>
              <w:t>年</w:t>
            </w:r>
            <w:r>
              <w:rPr>
                <w:rFonts w:hint="eastAsia" w:eastAsia="等线" w:cs="Times New Roman"/>
                <w:color w:val="auto"/>
                <w:kern w:val="2"/>
                <w:sz w:val="21"/>
                <w:lang w:val="en-US" w:eastAsia="zh-CN"/>
              </w:rPr>
              <w:t>6</w:t>
            </w:r>
            <w:r>
              <w:rPr>
                <w:rFonts w:hint="eastAsia" w:eastAsia="等线" w:cs="Times New Roman"/>
                <w:color w:val="auto"/>
                <w:kern w:val="2"/>
                <w:sz w:val="21"/>
              </w:rPr>
              <w:t>月1日0时至20</w:t>
            </w:r>
            <w:r>
              <w:rPr>
                <w:rFonts w:eastAsia="等线" w:cs="Times New Roman"/>
                <w:color w:val="auto"/>
                <w:kern w:val="2"/>
                <w:sz w:val="21"/>
              </w:rPr>
              <w:t>23</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487" w:type="dxa"/>
            <w:noWrap w:val="0"/>
            <w:vAlign w:val="center"/>
          </w:tcPr>
          <w:p>
            <w:pPr>
              <w:autoSpaceDE/>
              <w:autoSpaceDN/>
              <w:spacing w:before="156" w:beforeLines="50" w:line="300" w:lineRule="exact"/>
              <w:jc w:val="center"/>
              <w:rPr>
                <w:rFonts w:eastAsia="等线" w:cs="Arial"/>
                <w:color w:val="auto"/>
                <w:kern w:val="2"/>
                <w:sz w:val="21"/>
                <w:szCs w:val="21"/>
              </w:rPr>
            </w:pPr>
            <w:r>
              <w:rPr>
                <w:rFonts w:hint="eastAsia" w:eastAsia="等线" w:cs="Arial"/>
                <w:color w:val="auto"/>
                <w:kern w:val="2"/>
                <w:sz w:val="21"/>
                <w:szCs w:val="21"/>
              </w:rPr>
              <w:t>1</w:t>
            </w:r>
            <w:r>
              <w:rPr>
                <w:rFonts w:eastAsia="等线" w:cs="Arial"/>
                <w:color w:val="auto"/>
                <w:kern w:val="2"/>
                <w:sz w:val="21"/>
                <w:szCs w:val="21"/>
              </w:rPr>
              <w:t>,000,000</w:t>
            </w:r>
            <w:r>
              <w:rPr>
                <w:rFonts w:hint="eastAsia" w:eastAsia="等线" w:cs="Arial"/>
                <w:color w:val="auto"/>
                <w:kern w:val="2"/>
                <w:sz w:val="21"/>
                <w:szCs w:val="21"/>
              </w:rPr>
              <w:t>.</w:t>
            </w:r>
            <w:r>
              <w:rPr>
                <w:rFonts w:eastAsia="等线" w:cs="Arial"/>
                <w:color w:val="auto"/>
                <w:kern w:val="2"/>
                <w:sz w:val="21"/>
                <w:szCs w:val="21"/>
              </w:rPr>
              <w:t>00</w:t>
            </w:r>
          </w:p>
        </w:tc>
        <w:tc>
          <w:tcPr>
            <w:tcW w:w="1270" w:type="dxa"/>
            <w:noWrap w:val="0"/>
            <w:vAlign w:val="center"/>
          </w:tcPr>
          <w:p>
            <w:pPr>
              <w:autoSpaceDE/>
              <w:autoSpaceDN/>
              <w:spacing w:before="156" w:beforeLines="50" w:line="300" w:lineRule="exact"/>
              <w:ind w:firstLine="420" w:firstLineChars="200"/>
              <w:jc w:val="center"/>
              <w:rPr>
                <w:rFonts w:eastAsia="等线" w:cs="Arial"/>
                <w:color w:val="auto"/>
                <w:kern w:val="2"/>
                <w:sz w:val="21"/>
                <w:szCs w:val="21"/>
              </w:rPr>
            </w:pPr>
          </w:p>
        </w:tc>
        <w:tc>
          <w:tcPr>
            <w:tcW w:w="2021" w:type="dxa"/>
            <w:noWrap w:val="0"/>
            <w:vAlign w:val="top"/>
          </w:tcPr>
          <w:p>
            <w:pPr>
              <w:autoSpaceDE/>
              <w:autoSpaceDN/>
              <w:spacing w:before="156" w:beforeLines="50" w:line="300" w:lineRule="exact"/>
              <w:ind w:firstLine="480" w:firstLineChars="200"/>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94" w:type="dxa"/>
            <w:vMerge w:val="continue"/>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c>
          <w:tcPr>
            <w:tcW w:w="1453" w:type="dxa"/>
            <w:noWrap w:val="0"/>
            <w:vAlign w:val="top"/>
          </w:tcPr>
          <w:p>
            <w:pPr>
              <w:autoSpaceDE/>
              <w:autoSpaceDN/>
              <w:spacing w:before="156" w:beforeLines="50" w:line="300" w:lineRule="exact"/>
              <w:rPr>
                <w:rFonts w:eastAsia="等线" w:cs="Times New Roman"/>
                <w:color w:val="auto"/>
                <w:kern w:val="2"/>
                <w:sz w:val="21"/>
              </w:rPr>
            </w:pPr>
            <w:r>
              <w:rPr>
                <w:rFonts w:hint="eastAsia" w:eastAsia="等线" w:cs="Times New Roman"/>
                <w:color w:val="auto"/>
                <w:kern w:val="2"/>
                <w:sz w:val="21"/>
              </w:rPr>
              <w:t>20</w:t>
            </w:r>
            <w:r>
              <w:rPr>
                <w:rFonts w:eastAsia="等线" w:cs="Times New Roman"/>
                <w:color w:val="auto"/>
                <w:kern w:val="2"/>
                <w:sz w:val="21"/>
              </w:rPr>
              <w:t>23</w:t>
            </w:r>
            <w:r>
              <w:rPr>
                <w:rFonts w:hint="eastAsia" w:eastAsia="等线" w:cs="Times New Roman"/>
                <w:color w:val="auto"/>
                <w:kern w:val="2"/>
                <w:sz w:val="21"/>
              </w:rPr>
              <w:t>年</w:t>
            </w:r>
            <w:r>
              <w:rPr>
                <w:rFonts w:hint="eastAsia" w:eastAsia="等线" w:cs="Times New Roman"/>
                <w:color w:val="auto"/>
                <w:kern w:val="2"/>
                <w:sz w:val="21"/>
                <w:lang w:val="en-US" w:eastAsia="zh-CN"/>
              </w:rPr>
              <w:t>6</w:t>
            </w:r>
            <w:r>
              <w:rPr>
                <w:rFonts w:hint="eastAsia" w:eastAsia="等线" w:cs="Times New Roman"/>
                <w:color w:val="auto"/>
                <w:kern w:val="2"/>
                <w:sz w:val="21"/>
              </w:rPr>
              <w:t>月</w:t>
            </w:r>
            <w:r>
              <w:rPr>
                <w:rFonts w:hint="eastAsia" w:eastAsia="等线" w:cs="Times New Roman"/>
                <w:color w:val="auto"/>
                <w:kern w:val="2"/>
                <w:sz w:val="21"/>
                <w:lang w:val="en-US" w:eastAsia="zh-CN"/>
              </w:rPr>
              <w:t>1</w:t>
            </w:r>
            <w:r>
              <w:rPr>
                <w:rFonts w:hint="eastAsia" w:eastAsia="等线" w:cs="Times New Roman"/>
                <w:color w:val="auto"/>
                <w:kern w:val="2"/>
                <w:sz w:val="21"/>
              </w:rPr>
              <w:t>日0时至202</w:t>
            </w:r>
            <w:r>
              <w:rPr>
                <w:rFonts w:eastAsia="等线" w:cs="Times New Roman"/>
                <w:color w:val="auto"/>
                <w:kern w:val="2"/>
                <w:sz w:val="21"/>
              </w:rPr>
              <w:t>4</w:t>
            </w:r>
            <w:r>
              <w:rPr>
                <w:rFonts w:hint="eastAsia" w:eastAsia="等线" w:cs="Times New Roman"/>
                <w:color w:val="auto"/>
                <w:kern w:val="2"/>
                <w:sz w:val="21"/>
              </w:rPr>
              <w:t>年5月</w:t>
            </w:r>
            <w:r>
              <w:rPr>
                <w:rFonts w:hint="eastAsia" w:eastAsia="等线" w:cs="Times New Roman"/>
                <w:color w:val="auto"/>
                <w:kern w:val="2"/>
                <w:sz w:val="21"/>
                <w:lang w:val="en-US" w:eastAsia="zh-CN"/>
              </w:rPr>
              <w:t>31</w:t>
            </w:r>
            <w:r>
              <w:rPr>
                <w:rFonts w:hint="eastAsia" w:eastAsia="等线" w:cs="Times New Roman"/>
                <w:color w:val="auto"/>
                <w:kern w:val="2"/>
                <w:sz w:val="21"/>
              </w:rPr>
              <w:t>日24时</w:t>
            </w:r>
          </w:p>
        </w:tc>
        <w:tc>
          <w:tcPr>
            <w:tcW w:w="2487" w:type="dxa"/>
            <w:noWrap w:val="0"/>
            <w:vAlign w:val="center"/>
          </w:tcPr>
          <w:p>
            <w:pPr>
              <w:autoSpaceDE/>
              <w:autoSpaceDN/>
              <w:spacing w:before="156" w:beforeLines="50" w:line="300" w:lineRule="exact"/>
              <w:jc w:val="center"/>
              <w:rPr>
                <w:rFonts w:eastAsia="等线" w:cs="Arial"/>
                <w:color w:val="auto"/>
                <w:kern w:val="2"/>
                <w:sz w:val="21"/>
                <w:szCs w:val="21"/>
              </w:rPr>
            </w:pPr>
            <w:r>
              <w:rPr>
                <w:rFonts w:hint="eastAsia" w:eastAsia="等线" w:cs="Arial"/>
                <w:color w:val="auto"/>
                <w:kern w:val="2"/>
                <w:sz w:val="21"/>
                <w:szCs w:val="21"/>
              </w:rPr>
              <w:t>1</w:t>
            </w:r>
            <w:r>
              <w:rPr>
                <w:rFonts w:eastAsia="等线" w:cs="Arial"/>
                <w:color w:val="auto"/>
                <w:kern w:val="2"/>
                <w:sz w:val="21"/>
                <w:szCs w:val="21"/>
              </w:rPr>
              <w:t>,000,000</w:t>
            </w:r>
            <w:r>
              <w:rPr>
                <w:rFonts w:hint="eastAsia" w:eastAsia="等线" w:cs="Arial"/>
                <w:color w:val="auto"/>
                <w:kern w:val="2"/>
                <w:sz w:val="21"/>
                <w:szCs w:val="21"/>
              </w:rPr>
              <w:t>.</w:t>
            </w:r>
            <w:r>
              <w:rPr>
                <w:rFonts w:eastAsia="等线" w:cs="Arial"/>
                <w:color w:val="auto"/>
                <w:kern w:val="2"/>
                <w:sz w:val="21"/>
                <w:szCs w:val="21"/>
              </w:rPr>
              <w:t>00</w:t>
            </w:r>
          </w:p>
        </w:tc>
        <w:tc>
          <w:tcPr>
            <w:tcW w:w="1270" w:type="dxa"/>
            <w:noWrap w:val="0"/>
            <w:vAlign w:val="center"/>
          </w:tcPr>
          <w:p>
            <w:pPr>
              <w:autoSpaceDE/>
              <w:autoSpaceDN/>
              <w:spacing w:before="156" w:beforeLines="50" w:line="300" w:lineRule="exact"/>
              <w:ind w:firstLine="420" w:firstLineChars="200"/>
              <w:jc w:val="center"/>
              <w:rPr>
                <w:rFonts w:eastAsia="等线" w:cs="Arial"/>
                <w:color w:val="auto"/>
                <w:kern w:val="2"/>
                <w:sz w:val="21"/>
                <w:szCs w:val="21"/>
              </w:rPr>
            </w:pPr>
          </w:p>
        </w:tc>
        <w:tc>
          <w:tcPr>
            <w:tcW w:w="2021" w:type="dxa"/>
            <w:noWrap w:val="0"/>
            <w:vAlign w:val="top"/>
          </w:tcPr>
          <w:p>
            <w:pPr>
              <w:autoSpaceDE/>
              <w:autoSpaceDN/>
              <w:spacing w:before="156" w:beforeLines="50" w:line="300" w:lineRule="exact"/>
              <w:ind w:firstLine="480" w:firstLineChars="200"/>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825" w:type="dxa"/>
            <w:gridSpan w:val="5"/>
            <w:noWrap w:val="0"/>
            <w:vAlign w:val="top"/>
          </w:tcPr>
          <w:p>
            <w:pPr>
              <w:autoSpaceDE/>
              <w:autoSpaceDN/>
              <w:spacing w:before="156" w:beforeLines="50" w:line="300" w:lineRule="exact"/>
              <w:ind w:firstLine="482" w:firstLineChars="200"/>
              <w:jc w:val="both"/>
              <w:rPr>
                <w:rFonts w:ascii="Calibri" w:hAnsi="Calibri" w:cs="Times New Roman"/>
                <w:color w:val="auto"/>
                <w:kern w:val="2"/>
                <w:sz w:val="24"/>
                <w:szCs w:val="24"/>
              </w:rPr>
            </w:pPr>
            <w:r>
              <w:rPr>
                <w:rFonts w:ascii="Calibri" w:hAnsi="Calibri" w:cs="Times New Roman"/>
                <w:b/>
                <w:color w:val="auto"/>
                <w:kern w:val="2"/>
                <w:sz w:val="24"/>
                <w:szCs w:val="24"/>
              </w:rPr>
              <w:t>保费合计人民币：（大写）</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  </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825" w:type="dxa"/>
            <w:gridSpan w:val="5"/>
            <w:noWrap w:val="0"/>
            <w:vAlign w:val="top"/>
          </w:tcPr>
          <w:p>
            <w:pPr>
              <w:autoSpaceDE/>
              <w:autoSpaceDN/>
              <w:spacing w:before="156" w:beforeLines="50" w:line="300" w:lineRule="exact"/>
              <w:ind w:firstLine="482" w:firstLineChars="200"/>
              <w:jc w:val="both"/>
              <w:rPr>
                <w:rFonts w:ascii="Calibri" w:hAnsi="Calibri" w:cs="Times New Roman"/>
                <w:b/>
                <w:color w:val="auto"/>
                <w:kern w:val="2"/>
                <w:sz w:val="24"/>
                <w:szCs w:val="24"/>
              </w:rPr>
            </w:pPr>
            <w:r>
              <w:rPr>
                <w:rFonts w:ascii="Calibri" w:hAnsi="Calibri" w:cs="Times New Roman"/>
                <w:b/>
                <w:color w:val="auto"/>
                <w:kern w:val="2"/>
                <w:sz w:val="24"/>
                <w:szCs w:val="24"/>
              </w:rPr>
              <w:t>报价说明：</w:t>
            </w:r>
            <w:r>
              <w:rPr>
                <w:rFonts w:hint="eastAsia" w:ascii="Calibri" w:hAnsi="Calibri" w:cs="Times New Roman"/>
                <w:b/>
                <w:color w:val="auto"/>
                <w:kern w:val="2"/>
                <w:sz w:val="24"/>
                <w:szCs w:val="24"/>
              </w:rPr>
              <w:t>1</w:t>
            </w:r>
            <w:r>
              <w:rPr>
                <w:rFonts w:ascii="Calibri" w:hAnsi="Calibri" w:cs="Times New Roman"/>
                <w:b/>
                <w:color w:val="auto"/>
                <w:kern w:val="2"/>
                <w:sz w:val="24"/>
                <w:szCs w:val="24"/>
              </w:rPr>
              <w:t>.</w:t>
            </w:r>
            <w:r>
              <w:rPr>
                <w:rFonts w:hint="eastAsia" w:ascii="Calibri" w:hAnsi="Calibri" w:cs="Times New Roman"/>
                <w:b/>
                <w:color w:val="auto"/>
                <w:kern w:val="2"/>
                <w:sz w:val="24"/>
                <w:szCs w:val="24"/>
              </w:rPr>
              <w:t>第一个保险周期为半年，费率填写短期费率。2</w:t>
            </w:r>
            <w:r>
              <w:rPr>
                <w:rFonts w:ascii="Calibri" w:hAnsi="Calibri" w:cs="Times New Roman"/>
                <w:b/>
                <w:color w:val="auto"/>
                <w:kern w:val="2"/>
                <w:sz w:val="24"/>
                <w:szCs w:val="24"/>
              </w:rPr>
              <w:t>.</w:t>
            </w:r>
            <w:r>
              <w:rPr>
                <w:rFonts w:hint="eastAsia" w:ascii="Calibri" w:hAnsi="Calibri" w:cs="Times New Roman"/>
                <w:b/>
                <w:color w:val="auto"/>
                <w:kern w:val="2"/>
                <w:sz w:val="24"/>
                <w:szCs w:val="24"/>
              </w:rPr>
              <w:t>费率和保费均保留2位小数。</w:t>
            </w:r>
          </w:p>
        </w:tc>
      </w:tr>
    </w:tbl>
    <w:p>
      <w:pPr>
        <w:autoSpaceDE/>
        <w:autoSpaceDN/>
        <w:spacing w:before="156" w:beforeLines="50" w:line="360" w:lineRule="auto"/>
        <w:ind w:firstLine="419" w:firstLineChars="149"/>
        <w:jc w:val="both"/>
        <w:rPr>
          <w:rFonts w:ascii="Times New Roman" w:hAnsi="Times New Roman" w:cs="Times New Roman"/>
          <w:b/>
          <w:color w:val="auto"/>
          <w:kern w:val="2"/>
          <w:sz w:val="28"/>
          <w:szCs w:val="28"/>
        </w:rPr>
      </w:pPr>
    </w:p>
    <w:p>
      <w:pPr>
        <w:autoSpaceDE/>
        <w:autoSpaceDN/>
        <w:spacing w:before="156" w:beforeLines="50" w:line="360" w:lineRule="auto"/>
        <w:ind w:firstLine="419" w:firstLineChars="149"/>
        <w:jc w:val="both"/>
        <w:rPr>
          <w:rFonts w:ascii="Times New Roman" w:hAnsi="Times New Roman" w:cs="Times New Roman"/>
          <w:b/>
          <w:color w:val="auto"/>
          <w:kern w:val="2"/>
          <w:sz w:val="28"/>
          <w:szCs w:val="28"/>
        </w:rPr>
      </w:pPr>
      <w:r>
        <w:rPr>
          <w:rFonts w:hint="eastAsia" w:ascii="Times New Roman" w:hAnsi="Times New Roman" w:cs="Times New Roman"/>
          <w:b/>
          <w:color w:val="auto"/>
          <w:kern w:val="2"/>
          <w:sz w:val="28"/>
          <w:szCs w:val="28"/>
        </w:rPr>
        <w:t>保费汇总（3年）</w:t>
      </w:r>
    </w:p>
    <w:tbl>
      <w:tblPr>
        <w:tblStyle w:val="88"/>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165"/>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419" w:type="dxa"/>
            <w:shd w:val="clear" w:color="auto" w:fill="E6E6E6"/>
            <w:noWrap w:val="0"/>
            <w:vAlign w:val="center"/>
          </w:tcPr>
          <w:p>
            <w:pPr>
              <w:autoSpaceDE/>
              <w:autoSpaceDN/>
              <w:spacing w:before="156" w:beforeLines="50"/>
              <w:ind w:firstLine="889" w:firstLineChars="369"/>
              <w:jc w:val="both"/>
              <w:rPr>
                <w:rFonts w:ascii="Calibri" w:hAnsi="Calibri" w:cs="Times New Roman"/>
                <w:b/>
                <w:color w:val="auto"/>
                <w:kern w:val="2"/>
                <w:sz w:val="24"/>
                <w:szCs w:val="24"/>
              </w:rPr>
            </w:pPr>
            <w:r>
              <w:rPr>
                <w:rFonts w:ascii="Calibri" w:hAnsi="Calibri" w:cs="Times New Roman"/>
                <w:b/>
                <w:color w:val="auto"/>
                <w:kern w:val="2"/>
                <w:sz w:val="24"/>
                <w:szCs w:val="24"/>
              </w:rPr>
              <w:t>项目</w:t>
            </w:r>
          </w:p>
        </w:tc>
        <w:tc>
          <w:tcPr>
            <w:tcW w:w="2165" w:type="dxa"/>
            <w:shd w:val="clear" w:color="auto" w:fill="E6E6E6"/>
            <w:noWrap w:val="0"/>
            <w:vAlign w:val="center"/>
          </w:tcPr>
          <w:p>
            <w:pPr>
              <w:autoSpaceDE/>
              <w:autoSpaceDN/>
              <w:spacing w:before="156" w:beforeLines="50"/>
              <w:ind w:firstLine="419" w:firstLineChars="174"/>
              <w:jc w:val="center"/>
              <w:rPr>
                <w:rFonts w:ascii="Calibri" w:hAnsi="Calibri" w:cs="Times New Roman"/>
                <w:b/>
                <w:color w:val="auto"/>
                <w:kern w:val="2"/>
                <w:sz w:val="24"/>
                <w:szCs w:val="24"/>
              </w:rPr>
            </w:pPr>
            <w:r>
              <w:rPr>
                <w:rFonts w:hint="eastAsia" w:ascii="Calibri" w:hAnsi="Calibri" w:cs="Times New Roman"/>
                <w:b/>
                <w:color w:val="auto"/>
                <w:kern w:val="2"/>
                <w:sz w:val="24"/>
                <w:szCs w:val="24"/>
              </w:rPr>
              <w:t>险种</w:t>
            </w:r>
          </w:p>
        </w:tc>
        <w:tc>
          <w:tcPr>
            <w:tcW w:w="4317" w:type="dxa"/>
            <w:shd w:val="clear" w:color="auto" w:fill="E6E6E6"/>
            <w:noWrap w:val="0"/>
            <w:vAlign w:val="center"/>
          </w:tcPr>
          <w:p>
            <w:pPr>
              <w:autoSpaceDE/>
              <w:autoSpaceDN/>
              <w:spacing w:before="156" w:beforeLines="50"/>
              <w:ind w:firstLine="419" w:firstLineChars="174"/>
              <w:jc w:val="center"/>
              <w:rPr>
                <w:rFonts w:ascii="Calibri" w:hAnsi="Calibri" w:cs="Times New Roman"/>
                <w:b/>
                <w:color w:val="auto"/>
                <w:kern w:val="2"/>
                <w:sz w:val="24"/>
                <w:szCs w:val="24"/>
              </w:rPr>
            </w:pPr>
            <w:r>
              <w:rPr>
                <w:rFonts w:ascii="Calibri" w:hAnsi="Calibri" w:cs="Times New Roman"/>
                <w:b/>
                <w:color w:val="auto"/>
                <w:kern w:val="2"/>
                <w:sz w:val="24"/>
                <w:szCs w:val="24"/>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19" w:type="dxa"/>
            <w:vMerge w:val="restart"/>
            <w:noWrap w:val="0"/>
            <w:vAlign w:val="top"/>
          </w:tcPr>
          <w:p>
            <w:pPr>
              <w:autoSpaceDE/>
              <w:autoSpaceDN/>
              <w:spacing w:before="156" w:beforeLines="50" w:line="300" w:lineRule="exact"/>
              <w:jc w:val="both"/>
              <w:rPr>
                <w:rFonts w:hint="eastAsia" w:ascii="Calibri" w:hAnsi="Calibri" w:eastAsia="宋体" w:cs="Times New Roman"/>
                <w:color w:val="auto"/>
                <w:kern w:val="2"/>
                <w:sz w:val="24"/>
                <w:szCs w:val="24"/>
                <w:lang w:eastAsia="zh-CN"/>
              </w:rPr>
            </w:pPr>
            <w:r>
              <w:rPr>
                <w:rFonts w:hint="eastAsia" w:cs="Times New Roman"/>
                <w:color w:val="auto"/>
                <w:kern w:val="2"/>
                <w:sz w:val="21"/>
                <w:szCs w:val="24"/>
                <w:lang w:eastAsia="zh-CN"/>
              </w:rPr>
              <w:t>重庆渝合高速公路有限公司2021-2024年运营保险项目（第二次）</w:t>
            </w:r>
          </w:p>
        </w:tc>
        <w:tc>
          <w:tcPr>
            <w:tcW w:w="2165" w:type="dxa"/>
            <w:noWrap w:val="0"/>
            <w:vAlign w:val="center"/>
          </w:tcPr>
          <w:p>
            <w:pPr>
              <w:autoSpaceDE/>
              <w:autoSpaceDN/>
              <w:spacing w:before="156" w:beforeLines="50" w:line="300" w:lineRule="exact"/>
              <w:jc w:val="center"/>
              <w:rPr>
                <w:rFonts w:ascii="Calibri" w:hAnsi="Calibri" w:cs="Times New Roman"/>
                <w:color w:val="auto"/>
                <w:kern w:val="2"/>
                <w:sz w:val="21"/>
                <w:szCs w:val="24"/>
              </w:rPr>
            </w:pPr>
            <w:r>
              <w:rPr>
                <w:rFonts w:hint="eastAsia" w:ascii="Calibri" w:hAnsi="Calibri" w:cs="Times New Roman"/>
                <w:color w:val="auto"/>
                <w:kern w:val="2"/>
                <w:sz w:val="21"/>
                <w:szCs w:val="24"/>
              </w:rPr>
              <w:t>财产一切险</w:t>
            </w:r>
          </w:p>
        </w:tc>
        <w:tc>
          <w:tcPr>
            <w:tcW w:w="4317"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19" w:type="dxa"/>
            <w:vMerge w:val="continue"/>
            <w:noWrap w:val="0"/>
            <w:vAlign w:val="top"/>
          </w:tcPr>
          <w:p>
            <w:pPr>
              <w:autoSpaceDE/>
              <w:autoSpaceDN/>
              <w:spacing w:before="156" w:beforeLines="50" w:line="300" w:lineRule="exact"/>
              <w:ind w:firstLine="480" w:firstLineChars="200"/>
              <w:jc w:val="center"/>
              <w:rPr>
                <w:rFonts w:ascii="Calibri" w:hAnsi="Calibri" w:cs="Times New Roman"/>
                <w:color w:val="auto"/>
                <w:kern w:val="2"/>
                <w:sz w:val="24"/>
                <w:szCs w:val="24"/>
              </w:rPr>
            </w:pPr>
          </w:p>
        </w:tc>
        <w:tc>
          <w:tcPr>
            <w:tcW w:w="2165" w:type="dxa"/>
            <w:noWrap w:val="0"/>
            <w:vAlign w:val="center"/>
          </w:tcPr>
          <w:p>
            <w:pPr>
              <w:autoSpaceDE/>
              <w:autoSpaceDN/>
              <w:spacing w:before="156" w:beforeLines="50" w:line="300" w:lineRule="exact"/>
              <w:jc w:val="center"/>
              <w:rPr>
                <w:rFonts w:ascii="Calibri" w:hAnsi="Calibri" w:cs="Times New Roman"/>
                <w:color w:val="auto"/>
                <w:kern w:val="2"/>
                <w:sz w:val="21"/>
                <w:szCs w:val="24"/>
              </w:rPr>
            </w:pPr>
            <w:r>
              <w:rPr>
                <w:rFonts w:hint="eastAsia" w:ascii="Calibri" w:hAnsi="Calibri" w:cs="Times New Roman"/>
                <w:color w:val="auto"/>
                <w:kern w:val="2"/>
                <w:sz w:val="21"/>
                <w:szCs w:val="24"/>
              </w:rPr>
              <w:t>公众责任险</w:t>
            </w:r>
          </w:p>
        </w:tc>
        <w:tc>
          <w:tcPr>
            <w:tcW w:w="4317"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19" w:type="dxa"/>
            <w:vMerge w:val="continue"/>
            <w:noWrap w:val="0"/>
            <w:vAlign w:val="top"/>
          </w:tcPr>
          <w:p>
            <w:pPr>
              <w:autoSpaceDE/>
              <w:autoSpaceDN/>
              <w:spacing w:before="156" w:beforeLines="50" w:line="300" w:lineRule="exact"/>
              <w:ind w:firstLine="480" w:firstLineChars="200"/>
              <w:jc w:val="center"/>
              <w:rPr>
                <w:rFonts w:ascii="Calibri" w:hAnsi="Calibri" w:cs="Times New Roman"/>
                <w:color w:val="auto"/>
                <w:kern w:val="2"/>
                <w:sz w:val="24"/>
                <w:szCs w:val="24"/>
              </w:rPr>
            </w:pPr>
          </w:p>
        </w:tc>
        <w:tc>
          <w:tcPr>
            <w:tcW w:w="2165" w:type="dxa"/>
            <w:noWrap w:val="0"/>
            <w:vAlign w:val="center"/>
          </w:tcPr>
          <w:p>
            <w:pPr>
              <w:autoSpaceDE/>
              <w:autoSpaceDN/>
              <w:spacing w:before="156" w:beforeLines="50" w:line="300" w:lineRule="exact"/>
              <w:jc w:val="center"/>
              <w:rPr>
                <w:rFonts w:ascii="Calibri" w:hAnsi="Calibri" w:cs="Times New Roman"/>
                <w:color w:val="auto"/>
                <w:kern w:val="2"/>
                <w:sz w:val="21"/>
                <w:szCs w:val="24"/>
              </w:rPr>
            </w:pPr>
            <w:r>
              <w:rPr>
                <w:rFonts w:hint="eastAsia" w:ascii="Calibri" w:hAnsi="Calibri" w:cs="Times New Roman"/>
                <w:color w:val="auto"/>
                <w:kern w:val="2"/>
                <w:sz w:val="21"/>
                <w:szCs w:val="24"/>
              </w:rPr>
              <w:t>营业中断险</w:t>
            </w:r>
          </w:p>
        </w:tc>
        <w:tc>
          <w:tcPr>
            <w:tcW w:w="4317"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19" w:type="dxa"/>
            <w:vMerge w:val="continue"/>
            <w:noWrap w:val="0"/>
            <w:vAlign w:val="top"/>
          </w:tcPr>
          <w:p>
            <w:pPr>
              <w:autoSpaceDE/>
              <w:autoSpaceDN/>
              <w:spacing w:before="156" w:beforeLines="50" w:line="300" w:lineRule="exact"/>
              <w:ind w:firstLine="480" w:firstLineChars="200"/>
              <w:jc w:val="center"/>
              <w:rPr>
                <w:rFonts w:ascii="Calibri" w:hAnsi="Calibri" w:cs="Times New Roman"/>
                <w:color w:val="auto"/>
                <w:kern w:val="2"/>
                <w:sz w:val="24"/>
                <w:szCs w:val="24"/>
              </w:rPr>
            </w:pPr>
          </w:p>
        </w:tc>
        <w:tc>
          <w:tcPr>
            <w:tcW w:w="2165" w:type="dxa"/>
            <w:noWrap w:val="0"/>
            <w:vAlign w:val="center"/>
          </w:tcPr>
          <w:p>
            <w:pPr>
              <w:autoSpaceDE/>
              <w:autoSpaceDN/>
              <w:spacing w:before="156" w:beforeLines="50" w:line="300" w:lineRule="exact"/>
              <w:jc w:val="center"/>
              <w:rPr>
                <w:rFonts w:ascii="Calibri" w:hAnsi="Calibri" w:cs="Times New Roman"/>
                <w:color w:val="auto"/>
                <w:kern w:val="2"/>
                <w:sz w:val="21"/>
                <w:szCs w:val="24"/>
              </w:rPr>
            </w:pPr>
            <w:r>
              <w:rPr>
                <w:rFonts w:hint="eastAsia" w:ascii="Calibri" w:hAnsi="Calibri" w:cs="Times New Roman"/>
                <w:color w:val="auto"/>
                <w:kern w:val="2"/>
                <w:sz w:val="21"/>
                <w:szCs w:val="24"/>
              </w:rPr>
              <w:t>现金险</w:t>
            </w:r>
          </w:p>
        </w:tc>
        <w:tc>
          <w:tcPr>
            <w:tcW w:w="4317" w:type="dxa"/>
            <w:noWrap w:val="0"/>
            <w:vAlign w:val="top"/>
          </w:tcPr>
          <w:p>
            <w:pPr>
              <w:autoSpaceDE/>
              <w:autoSpaceDN/>
              <w:spacing w:before="156" w:beforeLines="50" w:line="300" w:lineRule="exact"/>
              <w:ind w:firstLine="480" w:firstLineChars="200"/>
              <w:jc w:val="both"/>
              <w:rPr>
                <w:rFonts w:ascii="Calibri" w:hAnsi="Calibri"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01" w:type="dxa"/>
            <w:gridSpan w:val="3"/>
            <w:noWrap w:val="0"/>
            <w:vAlign w:val="top"/>
          </w:tcPr>
          <w:p>
            <w:pPr>
              <w:autoSpaceDE/>
              <w:autoSpaceDN/>
              <w:spacing w:before="156" w:beforeLines="50" w:line="300" w:lineRule="exact"/>
              <w:ind w:firstLine="482" w:firstLineChars="200"/>
              <w:jc w:val="both"/>
              <w:rPr>
                <w:rFonts w:ascii="Calibri" w:hAnsi="Calibri" w:cs="Times New Roman"/>
                <w:color w:val="auto"/>
                <w:kern w:val="2"/>
                <w:sz w:val="24"/>
                <w:szCs w:val="24"/>
              </w:rPr>
            </w:pPr>
            <w:r>
              <w:rPr>
                <w:rFonts w:ascii="Calibri" w:hAnsi="Calibri" w:cs="Times New Roman"/>
                <w:b/>
                <w:color w:val="auto"/>
                <w:kern w:val="2"/>
                <w:sz w:val="24"/>
                <w:szCs w:val="24"/>
              </w:rPr>
              <w:t>保费合计人民币：（大写）</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  </w:t>
            </w:r>
            <w:r>
              <w:rPr>
                <w:rFonts w:hint="eastAsia" w:ascii="Calibri" w:hAnsi="Calibri" w:cs="Times New Roman"/>
                <w:b/>
                <w:color w:val="auto"/>
                <w:kern w:val="2"/>
                <w:sz w:val="24"/>
                <w:szCs w:val="24"/>
              </w:rPr>
              <w:t xml:space="preserve">      </w:t>
            </w:r>
            <w:r>
              <w:rPr>
                <w:rFonts w:ascii="Calibri" w:hAnsi="Calibri" w:cs="Times New Roman"/>
                <w:b/>
                <w:color w:val="auto"/>
                <w:kern w:val="2"/>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01" w:type="dxa"/>
            <w:gridSpan w:val="3"/>
            <w:noWrap w:val="0"/>
            <w:vAlign w:val="top"/>
          </w:tcPr>
          <w:p>
            <w:pPr>
              <w:autoSpaceDE/>
              <w:autoSpaceDN/>
              <w:spacing w:before="156" w:beforeLines="50" w:line="300" w:lineRule="exact"/>
              <w:ind w:firstLine="482" w:firstLineChars="200"/>
              <w:jc w:val="both"/>
              <w:rPr>
                <w:rFonts w:ascii="Calibri" w:hAnsi="Calibri" w:cs="Times New Roman"/>
                <w:b/>
                <w:color w:val="auto"/>
                <w:kern w:val="2"/>
                <w:sz w:val="24"/>
                <w:szCs w:val="24"/>
              </w:rPr>
            </w:pPr>
            <w:r>
              <w:rPr>
                <w:rFonts w:ascii="Calibri" w:hAnsi="Calibri" w:cs="Times New Roman"/>
                <w:b/>
                <w:color w:val="auto"/>
                <w:kern w:val="2"/>
                <w:sz w:val="24"/>
                <w:szCs w:val="24"/>
              </w:rPr>
              <w:t>报价说明：</w:t>
            </w:r>
            <w:r>
              <w:rPr>
                <w:rFonts w:hint="eastAsia" w:ascii="Calibri" w:hAnsi="Calibri" w:cs="Times New Roman"/>
                <w:b/>
                <w:color w:val="auto"/>
                <w:kern w:val="2"/>
                <w:sz w:val="24"/>
                <w:szCs w:val="24"/>
              </w:rPr>
              <w:t>保费均保留2位小数。</w:t>
            </w:r>
          </w:p>
        </w:tc>
      </w:tr>
    </w:tbl>
    <w:p>
      <w:pPr>
        <w:jc w:val="center"/>
        <w:rPr>
          <w:color w:val="auto"/>
        </w:rPr>
      </w:pPr>
    </w:p>
    <w:p>
      <w:pPr>
        <w:pStyle w:val="34"/>
        <w:jc w:val="center"/>
        <w:rPr>
          <w:color w:val="auto"/>
        </w:rPr>
      </w:pPr>
    </w:p>
    <w:p>
      <w:pPr>
        <w:jc w:val="center"/>
        <w:rPr>
          <w:color w:val="auto"/>
        </w:rPr>
      </w:pPr>
    </w:p>
    <w:p>
      <w:pPr>
        <w:pStyle w:val="34"/>
        <w:jc w:val="center"/>
        <w:rPr>
          <w:color w:val="auto"/>
        </w:rPr>
      </w:pPr>
    </w:p>
    <w:p>
      <w:pPr>
        <w:jc w:val="center"/>
        <w:rPr>
          <w:color w:val="auto"/>
        </w:rPr>
      </w:pPr>
    </w:p>
    <w:p>
      <w:pPr>
        <w:pStyle w:val="34"/>
        <w:jc w:val="center"/>
        <w:rPr>
          <w:color w:val="auto"/>
        </w:rPr>
      </w:pPr>
    </w:p>
    <w:p>
      <w:pPr>
        <w:jc w:val="center"/>
        <w:rPr>
          <w:color w:val="auto"/>
        </w:rPr>
      </w:pPr>
    </w:p>
    <w:p>
      <w:pPr>
        <w:pStyle w:val="34"/>
        <w:jc w:val="center"/>
        <w:rPr>
          <w:color w:val="auto"/>
        </w:rPr>
      </w:pPr>
    </w:p>
    <w:p>
      <w:pPr>
        <w:jc w:val="center"/>
        <w:rPr>
          <w:color w:val="auto"/>
        </w:rPr>
      </w:pPr>
    </w:p>
    <w:p>
      <w:pPr>
        <w:pStyle w:val="34"/>
        <w:jc w:val="center"/>
        <w:rPr>
          <w:color w:val="auto"/>
        </w:rPr>
      </w:pPr>
    </w:p>
    <w:p>
      <w:pPr>
        <w:widowControl/>
        <w:jc w:val="left"/>
        <w:rPr>
          <w:rFonts w:ascii="宋体" w:hAnsi="宋体"/>
          <w:b/>
          <w:color w:val="auto"/>
          <w:sz w:val="32"/>
          <w:szCs w:val="20"/>
        </w:rPr>
      </w:pPr>
      <w:r>
        <w:rPr>
          <w:rFonts w:ascii="宋体" w:hAnsi="宋体"/>
          <w:color w:val="auto"/>
        </w:rPr>
        <w:br w:type="page"/>
      </w:r>
    </w:p>
    <w:bookmarkEnd w:id="189"/>
    <w:bookmarkEnd w:id="190"/>
    <w:p>
      <w:pPr>
        <w:pStyle w:val="5"/>
        <w:jc w:val="center"/>
        <w:rPr>
          <w:rFonts w:ascii="宋体" w:hAnsi="宋体"/>
          <w:color w:val="auto"/>
        </w:rPr>
      </w:pPr>
      <w:r>
        <w:rPr>
          <w:rFonts w:hint="eastAsia" w:ascii="宋体" w:hAnsi="宋体"/>
          <w:color w:val="auto"/>
        </w:rPr>
        <w:t>二、</w:t>
      </w:r>
      <w:r>
        <w:rPr>
          <w:rFonts w:ascii="宋体" w:hAnsi="宋体"/>
          <w:color w:val="auto"/>
        </w:rPr>
        <w:t>法定</w:t>
      </w:r>
      <w:r>
        <w:rPr>
          <w:rFonts w:hint="eastAsia" w:ascii="宋体" w:hAnsi="宋体"/>
          <w:color w:val="auto"/>
        </w:rPr>
        <w:t>负责</w:t>
      </w:r>
      <w:r>
        <w:rPr>
          <w:rFonts w:ascii="宋体" w:hAnsi="宋体"/>
          <w:color w:val="auto"/>
        </w:rPr>
        <w:t>人身份证明</w:t>
      </w:r>
      <w:r>
        <w:rPr>
          <w:rFonts w:hint="eastAsia" w:ascii="宋体" w:hAnsi="宋体"/>
          <w:color w:val="auto"/>
        </w:rPr>
        <w:t>及法定负责人的授权委托书</w:t>
      </w:r>
    </w:p>
    <w:p>
      <w:pPr>
        <w:topLinePunct/>
        <w:spacing w:before="156" w:beforeLines="50" w:after="156" w:afterLines="50" w:line="360" w:lineRule="auto"/>
        <w:ind w:firstLine="602" w:firstLineChars="200"/>
        <w:jc w:val="center"/>
        <w:rPr>
          <w:rFonts w:ascii="宋体" w:hAnsi="宋体"/>
          <w:b/>
          <w:color w:val="auto"/>
          <w:sz w:val="30"/>
          <w:szCs w:val="30"/>
        </w:rPr>
      </w:pPr>
      <w:r>
        <w:rPr>
          <w:rFonts w:hint="eastAsia" w:ascii="宋体" w:hAnsi="宋体"/>
          <w:b/>
          <w:color w:val="auto"/>
          <w:sz w:val="30"/>
          <w:szCs w:val="30"/>
        </w:rPr>
        <w:t>（一）法定负责人身份证明</w:t>
      </w:r>
    </w:p>
    <w:p>
      <w:pPr>
        <w:spacing w:line="360" w:lineRule="auto"/>
        <w:ind w:firstLine="420" w:firstLineChars="200"/>
        <w:rPr>
          <w:rFonts w:ascii="宋体" w:hAnsi="宋体"/>
          <w:color w:val="auto"/>
          <w:szCs w:val="21"/>
        </w:rPr>
      </w:pPr>
    </w:p>
    <w:p>
      <w:pPr>
        <w:spacing w:line="360" w:lineRule="auto"/>
        <w:ind w:firstLine="480" w:firstLineChars="200"/>
        <w:rPr>
          <w:rFonts w:ascii="宋体" w:hAnsi="宋体"/>
          <w:color w:val="auto"/>
          <w:sz w:val="24"/>
        </w:rPr>
      </w:pPr>
      <w:r>
        <w:rPr>
          <w:rFonts w:ascii="宋体" w:hAnsi="宋体"/>
          <w:color w:val="auto"/>
          <w:sz w:val="24"/>
        </w:rPr>
        <w:t>投标人名称：</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pPr>
        <w:spacing w:line="360" w:lineRule="auto"/>
        <w:ind w:firstLine="480" w:firstLineChars="200"/>
        <w:rPr>
          <w:rFonts w:ascii="宋体" w:hAnsi="宋体"/>
          <w:color w:val="auto"/>
          <w:sz w:val="24"/>
        </w:rPr>
      </w:pPr>
      <w:r>
        <w:rPr>
          <w:rFonts w:ascii="宋体" w:hAnsi="宋体"/>
          <w:color w:val="auto"/>
          <w:sz w:val="24"/>
        </w:rPr>
        <w:t>单位性质：</w:t>
      </w:r>
      <w:r>
        <w:rPr>
          <w:rFonts w:ascii="宋体" w:hAnsi="宋体"/>
          <w:color w:val="auto"/>
          <w:sz w:val="24"/>
          <w:u w:val="single"/>
        </w:rPr>
        <w:t xml:space="preserve">                               </w:t>
      </w:r>
      <w:r>
        <w:rPr>
          <w:rFonts w:ascii="宋体" w:hAnsi="宋体"/>
          <w:color w:val="auto"/>
          <w:sz w:val="24"/>
        </w:rPr>
        <w:t xml:space="preserve"> </w:t>
      </w:r>
    </w:p>
    <w:p>
      <w:pPr>
        <w:spacing w:line="360" w:lineRule="auto"/>
        <w:ind w:firstLine="480" w:firstLineChars="200"/>
        <w:rPr>
          <w:rFonts w:ascii="宋体" w:hAnsi="宋体"/>
          <w:color w:val="auto"/>
          <w:sz w:val="24"/>
        </w:rPr>
      </w:pPr>
      <w:r>
        <w:rPr>
          <w:rFonts w:ascii="宋体" w:hAnsi="宋体"/>
          <w:color w:val="auto"/>
          <w:sz w:val="24"/>
        </w:rPr>
        <w:t>地</w:t>
      </w:r>
      <w:r>
        <w:rPr>
          <w:rFonts w:hint="eastAsia" w:ascii="宋体" w:hAnsi="宋体"/>
          <w:color w:val="auto"/>
          <w:sz w:val="24"/>
        </w:rPr>
        <w:t xml:space="preserve">    </w:t>
      </w:r>
      <w:r>
        <w:rPr>
          <w:rFonts w:ascii="宋体" w:hAnsi="宋体"/>
          <w:color w:val="auto"/>
          <w:sz w:val="24"/>
        </w:rPr>
        <w:t>址：</w:t>
      </w:r>
      <w:r>
        <w:rPr>
          <w:rFonts w:ascii="宋体" w:hAnsi="宋体"/>
          <w:color w:val="auto"/>
          <w:sz w:val="24"/>
          <w:u w:val="single"/>
        </w:rPr>
        <w:t xml:space="preserve">                               </w:t>
      </w:r>
    </w:p>
    <w:p>
      <w:pPr>
        <w:spacing w:line="360" w:lineRule="auto"/>
        <w:ind w:firstLine="480" w:firstLineChars="200"/>
        <w:rPr>
          <w:rFonts w:ascii="宋体" w:hAnsi="宋体"/>
          <w:color w:val="auto"/>
          <w:sz w:val="24"/>
        </w:rPr>
      </w:pPr>
      <w:r>
        <w:rPr>
          <w:rFonts w:ascii="宋体" w:hAnsi="宋体"/>
          <w:color w:val="auto"/>
          <w:sz w:val="24"/>
        </w:rPr>
        <w:t>成立时间：</w:t>
      </w:r>
      <w:r>
        <w:rPr>
          <w:rFonts w:ascii="宋体" w:hAnsi="宋体"/>
          <w:color w:val="auto"/>
          <w:sz w:val="24"/>
          <w:u w:val="single"/>
        </w:rPr>
        <w:t xml:space="preserve">         </w:t>
      </w:r>
      <w:r>
        <w:rPr>
          <w:rFonts w:ascii="宋体" w:hAnsi="宋体"/>
          <w:color w:val="auto"/>
          <w:sz w:val="24"/>
        </w:rPr>
        <w:t xml:space="preserve"> 年</w:t>
      </w:r>
      <w:r>
        <w:rPr>
          <w:rFonts w:ascii="宋体" w:hAnsi="宋体"/>
          <w:color w:val="auto"/>
          <w:sz w:val="24"/>
          <w:u w:val="single"/>
        </w:rPr>
        <w:t xml:space="preserve">       </w:t>
      </w:r>
      <w:r>
        <w:rPr>
          <w:rFonts w:ascii="宋体" w:hAnsi="宋体"/>
          <w:color w:val="auto"/>
          <w:sz w:val="24"/>
        </w:rPr>
        <w:t xml:space="preserve"> 月</w:t>
      </w:r>
      <w:r>
        <w:rPr>
          <w:rFonts w:ascii="宋体" w:hAnsi="宋体"/>
          <w:color w:val="auto"/>
          <w:sz w:val="24"/>
          <w:u w:val="single"/>
        </w:rPr>
        <w:t xml:space="preserve">       </w:t>
      </w:r>
      <w:r>
        <w:rPr>
          <w:rFonts w:ascii="宋体" w:hAnsi="宋体"/>
          <w:color w:val="auto"/>
          <w:sz w:val="24"/>
        </w:rPr>
        <w:t xml:space="preserve"> 日</w:t>
      </w:r>
    </w:p>
    <w:p>
      <w:pPr>
        <w:spacing w:line="360" w:lineRule="auto"/>
        <w:ind w:firstLine="480" w:firstLineChars="200"/>
        <w:rPr>
          <w:rFonts w:ascii="宋体" w:hAnsi="宋体"/>
          <w:color w:val="auto"/>
          <w:sz w:val="24"/>
          <w:u w:val="single"/>
        </w:rPr>
      </w:pPr>
      <w:r>
        <w:rPr>
          <w:rFonts w:ascii="宋体" w:hAnsi="宋体"/>
          <w:color w:val="auto"/>
          <w:sz w:val="24"/>
        </w:rPr>
        <w:t>姓名：</w:t>
      </w:r>
      <w:r>
        <w:rPr>
          <w:rFonts w:hint="eastAsia" w:ascii="宋体" w:hAnsi="宋体"/>
          <w:b/>
          <w:color w:val="auto"/>
          <w:sz w:val="24"/>
          <w:u w:val="single"/>
        </w:rPr>
        <w:t xml:space="preserve">    </w:t>
      </w:r>
      <w:r>
        <w:rPr>
          <w:rFonts w:ascii="宋体" w:hAnsi="宋体"/>
          <w:color w:val="auto"/>
          <w:sz w:val="24"/>
        </w:rPr>
        <w:t xml:space="preserve"> 性别：</w:t>
      </w:r>
      <w:r>
        <w:rPr>
          <w:rFonts w:ascii="宋体" w:hAnsi="宋体"/>
          <w:color w:val="auto"/>
          <w:sz w:val="24"/>
          <w:u w:val="single"/>
        </w:rPr>
        <w:t xml:space="preserve">     </w:t>
      </w:r>
      <w:r>
        <w:rPr>
          <w:rFonts w:ascii="宋体" w:hAnsi="宋体"/>
          <w:color w:val="auto"/>
          <w:sz w:val="24"/>
        </w:rPr>
        <w:t>年龄：</w:t>
      </w:r>
      <w:r>
        <w:rPr>
          <w:rFonts w:ascii="宋体" w:hAnsi="宋体"/>
          <w:color w:val="auto"/>
          <w:sz w:val="24"/>
          <w:u w:val="single"/>
        </w:rPr>
        <w:t xml:space="preserve">     </w:t>
      </w:r>
      <w:r>
        <w:rPr>
          <w:rFonts w:ascii="宋体" w:hAnsi="宋体"/>
          <w:color w:val="auto"/>
          <w:sz w:val="24"/>
        </w:rPr>
        <w:t>职务：</w:t>
      </w:r>
      <w:r>
        <w:rPr>
          <w:rFonts w:ascii="宋体" w:hAnsi="宋体"/>
          <w:color w:val="auto"/>
          <w:sz w:val="24"/>
          <w:u w:val="single"/>
        </w:rPr>
        <w:t xml:space="preserve">    </w:t>
      </w:r>
      <w:r>
        <w:rPr>
          <w:rFonts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投标人名称</w:t>
      </w:r>
      <w:r>
        <w:rPr>
          <w:rFonts w:hint="eastAsia" w:ascii="宋体" w:hAnsi="宋体"/>
          <w:color w:val="auto"/>
          <w:sz w:val="24"/>
          <w:u w:val="single"/>
        </w:rPr>
        <w:t xml:space="preserve">）  </w:t>
      </w:r>
      <w:r>
        <w:rPr>
          <w:rFonts w:ascii="宋体" w:hAnsi="宋体"/>
          <w:color w:val="auto"/>
          <w:sz w:val="24"/>
        </w:rPr>
        <w:t>的</w:t>
      </w:r>
      <w:r>
        <w:rPr>
          <w:rFonts w:hint="eastAsia" w:ascii="宋体" w:hAnsi="宋体"/>
          <w:color w:val="auto"/>
          <w:sz w:val="24"/>
        </w:rPr>
        <w:t>法定负责人</w:t>
      </w:r>
      <w:r>
        <w:rPr>
          <w:rFonts w:ascii="宋体" w:hAnsi="宋体"/>
          <w:color w:val="auto"/>
          <w:sz w:val="24"/>
        </w:rPr>
        <w:t>。</w:t>
      </w:r>
    </w:p>
    <w:p>
      <w:pPr>
        <w:spacing w:line="440" w:lineRule="exact"/>
        <w:ind w:firstLine="480" w:firstLineChars="200"/>
        <w:rPr>
          <w:rFonts w:ascii="宋体" w:hAnsi="宋体"/>
          <w:color w:val="auto"/>
          <w:sz w:val="24"/>
        </w:rPr>
      </w:pPr>
    </w:p>
    <w:p>
      <w:pPr>
        <w:spacing w:line="440" w:lineRule="exact"/>
        <w:ind w:firstLine="1080" w:firstLineChars="450"/>
        <w:rPr>
          <w:rFonts w:ascii="宋体" w:hAnsi="宋体"/>
          <w:color w:val="auto"/>
          <w:sz w:val="24"/>
        </w:rPr>
      </w:pPr>
      <w:r>
        <w:rPr>
          <w:rFonts w:ascii="宋体" w:hAnsi="宋体"/>
          <w:color w:val="auto"/>
          <w:sz w:val="24"/>
        </w:rPr>
        <w:t>特此证明。</w:t>
      </w: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投标人：</w:t>
      </w:r>
      <w:r>
        <w:rPr>
          <w:rFonts w:ascii="宋体" w:hAnsi="宋体"/>
          <w:color w:val="auto"/>
          <w:sz w:val="24"/>
          <w:u w:val="single"/>
        </w:rPr>
        <w:t xml:space="preserve">                 </w:t>
      </w:r>
      <w:r>
        <w:rPr>
          <w:rFonts w:ascii="宋体" w:hAnsi="宋体"/>
          <w:color w:val="auto"/>
          <w:sz w:val="24"/>
        </w:rPr>
        <w:t>（盖单位章）</w:t>
      </w:r>
    </w:p>
    <w:p>
      <w:pPr>
        <w:spacing w:line="440" w:lineRule="exact"/>
        <w:rPr>
          <w:rFonts w:ascii="宋体" w:hAnsi="宋体"/>
          <w:color w:val="auto"/>
          <w:szCs w:val="21"/>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 xml:space="preserve">日 </w:t>
      </w:r>
      <w:r>
        <w:rPr>
          <w:rFonts w:ascii="宋体" w:hAnsi="宋体"/>
          <w:color w:val="auto"/>
          <w:szCs w:val="21"/>
        </w:rPr>
        <w:t xml:space="preserve">          </w:t>
      </w: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420" w:firstLineChars="200"/>
        <w:rPr>
          <w:rFonts w:ascii="宋体" w:hAnsi="宋体"/>
          <w:color w:val="auto"/>
          <w:szCs w:val="21"/>
        </w:rPr>
      </w:pPr>
    </w:p>
    <w:p>
      <w:pPr>
        <w:ind w:firstLine="420" w:firstLineChars="200"/>
        <w:rPr>
          <w:rFonts w:ascii="宋体" w:hAnsi="宋体"/>
          <w:color w:val="auto"/>
          <w:szCs w:val="21"/>
        </w:rPr>
      </w:pPr>
    </w:p>
    <w:p>
      <w:pPr>
        <w:spacing w:before="156" w:beforeLines="50" w:after="156" w:afterLines="50" w:line="360" w:lineRule="auto"/>
        <w:jc w:val="center"/>
        <w:rPr>
          <w:rFonts w:ascii="宋体" w:hAnsi="宋体"/>
          <w:b/>
          <w:color w:val="auto"/>
          <w:sz w:val="24"/>
        </w:rPr>
      </w:pPr>
      <w:r>
        <w:rPr>
          <w:rFonts w:hint="eastAsia" w:ascii="宋体" w:hAnsi="宋体"/>
          <w:b/>
          <w:color w:val="auto"/>
        </w:rPr>
        <w:br w:type="page"/>
      </w:r>
      <w:r>
        <w:rPr>
          <w:rFonts w:hint="eastAsia" w:ascii="宋体" w:hAnsi="宋体"/>
          <w:b/>
          <w:color w:val="auto"/>
          <w:sz w:val="30"/>
          <w:szCs w:val="30"/>
        </w:rPr>
        <w:t>（</w:t>
      </w:r>
      <w:r>
        <w:rPr>
          <w:rFonts w:hint="eastAsia" w:ascii="宋体" w:hAnsi="宋体"/>
          <w:b/>
          <w:color w:val="auto"/>
          <w:sz w:val="32"/>
        </w:rPr>
        <w:t>二）</w:t>
      </w:r>
      <w:r>
        <w:rPr>
          <w:rFonts w:ascii="宋体" w:hAnsi="宋体"/>
          <w:b/>
          <w:color w:val="auto"/>
          <w:sz w:val="32"/>
        </w:rPr>
        <w:t>授权</w:t>
      </w:r>
      <w:r>
        <w:rPr>
          <w:rFonts w:hint="eastAsia" w:ascii="宋体" w:hAnsi="宋体"/>
          <w:b/>
          <w:color w:val="auto"/>
          <w:sz w:val="32"/>
        </w:rPr>
        <w:t>委托</w:t>
      </w:r>
      <w:r>
        <w:rPr>
          <w:rFonts w:ascii="宋体" w:hAnsi="宋体"/>
          <w:b/>
          <w:color w:val="auto"/>
          <w:sz w:val="32"/>
        </w:rPr>
        <w:t>书</w:t>
      </w:r>
    </w:p>
    <w:p>
      <w:pPr>
        <w:topLinePunct/>
        <w:spacing w:line="360" w:lineRule="auto"/>
        <w:ind w:firstLine="480" w:firstLineChars="200"/>
        <w:rPr>
          <w:rFonts w:ascii="宋体" w:hAnsi="宋体"/>
          <w:color w:val="auto"/>
          <w:sz w:val="24"/>
        </w:rPr>
      </w:pPr>
      <w:r>
        <w:rPr>
          <w:rFonts w:ascii="宋体" w:hAnsi="宋体"/>
          <w:color w:val="auto"/>
          <w:sz w:val="24"/>
        </w:rPr>
        <w:t>本人</w:t>
      </w:r>
      <w:r>
        <w:rPr>
          <w:rFonts w:ascii="宋体" w:hAnsi="宋体"/>
          <w:color w:val="auto"/>
          <w:sz w:val="24"/>
          <w:u w:val="single"/>
        </w:rPr>
        <w:t xml:space="preserve">       </w:t>
      </w:r>
      <w:r>
        <w:rPr>
          <w:rFonts w:ascii="宋体" w:hAnsi="宋体"/>
          <w:color w:val="auto"/>
          <w:sz w:val="24"/>
        </w:rPr>
        <w:t>（姓名）系</w:t>
      </w:r>
      <w:r>
        <w:rPr>
          <w:rFonts w:ascii="宋体" w:hAnsi="宋体"/>
          <w:color w:val="auto"/>
          <w:sz w:val="24"/>
          <w:u w:val="single"/>
        </w:rPr>
        <w:t xml:space="preserve">        </w:t>
      </w:r>
      <w:r>
        <w:rPr>
          <w:rFonts w:ascii="宋体" w:hAnsi="宋体"/>
          <w:color w:val="auto"/>
          <w:sz w:val="24"/>
        </w:rPr>
        <w:t>（投标人名称）的法定</w:t>
      </w:r>
      <w:r>
        <w:rPr>
          <w:rFonts w:hint="eastAsia" w:ascii="宋体" w:hAnsi="宋体"/>
          <w:color w:val="auto"/>
          <w:sz w:val="24"/>
        </w:rPr>
        <w:t>负责</w:t>
      </w:r>
      <w:r>
        <w:rPr>
          <w:rFonts w:ascii="宋体" w:hAnsi="宋体"/>
          <w:color w:val="auto"/>
          <w:sz w:val="24"/>
        </w:rPr>
        <w:t>人，现委托</w:t>
      </w:r>
      <w:r>
        <w:rPr>
          <w:rFonts w:ascii="宋体" w:hAnsi="宋体"/>
          <w:color w:val="auto"/>
          <w:sz w:val="24"/>
          <w:u w:val="single"/>
        </w:rPr>
        <w:t xml:space="preserve">        </w:t>
      </w:r>
      <w:r>
        <w:rPr>
          <w:rFonts w:ascii="宋体" w:hAnsi="宋体"/>
          <w:color w:val="auto"/>
          <w:sz w:val="24"/>
        </w:rPr>
        <w:t>（姓名）为我方代理人。代理人根据授权，以我方名义签署、澄清</w:t>
      </w:r>
      <w:r>
        <w:rPr>
          <w:rFonts w:hint="eastAsia" w:ascii="宋体" w:hAnsi="宋体"/>
          <w:color w:val="auto"/>
          <w:sz w:val="24"/>
        </w:rPr>
        <w:t>、说明、补正</w:t>
      </w:r>
      <w:r>
        <w:rPr>
          <w:rFonts w:ascii="宋体" w:hAnsi="宋体"/>
          <w:color w:val="auto"/>
          <w:sz w:val="24"/>
        </w:rPr>
        <w:t>、递交、撤回、修改</w:t>
      </w:r>
      <w:r>
        <w:rPr>
          <w:rFonts w:hint="eastAsia" w:ascii="宋体" w:hAnsi="宋体" w:cs="宋体"/>
          <w:b/>
          <w:color w:val="auto"/>
          <w:kern w:val="0"/>
          <w:sz w:val="24"/>
          <w:u w:val="single"/>
          <w:lang w:eastAsia="zh-CN"/>
        </w:rPr>
        <w:t>重庆渝合高速公路有限公司2021-2024年运营保险项目（第二次）</w:t>
      </w:r>
      <w:r>
        <w:rPr>
          <w:rFonts w:ascii="宋体" w:hAnsi="宋体"/>
          <w:color w:val="auto"/>
          <w:sz w:val="24"/>
        </w:rPr>
        <w:t>的投标文件、签订合同和处理有关事宜，其法律后果由我方承担。</w:t>
      </w:r>
    </w:p>
    <w:p>
      <w:pPr>
        <w:spacing w:line="360" w:lineRule="auto"/>
        <w:ind w:firstLine="200"/>
        <w:rPr>
          <w:rFonts w:ascii="宋体" w:hAnsi="宋体"/>
          <w:color w:val="auto"/>
          <w:sz w:val="24"/>
        </w:rPr>
      </w:pPr>
      <w:r>
        <w:rPr>
          <w:rFonts w:ascii="宋体" w:hAnsi="宋体"/>
          <w:color w:val="auto"/>
          <w:sz w:val="24"/>
        </w:rPr>
        <w:t xml:space="preserve">  委托期限：</w:t>
      </w:r>
      <w:r>
        <w:rPr>
          <w:rFonts w:hint="eastAsia" w:ascii="宋体" w:hAnsi="宋体"/>
          <w:color w:val="auto"/>
          <w:sz w:val="24"/>
          <w:u w:val="single"/>
        </w:rPr>
        <w:t>本项目投标有效期内</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代理人无转委托权。</w:t>
      </w:r>
    </w:p>
    <w:p>
      <w:pPr>
        <w:spacing w:line="360" w:lineRule="auto"/>
        <w:ind w:firstLine="480" w:firstLineChars="200"/>
        <w:rPr>
          <w:rFonts w:ascii="宋体" w:hAnsi="宋体"/>
          <w:color w:val="auto"/>
          <w:sz w:val="24"/>
        </w:rPr>
      </w:pPr>
      <w:r>
        <w:rPr>
          <w:rFonts w:hint="eastAsia" w:ascii="宋体" w:hAnsi="宋体"/>
          <w:color w:val="auto"/>
          <w:sz w:val="24"/>
        </w:rPr>
        <w:t>附：授权人和被授权人的身份证复印件</w:t>
      </w:r>
    </w:p>
    <w:p>
      <w:pPr>
        <w:spacing w:line="440" w:lineRule="exact"/>
        <w:rPr>
          <w:rFonts w:ascii="宋体" w:hAnsi="宋体"/>
          <w:color w:val="auto"/>
          <w:sz w:val="24"/>
        </w:rPr>
      </w:pPr>
    </w:p>
    <w:p>
      <w:pPr>
        <w:spacing w:line="440" w:lineRule="exact"/>
        <w:jc w:val="right"/>
        <w:rPr>
          <w:rFonts w:ascii="宋体" w:hAnsi="宋体"/>
          <w:color w:val="auto"/>
          <w:sz w:val="24"/>
        </w:rPr>
      </w:pPr>
      <w:r>
        <w:rPr>
          <w:rFonts w:ascii="宋体" w:hAnsi="宋体"/>
          <w:color w:val="auto"/>
          <w:sz w:val="24"/>
        </w:rPr>
        <w:t>投标人：</w:t>
      </w:r>
      <w:r>
        <w:rPr>
          <w:rFonts w:ascii="宋体" w:hAnsi="宋体"/>
          <w:color w:val="auto"/>
          <w:sz w:val="24"/>
          <w:u w:val="single"/>
        </w:rPr>
        <w:t xml:space="preserve">                       </w:t>
      </w:r>
      <w:r>
        <w:rPr>
          <w:rFonts w:ascii="宋体" w:hAnsi="宋体"/>
          <w:color w:val="auto"/>
          <w:sz w:val="24"/>
        </w:rPr>
        <w:t>（盖单位章）</w:t>
      </w:r>
    </w:p>
    <w:p>
      <w:pPr>
        <w:spacing w:line="440" w:lineRule="exact"/>
        <w:ind w:firstLine="3480" w:firstLineChars="1450"/>
        <w:rPr>
          <w:rFonts w:ascii="宋体" w:hAnsi="宋体"/>
          <w:color w:val="auto"/>
          <w:sz w:val="24"/>
        </w:rPr>
      </w:pPr>
      <w:r>
        <w:rPr>
          <w:rFonts w:ascii="宋体" w:hAnsi="宋体"/>
          <w:color w:val="auto"/>
          <w:sz w:val="24"/>
        </w:rPr>
        <w:t>法定</w:t>
      </w:r>
      <w:r>
        <w:rPr>
          <w:rFonts w:hint="eastAsia" w:ascii="宋体" w:hAnsi="宋体"/>
          <w:color w:val="auto"/>
          <w:sz w:val="24"/>
        </w:rPr>
        <w:t>负责</w:t>
      </w:r>
      <w:r>
        <w:rPr>
          <w:rFonts w:ascii="宋体" w:hAnsi="宋体"/>
          <w:color w:val="auto"/>
          <w:sz w:val="24"/>
        </w:rPr>
        <w:t>人：</w:t>
      </w:r>
      <w:r>
        <w:rPr>
          <w:rFonts w:ascii="宋体" w:hAnsi="宋体"/>
          <w:color w:val="auto"/>
          <w:sz w:val="24"/>
          <w:u w:val="single"/>
        </w:rPr>
        <w:t xml:space="preserve">                       </w:t>
      </w:r>
      <w:r>
        <w:rPr>
          <w:rFonts w:ascii="宋体" w:hAnsi="宋体"/>
          <w:color w:val="auto"/>
          <w:sz w:val="24"/>
        </w:rPr>
        <w:t>（签字</w:t>
      </w:r>
      <w:r>
        <w:rPr>
          <w:rFonts w:hint="eastAsia" w:ascii="宋体" w:hAnsi="宋体"/>
          <w:color w:val="auto"/>
          <w:sz w:val="24"/>
        </w:rPr>
        <w:t>或签章</w:t>
      </w:r>
      <w:r>
        <w:rPr>
          <w:rFonts w:ascii="宋体" w:hAnsi="宋体"/>
          <w:color w:val="auto"/>
          <w:sz w:val="24"/>
        </w:rPr>
        <w:t>）</w:t>
      </w:r>
      <w:r>
        <w:rPr>
          <w:rFonts w:hint="eastAsia" w:ascii="宋体" w:hAnsi="宋体"/>
          <w:color w:val="auto"/>
          <w:sz w:val="24"/>
        </w:rPr>
        <w:t xml:space="preserve"> </w:t>
      </w:r>
    </w:p>
    <w:p>
      <w:pPr>
        <w:spacing w:line="440" w:lineRule="exact"/>
        <w:ind w:firstLine="3480" w:firstLineChars="1450"/>
        <w:rPr>
          <w:rFonts w:ascii="宋体" w:hAnsi="宋体"/>
          <w:color w:val="auto"/>
          <w:sz w:val="24"/>
        </w:rPr>
      </w:pPr>
      <w:r>
        <w:rPr>
          <w:rFonts w:ascii="宋体" w:hAnsi="宋体"/>
          <w:color w:val="auto"/>
          <w:sz w:val="24"/>
        </w:rPr>
        <w:t>身份证号码：</w:t>
      </w:r>
      <w:r>
        <w:rPr>
          <w:rFonts w:ascii="宋体" w:hAnsi="宋体"/>
          <w:color w:val="auto"/>
          <w:sz w:val="24"/>
          <w:u w:val="single"/>
        </w:rPr>
        <w:t xml:space="preserve">                            </w:t>
      </w:r>
    </w:p>
    <w:p>
      <w:pPr>
        <w:spacing w:line="440" w:lineRule="exact"/>
        <w:ind w:firstLine="3480" w:firstLineChars="1450"/>
        <w:rPr>
          <w:rFonts w:ascii="宋体" w:hAnsi="宋体"/>
          <w:color w:val="auto"/>
          <w:sz w:val="24"/>
        </w:rPr>
      </w:pPr>
      <w:r>
        <w:rPr>
          <w:rFonts w:ascii="宋体" w:hAnsi="宋体"/>
          <w:color w:val="auto"/>
          <w:sz w:val="24"/>
        </w:rPr>
        <w:t>委托代理人：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（签字</w:t>
      </w:r>
      <w:r>
        <w:rPr>
          <w:rFonts w:hint="eastAsia" w:ascii="宋体" w:hAnsi="宋体"/>
          <w:color w:val="auto"/>
          <w:sz w:val="24"/>
        </w:rPr>
        <w:t>或签章</w:t>
      </w:r>
      <w:r>
        <w:rPr>
          <w:rFonts w:ascii="宋体" w:hAnsi="宋体"/>
          <w:color w:val="auto"/>
          <w:sz w:val="24"/>
        </w:rPr>
        <w:t>）</w:t>
      </w:r>
      <w:r>
        <w:rPr>
          <w:rFonts w:hint="eastAsia" w:ascii="宋体" w:hAnsi="宋体"/>
          <w:color w:val="auto"/>
          <w:sz w:val="24"/>
        </w:rPr>
        <w:t xml:space="preserve"> </w:t>
      </w:r>
      <w:r>
        <w:rPr>
          <w:rFonts w:ascii="宋体" w:hAnsi="宋体"/>
          <w:color w:val="auto"/>
          <w:sz w:val="24"/>
        </w:rPr>
        <w:t xml:space="preserve"> </w:t>
      </w:r>
    </w:p>
    <w:p>
      <w:pPr>
        <w:spacing w:line="440" w:lineRule="exact"/>
        <w:ind w:firstLine="3480" w:firstLineChars="1450"/>
        <w:rPr>
          <w:rFonts w:ascii="宋体" w:hAnsi="宋体"/>
          <w:color w:val="auto"/>
          <w:sz w:val="24"/>
        </w:rPr>
      </w:pPr>
      <w:r>
        <w:rPr>
          <w:rFonts w:ascii="宋体" w:hAnsi="宋体"/>
          <w:color w:val="auto"/>
          <w:sz w:val="24"/>
        </w:rPr>
        <w:t>身份证号码：</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440" w:lineRule="exact"/>
        <w:ind w:firstLine="3480" w:firstLineChars="1450"/>
        <w:rPr>
          <w:rFonts w:ascii="宋体" w:hAnsi="宋体"/>
          <w:color w:val="auto"/>
          <w:sz w:val="24"/>
        </w:rPr>
      </w:pPr>
      <w:r>
        <w:rPr>
          <w:rFonts w:ascii="宋体" w:hAnsi="宋体"/>
          <w:color w:val="auto"/>
          <w:sz w:val="24"/>
          <w:u w:val="single"/>
        </w:rPr>
        <w:t xml:space="preserve">         </w:t>
      </w:r>
    </w:p>
    <w:p>
      <w:pPr>
        <w:spacing w:line="440" w:lineRule="exact"/>
        <w:rPr>
          <w:rFonts w:ascii="宋体" w:hAnsi="宋体"/>
          <w:color w:val="auto"/>
          <w:sz w:val="24"/>
        </w:rPr>
      </w:pPr>
    </w:p>
    <w:p>
      <w:pPr>
        <w:spacing w:line="440" w:lineRule="exact"/>
        <w:ind w:firstLine="5520" w:firstLineChars="2300"/>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pStyle w:val="34"/>
        <w:snapToGrid w:val="0"/>
        <w:rPr>
          <w:b/>
          <w:bCs/>
          <w:color w:val="auto"/>
          <w:szCs w:val="21"/>
        </w:rPr>
      </w:pPr>
      <w:r>
        <w:rPr>
          <w:rFonts w:hint="eastAsia"/>
          <w:bCs/>
          <w:color w:val="auto"/>
          <w:szCs w:val="21"/>
        </w:rPr>
        <w:t>注：</w:t>
      </w:r>
      <w:r>
        <w:rPr>
          <w:rFonts w:hint="eastAsia"/>
          <w:b/>
          <w:bCs/>
          <w:color w:val="auto"/>
          <w:szCs w:val="21"/>
        </w:rPr>
        <w:t xml:space="preserve"> </w:t>
      </w:r>
    </w:p>
    <w:p>
      <w:pPr>
        <w:pStyle w:val="34"/>
        <w:spacing w:line="360" w:lineRule="auto"/>
        <w:ind w:firstLine="420" w:firstLineChars="200"/>
        <w:rPr>
          <w:bCs/>
          <w:color w:val="auto"/>
          <w:sz w:val="21"/>
          <w:szCs w:val="21"/>
        </w:rPr>
      </w:pPr>
      <w:r>
        <w:rPr>
          <w:rFonts w:hint="eastAsia"/>
          <w:bCs/>
          <w:color w:val="auto"/>
          <w:sz w:val="21"/>
          <w:szCs w:val="21"/>
        </w:rPr>
        <w:t>1、投标申请人还须提供（附）授权人和被授权人的身份证复印件。</w:t>
      </w:r>
    </w:p>
    <w:p>
      <w:pPr>
        <w:spacing w:line="360" w:lineRule="auto"/>
        <w:jc w:val="center"/>
        <w:rPr>
          <w:rFonts w:ascii="宋体" w:hAnsi="宋体"/>
          <w:b/>
          <w:bCs/>
          <w:color w:val="auto"/>
          <w:sz w:val="28"/>
        </w:rPr>
      </w:pPr>
      <w:bookmarkStart w:id="191" w:name="_Toc457224252"/>
      <w:bookmarkStart w:id="192" w:name="_Toc29796232"/>
    </w:p>
    <w:p>
      <w:pPr>
        <w:spacing w:line="360" w:lineRule="auto"/>
        <w:jc w:val="center"/>
        <w:rPr>
          <w:rFonts w:ascii="宋体" w:hAnsi="宋体"/>
          <w:b/>
          <w:bCs/>
          <w:color w:val="auto"/>
          <w:sz w:val="28"/>
        </w:rPr>
      </w:pPr>
    </w:p>
    <w:p>
      <w:pPr>
        <w:spacing w:line="360" w:lineRule="auto"/>
        <w:jc w:val="center"/>
        <w:rPr>
          <w:rFonts w:ascii="宋体" w:hAnsi="宋体"/>
          <w:b/>
          <w:bCs/>
          <w:color w:val="auto"/>
          <w:sz w:val="28"/>
        </w:rPr>
      </w:pPr>
    </w:p>
    <w:p>
      <w:pPr>
        <w:spacing w:line="360" w:lineRule="auto"/>
        <w:jc w:val="center"/>
        <w:rPr>
          <w:rFonts w:ascii="宋体" w:hAnsi="宋体"/>
          <w:b/>
          <w:bCs/>
          <w:color w:val="auto"/>
          <w:sz w:val="28"/>
        </w:rPr>
      </w:pPr>
    </w:p>
    <w:p>
      <w:pPr>
        <w:spacing w:line="360" w:lineRule="auto"/>
        <w:jc w:val="center"/>
        <w:rPr>
          <w:rFonts w:ascii="宋体" w:hAnsi="宋体"/>
          <w:b/>
          <w:bCs/>
          <w:color w:val="auto"/>
          <w:sz w:val="28"/>
        </w:rPr>
      </w:pPr>
    </w:p>
    <w:p>
      <w:pPr>
        <w:spacing w:line="360" w:lineRule="auto"/>
        <w:jc w:val="center"/>
        <w:rPr>
          <w:rFonts w:ascii="宋体" w:hAnsi="宋体"/>
          <w:b/>
          <w:bCs/>
          <w:color w:val="auto"/>
          <w:sz w:val="28"/>
        </w:rPr>
      </w:pPr>
    </w:p>
    <w:p>
      <w:pPr>
        <w:spacing w:line="360" w:lineRule="auto"/>
        <w:jc w:val="center"/>
        <w:rPr>
          <w:rFonts w:ascii="宋体" w:hAnsi="宋体"/>
          <w:b/>
          <w:bCs/>
          <w:color w:val="auto"/>
          <w:sz w:val="28"/>
        </w:rPr>
      </w:pPr>
    </w:p>
    <w:p>
      <w:pPr>
        <w:pStyle w:val="5"/>
        <w:keepNext w:val="0"/>
        <w:keepLines w:val="0"/>
        <w:pageBreakBefore/>
        <w:spacing w:line="415" w:lineRule="auto"/>
        <w:jc w:val="center"/>
        <w:rPr>
          <w:rFonts w:ascii="宋体" w:hAnsi="宋体"/>
          <w:color w:val="auto"/>
        </w:rPr>
      </w:pPr>
      <w:r>
        <w:rPr>
          <w:rFonts w:hint="eastAsia" w:ascii="宋体" w:hAnsi="宋体"/>
          <w:color w:val="auto"/>
        </w:rPr>
        <w:t>三、</w:t>
      </w:r>
      <w:r>
        <w:rPr>
          <w:rFonts w:ascii="宋体" w:hAnsi="宋体"/>
          <w:color w:val="auto"/>
        </w:rPr>
        <w:t>投标保证金</w:t>
      </w:r>
      <w:bookmarkEnd w:id="191"/>
      <w:bookmarkEnd w:id="192"/>
    </w:p>
    <w:p>
      <w:pPr>
        <w:widowControl/>
        <w:snapToGrid w:val="0"/>
        <w:spacing w:line="360" w:lineRule="auto"/>
        <w:rPr>
          <w:rFonts w:ascii="宋体" w:hAnsi="宋体"/>
          <w:color w:val="auto"/>
        </w:rPr>
      </w:pPr>
    </w:p>
    <w:p>
      <w:pPr>
        <w:pStyle w:val="34"/>
        <w:ind w:firstLine="480" w:firstLineChars="200"/>
        <w:rPr>
          <w:color w:val="auto"/>
          <w:szCs w:val="21"/>
        </w:rPr>
      </w:pPr>
      <w:r>
        <w:rPr>
          <w:rFonts w:hint="eastAsia"/>
          <w:color w:val="auto"/>
          <w:szCs w:val="21"/>
        </w:rPr>
        <w:t>[以转账支票或电汇形式交纳投标保证金的提供以下资料]</w:t>
      </w:r>
    </w:p>
    <w:p>
      <w:pPr>
        <w:pStyle w:val="34"/>
        <w:ind w:firstLine="480" w:firstLineChars="200"/>
        <w:rPr>
          <w:color w:val="auto"/>
          <w:szCs w:val="21"/>
        </w:rPr>
      </w:pPr>
      <w:r>
        <w:rPr>
          <w:rFonts w:hint="eastAsia"/>
          <w:color w:val="auto"/>
          <w:szCs w:val="21"/>
        </w:rPr>
        <w:t>1.“基本存款账户信息证明”和“投标保证金缴纳凭证”的复印件</w:t>
      </w:r>
    </w:p>
    <w:p>
      <w:pPr>
        <w:spacing w:line="360" w:lineRule="auto"/>
        <w:rPr>
          <w:rFonts w:ascii="宋体" w:hAnsi="宋体"/>
          <w:color w:val="auto"/>
          <w:sz w:val="23"/>
          <w:szCs w:val="23"/>
        </w:rPr>
      </w:pPr>
    </w:p>
    <w:p>
      <w:pPr>
        <w:widowControl/>
        <w:jc w:val="left"/>
        <w:rPr>
          <w:rFonts w:ascii="宋体" w:hAnsi="宋体"/>
          <w:b/>
          <w:color w:val="auto"/>
          <w:sz w:val="32"/>
          <w:szCs w:val="20"/>
        </w:rPr>
      </w:pPr>
      <w:bookmarkStart w:id="193" w:name="_Toc457224253"/>
      <w:bookmarkStart w:id="194" w:name="_Toc29796233"/>
      <w:r>
        <w:rPr>
          <w:rFonts w:ascii="宋体" w:hAnsi="宋体"/>
          <w:color w:val="auto"/>
        </w:rPr>
        <w:br w:type="page"/>
      </w:r>
    </w:p>
    <w:p>
      <w:pPr>
        <w:pStyle w:val="5"/>
        <w:jc w:val="center"/>
        <w:rPr>
          <w:rFonts w:ascii="宋体" w:hAnsi="宋体"/>
          <w:color w:val="auto"/>
        </w:rPr>
      </w:pPr>
      <w:r>
        <w:rPr>
          <w:rFonts w:hint="eastAsia" w:ascii="宋体" w:hAnsi="宋体"/>
          <w:color w:val="auto"/>
        </w:rPr>
        <w:t>四、资格审查表</w:t>
      </w:r>
      <w:bookmarkEnd w:id="193"/>
      <w:bookmarkEnd w:id="194"/>
    </w:p>
    <w:p>
      <w:pPr>
        <w:pStyle w:val="64"/>
        <w:rPr>
          <w:rFonts w:ascii="宋体" w:hAnsi="宋体"/>
          <w:color w:val="auto"/>
        </w:rPr>
      </w:pPr>
      <w:bookmarkStart w:id="195" w:name="_Toc457224254"/>
      <w:bookmarkStart w:id="196" w:name="_Toc29796234"/>
      <w:r>
        <w:rPr>
          <w:rFonts w:hint="eastAsia" w:ascii="宋体" w:hAnsi="宋体"/>
          <w:color w:val="auto"/>
        </w:rPr>
        <w:t>（一）投标人基本情况表</w:t>
      </w:r>
      <w:bookmarkEnd w:id="195"/>
      <w:bookmarkEnd w:id="196"/>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040"/>
        <w:gridCol w:w="6"/>
        <w:gridCol w:w="300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投标人名称</w:t>
            </w:r>
          </w:p>
        </w:tc>
        <w:tc>
          <w:tcPr>
            <w:tcW w:w="6856" w:type="dxa"/>
            <w:gridSpan w:val="4"/>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总公司注册资本金</w:t>
            </w:r>
          </w:p>
        </w:tc>
        <w:tc>
          <w:tcPr>
            <w:tcW w:w="2046" w:type="dxa"/>
            <w:gridSpan w:val="2"/>
            <w:vAlign w:val="center"/>
          </w:tcPr>
          <w:p>
            <w:pPr>
              <w:adjustRightInd w:val="0"/>
              <w:snapToGrid w:val="0"/>
              <w:spacing w:line="360" w:lineRule="auto"/>
              <w:jc w:val="center"/>
              <w:rPr>
                <w:rFonts w:ascii="宋体" w:hAnsi="宋体"/>
                <w:color w:val="auto"/>
                <w:szCs w:val="21"/>
              </w:rPr>
            </w:pPr>
          </w:p>
        </w:tc>
        <w:tc>
          <w:tcPr>
            <w:tcW w:w="3009"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成立日期</w:t>
            </w:r>
          </w:p>
        </w:tc>
        <w:tc>
          <w:tcPr>
            <w:tcW w:w="1801" w:type="dxa"/>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法定负责人</w:t>
            </w:r>
          </w:p>
        </w:tc>
        <w:tc>
          <w:tcPr>
            <w:tcW w:w="2040" w:type="dxa"/>
            <w:vAlign w:val="center"/>
          </w:tcPr>
          <w:p>
            <w:pPr>
              <w:adjustRightInd w:val="0"/>
              <w:snapToGrid w:val="0"/>
              <w:spacing w:line="360" w:lineRule="auto"/>
              <w:jc w:val="center"/>
              <w:rPr>
                <w:rFonts w:ascii="宋体" w:hAnsi="宋体"/>
                <w:color w:val="auto"/>
                <w:szCs w:val="21"/>
              </w:rPr>
            </w:pPr>
          </w:p>
        </w:tc>
        <w:tc>
          <w:tcPr>
            <w:tcW w:w="3015" w:type="dxa"/>
            <w:gridSpan w:val="2"/>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地址邮编</w:t>
            </w:r>
          </w:p>
        </w:tc>
        <w:tc>
          <w:tcPr>
            <w:tcW w:w="1801" w:type="dxa"/>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主要营业范围</w:t>
            </w:r>
          </w:p>
        </w:tc>
        <w:tc>
          <w:tcPr>
            <w:tcW w:w="6856" w:type="dxa"/>
            <w:gridSpan w:val="4"/>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营业执照编号</w:t>
            </w:r>
          </w:p>
        </w:tc>
        <w:tc>
          <w:tcPr>
            <w:tcW w:w="2040" w:type="dxa"/>
            <w:vAlign w:val="center"/>
          </w:tcPr>
          <w:p>
            <w:pPr>
              <w:adjustRightInd w:val="0"/>
              <w:snapToGrid w:val="0"/>
              <w:spacing w:line="360" w:lineRule="auto"/>
              <w:jc w:val="center"/>
              <w:rPr>
                <w:rFonts w:ascii="宋体" w:hAnsi="宋体"/>
                <w:color w:val="auto"/>
                <w:szCs w:val="21"/>
              </w:rPr>
            </w:pPr>
          </w:p>
        </w:tc>
        <w:tc>
          <w:tcPr>
            <w:tcW w:w="3015" w:type="dxa"/>
            <w:gridSpan w:val="2"/>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颁发机构</w:t>
            </w:r>
          </w:p>
        </w:tc>
        <w:tc>
          <w:tcPr>
            <w:tcW w:w="1801" w:type="dxa"/>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业务许可证编号</w:t>
            </w:r>
          </w:p>
        </w:tc>
        <w:tc>
          <w:tcPr>
            <w:tcW w:w="2046" w:type="dxa"/>
            <w:gridSpan w:val="2"/>
            <w:vAlign w:val="center"/>
          </w:tcPr>
          <w:p>
            <w:pPr>
              <w:adjustRightInd w:val="0"/>
              <w:snapToGrid w:val="0"/>
              <w:spacing w:line="360" w:lineRule="auto"/>
              <w:jc w:val="center"/>
              <w:rPr>
                <w:rFonts w:ascii="宋体" w:hAnsi="宋体"/>
                <w:color w:val="auto"/>
                <w:szCs w:val="21"/>
              </w:rPr>
            </w:pPr>
          </w:p>
        </w:tc>
        <w:tc>
          <w:tcPr>
            <w:tcW w:w="3009"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颁发机构</w:t>
            </w:r>
          </w:p>
        </w:tc>
        <w:tc>
          <w:tcPr>
            <w:tcW w:w="1801" w:type="dxa"/>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企业性质</w:t>
            </w:r>
          </w:p>
        </w:tc>
        <w:tc>
          <w:tcPr>
            <w:tcW w:w="6856" w:type="dxa"/>
            <w:gridSpan w:val="4"/>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联</w:t>
            </w:r>
            <w:r>
              <w:rPr>
                <w:rFonts w:ascii="宋体" w:hAnsi="宋体"/>
                <w:color w:val="auto"/>
                <w:szCs w:val="21"/>
              </w:rPr>
              <w:t xml:space="preserve"> </w:t>
            </w:r>
            <w:r>
              <w:rPr>
                <w:rFonts w:hint="eastAsia" w:ascii="宋体" w:hAnsi="宋体"/>
                <w:color w:val="auto"/>
                <w:szCs w:val="21"/>
              </w:rPr>
              <w:t>系</w:t>
            </w:r>
            <w:r>
              <w:rPr>
                <w:rFonts w:ascii="宋体" w:hAnsi="宋体"/>
                <w:color w:val="auto"/>
                <w:szCs w:val="21"/>
              </w:rPr>
              <w:t xml:space="preserve"> </w:t>
            </w:r>
            <w:r>
              <w:rPr>
                <w:rFonts w:hint="eastAsia" w:ascii="宋体" w:hAnsi="宋体"/>
                <w:color w:val="auto"/>
                <w:szCs w:val="21"/>
              </w:rPr>
              <w:t>人</w:t>
            </w:r>
          </w:p>
        </w:tc>
        <w:tc>
          <w:tcPr>
            <w:tcW w:w="2046" w:type="dxa"/>
            <w:gridSpan w:val="2"/>
            <w:vAlign w:val="center"/>
          </w:tcPr>
          <w:p>
            <w:pPr>
              <w:adjustRightInd w:val="0"/>
              <w:snapToGrid w:val="0"/>
              <w:spacing w:line="360" w:lineRule="auto"/>
              <w:jc w:val="center"/>
              <w:rPr>
                <w:rFonts w:ascii="宋体" w:hAnsi="宋体"/>
                <w:color w:val="auto"/>
                <w:szCs w:val="21"/>
              </w:rPr>
            </w:pPr>
          </w:p>
        </w:tc>
        <w:tc>
          <w:tcPr>
            <w:tcW w:w="3009"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电话</w:t>
            </w:r>
            <w:r>
              <w:rPr>
                <w:rFonts w:ascii="宋体" w:hAnsi="宋体"/>
                <w:color w:val="auto"/>
                <w:szCs w:val="21"/>
              </w:rPr>
              <w:t>/</w:t>
            </w:r>
            <w:r>
              <w:rPr>
                <w:rFonts w:hint="eastAsia" w:ascii="宋体" w:hAnsi="宋体"/>
                <w:color w:val="auto"/>
                <w:szCs w:val="21"/>
              </w:rPr>
              <w:t>传真</w:t>
            </w:r>
          </w:p>
        </w:tc>
        <w:tc>
          <w:tcPr>
            <w:tcW w:w="1801" w:type="dxa"/>
            <w:vAlign w:val="center"/>
          </w:tcPr>
          <w:p>
            <w:pPr>
              <w:adjustRightInd w:val="0"/>
              <w:snapToGrid w:val="0"/>
              <w:spacing w:line="360" w:lineRule="auto"/>
              <w:jc w:val="center"/>
              <w:rPr>
                <w:rFonts w:ascii="宋体" w:hAnsi="宋体"/>
                <w:color w:val="auto"/>
                <w:szCs w:val="21"/>
              </w:rPr>
            </w:pPr>
          </w:p>
        </w:tc>
      </w:tr>
    </w:tbl>
    <w:p>
      <w:pPr>
        <w:spacing w:line="360" w:lineRule="auto"/>
        <w:rPr>
          <w:rFonts w:ascii="宋体" w:hAnsi="宋体"/>
          <w:color w:val="auto"/>
          <w:szCs w:val="21"/>
        </w:rPr>
      </w:pPr>
    </w:p>
    <w:p>
      <w:pPr>
        <w:spacing w:line="360" w:lineRule="auto"/>
        <w:rPr>
          <w:rFonts w:ascii="宋体" w:hAnsi="宋体"/>
          <w:color w:val="auto"/>
          <w:sz w:val="36"/>
          <w:szCs w:val="36"/>
        </w:rPr>
      </w:pPr>
      <w:r>
        <w:rPr>
          <w:rFonts w:hint="eastAsia" w:ascii="宋体" w:hAnsi="宋体"/>
          <w:color w:val="auto"/>
          <w:szCs w:val="21"/>
        </w:rPr>
        <w:t>注：在本表后应附营业执照复印件（并加盖单位章）。</w:t>
      </w:r>
    </w:p>
    <w:p>
      <w:pPr>
        <w:rPr>
          <w:color w:val="auto"/>
        </w:rPr>
      </w:pPr>
    </w:p>
    <w:p>
      <w:pPr>
        <w:widowControl/>
        <w:jc w:val="left"/>
        <w:rPr>
          <w:rFonts w:ascii="宋体" w:hAnsi="宋体"/>
          <w:b/>
          <w:bCs/>
          <w:color w:val="auto"/>
          <w:kern w:val="28"/>
          <w:sz w:val="32"/>
          <w:szCs w:val="32"/>
        </w:rPr>
      </w:pPr>
      <w:bookmarkStart w:id="197" w:name="_Toc457224257"/>
      <w:bookmarkStart w:id="198" w:name="_Toc29796235"/>
      <w:bookmarkStart w:id="199" w:name="_Toc457224255"/>
      <w:r>
        <w:rPr>
          <w:rFonts w:ascii="宋体" w:hAnsi="宋体"/>
          <w:color w:val="auto"/>
        </w:rPr>
        <w:br w:type="page"/>
      </w:r>
    </w:p>
    <w:p>
      <w:pPr>
        <w:pStyle w:val="64"/>
        <w:rPr>
          <w:rFonts w:ascii="宋体" w:hAnsi="宋体"/>
          <w:color w:val="auto"/>
        </w:rPr>
      </w:pPr>
      <w:r>
        <w:rPr>
          <w:rFonts w:hint="eastAsia" w:ascii="宋体" w:hAnsi="宋体"/>
          <w:color w:val="auto"/>
        </w:rPr>
        <w:t>（二）近年完成的项目情况表</w:t>
      </w:r>
      <w:bookmarkEnd w:id="197"/>
      <w:bookmarkEnd w:id="198"/>
    </w:p>
    <w:p>
      <w:pPr>
        <w:jc w:val="center"/>
        <w:rPr>
          <w:rFonts w:ascii="宋体" w:hAnsi="宋体"/>
          <w:b/>
          <w:color w:val="auto"/>
          <w:sz w:val="30"/>
          <w:szCs w:val="30"/>
        </w:rPr>
      </w:pPr>
      <w:r>
        <w:rPr>
          <w:rFonts w:hint="eastAsia" w:ascii="宋体" w:hAnsi="宋体"/>
          <w:b/>
          <w:color w:val="auto"/>
          <w:sz w:val="30"/>
          <w:szCs w:val="30"/>
        </w:rPr>
        <w:t>近年完成的项目情况表</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159"/>
        <w:gridCol w:w="1438"/>
        <w:gridCol w:w="1798"/>
        <w:gridCol w:w="1236"/>
        <w:gridCol w:w="2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2" w:hRule="exact"/>
          <w:jc w:val="center"/>
        </w:trPr>
        <w:tc>
          <w:tcPr>
            <w:tcW w:w="748" w:type="dxa"/>
            <w:vAlign w:val="center"/>
          </w:tcPr>
          <w:p>
            <w:pPr>
              <w:spacing w:before="156" w:beforeLines="50" w:line="360" w:lineRule="auto"/>
              <w:rPr>
                <w:rFonts w:ascii="宋体" w:hAnsi="宋体"/>
                <w:color w:val="auto"/>
                <w:sz w:val="24"/>
              </w:rPr>
            </w:pPr>
            <w:r>
              <w:rPr>
                <w:rFonts w:ascii="宋体" w:hAnsi="宋体"/>
                <w:color w:val="auto"/>
                <w:sz w:val="24"/>
              </w:rPr>
              <w:t>序号</w:t>
            </w:r>
          </w:p>
        </w:tc>
        <w:tc>
          <w:tcPr>
            <w:tcW w:w="1159" w:type="dxa"/>
            <w:vAlign w:val="center"/>
          </w:tcPr>
          <w:p>
            <w:pPr>
              <w:spacing w:before="156" w:beforeLines="50" w:line="360" w:lineRule="auto"/>
              <w:rPr>
                <w:rFonts w:ascii="宋体" w:hAnsi="宋体"/>
                <w:color w:val="auto"/>
                <w:sz w:val="24"/>
              </w:rPr>
            </w:pPr>
            <w:r>
              <w:rPr>
                <w:rFonts w:ascii="宋体" w:hAnsi="宋体"/>
                <w:color w:val="auto"/>
                <w:sz w:val="24"/>
              </w:rPr>
              <w:t>项目名称</w:t>
            </w:r>
          </w:p>
        </w:tc>
        <w:tc>
          <w:tcPr>
            <w:tcW w:w="1438" w:type="dxa"/>
            <w:vAlign w:val="center"/>
          </w:tcPr>
          <w:p>
            <w:pPr>
              <w:spacing w:before="156" w:beforeLines="50" w:line="360" w:lineRule="auto"/>
              <w:rPr>
                <w:rFonts w:ascii="宋体" w:hAnsi="宋体"/>
                <w:color w:val="auto"/>
                <w:sz w:val="24"/>
              </w:rPr>
            </w:pPr>
            <w:r>
              <w:rPr>
                <w:rFonts w:ascii="宋体" w:hAnsi="宋体"/>
                <w:color w:val="auto"/>
                <w:sz w:val="24"/>
              </w:rPr>
              <w:t>保险期</w:t>
            </w:r>
            <w:r>
              <w:rPr>
                <w:rFonts w:hint="eastAsia" w:ascii="宋体" w:hAnsi="宋体"/>
                <w:color w:val="auto"/>
                <w:sz w:val="24"/>
              </w:rPr>
              <w:t>间</w:t>
            </w:r>
          </w:p>
        </w:tc>
        <w:tc>
          <w:tcPr>
            <w:tcW w:w="1798" w:type="dxa"/>
            <w:vAlign w:val="center"/>
          </w:tcPr>
          <w:p>
            <w:pPr>
              <w:spacing w:before="156" w:beforeLines="50" w:line="360" w:lineRule="auto"/>
              <w:jc w:val="center"/>
              <w:rPr>
                <w:rFonts w:ascii="宋体" w:hAnsi="宋体"/>
                <w:color w:val="auto"/>
                <w:sz w:val="24"/>
              </w:rPr>
            </w:pPr>
            <w:r>
              <w:rPr>
                <w:rFonts w:ascii="宋体" w:hAnsi="宋体"/>
                <w:color w:val="auto"/>
                <w:sz w:val="24"/>
              </w:rPr>
              <w:t>保险金额</w:t>
            </w:r>
            <w:r>
              <w:rPr>
                <w:rFonts w:hint="eastAsia" w:ascii="宋体" w:hAnsi="宋体"/>
                <w:color w:val="auto"/>
                <w:sz w:val="24"/>
              </w:rPr>
              <w:t xml:space="preserve">    </w:t>
            </w:r>
            <w:r>
              <w:rPr>
                <w:rFonts w:ascii="宋体" w:hAnsi="宋体"/>
                <w:color w:val="auto"/>
                <w:sz w:val="24"/>
              </w:rPr>
              <w:t>（万元）</w:t>
            </w:r>
          </w:p>
        </w:tc>
        <w:tc>
          <w:tcPr>
            <w:tcW w:w="1236" w:type="dxa"/>
            <w:vAlign w:val="center"/>
          </w:tcPr>
          <w:p>
            <w:pPr>
              <w:spacing w:before="156" w:beforeLines="50" w:line="360" w:lineRule="auto"/>
              <w:rPr>
                <w:rFonts w:ascii="宋体" w:hAnsi="宋体"/>
                <w:color w:val="auto"/>
                <w:sz w:val="24"/>
              </w:rPr>
            </w:pPr>
            <w:r>
              <w:rPr>
                <w:rFonts w:ascii="宋体" w:hAnsi="宋体"/>
                <w:color w:val="auto"/>
                <w:sz w:val="24"/>
              </w:rPr>
              <w:t>承保比例</w:t>
            </w:r>
          </w:p>
        </w:tc>
        <w:tc>
          <w:tcPr>
            <w:tcW w:w="2081" w:type="dxa"/>
            <w:vAlign w:val="center"/>
          </w:tcPr>
          <w:p>
            <w:pPr>
              <w:spacing w:before="156" w:beforeLines="50" w:line="360" w:lineRule="auto"/>
              <w:jc w:val="center"/>
              <w:rPr>
                <w:rFonts w:ascii="宋体" w:hAnsi="宋体"/>
                <w:color w:val="auto"/>
                <w:sz w:val="24"/>
              </w:rPr>
            </w:pPr>
            <w:r>
              <w:rPr>
                <w:rFonts w:hint="eastAsia" w:ascii="宋体" w:hAnsi="宋体"/>
                <w:color w:val="auto"/>
                <w:sz w:val="24"/>
              </w:rPr>
              <w:t>是否独家或首席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exact"/>
          <w:jc w:val="center"/>
        </w:trPr>
        <w:tc>
          <w:tcPr>
            <w:tcW w:w="748"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1</w:t>
            </w:r>
          </w:p>
        </w:tc>
        <w:tc>
          <w:tcPr>
            <w:tcW w:w="1159" w:type="dxa"/>
            <w:vAlign w:val="center"/>
          </w:tcPr>
          <w:p>
            <w:pPr>
              <w:spacing w:before="156" w:beforeLines="50" w:line="360" w:lineRule="auto"/>
              <w:ind w:firstLine="480" w:firstLineChars="200"/>
              <w:jc w:val="center"/>
              <w:rPr>
                <w:rFonts w:ascii="宋体" w:hAnsi="宋体"/>
                <w:color w:val="auto"/>
                <w:sz w:val="24"/>
              </w:rPr>
            </w:pPr>
          </w:p>
        </w:tc>
        <w:tc>
          <w:tcPr>
            <w:tcW w:w="1438" w:type="dxa"/>
            <w:vAlign w:val="center"/>
          </w:tcPr>
          <w:p>
            <w:pPr>
              <w:spacing w:before="156" w:beforeLines="50" w:line="360" w:lineRule="auto"/>
              <w:ind w:firstLine="480" w:firstLineChars="200"/>
              <w:jc w:val="center"/>
              <w:rPr>
                <w:rFonts w:ascii="宋体" w:hAnsi="宋体"/>
                <w:color w:val="auto"/>
                <w:sz w:val="24"/>
              </w:rPr>
            </w:pPr>
          </w:p>
        </w:tc>
        <w:tc>
          <w:tcPr>
            <w:tcW w:w="1798" w:type="dxa"/>
            <w:vAlign w:val="center"/>
          </w:tcPr>
          <w:p>
            <w:pPr>
              <w:spacing w:before="156" w:beforeLines="50" w:line="360" w:lineRule="auto"/>
              <w:ind w:firstLine="480" w:firstLineChars="200"/>
              <w:jc w:val="center"/>
              <w:rPr>
                <w:rFonts w:ascii="宋体" w:hAnsi="宋体"/>
                <w:color w:val="auto"/>
                <w:sz w:val="24"/>
              </w:rPr>
            </w:pPr>
          </w:p>
        </w:tc>
        <w:tc>
          <w:tcPr>
            <w:tcW w:w="1236" w:type="dxa"/>
            <w:vAlign w:val="center"/>
          </w:tcPr>
          <w:p>
            <w:pPr>
              <w:spacing w:before="156" w:beforeLines="50" w:line="360" w:lineRule="auto"/>
              <w:ind w:firstLine="480" w:firstLineChars="200"/>
              <w:jc w:val="center"/>
              <w:rPr>
                <w:rFonts w:ascii="宋体" w:hAnsi="宋体"/>
                <w:color w:val="auto"/>
                <w:sz w:val="24"/>
              </w:rPr>
            </w:pPr>
          </w:p>
        </w:tc>
        <w:tc>
          <w:tcPr>
            <w:tcW w:w="2081" w:type="dxa"/>
          </w:tcPr>
          <w:p>
            <w:pPr>
              <w:spacing w:before="156" w:beforeLines="50" w:line="360" w:lineRule="auto"/>
              <w:ind w:firstLine="480" w:firstLineChars="200"/>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exact"/>
          <w:jc w:val="center"/>
        </w:trPr>
        <w:tc>
          <w:tcPr>
            <w:tcW w:w="748"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2</w:t>
            </w:r>
          </w:p>
        </w:tc>
        <w:tc>
          <w:tcPr>
            <w:tcW w:w="1159" w:type="dxa"/>
            <w:vAlign w:val="center"/>
          </w:tcPr>
          <w:p>
            <w:pPr>
              <w:spacing w:before="156" w:beforeLines="50" w:line="360" w:lineRule="auto"/>
              <w:ind w:firstLine="480" w:firstLineChars="200"/>
              <w:jc w:val="center"/>
              <w:rPr>
                <w:rFonts w:ascii="宋体" w:hAnsi="宋体"/>
                <w:color w:val="auto"/>
                <w:sz w:val="24"/>
              </w:rPr>
            </w:pPr>
          </w:p>
        </w:tc>
        <w:tc>
          <w:tcPr>
            <w:tcW w:w="1438" w:type="dxa"/>
            <w:vAlign w:val="center"/>
          </w:tcPr>
          <w:p>
            <w:pPr>
              <w:spacing w:before="156" w:beforeLines="50" w:line="360" w:lineRule="auto"/>
              <w:ind w:firstLine="480" w:firstLineChars="200"/>
              <w:jc w:val="center"/>
              <w:rPr>
                <w:rFonts w:ascii="宋体" w:hAnsi="宋体"/>
                <w:color w:val="auto"/>
                <w:sz w:val="24"/>
              </w:rPr>
            </w:pPr>
          </w:p>
        </w:tc>
        <w:tc>
          <w:tcPr>
            <w:tcW w:w="1798" w:type="dxa"/>
            <w:vAlign w:val="center"/>
          </w:tcPr>
          <w:p>
            <w:pPr>
              <w:spacing w:before="156" w:beforeLines="50" w:line="360" w:lineRule="auto"/>
              <w:ind w:firstLine="480" w:firstLineChars="200"/>
              <w:jc w:val="center"/>
              <w:rPr>
                <w:rFonts w:ascii="宋体" w:hAnsi="宋体"/>
                <w:color w:val="auto"/>
                <w:sz w:val="24"/>
              </w:rPr>
            </w:pPr>
          </w:p>
        </w:tc>
        <w:tc>
          <w:tcPr>
            <w:tcW w:w="1236" w:type="dxa"/>
            <w:vAlign w:val="center"/>
          </w:tcPr>
          <w:p>
            <w:pPr>
              <w:spacing w:before="156" w:beforeLines="50" w:line="360" w:lineRule="auto"/>
              <w:ind w:firstLine="480" w:firstLineChars="200"/>
              <w:jc w:val="center"/>
              <w:rPr>
                <w:rFonts w:ascii="宋体" w:hAnsi="宋体"/>
                <w:color w:val="auto"/>
                <w:sz w:val="24"/>
              </w:rPr>
            </w:pPr>
          </w:p>
        </w:tc>
        <w:tc>
          <w:tcPr>
            <w:tcW w:w="2081" w:type="dxa"/>
          </w:tcPr>
          <w:p>
            <w:pPr>
              <w:spacing w:before="156" w:beforeLines="50" w:line="360" w:lineRule="auto"/>
              <w:ind w:firstLine="480" w:firstLineChars="200"/>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exact"/>
          <w:jc w:val="center"/>
        </w:trPr>
        <w:tc>
          <w:tcPr>
            <w:tcW w:w="748"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3</w:t>
            </w:r>
          </w:p>
        </w:tc>
        <w:tc>
          <w:tcPr>
            <w:tcW w:w="1159" w:type="dxa"/>
            <w:vAlign w:val="center"/>
          </w:tcPr>
          <w:p>
            <w:pPr>
              <w:spacing w:before="156" w:beforeLines="50" w:line="360" w:lineRule="auto"/>
              <w:ind w:firstLine="480" w:firstLineChars="200"/>
              <w:jc w:val="center"/>
              <w:rPr>
                <w:rFonts w:ascii="宋体" w:hAnsi="宋体"/>
                <w:color w:val="auto"/>
                <w:sz w:val="24"/>
              </w:rPr>
            </w:pPr>
          </w:p>
        </w:tc>
        <w:tc>
          <w:tcPr>
            <w:tcW w:w="1438" w:type="dxa"/>
            <w:vAlign w:val="center"/>
          </w:tcPr>
          <w:p>
            <w:pPr>
              <w:spacing w:before="156" w:beforeLines="50" w:line="360" w:lineRule="auto"/>
              <w:ind w:firstLine="480" w:firstLineChars="200"/>
              <w:jc w:val="center"/>
              <w:rPr>
                <w:rFonts w:ascii="宋体" w:hAnsi="宋体"/>
                <w:color w:val="auto"/>
                <w:sz w:val="24"/>
              </w:rPr>
            </w:pPr>
          </w:p>
        </w:tc>
        <w:tc>
          <w:tcPr>
            <w:tcW w:w="1798" w:type="dxa"/>
            <w:vAlign w:val="center"/>
          </w:tcPr>
          <w:p>
            <w:pPr>
              <w:spacing w:before="156" w:beforeLines="50" w:line="360" w:lineRule="auto"/>
              <w:ind w:firstLine="480" w:firstLineChars="200"/>
              <w:jc w:val="center"/>
              <w:rPr>
                <w:rFonts w:ascii="宋体" w:hAnsi="宋体"/>
                <w:color w:val="auto"/>
                <w:sz w:val="24"/>
              </w:rPr>
            </w:pPr>
          </w:p>
        </w:tc>
        <w:tc>
          <w:tcPr>
            <w:tcW w:w="1236" w:type="dxa"/>
            <w:vAlign w:val="center"/>
          </w:tcPr>
          <w:p>
            <w:pPr>
              <w:spacing w:before="156" w:beforeLines="50" w:line="360" w:lineRule="auto"/>
              <w:ind w:firstLine="480" w:firstLineChars="200"/>
              <w:jc w:val="center"/>
              <w:rPr>
                <w:rFonts w:ascii="宋体" w:hAnsi="宋体"/>
                <w:color w:val="auto"/>
                <w:sz w:val="24"/>
              </w:rPr>
            </w:pPr>
          </w:p>
        </w:tc>
        <w:tc>
          <w:tcPr>
            <w:tcW w:w="2081" w:type="dxa"/>
          </w:tcPr>
          <w:p>
            <w:pPr>
              <w:spacing w:before="156" w:beforeLines="50" w:line="360" w:lineRule="auto"/>
              <w:ind w:firstLine="480" w:firstLineChars="200"/>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exact"/>
          <w:jc w:val="center"/>
        </w:trPr>
        <w:tc>
          <w:tcPr>
            <w:tcW w:w="748"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4</w:t>
            </w:r>
          </w:p>
        </w:tc>
        <w:tc>
          <w:tcPr>
            <w:tcW w:w="1159" w:type="dxa"/>
            <w:vAlign w:val="center"/>
          </w:tcPr>
          <w:p>
            <w:pPr>
              <w:spacing w:before="156" w:beforeLines="50" w:line="360" w:lineRule="auto"/>
              <w:ind w:firstLine="480" w:firstLineChars="200"/>
              <w:jc w:val="center"/>
              <w:rPr>
                <w:rFonts w:ascii="宋体" w:hAnsi="宋体"/>
                <w:color w:val="auto"/>
                <w:sz w:val="24"/>
              </w:rPr>
            </w:pPr>
          </w:p>
        </w:tc>
        <w:tc>
          <w:tcPr>
            <w:tcW w:w="1438" w:type="dxa"/>
            <w:vAlign w:val="center"/>
          </w:tcPr>
          <w:p>
            <w:pPr>
              <w:spacing w:before="156" w:beforeLines="50" w:line="360" w:lineRule="auto"/>
              <w:ind w:firstLine="480" w:firstLineChars="200"/>
              <w:jc w:val="center"/>
              <w:rPr>
                <w:rFonts w:ascii="宋体" w:hAnsi="宋体"/>
                <w:color w:val="auto"/>
                <w:sz w:val="24"/>
              </w:rPr>
            </w:pPr>
          </w:p>
        </w:tc>
        <w:tc>
          <w:tcPr>
            <w:tcW w:w="1798" w:type="dxa"/>
            <w:vAlign w:val="center"/>
          </w:tcPr>
          <w:p>
            <w:pPr>
              <w:spacing w:before="156" w:beforeLines="50" w:line="360" w:lineRule="auto"/>
              <w:ind w:firstLine="480" w:firstLineChars="200"/>
              <w:jc w:val="center"/>
              <w:rPr>
                <w:rFonts w:ascii="宋体" w:hAnsi="宋体"/>
                <w:color w:val="auto"/>
                <w:sz w:val="24"/>
              </w:rPr>
            </w:pPr>
          </w:p>
        </w:tc>
        <w:tc>
          <w:tcPr>
            <w:tcW w:w="1236" w:type="dxa"/>
            <w:vAlign w:val="center"/>
          </w:tcPr>
          <w:p>
            <w:pPr>
              <w:spacing w:before="156" w:beforeLines="50" w:line="360" w:lineRule="auto"/>
              <w:ind w:firstLine="480" w:firstLineChars="200"/>
              <w:jc w:val="center"/>
              <w:rPr>
                <w:rFonts w:ascii="宋体" w:hAnsi="宋体"/>
                <w:color w:val="auto"/>
                <w:sz w:val="24"/>
              </w:rPr>
            </w:pPr>
          </w:p>
        </w:tc>
        <w:tc>
          <w:tcPr>
            <w:tcW w:w="2081" w:type="dxa"/>
          </w:tcPr>
          <w:p>
            <w:pPr>
              <w:spacing w:before="156" w:beforeLines="50" w:line="360" w:lineRule="auto"/>
              <w:ind w:firstLine="480" w:firstLineChars="200"/>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exact"/>
          <w:jc w:val="center"/>
        </w:trPr>
        <w:tc>
          <w:tcPr>
            <w:tcW w:w="748"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5</w:t>
            </w:r>
          </w:p>
        </w:tc>
        <w:tc>
          <w:tcPr>
            <w:tcW w:w="1159" w:type="dxa"/>
            <w:vAlign w:val="center"/>
          </w:tcPr>
          <w:p>
            <w:pPr>
              <w:spacing w:before="156" w:beforeLines="50" w:line="360" w:lineRule="auto"/>
              <w:ind w:firstLine="480" w:firstLineChars="200"/>
              <w:jc w:val="center"/>
              <w:rPr>
                <w:rFonts w:ascii="宋体" w:hAnsi="宋体"/>
                <w:color w:val="auto"/>
                <w:sz w:val="24"/>
              </w:rPr>
            </w:pPr>
          </w:p>
        </w:tc>
        <w:tc>
          <w:tcPr>
            <w:tcW w:w="1438" w:type="dxa"/>
            <w:vAlign w:val="center"/>
          </w:tcPr>
          <w:p>
            <w:pPr>
              <w:spacing w:before="156" w:beforeLines="50" w:line="360" w:lineRule="auto"/>
              <w:ind w:firstLine="480" w:firstLineChars="200"/>
              <w:jc w:val="center"/>
              <w:rPr>
                <w:rFonts w:ascii="宋体" w:hAnsi="宋体"/>
                <w:color w:val="auto"/>
                <w:sz w:val="24"/>
              </w:rPr>
            </w:pPr>
          </w:p>
        </w:tc>
        <w:tc>
          <w:tcPr>
            <w:tcW w:w="1798" w:type="dxa"/>
            <w:vAlign w:val="center"/>
          </w:tcPr>
          <w:p>
            <w:pPr>
              <w:spacing w:before="156" w:beforeLines="50" w:line="360" w:lineRule="auto"/>
              <w:ind w:firstLine="480" w:firstLineChars="200"/>
              <w:jc w:val="center"/>
              <w:rPr>
                <w:rFonts w:ascii="宋体" w:hAnsi="宋体"/>
                <w:color w:val="auto"/>
                <w:sz w:val="24"/>
              </w:rPr>
            </w:pPr>
          </w:p>
        </w:tc>
        <w:tc>
          <w:tcPr>
            <w:tcW w:w="1236" w:type="dxa"/>
            <w:vAlign w:val="center"/>
          </w:tcPr>
          <w:p>
            <w:pPr>
              <w:spacing w:before="156" w:beforeLines="50" w:line="360" w:lineRule="auto"/>
              <w:ind w:firstLine="480" w:firstLineChars="200"/>
              <w:jc w:val="center"/>
              <w:rPr>
                <w:rFonts w:ascii="宋体" w:hAnsi="宋体"/>
                <w:color w:val="auto"/>
                <w:sz w:val="24"/>
              </w:rPr>
            </w:pPr>
          </w:p>
        </w:tc>
        <w:tc>
          <w:tcPr>
            <w:tcW w:w="2081" w:type="dxa"/>
          </w:tcPr>
          <w:p>
            <w:pPr>
              <w:spacing w:before="156" w:beforeLines="50" w:line="360" w:lineRule="auto"/>
              <w:ind w:firstLine="480" w:firstLineChars="200"/>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748"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w:t>
            </w:r>
          </w:p>
        </w:tc>
        <w:tc>
          <w:tcPr>
            <w:tcW w:w="1159"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w:t>
            </w:r>
          </w:p>
        </w:tc>
        <w:tc>
          <w:tcPr>
            <w:tcW w:w="1438"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w:t>
            </w:r>
          </w:p>
        </w:tc>
        <w:tc>
          <w:tcPr>
            <w:tcW w:w="1798"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w:t>
            </w:r>
          </w:p>
        </w:tc>
        <w:tc>
          <w:tcPr>
            <w:tcW w:w="1236" w:type="dxa"/>
            <w:vAlign w:val="center"/>
          </w:tcPr>
          <w:p>
            <w:pPr>
              <w:spacing w:before="156" w:beforeLines="50" w:line="360" w:lineRule="auto"/>
              <w:ind w:firstLine="480" w:firstLineChars="200"/>
              <w:jc w:val="center"/>
              <w:rPr>
                <w:rFonts w:ascii="宋体" w:hAnsi="宋体"/>
                <w:color w:val="auto"/>
                <w:sz w:val="24"/>
              </w:rPr>
            </w:pPr>
            <w:r>
              <w:rPr>
                <w:rFonts w:ascii="宋体" w:hAnsi="宋体"/>
                <w:color w:val="auto"/>
                <w:sz w:val="24"/>
              </w:rPr>
              <w:t>…</w:t>
            </w:r>
          </w:p>
        </w:tc>
        <w:tc>
          <w:tcPr>
            <w:tcW w:w="2081" w:type="dxa"/>
          </w:tcPr>
          <w:p>
            <w:pPr>
              <w:spacing w:before="156" w:beforeLines="50" w:line="360" w:lineRule="auto"/>
              <w:ind w:firstLine="480" w:firstLineChars="200"/>
              <w:jc w:val="center"/>
              <w:rPr>
                <w:rFonts w:ascii="宋体" w:hAnsi="宋体"/>
                <w:color w:val="auto"/>
                <w:sz w:val="24"/>
              </w:rPr>
            </w:pPr>
          </w:p>
        </w:tc>
      </w:tr>
    </w:tbl>
    <w:p>
      <w:pPr>
        <w:spacing w:line="360" w:lineRule="auto"/>
        <w:ind w:firstLine="210" w:firstLineChars="100"/>
        <w:rPr>
          <w:rFonts w:ascii="宋体" w:hAnsi="宋体"/>
          <w:color w:val="auto"/>
          <w:szCs w:val="21"/>
        </w:rPr>
      </w:pPr>
    </w:p>
    <w:p>
      <w:pPr>
        <w:spacing w:line="360" w:lineRule="auto"/>
        <w:ind w:firstLine="210" w:firstLineChars="100"/>
        <w:rPr>
          <w:rFonts w:ascii="宋体" w:hAnsi="宋体"/>
          <w:color w:val="auto"/>
          <w:szCs w:val="21"/>
        </w:rPr>
      </w:pPr>
      <w:r>
        <w:rPr>
          <w:rFonts w:hint="eastAsia" w:ascii="宋体" w:hAnsi="宋体"/>
          <w:color w:val="auto"/>
          <w:szCs w:val="21"/>
        </w:rPr>
        <w:t xml:space="preserve">注 </w:t>
      </w:r>
      <w:r>
        <w:rPr>
          <w:rFonts w:ascii="宋体" w:hAnsi="宋体"/>
          <w:color w:val="auto"/>
          <w:szCs w:val="21"/>
        </w:rPr>
        <w:t>1.</w:t>
      </w:r>
      <w:r>
        <w:rPr>
          <w:rFonts w:hint="eastAsia" w:ascii="宋体" w:hAnsi="宋体"/>
          <w:color w:val="auto"/>
          <w:szCs w:val="21"/>
        </w:rPr>
        <w:t xml:space="preserve"> 按投标人须知前附表相关附录要求提供证明材料，一个项目填写一张表格；</w:t>
      </w:r>
    </w:p>
    <w:p>
      <w:pPr>
        <w:spacing w:line="360" w:lineRule="auto"/>
        <w:ind w:firstLine="210" w:firstLineChars="1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完成情况根据实际情况自行填写；</w:t>
      </w:r>
    </w:p>
    <w:p>
      <w:pPr>
        <w:spacing w:line="360" w:lineRule="auto"/>
        <w:ind w:firstLine="210" w:firstLineChars="1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本表后须附投标人须知前附表规定的证明材料：</w:t>
      </w:r>
    </w:p>
    <w:p>
      <w:pPr>
        <w:spacing w:line="360" w:lineRule="auto"/>
        <w:ind w:firstLine="210" w:firstLineChars="100"/>
        <w:rPr>
          <w:rFonts w:ascii="宋体" w:hAnsi="宋体"/>
          <w:b/>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 xml:space="preserve"> </w:t>
      </w:r>
      <w:r>
        <w:rPr>
          <w:rFonts w:hint="eastAsia" w:ascii="宋体" w:hAnsi="宋体" w:cs="宋体"/>
          <w:color w:val="auto"/>
          <w:szCs w:val="21"/>
        </w:rPr>
        <w:t>如近3年来，投标人法人机构发生合法变更或重组或法人名称变更时，应提供相关部门的合法批件或其他相关证明材料来证明其所附业绩的继承性。</w:t>
      </w:r>
      <w:r>
        <w:rPr>
          <w:rFonts w:ascii="宋体" w:hAnsi="宋体" w:cs="宋体"/>
          <w:color w:val="auto"/>
          <w:szCs w:val="21"/>
        </w:rPr>
        <w:t xml:space="preserve"> </w:t>
      </w:r>
    </w:p>
    <w:p>
      <w:pPr>
        <w:widowControl/>
        <w:jc w:val="left"/>
        <w:rPr>
          <w:rFonts w:ascii="宋体" w:hAnsi="宋体"/>
          <w:b/>
          <w:bCs/>
          <w:color w:val="auto"/>
          <w:kern w:val="28"/>
          <w:sz w:val="32"/>
          <w:szCs w:val="32"/>
        </w:rPr>
      </w:pPr>
      <w:bookmarkStart w:id="200" w:name="_Toc29796236"/>
      <w:bookmarkStart w:id="201" w:name="_Toc457224259"/>
      <w:r>
        <w:rPr>
          <w:rFonts w:ascii="宋体" w:hAnsi="宋体"/>
          <w:color w:val="auto"/>
        </w:rPr>
        <w:br w:type="page"/>
      </w:r>
    </w:p>
    <w:p>
      <w:pPr>
        <w:pStyle w:val="64"/>
        <w:rPr>
          <w:rFonts w:ascii="宋体" w:hAnsi="宋体"/>
          <w:color w:val="auto"/>
        </w:rPr>
      </w:pPr>
      <w:r>
        <w:rPr>
          <w:rFonts w:hint="eastAsia" w:ascii="宋体" w:hAnsi="宋体"/>
          <w:color w:val="auto"/>
        </w:rPr>
        <w:t>（三）财务证明文件</w:t>
      </w:r>
    </w:p>
    <w:p>
      <w:pPr>
        <w:rPr>
          <w:color w:val="auto"/>
        </w:rPr>
      </w:pPr>
      <w:r>
        <w:rPr>
          <w:rFonts w:hint="eastAsia"/>
          <w:color w:val="auto"/>
          <w:szCs w:val="22"/>
        </w:rPr>
        <w:t>提供偿付能力报告复印件</w:t>
      </w:r>
    </w:p>
    <w:p>
      <w:pPr>
        <w:widowControl/>
        <w:jc w:val="left"/>
        <w:rPr>
          <w:rFonts w:ascii="宋体" w:hAnsi="宋体"/>
          <w:b/>
          <w:bCs/>
          <w:color w:val="auto"/>
          <w:kern w:val="28"/>
          <w:sz w:val="32"/>
          <w:szCs w:val="32"/>
        </w:rPr>
      </w:pPr>
      <w:r>
        <w:rPr>
          <w:rFonts w:ascii="宋体" w:hAnsi="宋体"/>
          <w:color w:val="auto"/>
        </w:rPr>
        <w:br w:type="page"/>
      </w:r>
    </w:p>
    <w:p>
      <w:pPr>
        <w:pStyle w:val="64"/>
        <w:rPr>
          <w:rFonts w:ascii="宋体" w:hAnsi="宋体"/>
          <w:color w:val="auto"/>
        </w:rPr>
      </w:pPr>
      <w:r>
        <w:rPr>
          <w:rFonts w:hint="eastAsia" w:ascii="宋体" w:hAnsi="宋体"/>
          <w:color w:val="auto"/>
        </w:rPr>
        <w:t>（四）</w:t>
      </w:r>
      <w:bookmarkEnd w:id="200"/>
      <w:r>
        <w:rPr>
          <w:rFonts w:hint="eastAsia" w:ascii="宋体" w:hAnsi="宋体"/>
          <w:color w:val="auto"/>
        </w:rPr>
        <w:t>承诺</w:t>
      </w:r>
    </w:p>
    <w:p>
      <w:pPr>
        <w:snapToGrid w:val="0"/>
        <w:spacing w:line="40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rPr>
        <w:t xml:space="preserve">        （项目名称）</w:t>
      </w:r>
      <w:r>
        <w:rPr>
          <w:rFonts w:hint="eastAsia" w:ascii="宋体" w:hAnsi="宋体"/>
          <w:color w:val="auto"/>
          <w:szCs w:val="21"/>
        </w:rPr>
        <w:t>的投标，自愿作出以下承诺：</w:t>
      </w:r>
    </w:p>
    <w:p>
      <w:pPr>
        <w:snapToGrid w:val="0"/>
        <w:spacing w:line="400" w:lineRule="exact"/>
        <w:ind w:firstLine="420" w:firstLineChars="200"/>
        <w:rPr>
          <w:rFonts w:ascii="宋体" w:hAnsi="宋体"/>
          <w:color w:val="auto"/>
          <w:szCs w:val="21"/>
        </w:rPr>
      </w:pPr>
      <w:r>
        <w:rPr>
          <w:rFonts w:hint="eastAsia" w:ascii="宋体" w:hAnsi="宋体"/>
          <w:color w:val="auto"/>
          <w:szCs w:val="21"/>
        </w:rPr>
        <w:t>1、投标截止日投标资格情况不存在下列情形之一：</w:t>
      </w:r>
    </w:p>
    <w:p>
      <w:pPr>
        <w:snapToGrid w:val="0"/>
        <w:spacing w:line="400" w:lineRule="exact"/>
        <w:ind w:firstLine="420" w:firstLineChars="200"/>
        <w:jc w:val="left"/>
        <w:rPr>
          <w:rFonts w:ascii="宋体" w:hAnsi="宋体"/>
          <w:color w:val="auto"/>
          <w:szCs w:val="21"/>
        </w:rPr>
      </w:pPr>
      <w:r>
        <w:rPr>
          <w:rFonts w:ascii="宋体" w:hAnsi="宋体"/>
          <w:color w:val="auto"/>
          <w:szCs w:val="21"/>
        </w:rPr>
        <w:t>投标人</w:t>
      </w:r>
      <w:r>
        <w:rPr>
          <w:rFonts w:hint="eastAsia" w:ascii="宋体" w:hAnsi="宋体"/>
          <w:color w:val="auto"/>
          <w:szCs w:val="21"/>
        </w:rPr>
        <w:t>没有处于被责令停业、相关资格被注销、竞标资格被暂停或取消、财产被接管、冻结、破产状态；201</w:t>
      </w:r>
      <w:r>
        <w:rPr>
          <w:rFonts w:ascii="宋体" w:hAnsi="宋体"/>
          <w:color w:val="auto"/>
          <w:szCs w:val="21"/>
        </w:rPr>
        <w:t>8</w:t>
      </w:r>
      <w:r>
        <w:rPr>
          <w:rFonts w:hint="eastAsia" w:ascii="宋体" w:hAnsi="宋体"/>
          <w:color w:val="auto"/>
          <w:szCs w:val="21"/>
        </w:rPr>
        <w:t>年1月至今未被中国保监会、重庆保监局因公共交通保险服务受到行政处罚，或因投标人原因而使任何合同被解除；具有依法缴纳税金和社会保障基金的良好记录；无不良诉讼记录。</w:t>
      </w:r>
    </w:p>
    <w:p>
      <w:pPr>
        <w:snapToGrid w:val="0"/>
        <w:spacing w:line="400" w:lineRule="exact"/>
        <w:ind w:firstLine="420" w:firstLineChars="200"/>
        <w:rPr>
          <w:rFonts w:ascii="宋体" w:hAnsi="宋体"/>
          <w:color w:val="auto"/>
          <w:szCs w:val="21"/>
        </w:rPr>
      </w:pPr>
      <w:r>
        <w:rPr>
          <w:rFonts w:hint="eastAsia" w:ascii="宋体" w:hAnsi="宋体"/>
          <w:color w:val="auto"/>
          <w:szCs w:val="21"/>
        </w:rPr>
        <w:t>2、我公司在投标文件中提供的相关证明材料真实有效，不存在弄虚作假情形。招标人在合同签订前均有权对我司提供的投标资料进行核实，若发现弄虚作假，取消中标资格，并按相关法律法规报招标投标监督部门处理，投标保证金不予退还，我司自愿承担因此造成的相关责任并赔偿相应损失。</w:t>
      </w:r>
    </w:p>
    <w:p>
      <w:pPr>
        <w:snapToGrid w:val="0"/>
        <w:spacing w:line="400" w:lineRule="exact"/>
        <w:ind w:firstLine="420" w:firstLineChars="200"/>
        <w:rPr>
          <w:rFonts w:ascii="宋体" w:hAnsi="宋体"/>
          <w:color w:val="auto"/>
          <w:szCs w:val="21"/>
        </w:rPr>
      </w:pPr>
      <w:r>
        <w:rPr>
          <w:rFonts w:hint="eastAsia" w:ascii="宋体" w:hAnsi="宋体"/>
          <w:color w:val="auto"/>
          <w:szCs w:val="21"/>
        </w:rPr>
        <w:t>3、我公司的投标文件符合第四章 合同条款及格式规定，投标文件中没有招标人不能接受的条件。</w:t>
      </w:r>
    </w:p>
    <w:p>
      <w:pPr>
        <w:snapToGrid w:val="0"/>
        <w:spacing w:line="400" w:lineRule="exact"/>
        <w:ind w:firstLine="420" w:firstLineChars="200"/>
        <w:rPr>
          <w:rFonts w:ascii="宋体" w:hAnsi="宋体"/>
          <w:color w:val="auto"/>
          <w:szCs w:val="21"/>
        </w:rPr>
      </w:pPr>
      <w:r>
        <w:rPr>
          <w:rFonts w:hint="eastAsia" w:ascii="宋体" w:hAnsi="宋体"/>
          <w:color w:val="auto"/>
          <w:szCs w:val="21"/>
        </w:rPr>
        <w:t>4、服务满足第五章发包人要求。</w:t>
      </w: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szCs w:val="21"/>
        </w:rPr>
        <w:t>5、</w:t>
      </w:r>
      <w:r>
        <w:rPr>
          <w:rFonts w:ascii="宋体" w:hAnsi="宋体"/>
          <w:color w:val="auto"/>
          <w:szCs w:val="21"/>
        </w:rPr>
        <w:t>………</w:t>
      </w: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法定</w:t>
      </w:r>
      <w:r>
        <w:rPr>
          <w:rFonts w:hint="eastAsia" w:ascii="宋体" w:hAnsi="宋体"/>
          <w:color w:val="auto"/>
          <w:kern w:val="0"/>
          <w:szCs w:val="21"/>
        </w:rPr>
        <w:t>负责</w:t>
      </w:r>
      <w:r>
        <w:rPr>
          <w:rFonts w:ascii="宋体" w:hAnsi="宋体"/>
          <w:color w:val="auto"/>
          <w:kern w:val="0"/>
          <w:szCs w:val="21"/>
        </w:rPr>
        <w:t>人</w:t>
      </w:r>
      <w:r>
        <w:rPr>
          <w:rFonts w:hint="eastAsia" w:ascii="宋体" w:hAnsi="宋体"/>
          <w:color w:val="auto"/>
          <w:kern w:val="0"/>
          <w:szCs w:val="21"/>
        </w:rPr>
        <w:t>或其授权的代理人</w:t>
      </w:r>
      <w:r>
        <w:rPr>
          <w:rFonts w:ascii="宋体" w:hAnsi="宋体"/>
          <w:color w:val="auto"/>
          <w:kern w:val="0"/>
          <w:szCs w:val="21"/>
        </w:rPr>
        <w:t>：</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（签字或盖章）</w:t>
      </w:r>
    </w:p>
    <w:p>
      <w:pPr>
        <w:pStyle w:val="34"/>
        <w:rPr>
          <w:color w:val="auto"/>
        </w:rPr>
      </w:pPr>
    </w:p>
    <w:p>
      <w:pPr>
        <w:snapToGrid w:val="0"/>
        <w:spacing w:line="400" w:lineRule="exact"/>
        <w:ind w:firstLine="420" w:firstLineChars="200"/>
        <w:jc w:val="right"/>
        <w:rPr>
          <w:rFonts w:ascii="宋体" w:hAnsi="宋体"/>
          <w:color w:val="auto"/>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pStyle w:val="144"/>
        <w:shd w:val="clear" w:color="auto" w:fill="auto"/>
        <w:spacing w:before="9" w:line="358" w:lineRule="exact"/>
        <w:ind w:left="520" w:hanging="520"/>
        <w:rPr>
          <w:rFonts w:ascii="宋体" w:hAnsi="宋体" w:eastAsia="宋体" w:cs="宋体"/>
          <w:color w:val="auto"/>
          <w:szCs w:val="21"/>
        </w:rPr>
      </w:pPr>
    </w:p>
    <w:bookmarkEnd w:id="199"/>
    <w:bookmarkEnd w:id="201"/>
    <w:p>
      <w:pPr>
        <w:widowControl/>
        <w:jc w:val="left"/>
        <w:rPr>
          <w:rFonts w:ascii="宋体" w:hAnsi="宋体"/>
          <w:b/>
          <w:color w:val="auto"/>
          <w:sz w:val="32"/>
          <w:szCs w:val="20"/>
        </w:rPr>
      </w:pPr>
      <w:r>
        <w:rPr>
          <w:rFonts w:ascii="宋体" w:hAnsi="宋体"/>
          <w:color w:val="auto"/>
        </w:rPr>
        <w:br w:type="page"/>
      </w:r>
    </w:p>
    <w:p>
      <w:pPr>
        <w:pStyle w:val="5"/>
        <w:jc w:val="center"/>
        <w:rPr>
          <w:rFonts w:ascii="宋体" w:hAnsi="宋体"/>
          <w:color w:val="auto"/>
        </w:rPr>
      </w:pPr>
      <w:r>
        <w:rPr>
          <w:rFonts w:hint="eastAsia" w:ascii="宋体" w:hAnsi="宋体"/>
          <w:color w:val="auto"/>
        </w:rPr>
        <w:t>五、商务文件</w:t>
      </w:r>
    </w:p>
    <w:p>
      <w:pPr>
        <w:rPr>
          <w:color w:val="auto"/>
        </w:rPr>
      </w:pPr>
      <w:r>
        <w:rPr>
          <w:rFonts w:hint="eastAsia"/>
          <w:color w:val="auto"/>
        </w:rPr>
        <w:t>根据第三章评标办法中的商务部分评分内容由投标人自行拟定格式及内容。</w:t>
      </w:r>
    </w:p>
    <w:p>
      <w:pPr>
        <w:widowControl/>
        <w:jc w:val="left"/>
        <w:rPr>
          <w:rFonts w:ascii="宋体" w:hAnsi="宋体"/>
          <w:color w:val="auto"/>
        </w:rPr>
      </w:pPr>
      <w:r>
        <w:rPr>
          <w:rFonts w:ascii="宋体" w:hAnsi="宋体"/>
          <w:color w:val="auto"/>
        </w:rPr>
        <w:br w:type="page"/>
      </w:r>
    </w:p>
    <w:p>
      <w:pPr>
        <w:pStyle w:val="5"/>
        <w:jc w:val="center"/>
        <w:rPr>
          <w:rFonts w:ascii="宋体" w:hAnsi="宋体"/>
          <w:color w:val="auto"/>
        </w:rPr>
      </w:pPr>
      <w:r>
        <w:rPr>
          <w:rFonts w:hint="eastAsia" w:ascii="宋体" w:hAnsi="宋体"/>
          <w:color w:val="auto"/>
        </w:rPr>
        <w:t>六、技术文件</w:t>
      </w:r>
    </w:p>
    <w:p>
      <w:pPr>
        <w:rPr>
          <w:color w:val="auto"/>
        </w:rPr>
      </w:pPr>
      <w:r>
        <w:rPr>
          <w:rFonts w:hint="eastAsia"/>
          <w:color w:val="auto"/>
        </w:rPr>
        <w:t>根据第三章评标办法中的技术部分评分内容由投标人自行拟定格式及内容。</w:t>
      </w:r>
    </w:p>
    <w:p>
      <w:pPr>
        <w:widowControl/>
        <w:jc w:val="left"/>
        <w:rPr>
          <w:rFonts w:ascii="宋体" w:hAnsi="宋体"/>
          <w:b/>
          <w:color w:val="auto"/>
          <w:sz w:val="32"/>
          <w:szCs w:val="20"/>
        </w:rPr>
      </w:pPr>
      <w:r>
        <w:rPr>
          <w:rFonts w:ascii="宋体" w:hAnsi="宋体"/>
          <w:color w:val="auto"/>
        </w:rPr>
        <w:br w:type="page"/>
      </w:r>
    </w:p>
    <w:p>
      <w:pPr>
        <w:pStyle w:val="5"/>
        <w:jc w:val="center"/>
        <w:rPr>
          <w:rFonts w:ascii="宋体" w:hAnsi="宋体"/>
          <w:color w:val="auto"/>
        </w:rPr>
      </w:pPr>
      <w:r>
        <w:rPr>
          <w:rFonts w:hint="eastAsia" w:ascii="宋体" w:hAnsi="宋体"/>
          <w:color w:val="auto"/>
        </w:rPr>
        <w:t>七、其他资料</w:t>
      </w:r>
    </w:p>
    <w:p>
      <w:pPr>
        <w:jc w:val="center"/>
        <w:rPr>
          <w:rFonts w:ascii="宋体" w:hAnsi="宋体"/>
          <w:b/>
          <w:color w:val="auto"/>
          <w:sz w:val="36"/>
          <w:szCs w:val="36"/>
        </w:rPr>
      </w:pPr>
    </w:p>
    <w:p>
      <w:pPr>
        <w:rPr>
          <w:color w:val="auto"/>
        </w:rPr>
      </w:pPr>
      <w:r>
        <w:rPr>
          <w:rFonts w:hint="eastAsia"/>
          <w:color w:val="auto"/>
        </w:rPr>
        <w:t>投标人认为应放入的资料。</w:t>
      </w:r>
    </w:p>
    <w:sectPr>
      <w:footerReference r:id="rId7"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方正书宋">
    <w:altName w:val="黑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Stylus BT">
    <w:altName w:val="Segoe Print"/>
    <w:panose1 w:val="00000000000000000000"/>
    <w:charset w:val="00"/>
    <w:family w:val="swiss"/>
    <w:pitch w:val="default"/>
    <w:sig w:usb0="00000000" w:usb1="00000000" w:usb2="00000000" w:usb3="00000000" w:csb0="0000001B"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Dutch801 Rm BT">
    <w:altName w:val="Segoe Print"/>
    <w:panose1 w:val="00000000000000000000"/>
    <w:charset w:val="00"/>
    <w:family w:val="roman"/>
    <w:pitch w:val="default"/>
    <w:sig w:usb0="00000000" w:usb1="00000000" w:usb2="00000000" w:usb3="00000000" w:csb0="0000001B" w:csb1="00000000"/>
  </w:font>
  <w:font w:name="经典等线简">
    <w:altName w:val="宋体"/>
    <w:panose1 w:val="00000000000000000000"/>
    <w:charset w:val="86"/>
    <w:family w:val="modern"/>
    <w:pitch w:val="default"/>
    <w:sig w:usb0="00000000" w:usb1="00000000" w:usb2="0000001E"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经典标宋简">
    <w:altName w:val="宋体"/>
    <w:panose1 w:val="00000000000000000000"/>
    <w:charset w:val="86"/>
    <w:family w:val="modern"/>
    <w:pitch w:val="default"/>
    <w:sig w:usb0="00000000" w:usb1="00000000" w:usb2="0000001E" w:usb3="00000000" w:csb0="0004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文鼎CS中宋">
    <w:altName w:val="Times New Roman"/>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華康中楷體">
    <w:altName w:val="Microsoft JhengHei"/>
    <w:panose1 w:val="00000000000000000000"/>
    <w:charset w:val="88"/>
    <w:family w:val="modern"/>
    <w:pitch w:val="default"/>
    <w:sig w:usb0="00000000" w:usb1="00000000" w:usb2="00000010" w:usb3="00000000" w:csb0="00100000" w:csb1="00000000"/>
  </w:font>
  <w:font w:name="方正黑体">
    <w:altName w:val="黑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10</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4"/>
      </w:rPr>
    </w:pPr>
    <w:r>
      <w:fldChar w:fldCharType="begin"/>
    </w:r>
    <w:r>
      <w:rPr>
        <w:rStyle w:val="94"/>
      </w:rPr>
      <w:instrText xml:space="preserve">PAGE  </w:instrTex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5</w:t>
    </w:r>
    <w:r>
      <w:fldChar w:fldCharType="end"/>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文本框 4128"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ind w:left="8280" w:hanging="8280" w:hangingChars="460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B18EB"/>
    <w:multiLevelType w:val="multilevel"/>
    <w:tmpl w:val="132B18EB"/>
    <w:lvl w:ilvl="0" w:tentative="0">
      <w:start w:val="1"/>
      <w:numFmt w:val="decimal"/>
      <w:lvlText w:val="%1."/>
      <w:lvlJc w:val="left"/>
      <w:pPr>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F3311D"/>
    <w:multiLevelType w:val="multilevel"/>
    <w:tmpl w:val="20F3311D"/>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26246114"/>
    <w:multiLevelType w:val="multilevel"/>
    <w:tmpl w:val="26246114"/>
    <w:lvl w:ilvl="0" w:tentative="0">
      <w:start w:val="1"/>
      <w:numFmt w:val="decimal"/>
      <w:lvlText w:val="%1."/>
      <w:lvlJc w:val="left"/>
      <w:pPr>
        <w:ind w:left="420" w:hanging="420"/>
      </w:pPr>
      <w:rPr>
        <w:rFonts w:hint="default" w:ascii="Arial" w:hAnsi="Arial" w:cs="Arial"/>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E24E24"/>
    <w:multiLevelType w:val="multilevel"/>
    <w:tmpl w:val="2AE24E24"/>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C8422F"/>
    <w:multiLevelType w:val="multilevel"/>
    <w:tmpl w:val="3EC8422F"/>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610D32"/>
    <w:multiLevelType w:val="multilevel"/>
    <w:tmpl w:val="40610D32"/>
    <w:lvl w:ilvl="0" w:tentative="0">
      <w:start w:val="1"/>
      <w:numFmt w:val="decimal"/>
      <w:lvlText w:val="%1."/>
      <w:lvlJc w:val="left"/>
      <w:pPr>
        <w:ind w:left="420" w:hanging="420"/>
      </w:pPr>
      <w:rPr>
        <w:rFonts w:hint="default" w:ascii="Arial" w:hAnsi="Arial" w:cs="Arial"/>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823536"/>
    <w:multiLevelType w:val="singleLevel"/>
    <w:tmpl w:val="4B823536"/>
    <w:lvl w:ilvl="0" w:tentative="0">
      <w:start w:val="1"/>
      <w:numFmt w:val="decimal"/>
      <w:suff w:val="space"/>
      <w:lvlText w:val="%1."/>
      <w:lvlJc w:val="left"/>
    </w:lvl>
  </w:abstractNum>
  <w:abstractNum w:abstractNumId="7">
    <w:nsid w:val="61035704"/>
    <w:multiLevelType w:val="singleLevel"/>
    <w:tmpl w:val="61035704"/>
    <w:lvl w:ilvl="0" w:tentative="0">
      <w:start w:val="2"/>
      <w:numFmt w:val="chineseCounting"/>
      <w:pStyle w:val="65"/>
      <w:suff w:val="nothing"/>
      <w:lvlText w:val="%1、"/>
      <w:lvlJc w:val="left"/>
    </w:lvl>
  </w:abstractNum>
  <w:abstractNum w:abstractNumId="8">
    <w:nsid w:val="7C603CAE"/>
    <w:multiLevelType w:val="multilevel"/>
    <w:tmpl w:val="7C603CAE"/>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1"/>
  </w:num>
  <w:num w:numId="4">
    <w:abstractNumId w:val="0"/>
  </w:num>
  <w:num w:numId="5">
    <w:abstractNumId w:val="5"/>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4"/>
    <w:rsid w:val="00000749"/>
    <w:rsid w:val="00000C2E"/>
    <w:rsid w:val="00000DB9"/>
    <w:rsid w:val="00002AF3"/>
    <w:rsid w:val="0000365E"/>
    <w:rsid w:val="00003764"/>
    <w:rsid w:val="00003C49"/>
    <w:rsid w:val="00004069"/>
    <w:rsid w:val="00005372"/>
    <w:rsid w:val="000056D5"/>
    <w:rsid w:val="000058C3"/>
    <w:rsid w:val="0000681B"/>
    <w:rsid w:val="000069BA"/>
    <w:rsid w:val="000103BF"/>
    <w:rsid w:val="0001153A"/>
    <w:rsid w:val="00013E7A"/>
    <w:rsid w:val="00016013"/>
    <w:rsid w:val="0001654D"/>
    <w:rsid w:val="00017520"/>
    <w:rsid w:val="00017DF9"/>
    <w:rsid w:val="00020FA8"/>
    <w:rsid w:val="00021AB2"/>
    <w:rsid w:val="00021FCE"/>
    <w:rsid w:val="000221B8"/>
    <w:rsid w:val="00022D6A"/>
    <w:rsid w:val="000241C3"/>
    <w:rsid w:val="00024416"/>
    <w:rsid w:val="0002552D"/>
    <w:rsid w:val="00026359"/>
    <w:rsid w:val="000276EE"/>
    <w:rsid w:val="000276FD"/>
    <w:rsid w:val="00030F62"/>
    <w:rsid w:val="000310B5"/>
    <w:rsid w:val="000318C1"/>
    <w:rsid w:val="000322D9"/>
    <w:rsid w:val="000336EE"/>
    <w:rsid w:val="00034387"/>
    <w:rsid w:val="000361F3"/>
    <w:rsid w:val="00036276"/>
    <w:rsid w:val="00036562"/>
    <w:rsid w:val="00042195"/>
    <w:rsid w:val="00042284"/>
    <w:rsid w:val="00042743"/>
    <w:rsid w:val="00042928"/>
    <w:rsid w:val="0004461D"/>
    <w:rsid w:val="00044A20"/>
    <w:rsid w:val="00045914"/>
    <w:rsid w:val="00046657"/>
    <w:rsid w:val="00046EE9"/>
    <w:rsid w:val="000471D3"/>
    <w:rsid w:val="000506EF"/>
    <w:rsid w:val="000512B2"/>
    <w:rsid w:val="00052124"/>
    <w:rsid w:val="00053478"/>
    <w:rsid w:val="00054774"/>
    <w:rsid w:val="00055471"/>
    <w:rsid w:val="00055B51"/>
    <w:rsid w:val="00055F33"/>
    <w:rsid w:val="00056250"/>
    <w:rsid w:val="00057C62"/>
    <w:rsid w:val="00060B9E"/>
    <w:rsid w:val="00060C57"/>
    <w:rsid w:val="00062AE6"/>
    <w:rsid w:val="000638F7"/>
    <w:rsid w:val="00064219"/>
    <w:rsid w:val="00064D23"/>
    <w:rsid w:val="0006577A"/>
    <w:rsid w:val="000659F9"/>
    <w:rsid w:val="0006602B"/>
    <w:rsid w:val="000661E6"/>
    <w:rsid w:val="000676C7"/>
    <w:rsid w:val="0007055F"/>
    <w:rsid w:val="00071478"/>
    <w:rsid w:val="00071A4C"/>
    <w:rsid w:val="0007336F"/>
    <w:rsid w:val="00074087"/>
    <w:rsid w:val="000762B7"/>
    <w:rsid w:val="000766A4"/>
    <w:rsid w:val="0007774C"/>
    <w:rsid w:val="00080412"/>
    <w:rsid w:val="00080527"/>
    <w:rsid w:val="00082728"/>
    <w:rsid w:val="00082C73"/>
    <w:rsid w:val="00082EC8"/>
    <w:rsid w:val="00084AE7"/>
    <w:rsid w:val="00085890"/>
    <w:rsid w:val="00085BCA"/>
    <w:rsid w:val="00086856"/>
    <w:rsid w:val="0008698A"/>
    <w:rsid w:val="000873AE"/>
    <w:rsid w:val="00092030"/>
    <w:rsid w:val="00094890"/>
    <w:rsid w:val="00094A8C"/>
    <w:rsid w:val="00096325"/>
    <w:rsid w:val="00097937"/>
    <w:rsid w:val="00097DFB"/>
    <w:rsid w:val="000A0620"/>
    <w:rsid w:val="000A0EC8"/>
    <w:rsid w:val="000A2D83"/>
    <w:rsid w:val="000A3777"/>
    <w:rsid w:val="000A4041"/>
    <w:rsid w:val="000A6AF0"/>
    <w:rsid w:val="000A6BB3"/>
    <w:rsid w:val="000A7036"/>
    <w:rsid w:val="000B0BB0"/>
    <w:rsid w:val="000B22EF"/>
    <w:rsid w:val="000B4107"/>
    <w:rsid w:val="000B44DA"/>
    <w:rsid w:val="000B4A54"/>
    <w:rsid w:val="000B600E"/>
    <w:rsid w:val="000B60A0"/>
    <w:rsid w:val="000B6242"/>
    <w:rsid w:val="000B76C0"/>
    <w:rsid w:val="000B7723"/>
    <w:rsid w:val="000C03FB"/>
    <w:rsid w:val="000C133D"/>
    <w:rsid w:val="000C146C"/>
    <w:rsid w:val="000C283B"/>
    <w:rsid w:val="000C3D3A"/>
    <w:rsid w:val="000C549B"/>
    <w:rsid w:val="000D0416"/>
    <w:rsid w:val="000D05A8"/>
    <w:rsid w:val="000D0EDE"/>
    <w:rsid w:val="000D12C2"/>
    <w:rsid w:val="000D1375"/>
    <w:rsid w:val="000D18E3"/>
    <w:rsid w:val="000D2B6D"/>
    <w:rsid w:val="000D2F73"/>
    <w:rsid w:val="000D407D"/>
    <w:rsid w:val="000D45DC"/>
    <w:rsid w:val="000D4619"/>
    <w:rsid w:val="000D4ABE"/>
    <w:rsid w:val="000D4E6D"/>
    <w:rsid w:val="000D7714"/>
    <w:rsid w:val="000E2976"/>
    <w:rsid w:val="000E44CF"/>
    <w:rsid w:val="000E44E0"/>
    <w:rsid w:val="000E6E7F"/>
    <w:rsid w:val="000F05DA"/>
    <w:rsid w:val="000F0636"/>
    <w:rsid w:val="000F38B0"/>
    <w:rsid w:val="000F3FC8"/>
    <w:rsid w:val="000F450D"/>
    <w:rsid w:val="000F5EBA"/>
    <w:rsid w:val="000F6F0C"/>
    <w:rsid w:val="000F716F"/>
    <w:rsid w:val="000F72D7"/>
    <w:rsid w:val="000F74EA"/>
    <w:rsid w:val="000F78A1"/>
    <w:rsid w:val="001007FA"/>
    <w:rsid w:val="00101015"/>
    <w:rsid w:val="00101A9A"/>
    <w:rsid w:val="00104DC9"/>
    <w:rsid w:val="001053BC"/>
    <w:rsid w:val="001058FC"/>
    <w:rsid w:val="00106014"/>
    <w:rsid w:val="0010604A"/>
    <w:rsid w:val="00107AB8"/>
    <w:rsid w:val="00107D42"/>
    <w:rsid w:val="001100DB"/>
    <w:rsid w:val="00112735"/>
    <w:rsid w:val="00113523"/>
    <w:rsid w:val="001155A4"/>
    <w:rsid w:val="001155A6"/>
    <w:rsid w:val="001158BD"/>
    <w:rsid w:val="00116075"/>
    <w:rsid w:val="00120E7C"/>
    <w:rsid w:val="0012193D"/>
    <w:rsid w:val="00121B5E"/>
    <w:rsid w:val="00122799"/>
    <w:rsid w:val="00122B2E"/>
    <w:rsid w:val="00123CFF"/>
    <w:rsid w:val="00124AF3"/>
    <w:rsid w:val="00126A5A"/>
    <w:rsid w:val="00127310"/>
    <w:rsid w:val="00127CA4"/>
    <w:rsid w:val="001309A3"/>
    <w:rsid w:val="00133D8F"/>
    <w:rsid w:val="001342EF"/>
    <w:rsid w:val="00134462"/>
    <w:rsid w:val="00134CB9"/>
    <w:rsid w:val="001354C2"/>
    <w:rsid w:val="00136AF1"/>
    <w:rsid w:val="00136D7B"/>
    <w:rsid w:val="00141EAF"/>
    <w:rsid w:val="001427FC"/>
    <w:rsid w:val="00144282"/>
    <w:rsid w:val="00145E79"/>
    <w:rsid w:val="00147712"/>
    <w:rsid w:val="00150164"/>
    <w:rsid w:val="00151C9F"/>
    <w:rsid w:val="00151DBA"/>
    <w:rsid w:val="00153436"/>
    <w:rsid w:val="00153757"/>
    <w:rsid w:val="00154865"/>
    <w:rsid w:val="001554B0"/>
    <w:rsid w:val="00155C46"/>
    <w:rsid w:val="00155D97"/>
    <w:rsid w:val="00156F18"/>
    <w:rsid w:val="0015719E"/>
    <w:rsid w:val="00160524"/>
    <w:rsid w:val="00160D01"/>
    <w:rsid w:val="001616AD"/>
    <w:rsid w:val="001616B2"/>
    <w:rsid w:val="00161B72"/>
    <w:rsid w:val="00161DFE"/>
    <w:rsid w:val="00162AB8"/>
    <w:rsid w:val="00162F8C"/>
    <w:rsid w:val="00162F9E"/>
    <w:rsid w:val="0016335C"/>
    <w:rsid w:val="001635F3"/>
    <w:rsid w:val="001644BF"/>
    <w:rsid w:val="00165902"/>
    <w:rsid w:val="00165FB7"/>
    <w:rsid w:val="001677EF"/>
    <w:rsid w:val="001679C2"/>
    <w:rsid w:val="00167ECD"/>
    <w:rsid w:val="00170E72"/>
    <w:rsid w:val="0017196B"/>
    <w:rsid w:val="00171ABE"/>
    <w:rsid w:val="001722C8"/>
    <w:rsid w:val="00172351"/>
    <w:rsid w:val="00172A27"/>
    <w:rsid w:val="00174469"/>
    <w:rsid w:val="0017489B"/>
    <w:rsid w:val="00174E07"/>
    <w:rsid w:val="0017524F"/>
    <w:rsid w:val="0017649E"/>
    <w:rsid w:val="00177595"/>
    <w:rsid w:val="001800C9"/>
    <w:rsid w:val="0018050D"/>
    <w:rsid w:val="00180A21"/>
    <w:rsid w:val="00183C8A"/>
    <w:rsid w:val="00183D3C"/>
    <w:rsid w:val="001843AF"/>
    <w:rsid w:val="0019076A"/>
    <w:rsid w:val="00190C14"/>
    <w:rsid w:val="001915F5"/>
    <w:rsid w:val="0019171F"/>
    <w:rsid w:val="00193D7E"/>
    <w:rsid w:val="0019422A"/>
    <w:rsid w:val="001944D6"/>
    <w:rsid w:val="001955FC"/>
    <w:rsid w:val="00195D0F"/>
    <w:rsid w:val="0019604E"/>
    <w:rsid w:val="00197BB7"/>
    <w:rsid w:val="001A4263"/>
    <w:rsid w:val="001A44C7"/>
    <w:rsid w:val="001A4BA6"/>
    <w:rsid w:val="001A5B78"/>
    <w:rsid w:val="001A5EF8"/>
    <w:rsid w:val="001A63A4"/>
    <w:rsid w:val="001A6939"/>
    <w:rsid w:val="001A7B1F"/>
    <w:rsid w:val="001B29ED"/>
    <w:rsid w:val="001B3966"/>
    <w:rsid w:val="001B3ADE"/>
    <w:rsid w:val="001B41E3"/>
    <w:rsid w:val="001B47B5"/>
    <w:rsid w:val="001B5E58"/>
    <w:rsid w:val="001B647C"/>
    <w:rsid w:val="001B6764"/>
    <w:rsid w:val="001C06AF"/>
    <w:rsid w:val="001C1509"/>
    <w:rsid w:val="001C24DD"/>
    <w:rsid w:val="001C27C9"/>
    <w:rsid w:val="001C2B17"/>
    <w:rsid w:val="001C321F"/>
    <w:rsid w:val="001C3E8B"/>
    <w:rsid w:val="001C4203"/>
    <w:rsid w:val="001C4DF9"/>
    <w:rsid w:val="001C5D40"/>
    <w:rsid w:val="001C6259"/>
    <w:rsid w:val="001C7734"/>
    <w:rsid w:val="001C78F3"/>
    <w:rsid w:val="001D0534"/>
    <w:rsid w:val="001D125F"/>
    <w:rsid w:val="001D2153"/>
    <w:rsid w:val="001D384E"/>
    <w:rsid w:val="001D3BCE"/>
    <w:rsid w:val="001D734C"/>
    <w:rsid w:val="001E03B1"/>
    <w:rsid w:val="001E0738"/>
    <w:rsid w:val="001E19CC"/>
    <w:rsid w:val="001E2211"/>
    <w:rsid w:val="001E224E"/>
    <w:rsid w:val="001E2C7A"/>
    <w:rsid w:val="001E2D15"/>
    <w:rsid w:val="001E363F"/>
    <w:rsid w:val="001E3F46"/>
    <w:rsid w:val="001E4687"/>
    <w:rsid w:val="001E4858"/>
    <w:rsid w:val="001E54A9"/>
    <w:rsid w:val="001E649B"/>
    <w:rsid w:val="001E6C40"/>
    <w:rsid w:val="001F0BB5"/>
    <w:rsid w:val="001F1503"/>
    <w:rsid w:val="001F2EB7"/>
    <w:rsid w:val="001F3EC9"/>
    <w:rsid w:val="001F462F"/>
    <w:rsid w:val="001F47E5"/>
    <w:rsid w:val="001F5532"/>
    <w:rsid w:val="001F7192"/>
    <w:rsid w:val="001F749C"/>
    <w:rsid w:val="00202407"/>
    <w:rsid w:val="00204054"/>
    <w:rsid w:val="00204B84"/>
    <w:rsid w:val="00206438"/>
    <w:rsid w:val="0020676A"/>
    <w:rsid w:val="00207E4D"/>
    <w:rsid w:val="002112BE"/>
    <w:rsid w:val="002113B5"/>
    <w:rsid w:val="00211410"/>
    <w:rsid w:val="00212B59"/>
    <w:rsid w:val="00213ABC"/>
    <w:rsid w:val="00214E46"/>
    <w:rsid w:val="0021513B"/>
    <w:rsid w:val="00216FD6"/>
    <w:rsid w:val="002175FD"/>
    <w:rsid w:val="002203CA"/>
    <w:rsid w:val="0022089C"/>
    <w:rsid w:val="002209F4"/>
    <w:rsid w:val="002216AB"/>
    <w:rsid w:val="00221DB2"/>
    <w:rsid w:val="002225BE"/>
    <w:rsid w:val="00223779"/>
    <w:rsid w:val="00224184"/>
    <w:rsid w:val="002251A3"/>
    <w:rsid w:val="00225451"/>
    <w:rsid w:val="00226FE6"/>
    <w:rsid w:val="002275E6"/>
    <w:rsid w:val="00230A60"/>
    <w:rsid w:val="002314C2"/>
    <w:rsid w:val="00231DA7"/>
    <w:rsid w:val="00232896"/>
    <w:rsid w:val="00232C57"/>
    <w:rsid w:val="00233A3C"/>
    <w:rsid w:val="00233DDD"/>
    <w:rsid w:val="0023460A"/>
    <w:rsid w:val="002359CD"/>
    <w:rsid w:val="002376E5"/>
    <w:rsid w:val="002379A5"/>
    <w:rsid w:val="00240CF1"/>
    <w:rsid w:val="002416E0"/>
    <w:rsid w:val="00244A2D"/>
    <w:rsid w:val="00245AAB"/>
    <w:rsid w:val="00247418"/>
    <w:rsid w:val="0024750A"/>
    <w:rsid w:val="00247B41"/>
    <w:rsid w:val="00247FBF"/>
    <w:rsid w:val="00250939"/>
    <w:rsid w:val="00250B6C"/>
    <w:rsid w:val="002540C5"/>
    <w:rsid w:val="00255329"/>
    <w:rsid w:val="00255A03"/>
    <w:rsid w:val="00255DCE"/>
    <w:rsid w:val="00256386"/>
    <w:rsid w:val="002565B5"/>
    <w:rsid w:val="00256B01"/>
    <w:rsid w:val="0025740E"/>
    <w:rsid w:val="002578A9"/>
    <w:rsid w:val="00257B86"/>
    <w:rsid w:val="00257C0F"/>
    <w:rsid w:val="00257D21"/>
    <w:rsid w:val="00260331"/>
    <w:rsid w:val="00263BAB"/>
    <w:rsid w:val="00267492"/>
    <w:rsid w:val="0027016E"/>
    <w:rsid w:val="002709DB"/>
    <w:rsid w:val="002716AC"/>
    <w:rsid w:val="002724F2"/>
    <w:rsid w:val="002737E1"/>
    <w:rsid w:val="00274D01"/>
    <w:rsid w:val="002750A2"/>
    <w:rsid w:val="00275A99"/>
    <w:rsid w:val="00276459"/>
    <w:rsid w:val="00276730"/>
    <w:rsid w:val="002768DD"/>
    <w:rsid w:val="002771E0"/>
    <w:rsid w:val="00277CCA"/>
    <w:rsid w:val="002803A9"/>
    <w:rsid w:val="002803DA"/>
    <w:rsid w:val="0028063B"/>
    <w:rsid w:val="0028065F"/>
    <w:rsid w:val="00281D38"/>
    <w:rsid w:val="00282B47"/>
    <w:rsid w:val="0028315C"/>
    <w:rsid w:val="0028473A"/>
    <w:rsid w:val="00284F85"/>
    <w:rsid w:val="00286664"/>
    <w:rsid w:val="0029221E"/>
    <w:rsid w:val="0029671F"/>
    <w:rsid w:val="00296996"/>
    <w:rsid w:val="002A0BBB"/>
    <w:rsid w:val="002A1BD8"/>
    <w:rsid w:val="002A39DF"/>
    <w:rsid w:val="002A5160"/>
    <w:rsid w:val="002A59A3"/>
    <w:rsid w:val="002A59C9"/>
    <w:rsid w:val="002A5D1E"/>
    <w:rsid w:val="002A6115"/>
    <w:rsid w:val="002A64CF"/>
    <w:rsid w:val="002B0147"/>
    <w:rsid w:val="002B0CED"/>
    <w:rsid w:val="002B1FD9"/>
    <w:rsid w:val="002B285E"/>
    <w:rsid w:val="002B31A6"/>
    <w:rsid w:val="002B3233"/>
    <w:rsid w:val="002B3A62"/>
    <w:rsid w:val="002B427B"/>
    <w:rsid w:val="002B54B5"/>
    <w:rsid w:val="002C0722"/>
    <w:rsid w:val="002C111E"/>
    <w:rsid w:val="002C216C"/>
    <w:rsid w:val="002C2246"/>
    <w:rsid w:val="002C3AFB"/>
    <w:rsid w:val="002C410B"/>
    <w:rsid w:val="002C514D"/>
    <w:rsid w:val="002C51EF"/>
    <w:rsid w:val="002C52B9"/>
    <w:rsid w:val="002C733D"/>
    <w:rsid w:val="002C76CF"/>
    <w:rsid w:val="002D077A"/>
    <w:rsid w:val="002D0F64"/>
    <w:rsid w:val="002D12B6"/>
    <w:rsid w:val="002D1390"/>
    <w:rsid w:val="002D3602"/>
    <w:rsid w:val="002D47BF"/>
    <w:rsid w:val="002D65C7"/>
    <w:rsid w:val="002D6C10"/>
    <w:rsid w:val="002D6C3F"/>
    <w:rsid w:val="002E0263"/>
    <w:rsid w:val="002E0931"/>
    <w:rsid w:val="002E0984"/>
    <w:rsid w:val="002E0E24"/>
    <w:rsid w:val="002E2091"/>
    <w:rsid w:val="002E29AE"/>
    <w:rsid w:val="002E29AF"/>
    <w:rsid w:val="002E2A44"/>
    <w:rsid w:val="002E3A30"/>
    <w:rsid w:val="002E72FA"/>
    <w:rsid w:val="002F181B"/>
    <w:rsid w:val="002F27B5"/>
    <w:rsid w:val="002F435B"/>
    <w:rsid w:val="002F4644"/>
    <w:rsid w:val="002F482B"/>
    <w:rsid w:val="002F5871"/>
    <w:rsid w:val="002F6E2F"/>
    <w:rsid w:val="002F76F9"/>
    <w:rsid w:val="002F7A07"/>
    <w:rsid w:val="002F7E14"/>
    <w:rsid w:val="00300067"/>
    <w:rsid w:val="00301567"/>
    <w:rsid w:val="00301992"/>
    <w:rsid w:val="00302211"/>
    <w:rsid w:val="003040B3"/>
    <w:rsid w:val="00304EAC"/>
    <w:rsid w:val="003050CE"/>
    <w:rsid w:val="0030686D"/>
    <w:rsid w:val="00307BC9"/>
    <w:rsid w:val="00307F73"/>
    <w:rsid w:val="00310FB8"/>
    <w:rsid w:val="003119E9"/>
    <w:rsid w:val="00313A01"/>
    <w:rsid w:val="00313DDC"/>
    <w:rsid w:val="003141C4"/>
    <w:rsid w:val="00314BCA"/>
    <w:rsid w:val="00315839"/>
    <w:rsid w:val="0031593C"/>
    <w:rsid w:val="00317203"/>
    <w:rsid w:val="003175F3"/>
    <w:rsid w:val="003206BC"/>
    <w:rsid w:val="00320EDD"/>
    <w:rsid w:val="00320F53"/>
    <w:rsid w:val="00321E2B"/>
    <w:rsid w:val="00323D1B"/>
    <w:rsid w:val="0032791A"/>
    <w:rsid w:val="00330F69"/>
    <w:rsid w:val="0033110C"/>
    <w:rsid w:val="00331E4D"/>
    <w:rsid w:val="0033252F"/>
    <w:rsid w:val="00332846"/>
    <w:rsid w:val="0033359A"/>
    <w:rsid w:val="00333860"/>
    <w:rsid w:val="00334A94"/>
    <w:rsid w:val="00335878"/>
    <w:rsid w:val="00335A58"/>
    <w:rsid w:val="00336158"/>
    <w:rsid w:val="00337E6E"/>
    <w:rsid w:val="00340404"/>
    <w:rsid w:val="00341521"/>
    <w:rsid w:val="00344556"/>
    <w:rsid w:val="00344CA9"/>
    <w:rsid w:val="0034514F"/>
    <w:rsid w:val="0034761E"/>
    <w:rsid w:val="0034789B"/>
    <w:rsid w:val="003479C8"/>
    <w:rsid w:val="00347FF3"/>
    <w:rsid w:val="00351367"/>
    <w:rsid w:val="003516F0"/>
    <w:rsid w:val="003529F7"/>
    <w:rsid w:val="00353754"/>
    <w:rsid w:val="003571D1"/>
    <w:rsid w:val="003600EB"/>
    <w:rsid w:val="0036334E"/>
    <w:rsid w:val="00363528"/>
    <w:rsid w:val="00363EA9"/>
    <w:rsid w:val="00364DB5"/>
    <w:rsid w:val="00364ECF"/>
    <w:rsid w:val="00365737"/>
    <w:rsid w:val="00365A28"/>
    <w:rsid w:val="00365A96"/>
    <w:rsid w:val="00365E11"/>
    <w:rsid w:val="003668B9"/>
    <w:rsid w:val="00366A90"/>
    <w:rsid w:val="00367290"/>
    <w:rsid w:val="003674C3"/>
    <w:rsid w:val="0037222C"/>
    <w:rsid w:val="003728A9"/>
    <w:rsid w:val="00375C92"/>
    <w:rsid w:val="00376476"/>
    <w:rsid w:val="003771D3"/>
    <w:rsid w:val="003774A0"/>
    <w:rsid w:val="003779D6"/>
    <w:rsid w:val="003806CF"/>
    <w:rsid w:val="003814B8"/>
    <w:rsid w:val="003815B8"/>
    <w:rsid w:val="0038254B"/>
    <w:rsid w:val="0038283B"/>
    <w:rsid w:val="0038372B"/>
    <w:rsid w:val="003849BD"/>
    <w:rsid w:val="00384CBE"/>
    <w:rsid w:val="0038691C"/>
    <w:rsid w:val="003900A4"/>
    <w:rsid w:val="003902D4"/>
    <w:rsid w:val="003909A7"/>
    <w:rsid w:val="003923CF"/>
    <w:rsid w:val="00393007"/>
    <w:rsid w:val="00395461"/>
    <w:rsid w:val="00396D36"/>
    <w:rsid w:val="00397D3A"/>
    <w:rsid w:val="003A0041"/>
    <w:rsid w:val="003A2554"/>
    <w:rsid w:val="003A27B8"/>
    <w:rsid w:val="003A3DF6"/>
    <w:rsid w:val="003A4A5C"/>
    <w:rsid w:val="003A6DD4"/>
    <w:rsid w:val="003B047B"/>
    <w:rsid w:val="003B1059"/>
    <w:rsid w:val="003B1A36"/>
    <w:rsid w:val="003B3BA4"/>
    <w:rsid w:val="003B5B62"/>
    <w:rsid w:val="003B5D01"/>
    <w:rsid w:val="003B63A0"/>
    <w:rsid w:val="003B7D03"/>
    <w:rsid w:val="003C4D0F"/>
    <w:rsid w:val="003C50A4"/>
    <w:rsid w:val="003C6098"/>
    <w:rsid w:val="003C6D3A"/>
    <w:rsid w:val="003C79AE"/>
    <w:rsid w:val="003D0703"/>
    <w:rsid w:val="003D1FC1"/>
    <w:rsid w:val="003D41C6"/>
    <w:rsid w:val="003D4F83"/>
    <w:rsid w:val="003D5137"/>
    <w:rsid w:val="003D533B"/>
    <w:rsid w:val="003D69FD"/>
    <w:rsid w:val="003D71D7"/>
    <w:rsid w:val="003D7233"/>
    <w:rsid w:val="003D7ECF"/>
    <w:rsid w:val="003E1115"/>
    <w:rsid w:val="003E12E8"/>
    <w:rsid w:val="003E145B"/>
    <w:rsid w:val="003E205B"/>
    <w:rsid w:val="003E26A2"/>
    <w:rsid w:val="003E27CB"/>
    <w:rsid w:val="003E3294"/>
    <w:rsid w:val="003E4D43"/>
    <w:rsid w:val="003E5F51"/>
    <w:rsid w:val="003E6CF3"/>
    <w:rsid w:val="003E70AA"/>
    <w:rsid w:val="003F0A17"/>
    <w:rsid w:val="003F1109"/>
    <w:rsid w:val="003F1755"/>
    <w:rsid w:val="003F1F56"/>
    <w:rsid w:val="003F2935"/>
    <w:rsid w:val="003F2B42"/>
    <w:rsid w:val="003F328C"/>
    <w:rsid w:val="003F6230"/>
    <w:rsid w:val="00400225"/>
    <w:rsid w:val="004008D6"/>
    <w:rsid w:val="00400C8E"/>
    <w:rsid w:val="00402C3A"/>
    <w:rsid w:val="00403B88"/>
    <w:rsid w:val="00405C1C"/>
    <w:rsid w:val="00406422"/>
    <w:rsid w:val="00406E96"/>
    <w:rsid w:val="00406F56"/>
    <w:rsid w:val="004078F9"/>
    <w:rsid w:val="00407BD2"/>
    <w:rsid w:val="00407F85"/>
    <w:rsid w:val="00410012"/>
    <w:rsid w:val="004105C3"/>
    <w:rsid w:val="004116C6"/>
    <w:rsid w:val="00411CB8"/>
    <w:rsid w:val="00413873"/>
    <w:rsid w:val="00413D99"/>
    <w:rsid w:val="004141ED"/>
    <w:rsid w:val="004143A5"/>
    <w:rsid w:val="0041457E"/>
    <w:rsid w:val="0041457F"/>
    <w:rsid w:val="00414870"/>
    <w:rsid w:val="00414894"/>
    <w:rsid w:val="00414997"/>
    <w:rsid w:val="00415AD2"/>
    <w:rsid w:val="004162AB"/>
    <w:rsid w:val="00416318"/>
    <w:rsid w:val="00416FEC"/>
    <w:rsid w:val="004177D9"/>
    <w:rsid w:val="0041783A"/>
    <w:rsid w:val="00417B72"/>
    <w:rsid w:val="00417B90"/>
    <w:rsid w:val="00421318"/>
    <w:rsid w:val="004215E9"/>
    <w:rsid w:val="004226CE"/>
    <w:rsid w:val="0042578A"/>
    <w:rsid w:val="00425A3B"/>
    <w:rsid w:val="004266E9"/>
    <w:rsid w:val="0042743F"/>
    <w:rsid w:val="00430B8F"/>
    <w:rsid w:val="0043140F"/>
    <w:rsid w:val="00432C57"/>
    <w:rsid w:val="00433270"/>
    <w:rsid w:val="00433751"/>
    <w:rsid w:val="00433A21"/>
    <w:rsid w:val="0043588C"/>
    <w:rsid w:val="00435E19"/>
    <w:rsid w:val="00436485"/>
    <w:rsid w:val="004366F9"/>
    <w:rsid w:val="0043682D"/>
    <w:rsid w:val="00436832"/>
    <w:rsid w:val="00436ECA"/>
    <w:rsid w:val="00436FC9"/>
    <w:rsid w:val="00437276"/>
    <w:rsid w:val="00437DCB"/>
    <w:rsid w:val="00442E96"/>
    <w:rsid w:val="00444BD8"/>
    <w:rsid w:val="004470E5"/>
    <w:rsid w:val="004476CB"/>
    <w:rsid w:val="00447878"/>
    <w:rsid w:val="00447EB1"/>
    <w:rsid w:val="00450A5D"/>
    <w:rsid w:val="00451E35"/>
    <w:rsid w:val="004533E8"/>
    <w:rsid w:val="00454445"/>
    <w:rsid w:val="004610EA"/>
    <w:rsid w:val="0046223E"/>
    <w:rsid w:val="0046389F"/>
    <w:rsid w:val="00465371"/>
    <w:rsid w:val="00466C00"/>
    <w:rsid w:val="004671FC"/>
    <w:rsid w:val="00467318"/>
    <w:rsid w:val="004679B2"/>
    <w:rsid w:val="004707A6"/>
    <w:rsid w:val="004722F9"/>
    <w:rsid w:val="00472EAE"/>
    <w:rsid w:val="00472F49"/>
    <w:rsid w:val="004741A4"/>
    <w:rsid w:val="00476060"/>
    <w:rsid w:val="004770D0"/>
    <w:rsid w:val="00481FAA"/>
    <w:rsid w:val="00483CCC"/>
    <w:rsid w:val="00483DD0"/>
    <w:rsid w:val="00484D66"/>
    <w:rsid w:val="0048552C"/>
    <w:rsid w:val="004857FA"/>
    <w:rsid w:val="00487957"/>
    <w:rsid w:val="004908A4"/>
    <w:rsid w:val="00490B9A"/>
    <w:rsid w:val="0049320A"/>
    <w:rsid w:val="00493C26"/>
    <w:rsid w:val="00493EA8"/>
    <w:rsid w:val="0049701C"/>
    <w:rsid w:val="004A0214"/>
    <w:rsid w:val="004A16DF"/>
    <w:rsid w:val="004A217E"/>
    <w:rsid w:val="004A281F"/>
    <w:rsid w:val="004A4623"/>
    <w:rsid w:val="004A4E44"/>
    <w:rsid w:val="004A71DA"/>
    <w:rsid w:val="004A7765"/>
    <w:rsid w:val="004A7D12"/>
    <w:rsid w:val="004B1092"/>
    <w:rsid w:val="004B1175"/>
    <w:rsid w:val="004B14D2"/>
    <w:rsid w:val="004B1A21"/>
    <w:rsid w:val="004B1C4A"/>
    <w:rsid w:val="004B2C75"/>
    <w:rsid w:val="004B464D"/>
    <w:rsid w:val="004B4797"/>
    <w:rsid w:val="004B56C0"/>
    <w:rsid w:val="004B631A"/>
    <w:rsid w:val="004B7847"/>
    <w:rsid w:val="004B78A8"/>
    <w:rsid w:val="004C064A"/>
    <w:rsid w:val="004C077D"/>
    <w:rsid w:val="004C252E"/>
    <w:rsid w:val="004C2879"/>
    <w:rsid w:val="004C2A41"/>
    <w:rsid w:val="004C468A"/>
    <w:rsid w:val="004C4974"/>
    <w:rsid w:val="004C5F61"/>
    <w:rsid w:val="004C6A88"/>
    <w:rsid w:val="004C72AD"/>
    <w:rsid w:val="004C7947"/>
    <w:rsid w:val="004C7BEA"/>
    <w:rsid w:val="004D12AF"/>
    <w:rsid w:val="004D14CE"/>
    <w:rsid w:val="004D21A2"/>
    <w:rsid w:val="004D404A"/>
    <w:rsid w:val="004D47A0"/>
    <w:rsid w:val="004D54FC"/>
    <w:rsid w:val="004D574C"/>
    <w:rsid w:val="004D61F3"/>
    <w:rsid w:val="004D6BC1"/>
    <w:rsid w:val="004D7A2F"/>
    <w:rsid w:val="004E0560"/>
    <w:rsid w:val="004E21C1"/>
    <w:rsid w:val="004E352F"/>
    <w:rsid w:val="004E421A"/>
    <w:rsid w:val="004E628E"/>
    <w:rsid w:val="004E7485"/>
    <w:rsid w:val="004F0715"/>
    <w:rsid w:val="004F1A43"/>
    <w:rsid w:val="004F2E92"/>
    <w:rsid w:val="004F40BC"/>
    <w:rsid w:val="004F4FAC"/>
    <w:rsid w:val="004F52B7"/>
    <w:rsid w:val="004F6452"/>
    <w:rsid w:val="00500CE2"/>
    <w:rsid w:val="005036A7"/>
    <w:rsid w:val="0050392B"/>
    <w:rsid w:val="0050434F"/>
    <w:rsid w:val="0050532B"/>
    <w:rsid w:val="005065C3"/>
    <w:rsid w:val="00506EAB"/>
    <w:rsid w:val="0050705C"/>
    <w:rsid w:val="00507AD4"/>
    <w:rsid w:val="00507F5D"/>
    <w:rsid w:val="005103DB"/>
    <w:rsid w:val="005105CC"/>
    <w:rsid w:val="00512D97"/>
    <w:rsid w:val="00514154"/>
    <w:rsid w:val="00514F61"/>
    <w:rsid w:val="0051605E"/>
    <w:rsid w:val="0051619D"/>
    <w:rsid w:val="00516C21"/>
    <w:rsid w:val="0051714F"/>
    <w:rsid w:val="00520291"/>
    <w:rsid w:val="00520D0C"/>
    <w:rsid w:val="00522457"/>
    <w:rsid w:val="00522D31"/>
    <w:rsid w:val="00523C56"/>
    <w:rsid w:val="00524528"/>
    <w:rsid w:val="0052455B"/>
    <w:rsid w:val="00524F50"/>
    <w:rsid w:val="00526247"/>
    <w:rsid w:val="00527121"/>
    <w:rsid w:val="00527B49"/>
    <w:rsid w:val="00530004"/>
    <w:rsid w:val="0053209B"/>
    <w:rsid w:val="00534518"/>
    <w:rsid w:val="00535550"/>
    <w:rsid w:val="00537B36"/>
    <w:rsid w:val="005409B5"/>
    <w:rsid w:val="005425FB"/>
    <w:rsid w:val="005450B7"/>
    <w:rsid w:val="00545490"/>
    <w:rsid w:val="005455D1"/>
    <w:rsid w:val="00545F9C"/>
    <w:rsid w:val="005467CC"/>
    <w:rsid w:val="005469DA"/>
    <w:rsid w:val="00546C73"/>
    <w:rsid w:val="0054772A"/>
    <w:rsid w:val="00553100"/>
    <w:rsid w:val="00554D94"/>
    <w:rsid w:val="00554EA4"/>
    <w:rsid w:val="00555AD0"/>
    <w:rsid w:val="005569CD"/>
    <w:rsid w:val="0055795E"/>
    <w:rsid w:val="00560662"/>
    <w:rsid w:val="00561A52"/>
    <w:rsid w:val="00562E76"/>
    <w:rsid w:val="00562FA9"/>
    <w:rsid w:val="00564178"/>
    <w:rsid w:val="0056423F"/>
    <w:rsid w:val="0056434B"/>
    <w:rsid w:val="00564952"/>
    <w:rsid w:val="00567B1A"/>
    <w:rsid w:val="00570DBD"/>
    <w:rsid w:val="00571641"/>
    <w:rsid w:val="00572B65"/>
    <w:rsid w:val="00572FC9"/>
    <w:rsid w:val="00575F0D"/>
    <w:rsid w:val="005768B6"/>
    <w:rsid w:val="005778EA"/>
    <w:rsid w:val="00580BB6"/>
    <w:rsid w:val="00581173"/>
    <w:rsid w:val="005840E1"/>
    <w:rsid w:val="00584259"/>
    <w:rsid w:val="0058480D"/>
    <w:rsid w:val="00587B6E"/>
    <w:rsid w:val="005900C9"/>
    <w:rsid w:val="00590AAF"/>
    <w:rsid w:val="00591184"/>
    <w:rsid w:val="00591C67"/>
    <w:rsid w:val="00592AAC"/>
    <w:rsid w:val="00592F38"/>
    <w:rsid w:val="00594336"/>
    <w:rsid w:val="005947A1"/>
    <w:rsid w:val="00594ACB"/>
    <w:rsid w:val="005950CA"/>
    <w:rsid w:val="00595D1D"/>
    <w:rsid w:val="0059634F"/>
    <w:rsid w:val="00596F79"/>
    <w:rsid w:val="005970AC"/>
    <w:rsid w:val="00597BED"/>
    <w:rsid w:val="00597C7C"/>
    <w:rsid w:val="005A1645"/>
    <w:rsid w:val="005A1D07"/>
    <w:rsid w:val="005A2C5C"/>
    <w:rsid w:val="005A30DB"/>
    <w:rsid w:val="005A489A"/>
    <w:rsid w:val="005A75F7"/>
    <w:rsid w:val="005A7E0B"/>
    <w:rsid w:val="005B0882"/>
    <w:rsid w:val="005B1185"/>
    <w:rsid w:val="005B409D"/>
    <w:rsid w:val="005B4175"/>
    <w:rsid w:val="005B47E2"/>
    <w:rsid w:val="005B5223"/>
    <w:rsid w:val="005B5509"/>
    <w:rsid w:val="005B5A58"/>
    <w:rsid w:val="005B5D6C"/>
    <w:rsid w:val="005B646D"/>
    <w:rsid w:val="005B6DFF"/>
    <w:rsid w:val="005C087D"/>
    <w:rsid w:val="005C173F"/>
    <w:rsid w:val="005C1F9E"/>
    <w:rsid w:val="005C30A2"/>
    <w:rsid w:val="005C3C7D"/>
    <w:rsid w:val="005C54B5"/>
    <w:rsid w:val="005C6748"/>
    <w:rsid w:val="005C78D3"/>
    <w:rsid w:val="005D3C6E"/>
    <w:rsid w:val="005D612D"/>
    <w:rsid w:val="005D7332"/>
    <w:rsid w:val="005D73AA"/>
    <w:rsid w:val="005E0322"/>
    <w:rsid w:val="005E0420"/>
    <w:rsid w:val="005E10A1"/>
    <w:rsid w:val="005E322F"/>
    <w:rsid w:val="005E32DA"/>
    <w:rsid w:val="005E3FC5"/>
    <w:rsid w:val="005E508E"/>
    <w:rsid w:val="005E53DA"/>
    <w:rsid w:val="005E7322"/>
    <w:rsid w:val="005E7C3B"/>
    <w:rsid w:val="005F3AC4"/>
    <w:rsid w:val="005F4533"/>
    <w:rsid w:val="005F5B7B"/>
    <w:rsid w:val="005F6D28"/>
    <w:rsid w:val="005F71B5"/>
    <w:rsid w:val="006012D3"/>
    <w:rsid w:val="00604508"/>
    <w:rsid w:val="00604548"/>
    <w:rsid w:val="006054BB"/>
    <w:rsid w:val="00605A9B"/>
    <w:rsid w:val="006060E0"/>
    <w:rsid w:val="00606632"/>
    <w:rsid w:val="006074D1"/>
    <w:rsid w:val="0060752B"/>
    <w:rsid w:val="00607D9C"/>
    <w:rsid w:val="00607DB5"/>
    <w:rsid w:val="00607FB6"/>
    <w:rsid w:val="00610925"/>
    <w:rsid w:val="00610AD7"/>
    <w:rsid w:val="006138A9"/>
    <w:rsid w:val="00613FFE"/>
    <w:rsid w:val="0061411F"/>
    <w:rsid w:val="0061432E"/>
    <w:rsid w:val="00614988"/>
    <w:rsid w:val="00614F1D"/>
    <w:rsid w:val="00615327"/>
    <w:rsid w:val="00615D0B"/>
    <w:rsid w:val="00615E08"/>
    <w:rsid w:val="006162AB"/>
    <w:rsid w:val="00616C9F"/>
    <w:rsid w:val="00624C75"/>
    <w:rsid w:val="00624CBB"/>
    <w:rsid w:val="006254D6"/>
    <w:rsid w:val="00625938"/>
    <w:rsid w:val="00626870"/>
    <w:rsid w:val="0062699F"/>
    <w:rsid w:val="0062729F"/>
    <w:rsid w:val="00627C57"/>
    <w:rsid w:val="006301C2"/>
    <w:rsid w:val="00630360"/>
    <w:rsid w:val="0063037E"/>
    <w:rsid w:val="00630CF8"/>
    <w:rsid w:val="006327C3"/>
    <w:rsid w:val="006330BA"/>
    <w:rsid w:val="006339FE"/>
    <w:rsid w:val="00635A9C"/>
    <w:rsid w:val="0064095C"/>
    <w:rsid w:val="00641F3D"/>
    <w:rsid w:val="00641F50"/>
    <w:rsid w:val="00641FD4"/>
    <w:rsid w:val="006421B4"/>
    <w:rsid w:val="00642DE1"/>
    <w:rsid w:val="006459BD"/>
    <w:rsid w:val="00645E06"/>
    <w:rsid w:val="006472EC"/>
    <w:rsid w:val="00647CFF"/>
    <w:rsid w:val="00650311"/>
    <w:rsid w:val="0065042C"/>
    <w:rsid w:val="00651D7D"/>
    <w:rsid w:val="00653EA7"/>
    <w:rsid w:val="00654017"/>
    <w:rsid w:val="006542F0"/>
    <w:rsid w:val="00655779"/>
    <w:rsid w:val="00660ABA"/>
    <w:rsid w:val="00661602"/>
    <w:rsid w:val="00664231"/>
    <w:rsid w:val="00665B45"/>
    <w:rsid w:val="00665F57"/>
    <w:rsid w:val="00667E8A"/>
    <w:rsid w:val="006702F7"/>
    <w:rsid w:val="00671444"/>
    <w:rsid w:val="00671E40"/>
    <w:rsid w:val="00672542"/>
    <w:rsid w:val="00672F3C"/>
    <w:rsid w:val="00673882"/>
    <w:rsid w:val="006741DE"/>
    <w:rsid w:val="00675167"/>
    <w:rsid w:val="0067560E"/>
    <w:rsid w:val="00676308"/>
    <w:rsid w:val="00676346"/>
    <w:rsid w:val="006764FD"/>
    <w:rsid w:val="00676F4E"/>
    <w:rsid w:val="0067711B"/>
    <w:rsid w:val="006776D2"/>
    <w:rsid w:val="00677711"/>
    <w:rsid w:val="0067778E"/>
    <w:rsid w:val="00677DA6"/>
    <w:rsid w:val="00682726"/>
    <w:rsid w:val="0068383E"/>
    <w:rsid w:val="00683E10"/>
    <w:rsid w:val="00683F09"/>
    <w:rsid w:val="00684734"/>
    <w:rsid w:val="0068599C"/>
    <w:rsid w:val="00687686"/>
    <w:rsid w:val="00687B0C"/>
    <w:rsid w:val="00690518"/>
    <w:rsid w:val="0069139D"/>
    <w:rsid w:val="00693352"/>
    <w:rsid w:val="00694A69"/>
    <w:rsid w:val="00695FA5"/>
    <w:rsid w:val="006963D6"/>
    <w:rsid w:val="00697DC6"/>
    <w:rsid w:val="00697FF9"/>
    <w:rsid w:val="006A195D"/>
    <w:rsid w:val="006A1DF5"/>
    <w:rsid w:val="006A2678"/>
    <w:rsid w:val="006A357F"/>
    <w:rsid w:val="006A48EF"/>
    <w:rsid w:val="006A4BB4"/>
    <w:rsid w:val="006A4C25"/>
    <w:rsid w:val="006A60F2"/>
    <w:rsid w:val="006A66E3"/>
    <w:rsid w:val="006A7D18"/>
    <w:rsid w:val="006B014C"/>
    <w:rsid w:val="006B40B3"/>
    <w:rsid w:val="006B458C"/>
    <w:rsid w:val="006B48CD"/>
    <w:rsid w:val="006B6472"/>
    <w:rsid w:val="006B689F"/>
    <w:rsid w:val="006C088D"/>
    <w:rsid w:val="006C0E49"/>
    <w:rsid w:val="006C10B3"/>
    <w:rsid w:val="006C189D"/>
    <w:rsid w:val="006C1B97"/>
    <w:rsid w:val="006C1D30"/>
    <w:rsid w:val="006C2036"/>
    <w:rsid w:val="006C34F2"/>
    <w:rsid w:val="006C35D6"/>
    <w:rsid w:val="006C5E27"/>
    <w:rsid w:val="006C7632"/>
    <w:rsid w:val="006C7A43"/>
    <w:rsid w:val="006C7DD9"/>
    <w:rsid w:val="006C7F71"/>
    <w:rsid w:val="006D21C2"/>
    <w:rsid w:val="006D2DB6"/>
    <w:rsid w:val="006D479A"/>
    <w:rsid w:val="006D6068"/>
    <w:rsid w:val="006D63A1"/>
    <w:rsid w:val="006D6774"/>
    <w:rsid w:val="006D721D"/>
    <w:rsid w:val="006E16AF"/>
    <w:rsid w:val="006E17AD"/>
    <w:rsid w:val="006E49AB"/>
    <w:rsid w:val="006E52B6"/>
    <w:rsid w:val="006E5A78"/>
    <w:rsid w:val="006E7D56"/>
    <w:rsid w:val="006F00CE"/>
    <w:rsid w:val="006F1376"/>
    <w:rsid w:val="006F1E8F"/>
    <w:rsid w:val="006F2096"/>
    <w:rsid w:val="006F2D9D"/>
    <w:rsid w:val="006F321A"/>
    <w:rsid w:val="006F3E43"/>
    <w:rsid w:val="006F45E8"/>
    <w:rsid w:val="006F7BFF"/>
    <w:rsid w:val="007017D7"/>
    <w:rsid w:val="00703700"/>
    <w:rsid w:val="007037D0"/>
    <w:rsid w:val="00704340"/>
    <w:rsid w:val="00704569"/>
    <w:rsid w:val="00705273"/>
    <w:rsid w:val="00705751"/>
    <w:rsid w:val="007067C3"/>
    <w:rsid w:val="00707B8A"/>
    <w:rsid w:val="00707FF0"/>
    <w:rsid w:val="00711AD0"/>
    <w:rsid w:val="00711D63"/>
    <w:rsid w:val="00712C37"/>
    <w:rsid w:val="00714EC1"/>
    <w:rsid w:val="007150EA"/>
    <w:rsid w:val="00717545"/>
    <w:rsid w:val="00721410"/>
    <w:rsid w:val="00722D16"/>
    <w:rsid w:val="00723458"/>
    <w:rsid w:val="00723EE5"/>
    <w:rsid w:val="0072511A"/>
    <w:rsid w:val="00730ED8"/>
    <w:rsid w:val="00731139"/>
    <w:rsid w:val="007316AA"/>
    <w:rsid w:val="00731C52"/>
    <w:rsid w:val="0073223F"/>
    <w:rsid w:val="00734671"/>
    <w:rsid w:val="0073498D"/>
    <w:rsid w:val="0073582C"/>
    <w:rsid w:val="007374FE"/>
    <w:rsid w:val="007377C4"/>
    <w:rsid w:val="007401D6"/>
    <w:rsid w:val="00741F0D"/>
    <w:rsid w:val="00742EB2"/>
    <w:rsid w:val="00744D9E"/>
    <w:rsid w:val="00744F3A"/>
    <w:rsid w:val="00745688"/>
    <w:rsid w:val="00745BEC"/>
    <w:rsid w:val="00746152"/>
    <w:rsid w:val="007472EE"/>
    <w:rsid w:val="007475F7"/>
    <w:rsid w:val="00750746"/>
    <w:rsid w:val="00751EC6"/>
    <w:rsid w:val="00752302"/>
    <w:rsid w:val="00753194"/>
    <w:rsid w:val="007534DA"/>
    <w:rsid w:val="007541A0"/>
    <w:rsid w:val="007566B2"/>
    <w:rsid w:val="00760488"/>
    <w:rsid w:val="00760B34"/>
    <w:rsid w:val="00761AB4"/>
    <w:rsid w:val="007622B8"/>
    <w:rsid w:val="00764835"/>
    <w:rsid w:val="0076570B"/>
    <w:rsid w:val="00767859"/>
    <w:rsid w:val="0077006E"/>
    <w:rsid w:val="0077021F"/>
    <w:rsid w:val="00770692"/>
    <w:rsid w:val="007707F3"/>
    <w:rsid w:val="007712D0"/>
    <w:rsid w:val="00774FA1"/>
    <w:rsid w:val="0077654E"/>
    <w:rsid w:val="007769D9"/>
    <w:rsid w:val="00777C6F"/>
    <w:rsid w:val="007809F8"/>
    <w:rsid w:val="00781948"/>
    <w:rsid w:val="007819F4"/>
    <w:rsid w:val="00781C48"/>
    <w:rsid w:val="00782C46"/>
    <w:rsid w:val="00782CD7"/>
    <w:rsid w:val="007848D9"/>
    <w:rsid w:val="00785244"/>
    <w:rsid w:val="007852A3"/>
    <w:rsid w:val="007860A0"/>
    <w:rsid w:val="00786C37"/>
    <w:rsid w:val="00787EE9"/>
    <w:rsid w:val="007900A1"/>
    <w:rsid w:val="00790F27"/>
    <w:rsid w:val="0079253A"/>
    <w:rsid w:val="007943DE"/>
    <w:rsid w:val="00797D06"/>
    <w:rsid w:val="007A0E8A"/>
    <w:rsid w:val="007A1B5F"/>
    <w:rsid w:val="007A1D18"/>
    <w:rsid w:val="007A208C"/>
    <w:rsid w:val="007A224E"/>
    <w:rsid w:val="007A2950"/>
    <w:rsid w:val="007A434B"/>
    <w:rsid w:val="007A4984"/>
    <w:rsid w:val="007A4B25"/>
    <w:rsid w:val="007A5DA1"/>
    <w:rsid w:val="007A6672"/>
    <w:rsid w:val="007A6882"/>
    <w:rsid w:val="007A69A5"/>
    <w:rsid w:val="007A7206"/>
    <w:rsid w:val="007B17F2"/>
    <w:rsid w:val="007B25D5"/>
    <w:rsid w:val="007B2BCB"/>
    <w:rsid w:val="007B393F"/>
    <w:rsid w:val="007B4087"/>
    <w:rsid w:val="007B4F9B"/>
    <w:rsid w:val="007B502C"/>
    <w:rsid w:val="007B66E1"/>
    <w:rsid w:val="007B6B4D"/>
    <w:rsid w:val="007B6C60"/>
    <w:rsid w:val="007B7652"/>
    <w:rsid w:val="007C0182"/>
    <w:rsid w:val="007C0BAA"/>
    <w:rsid w:val="007C13E4"/>
    <w:rsid w:val="007C309B"/>
    <w:rsid w:val="007C3C4C"/>
    <w:rsid w:val="007C3D3D"/>
    <w:rsid w:val="007C4437"/>
    <w:rsid w:val="007C5637"/>
    <w:rsid w:val="007C5BC7"/>
    <w:rsid w:val="007C64B7"/>
    <w:rsid w:val="007C66FC"/>
    <w:rsid w:val="007C73AC"/>
    <w:rsid w:val="007C7E51"/>
    <w:rsid w:val="007C7E62"/>
    <w:rsid w:val="007D561D"/>
    <w:rsid w:val="007D7772"/>
    <w:rsid w:val="007D7BA2"/>
    <w:rsid w:val="007E010D"/>
    <w:rsid w:val="007E13F9"/>
    <w:rsid w:val="007E28FE"/>
    <w:rsid w:val="007E3C9B"/>
    <w:rsid w:val="007E4C90"/>
    <w:rsid w:val="007E5453"/>
    <w:rsid w:val="007E7E36"/>
    <w:rsid w:val="007F116E"/>
    <w:rsid w:val="007F181B"/>
    <w:rsid w:val="007F1C8D"/>
    <w:rsid w:val="007F3A9D"/>
    <w:rsid w:val="007F4B6D"/>
    <w:rsid w:val="007F4D1D"/>
    <w:rsid w:val="007F4F28"/>
    <w:rsid w:val="007F5B4E"/>
    <w:rsid w:val="007F6672"/>
    <w:rsid w:val="00800BCB"/>
    <w:rsid w:val="00803537"/>
    <w:rsid w:val="00803D9E"/>
    <w:rsid w:val="008040B3"/>
    <w:rsid w:val="0080448D"/>
    <w:rsid w:val="0080504D"/>
    <w:rsid w:val="00805DAB"/>
    <w:rsid w:val="00806673"/>
    <w:rsid w:val="0080739B"/>
    <w:rsid w:val="008105AF"/>
    <w:rsid w:val="008121B2"/>
    <w:rsid w:val="00813D9D"/>
    <w:rsid w:val="00813E66"/>
    <w:rsid w:val="008144F2"/>
    <w:rsid w:val="00815396"/>
    <w:rsid w:val="00815847"/>
    <w:rsid w:val="0081687D"/>
    <w:rsid w:val="00816EE4"/>
    <w:rsid w:val="00817953"/>
    <w:rsid w:val="00820C09"/>
    <w:rsid w:val="00820D07"/>
    <w:rsid w:val="008217F6"/>
    <w:rsid w:val="00821937"/>
    <w:rsid w:val="008220CA"/>
    <w:rsid w:val="00823126"/>
    <w:rsid w:val="0082363A"/>
    <w:rsid w:val="00823DDD"/>
    <w:rsid w:val="0082449A"/>
    <w:rsid w:val="00824C3F"/>
    <w:rsid w:val="0082509A"/>
    <w:rsid w:val="008254D8"/>
    <w:rsid w:val="008272FA"/>
    <w:rsid w:val="00830B29"/>
    <w:rsid w:val="00832CA8"/>
    <w:rsid w:val="008333BE"/>
    <w:rsid w:val="00834246"/>
    <w:rsid w:val="008343BD"/>
    <w:rsid w:val="00834F01"/>
    <w:rsid w:val="00836983"/>
    <w:rsid w:val="0083769F"/>
    <w:rsid w:val="00840C8F"/>
    <w:rsid w:val="00840D65"/>
    <w:rsid w:val="00841770"/>
    <w:rsid w:val="008446B4"/>
    <w:rsid w:val="00845AB5"/>
    <w:rsid w:val="00845F36"/>
    <w:rsid w:val="00846556"/>
    <w:rsid w:val="00846864"/>
    <w:rsid w:val="008506A3"/>
    <w:rsid w:val="00851B8E"/>
    <w:rsid w:val="0085217D"/>
    <w:rsid w:val="008524AD"/>
    <w:rsid w:val="008528E0"/>
    <w:rsid w:val="00852BB6"/>
    <w:rsid w:val="00852BF2"/>
    <w:rsid w:val="00853597"/>
    <w:rsid w:val="00853D90"/>
    <w:rsid w:val="00854445"/>
    <w:rsid w:val="008547CF"/>
    <w:rsid w:val="00854920"/>
    <w:rsid w:val="00855991"/>
    <w:rsid w:val="00855EF7"/>
    <w:rsid w:val="00856CDF"/>
    <w:rsid w:val="0085710C"/>
    <w:rsid w:val="00860545"/>
    <w:rsid w:val="00860E30"/>
    <w:rsid w:val="00860E55"/>
    <w:rsid w:val="0086180D"/>
    <w:rsid w:val="008628F3"/>
    <w:rsid w:val="00863B04"/>
    <w:rsid w:val="0086694E"/>
    <w:rsid w:val="008676C8"/>
    <w:rsid w:val="008678EE"/>
    <w:rsid w:val="00870D96"/>
    <w:rsid w:val="00872548"/>
    <w:rsid w:val="008735EF"/>
    <w:rsid w:val="00873B4F"/>
    <w:rsid w:val="00873D91"/>
    <w:rsid w:val="00874647"/>
    <w:rsid w:val="00874C7B"/>
    <w:rsid w:val="00875A4D"/>
    <w:rsid w:val="00876B33"/>
    <w:rsid w:val="0088039D"/>
    <w:rsid w:val="00880EFD"/>
    <w:rsid w:val="0088117E"/>
    <w:rsid w:val="00882717"/>
    <w:rsid w:val="00883465"/>
    <w:rsid w:val="008853FB"/>
    <w:rsid w:val="00885CF6"/>
    <w:rsid w:val="00887F4C"/>
    <w:rsid w:val="008902E5"/>
    <w:rsid w:val="008927A2"/>
    <w:rsid w:val="00892866"/>
    <w:rsid w:val="00894193"/>
    <w:rsid w:val="0089753D"/>
    <w:rsid w:val="00897E57"/>
    <w:rsid w:val="008A0762"/>
    <w:rsid w:val="008A0E0D"/>
    <w:rsid w:val="008A0E1F"/>
    <w:rsid w:val="008A3389"/>
    <w:rsid w:val="008A3F08"/>
    <w:rsid w:val="008A51AC"/>
    <w:rsid w:val="008A5714"/>
    <w:rsid w:val="008A618F"/>
    <w:rsid w:val="008A6538"/>
    <w:rsid w:val="008A6DB6"/>
    <w:rsid w:val="008A7AC4"/>
    <w:rsid w:val="008B0317"/>
    <w:rsid w:val="008B0F7A"/>
    <w:rsid w:val="008B1E8C"/>
    <w:rsid w:val="008B1F4B"/>
    <w:rsid w:val="008B203F"/>
    <w:rsid w:val="008B26BB"/>
    <w:rsid w:val="008B4198"/>
    <w:rsid w:val="008B4AEC"/>
    <w:rsid w:val="008B6212"/>
    <w:rsid w:val="008B66F6"/>
    <w:rsid w:val="008C059C"/>
    <w:rsid w:val="008C217F"/>
    <w:rsid w:val="008C29BF"/>
    <w:rsid w:val="008C3B6F"/>
    <w:rsid w:val="008C3F94"/>
    <w:rsid w:val="008C425D"/>
    <w:rsid w:val="008C4835"/>
    <w:rsid w:val="008C4AEF"/>
    <w:rsid w:val="008C6506"/>
    <w:rsid w:val="008C7161"/>
    <w:rsid w:val="008C7389"/>
    <w:rsid w:val="008D149B"/>
    <w:rsid w:val="008D1A25"/>
    <w:rsid w:val="008D302F"/>
    <w:rsid w:val="008D3433"/>
    <w:rsid w:val="008E319D"/>
    <w:rsid w:val="008E3C5B"/>
    <w:rsid w:val="008E477F"/>
    <w:rsid w:val="008E5B11"/>
    <w:rsid w:val="008E794B"/>
    <w:rsid w:val="008E796B"/>
    <w:rsid w:val="008F0BB6"/>
    <w:rsid w:val="008F0C3E"/>
    <w:rsid w:val="008F1597"/>
    <w:rsid w:val="008F4435"/>
    <w:rsid w:val="008F4A01"/>
    <w:rsid w:val="008F5DE1"/>
    <w:rsid w:val="008F6567"/>
    <w:rsid w:val="008F7829"/>
    <w:rsid w:val="00900405"/>
    <w:rsid w:val="00902B28"/>
    <w:rsid w:val="0090328D"/>
    <w:rsid w:val="00906087"/>
    <w:rsid w:val="0090629E"/>
    <w:rsid w:val="00912264"/>
    <w:rsid w:val="00915362"/>
    <w:rsid w:val="00916310"/>
    <w:rsid w:val="00917FD0"/>
    <w:rsid w:val="00920048"/>
    <w:rsid w:val="00920A38"/>
    <w:rsid w:val="00924EF3"/>
    <w:rsid w:val="009251D8"/>
    <w:rsid w:val="00926368"/>
    <w:rsid w:val="009263A9"/>
    <w:rsid w:val="009265B6"/>
    <w:rsid w:val="00926A6F"/>
    <w:rsid w:val="00926E23"/>
    <w:rsid w:val="00927B5A"/>
    <w:rsid w:val="00931286"/>
    <w:rsid w:val="00931CAC"/>
    <w:rsid w:val="00931E69"/>
    <w:rsid w:val="00932AA6"/>
    <w:rsid w:val="009364E7"/>
    <w:rsid w:val="009377C9"/>
    <w:rsid w:val="0093795F"/>
    <w:rsid w:val="0094012D"/>
    <w:rsid w:val="009408A6"/>
    <w:rsid w:val="00941316"/>
    <w:rsid w:val="009416AA"/>
    <w:rsid w:val="00942161"/>
    <w:rsid w:val="00942FED"/>
    <w:rsid w:val="00943043"/>
    <w:rsid w:val="0094330C"/>
    <w:rsid w:val="00950A43"/>
    <w:rsid w:val="00951344"/>
    <w:rsid w:val="00952011"/>
    <w:rsid w:val="009530AC"/>
    <w:rsid w:val="009532A3"/>
    <w:rsid w:val="009558DA"/>
    <w:rsid w:val="009605CF"/>
    <w:rsid w:val="0096097F"/>
    <w:rsid w:val="009612C2"/>
    <w:rsid w:val="0096133C"/>
    <w:rsid w:val="00961387"/>
    <w:rsid w:val="009613F8"/>
    <w:rsid w:val="009616AE"/>
    <w:rsid w:val="00963BA1"/>
    <w:rsid w:val="009641F5"/>
    <w:rsid w:val="0096422D"/>
    <w:rsid w:val="009645FC"/>
    <w:rsid w:val="00964A19"/>
    <w:rsid w:val="00964D7A"/>
    <w:rsid w:val="009662DE"/>
    <w:rsid w:val="00966A71"/>
    <w:rsid w:val="00966C1F"/>
    <w:rsid w:val="00966D18"/>
    <w:rsid w:val="009676C4"/>
    <w:rsid w:val="00970595"/>
    <w:rsid w:val="009709C9"/>
    <w:rsid w:val="00970A25"/>
    <w:rsid w:val="00970A76"/>
    <w:rsid w:val="00970B70"/>
    <w:rsid w:val="00970FD8"/>
    <w:rsid w:val="0097116A"/>
    <w:rsid w:val="00971254"/>
    <w:rsid w:val="00971BBB"/>
    <w:rsid w:val="0097370A"/>
    <w:rsid w:val="00973DF1"/>
    <w:rsid w:val="00975240"/>
    <w:rsid w:val="00976416"/>
    <w:rsid w:val="00976C41"/>
    <w:rsid w:val="009803D8"/>
    <w:rsid w:val="00980AD1"/>
    <w:rsid w:val="00981EE6"/>
    <w:rsid w:val="009825C8"/>
    <w:rsid w:val="009832D4"/>
    <w:rsid w:val="00983F33"/>
    <w:rsid w:val="00984A20"/>
    <w:rsid w:val="00985F64"/>
    <w:rsid w:val="00986287"/>
    <w:rsid w:val="009875FB"/>
    <w:rsid w:val="009900A3"/>
    <w:rsid w:val="0099181D"/>
    <w:rsid w:val="009924C5"/>
    <w:rsid w:val="00995453"/>
    <w:rsid w:val="00995700"/>
    <w:rsid w:val="00995DD2"/>
    <w:rsid w:val="00997671"/>
    <w:rsid w:val="009978F9"/>
    <w:rsid w:val="009A0448"/>
    <w:rsid w:val="009A1249"/>
    <w:rsid w:val="009A2519"/>
    <w:rsid w:val="009A335C"/>
    <w:rsid w:val="009A50D4"/>
    <w:rsid w:val="009A5671"/>
    <w:rsid w:val="009A7394"/>
    <w:rsid w:val="009B04A8"/>
    <w:rsid w:val="009B1E4F"/>
    <w:rsid w:val="009B209A"/>
    <w:rsid w:val="009B2303"/>
    <w:rsid w:val="009B262D"/>
    <w:rsid w:val="009B30C4"/>
    <w:rsid w:val="009B34F6"/>
    <w:rsid w:val="009B3643"/>
    <w:rsid w:val="009B471F"/>
    <w:rsid w:val="009B4E05"/>
    <w:rsid w:val="009B568F"/>
    <w:rsid w:val="009B5F9D"/>
    <w:rsid w:val="009C0B99"/>
    <w:rsid w:val="009C0F8E"/>
    <w:rsid w:val="009C1296"/>
    <w:rsid w:val="009C163C"/>
    <w:rsid w:val="009C23E3"/>
    <w:rsid w:val="009C32B3"/>
    <w:rsid w:val="009C36CA"/>
    <w:rsid w:val="009C5A01"/>
    <w:rsid w:val="009D01FB"/>
    <w:rsid w:val="009D06D9"/>
    <w:rsid w:val="009D1021"/>
    <w:rsid w:val="009D24E4"/>
    <w:rsid w:val="009D35B3"/>
    <w:rsid w:val="009D37C6"/>
    <w:rsid w:val="009D4F76"/>
    <w:rsid w:val="009D664B"/>
    <w:rsid w:val="009D6CB3"/>
    <w:rsid w:val="009D7673"/>
    <w:rsid w:val="009E169F"/>
    <w:rsid w:val="009E2701"/>
    <w:rsid w:val="009E2791"/>
    <w:rsid w:val="009E2D4C"/>
    <w:rsid w:val="009E2D50"/>
    <w:rsid w:val="009E65F1"/>
    <w:rsid w:val="009F05F3"/>
    <w:rsid w:val="009F0886"/>
    <w:rsid w:val="009F2F8A"/>
    <w:rsid w:val="009F3872"/>
    <w:rsid w:val="009F3E79"/>
    <w:rsid w:val="009F4130"/>
    <w:rsid w:val="009F4EB3"/>
    <w:rsid w:val="009F5334"/>
    <w:rsid w:val="009F71BE"/>
    <w:rsid w:val="009F7B80"/>
    <w:rsid w:val="00A023F6"/>
    <w:rsid w:val="00A02A6A"/>
    <w:rsid w:val="00A047D2"/>
    <w:rsid w:val="00A06841"/>
    <w:rsid w:val="00A07D6F"/>
    <w:rsid w:val="00A122E4"/>
    <w:rsid w:val="00A12D2E"/>
    <w:rsid w:val="00A12EBC"/>
    <w:rsid w:val="00A139C3"/>
    <w:rsid w:val="00A13B2D"/>
    <w:rsid w:val="00A14ECF"/>
    <w:rsid w:val="00A152E6"/>
    <w:rsid w:val="00A158BD"/>
    <w:rsid w:val="00A163E9"/>
    <w:rsid w:val="00A16597"/>
    <w:rsid w:val="00A16C41"/>
    <w:rsid w:val="00A177AD"/>
    <w:rsid w:val="00A21861"/>
    <w:rsid w:val="00A21C89"/>
    <w:rsid w:val="00A21F70"/>
    <w:rsid w:val="00A22099"/>
    <w:rsid w:val="00A22E19"/>
    <w:rsid w:val="00A22ECB"/>
    <w:rsid w:val="00A2394E"/>
    <w:rsid w:val="00A2449E"/>
    <w:rsid w:val="00A2550B"/>
    <w:rsid w:val="00A25819"/>
    <w:rsid w:val="00A259F0"/>
    <w:rsid w:val="00A27017"/>
    <w:rsid w:val="00A2781F"/>
    <w:rsid w:val="00A32EAC"/>
    <w:rsid w:val="00A35356"/>
    <w:rsid w:val="00A3546F"/>
    <w:rsid w:val="00A35EB8"/>
    <w:rsid w:val="00A368E4"/>
    <w:rsid w:val="00A40BA2"/>
    <w:rsid w:val="00A40BA7"/>
    <w:rsid w:val="00A41166"/>
    <w:rsid w:val="00A412C8"/>
    <w:rsid w:val="00A41D46"/>
    <w:rsid w:val="00A435E2"/>
    <w:rsid w:val="00A43CCB"/>
    <w:rsid w:val="00A447E4"/>
    <w:rsid w:val="00A45168"/>
    <w:rsid w:val="00A5196D"/>
    <w:rsid w:val="00A527B3"/>
    <w:rsid w:val="00A54DDB"/>
    <w:rsid w:val="00A55300"/>
    <w:rsid w:val="00A566EE"/>
    <w:rsid w:val="00A57428"/>
    <w:rsid w:val="00A57702"/>
    <w:rsid w:val="00A57B73"/>
    <w:rsid w:val="00A57E00"/>
    <w:rsid w:val="00A60822"/>
    <w:rsid w:val="00A61212"/>
    <w:rsid w:val="00A618AD"/>
    <w:rsid w:val="00A61BE6"/>
    <w:rsid w:val="00A61C85"/>
    <w:rsid w:val="00A62C30"/>
    <w:rsid w:val="00A6359C"/>
    <w:rsid w:val="00A65191"/>
    <w:rsid w:val="00A65668"/>
    <w:rsid w:val="00A70176"/>
    <w:rsid w:val="00A709B7"/>
    <w:rsid w:val="00A712B6"/>
    <w:rsid w:val="00A7130E"/>
    <w:rsid w:val="00A72733"/>
    <w:rsid w:val="00A75271"/>
    <w:rsid w:val="00A75E51"/>
    <w:rsid w:val="00A76EEE"/>
    <w:rsid w:val="00A80033"/>
    <w:rsid w:val="00A80334"/>
    <w:rsid w:val="00A808BE"/>
    <w:rsid w:val="00A817F8"/>
    <w:rsid w:val="00A81A27"/>
    <w:rsid w:val="00A8322F"/>
    <w:rsid w:val="00A83C81"/>
    <w:rsid w:val="00A83F0D"/>
    <w:rsid w:val="00A8425A"/>
    <w:rsid w:val="00A8628A"/>
    <w:rsid w:val="00A86596"/>
    <w:rsid w:val="00A90010"/>
    <w:rsid w:val="00A903B4"/>
    <w:rsid w:val="00A90A82"/>
    <w:rsid w:val="00A92077"/>
    <w:rsid w:val="00A93902"/>
    <w:rsid w:val="00A94FFA"/>
    <w:rsid w:val="00A953B8"/>
    <w:rsid w:val="00A95A81"/>
    <w:rsid w:val="00A96B3E"/>
    <w:rsid w:val="00A96BD1"/>
    <w:rsid w:val="00AA03BF"/>
    <w:rsid w:val="00AA0AA0"/>
    <w:rsid w:val="00AA266F"/>
    <w:rsid w:val="00AA423A"/>
    <w:rsid w:val="00AA4679"/>
    <w:rsid w:val="00AA486C"/>
    <w:rsid w:val="00AA4E6E"/>
    <w:rsid w:val="00AA5017"/>
    <w:rsid w:val="00AA5225"/>
    <w:rsid w:val="00AA5511"/>
    <w:rsid w:val="00AA6E5C"/>
    <w:rsid w:val="00AA75A7"/>
    <w:rsid w:val="00AA7867"/>
    <w:rsid w:val="00AB1B00"/>
    <w:rsid w:val="00AB24BD"/>
    <w:rsid w:val="00AB3389"/>
    <w:rsid w:val="00AC2078"/>
    <w:rsid w:val="00AC27FF"/>
    <w:rsid w:val="00AC33AC"/>
    <w:rsid w:val="00AC47F8"/>
    <w:rsid w:val="00AC4941"/>
    <w:rsid w:val="00AC5BEA"/>
    <w:rsid w:val="00AC6C1F"/>
    <w:rsid w:val="00AC6FCE"/>
    <w:rsid w:val="00AC701C"/>
    <w:rsid w:val="00AD0565"/>
    <w:rsid w:val="00AD09FD"/>
    <w:rsid w:val="00AD1B5A"/>
    <w:rsid w:val="00AD25EC"/>
    <w:rsid w:val="00AD27A9"/>
    <w:rsid w:val="00AD3FA3"/>
    <w:rsid w:val="00AD5B68"/>
    <w:rsid w:val="00AD5D5D"/>
    <w:rsid w:val="00AD5F7D"/>
    <w:rsid w:val="00AD69E2"/>
    <w:rsid w:val="00AE3862"/>
    <w:rsid w:val="00AE3994"/>
    <w:rsid w:val="00AE3AF9"/>
    <w:rsid w:val="00AE5ABC"/>
    <w:rsid w:val="00AE7A73"/>
    <w:rsid w:val="00AF2129"/>
    <w:rsid w:val="00AF3A3F"/>
    <w:rsid w:val="00AF447F"/>
    <w:rsid w:val="00AF4CA2"/>
    <w:rsid w:val="00AF4DFC"/>
    <w:rsid w:val="00AF4E4D"/>
    <w:rsid w:val="00AF5C5C"/>
    <w:rsid w:val="00AF79CE"/>
    <w:rsid w:val="00B01552"/>
    <w:rsid w:val="00B02EB6"/>
    <w:rsid w:val="00B03B48"/>
    <w:rsid w:val="00B048A1"/>
    <w:rsid w:val="00B04C54"/>
    <w:rsid w:val="00B07F48"/>
    <w:rsid w:val="00B119E9"/>
    <w:rsid w:val="00B13B25"/>
    <w:rsid w:val="00B13EBB"/>
    <w:rsid w:val="00B151FB"/>
    <w:rsid w:val="00B156F0"/>
    <w:rsid w:val="00B15EC7"/>
    <w:rsid w:val="00B166D6"/>
    <w:rsid w:val="00B16B27"/>
    <w:rsid w:val="00B20C97"/>
    <w:rsid w:val="00B2154D"/>
    <w:rsid w:val="00B2166A"/>
    <w:rsid w:val="00B218C0"/>
    <w:rsid w:val="00B2299A"/>
    <w:rsid w:val="00B22B3F"/>
    <w:rsid w:val="00B24249"/>
    <w:rsid w:val="00B26E87"/>
    <w:rsid w:val="00B26F85"/>
    <w:rsid w:val="00B27183"/>
    <w:rsid w:val="00B27C96"/>
    <w:rsid w:val="00B30BB0"/>
    <w:rsid w:val="00B32FC5"/>
    <w:rsid w:val="00B33E0B"/>
    <w:rsid w:val="00B348AD"/>
    <w:rsid w:val="00B34F8B"/>
    <w:rsid w:val="00B35364"/>
    <w:rsid w:val="00B355B6"/>
    <w:rsid w:val="00B35B76"/>
    <w:rsid w:val="00B37199"/>
    <w:rsid w:val="00B37229"/>
    <w:rsid w:val="00B42ABD"/>
    <w:rsid w:val="00B43663"/>
    <w:rsid w:val="00B44C24"/>
    <w:rsid w:val="00B45079"/>
    <w:rsid w:val="00B45E3A"/>
    <w:rsid w:val="00B46711"/>
    <w:rsid w:val="00B472B3"/>
    <w:rsid w:val="00B47F19"/>
    <w:rsid w:val="00B50D04"/>
    <w:rsid w:val="00B5187D"/>
    <w:rsid w:val="00B52947"/>
    <w:rsid w:val="00B53727"/>
    <w:rsid w:val="00B53B00"/>
    <w:rsid w:val="00B54F22"/>
    <w:rsid w:val="00B56F2D"/>
    <w:rsid w:val="00B572EF"/>
    <w:rsid w:val="00B57800"/>
    <w:rsid w:val="00B615B6"/>
    <w:rsid w:val="00B61FC7"/>
    <w:rsid w:val="00B632F9"/>
    <w:rsid w:val="00B634BC"/>
    <w:rsid w:val="00B63944"/>
    <w:rsid w:val="00B641AC"/>
    <w:rsid w:val="00B6421E"/>
    <w:rsid w:val="00B66223"/>
    <w:rsid w:val="00B67961"/>
    <w:rsid w:val="00B70124"/>
    <w:rsid w:val="00B70163"/>
    <w:rsid w:val="00B70BAC"/>
    <w:rsid w:val="00B7209D"/>
    <w:rsid w:val="00B72165"/>
    <w:rsid w:val="00B72C97"/>
    <w:rsid w:val="00B73C56"/>
    <w:rsid w:val="00B73C7B"/>
    <w:rsid w:val="00B75466"/>
    <w:rsid w:val="00B759C2"/>
    <w:rsid w:val="00B76E55"/>
    <w:rsid w:val="00B77F43"/>
    <w:rsid w:val="00B77FEE"/>
    <w:rsid w:val="00B846CA"/>
    <w:rsid w:val="00B852C8"/>
    <w:rsid w:val="00B85457"/>
    <w:rsid w:val="00B863B1"/>
    <w:rsid w:val="00B877B6"/>
    <w:rsid w:val="00B87B9C"/>
    <w:rsid w:val="00B87D3B"/>
    <w:rsid w:val="00B916DE"/>
    <w:rsid w:val="00B938BB"/>
    <w:rsid w:val="00B9452E"/>
    <w:rsid w:val="00B95039"/>
    <w:rsid w:val="00B9526D"/>
    <w:rsid w:val="00B958F0"/>
    <w:rsid w:val="00B9686F"/>
    <w:rsid w:val="00B96D0B"/>
    <w:rsid w:val="00BA0796"/>
    <w:rsid w:val="00BA0CBC"/>
    <w:rsid w:val="00BA1CF2"/>
    <w:rsid w:val="00BA3B70"/>
    <w:rsid w:val="00BA43F6"/>
    <w:rsid w:val="00BA4731"/>
    <w:rsid w:val="00BA5860"/>
    <w:rsid w:val="00BA7381"/>
    <w:rsid w:val="00BB0A07"/>
    <w:rsid w:val="00BB0CD9"/>
    <w:rsid w:val="00BB351C"/>
    <w:rsid w:val="00BB4969"/>
    <w:rsid w:val="00BB4ADB"/>
    <w:rsid w:val="00BB5F9B"/>
    <w:rsid w:val="00BB6847"/>
    <w:rsid w:val="00BC09A5"/>
    <w:rsid w:val="00BC0C7F"/>
    <w:rsid w:val="00BC2C2A"/>
    <w:rsid w:val="00BC3752"/>
    <w:rsid w:val="00BC494B"/>
    <w:rsid w:val="00BC777E"/>
    <w:rsid w:val="00BC7E24"/>
    <w:rsid w:val="00BD0EEB"/>
    <w:rsid w:val="00BD1A28"/>
    <w:rsid w:val="00BD2372"/>
    <w:rsid w:val="00BD422F"/>
    <w:rsid w:val="00BD53D1"/>
    <w:rsid w:val="00BE06C4"/>
    <w:rsid w:val="00BE06F7"/>
    <w:rsid w:val="00BE13A8"/>
    <w:rsid w:val="00BE1E10"/>
    <w:rsid w:val="00BE2896"/>
    <w:rsid w:val="00BE5A8B"/>
    <w:rsid w:val="00BE6D44"/>
    <w:rsid w:val="00BE7B49"/>
    <w:rsid w:val="00BE7BF7"/>
    <w:rsid w:val="00BF0289"/>
    <w:rsid w:val="00BF03D9"/>
    <w:rsid w:val="00BF257B"/>
    <w:rsid w:val="00BF2C22"/>
    <w:rsid w:val="00BF3528"/>
    <w:rsid w:val="00BF36A8"/>
    <w:rsid w:val="00BF580F"/>
    <w:rsid w:val="00BF5F12"/>
    <w:rsid w:val="00BF7B24"/>
    <w:rsid w:val="00C0022E"/>
    <w:rsid w:val="00C04192"/>
    <w:rsid w:val="00C05402"/>
    <w:rsid w:val="00C05B08"/>
    <w:rsid w:val="00C05F14"/>
    <w:rsid w:val="00C06072"/>
    <w:rsid w:val="00C06B59"/>
    <w:rsid w:val="00C06C20"/>
    <w:rsid w:val="00C11530"/>
    <w:rsid w:val="00C11CE3"/>
    <w:rsid w:val="00C12078"/>
    <w:rsid w:val="00C12540"/>
    <w:rsid w:val="00C12C6F"/>
    <w:rsid w:val="00C13424"/>
    <w:rsid w:val="00C13C0C"/>
    <w:rsid w:val="00C14A82"/>
    <w:rsid w:val="00C15E91"/>
    <w:rsid w:val="00C200E8"/>
    <w:rsid w:val="00C202AC"/>
    <w:rsid w:val="00C20B19"/>
    <w:rsid w:val="00C21091"/>
    <w:rsid w:val="00C2142C"/>
    <w:rsid w:val="00C221CC"/>
    <w:rsid w:val="00C2379B"/>
    <w:rsid w:val="00C27147"/>
    <w:rsid w:val="00C300C4"/>
    <w:rsid w:val="00C31B4E"/>
    <w:rsid w:val="00C335B8"/>
    <w:rsid w:val="00C33693"/>
    <w:rsid w:val="00C336CF"/>
    <w:rsid w:val="00C336FF"/>
    <w:rsid w:val="00C337E7"/>
    <w:rsid w:val="00C347D0"/>
    <w:rsid w:val="00C365DA"/>
    <w:rsid w:val="00C36871"/>
    <w:rsid w:val="00C368D6"/>
    <w:rsid w:val="00C37B6A"/>
    <w:rsid w:val="00C40BA8"/>
    <w:rsid w:val="00C4189A"/>
    <w:rsid w:val="00C41A0A"/>
    <w:rsid w:val="00C41FBC"/>
    <w:rsid w:val="00C42806"/>
    <w:rsid w:val="00C42DF7"/>
    <w:rsid w:val="00C44E27"/>
    <w:rsid w:val="00C46837"/>
    <w:rsid w:val="00C47764"/>
    <w:rsid w:val="00C47A39"/>
    <w:rsid w:val="00C50727"/>
    <w:rsid w:val="00C512CD"/>
    <w:rsid w:val="00C524FF"/>
    <w:rsid w:val="00C52969"/>
    <w:rsid w:val="00C53593"/>
    <w:rsid w:val="00C5387D"/>
    <w:rsid w:val="00C53BA5"/>
    <w:rsid w:val="00C540E4"/>
    <w:rsid w:val="00C54AAD"/>
    <w:rsid w:val="00C54F3B"/>
    <w:rsid w:val="00C55580"/>
    <w:rsid w:val="00C56BF5"/>
    <w:rsid w:val="00C57CF5"/>
    <w:rsid w:val="00C57EEC"/>
    <w:rsid w:val="00C60155"/>
    <w:rsid w:val="00C60A52"/>
    <w:rsid w:val="00C62AA1"/>
    <w:rsid w:val="00C62C7B"/>
    <w:rsid w:val="00C63884"/>
    <w:rsid w:val="00C647C0"/>
    <w:rsid w:val="00C6516B"/>
    <w:rsid w:val="00C66588"/>
    <w:rsid w:val="00C66906"/>
    <w:rsid w:val="00C671C7"/>
    <w:rsid w:val="00C67779"/>
    <w:rsid w:val="00C6795C"/>
    <w:rsid w:val="00C70240"/>
    <w:rsid w:val="00C71E18"/>
    <w:rsid w:val="00C7417C"/>
    <w:rsid w:val="00C74835"/>
    <w:rsid w:val="00C755A0"/>
    <w:rsid w:val="00C7658D"/>
    <w:rsid w:val="00C76E76"/>
    <w:rsid w:val="00C82F45"/>
    <w:rsid w:val="00C84588"/>
    <w:rsid w:val="00C846FF"/>
    <w:rsid w:val="00C84763"/>
    <w:rsid w:val="00C853F1"/>
    <w:rsid w:val="00C86647"/>
    <w:rsid w:val="00C8715F"/>
    <w:rsid w:val="00C87CDE"/>
    <w:rsid w:val="00C900EB"/>
    <w:rsid w:val="00C9077B"/>
    <w:rsid w:val="00C9194F"/>
    <w:rsid w:val="00C9232E"/>
    <w:rsid w:val="00C9277E"/>
    <w:rsid w:val="00C9295B"/>
    <w:rsid w:val="00C92FD4"/>
    <w:rsid w:val="00C935DA"/>
    <w:rsid w:val="00C93728"/>
    <w:rsid w:val="00C938B4"/>
    <w:rsid w:val="00C94AE8"/>
    <w:rsid w:val="00C94DDB"/>
    <w:rsid w:val="00C94E0D"/>
    <w:rsid w:val="00C95763"/>
    <w:rsid w:val="00CA1F81"/>
    <w:rsid w:val="00CA1FFD"/>
    <w:rsid w:val="00CA2707"/>
    <w:rsid w:val="00CA28F4"/>
    <w:rsid w:val="00CA2997"/>
    <w:rsid w:val="00CA375B"/>
    <w:rsid w:val="00CA3FB7"/>
    <w:rsid w:val="00CA530A"/>
    <w:rsid w:val="00CA5A48"/>
    <w:rsid w:val="00CA5E5D"/>
    <w:rsid w:val="00CA5E7D"/>
    <w:rsid w:val="00CA607E"/>
    <w:rsid w:val="00CA6AE8"/>
    <w:rsid w:val="00CA7E31"/>
    <w:rsid w:val="00CB1CC3"/>
    <w:rsid w:val="00CB2133"/>
    <w:rsid w:val="00CB24BA"/>
    <w:rsid w:val="00CB4F34"/>
    <w:rsid w:val="00CB5450"/>
    <w:rsid w:val="00CB620A"/>
    <w:rsid w:val="00CB64C2"/>
    <w:rsid w:val="00CB759F"/>
    <w:rsid w:val="00CC0893"/>
    <w:rsid w:val="00CC407D"/>
    <w:rsid w:val="00CC59D4"/>
    <w:rsid w:val="00CC5A0E"/>
    <w:rsid w:val="00CC5F65"/>
    <w:rsid w:val="00CC6840"/>
    <w:rsid w:val="00CC799E"/>
    <w:rsid w:val="00CD0E38"/>
    <w:rsid w:val="00CD1AC2"/>
    <w:rsid w:val="00CD2506"/>
    <w:rsid w:val="00CD391C"/>
    <w:rsid w:val="00CD3D4C"/>
    <w:rsid w:val="00CD62EA"/>
    <w:rsid w:val="00CD6726"/>
    <w:rsid w:val="00CE0973"/>
    <w:rsid w:val="00CE17A9"/>
    <w:rsid w:val="00CE49D3"/>
    <w:rsid w:val="00CE5DEE"/>
    <w:rsid w:val="00CE6BA8"/>
    <w:rsid w:val="00CE6E08"/>
    <w:rsid w:val="00CE6F9C"/>
    <w:rsid w:val="00CE7700"/>
    <w:rsid w:val="00CE7EF7"/>
    <w:rsid w:val="00CF09B5"/>
    <w:rsid w:val="00CF2148"/>
    <w:rsid w:val="00CF3025"/>
    <w:rsid w:val="00CF3A2D"/>
    <w:rsid w:val="00CF3A71"/>
    <w:rsid w:val="00CF3F74"/>
    <w:rsid w:val="00CF4FB8"/>
    <w:rsid w:val="00CF58C0"/>
    <w:rsid w:val="00CF6E63"/>
    <w:rsid w:val="00CF776E"/>
    <w:rsid w:val="00D0039D"/>
    <w:rsid w:val="00D00554"/>
    <w:rsid w:val="00D01C85"/>
    <w:rsid w:val="00D01D3E"/>
    <w:rsid w:val="00D03C85"/>
    <w:rsid w:val="00D04053"/>
    <w:rsid w:val="00D04D64"/>
    <w:rsid w:val="00D05393"/>
    <w:rsid w:val="00D06413"/>
    <w:rsid w:val="00D10D22"/>
    <w:rsid w:val="00D1218B"/>
    <w:rsid w:val="00D12A1E"/>
    <w:rsid w:val="00D15B60"/>
    <w:rsid w:val="00D16765"/>
    <w:rsid w:val="00D1744F"/>
    <w:rsid w:val="00D17D59"/>
    <w:rsid w:val="00D205C5"/>
    <w:rsid w:val="00D207DB"/>
    <w:rsid w:val="00D209A1"/>
    <w:rsid w:val="00D227FD"/>
    <w:rsid w:val="00D22BD9"/>
    <w:rsid w:val="00D23FC2"/>
    <w:rsid w:val="00D25F30"/>
    <w:rsid w:val="00D265C7"/>
    <w:rsid w:val="00D2767A"/>
    <w:rsid w:val="00D30A4F"/>
    <w:rsid w:val="00D3129E"/>
    <w:rsid w:val="00D31E83"/>
    <w:rsid w:val="00D32BB0"/>
    <w:rsid w:val="00D33508"/>
    <w:rsid w:val="00D33B10"/>
    <w:rsid w:val="00D34317"/>
    <w:rsid w:val="00D34BF9"/>
    <w:rsid w:val="00D34F72"/>
    <w:rsid w:val="00D35052"/>
    <w:rsid w:val="00D35604"/>
    <w:rsid w:val="00D36C86"/>
    <w:rsid w:val="00D406EE"/>
    <w:rsid w:val="00D41DD4"/>
    <w:rsid w:val="00D42880"/>
    <w:rsid w:val="00D4293A"/>
    <w:rsid w:val="00D437F6"/>
    <w:rsid w:val="00D43977"/>
    <w:rsid w:val="00D449EF"/>
    <w:rsid w:val="00D44AB6"/>
    <w:rsid w:val="00D44F6A"/>
    <w:rsid w:val="00D459EB"/>
    <w:rsid w:val="00D47E43"/>
    <w:rsid w:val="00D500E0"/>
    <w:rsid w:val="00D52C32"/>
    <w:rsid w:val="00D52CDD"/>
    <w:rsid w:val="00D5593D"/>
    <w:rsid w:val="00D56720"/>
    <w:rsid w:val="00D57298"/>
    <w:rsid w:val="00D62787"/>
    <w:rsid w:val="00D628A4"/>
    <w:rsid w:val="00D63B4B"/>
    <w:rsid w:val="00D64BCF"/>
    <w:rsid w:val="00D65BAD"/>
    <w:rsid w:val="00D65BF3"/>
    <w:rsid w:val="00D65E4C"/>
    <w:rsid w:val="00D67DA6"/>
    <w:rsid w:val="00D7035D"/>
    <w:rsid w:val="00D70726"/>
    <w:rsid w:val="00D70ED5"/>
    <w:rsid w:val="00D7362A"/>
    <w:rsid w:val="00D73FD7"/>
    <w:rsid w:val="00D759B4"/>
    <w:rsid w:val="00D76462"/>
    <w:rsid w:val="00D76EC9"/>
    <w:rsid w:val="00D7759A"/>
    <w:rsid w:val="00D776A5"/>
    <w:rsid w:val="00D77994"/>
    <w:rsid w:val="00D8123D"/>
    <w:rsid w:val="00D824F3"/>
    <w:rsid w:val="00D826CD"/>
    <w:rsid w:val="00D829DC"/>
    <w:rsid w:val="00D83574"/>
    <w:rsid w:val="00D83CF7"/>
    <w:rsid w:val="00D84058"/>
    <w:rsid w:val="00D84504"/>
    <w:rsid w:val="00D8458B"/>
    <w:rsid w:val="00D87A9F"/>
    <w:rsid w:val="00D87F68"/>
    <w:rsid w:val="00D91415"/>
    <w:rsid w:val="00D91669"/>
    <w:rsid w:val="00D917C6"/>
    <w:rsid w:val="00D93523"/>
    <w:rsid w:val="00D93536"/>
    <w:rsid w:val="00D960C3"/>
    <w:rsid w:val="00D96C5D"/>
    <w:rsid w:val="00D97444"/>
    <w:rsid w:val="00D978C0"/>
    <w:rsid w:val="00DA2A4A"/>
    <w:rsid w:val="00DA4886"/>
    <w:rsid w:val="00DA4F30"/>
    <w:rsid w:val="00DA531E"/>
    <w:rsid w:val="00DA53B4"/>
    <w:rsid w:val="00DA541E"/>
    <w:rsid w:val="00DA637C"/>
    <w:rsid w:val="00DA6BE3"/>
    <w:rsid w:val="00DA78DA"/>
    <w:rsid w:val="00DB0F5B"/>
    <w:rsid w:val="00DB11AC"/>
    <w:rsid w:val="00DB20FA"/>
    <w:rsid w:val="00DB2336"/>
    <w:rsid w:val="00DB283A"/>
    <w:rsid w:val="00DB2E3A"/>
    <w:rsid w:val="00DB3349"/>
    <w:rsid w:val="00DB3A5C"/>
    <w:rsid w:val="00DB3CB0"/>
    <w:rsid w:val="00DB5DE1"/>
    <w:rsid w:val="00DB76E0"/>
    <w:rsid w:val="00DB771E"/>
    <w:rsid w:val="00DC0A22"/>
    <w:rsid w:val="00DC19E7"/>
    <w:rsid w:val="00DC271B"/>
    <w:rsid w:val="00DC38AF"/>
    <w:rsid w:val="00DC46EB"/>
    <w:rsid w:val="00DC4BBB"/>
    <w:rsid w:val="00DC4CCA"/>
    <w:rsid w:val="00DC702A"/>
    <w:rsid w:val="00DD0339"/>
    <w:rsid w:val="00DD1473"/>
    <w:rsid w:val="00DD15FE"/>
    <w:rsid w:val="00DD1CFB"/>
    <w:rsid w:val="00DD209A"/>
    <w:rsid w:val="00DD2D5A"/>
    <w:rsid w:val="00DD40A0"/>
    <w:rsid w:val="00DD4AF3"/>
    <w:rsid w:val="00DD5223"/>
    <w:rsid w:val="00DD54E9"/>
    <w:rsid w:val="00DD6950"/>
    <w:rsid w:val="00DD7AE4"/>
    <w:rsid w:val="00DD7BEA"/>
    <w:rsid w:val="00DD7D82"/>
    <w:rsid w:val="00DE047A"/>
    <w:rsid w:val="00DE04D8"/>
    <w:rsid w:val="00DE1837"/>
    <w:rsid w:val="00DE1F52"/>
    <w:rsid w:val="00DE2163"/>
    <w:rsid w:val="00DE4C92"/>
    <w:rsid w:val="00DE58B1"/>
    <w:rsid w:val="00DE5D2A"/>
    <w:rsid w:val="00DE60D8"/>
    <w:rsid w:val="00DE7D12"/>
    <w:rsid w:val="00DF021A"/>
    <w:rsid w:val="00DF26EB"/>
    <w:rsid w:val="00DF475D"/>
    <w:rsid w:val="00DF4B61"/>
    <w:rsid w:val="00DF51B0"/>
    <w:rsid w:val="00DF56E1"/>
    <w:rsid w:val="00DF5AB0"/>
    <w:rsid w:val="00DF6B71"/>
    <w:rsid w:val="00DF7177"/>
    <w:rsid w:val="00DF7598"/>
    <w:rsid w:val="00E019FD"/>
    <w:rsid w:val="00E01DA0"/>
    <w:rsid w:val="00E029CF"/>
    <w:rsid w:val="00E02FED"/>
    <w:rsid w:val="00E033F5"/>
    <w:rsid w:val="00E0365D"/>
    <w:rsid w:val="00E03EB7"/>
    <w:rsid w:val="00E03EC8"/>
    <w:rsid w:val="00E043F8"/>
    <w:rsid w:val="00E047EA"/>
    <w:rsid w:val="00E04B22"/>
    <w:rsid w:val="00E05A4A"/>
    <w:rsid w:val="00E06FBA"/>
    <w:rsid w:val="00E10676"/>
    <w:rsid w:val="00E12233"/>
    <w:rsid w:val="00E12302"/>
    <w:rsid w:val="00E12941"/>
    <w:rsid w:val="00E129A8"/>
    <w:rsid w:val="00E13310"/>
    <w:rsid w:val="00E15230"/>
    <w:rsid w:val="00E15999"/>
    <w:rsid w:val="00E21D14"/>
    <w:rsid w:val="00E21F3F"/>
    <w:rsid w:val="00E23139"/>
    <w:rsid w:val="00E23BF3"/>
    <w:rsid w:val="00E242D5"/>
    <w:rsid w:val="00E251AC"/>
    <w:rsid w:val="00E259DA"/>
    <w:rsid w:val="00E25CBF"/>
    <w:rsid w:val="00E261F3"/>
    <w:rsid w:val="00E261FB"/>
    <w:rsid w:val="00E301B9"/>
    <w:rsid w:val="00E30777"/>
    <w:rsid w:val="00E30E19"/>
    <w:rsid w:val="00E315A1"/>
    <w:rsid w:val="00E31AF8"/>
    <w:rsid w:val="00E332D1"/>
    <w:rsid w:val="00E33495"/>
    <w:rsid w:val="00E33E21"/>
    <w:rsid w:val="00E34055"/>
    <w:rsid w:val="00E356D6"/>
    <w:rsid w:val="00E36E55"/>
    <w:rsid w:val="00E37058"/>
    <w:rsid w:val="00E37287"/>
    <w:rsid w:val="00E40D2A"/>
    <w:rsid w:val="00E41A78"/>
    <w:rsid w:val="00E420D4"/>
    <w:rsid w:val="00E421A1"/>
    <w:rsid w:val="00E4266B"/>
    <w:rsid w:val="00E42C93"/>
    <w:rsid w:val="00E430D0"/>
    <w:rsid w:val="00E440C7"/>
    <w:rsid w:val="00E440EA"/>
    <w:rsid w:val="00E449F0"/>
    <w:rsid w:val="00E44A6C"/>
    <w:rsid w:val="00E45AFF"/>
    <w:rsid w:val="00E45CE8"/>
    <w:rsid w:val="00E45F49"/>
    <w:rsid w:val="00E4606E"/>
    <w:rsid w:val="00E470F9"/>
    <w:rsid w:val="00E47FB1"/>
    <w:rsid w:val="00E52622"/>
    <w:rsid w:val="00E52C98"/>
    <w:rsid w:val="00E5325A"/>
    <w:rsid w:val="00E5375D"/>
    <w:rsid w:val="00E540BE"/>
    <w:rsid w:val="00E55D4B"/>
    <w:rsid w:val="00E56675"/>
    <w:rsid w:val="00E5722F"/>
    <w:rsid w:val="00E57B6F"/>
    <w:rsid w:val="00E57C5F"/>
    <w:rsid w:val="00E60929"/>
    <w:rsid w:val="00E615E8"/>
    <w:rsid w:val="00E63AC8"/>
    <w:rsid w:val="00E667AE"/>
    <w:rsid w:val="00E67246"/>
    <w:rsid w:val="00E71398"/>
    <w:rsid w:val="00E719D9"/>
    <w:rsid w:val="00E72544"/>
    <w:rsid w:val="00E725D6"/>
    <w:rsid w:val="00E740AD"/>
    <w:rsid w:val="00E74268"/>
    <w:rsid w:val="00E763E7"/>
    <w:rsid w:val="00E77223"/>
    <w:rsid w:val="00E77641"/>
    <w:rsid w:val="00E8075E"/>
    <w:rsid w:val="00E82326"/>
    <w:rsid w:val="00E82ACA"/>
    <w:rsid w:val="00E8613A"/>
    <w:rsid w:val="00E8761C"/>
    <w:rsid w:val="00E90402"/>
    <w:rsid w:val="00E93B65"/>
    <w:rsid w:val="00E942B0"/>
    <w:rsid w:val="00E947A5"/>
    <w:rsid w:val="00E95F59"/>
    <w:rsid w:val="00E965F4"/>
    <w:rsid w:val="00E96F9C"/>
    <w:rsid w:val="00E977FD"/>
    <w:rsid w:val="00EA007F"/>
    <w:rsid w:val="00EA2EE0"/>
    <w:rsid w:val="00EA32E2"/>
    <w:rsid w:val="00EA41BC"/>
    <w:rsid w:val="00EA4522"/>
    <w:rsid w:val="00EA4C7A"/>
    <w:rsid w:val="00EA6CD6"/>
    <w:rsid w:val="00EA6F52"/>
    <w:rsid w:val="00EA72C3"/>
    <w:rsid w:val="00EA74F9"/>
    <w:rsid w:val="00EA77E2"/>
    <w:rsid w:val="00EB139F"/>
    <w:rsid w:val="00EB1E79"/>
    <w:rsid w:val="00EB261D"/>
    <w:rsid w:val="00EB2C9F"/>
    <w:rsid w:val="00EB49F1"/>
    <w:rsid w:val="00EB4FBC"/>
    <w:rsid w:val="00EB5426"/>
    <w:rsid w:val="00EB552C"/>
    <w:rsid w:val="00EB57DD"/>
    <w:rsid w:val="00EB6806"/>
    <w:rsid w:val="00EB6D14"/>
    <w:rsid w:val="00EB74EF"/>
    <w:rsid w:val="00EB7CDA"/>
    <w:rsid w:val="00EC042F"/>
    <w:rsid w:val="00EC0878"/>
    <w:rsid w:val="00EC1484"/>
    <w:rsid w:val="00EC1C5D"/>
    <w:rsid w:val="00EC1FB9"/>
    <w:rsid w:val="00EC259F"/>
    <w:rsid w:val="00EC3B26"/>
    <w:rsid w:val="00EC57AB"/>
    <w:rsid w:val="00EC5817"/>
    <w:rsid w:val="00EC6458"/>
    <w:rsid w:val="00ED117D"/>
    <w:rsid w:val="00ED2BCE"/>
    <w:rsid w:val="00ED391F"/>
    <w:rsid w:val="00ED4FEE"/>
    <w:rsid w:val="00ED53BC"/>
    <w:rsid w:val="00ED71BC"/>
    <w:rsid w:val="00ED74A3"/>
    <w:rsid w:val="00EE15DE"/>
    <w:rsid w:val="00EE20F8"/>
    <w:rsid w:val="00EE3BFC"/>
    <w:rsid w:val="00EE3F95"/>
    <w:rsid w:val="00EE4618"/>
    <w:rsid w:val="00EE4683"/>
    <w:rsid w:val="00EE48DD"/>
    <w:rsid w:val="00EE4BD2"/>
    <w:rsid w:val="00EF038F"/>
    <w:rsid w:val="00EF0688"/>
    <w:rsid w:val="00EF1BBC"/>
    <w:rsid w:val="00EF1F49"/>
    <w:rsid w:val="00EF2573"/>
    <w:rsid w:val="00EF2E69"/>
    <w:rsid w:val="00EF4F1B"/>
    <w:rsid w:val="00EF535E"/>
    <w:rsid w:val="00EF62EC"/>
    <w:rsid w:val="00EF774C"/>
    <w:rsid w:val="00F0039D"/>
    <w:rsid w:val="00F009E9"/>
    <w:rsid w:val="00F0103F"/>
    <w:rsid w:val="00F021C5"/>
    <w:rsid w:val="00F0349C"/>
    <w:rsid w:val="00F05446"/>
    <w:rsid w:val="00F054AC"/>
    <w:rsid w:val="00F058F1"/>
    <w:rsid w:val="00F062F7"/>
    <w:rsid w:val="00F06357"/>
    <w:rsid w:val="00F06BD8"/>
    <w:rsid w:val="00F07C09"/>
    <w:rsid w:val="00F07C5E"/>
    <w:rsid w:val="00F103B0"/>
    <w:rsid w:val="00F15E0E"/>
    <w:rsid w:val="00F16325"/>
    <w:rsid w:val="00F16937"/>
    <w:rsid w:val="00F17D25"/>
    <w:rsid w:val="00F200BF"/>
    <w:rsid w:val="00F216DF"/>
    <w:rsid w:val="00F21AD0"/>
    <w:rsid w:val="00F23951"/>
    <w:rsid w:val="00F24060"/>
    <w:rsid w:val="00F25FD7"/>
    <w:rsid w:val="00F261E6"/>
    <w:rsid w:val="00F26C35"/>
    <w:rsid w:val="00F27268"/>
    <w:rsid w:val="00F27347"/>
    <w:rsid w:val="00F27CB8"/>
    <w:rsid w:val="00F3218E"/>
    <w:rsid w:val="00F32516"/>
    <w:rsid w:val="00F32809"/>
    <w:rsid w:val="00F3330C"/>
    <w:rsid w:val="00F33FE2"/>
    <w:rsid w:val="00F34F81"/>
    <w:rsid w:val="00F35D59"/>
    <w:rsid w:val="00F36061"/>
    <w:rsid w:val="00F3697F"/>
    <w:rsid w:val="00F37CBA"/>
    <w:rsid w:val="00F37F55"/>
    <w:rsid w:val="00F4281A"/>
    <w:rsid w:val="00F4342F"/>
    <w:rsid w:val="00F43BE0"/>
    <w:rsid w:val="00F45C35"/>
    <w:rsid w:val="00F4653A"/>
    <w:rsid w:val="00F46E5A"/>
    <w:rsid w:val="00F475BD"/>
    <w:rsid w:val="00F47AC3"/>
    <w:rsid w:val="00F504E2"/>
    <w:rsid w:val="00F50953"/>
    <w:rsid w:val="00F51094"/>
    <w:rsid w:val="00F525CE"/>
    <w:rsid w:val="00F52A20"/>
    <w:rsid w:val="00F5372D"/>
    <w:rsid w:val="00F54474"/>
    <w:rsid w:val="00F54FC9"/>
    <w:rsid w:val="00F555B9"/>
    <w:rsid w:val="00F55CB4"/>
    <w:rsid w:val="00F55D1B"/>
    <w:rsid w:val="00F57CAE"/>
    <w:rsid w:val="00F57E5A"/>
    <w:rsid w:val="00F61244"/>
    <w:rsid w:val="00F6160D"/>
    <w:rsid w:val="00F62E1D"/>
    <w:rsid w:val="00F630CC"/>
    <w:rsid w:val="00F67283"/>
    <w:rsid w:val="00F70691"/>
    <w:rsid w:val="00F70938"/>
    <w:rsid w:val="00F70FEB"/>
    <w:rsid w:val="00F746D1"/>
    <w:rsid w:val="00F746ED"/>
    <w:rsid w:val="00F74CCD"/>
    <w:rsid w:val="00F74DB7"/>
    <w:rsid w:val="00F7617B"/>
    <w:rsid w:val="00F761A6"/>
    <w:rsid w:val="00F77F5C"/>
    <w:rsid w:val="00F80D5B"/>
    <w:rsid w:val="00F80F1E"/>
    <w:rsid w:val="00F831C3"/>
    <w:rsid w:val="00F838C6"/>
    <w:rsid w:val="00F8476E"/>
    <w:rsid w:val="00F86DB8"/>
    <w:rsid w:val="00F933F6"/>
    <w:rsid w:val="00F93891"/>
    <w:rsid w:val="00F941D6"/>
    <w:rsid w:val="00F94CA3"/>
    <w:rsid w:val="00F95E7A"/>
    <w:rsid w:val="00F965BB"/>
    <w:rsid w:val="00F973C1"/>
    <w:rsid w:val="00FA069C"/>
    <w:rsid w:val="00FA09E6"/>
    <w:rsid w:val="00FA392E"/>
    <w:rsid w:val="00FA41DB"/>
    <w:rsid w:val="00FA4A35"/>
    <w:rsid w:val="00FA61A3"/>
    <w:rsid w:val="00FA61AA"/>
    <w:rsid w:val="00FA6EAD"/>
    <w:rsid w:val="00FA740B"/>
    <w:rsid w:val="00FA74DB"/>
    <w:rsid w:val="00FB0C52"/>
    <w:rsid w:val="00FB3287"/>
    <w:rsid w:val="00FB3ED1"/>
    <w:rsid w:val="00FB5229"/>
    <w:rsid w:val="00FB6347"/>
    <w:rsid w:val="00FB66B3"/>
    <w:rsid w:val="00FB77DA"/>
    <w:rsid w:val="00FC1CD1"/>
    <w:rsid w:val="00FC29F1"/>
    <w:rsid w:val="00FC2A2E"/>
    <w:rsid w:val="00FC2DEA"/>
    <w:rsid w:val="00FC4595"/>
    <w:rsid w:val="00FC79F9"/>
    <w:rsid w:val="00FD0255"/>
    <w:rsid w:val="00FD2244"/>
    <w:rsid w:val="00FD2A18"/>
    <w:rsid w:val="00FD432A"/>
    <w:rsid w:val="00FD51FC"/>
    <w:rsid w:val="00FE11B0"/>
    <w:rsid w:val="00FE1B8D"/>
    <w:rsid w:val="00FE3180"/>
    <w:rsid w:val="00FE3FAB"/>
    <w:rsid w:val="00FE4DC0"/>
    <w:rsid w:val="00FE5530"/>
    <w:rsid w:val="00FE59F0"/>
    <w:rsid w:val="00FE5ED9"/>
    <w:rsid w:val="00FE63A0"/>
    <w:rsid w:val="00FE6BF8"/>
    <w:rsid w:val="00FE7E67"/>
    <w:rsid w:val="00FE7EBF"/>
    <w:rsid w:val="00FF120C"/>
    <w:rsid w:val="00FF1C29"/>
    <w:rsid w:val="00FF26F0"/>
    <w:rsid w:val="00FF357B"/>
    <w:rsid w:val="00FF3FFD"/>
    <w:rsid w:val="00FF4613"/>
    <w:rsid w:val="00FF5402"/>
    <w:rsid w:val="00FF5F8F"/>
    <w:rsid w:val="00FF65B0"/>
    <w:rsid w:val="00FF746D"/>
    <w:rsid w:val="00FF770D"/>
    <w:rsid w:val="01E46580"/>
    <w:rsid w:val="028710B6"/>
    <w:rsid w:val="029370C7"/>
    <w:rsid w:val="02C36CF0"/>
    <w:rsid w:val="03522A11"/>
    <w:rsid w:val="03AA08C6"/>
    <w:rsid w:val="04282032"/>
    <w:rsid w:val="04776B19"/>
    <w:rsid w:val="0553045A"/>
    <w:rsid w:val="05802F92"/>
    <w:rsid w:val="058A4BA6"/>
    <w:rsid w:val="05E322AD"/>
    <w:rsid w:val="06E71A46"/>
    <w:rsid w:val="07576C98"/>
    <w:rsid w:val="08CF5BE4"/>
    <w:rsid w:val="098708AE"/>
    <w:rsid w:val="0B591517"/>
    <w:rsid w:val="0C541CC6"/>
    <w:rsid w:val="0C691C6B"/>
    <w:rsid w:val="0CBF3A0D"/>
    <w:rsid w:val="0CD57403"/>
    <w:rsid w:val="0D0162D7"/>
    <w:rsid w:val="0D0A62FB"/>
    <w:rsid w:val="0D97732E"/>
    <w:rsid w:val="0DFF21B3"/>
    <w:rsid w:val="0E3C7838"/>
    <w:rsid w:val="0F8D020F"/>
    <w:rsid w:val="108972C6"/>
    <w:rsid w:val="11080D80"/>
    <w:rsid w:val="11D57A92"/>
    <w:rsid w:val="12383670"/>
    <w:rsid w:val="12FE6B81"/>
    <w:rsid w:val="134E475D"/>
    <w:rsid w:val="139160DA"/>
    <w:rsid w:val="14360F37"/>
    <w:rsid w:val="146B43D4"/>
    <w:rsid w:val="148E3C08"/>
    <w:rsid w:val="14B95C8D"/>
    <w:rsid w:val="14C45590"/>
    <w:rsid w:val="162A486A"/>
    <w:rsid w:val="16AC1941"/>
    <w:rsid w:val="171F4F4A"/>
    <w:rsid w:val="175913E8"/>
    <w:rsid w:val="17B0516D"/>
    <w:rsid w:val="180673F6"/>
    <w:rsid w:val="18370200"/>
    <w:rsid w:val="188A0ED1"/>
    <w:rsid w:val="18A337CE"/>
    <w:rsid w:val="1A976EBD"/>
    <w:rsid w:val="1B764D9C"/>
    <w:rsid w:val="1BA92679"/>
    <w:rsid w:val="1BE31B4D"/>
    <w:rsid w:val="1CCD3E1B"/>
    <w:rsid w:val="1E4361B4"/>
    <w:rsid w:val="1F1F6290"/>
    <w:rsid w:val="205930C6"/>
    <w:rsid w:val="20A30563"/>
    <w:rsid w:val="2141365B"/>
    <w:rsid w:val="21541B6E"/>
    <w:rsid w:val="221C1E1F"/>
    <w:rsid w:val="22252F7F"/>
    <w:rsid w:val="22C3679E"/>
    <w:rsid w:val="235759BB"/>
    <w:rsid w:val="24A948B4"/>
    <w:rsid w:val="259E316B"/>
    <w:rsid w:val="25B41AD0"/>
    <w:rsid w:val="25FE3CA3"/>
    <w:rsid w:val="26171E93"/>
    <w:rsid w:val="27D12DF4"/>
    <w:rsid w:val="27E100D0"/>
    <w:rsid w:val="27F51B5E"/>
    <w:rsid w:val="28230A0D"/>
    <w:rsid w:val="28701767"/>
    <w:rsid w:val="295A1DAE"/>
    <w:rsid w:val="298D7693"/>
    <w:rsid w:val="29F612CB"/>
    <w:rsid w:val="2AC066FD"/>
    <w:rsid w:val="2BC07230"/>
    <w:rsid w:val="2C9A247C"/>
    <w:rsid w:val="2D1C0691"/>
    <w:rsid w:val="2E7349D9"/>
    <w:rsid w:val="2F0D2540"/>
    <w:rsid w:val="3091670A"/>
    <w:rsid w:val="324E7BFD"/>
    <w:rsid w:val="32FC144F"/>
    <w:rsid w:val="3541456C"/>
    <w:rsid w:val="35444C42"/>
    <w:rsid w:val="36830476"/>
    <w:rsid w:val="372021F6"/>
    <w:rsid w:val="37263E7C"/>
    <w:rsid w:val="38713EA3"/>
    <w:rsid w:val="39902C7F"/>
    <w:rsid w:val="3A6E43B7"/>
    <w:rsid w:val="3ABE60AD"/>
    <w:rsid w:val="3D210B1F"/>
    <w:rsid w:val="3D91116C"/>
    <w:rsid w:val="3DA562EB"/>
    <w:rsid w:val="402E72DA"/>
    <w:rsid w:val="40607DB6"/>
    <w:rsid w:val="42015AF2"/>
    <w:rsid w:val="4208771F"/>
    <w:rsid w:val="423B6D2B"/>
    <w:rsid w:val="42E40ACD"/>
    <w:rsid w:val="43104E14"/>
    <w:rsid w:val="433357B1"/>
    <w:rsid w:val="45B44CBE"/>
    <w:rsid w:val="45BB0276"/>
    <w:rsid w:val="45FC42E6"/>
    <w:rsid w:val="46DE6C8E"/>
    <w:rsid w:val="4789179C"/>
    <w:rsid w:val="48955D45"/>
    <w:rsid w:val="48A80B19"/>
    <w:rsid w:val="4906267E"/>
    <w:rsid w:val="491519A9"/>
    <w:rsid w:val="49912834"/>
    <w:rsid w:val="49FC627E"/>
    <w:rsid w:val="4A290A29"/>
    <w:rsid w:val="4AA531E5"/>
    <w:rsid w:val="4ADD1955"/>
    <w:rsid w:val="4BBA24B1"/>
    <w:rsid w:val="4C132C30"/>
    <w:rsid w:val="4C2B4B79"/>
    <w:rsid w:val="4D2666BD"/>
    <w:rsid w:val="4E3F006F"/>
    <w:rsid w:val="4E5E13FF"/>
    <w:rsid w:val="4E5F76BF"/>
    <w:rsid w:val="4E7630B5"/>
    <w:rsid w:val="4E960F50"/>
    <w:rsid w:val="4EE419FD"/>
    <w:rsid w:val="50F60291"/>
    <w:rsid w:val="51030825"/>
    <w:rsid w:val="516E142A"/>
    <w:rsid w:val="51B447F5"/>
    <w:rsid w:val="52B513BE"/>
    <w:rsid w:val="52FE1278"/>
    <w:rsid w:val="53AA4299"/>
    <w:rsid w:val="53F07F5A"/>
    <w:rsid w:val="53F367DC"/>
    <w:rsid w:val="54514662"/>
    <w:rsid w:val="548320F2"/>
    <w:rsid w:val="54C57386"/>
    <w:rsid w:val="54E9135D"/>
    <w:rsid w:val="550027D9"/>
    <w:rsid w:val="552C7F8D"/>
    <w:rsid w:val="559B48BA"/>
    <w:rsid w:val="56143BEB"/>
    <w:rsid w:val="570012BA"/>
    <w:rsid w:val="582F2966"/>
    <w:rsid w:val="58FA7136"/>
    <w:rsid w:val="5ADB3F93"/>
    <w:rsid w:val="5C54188A"/>
    <w:rsid w:val="5D50048D"/>
    <w:rsid w:val="5DBF78F0"/>
    <w:rsid w:val="5DEC1295"/>
    <w:rsid w:val="5E127261"/>
    <w:rsid w:val="5E5F2554"/>
    <w:rsid w:val="5ED3623B"/>
    <w:rsid w:val="5F614468"/>
    <w:rsid w:val="5F821A11"/>
    <w:rsid w:val="61411986"/>
    <w:rsid w:val="619736AB"/>
    <w:rsid w:val="622C7333"/>
    <w:rsid w:val="62C41B8B"/>
    <w:rsid w:val="638147E9"/>
    <w:rsid w:val="648B7F74"/>
    <w:rsid w:val="65355743"/>
    <w:rsid w:val="65440625"/>
    <w:rsid w:val="66EC5716"/>
    <w:rsid w:val="69B57F11"/>
    <w:rsid w:val="6AF5567C"/>
    <w:rsid w:val="6B4B03EF"/>
    <w:rsid w:val="6C666467"/>
    <w:rsid w:val="6D3D2CD6"/>
    <w:rsid w:val="6DC65DCC"/>
    <w:rsid w:val="6DC77B78"/>
    <w:rsid w:val="6EB16A8A"/>
    <w:rsid w:val="6F4B124F"/>
    <w:rsid w:val="6FAB29C1"/>
    <w:rsid w:val="70A87230"/>
    <w:rsid w:val="713118C3"/>
    <w:rsid w:val="725C7AFC"/>
    <w:rsid w:val="73D91AEE"/>
    <w:rsid w:val="746526B9"/>
    <w:rsid w:val="74807C54"/>
    <w:rsid w:val="773379C5"/>
    <w:rsid w:val="791F3F35"/>
    <w:rsid w:val="7A4B1807"/>
    <w:rsid w:val="7C255647"/>
    <w:rsid w:val="7C35537A"/>
    <w:rsid w:val="7C4A3210"/>
    <w:rsid w:val="7CD0507B"/>
    <w:rsid w:val="7D4B42BA"/>
    <w:rsid w:val="7D870C85"/>
    <w:rsid w:val="7E765088"/>
    <w:rsid w:val="7F122D97"/>
    <w:rsid w:val="7F4664C8"/>
    <w:rsid w:val="7FD4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14"/>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sz w:val="32"/>
      <w:szCs w:val="20"/>
    </w:rPr>
  </w:style>
  <w:style w:type="paragraph" w:styleId="6">
    <w:name w:val="heading 4"/>
    <w:basedOn w:val="1"/>
    <w:next w:val="1"/>
    <w:link w:val="11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53"/>
    <w:qFormat/>
    <w:uiPriority w:val="0"/>
    <w:pPr>
      <w:keepNext/>
      <w:keepLines/>
      <w:widowControl/>
      <w:tabs>
        <w:tab w:val="left" w:pos="1274"/>
        <w:tab w:val="left" w:pos="1440"/>
      </w:tabs>
      <w:spacing w:line="425" w:lineRule="atLeast"/>
      <w:ind w:left="1008" w:hanging="1008"/>
      <w:textAlignment w:val="baseline"/>
      <w:outlineLvl w:val="4"/>
    </w:pPr>
    <w:rPr>
      <w:rFonts w:ascii="Times New Roman" w:hAnsi="Times New Roman" w:eastAsia="黑体"/>
      <w:bCs/>
      <w:color w:val="000000"/>
      <w:kern w:val="0"/>
      <w:sz w:val="30"/>
      <w:szCs w:val="28"/>
      <w:u w:color="000000"/>
    </w:rPr>
  </w:style>
  <w:style w:type="paragraph" w:styleId="8">
    <w:name w:val="heading 6"/>
    <w:basedOn w:val="1"/>
    <w:next w:val="1"/>
    <w:link w:val="154"/>
    <w:qFormat/>
    <w:uiPriority w:val="0"/>
    <w:pPr>
      <w:keepNext/>
      <w:keepLines/>
      <w:spacing w:before="240" w:beforeLines="50" w:after="64" w:line="320" w:lineRule="auto"/>
      <w:ind w:firstLine="200" w:firstLineChars="200"/>
      <w:outlineLvl w:val="5"/>
    </w:pPr>
    <w:rPr>
      <w:rFonts w:ascii="Arial" w:hAnsi="Arial" w:eastAsia="黑体"/>
      <w:b/>
      <w:bCs/>
      <w:sz w:val="24"/>
    </w:rPr>
  </w:style>
  <w:style w:type="paragraph" w:styleId="9">
    <w:name w:val="heading 7"/>
    <w:basedOn w:val="1"/>
    <w:next w:val="1"/>
    <w:link w:val="155"/>
    <w:qFormat/>
    <w:uiPriority w:val="0"/>
    <w:pPr>
      <w:keepNext/>
      <w:keepLines/>
      <w:widowControl/>
      <w:tabs>
        <w:tab w:val="left" w:pos="1296"/>
      </w:tabs>
      <w:spacing w:before="240" w:after="64" w:line="320" w:lineRule="auto"/>
      <w:ind w:left="1296" w:hanging="1296"/>
      <w:textAlignment w:val="baseline"/>
      <w:outlineLvl w:val="6"/>
    </w:pPr>
    <w:rPr>
      <w:rFonts w:ascii="Times New Roman" w:hAnsi="Times New Roman"/>
      <w:b/>
      <w:bCs/>
      <w:color w:val="000000"/>
      <w:kern w:val="0"/>
      <w:szCs w:val="20"/>
      <w:u w:color="000000"/>
    </w:rPr>
  </w:style>
  <w:style w:type="paragraph" w:styleId="10">
    <w:name w:val="heading 8"/>
    <w:basedOn w:val="1"/>
    <w:next w:val="1"/>
    <w:link w:val="156"/>
    <w:qFormat/>
    <w:uiPriority w:val="0"/>
    <w:pPr>
      <w:keepNext/>
      <w:keepLines/>
      <w:widowControl/>
      <w:tabs>
        <w:tab w:val="left" w:pos="1440"/>
      </w:tabs>
      <w:spacing w:before="240" w:after="64" w:line="320" w:lineRule="auto"/>
      <w:ind w:left="1440" w:hanging="1440"/>
      <w:textAlignment w:val="baseline"/>
      <w:outlineLvl w:val="7"/>
    </w:pPr>
    <w:rPr>
      <w:rFonts w:ascii="Arial" w:hAnsi="Arial" w:eastAsia="黑体"/>
      <w:color w:val="000000"/>
      <w:kern w:val="0"/>
      <w:szCs w:val="20"/>
      <w:u w:color="000000"/>
    </w:rPr>
  </w:style>
  <w:style w:type="paragraph" w:styleId="11">
    <w:name w:val="heading 9"/>
    <w:basedOn w:val="1"/>
    <w:next w:val="1"/>
    <w:link w:val="157"/>
    <w:qFormat/>
    <w:uiPriority w:val="0"/>
    <w:pPr>
      <w:keepNext/>
      <w:keepLines/>
      <w:widowControl/>
      <w:tabs>
        <w:tab w:val="left" w:pos="1584"/>
      </w:tabs>
      <w:spacing w:before="240" w:after="64" w:line="320" w:lineRule="auto"/>
      <w:ind w:left="1584" w:hanging="1584"/>
      <w:textAlignment w:val="baseline"/>
      <w:outlineLvl w:val="8"/>
    </w:pPr>
    <w:rPr>
      <w:rFonts w:ascii="Arial" w:hAnsi="Arial" w:eastAsia="黑体"/>
      <w:color w:val="000000"/>
      <w:kern w:val="0"/>
      <w:szCs w:val="21"/>
      <w:u w:color="000000"/>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29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rPr>
  </w:style>
  <w:style w:type="paragraph" w:styleId="13">
    <w:name w:val="toc 7"/>
    <w:basedOn w:val="1"/>
    <w:next w:val="1"/>
    <w:qFormat/>
    <w:uiPriority w:val="39"/>
    <w:pPr>
      <w:ind w:left="2520" w:leftChars="1200"/>
    </w:pPr>
    <w:rPr>
      <w:rFonts w:ascii="Times New Roman" w:hAnsi="Times New Roman"/>
    </w:rPr>
  </w:style>
  <w:style w:type="paragraph" w:styleId="14">
    <w:name w:val="List Number 2"/>
    <w:basedOn w:val="1"/>
    <w:qFormat/>
    <w:uiPriority w:val="0"/>
    <w:pPr>
      <w:tabs>
        <w:tab w:val="left" w:pos="1146"/>
      </w:tabs>
    </w:pPr>
    <w:rPr>
      <w:rFonts w:ascii="Times New Roman" w:hAnsi="Times New Roman"/>
    </w:rPr>
  </w:style>
  <w:style w:type="paragraph" w:styleId="15">
    <w:name w:val="table of authorities"/>
    <w:basedOn w:val="1"/>
    <w:next w:val="1"/>
    <w:qFormat/>
    <w:uiPriority w:val="0"/>
    <w:pPr>
      <w:ind w:left="420" w:leftChars="200"/>
    </w:pPr>
    <w:rPr>
      <w:rFonts w:ascii="Times New Roman" w:hAnsi="Times New Roman"/>
    </w:rPr>
  </w:style>
  <w:style w:type="paragraph" w:styleId="16">
    <w:name w:val="Note Heading"/>
    <w:basedOn w:val="1"/>
    <w:next w:val="1"/>
    <w:link w:val="322"/>
    <w:qFormat/>
    <w:uiPriority w:val="0"/>
    <w:pPr>
      <w:jc w:val="center"/>
    </w:pPr>
    <w:rPr>
      <w:rFonts w:ascii="Times New Roman" w:hAnsi="Times New Roman"/>
    </w:rPr>
  </w:style>
  <w:style w:type="paragraph" w:styleId="17">
    <w:name w:val="List Bullet 4"/>
    <w:basedOn w:val="1"/>
    <w:qFormat/>
    <w:uiPriority w:val="0"/>
    <w:pPr>
      <w:tabs>
        <w:tab w:val="left" w:pos="432"/>
      </w:tabs>
      <w:ind w:left="432" w:hanging="432"/>
    </w:pPr>
    <w:rPr>
      <w:rFonts w:ascii="Times New Roman" w:hAnsi="Times New Roman"/>
      <w:szCs w:val="20"/>
    </w:rPr>
  </w:style>
  <w:style w:type="paragraph" w:styleId="18">
    <w:name w:val="index 8"/>
    <w:basedOn w:val="1"/>
    <w:next w:val="1"/>
    <w:qFormat/>
    <w:uiPriority w:val="0"/>
    <w:pPr>
      <w:ind w:left="1400" w:leftChars="1400"/>
    </w:pPr>
    <w:rPr>
      <w:rFonts w:ascii="Times New Roman" w:hAnsi="Times New Roman"/>
    </w:rPr>
  </w:style>
  <w:style w:type="paragraph" w:styleId="19">
    <w:name w:val="E-mail Signature"/>
    <w:basedOn w:val="1"/>
    <w:link w:val="320"/>
    <w:qFormat/>
    <w:uiPriority w:val="0"/>
    <w:rPr>
      <w:rFonts w:ascii="Times New Roman" w:hAnsi="Times New Roman"/>
    </w:rPr>
  </w:style>
  <w:style w:type="paragraph" w:styleId="20">
    <w:name w:val="List Number"/>
    <w:basedOn w:val="1"/>
    <w:qFormat/>
    <w:uiPriority w:val="0"/>
    <w:pPr>
      <w:tabs>
        <w:tab w:val="left" w:pos="1080"/>
      </w:tabs>
      <w:ind w:left="1080" w:hanging="1080"/>
    </w:pPr>
    <w:rPr>
      <w:rFonts w:ascii="Times New Roman" w:hAnsi="Times New Roman"/>
    </w:rPr>
  </w:style>
  <w:style w:type="paragraph" w:styleId="21">
    <w:name w:val="Normal Indent"/>
    <w:basedOn w:val="1"/>
    <w:link w:val="226"/>
    <w:qFormat/>
    <w:uiPriority w:val="0"/>
    <w:pPr>
      <w:spacing w:before="50" w:beforeLines="50" w:line="360" w:lineRule="auto"/>
      <w:ind w:firstLine="420" w:firstLineChars="200"/>
    </w:pPr>
    <w:rPr>
      <w:rFonts w:ascii="Times New Roman" w:hAnsi="Times New Roman"/>
      <w:sz w:val="24"/>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ind w:left="800" w:leftChars="800"/>
    </w:pPr>
    <w:rPr>
      <w:rFonts w:ascii="Times New Roman" w:hAnsi="Times New Roman"/>
    </w:rPr>
  </w:style>
  <w:style w:type="paragraph" w:styleId="24">
    <w:name w:val="List Bullet"/>
    <w:basedOn w:val="1"/>
    <w:qFormat/>
    <w:uiPriority w:val="0"/>
    <w:pPr>
      <w:tabs>
        <w:tab w:val="left" w:pos="1146"/>
      </w:tabs>
    </w:pPr>
    <w:rPr>
      <w:rFonts w:ascii="Times New Roman" w:hAnsi="Times New Roman"/>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6">
    <w:name w:val="Document Map"/>
    <w:basedOn w:val="1"/>
    <w:link w:val="141"/>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42"/>
    <w:qFormat/>
    <w:uiPriority w:val="0"/>
    <w:pPr>
      <w:jc w:val="left"/>
    </w:pPr>
  </w:style>
  <w:style w:type="paragraph" w:styleId="29">
    <w:name w:val="index 6"/>
    <w:basedOn w:val="1"/>
    <w:next w:val="1"/>
    <w:qFormat/>
    <w:uiPriority w:val="0"/>
    <w:pPr>
      <w:shd w:val="clear" w:color="auto" w:fill="000080"/>
      <w:jc w:val="center"/>
    </w:pPr>
    <w:rPr>
      <w:rFonts w:ascii="Times New Roman" w:hAnsi="Times New Roman"/>
      <w:szCs w:val="21"/>
    </w:rPr>
  </w:style>
  <w:style w:type="paragraph" w:styleId="30">
    <w:name w:val="Salutation"/>
    <w:basedOn w:val="1"/>
    <w:next w:val="1"/>
    <w:link w:val="116"/>
    <w:qFormat/>
    <w:uiPriority w:val="0"/>
    <w:rPr>
      <w:sz w:val="28"/>
      <w:szCs w:val="28"/>
    </w:rPr>
  </w:style>
  <w:style w:type="paragraph" w:styleId="31">
    <w:name w:val="Body Text 3"/>
    <w:basedOn w:val="1"/>
    <w:link w:val="119"/>
    <w:unhideWhenUsed/>
    <w:qFormat/>
    <w:uiPriority w:val="0"/>
    <w:pPr>
      <w:spacing w:after="120"/>
    </w:pPr>
    <w:rPr>
      <w:sz w:val="16"/>
      <w:szCs w:val="16"/>
    </w:rPr>
  </w:style>
  <w:style w:type="paragraph" w:styleId="32">
    <w:name w:val="Closing"/>
    <w:basedOn w:val="1"/>
    <w:link w:val="318"/>
    <w:qFormat/>
    <w:uiPriority w:val="0"/>
    <w:pPr>
      <w:ind w:left="100" w:leftChars="2100"/>
    </w:pPr>
    <w:rPr>
      <w:rFonts w:ascii="Times New Roman" w:hAnsi="Times New Roman"/>
    </w:rPr>
  </w:style>
  <w:style w:type="paragraph" w:styleId="33">
    <w:name w:val="List Bullet 3"/>
    <w:basedOn w:val="1"/>
    <w:qFormat/>
    <w:uiPriority w:val="0"/>
    <w:pPr>
      <w:tabs>
        <w:tab w:val="left" w:pos="720"/>
      </w:tabs>
      <w:ind w:left="720" w:hanging="720"/>
    </w:pPr>
    <w:rPr>
      <w:rFonts w:ascii="Times New Roman" w:hAnsi="Times New Roman"/>
      <w:szCs w:val="20"/>
    </w:rPr>
  </w:style>
  <w:style w:type="paragraph" w:styleId="34">
    <w:name w:val="Body Text"/>
    <w:basedOn w:val="1"/>
    <w:next w:val="1"/>
    <w:link w:val="329"/>
    <w:qFormat/>
    <w:uiPriority w:val="0"/>
    <w:pPr>
      <w:spacing w:line="400" w:lineRule="exact"/>
    </w:pPr>
    <w:rPr>
      <w:rFonts w:ascii="宋体" w:hAnsi="宋体"/>
      <w:sz w:val="24"/>
      <w:szCs w:val="20"/>
    </w:rPr>
  </w:style>
  <w:style w:type="paragraph" w:styleId="35">
    <w:name w:val="Body Text Indent"/>
    <w:basedOn w:val="1"/>
    <w:link w:val="117"/>
    <w:qFormat/>
    <w:uiPriority w:val="0"/>
    <w:pPr>
      <w:spacing w:after="120"/>
      <w:ind w:left="420" w:leftChars="200"/>
    </w:pPr>
  </w:style>
  <w:style w:type="paragraph" w:styleId="36">
    <w:name w:val="List Number 3"/>
    <w:basedOn w:val="1"/>
    <w:qFormat/>
    <w:uiPriority w:val="0"/>
    <w:pPr>
      <w:tabs>
        <w:tab w:val="left" w:pos="1146"/>
      </w:tabs>
    </w:pPr>
    <w:rPr>
      <w:rFonts w:ascii="Times New Roman" w:hAnsi="Times New Roman"/>
    </w:rPr>
  </w:style>
  <w:style w:type="paragraph" w:styleId="37">
    <w:name w:val="List 2"/>
    <w:basedOn w:val="1"/>
    <w:qFormat/>
    <w:uiPriority w:val="0"/>
    <w:pPr>
      <w:widowControl/>
      <w:spacing w:line="351" w:lineRule="atLeast"/>
      <w:ind w:left="839" w:hanging="419"/>
      <w:jc w:val="left"/>
      <w:textAlignment w:val="baseline"/>
    </w:pPr>
    <w:rPr>
      <w:rFonts w:ascii="Times New Roman" w:hAnsi="Times New Roman"/>
      <w:color w:val="000000"/>
      <w:kern w:val="0"/>
      <w:sz w:val="24"/>
      <w:szCs w:val="20"/>
      <w:u w:color="000000"/>
    </w:rPr>
  </w:style>
  <w:style w:type="paragraph" w:styleId="38">
    <w:name w:val="List Continue"/>
    <w:basedOn w:val="1"/>
    <w:qFormat/>
    <w:uiPriority w:val="0"/>
    <w:pPr>
      <w:spacing w:after="120"/>
      <w:ind w:left="420" w:leftChars="200"/>
    </w:pPr>
    <w:rPr>
      <w:rFonts w:ascii="Times New Roman" w:hAnsi="Times New Roman"/>
    </w:rPr>
  </w:style>
  <w:style w:type="paragraph" w:styleId="3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40">
    <w:name w:val="List Bullet 2"/>
    <w:basedOn w:val="1"/>
    <w:qFormat/>
    <w:uiPriority w:val="0"/>
    <w:pPr>
      <w:tabs>
        <w:tab w:val="left" w:pos="420"/>
        <w:tab w:val="left" w:pos="1050"/>
      </w:tabs>
      <w:ind w:left="1050" w:hanging="1050"/>
    </w:pPr>
    <w:rPr>
      <w:rFonts w:ascii="Times New Roman" w:hAnsi="Times New Roman"/>
      <w:szCs w:val="20"/>
    </w:rPr>
  </w:style>
  <w:style w:type="paragraph" w:styleId="41">
    <w:name w:val="HTML Address"/>
    <w:basedOn w:val="1"/>
    <w:link w:val="337"/>
    <w:qFormat/>
    <w:uiPriority w:val="0"/>
    <w:rPr>
      <w:rFonts w:ascii="Times New Roman" w:hAnsi="Times New Roman"/>
      <w:i/>
      <w:iCs/>
    </w:rPr>
  </w:style>
  <w:style w:type="paragraph" w:styleId="42">
    <w:name w:val="index 4"/>
    <w:basedOn w:val="1"/>
    <w:next w:val="1"/>
    <w:qFormat/>
    <w:uiPriority w:val="0"/>
    <w:pPr>
      <w:ind w:left="600" w:leftChars="600"/>
    </w:pPr>
    <w:rPr>
      <w:rFonts w:ascii="Times New Roman" w:hAnsi="Times New Roman"/>
    </w:rPr>
  </w:style>
  <w:style w:type="paragraph" w:styleId="43">
    <w:name w:val="toc 5"/>
    <w:basedOn w:val="1"/>
    <w:next w:val="1"/>
    <w:qFormat/>
    <w:uiPriority w:val="39"/>
    <w:pPr>
      <w:ind w:left="1680" w:leftChars="800"/>
    </w:pPr>
    <w:rPr>
      <w:rFonts w:ascii="Times New Roman" w:hAnsi="Times New Roman"/>
    </w:rPr>
  </w:style>
  <w:style w:type="paragraph" w:styleId="44">
    <w:name w:val="toc 3"/>
    <w:basedOn w:val="1"/>
    <w:next w:val="1"/>
    <w:qFormat/>
    <w:uiPriority w:val="39"/>
    <w:pPr>
      <w:ind w:left="840" w:leftChars="400"/>
    </w:pPr>
  </w:style>
  <w:style w:type="paragraph" w:styleId="45">
    <w:name w:val="Plain Text"/>
    <w:basedOn w:val="1"/>
    <w:link w:val="121"/>
    <w:qFormat/>
    <w:uiPriority w:val="0"/>
    <w:rPr>
      <w:rFonts w:ascii="宋体" w:hAnsi="Courier New"/>
      <w:szCs w:val="20"/>
    </w:rPr>
  </w:style>
  <w:style w:type="paragraph" w:styleId="46">
    <w:name w:val="List Bullet 5"/>
    <w:basedOn w:val="1"/>
    <w:qFormat/>
    <w:uiPriority w:val="0"/>
    <w:pPr>
      <w:tabs>
        <w:tab w:val="left" w:pos="1146"/>
      </w:tabs>
    </w:pPr>
    <w:rPr>
      <w:rFonts w:ascii="Times New Roman" w:hAnsi="Times New Roman"/>
    </w:rPr>
  </w:style>
  <w:style w:type="paragraph" w:styleId="47">
    <w:name w:val="List Number 4"/>
    <w:basedOn w:val="1"/>
    <w:qFormat/>
    <w:uiPriority w:val="0"/>
    <w:pPr>
      <w:tabs>
        <w:tab w:val="left" w:pos="1146"/>
      </w:tabs>
    </w:pPr>
    <w:rPr>
      <w:rFonts w:ascii="Times New Roman" w:hAnsi="Times New Roman"/>
    </w:rPr>
  </w:style>
  <w:style w:type="paragraph" w:styleId="48">
    <w:name w:val="toc 8"/>
    <w:basedOn w:val="1"/>
    <w:next w:val="1"/>
    <w:qFormat/>
    <w:uiPriority w:val="39"/>
    <w:pPr>
      <w:ind w:left="2940" w:leftChars="1400"/>
    </w:pPr>
    <w:rPr>
      <w:rFonts w:ascii="Times New Roman" w:hAnsi="Times New Roman"/>
    </w:rPr>
  </w:style>
  <w:style w:type="paragraph" w:styleId="49">
    <w:name w:val="index 3"/>
    <w:basedOn w:val="1"/>
    <w:next w:val="1"/>
    <w:qFormat/>
    <w:uiPriority w:val="0"/>
    <w:pPr>
      <w:ind w:left="400" w:leftChars="400"/>
    </w:pPr>
    <w:rPr>
      <w:rFonts w:ascii="Times New Roman" w:hAnsi="Times New Roman"/>
    </w:rPr>
  </w:style>
  <w:style w:type="paragraph" w:styleId="50">
    <w:name w:val="Date"/>
    <w:basedOn w:val="1"/>
    <w:next w:val="1"/>
    <w:link w:val="169"/>
    <w:qFormat/>
    <w:uiPriority w:val="99"/>
    <w:rPr>
      <w:szCs w:val="20"/>
    </w:rPr>
  </w:style>
  <w:style w:type="paragraph" w:styleId="51">
    <w:name w:val="Body Text Indent 2"/>
    <w:basedOn w:val="1"/>
    <w:link w:val="123"/>
    <w:unhideWhenUsed/>
    <w:qFormat/>
    <w:uiPriority w:val="99"/>
    <w:pPr>
      <w:spacing w:after="120" w:line="480" w:lineRule="auto"/>
      <w:ind w:left="420" w:leftChars="200"/>
    </w:pPr>
  </w:style>
  <w:style w:type="paragraph" w:styleId="52">
    <w:name w:val="endnote text"/>
    <w:basedOn w:val="1"/>
    <w:link w:val="124"/>
    <w:unhideWhenUsed/>
    <w:qFormat/>
    <w:uiPriority w:val="0"/>
    <w:pPr>
      <w:snapToGrid w:val="0"/>
      <w:jc w:val="left"/>
    </w:pPr>
  </w:style>
  <w:style w:type="paragraph" w:styleId="53">
    <w:name w:val="List Continue 5"/>
    <w:basedOn w:val="1"/>
    <w:qFormat/>
    <w:uiPriority w:val="0"/>
    <w:pPr>
      <w:spacing w:after="120"/>
      <w:ind w:left="2100" w:leftChars="1000"/>
    </w:pPr>
    <w:rPr>
      <w:rFonts w:ascii="Times New Roman" w:hAnsi="Times New Roman"/>
    </w:rPr>
  </w:style>
  <w:style w:type="paragraph" w:styleId="54">
    <w:name w:val="Balloon Text"/>
    <w:basedOn w:val="1"/>
    <w:link w:val="126"/>
    <w:unhideWhenUsed/>
    <w:qFormat/>
    <w:uiPriority w:val="0"/>
    <w:rPr>
      <w:sz w:val="18"/>
      <w:szCs w:val="18"/>
    </w:rPr>
  </w:style>
  <w:style w:type="paragraph" w:styleId="55">
    <w:name w:val="footer"/>
    <w:basedOn w:val="1"/>
    <w:link w:val="113"/>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15"/>
    <w:qFormat/>
    <w:uiPriority w:val="0"/>
    <w:pPr>
      <w:ind w:left="100" w:leftChars="2100"/>
    </w:pPr>
    <w:rPr>
      <w:rFonts w:ascii="Times New Roman" w:hAnsi="Times New Roman"/>
    </w:rPr>
  </w:style>
  <w:style w:type="paragraph" w:styleId="59">
    <w:name w:val="toc 1"/>
    <w:basedOn w:val="1"/>
    <w:next w:val="1"/>
    <w:qFormat/>
    <w:uiPriority w:val="39"/>
  </w:style>
  <w:style w:type="paragraph" w:styleId="60">
    <w:name w:val="List Continue 4"/>
    <w:basedOn w:val="1"/>
    <w:qFormat/>
    <w:uiPriority w:val="0"/>
    <w:pPr>
      <w:spacing w:after="120"/>
      <w:ind w:left="1680" w:leftChars="800"/>
    </w:pPr>
    <w:rPr>
      <w:rFonts w:ascii="Times New Roman" w:hAnsi="Times New Roman"/>
    </w:rPr>
  </w:style>
  <w:style w:type="paragraph" w:styleId="61">
    <w:name w:val="toc 4"/>
    <w:basedOn w:val="1"/>
    <w:next w:val="1"/>
    <w:qFormat/>
    <w:uiPriority w:val="39"/>
    <w:pPr>
      <w:ind w:left="1260" w:leftChars="600"/>
    </w:pPr>
    <w:rPr>
      <w:rFonts w:ascii="Times New Roman" w:hAnsi="Times New Roman"/>
    </w:r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pPr>
      <w:adjustRightInd w:val="0"/>
      <w:snapToGrid w:val="0"/>
      <w:ind w:firstLine="480" w:firstLineChars="200"/>
    </w:pPr>
    <w:rPr>
      <w:rFonts w:ascii="Times New Roman" w:hAnsi="Times New Roman"/>
      <w:sz w:val="24"/>
    </w:rPr>
  </w:style>
  <w:style w:type="paragraph" w:styleId="64">
    <w:name w:val="Subtitle"/>
    <w:basedOn w:val="1"/>
    <w:next w:val="1"/>
    <w:link w:val="120"/>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numPr>
        <w:ilvl w:val="0"/>
        <w:numId w:val="1"/>
      </w:numPr>
      <w:tabs>
        <w:tab w:val="left" w:pos="1146"/>
      </w:tabs>
    </w:pPr>
    <w:rPr>
      <w:rFonts w:ascii="Times New Roman" w:hAnsi="Times New Roman"/>
    </w:rPr>
  </w:style>
  <w:style w:type="paragraph" w:styleId="66">
    <w:name w:val="List"/>
    <w:basedOn w:val="1"/>
    <w:qFormat/>
    <w:uiPriority w:val="0"/>
    <w:pPr>
      <w:ind w:left="200" w:hanging="200" w:hangingChars="200"/>
    </w:pPr>
    <w:rPr>
      <w:rFonts w:ascii="Times New Roman" w:hAnsi="Times New Roman"/>
    </w:rPr>
  </w:style>
  <w:style w:type="paragraph" w:styleId="67">
    <w:name w:val="footnote text"/>
    <w:basedOn w:val="1"/>
    <w:link w:val="129"/>
    <w:qFormat/>
    <w:uiPriority w:val="0"/>
    <w:pPr>
      <w:adjustRightInd w:val="0"/>
      <w:snapToGrid w:val="0"/>
      <w:spacing w:line="420" w:lineRule="atLeast"/>
      <w:ind w:firstLine="454"/>
      <w:jc w:val="left"/>
      <w:textAlignment w:val="baseline"/>
    </w:pPr>
    <w:rPr>
      <w:kern w:val="0"/>
      <w:sz w:val="18"/>
      <w:szCs w:val="20"/>
    </w:rPr>
  </w:style>
  <w:style w:type="paragraph" w:styleId="68">
    <w:name w:val="toc 6"/>
    <w:basedOn w:val="1"/>
    <w:next w:val="1"/>
    <w:qFormat/>
    <w:uiPriority w:val="39"/>
    <w:pPr>
      <w:ind w:left="2100" w:leftChars="1000"/>
    </w:pPr>
    <w:rPr>
      <w:rFonts w:ascii="Times New Roman" w:hAnsi="Times New Roman"/>
    </w:rPr>
  </w:style>
  <w:style w:type="paragraph" w:styleId="69">
    <w:name w:val="List 5"/>
    <w:basedOn w:val="1"/>
    <w:qFormat/>
    <w:uiPriority w:val="0"/>
    <w:pPr>
      <w:ind w:left="100" w:leftChars="800" w:hanging="200" w:hangingChars="200"/>
    </w:pPr>
    <w:rPr>
      <w:rFonts w:ascii="Times New Roman" w:hAnsi="Times New Roman"/>
      <w:szCs w:val="20"/>
    </w:rPr>
  </w:style>
  <w:style w:type="paragraph" w:styleId="70">
    <w:name w:val="Body Text Indent 3"/>
    <w:basedOn w:val="1"/>
    <w:link w:val="127"/>
    <w:qFormat/>
    <w:uiPriority w:val="0"/>
    <w:pPr>
      <w:spacing w:after="120"/>
      <w:ind w:left="420" w:leftChars="200"/>
    </w:pPr>
    <w:rPr>
      <w:sz w:val="16"/>
      <w:szCs w:val="16"/>
    </w:rPr>
  </w:style>
  <w:style w:type="paragraph" w:styleId="71">
    <w:name w:val="index 7"/>
    <w:basedOn w:val="1"/>
    <w:next w:val="1"/>
    <w:qFormat/>
    <w:uiPriority w:val="0"/>
    <w:pPr>
      <w:ind w:left="1200" w:leftChars="1200"/>
    </w:pPr>
    <w:rPr>
      <w:rFonts w:ascii="Times New Roman" w:hAnsi="Times New Roman"/>
    </w:rPr>
  </w:style>
  <w:style w:type="paragraph" w:styleId="72">
    <w:name w:val="index 9"/>
    <w:basedOn w:val="1"/>
    <w:next w:val="1"/>
    <w:qFormat/>
    <w:uiPriority w:val="0"/>
    <w:pPr>
      <w:ind w:left="1600" w:leftChars="1600"/>
    </w:pPr>
    <w:rPr>
      <w:rFonts w:ascii="Times New Roman" w:hAnsi="Times New Roman"/>
    </w:rPr>
  </w:style>
  <w:style w:type="paragraph" w:styleId="73">
    <w:name w:val="table of figures"/>
    <w:basedOn w:val="1"/>
    <w:next w:val="1"/>
    <w:qFormat/>
    <w:uiPriority w:val="0"/>
    <w:pPr>
      <w:ind w:left="200" w:leftChars="200" w:hanging="200" w:hangingChars="200"/>
    </w:pPr>
    <w:rPr>
      <w:rFonts w:ascii="Times New Roman" w:hAnsi="Times New Roman"/>
    </w:rPr>
  </w:style>
  <w:style w:type="paragraph" w:styleId="74">
    <w:name w:val="toc 2"/>
    <w:basedOn w:val="1"/>
    <w:next w:val="1"/>
    <w:qFormat/>
    <w:uiPriority w:val="39"/>
    <w:pPr>
      <w:ind w:left="420" w:leftChars="200"/>
    </w:pPr>
  </w:style>
  <w:style w:type="paragraph" w:styleId="75">
    <w:name w:val="toc 9"/>
    <w:basedOn w:val="1"/>
    <w:next w:val="1"/>
    <w:qFormat/>
    <w:uiPriority w:val="39"/>
    <w:pPr>
      <w:ind w:left="3360" w:leftChars="1600"/>
    </w:pPr>
    <w:rPr>
      <w:rFonts w:ascii="Times New Roman" w:hAnsi="Times New Roman"/>
    </w:rPr>
  </w:style>
  <w:style w:type="paragraph" w:styleId="76">
    <w:name w:val="Body Text 2"/>
    <w:basedOn w:val="1"/>
    <w:link w:val="152"/>
    <w:unhideWhenUsed/>
    <w:qFormat/>
    <w:uiPriority w:val="0"/>
    <w:pPr>
      <w:spacing w:after="120" w:line="480" w:lineRule="auto"/>
    </w:pPr>
  </w:style>
  <w:style w:type="paragraph" w:styleId="77">
    <w:name w:val="List 4"/>
    <w:basedOn w:val="1"/>
    <w:qFormat/>
    <w:uiPriority w:val="0"/>
    <w:pPr>
      <w:ind w:left="100" w:leftChars="600" w:hanging="200" w:hangingChars="200"/>
    </w:pPr>
    <w:rPr>
      <w:rFonts w:ascii="Times New Roman" w:hAnsi="Times New Roman"/>
    </w:rPr>
  </w:style>
  <w:style w:type="paragraph" w:styleId="78">
    <w:name w:val="List Continue 2"/>
    <w:basedOn w:val="1"/>
    <w:qFormat/>
    <w:uiPriority w:val="0"/>
    <w:pPr>
      <w:spacing w:after="120"/>
      <w:ind w:left="840" w:leftChars="400"/>
    </w:pPr>
    <w:rPr>
      <w:rFonts w:ascii="Times New Roman" w:hAnsi="Times New Roman"/>
    </w:rPr>
  </w:style>
  <w:style w:type="paragraph" w:styleId="79">
    <w:name w:val="Message Header"/>
    <w:basedOn w:val="1"/>
    <w:link w:val="29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313"/>
    <w:qFormat/>
    <w:uiPriority w:val="0"/>
    <w:rPr>
      <w:rFonts w:ascii="Courier New" w:hAnsi="Courier New" w:cs="Courier New"/>
      <w:sz w:val="20"/>
      <w:szCs w:val="20"/>
    </w:rPr>
  </w:style>
  <w:style w:type="paragraph" w:styleId="81">
    <w:name w:val="Normal (Web)"/>
    <w:basedOn w:val="1"/>
    <w:unhideWhenUsed/>
    <w:qFormat/>
    <w:uiPriority w:val="0"/>
    <w:rPr>
      <w:sz w:val="24"/>
    </w:rPr>
  </w:style>
  <w:style w:type="paragraph" w:styleId="82">
    <w:name w:val="List Continue 3"/>
    <w:basedOn w:val="1"/>
    <w:qFormat/>
    <w:uiPriority w:val="0"/>
    <w:pPr>
      <w:spacing w:after="120"/>
      <w:ind w:left="1260" w:leftChars="600"/>
    </w:pPr>
    <w:rPr>
      <w:rFonts w:ascii="Times New Roman" w:hAnsi="Times New Roman"/>
    </w:rPr>
  </w:style>
  <w:style w:type="paragraph" w:styleId="83">
    <w:name w:val="index 2"/>
    <w:basedOn w:val="1"/>
    <w:next w:val="1"/>
    <w:qFormat/>
    <w:uiPriority w:val="0"/>
    <w:pPr>
      <w:ind w:left="200" w:leftChars="200"/>
    </w:pPr>
    <w:rPr>
      <w:rFonts w:ascii="Times New Roman" w:hAnsi="Times New Roman"/>
    </w:rPr>
  </w:style>
  <w:style w:type="paragraph" w:styleId="84">
    <w:name w:val="Title"/>
    <w:basedOn w:val="1"/>
    <w:next w:val="1"/>
    <w:link w:val="110"/>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149"/>
    <w:unhideWhenUsed/>
    <w:qFormat/>
    <w:uiPriority w:val="0"/>
    <w:rPr>
      <w:b/>
      <w:bCs/>
    </w:rPr>
  </w:style>
  <w:style w:type="paragraph" w:styleId="86">
    <w:name w:val="Body Text First Indent"/>
    <w:basedOn w:val="34"/>
    <w:link w:val="330"/>
    <w:qFormat/>
    <w:uiPriority w:val="0"/>
    <w:pPr>
      <w:widowControl/>
      <w:tabs>
        <w:tab w:val="left" w:pos="840"/>
      </w:tabs>
      <w:spacing w:after="120" w:line="240" w:lineRule="auto"/>
      <w:ind w:left="840" w:firstLine="420" w:firstLineChars="100"/>
      <w:jc w:val="left"/>
    </w:pPr>
    <w:rPr>
      <w:rFonts w:ascii="Times New Roman" w:hAnsi="Times New Roman"/>
      <w:sz w:val="21"/>
    </w:rPr>
  </w:style>
  <w:style w:type="paragraph" w:styleId="87">
    <w:name w:val="Body Text First Indent 2"/>
    <w:basedOn w:val="35"/>
    <w:link w:val="148"/>
    <w:unhideWhenUsed/>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Professional"/>
    <w:basedOn w:val="88"/>
    <w:qFormat/>
    <w:uiPriority w:val="0"/>
    <w:pPr>
      <w:widowControl w:val="0"/>
      <w:adjustRightInd w:val="0"/>
      <w:snapToGrid w:val="0"/>
      <w:spacing w:line="300" w:lineRule="auto"/>
      <w:ind w:firstLine="200" w:firstLineChars="200"/>
      <w:jc w:val="both"/>
    </w:pPr>
    <w:rPr>
      <w:kern w:val="2"/>
      <w:sz w:val="21"/>
      <w:szCs w:val="22"/>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2">
    <w:name w:val="Strong"/>
    <w:basedOn w:val="91"/>
    <w:qFormat/>
    <w:uiPriority w:val="22"/>
  </w:style>
  <w:style w:type="character" w:styleId="93">
    <w:name w:val="endnote reference"/>
    <w:unhideWhenUsed/>
    <w:qFormat/>
    <w:uiPriority w:val="99"/>
    <w:rPr>
      <w:vertAlign w:val="superscript"/>
    </w:rPr>
  </w:style>
  <w:style w:type="character" w:styleId="94">
    <w:name w:val="page number"/>
    <w:basedOn w:val="91"/>
    <w:qFormat/>
    <w:uiPriority w:val="0"/>
  </w:style>
  <w:style w:type="character" w:styleId="95">
    <w:name w:val="FollowedHyperlink"/>
    <w:basedOn w:val="91"/>
    <w:unhideWhenUsed/>
    <w:qFormat/>
    <w:uiPriority w:val="0"/>
    <w:rPr>
      <w:color w:val="800080"/>
      <w:u w:val="none"/>
    </w:rPr>
  </w:style>
  <w:style w:type="character" w:styleId="96">
    <w:name w:val="Emphasis"/>
    <w:basedOn w:val="91"/>
    <w:qFormat/>
    <w:uiPriority w:val="20"/>
  </w:style>
  <w:style w:type="character" w:styleId="97">
    <w:name w:val="HTML Definition"/>
    <w:basedOn w:val="91"/>
    <w:unhideWhenUsed/>
    <w:qFormat/>
    <w:uiPriority w:val="99"/>
  </w:style>
  <w:style w:type="character" w:styleId="98">
    <w:name w:val="HTML Typewriter"/>
    <w:basedOn w:val="91"/>
    <w:unhideWhenUsed/>
    <w:qFormat/>
    <w:uiPriority w:val="99"/>
    <w:rPr>
      <w:rFonts w:hint="default" w:ascii="monospace" w:hAnsi="monospace" w:eastAsia="monospace" w:cs="monospace"/>
      <w:sz w:val="20"/>
    </w:rPr>
  </w:style>
  <w:style w:type="character" w:styleId="99">
    <w:name w:val="HTML Acronym"/>
    <w:basedOn w:val="91"/>
    <w:unhideWhenUsed/>
    <w:qFormat/>
    <w:uiPriority w:val="99"/>
  </w:style>
  <w:style w:type="character" w:styleId="100">
    <w:name w:val="HTML Variable"/>
    <w:basedOn w:val="91"/>
    <w:unhideWhenUsed/>
    <w:qFormat/>
    <w:uiPriority w:val="99"/>
  </w:style>
  <w:style w:type="character" w:styleId="101">
    <w:name w:val="Hyperlink"/>
    <w:qFormat/>
    <w:uiPriority w:val="99"/>
    <w:rPr>
      <w:color w:val="0000FF"/>
      <w:u w:val="single"/>
    </w:rPr>
  </w:style>
  <w:style w:type="character" w:styleId="102">
    <w:name w:val="HTML Code"/>
    <w:basedOn w:val="91"/>
    <w:unhideWhenUsed/>
    <w:qFormat/>
    <w:uiPriority w:val="99"/>
    <w:rPr>
      <w:rFonts w:hint="default" w:ascii="monospace" w:hAnsi="monospace" w:eastAsia="monospace" w:cs="monospace"/>
      <w:sz w:val="20"/>
    </w:rPr>
  </w:style>
  <w:style w:type="character" w:styleId="103">
    <w:name w:val="annotation reference"/>
    <w:basedOn w:val="91"/>
    <w:unhideWhenUsed/>
    <w:qFormat/>
    <w:uiPriority w:val="0"/>
    <w:rPr>
      <w:sz w:val="21"/>
      <w:szCs w:val="21"/>
    </w:rPr>
  </w:style>
  <w:style w:type="character" w:styleId="104">
    <w:name w:val="HTML Cite"/>
    <w:basedOn w:val="91"/>
    <w:unhideWhenUsed/>
    <w:qFormat/>
    <w:uiPriority w:val="99"/>
  </w:style>
  <w:style w:type="character" w:styleId="105">
    <w:name w:val="footnote reference"/>
    <w:qFormat/>
    <w:uiPriority w:val="0"/>
    <w:rPr>
      <w:vertAlign w:val="superscript"/>
    </w:rPr>
  </w:style>
  <w:style w:type="character" w:styleId="106">
    <w:name w:val="HTML Keyboard"/>
    <w:basedOn w:val="91"/>
    <w:unhideWhenUsed/>
    <w:qFormat/>
    <w:uiPriority w:val="99"/>
    <w:rPr>
      <w:rFonts w:ascii="monospace" w:hAnsi="monospace" w:eastAsia="monospace" w:cs="monospace"/>
      <w:sz w:val="20"/>
    </w:rPr>
  </w:style>
  <w:style w:type="character" w:styleId="107">
    <w:name w:val="HTML Sample"/>
    <w:basedOn w:val="91"/>
    <w:unhideWhenUsed/>
    <w:qFormat/>
    <w:uiPriority w:val="99"/>
    <w:rPr>
      <w:rFonts w:hint="default" w:ascii="monospace" w:hAnsi="monospace" w:eastAsia="monospace" w:cs="monospace"/>
    </w:rPr>
  </w:style>
  <w:style w:type="paragraph" w:customStyle="1" w:styleId="10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09">
    <w:name w:val="Char Char"/>
    <w:qFormat/>
    <w:uiPriority w:val="0"/>
    <w:rPr>
      <w:rFonts w:ascii="Arial" w:hAnsi="Arial" w:eastAsia="黑体"/>
      <w:b/>
      <w:bCs/>
      <w:kern w:val="2"/>
      <w:sz w:val="32"/>
      <w:szCs w:val="32"/>
      <w:lang w:val="en-US" w:eastAsia="zh-CN" w:bidi="ar-SA"/>
    </w:rPr>
  </w:style>
  <w:style w:type="character" w:customStyle="1" w:styleId="110">
    <w:name w:val="标题 Char"/>
    <w:link w:val="84"/>
    <w:qFormat/>
    <w:uiPriority w:val="0"/>
    <w:rPr>
      <w:rFonts w:ascii="Cambria" w:hAnsi="Cambria" w:cs="Times New Roman"/>
      <w:b/>
      <w:bCs/>
      <w:kern w:val="2"/>
      <w:sz w:val="32"/>
      <w:szCs w:val="32"/>
    </w:rPr>
  </w:style>
  <w:style w:type="character" w:customStyle="1" w:styleId="111">
    <w:name w:val="称呼 Char1"/>
    <w:semiHidden/>
    <w:qFormat/>
    <w:uiPriority w:val="99"/>
    <w:rPr>
      <w:kern w:val="2"/>
      <w:sz w:val="21"/>
      <w:szCs w:val="24"/>
    </w:rPr>
  </w:style>
  <w:style w:type="character" w:customStyle="1" w:styleId="112">
    <w:name w:val="纯文本 Char"/>
    <w:semiHidden/>
    <w:qFormat/>
    <w:uiPriority w:val="99"/>
    <w:rPr>
      <w:rFonts w:ascii="宋体" w:hAnsi="Courier New" w:cs="Courier New"/>
      <w:kern w:val="2"/>
      <w:sz w:val="21"/>
      <w:szCs w:val="21"/>
    </w:rPr>
  </w:style>
  <w:style w:type="character" w:customStyle="1" w:styleId="113">
    <w:name w:val="页脚 Char"/>
    <w:link w:val="55"/>
    <w:qFormat/>
    <w:uiPriority w:val="0"/>
    <w:rPr>
      <w:kern w:val="2"/>
      <w:sz w:val="18"/>
      <w:szCs w:val="18"/>
    </w:rPr>
  </w:style>
  <w:style w:type="character" w:customStyle="1" w:styleId="114">
    <w:name w:val="标题 1 Char"/>
    <w:link w:val="4"/>
    <w:qFormat/>
    <w:uiPriority w:val="0"/>
    <w:rPr>
      <w:rFonts w:eastAsia="宋体"/>
      <w:b/>
      <w:bCs/>
      <w:kern w:val="44"/>
      <w:sz w:val="44"/>
      <w:szCs w:val="44"/>
      <w:lang w:val="en-US" w:eastAsia="zh-CN" w:bidi="ar-SA"/>
    </w:rPr>
  </w:style>
  <w:style w:type="character" w:customStyle="1" w:styleId="115">
    <w:name w:val="标题 4 Char"/>
    <w:link w:val="6"/>
    <w:qFormat/>
    <w:uiPriority w:val="0"/>
    <w:rPr>
      <w:rFonts w:ascii="Cambria" w:hAnsi="Cambria" w:eastAsia="宋体" w:cs="Times New Roman"/>
      <w:b/>
      <w:bCs/>
      <w:kern w:val="2"/>
      <w:sz w:val="28"/>
      <w:szCs w:val="28"/>
    </w:rPr>
  </w:style>
  <w:style w:type="character" w:customStyle="1" w:styleId="116">
    <w:name w:val="称呼 Char"/>
    <w:link w:val="30"/>
    <w:qFormat/>
    <w:uiPriority w:val="0"/>
    <w:rPr>
      <w:kern w:val="2"/>
      <w:sz w:val="28"/>
      <w:szCs w:val="28"/>
    </w:rPr>
  </w:style>
  <w:style w:type="character" w:customStyle="1" w:styleId="117">
    <w:name w:val="正文文本缩进 Char"/>
    <w:link w:val="35"/>
    <w:qFormat/>
    <w:uiPriority w:val="0"/>
    <w:rPr>
      <w:kern w:val="2"/>
      <w:sz w:val="21"/>
      <w:szCs w:val="24"/>
    </w:rPr>
  </w:style>
  <w:style w:type="character" w:customStyle="1" w:styleId="118">
    <w:name w:val="标题 Char1"/>
    <w:qFormat/>
    <w:uiPriority w:val="10"/>
    <w:rPr>
      <w:rFonts w:ascii="Cambria" w:hAnsi="Cambria" w:eastAsia="宋体" w:cs="Times New Roman"/>
      <w:b/>
      <w:bCs/>
      <w:sz w:val="32"/>
      <w:szCs w:val="32"/>
    </w:rPr>
  </w:style>
  <w:style w:type="character" w:customStyle="1" w:styleId="119">
    <w:name w:val="正文文本 3 Char1"/>
    <w:link w:val="31"/>
    <w:semiHidden/>
    <w:qFormat/>
    <w:uiPriority w:val="99"/>
    <w:rPr>
      <w:kern w:val="2"/>
      <w:sz w:val="16"/>
      <w:szCs w:val="16"/>
    </w:rPr>
  </w:style>
  <w:style w:type="character" w:customStyle="1" w:styleId="120">
    <w:name w:val="副标题 Char"/>
    <w:link w:val="64"/>
    <w:qFormat/>
    <w:uiPriority w:val="0"/>
    <w:rPr>
      <w:rFonts w:ascii="Cambria" w:hAnsi="Cambria" w:cs="Times New Roman"/>
      <w:b/>
      <w:bCs/>
      <w:kern w:val="28"/>
      <w:sz w:val="32"/>
      <w:szCs w:val="32"/>
    </w:rPr>
  </w:style>
  <w:style w:type="character" w:customStyle="1" w:styleId="121">
    <w:name w:val="纯文本 Char1"/>
    <w:link w:val="45"/>
    <w:qFormat/>
    <w:uiPriority w:val="0"/>
    <w:rPr>
      <w:rFonts w:ascii="宋体" w:hAnsi="Courier New"/>
      <w:kern w:val="2"/>
      <w:sz w:val="21"/>
    </w:rPr>
  </w:style>
  <w:style w:type="character" w:customStyle="1" w:styleId="122">
    <w:name w:val="脚注文本 Char1"/>
    <w:semiHidden/>
    <w:qFormat/>
    <w:uiPriority w:val="99"/>
    <w:rPr>
      <w:kern w:val="2"/>
      <w:sz w:val="18"/>
      <w:szCs w:val="18"/>
    </w:rPr>
  </w:style>
  <w:style w:type="character" w:customStyle="1" w:styleId="123">
    <w:name w:val="正文文本缩进 2 Char"/>
    <w:link w:val="51"/>
    <w:qFormat/>
    <w:uiPriority w:val="99"/>
    <w:rPr>
      <w:kern w:val="2"/>
      <w:sz w:val="21"/>
      <w:szCs w:val="24"/>
    </w:rPr>
  </w:style>
  <w:style w:type="character" w:customStyle="1" w:styleId="124">
    <w:name w:val="尾注文本 Char"/>
    <w:link w:val="52"/>
    <w:semiHidden/>
    <w:qFormat/>
    <w:uiPriority w:val="99"/>
    <w:rPr>
      <w:kern w:val="2"/>
      <w:sz w:val="21"/>
      <w:szCs w:val="24"/>
    </w:rPr>
  </w:style>
  <w:style w:type="character" w:customStyle="1" w:styleId="125">
    <w:name w:val="serious1"/>
    <w:basedOn w:val="91"/>
    <w:qFormat/>
    <w:uiPriority w:val="0"/>
  </w:style>
  <w:style w:type="character" w:customStyle="1" w:styleId="126">
    <w:name w:val="批注框文本 Char"/>
    <w:link w:val="54"/>
    <w:semiHidden/>
    <w:qFormat/>
    <w:uiPriority w:val="99"/>
    <w:rPr>
      <w:kern w:val="2"/>
      <w:sz w:val="18"/>
      <w:szCs w:val="18"/>
    </w:rPr>
  </w:style>
  <w:style w:type="character" w:customStyle="1" w:styleId="127">
    <w:name w:val="正文文本缩进 3 Char"/>
    <w:link w:val="70"/>
    <w:qFormat/>
    <w:uiPriority w:val="0"/>
    <w:rPr>
      <w:kern w:val="2"/>
      <w:sz w:val="16"/>
      <w:szCs w:val="16"/>
    </w:rPr>
  </w:style>
  <w:style w:type="character" w:customStyle="1" w:styleId="128">
    <w:name w:val="正文文本 3 Char"/>
    <w:qFormat/>
    <w:uiPriority w:val="0"/>
    <w:rPr>
      <w:rFonts w:ascii="宋体" w:hAnsi="Times New Roman"/>
      <w:kern w:val="2"/>
      <w:sz w:val="24"/>
    </w:rPr>
  </w:style>
  <w:style w:type="character" w:customStyle="1" w:styleId="129">
    <w:name w:val="脚注文本 Char"/>
    <w:link w:val="67"/>
    <w:qFormat/>
    <w:uiPriority w:val="0"/>
    <w:rPr>
      <w:sz w:val="18"/>
    </w:rPr>
  </w:style>
  <w:style w:type="paragraph" w:customStyle="1" w:styleId="130">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31">
    <w:name w:val="目录 41"/>
    <w:basedOn w:val="1"/>
    <w:next w:val="1"/>
    <w:unhideWhenUsed/>
    <w:qFormat/>
    <w:uiPriority w:val="0"/>
    <w:pPr>
      <w:ind w:left="1260" w:leftChars="600"/>
    </w:pPr>
  </w:style>
  <w:style w:type="paragraph" w:customStyle="1" w:styleId="132">
    <w:name w:val="目录 31"/>
    <w:basedOn w:val="1"/>
    <w:next w:val="1"/>
    <w:qFormat/>
    <w:uiPriority w:val="0"/>
    <w:pPr>
      <w:ind w:left="840" w:leftChars="400"/>
    </w:pPr>
  </w:style>
  <w:style w:type="paragraph" w:customStyle="1" w:styleId="133">
    <w:name w:val="目录 11"/>
    <w:basedOn w:val="1"/>
    <w:next w:val="1"/>
    <w:qFormat/>
    <w:uiPriority w:val="0"/>
  </w:style>
  <w:style w:type="paragraph" w:customStyle="1" w:styleId="134">
    <w:name w:val="目录 21"/>
    <w:basedOn w:val="1"/>
    <w:next w:val="1"/>
    <w:qFormat/>
    <w:uiPriority w:val="0"/>
    <w:pPr>
      <w:ind w:left="420" w:leftChars="200"/>
    </w:pPr>
  </w:style>
  <w:style w:type="paragraph" w:customStyle="1" w:styleId="135">
    <w:name w:val="标准"/>
    <w:basedOn w:val="1"/>
    <w:qFormat/>
    <w:uiPriority w:val="0"/>
    <w:pPr>
      <w:widowControl/>
      <w:autoSpaceDE w:val="0"/>
      <w:autoSpaceDN w:val="0"/>
      <w:adjustRightInd w:val="0"/>
      <w:spacing w:line="315" w:lineRule="atLeast"/>
      <w:textAlignment w:val="bottom"/>
    </w:pPr>
    <w:rPr>
      <w:rFonts w:ascii="宋体"/>
      <w:kern w:val="0"/>
      <w:sz w:val="28"/>
      <w:szCs w:val="20"/>
    </w:rPr>
  </w:style>
  <w:style w:type="paragraph" w:customStyle="1" w:styleId="136">
    <w:name w:val="Char Char Char Char Char Char Char Char Char Char Char Char Char Char Char Char Char Char Char Char Char Char"/>
    <w:basedOn w:val="1"/>
    <w:qFormat/>
    <w:uiPriority w:val="0"/>
    <w:pPr>
      <w:widowControl/>
      <w:spacing w:line="400" w:lineRule="exact"/>
      <w:jc w:val="center"/>
    </w:pPr>
    <w:rPr>
      <w:szCs w:val="20"/>
    </w:rPr>
  </w:style>
  <w:style w:type="paragraph" w:customStyle="1" w:styleId="137">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38">
    <w:name w:val="1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39">
    <w:name w:val="样式 标题 2 + Times New Roman 四号 非加粗 段前: 5 磅 段后: 0 磅 行距: 固定值 20..."/>
    <w:basedOn w:val="2"/>
    <w:link w:val="251"/>
    <w:qFormat/>
    <w:uiPriority w:val="0"/>
    <w:pPr>
      <w:spacing w:before="100" w:after="0" w:line="400" w:lineRule="exact"/>
    </w:pPr>
    <w:rPr>
      <w:rFonts w:ascii="Times New Roman" w:hAnsi="Times New Roman" w:cs="宋体"/>
      <w:b w:val="0"/>
      <w:bCs w:val="0"/>
      <w:sz w:val="28"/>
      <w:szCs w:val="20"/>
    </w:rPr>
  </w:style>
  <w:style w:type="paragraph" w:customStyle="1" w:styleId="140">
    <w:name w:val="1 Char Char Char Char Char Char Char Char Char1 Char Char Char Char"/>
    <w:basedOn w:val="1"/>
    <w:qFormat/>
    <w:uiPriority w:val="0"/>
    <w:pPr>
      <w:widowControl/>
      <w:spacing w:line="400" w:lineRule="exact"/>
      <w:jc w:val="center"/>
    </w:pPr>
    <w:rPr>
      <w:rFonts w:ascii="Verdana" w:hAnsi="Verdana"/>
      <w:kern w:val="0"/>
      <w:szCs w:val="20"/>
      <w:lang w:eastAsia="en-US"/>
    </w:rPr>
  </w:style>
  <w:style w:type="character" w:customStyle="1" w:styleId="141">
    <w:name w:val="文档结构图 Char"/>
    <w:link w:val="26"/>
    <w:qFormat/>
    <w:uiPriority w:val="0"/>
    <w:rPr>
      <w:kern w:val="2"/>
      <w:sz w:val="21"/>
      <w:szCs w:val="24"/>
      <w:shd w:val="clear" w:color="auto" w:fill="000080"/>
    </w:rPr>
  </w:style>
  <w:style w:type="character" w:customStyle="1" w:styleId="142">
    <w:name w:val="批注文字 Char"/>
    <w:link w:val="28"/>
    <w:qFormat/>
    <w:uiPriority w:val="0"/>
    <w:rPr>
      <w:kern w:val="2"/>
      <w:sz w:val="21"/>
      <w:szCs w:val="24"/>
    </w:rPr>
  </w:style>
  <w:style w:type="character" w:customStyle="1" w:styleId="143">
    <w:name w:val="批注文字 Char1"/>
    <w:basedOn w:val="91"/>
    <w:semiHidden/>
    <w:qFormat/>
    <w:uiPriority w:val="99"/>
    <w:rPr>
      <w:kern w:val="2"/>
      <w:sz w:val="21"/>
      <w:szCs w:val="24"/>
    </w:rPr>
  </w:style>
  <w:style w:type="paragraph" w:customStyle="1" w:styleId="144">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5">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character" w:customStyle="1" w:styleId="14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147">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148">
    <w:name w:val="正文首行缩进 2 Char"/>
    <w:basedOn w:val="117"/>
    <w:link w:val="87"/>
    <w:semiHidden/>
    <w:qFormat/>
    <w:uiPriority w:val="99"/>
    <w:rPr>
      <w:rFonts w:ascii="Calibri" w:hAnsi="Calibri"/>
      <w:kern w:val="2"/>
      <w:sz w:val="21"/>
      <w:szCs w:val="24"/>
    </w:rPr>
  </w:style>
  <w:style w:type="character" w:customStyle="1" w:styleId="149">
    <w:name w:val="批注主题 Char"/>
    <w:basedOn w:val="142"/>
    <w:link w:val="85"/>
    <w:semiHidden/>
    <w:qFormat/>
    <w:uiPriority w:val="99"/>
    <w:rPr>
      <w:rFonts w:ascii="Calibri" w:hAnsi="Calibri"/>
      <w:b/>
      <w:bCs/>
      <w:kern w:val="2"/>
      <w:sz w:val="21"/>
      <w:szCs w:val="24"/>
    </w:rPr>
  </w:style>
  <w:style w:type="paragraph" w:customStyle="1" w:styleId="150">
    <w:name w:val="修订1"/>
    <w:hidden/>
    <w:semiHidden/>
    <w:qFormat/>
    <w:uiPriority w:val="99"/>
    <w:rPr>
      <w:rFonts w:ascii="Calibri" w:hAnsi="Calibri" w:eastAsia="宋体" w:cs="Times New Roman"/>
      <w:kern w:val="2"/>
      <w:sz w:val="21"/>
      <w:szCs w:val="24"/>
      <w:lang w:val="en-US" w:eastAsia="zh-CN" w:bidi="ar-SA"/>
    </w:rPr>
  </w:style>
  <w:style w:type="paragraph" w:customStyle="1" w:styleId="151">
    <w:name w:val="Table Paragraph"/>
    <w:basedOn w:val="1"/>
    <w:qFormat/>
    <w:uiPriority w:val="0"/>
    <w:pPr>
      <w:jc w:val="left"/>
    </w:pPr>
    <w:rPr>
      <w:rFonts w:cs="Calibri"/>
      <w:kern w:val="0"/>
      <w:sz w:val="22"/>
      <w:szCs w:val="22"/>
      <w:lang w:eastAsia="en-US"/>
    </w:rPr>
  </w:style>
  <w:style w:type="character" w:customStyle="1" w:styleId="152">
    <w:name w:val="正文文本 2 Char"/>
    <w:basedOn w:val="91"/>
    <w:link w:val="76"/>
    <w:semiHidden/>
    <w:qFormat/>
    <w:uiPriority w:val="99"/>
    <w:rPr>
      <w:rFonts w:ascii="Calibri" w:hAnsi="Calibri"/>
      <w:kern w:val="2"/>
      <w:sz w:val="21"/>
      <w:szCs w:val="24"/>
    </w:rPr>
  </w:style>
  <w:style w:type="character" w:customStyle="1" w:styleId="153">
    <w:name w:val="标题 5 Char"/>
    <w:basedOn w:val="91"/>
    <w:link w:val="7"/>
    <w:qFormat/>
    <w:uiPriority w:val="0"/>
    <w:rPr>
      <w:rFonts w:eastAsia="黑体"/>
      <w:bCs/>
      <w:color w:val="000000"/>
      <w:sz w:val="30"/>
      <w:szCs w:val="28"/>
      <w:u w:color="000000"/>
    </w:rPr>
  </w:style>
  <w:style w:type="character" w:customStyle="1" w:styleId="154">
    <w:name w:val="标题 6 Char"/>
    <w:basedOn w:val="91"/>
    <w:link w:val="8"/>
    <w:qFormat/>
    <w:uiPriority w:val="0"/>
    <w:rPr>
      <w:rFonts w:ascii="Arial" w:hAnsi="Arial" w:eastAsia="黑体"/>
      <w:b/>
      <w:bCs/>
      <w:kern w:val="2"/>
      <w:sz w:val="24"/>
      <w:szCs w:val="24"/>
    </w:rPr>
  </w:style>
  <w:style w:type="character" w:customStyle="1" w:styleId="155">
    <w:name w:val="标题 7 Char"/>
    <w:basedOn w:val="91"/>
    <w:link w:val="9"/>
    <w:qFormat/>
    <w:uiPriority w:val="0"/>
    <w:rPr>
      <w:b/>
      <w:bCs/>
      <w:color w:val="000000"/>
      <w:sz w:val="21"/>
      <w:u w:color="000000"/>
    </w:rPr>
  </w:style>
  <w:style w:type="character" w:customStyle="1" w:styleId="156">
    <w:name w:val="标题 8 Char"/>
    <w:basedOn w:val="91"/>
    <w:link w:val="10"/>
    <w:qFormat/>
    <w:uiPriority w:val="0"/>
    <w:rPr>
      <w:rFonts w:ascii="Arial" w:hAnsi="Arial" w:eastAsia="黑体"/>
      <w:color w:val="000000"/>
      <w:sz w:val="21"/>
      <w:u w:color="000000"/>
    </w:rPr>
  </w:style>
  <w:style w:type="character" w:customStyle="1" w:styleId="157">
    <w:name w:val="标题 9 Char"/>
    <w:basedOn w:val="91"/>
    <w:link w:val="11"/>
    <w:qFormat/>
    <w:uiPriority w:val="0"/>
    <w:rPr>
      <w:rFonts w:ascii="Arial" w:hAnsi="Arial" w:eastAsia="黑体"/>
      <w:color w:val="000000"/>
      <w:sz w:val="21"/>
      <w:szCs w:val="21"/>
      <w:u w:color="000000"/>
    </w:rPr>
  </w:style>
  <w:style w:type="character" w:customStyle="1" w:styleId="158">
    <w:name w:val="表标题 Char"/>
    <w:qFormat/>
    <w:uiPriority w:val="0"/>
    <w:rPr>
      <w:rFonts w:ascii="宋体" w:hAnsi="宋体" w:eastAsia="宋体" w:cs="Times New Roman"/>
      <w:sz w:val="24"/>
      <w:lang w:val="en-US" w:eastAsia="zh-CN"/>
    </w:rPr>
  </w:style>
  <w:style w:type="character" w:customStyle="1" w:styleId="159">
    <w:name w:val="普通文字1 Char"/>
    <w:link w:val="160"/>
    <w:qFormat/>
    <w:uiPriority w:val="0"/>
    <w:rPr>
      <w:rFonts w:ascii="宋体"/>
      <w:color w:val="000000"/>
      <w:sz w:val="24"/>
      <w:u w:color="000000"/>
    </w:rPr>
  </w:style>
  <w:style w:type="paragraph" w:customStyle="1" w:styleId="160">
    <w:name w:val="普通文字1"/>
    <w:basedOn w:val="1"/>
    <w:link w:val="159"/>
    <w:qFormat/>
    <w:uiPriority w:val="0"/>
    <w:pPr>
      <w:widowControl/>
      <w:spacing w:line="351" w:lineRule="atLeast"/>
      <w:ind w:firstLine="504"/>
      <w:jc w:val="left"/>
      <w:textAlignment w:val="baseline"/>
    </w:pPr>
    <w:rPr>
      <w:rFonts w:ascii="宋体" w:hAnsi="Times New Roman"/>
      <w:color w:val="000000"/>
      <w:kern w:val="0"/>
      <w:sz w:val="24"/>
      <w:szCs w:val="20"/>
      <w:u w:color="000000"/>
    </w:rPr>
  </w:style>
  <w:style w:type="character" w:customStyle="1" w:styleId="161">
    <w:name w:val="样式26 Char Char"/>
    <w:qFormat/>
    <w:uiPriority w:val="0"/>
    <w:rPr>
      <w:rFonts w:ascii="Times New Roman" w:hAnsi="Times New Roman" w:eastAsia="宋体" w:cs="Times New Roman"/>
      <w:spacing w:val="26"/>
      <w:sz w:val="32"/>
      <w:u w:color="000000"/>
      <w:lang w:val="en-US" w:eastAsia="zh-CN"/>
    </w:rPr>
  </w:style>
  <w:style w:type="character" w:customStyle="1" w:styleId="162">
    <w:name w:val="(a)123 Char"/>
    <w:link w:val="163"/>
    <w:qFormat/>
    <w:uiPriority w:val="0"/>
    <w:rPr>
      <w:color w:val="000000"/>
      <w:spacing w:val="11"/>
      <w:sz w:val="28"/>
      <w:u w:color="000000"/>
    </w:rPr>
  </w:style>
  <w:style w:type="paragraph" w:customStyle="1" w:styleId="163">
    <w:name w:val="(a)123"/>
    <w:basedOn w:val="1"/>
    <w:link w:val="162"/>
    <w:qFormat/>
    <w:uiPriority w:val="0"/>
    <w:pPr>
      <w:widowControl/>
      <w:spacing w:line="351" w:lineRule="atLeast"/>
      <w:ind w:firstLine="623"/>
      <w:jc w:val="left"/>
      <w:textAlignment w:val="baseline"/>
    </w:pPr>
    <w:rPr>
      <w:rFonts w:ascii="Times New Roman" w:hAnsi="Times New Roman"/>
      <w:color w:val="000000"/>
      <w:spacing w:val="11"/>
      <w:kern w:val="0"/>
      <w:sz w:val="28"/>
      <w:szCs w:val="20"/>
      <w:u w:color="000000"/>
    </w:rPr>
  </w:style>
  <w:style w:type="character" w:customStyle="1" w:styleId="164">
    <w:name w:val="样式 样式5 + 宋体 Char"/>
    <w:qFormat/>
    <w:uiPriority w:val="0"/>
    <w:rPr>
      <w:rFonts w:ascii="宋体" w:hAnsi="宋体" w:eastAsia="方正书宋" w:cs="Times New Roman"/>
      <w:b/>
      <w:sz w:val="28"/>
      <w:szCs w:val="10"/>
      <w:lang w:val="en-US" w:eastAsia="zh-CN" w:bidi="ar-SA"/>
    </w:rPr>
  </w:style>
  <w:style w:type="character" w:customStyle="1" w:styleId="165">
    <w:name w:val="language2"/>
    <w:qFormat/>
    <w:uiPriority w:val="0"/>
    <w:rPr>
      <w:rFonts w:ascii="Times New Roman" w:hAnsi="Times New Roman" w:eastAsia="宋体" w:cs="Times New Roman"/>
    </w:rPr>
  </w:style>
  <w:style w:type="character" w:customStyle="1" w:styleId="166">
    <w:name w:val="样式11 Char"/>
    <w:qFormat/>
    <w:uiPriority w:val="0"/>
    <w:rPr>
      <w:rFonts w:ascii="Times New Roman" w:hAnsi="Times New Roman" w:eastAsia="宋体" w:cs="Times New Roman"/>
      <w:color w:val="000000"/>
      <w:sz w:val="28"/>
      <w:u w:color="000000"/>
      <w:lang w:val="en-US" w:eastAsia="zh-CN" w:bidi="ar-SA"/>
    </w:rPr>
  </w:style>
  <w:style w:type="character" w:customStyle="1" w:styleId="167">
    <w:name w:val="样式 样式 样式 样式5 + 宋体 + 小四 + 段前: 0 磅 段后: 0 磅 Char Char"/>
    <w:qFormat/>
    <w:uiPriority w:val="0"/>
    <w:rPr>
      <w:rFonts w:ascii="Times New Roman" w:hAnsi="Times New Roman" w:eastAsia="宋体" w:cs="Times New Roman"/>
      <w:b/>
      <w:sz w:val="24"/>
      <w:lang w:val="en-US" w:eastAsia="zh-CN"/>
    </w:rPr>
  </w:style>
  <w:style w:type="character" w:customStyle="1" w:styleId="168">
    <w:name w:val="表名[BM] Char"/>
    <w:qFormat/>
    <w:uiPriority w:val="0"/>
    <w:rPr>
      <w:rFonts w:ascii="Times New Roman" w:hAnsi="Times New Roman" w:eastAsia="黑体" w:cs="Times New Roman"/>
      <w:snapToGrid w:val="0"/>
      <w:color w:val="000000"/>
      <w:sz w:val="24"/>
      <w:szCs w:val="24"/>
      <w:lang w:val="en-US" w:eastAsia="zh-CN" w:bidi="ar-SA"/>
    </w:rPr>
  </w:style>
  <w:style w:type="character" w:customStyle="1" w:styleId="169">
    <w:name w:val="日期 Char"/>
    <w:link w:val="50"/>
    <w:qFormat/>
    <w:uiPriority w:val="99"/>
    <w:rPr>
      <w:rFonts w:ascii="Calibri" w:hAnsi="Calibri"/>
      <w:kern w:val="2"/>
      <w:sz w:val="21"/>
    </w:rPr>
  </w:style>
  <w:style w:type="character" w:customStyle="1" w:styleId="170">
    <w:name w:val="apple-style-span"/>
    <w:qFormat/>
    <w:uiPriority w:val="0"/>
    <w:rPr>
      <w:rFonts w:ascii="Times New Roman" w:hAnsi="Times New Roman" w:eastAsia="宋体" w:cs="Times New Roman"/>
    </w:rPr>
  </w:style>
  <w:style w:type="character" w:customStyle="1" w:styleId="171">
    <w:name w:val="样式9 Char"/>
    <w:qFormat/>
    <w:uiPriority w:val="0"/>
    <w:rPr>
      <w:rFonts w:ascii="Times New Roman" w:hAnsi="Times New Roman" w:eastAsia="宋体" w:cs="Times New Roman"/>
      <w:b/>
      <w:kern w:val="28"/>
      <w:sz w:val="24"/>
      <w:lang w:val="en-US" w:eastAsia="zh-CN"/>
    </w:rPr>
  </w:style>
  <w:style w:type="character" w:customStyle="1" w:styleId="172">
    <w:name w:val="文字 Char Char"/>
    <w:qFormat/>
    <w:uiPriority w:val="0"/>
    <w:rPr>
      <w:rFonts w:ascii="Times New Roman" w:hAnsi="Times New Roman" w:eastAsia="宋体" w:cs="Times New Roman"/>
      <w:kern w:val="2"/>
      <w:sz w:val="24"/>
      <w:lang w:val="en-US" w:eastAsia="zh-CN"/>
    </w:rPr>
  </w:style>
  <w:style w:type="character" w:customStyle="1" w:styleId="173">
    <w:name w:val="标题 3 Char"/>
    <w:qFormat/>
    <w:uiPriority w:val="0"/>
    <w:rPr>
      <w:rFonts w:ascii="Times New Roman" w:hAnsi="Times New Roman" w:eastAsia="宋体" w:cs="Times New Roman"/>
      <w:b/>
      <w:bCs/>
      <w:kern w:val="2"/>
      <w:sz w:val="32"/>
      <w:szCs w:val="32"/>
      <w:lang w:val="en-US" w:eastAsia="zh-CN" w:bidi="ar-SA"/>
    </w:rPr>
  </w:style>
  <w:style w:type="character" w:customStyle="1" w:styleId="174">
    <w:name w:val="正文文本 Char"/>
    <w:qFormat/>
    <w:uiPriority w:val="0"/>
    <w:rPr>
      <w:rFonts w:ascii="Times New Roman" w:hAnsi="Times New Roman" w:eastAsia="宋体" w:cs="Times New Roman"/>
      <w:kern w:val="2"/>
      <w:sz w:val="21"/>
      <w:szCs w:val="24"/>
      <w:lang w:val="en-US" w:eastAsia="zh-CN" w:bidi="ar-SA"/>
    </w:rPr>
  </w:style>
  <w:style w:type="character" w:customStyle="1" w:styleId="175">
    <w:name w:val="正文小4 Char Char"/>
    <w:qFormat/>
    <w:uiPriority w:val="0"/>
    <w:rPr>
      <w:rFonts w:ascii="宋体" w:hAnsi="宋体" w:eastAsia="宋体" w:cs="Times New Roman"/>
      <w:spacing w:val="22"/>
      <w:kern w:val="24"/>
      <w:sz w:val="24"/>
      <w:lang w:val="en-US" w:eastAsia="zh-CN"/>
    </w:rPr>
  </w:style>
  <w:style w:type="character" w:customStyle="1" w:styleId="176">
    <w:name w:val="超级链接"/>
    <w:qFormat/>
    <w:uiPriority w:val="0"/>
    <w:rPr>
      <w:rFonts w:ascii="Times New Roman" w:hAnsi="Times New Roman" w:eastAsia="宋体" w:cs="Times New Roman"/>
      <w:color w:val="0000FF"/>
      <w:spacing w:val="0"/>
      <w:w w:val="100"/>
      <w:sz w:val="21"/>
      <w:u w:val="single" w:color="0000FF"/>
      <w:vertAlign w:val="baseline"/>
      <w:lang w:val="en-US" w:eastAsia="zh-CN"/>
    </w:rPr>
  </w:style>
  <w:style w:type="character" w:customStyle="1" w:styleId="177">
    <w:name w:val="链接"/>
    <w:qFormat/>
    <w:uiPriority w:val="0"/>
    <w:rPr>
      <w:rFonts w:ascii="Times New Roman" w:hAnsi="Times New Roman" w:eastAsia="宋体" w:cs="Times New Roman"/>
      <w:color w:val="0000FF"/>
      <w:sz w:val="21"/>
      <w:u w:val="single" w:color="0000FF"/>
      <w:vertAlign w:val="baseline"/>
      <w:lang w:val="en-US" w:eastAsia="zh-CN"/>
    </w:rPr>
  </w:style>
  <w:style w:type="character" w:customStyle="1" w:styleId="178">
    <w:name w:val="样式 正文小四 + Char Char"/>
    <w:qFormat/>
    <w:uiPriority w:val="0"/>
    <w:rPr>
      <w:rFonts w:ascii="宋体" w:hAnsi="宋体" w:eastAsia="宋体" w:cs="宋体"/>
      <w:sz w:val="24"/>
      <w:u w:color="000000"/>
      <w:lang w:val="en-US" w:eastAsia="zh-CN" w:bidi="ar-SA"/>
    </w:rPr>
  </w:style>
  <w:style w:type="character" w:customStyle="1" w:styleId="179">
    <w:name w:val="普通文字1234 Char"/>
    <w:link w:val="180"/>
    <w:qFormat/>
    <w:uiPriority w:val="0"/>
    <w:rPr>
      <w:rFonts w:ascii="宋体"/>
      <w:color w:val="000000"/>
      <w:spacing w:val="11"/>
      <w:sz w:val="24"/>
      <w:u w:color="000000"/>
    </w:rPr>
  </w:style>
  <w:style w:type="paragraph" w:customStyle="1" w:styleId="180">
    <w:name w:val="普通文字1234"/>
    <w:basedOn w:val="1"/>
    <w:link w:val="179"/>
    <w:qFormat/>
    <w:uiPriority w:val="0"/>
    <w:pPr>
      <w:widowControl/>
      <w:spacing w:line="351" w:lineRule="atLeast"/>
      <w:ind w:firstLine="504"/>
      <w:jc w:val="left"/>
      <w:textAlignment w:val="baseline"/>
    </w:pPr>
    <w:rPr>
      <w:rFonts w:ascii="宋体" w:hAnsi="Times New Roman"/>
      <w:color w:val="000000"/>
      <w:spacing w:val="11"/>
      <w:kern w:val="0"/>
      <w:sz w:val="24"/>
      <w:szCs w:val="20"/>
      <w:u w:color="000000"/>
    </w:rPr>
  </w:style>
  <w:style w:type="character" w:customStyle="1" w:styleId="181">
    <w:name w:val="b2 Char1"/>
    <w:qFormat/>
    <w:uiPriority w:val="0"/>
    <w:rPr>
      <w:rFonts w:ascii="Arial" w:hAnsi="Arial" w:eastAsia="黑体" w:cs="Times New Roman"/>
      <w:b/>
      <w:bCs/>
      <w:kern w:val="2"/>
      <w:sz w:val="32"/>
      <w:szCs w:val="32"/>
      <w:lang w:val="en-US" w:eastAsia="zh-CN" w:bidi="ar-SA"/>
    </w:rPr>
  </w:style>
  <w:style w:type="character" w:customStyle="1" w:styleId="182">
    <w:name w:val="1.1.1.1 Char Char"/>
    <w:link w:val="183"/>
    <w:qFormat/>
    <w:uiPriority w:val="0"/>
    <w:rPr>
      <w:rFonts w:ascii="Calibri Light" w:hAnsi="Calibri Light"/>
      <w:bCs/>
      <w:kern w:val="2"/>
      <w:sz w:val="24"/>
      <w:szCs w:val="28"/>
    </w:rPr>
  </w:style>
  <w:style w:type="paragraph" w:customStyle="1" w:styleId="183">
    <w:name w:val="1.1.1.1"/>
    <w:basedOn w:val="6"/>
    <w:next w:val="1"/>
    <w:link w:val="182"/>
    <w:qFormat/>
    <w:uiPriority w:val="0"/>
    <w:pPr>
      <w:keepNext w:val="0"/>
      <w:widowControl/>
      <w:tabs>
        <w:tab w:val="left" w:pos="0"/>
        <w:tab w:val="left" w:pos="284"/>
      </w:tabs>
      <w:wordWrap w:val="0"/>
      <w:snapToGrid w:val="0"/>
      <w:spacing w:before="0" w:after="0" w:line="240" w:lineRule="auto"/>
      <w:jc w:val="left"/>
    </w:pPr>
    <w:rPr>
      <w:rFonts w:ascii="Calibri Light" w:hAnsi="Calibri Light"/>
      <w:b w:val="0"/>
      <w:sz w:val="24"/>
    </w:rPr>
  </w:style>
  <w:style w:type="character" w:customStyle="1" w:styleId="184">
    <w:name w:val="正文小四 Char"/>
    <w:qFormat/>
    <w:uiPriority w:val="0"/>
    <w:rPr>
      <w:rFonts w:ascii="宋体" w:hAnsi="宋体" w:eastAsia="宋体" w:cs="宋体"/>
      <w:sz w:val="24"/>
      <w:lang w:val="en-US" w:eastAsia="zh-CN" w:bidi="ar-SA"/>
    </w:rPr>
  </w:style>
  <w:style w:type="character" w:customStyle="1" w:styleId="185">
    <w:name w:val="moduletitle_menuitemsel"/>
    <w:qFormat/>
    <w:uiPriority w:val="0"/>
    <w:rPr>
      <w:rFonts w:ascii="Tahoma" w:hAnsi="Tahoma" w:eastAsia="Tahoma" w:cs="Tahoma"/>
      <w:b/>
      <w:color w:val="000000"/>
      <w:sz w:val="18"/>
      <w:szCs w:val="18"/>
    </w:rPr>
  </w:style>
  <w:style w:type="character" w:customStyle="1" w:styleId="186">
    <w:name w:val="bsharetext"/>
    <w:qFormat/>
    <w:uiPriority w:val="0"/>
    <w:rPr>
      <w:rFonts w:ascii="Times New Roman" w:hAnsi="Times New Roman" w:eastAsia="宋体" w:cs="Times New Roman"/>
    </w:rPr>
  </w:style>
  <w:style w:type="character" w:customStyle="1" w:styleId="187">
    <w:name w:val="样式 表标题 + 加粗 Char"/>
    <w:qFormat/>
    <w:uiPriority w:val="0"/>
    <w:rPr>
      <w:rFonts w:ascii="Times New Roman" w:hAnsi="Times New Roman" w:eastAsia="宋体" w:cs="Times New Roman"/>
      <w:sz w:val="24"/>
      <w:lang w:val="en-US" w:eastAsia="zh-CN"/>
    </w:rPr>
  </w:style>
  <w:style w:type="character" w:customStyle="1" w:styleId="188">
    <w:name w:val="图表内容 Char"/>
    <w:link w:val="189"/>
    <w:qFormat/>
    <w:uiPriority w:val="0"/>
    <w:rPr>
      <w:rFonts w:ascii="宋体" w:hAnsi="宋体"/>
      <w:kern w:val="2"/>
      <w:sz w:val="21"/>
      <w:szCs w:val="22"/>
    </w:rPr>
  </w:style>
  <w:style w:type="paragraph" w:customStyle="1" w:styleId="189">
    <w:name w:val="图表内容"/>
    <w:basedOn w:val="1"/>
    <w:next w:val="1"/>
    <w:link w:val="188"/>
    <w:qFormat/>
    <w:uiPriority w:val="0"/>
    <w:pPr>
      <w:widowControl/>
      <w:wordWrap w:val="0"/>
      <w:snapToGrid w:val="0"/>
      <w:jc w:val="center"/>
    </w:pPr>
    <w:rPr>
      <w:rFonts w:ascii="宋体" w:hAnsi="宋体"/>
      <w:szCs w:val="22"/>
    </w:rPr>
  </w:style>
  <w:style w:type="character" w:customStyle="1" w:styleId="190">
    <w:name w:val="已访问的超级链接"/>
    <w:qFormat/>
    <w:uiPriority w:val="0"/>
    <w:rPr>
      <w:rFonts w:ascii="Times New Roman" w:hAnsi="Times New Roman" w:eastAsia="宋体" w:cs="Times New Roman"/>
      <w:color w:val="800080"/>
      <w:spacing w:val="0"/>
      <w:w w:val="100"/>
      <w:sz w:val="21"/>
      <w:u w:val="single" w:color="800080"/>
      <w:vertAlign w:val="baseline"/>
      <w:lang w:val="en-US" w:eastAsia="zh-CN"/>
    </w:rPr>
  </w:style>
  <w:style w:type="character" w:customStyle="1" w:styleId="191">
    <w:name w:val="样式 小四 行距: 1.5 倍行距 Char Char"/>
    <w:qFormat/>
    <w:uiPriority w:val="0"/>
    <w:rPr>
      <w:rFonts w:ascii="Times New Roman" w:hAnsi="Times New Roman" w:eastAsia="宋体" w:cs="Times New Roman"/>
      <w:sz w:val="24"/>
      <w:lang w:val="en-US" w:eastAsia="zh-CN"/>
    </w:rPr>
  </w:style>
  <w:style w:type="character" w:customStyle="1" w:styleId="192">
    <w:name w:val="apple-converted-space"/>
    <w:qFormat/>
    <w:uiPriority w:val="0"/>
    <w:rPr>
      <w:rFonts w:ascii="Times New Roman" w:hAnsi="Times New Roman" w:eastAsia="宋体" w:cs="Times New Roman"/>
    </w:rPr>
  </w:style>
  <w:style w:type="character" w:customStyle="1" w:styleId="193">
    <w:name w:val="样式 标题 1 + 段前: 0.5 行 段后: 0.5 行 Char"/>
    <w:qFormat/>
    <w:uiPriority w:val="0"/>
    <w:rPr>
      <w:rFonts w:ascii="宋体" w:hAnsi="宋体" w:eastAsia="宋体" w:cs="Times New Roman"/>
      <w:b/>
      <w:snapToGrid w:val="0"/>
      <w:color w:val="000000"/>
      <w:kern w:val="2"/>
      <w:sz w:val="30"/>
      <w:u w:color="000000"/>
      <w:lang w:val="en-US" w:eastAsia="zh-CN"/>
    </w:rPr>
  </w:style>
  <w:style w:type="character" w:customStyle="1" w:styleId="194">
    <w:name w:val="索引 1 Char"/>
    <w:qFormat/>
    <w:uiPriority w:val="0"/>
    <w:rPr>
      <w:rFonts w:ascii="Times New Roman" w:hAnsi="Times New Roman" w:eastAsia="宋体" w:cs="Times New Roman"/>
      <w:kern w:val="2"/>
      <w:sz w:val="21"/>
      <w:lang w:val="en-US" w:eastAsia="zh-CN"/>
    </w:rPr>
  </w:style>
  <w:style w:type="character" w:customStyle="1" w:styleId="195">
    <w:name w:val="(a)1234 Char"/>
    <w:link w:val="196"/>
    <w:qFormat/>
    <w:uiPriority w:val="0"/>
    <w:rPr>
      <w:b/>
      <w:color w:val="000000"/>
      <w:sz w:val="24"/>
      <w:u w:color="000000"/>
    </w:rPr>
  </w:style>
  <w:style w:type="paragraph" w:customStyle="1" w:styleId="196">
    <w:name w:val="(a)1234"/>
    <w:basedOn w:val="1"/>
    <w:link w:val="195"/>
    <w:qFormat/>
    <w:uiPriority w:val="0"/>
    <w:pPr>
      <w:widowControl/>
      <w:spacing w:line="351" w:lineRule="atLeast"/>
      <w:ind w:firstLine="504"/>
      <w:jc w:val="left"/>
      <w:textAlignment w:val="baseline"/>
    </w:pPr>
    <w:rPr>
      <w:rFonts w:ascii="Times New Roman" w:hAnsi="Times New Roman"/>
      <w:b/>
      <w:color w:val="000000"/>
      <w:kern w:val="0"/>
      <w:sz w:val="24"/>
      <w:szCs w:val="20"/>
      <w:u w:color="000000"/>
    </w:rPr>
  </w:style>
  <w:style w:type="character" w:customStyle="1" w:styleId="197">
    <w:name w:val="样式 正文编号（1） +1 Char Char Char Char Char Char Char Char Char Char"/>
    <w:qFormat/>
    <w:uiPriority w:val="0"/>
    <w:rPr>
      <w:rFonts w:ascii="Times New Roman" w:hAnsi="Times New Roman" w:eastAsia="宋体" w:cs="Times New Roman"/>
      <w:color w:val="000000"/>
      <w:kern w:val="2"/>
      <w:sz w:val="28"/>
      <w:u w:color="000000"/>
      <w:lang w:val="en-US" w:eastAsia="zh-CN"/>
    </w:rPr>
  </w:style>
  <w:style w:type="character" w:customStyle="1" w:styleId="198">
    <w:name w:val="图1.1-1 Char"/>
    <w:link w:val="199"/>
    <w:qFormat/>
    <w:uiPriority w:val="0"/>
    <w:rPr>
      <w:rFonts w:ascii="Calibri Light" w:hAnsi="Calibri Light" w:eastAsia="Times New Roman"/>
      <w:bCs/>
      <w:kern w:val="2"/>
      <w:sz w:val="24"/>
      <w:szCs w:val="32"/>
      <w:lang w:val="en-US" w:eastAsia="zh-CN"/>
    </w:rPr>
  </w:style>
  <w:style w:type="paragraph" w:customStyle="1" w:styleId="199">
    <w:name w:val="图1.1-1"/>
    <w:basedOn w:val="1"/>
    <w:next w:val="1"/>
    <w:link w:val="198"/>
    <w:qFormat/>
    <w:uiPriority w:val="0"/>
    <w:pPr>
      <w:widowControl/>
      <w:tabs>
        <w:tab w:val="left" w:pos="0"/>
      </w:tabs>
      <w:wordWrap w:val="0"/>
      <w:snapToGrid w:val="0"/>
      <w:ind w:firstLine="200" w:firstLineChars="200"/>
      <w:jc w:val="center"/>
    </w:pPr>
    <w:rPr>
      <w:rFonts w:ascii="Calibri Light" w:hAnsi="Calibri Light" w:eastAsia="Times New Roman"/>
      <w:bCs/>
      <w:sz w:val="24"/>
      <w:szCs w:val="32"/>
    </w:rPr>
  </w:style>
  <w:style w:type="character" w:customStyle="1" w:styleId="200">
    <w:name w:val="正文(a) Char"/>
    <w:qFormat/>
    <w:uiPriority w:val="0"/>
    <w:rPr>
      <w:rFonts w:ascii="Times New Roman" w:hAnsi="Times New Roman" w:eastAsia="宋体" w:cs="Times New Roman"/>
      <w:b/>
      <w:snapToGrid w:val="0"/>
      <w:color w:val="000000"/>
      <w:spacing w:val="20"/>
      <w:kern w:val="24"/>
      <w:sz w:val="21"/>
      <w:u w:color="000000"/>
      <w:lang w:val="en-US" w:eastAsia="zh-CN"/>
    </w:rPr>
  </w:style>
  <w:style w:type="character" w:customStyle="1" w:styleId="201">
    <w:name w:val="正文缩进 Char Char Char Char1"/>
    <w:qFormat/>
    <w:uiPriority w:val="0"/>
    <w:rPr>
      <w:rFonts w:ascii="Times New Roman" w:hAnsi="Times New Roman" w:eastAsia="宋体" w:cs="Times New Roman"/>
      <w:kern w:val="0"/>
      <w:sz w:val="20"/>
      <w:szCs w:val="20"/>
    </w:rPr>
  </w:style>
  <w:style w:type="character" w:customStyle="1" w:styleId="202">
    <w:name w:val="样式7 Char Char"/>
    <w:qFormat/>
    <w:uiPriority w:val="0"/>
    <w:rPr>
      <w:rFonts w:ascii="Times New Roman" w:hAnsi="Times New Roman" w:eastAsia="宋体" w:cs="Times New Roman"/>
      <w:sz w:val="28"/>
      <w:u w:color="000000"/>
      <w:lang w:val="en-US" w:eastAsia="zh-CN"/>
    </w:rPr>
  </w:style>
  <w:style w:type="character" w:customStyle="1" w:styleId="203">
    <w:name w:val="正文小四 Char1"/>
    <w:link w:val="204"/>
    <w:qFormat/>
    <w:uiPriority w:val="0"/>
    <w:rPr>
      <w:rFonts w:ascii="宋体" w:hAnsi="宋体" w:cs="宋体"/>
      <w:sz w:val="24"/>
    </w:rPr>
  </w:style>
  <w:style w:type="paragraph" w:customStyle="1" w:styleId="204">
    <w:name w:val="正文小四"/>
    <w:basedOn w:val="1"/>
    <w:link w:val="203"/>
    <w:qFormat/>
    <w:uiPriority w:val="0"/>
    <w:pPr>
      <w:widowControl/>
      <w:spacing w:line="453" w:lineRule="atLeast"/>
      <w:ind w:firstLine="481"/>
      <w:jc w:val="left"/>
    </w:pPr>
    <w:rPr>
      <w:rFonts w:ascii="宋体" w:hAnsi="宋体" w:cs="宋体"/>
      <w:kern w:val="0"/>
      <w:sz w:val="24"/>
      <w:szCs w:val="20"/>
    </w:rPr>
  </w:style>
  <w:style w:type="character" w:customStyle="1" w:styleId="205">
    <w:name w:val="1.1.1 Char Char"/>
    <w:link w:val="206"/>
    <w:qFormat/>
    <w:uiPriority w:val="0"/>
    <w:rPr>
      <w:rFonts w:ascii="宋体" w:hAnsi="宋体"/>
      <w:bCs/>
      <w:kern w:val="2"/>
      <w:sz w:val="24"/>
      <w:szCs w:val="28"/>
    </w:rPr>
  </w:style>
  <w:style w:type="paragraph" w:customStyle="1" w:styleId="206">
    <w:name w:val="1.1.1"/>
    <w:basedOn w:val="5"/>
    <w:next w:val="1"/>
    <w:link w:val="205"/>
    <w:qFormat/>
    <w:uiPriority w:val="0"/>
    <w:pPr>
      <w:keepNext w:val="0"/>
      <w:widowControl/>
      <w:tabs>
        <w:tab w:val="left" w:pos="0"/>
      </w:tabs>
      <w:wordWrap w:val="0"/>
      <w:snapToGrid w:val="0"/>
      <w:spacing w:before="0" w:after="0" w:line="240" w:lineRule="auto"/>
      <w:jc w:val="left"/>
    </w:pPr>
    <w:rPr>
      <w:rFonts w:ascii="宋体" w:hAnsi="宋体"/>
      <w:b w:val="0"/>
      <w:bCs/>
      <w:sz w:val="24"/>
      <w:szCs w:val="28"/>
    </w:rPr>
  </w:style>
  <w:style w:type="character" w:customStyle="1" w:styleId="207">
    <w:name w:val="样式7 Char"/>
    <w:qFormat/>
    <w:uiPriority w:val="0"/>
    <w:rPr>
      <w:rFonts w:ascii="宋体" w:hAnsi="宋体" w:eastAsia="宋体" w:cs="宋体"/>
      <w:b/>
      <w:bCs/>
      <w:kern w:val="28"/>
      <w:sz w:val="24"/>
      <w:szCs w:val="24"/>
      <w:lang w:val="en-US" w:eastAsia="zh-CN" w:bidi="ar-SA"/>
    </w:rPr>
  </w:style>
  <w:style w:type="character" w:customStyle="1" w:styleId="208">
    <w:name w:val="样式 正文小4 + 加粗 首行缩进:  2 字符 Char Char"/>
    <w:qFormat/>
    <w:uiPriority w:val="0"/>
    <w:rPr>
      <w:rFonts w:ascii="宋体" w:hAnsi="宋体" w:eastAsia="宋体" w:cs="Times New Roman"/>
      <w:b/>
      <w:spacing w:val="22"/>
      <w:kern w:val="24"/>
      <w:sz w:val="24"/>
      <w:lang w:val="en-US" w:eastAsia="zh-CN"/>
    </w:rPr>
  </w:style>
  <w:style w:type="character" w:customStyle="1" w:styleId="209">
    <w:name w:val="标题 33 Char"/>
    <w:qFormat/>
    <w:uiPriority w:val="0"/>
    <w:rPr>
      <w:rFonts w:ascii="Times New Roman" w:hAnsi="Times New Roman" w:eastAsia="宋体" w:cs="Times New Roman"/>
      <w:b/>
      <w:sz w:val="24"/>
      <w:lang w:val="en-US" w:eastAsia="zh-CN"/>
    </w:rPr>
  </w:style>
  <w:style w:type="character" w:customStyle="1" w:styleId="210">
    <w:name w:val="样式5 Char Char"/>
    <w:qFormat/>
    <w:uiPriority w:val="0"/>
    <w:rPr>
      <w:rFonts w:ascii="Times New Roman" w:hAnsi="Times New Roman" w:eastAsia="宋体" w:cs="Times New Roman"/>
      <w:b/>
      <w:color w:val="000000"/>
      <w:sz w:val="24"/>
      <w:u w:color="000000"/>
      <w:lang w:val="en-US" w:eastAsia="zh-CN"/>
    </w:rPr>
  </w:style>
  <w:style w:type="character" w:customStyle="1" w:styleId="211">
    <w:name w:val="样式5 Char"/>
    <w:qFormat/>
    <w:uiPriority w:val="0"/>
    <w:rPr>
      <w:rFonts w:ascii="Times New Roman" w:hAnsi="Times New Roman" w:eastAsia="方正书宋" w:cs="Times New Roman"/>
      <w:b/>
      <w:sz w:val="24"/>
      <w:szCs w:val="10"/>
      <w:lang w:val="en-US" w:eastAsia="zh-CN" w:bidi="ar-SA"/>
    </w:rPr>
  </w:style>
  <w:style w:type="character" w:customStyle="1" w:styleId="212">
    <w:name w:val="(a)12 Char"/>
    <w:link w:val="213"/>
    <w:qFormat/>
    <w:uiPriority w:val="0"/>
    <w:rPr>
      <w:b/>
      <w:color w:val="000000"/>
      <w:sz w:val="24"/>
      <w:u w:color="000000"/>
    </w:rPr>
  </w:style>
  <w:style w:type="paragraph" w:customStyle="1" w:styleId="213">
    <w:name w:val="(a)12"/>
    <w:basedOn w:val="1"/>
    <w:link w:val="212"/>
    <w:qFormat/>
    <w:uiPriority w:val="0"/>
    <w:pPr>
      <w:widowControl/>
      <w:spacing w:line="351" w:lineRule="atLeast"/>
      <w:ind w:firstLine="504"/>
      <w:jc w:val="left"/>
      <w:textAlignment w:val="baseline"/>
    </w:pPr>
    <w:rPr>
      <w:rFonts w:ascii="Times New Roman" w:hAnsi="Times New Roman"/>
      <w:b/>
      <w:color w:val="000000"/>
      <w:kern w:val="0"/>
      <w:sz w:val="24"/>
      <w:szCs w:val="20"/>
      <w:u w:color="000000"/>
    </w:rPr>
  </w:style>
  <w:style w:type="character" w:customStyle="1" w:styleId="214">
    <w:name w:val="15"/>
    <w:qFormat/>
    <w:uiPriority w:val="0"/>
    <w:rPr>
      <w:rFonts w:hint="default" w:ascii="Times New Roman" w:hAnsi="Times New Roman" w:eastAsia="宋体" w:cs="Times New Roman"/>
      <w:b/>
      <w:bCs/>
    </w:rPr>
  </w:style>
  <w:style w:type="character" w:customStyle="1" w:styleId="215">
    <w:name w:val="样式 标题 2 + Times New Roman 首行缩进:  2 字符 Char"/>
    <w:qFormat/>
    <w:uiPriority w:val="0"/>
    <w:rPr>
      <w:rFonts w:ascii="Times New Roman" w:hAnsi="Times New Roman" w:eastAsia="黑体" w:cs="Times New Roman"/>
      <w:snapToGrid w:val="0"/>
      <w:kern w:val="2"/>
      <w:sz w:val="30"/>
      <w:lang w:val="en-US" w:eastAsia="zh-CN"/>
    </w:rPr>
  </w:style>
  <w:style w:type="character" w:customStyle="1" w:styleId="216">
    <w:name w:val="正文文本 Char1"/>
    <w:qFormat/>
    <w:uiPriority w:val="0"/>
    <w:rPr>
      <w:rFonts w:ascii="Times New Roman" w:hAnsi="Times New Roman" w:eastAsia="宋体" w:cs="Times New Roman"/>
      <w:kern w:val="2"/>
      <w:sz w:val="21"/>
      <w:szCs w:val="24"/>
      <w:lang w:val="en-US" w:eastAsia="zh-CN" w:bidi="ar-SA"/>
    </w:rPr>
  </w:style>
  <w:style w:type="character" w:customStyle="1" w:styleId="217">
    <w:name w:val="样式12 Char"/>
    <w:qFormat/>
    <w:uiPriority w:val="0"/>
    <w:rPr>
      <w:rFonts w:ascii="宋体" w:hAnsi="宋体" w:eastAsia="方正书宋" w:cs="宋体"/>
      <w:b/>
      <w:bCs/>
      <w:sz w:val="28"/>
      <w:szCs w:val="28"/>
      <w:lang w:val="en-US" w:eastAsia="zh-CN" w:bidi="ar-SA"/>
    </w:rPr>
  </w:style>
  <w:style w:type="character" w:customStyle="1" w:styleId="218">
    <w:name w:val="表格标题 Char"/>
    <w:qFormat/>
    <w:uiPriority w:val="0"/>
    <w:rPr>
      <w:rFonts w:ascii="Times New Roman" w:hAnsi="Times New Roman" w:eastAsia="宋体" w:cs="Times New Roman"/>
      <w:b/>
      <w:snapToGrid w:val="0"/>
      <w:sz w:val="24"/>
      <w:szCs w:val="24"/>
      <w:lang w:val="en-US" w:eastAsia="zh-CN" w:bidi="ar-SA"/>
    </w:rPr>
  </w:style>
  <w:style w:type="character" w:customStyle="1" w:styleId="219">
    <w:name w:val="样式26 Char"/>
    <w:qFormat/>
    <w:uiPriority w:val="0"/>
    <w:rPr>
      <w:rFonts w:ascii="Times New Roman" w:hAnsi="Times New Roman" w:eastAsia="宋体" w:cs="Times New Roman"/>
      <w:color w:val="000000"/>
      <w:sz w:val="24"/>
      <w:szCs w:val="24"/>
      <w:lang w:val="en-US" w:eastAsia="zh-CN" w:bidi="ar-SA"/>
    </w:rPr>
  </w:style>
  <w:style w:type="character" w:customStyle="1" w:styleId="220">
    <w:name w:val="目录标题 Char"/>
    <w:qFormat/>
    <w:uiPriority w:val="0"/>
    <w:rPr>
      <w:rFonts w:ascii="Arial" w:hAnsi="Times New Roman" w:eastAsia="黑体" w:cs="Times New Roman"/>
      <w:snapToGrid w:val="0"/>
      <w:color w:val="000000"/>
      <w:spacing w:val="283"/>
      <w:sz w:val="42"/>
      <w:u w:color="000000"/>
      <w:lang w:val="en-US" w:eastAsia="zh-CN"/>
    </w:rPr>
  </w:style>
  <w:style w:type="character" w:customStyle="1" w:styleId="221">
    <w:name w:val="标题 4 Char Char"/>
    <w:qFormat/>
    <w:uiPriority w:val="0"/>
    <w:rPr>
      <w:rFonts w:ascii="Times New Roman" w:hAnsi="Times New Roman" w:eastAsia="宋体" w:cs="Times New Roman"/>
      <w:b/>
      <w:bCs/>
      <w:snapToGrid w:val="0"/>
      <w:color w:val="000000"/>
      <w:sz w:val="24"/>
      <w:szCs w:val="24"/>
      <w:u w:color="000000"/>
      <w:lang w:val="en-US" w:eastAsia="zh-CN" w:bidi="ar-SA"/>
    </w:rPr>
  </w:style>
  <w:style w:type="character" w:customStyle="1" w:styleId="222">
    <w:name w:val="样式4 Char Char Char Char"/>
    <w:qFormat/>
    <w:uiPriority w:val="0"/>
    <w:rPr>
      <w:rFonts w:ascii="Times New Roman" w:hAnsi="Times New Roman" w:eastAsia="宋体" w:cs="Times New Roman"/>
      <w:b/>
      <w:snapToGrid w:val="0"/>
      <w:sz w:val="28"/>
      <w:u w:color="000000"/>
      <w:lang w:val="en-US" w:eastAsia="zh-CN"/>
    </w:rPr>
  </w:style>
  <w:style w:type="character" w:customStyle="1" w:styleId="223">
    <w:name w:val="样式 正文编号（1） +1 Char Char Char Char"/>
    <w:qFormat/>
    <w:uiPriority w:val="0"/>
    <w:rPr>
      <w:rFonts w:ascii="Times New Roman" w:hAnsi="Times New Roman" w:eastAsia="宋体" w:cs="Times New Roman"/>
      <w:color w:val="000000"/>
      <w:sz w:val="28"/>
      <w:u w:color="000000"/>
      <w:lang w:val="en-US" w:eastAsia="zh-CN"/>
    </w:rPr>
  </w:style>
  <w:style w:type="character" w:customStyle="1" w:styleId="224">
    <w:name w:val="正文文字 Char Char"/>
    <w:qFormat/>
    <w:uiPriority w:val="0"/>
    <w:rPr>
      <w:rFonts w:ascii="宋体" w:hAnsi="Times New Roman" w:eastAsia="宋体" w:cs="Times New Roman"/>
      <w:b/>
      <w:snapToGrid w:val="0"/>
      <w:color w:val="000000"/>
      <w:spacing w:val="20"/>
      <w:kern w:val="24"/>
      <w:sz w:val="21"/>
      <w:u w:color="000000"/>
      <w:lang w:val="en-US" w:eastAsia="zh-CN"/>
    </w:rPr>
  </w:style>
  <w:style w:type="character" w:customStyle="1" w:styleId="225">
    <w:name w:val="样式44 Char"/>
    <w:qFormat/>
    <w:uiPriority w:val="0"/>
    <w:rPr>
      <w:rFonts w:ascii="Times New Roman" w:hAnsi="Times New Roman" w:eastAsia="方正书宋" w:cs="Times New Roman"/>
      <w:b/>
      <w:bCs/>
      <w:kern w:val="28"/>
      <w:sz w:val="24"/>
      <w:szCs w:val="24"/>
      <w:lang w:val="en-US" w:eastAsia="zh-CN" w:bidi="ar-SA"/>
    </w:rPr>
  </w:style>
  <w:style w:type="character" w:customStyle="1" w:styleId="226">
    <w:name w:val="正文缩进 Char"/>
    <w:link w:val="21"/>
    <w:qFormat/>
    <w:uiPriority w:val="0"/>
    <w:rPr>
      <w:kern w:val="2"/>
      <w:sz w:val="24"/>
      <w:szCs w:val="24"/>
    </w:rPr>
  </w:style>
  <w:style w:type="character" w:customStyle="1" w:styleId="227">
    <w:name w:val="(a) Char"/>
    <w:link w:val="228"/>
    <w:qFormat/>
    <w:uiPriority w:val="0"/>
    <w:rPr>
      <w:rFonts w:ascii="宋体"/>
      <w:b/>
      <w:snapToGrid w:val="0"/>
      <w:color w:val="000000"/>
      <w:spacing w:val="20"/>
      <w:kern w:val="24"/>
      <w:sz w:val="24"/>
      <w:szCs w:val="24"/>
      <w:u w:color="000000"/>
    </w:rPr>
  </w:style>
  <w:style w:type="paragraph" w:customStyle="1" w:styleId="228">
    <w:name w:val="(a)"/>
    <w:basedOn w:val="34"/>
    <w:link w:val="227"/>
    <w:qFormat/>
    <w:uiPriority w:val="0"/>
    <w:pPr>
      <w:widowControl/>
      <w:tabs>
        <w:tab w:val="left" w:pos="360"/>
      </w:tabs>
      <w:adjustRightInd w:val="0"/>
      <w:snapToGrid w:val="0"/>
      <w:spacing w:line="480" w:lineRule="exact"/>
      <w:ind w:left="-510" w:firstLine="510" w:firstLineChars="200"/>
      <w:textAlignment w:val="baseline"/>
    </w:pPr>
    <w:rPr>
      <w:rFonts w:hAnsi="Times New Roman"/>
      <w:b/>
      <w:snapToGrid w:val="0"/>
      <w:color w:val="000000"/>
      <w:spacing w:val="20"/>
      <w:kern w:val="24"/>
      <w:szCs w:val="24"/>
      <w:u w:color="000000"/>
    </w:rPr>
  </w:style>
  <w:style w:type="character" w:customStyle="1" w:styleId="229">
    <w:name w:val="报告正文 Char Char1"/>
    <w:link w:val="230"/>
    <w:qFormat/>
    <w:uiPriority w:val="0"/>
    <w:rPr>
      <w:kern w:val="2"/>
      <w:sz w:val="24"/>
    </w:rPr>
  </w:style>
  <w:style w:type="paragraph" w:customStyle="1" w:styleId="230">
    <w:name w:val="报告正文 Char"/>
    <w:basedOn w:val="1"/>
    <w:link w:val="229"/>
    <w:qFormat/>
    <w:uiPriority w:val="0"/>
    <w:pPr>
      <w:widowControl/>
      <w:spacing w:before="50" w:line="360" w:lineRule="auto"/>
      <w:ind w:firstLine="540"/>
      <w:jc w:val="left"/>
    </w:pPr>
    <w:rPr>
      <w:rFonts w:ascii="Times New Roman" w:hAnsi="Times New Roman"/>
      <w:sz w:val="24"/>
      <w:szCs w:val="20"/>
    </w:rPr>
  </w:style>
  <w:style w:type="character" w:customStyle="1" w:styleId="231">
    <w:name w:val="样式 正文文本缩进 + 首行缩进:  2 字符 Char"/>
    <w:link w:val="232"/>
    <w:qFormat/>
    <w:uiPriority w:val="0"/>
    <w:rPr>
      <w:rFonts w:ascii="宋体" w:hAnsi="宋体" w:cs="宋体"/>
      <w:color w:val="000000"/>
      <w:kern w:val="2"/>
      <w:sz w:val="24"/>
      <w:szCs w:val="24"/>
    </w:rPr>
  </w:style>
  <w:style w:type="paragraph" w:customStyle="1" w:styleId="232">
    <w:name w:val="样式 正文文本缩进 + 首行缩进:  2 字符"/>
    <w:basedOn w:val="35"/>
    <w:link w:val="231"/>
    <w:qFormat/>
    <w:uiPriority w:val="0"/>
    <w:pPr>
      <w:tabs>
        <w:tab w:val="left" w:pos="840"/>
      </w:tabs>
      <w:spacing w:after="0" w:line="360" w:lineRule="auto"/>
      <w:ind w:left="840" w:leftChars="350" w:firstLine="420" w:firstLineChars="200"/>
    </w:pPr>
    <w:rPr>
      <w:rFonts w:ascii="宋体" w:hAnsi="宋体" w:cs="宋体"/>
      <w:color w:val="000000"/>
      <w:sz w:val="24"/>
    </w:rPr>
  </w:style>
  <w:style w:type="character" w:customStyle="1" w:styleId="233">
    <w:name w:val="正文文稿 Char"/>
    <w:link w:val="234"/>
    <w:qFormat/>
    <w:uiPriority w:val="0"/>
    <w:rPr>
      <w:rFonts w:ascii="宋体"/>
      <w:bCs/>
      <w:kern w:val="24"/>
      <w:sz w:val="24"/>
      <w:szCs w:val="24"/>
    </w:rPr>
  </w:style>
  <w:style w:type="paragraph" w:customStyle="1" w:styleId="234">
    <w:name w:val="正文文稿"/>
    <w:basedOn w:val="1"/>
    <w:link w:val="233"/>
    <w:qFormat/>
    <w:uiPriority w:val="0"/>
    <w:pPr>
      <w:spacing w:line="460" w:lineRule="exact"/>
      <w:ind w:firstLine="200" w:firstLineChars="200"/>
    </w:pPr>
    <w:rPr>
      <w:rFonts w:ascii="宋体" w:hAnsi="Times New Roman"/>
      <w:bCs/>
      <w:kern w:val="24"/>
      <w:sz w:val="24"/>
    </w:rPr>
  </w:style>
  <w:style w:type="character" w:customStyle="1" w:styleId="235">
    <w:name w:val="样式 正文小四 + Char Char Char Char"/>
    <w:qFormat/>
    <w:uiPriority w:val="0"/>
    <w:rPr>
      <w:rFonts w:ascii="宋体" w:hAnsi="宋体" w:eastAsia="宋体" w:cs="宋体"/>
      <w:sz w:val="24"/>
      <w:u w:color="000000"/>
      <w:lang w:val="en-US" w:eastAsia="zh-CN" w:bidi="ar-SA"/>
    </w:rPr>
  </w:style>
  <w:style w:type="character" w:customStyle="1" w:styleId="236">
    <w:name w:val="tf"/>
    <w:qFormat/>
    <w:uiPriority w:val="0"/>
    <w:rPr>
      <w:rFonts w:ascii="Times New Roman" w:hAnsi="Times New Roman" w:eastAsia="宋体" w:cs="Times New Roman"/>
    </w:rPr>
  </w:style>
  <w:style w:type="character" w:customStyle="1" w:styleId="237">
    <w:name w:val="报告书正文 Char Char"/>
    <w:qFormat/>
    <w:uiPriority w:val="0"/>
    <w:rPr>
      <w:rFonts w:ascii="Times New Roman" w:hAnsi="Times New Roman" w:eastAsia="宋体" w:cs="Times New Roman"/>
      <w:sz w:val="24"/>
      <w:lang w:val="en-US" w:eastAsia="zh-CN"/>
    </w:rPr>
  </w:style>
  <w:style w:type="character" w:customStyle="1" w:styleId="238">
    <w:name w:val="样式 正文编号（1） + Char Char"/>
    <w:qFormat/>
    <w:uiPriority w:val="0"/>
    <w:rPr>
      <w:rFonts w:ascii="Times New Roman" w:hAnsi="Times New Roman" w:eastAsia="宋体" w:cs="Times New Roman"/>
      <w:color w:val="000000"/>
      <w:kern w:val="2"/>
      <w:sz w:val="28"/>
      <w:u w:color="000000"/>
      <w:lang w:val="en-US" w:eastAsia="zh-CN"/>
    </w:rPr>
  </w:style>
  <w:style w:type="character" w:customStyle="1" w:styleId="239">
    <w:name w:val="(a)1 Char"/>
    <w:link w:val="240"/>
    <w:qFormat/>
    <w:uiPriority w:val="0"/>
    <w:rPr>
      <w:color w:val="000000"/>
      <w:spacing w:val="11"/>
      <w:sz w:val="28"/>
      <w:u w:color="000000"/>
    </w:rPr>
  </w:style>
  <w:style w:type="paragraph" w:customStyle="1" w:styleId="240">
    <w:name w:val="(a)1"/>
    <w:basedOn w:val="1"/>
    <w:link w:val="239"/>
    <w:qFormat/>
    <w:uiPriority w:val="0"/>
    <w:pPr>
      <w:widowControl/>
      <w:spacing w:line="351" w:lineRule="atLeast"/>
      <w:ind w:firstLine="623"/>
      <w:jc w:val="left"/>
      <w:textAlignment w:val="baseline"/>
    </w:pPr>
    <w:rPr>
      <w:rFonts w:ascii="Times New Roman" w:hAnsi="Times New Roman"/>
      <w:color w:val="000000"/>
      <w:spacing w:val="11"/>
      <w:kern w:val="0"/>
      <w:sz w:val="28"/>
      <w:szCs w:val="20"/>
      <w:u w:color="000000"/>
    </w:rPr>
  </w:style>
  <w:style w:type="character" w:customStyle="1" w:styleId="241">
    <w:name w:val="样式 正文文本 + 自动设置 Char Char"/>
    <w:qFormat/>
    <w:uiPriority w:val="0"/>
    <w:rPr>
      <w:rFonts w:ascii="Times New Roman" w:hAnsi="Times New Roman" w:eastAsia="宋体" w:cs="Times New Roman"/>
      <w:b/>
      <w:bCs/>
      <w:color w:val="000000"/>
      <w:spacing w:val="30"/>
      <w:kern w:val="24"/>
      <w:sz w:val="28"/>
      <w:szCs w:val="32"/>
      <w:u w:color="000000"/>
      <w:lang w:val="en-US" w:eastAsia="zh-CN" w:bidi="ar-SA"/>
    </w:rPr>
  </w:style>
  <w:style w:type="character" w:customStyle="1" w:styleId="242">
    <w:name w:val="正文文字缩进 Char"/>
    <w:qFormat/>
    <w:uiPriority w:val="0"/>
    <w:rPr>
      <w:rFonts w:ascii="Times New Roman" w:hAnsi="Times New Roman" w:eastAsia="宋体" w:cs="Times New Roman"/>
      <w:color w:val="FF0000"/>
    </w:rPr>
  </w:style>
  <w:style w:type="character" w:customStyle="1" w:styleId="243">
    <w:name w:val="样式16 Char"/>
    <w:qFormat/>
    <w:uiPriority w:val="0"/>
    <w:rPr>
      <w:rFonts w:ascii="宋体" w:hAnsi="Courier New" w:eastAsia="宋体" w:cs="Times New Roman"/>
      <w:kern w:val="2"/>
      <w:sz w:val="28"/>
      <w:lang w:val="en-US" w:eastAsia="zh-CN"/>
    </w:rPr>
  </w:style>
  <w:style w:type="character" w:customStyle="1" w:styleId="244">
    <w:name w:val="正  文 Char"/>
    <w:link w:val="245"/>
    <w:qFormat/>
    <w:uiPriority w:val="0"/>
    <w:rPr>
      <w:rFonts w:ascii="宋体"/>
      <w:kern w:val="2"/>
      <w:sz w:val="24"/>
      <w:szCs w:val="24"/>
    </w:rPr>
  </w:style>
  <w:style w:type="paragraph" w:customStyle="1" w:styleId="245">
    <w:name w:val="正  文"/>
    <w:basedOn w:val="1"/>
    <w:link w:val="244"/>
    <w:qFormat/>
    <w:uiPriority w:val="0"/>
    <w:pPr>
      <w:spacing w:line="360" w:lineRule="auto"/>
      <w:ind w:firstLine="200" w:firstLineChars="200"/>
    </w:pPr>
    <w:rPr>
      <w:rFonts w:ascii="宋体" w:hAnsi="Times New Roman"/>
      <w:sz w:val="24"/>
    </w:rPr>
  </w:style>
  <w:style w:type="character" w:customStyle="1" w:styleId="246">
    <w:name w:val="样式 正文文本正文文字 + 小四 Char"/>
    <w:link w:val="247"/>
    <w:qFormat/>
    <w:uiPriority w:val="0"/>
    <w:rPr>
      <w:kern w:val="24"/>
      <w:sz w:val="24"/>
      <w:szCs w:val="24"/>
    </w:rPr>
  </w:style>
  <w:style w:type="paragraph" w:customStyle="1" w:styleId="247">
    <w:name w:val="样式 正文文本正文文字 + 小四"/>
    <w:basedOn w:val="34"/>
    <w:link w:val="246"/>
    <w:qFormat/>
    <w:uiPriority w:val="0"/>
    <w:pPr>
      <w:widowControl/>
      <w:adjustRightInd w:val="0"/>
      <w:spacing w:line="460" w:lineRule="exact"/>
      <w:ind w:firstLine="480" w:firstLineChars="200"/>
      <w:jc w:val="left"/>
    </w:pPr>
    <w:rPr>
      <w:rFonts w:ascii="Times New Roman" w:hAnsi="Times New Roman"/>
      <w:kern w:val="24"/>
      <w:szCs w:val="24"/>
    </w:rPr>
  </w:style>
  <w:style w:type="character" w:customStyle="1" w:styleId="248">
    <w:name w:val="表1.1-1 Char"/>
    <w:link w:val="249"/>
    <w:qFormat/>
    <w:uiPriority w:val="0"/>
    <w:rPr>
      <w:rFonts w:ascii="Calibri Light" w:hAnsi="Calibri Light"/>
      <w:bCs/>
      <w:kern w:val="2"/>
      <w:sz w:val="24"/>
      <w:szCs w:val="24"/>
      <w:lang w:val="en-US" w:eastAsia="zh-CN"/>
    </w:rPr>
  </w:style>
  <w:style w:type="paragraph" w:customStyle="1" w:styleId="249">
    <w:name w:val="表1.1-1"/>
    <w:basedOn w:val="8"/>
    <w:link w:val="248"/>
    <w:qFormat/>
    <w:uiPriority w:val="0"/>
    <w:pPr>
      <w:keepNext w:val="0"/>
      <w:widowControl/>
      <w:tabs>
        <w:tab w:val="left" w:pos="0"/>
        <w:tab w:val="left" w:pos="2694"/>
      </w:tabs>
      <w:wordWrap w:val="0"/>
      <w:snapToGrid w:val="0"/>
      <w:spacing w:before="0" w:beforeLines="0" w:after="0" w:line="240" w:lineRule="auto"/>
      <w:ind w:firstLine="0"/>
      <w:jc w:val="center"/>
      <w:outlineLvl w:val="9"/>
    </w:pPr>
    <w:rPr>
      <w:rFonts w:ascii="Calibri Light" w:hAnsi="Calibri Light" w:eastAsia="宋体"/>
      <w:b w:val="0"/>
    </w:rPr>
  </w:style>
  <w:style w:type="character" w:customStyle="1" w:styleId="250">
    <w:name w:val="样式 样式 正文小4 + 加粗 首行缩进:  2 字符 + 非加粗 首行缩进:  2 字符 Char Char"/>
    <w:qFormat/>
    <w:uiPriority w:val="0"/>
    <w:rPr>
      <w:rFonts w:ascii="宋体" w:hAnsi="宋体" w:eastAsia="宋体" w:cs="Times New Roman"/>
      <w:spacing w:val="22"/>
      <w:kern w:val="24"/>
      <w:sz w:val="24"/>
      <w:lang w:val="en-US" w:eastAsia="zh-CN"/>
    </w:rPr>
  </w:style>
  <w:style w:type="character" w:customStyle="1" w:styleId="251">
    <w:name w:val="样式 标题 2 + Times New Roman 四号 非加粗 段前: 5 磅 段后: 0 磅 行距: 固定值 20... Char"/>
    <w:link w:val="139"/>
    <w:qFormat/>
    <w:uiPriority w:val="0"/>
    <w:rPr>
      <w:rFonts w:eastAsia="黑体" w:cs="宋体"/>
      <w:kern w:val="2"/>
      <w:sz w:val="28"/>
    </w:rPr>
  </w:style>
  <w:style w:type="character" w:customStyle="1" w:styleId="252">
    <w:name w:val="第一章 Char Char"/>
    <w:link w:val="253"/>
    <w:qFormat/>
    <w:uiPriority w:val="0"/>
    <w:rPr>
      <w:rFonts w:ascii="宋体" w:hAnsi="宋体"/>
      <w:b/>
      <w:kern w:val="44"/>
      <w:sz w:val="36"/>
    </w:rPr>
  </w:style>
  <w:style w:type="paragraph" w:customStyle="1" w:styleId="253">
    <w:name w:val="第一章"/>
    <w:basedOn w:val="254"/>
    <w:link w:val="252"/>
    <w:qFormat/>
    <w:uiPriority w:val="0"/>
    <w:pPr>
      <w:keepNext/>
      <w:keepLines/>
      <w:widowControl/>
      <w:spacing w:before="480" w:after="240"/>
      <w:ind w:firstLine="0"/>
      <w:jc w:val="center"/>
      <w:outlineLvl w:val="0"/>
    </w:pPr>
    <w:rPr>
      <w:b/>
      <w:kern w:val="44"/>
      <w:sz w:val="36"/>
      <w:szCs w:val="20"/>
    </w:rPr>
  </w:style>
  <w:style w:type="paragraph" w:customStyle="1" w:styleId="254">
    <w:name w:val="样式2"/>
    <w:basedOn w:val="1"/>
    <w:qFormat/>
    <w:uiPriority w:val="0"/>
    <w:pPr>
      <w:ind w:firstLine="480"/>
    </w:pPr>
    <w:rPr>
      <w:rFonts w:ascii="宋体" w:hAnsi="宋体"/>
    </w:rPr>
  </w:style>
  <w:style w:type="character" w:customStyle="1" w:styleId="255">
    <w:name w:val="Char Char Char Char Char1"/>
    <w:link w:val="256"/>
    <w:qFormat/>
    <w:uiPriority w:val="0"/>
    <w:rPr>
      <w:rFonts w:ascii="宋体" w:hAnsi="宋体" w:cs="宋体"/>
      <w:sz w:val="24"/>
      <w:szCs w:val="24"/>
    </w:rPr>
  </w:style>
  <w:style w:type="paragraph" w:customStyle="1" w:styleId="256">
    <w:name w:val="Char Char Char Char1"/>
    <w:basedOn w:val="1"/>
    <w:link w:val="255"/>
    <w:qFormat/>
    <w:uiPriority w:val="0"/>
    <w:pPr>
      <w:widowControl/>
      <w:spacing w:line="360" w:lineRule="auto"/>
      <w:ind w:firstLine="200" w:firstLineChars="200"/>
      <w:jc w:val="left"/>
    </w:pPr>
    <w:rPr>
      <w:rFonts w:ascii="宋体" w:hAnsi="宋体" w:cs="宋体"/>
      <w:kern w:val="0"/>
      <w:sz w:val="24"/>
    </w:rPr>
  </w:style>
  <w:style w:type="character" w:customStyle="1" w:styleId="257">
    <w:name w:val="报告正文 Char Char"/>
    <w:qFormat/>
    <w:uiPriority w:val="0"/>
    <w:rPr>
      <w:rFonts w:ascii="Times New Roman" w:hAnsi="Times New Roman" w:eastAsia="宋体" w:cs="Times New Roman"/>
      <w:sz w:val="24"/>
      <w:lang w:val="en-US" w:eastAsia="zh-CN"/>
    </w:rPr>
  </w:style>
  <w:style w:type="character" w:customStyle="1" w:styleId="258">
    <w:name w:val="Char Char1"/>
    <w:qFormat/>
    <w:uiPriority w:val="0"/>
    <w:rPr>
      <w:rFonts w:ascii="Times New Roman" w:hAnsi="Times New Roman" w:eastAsia="宋体" w:cs="Times New Roman"/>
      <w:b/>
      <w:bCs/>
      <w:color w:val="000000"/>
      <w:sz w:val="24"/>
      <w:szCs w:val="32"/>
      <w:u w:color="000000"/>
      <w:lang w:val="en-US" w:eastAsia="zh-CN" w:bidi="ar-SA"/>
    </w:rPr>
  </w:style>
  <w:style w:type="character" w:customStyle="1" w:styleId="259">
    <w:name w:val="样式 样式 样式 样式5 + 宋体 + 小四 + 段前: 0 磅 段后: 0 磅1 Char Char"/>
    <w:qFormat/>
    <w:uiPriority w:val="0"/>
    <w:rPr>
      <w:rFonts w:ascii="宋体" w:hAnsi="宋体" w:eastAsia="宋体" w:cs="Times New Roman"/>
      <w:b/>
      <w:sz w:val="24"/>
      <w:lang w:val="en-US" w:eastAsia="zh-CN"/>
    </w:rPr>
  </w:style>
  <w:style w:type="character" w:customStyle="1" w:styleId="260">
    <w:name w:val="报告书正文 Char Char Char Char"/>
    <w:qFormat/>
    <w:uiPriority w:val="0"/>
    <w:rPr>
      <w:rFonts w:ascii="Times New Roman" w:hAnsi="Times New Roman" w:eastAsia="宋体" w:cs="Times New Roman"/>
      <w:sz w:val="24"/>
      <w:lang w:val="en-US" w:eastAsia="zh-CN"/>
    </w:rPr>
  </w:style>
  <w:style w:type="character" w:customStyle="1" w:styleId="261">
    <w:name w:val="正文编号（1） Char"/>
    <w:qFormat/>
    <w:uiPriority w:val="0"/>
    <w:rPr>
      <w:rFonts w:ascii="Times New Roman" w:hAnsi="Times New Roman" w:eastAsia="宋体" w:cs="Times New Roman"/>
      <w:kern w:val="2"/>
      <w:sz w:val="28"/>
      <w:lang w:val="en-US" w:eastAsia="zh-CN"/>
    </w:rPr>
  </w:style>
  <w:style w:type="character" w:customStyle="1" w:styleId="262">
    <w:name w:val="language"/>
    <w:qFormat/>
    <w:uiPriority w:val="0"/>
    <w:rPr>
      <w:rFonts w:ascii="Times New Roman" w:hAnsi="Times New Roman" w:eastAsia="宋体" w:cs="Times New Roman"/>
    </w:rPr>
  </w:style>
  <w:style w:type="character" w:customStyle="1" w:styleId="263">
    <w:name w:val="样式 样式 四号 首行缩进:  1.1 厘米 + 首行缩进:  2 字符 Char Char Char Char"/>
    <w:qFormat/>
    <w:uiPriority w:val="0"/>
    <w:rPr>
      <w:rFonts w:ascii="Times New Roman" w:hAnsi="Times New Roman" w:eastAsia="宋体" w:cs="Times New Roman"/>
      <w:kern w:val="2"/>
      <w:sz w:val="24"/>
      <w:lang w:val="en-US" w:eastAsia="zh-CN"/>
    </w:rPr>
  </w:style>
  <w:style w:type="character" w:customStyle="1" w:styleId="264">
    <w:name w:val="样式 正文小四 + Char Char1"/>
    <w:link w:val="265"/>
    <w:qFormat/>
    <w:uiPriority w:val="0"/>
    <w:rPr>
      <w:rFonts w:ascii="宋体" w:hAnsi="宋体" w:cs="宋体"/>
      <w:kern w:val="2"/>
      <w:sz w:val="24"/>
      <w:u w:color="000000"/>
    </w:rPr>
  </w:style>
  <w:style w:type="paragraph" w:customStyle="1" w:styleId="265">
    <w:name w:val="样式 正文小四 + Char"/>
    <w:basedOn w:val="204"/>
    <w:link w:val="264"/>
    <w:qFormat/>
    <w:uiPriority w:val="0"/>
    <w:rPr>
      <w:kern w:val="2"/>
      <w:u w:color="000000"/>
    </w:rPr>
  </w:style>
  <w:style w:type="character" w:customStyle="1" w:styleId="266">
    <w:name w:val="样式 样式 小四 行距: 1.5 倍行距 + 黑色 Char Char"/>
    <w:qFormat/>
    <w:uiPriority w:val="0"/>
    <w:rPr>
      <w:rFonts w:ascii="Times New Roman" w:hAnsi="Times New Roman" w:eastAsia="宋体" w:cs="Times New Roman"/>
      <w:color w:val="000000"/>
      <w:sz w:val="24"/>
      <w:lang w:val="en-US" w:eastAsia="zh-CN"/>
    </w:rPr>
  </w:style>
  <w:style w:type="character" w:customStyle="1" w:styleId="267">
    <w:name w:val="框图 Char"/>
    <w:link w:val="268"/>
    <w:qFormat/>
    <w:uiPriority w:val="0"/>
    <w:rPr>
      <w:snapToGrid w:val="0"/>
      <w:sz w:val="21"/>
      <w:szCs w:val="21"/>
    </w:rPr>
  </w:style>
  <w:style w:type="paragraph" w:customStyle="1" w:styleId="268">
    <w:name w:val="框图"/>
    <w:basedOn w:val="1"/>
    <w:link w:val="267"/>
    <w:qFormat/>
    <w:uiPriority w:val="0"/>
    <w:pPr>
      <w:adjustRightInd w:val="0"/>
      <w:spacing w:line="300" w:lineRule="exact"/>
      <w:jc w:val="center"/>
    </w:pPr>
    <w:rPr>
      <w:rFonts w:ascii="Times New Roman" w:hAnsi="Times New Roman"/>
      <w:snapToGrid w:val="0"/>
      <w:kern w:val="0"/>
      <w:szCs w:val="21"/>
    </w:rPr>
  </w:style>
  <w:style w:type="character" w:customStyle="1" w:styleId="269">
    <w:name w:val="Char Char Char Char Char Char Char Char Char Char Char Char Char1"/>
    <w:link w:val="270"/>
    <w:qFormat/>
    <w:uiPriority w:val="0"/>
    <w:rPr>
      <w:rFonts w:ascii="宋体" w:hAnsi="宋体"/>
      <w:snapToGrid w:val="0"/>
      <w:kern w:val="2"/>
      <w:sz w:val="24"/>
    </w:rPr>
  </w:style>
  <w:style w:type="paragraph" w:customStyle="1" w:styleId="270">
    <w:name w:val="Char Char Char Char Char Char Char Char Char Char Char Char"/>
    <w:basedOn w:val="1"/>
    <w:link w:val="269"/>
    <w:qFormat/>
    <w:uiPriority w:val="0"/>
    <w:pPr>
      <w:adjustRightInd w:val="0"/>
      <w:snapToGrid w:val="0"/>
      <w:spacing w:line="360" w:lineRule="auto"/>
      <w:ind w:firstLine="200" w:firstLineChars="200"/>
    </w:pPr>
    <w:rPr>
      <w:rFonts w:ascii="宋体" w:hAnsi="宋体"/>
      <w:snapToGrid w:val="0"/>
      <w:sz w:val="24"/>
      <w:szCs w:val="20"/>
    </w:rPr>
  </w:style>
  <w:style w:type="character" w:customStyle="1" w:styleId="271">
    <w:name w:val="1.1 Char Char"/>
    <w:link w:val="272"/>
    <w:qFormat/>
    <w:uiPriority w:val="0"/>
    <w:rPr>
      <w:rFonts w:ascii="宋体" w:hAnsi="宋体"/>
      <w:bCs/>
      <w:kern w:val="2"/>
      <w:sz w:val="24"/>
      <w:szCs w:val="32"/>
    </w:rPr>
  </w:style>
  <w:style w:type="paragraph" w:customStyle="1" w:styleId="272">
    <w:name w:val="1.1"/>
    <w:basedOn w:val="2"/>
    <w:next w:val="1"/>
    <w:link w:val="271"/>
    <w:qFormat/>
    <w:uiPriority w:val="0"/>
    <w:pPr>
      <w:keepNext w:val="0"/>
      <w:widowControl/>
      <w:tabs>
        <w:tab w:val="left" w:pos="0"/>
      </w:tabs>
      <w:wordWrap w:val="0"/>
      <w:snapToGrid w:val="0"/>
      <w:spacing w:before="156" w:beforeLines="50" w:after="156" w:afterLines="50" w:line="240" w:lineRule="auto"/>
      <w:jc w:val="left"/>
    </w:pPr>
    <w:rPr>
      <w:rFonts w:ascii="宋体" w:hAnsi="宋体" w:eastAsia="宋体"/>
      <w:b w:val="0"/>
      <w:sz w:val="24"/>
    </w:rPr>
  </w:style>
  <w:style w:type="character" w:customStyle="1" w:styleId="273">
    <w:name w:val="正文（首行缩进两字）123 Char"/>
    <w:link w:val="274"/>
    <w:qFormat/>
    <w:uiPriority w:val="0"/>
    <w:rPr>
      <w:color w:val="000000"/>
      <w:sz w:val="24"/>
      <w:u w:color="000000"/>
    </w:rPr>
  </w:style>
  <w:style w:type="paragraph" w:customStyle="1" w:styleId="274">
    <w:name w:val="正文（首行缩进两字）123"/>
    <w:basedOn w:val="1"/>
    <w:link w:val="273"/>
    <w:qFormat/>
    <w:uiPriority w:val="0"/>
    <w:pPr>
      <w:widowControl/>
      <w:spacing w:line="351" w:lineRule="atLeast"/>
      <w:ind w:firstLine="419"/>
      <w:jc w:val="left"/>
      <w:textAlignment w:val="baseline"/>
    </w:pPr>
    <w:rPr>
      <w:rFonts w:ascii="Times New Roman" w:hAnsi="Times New Roman"/>
      <w:color w:val="000000"/>
      <w:kern w:val="0"/>
      <w:sz w:val="24"/>
      <w:szCs w:val="20"/>
      <w:u w:color="000000"/>
    </w:rPr>
  </w:style>
  <w:style w:type="character" w:customStyle="1" w:styleId="275">
    <w:name w:val="样式 正文小四 + 加粗 Char Char"/>
    <w:qFormat/>
    <w:uiPriority w:val="0"/>
    <w:rPr>
      <w:rFonts w:ascii="宋体" w:hAnsi="宋体" w:eastAsia="宋体" w:cs="宋体"/>
      <w:b/>
      <w:sz w:val="24"/>
      <w:lang w:val="en-US" w:eastAsia="zh-CN" w:bidi="ar-SA"/>
    </w:rPr>
  </w:style>
  <w:style w:type="character" w:customStyle="1" w:styleId="276">
    <w:name w:val="无间隔 Char"/>
    <w:link w:val="277"/>
    <w:qFormat/>
    <w:uiPriority w:val="1"/>
    <w:rPr>
      <w:sz w:val="22"/>
    </w:rPr>
  </w:style>
  <w:style w:type="paragraph" w:styleId="277">
    <w:name w:val="No Spacing"/>
    <w:link w:val="276"/>
    <w:qFormat/>
    <w:uiPriority w:val="1"/>
    <w:rPr>
      <w:rFonts w:ascii="Times New Roman" w:hAnsi="Times New Roman" w:eastAsia="宋体" w:cs="Times New Roman"/>
      <w:sz w:val="22"/>
      <w:lang w:val="en-US" w:eastAsia="zh-CN" w:bidi="ar-SA"/>
    </w:rPr>
  </w:style>
  <w:style w:type="character" w:customStyle="1" w:styleId="278">
    <w:name w:val="样式 正文文本 + 自动设置 Char Char Char Char"/>
    <w:qFormat/>
    <w:uiPriority w:val="0"/>
    <w:rPr>
      <w:rFonts w:ascii="Times New Roman" w:hAnsi="Times New Roman" w:eastAsia="宋体" w:cs="Times New Roman"/>
      <w:b/>
      <w:bCs/>
      <w:color w:val="000000"/>
      <w:spacing w:val="30"/>
      <w:kern w:val="24"/>
      <w:sz w:val="28"/>
      <w:szCs w:val="32"/>
      <w:u w:color="000000"/>
      <w:lang w:val="en-US" w:eastAsia="zh-CN" w:bidi="ar-SA"/>
    </w:rPr>
  </w:style>
  <w:style w:type="paragraph" w:customStyle="1" w:styleId="27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0">
    <w:name w:val="样式 样式4 + 行距: 单倍行距"/>
    <w:basedOn w:val="281"/>
    <w:qFormat/>
    <w:uiPriority w:val="0"/>
    <w:pPr>
      <w:widowControl/>
      <w:spacing w:before="120" w:beforeLines="0" w:after="120" w:afterLines="0"/>
      <w:outlineLvl w:val="2"/>
    </w:pPr>
    <w:rPr>
      <w:rFonts w:ascii="宋体" w:hAnsi="宋体"/>
      <w:kern w:val="0"/>
      <w:sz w:val="28"/>
      <w:szCs w:val="20"/>
    </w:rPr>
  </w:style>
  <w:style w:type="paragraph" w:customStyle="1" w:styleId="281">
    <w:name w:val="样式4"/>
    <w:basedOn w:val="4"/>
    <w:qFormat/>
    <w:uiPriority w:val="0"/>
    <w:pPr>
      <w:spacing w:before="240" w:beforeLines="100" w:after="240" w:afterLines="100" w:line="240" w:lineRule="auto"/>
      <w:jc w:val="left"/>
    </w:pPr>
    <w:rPr>
      <w:rFonts w:ascii="Times New Roman" w:hAnsi="Times New Roman"/>
      <w:kern w:val="52"/>
      <w:sz w:val="52"/>
      <w:szCs w:val="52"/>
    </w:rPr>
  </w:style>
  <w:style w:type="paragraph" w:customStyle="1" w:styleId="282">
    <w:name w:val="标题 912"/>
    <w:basedOn w:val="1"/>
    <w:qFormat/>
    <w:uiPriority w:val="0"/>
    <w:pPr>
      <w:widowControl/>
      <w:spacing w:before="62" w:line="351" w:lineRule="atLeast"/>
      <w:ind w:firstLine="419"/>
      <w:jc w:val="left"/>
      <w:textAlignment w:val="baseline"/>
    </w:pPr>
    <w:rPr>
      <w:rFonts w:ascii="Stylus BT" w:hAnsi="Times New Roman" w:eastAsia="黑体"/>
      <w:color w:val="000000"/>
      <w:kern w:val="0"/>
      <w:sz w:val="24"/>
      <w:szCs w:val="20"/>
      <w:u w:color="000000"/>
    </w:rPr>
  </w:style>
  <w:style w:type="paragraph" w:customStyle="1" w:styleId="283">
    <w:name w:val="样式47"/>
    <w:basedOn w:val="284"/>
    <w:qFormat/>
    <w:uiPriority w:val="0"/>
    <w:pPr>
      <w:spacing w:line="460" w:lineRule="exact"/>
      <w:ind w:firstLine="0" w:firstLineChars="0"/>
    </w:pPr>
    <w:rPr>
      <w:rFonts w:eastAsia="方正书宋"/>
      <w:bCs/>
      <w:color w:val="auto"/>
    </w:rPr>
  </w:style>
  <w:style w:type="paragraph" w:customStyle="1" w:styleId="284">
    <w:name w:val="样式26"/>
    <w:basedOn w:val="45"/>
    <w:qFormat/>
    <w:uiPriority w:val="0"/>
    <w:pPr>
      <w:spacing w:line="520" w:lineRule="atLeast"/>
      <w:ind w:firstLine="480" w:firstLineChars="200"/>
    </w:pPr>
    <w:rPr>
      <w:rFonts w:ascii="Times New Roman" w:hAnsi="Times New Roman"/>
      <w:color w:val="000000"/>
      <w:kern w:val="0"/>
      <w:sz w:val="24"/>
      <w:szCs w:val="24"/>
    </w:rPr>
  </w:style>
  <w:style w:type="paragraph" w:customStyle="1" w:styleId="285">
    <w:name w:val="标题 21234"/>
    <w:basedOn w:val="1"/>
    <w:qFormat/>
    <w:uiPriority w:val="0"/>
    <w:pPr>
      <w:widowControl/>
      <w:spacing w:before="119" w:line="351" w:lineRule="atLeast"/>
      <w:ind w:firstLine="623"/>
      <w:jc w:val="left"/>
      <w:textAlignment w:val="baseline"/>
    </w:pPr>
    <w:rPr>
      <w:rFonts w:ascii="Arial" w:hAnsi="Times New Roman"/>
      <w:color w:val="000000"/>
      <w:spacing w:val="5"/>
      <w:kern w:val="0"/>
      <w:sz w:val="36"/>
      <w:szCs w:val="20"/>
      <w:u w:color="000000"/>
    </w:rPr>
  </w:style>
  <w:style w:type="paragraph" w:customStyle="1" w:styleId="286">
    <w:name w:val="5"/>
    <w:basedOn w:val="1"/>
    <w:next w:val="21"/>
    <w:qFormat/>
    <w:uiPriority w:val="0"/>
    <w:pPr>
      <w:ind w:firstLine="420"/>
    </w:pPr>
    <w:rPr>
      <w:rFonts w:ascii="Times New Roman" w:hAnsi="Times New Roman"/>
      <w:sz w:val="17"/>
      <w:szCs w:val="20"/>
    </w:rPr>
  </w:style>
  <w:style w:type="paragraph" w:customStyle="1" w:styleId="287">
    <w:name w:val="表格"/>
    <w:basedOn w:val="1"/>
    <w:qFormat/>
    <w:uiPriority w:val="0"/>
    <w:pPr>
      <w:widowControl/>
      <w:snapToGrid w:val="0"/>
      <w:spacing w:line="400" w:lineRule="exact"/>
      <w:jc w:val="center"/>
    </w:pPr>
    <w:rPr>
      <w:rFonts w:ascii="Times New Roman" w:hAnsi="Times New Roman"/>
      <w:kern w:val="0"/>
      <w:sz w:val="24"/>
      <w:szCs w:val="20"/>
    </w:rPr>
  </w:style>
  <w:style w:type="paragraph" w:customStyle="1" w:styleId="288">
    <w:name w:val="样式 样式 样式 样式5 + 宋体 + 小四 + 段前: 0 磅 段后: 0 磅 Char"/>
    <w:basedOn w:val="289"/>
    <w:qFormat/>
    <w:uiPriority w:val="0"/>
    <w:pPr>
      <w:tabs>
        <w:tab w:val="left" w:pos="840"/>
        <w:tab w:val="left" w:pos="1080"/>
        <w:tab w:val="left" w:pos="1680"/>
      </w:tabs>
    </w:pPr>
    <w:rPr>
      <w:rFonts w:ascii="Times New Roman" w:hAnsi="Times New Roman"/>
    </w:rPr>
  </w:style>
  <w:style w:type="paragraph" w:customStyle="1" w:styleId="289">
    <w:name w:val="样式 样式 样式 样式5 + 宋体 + 小四 + 段前: 0 磅 段后: 0 磅1 Char"/>
    <w:basedOn w:val="1"/>
    <w:qFormat/>
    <w:uiPriority w:val="0"/>
    <w:pPr>
      <w:keepNext/>
      <w:keepLines/>
      <w:widowControl/>
      <w:tabs>
        <w:tab w:val="left" w:pos="840"/>
        <w:tab w:val="left" w:pos="1080"/>
        <w:tab w:val="left" w:pos="1680"/>
      </w:tabs>
      <w:spacing w:before="280" w:after="120"/>
      <w:ind w:left="862" w:hanging="862"/>
      <w:jc w:val="left"/>
      <w:outlineLvl w:val="3"/>
    </w:pPr>
    <w:rPr>
      <w:rFonts w:ascii="宋体" w:hAnsi="宋体"/>
      <w:b/>
      <w:sz w:val="24"/>
      <w:szCs w:val="20"/>
    </w:rPr>
  </w:style>
  <w:style w:type="paragraph" w:customStyle="1" w:styleId="290">
    <w:name w:val="标题 91234"/>
    <w:basedOn w:val="1"/>
    <w:qFormat/>
    <w:uiPriority w:val="0"/>
    <w:pPr>
      <w:widowControl/>
      <w:spacing w:before="62" w:line="351" w:lineRule="atLeast"/>
      <w:ind w:firstLine="623"/>
      <w:jc w:val="left"/>
      <w:textAlignment w:val="baseline"/>
    </w:pPr>
    <w:rPr>
      <w:rFonts w:ascii="Arial" w:hAnsi="Times New Roman" w:eastAsia="黑体"/>
      <w:color w:val="000000"/>
      <w:spacing w:val="5"/>
      <w:kern w:val="0"/>
      <w:sz w:val="28"/>
      <w:szCs w:val="20"/>
      <w:u w:color="000000"/>
    </w:rPr>
  </w:style>
  <w:style w:type="character" w:customStyle="1" w:styleId="291">
    <w:name w:val="信息标题 Char"/>
    <w:basedOn w:val="91"/>
    <w:link w:val="79"/>
    <w:qFormat/>
    <w:uiPriority w:val="0"/>
    <w:rPr>
      <w:rFonts w:ascii="Arial" w:hAnsi="Arial" w:cs="Arial"/>
      <w:kern w:val="2"/>
      <w:sz w:val="24"/>
      <w:szCs w:val="24"/>
      <w:shd w:val="pct20" w:color="auto" w:fill="auto"/>
    </w:rPr>
  </w:style>
  <w:style w:type="paragraph" w:customStyle="1" w:styleId="292">
    <w:name w:val="目录 112345"/>
    <w:basedOn w:val="1"/>
    <w:qFormat/>
    <w:uiPriority w:val="0"/>
    <w:pPr>
      <w:widowControl/>
      <w:spacing w:before="357" w:line="351" w:lineRule="atLeast"/>
      <w:ind w:firstLine="419"/>
      <w:jc w:val="left"/>
      <w:textAlignment w:val="baseline"/>
    </w:pPr>
    <w:rPr>
      <w:rFonts w:ascii="Times New Roman" w:hAnsi="Times New Roman"/>
      <w:color w:val="000000"/>
      <w:spacing w:val="5"/>
      <w:kern w:val="0"/>
      <w:sz w:val="28"/>
      <w:szCs w:val="20"/>
      <w:u w:val="single"/>
    </w:rPr>
  </w:style>
  <w:style w:type="paragraph" w:customStyle="1" w:styleId="293">
    <w:name w:val="列表 21"/>
    <w:basedOn w:val="1"/>
    <w:qFormat/>
    <w:uiPriority w:val="0"/>
    <w:pPr>
      <w:widowControl/>
      <w:spacing w:line="351" w:lineRule="atLeast"/>
      <w:ind w:left="839" w:hanging="419"/>
      <w:jc w:val="left"/>
      <w:textAlignment w:val="baseline"/>
    </w:pPr>
    <w:rPr>
      <w:rFonts w:ascii="Times New Roman" w:hAnsi="Times New Roman"/>
      <w:color w:val="000000"/>
      <w:kern w:val="0"/>
      <w:sz w:val="24"/>
      <w:szCs w:val="20"/>
      <w:u w:color="000000"/>
    </w:rPr>
  </w:style>
  <w:style w:type="paragraph" w:customStyle="1" w:styleId="29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color w:val="0000FF"/>
      <w:kern w:val="0"/>
      <w:sz w:val="20"/>
      <w:szCs w:val="20"/>
    </w:rPr>
  </w:style>
  <w:style w:type="paragraph" w:customStyle="1" w:styleId="295">
    <w:name w:val="样式31"/>
    <w:basedOn w:val="1"/>
    <w:qFormat/>
    <w:uiPriority w:val="0"/>
    <w:pPr>
      <w:keepNext/>
      <w:keepLines/>
      <w:spacing w:line="447" w:lineRule="exact"/>
      <w:jc w:val="left"/>
      <w:outlineLvl w:val="2"/>
    </w:pPr>
    <w:rPr>
      <w:rFonts w:ascii="Times New Roman" w:hAnsi="Times New Roman" w:eastAsia="方正书宋"/>
      <w:b/>
      <w:bCs/>
      <w:kern w:val="32"/>
      <w:sz w:val="28"/>
      <w:szCs w:val="28"/>
    </w:rPr>
  </w:style>
  <w:style w:type="paragraph" w:customStyle="1" w:styleId="296">
    <w:name w:val="样式 标题 3 + 宋体 小三"/>
    <w:basedOn w:val="5"/>
    <w:qFormat/>
    <w:uiPriority w:val="0"/>
    <w:pPr>
      <w:adjustRightInd w:val="0"/>
      <w:spacing w:before="120" w:after="120" w:line="360" w:lineRule="auto"/>
      <w:jc w:val="left"/>
      <w:textAlignment w:val="baseline"/>
    </w:pPr>
    <w:rPr>
      <w:rFonts w:ascii="宋体" w:hAnsi="宋体"/>
      <w:bCs/>
      <w:kern w:val="0"/>
      <w:sz w:val="24"/>
      <w:szCs w:val="24"/>
      <w:lang w:val="en-GB"/>
    </w:rPr>
  </w:style>
  <w:style w:type="paragraph" w:customStyle="1" w:styleId="2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character" w:customStyle="1" w:styleId="298">
    <w:name w:val="宏文本 Char"/>
    <w:basedOn w:val="91"/>
    <w:link w:val="3"/>
    <w:qFormat/>
    <w:uiPriority w:val="0"/>
    <w:rPr>
      <w:rFonts w:ascii="Courier New" w:hAnsi="Courier New" w:cs="Courier New"/>
      <w:kern w:val="2"/>
      <w:sz w:val="24"/>
      <w:szCs w:val="24"/>
    </w:rPr>
  </w:style>
  <w:style w:type="paragraph" w:customStyle="1" w:styleId="299">
    <w:name w:val="样式 样式 样式 标题 1 + 段前: 1 行 + 行距: 固定值 22 磅 + 加粗"/>
    <w:basedOn w:val="1"/>
    <w:qFormat/>
    <w:uiPriority w:val="0"/>
    <w:pPr>
      <w:keepNext/>
      <w:keepLines/>
      <w:widowControl/>
      <w:tabs>
        <w:tab w:val="left" w:pos="432"/>
        <w:tab w:val="left" w:pos="1755"/>
      </w:tabs>
      <w:adjustRightInd w:val="0"/>
      <w:spacing w:before="100" w:after="100" w:afterAutospacing="1" w:line="740" w:lineRule="exact"/>
      <w:ind w:left="432" w:hanging="432"/>
      <w:jc w:val="center"/>
      <w:outlineLvl w:val="0"/>
    </w:pPr>
    <w:rPr>
      <w:rFonts w:ascii="Times New Roman" w:hAnsi="Times New Roman" w:eastAsia="黑体"/>
      <w:b/>
      <w:color w:val="FF0000"/>
      <w:kern w:val="44"/>
      <w:sz w:val="52"/>
      <w:szCs w:val="20"/>
    </w:rPr>
  </w:style>
  <w:style w:type="paragraph" w:customStyle="1" w:styleId="300">
    <w:name w:val="标题 1123"/>
    <w:basedOn w:val="1"/>
    <w:qFormat/>
    <w:uiPriority w:val="0"/>
    <w:pPr>
      <w:widowControl/>
      <w:spacing w:before="119" w:line="351" w:lineRule="atLeast"/>
      <w:ind w:firstLine="623"/>
      <w:jc w:val="left"/>
      <w:textAlignment w:val="baseline"/>
    </w:pPr>
    <w:rPr>
      <w:rFonts w:ascii="Times New Roman" w:hAnsi="Times New Roman" w:eastAsia="黑体"/>
      <w:color w:val="000000"/>
      <w:spacing w:val="5"/>
      <w:kern w:val="0"/>
      <w:sz w:val="44"/>
      <w:szCs w:val="20"/>
      <w:u w:color="000000"/>
    </w:rPr>
  </w:style>
  <w:style w:type="paragraph" w:customStyle="1" w:styleId="301">
    <w:name w:val="正文a）"/>
    <w:basedOn w:val="1"/>
    <w:qFormat/>
    <w:uiPriority w:val="0"/>
    <w:pPr>
      <w:widowControl/>
      <w:tabs>
        <w:tab w:val="left" w:pos="924"/>
      </w:tabs>
      <w:adjustRightInd w:val="0"/>
      <w:spacing w:line="300" w:lineRule="auto"/>
      <w:ind w:firstLine="567"/>
      <w:jc w:val="left"/>
      <w:textAlignment w:val="baseline"/>
    </w:pPr>
    <w:rPr>
      <w:rFonts w:ascii="宋体" w:hAnsi="宋体"/>
      <w:spacing w:val="20"/>
      <w:kern w:val="0"/>
      <w:sz w:val="28"/>
      <w:szCs w:val="20"/>
    </w:rPr>
  </w:style>
  <w:style w:type="paragraph" w:customStyle="1" w:styleId="302">
    <w:name w:val="样式11"/>
    <w:basedOn w:val="303"/>
    <w:qFormat/>
    <w:uiPriority w:val="0"/>
    <w:pPr>
      <w:tabs>
        <w:tab w:val="left" w:pos="360"/>
        <w:tab w:val="left" w:pos="572"/>
        <w:tab w:val="left" w:pos="1260"/>
      </w:tabs>
      <w:ind w:left="360" w:hanging="360"/>
    </w:pPr>
  </w:style>
  <w:style w:type="paragraph" w:customStyle="1" w:styleId="303">
    <w:name w:val="样式 正文编号（1） +1 Char Char Char Char Char Char"/>
    <w:basedOn w:val="1"/>
    <w:qFormat/>
    <w:uiPriority w:val="0"/>
    <w:pPr>
      <w:widowControl/>
      <w:tabs>
        <w:tab w:val="left" w:pos="572"/>
        <w:tab w:val="left" w:pos="1260"/>
      </w:tabs>
      <w:spacing w:line="520" w:lineRule="exact"/>
      <w:ind w:left="86" w:firstLine="454"/>
      <w:textAlignment w:val="baseline"/>
    </w:pPr>
    <w:rPr>
      <w:rFonts w:ascii="Times New Roman" w:hAnsi="Times New Roman"/>
      <w:color w:val="000000"/>
      <w:kern w:val="0"/>
      <w:sz w:val="28"/>
      <w:szCs w:val="20"/>
      <w:u w:color="000000"/>
    </w:rPr>
  </w:style>
  <w:style w:type="paragraph" w:customStyle="1" w:styleId="304">
    <w:name w:val="标题 11234"/>
    <w:basedOn w:val="1"/>
    <w:qFormat/>
    <w:uiPriority w:val="0"/>
    <w:pPr>
      <w:widowControl/>
      <w:spacing w:before="119" w:line="351" w:lineRule="atLeast"/>
      <w:ind w:firstLine="623"/>
      <w:jc w:val="left"/>
      <w:textAlignment w:val="baseline"/>
    </w:pPr>
    <w:rPr>
      <w:rFonts w:ascii="Times New Roman" w:hAnsi="Times New Roman" w:eastAsia="黑体"/>
      <w:color w:val="000000"/>
      <w:spacing w:val="5"/>
      <w:kern w:val="0"/>
      <w:sz w:val="44"/>
      <w:szCs w:val="20"/>
      <w:u w:color="000000"/>
    </w:rPr>
  </w:style>
  <w:style w:type="paragraph" w:customStyle="1" w:styleId="305">
    <w:name w:val="Char Char Char Char Char Char Char 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306">
    <w:name w:val="样式 标题 3 + 段前: 6 磅 段后: 6 磅"/>
    <w:basedOn w:val="5"/>
    <w:qFormat/>
    <w:uiPriority w:val="0"/>
    <w:pPr>
      <w:keepNext w:val="0"/>
      <w:keepLines w:val="0"/>
      <w:widowControl/>
      <w:spacing w:before="0" w:after="0" w:line="360" w:lineRule="auto"/>
      <w:ind w:firstLine="480" w:firstLineChars="200"/>
      <w:textAlignment w:val="baseline"/>
      <w:outlineLvl w:val="9"/>
    </w:pPr>
    <w:rPr>
      <w:rFonts w:ascii="Times New Roman" w:hAnsi="Times New Roman"/>
      <w:b w:val="0"/>
      <w:bCs/>
      <w:kern w:val="0"/>
      <w:sz w:val="24"/>
      <w:u w:color="000000"/>
    </w:rPr>
  </w:style>
  <w:style w:type="paragraph" w:customStyle="1" w:styleId="307">
    <w:name w:val="样式38"/>
    <w:basedOn w:val="284"/>
    <w:qFormat/>
    <w:uiPriority w:val="0"/>
    <w:pPr>
      <w:spacing w:line="460" w:lineRule="exact"/>
    </w:pPr>
    <w:rPr>
      <w:rFonts w:eastAsia="方正书宋"/>
      <w:bCs/>
      <w:color w:val="auto"/>
    </w:rPr>
  </w:style>
  <w:style w:type="paragraph" w:customStyle="1" w:styleId="308">
    <w:name w:val="正文（首行缩进两字）1"/>
    <w:basedOn w:val="1"/>
    <w:qFormat/>
    <w:uiPriority w:val="0"/>
    <w:pPr>
      <w:widowControl/>
      <w:spacing w:line="351" w:lineRule="atLeast"/>
      <w:ind w:firstLine="419"/>
      <w:jc w:val="left"/>
      <w:textAlignment w:val="baseline"/>
    </w:pPr>
    <w:rPr>
      <w:rFonts w:ascii="Times New Roman" w:hAnsi="Times New Roman"/>
      <w:color w:val="000000"/>
      <w:kern w:val="0"/>
      <w:sz w:val="24"/>
      <w:szCs w:val="20"/>
      <w:u w:color="000000"/>
    </w:rPr>
  </w:style>
  <w:style w:type="paragraph" w:customStyle="1" w:styleId="309">
    <w:name w:val="页脚12"/>
    <w:basedOn w:val="1"/>
    <w:qFormat/>
    <w:uiPriority w:val="0"/>
    <w:pPr>
      <w:widowControl/>
      <w:spacing w:line="351" w:lineRule="atLeast"/>
      <w:ind w:firstLine="504"/>
      <w:jc w:val="left"/>
      <w:textAlignment w:val="baseline"/>
    </w:pPr>
    <w:rPr>
      <w:rFonts w:ascii="Times New Roman" w:hAnsi="Times New Roman"/>
      <w:color w:val="000000"/>
      <w:kern w:val="0"/>
      <w:sz w:val="18"/>
      <w:szCs w:val="20"/>
      <w:u w:color="000000"/>
    </w:rPr>
  </w:style>
  <w:style w:type="paragraph" w:customStyle="1" w:styleId="310">
    <w:name w:val="正文文字"/>
    <w:basedOn w:val="1"/>
    <w:qFormat/>
    <w:uiPriority w:val="0"/>
    <w:pPr>
      <w:widowControl/>
      <w:textAlignment w:val="baseline"/>
    </w:pPr>
    <w:rPr>
      <w:rFonts w:ascii="Times New Roman" w:hAnsi="Times New Roman"/>
      <w:color w:val="000000"/>
      <w:kern w:val="0"/>
      <w:sz w:val="24"/>
      <w:szCs w:val="20"/>
      <w:u w:color="000000"/>
    </w:rPr>
  </w:style>
  <w:style w:type="paragraph" w:customStyle="1" w:styleId="311">
    <w:name w:val="xl4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12">
    <w:name w:val="样式 样式 标题 4 + 宋体 + 段前: 0 磅 段后: 0 磅 行距: 单倍行距"/>
    <w:basedOn w:val="1"/>
    <w:qFormat/>
    <w:uiPriority w:val="0"/>
    <w:pPr>
      <w:widowControl/>
      <w:spacing w:line="351" w:lineRule="atLeast"/>
      <w:ind w:firstLine="419"/>
      <w:jc w:val="left"/>
      <w:textAlignment w:val="baseline"/>
    </w:pPr>
    <w:rPr>
      <w:rFonts w:ascii="Times New Roman" w:hAnsi="Times New Roman"/>
      <w:color w:val="000000"/>
      <w:kern w:val="0"/>
      <w:sz w:val="24"/>
      <w:szCs w:val="20"/>
      <w:u w:color="000000"/>
    </w:rPr>
  </w:style>
  <w:style w:type="character" w:customStyle="1" w:styleId="313">
    <w:name w:val="HTML 预设格式 Char"/>
    <w:basedOn w:val="91"/>
    <w:link w:val="80"/>
    <w:qFormat/>
    <w:uiPriority w:val="0"/>
    <w:rPr>
      <w:rFonts w:ascii="Courier New" w:hAnsi="Courier New" w:cs="Courier New"/>
      <w:kern w:val="2"/>
    </w:rPr>
  </w:style>
  <w:style w:type="paragraph" w:customStyle="1" w:styleId="31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315">
    <w:name w:val="签名 Char"/>
    <w:basedOn w:val="91"/>
    <w:link w:val="58"/>
    <w:qFormat/>
    <w:uiPriority w:val="0"/>
    <w:rPr>
      <w:kern w:val="2"/>
      <w:sz w:val="21"/>
      <w:szCs w:val="24"/>
    </w:rPr>
  </w:style>
  <w:style w:type="paragraph" w:customStyle="1" w:styleId="316">
    <w:name w:val="样式 标题 1 + 小二 黑色"/>
    <w:basedOn w:val="4"/>
    <w:qFormat/>
    <w:uiPriority w:val="0"/>
    <w:pPr>
      <w:suppressLineNumbers/>
      <w:tabs>
        <w:tab w:val="left" w:pos="4140"/>
      </w:tabs>
      <w:adjustRightInd w:val="0"/>
      <w:snapToGrid w:val="0"/>
      <w:spacing w:line="578" w:lineRule="atLeast"/>
      <w:jc w:val="center"/>
      <w:textAlignment w:val="baseline"/>
    </w:pPr>
    <w:rPr>
      <w:rFonts w:ascii="Times New Roman" w:hAnsi="Times New Roman"/>
      <w:color w:val="000000"/>
      <w:sz w:val="32"/>
      <w:szCs w:val="32"/>
    </w:rPr>
  </w:style>
  <w:style w:type="paragraph" w:customStyle="1" w:styleId="31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318">
    <w:name w:val="结束语 Char"/>
    <w:basedOn w:val="91"/>
    <w:link w:val="32"/>
    <w:qFormat/>
    <w:uiPriority w:val="0"/>
    <w:rPr>
      <w:kern w:val="2"/>
      <w:sz w:val="21"/>
      <w:szCs w:val="24"/>
    </w:rPr>
  </w:style>
  <w:style w:type="paragraph" w:customStyle="1" w:styleId="319">
    <w:name w:val="样式24"/>
    <w:basedOn w:val="5"/>
    <w:qFormat/>
    <w:uiPriority w:val="0"/>
    <w:pPr>
      <w:spacing w:before="240" w:beforeLines="100" w:after="240" w:afterLines="100" w:line="240" w:lineRule="auto"/>
      <w:jc w:val="left"/>
    </w:pPr>
    <w:rPr>
      <w:rFonts w:ascii="Times New Roman" w:hAnsi="Times New Roman"/>
      <w:bCs/>
      <w:kern w:val="32"/>
      <w:szCs w:val="32"/>
    </w:rPr>
  </w:style>
  <w:style w:type="character" w:customStyle="1" w:styleId="320">
    <w:name w:val="电子邮件签名 Char"/>
    <w:basedOn w:val="91"/>
    <w:link w:val="19"/>
    <w:qFormat/>
    <w:uiPriority w:val="0"/>
    <w:rPr>
      <w:kern w:val="2"/>
      <w:sz w:val="21"/>
      <w:szCs w:val="24"/>
    </w:rPr>
  </w:style>
  <w:style w:type="paragraph" w:customStyle="1" w:styleId="321">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color w:val="FF0000"/>
      <w:kern w:val="0"/>
      <w:sz w:val="20"/>
      <w:szCs w:val="20"/>
    </w:rPr>
  </w:style>
  <w:style w:type="character" w:customStyle="1" w:styleId="322">
    <w:name w:val="注释标题 Char"/>
    <w:basedOn w:val="91"/>
    <w:link w:val="16"/>
    <w:qFormat/>
    <w:uiPriority w:val="0"/>
    <w:rPr>
      <w:kern w:val="2"/>
      <w:sz w:val="21"/>
      <w:szCs w:val="24"/>
    </w:rPr>
  </w:style>
  <w:style w:type="paragraph" w:customStyle="1" w:styleId="323">
    <w:name w:val="页眉123"/>
    <w:basedOn w:val="1"/>
    <w:qFormat/>
    <w:uiPriority w:val="0"/>
    <w:pPr>
      <w:widowControl/>
      <w:spacing w:line="351" w:lineRule="atLeast"/>
      <w:jc w:val="center"/>
      <w:textAlignment w:val="baseline"/>
    </w:pPr>
    <w:rPr>
      <w:rFonts w:ascii="Times New Roman" w:hAnsi="Times New Roman" w:eastAsia="楷体_GB2312"/>
      <w:i/>
      <w:color w:val="000000"/>
      <w:kern w:val="0"/>
      <w:sz w:val="15"/>
      <w:szCs w:val="20"/>
      <w:u w:color="000000"/>
    </w:rPr>
  </w:style>
  <w:style w:type="paragraph" w:customStyle="1" w:styleId="324">
    <w:name w:val="条款正文"/>
    <w:basedOn w:val="1"/>
    <w:qFormat/>
    <w:uiPriority w:val="0"/>
    <w:pPr>
      <w:adjustRightInd w:val="0"/>
      <w:snapToGrid w:val="0"/>
      <w:ind w:left="840" w:leftChars="400" w:firstLine="420" w:firstLineChars="200"/>
    </w:pPr>
    <w:rPr>
      <w:rFonts w:ascii="Times New Roman" w:hAnsi="Times New Roman"/>
    </w:rPr>
  </w:style>
  <w:style w:type="paragraph" w:customStyle="1" w:styleId="325">
    <w:name w:val="表格标题（左对齐）"/>
    <w:basedOn w:val="1"/>
    <w:qFormat/>
    <w:uiPriority w:val="0"/>
    <w:pPr>
      <w:widowControl/>
      <w:spacing w:before="120" w:after="240" w:line="20" w:lineRule="atLeast"/>
      <w:jc w:val="center"/>
    </w:pPr>
    <w:rPr>
      <w:rFonts w:ascii="黑体" w:hAnsi="宋体" w:eastAsia="黑体"/>
      <w:b/>
      <w:kern w:val="0"/>
      <w:sz w:val="28"/>
      <w:szCs w:val="20"/>
    </w:rPr>
  </w:style>
  <w:style w:type="paragraph" w:customStyle="1" w:styleId="326">
    <w:name w:val="样式33"/>
    <w:basedOn w:val="284"/>
    <w:qFormat/>
    <w:uiPriority w:val="0"/>
    <w:pPr>
      <w:spacing w:line="460" w:lineRule="exact"/>
    </w:pPr>
    <w:rPr>
      <w:rFonts w:eastAsia="方正书宋"/>
      <w:bCs/>
      <w:color w:val="auto"/>
    </w:rPr>
  </w:style>
  <w:style w:type="paragraph" w:customStyle="1" w:styleId="32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rPr>
  </w:style>
  <w:style w:type="paragraph" w:customStyle="1" w:styleId="328">
    <w:name w:val="列出段落1"/>
    <w:basedOn w:val="1"/>
    <w:qFormat/>
    <w:uiPriority w:val="34"/>
    <w:pPr>
      <w:ind w:firstLine="420" w:firstLineChars="200"/>
    </w:pPr>
    <w:rPr>
      <w:rFonts w:ascii="Times New Roman" w:hAnsi="Times New Roman"/>
    </w:rPr>
  </w:style>
  <w:style w:type="character" w:customStyle="1" w:styleId="329">
    <w:name w:val="正文文本 Char2"/>
    <w:basedOn w:val="91"/>
    <w:link w:val="34"/>
    <w:qFormat/>
    <w:uiPriority w:val="0"/>
    <w:rPr>
      <w:rFonts w:ascii="宋体" w:hAnsi="宋体"/>
      <w:kern w:val="2"/>
      <w:sz w:val="24"/>
    </w:rPr>
  </w:style>
  <w:style w:type="character" w:customStyle="1" w:styleId="330">
    <w:name w:val="正文首行缩进 Char"/>
    <w:basedOn w:val="329"/>
    <w:link w:val="86"/>
    <w:qFormat/>
    <w:uiPriority w:val="0"/>
    <w:rPr>
      <w:rFonts w:ascii="宋体" w:hAnsi="宋体"/>
      <w:kern w:val="2"/>
      <w:sz w:val="21"/>
    </w:rPr>
  </w:style>
  <w:style w:type="paragraph" w:customStyle="1" w:styleId="331">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z w:val="24"/>
      <w:szCs w:val="28"/>
      <w:lang w:val="en-US" w:eastAsia="zh-CN" w:bidi="ar-SA"/>
    </w:rPr>
  </w:style>
  <w:style w:type="paragraph" w:customStyle="1" w:styleId="332">
    <w:name w:val="Char"/>
    <w:basedOn w:val="1"/>
    <w:qFormat/>
    <w:uiPriority w:val="0"/>
    <w:pPr>
      <w:spacing w:line="360" w:lineRule="auto"/>
      <w:ind w:firstLine="200" w:firstLineChars="200"/>
    </w:pPr>
    <w:rPr>
      <w:rFonts w:ascii="宋体" w:hAnsi="宋体" w:cs="宋体"/>
      <w:sz w:val="24"/>
    </w:rPr>
  </w:style>
  <w:style w:type="paragraph" w:customStyle="1" w:styleId="333">
    <w:name w:val="标题 6123"/>
    <w:basedOn w:val="1"/>
    <w:qFormat/>
    <w:uiPriority w:val="0"/>
    <w:pPr>
      <w:widowControl/>
      <w:spacing w:before="62" w:line="351" w:lineRule="atLeast"/>
      <w:ind w:firstLine="623"/>
      <w:jc w:val="left"/>
      <w:textAlignment w:val="baseline"/>
    </w:pPr>
    <w:rPr>
      <w:rFonts w:ascii="Arial" w:hAnsi="Times New Roman" w:eastAsia="黑体"/>
      <w:b/>
      <w:color w:val="000000"/>
      <w:spacing w:val="5"/>
      <w:kern w:val="0"/>
      <w:sz w:val="24"/>
      <w:szCs w:val="20"/>
      <w:u w:color="000000"/>
    </w:rPr>
  </w:style>
  <w:style w:type="paragraph" w:customStyle="1" w:styleId="334">
    <w:name w:val="Char Char1 Char Char Char Char Char Char Char Char Char"/>
    <w:basedOn w:val="1"/>
    <w:qFormat/>
    <w:uiPriority w:val="0"/>
    <w:pPr>
      <w:adjustRightInd w:val="0"/>
      <w:snapToGrid w:val="0"/>
      <w:spacing w:line="360" w:lineRule="auto"/>
      <w:ind w:firstLine="200" w:firstLineChars="200"/>
    </w:pPr>
    <w:rPr>
      <w:rFonts w:ascii="宋体" w:hAnsi="宋体"/>
      <w:snapToGrid w:val="0"/>
      <w:sz w:val="24"/>
      <w:szCs w:val="20"/>
    </w:rPr>
  </w:style>
  <w:style w:type="paragraph" w:customStyle="1" w:styleId="335">
    <w:name w:val="Char Char Char Char Char Char Char1"/>
    <w:basedOn w:val="1"/>
    <w:qFormat/>
    <w:uiPriority w:val="0"/>
    <w:pPr>
      <w:spacing w:line="360" w:lineRule="auto"/>
      <w:ind w:firstLine="200" w:firstLineChars="200"/>
    </w:pPr>
    <w:rPr>
      <w:rFonts w:ascii="宋体" w:hAnsi="宋体"/>
      <w:sz w:val="24"/>
      <w:szCs w:val="20"/>
    </w:rPr>
  </w:style>
  <w:style w:type="paragraph" w:customStyle="1" w:styleId="336">
    <w:name w:val="样式7"/>
    <w:basedOn w:val="6"/>
    <w:qFormat/>
    <w:uiPriority w:val="0"/>
    <w:pPr>
      <w:spacing w:before="240" w:beforeLines="100" w:after="240" w:afterLines="100" w:line="240" w:lineRule="auto"/>
      <w:jc w:val="left"/>
    </w:pPr>
    <w:rPr>
      <w:rFonts w:ascii="Times New Roman" w:hAnsi="Times New Roman"/>
      <w:kern w:val="28"/>
      <w:sz w:val="24"/>
      <w:szCs w:val="24"/>
    </w:rPr>
  </w:style>
  <w:style w:type="character" w:customStyle="1" w:styleId="337">
    <w:name w:val="HTML 地址 Char"/>
    <w:basedOn w:val="91"/>
    <w:link w:val="41"/>
    <w:qFormat/>
    <w:uiPriority w:val="0"/>
    <w:rPr>
      <w:i/>
      <w:iCs/>
      <w:kern w:val="2"/>
      <w:sz w:val="21"/>
      <w:szCs w:val="24"/>
    </w:rPr>
  </w:style>
  <w:style w:type="paragraph" w:customStyle="1" w:styleId="338">
    <w:name w:val="Char Char Char Char Char Char Char Char Char Char Char Char1"/>
    <w:basedOn w:val="1"/>
    <w:qFormat/>
    <w:uiPriority w:val="0"/>
    <w:pPr>
      <w:adjustRightInd w:val="0"/>
      <w:snapToGrid w:val="0"/>
      <w:spacing w:line="360" w:lineRule="auto"/>
      <w:ind w:firstLine="200" w:firstLineChars="200"/>
    </w:pPr>
    <w:rPr>
      <w:rFonts w:ascii="宋体" w:hAnsi="宋体"/>
      <w:snapToGrid w:val="0"/>
      <w:sz w:val="24"/>
      <w:szCs w:val="20"/>
    </w:rPr>
  </w:style>
  <w:style w:type="paragraph" w:customStyle="1" w:styleId="339">
    <w:name w:val="font14"/>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40">
    <w:name w:val="样式 样式 样式3 + 段前: 2.5 行 + 段前: 2 行"/>
    <w:basedOn w:val="341"/>
    <w:qFormat/>
    <w:uiPriority w:val="0"/>
    <w:pPr>
      <w:tabs>
        <w:tab w:val="left" w:pos="840"/>
        <w:tab w:val="left" w:pos="1260"/>
      </w:tabs>
      <w:spacing w:before="150" w:after="100" w:afterAutospacing="1" w:line="240" w:lineRule="auto"/>
    </w:pPr>
    <w:rPr>
      <w:rFonts w:ascii="Times New Roman" w:hAnsi="Times New Roman" w:eastAsia="宋体"/>
    </w:rPr>
  </w:style>
  <w:style w:type="paragraph" w:customStyle="1" w:styleId="341">
    <w:name w:val="样式 样式3 + 段前: 2.5 行"/>
    <w:basedOn w:val="342"/>
    <w:qFormat/>
    <w:uiPriority w:val="0"/>
    <w:pPr>
      <w:widowControl/>
      <w:tabs>
        <w:tab w:val="left" w:pos="840"/>
        <w:tab w:val="left" w:pos="1260"/>
      </w:tabs>
      <w:spacing w:before="200" w:beforeLines="0" w:after="120" w:afterLines="0" w:line="460" w:lineRule="exact"/>
      <w:ind w:left="840" w:hanging="840"/>
      <w:jc w:val="both"/>
    </w:pPr>
    <w:rPr>
      <w:rFonts w:ascii="宋体" w:hAnsi="宋体" w:eastAsia="方正书宋"/>
      <w:color w:val="000000"/>
      <w:kern w:val="44"/>
      <w:sz w:val="30"/>
      <w:szCs w:val="20"/>
    </w:rPr>
  </w:style>
  <w:style w:type="paragraph" w:customStyle="1" w:styleId="342">
    <w:name w:val="样式3"/>
    <w:basedOn w:val="2"/>
    <w:qFormat/>
    <w:uiPriority w:val="0"/>
    <w:pPr>
      <w:spacing w:before="240" w:beforeLines="100" w:after="240" w:afterLines="100" w:line="240" w:lineRule="auto"/>
      <w:jc w:val="left"/>
    </w:pPr>
    <w:rPr>
      <w:rFonts w:ascii="Times New Roman" w:hAnsi="Times New Roman" w:eastAsia="宋体"/>
      <w:kern w:val="32"/>
      <w:sz w:val="36"/>
      <w:szCs w:val="36"/>
    </w:rPr>
  </w:style>
  <w:style w:type="paragraph" w:customStyle="1" w:styleId="343">
    <w:name w:val="样式30"/>
    <w:basedOn w:val="4"/>
    <w:qFormat/>
    <w:uiPriority w:val="0"/>
    <w:pPr>
      <w:spacing w:before="312" w:beforeLines="100" w:after="312" w:afterLines="100" w:line="240" w:lineRule="auto"/>
      <w:jc w:val="left"/>
    </w:pPr>
    <w:rPr>
      <w:rFonts w:ascii="Times New Roman" w:hAnsi="Times New Roman"/>
      <w:kern w:val="52"/>
      <w:sz w:val="36"/>
      <w:szCs w:val="36"/>
    </w:rPr>
  </w:style>
  <w:style w:type="paragraph" w:customStyle="1" w:styleId="344">
    <w:name w:val="样式49"/>
    <w:basedOn w:val="345"/>
    <w:qFormat/>
    <w:uiPriority w:val="0"/>
    <w:pPr>
      <w:spacing w:before="312" w:beforeLines="100" w:after="312" w:afterLines="100"/>
    </w:pPr>
    <w:rPr>
      <w:rFonts w:eastAsia="宋体"/>
    </w:rPr>
  </w:style>
  <w:style w:type="paragraph" w:customStyle="1" w:styleId="345">
    <w:name w:val="样式32"/>
    <w:basedOn w:val="1"/>
    <w:qFormat/>
    <w:uiPriority w:val="0"/>
    <w:pPr>
      <w:keepNext/>
      <w:keepLines/>
      <w:spacing w:line="480" w:lineRule="exact"/>
      <w:jc w:val="left"/>
      <w:outlineLvl w:val="3"/>
    </w:pPr>
    <w:rPr>
      <w:rFonts w:ascii="Times New Roman" w:hAnsi="Times New Roman" w:eastAsia="方正书宋"/>
      <w:b/>
      <w:bCs/>
      <w:kern w:val="28"/>
      <w:sz w:val="24"/>
    </w:rPr>
  </w:style>
  <w:style w:type="paragraph" w:customStyle="1" w:styleId="346">
    <w:name w:val="样式 标题 2 + 行距: 固定值 22 磅"/>
    <w:basedOn w:val="2"/>
    <w:qFormat/>
    <w:uiPriority w:val="0"/>
    <w:pPr>
      <w:widowControl/>
      <w:tabs>
        <w:tab w:val="left" w:pos="1080"/>
        <w:tab w:val="left" w:pos="1260"/>
      </w:tabs>
      <w:adjustRightInd w:val="0"/>
      <w:spacing w:before="100" w:beforeAutospacing="1" w:after="100" w:afterAutospacing="1" w:line="600" w:lineRule="exact"/>
    </w:pPr>
    <w:rPr>
      <w:rFonts w:ascii="Times New Roman" w:hAnsi="Times New Roman" w:eastAsia="楷体_GB2312"/>
      <w:bCs w:val="0"/>
      <w:color w:val="0000FF"/>
      <w:kern w:val="0"/>
      <w:sz w:val="48"/>
      <w:szCs w:val="20"/>
    </w:rPr>
  </w:style>
  <w:style w:type="paragraph" w:customStyle="1" w:styleId="347">
    <w:name w:val="样式 标题 2 + Times New Roman 首行缩进:  2 字符"/>
    <w:basedOn w:val="2"/>
    <w:qFormat/>
    <w:uiPriority w:val="0"/>
    <w:pPr>
      <w:adjustRightInd w:val="0"/>
      <w:snapToGrid w:val="0"/>
      <w:spacing w:before="0" w:after="0" w:line="360" w:lineRule="auto"/>
    </w:pPr>
    <w:rPr>
      <w:rFonts w:ascii="Times New Roman" w:hAnsi="Times New Roman" w:eastAsia="宋体"/>
      <w:bCs w:val="0"/>
      <w:snapToGrid w:val="0"/>
      <w:color w:val="000000"/>
      <w:sz w:val="30"/>
      <w:szCs w:val="20"/>
    </w:rPr>
  </w:style>
  <w:style w:type="paragraph" w:customStyle="1" w:styleId="348">
    <w:name w:val="标题 41"/>
    <w:basedOn w:val="1"/>
    <w:qFormat/>
    <w:uiPriority w:val="0"/>
    <w:pPr>
      <w:widowControl/>
      <w:spacing w:line="351" w:lineRule="atLeast"/>
      <w:ind w:firstLine="674"/>
      <w:jc w:val="left"/>
      <w:textAlignment w:val="baseline"/>
    </w:pPr>
    <w:rPr>
      <w:rFonts w:ascii="Times New Roman" w:hAnsi="Times New Roman" w:eastAsia="楷体_GB2312"/>
      <w:color w:val="000000"/>
      <w:spacing w:val="5"/>
      <w:kern w:val="0"/>
      <w:sz w:val="32"/>
      <w:szCs w:val="20"/>
      <w:u w:color="000000"/>
    </w:rPr>
  </w:style>
  <w:style w:type="paragraph" w:customStyle="1" w:styleId="349">
    <w:name w:val="文章副标题"/>
    <w:basedOn w:val="1"/>
    <w:next w:val="350"/>
    <w:qFormat/>
    <w:uiPriority w:val="0"/>
    <w:pPr>
      <w:widowControl/>
      <w:spacing w:before="187" w:after="175" w:line="374" w:lineRule="atLeast"/>
      <w:ind w:firstLine="200" w:firstLineChars="200"/>
      <w:jc w:val="center"/>
      <w:textAlignment w:val="baseline"/>
    </w:pPr>
    <w:rPr>
      <w:rFonts w:ascii="Times New Roman" w:hAnsi="Times New Roman"/>
      <w:color w:val="000000"/>
      <w:kern w:val="0"/>
      <w:sz w:val="36"/>
      <w:szCs w:val="20"/>
      <w:u w:color="000000"/>
    </w:rPr>
  </w:style>
  <w:style w:type="paragraph" w:customStyle="1" w:styleId="350">
    <w:name w:val="章标题"/>
    <w:basedOn w:val="1"/>
    <w:next w:val="351"/>
    <w:qFormat/>
    <w:uiPriority w:val="0"/>
    <w:pPr>
      <w:widowControl/>
      <w:adjustRightInd w:val="0"/>
      <w:snapToGrid w:val="0"/>
      <w:spacing w:before="158" w:after="153" w:line="323" w:lineRule="atLeast"/>
      <w:ind w:firstLine="200" w:firstLineChars="200"/>
      <w:jc w:val="center"/>
      <w:textAlignment w:val="baseline"/>
    </w:pPr>
    <w:rPr>
      <w:rFonts w:ascii="Arial" w:hAnsi="Times New Roman" w:eastAsia="黑体"/>
      <w:snapToGrid w:val="0"/>
      <w:color w:val="000000"/>
      <w:kern w:val="0"/>
      <w:sz w:val="31"/>
      <w:szCs w:val="20"/>
      <w:u w:color="000000"/>
    </w:rPr>
  </w:style>
  <w:style w:type="paragraph" w:customStyle="1" w:styleId="351">
    <w:name w:val="节标题"/>
    <w:basedOn w:val="1"/>
    <w:next w:val="352"/>
    <w:qFormat/>
    <w:uiPriority w:val="0"/>
    <w:pPr>
      <w:widowControl/>
      <w:adjustRightInd w:val="0"/>
      <w:snapToGrid w:val="0"/>
      <w:spacing w:line="289" w:lineRule="atLeast"/>
      <w:ind w:firstLine="200" w:firstLineChars="200"/>
      <w:jc w:val="center"/>
      <w:textAlignment w:val="baseline"/>
    </w:pPr>
    <w:rPr>
      <w:rFonts w:ascii="Times New Roman" w:hAnsi="Times New Roman"/>
      <w:snapToGrid w:val="0"/>
      <w:color w:val="000000"/>
      <w:kern w:val="0"/>
      <w:sz w:val="28"/>
      <w:szCs w:val="20"/>
      <w:u w:color="000000"/>
    </w:rPr>
  </w:style>
  <w:style w:type="paragraph" w:customStyle="1" w:styleId="352">
    <w:name w:val="小节标题"/>
    <w:basedOn w:val="1"/>
    <w:next w:val="1"/>
    <w:qFormat/>
    <w:uiPriority w:val="0"/>
    <w:pPr>
      <w:widowControl/>
      <w:adjustRightInd w:val="0"/>
      <w:snapToGrid w:val="0"/>
      <w:spacing w:before="175" w:after="102" w:line="351" w:lineRule="atLeast"/>
      <w:ind w:firstLine="200" w:firstLineChars="200"/>
      <w:textAlignment w:val="baseline"/>
    </w:pPr>
    <w:rPr>
      <w:rFonts w:ascii="Times New Roman" w:hAnsi="Times New Roman" w:eastAsia="黑体"/>
      <w:snapToGrid w:val="0"/>
      <w:color w:val="000000"/>
      <w:kern w:val="0"/>
      <w:sz w:val="24"/>
      <w:szCs w:val="20"/>
      <w:u w:color="000000"/>
    </w:rPr>
  </w:style>
  <w:style w:type="paragraph" w:customStyle="1" w:styleId="353">
    <w:name w:val="样式 样式 首行缩进:  2 字符 + 首行缩进:  2 字符3"/>
    <w:basedOn w:val="354"/>
    <w:qFormat/>
    <w:uiPriority w:val="0"/>
    <w:pPr>
      <w:spacing w:line="600" w:lineRule="exact"/>
      <w:ind w:firstLine="200"/>
    </w:pPr>
  </w:style>
  <w:style w:type="paragraph" w:customStyle="1" w:styleId="354">
    <w:name w:val="样式 首行缩进:  2 字符"/>
    <w:basedOn w:val="1"/>
    <w:qFormat/>
    <w:uiPriority w:val="0"/>
    <w:pPr>
      <w:widowControl/>
      <w:adjustRightInd w:val="0"/>
      <w:snapToGrid w:val="0"/>
      <w:spacing w:line="360" w:lineRule="auto"/>
      <w:ind w:firstLine="520" w:firstLineChars="200"/>
      <w:textAlignment w:val="baseline"/>
    </w:pPr>
    <w:rPr>
      <w:rFonts w:ascii="Times New Roman" w:hAnsi="Times New Roman"/>
      <w:snapToGrid w:val="0"/>
      <w:color w:val="000000"/>
      <w:kern w:val="0"/>
      <w:sz w:val="28"/>
      <w:szCs w:val="20"/>
      <w:u w:color="000000"/>
    </w:rPr>
  </w:style>
  <w:style w:type="paragraph" w:customStyle="1" w:styleId="355">
    <w:name w:val="Date1"/>
    <w:basedOn w:val="1"/>
    <w:next w:val="1"/>
    <w:qFormat/>
    <w:uiPriority w:val="0"/>
    <w:pPr>
      <w:widowControl/>
      <w:adjustRightInd w:val="0"/>
      <w:jc w:val="left"/>
      <w:textAlignment w:val="baseline"/>
    </w:pPr>
    <w:rPr>
      <w:rFonts w:ascii="Times New Roman" w:hAnsi="Times New Roman"/>
      <w:kern w:val="0"/>
      <w:sz w:val="28"/>
      <w:szCs w:val="20"/>
    </w:rPr>
  </w:style>
  <w:style w:type="paragraph" w:customStyle="1" w:styleId="356">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57">
    <w:name w:val="正文文字1234"/>
    <w:basedOn w:val="1"/>
    <w:qFormat/>
    <w:uiPriority w:val="0"/>
    <w:pPr>
      <w:widowControl/>
      <w:spacing w:line="351" w:lineRule="atLeast"/>
      <w:ind w:firstLine="674"/>
      <w:jc w:val="left"/>
      <w:textAlignment w:val="baseline"/>
    </w:pPr>
    <w:rPr>
      <w:rFonts w:ascii="Times New Roman" w:hAnsi="Times New Roman"/>
      <w:color w:val="000000"/>
      <w:spacing w:val="11"/>
      <w:kern w:val="0"/>
      <w:sz w:val="28"/>
      <w:szCs w:val="20"/>
      <w:u w:color="000000"/>
    </w:rPr>
  </w:style>
  <w:style w:type="paragraph" w:customStyle="1" w:styleId="358">
    <w:name w:val="样式39"/>
    <w:basedOn w:val="359"/>
    <w:qFormat/>
    <w:uiPriority w:val="0"/>
    <w:rPr>
      <w:rFonts w:eastAsia="宋体"/>
    </w:rPr>
  </w:style>
  <w:style w:type="paragraph" w:customStyle="1" w:styleId="359">
    <w:name w:val="样式34"/>
    <w:basedOn w:val="284"/>
    <w:uiPriority w:val="0"/>
    <w:pPr>
      <w:spacing w:line="460" w:lineRule="exact"/>
    </w:pPr>
    <w:rPr>
      <w:rFonts w:eastAsia="方正书宋"/>
      <w:bCs/>
      <w:color w:val="auto"/>
    </w:rPr>
  </w:style>
  <w:style w:type="paragraph" w:customStyle="1" w:styleId="360">
    <w:name w:val="Char Char1 Char"/>
    <w:basedOn w:val="1"/>
    <w:qFormat/>
    <w:uiPriority w:val="0"/>
    <w:pPr>
      <w:spacing w:line="360" w:lineRule="auto"/>
      <w:ind w:firstLine="200" w:firstLineChars="200"/>
    </w:pPr>
    <w:rPr>
      <w:rFonts w:ascii="宋体" w:hAnsi="宋体"/>
      <w:sz w:val="24"/>
      <w:szCs w:val="20"/>
    </w:rPr>
  </w:style>
  <w:style w:type="paragraph" w:customStyle="1" w:styleId="361">
    <w:name w:val="样式 样式3 + 段前: 1 行 段后: 0.5 行"/>
    <w:basedOn w:val="342"/>
    <w:qFormat/>
    <w:uiPriority w:val="0"/>
    <w:pPr>
      <w:widowControl/>
      <w:tabs>
        <w:tab w:val="left" w:pos="720"/>
        <w:tab w:val="left" w:pos="1260"/>
        <w:tab w:val="left" w:pos="1755"/>
      </w:tabs>
      <w:spacing w:beforeLines="0" w:after="120" w:afterLines="0" w:line="460" w:lineRule="exact"/>
      <w:ind w:left="1260" w:hanging="420"/>
      <w:jc w:val="both"/>
    </w:pPr>
    <w:rPr>
      <w:rFonts w:ascii="宋体" w:hAnsi="宋体" w:eastAsia="方正书宋"/>
      <w:color w:val="000000"/>
      <w:kern w:val="44"/>
      <w:sz w:val="30"/>
      <w:szCs w:val="20"/>
    </w:rPr>
  </w:style>
  <w:style w:type="paragraph" w:customStyle="1" w:styleId="362">
    <w:name w:val="页眉1"/>
    <w:basedOn w:val="1"/>
    <w:uiPriority w:val="0"/>
    <w:pPr>
      <w:widowControl/>
      <w:spacing w:line="351" w:lineRule="atLeast"/>
      <w:ind w:firstLine="419"/>
      <w:jc w:val="center"/>
      <w:textAlignment w:val="baseline"/>
    </w:pPr>
    <w:rPr>
      <w:rFonts w:ascii="Times New Roman" w:hAnsi="Times New Roman"/>
      <w:color w:val="000000"/>
      <w:spacing w:val="11"/>
      <w:kern w:val="0"/>
      <w:sz w:val="18"/>
      <w:szCs w:val="20"/>
      <w:u w:color="000000"/>
    </w:rPr>
  </w:style>
  <w:style w:type="paragraph" w:customStyle="1" w:styleId="363">
    <w:name w:val="Char Char Char Char Char Char1 Char Char Char Char"/>
    <w:basedOn w:val="1"/>
    <w:qFormat/>
    <w:uiPriority w:val="0"/>
    <w:pPr>
      <w:spacing w:line="360" w:lineRule="auto"/>
      <w:ind w:firstLine="200" w:firstLineChars="200"/>
    </w:pPr>
    <w:rPr>
      <w:rFonts w:ascii="宋体" w:hAnsi="宋体" w:cs="宋体"/>
      <w:sz w:val="24"/>
    </w:rPr>
  </w:style>
  <w:style w:type="paragraph" w:customStyle="1" w:styleId="364">
    <w:name w:val="00"/>
    <w:basedOn w:val="1"/>
    <w:uiPriority w:val="0"/>
    <w:pPr>
      <w:spacing w:before="156" w:beforeLines="50" w:after="156" w:afterLines="50" w:line="480" w:lineRule="exact"/>
      <w:jc w:val="left"/>
    </w:pPr>
    <w:rPr>
      <w:rFonts w:ascii="宋体" w:hAnsi="宋体"/>
      <w:b/>
      <w:szCs w:val="21"/>
    </w:rPr>
  </w:style>
  <w:style w:type="paragraph" w:customStyle="1" w:styleId="365">
    <w:name w:val="正文a）1"/>
    <w:basedOn w:val="1"/>
    <w:qFormat/>
    <w:uiPriority w:val="0"/>
    <w:pPr>
      <w:widowControl/>
      <w:spacing w:line="351" w:lineRule="atLeast"/>
      <w:ind w:firstLine="419"/>
      <w:jc w:val="left"/>
      <w:textAlignment w:val="baseline"/>
    </w:pPr>
    <w:rPr>
      <w:rFonts w:ascii="宋体" w:hAnsi="Times New Roman"/>
      <w:color w:val="000000"/>
      <w:spacing w:val="5"/>
      <w:kern w:val="0"/>
      <w:sz w:val="28"/>
      <w:szCs w:val="20"/>
      <w:u w:color="000000"/>
    </w:rPr>
  </w:style>
  <w:style w:type="paragraph" w:customStyle="1" w:styleId="366">
    <w:name w:val="xl3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7">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68">
    <w:name w:val="目录1"/>
    <w:basedOn w:val="1"/>
    <w:next w:val="1"/>
    <w:qFormat/>
    <w:uiPriority w:val="0"/>
    <w:pPr>
      <w:widowControl/>
      <w:tabs>
        <w:tab w:val="left" w:leader="dot" w:pos="8503"/>
      </w:tabs>
      <w:adjustRightInd w:val="0"/>
      <w:snapToGrid w:val="0"/>
      <w:spacing w:after="102" w:line="215" w:lineRule="atLeast"/>
      <w:ind w:firstLine="419" w:firstLineChars="200"/>
      <w:jc w:val="left"/>
      <w:textAlignment w:val="baseline"/>
    </w:pPr>
    <w:rPr>
      <w:rFonts w:ascii="Times New Roman" w:hAnsi="Times New Roman"/>
      <w:snapToGrid w:val="0"/>
      <w:color w:val="000000"/>
      <w:kern w:val="0"/>
      <w:sz w:val="24"/>
      <w:szCs w:val="20"/>
      <w:u w:color="000000"/>
    </w:rPr>
  </w:style>
  <w:style w:type="paragraph" w:customStyle="1" w:styleId="369">
    <w:name w:val="样式 标题 3小节标题 3XW3h33rd levelH3l3CT +"/>
    <w:basedOn w:val="5"/>
    <w:qFormat/>
    <w:uiPriority w:val="0"/>
    <w:pPr>
      <w:keepNext w:val="0"/>
      <w:keepLines w:val="0"/>
      <w:spacing w:before="50" w:after="50" w:line="500" w:lineRule="exact"/>
      <w:ind w:firstLine="200" w:firstLineChars="200"/>
      <w:textAlignment w:val="baseline"/>
    </w:pPr>
    <w:rPr>
      <w:rFonts w:ascii="宋体" w:hAnsi="宋体" w:eastAsia="黑体"/>
      <w:kern w:val="0"/>
      <w:sz w:val="28"/>
      <w:u w:color="000000"/>
    </w:rPr>
  </w:style>
  <w:style w:type="paragraph" w:customStyle="1" w:styleId="370">
    <w:name w:val="样式8"/>
    <w:basedOn w:val="5"/>
    <w:uiPriority w:val="0"/>
    <w:pPr>
      <w:widowControl/>
      <w:tabs>
        <w:tab w:val="left" w:pos="897"/>
        <w:tab w:val="left" w:pos="1361"/>
      </w:tabs>
      <w:spacing w:before="100" w:beforeAutospacing="1" w:after="100" w:afterAutospacing="1" w:line="425" w:lineRule="atLeast"/>
      <w:jc w:val="left"/>
      <w:textAlignment w:val="baseline"/>
    </w:pPr>
    <w:rPr>
      <w:rFonts w:ascii="Times New Roman" w:hAnsi="Times New Roman" w:eastAsia="黑体"/>
      <w:b w:val="0"/>
      <w:bCs/>
      <w:color w:val="000000"/>
      <w:kern w:val="0"/>
      <w:sz w:val="36"/>
      <w:szCs w:val="32"/>
      <w:u w:color="000000"/>
    </w:rPr>
  </w:style>
  <w:style w:type="paragraph" w:customStyle="1" w:styleId="371">
    <w:name w:val="样式43"/>
    <w:basedOn w:val="284"/>
    <w:qFormat/>
    <w:uiPriority w:val="0"/>
    <w:pPr>
      <w:spacing w:line="460" w:lineRule="exact"/>
    </w:pPr>
    <w:rPr>
      <w:rFonts w:eastAsia="方正书宋"/>
      <w:bCs/>
      <w:color w:val="auto"/>
    </w:rPr>
  </w:style>
  <w:style w:type="paragraph" w:customStyle="1" w:styleId="372">
    <w:name w:val="样式 样式 首行缩进:  2 字符 + 首行缩进:  2 字符6"/>
    <w:basedOn w:val="354"/>
    <w:qFormat/>
    <w:uiPriority w:val="0"/>
    <w:pPr>
      <w:ind w:firstLine="600"/>
    </w:pPr>
  </w:style>
  <w:style w:type="paragraph" w:customStyle="1" w:styleId="373">
    <w:name w:val="样式 样式 样式3 + 段前: 2.5 行1 + 段前: 1 行 段后: 0.5 行"/>
    <w:basedOn w:val="374"/>
    <w:uiPriority w:val="0"/>
    <w:pPr>
      <w:tabs>
        <w:tab w:val="left" w:pos="840"/>
        <w:tab w:val="left" w:pos="1260"/>
      </w:tabs>
      <w:spacing w:before="327" w:after="163"/>
    </w:pPr>
    <w:rPr>
      <w:rFonts w:ascii="Times New Roman" w:hAnsi="Times New Roman" w:eastAsia="宋体"/>
    </w:rPr>
  </w:style>
  <w:style w:type="paragraph" w:customStyle="1" w:styleId="374">
    <w:name w:val="样式 样式3 + 段前: 2.5 行1"/>
    <w:basedOn w:val="342"/>
    <w:qFormat/>
    <w:uiPriority w:val="0"/>
    <w:pPr>
      <w:widowControl/>
      <w:tabs>
        <w:tab w:val="left" w:pos="840"/>
        <w:tab w:val="left" w:pos="1260"/>
      </w:tabs>
      <w:spacing w:before="600" w:beforeLines="0" w:after="120" w:afterLines="0" w:line="460" w:lineRule="exact"/>
      <w:ind w:left="840" w:hanging="840"/>
      <w:jc w:val="both"/>
    </w:pPr>
    <w:rPr>
      <w:rFonts w:ascii="宋体" w:hAnsi="宋体" w:eastAsia="方正书宋"/>
      <w:color w:val="000000"/>
      <w:kern w:val="44"/>
      <w:sz w:val="30"/>
      <w:szCs w:val="20"/>
    </w:rPr>
  </w:style>
  <w:style w:type="paragraph" w:customStyle="1" w:styleId="375">
    <w:name w:val="Char Char Char Char Char Char Char Char Char Char Char"/>
    <w:basedOn w:val="1"/>
    <w:qFormat/>
    <w:uiPriority w:val="0"/>
    <w:pPr>
      <w:adjustRightInd w:val="0"/>
      <w:snapToGrid w:val="0"/>
      <w:spacing w:line="360" w:lineRule="auto"/>
      <w:ind w:firstLine="200" w:firstLineChars="200"/>
    </w:pPr>
    <w:rPr>
      <w:rFonts w:ascii="宋体" w:hAnsi="宋体"/>
      <w:snapToGrid w:val="0"/>
      <w:sz w:val="24"/>
      <w:szCs w:val="20"/>
    </w:rPr>
  </w:style>
  <w:style w:type="paragraph" w:customStyle="1" w:styleId="376">
    <w:name w:val="xl39"/>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377">
    <w:name w:val="正文文字 2"/>
    <w:basedOn w:val="1"/>
    <w:qFormat/>
    <w:uiPriority w:val="0"/>
    <w:pPr>
      <w:widowControl/>
      <w:spacing w:line="351" w:lineRule="atLeast"/>
      <w:ind w:firstLine="419" w:firstLineChars="200"/>
      <w:jc w:val="center"/>
      <w:textAlignment w:val="baseline"/>
    </w:pPr>
    <w:rPr>
      <w:rFonts w:ascii="Times New Roman" w:hAnsi="Times New Roman"/>
      <w:color w:val="000000"/>
      <w:kern w:val="0"/>
      <w:szCs w:val="20"/>
      <w:u w:val="single" w:color="000000"/>
    </w:rPr>
  </w:style>
  <w:style w:type="paragraph" w:customStyle="1" w:styleId="378">
    <w:name w:val="样式 样式 样式 首行缩进:  2 字符 + 首行缩进:  2 字符5 + 首行缩进:  2 字符"/>
    <w:basedOn w:val="379"/>
    <w:uiPriority w:val="0"/>
    <w:pPr>
      <w:spacing w:line="400" w:lineRule="exact"/>
    </w:pPr>
  </w:style>
  <w:style w:type="paragraph" w:customStyle="1" w:styleId="379">
    <w:name w:val="样式 样式 首行缩进:  2 字符 + 首行缩进:  2 字符5"/>
    <w:basedOn w:val="354"/>
    <w:qFormat/>
    <w:uiPriority w:val="0"/>
    <w:pPr>
      <w:spacing w:line="240" w:lineRule="exact"/>
      <w:ind w:firstLine="200"/>
    </w:pPr>
  </w:style>
  <w:style w:type="paragraph" w:customStyle="1" w:styleId="380">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bCs/>
      <w:color w:val="000000"/>
    </w:rPr>
  </w:style>
  <w:style w:type="paragraph" w:customStyle="1" w:styleId="381">
    <w:name w:val="样式4 Char Char"/>
    <w:basedOn w:val="2"/>
    <w:uiPriority w:val="0"/>
    <w:pPr>
      <w:widowControl/>
      <w:adjustRightInd w:val="0"/>
      <w:snapToGrid w:val="0"/>
      <w:spacing w:before="50" w:after="50" w:line="360" w:lineRule="auto"/>
      <w:jc w:val="left"/>
      <w:textAlignment w:val="baseline"/>
    </w:pPr>
    <w:rPr>
      <w:rFonts w:ascii="Times New Roman" w:hAnsi="Times New Roman" w:eastAsia="方正书宋"/>
      <w:bCs w:val="0"/>
      <w:color w:val="000000"/>
      <w:kern w:val="0"/>
      <w:sz w:val="24"/>
      <w:szCs w:val="20"/>
      <w:u w:color="000000"/>
    </w:rPr>
  </w:style>
  <w:style w:type="paragraph" w:customStyle="1" w:styleId="382">
    <w:name w:val="标题 412345"/>
    <w:basedOn w:val="1"/>
    <w:qFormat/>
    <w:uiPriority w:val="0"/>
    <w:pPr>
      <w:widowControl/>
      <w:spacing w:line="351" w:lineRule="atLeast"/>
      <w:ind w:firstLine="674"/>
      <w:jc w:val="left"/>
      <w:textAlignment w:val="baseline"/>
    </w:pPr>
    <w:rPr>
      <w:rFonts w:ascii="Times New Roman" w:hAnsi="Times New Roman" w:eastAsia="楷体_GB2312"/>
      <w:color w:val="000000"/>
      <w:spacing w:val="5"/>
      <w:kern w:val="0"/>
      <w:sz w:val="32"/>
      <w:szCs w:val="20"/>
      <w:u w:color="000000"/>
    </w:rPr>
  </w:style>
  <w:style w:type="paragraph" w:customStyle="1" w:styleId="383">
    <w:name w:val="样式 样式 样式3 + 段前: 1 行 段后: 0.5 行1 + 段前: 2 行"/>
    <w:basedOn w:val="384"/>
    <w:qFormat/>
    <w:uiPriority w:val="0"/>
    <w:pPr>
      <w:tabs>
        <w:tab w:val="left" w:pos="840"/>
        <w:tab w:val="left" w:pos="1260"/>
      </w:tabs>
      <w:spacing w:before="200" w:after="0"/>
    </w:pPr>
    <w:rPr>
      <w:rFonts w:ascii="Times New Roman" w:hAnsi="Times New Roman" w:eastAsia="宋体"/>
    </w:rPr>
  </w:style>
  <w:style w:type="paragraph" w:customStyle="1" w:styleId="384">
    <w:name w:val="样式 样式3 + 段前: 1 行 段后: 0.5 行1"/>
    <w:basedOn w:val="342"/>
    <w:uiPriority w:val="0"/>
    <w:pPr>
      <w:widowControl/>
      <w:tabs>
        <w:tab w:val="left" w:pos="840"/>
        <w:tab w:val="left" w:pos="1260"/>
      </w:tabs>
      <w:spacing w:beforeLines="0" w:after="120" w:afterLines="0" w:line="460" w:lineRule="exact"/>
      <w:ind w:left="840" w:hanging="840"/>
      <w:jc w:val="both"/>
    </w:pPr>
    <w:rPr>
      <w:rFonts w:ascii="宋体" w:hAnsi="宋体" w:eastAsia="方正书宋"/>
      <w:color w:val="000000"/>
      <w:kern w:val="44"/>
      <w:sz w:val="30"/>
      <w:szCs w:val="20"/>
    </w:rPr>
  </w:style>
  <w:style w:type="paragraph" w:customStyle="1" w:styleId="385">
    <w:name w:val="标题11"/>
    <w:basedOn w:val="1"/>
    <w:qFormat/>
    <w:uiPriority w:val="0"/>
    <w:pPr>
      <w:tabs>
        <w:tab w:val="left" w:pos="1140"/>
        <w:tab w:val="left" w:pos="1321"/>
      </w:tabs>
      <w:adjustRightInd w:val="0"/>
      <w:snapToGrid w:val="0"/>
      <w:spacing w:line="360" w:lineRule="auto"/>
      <w:ind w:left="1140" w:hanging="720"/>
    </w:pPr>
    <w:rPr>
      <w:rFonts w:ascii="Times New Roman" w:hAnsi="Times New Roman"/>
      <w:sz w:val="28"/>
      <w:szCs w:val="20"/>
    </w:rPr>
  </w:style>
  <w:style w:type="paragraph" w:customStyle="1" w:styleId="386">
    <w:name w:val="标题 9123456"/>
    <w:basedOn w:val="1"/>
    <w:qFormat/>
    <w:uiPriority w:val="0"/>
    <w:pPr>
      <w:widowControl/>
      <w:spacing w:before="62" w:line="351" w:lineRule="atLeast"/>
      <w:ind w:firstLine="419"/>
      <w:jc w:val="left"/>
      <w:textAlignment w:val="baseline"/>
    </w:pPr>
    <w:rPr>
      <w:rFonts w:ascii="Stylus BT" w:hAnsi="Times New Roman" w:eastAsia="黑体"/>
      <w:color w:val="000000"/>
      <w:kern w:val="0"/>
      <w:sz w:val="24"/>
      <w:szCs w:val="20"/>
      <w:u w:color="000000"/>
    </w:rPr>
  </w:style>
  <w:style w:type="paragraph" w:customStyle="1" w:styleId="387">
    <w:name w:val="QG表格"/>
    <w:uiPriority w:val="0"/>
    <w:pPr>
      <w:widowControl w:val="0"/>
      <w:spacing w:line="300" w:lineRule="exact"/>
      <w:jc w:val="center"/>
    </w:pPr>
    <w:rPr>
      <w:rFonts w:ascii="仿宋_GB2312" w:hAnsi="Times New Roman" w:eastAsia="仿宋_GB2312" w:cs="Times New Roman"/>
      <w:sz w:val="21"/>
      <w:lang w:val="en-US" w:eastAsia="zh-CN" w:bidi="ar-SA"/>
    </w:rPr>
  </w:style>
  <w:style w:type="paragraph" w:customStyle="1" w:styleId="388">
    <w:name w:val="样式36"/>
    <w:basedOn w:val="295"/>
    <w:qFormat/>
    <w:uiPriority w:val="0"/>
    <w:pPr>
      <w:spacing w:before="240" w:beforeLines="100" w:after="240" w:afterLines="100"/>
    </w:pPr>
    <w:rPr>
      <w:rFonts w:eastAsia="宋体"/>
    </w:rPr>
  </w:style>
  <w:style w:type="paragraph" w:customStyle="1" w:styleId="389">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390">
    <w:name w:val="样式28"/>
    <w:basedOn w:val="2"/>
    <w:qFormat/>
    <w:uiPriority w:val="0"/>
    <w:pPr>
      <w:spacing w:before="120" w:beforeLines="50" w:after="120" w:afterLines="50" w:line="240" w:lineRule="auto"/>
      <w:jc w:val="center"/>
    </w:pPr>
    <w:rPr>
      <w:rFonts w:ascii="方正小标宋简体" w:hAnsi="Times New Roman" w:eastAsia="方正小标宋简体"/>
      <w:b w:val="0"/>
      <w:kern w:val="32"/>
      <w:sz w:val="36"/>
      <w:szCs w:val="36"/>
    </w:rPr>
  </w:style>
  <w:style w:type="paragraph" w:customStyle="1" w:styleId="391">
    <w:name w:val="标题4"/>
    <w:basedOn w:val="6"/>
    <w:next w:val="1"/>
    <w:qFormat/>
    <w:uiPriority w:val="0"/>
    <w:pPr>
      <w:snapToGrid w:val="0"/>
      <w:spacing w:before="0" w:after="0" w:line="360" w:lineRule="auto"/>
      <w:textAlignment w:val="baseline"/>
    </w:pPr>
    <w:rPr>
      <w:rFonts w:ascii="宋体" w:hAnsi="Arial"/>
      <w:b w:val="0"/>
      <w:bCs w:val="0"/>
      <w:color w:val="000000"/>
      <w:sz w:val="24"/>
      <w:szCs w:val="20"/>
      <w:u w:color="000000"/>
    </w:rPr>
  </w:style>
  <w:style w:type="paragraph" w:customStyle="1" w:styleId="392">
    <w:name w:val="目录4"/>
    <w:basedOn w:val="1"/>
    <w:next w:val="1"/>
    <w:qFormat/>
    <w:uiPriority w:val="0"/>
    <w:pPr>
      <w:widowControl/>
      <w:tabs>
        <w:tab w:val="left" w:leader="dot" w:pos="8503"/>
      </w:tabs>
      <w:adjustRightInd w:val="0"/>
      <w:snapToGrid w:val="0"/>
      <w:spacing w:line="317" w:lineRule="atLeast"/>
      <w:ind w:left="419" w:firstLine="629" w:firstLineChars="200"/>
      <w:textAlignment w:val="baseline"/>
    </w:pPr>
    <w:rPr>
      <w:rFonts w:ascii="Times New Roman" w:hAnsi="Times New Roman"/>
      <w:snapToGrid w:val="0"/>
      <w:color w:val="000000"/>
      <w:kern w:val="0"/>
      <w:sz w:val="24"/>
      <w:szCs w:val="20"/>
      <w:u w:color="000000"/>
    </w:rPr>
  </w:style>
  <w:style w:type="paragraph" w:customStyle="1" w:styleId="393">
    <w:name w:val="样式 一级标题 + 三号 两端对齐"/>
    <w:basedOn w:val="1"/>
    <w:uiPriority w:val="0"/>
    <w:pPr>
      <w:tabs>
        <w:tab w:val="left" w:pos="425"/>
      </w:tabs>
      <w:spacing w:line="360" w:lineRule="auto"/>
      <w:ind w:left="425" w:hanging="425"/>
      <w:outlineLvl w:val="0"/>
    </w:pPr>
    <w:rPr>
      <w:rFonts w:ascii="黑体" w:hAnsi="宋体" w:eastAsia="黑体" w:cs="宋体"/>
      <w:sz w:val="32"/>
      <w:szCs w:val="20"/>
    </w:rPr>
  </w:style>
  <w:style w:type="paragraph" w:customStyle="1" w:styleId="394">
    <w:name w:val="xl4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9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6">
    <w:name w:val="xl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97">
    <w:name w:val="Char Char Char Char Char Char1 Char Char Char Char1"/>
    <w:basedOn w:val="1"/>
    <w:qFormat/>
    <w:uiPriority w:val="0"/>
    <w:pPr>
      <w:spacing w:line="360" w:lineRule="auto"/>
      <w:ind w:firstLine="200" w:firstLineChars="200"/>
    </w:pPr>
    <w:rPr>
      <w:rFonts w:ascii="宋体" w:hAnsi="宋体"/>
      <w:sz w:val="24"/>
      <w:szCs w:val="20"/>
    </w:rPr>
  </w:style>
  <w:style w:type="paragraph" w:customStyle="1" w:styleId="398">
    <w:name w:val="标题 3123456"/>
    <w:basedOn w:val="1"/>
    <w:uiPriority w:val="0"/>
    <w:pPr>
      <w:widowControl/>
      <w:spacing w:line="351" w:lineRule="atLeast"/>
      <w:ind w:firstLine="566"/>
      <w:jc w:val="left"/>
      <w:textAlignment w:val="baseline"/>
    </w:pPr>
    <w:rPr>
      <w:rFonts w:ascii="Times New Roman" w:hAnsi="Times New Roman" w:eastAsia="黑体"/>
      <w:b/>
      <w:color w:val="000000"/>
      <w:kern w:val="0"/>
      <w:sz w:val="28"/>
      <w:szCs w:val="20"/>
      <w:u w:color="000000"/>
    </w:rPr>
  </w:style>
  <w:style w:type="paragraph" w:customStyle="1" w:styleId="399">
    <w:name w:val="xl3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400">
    <w:name w:val="日期1"/>
    <w:basedOn w:val="1"/>
    <w:next w:val="1"/>
    <w:qFormat/>
    <w:uiPriority w:val="0"/>
    <w:pPr>
      <w:widowControl/>
      <w:adjustRightInd w:val="0"/>
      <w:jc w:val="left"/>
      <w:textAlignment w:val="baseline"/>
    </w:pPr>
    <w:rPr>
      <w:rFonts w:ascii="宋体" w:hAnsi="Dutch801 Rm BT"/>
      <w:kern w:val="0"/>
      <w:sz w:val="24"/>
      <w:szCs w:val="20"/>
    </w:rPr>
  </w:style>
  <w:style w:type="paragraph" w:customStyle="1" w:styleId="401">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02">
    <w:name w:val="样式23"/>
    <w:basedOn w:val="1"/>
    <w:qFormat/>
    <w:uiPriority w:val="0"/>
    <w:pPr>
      <w:spacing w:line="360" w:lineRule="auto"/>
      <w:ind w:firstLine="538" w:firstLineChars="192"/>
    </w:pPr>
    <w:rPr>
      <w:rFonts w:ascii="宋体" w:hAnsi="宋体"/>
      <w:color w:val="000000"/>
      <w:sz w:val="28"/>
      <w:szCs w:val="28"/>
    </w:rPr>
  </w:style>
  <w:style w:type="paragraph" w:customStyle="1" w:styleId="403">
    <w:name w:val="表内文"/>
    <w:basedOn w:val="1"/>
    <w:qFormat/>
    <w:uiPriority w:val="0"/>
    <w:pPr>
      <w:autoSpaceDE w:val="0"/>
      <w:autoSpaceDN w:val="0"/>
      <w:adjustRightInd w:val="0"/>
      <w:jc w:val="center"/>
      <w:textAlignment w:val="bottom"/>
    </w:pPr>
    <w:rPr>
      <w:rFonts w:ascii="Times New Roman" w:hAnsi="Times New Roman"/>
      <w:kern w:val="0"/>
      <w:sz w:val="24"/>
      <w:szCs w:val="20"/>
    </w:rPr>
  </w:style>
  <w:style w:type="paragraph" w:customStyle="1" w:styleId="404">
    <w:name w:val="条款标题"/>
    <w:basedOn w:val="324"/>
    <w:qFormat/>
    <w:uiPriority w:val="0"/>
    <w:pPr>
      <w:tabs>
        <w:tab w:val="left" w:pos="840"/>
      </w:tabs>
      <w:ind w:left="0" w:leftChars="0" w:firstLine="0" w:firstLineChars="0"/>
    </w:pPr>
    <w:rPr>
      <w:b/>
    </w:rPr>
  </w:style>
  <w:style w:type="paragraph" w:customStyle="1" w:styleId="40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6">
    <w:name w:val="Char Char Char Char Char Char1"/>
    <w:basedOn w:val="1"/>
    <w:qFormat/>
    <w:uiPriority w:val="0"/>
    <w:pPr>
      <w:spacing w:line="360" w:lineRule="auto"/>
      <w:ind w:firstLine="200" w:firstLineChars="200"/>
    </w:pPr>
    <w:rPr>
      <w:rFonts w:ascii="宋体" w:hAnsi="宋体"/>
      <w:sz w:val="24"/>
      <w:szCs w:val="20"/>
    </w:rPr>
  </w:style>
  <w:style w:type="paragraph" w:customStyle="1" w:styleId="407">
    <w:name w:val="表格（小）"/>
    <w:basedOn w:val="1"/>
    <w:uiPriority w:val="0"/>
    <w:pPr>
      <w:widowControl/>
      <w:adjustRightInd w:val="0"/>
      <w:snapToGrid w:val="0"/>
      <w:jc w:val="left"/>
    </w:pPr>
    <w:rPr>
      <w:rFonts w:ascii="Times New Roman" w:hAnsi="Times New Roman"/>
      <w:snapToGrid w:val="0"/>
      <w:kern w:val="0"/>
      <w:sz w:val="24"/>
      <w:szCs w:val="20"/>
    </w:rPr>
  </w:style>
  <w:style w:type="paragraph" w:customStyle="1" w:styleId="408">
    <w:name w:val="font13"/>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409">
    <w:name w:val="样式 标题 2b2标题 2 Char标题 2 Char Char Char标题 2 Char Char1.1标题 2..."/>
    <w:basedOn w:val="2"/>
    <w:qFormat/>
    <w:uiPriority w:val="0"/>
    <w:pPr>
      <w:widowControl/>
      <w:spacing w:before="156" w:beforeLines="50" w:after="120" w:line="360" w:lineRule="auto"/>
    </w:pPr>
    <w:rPr>
      <w:rFonts w:ascii="Times New Roman" w:hAnsi="Times New Roman" w:eastAsia="经典等线简"/>
      <w:bCs w:val="0"/>
      <w:color w:val="000000"/>
      <w:kern w:val="0"/>
      <w:sz w:val="24"/>
      <w:szCs w:val="20"/>
    </w:rPr>
  </w:style>
  <w:style w:type="paragraph" w:customStyle="1" w:styleId="410">
    <w:name w:val="xl5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11">
    <w:name w:val="Char Char Char Char"/>
    <w:basedOn w:val="1"/>
    <w:qFormat/>
    <w:uiPriority w:val="0"/>
    <w:pPr>
      <w:widowControl/>
      <w:spacing w:line="360" w:lineRule="auto"/>
      <w:ind w:firstLine="200" w:firstLineChars="200"/>
      <w:jc w:val="left"/>
    </w:pPr>
    <w:rPr>
      <w:rFonts w:ascii="宋体" w:hAnsi="宋体"/>
      <w:kern w:val="0"/>
      <w:sz w:val="24"/>
      <w:szCs w:val="20"/>
    </w:rPr>
  </w:style>
  <w:style w:type="paragraph" w:customStyle="1" w:styleId="412">
    <w:name w:val="xl9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413">
    <w:name w:val="正文(a)1"/>
    <w:basedOn w:val="1"/>
    <w:qFormat/>
    <w:uiPriority w:val="0"/>
    <w:pPr>
      <w:widowControl/>
      <w:spacing w:line="351" w:lineRule="atLeast"/>
      <w:ind w:firstLine="674"/>
      <w:jc w:val="left"/>
      <w:textAlignment w:val="baseline"/>
    </w:pPr>
    <w:rPr>
      <w:rFonts w:ascii="Times New Roman" w:hAnsi="Times New Roman"/>
      <w:color w:val="000000"/>
      <w:spacing w:val="11"/>
      <w:kern w:val="0"/>
      <w:sz w:val="28"/>
      <w:szCs w:val="20"/>
      <w:u w:color="000000"/>
    </w:rPr>
  </w:style>
  <w:style w:type="paragraph" w:customStyle="1" w:styleId="414">
    <w:name w:val="表头[BT]"/>
    <w:basedOn w:val="1"/>
    <w:qFormat/>
    <w:uiPriority w:val="0"/>
    <w:pPr>
      <w:adjustRightInd w:val="0"/>
      <w:snapToGrid w:val="0"/>
      <w:spacing w:before="120" w:after="120"/>
      <w:jc w:val="center"/>
      <w:textAlignment w:val="baseline"/>
    </w:pPr>
    <w:rPr>
      <w:rFonts w:ascii="Times" w:hAnsi="Times"/>
      <w:kern w:val="0"/>
      <w:szCs w:val="20"/>
    </w:rPr>
  </w:style>
  <w:style w:type="paragraph" w:customStyle="1" w:styleId="41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416">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17">
    <w:name w:val="Char1"/>
    <w:basedOn w:val="1"/>
    <w:qFormat/>
    <w:uiPriority w:val="0"/>
    <w:rPr>
      <w:rFonts w:ascii="Tahoma" w:hAnsi="Tahoma"/>
      <w:sz w:val="24"/>
      <w:szCs w:val="20"/>
    </w:rPr>
  </w:style>
  <w:style w:type="paragraph" w:customStyle="1" w:styleId="4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18"/>
      <w:szCs w:val="18"/>
    </w:rPr>
  </w:style>
  <w:style w:type="paragraph" w:customStyle="1" w:styleId="419">
    <w:name w:val="样式 样式 正文小4 + 加粗 首行缩进:  2 字符 + 非加粗 首行缩进:  2 字符 Char"/>
    <w:basedOn w:val="1"/>
    <w:qFormat/>
    <w:uiPriority w:val="0"/>
    <w:pPr>
      <w:spacing w:line="460" w:lineRule="exact"/>
      <w:ind w:firstLine="568" w:firstLineChars="200"/>
    </w:pPr>
    <w:rPr>
      <w:rFonts w:ascii="宋体" w:hAnsi="宋体"/>
      <w:spacing w:val="22"/>
      <w:kern w:val="24"/>
      <w:sz w:val="24"/>
      <w:szCs w:val="20"/>
    </w:rPr>
  </w:style>
  <w:style w:type="paragraph" w:customStyle="1" w:styleId="420">
    <w:name w:val="页脚1234"/>
    <w:basedOn w:val="1"/>
    <w:qFormat/>
    <w:uiPriority w:val="0"/>
    <w:pPr>
      <w:widowControl/>
      <w:spacing w:line="351" w:lineRule="atLeast"/>
      <w:ind w:firstLine="623"/>
      <w:jc w:val="left"/>
      <w:textAlignment w:val="baseline"/>
    </w:pPr>
    <w:rPr>
      <w:rFonts w:ascii="Times New Roman" w:hAnsi="Times New Roman"/>
      <w:color w:val="000000"/>
      <w:spacing w:val="5"/>
      <w:kern w:val="0"/>
      <w:sz w:val="18"/>
      <w:szCs w:val="20"/>
      <w:u w:color="000000"/>
    </w:rPr>
  </w:style>
  <w:style w:type="paragraph" w:customStyle="1" w:styleId="421">
    <w:name w:val="正文文字12345"/>
    <w:basedOn w:val="1"/>
    <w:qFormat/>
    <w:uiPriority w:val="0"/>
    <w:pPr>
      <w:widowControl/>
      <w:spacing w:line="351" w:lineRule="atLeast"/>
      <w:ind w:firstLine="566"/>
      <w:jc w:val="left"/>
      <w:textAlignment w:val="baseline"/>
    </w:pPr>
    <w:rPr>
      <w:rFonts w:ascii="Times New Roman" w:hAnsi="Times New Roman"/>
      <w:b/>
      <w:color w:val="000000"/>
      <w:kern w:val="0"/>
      <w:sz w:val="24"/>
      <w:szCs w:val="20"/>
      <w:u w:color="000000"/>
    </w:rPr>
  </w:style>
  <w:style w:type="paragraph" w:customStyle="1" w:styleId="422">
    <w:name w:val="s4"/>
    <w:basedOn w:val="1"/>
    <w:next w:val="81"/>
    <w:qFormat/>
    <w:uiPriority w:val="0"/>
    <w:pPr>
      <w:widowControl/>
      <w:spacing w:before="100" w:beforeAutospacing="1" w:after="100" w:afterAutospacing="1"/>
      <w:jc w:val="left"/>
    </w:pPr>
    <w:rPr>
      <w:rFonts w:ascii="宋体" w:hAnsi="宋体"/>
      <w:kern w:val="0"/>
      <w:sz w:val="24"/>
      <w:szCs w:val="20"/>
    </w:rPr>
  </w:style>
  <w:style w:type="paragraph" w:customStyle="1" w:styleId="423">
    <w:name w:val="表标题"/>
    <w:basedOn w:val="1"/>
    <w:next w:val="1"/>
    <w:qFormat/>
    <w:uiPriority w:val="0"/>
    <w:pPr>
      <w:widowControl/>
      <w:adjustRightInd w:val="0"/>
      <w:snapToGrid w:val="0"/>
      <w:spacing w:before="120" w:after="62"/>
      <w:jc w:val="right"/>
      <w:textAlignment w:val="baseline"/>
    </w:pPr>
    <w:rPr>
      <w:rFonts w:ascii="宋体" w:hAnsi="宋体"/>
      <w:sz w:val="24"/>
      <w:szCs w:val="20"/>
    </w:rPr>
  </w:style>
  <w:style w:type="paragraph" w:customStyle="1" w:styleId="424">
    <w:name w:val="p1"/>
    <w:basedOn w:val="1"/>
    <w:qFormat/>
    <w:uiPriority w:val="0"/>
    <w:pPr>
      <w:widowControl/>
      <w:spacing w:line="480" w:lineRule="auto"/>
      <w:jc w:val="center"/>
    </w:pPr>
    <w:rPr>
      <w:rFonts w:ascii="宋体" w:hAnsi="宋体" w:cs="宋体"/>
      <w:kern w:val="0"/>
      <w:sz w:val="28"/>
      <w:szCs w:val="28"/>
    </w:rPr>
  </w:style>
  <w:style w:type="paragraph" w:customStyle="1" w:styleId="425">
    <w:name w:val="页脚12345"/>
    <w:basedOn w:val="1"/>
    <w:qFormat/>
    <w:uiPriority w:val="0"/>
    <w:pPr>
      <w:widowControl/>
      <w:spacing w:line="351" w:lineRule="atLeast"/>
      <w:ind w:firstLine="419"/>
      <w:jc w:val="left"/>
      <w:textAlignment w:val="baseline"/>
    </w:pPr>
    <w:rPr>
      <w:rFonts w:ascii="Times New Roman" w:hAnsi="Times New Roman"/>
      <w:color w:val="000000"/>
      <w:spacing w:val="11"/>
      <w:kern w:val="0"/>
      <w:sz w:val="18"/>
      <w:szCs w:val="20"/>
      <w:u w:color="000000"/>
    </w:rPr>
  </w:style>
  <w:style w:type="paragraph" w:customStyle="1" w:styleId="426">
    <w:name w:val="表头2"/>
    <w:basedOn w:val="1"/>
    <w:qFormat/>
    <w:uiPriority w:val="0"/>
    <w:pPr>
      <w:autoSpaceDE w:val="0"/>
      <w:autoSpaceDN w:val="0"/>
      <w:adjustRightInd w:val="0"/>
      <w:jc w:val="center"/>
      <w:textAlignment w:val="bottom"/>
    </w:pPr>
    <w:rPr>
      <w:rFonts w:ascii="Times New Roman" w:hAnsi="Times New Roman"/>
      <w:b/>
      <w:kern w:val="0"/>
      <w:sz w:val="24"/>
      <w:szCs w:val="20"/>
    </w:rPr>
  </w:style>
  <w:style w:type="paragraph" w:customStyle="1" w:styleId="427">
    <w:name w:val="标题 712"/>
    <w:basedOn w:val="1"/>
    <w:qFormat/>
    <w:uiPriority w:val="0"/>
    <w:pPr>
      <w:widowControl/>
      <w:spacing w:before="62" w:line="351" w:lineRule="atLeast"/>
      <w:ind w:firstLine="419"/>
      <w:jc w:val="left"/>
      <w:textAlignment w:val="baseline"/>
    </w:pPr>
    <w:rPr>
      <w:rFonts w:ascii="Times New Roman" w:hAnsi="Times New Roman"/>
      <w:b/>
      <w:color w:val="000000"/>
      <w:kern w:val="0"/>
      <w:sz w:val="24"/>
      <w:szCs w:val="20"/>
      <w:u w:color="000000"/>
    </w:rPr>
  </w:style>
  <w:style w:type="paragraph" w:customStyle="1" w:styleId="428">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2"/>
      <w:szCs w:val="22"/>
    </w:rPr>
  </w:style>
  <w:style w:type="paragraph" w:customStyle="1" w:styleId="429">
    <w:name w:val="正文文字12"/>
    <w:basedOn w:val="1"/>
    <w:qFormat/>
    <w:uiPriority w:val="0"/>
    <w:pPr>
      <w:widowControl/>
      <w:spacing w:line="351" w:lineRule="atLeast"/>
      <w:jc w:val="left"/>
      <w:textAlignment w:val="baseline"/>
    </w:pPr>
    <w:rPr>
      <w:rFonts w:ascii="Times New Roman" w:hAnsi="Times New Roman"/>
      <w:color w:val="000000"/>
      <w:spacing w:val="5"/>
      <w:kern w:val="0"/>
      <w:sz w:val="24"/>
      <w:szCs w:val="20"/>
      <w:u w:color="000000"/>
    </w:rPr>
  </w:style>
  <w:style w:type="paragraph" w:customStyle="1" w:styleId="430">
    <w:name w:val="样式54"/>
    <w:basedOn w:val="390"/>
    <w:qFormat/>
    <w:uiPriority w:val="0"/>
    <w:pPr>
      <w:spacing w:before="240" w:beforeLines="100" w:after="240" w:afterLines="100"/>
    </w:pPr>
    <w:rPr>
      <w:rFonts w:ascii="Times New Roman" w:eastAsia="宋体"/>
    </w:rPr>
  </w:style>
  <w:style w:type="paragraph" w:customStyle="1" w:styleId="431">
    <w:name w:val="样式 样式 四号 首行缩进:  1.1 厘米 + 首行缩进:  2 字符 Char"/>
    <w:basedOn w:val="1"/>
    <w:qFormat/>
    <w:uiPriority w:val="0"/>
    <w:pPr>
      <w:spacing w:line="360" w:lineRule="auto"/>
      <w:ind w:firstLine="200" w:firstLineChars="200"/>
    </w:pPr>
    <w:rPr>
      <w:rFonts w:ascii="Times New Roman" w:hAnsi="Times New Roman" w:cs="宋体"/>
      <w:sz w:val="24"/>
      <w:szCs w:val="20"/>
    </w:rPr>
  </w:style>
  <w:style w:type="paragraph" w:customStyle="1" w:styleId="432">
    <w:name w:val="样式42"/>
    <w:basedOn w:val="284"/>
    <w:qFormat/>
    <w:uiPriority w:val="0"/>
    <w:pPr>
      <w:spacing w:line="460" w:lineRule="exact"/>
    </w:pPr>
    <w:rPr>
      <w:rFonts w:eastAsia="方正书宋"/>
      <w:bCs/>
      <w:color w:val="auto"/>
    </w:rPr>
  </w:style>
  <w:style w:type="paragraph" w:customStyle="1" w:styleId="433">
    <w:name w:val="正文5"/>
    <w:basedOn w:val="1"/>
    <w:qFormat/>
    <w:uiPriority w:val="0"/>
    <w:pPr>
      <w:autoSpaceDE w:val="0"/>
      <w:autoSpaceDN w:val="0"/>
      <w:adjustRightInd w:val="0"/>
      <w:spacing w:line="288" w:lineRule="auto"/>
      <w:ind w:right="153" w:firstLine="567"/>
      <w:textAlignment w:val="bottom"/>
    </w:pPr>
    <w:rPr>
      <w:rFonts w:ascii="Times New Roman" w:hAnsi="Times New Roman" w:eastAsia="仿宋_GB2312"/>
      <w:kern w:val="0"/>
      <w:sz w:val="24"/>
      <w:szCs w:val="20"/>
    </w:rPr>
  </w:style>
  <w:style w:type="paragraph" w:customStyle="1" w:styleId="434">
    <w:name w:val="样式 标题 4 + 非加粗"/>
    <w:basedOn w:val="6"/>
    <w:qFormat/>
    <w:uiPriority w:val="0"/>
    <w:pPr>
      <w:keepNext w:val="0"/>
      <w:keepLines w:val="0"/>
      <w:adjustRightInd w:val="0"/>
      <w:spacing w:before="50" w:after="50" w:line="360" w:lineRule="auto"/>
      <w:ind w:firstLine="480" w:firstLineChars="200"/>
      <w:jc w:val="left"/>
      <w:textAlignment w:val="baseline"/>
    </w:pPr>
    <w:rPr>
      <w:rFonts w:ascii="Times New Roman" w:hAnsi="Times New Roman"/>
      <w:bCs w:val="0"/>
      <w:sz w:val="24"/>
      <w:szCs w:val="20"/>
    </w:rPr>
  </w:style>
  <w:style w:type="paragraph" w:customStyle="1" w:styleId="435">
    <w:name w:val="样式17"/>
    <w:basedOn w:val="6"/>
    <w:qFormat/>
    <w:uiPriority w:val="0"/>
    <w:pPr>
      <w:spacing w:before="240" w:beforeLines="100" w:after="240" w:afterLines="100" w:line="240" w:lineRule="auto"/>
      <w:jc w:val="left"/>
    </w:pPr>
    <w:rPr>
      <w:rFonts w:ascii="Times New Roman" w:hAnsi="Times New Roman"/>
      <w:kern w:val="28"/>
      <w:sz w:val="24"/>
      <w:szCs w:val="24"/>
    </w:rPr>
  </w:style>
  <w:style w:type="paragraph" w:customStyle="1" w:styleId="436">
    <w:name w:val="样式 小四 黑色 两端对齐 首行缩进:  0.9 厘米 行距: 最小值 23 磅"/>
    <w:basedOn w:val="1"/>
    <w:qFormat/>
    <w:uiPriority w:val="0"/>
    <w:pPr>
      <w:adjustRightInd w:val="0"/>
      <w:spacing w:line="360" w:lineRule="auto"/>
      <w:ind w:firstLine="510"/>
      <w:textAlignment w:val="baseline"/>
    </w:pPr>
    <w:rPr>
      <w:rFonts w:ascii="Times New Roman" w:hAnsi="Times New Roman" w:cs="宋体"/>
      <w:color w:val="000000"/>
      <w:kern w:val="0"/>
      <w:sz w:val="24"/>
      <w:szCs w:val="20"/>
      <w:lang w:val="en-GB"/>
    </w:rPr>
  </w:style>
  <w:style w:type="paragraph" w:customStyle="1" w:styleId="437">
    <w:name w:val="页脚123"/>
    <w:basedOn w:val="1"/>
    <w:qFormat/>
    <w:uiPriority w:val="0"/>
    <w:pPr>
      <w:widowControl/>
      <w:spacing w:line="351" w:lineRule="atLeast"/>
      <w:ind w:firstLine="623"/>
      <w:jc w:val="left"/>
      <w:textAlignment w:val="baseline"/>
    </w:pPr>
    <w:rPr>
      <w:rFonts w:ascii="Times New Roman" w:hAnsi="Times New Roman"/>
      <w:color w:val="000000"/>
      <w:spacing w:val="5"/>
      <w:kern w:val="0"/>
      <w:sz w:val="18"/>
      <w:szCs w:val="20"/>
      <w:u w:color="000000"/>
    </w:rPr>
  </w:style>
  <w:style w:type="paragraph" w:customStyle="1" w:styleId="438">
    <w:name w:val="样式 标题 1章标题 1-*+h11st levelSection Headl1b1 + (西文) Times N..."/>
    <w:basedOn w:val="4"/>
    <w:qFormat/>
    <w:uiPriority w:val="0"/>
    <w:pPr>
      <w:widowControl/>
      <w:spacing w:after="240" w:line="360" w:lineRule="auto"/>
      <w:jc w:val="left"/>
    </w:pPr>
    <w:rPr>
      <w:rFonts w:ascii="Times New Roman" w:hAnsi="宋体" w:eastAsia="经典标宋简"/>
      <w:b w:val="0"/>
      <w:bCs w:val="0"/>
      <w:szCs w:val="20"/>
    </w:rPr>
  </w:style>
  <w:style w:type="paragraph" w:customStyle="1" w:styleId="439">
    <w:name w:val="xl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440">
    <w:name w:val="目录 112"/>
    <w:basedOn w:val="1"/>
    <w:qFormat/>
    <w:uiPriority w:val="0"/>
    <w:pPr>
      <w:widowControl/>
      <w:spacing w:before="153" w:line="351" w:lineRule="atLeast"/>
      <w:ind w:firstLine="419"/>
      <w:jc w:val="center"/>
      <w:textAlignment w:val="baseline"/>
    </w:pPr>
    <w:rPr>
      <w:rFonts w:ascii="Times New Roman" w:hAnsi="Times New Roman"/>
      <w:color w:val="000000"/>
      <w:spacing w:val="5"/>
      <w:kern w:val="0"/>
      <w:sz w:val="18"/>
      <w:szCs w:val="20"/>
      <w:u w:color="000000"/>
    </w:rPr>
  </w:style>
  <w:style w:type="paragraph" w:customStyle="1" w:styleId="441">
    <w:name w:val="表格文字中"/>
    <w:basedOn w:val="1"/>
    <w:qFormat/>
    <w:uiPriority w:val="0"/>
    <w:pPr>
      <w:adjustRightInd w:val="0"/>
      <w:snapToGrid w:val="0"/>
      <w:jc w:val="center"/>
    </w:pPr>
    <w:rPr>
      <w:rFonts w:ascii="Times New Roman" w:hAnsi="Times New Roman" w:eastAsia="仿宋_GB2312"/>
    </w:rPr>
  </w:style>
  <w:style w:type="paragraph" w:customStyle="1" w:styleId="442">
    <w:name w:val="font3"/>
    <w:basedOn w:val="1"/>
    <w:qFormat/>
    <w:uiPriority w:val="0"/>
    <w:pPr>
      <w:widowControl/>
      <w:spacing w:before="100" w:beforeAutospacing="1" w:after="100" w:afterAutospacing="1"/>
      <w:jc w:val="left"/>
    </w:pPr>
    <w:rPr>
      <w:rFonts w:ascii="楷体_GB2312" w:hAnsi="宋体" w:eastAsia="楷体_GB2312" w:cs="宋体"/>
      <w:kern w:val="0"/>
      <w:sz w:val="20"/>
      <w:szCs w:val="20"/>
    </w:rPr>
  </w:style>
  <w:style w:type="paragraph" w:customStyle="1" w:styleId="443">
    <w:name w:val="标题 212"/>
    <w:basedOn w:val="1"/>
    <w:qFormat/>
    <w:uiPriority w:val="0"/>
    <w:pPr>
      <w:widowControl/>
      <w:spacing w:before="56" w:line="351" w:lineRule="atLeast"/>
      <w:ind w:firstLine="566"/>
      <w:jc w:val="left"/>
      <w:textAlignment w:val="baseline"/>
    </w:pPr>
    <w:rPr>
      <w:rFonts w:ascii="Times New Roman" w:hAnsi="Times New Roman" w:eastAsia="楷体_GB2312"/>
      <w:b/>
      <w:color w:val="000000"/>
      <w:kern w:val="0"/>
      <w:sz w:val="30"/>
      <w:szCs w:val="20"/>
      <w:u w:color="000000"/>
    </w:rPr>
  </w:style>
  <w:style w:type="paragraph" w:customStyle="1" w:styleId="444">
    <w:name w:val="样式12"/>
    <w:basedOn w:val="445"/>
    <w:qFormat/>
    <w:uiPriority w:val="0"/>
    <w:pPr>
      <w:ind w:firstLine="560" w:firstLineChars="200"/>
    </w:pPr>
    <w:rPr>
      <w:rFonts w:eastAsia="宋体"/>
      <w:sz w:val="28"/>
      <w:szCs w:val="28"/>
    </w:rPr>
  </w:style>
  <w:style w:type="paragraph" w:customStyle="1" w:styleId="445">
    <w:name w:val="样式5"/>
    <w:basedOn w:val="1"/>
    <w:qFormat/>
    <w:uiPriority w:val="0"/>
    <w:pPr>
      <w:spacing w:line="360" w:lineRule="auto"/>
      <w:jc w:val="center"/>
    </w:pPr>
    <w:rPr>
      <w:rFonts w:ascii="Times New Roman" w:hAnsi="Times New Roman" w:eastAsia="方正书宋"/>
      <w:b/>
      <w:kern w:val="0"/>
      <w:sz w:val="24"/>
      <w:szCs w:val="10"/>
    </w:rPr>
  </w:style>
  <w:style w:type="paragraph" w:customStyle="1" w:styleId="446">
    <w:name w:val="样式 小四 黑色 两端对齐 行距: 最小值 23 磅"/>
    <w:basedOn w:val="1"/>
    <w:qFormat/>
    <w:uiPriority w:val="0"/>
    <w:pPr>
      <w:adjustRightInd w:val="0"/>
      <w:spacing w:line="460" w:lineRule="atLeast"/>
      <w:ind w:firstLine="200" w:firstLineChars="200"/>
      <w:textAlignment w:val="baseline"/>
    </w:pPr>
    <w:rPr>
      <w:rFonts w:ascii="Times New Roman" w:hAnsi="Times New Roman" w:cs="宋体"/>
      <w:color w:val="000000"/>
      <w:kern w:val="0"/>
      <w:sz w:val="24"/>
      <w:szCs w:val="20"/>
      <w:lang w:val="en-GB"/>
    </w:rPr>
  </w:style>
  <w:style w:type="paragraph" w:customStyle="1" w:styleId="44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样式53"/>
    <w:basedOn w:val="295"/>
    <w:qFormat/>
    <w:uiPriority w:val="0"/>
    <w:pPr>
      <w:spacing w:before="240" w:beforeLines="100" w:after="240" w:afterLines="100"/>
    </w:pPr>
    <w:rPr>
      <w:rFonts w:eastAsia="宋体"/>
    </w:rPr>
  </w:style>
  <w:style w:type="paragraph" w:customStyle="1" w:styleId="449">
    <w:name w:val="Char Char1 Char Char Char Char Char Char Char Char Char Char Char Char Char Char Char Char Char Char Char Char Char Char Char Char Char"/>
    <w:basedOn w:val="1"/>
    <w:next w:val="1"/>
    <w:qFormat/>
    <w:uiPriority w:val="0"/>
    <w:rPr>
      <w:rFonts w:ascii="Times New Roman" w:hAnsi="Times New Roman"/>
    </w:rPr>
  </w:style>
  <w:style w:type="paragraph" w:customStyle="1" w:styleId="450">
    <w:name w:val="正文（首行缩进两字）12"/>
    <w:basedOn w:val="1"/>
    <w:qFormat/>
    <w:uiPriority w:val="0"/>
    <w:pPr>
      <w:widowControl/>
      <w:spacing w:line="351" w:lineRule="atLeast"/>
      <w:ind w:firstLine="419"/>
      <w:jc w:val="left"/>
      <w:textAlignment w:val="baseline"/>
    </w:pPr>
    <w:rPr>
      <w:rFonts w:ascii="Times New Roman" w:hAnsi="Times New Roman"/>
      <w:color w:val="000000"/>
      <w:spacing w:val="11"/>
      <w:kern w:val="0"/>
      <w:sz w:val="28"/>
      <w:szCs w:val="20"/>
      <w:u w:color="000000"/>
    </w:rPr>
  </w:style>
  <w:style w:type="paragraph" w:customStyle="1" w:styleId="451">
    <w:name w:val="第  章1"/>
    <w:basedOn w:val="1"/>
    <w:qFormat/>
    <w:uiPriority w:val="0"/>
    <w:pPr>
      <w:widowControl/>
      <w:spacing w:line="351" w:lineRule="atLeast"/>
      <w:ind w:firstLine="623"/>
      <w:jc w:val="left"/>
      <w:textAlignment w:val="baseline"/>
    </w:pPr>
    <w:rPr>
      <w:rFonts w:ascii="Times New Roman" w:hAnsi="Times New Roman" w:eastAsia="黑体"/>
      <w:color w:val="000000"/>
      <w:spacing w:val="5"/>
      <w:kern w:val="0"/>
      <w:sz w:val="32"/>
      <w:szCs w:val="20"/>
      <w:u w:color="000000"/>
    </w:rPr>
  </w:style>
  <w:style w:type="paragraph" w:customStyle="1" w:styleId="452">
    <w:name w:val="标题 5123"/>
    <w:basedOn w:val="1"/>
    <w:qFormat/>
    <w:uiPriority w:val="0"/>
    <w:pPr>
      <w:widowControl/>
      <w:spacing w:before="289" w:line="351" w:lineRule="atLeast"/>
      <w:ind w:firstLine="623"/>
      <w:jc w:val="left"/>
      <w:textAlignment w:val="baseline"/>
    </w:pPr>
    <w:rPr>
      <w:rFonts w:ascii="Times New Roman" w:hAnsi="Times New Roman"/>
      <w:color w:val="000000"/>
      <w:spacing w:val="5"/>
      <w:kern w:val="0"/>
      <w:sz w:val="28"/>
      <w:szCs w:val="20"/>
      <w:u w:color="000000"/>
    </w:rPr>
  </w:style>
  <w:style w:type="paragraph" w:customStyle="1" w:styleId="453">
    <w:name w:val="标题 712345"/>
    <w:basedOn w:val="1"/>
    <w:qFormat/>
    <w:uiPriority w:val="0"/>
    <w:pPr>
      <w:widowControl/>
      <w:spacing w:before="62" w:line="351" w:lineRule="atLeast"/>
      <w:ind w:firstLine="419"/>
      <w:jc w:val="left"/>
      <w:textAlignment w:val="baseline"/>
    </w:pPr>
    <w:rPr>
      <w:rFonts w:ascii="Times New Roman" w:hAnsi="Times New Roman"/>
      <w:b/>
      <w:color w:val="000000"/>
      <w:spacing w:val="11"/>
      <w:kern w:val="0"/>
      <w:sz w:val="28"/>
      <w:szCs w:val="20"/>
      <w:u w:color="000000"/>
    </w:rPr>
  </w:style>
  <w:style w:type="paragraph" w:customStyle="1" w:styleId="454">
    <w:name w:val="文档结构图123"/>
    <w:basedOn w:val="1"/>
    <w:qFormat/>
    <w:uiPriority w:val="0"/>
    <w:pPr>
      <w:widowControl/>
      <w:spacing w:line="351" w:lineRule="atLeast"/>
      <w:ind w:firstLine="623"/>
      <w:jc w:val="left"/>
      <w:textAlignment w:val="baseline"/>
    </w:pPr>
    <w:rPr>
      <w:rFonts w:ascii="Times New Roman" w:hAnsi="Times New Roman"/>
      <w:color w:val="000000"/>
      <w:spacing w:val="5"/>
      <w:kern w:val="0"/>
      <w:sz w:val="28"/>
      <w:szCs w:val="20"/>
      <w:u w:color="000000"/>
    </w:rPr>
  </w:style>
  <w:style w:type="paragraph" w:customStyle="1" w:styleId="455">
    <w:name w:val="正文文字缩进 3"/>
    <w:basedOn w:val="1"/>
    <w:qFormat/>
    <w:uiPriority w:val="0"/>
    <w:pPr>
      <w:widowControl/>
      <w:adjustRightInd w:val="0"/>
      <w:snapToGrid w:val="0"/>
      <w:spacing w:line="924" w:lineRule="atLeast"/>
      <w:ind w:firstLine="629" w:firstLineChars="200"/>
      <w:textAlignment w:val="baseline"/>
    </w:pPr>
    <w:rPr>
      <w:rFonts w:ascii="Times New Roman" w:hAnsi="Times New Roman" w:eastAsia="仿宋_GB2312"/>
      <w:snapToGrid w:val="0"/>
      <w:color w:val="000000"/>
      <w:kern w:val="0"/>
      <w:sz w:val="31"/>
      <w:szCs w:val="20"/>
      <w:u w:color="000000"/>
    </w:rPr>
  </w:style>
  <w:style w:type="paragraph" w:customStyle="1" w:styleId="456">
    <w:name w:val="xl43"/>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457">
    <w:name w:val="xl42"/>
    <w:basedOn w:val="1"/>
    <w:qFormat/>
    <w:uiPriority w:val="0"/>
    <w:pPr>
      <w:widowControl/>
      <w:spacing w:before="100" w:beforeAutospacing="1" w:after="100" w:afterAutospacing="1"/>
      <w:jc w:val="center"/>
    </w:pPr>
    <w:rPr>
      <w:rFonts w:ascii="宋体" w:hAnsi="宋体" w:cs="宋体"/>
      <w:b/>
      <w:bCs/>
      <w:color w:val="000000"/>
      <w:kern w:val="0"/>
      <w:sz w:val="22"/>
      <w:szCs w:val="22"/>
    </w:rPr>
  </w:style>
  <w:style w:type="paragraph" w:customStyle="1" w:styleId="458">
    <w:name w:val="样式45"/>
    <w:basedOn w:val="295"/>
    <w:qFormat/>
    <w:uiPriority w:val="0"/>
    <w:pPr>
      <w:spacing w:before="312" w:beforeLines="100" w:after="312" w:afterLines="100"/>
    </w:pPr>
    <w:rPr>
      <w:rFonts w:eastAsia="宋体"/>
    </w:rPr>
  </w:style>
  <w:style w:type="paragraph" w:customStyle="1" w:styleId="45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FF"/>
      <w:kern w:val="0"/>
      <w:sz w:val="20"/>
      <w:szCs w:val="20"/>
    </w:rPr>
  </w:style>
  <w:style w:type="paragraph" w:customStyle="1" w:styleId="460">
    <w:name w:val="标题 7123456"/>
    <w:basedOn w:val="1"/>
    <w:qFormat/>
    <w:uiPriority w:val="0"/>
    <w:pPr>
      <w:widowControl/>
      <w:spacing w:before="62" w:line="351" w:lineRule="atLeast"/>
      <w:ind w:firstLine="419"/>
      <w:jc w:val="left"/>
      <w:textAlignment w:val="baseline"/>
    </w:pPr>
    <w:rPr>
      <w:rFonts w:ascii="Times New Roman" w:hAnsi="Times New Roman"/>
      <w:b/>
      <w:color w:val="000000"/>
      <w:kern w:val="0"/>
      <w:sz w:val="24"/>
      <w:szCs w:val="20"/>
      <w:u w:color="000000"/>
    </w:rPr>
  </w:style>
  <w:style w:type="paragraph" w:customStyle="1" w:styleId="461">
    <w:name w:val="样式 小四 首行缩进:  0.85 厘米 段前: 7.8 磅 段后: 2.5 磅 行距: 1.5 倍行距"/>
    <w:basedOn w:val="1"/>
    <w:qFormat/>
    <w:uiPriority w:val="0"/>
    <w:pPr>
      <w:spacing w:before="156" w:after="50" w:line="360" w:lineRule="auto"/>
      <w:ind w:firstLine="480"/>
    </w:pPr>
    <w:rPr>
      <w:rFonts w:cs="宋体"/>
      <w:szCs w:val="20"/>
    </w:rPr>
  </w:style>
  <w:style w:type="paragraph" w:customStyle="1" w:styleId="462">
    <w:name w:val="样式 样式 标题 3 + 行距: 固定值 22 磅 + 加粗"/>
    <w:basedOn w:val="1"/>
    <w:qFormat/>
    <w:uiPriority w:val="0"/>
    <w:pPr>
      <w:keepNext/>
      <w:keepLines/>
      <w:widowControl/>
      <w:tabs>
        <w:tab w:val="left" w:pos="897"/>
        <w:tab w:val="left" w:pos="1361"/>
      </w:tabs>
      <w:adjustRightInd w:val="0"/>
      <w:spacing w:before="100" w:beforeAutospacing="1" w:after="100" w:afterAutospacing="1" w:line="600" w:lineRule="exact"/>
      <w:jc w:val="left"/>
      <w:outlineLvl w:val="2"/>
    </w:pPr>
    <w:rPr>
      <w:rFonts w:ascii="Times New Roman" w:hAnsi="Times New Roman" w:eastAsia="黑体"/>
      <w:b/>
      <w:color w:val="0000FF"/>
      <w:kern w:val="0"/>
      <w:sz w:val="48"/>
      <w:szCs w:val="20"/>
    </w:rPr>
  </w:style>
  <w:style w:type="paragraph" w:customStyle="1" w:styleId="463">
    <w:name w:val="正文文字缩进 2"/>
    <w:basedOn w:val="1"/>
    <w:qFormat/>
    <w:uiPriority w:val="0"/>
    <w:pPr>
      <w:widowControl/>
      <w:adjustRightInd w:val="0"/>
      <w:snapToGrid w:val="0"/>
      <w:spacing w:line="884" w:lineRule="atLeast"/>
      <w:ind w:firstLine="646" w:firstLineChars="200"/>
      <w:textAlignment w:val="baseline"/>
    </w:pPr>
    <w:rPr>
      <w:rFonts w:ascii="Times New Roman" w:hAnsi="Times New Roman" w:eastAsia="仿宋_GB2312"/>
      <w:snapToGrid w:val="0"/>
      <w:color w:val="000000"/>
      <w:kern w:val="0"/>
      <w:sz w:val="31"/>
      <w:szCs w:val="20"/>
      <w:u w:color="000000"/>
    </w:rPr>
  </w:style>
  <w:style w:type="paragraph" w:customStyle="1" w:styleId="464">
    <w:name w:val="默认段落字体 Para Char"/>
    <w:basedOn w:val="1"/>
    <w:qFormat/>
    <w:uiPriority w:val="0"/>
    <w:pPr>
      <w:spacing w:line="360" w:lineRule="auto"/>
      <w:ind w:firstLine="200" w:firstLineChars="200"/>
    </w:pPr>
    <w:rPr>
      <w:rFonts w:ascii="宋体" w:hAnsi="宋体"/>
      <w:sz w:val="24"/>
      <w:szCs w:val="20"/>
    </w:rPr>
  </w:style>
  <w:style w:type="paragraph" w:customStyle="1" w:styleId="465">
    <w:name w:val="样式 样式 首行缩进:  2 字符 + 首行缩进:  2 字符8"/>
    <w:basedOn w:val="354"/>
    <w:qFormat/>
    <w:uiPriority w:val="0"/>
    <w:pPr>
      <w:spacing w:line="520" w:lineRule="exact"/>
      <w:ind w:firstLine="200"/>
    </w:pPr>
  </w:style>
  <w:style w:type="paragraph" w:customStyle="1" w:styleId="466">
    <w:name w:val="3"/>
    <w:basedOn w:val="1"/>
    <w:next w:val="21"/>
    <w:qFormat/>
    <w:uiPriority w:val="0"/>
    <w:pPr>
      <w:ind w:firstLine="420"/>
    </w:pPr>
    <w:rPr>
      <w:rFonts w:ascii="Times New Roman" w:hAnsi="Times New Roman"/>
      <w:szCs w:val="20"/>
    </w:rPr>
  </w:style>
  <w:style w:type="paragraph" w:customStyle="1" w:styleId="467">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46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9">
    <w:name w:val="font1"/>
    <w:basedOn w:val="1"/>
    <w:qFormat/>
    <w:uiPriority w:val="0"/>
    <w:pPr>
      <w:widowControl/>
      <w:spacing w:before="100" w:beforeAutospacing="1" w:after="100" w:afterAutospacing="1"/>
      <w:jc w:val="left"/>
    </w:pPr>
    <w:rPr>
      <w:rFonts w:ascii="楷体_GB2312" w:hAnsi="宋体" w:eastAsia="楷体_GB2312" w:cs="宋体"/>
      <w:kern w:val="0"/>
      <w:sz w:val="20"/>
      <w:szCs w:val="20"/>
    </w:rPr>
  </w:style>
  <w:style w:type="paragraph" w:customStyle="1" w:styleId="470">
    <w:name w:val="表注"/>
    <w:basedOn w:val="1"/>
    <w:qFormat/>
    <w:uiPriority w:val="0"/>
    <w:pPr>
      <w:adjustRightInd w:val="0"/>
      <w:snapToGrid w:val="0"/>
      <w:spacing w:beforeLines="50" w:line="300" w:lineRule="auto"/>
      <w:ind w:left="200" w:hanging="200" w:hangingChars="200"/>
    </w:pPr>
    <w:rPr>
      <w:rFonts w:ascii="Times New Roman" w:hAnsi="Times New Roman" w:eastAsia="仿宋_GB2312"/>
      <w:bCs/>
      <w:color w:val="000000"/>
    </w:rPr>
  </w:style>
  <w:style w:type="paragraph" w:customStyle="1" w:styleId="471">
    <w:name w:val="样式13"/>
    <w:basedOn w:val="5"/>
    <w:qFormat/>
    <w:uiPriority w:val="0"/>
    <w:pPr>
      <w:spacing w:before="240" w:beforeLines="100" w:after="240" w:afterLines="100" w:line="240" w:lineRule="auto"/>
      <w:jc w:val="left"/>
    </w:pPr>
    <w:rPr>
      <w:rFonts w:ascii="Times New Roman" w:hAnsi="Times New Roman"/>
      <w:bCs/>
      <w:kern w:val="32"/>
      <w:szCs w:val="32"/>
    </w:rPr>
  </w:style>
  <w:style w:type="paragraph" w:customStyle="1" w:styleId="472">
    <w:name w:val="font10"/>
    <w:basedOn w:val="1"/>
    <w:qFormat/>
    <w:uiPriority w:val="0"/>
    <w:pPr>
      <w:widowControl/>
      <w:spacing w:before="100" w:beforeAutospacing="1" w:after="100" w:afterAutospacing="1"/>
      <w:jc w:val="left"/>
    </w:pPr>
    <w:rPr>
      <w:rFonts w:ascii="楷体_GB2312" w:hAnsi="宋体" w:eastAsia="楷体_GB2312" w:cs="宋体"/>
      <w:color w:val="0000FF"/>
      <w:kern w:val="0"/>
      <w:sz w:val="20"/>
      <w:szCs w:val="20"/>
    </w:rPr>
  </w:style>
  <w:style w:type="paragraph" w:customStyle="1" w:styleId="473">
    <w:name w:val="标题 112"/>
    <w:basedOn w:val="1"/>
    <w:qFormat/>
    <w:uiPriority w:val="0"/>
    <w:pPr>
      <w:widowControl/>
      <w:spacing w:before="119" w:line="351" w:lineRule="atLeast"/>
      <w:ind w:firstLine="566"/>
      <w:jc w:val="left"/>
      <w:textAlignment w:val="baseline"/>
    </w:pPr>
    <w:rPr>
      <w:rFonts w:ascii="Times New Roman" w:hAnsi="Times New Roman" w:eastAsia="黑体"/>
      <w:b/>
      <w:color w:val="000000"/>
      <w:kern w:val="0"/>
      <w:sz w:val="32"/>
      <w:szCs w:val="20"/>
      <w:u w:color="000000"/>
    </w:rPr>
  </w:style>
  <w:style w:type="paragraph" w:customStyle="1" w:styleId="474">
    <w:name w:val="XCHG论文节"/>
    <w:basedOn w:val="1"/>
    <w:qFormat/>
    <w:uiPriority w:val="0"/>
    <w:pPr>
      <w:spacing w:before="100" w:after="100"/>
    </w:pPr>
    <w:rPr>
      <w:rFonts w:ascii="方正姚体" w:hAnsi="Times New Roman" w:eastAsia="方正姚体"/>
      <w:b/>
      <w:sz w:val="36"/>
      <w:szCs w:val="20"/>
    </w:rPr>
  </w:style>
  <w:style w:type="paragraph" w:customStyle="1" w:styleId="475">
    <w:name w:val="目录 61"/>
    <w:basedOn w:val="1"/>
    <w:qFormat/>
    <w:uiPriority w:val="0"/>
    <w:pPr>
      <w:widowControl/>
      <w:spacing w:line="351" w:lineRule="atLeast"/>
      <w:jc w:val="left"/>
      <w:textAlignment w:val="baseline"/>
    </w:pPr>
    <w:rPr>
      <w:rFonts w:ascii="Times New Roman" w:hAnsi="Times New Roman"/>
      <w:b/>
      <w:color w:val="000000"/>
      <w:spacing w:val="5"/>
      <w:kern w:val="0"/>
      <w:sz w:val="22"/>
      <w:szCs w:val="20"/>
      <w:u w:color="000000"/>
    </w:rPr>
  </w:style>
  <w:style w:type="paragraph" w:customStyle="1" w:styleId="476">
    <w:name w:val="标题 412"/>
    <w:basedOn w:val="1"/>
    <w:qFormat/>
    <w:uiPriority w:val="0"/>
    <w:pPr>
      <w:widowControl/>
      <w:spacing w:line="351" w:lineRule="atLeast"/>
      <w:ind w:firstLine="566"/>
      <w:jc w:val="left"/>
      <w:textAlignment w:val="baseline"/>
    </w:pPr>
    <w:rPr>
      <w:rFonts w:ascii="Times New Roman" w:hAnsi="Times New Roman" w:eastAsia="隶书"/>
      <w:b/>
      <w:color w:val="000000"/>
      <w:kern w:val="0"/>
      <w:sz w:val="28"/>
      <w:szCs w:val="20"/>
      <w:u w:color="000000"/>
    </w:rPr>
  </w:style>
  <w:style w:type="paragraph" w:customStyle="1" w:styleId="477">
    <w:name w:val="目录标题"/>
    <w:basedOn w:val="1"/>
    <w:next w:val="1"/>
    <w:qFormat/>
    <w:uiPriority w:val="0"/>
    <w:pPr>
      <w:widowControl/>
      <w:adjustRightInd w:val="0"/>
      <w:snapToGrid w:val="0"/>
      <w:spacing w:before="215" w:after="419" w:line="436" w:lineRule="atLeast"/>
      <w:ind w:firstLine="419" w:firstLineChars="200"/>
      <w:jc w:val="center"/>
      <w:textAlignment w:val="baseline"/>
    </w:pPr>
    <w:rPr>
      <w:rFonts w:ascii="Arial" w:hAnsi="Times New Roman" w:eastAsia="黑体"/>
      <w:snapToGrid w:val="0"/>
      <w:color w:val="000000"/>
      <w:spacing w:val="283"/>
      <w:sz w:val="42"/>
      <w:szCs w:val="20"/>
      <w:u w:color="000000"/>
    </w:rPr>
  </w:style>
  <w:style w:type="paragraph" w:customStyle="1" w:styleId="478">
    <w:name w:val="Char Char Char Char Char"/>
    <w:basedOn w:val="1"/>
    <w:qFormat/>
    <w:uiPriority w:val="0"/>
    <w:pPr>
      <w:adjustRightInd w:val="0"/>
      <w:snapToGrid w:val="0"/>
      <w:spacing w:line="360" w:lineRule="auto"/>
      <w:ind w:firstLine="200" w:firstLineChars="200"/>
    </w:pPr>
    <w:rPr>
      <w:rFonts w:ascii="宋体" w:hAnsi="宋体"/>
      <w:snapToGrid w:val="0"/>
      <w:sz w:val="24"/>
      <w:szCs w:val="20"/>
    </w:rPr>
  </w:style>
  <w:style w:type="paragraph" w:customStyle="1" w:styleId="479">
    <w:name w:val="样式48"/>
    <w:basedOn w:val="295"/>
    <w:qFormat/>
    <w:uiPriority w:val="0"/>
    <w:pPr>
      <w:spacing w:before="312" w:beforeLines="100" w:after="312" w:afterLines="100"/>
    </w:pPr>
    <w:rPr>
      <w:rFonts w:eastAsia="宋体"/>
    </w:rPr>
  </w:style>
  <w:style w:type="paragraph" w:customStyle="1" w:styleId="480">
    <w:name w:val="z-窗体底端1"/>
    <w:basedOn w:val="1"/>
    <w:next w:val="1"/>
    <w:link w:val="481"/>
    <w:qFormat/>
    <w:uiPriority w:val="0"/>
    <w:pPr>
      <w:widowControl/>
      <w:pBdr>
        <w:top w:val="single" w:color="auto" w:sz="6" w:space="1"/>
      </w:pBdr>
      <w:jc w:val="center"/>
    </w:pPr>
    <w:rPr>
      <w:rFonts w:ascii="Arial" w:hAnsi="Arial" w:cs="Arial"/>
      <w:vanish/>
      <w:kern w:val="0"/>
      <w:sz w:val="16"/>
      <w:szCs w:val="16"/>
    </w:rPr>
  </w:style>
  <w:style w:type="character" w:customStyle="1" w:styleId="481">
    <w:name w:val="z-窗体底端 Char"/>
    <w:basedOn w:val="91"/>
    <w:link w:val="480"/>
    <w:qFormat/>
    <w:uiPriority w:val="0"/>
    <w:rPr>
      <w:rFonts w:ascii="Arial" w:hAnsi="Arial" w:cs="Arial"/>
      <w:vanish/>
      <w:sz w:val="16"/>
      <w:szCs w:val="16"/>
    </w:rPr>
  </w:style>
  <w:style w:type="paragraph" w:customStyle="1" w:styleId="482">
    <w:name w:val="第  章"/>
    <w:basedOn w:val="1"/>
    <w:qFormat/>
    <w:uiPriority w:val="0"/>
    <w:pPr>
      <w:widowControl/>
      <w:spacing w:line="351" w:lineRule="atLeast"/>
      <w:ind w:firstLine="623"/>
      <w:jc w:val="left"/>
      <w:textAlignment w:val="baseline"/>
    </w:pPr>
    <w:rPr>
      <w:rFonts w:ascii="Times New Roman" w:hAnsi="Times New Roman" w:eastAsia="黑体"/>
      <w:color w:val="000000"/>
      <w:spacing w:val="5"/>
      <w:kern w:val="0"/>
      <w:sz w:val="32"/>
      <w:szCs w:val="20"/>
      <w:u w:color="000000"/>
    </w:rPr>
  </w:style>
  <w:style w:type="paragraph" w:customStyle="1" w:styleId="4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FF"/>
      <w:kern w:val="0"/>
      <w:sz w:val="20"/>
      <w:szCs w:val="20"/>
    </w:rPr>
  </w:style>
  <w:style w:type="paragraph" w:customStyle="1" w:styleId="484">
    <w:name w:val="普通文字12"/>
    <w:basedOn w:val="1"/>
    <w:qFormat/>
    <w:uiPriority w:val="0"/>
    <w:pPr>
      <w:widowControl/>
      <w:spacing w:line="351" w:lineRule="atLeast"/>
      <w:ind w:firstLine="708"/>
      <w:jc w:val="left"/>
      <w:textAlignment w:val="baseline"/>
    </w:pPr>
    <w:rPr>
      <w:rFonts w:ascii="宋体" w:hAnsi="Times New Roman"/>
      <w:color w:val="000000"/>
      <w:spacing w:val="11"/>
      <w:kern w:val="0"/>
      <w:sz w:val="28"/>
      <w:szCs w:val="20"/>
      <w:u w:color="000000"/>
    </w:rPr>
  </w:style>
  <w:style w:type="paragraph" w:customStyle="1" w:styleId="485">
    <w:name w:val="样式16"/>
    <w:basedOn w:val="45"/>
    <w:qFormat/>
    <w:uiPriority w:val="0"/>
    <w:pPr>
      <w:spacing w:line="360" w:lineRule="auto"/>
      <w:ind w:firstLine="549" w:firstLineChars="196"/>
    </w:pPr>
    <w:rPr>
      <w:rFonts w:ascii="Times New Roman" w:hAnsi="Times New Roman" w:cs="Courier New"/>
      <w:sz w:val="28"/>
      <w:szCs w:val="28"/>
    </w:rPr>
  </w:style>
  <w:style w:type="paragraph" w:customStyle="1" w:styleId="486">
    <w:name w:val="样式 样式 样式 样式3 + 段前: 2.5 行1 + 段前: 1 行 段后: 0.5 行 + 段前: 1 行 段后: 0.5..."/>
    <w:basedOn w:val="373"/>
    <w:qFormat/>
    <w:uiPriority w:val="0"/>
    <w:pPr>
      <w:spacing w:before="240" w:after="120"/>
    </w:pPr>
  </w:style>
  <w:style w:type="paragraph" w:customStyle="1" w:styleId="487">
    <w:name w:val="font18"/>
    <w:basedOn w:val="1"/>
    <w:qFormat/>
    <w:uiPriority w:val="0"/>
    <w:pPr>
      <w:widowControl/>
      <w:spacing w:before="100" w:beforeAutospacing="1" w:after="100" w:afterAutospacing="1"/>
      <w:jc w:val="left"/>
    </w:pPr>
    <w:rPr>
      <w:rFonts w:ascii="楷体_GB2312" w:hAnsi="宋体" w:eastAsia="楷体_GB2312" w:cs="宋体"/>
      <w:kern w:val="0"/>
      <w:sz w:val="18"/>
      <w:szCs w:val="18"/>
    </w:rPr>
  </w:style>
  <w:style w:type="paragraph" w:customStyle="1" w:styleId="48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9">
    <w:name w:val="样式 标题 3 + 段前: 6 磅 段后: 12 磅 行距: 单倍行距"/>
    <w:basedOn w:val="5"/>
    <w:qFormat/>
    <w:uiPriority w:val="0"/>
    <w:pPr>
      <w:spacing w:before="240" w:beforeLines="100" w:after="240" w:afterLines="100" w:line="240" w:lineRule="auto"/>
      <w:jc w:val="left"/>
    </w:pPr>
    <w:rPr>
      <w:rFonts w:ascii="Times New Roman" w:hAnsi="Times New Roman" w:cs="宋体"/>
      <w:bCs/>
      <w:kern w:val="32"/>
    </w:rPr>
  </w:style>
  <w:style w:type="paragraph" w:customStyle="1" w:styleId="490">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楷体_GB2312" w:hAnsi="宋体" w:eastAsia="楷体_GB2312" w:cs="宋体"/>
      <w:kern w:val="0"/>
      <w:sz w:val="20"/>
      <w:szCs w:val="20"/>
    </w:rPr>
  </w:style>
  <w:style w:type="paragraph" w:customStyle="1" w:styleId="491">
    <w:name w:val="标题 71234"/>
    <w:basedOn w:val="1"/>
    <w:qFormat/>
    <w:uiPriority w:val="0"/>
    <w:pPr>
      <w:widowControl/>
      <w:spacing w:before="62" w:line="351" w:lineRule="atLeast"/>
      <w:ind w:firstLine="623"/>
      <w:jc w:val="left"/>
      <w:textAlignment w:val="baseline"/>
    </w:pPr>
    <w:rPr>
      <w:rFonts w:ascii="Times New Roman" w:hAnsi="Times New Roman"/>
      <w:b/>
      <w:color w:val="000000"/>
      <w:spacing w:val="5"/>
      <w:kern w:val="0"/>
      <w:sz w:val="24"/>
      <w:szCs w:val="20"/>
      <w:u w:color="000000"/>
    </w:rPr>
  </w:style>
  <w:style w:type="paragraph" w:customStyle="1" w:styleId="492">
    <w:name w:val="样式 样式 样式 首行缩进:  2 字符 + 首行缩进:  2 字符7 + 首行缩进:  2 字符"/>
    <w:basedOn w:val="1"/>
    <w:qFormat/>
    <w:uiPriority w:val="0"/>
    <w:pPr>
      <w:widowControl/>
      <w:spacing w:line="520" w:lineRule="exact"/>
      <w:ind w:firstLine="600"/>
      <w:textAlignment w:val="baseline"/>
    </w:pPr>
    <w:rPr>
      <w:rFonts w:ascii="Times New Roman" w:hAnsi="Times New Roman" w:cs="宋体"/>
      <w:color w:val="000000"/>
      <w:kern w:val="0"/>
      <w:sz w:val="28"/>
      <w:szCs w:val="20"/>
      <w:u w:color="000000"/>
    </w:rPr>
  </w:style>
  <w:style w:type="paragraph" w:customStyle="1" w:styleId="493">
    <w:name w:val="样式 样式 四号 首行缩进:  1.1 厘米 + 首行缩进:  2 字符"/>
    <w:basedOn w:val="1"/>
    <w:qFormat/>
    <w:uiPriority w:val="0"/>
    <w:pPr>
      <w:spacing w:line="360" w:lineRule="auto"/>
      <w:ind w:firstLine="200" w:firstLineChars="200"/>
    </w:pPr>
    <w:rPr>
      <w:rFonts w:ascii="Times New Roman" w:hAnsi="Times New Roman" w:cs="宋体"/>
      <w:sz w:val="24"/>
      <w:szCs w:val="20"/>
    </w:rPr>
  </w:style>
  <w:style w:type="paragraph" w:customStyle="1" w:styleId="494">
    <w:name w:val="样式46"/>
    <w:basedOn w:val="390"/>
    <w:qFormat/>
    <w:uiPriority w:val="0"/>
    <w:pPr>
      <w:spacing w:before="240" w:beforeLines="100" w:after="240" w:afterLines="100"/>
    </w:pPr>
    <w:rPr>
      <w:rFonts w:ascii="Times New Roman" w:eastAsia="宋体"/>
    </w:rPr>
  </w:style>
  <w:style w:type="paragraph" w:customStyle="1" w:styleId="495">
    <w:name w:val="脚注文本1"/>
    <w:basedOn w:val="1"/>
    <w:qFormat/>
    <w:uiPriority w:val="0"/>
    <w:pPr>
      <w:widowControl/>
      <w:spacing w:line="351" w:lineRule="atLeast"/>
      <w:ind w:firstLine="623"/>
      <w:jc w:val="left"/>
      <w:textAlignment w:val="baseline"/>
    </w:pPr>
    <w:rPr>
      <w:rFonts w:ascii="Times New Roman" w:hAnsi="Times New Roman"/>
      <w:color w:val="000000"/>
      <w:spacing w:val="5"/>
      <w:kern w:val="0"/>
      <w:sz w:val="18"/>
      <w:szCs w:val="20"/>
      <w:u w:color="000000"/>
    </w:rPr>
  </w:style>
  <w:style w:type="paragraph" w:customStyle="1" w:styleId="496">
    <w:name w:val="样式18"/>
    <w:basedOn w:val="4"/>
    <w:qFormat/>
    <w:uiPriority w:val="0"/>
    <w:pPr>
      <w:spacing w:before="240" w:beforeLines="100" w:after="240" w:afterLines="100" w:line="240" w:lineRule="auto"/>
      <w:jc w:val="left"/>
    </w:pPr>
    <w:rPr>
      <w:rFonts w:ascii="Times New Roman" w:hAnsi="Times New Roman"/>
      <w:kern w:val="52"/>
      <w:sz w:val="52"/>
      <w:szCs w:val="52"/>
    </w:rPr>
  </w:style>
  <w:style w:type="paragraph" w:customStyle="1" w:styleId="497">
    <w:name w:val="报告书正文 Char"/>
    <w:basedOn w:val="1"/>
    <w:qFormat/>
    <w:uiPriority w:val="0"/>
    <w:pPr>
      <w:widowControl/>
      <w:spacing w:line="300" w:lineRule="auto"/>
      <w:ind w:firstLine="480" w:firstLineChars="200"/>
      <w:jc w:val="left"/>
    </w:pPr>
    <w:rPr>
      <w:rFonts w:ascii="Times New Roman" w:hAnsi="Times New Roman"/>
      <w:sz w:val="24"/>
      <w:szCs w:val="20"/>
    </w:rPr>
  </w:style>
  <w:style w:type="paragraph" w:customStyle="1" w:styleId="498">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499">
    <w:name w:val="标题 312345"/>
    <w:basedOn w:val="1"/>
    <w:qFormat/>
    <w:uiPriority w:val="0"/>
    <w:pPr>
      <w:widowControl/>
      <w:spacing w:line="351" w:lineRule="atLeast"/>
      <w:ind w:firstLine="674"/>
      <w:jc w:val="left"/>
      <w:textAlignment w:val="baseline"/>
    </w:pPr>
    <w:rPr>
      <w:rFonts w:ascii="Times New Roman" w:hAnsi="Times New Roman" w:eastAsia="黑体"/>
      <w:color w:val="000000"/>
      <w:spacing w:val="5"/>
      <w:kern w:val="0"/>
      <w:sz w:val="32"/>
      <w:szCs w:val="20"/>
      <w:u w:color="000000"/>
    </w:rPr>
  </w:style>
  <w:style w:type="paragraph" w:customStyle="1" w:styleId="500">
    <w:name w:val="Char 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501">
    <w:name w:val="文档结构图12345"/>
    <w:basedOn w:val="1"/>
    <w:qFormat/>
    <w:uiPriority w:val="0"/>
    <w:pPr>
      <w:widowControl/>
      <w:spacing w:line="351" w:lineRule="atLeast"/>
      <w:ind w:firstLine="419"/>
      <w:jc w:val="left"/>
      <w:textAlignment w:val="baseline"/>
    </w:pPr>
    <w:rPr>
      <w:rFonts w:ascii="Times New Roman" w:hAnsi="Times New Roman"/>
      <w:color w:val="000000"/>
      <w:spacing w:val="11"/>
      <w:kern w:val="0"/>
      <w:sz w:val="28"/>
      <w:szCs w:val="20"/>
      <w:u w:color="000000"/>
    </w:rPr>
  </w:style>
  <w:style w:type="paragraph" w:customStyle="1" w:styleId="502">
    <w:name w:val="样式 标题 1 + 段前: 1 行 段后: 1 行"/>
    <w:basedOn w:val="4"/>
    <w:qFormat/>
    <w:uiPriority w:val="0"/>
    <w:pPr>
      <w:spacing w:before="100" w:beforeLines="100" w:after="100" w:afterLines="100" w:line="240" w:lineRule="auto"/>
      <w:jc w:val="left"/>
    </w:pPr>
    <w:rPr>
      <w:rFonts w:ascii="Times New Roman" w:hAnsi="Times New Roman" w:cs="宋体"/>
      <w:kern w:val="52"/>
      <w:sz w:val="52"/>
      <w:szCs w:val="20"/>
    </w:rPr>
  </w:style>
  <w:style w:type="paragraph" w:customStyle="1" w:styleId="503">
    <w:name w:val="样式 报告书正文 + 自动设置"/>
    <w:basedOn w:val="497"/>
    <w:qFormat/>
    <w:uiPriority w:val="0"/>
    <w:pPr>
      <w:widowControl w:val="0"/>
      <w:adjustRightInd w:val="0"/>
      <w:snapToGrid w:val="0"/>
      <w:spacing w:line="360" w:lineRule="auto"/>
      <w:ind w:left="-44" w:leftChars="-21"/>
      <w:jc w:val="both"/>
      <w:textAlignment w:val="baseline"/>
    </w:pPr>
  </w:style>
  <w:style w:type="paragraph" w:customStyle="1" w:styleId="504">
    <w:name w:val="目录 71"/>
    <w:basedOn w:val="1"/>
    <w:qFormat/>
    <w:uiPriority w:val="0"/>
    <w:pPr>
      <w:widowControl/>
      <w:spacing w:line="351" w:lineRule="atLeast"/>
      <w:jc w:val="left"/>
      <w:textAlignment w:val="baseline"/>
    </w:pPr>
    <w:rPr>
      <w:rFonts w:ascii="Times New Roman" w:hAnsi="Times New Roman"/>
      <w:b/>
      <w:color w:val="000000"/>
      <w:spacing w:val="5"/>
      <w:kern w:val="0"/>
      <w:sz w:val="22"/>
      <w:szCs w:val="20"/>
      <w:u w:color="000000"/>
    </w:rPr>
  </w:style>
  <w:style w:type="paragraph" w:customStyle="1" w:styleId="50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06">
    <w:name w:val="表内1"/>
    <w:basedOn w:val="403"/>
    <w:qFormat/>
    <w:uiPriority w:val="0"/>
    <w:pPr>
      <w:autoSpaceDE/>
      <w:autoSpaceDN/>
      <w:adjustRightInd/>
      <w:ind w:left="96" w:hanging="96" w:hangingChars="40"/>
      <w:jc w:val="left"/>
      <w:textAlignment w:val="auto"/>
    </w:pPr>
    <w:rPr>
      <w:rFonts w:eastAsia="仿宋_GB2312"/>
      <w:bCs/>
      <w:color w:val="000000"/>
      <w:kern w:val="2"/>
      <w:sz w:val="20"/>
      <w:szCs w:val="32"/>
    </w:rPr>
  </w:style>
  <w:style w:type="paragraph" w:customStyle="1" w:styleId="507">
    <w:name w:val="样式 正文小四 +"/>
    <w:basedOn w:val="204"/>
    <w:qFormat/>
    <w:uiPriority w:val="0"/>
    <w:pPr>
      <w:widowControl w:val="0"/>
      <w:jc w:val="both"/>
    </w:pPr>
    <w:rPr>
      <w:rFonts w:ascii="Times New Roman" w:hAnsi="Times New Roman" w:cs="Times New Roman"/>
      <w:kern w:val="2"/>
      <w:u w:color="000000"/>
    </w:rPr>
  </w:style>
  <w:style w:type="paragraph" w:customStyle="1" w:styleId="5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kern w:val="0"/>
      <w:sz w:val="20"/>
      <w:szCs w:val="20"/>
    </w:rPr>
  </w:style>
  <w:style w:type="paragraph" w:customStyle="1" w:styleId="509">
    <w:name w:val="0"/>
    <w:basedOn w:val="1"/>
    <w:qFormat/>
    <w:uiPriority w:val="0"/>
    <w:pPr>
      <w:widowControl/>
      <w:snapToGrid w:val="0"/>
      <w:ind w:left="1"/>
      <w:textAlignment w:val="bottom"/>
    </w:pPr>
    <w:rPr>
      <w:rFonts w:ascii="Times New Roman" w:hAnsi="Times New Roman"/>
      <w:b/>
      <w:bCs/>
      <w:i/>
      <w:iCs/>
      <w:color w:val="000000"/>
      <w:kern w:val="0"/>
      <w:szCs w:val="21"/>
    </w:rPr>
  </w:style>
  <w:style w:type="paragraph" w:customStyle="1" w:styleId="510">
    <w:name w:val="font16"/>
    <w:basedOn w:val="1"/>
    <w:qFormat/>
    <w:uiPriority w:val="0"/>
    <w:pPr>
      <w:widowControl/>
      <w:spacing w:before="100" w:beforeAutospacing="1" w:after="100" w:afterAutospacing="1"/>
      <w:jc w:val="left"/>
    </w:pPr>
    <w:rPr>
      <w:rFonts w:ascii="楷体_GB2312" w:hAnsi="宋体" w:eastAsia="楷体_GB2312" w:cs="宋体"/>
      <w:color w:val="FF00FF"/>
      <w:kern w:val="0"/>
      <w:sz w:val="16"/>
      <w:szCs w:val="16"/>
    </w:rPr>
  </w:style>
  <w:style w:type="paragraph" w:customStyle="1" w:styleId="511">
    <w:name w:val="样式 样式 首行缩进:  2 字符 + 首行缩进:  2 字符7"/>
    <w:basedOn w:val="354"/>
    <w:qFormat/>
    <w:uiPriority w:val="0"/>
    <w:pPr>
      <w:spacing w:line="520" w:lineRule="exact"/>
      <w:ind w:firstLine="200"/>
    </w:pPr>
  </w:style>
  <w:style w:type="paragraph" w:customStyle="1" w:styleId="512">
    <w:name w:val="样式 正文文本 + 自动设置"/>
    <w:basedOn w:val="34"/>
    <w:qFormat/>
    <w:uiPriority w:val="0"/>
    <w:pPr>
      <w:adjustRightInd w:val="0"/>
      <w:snapToGrid w:val="0"/>
      <w:spacing w:after="120" w:line="240" w:lineRule="auto"/>
    </w:pPr>
    <w:rPr>
      <w:rFonts w:hAnsi="Times New Roman"/>
      <w:w w:val="90"/>
      <w:kern w:val="0"/>
    </w:rPr>
  </w:style>
  <w:style w:type="paragraph" w:customStyle="1" w:styleId="513">
    <w:name w:val="标题 2123456"/>
    <w:basedOn w:val="1"/>
    <w:qFormat/>
    <w:uiPriority w:val="0"/>
    <w:pPr>
      <w:widowControl/>
      <w:spacing w:before="56" w:line="351" w:lineRule="atLeast"/>
      <w:ind w:firstLine="566"/>
      <w:jc w:val="left"/>
      <w:textAlignment w:val="baseline"/>
    </w:pPr>
    <w:rPr>
      <w:rFonts w:ascii="Times New Roman" w:hAnsi="Times New Roman" w:eastAsia="楷体_GB2312"/>
      <w:b/>
      <w:color w:val="000000"/>
      <w:kern w:val="0"/>
      <w:sz w:val="30"/>
      <w:szCs w:val="20"/>
      <w:u w:color="000000"/>
    </w:rPr>
  </w:style>
  <w:style w:type="paragraph" w:customStyle="1" w:styleId="514">
    <w:name w:val="样式 正文编号（1） +1 Char Char Char"/>
    <w:basedOn w:val="1"/>
    <w:qFormat/>
    <w:uiPriority w:val="0"/>
    <w:pPr>
      <w:widowControl/>
      <w:tabs>
        <w:tab w:val="left" w:pos="572"/>
        <w:tab w:val="left" w:pos="1230"/>
      </w:tabs>
      <w:adjustRightInd w:val="0"/>
      <w:snapToGrid w:val="0"/>
      <w:spacing w:line="520" w:lineRule="exact"/>
      <w:ind w:left="56" w:firstLine="454" w:firstLineChars="200"/>
      <w:textAlignment w:val="baseline"/>
    </w:pPr>
    <w:rPr>
      <w:rFonts w:ascii="Times New Roman" w:hAnsi="Times New Roman"/>
      <w:color w:val="000000"/>
      <w:sz w:val="28"/>
      <w:szCs w:val="20"/>
      <w:u w:color="000000"/>
    </w:rPr>
  </w:style>
  <w:style w:type="paragraph" w:customStyle="1" w:styleId="515">
    <w:name w:val="标题2"/>
    <w:basedOn w:val="342"/>
    <w:qFormat/>
    <w:uiPriority w:val="0"/>
    <w:pPr>
      <w:widowControl/>
      <w:tabs>
        <w:tab w:val="left" w:pos="840"/>
        <w:tab w:val="left" w:pos="1260"/>
      </w:tabs>
      <w:spacing w:beforeLines="0" w:after="120" w:afterLines="0" w:line="460" w:lineRule="exact"/>
      <w:ind w:left="840" w:hanging="840"/>
      <w:jc w:val="both"/>
    </w:pPr>
    <w:rPr>
      <w:rFonts w:ascii="宋体" w:hAnsi="宋体" w:eastAsia="方正书宋"/>
      <w:color w:val="000000"/>
      <w:spacing w:val="22"/>
      <w:kern w:val="44"/>
      <w:sz w:val="30"/>
      <w:szCs w:val="20"/>
    </w:rPr>
  </w:style>
  <w:style w:type="paragraph" w:customStyle="1" w:styleId="516">
    <w:name w:val="标题 3123"/>
    <w:basedOn w:val="1"/>
    <w:qFormat/>
    <w:uiPriority w:val="0"/>
    <w:pPr>
      <w:widowControl/>
      <w:spacing w:before="119" w:line="351" w:lineRule="atLeast"/>
      <w:ind w:firstLine="623"/>
      <w:jc w:val="left"/>
      <w:textAlignment w:val="baseline"/>
    </w:pPr>
    <w:rPr>
      <w:rFonts w:ascii="Times New Roman" w:hAnsi="Times New Roman" w:eastAsia="黑体"/>
      <w:color w:val="000000"/>
      <w:spacing w:val="5"/>
      <w:kern w:val="0"/>
      <w:sz w:val="32"/>
      <w:szCs w:val="20"/>
      <w:u w:color="000000"/>
    </w:rPr>
  </w:style>
  <w:style w:type="paragraph" w:customStyle="1" w:styleId="517">
    <w:name w:val="图表头2"/>
    <w:basedOn w:val="518"/>
    <w:qFormat/>
    <w:uiPriority w:val="0"/>
    <w:pPr>
      <w:widowControl w:val="0"/>
      <w:spacing w:before="156" w:line="312" w:lineRule="atLeast"/>
      <w:ind w:right="42"/>
    </w:pPr>
    <w:rPr>
      <w:rFonts w:ascii="Times New Roman" w:eastAsia="宋体"/>
      <w:b/>
      <w:kern w:val="2"/>
    </w:rPr>
  </w:style>
  <w:style w:type="paragraph" w:customStyle="1" w:styleId="518">
    <w:name w:val="图表头"/>
    <w:basedOn w:val="1"/>
    <w:qFormat/>
    <w:uiPriority w:val="0"/>
    <w:pPr>
      <w:widowControl/>
      <w:adjustRightInd w:val="0"/>
      <w:spacing w:line="360" w:lineRule="auto"/>
      <w:jc w:val="center"/>
      <w:textAlignment w:val="baseline"/>
    </w:pPr>
    <w:rPr>
      <w:rFonts w:ascii="黑体" w:hAnsi="Times New Roman" w:eastAsia="黑体"/>
      <w:spacing w:val="5"/>
      <w:kern w:val="0"/>
      <w:sz w:val="24"/>
      <w:szCs w:val="20"/>
    </w:rPr>
  </w:style>
  <w:style w:type="paragraph" w:customStyle="1" w:styleId="519">
    <w:name w:val="Char Char 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52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21">
    <w:name w:val="样式 样式 小四 行距: 1.5 倍行距 + 黑色 Char"/>
    <w:basedOn w:val="522"/>
    <w:qFormat/>
    <w:uiPriority w:val="0"/>
    <w:rPr>
      <w:color w:val="000000"/>
    </w:rPr>
  </w:style>
  <w:style w:type="paragraph" w:customStyle="1" w:styleId="522">
    <w:name w:val="样式 小四 行距: 1.5 倍行距 Char"/>
    <w:basedOn w:val="1"/>
    <w:qFormat/>
    <w:uiPriority w:val="0"/>
    <w:pPr>
      <w:widowControl/>
      <w:spacing w:line="360" w:lineRule="auto"/>
      <w:ind w:firstLine="480" w:firstLineChars="200"/>
      <w:jc w:val="left"/>
    </w:pPr>
    <w:rPr>
      <w:rFonts w:ascii="Times New Roman" w:hAnsi="Times New Roman"/>
      <w:sz w:val="24"/>
      <w:szCs w:val="20"/>
    </w:rPr>
  </w:style>
  <w:style w:type="paragraph" w:customStyle="1" w:styleId="5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524">
    <w:name w:val="标题 31"/>
    <w:basedOn w:val="1"/>
    <w:qFormat/>
    <w:uiPriority w:val="0"/>
    <w:pPr>
      <w:widowControl/>
      <w:spacing w:line="351" w:lineRule="atLeast"/>
      <w:ind w:firstLine="674"/>
      <w:jc w:val="left"/>
      <w:textAlignment w:val="baseline"/>
    </w:pPr>
    <w:rPr>
      <w:rFonts w:ascii="Times New Roman" w:hAnsi="Times New Roman" w:eastAsia="黑体"/>
      <w:color w:val="000000"/>
      <w:spacing w:val="5"/>
      <w:kern w:val="0"/>
      <w:sz w:val="32"/>
      <w:szCs w:val="20"/>
      <w:u w:color="000000"/>
    </w:rPr>
  </w:style>
  <w:style w:type="paragraph" w:customStyle="1" w:styleId="525">
    <w:name w:val="样式 样式 (b) + 行距: 固定值 22 磅 + 加粗"/>
    <w:basedOn w:val="1"/>
    <w:qFormat/>
    <w:uiPriority w:val="0"/>
    <w:pPr>
      <w:widowControl/>
      <w:tabs>
        <w:tab w:val="left" w:pos="572"/>
        <w:tab w:val="left" w:pos="1798"/>
      </w:tabs>
      <w:adjustRightInd w:val="0"/>
      <w:spacing w:line="800" w:lineRule="exact"/>
      <w:ind w:left="624" w:firstLine="454"/>
      <w:jc w:val="left"/>
    </w:pPr>
    <w:rPr>
      <w:rFonts w:ascii="Times New Roman" w:hAnsi="Times New Roman"/>
      <w:b/>
      <w:kern w:val="0"/>
      <w:sz w:val="48"/>
      <w:szCs w:val="20"/>
    </w:rPr>
  </w:style>
  <w:style w:type="paragraph" w:customStyle="1" w:styleId="526">
    <w:name w:val="Char Char Char1 Char"/>
    <w:basedOn w:val="26"/>
    <w:qFormat/>
    <w:uiPriority w:val="0"/>
    <w:rPr>
      <w:rFonts w:ascii="Tahoma" w:hAnsi="Tahoma"/>
      <w:sz w:val="24"/>
    </w:rPr>
  </w:style>
  <w:style w:type="paragraph" w:customStyle="1" w:styleId="52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8">
    <w:name w:val="样式21"/>
    <w:basedOn w:val="5"/>
    <w:qFormat/>
    <w:uiPriority w:val="0"/>
    <w:pPr>
      <w:spacing w:before="240" w:beforeLines="100" w:after="240" w:afterLines="100" w:line="240" w:lineRule="auto"/>
      <w:jc w:val="left"/>
    </w:pPr>
    <w:rPr>
      <w:rFonts w:ascii="Times New Roman" w:hAnsi="Times New Roman"/>
      <w:bCs/>
      <w:kern w:val="32"/>
      <w:szCs w:val="32"/>
    </w:rPr>
  </w:style>
  <w:style w:type="paragraph" w:customStyle="1" w:styleId="529">
    <w:name w:val="样式12 Char Char Char"/>
    <w:basedOn w:val="5"/>
    <w:qFormat/>
    <w:uiPriority w:val="0"/>
    <w:pPr>
      <w:widowControl/>
      <w:adjustRightInd w:val="0"/>
      <w:snapToGrid w:val="0"/>
      <w:spacing w:before="50" w:after="50" w:line="360" w:lineRule="auto"/>
      <w:ind w:left="180"/>
      <w:jc w:val="left"/>
      <w:textAlignment w:val="baseline"/>
    </w:pPr>
    <w:rPr>
      <w:rFonts w:ascii="Times New Roman" w:hAnsi="Times New Roman"/>
      <w:snapToGrid w:val="0"/>
      <w:kern w:val="0"/>
      <w:sz w:val="28"/>
      <w:u w:color="000000"/>
    </w:rPr>
  </w:style>
  <w:style w:type="paragraph" w:customStyle="1" w:styleId="530">
    <w:name w:val="标题 8123456"/>
    <w:basedOn w:val="1"/>
    <w:qFormat/>
    <w:uiPriority w:val="0"/>
    <w:pPr>
      <w:widowControl/>
      <w:spacing w:before="62" w:line="351" w:lineRule="atLeast"/>
      <w:ind w:firstLine="419"/>
      <w:jc w:val="left"/>
      <w:textAlignment w:val="baseline"/>
    </w:pPr>
    <w:rPr>
      <w:rFonts w:ascii="Stylus BT" w:hAnsi="Times New Roman" w:eastAsia="黑体"/>
      <w:color w:val="000000"/>
      <w:kern w:val="0"/>
      <w:sz w:val="24"/>
      <w:szCs w:val="20"/>
      <w:u w:color="000000"/>
    </w:rPr>
  </w:style>
  <w:style w:type="paragraph" w:customStyle="1" w:styleId="53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532">
    <w:name w:val="索引 11"/>
    <w:basedOn w:val="1"/>
    <w:qFormat/>
    <w:uiPriority w:val="0"/>
    <w:pPr>
      <w:widowControl/>
      <w:spacing w:line="351" w:lineRule="atLeast"/>
      <w:ind w:firstLine="419"/>
      <w:jc w:val="left"/>
      <w:textAlignment w:val="baseline"/>
    </w:pPr>
    <w:rPr>
      <w:rFonts w:ascii="Times New Roman" w:hAnsi="Times New Roman"/>
      <w:color w:val="000000"/>
      <w:spacing w:val="5"/>
      <w:kern w:val="0"/>
      <w:sz w:val="18"/>
      <w:szCs w:val="20"/>
      <w:u w:color="000000"/>
    </w:rPr>
  </w:style>
  <w:style w:type="paragraph" w:customStyle="1" w:styleId="533">
    <w:name w:val="样式 标题 3 + 段前: 6 磅 段后: 12 磅 行距: 单倍行距1"/>
    <w:basedOn w:val="5"/>
    <w:qFormat/>
    <w:uiPriority w:val="0"/>
    <w:pPr>
      <w:spacing w:before="100" w:beforeLines="100" w:after="100" w:afterLines="100" w:line="240" w:lineRule="auto"/>
      <w:jc w:val="left"/>
    </w:pPr>
    <w:rPr>
      <w:rFonts w:ascii="Times New Roman" w:hAnsi="Times New Roman" w:cs="宋体"/>
      <w:bCs/>
      <w:kern w:val="32"/>
    </w:rPr>
  </w:style>
  <w:style w:type="paragraph" w:customStyle="1" w:styleId="534">
    <w:name w:val="标题 112345"/>
    <w:basedOn w:val="1"/>
    <w:qFormat/>
    <w:uiPriority w:val="0"/>
    <w:pPr>
      <w:widowControl/>
      <w:spacing w:before="119" w:line="351" w:lineRule="atLeast"/>
      <w:ind w:firstLine="674"/>
      <w:jc w:val="left"/>
      <w:textAlignment w:val="baseline"/>
    </w:pPr>
    <w:rPr>
      <w:rFonts w:ascii="Times New Roman" w:hAnsi="Times New Roman" w:eastAsia="黑体"/>
      <w:color w:val="000000"/>
      <w:spacing w:val="5"/>
      <w:kern w:val="0"/>
      <w:sz w:val="36"/>
      <w:szCs w:val="20"/>
      <w:u w:color="000000"/>
    </w:rPr>
  </w:style>
  <w:style w:type="paragraph" w:customStyle="1" w:styleId="535">
    <w:name w:val="表头1"/>
    <w:basedOn w:val="403"/>
    <w:qFormat/>
    <w:uiPriority w:val="0"/>
    <w:pPr>
      <w:jc w:val="right"/>
    </w:pPr>
  </w:style>
  <w:style w:type="paragraph" w:customStyle="1" w:styleId="536">
    <w:name w:val="样式 样式 标题 3 + 宋体 小三 + Times New Roman 段前: 0 磅 段后: 0 磅"/>
    <w:basedOn w:val="296"/>
    <w:qFormat/>
    <w:uiPriority w:val="0"/>
    <w:pPr>
      <w:spacing w:before="100" w:beforeLines="100" w:after="0"/>
    </w:pPr>
    <w:rPr>
      <w:rFonts w:ascii="Times New Roman" w:hAnsi="Times New Roman" w:cs="宋体"/>
      <w:szCs w:val="20"/>
    </w:rPr>
  </w:style>
  <w:style w:type="paragraph" w:customStyle="1" w:styleId="537">
    <w:name w:val="正文zxq"/>
    <w:basedOn w:val="1"/>
    <w:qFormat/>
    <w:uiPriority w:val="0"/>
    <w:pPr>
      <w:widowControl/>
      <w:spacing w:line="460" w:lineRule="exact"/>
      <w:ind w:firstLine="480" w:firstLineChars="200"/>
      <w:jc w:val="left"/>
    </w:pPr>
    <w:rPr>
      <w:rFonts w:ascii="Times New Roman" w:hAnsi="宋体"/>
      <w:kern w:val="0"/>
      <w:sz w:val="24"/>
      <w:szCs w:val="20"/>
      <w:u w:color="000000"/>
    </w:rPr>
  </w:style>
  <w:style w:type="paragraph" w:customStyle="1" w:styleId="538">
    <w:name w:val="正文文本缩进 31"/>
    <w:basedOn w:val="1"/>
    <w:qFormat/>
    <w:uiPriority w:val="0"/>
    <w:pPr>
      <w:adjustRightInd w:val="0"/>
      <w:spacing w:line="360" w:lineRule="atLeast"/>
      <w:ind w:firstLine="555"/>
      <w:textAlignment w:val="baseline"/>
    </w:pPr>
    <w:rPr>
      <w:rFonts w:ascii="宋体" w:hAnsi="Times New Roman"/>
      <w:color w:val="000000"/>
      <w:kern w:val="0"/>
      <w:sz w:val="24"/>
      <w:szCs w:val="20"/>
    </w:rPr>
  </w:style>
  <w:style w:type="paragraph" w:customStyle="1" w:styleId="539">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540">
    <w:name w:val="报告正文"/>
    <w:basedOn w:val="87"/>
    <w:qFormat/>
    <w:uiPriority w:val="0"/>
    <w:pPr>
      <w:spacing w:after="0" w:line="520" w:lineRule="atLeast"/>
      <w:ind w:left="0" w:leftChars="0" w:firstLine="510" w:firstLineChars="0"/>
    </w:pPr>
    <w:rPr>
      <w:rFonts w:ascii="宋体" w:hAnsi="宋体"/>
      <w:bCs/>
      <w:sz w:val="24"/>
    </w:rPr>
  </w:style>
  <w:style w:type="paragraph" w:customStyle="1" w:styleId="541">
    <w:name w:val="目录 11234"/>
    <w:basedOn w:val="1"/>
    <w:qFormat/>
    <w:uiPriority w:val="0"/>
    <w:pPr>
      <w:widowControl/>
      <w:spacing w:before="357" w:line="351" w:lineRule="atLeast"/>
      <w:jc w:val="left"/>
      <w:textAlignment w:val="baseline"/>
    </w:pPr>
    <w:rPr>
      <w:rFonts w:ascii="Times New Roman" w:hAnsi="Times New Roman"/>
      <w:color w:val="000000"/>
      <w:spacing w:val="5"/>
      <w:kern w:val="0"/>
      <w:sz w:val="28"/>
      <w:szCs w:val="20"/>
      <w:u w:val="single"/>
    </w:rPr>
  </w:style>
  <w:style w:type="paragraph" w:customStyle="1" w:styleId="542">
    <w:name w:val="样式 标题 3 + 宋体 段前: 5 磅 段后: 5 磅 行距: 固定值 22 磅"/>
    <w:basedOn w:val="5"/>
    <w:qFormat/>
    <w:uiPriority w:val="0"/>
    <w:pPr>
      <w:spacing w:before="100" w:after="100" w:line="440" w:lineRule="exact"/>
    </w:pPr>
    <w:rPr>
      <w:rFonts w:ascii="宋体" w:hAnsi="宋体" w:cs="宋体"/>
      <w:bCs/>
      <w:kern w:val="0"/>
      <w:sz w:val="28"/>
    </w:rPr>
  </w:style>
  <w:style w:type="paragraph" w:customStyle="1" w:styleId="543">
    <w:name w:val="表名"/>
    <w:basedOn w:val="1"/>
    <w:qFormat/>
    <w:uiPriority w:val="0"/>
    <w:pPr>
      <w:autoSpaceDE w:val="0"/>
      <w:autoSpaceDN w:val="0"/>
      <w:adjustRightInd w:val="0"/>
      <w:spacing w:before="163"/>
      <w:jc w:val="center"/>
      <w:textAlignment w:val="baseline"/>
    </w:pPr>
    <w:rPr>
      <w:rFonts w:ascii="Arial" w:hAnsi="Arial" w:eastAsia="黑体"/>
      <w:kern w:val="0"/>
      <w:szCs w:val="20"/>
    </w:rPr>
  </w:style>
  <w:style w:type="paragraph" w:customStyle="1" w:styleId="544">
    <w:name w:val="标题 212345"/>
    <w:basedOn w:val="1"/>
    <w:qFormat/>
    <w:uiPriority w:val="0"/>
    <w:pPr>
      <w:widowControl/>
      <w:spacing w:before="56" w:line="351" w:lineRule="atLeast"/>
      <w:ind w:firstLine="674"/>
      <w:jc w:val="left"/>
      <w:textAlignment w:val="baseline"/>
    </w:pPr>
    <w:rPr>
      <w:rFonts w:ascii="Times New Roman" w:hAnsi="Times New Roman" w:eastAsia="楷体_GB2312"/>
      <w:color w:val="000000"/>
      <w:spacing w:val="5"/>
      <w:kern w:val="0"/>
      <w:sz w:val="36"/>
      <w:szCs w:val="20"/>
      <w:u w:color="000000"/>
    </w:rPr>
  </w:style>
  <w:style w:type="paragraph" w:customStyle="1" w:styleId="545">
    <w:name w:val="文章总标题"/>
    <w:basedOn w:val="1"/>
    <w:next w:val="349"/>
    <w:qFormat/>
    <w:uiPriority w:val="0"/>
    <w:pPr>
      <w:widowControl/>
      <w:spacing w:before="566" w:after="544" w:line="566" w:lineRule="atLeast"/>
      <w:ind w:firstLine="200" w:firstLineChars="200"/>
      <w:jc w:val="center"/>
      <w:textAlignment w:val="baseline"/>
    </w:pPr>
    <w:rPr>
      <w:rFonts w:ascii="Arial" w:hAnsi="Times New Roman" w:eastAsia="黑体"/>
      <w:color w:val="000000"/>
      <w:kern w:val="0"/>
      <w:sz w:val="54"/>
      <w:szCs w:val="20"/>
      <w:u w:color="000000"/>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47">
    <w:name w:val="标题 51234"/>
    <w:basedOn w:val="1"/>
    <w:qFormat/>
    <w:uiPriority w:val="0"/>
    <w:pPr>
      <w:widowControl/>
      <w:spacing w:before="289" w:line="351" w:lineRule="atLeast"/>
      <w:ind w:firstLine="623"/>
      <w:jc w:val="left"/>
      <w:textAlignment w:val="baseline"/>
    </w:pPr>
    <w:rPr>
      <w:rFonts w:ascii="Times New Roman" w:hAnsi="Times New Roman"/>
      <w:color w:val="000000"/>
      <w:spacing w:val="5"/>
      <w:kern w:val="0"/>
      <w:sz w:val="28"/>
      <w:szCs w:val="20"/>
      <w:u w:color="000000"/>
    </w:rPr>
  </w:style>
  <w:style w:type="paragraph" w:customStyle="1" w:styleId="548">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FF"/>
      <w:kern w:val="0"/>
      <w:sz w:val="20"/>
      <w:szCs w:val="20"/>
    </w:rPr>
  </w:style>
  <w:style w:type="paragraph" w:customStyle="1" w:styleId="549">
    <w:name w:val="正文文字123"/>
    <w:basedOn w:val="1"/>
    <w:qFormat/>
    <w:uiPriority w:val="0"/>
    <w:pPr>
      <w:widowControl/>
      <w:spacing w:line="351" w:lineRule="atLeast"/>
      <w:jc w:val="left"/>
      <w:textAlignment w:val="baseline"/>
    </w:pPr>
    <w:rPr>
      <w:rFonts w:ascii="Times New Roman" w:hAnsi="Times New Roman"/>
      <w:color w:val="000000"/>
      <w:spacing w:val="5"/>
      <w:kern w:val="0"/>
      <w:sz w:val="24"/>
      <w:szCs w:val="20"/>
      <w:u w:color="000000"/>
    </w:rPr>
  </w:style>
  <w:style w:type="paragraph" w:customStyle="1" w:styleId="550">
    <w:name w:val="小表文居中"/>
    <w:basedOn w:val="1"/>
    <w:qFormat/>
    <w:uiPriority w:val="0"/>
    <w:pPr>
      <w:autoSpaceDE w:val="0"/>
      <w:autoSpaceDN w:val="0"/>
      <w:adjustRightInd w:val="0"/>
      <w:spacing w:before="20"/>
      <w:jc w:val="center"/>
      <w:textAlignment w:val="baseline"/>
    </w:pPr>
    <w:rPr>
      <w:rFonts w:ascii="Times New Roman" w:hAnsi="Times New Roman"/>
      <w:kern w:val="0"/>
      <w:sz w:val="18"/>
      <w:szCs w:val="20"/>
    </w:rPr>
  </w:style>
  <w:style w:type="paragraph" w:customStyle="1" w:styleId="551">
    <w:name w:val="普通文字12345"/>
    <w:basedOn w:val="1"/>
    <w:qFormat/>
    <w:uiPriority w:val="0"/>
    <w:pPr>
      <w:widowControl/>
      <w:spacing w:line="351" w:lineRule="atLeast"/>
      <w:ind w:firstLine="504"/>
      <w:jc w:val="left"/>
      <w:textAlignment w:val="baseline"/>
    </w:pPr>
    <w:rPr>
      <w:rFonts w:ascii="宋体" w:hAnsi="Times New Roman"/>
      <w:color w:val="000000"/>
      <w:kern w:val="0"/>
      <w:sz w:val="24"/>
      <w:szCs w:val="20"/>
      <w:u w:color="000000"/>
    </w:rPr>
  </w:style>
  <w:style w:type="paragraph" w:customStyle="1" w:styleId="5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FF"/>
      <w:kern w:val="0"/>
      <w:sz w:val="16"/>
      <w:szCs w:val="16"/>
    </w:rPr>
  </w:style>
  <w:style w:type="paragraph" w:customStyle="1" w:styleId="553">
    <w:name w:val="正文111"/>
    <w:basedOn w:val="1"/>
    <w:qFormat/>
    <w:uiPriority w:val="0"/>
    <w:pPr>
      <w:widowControl/>
      <w:spacing w:before="595" w:line="351" w:lineRule="atLeast"/>
      <w:jc w:val="center"/>
      <w:textAlignment w:val="baseline"/>
    </w:pPr>
    <w:rPr>
      <w:rFonts w:ascii="宋体" w:hAnsi="Times New Roman" w:eastAsia="黑体"/>
      <w:color w:val="000000"/>
      <w:spacing w:val="17"/>
      <w:kern w:val="0"/>
      <w:sz w:val="44"/>
      <w:szCs w:val="20"/>
      <w:u w:color="000000"/>
    </w:rPr>
  </w:style>
  <w:style w:type="paragraph" w:customStyle="1" w:styleId="554">
    <w:name w:val="标题 91"/>
    <w:basedOn w:val="1"/>
    <w:qFormat/>
    <w:uiPriority w:val="0"/>
    <w:pPr>
      <w:widowControl/>
      <w:spacing w:before="62" w:line="351" w:lineRule="atLeast"/>
      <w:ind w:firstLine="419"/>
      <w:jc w:val="left"/>
      <w:textAlignment w:val="baseline"/>
    </w:pPr>
    <w:rPr>
      <w:rFonts w:ascii="Stylus BT" w:hAnsi="Times New Roman" w:eastAsia="黑体"/>
      <w:color w:val="000000"/>
      <w:spacing w:val="11"/>
      <w:kern w:val="0"/>
      <w:sz w:val="24"/>
      <w:szCs w:val="20"/>
      <w:u w:color="000000"/>
    </w:rPr>
  </w:style>
  <w:style w:type="paragraph" w:customStyle="1" w:styleId="555">
    <w:name w:val="样式20"/>
    <w:basedOn w:val="35"/>
    <w:qFormat/>
    <w:uiPriority w:val="0"/>
    <w:pPr>
      <w:spacing w:after="0" w:line="360" w:lineRule="auto"/>
      <w:ind w:left="0" w:leftChars="0" w:firstLine="560" w:firstLineChars="200"/>
    </w:pPr>
    <w:rPr>
      <w:rFonts w:ascii="Times New Roman" w:hAnsi="Arial"/>
      <w:bCs/>
      <w:kern w:val="28"/>
      <w:sz w:val="28"/>
      <w:szCs w:val="28"/>
    </w:rPr>
  </w:style>
  <w:style w:type="paragraph" w:customStyle="1" w:styleId="556">
    <w:name w:val="列出段落11"/>
    <w:basedOn w:val="1"/>
    <w:qFormat/>
    <w:uiPriority w:val="34"/>
    <w:pPr>
      <w:ind w:firstLine="420" w:firstLineChars="200"/>
    </w:pPr>
    <w:rPr>
      <w:rFonts w:ascii="Times New Roman" w:hAnsi="Times New Roman"/>
    </w:rPr>
  </w:style>
  <w:style w:type="paragraph" w:customStyle="1" w:styleId="557">
    <w:name w:val="表格名称"/>
    <w:basedOn w:val="1"/>
    <w:qFormat/>
    <w:uiPriority w:val="0"/>
    <w:pPr>
      <w:jc w:val="center"/>
    </w:pPr>
    <w:rPr>
      <w:rFonts w:ascii="Times New Roman" w:hAnsi="Times New Roman" w:eastAsia="黑体"/>
      <w:szCs w:val="20"/>
    </w:rPr>
  </w:style>
  <w:style w:type="paragraph" w:customStyle="1" w:styleId="558">
    <w:name w:val="页眉1234"/>
    <w:basedOn w:val="1"/>
    <w:qFormat/>
    <w:uiPriority w:val="0"/>
    <w:pPr>
      <w:widowControl/>
      <w:spacing w:line="351" w:lineRule="atLeast"/>
      <w:jc w:val="center"/>
      <w:textAlignment w:val="baseline"/>
    </w:pPr>
    <w:rPr>
      <w:rFonts w:ascii="Times New Roman" w:hAnsi="Times New Roman" w:eastAsia="楷体_GB2312"/>
      <w:i/>
      <w:color w:val="000000"/>
      <w:kern w:val="0"/>
      <w:sz w:val="15"/>
      <w:szCs w:val="20"/>
      <w:u w:color="000000"/>
    </w:rPr>
  </w:style>
  <w:style w:type="paragraph" w:customStyle="1" w:styleId="559">
    <w:name w:val="样式41"/>
    <w:basedOn w:val="444"/>
    <w:qFormat/>
    <w:uiPriority w:val="0"/>
    <w:pPr>
      <w:keepNext/>
      <w:keepLines/>
      <w:widowControl/>
      <w:ind w:firstLine="0" w:firstLineChars="0"/>
      <w:jc w:val="left"/>
      <w:textAlignment w:val="baseline"/>
      <w:outlineLvl w:val="3"/>
    </w:pPr>
    <w:rPr>
      <w:bCs/>
      <w:sz w:val="24"/>
      <w:u w:color="000000"/>
    </w:rPr>
  </w:style>
  <w:style w:type="paragraph" w:customStyle="1" w:styleId="560">
    <w:name w:val="标题 812345"/>
    <w:basedOn w:val="1"/>
    <w:qFormat/>
    <w:uiPriority w:val="0"/>
    <w:pPr>
      <w:widowControl/>
      <w:spacing w:before="62" w:line="351" w:lineRule="atLeast"/>
      <w:ind w:firstLine="419"/>
      <w:jc w:val="left"/>
      <w:textAlignment w:val="baseline"/>
    </w:pPr>
    <w:rPr>
      <w:rFonts w:ascii="Stylus BT" w:hAnsi="Times New Roman" w:eastAsia="黑体"/>
      <w:color w:val="000000"/>
      <w:spacing w:val="11"/>
      <w:kern w:val="0"/>
      <w:sz w:val="28"/>
      <w:szCs w:val="20"/>
      <w:u w:color="000000"/>
    </w:rPr>
  </w:style>
  <w:style w:type="paragraph" w:customStyle="1" w:styleId="561">
    <w:name w:val="样式 标题 3标题 33条标题1.1.13h33rd levelH3l3CT + (西文) Times New ..."/>
    <w:basedOn w:val="5"/>
    <w:qFormat/>
    <w:uiPriority w:val="0"/>
    <w:pPr>
      <w:widowControl/>
      <w:spacing w:before="120" w:after="120" w:line="360" w:lineRule="auto"/>
      <w:jc w:val="left"/>
    </w:pPr>
    <w:rPr>
      <w:rFonts w:ascii="Times New Roman" w:hAnsi="Times New Roman" w:eastAsia="华文细黑"/>
      <w:kern w:val="0"/>
      <w:sz w:val="24"/>
    </w:rPr>
  </w:style>
  <w:style w:type="paragraph" w:customStyle="1" w:styleId="562">
    <w:name w:val="标题 61234"/>
    <w:basedOn w:val="1"/>
    <w:qFormat/>
    <w:uiPriority w:val="0"/>
    <w:pPr>
      <w:widowControl/>
      <w:spacing w:before="62" w:line="351" w:lineRule="atLeast"/>
      <w:ind w:firstLine="623"/>
      <w:jc w:val="left"/>
      <w:textAlignment w:val="baseline"/>
    </w:pPr>
    <w:rPr>
      <w:rFonts w:ascii="Arial" w:hAnsi="Times New Roman" w:eastAsia="黑体"/>
      <w:b/>
      <w:color w:val="000000"/>
      <w:spacing w:val="5"/>
      <w:kern w:val="0"/>
      <w:sz w:val="24"/>
      <w:szCs w:val="20"/>
      <w:u w:color="000000"/>
    </w:rPr>
  </w:style>
  <w:style w:type="paragraph" w:customStyle="1" w:styleId="563">
    <w:name w:val="表格正文"/>
    <w:basedOn w:val="1"/>
    <w:qFormat/>
    <w:uiPriority w:val="0"/>
    <w:pPr>
      <w:widowControl/>
      <w:adjustRightInd w:val="0"/>
      <w:spacing w:line="460" w:lineRule="exact"/>
      <w:jc w:val="left"/>
      <w:textAlignment w:val="baseline"/>
    </w:pPr>
    <w:rPr>
      <w:rFonts w:ascii="Times New Roman" w:hAnsi="Times New Roman"/>
      <w:kern w:val="0"/>
      <w:sz w:val="24"/>
      <w:szCs w:val="20"/>
    </w:rPr>
  </w:style>
  <w:style w:type="paragraph" w:customStyle="1" w:styleId="564">
    <w:name w:val="样式 样式 样式 首行缩进:  2 字符 + 首行缩进:  2 字符 + 首行缩进:  2 字符"/>
    <w:basedOn w:val="1"/>
    <w:qFormat/>
    <w:uiPriority w:val="0"/>
    <w:pPr>
      <w:widowControl/>
      <w:adjustRightInd w:val="0"/>
      <w:snapToGrid w:val="0"/>
      <w:ind w:firstLine="200" w:firstLineChars="200"/>
      <w:textAlignment w:val="baseline"/>
    </w:pPr>
    <w:rPr>
      <w:rFonts w:ascii="Times New Roman" w:hAnsi="Times New Roman"/>
      <w:snapToGrid w:val="0"/>
      <w:color w:val="000000"/>
      <w:kern w:val="0"/>
      <w:sz w:val="28"/>
      <w:szCs w:val="20"/>
      <w:u w:color="000000"/>
    </w:rPr>
  </w:style>
  <w:style w:type="paragraph" w:customStyle="1" w:styleId="5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6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567">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568">
    <w:name w:val="xl62"/>
    <w:basedOn w:val="1"/>
    <w:qFormat/>
    <w:uiPriority w:val="0"/>
    <w:pPr>
      <w:widowControl/>
      <w:spacing w:before="100" w:beforeAutospacing="1" w:after="100" w:afterAutospacing="1"/>
      <w:jc w:val="center"/>
      <w:textAlignment w:val="center"/>
    </w:pPr>
    <w:rPr>
      <w:rFonts w:ascii="宋体" w:hAnsi="宋体" w:cs="宋体"/>
      <w:kern w:val="0"/>
      <w:sz w:val="28"/>
      <w:szCs w:val="28"/>
    </w:rPr>
  </w:style>
  <w:style w:type="paragraph" w:customStyle="1" w:styleId="569">
    <w:name w:val="xl10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0000FF"/>
      <w:kern w:val="0"/>
      <w:sz w:val="20"/>
      <w:szCs w:val="20"/>
    </w:rPr>
  </w:style>
  <w:style w:type="paragraph" w:customStyle="1" w:styleId="570">
    <w:name w:val="批注文字1"/>
    <w:basedOn w:val="1"/>
    <w:qFormat/>
    <w:uiPriority w:val="0"/>
    <w:pPr>
      <w:widowControl/>
      <w:spacing w:line="351" w:lineRule="atLeast"/>
      <w:ind w:firstLine="623"/>
      <w:jc w:val="left"/>
      <w:textAlignment w:val="baseline"/>
    </w:pPr>
    <w:rPr>
      <w:rFonts w:ascii="Times New Roman" w:hAnsi="Times New Roman"/>
      <w:color w:val="000000"/>
      <w:spacing w:val="5"/>
      <w:kern w:val="0"/>
      <w:sz w:val="28"/>
      <w:szCs w:val="20"/>
      <w:u w:color="000000"/>
    </w:rPr>
  </w:style>
  <w:style w:type="paragraph" w:customStyle="1" w:styleId="571">
    <w:name w:val="样式50"/>
    <w:basedOn w:val="390"/>
    <w:qFormat/>
    <w:uiPriority w:val="0"/>
    <w:pPr>
      <w:spacing w:before="240" w:beforeLines="100" w:after="240" w:afterLines="100"/>
    </w:pPr>
    <w:rPr>
      <w:rFonts w:ascii="Times New Roman" w:eastAsia="宋体"/>
    </w:rPr>
  </w:style>
  <w:style w:type="paragraph" w:customStyle="1" w:styleId="572">
    <w:name w:val="档案"/>
    <w:basedOn w:val="1"/>
    <w:uiPriority w:val="0"/>
    <w:pPr>
      <w:adjustRightInd w:val="0"/>
      <w:spacing w:line="360" w:lineRule="atLeast"/>
      <w:ind w:left="8280" w:right="-694" w:hanging="8280"/>
      <w:jc w:val="left"/>
      <w:textAlignment w:val="baseline"/>
    </w:pPr>
    <w:rPr>
      <w:rFonts w:ascii="Times New Roman" w:hAnsi="Times New Roman"/>
      <w:kern w:val="0"/>
      <w:sz w:val="28"/>
      <w:szCs w:val="20"/>
      <w:lang w:val="en-GB"/>
    </w:rPr>
  </w:style>
  <w:style w:type="paragraph" w:customStyle="1" w:styleId="57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FF0000"/>
      <w:kern w:val="0"/>
      <w:sz w:val="20"/>
      <w:szCs w:val="20"/>
    </w:rPr>
  </w:style>
  <w:style w:type="paragraph" w:customStyle="1" w:styleId="574">
    <w:name w:val="样式 （1）"/>
    <w:basedOn w:val="1"/>
    <w:qFormat/>
    <w:uiPriority w:val="0"/>
    <w:pPr>
      <w:widowControl/>
      <w:tabs>
        <w:tab w:val="left" w:pos="1080"/>
      </w:tabs>
      <w:spacing w:line="460" w:lineRule="exact"/>
      <w:ind w:firstLine="720"/>
      <w:jc w:val="left"/>
    </w:pPr>
    <w:rPr>
      <w:rFonts w:ascii="宋体" w:hAnsi="宋体"/>
      <w:kern w:val="0"/>
      <w:sz w:val="24"/>
      <w:szCs w:val="20"/>
    </w:rPr>
  </w:style>
  <w:style w:type="paragraph" w:customStyle="1" w:styleId="575">
    <w:name w:val="样式 正文文本 + 四号 段后: 0 磅 行距: 固定值 24 磅"/>
    <w:basedOn w:val="34"/>
    <w:uiPriority w:val="0"/>
    <w:pPr>
      <w:widowControl/>
      <w:spacing w:line="351" w:lineRule="atLeast"/>
      <w:ind w:firstLine="629"/>
      <w:jc w:val="left"/>
      <w:textAlignment w:val="baseline"/>
    </w:pPr>
    <w:rPr>
      <w:rFonts w:ascii="Times New Roman" w:hAnsi="Times New Roman"/>
      <w:color w:val="000000"/>
      <w:kern w:val="0"/>
      <w:sz w:val="28"/>
      <w:u w:color="000000"/>
    </w:rPr>
  </w:style>
  <w:style w:type="paragraph" w:customStyle="1" w:styleId="576">
    <w:name w:val="说明正文"/>
    <w:basedOn w:val="1"/>
    <w:qFormat/>
    <w:uiPriority w:val="0"/>
    <w:pPr>
      <w:widowControl/>
      <w:adjustRightInd w:val="0"/>
      <w:snapToGrid w:val="0"/>
      <w:spacing w:line="560" w:lineRule="exact"/>
      <w:ind w:right="74" w:firstLine="539"/>
      <w:jc w:val="left"/>
      <w:textAlignment w:val="baseline"/>
    </w:pPr>
    <w:rPr>
      <w:rFonts w:ascii="Times New Roman" w:hAnsi="Times"/>
      <w:kern w:val="0"/>
      <w:sz w:val="24"/>
      <w:szCs w:val="20"/>
    </w:rPr>
  </w:style>
  <w:style w:type="paragraph" w:customStyle="1" w:styleId="577">
    <w:name w:val="样式 样式3 + 行距: 单倍行距"/>
    <w:basedOn w:val="342"/>
    <w:qFormat/>
    <w:uiPriority w:val="0"/>
    <w:pPr>
      <w:widowControl/>
      <w:spacing w:beforeLines="0" w:after="120" w:afterLines="0"/>
      <w:jc w:val="both"/>
    </w:pPr>
    <w:rPr>
      <w:rFonts w:ascii="宋体" w:hAnsi="宋体" w:eastAsia="方正书宋"/>
      <w:color w:val="000000"/>
      <w:kern w:val="44"/>
      <w:sz w:val="30"/>
      <w:szCs w:val="20"/>
    </w:rPr>
  </w:style>
  <w:style w:type="paragraph" w:customStyle="1" w:styleId="57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579">
    <w:name w:val="目录 3123"/>
    <w:basedOn w:val="1"/>
    <w:qFormat/>
    <w:uiPriority w:val="0"/>
    <w:pPr>
      <w:widowControl/>
      <w:spacing w:before="45" w:line="351" w:lineRule="atLeast"/>
      <w:ind w:firstLine="419"/>
      <w:jc w:val="left"/>
      <w:textAlignment w:val="baseline"/>
    </w:pPr>
    <w:rPr>
      <w:rFonts w:ascii="Times New Roman" w:hAnsi="Times New Roman"/>
      <w:color w:val="000000"/>
      <w:kern w:val="0"/>
      <w:sz w:val="24"/>
      <w:szCs w:val="20"/>
      <w:u w:color="000000"/>
    </w:rPr>
  </w:style>
  <w:style w:type="paragraph" w:customStyle="1" w:styleId="580">
    <w:name w:val="标题1"/>
    <w:basedOn w:val="1"/>
    <w:qFormat/>
    <w:uiPriority w:val="0"/>
    <w:pPr>
      <w:widowControl/>
      <w:spacing w:line="360" w:lineRule="auto"/>
      <w:textAlignment w:val="baseline"/>
    </w:pPr>
    <w:rPr>
      <w:rFonts w:ascii="Times New Roman" w:hAnsi="Times New Roman"/>
      <w:b/>
      <w:color w:val="000000"/>
      <w:kern w:val="0"/>
      <w:sz w:val="28"/>
      <w:szCs w:val="20"/>
      <w:u w:color="000000"/>
    </w:rPr>
  </w:style>
  <w:style w:type="paragraph" w:customStyle="1" w:styleId="581">
    <w:name w:val="font20"/>
    <w:basedOn w:val="1"/>
    <w:uiPriority w:val="0"/>
    <w:pPr>
      <w:widowControl/>
      <w:spacing w:before="100" w:beforeAutospacing="1" w:after="100" w:afterAutospacing="1"/>
      <w:jc w:val="left"/>
    </w:pPr>
    <w:rPr>
      <w:rFonts w:ascii="黑体" w:hAnsi="宋体" w:eastAsia="黑体" w:cs="宋体"/>
      <w:kern w:val="0"/>
      <w:sz w:val="18"/>
      <w:szCs w:val="18"/>
    </w:rPr>
  </w:style>
  <w:style w:type="paragraph" w:customStyle="1" w:styleId="582">
    <w:name w:val="页眉123456"/>
    <w:basedOn w:val="1"/>
    <w:qFormat/>
    <w:uiPriority w:val="0"/>
    <w:pPr>
      <w:widowControl/>
      <w:spacing w:line="351" w:lineRule="atLeast"/>
      <w:jc w:val="center"/>
      <w:textAlignment w:val="baseline"/>
    </w:pPr>
    <w:rPr>
      <w:rFonts w:ascii="Times New Roman" w:hAnsi="Times New Roman"/>
      <w:color w:val="000000"/>
      <w:kern w:val="0"/>
      <w:sz w:val="18"/>
      <w:szCs w:val="20"/>
      <w:u w:color="000000"/>
    </w:rPr>
  </w:style>
  <w:style w:type="paragraph" w:customStyle="1" w:styleId="583">
    <w:name w:val="样式 正文文本 + 自动设置 Char"/>
    <w:basedOn w:val="34"/>
    <w:qFormat/>
    <w:uiPriority w:val="0"/>
    <w:pPr>
      <w:adjustRightInd w:val="0"/>
      <w:snapToGrid w:val="0"/>
      <w:spacing w:after="120" w:line="240" w:lineRule="auto"/>
    </w:pPr>
    <w:rPr>
      <w:rFonts w:ascii="Times New Roman" w:hAnsi="Times New Roman"/>
      <w:spacing w:val="30"/>
      <w:kern w:val="24"/>
      <w:sz w:val="28"/>
    </w:rPr>
  </w:style>
  <w:style w:type="paragraph" w:customStyle="1" w:styleId="584">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585">
    <w:name w:val="标题 9123"/>
    <w:basedOn w:val="1"/>
    <w:qFormat/>
    <w:uiPriority w:val="0"/>
    <w:pPr>
      <w:widowControl/>
      <w:spacing w:before="62" w:line="351" w:lineRule="atLeast"/>
      <w:ind w:firstLine="623"/>
      <w:jc w:val="left"/>
      <w:textAlignment w:val="baseline"/>
    </w:pPr>
    <w:rPr>
      <w:rFonts w:ascii="Arial" w:hAnsi="Times New Roman" w:eastAsia="黑体"/>
      <w:color w:val="000000"/>
      <w:spacing w:val="5"/>
      <w:kern w:val="0"/>
      <w:sz w:val="28"/>
      <w:szCs w:val="20"/>
      <w:u w:color="000000"/>
    </w:rPr>
  </w:style>
  <w:style w:type="paragraph" w:customStyle="1" w:styleId="586">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FF0000"/>
      <w:kern w:val="0"/>
      <w:sz w:val="20"/>
      <w:szCs w:val="20"/>
    </w:rPr>
  </w:style>
  <w:style w:type="paragraph" w:customStyle="1" w:styleId="587">
    <w:name w:val="文档结构图1234"/>
    <w:basedOn w:val="1"/>
    <w:uiPriority w:val="0"/>
    <w:pPr>
      <w:widowControl/>
      <w:spacing w:line="351" w:lineRule="atLeast"/>
      <w:ind w:firstLine="623"/>
      <w:jc w:val="left"/>
      <w:textAlignment w:val="baseline"/>
    </w:pPr>
    <w:rPr>
      <w:rFonts w:ascii="Times New Roman" w:hAnsi="Times New Roman"/>
      <w:color w:val="000000"/>
      <w:spacing w:val="5"/>
      <w:kern w:val="0"/>
      <w:sz w:val="28"/>
      <w:szCs w:val="20"/>
      <w:u w:color="000000"/>
    </w:rPr>
  </w:style>
  <w:style w:type="paragraph" w:customStyle="1" w:styleId="588">
    <w:name w:val="标题 5123456"/>
    <w:basedOn w:val="1"/>
    <w:qFormat/>
    <w:uiPriority w:val="0"/>
    <w:pPr>
      <w:widowControl/>
      <w:spacing w:before="289" w:line="351" w:lineRule="atLeast"/>
      <w:ind w:firstLine="419"/>
      <w:jc w:val="left"/>
      <w:textAlignment w:val="baseline"/>
    </w:pPr>
    <w:rPr>
      <w:rFonts w:ascii="Times New Roman" w:hAnsi="Times New Roman"/>
      <w:b/>
      <w:color w:val="000000"/>
      <w:kern w:val="0"/>
      <w:sz w:val="28"/>
      <w:szCs w:val="20"/>
      <w:u w:color="000000"/>
    </w:rPr>
  </w:style>
  <w:style w:type="paragraph" w:customStyle="1" w:styleId="589">
    <w:name w:val="1"/>
    <w:basedOn w:val="1"/>
    <w:next w:val="45"/>
    <w:qFormat/>
    <w:uiPriority w:val="0"/>
    <w:rPr>
      <w:rFonts w:ascii="宋体" w:hAnsi="Courier New"/>
      <w:szCs w:val="20"/>
    </w:rPr>
  </w:style>
  <w:style w:type="paragraph" w:customStyle="1" w:styleId="590">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p2"/>
    <w:basedOn w:val="1"/>
    <w:qFormat/>
    <w:uiPriority w:val="0"/>
    <w:pPr>
      <w:widowControl/>
      <w:spacing w:line="480" w:lineRule="auto"/>
      <w:ind w:firstLine="420"/>
      <w:jc w:val="left"/>
    </w:pPr>
    <w:rPr>
      <w:rFonts w:ascii="宋体" w:hAnsi="宋体" w:cs="宋体"/>
      <w:kern w:val="0"/>
      <w:szCs w:val="21"/>
    </w:rPr>
  </w:style>
  <w:style w:type="paragraph" w:customStyle="1" w:styleId="592">
    <w:name w:val="Default Text"/>
    <w:basedOn w:val="1"/>
    <w:qFormat/>
    <w:uiPriority w:val="0"/>
    <w:pPr>
      <w:widowControl/>
      <w:jc w:val="left"/>
    </w:pPr>
    <w:rPr>
      <w:rFonts w:ascii="Times New Roman" w:hAnsi="Times New Roman"/>
      <w:kern w:val="0"/>
      <w:sz w:val="24"/>
      <w:szCs w:val="20"/>
      <w:lang w:val="en-GB" w:eastAsia="en-US"/>
    </w:rPr>
  </w:style>
  <w:style w:type="paragraph" w:customStyle="1" w:styleId="593">
    <w:name w:val="样式15"/>
    <w:basedOn w:val="594"/>
    <w:uiPriority w:val="0"/>
  </w:style>
  <w:style w:type="paragraph" w:customStyle="1" w:styleId="594">
    <w:name w:val="样式9"/>
    <w:basedOn w:val="6"/>
    <w:qFormat/>
    <w:uiPriority w:val="0"/>
    <w:pPr>
      <w:spacing w:before="240" w:beforeLines="100" w:after="240" w:afterLines="100" w:line="240" w:lineRule="auto"/>
      <w:jc w:val="left"/>
    </w:pPr>
    <w:rPr>
      <w:rFonts w:ascii="Times New Roman" w:hAnsi="Times New Roman"/>
      <w:kern w:val="28"/>
      <w:sz w:val="24"/>
      <w:szCs w:val="24"/>
    </w:rPr>
  </w:style>
  <w:style w:type="paragraph" w:customStyle="1" w:styleId="595">
    <w:name w:val="样式（1）"/>
    <w:basedOn w:val="1"/>
    <w:qFormat/>
    <w:uiPriority w:val="0"/>
    <w:pPr>
      <w:widowControl/>
      <w:tabs>
        <w:tab w:val="left" w:pos="360"/>
        <w:tab w:val="left" w:pos="1134"/>
        <w:tab w:val="left" w:pos="1260"/>
        <w:tab w:val="left" w:pos="1330"/>
      </w:tabs>
      <w:spacing w:line="460" w:lineRule="exact"/>
      <w:ind w:left="86" w:firstLine="454"/>
      <w:jc w:val="left"/>
    </w:pPr>
    <w:rPr>
      <w:rFonts w:ascii="宋体" w:hAnsi="宋体"/>
      <w:kern w:val="0"/>
      <w:sz w:val="24"/>
      <w:szCs w:val="20"/>
    </w:rPr>
  </w:style>
  <w:style w:type="paragraph" w:customStyle="1" w:styleId="596">
    <w:name w:val="样式 标题 1 + 段前: 1 行"/>
    <w:basedOn w:val="4"/>
    <w:uiPriority w:val="0"/>
    <w:pPr>
      <w:widowControl/>
      <w:spacing w:before="312" w:after="100" w:afterAutospacing="1" w:line="240" w:lineRule="auto"/>
      <w:ind w:left="284"/>
      <w:jc w:val="center"/>
      <w:textAlignment w:val="baseline"/>
    </w:pPr>
    <w:rPr>
      <w:rFonts w:ascii="Times New Roman" w:hAnsi="宋体" w:eastAsia="黑体"/>
      <w:b w:val="0"/>
      <w:bCs w:val="0"/>
      <w:color w:val="000000"/>
      <w:szCs w:val="20"/>
      <w:u w:color="000000"/>
    </w:rPr>
  </w:style>
  <w:style w:type="paragraph" w:customStyle="1" w:styleId="597">
    <w:name w:val="标题5"/>
    <w:basedOn w:val="6"/>
    <w:qFormat/>
    <w:uiPriority w:val="0"/>
    <w:pPr>
      <w:spacing w:before="100" w:beforeAutospacing="1" w:after="100" w:afterAutospacing="1" w:line="360" w:lineRule="exact"/>
    </w:pPr>
    <w:rPr>
      <w:rFonts w:ascii="宋体" w:hAnsi="宋体"/>
      <w:b w:val="0"/>
    </w:rPr>
  </w:style>
  <w:style w:type="paragraph" w:customStyle="1" w:styleId="598">
    <w:name w:val="表芯"/>
    <w:basedOn w:val="1"/>
    <w:next w:val="1"/>
    <w:qFormat/>
    <w:uiPriority w:val="0"/>
    <w:pPr>
      <w:keepNext/>
      <w:adjustRightInd w:val="0"/>
      <w:spacing w:before="20" w:line="0" w:lineRule="atLeast"/>
      <w:jc w:val="center"/>
      <w:textAlignment w:val="baseline"/>
    </w:pPr>
    <w:rPr>
      <w:rFonts w:ascii="Times New Roman" w:hAnsi="Times New Roman"/>
      <w:kern w:val="21"/>
      <w:szCs w:val="20"/>
    </w:rPr>
  </w:style>
  <w:style w:type="paragraph" w:customStyle="1" w:styleId="599">
    <w:name w:val="样式 WG标题3 + 行距: 固定值 18 磅"/>
    <w:basedOn w:val="1"/>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600">
    <w:name w:val="标题 512"/>
    <w:basedOn w:val="1"/>
    <w:qFormat/>
    <w:uiPriority w:val="0"/>
    <w:pPr>
      <w:widowControl/>
      <w:spacing w:before="289" w:line="351" w:lineRule="atLeast"/>
      <w:ind w:firstLine="419"/>
      <w:jc w:val="left"/>
      <w:textAlignment w:val="baseline"/>
    </w:pPr>
    <w:rPr>
      <w:rFonts w:ascii="Times New Roman" w:hAnsi="Times New Roman"/>
      <w:b/>
      <w:color w:val="000000"/>
      <w:kern w:val="0"/>
      <w:sz w:val="28"/>
      <w:szCs w:val="20"/>
      <w:u w:color="000000"/>
    </w:rPr>
  </w:style>
  <w:style w:type="paragraph" w:customStyle="1" w:styleId="601">
    <w:name w:val="样式40"/>
    <w:basedOn w:val="390"/>
    <w:qFormat/>
    <w:uiPriority w:val="0"/>
    <w:pPr>
      <w:spacing w:before="240" w:beforeLines="100" w:after="240" w:afterLines="100"/>
    </w:pPr>
    <w:rPr>
      <w:rFonts w:ascii="Times New Roman" w:eastAsia="宋体"/>
    </w:rPr>
  </w:style>
  <w:style w:type="paragraph" w:customStyle="1" w:styleId="602">
    <w:name w:val="样式35"/>
    <w:basedOn w:val="390"/>
    <w:uiPriority w:val="0"/>
    <w:pPr>
      <w:spacing w:before="240" w:beforeLines="100" w:after="240" w:afterLines="100"/>
    </w:pPr>
    <w:rPr>
      <w:rFonts w:ascii="Times New Roman" w:eastAsia="宋体"/>
    </w:rPr>
  </w:style>
  <w:style w:type="paragraph" w:customStyle="1" w:styleId="603">
    <w:name w:val="标题 4123456"/>
    <w:basedOn w:val="1"/>
    <w:qFormat/>
    <w:uiPriority w:val="0"/>
    <w:pPr>
      <w:widowControl/>
      <w:spacing w:line="351" w:lineRule="atLeast"/>
      <w:ind w:firstLine="566"/>
      <w:jc w:val="left"/>
      <w:textAlignment w:val="baseline"/>
    </w:pPr>
    <w:rPr>
      <w:rFonts w:ascii="Times New Roman" w:hAnsi="Times New Roman" w:eastAsia="隶书"/>
      <w:b/>
      <w:color w:val="000000"/>
      <w:kern w:val="0"/>
      <w:sz w:val="28"/>
      <w:szCs w:val="20"/>
      <w:u w:color="000000"/>
    </w:rPr>
  </w:style>
  <w:style w:type="paragraph" w:customStyle="1" w:styleId="604">
    <w:name w:val="样式29"/>
    <w:basedOn w:val="605"/>
    <w:qFormat/>
    <w:uiPriority w:val="0"/>
  </w:style>
  <w:style w:type="paragraph" w:customStyle="1" w:styleId="605">
    <w:name w:val="样式27"/>
    <w:basedOn w:val="1"/>
    <w:uiPriority w:val="0"/>
    <w:pPr>
      <w:keepNext/>
      <w:keepLines/>
      <w:widowControl/>
      <w:adjustRightInd w:val="0"/>
      <w:snapToGrid w:val="0"/>
      <w:ind w:firstLine="200" w:firstLineChars="200"/>
      <w:jc w:val="left"/>
      <w:textAlignment w:val="baseline"/>
      <w:outlineLvl w:val="3"/>
    </w:pPr>
    <w:rPr>
      <w:rFonts w:ascii="Times New Roman" w:hAnsi="Times New Roman"/>
      <w:b/>
      <w:snapToGrid w:val="0"/>
      <w:color w:val="000000"/>
      <w:kern w:val="0"/>
      <w:sz w:val="32"/>
      <w:szCs w:val="20"/>
      <w:u w:color="000000"/>
    </w:rPr>
  </w:style>
  <w:style w:type="paragraph" w:customStyle="1" w:styleId="606">
    <w:name w:val="样式 宋体 小四 首行缩进:  0.84 厘米 行距: 最小值 22.35 磅"/>
    <w:basedOn w:val="1"/>
    <w:qFormat/>
    <w:uiPriority w:val="0"/>
    <w:pPr>
      <w:widowControl/>
      <w:spacing w:line="447" w:lineRule="atLeast"/>
      <w:ind w:firstLine="476"/>
      <w:jc w:val="left"/>
    </w:pPr>
    <w:rPr>
      <w:rFonts w:ascii="宋体" w:hAnsi="宋体"/>
      <w:kern w:val="0"/>
      <w:sz w:val="24"/>
      <w:szCs w:val="20"/>
    </w:rPr>
  </w:style>
  <w:style w:type="paragraph" w:customStyle="1" w:styleId="607">
    <w:name w:val="样式 样式5 + 宋体"/>
    <w:basedOn w:val="445"/>
    <w:qFormat/>
    <w:uiPriority w:val="0"/>
    <w:pPr>
      <w:keepNext/>
      <w:keepLines/>
      <w:widowControl/>
      <w:tabs>
        <w:tab w:val="left" w:pos="840"/>
        <w:tab w:val="left" w:pos="1680"/>
      </w:tabs>
      <w:adjustRightInd w:val="0"/>
      <w:spacing w:line="240" w:lineRule="auto"/>
      <w:ind w:left="840" w:hanging="840"/>
      <w:jc w:val="left"/>
      <w:outlineLvl w:val="3"/>
    </w:pPr>
    <w:rPr>
      <w:rFonts w:ascii="宋体" w:hAnsi="宋体" w:eastAsia="宋体"/>
      <w:b w:val="0"/>
      <w:sz w:val="28"/>
      <w:szCs w:val="20"/>
    </w:rPr>
  </w:style>
  <w:style w:type="paragraph" w:customStyle="1" w:styleId="608">
    <w:name w:val="font8"/>
    <w:basedOn w:val="1"/>
    <w:uiPriority w:val="0"/>
    <w:pPr>
      <w:widowControl/>
      <w:spacing w:before="100" w:beforeAutospacing="1" w:after="100" w:afterAutospacing="1"/>
      <w:jc w:val="left"/>
    </w:pPr>
    <w:rPr>
      <w:rFonts w:ascii="宋体" w:hAnsi="宋体" w:cs="宋体"/>
      <w:kern w:val="0"/>
      <w:sz w:val="24"/>
    </w:rPr>
  </w:style>
  <w:style w:type="paragraph" w:customStyle="1" w:styleId="609">
    <w:name w:val="样式 文字 + 段前: 7.8 磅"/>
    <w:basedOn w:val="610"/>
    <w:qFormat/>
    <w:uiPriority w:val="0"/>
  </w:style>
  <w:style w:type="paragraph" w:customStyle="1" w:styleId="610">
    <w:name w:val="文字 Char"/>
    <w:basedOn w:val="1"/>
    <w:qFormat/>
    <w:uiPriority w:val="0"/>
    <w:pPr>
      <w:adjustRightInd w:val="0"/>
      <w:snapToGrid w:val="0"/>
      <w:spacing w:line="360" w:lineRule="auto"/>
      <w:ind w:firstLine="480" w:firstLineChars="200"/>
    </w:pPr>
    <w:rPr>
      <w:rFonts w:ascii="Times New Roman" w:hAnsi="Times New Roman"/>
      <w:sz w:val="24"/>
      <w:szCs w:val="20"/>
    </w:rPr>
  </w:style>
  <w:style w:type="paragraph" w:customStyle="1" w:styleId="61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样式 正文文本 + 行距: 固定值 23 磅"/>
    <w:basedOn w:val="34"/>
    <w:qFormat/>
    <w:uiPriority w:val="0"/>
    <w:pPr>
      <w:adjustRightInd w:val="0"/>
      <w:snapToGrid w:val="0"/>
      <w:spacing w:line="460" w:lineRule="exact"/>
      <w:ind w:firstLine="510"/>
      <w:jc w:val="left"/>
    </w:pPr>
    <w:rPr>
      <w:rFonts w:ascii="Times New Roman" w:hAnsi="Times New Roman"/>
      <w:kern w:val="24"/>
    </w:rPr>
  </w:style>
  <w:style w:type="paragraph" w:customStyle="1" w:styleId="613">
    <w:name w:val="样式 样式 样式 样式 首行缩进:  2 字符 + 首行缩进:  2 字符7 + 首行缩进:  2 字符 + Char Char Char Char Char"/>
    <w:basedOn w:val="1"/>
    <w:qFormat/>
    <w:uiPriority w:val="0"/>
    <w:pPr>
      <w:widowControl/>
      <w:spacing w:line="520" w:lineRule="exact"/>
      <w:ind w:firstLine="600"/>
      <w:jc w:val="left"/>
    </w:pPr>
    <w:rPr>
      <w:rFonts w:ascii="Times New Roman" w:hAnsi="Times New Roman"/>
      <w:color w:val="000000"/>
      <w:kern w:val="0"/>
      <w:sz w:val="28"/>
      <w:szCs w:val="20"/>
      <w:u w:color="000000"/>
    </w:rPr>
  </w:style>
  <w:style w:type="paragraph" w:customStyle="1" w:styleId="614">
    <w:name w:val="样式 表标题 + 加粗"/>
    <w:basedOn w:val="423"/>
    <w:uiPriority w:val="0"/>
    <w:pPr>
      <w:widowControl w:val="0"/>
      <w:spacing w:before="0" w:after="100" w:afterAutospacing="1" w:line="360" w:lineRule="auto"/>
      <w:ind w:firstLine="240" w:firstLineChars="100"/>
      <w:jc w:val="center"/>
    </w:pPr>
    <w:rPr>
      <w:rFonts w:ascii="Times New Roman" w:hAnsi="Times New Roman"/>
    </w:rPr>
  </w:style>
  <w:style w:type="paragraph" w:customStyle="1" w:styleId="615">
    <w:name w:val="font19"/>
    <w:basedOn w:val="1"/>
    <w:qFormat/>
    <w:uiPriority w:val="0"/>
    <w:pPr>
      <w:widowControl/>
      <w:spacing w:before="100" w:beforeAutospacing="1" w:after="100" w:afterAutospacing="1"/>
      <w:jc w:val="left"/>
    </w:pPr>
    <w:rPr>
      <w:rFonts w:ascii="黑体" w:hAnsi="宋体" w:eastAsia="黑体" w:cs="宋体"/>
      <w:color w:val="FF0000"/>
      <w:kern w:val="0"/>
      <w:sz w:val="18"/>
      <w:szCs w:val="18"/>
    </w:rPr>
  </w:style>
  <w:style w:type="paragraph" w:customStyle="1" w:styleId="616">
    <w:name w:val="水保正文"/>
    <w:basedOn w:val="1"/>
    <w:qFormat/>
    <w:uiPriority w:val="0"/>
    <w:pPr>
      <w:spacing w:line="360" w:lineRule="auto"/>
      <w:ind w:firstLine="200" w:firstLineChars="200"/>
    </w:pPr>
    <w:rPr>
      <w:rFonts w:ascii="宋体" w:hAnsi="宋体"/>
      <w:sz w:val="24"/>
      <w:szCs w:val="20"/>
    </w:rPr>
  </w:style>
  <w:style w:type="paragraph" w:customStyle="1" w:styleId="617">
    <w:name w:val="标题 81"/>
    <w:basedOn w:val="1"/>
    <w:uiPriority w:val="0"/>
    <w:pPr>
      <w:widowControl/>
      <w:spacing w:before="62" w:line="351" w:lineRule="atLeast"/>
      <w:ind w:firstLine="419"/>
      <w:jc w:val="left"/>
      <w:textAlignment w:val="baseline"/>
    </w:pPr>
    <w:rPr>
      <w:rFonts w:ascii="Stylus BT" w:hAnsi="Times New Roman" w:eastAsia="黑体"/>
      <w:color w:val="000000"/>
      <w:spacing w:val="11"/>
      <w:kern w:val="0"/>
      <w:sz w:val="28"/>
      <w:szCs w:val="20"/>
      <w:u w:color="000000"/>
    </w:rPr>
  </w:style>
  <w:style w:type="paragraph" w:customStyle="1" w:styleId="618">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Times New Roman" w:hAnsi="Times New Roman" w:eastAsia="仿宋_GB2312"/>
      <w:b/>
      <w:color w:val="000000"/>
      <w:sz w:val="28"/>
      <w:szCs w:val="28"/>
    </w:rPr>
  </w:style>
  <w:style w:type="paragraph" w:customStyle="1" w:styleId="61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0">
    <w:name w:val="xl10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621">
    <w:name w:val="文档结构图12"/>
    <w:basedOn w:val="1"/>
    <w:qFormat/>
    <w:uiPriority w:val="0"/>
    <w:pPr>
      <w:widowControl/>
      <w:spacing w:line="351" w:lineRule="atLeast"/>
      <w:ind w:firstLine="504"/>
      <w:jc w:val="left"/>
      <w:textAlignment w:val="baseline"/>
    </w:pPr>
    <w:rPr>
      <w:rFonts w:ascii="Times New Roman" w:hAnsi="Times New Roman"/>
      <w:color w:val="000000"/>
      <w:kern w:val="0"/>
      <w:sz w:val="24"/>
      <w:szCs w:val="20"/>
      <w:u w:color="000000"/>
    </w:rPr>
  </w:style>
  <w:style w:type="paragraph" w:customStyle="1" w:styleId="622">
    <w:name w:val="列表内容"/>
    <w:basedOn w:val="1"/>
    <w:qFormat/>
    <w:uiPriority w:val="0"/>
    <w:pPr>
      <w:keepNext/>
      <w:keepLines/>
      <w:adjustRightInd w:val="0"/>
      <w:snapToGrid w:val="0"/>
      <w:jc w:val="center"/>
    </w:pPr>
    <w:rPr>
      <w:rFonts w:ascii="Times New Roman" w:hAnsi="Times New Roman"/>
      <w:snapToGrid w:val="0"/>
      <w:kern w:val="0"/>
      <w:sz w:val="24"/>
      <w:szCs w:val="20"/>
    </w:rPr>
  </w:style>
  <w:style w:type="paragraph" w:customStyle="1" w:styleId="623">
    <w:name w:val="font12"/>
    <w:basedOn w:val="1"/>
    <w:uiPriority w:val="0"/>
    <w:pPr>
      <w:widowControl/>
      <w:spacing w:before="100" w:beforeAutospacing="1" w:after="100" w:afterAutospacing="1"/>
      <w:jc w:val="left"/>
    </w:pPr>
    <w:rPr>
      <w:rFonts w:ascii="Times New Roman" w:hAnsi="Times New Roman"/>
      <w:kern w:val="0"/>
      <w:sz w:val="28"/>
      <w:szCs w:val="28"/>
    </w:rPr>
  </w:style>
  <w:style w:type="paragraph" w:customStyle="1" w:styleId="624">
    <w:name w:val="font15"/>
    <w:basedOn w:val="1"/>
    <w:qFormat/>
    <w:uiPriority w:val="0"/>
    <w:pPr>
      <w:widowControl/>
      <w:spacing w:before="100" w:beforeAutospacing="1" w:after="100" w:afterAutospacing="1"/>
      <w:jc w:val="left"/>
    </w:pPr>
    <w:rPr>
      <w:rFonts w:ascii="楷体_GB2312" w:hAnsi="宋体" w:eastAsia="楷体_GB2312" w:cs="宋体"/>
      <w:kern w:val="0"/>
      <w:sz w:val="16"/>
      <w:szCs w:val="16"/>
    </w:rPr>
  </w:style>
  <w:style w:type="paragraph" w:customStyle="1" w:styleId="625">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626">
    <w:name w:val="样式 标题1 + 黑体"/>
    <w:basedOn w:val="580"/>
    <w:uiPriority w:val="0"/>
    <w:pPr>
      <w:keepNext/>
      <w:keepLines/>
      <w:tabs>
        <w:tab w:val="left" w:pos="840"/>
      </w:tabs>
      <w:spacing w:before="480" w:after="240" w:line="460" w:lineRule="exact"/>
      <w:ind w:left="840" w:hanging="840"/>
      <w:jc w:val="center"/>
      <w:textAlignment w:val="auto"/>
      <w:outlineLvl w:val="0"/>
    </w:pPr>
    <w:rPr>
      <w:rFonts w:ascii="黑体" w:hAnsi="黑体" w:eastAsia="黑体"/>
      <w:color w:val="auto"/>
      <w:spacing w:val="22"/>
      <w:kern w:val="44"/>
      <w:sz w:val="36"/>
    </w:rPr>
  </w:style>
  <w:style w:type="paragraph" w:customStyle="1" w:styleId="627">
    <w:name w:val="样式 正文小4 + 加粗 首行缩进:  2 字符 Char"/>
    <w:basedOn w:val="628"/>
    <w:qFormat/>
    <w:uiPriority w:val="0"/>
    <w:pPr>
      <w:ind w:firstLine="570"/>
    </w:pPr>
    <w:rPr>
      <w:rFonts w:ascii="Times New Roman" w:hAnsi="Times New Roman"/>
      <w:b/>
    </w:rPr>
  </w:style>
  <w:style w:type="paragraph" w:customStyle="1" w:styleId="628">
    <w:name w:val="正文小4 Char"/>
    <w:basedOn w:val="1"/>
    <w:qFormat/>
    <w:uiPriority w:val="0"/>
    <w:pPr>
      <w:widowControl/>
      <w:spacing w:line="460" w:lineRule="exact"/>
      <w:ind w:firstLine="568" w:firstLineChars="200"/>
      <w:jc w:val="left"/>
    </w:pPr>
    <w:rPr>
      <w:rFonts w:ascii="宋体" w:hAnsi="宋体"/>
      <w:spacing w:val="22"/>
      <w:kern w:val="24"/>
      <w:sz w:val="24"/>
      <w:szCs w:val="20"/>
    </w:rPr>
  </w:style>
  <w:style w:type="paragraph" w:customStyle="1" w:styleId="629">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0">
    <w:name w:val="文"/>
    <w:basedOn w:val="1"/>
    <w:qFormat/>
    <w:uiPriority w:val="0"/>
    <w:pPr>
      <w:autoSpaceDE w:val="0"/>
      <w:autoSpaceDN w:val="0"/>
      <w:adjustRightInd w:val="0"/>
      <w:snapToGrid w:val="0"/>
      <w:spacing w:line="447" w:lineRule="atLeast"/>
      <w:ind w:firstLine="419" w:firstLineChars="200"/>
    </w:pPr>
    <w:rPr>
      <w:rFonts w:ascii="Times New Roman" w:hAnsi="Times New Roman"/>
      <w:snapToGrid w:val="0"/>
      <w:color w:val="000000"/>
      <w:kern w:val="0"/>
      <w:sz w:val="24"/>
      <w:szCs w:val="20"/>
      <w:lang w:val="zh-CN"/>
    </w:rPr>
  </w:style>
  <w:style w:type="paragraph" w:customStyle="1" w:styleId="631">
    <w:name w:val="Char Char1 Char Char Char Char Char Char Char Char Char Char Char"/>
    <w:basedOn w:val="1"/>
    <w:uiPriority w:val="0"/>
    <w:pPr>
      <w:spacing w:line="360" w:lineRule="auto"/>
      <w:ind w:firstLine="200" w:firstLineChars="200"/>
    </w:pPr>
    <w:rPr>
      <w:rFonts w:ascii="宋体" w:hAnsi="宋体"/>
      <w:sz w:val="24"/>
      <w:szCs w:val="20"/>
    </w:rPr>
  </w:style>
  <w:style w:type="paragraph" w:customStyle="1" w:styleId="632">
    <w:name w:val="标题 512345"/>
    <w:basedOn w:val="1"/>
    <w:qFormat/>
    <w:uiPriority w:val="0"/>
    <w:pPr>
      <w:widowControl/>
      <w:spacing w:before="289" w:line="351" w:lineRule="atLeast"/>
      <w:ind w:firstLine="419"/>
      <w:jc w:val="left"/>
      <w:textAlignment w:val="baseline"/>
    </w:pPr>
    <w:rPr>
      <w:rFonts w:ascii="Times New Roman" w:hAnsi="Times New Roman"/>
      <w:b/>
      <w:color w:val="000000"/>
      <w:spacing w:val="11"/>
      <w:kern w:val="0"/>
      <w:sz w:val="28"/>
      <w:szCs w:val="20"/>
      <w:u w:color="000000"/>
    </w:rPr>
  </w:style>
  <w:style w:type="paragraph" w:customStyle="1" w:styleId="633">
    <w:name w:val="样式 样式 首行缩进:  2 字符 + 首行缩进:  2 字符4"/>
    <w:basedOn w:val="354"/>
    <w:qFormat/>
    <w:uiPriority w:val="0"/>
    <w:pPr>
      <w:spacing w:line="180" w:lineRule="auto"/>
      <w:ind w:firstLine="200"/>
    </w:pPr>
  </w:style>
  <w:style w:type="paragraph" w:customStyle="1" w:styleId="634">
    <w:name w:val="样式 正文编号（1） +1 Char Char Char Char Char Char Char Char"/>
    <w:basedOn w:val="1"/>
    <w:uiPriority w:val="0"/>
    <w:pPr>
      <w:widowControl/>
      <w:tabs>
        <w:tab w:val="left" w:pos="572"/>
        <w:tab w:val="left" w:pos="1230"/>
      </w:tabs>
      <w:adjustRightInd w:val="0"/>
      <w:snapToGrid w:val="0"/>
      <w:spacing w:line="520" w:lineRule="exact"/>
      <w:ind w:left="56" w:firstLine="454" w:firstLineChars="200"/>
      <w:textAlignment w:val="baseline"/>
    </w:pPr>
    <w:rPr>
      <w:rFonts w:ascii="Times New Roman" w:hAnsi="Times New Roman"/>
      <w:snapToGrid w:val="0"/>
      <w:color w:val="000000"/>
      <w:kern w:val="0"/>
      <w:sz w:val="28"/>
      <w:szCs w:val="20"/>
      <w:u w:color="000000"/>
    </w:rPr>
  </w:style>
  <w:style w:type="paragraph" w:customStyle="1" w:styleId="635">
    <w:name w:val="目录 91"/>
    <w:basedOn w:val="1"/>
    <w:qFormat/>
    <w:uiPriority w:val="0"/>
    <w:pPr>
      <w:widowControl/>
      <w:spacing w:line="351" w:lineRule="atLeast"/>
      <w:jc w:val="left"/>
      <w:textAlignment w:val="baseline"/>
    </w:pPr>
    <w:rPr>
      <w:rFonts w:ascii="Times New Roman" w:hAnsi="Times New Roman"/>
      <w:b/>
      <w:color w:val="000000"/>
      <w:spacing w:val="5"/>
      <w:kern w:val="0"/>
      <w:sz w:val="22"/>
      <w:szCs w:val="20"/>
      <w:u w:color="000000"/>
    </w:rPr>
  </w:style>
  <w:style w:type="paragraph" w:customStyle="1" w:styleId="636">
    <w:name w:val="样式 样式 标题 3 + 宋体 小三 + Times New Roman 四号"/>
    <w:basedOn w:val="296"/>
    <w:qFormat/>
    <w:uiPriority w:val="0"/>
    <w:pPr>
      <w:spacing w:before="50" w:beforeLines="50" w:after="0"/>
    </w:pPr>
    <w:rPr>
      <w:rFonts w:ascii="Times New Roman" w:hAnsi="Times New Roman"/>
    </w:rPr>
  </w:style>
  <w:style w:type="paragraph" w:customStyle="1" w:styleId="637">
    <w:name w:val="Char Char Char Char Char Char Char Char Char"/>
    <w:basedOn w:val="1"/>
    <w:qFormat/>
    <w:uiPriority w:val="0"/>
    <w:pPr>
      <w:adjustRightInd w:val="0"/>
      <w:snapToGrid w:val="0"/>
      <w:spacing w:line="360" w:lineRule="auto"/>
      <w:ind w:firstLine="200" w:firstLineChars="200"/>
    </w:pPr>
    <w:rPr>
      <w:rFonts w:ascii="宋体" w:hAnsi="宋体" w:cs="宋体"/>
      <w:snapToGrid w:val="0"/>
      <w:sz w:val="24"/>
    </w:rPr>
  </w:style>
  <w:style w:type="paragraph" w:customStyle="1" w:styleId="638">
    <w:name w:val="表格文字（对中）"/>
    <w:basedOn w:val="21"/>
    <w:uiPriority w:val="0"/>
    <w:pPr>
      <w:widowControl/>
      <w:spacing w:before="0" w:beforeLines="0" w:line="240" w:lineRule="auto"/>
      <w:ind w:firstLine="0" w:firstLineChars="0"/>
      <w:jc w:val="center"/>
    </w:pPr>
    <w:rPr>
      <w:sz w:val="21"/>
      <w:szCs w:val="20"/>
    </w:rPr>
  </w:style>
  <w:style w:type="paragraph" w:customStyle="1" w:styleId="639">
    <w:name w:val="样式14"/>
    <w:basedOn w:val="6"/>
    <w:qFormat/>
    <w:uiPriority w:val="0"/>
    <w:pPr>
      <w:spacing w:before="240" w:beforeLines="100" w:after="240" w:afterLines="100" w:line="240" w:lineRule="auto"/>
      <w:jc w:val="left"/>
    </w:pPr>
    <w:rPr>
      <w:rFonts w:ascii="Times New Roman" w:hAnsi="Times New Roman"/>
      <w:kern w:val="28"/>
      <w:sz w:val="24"/>
      <w:szCs w:val="24"/>
    </w:rPr>
  </w:style>
  <w:style w:type="paragraph" w:customStyle="1" w:styleId="640">
    <w:name w:val="正文文字缩进 21"/>
    <w:basedOn w:val="1"/>
    <w:uiPriority w:val="0"/>
    <w:pPr>
      <w:widowControl/>
      <w:spacing w:before="17" w:line="351" w:lineRule="atLeast"/>
      <w:ind w:firstLine="538"/>
      <w:jc w:val="left"/>
      <w:textAlignment w:val="baseline"/>
    </w:pPr>
    <w:rPr>
      <w:rFonts w:ascii="文鼎CS中宋" w:hAnsi="Times New Roman" w:eastAsia="文鼎CS中宋"/>
      <w:color w:val="000000"/>
      <w:spacing w:val="5"/>
      <w:kern w:val="0"/>
      <w:sz w:val="24"/>
      <w:szCs w:val="20"/>
      <w:u w:color="000000"/>
    </w:rPr>
  </w:style>
  <w:style w:type="paragraph" w:customStyle="1" w:styleId="641">
    <w:name w:val="WPS Plain"/>
    <w:uiPriority w:val="0"/>
    <w:rPr>
      <w:rFonts w:ascii="Times New Roman" w:hAnsi="Times New Roman" w:eastAsia="宋体" w:cs="Times New Roman"/>
      <w:lang w:val="en-US" w:eastAsia="zh-CN" w:bidi="ar-SA"/>
    </w:rPr>
  </w:style>
  <w:style w:type="paragraph" w:customStyle="1" w:styleId="642">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643">
    <w:name w:val="标题 812"/>
    <w:basedOn w:val="1"/>
    <w:qFormat/>
    <w:uiPriority w:val="0"/>
    <w:pPr>
      <w:widowControl/>
      <w:spacing w:before="62" w:line="351" w:lineRule="atLeast"/>
      <w:ind w:firstLine="419"/>
      <w:jc w:val="left"/>
      <w:textAlignment w:val="baseline"/>
    </w:pPr>
    <w:rPr>
      <w:rFonts w:ascii="Stylus BT" w:hAnsi="Times New Roman" w:eastAsia="黑体"/>
      <w:color w:val="000000"/>
      <w:kern w:val="0"/>
      <w:sz w:val="24"/>
      <w:szCs w:val="20"/>
      <w:u w:color="000000"/>
    </w:rPr>
  </w:style>
  <w:style w:type="paragraph" w:customStyle="1" w:styleId="644">
    <w:name w:val="正文(a)1234"/>
    <w:basedOn w:val="1"/>
    <w:qFormat/>
    <w:uiPriority w:val="0"/>
    <w:pPr>
      <w:widowControl/>
      <w:spacing w:line="351" w:lineRule="atLeast"/>
      <w:ind w:firstLine="566"/>
      <w:jc w:val="left"/>
      <w:textAlignment w:val="baseline"/>
    </w:pPr>
    <w:rPr>
      <w:rFonts w:ascii="Times New Roman" w:hAnsi="Times New Roman"/>
      <w:b/>
      <w:color w:val="000000"/>
      <w:kern w:val="0"/>
      <w:sz w:val="24"/>
      <w:szCs w:val="20"/>
      <w:u w:color="000000"/>
    </w:rPr>
  </w:style>
  <w:style w:type="paragraph" w:customStyle="1" w:styleId="645">
    <w:name w:val="Char Char2"/>
    <w:basedOn w:val="1"/>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646">
    <w:name w:val="样式 正文编号（1） +2"/>
    <w:basedOn w:val="1"/>
    <w:qFormat/>
    <w:uiPriority w:val="0"/>
    <w:pPr>
      <w:widowControl/>
      <w:tabs>
        <w:tab w:val="left" w:pos="572"/>
      </w:tabs>
      <w:adjustRightInd w:val="0"/>
      <w:snapToGrid w:val="0"/>
      <w:spacing w:line="520" w:lineRule="exact"/>
      <w:ind w:firstLine="200" w:firstLineChars="200"/>
      <w:textAlignment w:val="baseline"/>
    </w:pPr>
    <w:rPr>
      <w:rFonts w:ascii="Times New Roman" w:hAnsi="Times New Roman"/>
      <w:snapToGrid w:val="0"/>
      <w:color w:val="000000"/>
      <w:kern w:val="0"/>
      <w:sz w:val="28"/>
      <w:szCs w:val="20"/>
      <w:u w:color="000000"/>
    </w:rPr>
  </w:style>
  <w:style w:type="paragraph" w:customStyle="1" w:styleId="647">
    <w:name w:val="xl10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楷体_GB2312" w:hAnsi="宋体" w:eastAsia="楷体_GB2312" w:cs="宋体"/>
      <w:color w:val="0000FF"/>
      <w:kern w:val="0"/>
      <w:sz w:val="20"/>
      <w:szCs w:val="20"/>
    </w:rPr>
  </w:style>
  <w:style w:type="paragraph" w:customStyle="1" w:styleId="648">
    <w:name w:val="样式 标题 2 + 宋体 段前: 6 磅 段后: 0 磅 行距: 1.5 倍行距"/>
    <w:basedOn w:val="2"/>
    <w:uiPriority w:val="0"/>
    <w:pPr>
      <w:spacing w:before="120" w:after="0" w:line="360" w:lineRule="auto"/>
    </w:pPr>
    <w:rPr>
      <w:rFonts w:ascii="宋体" w:hAnsi="宋体" w:eastAsia="宋体" w:cs="宋体"/>
      <w:sz w:val="28"/>
      <w:szCs w:val="28"/>
    </w:rPr>
  </w:style>
  <w:style w:type="paragraph" w:customStyle="1" w:styleId="649">
    <w:name w:val="样式6"/>
    <w:basedOn w:val="5"/>
    <w:qFormat/>
    <w:uiPriority w:val="0"/>
    <w:pPr>
      <w:spacing w:before="312" w:beforeLines="100" w:after="312" w:afterLines="100" w:line="240" w:lineRule="auto"/>
      <w:jc w:val="left"/>
    </w:pPr>
    <w:rPr>
      <w:rFonts w:ascii="Times New Roman" w:hAnsi="Times New Roman"/>
      <w:bCs/>
      <w:kern w:val="32"/>
      <w:szCs w:val="32"/>
    </w:rPr>
  </w:style>
  <w:style w:type="paragraph" w:customStyle="1" w:styleId="650">
    <w:name w:val="正文文字1"/>
    <w:basedOn w:val="1"/>
    <w:qFormat/>
    <w:uiPriority w:val="0"/>
    <w:pPr>
      <w:widowControl/>
      <w:spacing w:line="351" w:lineRule="atLeast"/>
      <w:ind w:firstLine="566"/>
      <w:jc w:val="left"/>
      <w:textAlignment w:val="baseline"/>
    </w:pPr>
    <w:rPr>
      <w:rFonts w:ascii="Times New Roman" w:hAnsi="Times New Roman"/>
      <w:b/>
      <w:color w:val="000000"/>
      <w:kern w:val="0"/>
      <w:sz w:val="24"/>
      <w:szCs w:val="20"/>
      <w:u w:color="000000"/>
    </w:rPr>
  </w:style>
  <w:style w:type="paragraph" w:customStyle="1" w:styleId="65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No Spacing1"/>
    <w:uiPriority w:val="0"/>
    <w:pPr>
      <w:widowControl w:val="0"/>
      <w:ind w:firstLine="200" w:firstLineChars="200"/>
    </w:pPr>
    <w:rPr>
      <w:rFonts w:ascii="Calibri" w:hAnsi="Calibri" w:eastAsia="仿宋" w:cs="Times New Roman"/>
      <w:kern w:val="2"/>
      <w:sz w:val="21"/>
      <w:szCs w:val="22"/>
      <w:lang w:val="en-US" w:eastAsia="zh-CN" w:bidi="ar-SA"/>
    </w:rPr>
  </w:style>
  <w:style w:type="paragraph" w:customStyle="1" w:styleId="653">
    <w:name w:val="页眉12"/>
    <w:basedOn w:val="1"/>
    <w:qFormat/>
    <w:uiPriority w:val="0"/>
    <w:pPr>
      <w:widowControl/>
      <w:spacing w:line="351" w:lineRule="atLeast"/>
      <w:jc w:val="center"/>
      <w:textAlignment w:val="baseline"/>
    </w:pPr>
    <w:rPr>
      <w:rFonts w:ascii="Times New Roman" w:hAnsi="Times New Roman"/>
      <w:color w:val="000000"/>
      <w:kern w:val="0"/>
      <w:sz w:val="18"/>
      <w:szCs w:val="20"/>
      <w:u w:color="000000"/>
    </w:rPr>
  </w:style>
  <w:style w:type="paragraph" w:customStyle="1" w:styleId="654">
    <w:name w:val="标题 61"/>
    <w:basedOn w:val="1"/>
    <w:qFormat/>
    <w:uiPriority w:val="0"/>
    <w:pPr>
      <w:widowControl/>
      <w:spacing w:before="62" w:line="351" w:lineRule="atLeast"/>
      <w:ind w:firstLine="419"/>
      <w:jc w:val="left"/>
      <w:textAlignment w:val="baseline"/>
    </w:pPr>
    <w:rPr>
      <w:rFonts w:ascii="Stylus BT" w:hAnsi="Times New Roman" w:eastAsia="黑体"/>
      <w:b/>
      <w:color w:val="000000"/>
      <w:spacing w:val="11"/>
      <w:kern w:val="0"/>
      <w:sz w:val="28"/>
      <w:szCs w:val="20"/>
      <w:u w:color="000000"/>
    </w:rPr>
  </w:style>
  <w:style w:type="paragraph" w:customStyle="1" w:styleId="65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FF0000"/>
      <w:kern w:val="0"/>
      <w:sz w:val="20"/>
      <w:szCs w:val="20"/>
    </w:rPr>
  </w:style>
  <w:style w:type="paragraph" w:customStyle="1" w:styleId="657">
    <w:name w:val="font2"/>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658">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59">
    <w:name w:val="xl4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0">
    <w:name w:val="普通文字123"/>
    <w:basedOn w:val="1"/>
    <w:qFormat/>
    <w:uiPriority w:val="0"/>
    <w:pPr>
      <w:widowControl/>
      <w:spacing w:line="351" w:lineRule="atLeast"/>
      <w:ind w:firstLine="708"/>
      <w:jc w:val="left"/>
      <w:textAlignment w:val="baseline"/>
    </w:pPr>
    <w:rPr>
      <w:rFonts w:ascii="宋体" w:hAnsi="Times New Roman"/>
      <w:color w:val="000000"/>
      <w:spacing w:val="11"/>
      <w:kern w:val="0"/>
      <w:sz w:val="28"/>
      <w:szCs w:val="20"/>
      <w:u w:color="000000"/>
    </w:rPr>
  </w:style>
  <w:style w:type="paragraph" w:customStyle="1" w:styleId="661">
    <w:name w:val="表头"/>
    <w:basedOn w:val="1"/>
    <w:qFormat/>
    <w:uiPriority w:val="0"/>
    <w:pPr>
      <w:widowControl/>
      <w:adjustRightInd w:val="0"/>
      <w:snapToGrid w:val="0"/>
      <w:spacing w:before="60" w:after="60"/>
      <w:jc w:val="center"/>
    </w:pPr>
    <w:rPr>
      <w:rFonts w:ascii="黑体" w:hAnsi="宋体" w:eastAsia="黑体"/>
      <w:color w:val="000000"/>
      <w:kern w:val="0"/>
      <w:sz w:val="24"/>
      <w:szCs w:val="20"/>
    </w:rPr>
  </w:style>
  <w:style w:type="paragraph" w:customStyle="1" w:styleId="662">
    <w:name w:val="标题 2123"/>
    <w:basedOn w:val="1"/>
    <w:uiPriority w:val="0"/>
    <w:pPr>
      <w:widowControl/>
      <w:spacing w:before="119" w:line="351" w:lineRule="atLeast"/>
      <w:ind w:firstLine="623"/>
      <w:jc w:val="left"/>
      <w:textAlignment w:val="baseline"/>
    </w:pPr>
    <w:rPr>
      <w:rFonts w:ascii="Arial" w:hAnsi="Times New Roman"/>
      <w:color w:val="000000"/>
      <w:spacing w:val="5"/>
      <w:kern w:val="0"/>
      <w:sz w:val="36"/>
      <w:szCs w:val="20"/>
      <w:u w:color="000000"/>
    </w:rPr>
  </w:style>
  <w:style w:type="paragraph" w:customStyle="1" w:styleId="663">
    <w:name w:val="样式37"/>
    <w:basedOn w:val="345"/>
    <w:qFormat/>
    <w:uiPriority w:val="0"/>
    <w:pPr>
      <w:spacing w:before="240" w:beforeLines="100" w:after="240" w:afterLines="100"/>
    </w:pPr>
    <w:rPr>
      <w:rFonts w:eastAsia="宋体"/>
    </w:rPr>
  </w:style>
  <w:style w:type="paragraph" w:customStyle="1" w:styleId="664">
    <w:name w:val="6"/>
    <w:basedOn w:val="1"/>
    <w:next w:val="76"/>
    <w:qFormat/>
    <w:uiPriority w:val="0"/>
    <w:rPr>
      <w:rFonts w:ascii="宋体" w:hAnsi="Times New Roman"/>
      <w:color w:val="000000"/>
      <w:sz w:val="28"/>
      <w:szCs w:val="20"/>
    </w:rPr>
  </w:style>
  <w:style w:type="paragraph" w:customStyle="1" w:styleId="6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FF00FF"/>
      <w:kern w:val="0"/>
      <w:sz w:val="18"/>
      <w:szCs w:val="18"/>
    </w:rPr>
  </w:style>
  <w:style w:type="paragraph" w:customStyle="1" w:styleId="666">
    <w:name w:val="灿"/>
    <w:basedOn w:val="1"/>
    <w:uiPriority w:val="0"/>
    <w:pPr>
      <w:tabs>
        <w:tab w:val="left" w:pos="2160"/>
        <w:tab w:val="left" w:pos="2520"/>
        <w:tab w:val="left" w:pos="2880"/>
        <w:tab w:val="left" w:pos="3240"/>
      </w:tabs>
    </w:pPr>
    <w:rPr>
      <w:rFonts w:ascii="華康中楷體" w:hAnsi="Arial" w:eastAsia="華康中楷體"/>
      <w:snapToGrid w:val="0"/>
      <w:kern w:val="0"/>
      <w:sz w:val="24"/>
      <w:szCs w:val="20"/>
      <w:lang w:eastAsia="en-US"/>
    </w:rPr>
  </w:style>
  <w:style w:type="paragraph" w:customStyle="1" w:styleId="667">
    <w:name w:val="表格标题"/>
    <w:basedOn w:val="1"/>
    <w:next w:val="20"/>
    <w:qFormat/>
    <w:uiPriority w:val="0"/>
    <w:pPr>
      <w:keepNext/>
      <w:adjustRightInd w:val="0"/>
      <w:snapToGrid w:val="0"/>
      <w:spacing w:before="100" w:beforeAutospacing="1" w:after="100" w:afterAutospacing="1"/>
      <w:jc w:val="center"/>
    </w:pPr>
    <w:rPr>
      <w:rFonts w:ascii="Times New Roman" w:hAnsi="Times New Roman"/>
      <w:b/>
      <w:snapToGrid w:val="0"/>
      <w:kern w:val="0"/>
      <w:sz w:val="24"/>
    </w:rPr>
  </w:style>
  <w:style w:type="paragraph" w:customStyle="1" w:styleId="668">
    <w:name w:val="xl6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669">
    <w:name w:val="font0"/>
    <w:basedOn w:val="1"/>
    <w:uiPriority w:val="0"/>
    <w:pPr>
      <w:widowControl/>
      <w:snapToGrid w:val="0"/>
      <w:spacing w:before="100" w:beforeAutospacing="1" w:after="100" w:afterAutospacing="1"/>
      <w:jc w:val="left"/>
    </w:pPr>
    <w:rPr>
      <w:rFonts w:hint="eastAsia" w:ascii="Times" w:hAnsi="宋体" w:cs="Arial Unicode MS"/>
      <w:kern w:val="0"/>
      <w:sz w:val="24"/>
    </w:rPr>
  </w:style>
  <w:style w:type="paragraph" w:customStyle="1" w:styleId="670">
    <w:name w:val="样式51"/>
    <w:basedOn w:val="343"/>
    <w:qFormat/>
    <w:uiPriority w:val="0"/>
  </w:style>
  <w:style w:type="paragraph" w:customStyle="1" w:styleId="671">
    <w:name w:val="标题 4123"/>
    <w:basedOn w:val="1"/>
    <w:qFormat/>
    <w:uiPriority w:val="0"/>
    <w:pPr>
      <w:widowControl/>
      <w:spacing w:before="56" w:line="351" w:lineRule="atLeast"/>
      <w:ind w:firstLine="623"/>
      <w:jc w:val="left"/>
      <w:textAlignment w:val="baseline"/>
    </w:pPr>
    <w:rPr>
      <w:rFonts w:ascii="Arial" w:hAnsi="Times New Roman" w:eastAsia="楷体_GB2312"/>
      <w:color w:val="000000"/>
      <w:spacing w:val="5"/>
      <w:kern w:val="0"/>
      <w:sz w:val="30"/>
      <w:szCs w:val="20"/>
      <w:u w:color="000000"/>
    </w:rPr>
  </w:style>
  <w:style w:type="paragraph" w:customStyle="1" w:styleId="672">
    <w:name w:val="表格内容"/>
    <w:basedOn w:val="1"/>
    <w:qFormat/>
    <w:uiPriority w:val="0"/>
    <w:pPr>
      <w:overflowPunct w:val="0"/>
      <w:autoSpaceDE w:val="0"/>
      <w:autoSpaceDN w:val="0"/>
      <w:adjustRightInd w:val="0"/>
      <w:snapToGrid w:val="0"/>
      <w:jc w:val="center"/>
    </w:pPr>
    <w:rPr>
      <w:rFonts w:ascii="Times New Roman" w:hAnsi="Times New Roman"/>
      <w:kern w:val="0"/>
      <w:szCs w:val="21"/>
    </w:rPr>
  </w:style>
  <w:style w:type="paragraph" w:customStyle="1" w:styleId="673">
    <w:name w:val="小四号表"/>
    <w:basedOn w:val="1"/>
    <w:uiPriority w:val="0"/>
    <w:pPr>
      <w:widowControl/>
      <w:spacing w:line="360" w:lineRule="auto"/>
      <w:jc w:val="center"/>
      <w:textAlignment w:val="baseline"/>
    </w:pPr>
    <w:rPr>
      <w:rFonts w:ascii="宋体" w:hAnsi="宋体" w:cs="宋体"/>
      <w:color w:val="000000"/>
      <w:kern w:val="0"/>
      <w:sz w:val="24"/>
      <w:szCs w:val="20"/>
      <w:u w:color="000000"/>
    </w:rPr>
  </w:style>
  <w:style w:type="paragraph" w:customStyle="1" w:styleId="674">
    <w:name w:val="font7"/>
    <w:basedOn w:val="1"/>
    <w:qFormat/>
    <w:uiPriority w:val="0"/>
    <w:pPr>
      <w:widowControl/>
      <w:spacing w:before="100" w:beforeAutospacing="1" w:after="100" w:afterAutospacing="1"/>
      <w:jc w:val="left"/>
    </w:pPr>
    <w:rPr>
      <w:rFonts w:ascii="黑体" w:hAnsi="宋体" w:eastAsia="黑体" w:cs="宋体"/>
      <w:kern w:val="0"/>
      <w:sz w:val="20"/>
      <w:szCs w:val="20"/>
    </w:rPr>
  </w:style>
  <w:style w:type="paragraph" w:customStyle="1" w:styleId="675">
    <w:name w:val="正文文字缩进1"/>
    <w:basedOn w:val="1"/>
    <w:qFormat/>
    <w:uiPriority w:val="0"/>
    <w:pPr>
      <w:widowControl/>
      <w:spacing w:line="351" w:lineRule="atLeast"/>
      <w:ind w:firstLine="674"/>
      <w:jc w:val="left"/>
      <w:textAlignment w:val="baseline"/>
    </w:pPr>
    <w:rPr>
      <w:rFonts w:ascii="Times New Roman" w:hAnsi="Times New Roman"/>
      <w:color w:val="000000"/>
      <w:spacing w:val="11"/>
      <w:kern w:val="0"/>
      <w:sz w:val="28"/>
      <w:szCs w:val="20"/>
      <w:u w:color="000000"/>
    </w:rPr>
  </w:style>
  <w:style w:type="paragraph" w:customStyle="1" w:styleId="676">
    <w:name w:val="章编号和标题"/>
    <w:basedOn w:val="1"/>
    <w:uiPriority w:val="0"/>
    <w:pPr>
      <w:spacing w:before="156" w:beforeLines="50" w:line="360" w:lineRule="auto"/>
      <w:jc w:val="center"/>
      <w:outlineLvl w:val="0"/>
    </w:pPr>
    <w:rPr>
      <w:rFonts w:ascii="宋体" w:hAnsi="宋体" w:eastAsia="黑体"/>
      <w:b/>
      <w:sz w:val="32"/>
      <w:szCs w:val="28"/>
    </w:rPr>
  </w:style>
  <w:style w:type="paragraph" w:customStyle="1" w:styleId="677">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6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679">
    <w:name w:val="正文文本 21"/>
    <w:basedOn w:val="1"/>
    <w:qFormat/>
    <w:uiPriority w:val="0"/>
    <w:pPr>
      <w:adjustRightInd w:val="0"/>
      <w:spacing w:line="360" w:lineRule="atLeast"/>
      <w:ind w:firstLine="525"/>
      <w:textAlignment w:val="baseline"/>
    </w:pPr>
    <w:rPr>
      <w:rFonts w:ascii="宋体" w:hAnsi="Times New Roman"/>
      <w:kern w:val="0"/>
      <w:sz w:val="28"/>
      <w:szCs w:val="20"/>
    </w:rPr>
  </w:style>
  <w:style w:type="paragraph" w:customStyle="1" w:styleId="680">
    <w:name w:val="样式 标题 1 + 段前: 0.5 行 段后: 0.5 行"/>
    <w:basedOn w:val="4"/>
    <w:uiPriority w:val="0"/>
    <w:pPr>
      <w:keepNext w:val="0"/>
      <w:keepLines w:val="0"/>
      <w:widowControl/>
      <w:spacing w:before="120" w:after="0" w:line="360" w:lineRule="auto"/>
      <w:jc w:val="center"/>
      <w:textAlignment w:val="baseline"/>
    </w:pPr>
    <w:rPr>
      <w:rFonts w:ascii="宋体" w:hAnsi="宋体"/>
      <w:bCs w:val="0"/>
      <w:snapToGrid w:val="0"/>
      <w:color w:val="000000"/>
      <w:kern w:val="2"/>
      <w:sz w:val="30"/>
      <w:szCs w:val="20"/>
      <w:u w:color="000000"/>
    </w:rPr>
  </w:style>
  <w:style w:type="paragraph" w:customStyle="1" w:styleId="681">
    <w:name w:val="文章附标题"/>
    <w:basedOn w:val="1"/>
    <w:next w:val="350"/>
    <w:qFormat/>
    <w:uiPriority w:val="0"/>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682">
    <w:name w:val="font6"/>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83">
    <w:name w:val="无间隔1"/>
    <w:qFormat/>
    <w:uiPriority w:val="1"/>
    <w:pPr>
      <w:widowControl w:val="0"/>
      <w:ind w:firstLine="200" w:firstLineChars="200"/>
    </w:pPr>
    <w:rPr>
      <w:rFonts w:ascii="Calibri" w:hAnsi="Calibri" w:eastAsia="仿宋" w:cs="Times New Roman"/>
      <w:kern w:val="2"/>
      <w:sz w:val="21"/>
      <w:szCs w:val="22"/>
      <w:lang w:val="en-US" w:eastAsia="zh-CN" w:bidi="ar-SA"/>
    </w:rPr>
  </w:style>
  <w:style w:type="paragraph" w:customStyle="1" w:styleId="684">
    <w:name w:val="样式 标题4 + Times New Roman"/>
    <w:basedOn w:val="1"/>
    <w:qFormat/>
    <w:uiPriority w:val="0"/>
    <w:pPr>
      <w:widowControl/>
      <w:adjustRightInd w:val="0"/>
      <w:spacing w:line="360" w:lineRule="auto"/>
      <w:jc w:val="left"/>
      <w:outlineLvl w:val="3"/>
    </w:pPr>
    <w:rPr>
      <w:rFonts w:ascii="Times New Roman" w:hAnsi="Times New Roman"/>
      <w:b/>
      <w:bCs/>
      <w:kern w:val="0"/>
      <w:sz w:val="24"/>
    </w:rPr>
  </w:style>
  <w:style w:type="paragraph" w:customStyle="1" w:styleId="685">
    <w:name w:val="目录 81"/>
    <w:basedOn w:val="1"/>
    <w:qFormat/>
    <w:uiPriority w:val="0"/>
    <w:pPr>
      <w:widowControl/>
      <w:spacing w:line="351" w:lineRule="atLeast"/>
      <w:jc w:val="left"/>
      <w:textAlignment w:val="baseline"/>
    </w:pPr>
    <w:rPr>
      <w:rFonts w:ascii="Times New Roman" w:hAnsi="Times New Roman"/>
      <w:b/>
      <w:color w:val="000000"/>
      <w:spacing w:val="5"/>
      <w:kern w:val="0"/>
      <w:sz w:val="22"/>
      <w:szCs w:val="20"/>
      <w:u w:color="000000"/>
    </w:rPr>
  </w:style>
  <w:style w:type="paragraph" w:customStyle="1" w:styleId="6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7">
    <w:name w:val="文档结构图123456"/>
    <w:basedOn w:val="1"/>
    <w:uiPriority w:val="0"/>
    <w:pPr>
      <w:widowControl/>
      <w:spacing w:line="351" w:lineRule="atLeast"/>
      <w:ind w:firstLine="504"/>
      <w:jc w:val="left"/>
      <w:textAlignment w:val="baseline"/>
    </w:pPr>
    <w:rPr>
      <w:rFonts w:ascii="Times New Roman" w:hAnsi="Times New Roman"/>
      <w:color w:val="000000"/>
      <w:kern w:val="0"/>
      <w:sz w:val="24"/>
      <w:szCs w:val="20"/>
      <w:u w:color="000000"/>
    </w:rPr>
  </w:style>
  <w:style w:type="paragraph" w:customStyle="1" w:styleId="688">
    <w:name w:val="标题 7123"/>
    <w:basedOn w:val="1"/>
    <w:qFormat/>
    <w:uiPriority w:val="0"/>
    <w:pPr>
      <w:widowControl/>
      <w:spacing w:before="62" w:line="351" w:lineRule="atLeast"/>
      <w:ind w:firstLine="623"/>
      <w:jc w:val="left"/>
      <w:textAlignment w:val="baseline"/>
    </w:pPr>
    <w:rPr>
      <w:rFonts w:ascii="Times New Roman" w:hAnsi="Times New Roman"/>
      <w:b/>
      <w:color w:val="000000"/>
      <w:spacing w:val="5"/>
      <w:kern w:val="0"/>
      <w:sz w:val="24"/>
      <w:szCs w:val="20"/>
      <w:u w:color="000000"/>
    </w:rPr>
  </w:style>
  <w:style w:type="paragraph" w:customStyle="1" w:styleId="689">
    <w:name w:val="页脚123456"/>
    <w:basedOn w:val="1"/>
    <w:uiPriority w:val="0"/>
    <w:pPr>
      <w:widowControl/>
      <w:spacing w:line="351" w:lineRule="atLeast"/>
      <w:ind w:firstLine="504"/>
      <w:jc w:val="left"/>
      <w:textAlignment w:val="baseline"/>
    </w:pPr>
    <w:rPr>
      <w:rFonts w:ascii="Times New Roman" w:hAnsi="Times New Roman"/>
      <w:color w:val="000000"/>
      <w:kern w:val="0"/>
      <w:sz w:val="18"/>
      <w:szCs w:val="20"/>
      <w:u w:color="000000"/>
    </w:rPr>
  </w:style>
  <w:style w:type="paragraph" w:customStyle="1" w:styleId="690">
    <w:name w:val="页眉12345"/>
    <w:basedOn w:val="1"/>
    <w:uiPriority w:val="0"/>
    <w:pPr>
      <w:widowControl/>
      <w:spacing w:line="351" w:lineRule="atLeast"/>
      <w:ind w:firstLine="419"/>
      <w:jc w:val="center"/>
      <w:textAlignment w:val="baseline"/>
    </w:pPr>
    <w:rPr>
      <w:rFonts w:ascii="Times New Roman" w:hAnsi="Times New Roman"/>
      <w:color w:val="000000"/>
      <w:spacing w:val="11"/>
      <w:kern w:val="0"/>
      <w:sz w:val="18"/>
      <w:szCs w:val="20"/>
      <w:u w:color="000000"/>
    </w:rPr>
  </w:style>
  <w:style w:type="paragraph" w:customStyle="1" w:styleId="691">
    <w:name w:val="XCHG论文正文"/>
    <w:basedOn w:val="1"/>
    <w:qFormat/>
    <w:uiPriority w:val="0"/>
    <w:pPr>
      <w:spacing w:line="288" w:lineRule="auto"/>
      <w:ind w:firstLine="480" w:firstLineChars="200"/>
    </w:pPr>
    <w:rPr>
      <w:rFonts w:ascii="Times New Roman" w:hAnsi="Times New Roman"/>
      <w:color w:val="000000"/>
      <w:sz w:val="24"/>
      <w:szCs w:val="20"/>
    </w:rPr>
  </w:style>
  <w:style w:type="paragraph" w:customStyle="1" w:styleId="692">
    <w:name w:val="xl24"/>
    <w:basedOn w:val="1"/>
    <w:qFormat/>
    <w:uiPriority w:val="0"/>
    <w:pPr>
      <w:widowControl/>
      <w:pBdr>
        <w:bottom w:val="single" w:color="auto" w:sz="4" w:space="0"/>
      </w:pBdr>
      <w:spacing w:before="100" w:beforeAutospacing="1" w:after="100" w:afterAutospacing="1"/>
      <w:jc w:val="center"/>
      <w:textAlignment w:val="top"/>
    </w:pPr>
    <w:rPr>
      <w:rFonts w:ascii="宋体" w:hAnsi="宋体"/>
      <w:kern w:val="0"/>
      <w:szCs w:val="21"/>
    </w:rPr>
  </w:style>
  <w:style w:type="paragraph" w:customStyle="1" w:styleId="693">
    <w:name w:val="标题 312"/>
    <w:basedOn w:val="1"/>
    <w:qFormat/>
    <w:uiPriority w:val="0"/>
    <w:pPr>
      <w:widowControl/>
      <w:spacing w:line="351" w:lineRule="atLeast"/>
      <w:ind w:firstLine="566"/>
      <w:jc w:val="left"/>
      <w:textAlignment w:val="baseline"/>
    </w:pPr>
    <w:rPr>
      <w:rFonts w:ascii="Times New Roman" w:hAnsi="Times New Roman" w:eastAsia="黑体"/>
      <w:b/>
      <w:color w:val="000000"/>
      <w:kern w:val="0"/>
      <w:sz w:val="28"/>
      <w:szCs w:val="20"/>
      <w:u w:color="000000"/>
    </w:rPr>
  </w:style>
  <w:style w:type="paragraph" w:customStyle="1" w:styleId="694">
    <w:name w:val="标题 71"/>
    <w:basedOn w:val="1"/>
    <w:uiPriority w:val="0"/>
    <w:pPr>
      <w:widowControl/>
      <w:spacing w:before="62" w:line="351" w:lineRule="atLeast"/>
      <w:ind w:firstLine="419"/>
      <w:jc w:val="left"/>
      <w:textAlignment w:val="baseline"/>
    </w:pPr>
    <w:rPr>
      <w:rFonts w:ascii="Times New Roman" w:hAnsi="Times New Roman"/>
      <w:b/>
      <w:color w:val="000000"/>
      <w:spacing w:val="11"/>
      <w:kern w:val="0"/>
      <w:sz w:val="28"/>
      <w:szCs w:val="20"/>
      <w:u w:color="000000"/>
    </w:rPr>
  </w:style>
  <w:style w:type="paragraph" w:customStyle="1" w:styleId="695">
    <w:name w:val="样式 标题 2 + 段前: 0.5 行 段后: 0.5 行"/>
    <w:basedOn w:val="2"/>
    <w:qFormat/>
    <w:uiPriority w:val="0"/>
    <w:pPr>
      <w:widowControl/>
      <w:spacing w:before="156" w:after="156" w:line="360" w:lineRule="auto"/>
    </w:pPr>
    <w:rPr>
      <w:rFonts w:ascii="Times New Roman" w:hAnsi="Times New Roman" w:eastAsia="方正书宋"/>
      <w:bCs w:val="0"/>
      <w:color w:val="000000"/>
      <w:kern w:val="0"/>
      <w:sz w:val="24"/>
      <w:szCs w:val="20"/>
    </w:rPr>
  </w:style>
  <w:style w:type="paragraph" w:customStyle="1" w:styleId="696">
    <w:name w:val="目录 1123"/>
    <w:basedOn w:val="1"/>
    <w:uiPriority w:val="0"/>
    <w:pPr>
      <w:widowControl/>
      <w:spacing w:before="357" w:line="351" w:lineRule="atLeast"/>
      <w:jc w:val="left"/>
      <w:textAlignment w:val="baseline"/>
    </w:pPr>
    <w:rPr>
      <w:rFonts w:ascii="Times New Roman" w:hAnsi="Times New Roman"/>
      <w:color w:val="000000"/>
      <w:spacing w:val="5"/>
      <w:kern w:val="0"/>
      <w:sz w:val="28"/>
      <w:szCs w:val="20"/>
      <w:u w:val="single"/>
    </w:rPr>
  </w:style>
  <w:style w:type="paragraph" w:customStyle="1" w:styleId="697">
    <w:name w:val="正文文本缩进 21"/>
    <w:basedOn w:val="1"/>
    <w:uiPriority w:val="0"/>
    <w:pPr>
      <w:widowControl/>
      <w:adjustRightInd w:val="0"/>
      <w:ind w:firstLine="538"/>
      <w:jc w:val="left"/>
      <w:textAlignment w:val="baseline"/>
    </w:pPr>
    <w:rPr>
      <w:rFonts w:ascii="Times New Roman" w:hAnsi="Times New Roman"/>
      <w:kern w:val="0"/>
      <w:sz w:val="28"/>
      <w:szCs w:val="20"/>
    </w:rPr>
  </w:style>
  <w:style w:type="paragraph" w:customStyle="1" w:styleId="698">
    <w:name w:val="报告书正文"/>
    <w:basedOn w:val="1"/>
    <w:qFormat/>
    <w:uiPriority w:val="0"/>
    <w:pPr>
      <w:tabs>
        <w:tab w:val="left" w:pos="2730"/>
      </w:tabs>
      <w:adjustRightInd w:val="0"/>
      <w:snapToGrid w:val="0"/>
      <w:spacing w:before="120" w:line="360" w:lineRule="auto"/>
      <w:ind w:firstLine="482" w:firstLineChars="200"/>
      <w:textAlignment w:val="baseline"/>
    </w:pPr>
    <w:rPr>
      <w:rFonts w:ascii="黑体" w:hAnsi="宋体" w:eastAsia="黑体"/>
      <w:b/>
      <w:sz w:val="24"/>
      <w:szCs w:val="20"/>
    </w:rPr>
  </w:style>
  <w:style w:type="paragraph" w:customStyle="1" w:styleId="699">
    <w:name w:val="样式 四号 红色"/>
    <w:qFormat/>
    <w:uiPriority w:val="0"/>
    <w:pPr>
      <w:spacing w:line="351" w:lineRule="atLeast"/>
      <w:ind w:firstLine="198"/>
      <w:jc w:val="both"/>
      <w:textAlignment w:val="baseline"/>
    </w:pPr>
    <w:rPr>
      <w:rFonts w:ascii="Times New Roman" w:hAnsi="Times New Roman" w:eastAsia="宋体" w:cs="Times New Roman"/>
      <w:color w:val="FF0000"/>
      <w:sz w:val="28"/>
      <w:u w:color="000000"/>
      <w:lang w:val="en-US" w:eastAsia="zh-CN" w:bidi="ar-SA"/>
    </w:rPr>
  </w:style>
  <w:style w:type="paragraph" w:customStyle="1" w:styleId="700">
    <w:name w:val="xl4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701">
    <w:name w:val="样式 样式 标题 3 + + 楷体_GB2312 小三 段前: 0 磅 段后: 0 磅 行距: 单倍行距"/>
    <w:basedOn w:val="1"/>
    <w:uiPriority w:val="0"/>
    <w:pPr>
      <w:widowControl/>
      <w:spacing w:line="351" w:lineRule="atLeast"/>
      <w:ind w:firstLine="419"/>
      <w:jc w:val="left"/>
      <w:textAlignment w:val="baseline"/>
    </w:pPr>
    <w:rPr>
      <w:rFonts w:ascii="楷体_GB2312" w:hAnsi="Times New Roman" w:eastAsia="楷体_GB2312"/>
      <w:color w:val="000000"/>
      <w:kern w:val="0"/>
      <w:sz w:val="30"/>
      <w:szCs w:val="20"/>
      <w:u w:color="000000"/>
    </w:rPr>
  </w:style>
  <w:style w:type="paragraph" w:customStyle="1" w:styleId="702">
    <w:name w:val="样式 1.1.1 + 段前: 7.8 磅 段后: 7.8 磅"/>
    <w:basedOn w:val="206"/>
    <w:qFormat/>
    <w:uiPriority w:val="0"/>
    <w:rPr>
      <w:rFonts w:ascii="Times New Roman" w:hAnsi="Times New Roman" w:cs="宋体"/>
      <w:szCs w:val="24"/>
    </w:rPr>
  </w:style>
  <w:style w:type="paragraph" w:customStyle="1" w:styleId="703">
    <w:name w:val="4"/>
    <w:basedOn w:val="1"/>
    <w:next w:val="35"/>
    <w:uiPriority w:val="0"/>
    <w:pPr>
      <w:ind w:firstLine="570"/>
    </w:pPr>
    <w:rPr>
      <w:rFonts w:ascii="宋体" w:hAnsi="宋体"/>
      <w:sz w:val="28"/>
    </w:rPr>
  </w:style>
  <w:style w:type="paragraph" w:customStyle="1" w:styleId="704">
    <w:name w:val="应用正文文本"/>
    <w:basedOn w:val="1"/>
    <w:qFormat/>
    <w:uiPriority w:val="0"/>
    <w:pPr>
      <w:spacing w:line="460" w:lineRule="atLeast"/>
      <w:ind w:firstLine="480" w:firstLineChars="200"/>
    </w:pPr>
    <w:rPr>
      <w:rFonts w:ascii="Times New Roman" w:hAnsi="Times New Roman"/>
      <w:sz w:val="24"/>
    </w:rPr>
  </w:style>
  <w:style w:type="paragraph" w:customStyle="1" w:styleId="705">
    <w:name w:val="标题 31234"/>
    <w:basedOn w:val="1"/>
    <w:qFormat/>
    <w:uiPriority w:val="0"/>
    <w:pPr>
      <w:widowControl/>
      <w:spacing w:before="119" w:line="351" w:lineRule="atLeast"/>
      <w:ind w:firstLine="623"/>
      <w:jc w:val="left"/>
      <w:textAlignment w:val="baseline"/>
    </w:pPr>
    <w:rPr>
      <w:rFonts w:ascii="Times New Roman" w:hAnsi="Times New Roman" w:eastAsia="黑体"/>
      <w:color w:val="000000"/>
      <w:spacing w:val="5"/>
      <w:kern w:val="0"/>
      <w:sz w:val="32"/>
      <w:szCs w:val="20"/>
      <w:u w:color="000000"/>
    </w:rPr>
  </w:style>
  <w:style w:type="paragraph" w:customStyle="1" w:styleId="70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kern w:val="0"/>
      <w:sz w:val="16"/>
      <w:szCs w:val="16"/>
    </w:rPr>
  </w:style>
  <w:style w:type="paragraph" w:customStyle="1" w:styleId="708">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09">
    <w:name w:val="Char Char Char"/>
    <w:basedOn w:val="1"/>
    <w:qFormat/>
    <w:uiPriority w:val="0"/>
    <w:pPr>
      <w:adjustRightInd w:val="0"/>
      <w:snapToGrid w:val="0"/>
      <w:spacing w:line="360" w:lineRule="auto"/>
      <w:ind w:firstLine="200" w:firstLineChars="200"/>
    </w:pPr>
    <w:rPr>
      <w:rFonts w:ascii="宋体" w:hAnsi="宋体"/>
      <w:snapToGrid w:val="0"/>
      <w:sz w:val="24"/>
      <w:szCs w:val="20"/>
    </w:rPr>
  </w:style>
  <w:style w:type="paragraph" w:customStyle="1" w:styleId="710">
    <w:name w:val="样式 正文小四 + 加粗 Char"/>
    <w:basedOn w:val="204"/>
    <w:uiPriority w:val="0"/>
    <w:rPr>
      <w:rFonts w:ascii="Times New Roman" w:hAnsi="Times New Roman" w:cs="Times New Roman"/>
      <w:b/>
      <w:kern w:val="2"/>
    </w:rPr>
  </w:style>
  <w:style w:type="paragraph" w:customStyle="1" w:styleId="711">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1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8000"/>
      <w:kern w:val="0"/>
      <w:sz w:val="22"/>
      <w:szCs w:val="22"/>
    </w:rPr>
  </w:style>
  <w:style w:type="paragraph" w:customStyle="1" w:styleId="713">
    <w:name w:val="样式10"/>
    <w:basedOn w:val="74"/>
    <w:qFormat/>
    <w:uiPriority w:val="0"/>
    <w:pPr>
      <w:widowControl/>
      <w:tabs>
        <w:tab w:val="right" w:leader="dot" w:pos="9060"/>
      </w:tabs>
      <w:spacing w:line="360" w:lineRule="auto"/>
      <w:ind w:left="0" w:leftChars="0"/>
      <w:jc w:val="left"/>
      <w:textAlignment w:val="baseline"/>
    </w:pPr>
    <w:rPr>
      <w:rFonts w:ascii="Times New Roman" w:hAnsi="Times New Roman"/>
      <w:b/>
      <w:smallCaps/>
      <w:color w:val="000000"/>
      <w:kern w:val="0"/>
      <w:sz w:val="24"/>
      <w:szCs w:val="20"/>
      <w:u w:color="000000"/>
    </w:rPr>
  </w:style>
  <w:style w:type="paragraph" w:customStyle="1" w:styleId="714">
    <w:name w:val="font9"/>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715">
    <w:name w:val="样式 样式 样式 首行缩进:  2 字符 + 首行缩进:  2 字符4 + 首行缩进:  2 字符"/>
    <w:basedOn w:val="633"/>
    <w:qFormat/>
    <w:uiPriority w:val="0"/>
    <w:pPr>
      <w:spacing w:line="120" w:lineRule="auto"/>
    </w:pPr>
  </w:style>
  <w:style w:type="paragraph" w:customStyle="1" w:styleId="716">
    <w:name w:val="标题 11"/>
    <w:basedOn w:val="1"/>
    <w:uiPriority w:val="0"/>
    <w:pPr>
      <w:widowControl/>
      <w:spacing w:before="119" w:line="351" w:lineRule="atLeast"/>
      <w:ind w:firstLine="674"/>
      <w:jc w:val="left"/>
      <w:textAlignment w:val="baseline"/>
    </w:pPr>
    <w:rPr>
      <w:rFonts w:ascii="Times New Roman" w:hAnsi="Times New Roman" w:eastAsia="黑体"/>
      <w:color w:val="000000"/>
      <w:spacing w:val="5"/>
      <w:kern w:val="0"/>
      <w:sz w:val="36"/>
      <w:szCs w:val="20"/>
      <w:u w:color="000000"/>
    </w:rPr>
  </w:style>
  <w:style w:type="paragraph" w:customStyle="1" w:styleId="71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8">
    <w:name w:val="正文编号（1）"/>
    <w:basedOn w:val="1"/>
    <w:qFormat/>
    <w:uiPriority w:val="0"/>
    <w:pPr>
      <w:widowControl/>
      <w:tabs>
        <w:tab w:val="left" w:pos="572"/>
      </w:tabs>
      <w:spacing w:line="520" w:lineRule="exact"/>
      <w:textAlignment w:val="baseline"/>
    </w:pPr>
    <w:rPr>
      <w:rFonts w:ascii="Times New Roman" w:hAnsi="Times New Roman"/>
      <w:sz w:val="28"/>
      <w:szCs w:val="20"/>
    </w:rPr>
  </w:style>
  <w:style w:type="paragraph" w:customStyle="1" w:styleId="719">
    <w:name w:val="标题 6123456"/>
    <w:basedOn w:val="1"/>
    <w:qFormat/>
    <w:uiPriority w:val="0"/>
    <w:pPr>
      <w:widowControl/>
      <w:spacing w:before="62" w:line="351" w:lineRule="atLeast"/>
      <w:ind w:firstLine="419"/>
      <w:jc w:val="left"/>
      <w:textAlignment w:val="baseline"/>
    </w:pPr>
    <w:rPr>
      <w:rFonts w:ascii="Stylus BT" w:hAnsi="Times New Roman" w:eastAsia="黑体"/>
      <w:b/>
      <w:color w:val="000000"/>
      <w:kern w:val="0"/>
      <w:sz w:val="24"/>
      <w:szCs w:val="20"/>
      <w:u w:color="000000"/>
    </w:rPr>
  </w:style>
  <w:style w:type="paragraph" w:customStyle="1" w:styleId="720">
    <w:name w:val="目录 312"/>
    <w:basedOn w:val="1"/>
    <w:qFormat/>
    <w:uiPriority w:val="0"/>
    <w:pPr>
      <w:widowControl/>
      <w:spacing w:line="351" w:lineRule="atLeast"/>
      <w:jc w:val="left"/>
      <w:textAlignment w:val="baseline"/>
    </w:pPr>
    <w:rPr>
      <w:rFonts w:ascii="Times New Roman" w:hAnsi="Times New Roman"/>
      <w:b/>
      <w:color w:val="000000"/>
      <w:spacing w:val="5"/>
      <w:kern w:val="0"/>
      <w:sz w:val="22"/>
      <w:szCs w:val="20"/>
      <w:u w:color="000000"/>
    </w:rPr>
  </w:style>
  <w:style w:type="paragraph" w:customStyle="1" w:styleId="721">
    <w:name w:val="样式 样式 四号 首行缩进:  1.1 厘米 + 首行缩进:  2 字符 Char Char"/>
    <w:basedOn w:val="1"/>
    <w:uiPriority w:val="0"/>
    <w:pPr>
      <w:spacing w:line="360" w:lineRule="auto"/>
      <w:ind w:firstLine="200" w:firstLineChars="200"/>
    </w:pPr>
    <w:rPr>
      <w:rFonts w:ascii="Times New Roman" w:hAnsi="Times New Roman"/>
      <w:sz w:val="24"/>
      <w:szCs w:val="20"/>
    </w:rPr>
  </w:style>
  <w:style w:type="paragraph" w:customStyle="1" w:styleId="722">
    <w:name w:val="页脚1"/>
    <w:basedOn w:val="1"/>
    <w:qFormat/>
    <w:uiPriority w:val="0"/>
    <w:pPr>
      <w:widowControl/>
      <w:spacing w:line="351" w:lineRule="atLeast"/>
      <w:ind w:firstLine="419"/>
      <w:jc w:val="left"/>
      <w:textAlignment w:val="baseline"/>
    </w:pPr>
    <w:rPr>
      <w:rFonts w:ascii="Times New Roman" w:hAnsi="Times New Roman"/>
      <w:color w:val="000000"/>
      <w:spacing w:val="11"/>
      <w:kern w:val="0"/>
      <w:sz w:val="18"/>
      <w:szCs w:val="20"/>
      <w:u w:color="000000"/>
    </w:rPr>
  </w:style>
  <w:style w:type="paragraph" w:customStyle="1" w:styleId="7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FF"/>
      <w:kern w:val="0"/>
      <w:sz w:val="20"/>
      <w:szCs w:val="20"/>
    </w:rPr>
  </w:style>
  <w:style w:type="paragraph" w:customStyle="1" w:styleId="724">
    <w:name w:val="正文(a)"/>
    <w:basedOn w:val="34"/>
    <w:uiPriority w:val="0"/>
    <w:pPr>
      <w:widowControl/>
      <w:tabs>
        <w:tab w:val="left" w:pos="1230"/>
      </w:tabs>
      <w:adjustRightInd w:val="0"/>
      <w:snapToGrid w:val="0"/>
      <w:spacing w:line="480" w:lineRule="exact"/>
      <w:ind w:left="56" w:firstLine="454"/>
      <w:textAlignment w:val="baseline"/>
    </w:pPr>
    <w:rPr>
      <w:rFonts w:hAnsi="Times New Roman"/>
      <w:snapToGrid w:val="0"/>
      <w:color w:val="000000"/>
      <w:spacing w:val="20"/>
      <w:kern w:val="24"/>
      <w:sz w:val="21"/>
      <w:u w:color="000000"/>
    </w:rPr>
  </w:style>
  <w:style w:type="paragraph" w:customStyle="1" w:styleId="725">
    <w:name w:val="标题 41234"/>
    <w:basedOn w:val="1"/>
    <w:qFormat/>
    <w:uiPriority w:val="0"/>
    <w:pPr>
      <w:widowControl/>
      <w:spacing w:before="56" w:line="351" w:lineRule="atLeast"/>
      <w:ind w:firstLine="623"/>
      <w:jc w:val="left"/>
      <w:textAlignment w:val="baseline"/>
    </w:pPr>
    <w:rPr>
      <w:rFonts w:ascii="Arial" w:hAnsi="Times New Roman" w:eastAsia="楷体_GB2312"/>
      <w:color w:val="000000"/>
      <w:spacing w:val="5"/>
      <w:kern w:val="0"/>
      <w:sz w:val="30"/>
      <w:szCs w:val="20"/>
      <w:u w:color="000000"/>
    </w:rPr>
  </w:style>
  <w:style w:type="paragraph" w:customStyle="1" w:styleId="726">
    <w:name w:val="样式 小四 两端对齐 行距: 最小值 23 磅"/>
    <w:basedOn w:val="1"/>
    <w:next w:val="87"/>
    <w:qFormat/>
    <w:uiPriority w:val="0"/>
    <w:pPr>
      <w:adjustRightInd w:val="0"/>
      <w:spacing w:line="460" w:lineRule="atLeast"/>
      <w:textAlignment w:val="baseline"/>
    </w:pPr>
    <w:rPr>
      <w:rFonts w:ascii="Times New Roman" w:hAnsi="Times New Roman" w:cs="宋体"/>
      <w:kern w:val="0"/>
      <w:sz w:val="24"/>
      <w:szCs w:val="20"/>
      <w:lang w:val="en-GB"/>
    </w:rPr>
  </w:style>
  <w:style w:type="paragraph" w:customStyle="1" w:styleId="7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728">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729">
    <w:name w:val="样式 样式 样式5 + 宋体 + 小四"/>
    <w:basedOn w:val="607"/>
    <w:qFormat/>
    <w:uiPriority w:val="0"/>
    <w:rPr>
      <w:rFonts w:ascii="Times New Roman" w:hAnsi="Times New Roman"/>
    </w:rPr>
  </w:style>
  <w:style w:type="paragraph" w:customStyle="1" w:styleId="730">
    <w:name w:val="Char Char Char Char Char Char Char Char Char Char Char Char Char Char Char Char Char"/>
    <w:basedOn w:val="1"/>
    <w:uiPriority w:val="0"/>
    <w:pPr>
      <w:widowControl/>
      <w:spacing w:line="360" w:lineRule="auto"/>
      <w:ind w:firstLine="200" w:firstLineChars="200"/>
      <w:jc w:val="left"/>
    </w:pPr>
    <w:rPr>
      <w:rFonts w:ascii="宋体" w:hAnsi="宋体"/>
      <w:kern w:val="0"/>
      <w:sz w:val="24"/>
      <w:szCs w:val="20"/>
    </w:rPr>
  </w:style>
  <w:style w:type="paragraph" w:customStyle="1" w:styleId="731">
    <w:name w:val="Char Char1 Char Char Char Char Char Char Char Char Char Char Char Char Char Char Char Char Char Char Char"/>
    <w:basedOn w:val="1"/>
    <w:uiPriority w:val="0"/>
    <w:pPr>
      <w:widowControl/>
      <w:jc w:val="left"/>
    </w:pPr>
    <w:rPr>
      <w:rFonts w:ascii="宋体" w:hAnsi="宋体" w:cs="宋体"/>
      <w:color w:val="000000"/>
      <w:kern w:val="0"/>
      <w:sz w:val="24"/>
      <w:szCs w:val="20"/>
    </w:rPr>
  </w:style>
  <w:style w:type="paragraph" w:customStyle="1" w:styleId="732">
    <w:name w:val="样式25"/>
    <w:basedOn w:val="2"/>
    <w:qFormat/>
    <w:uiPriority w:val="0"/>
    <w:pPr>
      <w:spacing w:before="240" w:beforeLines="100" w:after="240" w:afterLines="100" w:line="240" w:lineRule="auto"/>
      <w:jc w:val="left"/>
    </w:pPr>
    <w:rPr>
      <w:rFonts w:ascii="Times New Roman" w:hAnsi="Times New Roman" w:eastAsia="宋体"/>
      <w:kern w:val="32"/>
      <w:sz w:val="36"/>
      <w:szCs w:val="36"/>
    </w:rPr>
  </w:style>
  <w:style w:type="paragraph" w:customStyle="1" w:styleId="733">
    <w:name w:val="文档结构图1"/>
    <w:basedOn w:val="1"/>
    <w:qFormat/>
    <w:uiPriority w:val="0"/>
    <w:pPr>
      <w:widowControl/>
      <w:spacing w:line="351" w:lineRule="atLeast"/>
      <w:ind w:firstLine="419"/>
      <w:jc w:val="left"/>
      <w:textAlignment w:val="baseline"/>
    </w:pPr>
    <w:rPr>
      <w:rFonts w:ascii="Times New Roman" w:hAnsi="Times New Roman"/>
      <w:color w:val="000000"/>
      <w:spacing w:val="11"/>
      <w:kern w:val="0"/>
      <w:sz w:val="28"/>
      <w:szCs w:val="20"/>
      <w:u w:color="000000"/>
    </w:rPr>
  </w:style>
  <w:style w:type="paragraph" w:customStyle="1" w:styleId="734">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735">
    <w:name w:val="正文(a)12"/>
    <w:basedOn w:val="1"/>
    <w:uiPriority w:val="0"/>
    <w:pPr>
      <w:widowControl/>
      <w:spacing w:line="351" w:lineRule="atLeast"/>
      <w:ind w:firstLine="566"/>
      <w:jc w:val="left"/>
      <w:textAlignment w:val="baseline"/>
    </w:pPr>
    <w:rPr>
      <w:rFonts w:ascii="Times New Roman" w:hAnsi="Times New Roman"/>
      <w:b/>
      <w:color w:val="000000"/>
      <w:kern w:val="0"/>
      <w:sz w:val="24"/>
      <w:szCs w:val="20"/>
      <w:u w:color="000000"/>
    </w:rPr>
  </w:style>
  <w:style w:type="paragraph" w:customStyle="1" w:styleId="736">
    <w:name w:val="font17"/>
    <w:basedOn w:val="1"/>
    <w:qFormat/>
    <w:uiPriority w:val="0"/>
    <w:pPr>
      <w:widowControl/>
      <w:spacing w:before="100" w:beforeAutospacing="1" w:after="100" w:afterAutospacing="1"/>
      <w:jc w:val="left"/>
    </w:pPr>
    <w:rPr>
      <w:rFonts w:ascii="楷体_GB2312" w:hAnsi="宋体" w:eastAsia="楷体_GB2312" w:cs="宋体"/>
      <w:kern w:val="0"/>
      <w:sz w:val="16"/>
      <w:szCs w:val="16"/>
    </w:rPr>
  </w:style>
  <w:style w:type="paragraph" w:customStyle="1" w:styleId="737">
    <w:name w:val="小标题"/>
    <w:basedOn w:val="1"/>
    <w:qFormat/>
    <w:uiPriority w:val="0"/>
    <w:pPr>
      <w:widowControl/>
      <w:spacing w:line="430" w:lineRule="atLeast"/>
      <w:jc w:val="left"/>
      <w:textAlignment w:val="baseline"/>
    </w:pPr>
    <w:rPr>
      <w:rFonts w:ascii="Times New Roman" w:hAnsi="Times New Roman" w:eastAsia="方正黑体"/>
      <w:color w:val="000000"/>
      <w:kern w:val="0"/>
      <w:sz w:val="28"/>
      <w:szCs w:val="20"/>
      <w:u w:color="000000"/>
    </w:rPr>
  </w:style>
  <w:style w:type="paragraph" w:customStyle="1" w:styleId="738">
    <w:name w:val="表名[BM]"/>
    <w:basedOn w:val="1"/>
    <w:uiPriority w:val="0"/>
    <w:pPr>
      <w:tabs>
        <w:tab w:val="left" w:pos="1890"/>
      </w:tabs>
      <w:adjustRightInd w:val="0"/>
      <w:snapToGrid w:val="0"/>
      <w:spacing w:line="420" w:lineRule="exact"/>
    </w:pPr>
    <w:rPr>
      <w:rFonts w:ascii="Times New Roman" w:hAnsi="Times New Roman" w:eastAsia="黑体"/>
      <w:snapToGrid w:val="0"/>
      <w:color w:val="000000"/>
      <w:kern w:val="0"/>
      <w:sz w:val="24"/>
    </w:rPr>
  </w:style>
  <w:style w:type="paragraph" w:customStyle="1" w:styleId="739">
    <w:name w:val="标题 1123456"/>
    <w:basedOn w:val="1"/>
    <w:qFormat/>
    <w:uiPriority w:val="0"/>
    <w:pPr>
      <w:widowControl/>
      <w:spacing w:before="119" w:line="351" w:lineRule="atLeast"/>
      <w:ind w:firstLine="566"/>
      <w:jc w:val="left"/>
      <w:textAlignment w:val="baseline"/>
    </w:pPr>
    <w:rPr>
      <w:rFonts w:ascii="Times New Roman" w:hAnsi="Times New Roman" w:eastAsia="黑体"/>
      <w:b/>
      <w:color w:val="000000"/>
      <w:kern w:val="0"/>
      <w:sz w:val="32"/>
      <w:szCs w:val="20"/>
      <w:u w:color="000000"/>
    </w:rPr>
  </w:style>
  <w:style w:type="paragraph" w:customStyle="1" w:styleId="740">
    <w:name w:val="目录2"/>
    <w:basedOn w:val="1"/>
    <w:next w:val="1"/>
    <w:qFormat/>
    <w:uiPriority w:val="0"/>
    <w:pPr>
      <w:widowControl/>
      <w:tabs>
        <w:tab w:val="left" w:leader="dot" w:pos="8503"/>
      </w:tabs>
      <w:adjustRightInd w:val="0"/>
      <w:snapToGrid w:val="0"/>
      <w:spacing w:line="317" w:lineRule="atLeast"/>
      <w:ind w:left="419" w:firstLine="419" w:firstLineChars="200"/>
      <w:textAlignment w:val="baseline"/>
    </w:pPr>
    <w:rPr>
      <w:rFonts w:ascii="Times New Roman" w:hAnsi="Times New Roman"/>
      <w:snapToGrid w:val="0"/>
      <w:color w:val="000000"/>
      <w:kern w:val="0"/>
      <w:sz w:val="24"/>
      <w:szCs w:val="20"/>
      <w:u w:color="000000"/>
    </w:rPr>
  </w:style>
  <w:style w:type="paragraph" w:customStyle="1" w:styleId="741">
    <w:name w:val="样式 样式 样式 样式 首行缩进:  2 字符 + 首行缩进:  2 字符5 + 首行缩进:  2 字符 + 首行缩进:  2 ..."/>
    <w:basedOn w:val="378"/>
    <w:qFormat/>
    <w:uiPriority w:val="0"/>
    <w:pPr>
      <w:spacing w:line="540" w:lineRule="exact"/>
    </w:pPr>
  </w:style>
  <w:style w:type="paragraph" w:customStyle="1" w:styleId="742">
    <w:name w:val="标题 612345"/>
    <w:basedOn w:val="1"/>
    <w:uiPriority w:val="0"/>
    <w:pPr>
      <w:widowControl/>
      <w:spacing w:before="62" w:line="351" w:lineRule="atLeast"/>
      <w:ind w:firstLine="419"/>
      <w:jc w:val="left"/>
      <w:textAlignment w:val="baseline"/>
    </w:pPr>
    <w:rPr>
      <w:rFonts w:ascii="Stylus BT" w:hAnsi="Times New Roman" w:eastAsia="黑体"/>
      <w:b/>
      <w:color w:val="000000"/>
      <w:spacing w:val="11"/>
      <w:kern w:val="0"/>
      <w:sz w:val="28"/>
      <w:szCs w:val="20"/>
      <w:u w:color="000000"/>
    </w:rPr>
  </w:style>
  <w:style w:type="paragraph" w:customStyle="1" w:styleId="7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744">
    <w:name w:val="样式 标题 4 + Times New Roman 非加粗 黑色 段前: 12 磅 段后: 6 磅 行距: 最小值 2..."/>
    <w:basedOn w:val="6"/>
    <w:uiPriority w:val="0"/>
    <w:pPr>
      <w:spacing w:before="0" w:after="0" w:line="520" w:lineRule="atLeast"/>
    </w:pPr>
    <w:rPr>
      <w:rFonts w:ascii="Times New Roman" w:hAnsi="Times New Roman" w:eastAsia="黑体" w:cs="宋体"/>
      <w:b w:val="0"/>
      <w:bCs w:val="0"/>
      <w:color w:val="000000"/>
      <w:szCs w:val="20"/>
    </w:rPr>
  </w:style>
  <w:style w:type="paragraph" w:customStyle="1" w:styleId="745">
    <w:name w:val="正文11"/>
    <w:basedOn w:val="1"/>
    <w:uiPriority w:val="0"/>
    <w:pPr>
      <w:widowControl/>
      <w:spacing w:before="595" w:line="351" w:lineRule="atLeast"/>
      <w:jc w:val="center"/>
      <w:textAlignment w:val="baseline"/>
    </w:pPr>
    <w:rPr>
      <w:rFonts w:ascii="宋体" w:hAnsi="Times New Roman" w:eastAsia="黑体"/>
      <w:color w:val="000000"/>
      <w:spacing w:val="17"/>
      <w:kern w:val="0"/>
      <w:sz w:val="44"/>
      <w:szCs w:val="20"/>
      <w:u w:color="000000"/>
    </w:rPr>
  </w:style>
  <w:style w:type="paragraph" w:customStyle="1" w:styleId="746">
    <w:name w:val="标题3"/>
    <w:basedOn w:val="281"/>
    <w:qFormat/>
    <w:uiPriority w:val="0"/>
    <w:pPr>
      <w:widowControl/>
      <w:tabs>
        <w:tab w:val="left" w:pos="720"/>
        <w:tab w:val="left" w:pos="1260"/>
      </w:tabs>
      <w:spacing w:before="120" w:beforeLines="0" w:after="120" w:afterLines="0" w:line="460" w:lineRule="exact"/>
      <w:ind w:left="1260" w:hanging="420"/>
      <w:outlineLvl w:val="2"/>
    </w:pPr>
    <w:rPr>
      <w:rFonts w:ascii="宋体" w:hAnsi="宋体"/>
      <w:spacing w:val="22"/>
      <w:kern w:val="0"/>
      <w:sz w:val="28"/>
      <w:szCs w:val="20"/>
    </w:rPr>
  </w:style>
  <w:style w:type="paragraph" w:customStyle="1" w:styleId="74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color w:val="0000FF"/>
      <w:kern w:val="0"/>
      <w:sz w:val="20"/>
      <w:szCs w:val="20"/>
    </w:rPr>
  </w:style>
  <w:style w:type="paragraph" w:customStyle="1" w:styleId="748">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49">
    <w:name w:val="样式22"/>
    <w:basedOn w:val="336"/>
    <w:uiPriority w:val="0"/>
  </w:style>
  <w:style w:type="paragraph" w:customStyle="1" w:styleId="750">
    <w:name w:val="样式19"/>
    <w:basedOn w:val="2"/>
    <w:qFormat/>
    <w:uiPriority w:val="0"/>
    <w:pPr>
      <w:spacing w:before="240" w:beforeLines="100" w:after="240" w:afterLines="100" w:line="240" w:lineRule="auto"/>
      <w:jc w:val="left"/>
    </w:pPr>
    <w:rPr>
      <w:rFonts w:ascii="Times New Roman" w:hAnsi="Times New Roman" w:eastAsia="宋体"/>
      <w:kern w:val="32"/>
      <w:sz w:val="36"/>
      <w:szCs w:val="36"/>
    </w:rPr>
  </w:style>
  <w:style w:type="paragraph" w:customStyle="1" w:styleId="751">
    <w:name w:val="标题 612"/>
    <w:basedOn w:val="1"/>
    <w:uiPriority w:val="0"/>
    <w:pPr>
      <w:widowControl/>
      <w:spacing w:before="62" w:line="351" w:lineRule="atLeast"/>
      <w:ind w:firstLine="419"/>
      <w:jc w:val="left"/>
      <w:textAlignment w:val="baseline"/>
    </w:pPr>
    <w:rPr>
      <w:rFonts w:ascii="Stylus BT" w:hAnsi="Times New Roman" w:eastAsia="黑体"/>
      <w:b/>
      <w:color w:val="000000"/>
      <w:kern w:val="0"/>
      <w:sz w:val="24"/>
      <w:szCs w:val="20"/>
      <w:u w:color="000000"/>
    </w:rPr>
  </w:style>
  <w:style w:type="paragraph" w:customStyle="1" w:styleId="752">
    <w:name w:val="正文(a)123"/>
    <w:basedOn w:val="1"/>
    <w:uiPriority w:val="0"/>
    <w:pPr>
      <w:widowControl/>
      <w:spacing w:line="351" w:lineRule="atLeast"/>
      <w:ind w:firstLine="674"/>
      <w:jc w:val="left"/>
      <w:textAlignment w:val="baseline"/>
    </w:pPr>
    <w:rPr>
      <w:rFonts w:ascii="Times New Roman" w:hAnsi="Times New Roman"/>
      <w:color w:val="000000"/>
      <w:spacing w:val="11"/>
      <w:kern w:val="0"/>
      <w:sz w:val="28"/>
      <w:szCs w:val="20"/>
      <w:u w:color="000000"/>
    </w:rPr>
  </w:style>
  <w:style w:type="paragraph" w:customStyle="1" w:styleId="75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4">
    <w:name w:val="标题 51"/>
    <w:basedOn w:val="1"/>
    <w:qFormat/>
    <w:uiPriority w:val="0"/>
    <w:pPr>
      <w:widowControl/>
      <w:spacing w:before="289" w:line="351" w:lineRule="atLeast"/>
      <w:ind w:firstLine="419"/>
      <w:jc w:val="left"/>
      <w:textAlignment w:val="baseline"/>
    </w:pPr>
    <w:rPr>
      <w:rFonts w:ascii="Times New Roman" w:hAnsi="Times New Roman"/>
      <w:b/>
      <w:color w:val="000000"/>
      <w:spacing w:val="11"/>
      <w:kern w:val="0"/>
      <w:sz w:val="28"/>
      <w:szCs w:val="20"/>
      <w:u w:color="000000"/>
    </w:rPr>
  </w:style>
  <w:style w:type="paragraph" w:customStyle="1" w:styleId="755">
    <w:name w:val="段落"/>
    <w:basedOn w:val="1"/>
    <w:qFormat/>
    <w:uiPriority w:val="0"/>
    <w:pPr>
      <w:widowControl/>
      <w:spacing w:line="580" w:lineRule="exact"/>
      <w:ind w:firstLine="200" w:firstLineChars="200"/>
      <w:textAlignment w:val="baseline"/>
    </w:pPr>
    <w:rPr>
      <w:rFonts w:ascii="Times New Roman" w:hAnsi="Times New Roman"/>
      <w:color w:val="000000"/>
      <w:spacing w:val="6"/>
      <w:kern w:val="0"/>
      <w:sz w:val="28"/>
      <w:szCs w:val="20"/>
      <w:u w:color="000000"/>
    </w:rPr>
  </w:style>
  <w:style w:type="paragraph" w:customStyle="1" w:styleId="75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FF"/>
      <w:kern w:val="0"/>
      <w:sz w:val="20"/>
      <w:szCs w:val="20"/>
    </w:rPr>
  </w:style>
  <w:style w:type="paragraph" w:customStyle="1" w:styleId="75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58">
    <w:name w:val="font11"/>
    <w:basedOn w:val="1"/>
    <w:qFormat/>
    <w:uiPriority w:val="0"/>
    <w:pPr>
      <w:widowControl/>
      <w:spacing w:before="100" w:beforeAutospacing="1" w:after="100" w:afterAutospacing="1"/>
      <w:jc w:val="left"/>
    </w:pPr>
    <w:rPr>
      <w:rFonts w:ascii="Times New Roman" w:hAnsi="Times New Roman"/>
      <w:color w:val="0000FF"/>
      <w:kern w:val="0"/>
      <w:sz w:val="20"/>
      <w:szCs w:val="20"/>
    </w:rPr>
  </w:style>
  <w:style w:type="paragraph" w:customStyle="1" w:styleId="759">
    <w:name w:val="大标题"/>
    <w:basedOn w:val="1"/>
    <w:qFormat/>
    <w:uiPriority w:val="0"/>
    <w:pPr>
      <w:widowControl/>
      <w:spacing w:line="572" w:lineRule="atLeast"/>
      <w:jc w:val="center"/>
      <w:textAlignment w:val="baseline"/>
    </w:pPr>
    <w:rPr>
      <w:rFonts w:ascii="Times New Roman" w:hAnsi="Times New Roman" w:eastAsia="方正小标宋简体"/>
      <w:color w:val="000000"/>
      <w:kern w:val="0"/>
      <w:sz w:val="36"/>
      <w:szCs w:val="20"/>
      <w:u w:color="000000"/>
    </w:rPr>
  </w:style>
  <w:style w:type="paragraph" w:customStyle="1" w:styleId="760">
    <w:name w:val="样式44"/>
    <w:basedOn w:val="345"/>
    <w:qFormat/>
    <w:uiPriority w:val="0"/>
    <w:pPr>
      <w:spacing w:before="312" w:beforeLines="100" w:after="312" w:afterLines="100"/>
    </w:pPr>
    <w:rPr>
      <w:rFonts w:eastAsia="宋体"/>
    </w:rPr>
  </w:style>
  <w:style w:type="paragraph" w:customStyle="1" w:styleId="761">
    <w:name w:val="标题 21"/>
    <w:basedOn w:val="1"/>
    <w:qFormat/>
    <w:uiPriority w:val="0"/>
    <w:pPr>
      <w:widowControl/>
      <w:spacing w:before="56" w:line="351" w:lineRule="atLeast"/>
      <w:ind w:firstLine="674"/>
      <w:jc w:val="left"/>
      <w:textAlignment w:val="baseline"/>
    </w:pPr>
    <w:rPr>
      <w:rFonts w:ascii="Times New Roman" w:hAnsi="Times New Roman" w:eastAsia="楷体_GB2312"/>
      <w:color w:val="000000"/>
      <w:spacing w:val="5"/>
      <w:kern w:val="0"/>
      <w:sz w:val="36"/>
      <w:szCs w:val="20"/>
      <w:u w:color="000000"/>
    </w:rPr>
  </w:style>
  <w:style w:type="paragraph" w:customStyle="1" w:styleId="762">
    <w:name w:val="标题 8123"/>
    <w:basedOn w:val="1"/>
    <w:uiPriority w:val="0"/>
    <w:pPr>
      <w:widowControl/>
      <w:spacing w:before="62" w:line="351" w:lineRule="atLeast"/>
      <w:ind w:firstLine="623"/>
      <w:jc w:val="left"/>
      <w:textAlignment w:val="baseline"/>
    </w:pPr>
    <w:rPr>
      <w:rFonts w:ascii="Arial" w:hAnsi="Times New Roman" w:eastAsia="黑体"/>
      <w:color w:val="000000"/>
      <w:spacing w:val="5"/>
      <w:kern w:val="0"/>
      <w:sz w:val="24"/>
      <w:szCs w:val="20"/>
      <w:u w:color="000000"/>
    </w:rPr>
  </w:style>
  <w:style w:type="paragraph" w:customStyle="1" w:styleId="763">
    <w:name w:val="2"/>
    <w:basedOn w:val="1"/>
    <w:next w:val="45"/>
    <w:qFormat/>
    <w:uiPriority w:val="0"/>
    <w:rPr>
      <w:rFonts w:ascii="宋体" w:hAnsi="Courier New"/>
      <w:szCs w:val="20"/>
    </w:rPr>
  </w:style>
  <w:style w:type="paragraph" w:customStyle="1" w:styleId="764">
    <w:name w:val="表内2"/>
    <w:basedOn w:val="1"/>
    <w:uiPriority w:val="0"/>
    <w:pPr>
      <w:jc w:val="left"/>
    </w:pPr>
    <w:rPr>
      <w:rFonts w:ascii="宋体" w:hAnsi="宋体"/>
      <w:spacing w:val="-20"/>
      <w:szCs w:val="21"/>
    </w:rPr>
  </w:style>
  <w:style w:type="paragraph" w:customStyle="1" w:styleId="76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kern w:val="0"/>
      <w:sz w:val="20"/>
      <w:szCs w:val="20"/>
    </w:rPr>
  </w:style>
  <w:style w:type="paragraph" w:customStyle="1" w:styleId="766">
    <w:name w:val="目录 1123456"/>
    <w:basedOn w:val="1"/>
    <w:uiPriority w:val="0"/>
    <w:pPr>
      <w:widowControl/>
      <w:spacing w:before="153" w:line="351" w:lineRule="atLeast"/>
      <w:ind w:firstLine="419"/>
      <w:jc w:val="center"/>
      <w:textAlignment w:val="baseline"/>
    </w:pPr>
    <w:rPr>
      <w:rFonts w:ascii="黑体" w:hAnsi="Times New Roman" w:eastAsia="黑体"/>
      <w:color w:val="000000"/>
      <w:kern w:val="0"/>
      <w:sz w:val="24"/>
      <w:szCs w:val="20"/>
      <w:u w:color="000000"/>
    </w:rPr>
  </w:style>
  <w:style w:type="paragraph" w:customStyle="1" w:styleId="767">
    <w:name w:val="font21"/>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68">
    <w:name w:val="表文[BW]"/>
    <w:basedOn w:val="414"/>
    <w:next w:val="1"/>
    <w:qFormat/>
    <w:uiPriority w:val="0"/>
    <w:pPr>
      <w:spacing w:before="60" w:after="60"/>
    </w:pPr>
    <w:rPr>
      <w:rFonts w:ascii="宋体" w:hAnsi="宋体"/>
      <w:sz w:val="16"/>
    </w:rPr>
  </w:style>
  <w:style w:type="paragraph" w:customStyle="1" w:styleId="769">
    <w:name w:val="目录3"/>
    <w:basedOn w:val="1"/>
    <w:next w:val="1"/>
    <w:qFormat/>
    <w:uiPriority w:val="0"/>
    <w:pPr>
      <w:widowControl/>
      <w:tabs>
        <w:tab w:val="left" w:leader="dot" w:pos="8503"/>
      </w:tabs>
      <w:adjustRightInd w:val="0"/>
      <w:snapToGrid w:val="0"/>
      <w:spacing w:line="317" w:lineRule="atLeast"/>
      <w:ind w:left="419" w:firstLine="419" w:firstLineChars="200"/>
      <w:textAlignment w:val="baseline"/>
    </w:pPr>
    <w:rPr>
      <w:rFonts w:ascii="Times New Roman" w:hAnsi="Times New Roman"/>
      <w:snapToGrid w:val="0"/>
      <w:color w:val="000000"/>
      <w:kern w:val="0"/>
      <w:sz w:val="24"/>
      <w:szCs w:val="20"/>
      <w:u w:color="000000"/>
    </w:rPr>
  </w:style>
  <w:style w:type="paragraph" w:customStyle="1" w:styleId="770">
    <w:name w:val="样式52"/>
    <w:basedOn w:val="390"/>
    <w:qFormat/>
    <w:uiPriority w:val="0"/>
    <w:pPr>
      <w:spacing w:before="240" w:beforeLines="100" w:after="240" w:afterLines="100"/>
    </w:pPr>
    <w:rPr>
      <w:rFonts w:ascii="Times New Roman" w:eastAsia="宋体"/>
    </w:rPr>
  </w:style>
  <w:style w:type="paragraph" w:customStyle="1" w:styleId="77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2">
    <w:name w:val="目录 51"/>
    <w:basedOn w:val="1"/>
    <w:uiPriority w:val="0"/>
    <w:pPr>
      <w:widowControl/>
      <w:spacing w:line="351" w:lineRule="atLeast"/>
      <w:jc w:val="left"/>
      <w:textAlignment w:val="baseline"/>
    </w:pPr>
    <w:rPr>
      <w:rFonts w:ascii="Times New Roman" w:hAnsi="Times New Roman"/>
      <w:b/>
      <w:color w:val="000000"/>
      <w:spacing w:val="5"/>
      <w:kern w:val="0"/>
      <w:sz w:val="22"/>
      <w:szCs w:val="20"/>
      <w:u w:color="000000"/>
    </w:rPr>
  </w:style>
  <w:style w:type="paragraph" w:customStyle="1" w:styleId="773">
    <w:name w:val="样式 样式 样式 样式 正文编号（1） +1 Char Char Char Char Char + 行距: 固定值 22 磅 +..."/>
    <w:basedOn w:val="1"/>
    <w:qFormat/>
    <w:uiPriority w:val="0"/>
    <w:pPr>
      <w:widowControl/>
      <w:tabs>
        <w:tab w:val="left" w:pos="420"/>
        <w:tab w:val="left" w:pos="1050"/>
      </w:tabs>
      <w:adjustRightInd w:val="0"/>
      <w:spacing w:line="800" w:lineRule="exact"/>
      <w:ind w:left="1050" w:hanging="1050"/>
      <w:jc w:val="left"/>
    </w:pPr>
    <w:rPr>
      <w:rFonts w:ascii="Times New Roman" w:hAnsi="Times New Roman" w:eastAsia="黑体"/>
      <w:b/>
      <w:color w:val="FF0000"/>
      <w:kern w:val="0"/>
      <w:sz w:val="48"/>
      <w:szCs w:val="20"/>
    </w:rPr>
  </w:style>
  <w:style w:type="paragraph" w:customStyle="1" w:styleId="7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75">
    <w:name w:val="样式 标题 4 + 行距: 固定值 22 磅"/>
    <w:basedOn w:val="6"/>
    <w:qFormat/>
    <w:uiPriority w:val="0"/>
    <w:pPr>
      <w:widowControl/>
      <w:tabs>
        <w:tab w:val="left" w:pos="1134"/>
      </w:tabs>
      <w:adjustRightInd w:val="0"/>
      <w:spacing w:before="100" w:beforeAutospacing="1" w:after="100" w:afterAutospacing="1" w:line="600" w:lineRule="exact"/>
      <w:jc w:val="left"/>
    </w:pPr>
    <w:rPr>
      <w:rFonts w:ascii="Times New Roman" w:hAnsi="Times New Roman" w:eastAsia="楷体_GB2312"/>
      <w:bCs w:val="0"/>
      <w:color w:val="0000FF"/>
      <w:sz w:val="48"/>
      <w:szCs w:val="20"/>
    </w:rPr>
  </w:style>
  <w:style w:type="paragraph" w:customStyle="1" w:styleId="776">
    <w:name w:val="纯文本1"/>
    <w:basedOn w:val="1"/>
    <w:uiPriority w:val="0"/>
    <w:pPr>
      <w:adjustRightInd w:val="0"/>
      <w:spacing w:line="520" w:lineRule="atLeast"/>
      <w:ind w:firstLine="200"/>
      <w:textAlignment w:val="baseline"/>
    </w:pPr>
    <w:rPr>
      <w:rFonts w:ascii="宋体" w:hAnsi="Courier New"/>
      <w:szCs w:val="20"/>
    </w:rPr>
  </w:style>
  <w:style w:type="paragraph" w:customStyle="1" w:styleId="777">
    <w:name w:val="表内文1"/>
    <w:basedOn w:val="1"/>
    <w:qFormat/>
    <w:uiPriority w:val="0"/>
    <w:pPr>
      <w:autoSpaceDE w:val="0"/>
      <w:autoSpaceDN w:val="0"/>
      <w:adjustRightInd w:val="0"/>
      <w:ind w:firstLine="2400" w:firstLineChars="1000"/>
      <w:jc w:val="center"/>
      <w:textAlignment w:val="bottom"/>
    </w:pPr>
    <w:rPr>
      <w:rFonts w:ascii="Times New Roman" w:hAnsi="Times New Roman"/>
      <w:kern w:val="0"/>
      <w:sz w:val="24"/>
      <w:szCs w:val="20"/>
    </w:rPr>
  </w:style>
  <w:style w:type="paragraph" w:customStyle="1" w:styleId="778">
    <w:name w:val="正文文字缩进"/>
    <w:basedOn w:val="1"/>
    <w:qFormat/>
    <w:uiPriority w:val="0"/>
    <w:pPr>
      <w:widowControl/>
      <w:spacing w:line="351" w:lineRule="atLeast"/>
      <w:ind w:firstLine="561" w:firstLineChars="200"/>
      <w:textAlignment w:val="baseline"/>
    </w:pPr>
    <w:rPr>
      <w:rFonts w:ascii="Times New Roman" w:hAnsi="Times New Roman"/>
      <w:color w:val="FF0000"/>
      <w:szCs w:val="20"/>
    </w:rPr>
  </w:style>
  <w:style w:type="paragraph" w:customStyle="1" w:styleId="779">
    <w:name w:val="样式 宋体 小四 行距: 固定值 23 磅"/>
    <w:basedOn w:val="1"/>
    <w:uiPriority w:val="0"/>
    <w:pPr>
      <w:widowControl/>
      <w:spacing w:line="460" w:lineRule="exact"/>
      <w:jc w:val="left"/>
    </w:pPr>
    <w:rPr>
      <w:rFonts w:ascii="宋体" w:hAnsi="宋体"/>
      <w:kern w:val="0"/>
      <w:sz w:val="24"/>
      <w:szCs w:val="20"/>
    </w:rPr>
  </w:style>
  <w:style w:type="paragraph" w:styleId="780">
    <w:name w:val="List Paragraph"/>
    <w:basedOn w:val="1"/>
    <w:qFormat/>
    <w:uiPriority w:val="0"/>
    <w:pPr>
      <w:ind w:firstLine="420" w:firstLineChars="200"/>
    </w:pPr>
    <w:rPr>
      <w:szCs w:val="22"/>
    </w:rPr>
  </w:style>
  <w:style w:type="paragraph" w:customStyle="1" w:styleId="781">
    <w:name w:val="样式 标题 2标题 2 CharH2PIM2Heading 2 Hidden2nd levelh22Header..."/>
    <w:basedOn w:val="2"/>
    <w:qFormat/>
    <w:uiPriority w:val="0"/>
    <w:pPr>
      <w:adjustRightInd w:val="0"/>
      <w:spacing w:before="0" w:after="0" w:line="360" w:lineRule="auto"/>
      <w:textAlignment w:val="baseline"/>
    </w:pPr>
    <w:rPr>
      <w:rFonts w:ascii="Times New Roman" w:hAnsi="Times New Roman" w:eastAsia="宋体" w:cs="宋体"/>
      <w:sz w:val="24"/>
      <w:szCs w:val="20"/>
    </w:rPr>
  </w:style>
  <w:style w:type="paragraph" w:customStyle="1" w:styleId="78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2"/>
      <w:szCs w:val="22"/>
    </w:rPr>
  </w:style>
  <w:style w:type="paragraph" w:customStyle="1" w:styleId="783">
    <w:name w:val="标题 81234"/>
    <w:basedOn w:val="1"/>
    <w:qFormat/>
    <w:uiPriority w:val="0"/>
    <w:pPr>
      <w:widowControl/>
      <w:spacing w:before="62" w:line="351" w:lineRule="atLeast"/>
      <w:ind w:firstLine="623"/>
      <w:jc w:val="left"/>
      <w:textAlignment w:val="baseline"/>
    </w:pPr>
    <w:rPr>
      <w:rFonts w:ascii="Arial" w:hAnsi="Times New Roman" w:eastAsia="黑体"/>
      <w:color w:val="000000"/>
      <w:spacing w:val="5"/>
      <w:kern w:val="0"/>
      <w:sz w:val="24"/>
      <w:szCs w:val="20"/>
      <w:u w:color="000000"/>
    </w:rPr>
  </w:style>
  <w:style w:type="paragraph" w:customStyle="1" w:styleId="784">
    <w:name w:val="表格（一）"/>
    <w:basedOn w:val="1"/>
    <w:qFormat/>
    <w:uiPriority w:val="0"/>
    <w:pPr>
      <w:wordWrap w:val="0"/>
      <w:overflowPunct w:val="0"/>
      <w:autoSpaceDE w:val="0"/>
      <w:autoSpaceDN w:val="0"/>
      <w:adjustRightInd w:val="0"/>
      <w:snapToGrid w:val="0"/>
      <w:spacing w:before="15" w:after="15"/>
      <w:jc w:val="left"/>
    </w:pPr>
    <w:rPr>
      <w:rFonts w:ascii="Times New Roman" w:hAnsi="Times New Roman"/>
      <w:snapToGrid w:val="0"/>
      <w:kern w:val="0"/>
      <w:szCs w:val="20"/>
    </w:rPr>
  </w:style>
  <w:style w:type="paragraph" w:customStyle="1" w:styleId="785">
    <w:name w:val="样式1"/>
    <w:basedOn w:val="6"/>
    <w:uiPriority w:val="0"/>
    <w:pPr>
      <w:spacing w:before="240" w:beforeLines="100" w:after="240" w:afterLines="100" w:line="240" w:lineRule="auto"/>
      <w:jc w:val="left"/>
    </w:pPr>
    <w:rPr>
      <w:rFonts w:ascii="Times New Roman" w:hAnsi="Times New Roman"/>
      <w:b w:val="0"/>
      <w:kern w:val="28"/>
      <w:sz w:val="24"/>
      <w:szCs w:val="24"/>
    </w:rPr>
  </w:style>
  <w:style w:type="paragraph" w:customStyle="1" w:styleId="786">
    <w:name w:val="标题 912345"/>
    <w:basedOn w:val="1"/>
    <w:qFormat/>
    <w:uiPriority w:val="0"/>
    <w:pPr>
      <w:widowControl/>
      <w:spacing w:before="62" w:line="351" w:lineRule="atLeast"/>
      <w:ind w:firstLine="419"/>
      <w:jc w:val="left"/>
      <w:textAlignment w:val="baseline"/>
    </w:pPr>
    <w:rPr>
      <w:rFonts w:ascii="Stylus BT" w:hAnsi="Times New Roman" w:eastAsia="黑体"/>
      <w:color w:val="000000"/>
      <w:spacing w:val="11"/>
      <w:kern w:val="0"/>
      <w:sz w:val="24"/>
      <w:szCs w:val="20"/>
      <w:u w:color="000000"/>
    </w:rPr>
  </w:style>
  <w:style w:type="paragraph" w:customStyle="1" w:styleId="787">
    <w:name w:val="样式 正文编号（1） + Char"/>
    <w:basedOn w:val="1"/>
    <w:uiPriority w:val="0"/>
    <w:pPr>
      <w:widowControl/>
      <w:tabs>
        <w:tab w:val="left" w:pos="360"/>
        <w:tab w:val="left" w:pos="572"/>
        <w:tab w:val="left" w:pos="840"/>
      </w:tabs>
      <w:adjustRightInd w:val="0"/>
      <w:snapToGrid w:val="0"/>
      <w:spacing w:line="520" w:lineRule="exact"/>
      <w:ind w:left="840" w:hanging="840" w:firstLineChars="200"/>
      <w:textAlignment w:val="baseline"/>
    </w:pPr>
    <w:rPr>
      <w:rFonts w:ascii="Times New Roman" w:hAnsi="Times New Roman"/>
      <w:color w:val="000000"/>
      <w:szCs w:val="20"/>
      <w:u w:color="000000"/>
    </w:rPr>
  </w:style>
  <w:style w:type="paragraph" w:customStyle="1" w:styleId="788">
    <w:name w:val="正文（首行缩进两字）"/>
    <w:basedOn w:val="1"/>
    <w:uiPriority w:val="0"/>
    <w:pPr>
      <w:widowControl/>
      <w:spacing w:line="351" w:lineRule="atLeast"/>
      <w:ind w:firstLine="419" w:firstLineChars="200"/>
      <w:textAlignment w:val="baseline"/>
    </w:pPr>
    <w:rPr>
      <w:rFonts w:ascii="Times New Roman" w:hAnsi="Times New Roman"/>
      <w:color w:val="000000"/>
      <w:kern w:val="0"/>
      <w:szCs w:val="20"/>
      <w:u w:color="000000"/>
    </w:rPr>
  </w:style>
  <w:style w:type="paragraph" w:customStyle="1" w:styleId="789">
    <w:name w:val="xl46"/>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2"/>
      <w:szCs w:val="22"/>
    </w:rPr>
  </w:style>
  <w:style w:type="paragraph" w:customStyle="1" w:styleId="790">
    <w:name w:val="xl5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table" w:customStyle="1" w:styleId="791">
    <w:name w:val="网格型1"/>
    <w:basedOn w:val="88"/>
    <w:qFormat/>
    <w:uiPriority w:val="0"/>
    <w:pPr>
      <w:widowControl w:val="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E7918-70E0-4D2C-9F2A-C4D8938D51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125</Pages>
  <Words>13145</Words>
  <Characters>74931</Characters>
  <Lines>624</Lines>
  <Paragraphs>175</Paragraphs>
  <TotalTime>20</TotalTime>
  <ScaleCrop>false</ScaleCrop>
  <LinksUpToDate>false</LinksUpToDate>
  <CharactersWithSpaces>87901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2021-02-20T02:11:00Z</dcterms:created>
  <dc:creator>lenovo</dc:creator>
  <cp:lastModifiedBy>谭杨杰</cp:lastModifiedBy>
  <cp:lastPrinted>2021-07-16T08:03:00Z</cp:lastPrinted>
  <dcterms:modified xsi:type="dcterms:W3CDTF">2021-10-28T07:26:54Z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5273BD9157494731B6F7B445263AC7D7</vt:lpwstr>
  </property>
</Properties>
</file>