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highlight w:val="none"/>
        </w:rPr>
      </w:pPr>
    </w:p>
    <w:p>
      <w:pPr>
        <w:spacing w:line="400" w:lineRule="exact"/>
        <w:jc w:val="center"/>
        <w:rPr>
          <w:rFonts w:ascii="宋体" w:hAnsi="宋体" w:cs="宋体"/>
          <w:b/>
          <w:sz w:val="32"/>
          <w:szCs w:val="32"/>
          <w:highlight w:val="none"/>
        </w:rPr>
      </w:pPr>
      <w:r>
        <w:rPr>
          <w:rFonts w:hint="eastAsia" w:ascii="宋体" w:hAnsi="宋体" w:cs="宋体"/>
          <w:b/>
          <w:sz w:val="32"/>
          <w:szCs w:val="32"/>
          <w:highlight w:val="none"/>
        </w:rPr>
        <w:t>项目名称：</w:t>
      </w:r>
      <w:r>
        <w:rPr>
          <w:rFonts w:hint="eastAsia" w:ascii="宋体" w:hAnsi="宋体" w:cs="宋体"/>
          <w:b/>
          <w:sz w:val="32"/>
          <w:szCs w:val="32"/>
          <w:highlight w:val="none"/>
          <w:lang w:eastAsia="zh-CN"/>
        </w:rPr>
        <w:t>首讯公司安全标准化达标认证咨询服务</w:t>
      </w:r>
    </w:p>
    <w:p>
      <w:pPr>
        <w:rPr>
          <w:rFonts w:ascii="宋体" w:hAnsi="宋体" w:cs="宋体"/>
          <w:sz w:val="28"/>
          <w:szCs w:val="2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竞</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争</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性</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比</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选</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文</w:t>
      </w:r>
    </w:p>
    <w:p>
      <w:pPr>
        <w:jc w:val="center"/>
        <w:rPr>
          <w:rFonts w:ascii="宋体" w:hAnsi="宋体" w:cs="宋体"/>
          <w:b/>
          <w:sz w:val="48"/>
          <w:szCs w:val="48"/>
          <w:highlight w:val="none"/>
        </w:rPr>
      </w:pPr>
    </w:p>
    <w:p>
      <w:pPr>
        <w:jc w:val="center"/>
        <w:rPr>
          <w:rFonts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rPr>
          <w:highlight w:val="none"/>
        </w:rPr>
      </w:pPr>
    </w:p>
    <w:p>
      <w:pPr>
        <w:rPr>
          <w:highlight w:val="none"/>
        </w:rPr>
      </w:pPr>
    </w:p>
    <w:p>
      <w:pPr>
        <w:jc w:val="center"/>
        <w:rPr>
          <w:rFonts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2021</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7 </w:t>
      </w:r>
      <w:r>
        <w:rPr>
          <w:rFonts w:hint="eastAsia" w:ascii="宋体" w:hAnsi="宋体" w:cs="宋体"/>
          <w:b/>
          <w:sz w:val="28"/>
          <w:szCs w:val="28"/>
          <w:highlight w:val="none"/>
        </w:rPr>
        <w:t>月</w:t>
      </w:r>
    </w:p>
    <w:p>
      <w:pPr>
        <w:pStyle w:val="2"/>
        <w:jc w:val="center"/>
        <w:rPr>
          <w:rFonts w:ascii="宋体" w:hAnsi="宋体" w:cs="宋体"/>
          <w:szCs w:val="21"/>
          <w:highlight w:val="none"/>
        </w:rPr>
      </w:pPr>
      <w:r>
        <w:rPr>
          <w:highlight w:val="none"/>
        </w:rPr>
        <w:br w:type="page"/>
      </w:r>
      <w:bookmarkStart w:id="0" w:name="_Toc247085669"/>
      <w:bookmarkStart w:id="1" w:name="_Toc507428442"/>
      <w:bookmarkStart w:id="2" w:name="_Toc246996898"/>
      <w:bookmarkStart w:id="3" w:name="_Toc296602400"/>
      <w:bookmarkStart w:id="4" w:name="_Toc507319889"/>
      <w:r>
        <w:rPr>
          <w:rFonts w:hint="eastAsia" w:ascii="宋体" w:hAnsi="宋体" w:cs="宋体"/>
          <w:b w:val="0"/>
          <w:sz w:val="32"/>
          <w:highlight w:val="none"/>
        </w:rPr>
        <w:t>目   录</w:t>
      </w:r>
      <w:bookmarkEnd w:id="0"/>
      <w:bookmarkEnd w:id="1"/>
      <w:bookmarkEnd w:id="2"/>
      <w:bookmarkEnd w:id="3"/>
      <w:bookmarkEnd w:id="4"/>
    </w:p>
    <w:p>
      <w:pPr>
        <w:pStyle w:val="2"/>
        <w:tabs>
          <w:tab w:val="right" w:leader="dot" w:pos="9638"/>
        </w:tabs>
        <w:rPr>
          <w:highlight w:val="none"/>
        </w:rPr>
      </w:pPr>
      <w:r>
        <w:rPr>
          <w:rFonts w:hint="eastAsia" w:ascii="宋体" w:hAnsi="宋体" w:eastAsia="宋体" w:cs="宋体"/>
          <w:b/>
          <w:bCs/>
          <w:caps/>
          <w:highlight w:val="none"/>
          <w:lang w:eastAsia="zh-CN"/>
        </w:rPr>
        <w:fldChar w:fldCharType="begin"/>
      </w:r>
      <w:r>
        <w:rPr>
          <w:rFonts w:hint="eastAsia" w:ascii="宋体" w:hAnsi="宋体" w:eastAsia="宋体" w:cs="宋体"/>
          <w:b/>
          <w:bCs/>
          <w:caps/>
          <w:highlight w:val="none"/>
          <w:lang w:eastAsia="zh-CN"/>
        </w:rPr>
        <w:instrText xml:space="preserve"> TOC \o "1-2" \h \z \u </w:instrText>
      </w:r>
      <w:r>
        <w:rPr>
          <w:rFonts w:hint="eastAsia" w:ascii="宋体" w:hAnsi="宋体" w:eastAsia="宋体" w:cs="宋体"/>
          <w:b/>
          <w:bCs/>
          <w:caps/>
          <w:highlight w:val="none"/>
          <w:lang w:eastAsia="zh-CN"/>
        </w:rPr>
        <w:fldChar w:fldCharType="separate"/>
      </w: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_Toc2331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第一章 比选公告</w:t>
      </w:r>
      <w:r>
        <w:rPr>
          <w:highlight w:val="none"/>
        </w:rPr>
        <w:tab/>
      </w:r>
      <w:r>
        <w:rPr>
          <w:highlight w:val="none"/>
        </w:rPr>
        <w:fldChar w:fldCharType="begin"/>
      </w:r>
      <w:r>
        <w:rPr>
          <w:highlight w:val="none"/>
        </w:rPr>
        <w:instrText xml:space="preserve"> PAGEREF _Toc2331 \h </w:instrText>
      </w:r>
      <w:r>
        <w:rPr>
          <w:highlight w:val="none"/>
        </w:rPr>
        <w:fldChar w:fldCharType="separate"/>
      </w:r>
      <w:r>
        <w:rPr>
          <w:highlight w:val="none"/>
        </w:rPr>
        <w:t>1</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_Toc14597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第二章 报价人须知</w:t>
      </w:r>
      <w:r>
        <w:rPr>
          <w:highlight w:val="none"/>
        </w:rPr>
        <w:tab/>
      </w:r>
      <w:r>
        <w:rPr>
          <w:highlight w:val="none"/>
        </w:rPr>
        <w:fldChar w:fldCharType="begin"/>
      </w:r>
      <w:r>
        <w:rPr>
          <w:highlight w:val="none"/>
        </w:rPr>
        <w:instrText xml:space="preserve"> PAGEREF _Toc14597 \h </w:instrText>
      </w:r>
      <w:r>
        <w:rPr>
          <w:highlight w:val="none"/>
        </w:rPr>
        <w:fldChar w:fldCharType="separate"/>
      </w:r>
      <w:r>
        <w:rPr>
          <w:highlight w:val="none"/>
        </w:rPr>
        <w:t>3</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_Toc20774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第三章 评标办法（经评审的最低投标价法）</w:t>
      </w:r>
      <w:r>
        <w:rPr>
          <w:highlight w:val="none"/>
        </w:rPr>
        <w:tab/>
      </w:r>
      <w:r>
        <w:rPr>
          <w:highlight w:val="none"/>
        </w:rPr>
        <w:fldChar w:fldCharType="begin"/>
      </w:r>
      <w:r>
        <w:rPr>
          <w:highlight w:val="none"/>
        </w:rPr>
        <w:instrText xml:space="preserve"> PAGEREF _Toc20774 \h </w:instrText>
      </w:r>
      <w:r>
        <w:rPr>
          <w:highlight w:val="none"/>
        </w:rPr>
        <w:fldChar w:fldCharType="separate"/>
      </w:r>
      <w:r>
        <w:rPr>
          <w:highlight w:val="none"/>
        </w:rPr>
        <w:t>8</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_Toc9938 </w:instrText>
      </w:r>
      <w:r>
        <w:rPr>
          <w:rFonts w:hint="eastAsia" w:ascii="宋体" w:hAnsi="宋体" w:eastAsia="宋体" w:cs="宋体"/>
          <w:bCs/>
          <w:caps/>
          <w:highlight w:val="none"/>
          <w:lang w:eastAsia="zh-CN"/>
        </w:rPr>
        <w:fldChar w:fldCharType="separate"/>
      </w:r>
      <w:r>
        <w:rPr>
          <w:rFonts w:hint="eastAsia"/>
          <w:bCs/>
          <w:highlight w:val="none"/>
        </w:rPr>
        <w:t>第四章 报价说明</w:t>
      </w:r>
      <w:r>
        <w:rPr>
          <w:highlight w:val="none"/>
        </w:rPr>
        <w:tab/>
      </w:r>
      <w:r>
        <w:rPr>
          <w:highlight w:val="none"/>
        </w:rPr>
        <w:fldChar w:fldCharType="begin"/>
      </w:r>
      <w:r>
        <w:rPr>
          <w:highlight w:val="none"/>
        </w:rPr>
        <w:instrText xml:space="preserve"> PAGEREF _Toc9938 \h </w:instrText>
      </w:r>
      <w:r>
        <w:rPr>
          <w:highlight w:val="none"/>
        </w:rPr>
        <w:fldChar w:fldCharType="separate"/>
      </w:r>
      <w:r>
        <w:rPr>
          <w:highlight w:val="none"/>
        </w:rPr>
        <w:t>10</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_Toc8745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第五章  工程量清单</w:t>
      </w:r>
      <w:r>
        <w:rPr>
          <w:highlight w:val="none"/>
        </w:rPr>
        <w:tab/>
      </w:r>
      <w:r>
        <w:rPr>
          <w:highlight w:val="none"/>
        </w:rPr>
        <w:fldChar w:fldCharType="begin"/>
      </w:r>
      <w:r>
        <w:rPr>
          <w:highlight w:val="none"/>
        </w:rPr>
        <w:instrText xml:space="preserve"> PAGEREF _Toc8745 \h </w:instrText>
      </w:r>
      <w:r>
        <w:rPr>
          <w:highlight w:val="none"/>
        </w:rPr>
        <w:fldChar w:fldCharType="separate"/>
      </w:r>
      <w:r>
        <w:rPr>
          <w:highlight w:val="none"/>
        </w:rPr>
        <w:t>12</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_Toc3008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第六章  图  纸</w:t>
      </w:r>
      <w:r>
        <w:rPr>
          <w:highlight w:val="none"/>
        </w:rPr>
        <w:tab/>
      </w:r>
      <w:r>
        <w:rPr>
          <w:highlight w:val="none"/>
        </w:rPr>
        <w:fldChar w:fldCharType="begin"/>
      </w:r>
      <w:r>
        <w:rPr>
          <w:highlight w:val="none"/>
        </w:rPr>
        <w:instrText xml:space="preserve"> PAGEREF _Toc3008 \h </w:instrText>
      </w:r>
      <w:r>
        <w:rPr>
          <w:highlight w:val="none"/>
        </w:rPr>
        <w:fldChar w:fldCharType="separate"/>
      </w:r>
      <w:r>
        <w:rPr>
          <w:highlight w:val="none"/>
        </w:rPr>
        <w:t>13</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_Toc2585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第七章  技术标准和工作要求</w:t>
      </w:r>
      <w:r>
        <w:rPr>
          <w:highlight w:val="none"/>
        </w:rPr>
        <w:tab/>
      </w:r>
      <w:r>
        <w:rPr>
          <w:highlight w:val="none"/>
        </w:rPr>
        <w:fldChar w:fldCharType="begin"/>
      </w:r>
      <w:r>
        <w:rPr>
          <w:highlight w:val="none"/>
        </w:rPr>
        <w:instrText xml:space="preserve"> PAGEREF _Toc2585 \h </w:instrText>
      </w:r>
      <w:r>
        <w:rPr>
          <w:highlight w:val="none"/>
        </w:rPr>
        <w:fldChar w:fldCharType="separate"/>
      </w:r>
      <w:r>
        <w:rPr>
          <w:highlight w:val="none"/>
        </w:rPr>
        <w:t>14</w:t>
      </w:r>
      <w:r>
        <w:rPr>
          <w:highlight w:val="none"/>
        </w:rPr>
        <w:fldChar w:fldCharType="end"/>
      </w:r>
      <w:r>
        <w:rPr>
          <w:rFonts w:hint="eastAsia" w:ascii="宋体" w:hAnsi="宋体" w:eastAsia="宋体" w:cs="宋体"/>
          <w:bCs/>
          <w:caps/>
          <w:highlight w:val="none"/>
          <w:lang w:eastAsia="zh-CN"/>
        </w:rPr>
        <w:fldChar w:fldCharType="end"/>
      </w:r>
    </w:p>
    <w:p>
      <w:pPr>
        <w:pStyle w:val="2"/>
        <w:tabs>
          <w:tab w:val="right" w:leader="dot" w:pos="9638"/>
        </w:tabs>
        <w:rPr>
          <w:highlight w:val="none"/>
        </w:rPr>
      </w:pPr>
      <w:r>
        <w:rPr>
          <w:rFonts w:hint="eastAsia" w:ascii="宋体" w:hAnsi="宋体" w:eastAsia="宋体" w:cs="宋体"/>
          <w:bCs/>
          <w:caps/>
          <w:highlight w:val="none"/>
          <w:lang w:eastAsia="zh-CN"/>
        </w:rPr>
        <w:fldChar w:fldCharType="begin"/>
      </w:r>
      <w:r>
        <w:rPr>
          <w:rFonts w:hint="eastAsia" w:ascii="宋体" w:hAnsi="宋体" w:eastAsia="宋体" w:cs="宋体"/>
          <w:bCs/>
          <w:caps/>
          <w:highlight w:val="none"/>
          <w:lang w:eastAsia="zh-CN"/>
        </w:rPr>
        <w:instrText xml:space="preserve"> HYPERLINK \l _Toc1416 </w:instrText>
      </w:r>
      <w:r>
        <w:rPr>
          <w:rFonts w:hint="eastAsia" w:ascii="宋体" w:hAnsi="宋体" w:eastAsia="宋体" w:cs="宋体"/>
          <w:bCs/>
          <w:caps/>
          <w:highlight w:val="none"/>
          <w:lang w:eastAsia="zh-CN"/>
        </w:rPr>
        <w:fldChar w:fldCharType="separate"/>
      </w:r>
      <w:r>
        <w:rPr>
          <w:rFonts w:hint="eastAsia" w:ascii="宋体" w:hAnsi="宋体" w:cs="宋体"/>
          <w:highlight w:val="none"/>
        </w:rPr>
        <w:t>第九章  竞争性比选响应文件格式</w:t>
      </w:r>
      <w:r>
        <w:rPr>
          <w:highlight w:val="none"/>
        </w:rPr>
        <w:tab/>
      </w:r>
      <w:r>
        <w:rPr>
          <w:highlight w:val="none"/>
        </w:rPr>
        <w:fldChar w:fldCharType="begin"/>
      </w:r>
      <w:r>
        <w:rPr>
          <w:highlight w:val="none"/>
        </w:rPr>
        <w:instrText xml:space="preserve"> PAGEREF _Toc1416 \h </w:instrText>
      </w:r>
      <w:r>
        <w:rPr>
          <w:highlight w:val="none"/>
        </w:rPr>
        <w:fldChar w:fldCharType="separate"/>
      </w:r>
      <w:r>
        <w:rPr>
          <w:highlight w:val="none"/>
        </w:rPr>
        <w:t>16</w:t>
      </w:r>
      <w:r>
        <w:rPr>
          <w:highlight w:val="none"/>
        </w:rPr>
        <w:fldChar w:fldCharType="end"/>
      </w:r>
      <w:r>
        <w:rPr>
          <w:rFonts w:hint="eastAsia" w:ascii="宋体" w:hAnsi="宋体" w:eastAsia="宋体" w:cs="宋体"/>
          <w:bCs/>
          <w:caps/>
          <w:highlight w:val="none"/>
          <w:lang w:eastAsia="zh-CN"/>
        </w:rPr>
        <w:fldChar w:fldCharType="end"/>
      </w:r>
    </w:p>
    <w:p>
      <w:pPr>
        <w:pStyle w:val="34"/>
        <w:tabs>
          <w:tab w:val="right" w:leader="dot" w:pos="9628"/>
        </w:tabs>
        <w:rPr>
          <w:rFonts w:hint="eastAsia" w:ascii="宋体" w:hAnsi="宋体" w:eastAsia="宋体" w:cs="宋体"/>
          <w:b/>
          <w:bCs/>
          <w:caps/>
          <w:highlight w:val="none"/>
          <w:lang w:eastAsia="zh-CN"/>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eastAsia="宋体" w:cs="宋体"/>
          <w:bCs/>
          <w:caps/>
          <w:highlight w:val="none"/>
          <w:lang w:eastAsia="zh-CN"/>
        </w:rPr>
        <w:fldChar w:fldCharType="end"/>
      </w:r>
    </w:p>
    <w:p>
      <w:pPr>
        <w:pStyle w:val="3"/>
        <w:spacing w:before="0" w:after="0" w:line="360" w:lineRule="auto"/>
        <w:jc w:val="center"/>
        <w:rPr>
          <w:rFonts w:ascii="宋体" w:hAnsi="宋体" w:cs="宋体"/>
          <w:highlight w:val="none"/>
        </w:rPr>
      </w:pPr>
      <w:bookmarkStart w:id="5" w:name="_Toc144974479"/>
      <w:bookmarkStart w:id="6" w:name="_Toc179632527"/>
      <w:bookmarkStart w:id="7" w:name="_Toc247085671"/>
      <w:bookmarkStart w:id="8" w:name="_Toc152045511"/>
      <w:bookmarkStart w:id="9" w:name="_Toc247096243"/>
      <w:bookmarkStart w:id="10" w:name="_Toc2000404"/>
      <w:bookmarkStart w:id="11" w:name="_Toc152042287"/>
      <w:bookmarkStart w:id="12" w:name="_Toc246996900"/>
      <w:bookmarkStart w:id="13" w:name="_Toc507319890"/>
      <w:bookmarkStart w:id="14" w:name="_Toc246996157"/>
      <w:bookmarkStart w:id="15" w:name="_Toc2331"/>
      <w:bookmarkStart w:id="16" w:name="_Toc10533"/>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bookmarkEnd w:id="16"/>
    </w:p>
    <w:p>
      <w:pPr>
        <w:spacing w:line="440" w:lineRule="exact"/>
        <w:jc w:val="center"/>
        <w:rPr>
          <w:rFonts w:ascii="宋体" w:hAnsi="宋体" w:cs="宋体"/>
          <w:b/>
          <w:sz w:val="28"/>
          <w:szCs w:val="28"/>
          <w:highlight w:val="none"/>
        </w:rPr>
      </w:pPr>
      <w:bookmarkStart w:id="17" w:name="OLE_LINK3"/>
      <w:bookmarkStart w:id="18" w:name="OLE_LINK2"/>
      <w:r>
        <w:rPr>
          <w:rFonts w:hint="eastAsia" w:ascii="宋体" w:hAnsi="宋体" w:cs="宋体"/>
          <w:b/>
          <w:sz w:val="28"/>
          <w:szCs w:val="28"/>
          <w:highlight w:val="none"/>
          <w:lang w:eastAsia="zh-CN"/>
        </w:rPr>
        <w:t>首讯公司安全标准化达标认证咨询服务</w:t>
      </w:r>
    </w:p>
    <w:p>
      <w:pPr>
        <w:spacing w:line="440" w:lineRule="exact"/>
        <w:jc w:val="center"/>
        <w:rPr>
          <w:rFonts w:ascii="宋体" w:hAnsi="宋体" w:cs="宋体"/>
          <w:b/>
          <w:sz w:val="28"/>
          <w:szCs w:val="28"/>
          <w:highlight w:val="none"/>
        </w:rPr>
      </w:pPr>
      <w:r>
        <w:rPr>
          <w:rFonts w:hint="eastAsia" w:ascii="宋体" w:hAnsi="宋体" w:cs="宋体"/>
          <w:b/>
          <w:sz w:val="28"/>
          <w:szCs w:val="28"/>
          <w:highlight w:val="none"/>
        </w:rPr>
        <w:t>竞争性比选公告</w:t>
      </w:r>
    </w:p>
    <w:p>
      <w:pPr>
        <w:spacing w:line="440" w:lineRule="exact"/>
        <w:jc w:val="center"/>
        <w:rPr>
          <w:rFonts w:ascii="宋体" w:hAnsi="宋体" w:cs="宋体"/>
          <w:b/>
          <w:sz w:val="28"/>
          <w:szCs w:val="28"/>
          <w:highlight w:val="none"/>
        </w:rPr>
      </w:pPr>
    </w:p>
    <w:p>
      <w:pPr>
        <w:pStyle w:val="4"/>
        <w:spacing w:before="0" w:after="0" w:line="360" w:lineRule="auto"/>
        <w:rPr>
          <w:rFonts w:ascii="宋体" w:hAnsi="宋体" w:eastAsia="宋体" w:cs="宋体"/>
          <w:highlight w:val="none"/>
        </w:rPr>
      </w:pPr>
      <w:bookmarkStart w:id="19" w:name="_Toc246996158"/>
      <w:bookmarkStart w:id="20" w:name="_Toc144974480"/>
      <w:bookmarkStart w:id="21" w:name="_Toc247085672"/>
      <w:bookmarkStart w:id="22" w:name="_Toc152045512"/>
      <w:bookmarkStart w:id="23" w:name="_Toc507319891"/>
      <w:bookmarkStart w:id="24" w:name="_Toc11329213"/>
      <w:bookmarkStart w:id="25" w:name="_Toc19148"/>
      <w:bookmarkStart w:id="26" w:name="_Toc179632528"/>
      <w:bookmarkStart w:id="27" w:name="_Toc24874"/>
      <w:bookmarkStart w:id="28" w:name="_Toc246996901"/>
      <w:bookmarkStart w:id="29" w:name="_Toc152042288"/>
      <w:bookmarkStart w:id="30" w:name="_Toc10076"/>
      <w:bookmarkStart w:id="31" w:name="_Toc6549"/>
      <w:r>
        <w:rPr>
          <w:rFonts w:hint="eastAsia" w:ascii="宋体" w:hAnsi="宋体" w:eastAsia="宋体" w:cs="宋体"/>
          <w:highlight w:val="none"/>
        </w:rPr>
        <w:t>1. 比选条件</w:t>
      </w:r>
      <w:bookmarkEnd w:id="19"/>
      <w:bookmarkEnd w:id="20"/>
      <w:bookmarkEnd w:id="21"/>
      <w:bookmarkEnd w:id="22"/>
      <w:bookmarkEnd w:id="23"/>
      <w:bookmarkEnd w:id="24"/>
      <w:bookmarkEnd w:id="25"/>
      <w:bookmarkEnd w:id="26"/>
      <w:bookmarkEnd w:id="27"/>
      <w:bookmarkEnd w:id="28"/>
      <w:bookmarkEnd w:id="29"/>
      <w:bookmarkEnd w:id="30"/>
      <w:bookmarkEnd w:id="31"/>
    </w:p>
    <w:p>
      <w:pPr>
        <w:spacing w:line="400" w:lineRule="exact"/>
        <w:jc w:val="left"/>
        <w:rPr>
          <w:rFonts w:ascii="宋体" w:hAnsi="宋体" w:cs="宋体"/>
          <w:szCs w:val="21"/>
          <w:highlight w:val="none"/>
        </w:rPr>
      </w:pPr>
      <w:r>
        <w:rPr>
          <w:rFonts w:hint="eastAsia" w:ascii="宋体" w:hAnsi="宋体" w:cs="宋体"/>
          <w:szCs w:val="21"/>
          <w:highlight w:val="none"/>
        </w:rPr>
        <w:t>　　本竞争性比选项目</w:t>
      </w:r>
      <w:r>
        <w:rPr>
          <w:rFonts w:hint="eastAsia" w:ascii="宋体" w:hAnsi="宋体" w:cs="宋体"/>
          <w:szCs w:val="21"/>
          <w:highlight w:val="none"/>
          <w:lang w:eastAsia="zh-CN"/>
        </w:rPr>
        <w:t>首讯公司安全标准化达标认证咨询服务</w:t>
      </w:r>
      <w:r>
        <w:rPr>
          <w:rFonts w:hint="eastAsia" w:ascii="宋体" w:hAnsi="宋体" w:cs="宋体"/>
          <w:szCs w:val="21"/>
          <w:highlight w:val="none"/>
        </w:rPr>
        <w:t>，采购人为</w:t>
      </w:r>
      <w:r>
        <w:rPr>
          <w:rFonts w:hint="eastAsia" w:ascii="宋体" w:hAnsi="宋体" w:cs="宋体"/>
          <w:szCs w:val="21"/>
          <w:highlight w:val="none"/>
          <w:u w:val="single"/>
        </w:rPr>
        <w:t xml:space="preserve"> 重庆首讯科技股份有限公司 </w:t>
      </w:r>
      <w:r>
        <w:rPr>
          <w:rFonts w:hint="eastAsia" w:ascii="宋体" w:hAnsi="宋体" w:cs="宋体"/>
          <w:szCs w:val="21"/>
          <w:highlight w:val="none"/>
        </w:rPr>
        <w:t>，该项目已具备比选条件，现对该项目进行竞争性比选。</w:t>
      </w:r>
    </w:p>
    <w:p>
      <w:pPr>
        <w:pStyle w:val="4"/>
        <w:spacing w:before="120" w:after="0" w:line="360" w:lineRule="auto"/>
        <w:rPr>
          <w:rFonts w:ascii="宋体" w:hAnsi="宋体" w:eastAsia="宋体" w:cs="宋体"/>
          <w:highlight w:val="none"/>
        </w:rPr>
      </w:pPr>
      <w:bookmarkStart w:id="32" w:name="_Toc179632529"/>
      <w:bookmarkStart w:id="33" w:name="_Toc18109"/>
      <w:bookmarkStart w:id="34" w:name="_Toc21343"/>
      <w:bookmarkStart w:id="35" w:name="_Toc11329214"/>
      <w:bookmarkStart w:id="36" w:name="_Toc10952"/>
      <w:bookmarkStart w:id="37" w:name="_Toc152045513"/>
      <w:bookmarkStart w:id="38" w:name="_Toc507319892"/>
      <w:bookmarkStart w:id="39" w:name="_Toc247085673"/>
      <w:bookmarkStart w:id="40" w:name="_Toc246996159"/>
      <w:bookmarkStart w:id="41" w:name="_Toc144974481"/>
      <w:bookmarkStart w:id="42" w:name="_Toc152042289"/>
      <w:bookmarkStart w:id="43" w:name="_Toc10321"/>
      <w:bookmarkStart w:id="44" w:name="_Toc246996902"/>
      <w:r>
        <w:rPr>
          <w:rFonts w:hint="eastAsia" w:ascii="宋体" w:hAnsi="宋体" w:eastAsia="宋体" w:cs="宋体"/>
          <w:highlight w:val="none"/>
        </w:rPr>
        <w:t>2. 项目概况与比选范围</w:t>
      </w:r>
      <w:bookmarkEnd w:id="32"/>
      <w:bookmarkEnd w:id="33"/>
      <w:bookmarkEnd w:id="34"/>
      <w:bookmarkEnd w:id="35"/>
      <w:bookmarkEnd w:id="36"/>
      <w:bookmarkEnd w:id="37"/>
      <w:bookmarkEnd w:id="38"/>
      <w:bookmarkEnd w:id="39"/>
      <w:bookmarkEnd w:id="40"/>
      <w:bookmarkEnd w:id="41"/>
      <w:bookmarkEnd w:id="42"/>
      <w:bookmarkEnd w:id="43"/>
      <w:bookmarkEnd w:id="44"/>
    </w:p>
    <w:p>
      <w:pPr>
        <w:spacing w:line="360" w:lineRule="auto"/>
        <w:ind w:firstLine="420" w:firstLineChars="200"/>
        <w:rPr>
          <w:rFonts w:ascii="宋体" w:hAnsi="宋体" w:cs="宋体"/>
          <w:highlight w:val="none"/>
        </w:rPr>
      </w:pPr>
      <w:bookmarkStart w:id="45" w:name="_Toc446247226"/>
      <w:r>
        <w:rPr>
          <w:rFonts w:hint="eastAsia" w:ascii="宋体" w:hAnsi="宋体" w:cs="宋体"/>
          <w:highlight w:val="none"/>
        </w:rPr>
        <w:t>2.1 项目地点：</w:t>
      </w:r>
      <w:bookmarkEnd w:id="45"/>
      <w:r>
        <w:rPr>
          <w:rFonts w:hint="eastAsia" w:ascii="宋体" w:hAnsi="宋体" w:cs="宋体"/>
          <w:highlight w:val="none"/>
          <w:lang w:eastAsia="zh-CN"/>
        </w:rPr>
        <w:t>重庆首讯科技股份有限公司</w:t>
      </w:r>
      <w:r>
        <w:rPr>
          <w:rFonts w:hint="eastAsia" w:ascii="宋体" w:hAnsi="宋体" w:cs="宋体"/>
          <w:highlight w:val="none"/>
        </w:rPr>
        <w:t>。</w:t>
      </w:r>
    </w:p>
    <w:p>
      <w:pPr>
        <w:pStyle w:val="14"/>
        <w:adjustRightInd w:val="0"/>
        <w:spacing w:line="400" w:lineRule="exact"/>
        <w:rPr>
          <w:rFonts w:ascii="宋体" w:hAnsi="宋体" w:cs="宋体"/>
          <w:highlight w:val="none"/>
        </w:rPr>
      </w:pPr>
      <w:r>
        <w:rPr>
          <w:rFonts w:hint="eastAsia" w:ascii="宋体" w:hAnsi="宋体" w:cs="宋体"/>
          <w:szCs w:val="21"/>
          <w:highlight w:val="none"/>
        </w:rPr>
        <w:t xml:space="preserve">2.2 </w:t>
      </w:r>
      <w:r>
        <w:rPr>
          <w:rFonts w:hint="eastAsia" w:ascii="宋体" w:hAnsi="宋体" w:cs="宋体"/>
          <w:szCs w:val="21"/>
          <w:highlight w:val="none"/>
          <w:lang w:eastAsia="zh-CN"/>
        </w:rPr>
        <w:t>服务内容</w:t>
      </w:r>
      <w:r>
        <w:rPr>
          <w:rFonts w:hint="eastAsia" w:ascii="宋体" w:hAnsi="宋体" w:cs="宋体"/>
          <w:szCs w:val="21"/>
          <w:highlight w:val="none"/>
        </w:rPr>
        <w:t>：本项目为</w:t>
      </w:r>
      <w:r>
        <w:rPr>
          <w:rFonts w:hint="eastAsia" w:ascii="宋体" w:hAnsi="宋体" w:cs="宋体"/>
          <w:szCs w:val="21"/>
          <w:highlight w:val="none"/>
          <w:lang w:eastAsia="zh-CN"/>
        </w:rPr>
        <w:t>首讯公司安全标准化达标认证咨询服务</w:t>
      </w:r>
      <w:r>
        <w:rPr>
          <w:rFonts w:hint="eastAsia" w:ascii="宋体" w:hAnsi="宋体" w:cs="宋体"/>
          <w:szCs w:val="21"/>
          <w:highlight w:val="none"/>
        </w:rPr>
        <w:t>，主要包括但不限于对照安全生产标准化达标考评标准，逐项查找存在的问题并制定整改方案和措施，牵头完善安全生产管理体系和规章制度，建立持续改进的工作机制；制定安全标准化达标工作方案，组织达标申报、评价等，同时通过安全生产标准化达标验收并取得公司安全生产标准化二级达标等级证和年度核查工作。</w:t>
      </w:r>
    </w:p>
    <w:p>
      <w:pPr>
        <w:pStyle w:val="14"/>
        <w:adjustRightInd w:val="0"/>
        <w:spacing w:line="400" w:lineRule="exact"/>
        <w:rPr>
          <w:rFonts w:ascii="宋体" w:hAnsi="宋体" w:cs="宋体"/>
          <w:szCs w:val="21"/>
          <w:highlight w:val="none"/>
        </w:rPr>
      </w:pPr>
      <w:r>
        <w:rPr>
          <w:rFonts w:hint="eastAsia" w:ascii="宋体" w:hAnsi="宋体" w:cs="宋体"/>
          <w:highlight w:val="none"/>
        </w:rPr>
        <w:t xml:space="preserve">2.3 </w:t>
      </w:r>
      <w:r>
        <w:rPr>
          <w:rFonts w:hint="eastAsia" w:ascii="宋体" w:hAnsi="宋体" w:cs="宋体"/>
          <w:highlight w:val="none"/>
          <w:lang w:eastAsia="zh-CN"/>
        </w:rPr>
        <w:t>实施期</w:t>
      </w:r>
      <w:r>
        <w:rPr>
          <w:rFonts w:hint="eastAsia" w:ascii="宋体" w:hAnsi="宋体" w:cs="宋体"/>
          <w:highlight w:val="none"/>
        </w:rPr>
        <w:t>：</w:t>
      </w:r>
      <w:r>
        <w:rPr>
          <w:rFonts w:hint="eastAsia" w:ascii="宋体" w:hAnsi="宋体" w:cs="宋体"/>
          <w:szCs w:val="21"/>
          <w:highlight w:val="none"/>
          <w:lang w:val="en-US" w:eastAsia="zh-CN"/>
        </w:rPr>
        <w:t>2021年12月1日前完成</w:t>
      </w:r>
      <w:r>
        <w:rPr>
          <w:rFonts w:hint="eastAsia" w:ascii="宋体" w:hAnsi="宋体" w:cs="宋体"/>
          <w:szCs w:val="21"/>
          <w:highlight w:val="none"/>
        </w:rPr>
        <w:t>安全标准化达标</w:t>
      </w:r>
      <w:r>
        <w:rPr>
          <w:rFonts w:hint="eastAsia" w:ascii="宋体" w:hAnsi="宋体" w:cs="宋体"/>
          <w:szCs w:val="21"/>
          <w:highlight w:val="none"/>
          <w:lang w:val="en-US" w:eastAsia="zh-CN"/>
        </w:rPr>
        <w:t>认证</w:t>
      </w:r>
      <w:r>
        <w:rPr>
          <w:rFonts w:hint="eastAsia" w:ascii="宋体" w:hAnsi="宋体" w:cs="宋体"/>
          <w:highlight w:val="none"/>
        </w:rPr>
        <w:t>。</w:t>
      </w:r>
      <w:bookmarkStart w:id="277" w:name="_GoBack"/>
      <w:bookmarkEnd w:id="277"/>
    </w:p>
    <w:p>
      <w:pPr>
        <w:pStyle w:val="4"/>
        <w:spacing w:before="120" w:after="0" w:line="360" w:lineRule="auto"/>
        <w:rPr>
          <w:rFonts w:ascii="宋体" w:hAnsi="宋体" w:eastAsia="宋体" w:cs="宋体"/>
          <w:highlight w:val="none"/>
        </w:rPr>
      </w:pPr>
      <w:bookmarkStart w:id="46" w:name="_Toc507319893"/>
      <w:bookmarkStart w:id="47" w:name="_Toc30356"/>
      <w:bookmarkStart w:id="48" w:name="_Toc7065"/>
      <w:bookmarkStart w:id="49" w:name="_Toc152045514"/>
      <w:bookmarkStart w:id="50" w:name="_Toc246996903"/>
      <w:bookmarkStart w:id="51" w:name="_Toc179632530"/>
      <w:bookmarkStart w:id="52" w:name="_Toc247085674"/>
      <w:bookmarkStart w:id="53" w:name="_Toc11329215"/>
      <w:bookmarkStart w:id="54" w:name="_Toc152042290"/>
      <w:bookmarkStart w:id="55" w:name="_Toc10171"/>
      <w:bookmarkStart w:id="56" w:name="_Toc144974482"/>
      <w:bookmarkStart w:id="57" w:name="_Toc246996160"/>
      <w:bookmarkStart w:id="58" w:name="_Toc8744"/>
      <w:r>
        <w:rPr>
          <w:rFonts w:hint="eastAsia" w:ascii="宋体" w:hAnsi="宋体" w:eastAsia="宋体" w:cs="宋体"/>
          <w:highlight w:val="none"/>
        </w:rPr>
        <w:t>3. 报价人资格要求</w:t>
      </w:r>
      <w:bookmarkEnd w:id="46"/>
      <w:bookmarkEnd w:id="47"/>
      <w:bookmarkEnd w:id="48"/>
      <w:bookmarkEnd w:id="49"/>
      <w:bookmarkEnd w:id="50"/>
      <w:bookmarkEnd w:id="51"/>
      <w:bookmarkEnd w:id="52"/>
      <w:bookmarkEnd w:id="53"/>
      <w:bookmarkEnd w:id="54"/>
      <w:bookmarkEnd w:id="55"/>
      <w:bookmarkEnd w:id="56"/>
      <w:bookmarkEnd w:id="57"/>
      <w:bookmarkEnd w:id="58"/>
    </w:p>
    <w:p>
      <w:pPr>
        <w:spacing w:line="400" w:lineRule="exact"/>
        <w:ind w:firstLine="420" w:firstLineChars="200"/>
        <w:rPr>
          <w:rFonts w:ascii="宋体" w:hAnsi="宋体" w:cs="宋体"/>
          <w:szCs w:val="21"/>
          <w:highlight w:val="none"/>
          <w:shd w:val="clear" w:color="auto" w:fill="FFFFFF"/>
        </w:rPr>
      </w:pPr>
      <w:bookmarkStart w:id="59" w:name="_Toc179632531"/>
      <w:bookmarkStart w:id="60" w:name="_Toc144974483"/>
      <w:bookmarkStart w:id="61" w:name="_Toc246996161"/>
      <w:bookmarkStart w:id="62" w:name="_Toc247085675"/>
      <w:bookmarkStart w:id="63" w:name="_Toc246996904"/>
      <w:bookmarkStart w:id="64" w:name="_Toc152045515"/>
      <w:bookmarkStart w:id="65" w:name="_Toc152042291"/>
      <w:r>
        <w:rPr>
          <w:rFonts w:hint="eastAsia" w:ascii="宋体" w:hAnsi="宋体" w:cs="宋体"/>
          <w:szCs w:val="21"/>
          <w:highlight w:val="none"/>
          <w:shd w:val="clear" w:color="auto" w:fill="FFFFFF"/>
        </w:rPr>
        <w:t>3.1 资质要求：</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（1）具有独立法人资格；</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（2）具有有效的营业执照；</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highlight w:val="none"/>
        </w:rPr>
        <w:t>资质要求</w:t>
      </w:r>
      <w:r>
        <w:rPr>
          <w:rFonts w:hint="eastAsia"/>
          <w:highlight w:val="none"/>
          <w:lang w:eastAsia="zh-CN"/>
        </w:rPr>
        <w:t>：</w:t>
      </w:r>
      <w:r>
        <w:rPr>
          <w:rFonts w:hint="eastAsia"/>
          <w:highlight w:val="none"/>
        </w:rPr>
        <w:t>交通运输工程建设 安全生产标准化</w:t>
      </w:r>
      <w:r>
        <w:rPr>
          <w:rFonts w:hint="eastAsia"/>
          <w:highlight w:val="none"/>
          <w:lang w:val="en-US" w:eastAsia="zh-CN"/>
        </w:rPr>
        <w:t>一</w:t>
      </w:r>
      <w:r>
        <w:rPr>
          <w:rFonts w:hint="eastAsia"/>
          <w:highlight w:val="none"/>
        </w:rPr>
        <w:t>级评价机构</w:t>
      </w:r>
      <w:r>
        <w:rPr>
          <w:rFonts w:hint="eastAsia" w:ascii="宋体" w:hAnsi="宋体" w:cs="宋体"/>
          <w:szCs w:val="21"/>
          <w:highlight w:val="none"/>
          <w:shd w:val="clear" w:color="auto" w:fill="FFFFFF"/>
        </w:rPr>
        <w:t>；</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3.2 本次比选不接受联合体报价。</w:t>
      </w:r>
    </w:p>
    <w:p>
      <w:pPr>
        <w:spacing w:line="400" w:lineRule="exact"/>
        <w:ind w:firstLine="420" w:firstLineChars="200"/>
        <w:rPr>
          <w:rFonts w:ascii="宋体" w:hAnsi="宋体" w:cs="宋体"/>
          <w:szCs w:val="21"/>
          <w:highlight w:val="none"/>
          <w:shd w:val="clear" w:color="auto" w:fill="FFFFFF"/>
        </w:rPr>
      </w:pPr>
      <w:r>
        <w:rPr>
          <w:rFonts w:hint="eastAsia" w:ascii="宋体" w:hAnsi="宋体" w:cs="宋体"/>
          <w:szCs w:val="21"/>
          <w:highlight w:val="none"/>
          <w:shd w:val="clear" w:color="auto" w:fill="FFFFFF"/>
        </w:rPr>
        <w:t>3.3与采购人存在利害关系可能影响比选公正性的法人、其他组织或者个人，不得参加本项目报价；单位负责人为同一人或者存在控股、管理关系的不同单位，不得同时参加本项目报价，否则均按无效报价处理。</w:t>
      </w:r>
    </w:p>
    <w:p>
      <w:pPr>
        <w:pStyle w:val="4"/>
        <w:spacing w:before="120" w:after="0" w:line="400" w:lineRule="exact"/>
        <w:rPr>
          <w:rFonts w:ascii="宋体" w:hAnsi="宋体" w:eastAsia="宋体" w:cs="宋体"/>
          <w:highlight w:val="none"/>
        </w:rPr>
      </w:pPr>
      <w:bookmarkStart w:id="66" w:name="_Toc12460"/>
      <w:bookmarkStart w:id="67" w:name="_Toc507319894"/>
      <w:bookmarkStart w:id="68" w:name="_Toc14361"/>
      <w:bookmarkStart w:id="69" w:name="_Toc20193"/>
      <w:bookmarkStart w:id="70" w:name="_Toc11329216"/>
      <w:bookmarkStart w:id="71" w:name="_Toc25619"/>
      <w:r>
        <w:rPr>
          <w:rFonts w:hint="eastAsia" w:ascii="宋体" w:hAnsi="宋体" w:eastAsia="宋体" w:cs="宋体"/>
          <w:highlight w:val="none"/>
        </w:rPr>
        <w:t>4. 比选文件的获取</w:t>
      </w:r>
      <w:bookmarkEnd w:id="59"/>
      <w:bookmarkEnd w:id="60"/>
      <w:bookmarkEnd w:id="61"/>
      <w:bookmarkEnd w:id="62"/>
      <w:bookmarkEnd w:id="63"/>
      <w:bookmarkEnd w:id="64"/>
      <w:bookmarkEnd w:id="65"/>
      <w:bookmarkEnd w:id="66"/>
      <w:bookmarkEnd w:id="67"/>
      <w:bookmarkEnd w:id="68"/>
      <w:bookmarkEnd w:id="69"/>
      <w:bookmarkEnd w:id="70"/>
      <w:bookmarkEnd w:id="71"/>
    </w:p>
    <w:p>
      <w:pPr>
        <w:spacing w:line="360" w:lineRule="auto"/>
        <w:ind w:firstLine="420" w:firstLineChars="200"/>
        <w:rPr>
          <w:rFonts w:ascii="宋体" w:hAnsi="宋体"/>
          <w:szCs w:val="21"/>
          <w:highlight w:val="none"/>
        </w:rPr>
      </w:pPr>
      <w:bookmarkStart w:id="72" w:name="_Toc179632532"/>
      <w:bookmarkStart w:id="73" w:name="_Toc246996905"/>
      <w:bookmarkStart w:id="74" w:name="_Toc152042292"/>
      <w:bookmarkStart w:id="75" w:name="_Toc246996162"/>
      <w:bookmarkStart w:id="76" w:name="_Toc11329217"/>
      <w:bookmarkStart w:id="77" w:name="_Toc507319895"/>
      <w:bookmarkStart w:id="78" w:name="_Toc152045516"/>
      <w:bookmarkStart w:id="79" w:name="_Toc247085676"/>
      <w:bookmarkStart w:id="80" w:name="_Toc144974484"/>
      <w:r>
        <w:rPr>
          <w:rFonts w:ascii="宋体" w:hAnsi="宋体"/>
          <w:szCs w:val="21"/>
          <w:highlight w:val="none"/>
        </w:rPr>
        <w:t>凡愿意参加的潜在</w:t>
      </w:r>
      <w:r>
        <w:rPr>
          <w:rFonts w:hint="eastAsia" w:ascii="宋体" w:hAnsi="宋体"/>
          <w:szCs w:val="21"/>
          <w:highlight w:val="none"/>
        </w:rPr>
        <w:t>报价</w:t>
      </w:r>
      <w:r>
        <w:rPr>
          <w:rFonts w:ascii="宋体" w:hAnsi="宋体"/>
          <w:szCs w:val="21"/>
          <w:highlight w:val="none"/>
        </w:rPr>
        <w:t>人，</w:t>
      </w:r>
      <w:r>
        <w:rPr>
          <w:rFonts w:hint="eastAsia" w:ascii="宋体" w:hAnsi="宋体"/>
          <w:szCs w:val="21"/>
          <w:highlight w:val="none"/>
        </w:rPr>
        <w:t>在</w:t>
      </w:r>
      <w:r>
        <w:rPr>
          <w:rFonts w:hint="eastAsia" w:ascii="宋体" w:hAnsi="宋体"/>
          <w:szCs w:val="21"/>
          <w:highlight w:val="none"/>
          <w:u w:val="single"/>
        </w:rPr>
        <w:t>2021</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7</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u w:val="single"/>
          <w:lang w:val="en-US" w:eastAsia="zh-CN"/>
        </w:rPr>
        <w:t>8</w:t>
      </w:r>
      <w:r>
        <w:rPr>
          <w:rFonts w:ascii="宋体" w:hAnsi="宋体"/>
          <w:szCs w:val="21"/>
          <w:highlight w:val="none"/>
          <w:u w:val="single"/>
        </w:rPr>
        <w:t xml:space="preserve"> </w:t>
      </w:r>
      <w:r>
        <w:rPr>
          <w:rFonts w:hint="eastAsia" w:ascii="宋体" w:hAnsi="宋体"/>
          <w:szCs w:val="21"/>
          <w:highlight w:val="none"/>
        </w:rPr>
        <w:t>日下午</w:t>
      </w:r>
      <w:r>
        <w:rPr>
          <w:rFonts w:hint="eastAsia" w:ascii="宋体" w:hAnsi="宋体"/>
          <w:szCs w:val="21"/>
          <w:highlight w:val="none"/>
          <w:u w:val="single"/>
        </w:rPr>
        <w:t>15:00</w:t>
      </w:r>
      <w:r>
        <w:rPr>
          <w:rFonts w:hint="eastAsia" w:ascii="宋体" w:hAnsi="宋体"/>
          <w:szCs w:val="21"/>
          <w:highlight w:val="none"/>
        </w:rPr>
        <w:t>前在重庆高速集团官网平台上进行报名响应，各报价人应随时关注网上发布的竞争性比选文件答疑、补遗、澄清等文件内容，不管报价人是否下载，均视为已知晓竞争性比选文件的全部内容和有关事宜。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highlight w:val="none"/>
        </w:rPr>
      </w:pPr>
      <w:bookmarkStart w:id="81" w:name="_Toc17832"/>
      <w:bookmarkStart w:id="82" w:name="_Toc31493"/>
      <w:bookmarkStart w:id="83" w:name="_Toc9131"/>
      <w:bookmarkStart w:id="84" w:name="_Toc16686"/>
      <w:r>
        <w:rPr>
          <w:rFonts w:hint="eastAsia" w:ascii="宋体" w:hAnsi="宋体" w:eastAsia="宋体" w:cs="宋体"/>
          <w:highlight w:val="none"/>
        </w:rPr>
        <w:t>5. 竞争性比选响应文件的递交</w:t>
      </w:r>
      <w:bookmarkEnd w:id="72"/>
      <w:bookmarkEnd w:id="73"/>
      <w:bookmarkEnd w:id="74"/>
      <w:bookmarkEnd w:id="75"/>
      <w:bookmarkEnd w:id="76"/>
      <w:bookmarkEnd w:id="77"/>
      <w:bookmarkEnd w:id="78"/>
      <w:bookmarkEnd w:id="79"/>
      <w:bookmarkEnd w:id="80"/>
      <w:r>
        <w:rPr>
          <w:rFonts w:hint="eastAsia" w:ascii="宋体" w:hAnsi="宋体" w:eastAsia="宋体" w:cs="宋体"/>
          <w:highlight w:val="none"/>
        </w:rPr>
        <w:t>及相关事宜</w:t>
      </w:r>
      <w:bookmarkEnd w:id="81"/>
      <w:bookmarkEnd w:id="82"/>
      <w:bookmarkEnd w:id="83"/>
      <w:bookmarkEnd w:id="84"/>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5.1报价截止时间和开标时间：</w:t>
      </w:r>
      <w:r>
        <w:rPr>
          <w:rFonts w:hint="eastAsia" w:ascii="宋体" w:hAnsi="宋体" w:cs="宋体"/>
          <w:szCs w:val="21"/>
          <w:highlight w:val="none"/>
          <w:u w:val="single"/>
        </w:rPr>
        <w:t>2021</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7</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12</w:t>
      </w:r>
      <w:r>
        <w:rPr>
          <w:rFonts w:ascii="宋体" w:hAnsi="宋体" w:cs="宋体"/>
          <w:szCs w:val="21"/>
          <w:highlight w:val="none"/>
          <w:u w:val="single"/>
        </w:rPr>
        <w:t xml:space="preserve"> </w:t>
      </w:r>
      <w:r>
        <w:rPr>
          <w:rFonts w:hint="eastAsia" w:ascii="宋体" w:hAnsi="宋体" w:cs="宋体"/>
          <w:szCs w:val="21"/>
          <w:highlight w:val="none"/>
        </w:rPr>
        <w:t>日下午</w:t>
      </w:r>
      <w:r>
        <w:rPr>
          <w:rFonts w:hint="eastAsia" w:ascii="宋体" w:hAnsi="宋体" w:cs="宋体"/>
          <w:szCs w:val="21"/>
          <w:highlight w:val="none"/>
          <w:u w:val="single"/>
        </w:rPr>
        <w:t xml:space="preserve"> 15 </w:t>
      </w:r>
      <w:r>
        <w:rPr>
          <w:rFonts w:hint="eastAsia" w:ascii="宋体" w:hAnsi="宋体" w:cs="宋体"/>
          <w:szCs w:val="21"/>
          <w:highlight w:val="none"/>
        </w:rPr>
        <w:t>时</w:t>
      </w:r>
      <w:r>
        <w:rPr>
          <w:rFonts w:hint="eastAsia" w:ascii="宋体" w:hAnsi="宋体" w:cs="宋体"/>
          <w:szCs w:val="21"/>
          <w:highlight w:val="none"/>
          <w:u w:val="single"/>
        </w:rPr>
        <w:t xml:space="preserve"> 00 </w:t>
      </w:r>
      <w:r>
        <w:rPr>
          <w:rFonts w:hint="eastAsia" w:ascii="宋体" w:hAnsi="宋体" w:cs="宋体"/>
          <w:szCs w:val="21"/>
          <w:highlight w:val="none"/>
        </w:rPr>
        <w:t>分（北京时间）。</w:t>
      </w:r>
    </w:p>
    <w:p>
      <w:pPr>
        <w:tabs>
          <w:tab w:val="left" w:pos="360"/>
        </w:tabs>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5.2报价的递交：重庆市南岸区四公里内环入口200米处重庆首讯科技大楼</w:t>
      </w:r>
      <w:r>
        <w:rPr>
          <w:rFonts w:hint="eastAsia" w:ascii="宋体" w:hAnsi="宋体" w:cs="宋体"/>
          <w:szCs w:val="21"/>
          <w:highlight w:val="none"/>
          <w:lang w:eastAsia="zh-CN"/>
        </w:rPr>
        <w:t>。</w:t>
      </w:r>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5.3</w:t>
      </w:r>
      <w:r>
        <w:rPr>
          <w:rFonts w:ascii="宋体" w:hAnsi="宋体" w:cs="宋体"/>
          <w:szCs w:val="21"/>
          <w:highlight w:val="none"/>
        </w:rPr>
        <w:t>采购</w:t>
      </w:r>
      <w:r>
        <w:rPr>
          <w:rFonts w:hint="eastAsia" w:ascii="宋体" w:hAnsi="宋体" w:cs="宋体"/>
          <w:szCs w:val="21"/>
          <w:highlight w:val="none"/>
          <w:lang w:val="en-US" w:eastAsia="zh-CN"/>
        </w:rPr>
        <w:tab/>
      </w:r>
      <w:r>
        <w:rPr>
          <w:rFonts w:ascii="宋体" w:hAnsi="宋体" w:cs="宋体"/>
          <w:szCs w:val="21"/>
          <w:highlight w:val="none"/>
        </w:rPr>
        <w:t>人不召开报价预备会。</w:t>
      </w:r>
    </w:p>
    <w:p>
      <w:pPr>
        <w:pStyle w:val="4"/>
        <w:spacing w:before="120" w:after="0" w:line="400" w:lineRule="exact"/>
        <w:rPr>
          <w:rFonts w:ascii="宋体" w:hAnsi="宋体" w:eastAsia="宋体" w:cs="宋体"/>
          <w:highlight w:val="none"/>
        </w:rPr>
      </w:pPr>
      <w:bookmarkStart w:id="85" w:name="_Toc393"/>
      <w:bookmarkStart w:id="86" w:name="_Toc11329219"/>
      <w:bookmarkStart w:id="87" w:name="_Toc152042293"/>
      <w:bookmarkStart w:id="88" w:name="_Toc246996164"/>
      <w:bookmarkStart w:id="89" w:name="_Toc152045517"/>
      <w:bookmarkStart w:id="90" w:name="_Toc246996907"/>
      <w:bookmarkStart w:id="91" w:name="_Toc247085678"/>
      <w:bookmarkStart w:id="92" w:name="_Toc18402"/>
      <w:bookmarkStart w:id="93" w:name="_Toc179632534"/>
      <w:bookmarkStart w:id="94" w:name="_Toc507319897"/>
      <w:bookmarkStart w:id="95" w:name="_Toc18284"/>
      <w:bookmarkStart w:id="96" w:name="_Toc21615"/>
      <w:bookmarkStart w:id="97" w:name="_Toc144974485"/>
      <w:r>
        <w:rPr>
          <w:rFonts w:hint="eastAsia" w:ascii="宋体" w:hAnsi="宋体" w:eastAsia="宋体" w:cs="宋体"/>
          <w:highlight w:val="none"/>
        </w:rPr>
        <w:t>6. 联系方式</w:t>
      </w:r>
      <w:bookmarkEnd w:id="85"/>
      <w:bookmarkEnd w:id="86"/>
      <w:bookmarkEnd w:id="87"/>
      <w:bookmarkEnd w:id="88"/>
      <w:bookmarkEnd w:id="89"/>
      <w:bookmarkEnd w:id="90"/>
      <w:bookmarkEnd w:id="91"/>
      <w:bookmarkEnd w:id="92"/>
      <w:bookmarkEnd w:id="93"/>
      <w:bookmarkEnd w:id="94"/>
      <w:bookmarkEnd w:id="95"/>
      <w:bookmarkEnd w:id="96"/>
      <w:bookmarkEnd w:id="97"/>
    </w:p>
    <w:tbl>
      <w:tblPr>
        <w:tblStyle w:val="47"/>
        <w:tblW w:w="9628" w:type="dxa"/>
        <w:tblInd w:w="0" w:type="dxa"/>
        <w:tblLayout w:type="fixed"/>
        <w:tblCellMar>
          <w:top w:w="0" w:type="dxa"/>
          <w:left w:w="108" w:type="dxa"/>
          <w:bottom w:w="0" w:type="dxa"/>
          <w:right w:w="108" w:type="dxa"/>
        </w:tblCellMar>
      </w:tblPr>
      <w:tblGrid>
        <w:gridCol w:w="8213"/>
        <w:gridCol w:w="1415"/>
      </w:tblGrid>
      <w:tr>
        <w:tblPrEx>
          <w:tblLayout w:type="fixed"/>
          <w:tblCellMar>
            <w:top w:w="0" w:type="dxa"/>
            <w:left w:w="108" w:type="dxa"/>
            <w:bottom w:w="0" w:type="dxa"/>
            <w:right w:w="108" w:type="dxa"/>
          </w:tblCellMar>
        </w:tblPrEx>
        <w:trPr>
          <w:trHeight w:val="470" w:hRule="atLeast"/>
        </w:trPr>
        <w:tc>
          <w:tcPr>
            <w:tcW w:w="8213" w:type="dxa"/>
            <w:vAlign w:val="center"/>
          </w:tcPr>
          <w:p>
            <w:pPr>
              <w:pStyle w:val="99"/>
              <w:spacing w:before="0" w:beforeAutospacing="0" w:after="0" w:afterAutospacing="0" w:line="400" w:lineRule="exact"/>
              <w:ind w:firstLine="420" w:firstLineChars="200"/>
              <w:jc w:val="both"/>
              <w:rPr>
                <w:rFonts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99"/>
              <w:spacing w:before="0" w:beforeAutospacing="0" w:after="0" w:afterAutospacing="0" w:line="400" w:lineRule="exact"/>
              <w:ind w:firstLine="420" w:firstLineChars="200"/>
              <w:jc w:val="both"/>
              <w:rPr>
                <w:rFonts w:ascii="宋体" w:hAnsi="宋体" w:cs="宋体"/>
                <w:kern w:val="2"/>
                <w:sz w:val="21"/>
                <w:szCs w:val="21"/>
                <w:highlight w:val="none"/>
              </w:rPr>
            </w:pPr>
          </w:p>
        </w:tc>
      </w:tr>
      <w:tr>
        <w:tblPrEx>
          <w:tblLayout w:type="fixed"/>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ascii="宋体" w:hAnsi="宋体" w:cs="宋体"/>
                <w:szCs w:val="21"/>
                <w:highlight w:val="none"/>
              </w:rPr>
            </w:pPr>
            <w:r>
              <w:rPr>
                <w:rFonts w:hint="eastAsia" w:ascii="宋体" w:hAnsi="宋体" w:cs="宋体"/>
                <w:szCs w:val="21"/>
                <w:highlight w:val="none"/>
              </w:rPr>
              <w:t>地址：重庆市南岸区四公里内环入口高速集团首讯科技大楼</w:t>
            </w:r>
          </w:p>
        </w:tc>
        <w:tc>
          <w:tcPr>
            <w:tcW w:w="1415" w:type="dxa"/>
            <w:vAlign w:val="center"/>
          </w:tcPr>
          <w:p>
            <w:pPr>
              <w:spacing w:line="400" w:lineRule="exact"/>
              <w:ind w:firstLine="420" w:firstLineChars="200"/>
              <w:rPr>
                <w:rFonts w:ascii="宋体" w:hAnsi="宋体" w:cs="宋体"/>
                <w:szCs w:val="21"/>
                <w:highlight w:val="none"/>
              </w:rPr>
            </w:pPr>
          </w:p>
        </w:tc>
      </w:tr>
      <w:tr>
        <w:tblPrEx>
          <w:tblLayout w:type="fixed"/>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ascii="宋体" w:hAnsi="宋体" w:cs="宋体"/>
                <w:szCs w:val="21"/>
                <w:highlight w:val="none"/>
              </w:rPr>
            </w:pPr>
            <w:r>
              <w:rPr>
                <w:rFonts w:hint="eastAsia" w:ascii="宋体" w:hAnsi="宋体" w:cs="宋体"/>
                <w:szCs w:val="21"/>
                <w:highlight w:val="none"/>
              </w:rPr>
              <w:t>技术联系人：</w:t>
            </w:r>
            <w:r>
              <w:rPr>
                <w:rFonts w:hint="eastAsia" w:ascii="宋体" w:hAnsi="宋体" w:cs="宋体"/>
                <w:szCs w:val="21"/>
                <w:highlight w:val="none"/>
                <w:lang w:eastAsia="zh-CN"/>
              </w:rPr>
              <w:t>全</w:t>
            </w:r>
            <w:r>
              <w:rPr>
                <w:rFonts w:hint="eastAsia" w:ascii="宋体" w:hAnsi="宋体" w:cs="宋体"/>
                <w:szCs w:val="21"/>
                <w:highlight w:val="none"/>
              </w:rPr>
              <w:t>老师</w:t>
            </w:r>
          </w:p>
        </w:tc>
        <w:tc>
          <w:tcPr>
            <w:tcW w:w="1415" w:type="dxa"/>
            <w:vAlign w:val="center"/>
          </w:tcPr>
          <w:p>
            <w:pPr>
              <w:spacing w:line="400" w:lineRule="exact"/>
              <w:ind w:firstLine="420" w:firstLineChars="200"/>
              <w:rPr>
                <w:rFonts w:ascii="宋体" w:hAnsi="宋体" w:cs="宋体"/>
                <w:szCs w:val="21"/>
                <w:highlight w:val="none"/>
              </w:rPr>
            </w:pPr>
          </w:p>
        </w:tc>
      </w:tr>
      <w:tr>
        <w:tblPrEx>
          <w:tblLayout w:type="fixed"/>
          <w:tblCellMar>
            <w:top w:w="0" w:type="dxa"/>
            <w:left w:w="108" w:type="dxa"/>
            <w:bottom w:w="0" w:type="dxa"/>
            <w:right w:w="108" w:type="dxa"/>
          </w:tblCellMar>
        </w:tblPrEx>
        <w:trPr>
          <w:trHeight w:val="80" w:hRule="atLeast"/>
        </w:trPr>
        <w:tc>
          <w:tcPr>
            <w:tcW w:w="8213" w:type="dxa"/>
            <w:vAlign w:val="center"/>
          </w:tcPr>
          <w:p>
            <w:pPr>
              <w:topLinePunct/>
              <w:spacing w:line="420" w:lineRule="exact"/>
              <w:ind w:firstLine="420" w:firstLineChars="200"/>
              <w:rPr>
                <w:highlight w:val="none"/>
              </w:rPr>
            </w:pPr>
            <w:r>
              <w:rPr>
                <w:rFonts w:hint="eastAsia" w:ascii="宋体" w:hAnsi="宋体" w:cs="宋体"/>
                <w:szCs w:val="21"/>
                <w:highlight w:val="none"/>
              </w:rPr>
              <w:t>电 话：15823563229</w:t>
            </w:r>
          </w:p>
        </w:tc>
        <w:tc>
          <w:tcPr>
            <w:tcW w:w="1415" w:type="dxa"/>
            <w:vAlign w:val="center"/>
          </w:tcPr>
          <w:p>
            <w:pPr>
              <w:spacing w:line="400" w:lineRule="exact"/>
              <w:ind w:firstLine="420" w:firstLineChars="200"/>
              <w:rPr>
                <w:rFonts w:ascii="宋体" w:hAnsi="宋体" w:cs="宋体"/>
                <w:szCs w:val="21"/>
                <w:highlight w:val="none"/>
              </w:rPr>
            </w:pPr>
          </w:p>
        </w:tc>
      </w:tr>
      <w:tr>
        <w:tblPrEx>
          <w:tblLayout w:type="fixed"/>
          <w:tblCellMar>
            <w:top w:w="0" w:type="dxa"/>
            <w:left w:w="108" w:type="dxa"/>
            <w:bottom w:w="0" w:type="dxa"/>
            <w:right w:w="108" w:type="dxa"/>
          </w:tblCellMar>
        </w:tblPrEx>
        <w:trPr>
          <w:trHeight w:val="80" w:hRule="atLeast"/>
        </w:trPr>
        <w:tc>
          <w:tcPr>
            <w:tcW w:w="8213" w:type="dxa"/>
            <w:vAlign w:val="center"/>
          </w:tcPr>
          <w:p>
            <w:pPr>
              <w:topLinePunct/>
              <w:spacing w:line="400" w:lineRule="exact"/>
              <w:ind w:firstLine="420" w:firstLineChars="200"/>
              <w:rPr>
                <w:rFonts w:ascii="宋体" w:hAnsi="宋体" w:cs="宋体"/>
                <w:szCs w:val="21"/>
                <w:highlight w:val="none"/>
              </w:rPr>
            </w:pPr>
            <w:r>
              <w:rPr>
                <w:rFonts w:hint="eastAsia" w:ascii="宋体" w:hAnsi="宋体" w:cs="宋体"/>
                <w:szCs w:val="21"/>
                <w:highlight w:val="none"/>
              </w:rPr>
              <w:t>商务联系人：蒋老师</w:t>
            </w:r>
          </w:p>
        </w:tc>
        <w:tc>
          <w:tcPr>
            <w:tcW w:w="1415" w:type="dxa"/>
            <w:vAlign w:val="center"/>
          </w:tcPr>
          <w:p>
            <w:pPr>
              <w:spacing w:line="400" w:lineRule="exact"/>
              <w:ind w:firstLine="420" w:firstLineChars="200"/>
              <w:rPr>
                <w:rFonts w:ascii="宋体" w:hAnsi="宋体" w:cs="宋体"/>
                <w:szCs w:val="21"/>
                <w:highlight w:val="none"/>
              </w:rPr>
            </w:pPr>
          </w:p>
        </w:tc>
      </w:tr>
      <w:tr>
        <w:tblPrEx>
          <w:tblLayout w:type="fixed"/>
          <w:tblCellMar>
            <w:top w:w="0" w:type="dxa"/>
            <w:left w:w="108" w:type="dxa"/>
            <w:bottom w:w="0" w:type="dxa"/>
            <w:right w:w="108" w:type="dxa"/>
          </w:tblCellMar>
        </w:tblPrEx>
        <w:trPr>
          <w:trHeight w:val="80" w:hRule="atLeast"/>
        </w:trPr>
        <w:tc>
          <w:tcPr>
            <w:tcW w:w="8213" w:type="dxa"/>
            <w:vAlign w:val="center"/>
          </w:tcPr>
          <w:p>
            <w:pPr>
              <w:topLinePunct/>
              <w:spacing w:line="420" w:lineRule="exact"/>
              <w:ind w:firstLine="420" w:firstLineChars="200"/>
              <w:rPr>
                <w:rFonts w:ascii="宋体" w:hAnsi="宋体" w:cs="宋体"/>
                <w:szCs w:val="21"/>
                <w:highlight w:val="none"/>
              </w:rPr>
            </w:pPr>
            <w:r>
              <w:rPr>
                <w:rFonts w:hint="eastAsia" w:ascii="宋体" w:hAnsi="宋体" w:cs="宋体"/>
                <w:szCs w:val="21"/>
                <w:highlight w:val="none"/>
              </w:rPr>
              <w:t>电 话：18523055172</w:t>
            </w:r>
          </w:p>
        </w:tc>
        <w:tc>
          <w:tcPr>
            <w:tcW w:w="1415" w:type="dxa"/>
            <w:vAlign w:val="center"/>
          </w:tcPr>
          <w:p>
            <w:pPr>
              <w:spacing w:line="400" w:lineRule="exact"/>
              <w:ind w:firstLine="420" w:firstLineChars="200"/>
              <w:rPr>
                <w:rFonts w:ascii="宋体" w:hAnsi="宋体" w:cs="宋体"/>
                <w:szCs w:val="21"/>
                <w:highlight w:val="none"/>
              </w:rPr>
            </w:pPr>
          </w:p>
        </w:tc>
      </w:tr>
    </w:tbl>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bookmarkEnd w:id="17"/>
    <w:bookmarkEnd w:id="18"/>
    <w:p>
      <w:pPr>
        <w:pStyle w:val="3"/>
        <w:spacing w:before="0" w:after="0" w:line="360" w:lineRule="auto"/>
        <w:jc w:val="center"/>
        <w:rPr>
          <w:rFonts w:ascii="宋体" w:hAnsi="宋体" w:cs="宋体"/>
          <w:highlight w:val="none"/>
        </w:rPr>
      </w:pPr>
      <w:bookmarkStart w:id="98" w:name="_Toc246996173"/>
      <w:bookmarkStart w:id="99" w:name="_Toc507319898"/>
      <w:bookmarkStart w:id="100" w:name="_Toc144974495"/>
      <w:bookmarkStart w:id="101" w:name="_Toc152042303"/>
      <w:bookmarkStart w:id="102" w:name="_Toc2000405"/>
      <w:bookmarkStart w:id="103" w:name="_Toc247085687"/>
      <w:bookmarkStart w:id="104" w:name="_Toc179632544"/>
      <w:bookmarkStart w:id="105" w:name="_Toc246996916"/>
      <w:bookmarkStart w:id="106" w:name="_Toc21719"/>
      <w:bookmarkStart w:id="107" w:name="_Toc152045527"/>
      <w:r>
        <w:rPr>
          <w:rFonts w:hint="eastAsia" w:ascii="宋体" w:hAnsi="宋体" w:cs="宋体"/>
          <w:highlight w:val="none"/>
        </w:rPr>
        <w:br w:type="page"/>
      </w:r>
      <w:bookmarkStart w:id="108" w:name="_Toc14597"/>
      <w:r>
        <w:rPr>
          <w:rFonts w:hint="eastAsia" w:ascii="宋体" w:hAnsi="宋体" w:cs="宋体"/>
          <w:highlight w:val="none"/>
        </w:rPr>
        <w:t>第二章 报价人须知</w:t>
      </w:r>
      <w:bookmarkEnd w:id="98"/>
      <w:bookmarkEnd w:id="99"/>
      <w:bookmarkEnd w:id="100"/>
      <w:bookmarkEnd w:id="101"/>
      <w:bookmarkEnd w:id="102"/>
      <w:bookmarkEnd w:id="103"/>
      <w:bookmarkEnd w:id="104"/>
      <w:bookmarkEnd w:id="105"/>
      <w:bookmarkEnd w:id="106"/>
      <w:bookmarkEnd w:id="107"/>
      <w:bookmarkEnd w:id="108"/>
    </w:p>
    <w:p>
      <w:pPr>
        <w:rPr>
          <w:highlight w:val="none"/>
        </w:rPr>
      </w:pPr>
    </w:p>
    <w:tbl>
      <w:tblPr>
        <w:tblStyle w:val="47"/>
        <w:tblW w:w="99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kern w:val="0"/>
                <w:szCs w:val="21"/>
                <w:highlight w:val="none"/>
              </w:rPr>
            </w:pPr>
            <w:bookmarkStart w:id="109" w:name="_Toc326760840"/>
            <w:r>
              <w:rPr>
                <w:rFonts w:hint="eastAsia" w:ascii="宋体" w:hAnsi="宋体" w:cs="宋体"/>
                <w:b/>
                <w:kern w:val="0"/>
                <w:szCs w:val="21"/>
                <w:highlight w:val="none"/>
              </w:rPr>
              <w:t>序号</w:t>
            </w:r>
          </w:p>
        </w:tc>
        <w:tc>
          <w:tcPr>
            <w:tcW w:w="2106" w:type="dxa"/>
            <w:vAlign w:val="center"/>
          </w:tcPr>
          <w:p>
            <w:pPr>
              <w:spacing w:line="400" w:lineRule="exact"/>
              <w:jc w:val="center"/>
              <w:rPr>
                <w:rFonts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pPr>
              <w:spacing w:line="400" w:lineRule="exact"/>
              <w:ind w:firstLine="422" w:firstLineChars="200"/>
              <w:jc w:val="center"/>
              <w:rPr>
                <w:rFonts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采购人：重庆首讯科技股份有限公司</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地  址：重庆市南岸区四公里内环入口高速集团首讯科技大楼</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联系人：蒋老师</w:t>
            </w:r>
          </w:p>
          <w:p>
            <w:pPr>
              <w:topLinePunct/>
              <w:spacing w:line="420" w:lineRule="exact"/>
              <w:ind w:firstLine="420" w:firstLineChars="200"/>
              <w:rPr>
                <w:highlight w:val="none"/>
              </w:rPr>
            </w:pPr>
            <w:r>
              <w:rPr>
                <w:rFonts w:hint="eastAsia" w:ascii="宋体" w:hAnsi="宋体" w:cs="宋体"/>
                <w:szCs w:val="21"/>
                <w:highlight w:val="none"/>
              </w:rPr>
              <w:t>电  话：18523055172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2</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lang w:eastAsia="zh-CN"/>
              </w:rPr>
              <w:t>首讯公司安全标准化达标认证咨询服务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3</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项目地点</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4</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资金来源</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重庆首讯科技股份有限公司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5</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出资比例</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业主100%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6</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资金落实情况</w:t>
            </w:r>
          </w:p>
        </w:tc>
        <w:tc>
          <w:tcPr>
            <w:tcW w:w="7104" w:type="dxa"/>
            <w:vAlign w:val="center"/>
          </w:tcPr>
          <w:p>
            <w:pPr>
              <w:autoSpaceDE w:val="0"/>
              <w:autoSpaceDN w:val="0"/>
              <w:adjustRightInd w:val="0"/>
              <w:spacing w:line="400" w:lineRule="exact"/>
              <w:ind w:firstLine="420" w:firstLineChars="200"/>
              <w:rPr>
                <w:rFonts w:ascii="宋体" w:hAnsi="宋体" w:cs="宋体"/>
                <w:szCs w:val="21"/>
                <w:highlight w:val="none"/>
              </w:rPr>
            </w:pPr>
            <w:r>
              <w:rPr>
                <w:rFonts w:hint="eastAsia" w:ascii="宋体" w:hAnsi="宋体" w:cs="宋体"/>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7</w:t>
            </w:r>
          </w:p>
        </w:tc>
        <w:tc>
          <w:tcPr>
            <w:tcW w:w="2106"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8</w:t>
            </w:r>
          </w:p>
        </w:tc>
        <w:tc>
          <w:tcPr>
            <w:tcW w:w="2106" w:type="dxa"/>
            <w:vAlign w:val="center"/>
          </w:tcPr>
          <w:p>
            <w:pPr>
              <w:spacing w:line="400" w:lineRule="exact"/>
              <w:jc w:val="center"/>
              <w:rPr>
                <w:rFonts w:ascii="宋体" w:hAnsi="宋体" w:cs="宋体"/>
                <w:szCs w:val="21"/>
                <w:highlight w:val="none"/>
              </w:rPr>
            </w:pPr>
            <w:r>
              <w:rPr>
                <w:rFonts w:hint="eastAsia" w:ascii="宋体" w:hAnsi="宋体" w:cs="宋体"/>
                <w:kern w:val="0"/>
                <w:szCs w:val="21"/>
                <w:highlight w:val="none"/>
              </w:rPr>
              <w:t>计划工期</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9</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质量要求</w:t>
            </w:r>
          </w:p>
        </w:tc>
        <w:tc>
          <w:tcPr>
            <w:tcW w:w="7104" w:type="dxa"/>
          </w:tcPr>
          <w:p>
            <w:pPr>
              <w:spacing w:line="400" w:lineRule="exact"/>
              <w:ind w:firstLine="420" w:firstLineChars="200"/>
              <w:rPr>
                <w:rFonts w:ascii="宋体" w:hAnsi="宋体" w:cs="宋体"/>
                <w:kern w:val="0"/>
                <w:szCs w:val="21"/>
                <w:highlight w:val="none"/>
              </w:rPr>
            </w:pPr>
            <w:r>
              <w:rPr>
                <w:rFonts w:hint="eastAsia" w:ascii="宋体" w:hAnsi="宋体" w:cs="宋体"/>
                <w:szCs w:val="21"/>
                <w:highlight w:val="none"/>
              </w:rPr>
              <w:t>达到国家和地方现行有关质量标准和比选文件第七章技术标准和工作要求，并且一次性验收合格。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10</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安全目标</w:t>
            </w:r>
          </w:p>
        </w:tc>
        <w:tc>
          <w:tcPr>
            <w:tcW w:w="7104" w:type="dxa"/>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11</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szCs w:val="21"/>
                <w:highlight w:val="none"/>
              </w:rPr>
              <w:t>报价人资质条件、能力与信誉</w:t>
            </w:r>
          </w:p>
        </w:tc>
        <w:tc>
          <w:tcPr>
            <w:tcW w:w="7104"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（1）资质条件：见附录1</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（2）财务要求：见附录2</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（3）业绩要求：见附录3</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（4）信誉要求：见附录4</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（5）项目主要人员要求：见附录5</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（6）其他要求：见附录6、见附录7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12</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是否接受</w:t>
            </w:r>
          </w:p>
          <w:p>
            <w:pPr>
              <w:spacing w:line="400" w:lineRule="exact"/>
              <w:jc w:val="center"/>
              <w:rPr>
                <w:rFonts w:ascii="宋体" w:hAnsi="宋体" w:cs="宋体"/>
                <w:kern w:val="0"/>
                <w:szCs w:val="21"/>
                <w:highlight w:val="none"/>
              </w:rPr>
            </w:pPr>
            <w:r>
              <w:rPr>
                <w:rFonts w:hint="eastAsia" w:ascii="宋体" w:hAnsi="宋体" w:cs="宋体"/>
                <w:kern w:val="0"/>
                <w:szCs w:val="21"/>
                <w:highlight w:val="none"/>
              </w:rPr>
              <w:t>联合体报价</w:t>
            </w:r>
          </w:p>
        </w:tc>
        <w:tc>
          <w:tcPr>
            <w:tcW w:w="7104" w:type="dxa"/>
            <w:vAlign w:val="center"/>
          </w:tcPr>
          <w:p>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13</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14</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15</w:t>
            </w:r>
          </w:p>
        </w:tc>
        <w:tc>
          <w:tcPr>
            <w:tcW w:w="2106"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pPr>
              <w:spacing w:line="400" w:lineRule="exact"/>
              <w:ind w:firstLine="422" w:firstLineChars="200"/>
              <w:rPr>
                <w:rFonts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16</w:t>
            </w:r>
          </w:p>
        </w:tc>
        <w:tc>
          <w:tcPr>
            <w:tcW w:w="2106" w:type="dxa"/>
            <w:vAlign w:val="center"/>
          </w:tcPr>
          <w:p>
            <w:pPr>
              <w:spacing w:line="440" w:lineRule="exact"/>
              <w:jc w:val="center"/>
              <w:rPr>
                <w:rFonts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pPr>
              <w:spacing w:line="440" w:lineRule="exact"/>
              <w:ind w:firstLine="420" w:firstLineChars="200"/>
              <w:rPr>
                <w:rFonts w:ascii="宋体" w:hAnsi="宋体" w:cs="宋体"/>
                <w:szCs w:val="21"/>
                <w:highlight w:val="none"/>
              </w:rPr>
            </w:pPr>
            <w:r>
              <w:rPr>
                <w:rFonts w:hint="eastAsia" w:ascii="宋体" w:hAnsi="宋体" w:cs="宋体"/>
                <w:szCs w:val="21"/>
                <w:highlight w:val="none"/>
              </w:rPr>
              <w:t>采购人发布的工程量清单、补遗书、答疑、澄清、最高限价通知等附件。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cs="宋体"/>
                <w:kern w:val="0"/>
                <w:szCs w:val="21"/>
                <w:highlight w:val="none"/>
              </w:rPr>
            </w:pPr>
            <w:bookmarkStart w:id="110" w:name="_Hlt227984024"/>
            <w:bookmarkEnd w:id="110"/>
            <w:r>
              <w:rPr>
                <w:rFonts w:hint="eastAsia" w:ascii="宋体" w:hAnsi="宋体" w:cs="宋体"/>
                <w:kern w:val="0"/>
                <w:szCs w:val="21"/>
                <w:highlight w:val="none"/>
              </w:rPr>
              <w:t>17</w:t>
            </w:r>
          </w:p>
        </w:tc>
        <w:tc>
          <w:tcPr>
            <w:tcW w:w="2106"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构成竞争性比选响应文件的其他材料</w:t>
            </w:r>
          </w:p>
        </w:tc>
        <w:tc>
          <w:tcPr>
            <w:tcW w:w="7104" w:type="dxa"/>
            <w:vAlign w:val="center"/>
          </w:tcPr>
          <w:p>
            <w:pPr>
              <w:pStyle w:val="146"/>
              <w:spacing w:before="72" w:line="400" w:lineRule="exact"/>
              <w:ind w:firstLine="420" w:firstLineChars="200"/>
              <w:jc w:val="both"/>
              <w:rPr>
                <w:rFonts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18</w:t>
            </w:r>
          </w:p>
        </w:tc>
        <w:tc>
          <w:tcPr>
            <w:tcW w:w="2106" w:type="dxa"/>
            <w:tcBorders>
              <w:bottom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工程量清单的填写方式</w:t>
            </w:r>
          </w:p>
        </w:tc>
        <w:tc>
          <w:tcPr>
            <w:tcW w:w="7104" w:type="dxa"/>
            <w:tcBorders>
              <w:bottom w:val="single" w:color="auto" w:sz="4" w:space="0"/>
            </w:tcBorders>
          </w:tcPr>
          <w:p>
            <w:pPr>
              <w:spacing w:line="400" w:lineRule="exact"/>
              <w:ind w:firstLine="420" w:firstLineChars="200"/>
              <w:jc w:val="left"/>
              <w:rPr>
                <w:rFonts w:ascii="宋体" w:hAnsi="宋体" w:cs="宋体"/>
                <w:szCs w:val="21"/>
                <w:highlight w:val="none"/>
              </w:rPr>
            </w:pPr>
            <w:r>
              <w:rPr>
                <w:rFonts w:hint="eastAsia" w:ascii="宋体" w:hAnsi="宋体" w:cs="宋体"/>
                <w:highlight w:val="none"/>
              </w:rPr>
              <w:t>报价人按照采购人提供的工程量清单填写工程量清单</w:t>
            </w:r>
          </w:p>
          <w:p>
            <w:pPr>
              <w:spacing w:line="400" w:lineRule="exact"/>
              <w:ind w:firstLine="422" w:firstLineChars="200"/>
              <w:rPr>
                <w:rFonts w:ascii="宋体" w:hAnsi="宋体" w:cs="宋体"/>
                <w:b/>
                <w:szCs w:val="21"/>
                <w:highlight w:val="none"/>
              </w:rPr>
            </w:pPr>
            <w:r>
              <w:rPr>
                <w:rFonts w:hint="eastAsia" w:ascii="宋体" w:hAnsi="宋体" w:cs="宋体"/>
                <w:b/>
                <w:szCs w:val="21"/>
                <w:highlight w:val="none"/>
              </w:rPr>
              <w:t>综合单价取小数点后两位，小数点后第三位四舍五入。</w:t>
            </w:r>
          </w:p>
          <w:p>
            <w:pPr>
              <w:spacing w:line="400" w:lineRule="exact"/>
              <w:ind w:firstLine="422" w:firstLineChars="200"/>
              <w:rPr>
                <w:rFonts w:ascii="宋体" w:hAnsi="宋体" w:cs="宋体"/>
                <w:szCs w:val="21"/>
                <w:highlight w:val="none"/>
              </w:rPr>
            </w:pPr>
            <w:r>
              <w:rPr>
                <w:rFonts w:hint="eastAsia" w:ascii="宋体" w:hAnsi="宋体" w:cs="宋体"/>
                <w:b/>
                <w:bCs/>
                <w:szCs w:val="21"/>
                <w:highlight w:val="none"/>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19</w:t>
            </w:r>
          </w:p>
        </w:tc>
        <w:tc>
          <w:tcPr>
            <w:tcW w:w="2106"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tcPr>
          <w:p>
            <w:pPr>
              <w:spacing w:line="400" w:lineRule="exact"/>
              <w:ind w:firstLine="422" w:firstLineChars="200"/>
              <w:rPr>
                <w:rFonts w:ascii="宋体" w:hAnsi="宋体"/>
                <w:szCs w:val="21"/>
                <w:highlight w:val="none"/>
              </w:rPr>
            </w:pPr>
            <w:r>
              <w:rPr>
                <w:rFonts w:hint="eastAsia" w:ascii="宋体" w:hAnsi="宋体"/>
                <w:b/>
                <w:bCs/>
                <w:szCs w:val="21"/>
                <w:highlight w:val="none"/>
              </w:rPr>
              <w:t>本项目最高限价</w:t>
            </w:r>
            <w:r>
              <w:rPr>
                <w:rFonts w:ascii="宋体" w:hAnsi="宋体"/>
                <w:b/>
                <w:bCs/>
                <w:szCs w:val="21"/>
                <w:highlight w:val="none"/>
                <w:u w:val="single"/>
              </w:rPr>
              <w:t>1</w:t>
            </w:r>
            <w:r>
              <w:rPr>
                <w:rFonts w:hint="eastAsia" w:ascii="宋体" w:hAnsi="宋体"/>
                <w:b/>
                <w:bCs/>
                <w:szCs w:val="21"/>
                <w:highlight w:val="none"/>
                <w:u w:val="single"/>
                <w:lang w:val="en-US" w:eastAsia="zh-CN"/>
              </w:rPr>
              <w:t>0</w:t>
            </w:r>
            <w:r>
              <w:rPr>
                <w:rFonts w:ascii="宋体" w:hAnsi="宋体"/>
                <w:b/>
                <w:bCs/>
                <w:szCs w:val="21"/>
                <w:highlight w:val="none"/>
                <w:u w:val="single"/>
              </w:rPr>
              <w:t>0000</w:t>
            </w:r>
            <w:r>
              <w:rPr>
                <w:rFonts w:hint="eastAsia" w:ascii="宋体" w:hAnsi="宋体"/>
                <w:b/>
                <w:bCs/>
                <w:szCs w:val="21"/>
                <w:highlight w:val="none"/>
                <w:u w:val="single"/>
                <w:lang w:val="en-US" w:eastAsia="zh-CN"/>
              </w:rPr>
              <w:t>.00</w:t>
            </w:r>
            <w:r>
              <w:rPr>
                <w:rFonts w:hint="eastAsia" w:ascii="宋体" w:hAnsi="宋体"/>
                <w:b/>
                <w:bCs/>
                <w:szCs w:val="21"/>
                <w:highlight w:val="none"/>
              </w:rPr>
              <w:t>元。</w:t>
            </w:r>
          </w:p>
          <w:p>
            <w:pPr>
              <w:spacing w:line="400" w:lineRule="exact"/>
              <w:ind w:firstLine="422" w:firstLineChars="200"/>
              <w:rPr>
                <w:rFonts w:ascii="宋体" w:hAnsi="宋体" w:cs="宋体"/>
                <w:b/>
                <w:bCs/>
                <w:kern w:val="0"/>
                <w:szCs w:val="21"/>
                <w:highlight w:val="none"/>
              </w:rPr>
            </w:pPr>
            <w:r>
              <w:rPr>
                <w:rFonts w:hint="eastAsia" w:ascii="宋体" w:hAnsi="宋体" w:cs="宋体"/>
                <w:b/>
                <w:szCs w:val="21"/>
                <w:highlight w:val="none"/>
              </w:rPr>
              <w:t>报价人总价及单项目报价均不得高于采购人发布的最高限价和单项目限价，否则其竞争性比选响应文件视为重大偏差，竞争性比选响应文件将按否决报价处理</w:t>
            </w:r>
            <w:r>
              <w:rPr>
                <w:rFonts w:hint="eastAsia" w:ascii="宋体" w:hAnsi="宋体" w:cs="宋体"/>
                <w:b/>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20</w:t>
            </w:r>
          </w:p>
        </w:tc>
        <w:tc>
          <w:tcPr>
            <w:tcW w:w="2106"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合同支付办法</w:t>
            </w:r>
          </w:p>
        </w:tc>
        <w:tc>
          <w:tcPr>
            <w:tcW w:w="7104" w:type="dxa"/>
            <w:tcBorders>
              <w:bottom w:val="single" w:color="auto" w:sz="4" w:space="0"/>
            </w:tcBorders>
          </w:tcPr>
          <w:p>
            <w:pPr>
              <w:numPr>
                <w:ilvl w:val="0"/>
                <w:numId w:val="2"/>
              </w:numPr>
              <w:spacing w:line="276" w:lineRule="auto"/>
              <w:ind w:firstLine="420" w:firstLineChars="200"/>
              <w:rPr>
                <w:rFonts w:hint="eastAsia" w:ascii="宋体" w:hAnsi="宋体" w:cs="宋体"/>
                <w:highlight w:val="none"/>
                <w:lang w:val="en-US" w:eastAsia="zh-CN"/>
              </w:rPr>
            </w:pPr>
            <w:r>
              <w:rPr>
                <w:rFonts w:hint="eastAsia" w:ascii="宋体" w:hAnsi="宋体" w:cs="宋体"/>
                <w:highlight w:val="none"/>
                <w:lang w:val="en-US" w:eastAsia="zh-CN"/>
              </w:rPr>
              <w:t>签订合同后</w:t>
            </w:r>
            <w:r>
              <w:rPr>
                <w:rFonts w:hint="eastAsia" w:ascii="宋体" w:hAnsi="宋体" w:cs="宋体"/>
                <w:highlight w:val="none"/>
                <w:lang w:val="en-US" w:eastAsia="zh-CN"/>
              </w:rPr>
              <w:t>15个工作日内</w:t>
            </w:r>
            <w:r>
              <w:rPr>
                <w:rFonts w:hint="eastAsia" w:ascii="宋体" w:hAnsi="宋体" w:cs="宋体"/>
                <w:highlight w:val="none"/>
                <w:lang w:val="en-US" w:eastAsia="zh-CN"/>
              </w:rPr>
              <w:t>，支付</w:t>
            </w:r>
            <w:r>
              <w:rPr>
                <w:rFonts w:hint="eastAsia" w:ascii="宋体" w:hAnsi="宋体" w:cs="宋体"/>
                <w:highlight w:val="none"/>
                <w:lang w:val="en-US" w:eastAsia="zh-CN"/>
              </w:rPr>
              <w:t>合同总额</w:t>
            </w:r>
            <w:r>
              <w:rPr>
                <w:rFonts w:hint="eastAsia" w:ascii="宋体" w:hAnsi="宋体" w:cs="宋体"/>
                <w:highlight w:val="none"/>
                <w:lang w:val="en-US" w:eastAsia="zh-CN"/>
              </w:rPr>
              <w:t>30%的预付款；</w:t>
            </w:r>
          </w:p>
          <w:p>
            <w:pPr>
              <w:numPr>
                <w:ilvl w:val="0"/>
                <w:numId w:val="2"/>
              </w:numPr>
              <w:spacing w:line="276" w:lineRule="auto"/>
              <w:ind w:firstLine="420" w:firstLineChars="200"/>
              <w:rPr>
                <w:highlight w:val="none"/>
              </w:rPr>
            </w:pPr>
            <w:r>
              <w:rPr>
                <w:rFonts w:hint="eastAsia" w:ascii="宋体" w:hAnsi="宋体" w:cs="宋体"/>
                <w:highlight w:val="none"/>
                <w:lang w:val="en-US" w:eastAsia="zh-CN"/>
              </w:rPr>
              <w:t>通过</w:t>
            </w:r>
            <w:r>
              <w:rPr>
                <w:rFonts w:hint="eastAsia" w:ascii="宋体" w:hAnsi="宋体" w:cs="宋体"/>
                <w:kern w:val="0"/>
                <w:szCs w:val="21"/>
                <w:highlight w:val="none"/>
                <w:lang w:bidi="ar"/>
              </w:rPr>
              <w:t>安全生产标准化达标验收</w:t>
            </w:r>
            <w:r>
              <w:rPr>
                <w:rFonts w:hint="eastAsia" w:ascii="宋体" w:hAnsi="宋体" w:cs="宋体"/>
                <w:highlight w:val="none"/>
                <w:lang w:val="en-US" w:eastAsia="zh-CN"/>
              </w:rPr>
              <w:t>并取得达标等级证，支付至</w:t>
            </w:r>
            <w:r>
              <w:rPr>
                <w:rFonts w:hint="eastAsia" w:ascii="宋体" w:hAnsi="宋体" w:cs="宋体"/>
                <w:highlight w:val="none"/>
                <w:lang w:val="en-US" w:eastAsia="zh-CN"/>
              </w:rPr>
              <w:t>合同总额的</w:t>
            </w:r>
            <w:r>
              <w:rPr>
                <w:rFonts w:hint="eastAsia" w:ascii="宋体" w:hAnsi="宋体" w:cs="宋体"/>
                <w:highlight w:val="none"/>
                <w:lang w:val="en-US" w:eastAsia="zh-CN"/>
              </w:rPr>
              <w:t>60%；</w:t>
            </w:r>
          </w:p>
          <w:p>
            <w:pPr>
              <w:numPr>
                <w:ilvl w:val="0"/>
                <w:numId w:val="2"/>
              </w:numPr>
              <w:spacing w:line="276" w:lineRule="auto"/>
              <w:ind w:firstLine="420" w:firstLineChars="200"/>
              <w:rPr>
                <w:highlight w:val="none"/>
              </w:rPr>
            </w:pPr>
            <w:r>
              <w:rPr>
                <w:rFonts w:hint="eastAsia" w:ascii="宋体" w:hAnsi="宋体" w:cs="宋体"/>
                <w:highlight w:val="none"/>
                <w:lang w:val="en-US" w:eastAsia="zh-CN"/>
              </w:rPr>
              <w:t>完成第二年度核查工作后，支付至</w:t>
            </w:r>
            <w:r>
              <w:rPr>
                <w:rFonts w:hint="eastAsia" w:ascii="宋体" w:hAnsi="宋体" w:cs="宋体"/>
                <w:highlight w:val="none"/>
                <w:lang w:val="en-US" w:eastAsia="zh-CN"/>
              </w:rPr>
              <w:t>合同总额的</w:t>
            </w:r>
            <w:r>
              <w:rPr>
                <w:rFonts w:hint="eastAsia" w:ascii="宋体" w:hAnsi="宋体" w:cs="宋体"/>
                <w:highlight w:val="none"/>
                <w:lang w:val="en-US" w:eastAsia="zh-CN"/>
              </w:rPr>
              <w:t>80%；</w:t>
            </w:r>
          </w:p>
          <w:p>
            <w:pPr>
              <w:numPr>
                <w:ilvl w:val="0"/>
                <w:numId w:val="2"/>
              </w:numPr>
              <w:spacing w:line="276" w:lineRule="auto"/>
              <w:ind w:firstLine="420" w:firstLineChars="200"/>
              <w:rPr>
                <w:highlight w:val="none"/>
              </w:rPr>
            </w:pPr>
            <w:r>
              <w:rPr>
                <w:rFonts w:hint="eastAsia" w:ascii="宋体" w:hAnsi="宋体" w:cs="宋体"/>
                <w:highlight w:val="none"/>
                <w:lang w:val="en-US" w:eastAsia="zh-CN"/>
              </w:rPr>
              <w:t>完成第三年度核查工作后，支付至</w:t>
            </w:r>
            <w:r>
              <w:rPr>
                <w:rFonts w:hint="eastAsia" w:ascii="宋体" w:hAnsi="宋体" w:cs="宋体"/>
                <w:highlight w:val="none"/>
                <w:lang w:val="en-US" w:eastAsia="zh-CN"/>
              </w:rPr>
              <w:t>合同总额的</w:t>
            </w:r>
            <w:r>
              <w:rPr>
                <w:rFonts w:hint="eastAsia" w:ascii="宋体" w:hAnsi="宋体" w:cs="宋体"/>
                <w:highlight w:val="none"/>
                <w:lang w:val="en-US" w:eastAsia="zh-CN"/>
              </w:rPr>
              <w:t>100%</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21</w:t>
            </w:r>
          </w:p>
        </w:tc>
        <w:tc>
          <w:tcPr>
            <w:tcW w:w="2106"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乙方人员的管理</w:t>
            </w:r>
          </w:p>
        </w:tc>
        <w:tc>
          <w:tcPr>
            <w:tcW w:w="7104" w:type="dxa"/>
            <w:tcBorders>
              <w:bottom w:val="single" w:color="auto" w:sz="4" w:space="0"/>
            </w:tcBorders>
          </w:tcPr>
          <w:p>
            <w:pPr>
              <w:spacing w:line="400" w:lineRule="exact"/>
              <w:ind w:firstLine="420" w:firstLineChars="200"/>
              <w:rPr>
                <w:rFonts w:hint="eastAsia" w:eastAsia="宋体"/>
                <w:highlight w:val="none"/>
                <w:lang w:eastAsia="zh-CN"/>
              </w:rPr>
            </w:pPr>
            <w:r>
              <w:rPr>
                <w:rFonts w:hint="eastAsia" w:ascii="宋体" w:hAnsi="宋体" w:cs="宋体"/>
                <w:szCs w:val="21"/>
                <w:highlight w:val="none"/>
                <w:lang w:val="en-US" w:eastAsia="zh-CN"/>
              </w:rPr>
              <w:t>项目负责人具有注册安全工程师资格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22</w:t>
            </w:r>
          </w:p>
        </w:tc>
        <w:tc>
          <w:tcPr>
            <w:tcW w:w="2106" w:type="dxa"/>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szCs w:val="21"/>
                <w:highlight w:val="none"/>
              </w:rPr>
              <w:t>乙方人员违约的处理</w:t>
            </w:r>
          </w:p>
        </w:tc>
        <w:tc>
          <w:tcPr>
            <w:tcW w:w="7104" w:type="dxa"/>
            <w:tcBorders>
              <w:bottom w:val="single" w:color="auto" w:sz="4" w:space="0"/>
            </w:tcBorders>
          </w:tcPr>
          <w:p>
            <w:pPr>
              <w:spacing w:line="400" w:lineRule="exact"/>
              <w:rPr>
                <w:highlight w:val="none"/>
              </w:rPr>
            </w:pPr>
            <w:r>
              <w:rPr>
                <w:rFonts w:hint="eastAsia"/>
                <w:highlight w:val="none"/>
                <w:lang w:val="en-US" w:eastAsia="zh-CN"/>
              </w:rPr>
              <w:t>1</w:t>
            </w:r>
            <w:r>
              <w:rPr>
                <w:rFonts w:hint="eastAsia"/>
                <w:highlight w:val="none"/>
              </w:rPr>
              <w:t>. 乙方未能按合同进度计划及时完成合同约定的工作，已造成或预期造成工期延误，甲方有权终止乙方不能按合同约定或预期不能按时完成的剩余工程，并由甲方另行选择单位实施，且因此产生的费用由乙方承担。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22</w:t>
            </w:r>
          </w:p>
        </w:tc>
        <w:tc>
          <w:tcPr>
            <w:tcW w:w="2106" w:type="dxa"/>
          </w:tcPr>
          <w:p>
            <w:pPr>
              <w:spacing w:line="400" w:lineRule="exact"/>
              <w:jc w:val="center"/>
              <w:rPr>
                <w:rFonts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pPr>
              <w:spacing w:line="400" w:lineRule="exact"/>
              <w:ind w:firstLine="420" w:firstLineChars="200"/>
              <w:rPr>
                <w:rFonts w:ascii="宋体" w:hAnsi="宋体" w:cs="宋体"/>
                <w:highlight w:val="none"/>
              </w:rPr>
            </w:pPr>
            <w:r>
              <w:rPr>
                <w:rFonts w:hint="eastAsia" w:ascii="宋体" w:hAnsi="宋体" w:cs="宋体"/>
                <w:highlight w:val="none"/>
              </w:rPr>
              <w:t>推荐的中标候选人数：1名。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697" w:type="dxa"/>
            <w:vAlign w:val="center"/>
          </w:tcPr>
          <w:p>
            <w:pPr>
              <w:pStyle w:val="146"/>
              <w:spacing w:line="400" w:lineRule="exact"/>
              <w:jc w:val="center"/>
              <w:rPr>
                <w:rFonts w:hAnsi="宋体"/>
                <w:color w:val="auto"/>
                <w:sz w:val="21"/>
                <w:szCs w:val="21"/>
                <w:highlight w:val="none"/>
              </w:rPr>
            </w:pPr>
            <w:r>
              <w:rPr>
                <w:rFonts w:hint="eastAsia" w:hAnsi="宋体"/>
                <w:color w:val="auto"/>
                <w:kern w:val="2"/>
                <w:sz w:val="21"/>
                <w:szCs w:val="21"/>
                <w:highlight w:val="none"/>
              </w:rPr>
              <w:t>23</w:t>
            </w:r>
          </w:p>
        </w:tc>
        <w:tc>
          <w:tcPr>
            <w:tcW w:w="2106" w:type="dxa"/>
            <w:vAlign w:val="center"/>
          </w:tcPr>
          <w:p>
            <w:pPr>
              <w:pStyle w:val="146"/>
              <w:spacing w:line="400" w:lineRule="exact"/>
              <w:jc w:val="center"/>
              <w:rPr>
                <w:rFonts w:hAnsi="宋体"/>
                <w:color w:val="auto"/>
                <w:sz w:val="21"/>
                <w:szCs w:val="21"/>
                <w:highlight w:val="none"/>
              </w:rPr>
            </w:pPr>
            <w:r>
              <w:rPr>
                <w:rFonts w:hint="eastAsia" w:hAnsi="宋体"/>
                <w:color w:val="auto"/>
                <w:kern w:val="2"/>
                <w:sz w:val="21"/>
                <w:szCs w:val="21"/>
                <w:highlight w:val="none"/>
              </w:rPr>
              <w:t>监督部门</w:t>
            </w:r>
          </w:p>
        </w:tc>
        <w:tc>
          <w:tcPr>
            <w:tcW w:w="7104" w:type="dxa"/>
            <w:vAlign w:val="center"/>
          </w:tcPr>
          <w:p>
            <w:pPr>
              <w:pStyle w:val="146"/>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监督部门：重庆首讯科技股份有限公司党群人力部</w:t>
            </w:r>
          </w:p>
          <w:p>
            <w:pPr>
              <w:pStyle w:val="146"/>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地    址：重庆市南岸区四公里内环入口高速集团首讯科技大楼</w:t>
            </w:r>
          </w:p>
          <w:p>
            <w:pPr>
              <w:pStyle w:val="146"/>
              <w:spacing w:line="400" w:lineRule="exact"/>
              <w:ind w:firstLine="420" w:firstLineChars="200"/>
              <w:rPr>
                <w:rFonts w:hAnsi="宋体"/>
                <w:color w:val="auto"/>
                <w:sz w:val="21"/>
                <w:szCs w:val="21"/>
                <w:highlight w:val="none"/>
              </w:rPr>
            </w:pPr>
            <w:r>
              <w:rPr>
                <w:rFonts w:hint="eastAsia" w:hAnsi="宋体"/>
                <w:color w:val="auto"/>
                <w:kern w:val="2"/>
                <w:sz w:val="21"/>
                <w:szCs w:val="21"/>
                <w:highlight w:val="none"/>
              </w:rPr>
              <w:t>电    话：023-89021335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697" w:type="dxa"/>
            <w:vAlign w:val="center"/>
          </w:tcPr>
          <w:p>
            <w:pPr>
              <w:pStyle w:val="146"/>
              <w:spacing w:line="400" w:lineRule="exact"/>
              <w:jc w:val="center"/>
              <w:rPr>
                <w:rFonts w:hint="eastAsia"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24</w:t>
            </w:r>
          </w:p>
        </w:tc>
        <w:tc>
          <w:tcPr>
            <w:tcW w:w="2106" w:type="dxa"/>
            <w:vAlign w:val="center"/>
          </w:tcPr>
          <w:p>
            <w:pPr>
              <w:pStyle w:val="146"/>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rPr>
              <w:t>竞争性比选响应文件的递交</w:t>
            </w:r>
          </w:p>
        </w:tc>
        <w:tc>
          <w:tcPr>
            <w:tcW w:w="7104" w:type="dxa"/>
            <w:vAlign w:val="center"/>
          </w:tcPr>
          <w:p>
            <w:pPr>
              <w:pStyle w:val="146"/>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1.报价截止时间和开标时间：2021年</w:t>
            </w:r>
            <w:r>
              <w:rPr>
                <w:rFonts w:hint="eastAsia" w:hAnsi="宋体"/>
                <w:color w:val="auto"/>
                <w:kern w:val="2"/>
                <w:sz w:val="21"/>
                <w:szCs w:val="21"/>
                <w:highlight w:val="none"/>
                <w:lang w:val="en-US" w:eastAsia="zh-CN"/>
              </w:rPr>
              <w:t>7</w:t>
            </w:r>
            <w:r>
              <w:rPr>
                <w:rFonts w:hint="eastAsia" w:hAnsi="宋体"/>
                <w:color w:val="auto"/>
                <w:kern w:val="2"/>
                <w:sz w:val="21"/>
                <w:szCs w:val="21"/>
                <w:highlight w:val="none"/>
              </w:rPr>
              <w:t>月</w:t>
            </w:r>
            <w:r>
              <w:rPr>
                <w:rFonts w:hint="eastAsia" w:hAnsi="宋体"/>
                <w:color w:val="auto"/>
                <w:kern w:val="2"/>
                <w:sz w:val="21"/>
                <w:szCs w:val="21"/>
                <w:highlight w:val="none"/>
                <w:lang w:val="en-US" w:eastAsia="zh-CN"/>
              </w:rPr>
              <w:t>12</w:t>
            </w:r>
            <w:r>
              <w:rPr>
                <w:rFonts w:hint="eastAsia" w:hAnsi="宋体"/>
                <w:color w:val="auto"/>
                <w:kern w:val="2"/>
                <w:sz w:val="21"/>
                <w:szCs w:val="21"/>
                <w:highlight w:val="none"/>
              </w:rPr>
              <w:t>日下午15时 00分（北京时间）。</w:t>
            </w:r>
          </w:p>
          <w:p>
            <w:pPr>
              <w:pStyle w:val="146"/>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2.报价地点和开标地点：重庆首讯科技股份有限公司（重庆市南岸区四公里内环入口高速集团首讯科技大楼307室）。</w:t>
            </w:r>
          </w:p>
          <w:p>
            <w:pPr>
              <w:pStyle w:val="146"/>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3.逾期送达，或未送达指定地点，或未密封的竞争性比选响应文件，采购人不予受理。</w:t>
            </w:r>
          </w:p>
          <w:p>
            <w:pPr>
              <w:pStyle w:val="146"/>
              <w:spacing w:line="400" w:lineRule="exact"/>
              <w:ind w:firstLine="420" w:firstLineChars="200"/>
              <w:rPr>
                <w:rFonts w:hint="eastAsia"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4.文件递交方式：现场递交或邮寄，若采用现场递交方式需在投标截止当天将文件送达并参与现场开标；若采用邮寄方式需用EMS邮寄至重庆市南岸区四公里重庆首讯科技股份有限公司，否则采购人有权拒收，采用邮寄方式的报价人默认认可采购人的开标结果，不得由此提出任何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697" w:type="dxa"/>
            <w:vAlign w:val="center"/>
          </w:tcPr>
          <w:p>
            <w:pPr>
              <w:pStyle w:val="146"/>
              <w:spacing w:line="400" w:lineRule="exact"/>
              <w:jc w:val="center"/>
              <w:rPr>
                <w:rFonts w:hint="eastAsia"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25</w:t>
            </w:r>
          </w:p>
        </w:tc>
        <w:tc>
          <w:tcPr>
            <w:tcW w:w="2106" w:type="dxa"/>
            <w:vAlign w:val="center"/>
          </w:tcPr>
          <w:p>
            <w:pPr>
              <w:pStyle w:val="146"/>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rPr>
              <w:t>本次竞争性比选响应文件的组成</w:t>
            </w:r>
          </w:p>
        </w:tc>
        <w:tc>
          <w:tcPr>
            <w:tcW w:w="7104" w:type="dxa"/>
            <w:vAlign w:val="center"/>
          </w:tcPr>
          <w:p>
            <w:pPr>
              <w:pStyle w:val="146"/>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1.报价文件由正本一份，副本一份组成，封面右上角需标注“正本”、“副本”加以区别，所有报价文件需密封到一个封袋中。</w:t>
            </w:r>
          </w:p>
          <w:p>
            <w:pPr>
              <w:pStyle w:val="146"/>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2.竞争性比选响应声明书、报价函、资格要求材料、报价人认为需要提供的其他相关文件（注：以上所有文件均须逐页加盖报价人的公章）。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697" w:type="dxa"/>
            <w:vAlign w:val="center"/>
          </w:tcPr>
          <w:p>
            <w:pPr>
              <w:pStyle w:val="146"/>
              <w:spacing w:line="400" w:lineRule="exact"/>
              <w:jc w:val="center"/>
              <w:rPr>
                <w:rFonts w:hint="eastAsia"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26</w:t>
            </w:r>
          </w:p>
        </w:tc>
        <w:tc>
          <w:tcPr>
            <w:tcW w:w="2106" w:type="dxa"/>
            <w:vAlign w:val="center"/>
          </w:tcPr>
          <w:p>
            <w:pPr>
              <w:pStyle w:val="146"/>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rPr>
              <w:t>密封要求</w:t>
            </w:r>
          </w:p>
        </w:tc>
        <w:tc>
          <w:tcPr>
            <w:tcW w:w="7104" w:type="dxa"/>
            <w:vAlign w:val="center"/>
          </w:tcPr>
          <w:p>
            <w:pPr>
              <w:pStyle w:val="146"/>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竞争性比选响应文件密封到一个封袋中，在封套上写明：</w:t>
            </w:r>
          </w:p>
          <w:p>
            <w:pPr>
              <w:pStyle w:val="146"/>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lang w:eastAsia="zh-CN"/>
              </w:rPr>
              <w:t>首讯公司安全标准化达标认证咨询服务</w:t>
            </w:r>
            <w:r>
              <w:rPr>
                <w:rFonts w:hint="eastAsia" w:hAnsi="宋体"/>
                <w:color w:val="auto"/>
                <w:kern w:val="2"/>
                <w:sz w:val="21"/>
                <w:szCs w:val="21"/>
                <w:highlight w:val="none"/>
              </w:rPr>
              <w:t>竞争性比选响应文件</w:t>
            </w:r>
          </w:p>
          <w:p>
            <w:pPr>
              <w:pStyle w:val="146"/>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在2021年</w:t>
            </w:r>
            <w:r>
              <w:rPr>
                <w:rFonts w:hint="eastAsia" w:hAnsi="宋体"/>
                <w:color w:val="auto"/>
                <w:kern w:val="2"/>
                <w:sz w:val="21"/>
                <w:szCs w:val="21"/>
                <w:highlight w:val="none"/>
                <w:lang w:val="en-US" w:eastAsia="zh-CN"/>
              </w:rPr>
              <w:t>7</w:t>
            </w:r>
            <w:r>
              <w:rPr>
                <w:rFonts w:hint="eastAsia" w:hAnsi="宋体"/>
                <w:color w:val="auto"/>
                <w:kern w:val="2"/>
                <w:sz w:val="21"/>
                <w:szCs w:val="21"/>
                <w:highlight w:val="none"/>
              </w:rPr>
              <w:t>月</w:t>
            </w:r>
            <w:r>
              <w:rPr>
                <w:rFonts w:hint="eastAsia" w:hAnsi="宋体"/>
                <w:color w:val="auto"/>
                <w:kern w:val="2"/>
                <w:sz w:val="21"/>
                <w:szCs w:val="21"/>
                <w:highlight w:val="none"/>
                <w:lang w:val="en-US" w:eastAsia="zh-CN"/>
              </w:rPr>
              <w:t>12</w:t>
            </w:r>
            <w:r>
              <w:rPr>
                <w:rFonts w:hint="eastAsia" w:hAnsi="宋体"/>
                <w:color w:val="auto"/>
                <w:kern w:val="2"/>
                <w:sz w:val="21"/>
                <w:szCs w:val="21"/>
                <w:highlight w:val="none"/>
              </w:rPr>
              <w:t>日下午15：00时前不得开启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697" w:type="dxa"/>
            <w:vAlign w:val="center"/>
          </w:tcPr>
          <w:p>
            <w:pPr>
              <w:pStyle w:val="146"/>
              <w:spacing w:line="400" w:lineRule="exact"/>
              <w:jc w:val="center"/>
              <w:rPr>
                <w:rFonts w:hint="eastAsia" w:hAnsi="宋体" w:eastAsia="宋体"/>
                <w:color w:val="auto"/>
                <w:kern w:val="2"/>
                <w:sz w:val="21"/>
                <w:szCs w:val="21"/>
                <w:highlight w:val="none"/>
                <w:lang w:eastAsia="zh-CN"/>
              </w:rPr>
            </w:pPr>
            <w:r>
              <w:rPr>
                <w:rFonts w:hint="eastAsia" w:hAnsi="宋体"/>
                <w:color w:val="auto"/>
                <w:kern w:val="2"/>
                <w:sz w:val="21"/>
                <w:szCs w:val="21"/>
                <w:highlight w:val="none"/>
                <w:lang w:val="en-US" w:eastAsia="zh-CN"/>
              </w:rPr>
              <w:t>27</w:t>
            </w:r>
          </w:p>
        </w:tc>
        <w:tc>
          <w:tcPr>
            <w:tcW w:w="9210" w:type="dxa"/>
            <w:gridSpan w:val="2"/>
            <w:vAlign w:val="center"/>
          </w:tcPr>
          <w:p>
            <w:pPr>
              <w:pStyle w:val="146"/>
              <w:spacing w:line="400" w:lineRule="exact"/>
              <w:ind w:firstLine="482" w:firstLineChars="200"/>
              <w:jc w:val="center"/>
              <w:rPr>
                <w:rFonts w:hAnsi="宋体"/>
                <w:color w:val="auto"/>
                <w:kern w:val="2"/>
                <w:sz w:val="21"/>
                <w:szCs w:val="21"/>
                <w:highlight w:val="none"/>
              </w:rPr>
            </w:pPr>
            <w:r>
              <w:rPr>
                <w:rFonts w:hAnsi="宋体"/>
                <w:b/>
                <w:bCs/>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697" w:type="dxa"/>
            <w:vAlign w:val="center"/>
          </w:tcPr>
          <w:p>
            <w:pPr>
              <w:pStyle w:val="146"/>
              <w:spacing w:line="400" w:lineRule="exact"/>
              <w:jc w:val="center"/>
              <w:rPr>
                <w:rFonts w:hAnsi="宋体"/>
                <w:color w:val="auto"/>
                <w:kern w:val="2"/>
                <w:sz w:val="21"/>
                <w:szCs w:val="21"/>
                <w:highlight w:val="none"/>
              </w:rPr>
            </w:pPr>
            <w:r>
              <w:rPr>
                <w:rFonts w:hint="eastAsia" w:hAnsi="宋体"/>
                <w:color w:val="auto"/>
                <w:kern w:val="2"/>
                <w:sz w:val="21"/>
                <w:szCs w:val="21"/>
                <w:highlight w:val="none"/>
              </w:rPr>
              <w:t>2</w:t>
            </w:r>
            <w:r>
              <w:rPr>
                <w:rFonts w:hint="eastAsia" w:hAnsi="宋体"/>
                <w:color w:val="auto"/>
                <w:kern w:val="2"/>
                <w:sz w:val="21"/>
                <w:szCs w:val="21"/>
                <w:highlight w:val="none"/>
                <w:lang w:val="en-US" w:eastAsia="zh-CN"/>
              </w:rPr>
              <w:t>7</w:t>
            </w:r>
            <w:r>
              <w:rPr>
                <w:rFonts w:hint="eastAsia" w:hAnsi="宋体"/>
                <w:color w:val="auto"/>
                <w:kern w:val="2"/>
                <w:sz w:val="21"/>
                <w:szCs w:val="21"/>
                <w:highlight w:val="none"/>
              </w:rPr>
              <w:t>.1</w:t>
            </w:r>
          </w:p>
        </w:tc>
        <w:tc>
          <w:tcPr>
            <w:tcW w:w="9210" w:type="dxa"/>
            <w:gridSpan w:val="2"/>
            <w:vAlign w:val="center"/>
          </w:tcPr>
          <w:p>
            <w:pPr>
              <w:pStyle w:val="146"/>
              <w:spacing w:line="400" w:lineRule="exact"/>
              <w:ind w:firstLine="420" w:firstLineChars="200"/>
              <w:rPr>
                <w:rFonts w:hAnsi="宋体"/>
                <w:b/>
                <w:bCs/>
                <w:szCs w:val="21"/>
                <w:highlight w:val="none"/>
              </w:rPr>
            </w:pPr>
            <w:r>
              <w:rPr>
                <w:rFonts w:hint="eastAsia" w:hAnsi="宋体"/>
                <w:sz w:val="21"/>
                <w:szCs w:val="21"/>
                <w:highlight w:val="none"/>
              </w:rPr>
              <w:t>截止竞争性比选响应文件递交时间，递交竞争性比选响应文件不足3家的不得开启竞争性比选文件。</w:t>
            </w:r>
          </w:p>
        </w:tc>
      </w:tr>
      <w:bookmarkEnd w:id="109"/>
    </w:tbl>
    <w:p>
      <w:pPr>
        <w:spacing w:line="360" w:lineRule="auto"/>
        <w:jc w:val="center"/>
        <w:rPr>
          <w:rFonts w:ascii="宋体" w:hAnsi="宋体" w:cs="宋体"/>
          <w:b/>
          <w:sz w:val="28"/>
          <w:szCs w:val="28"/>
          <w:highlight w:val="none"/>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ascii="宋体" w:hAnsi="宋体" w:eastAsia="宋体" w:cs="宋体"/>
          <w:sz w:val="30"/>
          <w:szCs w:val="30"/>
          <w:highlight w:val="none"/>
        </w:rPr>
      </w:pPr>
      <w:bookmarkStart w:id="111" w:name="_Toc30198"/>
      <w:bookmarkStart w:id="112" w:name="_Toc11284"/>
      <w:bookmarkStart w:id="113" w:name="_Toc11329222"/>
      <w:bookmarkStart w:id="114" w:name="_Toc17399"/>
      <w:bookmarkStart w:id="115" w:name="_Toc17532"/>
      <w:r>
        <w:rPr>
          <w:rFonts w:hint="eastAsia" w:ascii="宋体" w:hAnsi="宋体" w:eastAsia="宋体" w:cs="宋体"/>
          <w:sz w:val="28"/>
          <w:szCs w:val="28"/>
          <w:highlight w:val="none"/>
        </w:rPr>
        <w:t>附录1  资格审查条件（资质最低要求）</w:t>
      </w:r>
      <w:bookmarkEnd w:id="111"/>
      <w:bookmarkEnd w:id="112"/>
      <w:bookmarkEnd w:id="113"/>
      <w:bookmarkEnd w:id="114"/>
      <w:bookmarkEnd w:id="115"/>
    </w:p>
    <w:tbl>
      <w:tblPr>
        <w:tblStyle w:val="47"/>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9108"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企业资质要求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1" w:hRule="atLeast"/>
          <w:jc w:val="center"/>
        </w:trPr>
        <w:tc>
          <w:tcPr>
            <w:tcW w:w="9108" w:type="dxa"/>
          </w:tcPr>
          <w:p>
            <w:pPr>
              <w:spacing w:line="360" w:lineRule="auto"/>
              <w:rPr>
                <w:highlight w:val="none"/>
              </w:rPr>
            </w:pPr>
            <w:r>
              <w:rPr>
                <w:rFonts w:hint="eastAsia"/>
                <w:highlight w:val="none"/>
              </w:rPr>
              <w:t>1.具有独立法人资格；</w:t>
            </w:r>
          </w:p>
          <w:p>
            <w:pPr>
              <w:spacing w:line="360" w:lineRule="auto"/>
              <w:rPr>
                <w:highlight w:val="none"/>
              </w:rPr>
            </w:pPr>
            <w:r>
              <w:rPr>
                <w:rFonts w:hint="eastAsia"/>
                <w:highlight w:val="none"/>
              </w:rPr>
              <w:t>2.具有有效的营业执照；</w:t>
            </w:r>
          </w:p>
          <w:p>
            <w:pPr>
              <w:spacing w:line="360" w:lineRule="auto"/>
              <w:rPr>
                <w:highlight w:val="none"/>
              </w:rPr>
            </w:pPr>
            <w:r>
              <w:rPr>
                <w:rFonts w:hint="eastAsia"/>
                <w:highlight w:val="none"/>
              </w:rPr>
              <w:t>3.资质要求</w:t>
            </w:r>
            <w:r>
              <w:rPr>
                <w:rFonts w:hint="eastAsia"/>
                <w:highlight w:val="none"/>
                <w:lang w:eastAsia="zh-CN"/>
              </w:rPr>
              <w:t>：</w:t>
            </w:r>
            <w:r>
              <w:rPr>
                <w:rFonts w:hint="eastAsia"/>
                <w:highlight w:val="none"/>
              </w:rPr>
              <w:t>交通运输工程建设 安全生产标准化</w:t>
            </w:r>
            <w:r>
              <w:rPr>
                <w:rFonts w:hint="eastAsia"/>
                <w:highlight w:val="none"/>
                <w:lang w:val="en-US" w:eastAsia="zh-CN"/>
              </w:rPr>
              <w:t>一</w:t>
            </w:r>
            <w:r>
              <w:rPr>
                <w:rFonts w:hint="eastAsia"/>
                <w:highlight w:val="none"/>
              </w:rPr>
              <w:t>级评价机构；</w:t>
            </w:r>
          </w:p>
          <w:p>
            <w:pPr>
              <w:pStyle w:val="2"/>
              <w:rPr>
                <w:rFonts w:hint="default" w:eastAsia="宋体"/>
                <w:highlight w:val="none"/>
                <w:lang w:val="en-US" w:eastAsia="zh-CN"/>
              </w:rPr>
            </w:pPr>
          </w:p>
        </w:tc>
      </w:tr>
    </w:tbl>
    <w:p>
      <w:pPr>
        <w:spacing w:line="440" w:lineRule="exact"/>
        <w:ind w:firstLine="420" w:firstLineChars="200"/>
        <w:rPr>
          <w:rFonts w:ascii="宋体" w:hAnsi="宋体" w:cs="宋体"/>
          <w:highlight w:val="none"/>
        </w:rPr>
      </w:pPr>
      <w:r>
        <w:rPr>
          <w:rFonts w:hint="eastAsia" w:ascii="宋体" w:hAnsi="宋体" w:cs="宋体"/>
          <w:highlight w:val="none"/>
        </w:rPr>
        <w:t>注：须提供报价人营业执照、资质证书等复印件</w:t>
      </w:r>
      <w:r>
        <w:rPr>
          <w:rFonts w:hint="eastAsia" w:ascii="宋体" w:hAnsi="宋体" w:cs="宋体"/>
          <w:highlight w:val="none"/>
          <w:lang w:val="en-US" w:eastAsia="zh-CN"/>
        </w:rPr>
        <w:t>,</w:t>
      </w:r>
      <w:r>
        <w:rPr>
          <w:rFonts w:hint="eastAsia" w:ascii="宋体" w:hAnsi="宋体" w:cs="宋体"/>
          <w:highlight w:val="none"/>
        </w:rPr>
        <w:t>并加盖单位鲜公章。</w:t>
      </w:r>
    </w:p>
    <w:p>
      <w:pPr>
        <w:spacing w:line="440" w:lineRule="exact"/>
        <w:ind w:firstLine="413" w:firstLineChars="147"/>
        <w:jc w:val="center"/>
        <w:rPr>
          <w:rFonts w:ascii="宋体" w:hAnsi="宋体" w:cs="宋体"/>
          <w:b/>
          <w:sz w:val="28"/>
          <w:szCs w:val="28"/>
          <w:highlight w:val="none"/>
        </w:rPr>
      </w:pPr>
    </w:p>
    <w:p>
      <w:pPr>
        <w:pStyle w:val="4"/>
        <w:jc w:val="center"/>
        <w:rPr>
          <w:rFonts w:ascii="宋体" w:hAnsi="宋体" w:eastAsia="宋体" w:cs="宋体"/>
          <w:bCs w:val="0"/>
          <w:highlight w:val="none"/>
        </w:rPr>
      </w:pPr>
      <w:bookmarkStart w:id="116" w:name="_Toc17235"/>
      <w:bookmarkStart w:id="117" w:name="_Toc1778"/>
      <w:bookmarkStart w:id="118" w:name="_Toc30995"/>
      <w:bookmarkStart w:id="119" w:name="_Toc11329223"/>
      <w:bookmarkStart w:id="120" w:name="_Toc30363"/>
      <w:r>
        <w:rPr>
          <w:rFonts w:hint="eastAsia" w:ascii="宋体" w:hAnsi="宋体" w:eastAsia="宋体" w:cs="宋体"/>
          <w:bCs w:val="0"/>
          <w:sz w:val="28"/>
          <w:szCs w:val="28"/>
          <w:highlight w:val="none"/>
        </w:rPr>
        <w:t>附录2  资格审查条件（财务最低要求）</w:t>
      </w:r>
      <w:bookmarkEnd w:id="116"/>
      <w:bookmarkEnd w:id="117"/>
      <w:bookmarkEnd w:id="118"/>
      <w:bookmarkEnd w:id="119"/>
      <w:bookmarkEnd w:id="120"/>
    </w:p>
    <w:tbl>
      <w:tblPr>
        <w:tblStyle w:val="47"/>
        <w:tblW w:w="94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9484"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9484" w:type="dxa"/>
          </w:tcPr>
          <w:p>
            <w:pPr>
              <w:spacing w:line="400" w:lineRule="exact"/>
              <w:rPr>
                <w:highlight w:val="none"/>
              </w:rPr>
            </w:pPr>
            <w:r>
              <w:rPr>
                <w:rFonts w:hint="eastAsia"/>
                <w:highlight w:val="none"/>
              </w:rPr>
              <w:t>无要求</w:t>
            </w:r>
          </w:p>
        </w:tc>
      </w:tr>
    </w:tbl>
    <w:p>
      <w:pPr>
        <w:pStyle w:val="4"/>
        <w:jc w:val="center"/>
        <w:rPr>
          <w:rFonts w:ascii="宋体" w:hAnsi="宋体" w:eastAsia="宋体" w:cs="宋体"/>
          <w:bCs w:val="0"/>
          <w:sz w:val="28"/>
          <w:szCs w:val="28"/>
          <w:highlight w:val="none"/>
        </w:rPr>
      </w:pPr>
      <w:bookmarkStart w:id="121" w:name="_Toc11329224"/>
    </w:p>
    <w:p>
      <w:pPr>
        <w:pStyle w:val="4"/>
        <w:jc w:val="center"/>
        <w:rPr>
          <w:rFonts w:ascii="宋体" w:hAnsi="宋体" w:eastAsia="宋体" w:cs="宋体"/>
          <w:bCs w:val="0"/>
          <w:sz w:val="28"/>
          <w:szCs w:val="28"/>
          <w:highlight w:val="none"/>
        </w:rPr>
      </w:pPr>
      <w:bookmarkStart w:id="122" w:name="_Toc16638"/>
      <w:bookmarkStart w:id="123" w:name="_Toc28315"/>
      <w:bookmarkStart w:id="124" w:name="_Toc6263"/>
      <w:bookmarkStart w:id="125" w:name="_Toc19507"/>
      <w:r>
        <w:rPr>
          <w:rFonts w:hint="eastAsia" w:ascii="宋体" w:hAnsi="宋体" w:eastAsia="宋体" w:cs="宋体"/>
          <w:bCs w:val="0"/>
          <w:sz w:val="28"/>
          <w:szCs w:val="28"/>
          <w:highlight w:val="none"/>
        </w:rPr>
        <w:t>附录3  资格审查条件（业绩最低要求）</w:t>
      </w:r>
      <w:bookmarkEnd w:id="121"/>
      <w:bookmarkEnd w:id="122"/>
      <w:bookmarkEnd w:id="123"/>
      <w:bookmarkEnd w:id="124"/>
      <w:bookmarkEnd w:id="125"/>
    </w:p>
    <w:tbl>
      <w:tblPr>
        <w:tblStyle w:val="47"/>
        <w:tblW w:w="9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9322"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9322" w:type="dxa"/>
          </w:tcPr>
          <w:p>
            <w:pPr>
              <w:spacing w:line="400" w:lineRule="exact"/>
              <w:rPr>
                <w:rFonts w:hint="eastAsia" w:eastAsia="宋体"/>
                <w:highlight w:val="none"/>
                <w:lang w:eastAsia="zh-CN"/>
              </w:rPr>
            </w:pPr>
            <w:r>
              <w:rPr>
                <w:rFonts w:hint="eastAsia"/>
                <w:highlight w:val="none"/>
                <w:lang w:val="en-US" w:eastAsia="zh-CN"/>
              </w:rPr>
              <w:t>1个类似咨询服务项目</w:t>
            </w:r>
          </w:p>
        </w:tc>
      </w:tr>
    </w:tbl>
    <w:p>
      <w:pPr>
        <w:pStyle w:val="4"/>
        <w:jc w:val="left"/>
        <w:rPr>
          <w:rFonts w:hint="eastAsia" w:ascii="Times New Roman" w:hAnsi="宋体" w:eastAsia="宋体" w:cs="Times New Roman"/>
          <w:b/>
          <w:bCs/>
          <w:kern w:val="2"/>
          <w:sz w:val="21"/>
          <w:szCs w:val="21"/>
          <w:highlight w:val="none"/>
          <w:lang w:val="en-US" w:eastAsia="zh-CN" w:bidi="ar-SA"/>
        </w:rPr>
      </w:pPr>
      <w:bookmarkStart w:id="126" w:name="_Toc11329225"/>
      <w:r>
        <w:rPr>
          <w:rFonts w:hint="eastAsia" w:ascii="Times New Roman" w:hAnsi="宋体" w:eastAsia="宋体" w:cs="Times New Roman"/>
          <w:b/>
          <w:bCs/>
          <w:kern w:val="2"/>
          <w:sz w:val="21"/>
          <w:szCs w:val="21"/>
          <w:highlight w:val="none"/>
          <w:lang w:val="en-US" w:eastAsia="zh-CN" w:bidi="ar-SA"/>
        </w:rPr>
        <w:t xml:space="preserve">  注：提供合同复印件，并加盖单位鲜公章。</w:t>
      </w:r>
    </w:p>
    <w:p>
      <w:pPr>
        <w:pStyle w:val="4"/>
        <w:jc w:val="center"/>
        <w:rPr>
          <w:rFonts w:ascii="宋体" w:hAnsi="宋体" w:cs="宋体"/>
          <w:b w:val="0"/>
          <w:sz w:val="28"/>
          <w:szCs w:val="28"/>
          <w:highlight w:val="none"/>
        </w:rPr>
      </w:pPr>
      <w:bookmarkStart w:id="127" w:name="_Toc10083"/>
      <w:bookmarkStart w:id="128" w:name="_Toc2830"/>
      <w:bookmarkStart w:id="129" w:name="_Toc12296"/>
      <w:bookmarkStart w:id="130" w:name="_Toc26749"/>
      <w:r>
        <w:rPr>
          <w:rFonts w:hint="eastAsia" w:ascii="宋体" w:hAnsi="宋体" w:eastAsia="宋体" w:cs="宋体"/>
          <w:bCs w:val="0"/>
          <w:sz w:val="28"/>
          <w:szCs w:val="28"/>
          <w:highlight w:val="none"/>
        </w:rPr>
        <w:t>附录4 资格审查条件（信誉最低要求）</w:t>
      </w:r>
      <w:bookmarkEnd w:id="126"/>
      <w:bookmarkEnd w:id="127"/>
      <w:bookmarkEnd w:id="128"/>
      <w:bookmarkEnd w:id="129"/>
      <w:bookmarkEnd w:id="130"/>
    </w:p>
    <w:tbl>
      <w:tblPr>
        <w:tblStyle w:val="47"/>
        <w:tblW w:w="92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jc w:val="center"/>
        </w:trPr>
        <w:tc>
          <w:tcPr>
            <w:tcW w:w="9213" w:type="dxa"/>
          </w:tcPr>
          <w:p>
            <w:pPr>
              <w:spacing w:line="400" w:lineRule="exact"/>
              <w:jc w:val="center"/>
              <w:rPr>
                <w:rFonts w:ascii="宋体" w:hAnsi="宋体" w:cs="宋体"/>
                <w:szCs w:val="21"/>
                <w:highlight w:val="none"/>
              </w:rPr>
            </w:pPr>
            <w:r>
              <w:rPr>
                <w:rFonts w:hint="eastAsia" w:ascii="宋体" w:hAnsi="宋体" w:cs="宋体"/>
                <w:szCs w:val="21"/>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9213" w:type="dxa"/>
          </w:tcPr>
          <w:p>
            <w:pPr>
              <w:spacing w:line="400" w:lineRule="exact"/>
              <w:rPr>
                <w:rFonts w:ascii="宋体" w:hAnsi="宋体" w:cs="宋体"/>
                <w:szCs w:val="21"/>
                <w:highlight w:val="none"/>
                <w:shd w:val="clear" w:color="auto" w:fill="FFFFFF"/>
              </w:rPr>
            </w:pPr>
            <w:r>
              <w:rPr>
                <w:rFonts w:hint="eastAsia" w:ascii="宋体" w:hAnsi="宋体" w:cs="宋体"/>
                <w:szCs w:val="21"/>
                <w:highlight w:val="none"/>
              </w:rPr>
              <w:t>信誉良好：在国家企业信用信息公示系统（http://www.gsxt.gov.cn/）中未被列入严重违法失信企业名单（黑名单）信息；在“信用中国”网站（http://www.creditchina.gov.cn/）中未被列入失信惩戒执行人名单。</w:t>
            </w:r>
          </w:p>
        </w:tc>
      </w:tr>
    </w:tbl>
    <w:p>
      <w:pPr>
        <w:pStyle w:val="2"/>
        <w:ind w:firstLine="402" w:firstLineChars="200"/>
        <w:rPr>
          <w:rFonts w:hint="eastAsia" w:ascii="Times New Roman" w:hAnsi="宋体"/>
          <w:sz w:val="21"/>
          <w:szCs w:val="21"/>
          <w:highlight w:val="none"/>
        </w:rPr>
      </w:pPr>
      <w:r>
        <w:rPr>
          <w:rFonts w:hint="eastAsia"/>
          <w:highlight w:val="none"/>
        </w:rPr>
        <w:t>注：</w:t>
      </w:r>
      <w:r>
        <w:rPr>
          <w:rFonts w:hint="eastAsia" w:ascii="Times New Roman" w:hAnsi="宋体"/>
          <w:sz w:val="21"/>
          <w:szCs w:val="21"/>
          <w:highlight w:val="none"/>
        </w:rPr>
        <w:t>须提供信誉网站查询结果截图,并加盖单位鲜公章。</w:t>
      </w:r>
    </w:p>
    <w:p>
      <w:pPr>
        <w:pStyle w:val="4"/>
        <w:jc w:val="center"/>
        <w:rPr>
          <w:rFonts w:ascii="宋体" w:hAnsi="宋体" w:eastAsia="宋体" w:cs="宋体"/>
          <w:bCs w:val="0"/>
          <w:sz w:val="28"/>
          <w:szCs w:val="28"/>
          <w:highlight w:val="none"/>
        </w:rPr>
      </w:pPr>
      <w:bookmarkStart w:id="131" w:name="_Toc25591"/>
      <w:bookmarkStart w:id="132" w:name="_Toc12773"/>
      <w:bookmarkStart w:id="133" w:name="_Toc14083"/>
      <w:bookmarkStart w:id="134" w:name="_Toc11329226"/>
      <w:bookmarkStart w:id="135" w:name="_Toc27096"/>
      <w:r>
        <w:rPr>
          <w:rFonts w:hint="eastAsia" w:ascii="宋体" w:hAnsi="宋体" w:eastAsia="宋体" w:cs="宋体"/>
          <w:bCs w:val="0"/>
          <w:sz w:val="28"/>
          <w:szCs w:val="28"/>
          <w:highlight w:val="none"/>
        </w:rPr>
        <w:t>附录5 资格审查文件（项目主要管理人员最低要求）</w:t>
      </w:r>
      <w:bookmarkEnd w:id="131"/>
      <w:bookmarkEnd w:id="132"/>
      <w:bookmarkEnd w:id="133"/>
      <w:bookmarkEnd w:id="134"/>
      <w:bookmarkEnd w:id="135"/>
    </w:p>
    <w:p>
      <w:pPr>
        <w:spacing w:line="400" w:lineRule="exact"/>
        <w:jc w:val="center"/>
        <w:rPr>
          <w:highlight w:val="none"/>
        </w:rPr>
      </w:pPr>
      <w:r>
        <w:rPr>
          <w:rFonts w:hint="eastAsia" w:ascii="宋体" w:hAnsi="宋体" w:cs="宋体"/>
          <w:b/>
          <w:szCs w:val="21"/>
          <w:highlight w:val="none"/>
        </w:rPr>
        <w:t>主要管理人员最低要求</w:t>
      </w:r>
    </w:p>
    <w:tbl>
      <w:tblPr>
        <w:tblStyle w:val="47"/>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bookmarkStart w:id="136" w:name="_Toc387234996"/>
            <w:bookmarkStart w:id="137" w:name="_Toc388534043"/>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人  员</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数量</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lang w:eastAsia="zh-CN"/>
              </w:rPr>
              <w:t>项目</w:t>
            </w:r>
            <w:r>
              <w:rPr>
                <w:rFonts w:hint="eastAsia" w:ascii="宋体" w:hAnsi="宋体" w:cs="宋体"/>
                <w:szCs w:val="21"/>
                <w:highlight w:val="none"/>
              </w:rPr>
              <w:t>负责人</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1</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lang w:val="en-US" w:eastAsia="zh-CN"/>
              </w:rPr>
              <w:t>注册安全工程师</w:t>
            </w:r>
          </w:p>
        </w:tc>
      </w:tr>
    </w:tbl>
    <w:p>
      <w:pPr>
        <w:spacing w:line="400" w:lineRule="exact"/>
        <w:jc w:val="left"/>
        <w:rPr>
          <w:rFonts w:ascii="宋体" w:hAnsi="宋体" w:cs="宋体"/>
          <w:szCs w:val="21"/>
          <w:highlight w:val="none"/>
        </w:rPr>
      </w:pPr>
      <w:r>
        <w:rPr>
          <w:rFonts w:hint="eastAsia" w:hAnsi="宋体"/>
          <w:b/>
          <w:bCs/>
          <w:szCs w:val="21"/>
          <w:highlight w:val="none"/>
        </w:rPr>
        <w:t>注：以上人员不得重复任职。</w:t>
      </w:r>
      <w:r>
        <w:rPr>
          <w:rFonts w:hint="eastAsia" w:hAnsi="宋体"/>
          <w:b/>
          <w:bCs/>
          <w:szCs w:val="21"/>
          <w:highlight w:val="none"/>
        </w:rPr>
        <w:t>需提供相关证明材料，</w:t>
      </w:r>
      <w:r>
        <w:rPr>
          <w:rFonts w:hint="eastAsia" w:hAnsi="宋体"/>
          <w:b/>
          <w:bCs/>
          <w:szCs w:val="21"/>
          <w:highlight w:val="none"/>
        </w:rPr>
        <w:t>并加盖单位鲜公章。</w:t>
      </w:r>
    </w:p>
    <w:p>
      <w:pPr>
        <w:pStyle w:val="2"/>
        <w:rPr>
          <w:highlight w:val="none"/>
        </w:rPr>
      </w:pPr>
    </w:p>
    <w:p>
      <w:pPr>
        <w:outlineLvl w:val="1"/>
        <w:rPr>
          <w:rFonts w:ascii="宋体" w:hAnsi="宋体" w:cs="宋体"/>
          <w:b/>
          <w:sz w:val="28"/>
          <w:szCs w:val="28"/>
          <w:highlight w:val="none"/>
        </w:rPr>
        <w:sectPr>
          <w:pgSz w:w="11906" w:h="16838"/>
          <w:pgMar w:top="1418" w:right="1134" w:bottom="1418" w:left="1134" w:header="851" w:footer="992" w:gutter="0"/>
          <w:cols w:space="720" w:num="1"/>
          <w:docGrid w:type="lines" w:linePitch="312" w:charSpace="0"/>
        </w:sectPr>
      </w:pPr>
    </w:p>
    <w:p>
      <w:pPr>
        <w:pStyle w:val="4"/>
        <w:rPr>
          <w:rFonts w:hAnsi="宋体"/>
          <w:b w:val="0"/>
          <w:sz w:val="28"/>
          <w:szCs w:val="28"/>
          <w:highlight w:val="none"/>
        </w:rPr>
      </w:pPr>
      <w:bookmarkStart w:id="138" w:name="_Toc4169"/>
      <w:bookmarkStart w:id="139" w:name="_Toc17216"/>
      <w:bookmarkStart w:id="140" w:name="_Toc17384"/>
      <w:bookmarkStart w:id="141" w:name="_Toc6096"/>
      <w:r>
        <w:rPr>
          <w:rFonts w:hint="eastAsia" w:ascii="宋体" w:hAnsi="宋体" w:cs="宋体"/>
          <w:b w:val="0"/>
          <w:sz w:val="28"/>
          <w:szCs w:val="28"/>
          <w:highlight w:val="none"/>
        </w:rPr>
        <w:t>附录</w:t>
      </w:r>
      <w:r>
        <w:rPr>
          <w:rFonts w:hint="eastAsia" w:ascii="宋体" w:hAnsi="宋体" w:cs="宋体"/>
          <w:b w:val="0"/>
          <w:sz w:val="28"/>
          <w:szCs w:val="28"/>
          <w:highlight w:val="none"/>
          <w:lang w:val="en-US" w:eastAsia="zh-CN"/>
        </w:rPr>
        <w:t>6</w:t>
      </w:r>
      <w:r>
        <w:rPr>
          <w:rFonts w:hint="eastAsia" w:ascii="宋体" w:hAnsi="宋体" w:cs="宋体"/>
          <w:b w:val="0"/>
          <w:sz w:val="28"/>
          <w:szCs w:val="28"/>
          <w:highlight w:val="none"/>
        </w:rPr>
        <w:t xml:space="preserve"> 资格审查文件（主要机械设备和试验检测设备最低要求）</w:t>
      </w:r>
      <w:bookmarkEnd w:id="138"/>
      <w:bookmarkEnd w:id="139"/>
      <w:bookmarkEnd w:id="140"/>
      <w:bookmarkEnd w:id="141"/>
    </w:p>
    <w:tbl>
      <w:tblPr>
        <w:tblStyle w:val="47"/>
        <w:tblW w:w="9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ascii="宋体" w:hAnsi="宋体" w:cs="宋体"/>
                <w:szCs w:val="21"/>
                <w:highlight w:val="none"/>
              </w:rPr>
            </w:pPr>
            <w:r>
              <w:rPr>
                <w:rFonts w:hint="eastAsia" w:ascii="宋体" w:hAnsi="宋体" w:cs="宋体"/>
                <w:szCs w:val="21"/>
                <w:highlight w:val="none"/>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 w:hRule="atLeast"/>
          <w:jc w:val="center"/>
        </w:trPr>
        <w:tc>
          <w:tcPr>
            <w:tcW w:w="9160" w:type="dxa"/>
          </w:tcPr>
          <w:p>
            <w:pPr>
              <w:ind w:firstLine="420" w:firstLineChars="200"/>
              <w:rPr>
                <w:highlight w:val="none"/>
              </w:rPr>
            </w:pPr>
            <w:r>
              <w:rPr>
                <w:rFonts w:hint="eastAsia" w:ascii="宋体" w:hAnsi="宋体" w:cs="宋体"/>
                <w:caps/>
                <w:szCs w:val="21"/>
                <w:highlight w:val="none"/>
              </w:rPr>
              <w:t xml:space="preserve">无。 </w:t>
            </w:r>
          </w:p>
        </w:tc>
      </w:tr>
    </w:tbl>
    <w:p>
      <w:pPr>
        <w:spacing w:line="400" w:lineRule="exact"/>
        <w:ind w:firstLine="420"/>
        <w:rPr>
          <w:rFonts w:ascii="宋体" w:hAnsi="宋体" w:cs="宋体"/>
          <w:kern w:val="0"/>
          <w:szCs w:val="21"/>
          <w:highlight w:val="none"/>
        </w:rPr>
      </w:pPr>
      <w:r>
        <w:rPr>
          <w:rFonts w:hint="eastAsia" w:ascii="宋体" w:hAnsi="宋体" w:cs="宋体"/>
          <w:bCs/>
          <w:kern w:val="0"/>
          <w:szCs w:val="21"/>
          <w:highlight w:val="none"/>
        </w:rPr>
        <w:t>注：以上设备</w:t>
      </w:r>
      <w:r>
        <w:rPr>
          <w:rFonts w:hint="eastAsia" w:ascii="宋体" w:hAnsi="宋体" w:cs="宋体"/>
          <w:kern w:val="0"/>
          <w:highlight w:val="none"/>
        </w:rPr>
        <w:t>由报价人</w:t>
      </w:r>
      <w:r>
        <w:rPr>
          <w:rFonts w:hint="eastAsia" w:ascii="宋体" w:hAnsi="宋体" w:cs="宋体"/>
          <w:b/>
          <w:kern w:val="0"/>
          <w:highlight w:val="none"/>
        </w:rPr>
        <w:t>自行承诺</w:t>
      </w:r>
      <w:r>
        <w:rPr>
          <w:rFonts w:hint="eastAsia" w:ascii="宋体" w:hAnsi="宋体" w:cs="宋体"/>
          <w:kern w:val="0"/>
          <w:highlight w:val="none"/>
        </w:rPr>
        <w:t>，</w:t>
      </w:r>
      <w:r>
        <w:rPr>
          <w:rFonts w:hint="eastAsia" w:ascii="宋体" w:hAnsi="宋体" w:cs="宋体"/>
          <w:kern w:val="0"/>
          <w:szCs w:val="21"/>
          <w:highlight w:val="none"/>
        </w:rPr>
        <w:t>无需提供有关证明资料，并加盖单位鲜公章。</w:t>
      </w:r>
    </w:p>
    <w:p>
      <w:pPr>
        <w:pStyle w:val="146"/>
        <w:adjustRightInd/>
        <w:spacing w:line="400" w:lineRule="exact"/>
        <w:ind w:firstLine="422" w:firstLineChars="200"/>
        <w:jc w:val="both"/>
        <w:rPr>
          <w:rFonts w:hAnsi="宋体"/>
          <w:bCs/>
          <w:color w:val="auto"/>
          <w:sz w:val="21"/>
          <w:szCs w:val="21"/>
          <w:highlight w:val="none"/>
        </w:rPr>
      </w:pPr>
      <w:r>
        <w:rPr>
          <w:rFonts w:hint="eastAsia" w:hAnsi="宋体"/>
          <w:b/>
          <w:bCs/>
          <w:color w:val="auto"/>
          <w:sz w:val="21"/>
          <w:szCs w:val="21"/>
          <w:highlight w:val="none"/>
        </w:rPr>
        <w:t>以上（附录1-附录7中的资格审查）的要求均为强制性条件，其中任何一条不满足要求，则按否决报价处理。</w:t>
      </w:r>
    </w:p>
    <w:p>
      <w:pPr>
        <w:pStyle w:val="146"/>
        <w:adjustRightInd/>
        <w:spacing w:line="360" w:lineRule="auto"/>
        <w:jc w:val="both"/>
        <w:rPr>
          <w:rFonts w:hAnsi="宋体"/>
          <w:bCs/>
          <w:color w:val="auto"/>
          <w:sz w:val="21"/>
          <w:szCs w:val="21"/>
          <w:highlight w:val="none"/>
        </w:rPr>
      </w:pPr>
    </w:p>
    <w:bookmarkEnd w:id="136"/>
    <w:bookmarkEnd w:id="137"/>
    <w:p>
      <w:pPr>
        <w:spacing w:line="440" w:lineRule="exact"/>
        <w:rPr>
          <w:rFonts w:ascii="宋体" w:hAnsi="宋体" w:cs="宋体"/>
          <w:szCs w:val="21"/>
          <w:highlight w:val="none"/>
        </w:rPr>
        <w:sectPr>
          <w:footerReference r:id="rId8" w:type="default"/>
          <w:pgSz w:w="11906" w:h="16838"/>
          <w:pgMar w:top="1440" w:right="1800" w:bottom="1440" w:left="1800" w:header="851" w:footer="992" w:gutter="0"/>
          <w:cols w:space="720" w:num="1"/>
          <w:titlePg/>
          <w:docGrid w:type="lines" w:linePitch="312" w:charSpace="0"/>
        </w:sectPr>
      </w:pPr>
    </w:p>
    <w:p>
      <w:pPr>
        <w:spacing w:line="440" w:lineRule="exact"/>
        <w:ind w:firstLine="210" w:firstLineChars="100"/>
        <w:rPr>
          <w:rFonts w:ascii="宋体" w:hAnsi="宋体" w:cs="宋体"/>
          <w:highlight w:val="none"/>
        </w:rPr>
      </w:pPr>
    </w:p>
    <w:p>
      <w:pPr>
        <w:pStyle w:val="3"/>
        <w:spacing w:before="0" w:after="0" w:line="360" w:lineRule="auto"/>
        <w:jc w:val="center"/>
        <w:rPr>
          <w:rFonts w:ascii="宋体" w:hAnsi="宋体" w:cs="宋体"/>
          <w:highlight w:val="none"/>
        </w:rPr>
      </w:pPr>
      <w:bookmarkStart w:id="142" w:name="_Toc179632605"/>
      <w:bookmarkStart w:id="143" w:name="_Toc152045587"/>
      <w:bookmarkStart w:id="144" w:name="_Toc152042364"/>
      <w:bookmarkStart w:id="145" w:name="_Toc2000406"/>
      <w:bookmarkStart w:id="146" w:name="_Toc7682"/>
      <w:bookmarkStart w:id="147" w:name="_Toc144974554"/>
      <w:bookmarkStart w:id="148" w:name="_Toc20774"/>
      <w:bookmarkStart w:id="149" w:name="_Toc507319957"/>
      <w:bookmarkStart w:id="150" w:name="_Toc246996230"/>
      <w:bookmarkStart w:id="151" w:name="_Toc246996973"/>
      <w:bookmarkStart w:id="152" w:name="_Toc247085745"/>
      <w:r>
        <w:rPr>
          <w:rFonts w:hint="eastAsia" w:ascii="宋体" w:hAnsi="宋体" w:cs="宋体"/>
          <w:highlight w:val="none"/>
        </w:rPr>
        <w:t>第三章 评标办法（经评审的最低投标价法）</w:t>
      </w:r>
      <w:bookmarkEnd w:id="142"/>
      <w:bookmarkEnd w:id="143"/>
      <w:bookmarkEnd w:id="144"/>
      <w:bookmarkEnd w:id="145"/>
      <w:bookmarkEnd w:id="146"/>
      <w:bookmarkEnd w:id="147"/>
      <w:bookmarkEnd w:id="148"/>
      <w:bookmarkEnd w:id="149"/>
      <w:bookmarkEnd w:id="150"/>
      <w:bookmarkEnd w:id="151"/>
      <w:bookmarkEnd w:id="152"/>
    </w:p>
    <w:p>
      <w:pPr>
        <w:rPr>
          <w:highlight w:val="none"/>
        </w:rPr>
      </w:pPr>
    </w:p>
    <w:tbl>
      <w:tblPr>
        <w:tblStyle w:val="47"/>
        <w:tblW w:w="914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highlight w:val="none"/>
              </w:rPr>
            </w:pPr>
            <w:r>
              <w:rPr>
                <w:b/>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highlight w:val="none"/>
              </w:rPr>
              <w:t>1</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中标候选人排序方法</w:t>
            </w:r>
          </w:p>
        </w:tc>
        <w:tc>
          <w:tcPr>
            <w:tcW w:w="5004" w:type="dxa"/>
            <w:tcBorders>
              <w:top w:val="single" w:color="auto" w:sz="4" w:space="0"/>
              <w:left w:val="single" w:color="auto" w:sz="4" w:space="0"/>
              <w:bottom w:val="single" w:color="auto" w:sz="4" w:space="0"/>
            </w:tcBorders>
          </w:tcPr>
          <w:p>
            <w:pPr>
              <w:spacing w:line="360" w:lineRule="auto"/>
              <w:rPr>
                <w:highlight w:val="none"/>
              </w:rPr>
            </w:pPr>
            <w:r>
              <w:rPr>
                <w:highlight w:val="none"/>
              </w:rPr>
              <w:t>如出现报价相等时，评审小组按以下原则确定第一中标候选人：</w:t>
            </w:r>
          </w:p>
          <w:p>
            <w:pPr>
              <w:spacing w:line="360" w:lineRule="auto"/>
              <w:ind w:firstLine="210" w:firstLineChars="100"/>
              <w:rPr>
                <w:highlight w:val="none"/>
              </w:rPr>
            </w:pPr>
            <w:r>
              <w:rPr>
                <w:rFonts w:hint="eastAsia"/>
                <w:highlight w:val="none"/>
              </w:rPr>
              <w:t>以最早提交报价文件的投标人为第一中标候选人</w:t>
            </w:r>
            <w:r>
              <w:rPr>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rPr>
                <w:highlight w:val="none"/>
              </w:rPr>
            </w:pPr>
            <w:r>
              <w:rPr>
                <w:rFonts w:hint="eastAsia"/>
                <w:highlight w:val="none"/>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人名称</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函签字盖章</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符合第九章“</w:t>
            </w:r>
            <w:r>
              <w:rPr>
                <w:rFonts w:hint="eastAsia"/>
                <w:highlight w:val="none"/>
              </w:rPr>
              <w:t>竞争性</w:t>
            </w:r>
            <w:r>
              <w:rPr>
                <w:highlight w:val="none"/>
              </w:rPr>
              <w:t>比选响应文件格式”的要求，字迹清晰可辨。</w:t>
            </w:r>
          </w:p>
          <w:p>
            <w:pPr>
              <w:spacing w:line="400" w:lineRule="exact"/>
              <w:rPr>
                <w:highlight w:val="none"/>
              </w:rPr>
            </w:pPr>
            <w:r>
              <w:rPr>
                <w:highlight w:val="none"/>
              </w:rPr>
              <w:t>1.</w:t>
            </w:r>
            <w:r>
              <w:rPr>
                <w:rFonts w:hint="eastAsia"/>
                <w:highlight w:val="none"/>
              </w:rPr>
              <w:t>报价</w:t>
            </w:r>
            <w:r>
              <w:rPr>
                <w:highlight w:val="none"/>
              </w:rPr>
              <w:t>函的所有数据均符合</w:t>
            </w:r>
            <w:r>
              <w:rPr>
                <w:rFonts w:hint="eastAsia"/>
                <w:highlight w:val="none"/>
              </w:rPr>
              <w:t>比选</w:t>
            </w:r>
            <w:r>
              <w:rPr>
                <w:highlight w:val="none"/>
              </w:rPr>
              <w:t>文件的规定；</w:t>
            </w:r>
          </w:p>
          <w:p>
            <w:pPr>
              <w:spacing w:line="400" w:lineRule="exact"/>
              <w:rPr>
                <w:highlight w:val="none"/>
              </w:rPr>
            </w:pPr>
            <w:r>
              <w:rPr>
                <w:highlight w:val="none"/>
              </w:rPr>
              <w:t>2.</w:t>
            </w:r>
            <w:r>
              <w:rPr>
                <w:rFonts w:hint="eastAsia"/>
                <w:highlight w:val="none"/>
              </w:rPr>
              <w:t>竞争性</w:t>
            </w:r>
            <w:r>
              <w:rPr>
                <w:highlight w:val="none"/>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rPr>
                <w:highlight w:val="none"/>
              </w:rPr>
            </w:pPr>
            <w:r>
              <w:rPr>
                <w:highlight w:val="none"/>
              </w:rPr>
              <w:t>符合第五章“工程量清单”给出的范围及数量</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报价其它要求</w:t>
            </w:r>
          </w:p>
        </w:tc>
        <w:tc>
          <w:tcPr>
            <w:tcW w:w="5004" w:type="dxa"/>
            <w:tcBorders>
              <w:top w:val="single" w:color="auto" w:sz="4" w:space="0"/>
              <w:left w:val="single" w:color="auto" w:sz="4" w:space="0"/>
              <w:bottom w:val="single" w:color="auto" w:sz="4" w:space="0"/>
            </w:tcBorders>
            <w:vAlign w:val="center"/>
          </w:tcPr>
          <w:p>
            <w:pPr>
              <w:spacing w:line="440" w:lineRule="exact"/>
              <w:rPr>
                <w:highlight w:val="none"/>
              </w:rPr>
            </w:pPr>
            <w:r>
              <w:rPr>
                <w:rFonts w:hint="eastAsia"/>
                <w:highlight w:val="none"/>
              </w:rPr>
              <w:t>竞争性</w:t>
            </w:r>
            <w:r>
              <w:rPr>
                <w:highlight w:val="none"/>
              </w:rPr>
              <w:t>比选响应文件报价表中的报价与</w:t>
            </w:r>
            <w:r>
              <w:rPr>
                <w:rFonts w:hint="eastAsia"/>
                <w:highlight w:val="none"/>
              </w:rPr>
              <w:t>报价</w:t>
            </w:r>
            <w:r>
              <w:rPr>
                <w:highlight w:val="none"/>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rFonts w:hint="eastAsia"/>
                <w:highlight w:val="none"/>
              </w:rPr>
              <w:t>竞争性</w:t>
            </w:r>
            <w:r>
              <w:rPr>
                <w:highlight w:val="none"/>
              </w:rPr>
              <w:t>比选响应文件正本中法定代表人或授权代理人签署姓名齐全，符合</w:t>
            </w:r>
            <w:r>
              <w:rPr>
                <w:rFonts w:hint="eastAsia"/>
                <w:highlight w:val="none"/>
              </w:rPr>
              <w:t>比选</w:t>
            </w:r>
            <w:r>
              <w:rPr>
                <w:highlight w:val="none"/>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47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其它材料</w:t>
            </w:r>
          </w:p>
        </w:tc>
        <w:tc>
          <w:tcPr>
            <w:tcW w:w="5004" w:type="dxa"/>
            <w:tcBorders>
              <w:top w:val="single" w:color="auto" w:sz="4" w:space="0"/>
              <w:left w:val="single" w:color="auto" w:sz="4" w:space="0"/>
            </w:tcBorders>
            <w:vAlign w:val="center"/>
          </w:tcPr>
          <w:p>
            <w:pPr>
              <w:spacing w:line="400" w:lineRule="exact"/>
              <w:rPr>
                <w:highlight w:val="none"/>
              </w:rPr>
            </w:pPr>
            <w:r>
              <w:rPr>
                <w:highlight w:val="none"/>
              </w:rPr>
              <w:t>与</w:t>
            </w:r>
            <w:r>
              <w:rPr>
                <w:rFonts w:hint="eastAsia"/>
                <w:highlight w:val="none"/>
              </w:rPr>
              <w:t>采购人</w:t>
            </w:r>
            <w:r>
              <w:rPr>
                <w:highlight w:val="none"/>
              </w:rPr>
              <w:t>存在利害关系可能影响</w:t>
            </w:r>
            <w:r>
              <w:rPr>
                <w:rFonts w:hint="eastAsia"/>
                <w:highlight w:val="none"/>
              </w:rPr>
              <w:t>比选</w:t>
            </w:r>
            <w:r>
              <w:rPr>
                <w:highlight w:val="none"/>
              </w:rPr>
              <w:t>公正性的法人、其他组织或者个人，不得参加</w:t>
            </w:r>
            <w:r>
              <w:rPr>
                <w:rFonts w:hint="eastAsia"/>
                <w:highlight w:val="none"/>
              </w:rPr>
              <w:t>报价</w:t>
            </w:r>
            <w:r>
              <w:rPr>
                <w:highlight w:val="none"/>
              </w:rPr>
              <w:t>；单位负责人为同一人或者存在控股、管理关系的不同单位，不得同时参加</w:t>
            </w:r>
            <w:r>
              <w:rPr>
                <w:rFonts w:hint="eastAsia"/>
                <w:highlight w:val="none"/>
              </w:rPr>
              <w:t>报价</w:t>
            </w:r>
            <w:r>
              <w:rPr>
                <w:highlight w:val="none"/>
              </w:rPr>
              <w:t>，否则相关</w:t>
            </w:r>
            <w:r>
              <w:rPr>
                <w:rFonts w:hint="eastAsia"/>
                <w:highlight w:val="none"/>
              </w:rPr>
              <w:t>报价</w:t>
            </w:r>
            <w:r>
              <w:rPr>
                <w:highlight w:val="none"/>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营业执照</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11</w:t>
            </w:r>
            <w:r>
              <w:rPr>
                <w:highlight w:val="none"/>
              </w:rPr>
              <w:t>项规定，具备有效的营业执照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资质要求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人须知”前附表附录1的规定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财务要求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人须知”前附表附录2的规定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业绩要求</w:t>
            </w:r>
          </w:p>
        </w:tc>
        <w:tc>
          <w:tcPr>
            <w:tcW w:w="5004" w:type="dxa"/>
            <w:tcBorders>
              <w:top w:val="single" w:color="auto" w:sz="4" w:space="0"/>
              <w:left w:val="single" w:color="auto" w:sz="4" w:space="0"/>
              <w:bottom w:val="single" w:color="auto" w:sz="4" w:space="0"/>
            </w:tcBorders>
          </w:tcPr>
          <w:p>
            <w:pPr>
              <w:spacing w:line="400" w:lineRule="exact"/>
              <w:rPr>
                <w:highlight w:val="none"/>
              </w:rPr>
            </w:pPr>
            <w:r>
              <w:rPr>
                <w:highlight w:val="none"/>
              </w:rPr>
              <w:t>符合第二章“</w:t>
            </w:r>
            <w:r>
              <w:rPr>
                <w:rFonts w:hint="eastAsia"/>
                <w:highlight w:val="none"/>
              </w:rPr>
              <w:t>报价</w:t>
            </w:r>
            <w:r>
              <w:rPr>
                <w:highlight w:val="none"/>
              </w:rPr>
              <w:t>人须知”前附表附录3的规定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信誉要求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人须知”前附表附录4的规定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57"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rPr>
              <w:t>项目主要管理人员</w:t>
            </w:r>
            <w:r>
              <w:rPr>
                <w:highlight w:val="none"/>
              </w:rPr>
              <w:t>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人须知”前附表附录5的规定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rPr>
              <w:t>项目施工、安装及调试劳务人员最低要求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人须知”前附表附录6的规定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1"/>
                <w:highlight w:val="none"/>
              </w:rPr>
            </w:pPr>
            <w:r>
              <w:rPr>
                <w:kern w:val="1"/>
                <w:highlight w:val="none"/>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人须知”前附表附录7的规定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投标内容</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7</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报价</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符合比选文件给出的范围及数量，且报价不得超过</w:t>
            </w:r>
            <w:r>
              <w:rPr>
                <w:rFonts w:hint="eastAsia"/>
                <w:highlight w:val="none"/>
              </w:rPr>
              <w:t>采购人</w:t>
            </w:r>
            <w:r>
              <w:rPr>
                <w:highlight w:val="none"/>
              </w:rPr>
              <w:t>公布的最高限价，但也不得低于</w:t>
            </w:r>
            <w:r>
              <w:rPr>
                <w:rFonts w:hint="eastAsia"/>
                <w:highlight w:val="none"/>
              </w:rPr>
              <w:t>报价</w:t>
            </w:r>
            <w:r>
              <w:rPr>
                <w:highlight w:val="none"/>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工期</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施工地点</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3</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质量标准</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9</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安全目标</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rPr>
              <w:t>10</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rPr>
                <w:highlight w:val="none"/>
              </w:rPr>
            </w:pPr>
            <w:r>
              <w:rPr>
                <w:highlight w:val="none"/>
              </w:rPr>
              <w:t>补充细化：</w:t>
            </w:r>
          </w:p>
          <w:p>
            <w:pPr>
              <w:spacing w:line="400" w:lineRule="exact"/>
              <w:ind w:firstLine="420" w:firstLineChars="200"/>
              <w:rPr>
                <w:highlight w:val="none"/>
              </w:rPr>
            </w:pPr>
            <w:r>
              <w:rPr>
                <w:highlight w:val="none"/>
              </w:rPr>
              <w:t>本项目评标采用经评审的最低价</w:t>
            </w:r>
            <w:r>
              <w:rPr>
                <w:rFonts w:hint="eastAsia"/>
                <w:highlight w:val="none"/>
                <w:lang w:eastAsia="zh-CN"/>
              </w:rPr>
              <w:t>中标</w:t>
            </w:r>
            <w:r>
              <w:rPr>
                <w:highlight w:val="none"/>
              </w:rPr>
              <w:t>法，对通过初步评审、详细评审的</w:t>
            </w:r>
            <w:r>
              <w:rPr>
                <w:rFonts w:hint="eastAsia"/>
                <w:highlight w:val="none"/>
              </w:rPr>
              <w:t>报价</w:t>
            </w:r>
            <w:r>
              <w:rPr>
                <w:highlight w:val="none"/>
              </w:rPr>
              <w:t>人按照</w:t>
            </w:r>
            <w:r>
              <w:rPr>
                <w:rFonts w:hint="eastAsia"/>
                <w:highlight w:val="none"/>
              </w:rPr>
              <w:t>报</w:t>
            </w:r>
            <w:r>
              <w:rPr>
                <w:highlight w:val="none"/>
              </w:rPr>
              <w:t>价从低到高的先后顺序，推荐</w:t>
            </w:r>
            <w:r>
              <w:rPr>
                <w:rFonts w:hint="eastAsia"/>
                <w:highlight w:val="none"/>
              </w:rPr>
              <w:t>1</w:t>
            </w:r>
            <w:r>
              <w:rPr>
                <w:highlight w:val="none"/>
              </w:rPr>
              <w:t>名中标候选人。</w:t>
            </w:r>
          </w:p>
        </w:tc>
      </w:tr>
    </w:tbl>
    <w:p>
      <w:pPr>
        <w:rPr>
          <w:rFonts w:ascii="宋体" w:hAnsi="宋体" w:cs="宋体"/>
          <w:highlight w:val="none"/>
        </w:rPr>
      </w:pPr>
    </w:p>
    <w:p>
      <w:pPr>
        <w:pStyle w:val="2"/>
        <w:jc w:val="center"/>
        <w:rPr>
          <w:highlight w:val="none"/>
        </w:rPr>
      </w:pPr>
      <w:r>
        <w:rPr>
          <w:rFonts w:hint="eastAsia"/>
          <w:highlight w:val="none"/>
        </w:rPr>
        <w:br w:type="page"/>
      </w:r>
      <w:bookmarkStart w:id="153" w:name="_Toc13787"/>
      <w:bookmarkStart w:id="154" w:name="_Toc9938"/>
      <w:r>
        <w:rPr>
          <w:rStyle w:val="79"/>
          <w:rFonts w:hint="eastAsia"/>
          <w:b/>
          <w:bCs/>
          <w:highlight w:val="none"/>
        </w:rPr>
        <w:t>第四章 报价说明</w:t>
      </w:r>
      <w:bookmarkEnd w:id="153"/>
      <w:bookmarkEnd w:id="154"/>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1）本次报价须为人民币报价，包含但不限于完成本项目所需的员工工资、社会保险（五险）、劳保福利、税费、加班费、配送费、交通费、节假日慰问费等所有服务产生的一切费用（报价人若有漏项，则被认为此项费用已包含在总报价中）。因中标人自身原因造成漏报、少报皆由其自行承担责任，招标人不再补偿</w:t>
      </w:r>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（2）报价人在分项报价表中填报的综合单价承包到现场所产生的路费、差旅费等。</w:t>
      </w:r>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（3）报价有算术错误的，评审小组按以下原则对报价进行修正，修正的价格经报价人书面确认后具有约束力。报价人不接受修正价格的，其报价应当予以否决。</w:t>
      </w:r>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①竞争性比选响应文件中的大写金额与小写金额不一致的，以大写金额为准；</w:t>
      </w:r>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②总价金额与依据单价计算出的结果不一致的，以单价金额为准修正总价，但单价金额小数点有明显错误的除外。</w:t>
      </w:r>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（4）实际采购数量以采购人最终需求数量为准，报价清单中单价在合同执行过程中保持固定不变，报价人不得以实际采购数量的变化提出调整合同单价。</w:t>
      </w:r>
    </w:p>
    <w:p>
      <w:pPr>
        <w:pStyle w:val="2"/>
        <w:rPr>
          <w:rFonts w:hint="eastAsia" w:ascii="宋体" w:hAnsi="宋体" w:cs="宋体"/>
          <w:b w:val="0"/>
          <w:bCs w:val="0"/>
          <w:sz w:val="21"/>
          <w:szCs w:val="21"/>
          <w:highlight w:val="none"/>
        </w:rPr>
      </w:pPr>
      <w:r>
        <w:rPr>
          <w:rFonts w:hint="eastAsia" w:ascii="宋体" w:hAnsi="宋体" w:cs="宋体"/>
          <w:b w:val="0"/>
          <w:bCs w:val="0"/>
          <w:sz w:val="21"/>
          <w:szCs w:val="21"/>
          <w:highlight w:val="none"/>
        </w:rPr>
        <w:t>（5）报价清单中各项金额均以人民币（元）结算。</w:t>
      </w:r>
    </w:p>
    <w:p>
      <w:pPr>
        <w:pStyle w:val="2"/>
        <w:rPr>
          <w:highlight w:val="none"/>
        </w:rPr>
        <w:sectPr>
          <w:footerReference r:id="rId9" w:type="default"/>
          <w:pgSz w:w="11906" w:h="16838"/>
          <w:pgMar w:top="1440" w:right="1800" w:bottom="1440" w:left="1800" w:header="851" w:footer="992" w:gutter="0"/>
          <w:cols w:space="720" w:num="1"/>
          <w:titlePg/>
          <w:docGrid w:type="lines" w:linePitch="312" w:charSpace="0"/>
        </w:sectPr>
      </w:pPr>
      <w:r>
        <w:rPr>
          <w:rFonts w:hint="eastAsia" w:ascii="宋体" w:hAnsi="宋体" w:cs="宋体"/>
          <w:b w:val="0"/>
          <w:bCs w:val="0"/>
          <w:sz w:val="21"/>
          <w:szCs w:val="21"/>
          <w:highlight w:val="none"/>
        </w:rPr>
        <w:t>（6）需缴纳的一切税费均由报价单位承担，所有税费均由服务单位自行缴纳；</w:t>
      </w:r>
    </w:p>
    <w:p>
      <w:pPr>
        <w:spacing w:line="400" w:lineRule="exact"/>
        <w:rPr>
          <w:rFonts w:ascii="宋体" w:hAnsi="宋体" w:cs="宋体"/>
          <w:szCs w:val="21"/>
          <w:highlight w:val="none"/>
        </w:rPr>
      </w:pPr>
      <w:bookmarkStart w:id="155" w:name="_Toc246996354"/>
      <w:bookmarkStart w:id="156" w:name="_Toc144974855"/>
      <w:bookmarkStart w:id="157" w:name="_Toc246997097"/>
      <w:bookmarkStart w:id="158" w:name="_Toc179632806"/>
      <w:bookmarkStart w:id="159" w:name="_Toc247085872"/>
      <w:bookmarkStart w:id="160" w:name="_Toc152042575"/>
      <w:bookmarkStart w:id="161" w:name="_Toc152045786"/>
    </w:p>
    <w:p>
      <w:pPr>
        <w:pStyle w:val="3"/>
        <w:spacing w:before="0" w:after="0" w:line="360" w:lineRule="auto"/>
        <w:jc w:val="center"/>
        <w:rPr>
          <w:rFonts w:ascii="宋体" w:hAnsi="宋体" w:cs="宋体"/>
          <w:highlight w:val="none"/>
        </w:rPr>
      </w:pPr>
      <w:bookmarkStart w:id="162" w:name="_Toc24503"/>
      <w:bookmarkStart w:id="163" w:name="_Toc246997083"/>
      <w:bookmarkStart w:id="164" w:name="_Toc152042554"/>
      <w:bookmarkStart w:id="165" w:name="_Toc246996340"/>
      <w:bookmarkStart w:id="166" w:name="_Toc247085855"/>
      <w:bookmarkStart w:id="167" w:name="_Toc152045772"/>
      <w:bookmarkStart w:id="168" w:name="_Toc514858705"/>
      <w:bookmarkStart w:id="169" w:name="_Toc8745"/>
      <w:bookmarkStart w:id="170" w:name="_Toc144974834"/>
      <w:bookmarkStart w:id="171" w:name="_Toc2000409"/>
      <w:bookmarkStart w:id="172" w:name="_Toc179632789"/>
      <w:r>
        <w:rPr>
          <w:rFonts w:hint="eastAsia" w:ascii="宋体" w:hAnsi="宋体" w:cs="宋体"/>
          <w:highlight w:val="none"/>
        </w:rPr>
        <w:t>第五章  工程量清单</w:t>
      </w:r>
      <w:bookmarkEnd w:id="162"/>
      <w:bookmarkEnd w:id="163"/>
      <w:bookmarkEnd w:id="164"/>
      <w:bookmarkEnd w:id="165"/>
      <w:bookmarkEnd w:id="166"/>
      <w:bookmarkEnd w:id="167"/>
      <w:bookmarkEnd w:id="168"/>
      <w:bookmarkEnd w:id="169"/>
      <w:bookmarkEnd w:id="170"/>
      <w:bookmarkEnd w:id="171"/>
      <w:bookmarkEnd w:id="172"/>
    </w:p>
    <w:p>
      <w:pPr>
        <w:ind w:firstLine="420"/>
        <w:jc w:val="left"/>
        <w:rPr>
          <w:rFonts w:ascii="宋体" w:hAnsi="宋体" w:cs="宋体"/>
          <w:b/>
          <w:highlight w:val="none"/>
        </w:rPr>
      </w:pPr>
      <w:bookmarkStart w:id="173" w:name="_Toc246996350"/>
      <w:bookmarkStart w:id="174" w:name="_Toc152045782"/>
      <w:bookmarkStart w:id="175" w:name="_Toc152042571"/>
      <w:bookmarkStart w:id="176" w:name="_Toc246997093"/>
      <w:bookmarkStart w:id="177" w:name="_Toc247085866"/>
      <w:bookmarkStart w:id="178" w:name="_Toc144974851"/>
      <w:bookmarkStart w:id="179" w:name="_Toc247096438"/>
      <w:bookmarkStart w:id="180" w:name="_Toc179632800"/>
    </w:p>
    <w:p>
      <w:pPr>
        <w:jc w:val="center"/>
        <w:rPr>
          <w:rFonts w:ascii="宋体" w:hAnsi="宋体" w:cs="宋体"/>
          <w:b/>
          <w:highlight w:val="none"/>
        </w:rPr>
      </w:pPr>
      <w:r>
        <w:rPr>
          <w:rFonts w:hint="eastAsia" w:ascii="宋体" w:hAnsi="宋体" w:cs="宋体"/>
          <w:b/>
          <w:kern w:val="0"/>
          <w:sz w:val="24"/>
          <w:highlight w:val="none"/>
          <w:lang w:eastAsia="zh-CN"/>
        </w:rPr>
        <w:t>详见附件</w:t>
      </w:r>
      <w:r>
        <w:rPr>
          <w:rFonts w:hint="eastAsia" w:ascii="宋体" w:hAnsi="宋体" w:cs="宋体"/>
          <w:b/>
          <w:kern w:val="0"/>
          <w:sz w:val="24"/>
          <w:highlight w:val="none"/>
        </w:rPr>
        <w:t>。</w:t>
      </w: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jc w:val="center"/>
        <w:rPr>
          <w:rFonts w:ascii="宋体" w:hAnsi="宋体" w:cs="宋体"/>
          <w:b/>
          <w:highlight w:val="none"/>
        </w:rPr>
      </w:pPr>
    </w:p>
    <w:p>
      <w:pPr>
        <w:rPr>
          <w:rFonts w:ascii="宋体" w:hAnsi="宋体" w:cs="宋体"/>
          <w:b/>
          <w:highlight w:val="none"/>
        </w:rPr>
      </w:pPr>
    </w:p>
    <w:p>
      <w:pPr>
        <w:jc w:val="center"/>
        <w:rPr>
          <w:rFonts w:ascii="宋体" w:hAnsi="宋体" w:cs="宋体"/>
          <w:b/>
          <w:highlight w:val="none"/>
        </w:rPr>
        <w:sectPr>
          <w:pgSz w:w="11906" w:h="16838"/>
          <w:pgMar w:top="1440" w:right="1800" w:bottom="1440" w:left="1800" w:header="851" w:footer="992" w:gutter="0"/>
          <w:cols w:space="720" w:num="1"/>
          <w:titlePg/>
          <w:docGrid w:type="lines" w:linePitch="312" w:charSpace="0"/>
        </w:sectPr>
      </w:pPr>
    </w:p>
    <w:p>
      <w:pPr>
        <w:rPr>
          <w:rFonts w:ascii="宋体" w:hAnsi="宋体" w:cs="宋体"/>
          <w:b/>
          <w:highlight w:val="none"/>
        </w:rPr>
      </w:pPr>
    </w:p>
    <w:p>
      <w:pPr>
        <w:jc w:val="center"/>
        <w:rPr>
          <w:rFonts w:ascii="宋体" w:hAnsi="宋体" w:cs="宋体"/>
          <w:b/>
          <w:highlight w:val="none"/>
        </w:rPr>
      </w:pPr>
    </w:p>
    <w:p>
      <w:pPr>
        <w:pStyle w:val="3"/>
        <w:spacing w:before="0" w:after="0" w:line="360" w:lineRule="auto"/>
        <w:jc w:val="center"/>
        <w:rPr>
          <w:rFonts w:ascii="宋体" w:hAnsi="宋体" w:cs="宋体"/>
          <w:highlight w:val="none"/>
        </w:rPr>
      </w:pPr>
      <w:bookmarkStart w:id="181" w:name="_Toc513633963"/>
      <w:bookmarkStart w:id="182" w:name="_Toc3008"/>
      <w:bookmarkStart w:id="183" w:name="_Toc2000410"/>
      <w:bookmarkStart w:id="184" w:name="_Toc503951042"/>
      <w:bookmarkStart w:id="185" w:name="_Toc12440"/>
      <w:bookmarkStart w:id="186" w:name="_Toc447827048"/>
      <w:bookmarkStart w:id="187" w:name="_Toc514858706"/>
      <w:r>
        <w:rPr>
          <w:rFonts w:hint="eastAsia" w:ascii="宋体" w:hAnsi="宋体" w:cs="宋体"/>
          <w:highlight w:val="none"/>
        </w:rPr>
        <w:t>第六章  图  纸</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pPr>
        <w:jc w:val="center"/>
        <w:rPr>
          <w:rFonts w:ascii="宋体" w:hAnsi="宋体" w:cs="宋体"/>
          <w:b/>
          <w:highlight w:val="none"/>
        </w:rPr>
      </w:pPr>
      <w:r>
        <w:rPr>
          <w:rFonts w:hint="eastAsia" w:ascii="宋体" w:hAnsi="宋体" w:cs="宋体"/>
          <w:b/>
          <w:kern w:val="0"/>
          <w:sz w:val="24"/>
          <w:highlight w:val="none"/>
          <w:lang w:eastAsia="zh-CN"/>
        </w:rPr>
        <w:t>无</w:t>
      </w:r>
      <w:r>
        <w:rPr>
          <w:rFonts w:hint="eastAsia" w:ascii="宋体" w:hAnsi="宋体" w:cs="宋体"/>
          <w:b/>
          <w:kern w:val="0"/>
          <w:sz w:val="24"/>
          <w:highlight w:val="none"/>
        </w:rPr>
        <w:t>。</w:t>
      </w:r>
    </w:p>
    <w:p>
      <w:pPr>
        <w:spacing w:line="400" w:lineRule="exact"/>
        <w:rPr>
          <w:rFonts w:ascii="宋体" w:hAnsi="宋体" w:cs="宋体"/>
          <w:highlight w:val="none"/>
        </w:rPr>
      </w:pPr>
      <w:r>
        <w:rPr>
          <w:rFonts w:hint="eastAsia" w:ascii="宋体" w:hAnsi="宋体" w:cs="宋体"/>
          <w:highlight w:val="none"/>
        </w:rPr>
        <w:br w:type="page"/>
      </w:r>
      <w:bookmarkStart w:id="188" w:name="_Toc152045785"/>
      <w:bookmarkStart w:id="189" w:name="_Toc144974854"/>
      <w:bookmarkStart w:id="190" w:name="_Toc152042574"/>
    </w:p>
    <w:p>
      <w:pPr>
        <w:pStyle w:val="3"/>
        <w:spacing w:before="0" w:after="0" w:line="360" w:lineRule="auto"/>
        <w:jc w:val="center"/>
        <w:rPr>
          <w:rFonts w:ascii="宋体" w:hAnsi="宋体" w:cs="宋体"/>
          <w:highlight w:val="none"/>
        </w:rPr>
      </w:pPr>
      <w:bookmarkStart w:id="191" w:name="_Toc514858707"/>
      <w:bookmarkStart w:id="192" w:name="_Toc179632804"/>
      <w:bookmarkStart w:id="193" w:name="_Toc246997096"/>
      <w:bookmarkStart w:id="194" w:name="_Toc2000411"/>
      <w:bookmarkStart w:id="195" w:name="_Toc10887"/>
      <w:bookmarkStart w:id="196" w:name="_Toc2585"/>
      <w:bookmarkStart w:id="197" w:name="_Toc513633964"/>
      <w:bookmarkStart w:id="198" w:name="_Toc447827049"/>
      <w:bookmarkStart w:id="199" w:name="_Toc247085870"/>
      <w:bookmarkStart w:id="200" w:name="_Toc503951043"/>
      <w:bookmarkStart w:id="201" w:name="_Toc246996353"/>
      <w:r>
        <w:rPr>
          <w:rFonts w:hint="eastAsia" w:ascii="宋体" w:hAnsi="宋体" w:cs="宋体"/>
          <w:highlight w:val="none"/>
        </w:rPr>
        <w:t>第七章  技术标准和工作要求</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bookmarkEnd w:id="155"/>
    <w:bookmarkEnd w:id="156"/>
    <w:bookmarkEnd w:id="157"/>
    <w:bookmarkEnd w:id="158"/>
    <w:bookmarkEnd w:id="159"/>
    <w:bookmarkEnd w:id="160"/>
    <w:bookmarkEnd w:id="161"/>
    <w:p>
      <w:pPr>
        <w:pStyle w:val="3"/>
        <w:spacing w:before="0" w:after="0" w:line="360" w:lineRule="auto"/>
        <w:jc w:val="center"/>
        <w:rPr>
          <w:rFonts w:ascii="宋体" w:hAnsi="宋体" w:cs="宋体"/>
          <w:highlight w:val="none"/>
        </w:rPr>
      </w:pPr>
      <w:bookmarkStart w:id="202" w:name="_Toc12089"/>
      <w:bookmarkStart w:id="203" w:name="_Toc514858708"/>
      <w:bookmarkStart w:id="204" w:name="_Toc13280"/>
      <w:bookmarkStart w:id="205" w:name="_Toc514430114"/>
      <w:bookmarkStart w:id="206" w:name="_Toc2000412"/>
      <w:bookmarkStart w:id="207" w:name="_Toc179632807"/>
      <w:bookmarkStart w:id="208" w:name="_Toc152042576"/>
      <w:bookmarkStart w:id="209" w:name="_Toc152045787"/>
      <w:bookmarkStart w:id="210" w:name="_Toc247085873"/>
      <w:bookmarkStart w:id="211" w:name="_Toc246996355"/>
      <w:bookmarkStart w:id="212" w:name="_Toc507320039"/>
      <w:bookmarkStart w:id="213" w:name="_Toc144974856"/>
      <w:bookmarkStart w:id="214" w:name="_Toc246997098"/>
      <w:r>
        <w:rPr>
          <w:rFonts w:hint="eastAsia"/>
          <w:sz w:val="24"/>
          <w:szCs w:val="24"/>
          <w:highlight w:val="none"/>
          <w:lang w:eastAsia="zh-CN"/>
        </w:rPr>
        <w:t>无</w:t>
      </w:r>
      <w:r>
        <w:rPr>
          <w:rFonts w:hint="eastAsia" w:ascii="宋体" w:hAnsi="宋体" w:cs="宋体"/>
          <w:sz w:val="24"/>
          <w:szCs w:val="24"/>
          <w:highlight w:val="none"/>
        </w:rPr>
        <w:t>。</w:t>
      </w:r>
      <w:r>
        <w:rPr>
          <w:rFonts w:hint="eastAsia" w:ascii="宋体" w:hAnsi="宋体" w:cs="宋体"/>
          <w:highlight w:val="none"/>
        </w:rPr>
        <w:br w:type="page"/>
      </w:r>
      <w:r>
        <w:rPr>
          <w:rFonts w:hint="eastAsia" w:ascii="宋体" w:hAnsi="宋体" w:cs="宋体"/>
          <w:highlight w:val="none"/>
        </w:rPr>
        <w:t>第八章  工程量清单计量规则</w:t>
      </w:r>
      <w:bookmarkEnd w:id="202"/>
      <w:bookmarkEnd w:id="203"/>
      <w:bookmarkEnd w:id="204"/>
      <w:bookmarkEnd w:id="205"/>
      <w:bookmarkEnd w:id="206"/>
    </w:p>
    <w:p>
      <w:pPr>
        <w:spacing w:line="360" w:lineRule="auto"/>
        <w:ind w:firstLine="420" w:firstLineChars="200"/>
        <w:rPr>
          <w:rFonts w:ascii="宋体" w:hAnsi="宋体" w:cs="宋体"/>
          <w:szCs w:val="21"/>
          <w:highlight w:val="none"/>
        </w:rPr>
      </w:pPr>
    </w:p>
    <w:p>
      <w:pPr>
        <w:pStyle w:val="3"/>
        <w:spacing w:before="0" w:after="0" w:line="360" w:lineRule="auto"/>
        <w:jc w:val="center"/>
        <w:rPr>
          <w:rFonts w:hint="eastAsia" w:ascii="宋体" w:hAnsi="宋体" w:cs="宋体"/>
          <w:sz w:val="24"/>
          <w:szCs w:val="24"/>
          <w:highlight w:val="none"/>
          <w:lang w:eastAsia="zh-CN"/>
        </w:rPr>
      </w:pPr>
      <w:r>
        <w:rPr>
          <w:rFonts w:hint="eastAsia" w:ascii="宋体" w:hAnsi="宋体" w:cs="宋体"/>
          <w:sz w:val="24"/>
          <w:szCs w:val="24"/>
          <w:highlight w:val="none"/>
          <w:lang w:eastAsia="zh-CN"/>
        </w:rPr>
        <w:t>无。</w:t>
      </w: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sectPr>
          <w:pgSz w:w="11906" w:h="16838"/>
          <w:pgMar w:top="1440" w:right="1803" w:bottom="1440" w:left="1803" w:header="851" w:footer="992" w:gutter="0"/>
          <w:cols w:space="720" w:num="1"/>
          <w:titlePg/>
          <w:docGrid w:type="lines" w:linePitch="319" w:charSpace="0"/>
        </w:sectPr>
      </w:pPr>
      <w:bookmarkStart w:id="215" w:name="_Toc513633965"/>
    </w:p>
    <w:p>
      <w:pPr>
        <w:rPr>
          <w:rFonts w:ascii="宋体" w:hAnsi="宋体" w:cs="宋体"/>
          <w:highlight w:val="none"/>
        </w:rPr>
      </w:pPr>
    </w:p>
    <w:p>
      <w:pPr>
        <w:pStyle w:val="3"/>
        <w:spacing w:before="0" w:after="0" w:line="360" w:lineRule="auto"/>
        <w:jc w:val="center"/>
        <w:rPr>
          <w:rFonts w:ascii="宋体" w:hAnsi="宋体" w:cs="宋体"/>
          <w:highlight w:val="none"/>
        </w:rPr>
      </w:pPr>
      <w:bookmarkStart w:id="216" w:name="_Toc24853"/>
      <w:bookmarkStart w:id="217" w:name="_Toc2000413"/>
      <w:bookmarkStart w:id="218" w:name="_Toc514858709"/>
      <w:bookmarkStart w:id="219" w:name="_Toc1416"/>
      <w:r>
        <w:rPr>
          <w:rFonts w:hint="eastAsia" w:ascii="宋体" w:hAnsi="宋体" w:cs="宋体"/>
          <w:highlight w:val="none"/>
        </w:rPr>
        <w:t>第九章  竞争性比选响应文件格式</w:t>
      </w:r>
      <w:bookmarkEnd w:id="215"/>
      <w:bookmarkEnd w:id="216"/>
      <w:bookmarkEnd w:id="217"/>
      <w:bookmarkEnd w:id="218"/>
      <w:bookmarkEnd w:id="219"/>
    </w:p>
    <w:p>
      <w:pPr>
        <w:rPr>
          <w:rFonts w:ascii="宋体" w:hAnsi="宋体" w:cs="宋体"/>
          <w:highlight w:val="none"/>
        </w:rPr>
      </w:pPr>
    </w:p>
    <w:p>
      <w:pPr>
        <w:rPr>
          <w:rFonts w:ascii="宋体" w:hAnsi="宋体" w:cs="宋体"/>
          <w:highlight w:val="none"/>
        </w:rPr>
        <w:sectPr>
          <w:pgSz w:w="11906" w:h="16838"/>
          <w:pgMar w:top="1440" w:right="1803" w:bottom="1440" w:left="1803" w:header="851" w:footer="992" w:gutter="0"/>
          <w:cols w:space="720" w:num="1"/>
          <w:titlePg/>
          <w:docGrid w:type="lines" w:linePitch="319" w:charSpace="0"/>
        </w:sectPr>
      </w:pPr>
    </w:p>
    <w:p>
      <w:pPr>
        <w:rPr>
          <w:rFonts w:ascii="宋体" w:hAnsi="宋体" w:cs="宋体"/>
          <w:highlight w:val="none"/>
        </w:rPr>
      </w:pPr>
    </w:p>
    <w:p>
      <w:pPr>
        <w:jc w:val="center"/>
        <w:rPr>
          <w:rFonts w:ascii="宋体" w:hAnsi="宋体" w:cs="宋体"/>
          <w:sz w:val="52"/>
          <w:szCs w:val="52"/>
          <w:highlight w:val="none"/>
          <w:u w:val="single"/>
        </w:rPr>
      </w:pPr>
      <w:bookmarkStart w:id="220" w:name="_Toc514858710"/>
      <w:bookmarkStart w:id="221" w:name="_Toc513646738"/>
      <w:bookmarkStart w:id="222" w:name="_Toc503971829"/>
      <w:bookmarkStart w:id="223" w:name="_Toc513633967"/>
      <w:bookmarkStart w:id="224" w:name="_Toc503951046"/>
      <w:r>
        <w:rPr>
          <w:rFonts w:hint="eastAsia" w:ascii="宋体" w:hAnsi="宋体" w:cs="宋体"/>
          <w:highlight w:val="none"/>
          <w:u w:val="single"/>
        </w:rPr>
        <w:t xml:space="preserve">                           </w:t>
      </w:r>
      <w:r>
        <w:rPr>
          <w:rFonts w:hint="eastAsia" w:ascii="宋体" w:hAnsi="宋体" w:cs="宋体"/>
          <w:sz w:val="52"/>
          <w:szCs w:val="52"/>
          <w:highlight w:val="none"/>
          <w:u w:val="single"/>
        </w:rPr>
        <w:t>（项目名称）</w:t>
      </w:r>
      <w:bookmarkEnd w:id="220"/>
      <w:bookmarkEnd w:id="221"/>
      <w:bookmarkEnd w:id="222"/>
      <w:bookmarkEnd w:id="223"/>
      <w:bookmarkEnd w:id="224"/>
      <w:r>
        <w:rPr>
          <w:rFonts w:hint="eastAsia" w:ascii="宋体" w:hAnsi="宋体" w:cs="宋体"/>
          <w:sz w:val="52"/>
          <w:szCs w:val="52"/>
          <w:highlight w:val="none"/>
          <w:u w:val="single"/>
        </w:rPr>
        <w:t xml:space="preserve"> </w:t>
      </w:r>
    </w:p>
    <w:p>
      <w:pPr>
        <w:rPr>
          <w:rFonts w:ascii="宋体" w:hAnsi="宋体" w:cs="宋体"/>
          <w:sz w:val="20"/>
          <w:szCs w:val="20"/>
          <w:highlight w:val="none"/>
        </w:rPr>
      </w:pPr>
    </w:p>
    <w:p>
      <w:pPr>
        <w:jc w:val="center"/>
        <w:rPr>
          <w:rFonts w:ascii="宋体" w:hAnsi="宋体" w:cs="宋体"/>
          <w:sz w:val="44"/>
          <w:szCs w:val="44"/>
          <w:highlight w:val="none"/>
        </w:rPr>
      </w:pPr>
      <w:r>
        <w:rPr>
          <w:rFonts w:hint="eastAsia" w:ascii="宋体" w:hAnsi="宋体" w:cs="宋体"/>
          <w:sz w:val="44"/>
          <w:szCs w:val="44"/>
          <w:highlight w:val="none"/>
        </w:rPr>
        <w:t xml:space="preserve"> </w:t>
      </w: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jc w:val="center"/>
        <w:rPr>
          <w:rFonts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ascii="宋体" w:hAnsi="宋体" w:cs="宋体"/>
          <w:b/>
          <w:sz w:val="32"/>
          <w:szCs w:val="32"/>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jc w:val="center"/>
        <w:rPr>
          <w:rFonts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ascii="宋体" w:hAnsi="宋体" w:cs="宋体"/>
          <w:sz w:val="20"/>
          <w:szCs w:val="20"/>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pStyle w:val="4"/>
        <w:jc w:val="center"/>
        <w:rPr>
          <w:rFonts w:ascii="宋体" w:hAnsi="宋体" w:eastAsia="宋体" w:cs="宋体"/>
          <w:highlight w:val="none"/>
        </w:rPr>
      </w:pPr>
      <w:bookmarkStart w:id="225" w:name="_Toc11329273"/>
      <w:bookmarkStart w:id="226" w:name="_Toc28780"/>
      <w:bookmarkStart w:id="227" w:name="_Toc11078"/>
      <w:bookmarkStart w:id="228" w:name="_Toc1368"/>
      <w:bookmarkStart w:id="229" w:name="_Toc5459"/>
      <w:r>
        <w:rPr>
          <w:rFonts w:hint="eastAsia" w:ascii="宋体" w:hAnsi="宋体" w:eastAsia="宋体" w:cs="宋体"/>
          <w:highlight w:val="none"/>
        </w:rPr>
        <w:t>目    录</w:t>
      </w:r>
      <w:bookmarkEnd w:id="207"/>
      <w:bookmarkEnd w:id="208"/>
      <w:bookmarkEnd w:id="209"/>
      <w:bookmarkEnd w:id="210"/>
      <w:bookmarkEnd w:id="211"/>
      <w:bookmarkEnd w:id="212"/>
      <w:bookmarkEnd w:id="213"/>
      <w:bookmarkEnd w:id="214"/>
      <w:bookmarkEnd w:id="225"/>
      <w:bookmarkEnd w:id="226"/>
      <w:bookmarkEnd w:id="227"/>
      <w:bookmarkEnd w:id="228"/>
      <w:bookmarkEnd w:id="229"/>
    </w:p>
    <w:p>
      <w:pPr>
        <w:spacing w:line="400" w:lineRule="exact"/>
        <w:rPr>
          <w:rFonts w:ascii="宋体" w:hAnsi="宋体" w:cs="宋体"/>
          <w:highlight w:val="none"/>
        </w:rPr>
      </w:pPr>
      <w:r>
        <w:rPr>
          <w:rFonts w:hint="eastAsia" w:ascii="宋体" w:hAnsi="宋体" w:cs="宋体"/>
          <w:highlight w:val="none"/>
        </w:rPr>
        <w:t>一、竞争性响应声明书</w:t>
      </w:r>
    </w:p>
    <w:p>
      <w:pPr>
        <w:spacing w:line="400" w:lineRule="exact"/>
        <w:rPr>
          <w:rFonts w:ascii="宋体" w:hAnsi="宋体" w:cs="宋体"/>
          <w:highlight w:val="none"/>
        </w:rPr>
      </w:pPr>
      <w:r>
        <w:rPr>
          <w:rFonts w:hint="eastAsia" w:ascii="宋体" w:hAnsi="宋体" w:cs="宋体"/>
          <w:highlight w:val="none"/>
        </w:rPr>
        <w:t>二、报价一览表</w:t>
      </w:r>
    </w:p>
    <w:p>
      <w:pPr>
        <w:spacing w:line="400" w:lineRule="exact"/>
        <w:rPr>
          <w:rFonts w:ascii="宋体" w:hAnsi="宋体" w:cs="宋体"/>
          <w:highlight w:val="none"/>
        </w:rPr>
      </w:pPr>
      <w:r>
        <w:rPr>
          <w:rFonts w:hint="eastAsia" w:ascii="宋体" w:hAnsi="宋体" w:cs="宋体"/>
          <w:highlight w:val="none"/>
        </w:rPr>
        <w:t>三、资格审查资料</w:t>
      </w:r>
    </w:p>
    <w:p>
      <w:pPr>
        <w:spacing w:line="400" w:lineRule="exact"/>
        <w:rPr>
          <w:rFonts w:ascii="宋体" w:hAnsi="宋体" w:cs="宋体"/>
          <w:szCs w:val="21"/>
          <w:highlight w:val="none"/>
        </w:rPr>
      </w:pPr>
      <w:r>
        <w:rPr>
          <w:rFonts w:hint="eastAsia" w:ascii="宋体" w:hAnsi="宋体" w:cs="宋体"/>
          <w:highlight w:val="none"/>
        </w:rPr>
        <w:t>四、</w:t>
      </w:r>
      <w:r>
        <w:rPr>
          <w:rFonts w:hint="eastAsia" w:ascii="宋体" w:hAnsi="宋体" w:cs="宋体"/>
          <w:szCs w:val="21"/>
          <w:highlight w:val="none"/>
        </w:rPr>
        <w:t>报价人须知前附表规定的其他材料</w:t>
      </w:r>
    </w:p>
    <w:p>
      <w:pPr>
        <w:pStyle w:val="2"/>
        <w:rPr>
          <w:rFonts w:ascii="宋体" w:hAnsi="宋体" w:cs="宋体"/>
          <w:b w:val="0"/>
          <w:bCs w:val="0"/>
          <w:caps w:val="0"/>
          <w:sz w:val="21"/>
          <w:szCs w:val="21"/>
          <w:highlight w:val="none"/>
        </w:rPr>
      </w:pPr>
      <w:r>
        <w:rPr>
          <w:rFonts w:hint="eastAsia" w:ascii="宋体" w:hAnsi="宋体" w:cs="宋体"/>
          <w:b w:val="0"/>
          <w:bCs w:val="0"/>
          <w:caps w:val="0"/>
          <w:sz w:val="21"/>
          <w:szCs w:val="21"/>
          <w:highlight w:val="none"/>
        </w:rPr>
        <w:t>五、现场安全负责人承诺书</w:t>
      </w:r>
    </w:p>
    <w:p>
      <w:pPr>
        <w:spacing w:line="400" w:lineRule="exact"/>
        <w:rPr>
          <w:rFonts w:ascii="宋体" w:hAnsi="宋体" w:cs="宋体"/>
          <w:highlight w:val="none"/>
        </w:rPr>
      </w:pPr>
      <w:r>
        <w:rPr>
          <w:rFonts w:hint="eastAsia" w:ascii="宋体" w:hAnsi="宋体" w:cs="宋体"/>
          <w:highlight w:val="none"/>
        </w:rPr>
        <w:t xml:space="preserve"> </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r>
        <w:rPr>
          <w:rFonts w:ascii="宋体" w:hAnsi="宋体" w:cs="宋体"/>
          <w:highlight w:val="none"/>
        </w:rPr>
        <w:br w:type="page"/>
      </w:r>
    </w:p>
    <w:p>
      <w:pPr>
        <w:pStyle w:val="4"/>
        <w:spacing w:before="0" w:after="0" w:line="360" w:lineRule="auto"/>
        <w:jc w:val="center"/>
        <w:rPr>
          <w:rFonts w:ascii="宋体" w:hAnsi="宋体" w:eastAsia="宋体" w:cs="宋体"/>
          <w:sz w:val="28"/>
          <w:highlight w:val="none"/>
        </w:rPr>
      </w:pPr>
      <w:bookmarkStart w:id="230" w:name="_Toc11329274"/>
      <w:bookmarkStart w:id="231" w:name="_Toc8870"/>
      <w:bookmarkStart w:id="232" w:name="_Toc25874"/>
      <w:bookmarkStart w:id="233" w:name="_Toc15863"/>
      <w:bookmarkStart w:id="234" w:name="_Toc29547"/>
      <w:bookmarkStart w:id="235" w:name="_Toc4828"/>
      <w:bookmarkStart w:id="236" w:name="_Toc503951048"/>
      <w:bookmarkStart w:id="237" w:name="_Toc447827053"/>
      <w:bookmarkStart w:id="238" w:name="_Toc513633969"/>
      <w:r>
        <w:rPr>
          <w:rFonts w:hint="eastAsia" w:ascii="宋体" w:hAnsi="宋体" w:eastAsia="宋体" w:cs="宋体"/>
          <w:sz w:val="28"/>
          <w:highlight w:val="none"/>
        </w:rPr>
        <w:t>一、</w:t>
      </w:r>
      <w:bookmarkEnd w:id="230"/>
      <w:bookmarkEnd w:id="231"/>
      <w:r>
        <w:rPr>
          <w:rFonts w:hint="eastAsia" w:ascii="宋体" w:hAnsi="宋体" w:eastAsia="宋体" w:cs="宋体"/>
          <w:sz w:val="28"/>
          <w:highlight w:val="none"/>
        </w:rPr>
        <w:t>竞争比选响应声明书</w:t>
      </w:r>
      <w:bookmarkEnd w:id="232"/>
      <w:bookmarkEnd w:id="233"/>
      <w:bookmarkEnd w:id="234"/>
      <w:bookmarkEnd w:id="235"/>
    </w:p>
    <w:p>
      <w:pPr>
        <w:tabs>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rPr>
        <w:t>重庆首讯科技股份有限公司</w:t>
      </w:r>
    </w:p>
    <w:p>
      <w:pPr>
        <w:spacing w:line="700" w:lineRule="atLeast"/>
        <w:ind w:firstLine="480" w:firstLineChars="200"/>
        <w:rPr>
          <w:rFonts w:ascii="Arial" w:hAnsi="Arial" w:cs="Arial"/>
          <w:color w:val="000000"/>
          <w:sz w:val="24"/>
          <w:highlight w:val="none"/>
        </w:rPr>
      </w:pPr>
      <w:r>
        <w:rPr>
          <w:rFonts w:hint="eastAsia" w:ascii="Arial" w:hAnsi="Arial" w:cs="Arial"/>
          <w:color w:val="000000"/>
          <w:sz w:val="24"/>
          <w:highlight w:val="none"/>
        </w:rPr>
        <w:t>根据贵</w:t>
      </w:r>
      <w:r>
        <w:rPr>
          <w:rFonts w:hint="eastAsia" w:ascii="Arial" w:hAnsi="Arial" w:cs="Arial"/>
          <w:sz w:val="24"/>
          <w:highlight w:val="none"/>
        </w:rPr>
        <w:t>方为</w:t>
      </w:r>
      <w:r>
        <w:rPr>
          <w:rFonts w:hint="eastAsia" w:ascii="Arial" w:hAnsi="Arial" w:cs="Arial"/>
          <w:color w:val="000000"/>
          <w:sz w:val="24"/>
          <w:highlight w:val="none"/>
          <w:u w:val="single"/>
          <w:lang w:eastAsia="zh-CN"/>
        </w:rPr>
        <w:t>首讯公司安全标准化达标认证咨询服务</w:t>
      </w:r>
      <w:r>
        <w:rPr>
          <w:rFonts w:hint="eastAsia" w:ascii="Arial" w:hAnsi="Arial" w:cs="Arial"/>
          <w:color w:val="000000"/>
          <w:sz w:val="24"/>
          <w:highlight w:val="none"/>
          <w:u w:val="single"/>
        </w:rPr>
        <w:t xml:space="preserve"> </w:t>
      </w:r>
      <w:r>
        <w:rPr>
          <w:rFonts w:hint="eastAsia" w:ascii="Arial" w:hAnsi="Arial" w:cs="Arial"/>
          <w:sz w:val="24"/>
          <w:highlight w:val="none"/>
        </w:rPr>
        <w:t>竞争比选项目及服</w:t>
      </w:r>
      <w:r>
        <w:rPr>
          <w:rFonts w:hint="eastAsia" w:ascii="Arial" w:hAnsi="Arial" w:cs="Arial"/>
          <w:color w:val="000000"/>
          <w:sz w:val="24"/>
          <w:highlight w:val="none"/>
        </w:rPr>
        <w:t>务的竞争比选邀请，签字代表</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（全名、职务）</w:t>
      </w:r>
      <w:r>
        <w:rPr>
          <w:rFonts w:hint="eastAsia" w:ascii="Arial" w:hAnsi="Arial" w:cs="Arial"/>
          <w:color w:val="000000"/>
          <w:sz w:val="24"/>
          <w:highlight w:val="none"/>
        </w:rPr>
        <w:t>经正式授权并代表竞争比选响应单位</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（竞争比选响应单位名称）</w:t>
      </w:r>
      <w:r>
        <w:rPr>
          <w:rFonts w:ascii="Arial" w:hAnsi="Arial" w:cs="Arial"/>
          <w:color w:val="000000"/>
          <w:sz w:val="24"/>
          <w:highlight w:val="none"/>
          <w:u w:val="single"/>
        </w:rPr>
        <w:t xml:space="preserve"> </w:t>
      </w:r>
      <w:r>
        <w:rPr>
          <w:rFonts w:hint="eastAsia" w:ascii="Arial" w:hAnsi="Arial" w:cs="Arial"/>
          <w:color w:val="000000"/>
          <w:sz w:val="24"/>
          <w:highlight w:val="none"/>
        </w:rPr>
        <w:t>提交报价文件。</w:t>
      </w:r>
    </w:p>
    <w:p>
      <w:pPr>
        <w:spacing w:line="700" w:lineRule="atLeast"/>
        <w:ind w:firstLine="480" w:firstLineChars="200"/>
        <w:rPr>
          <w:rFonts w:ascii="Arial" w:hAnsi="Arial" w:cs="Arial"/>
          <w:color w:val="000000"/>
          <w:sz w:val="24"/>
          <w:highlight w:val="none"/>
          <w:u w:val="single"/>
        </w:rPr>
      </w:pPr>
      <w:r>
        <w:rPr>
          <w:rFonts w:hint="eastAsia" w:ascii="Arial" w:hAnsi="Arial" w:cs="Arial"/>
          <w:color w:val="000000"/>
          <w:sz w:val="24"/>
          <w:highlight w:val="none"/>
          <w:u w:val="single"/>
        </w:rPr>
        <w:t>我方愿以人民币：              元（大写              元）的报价总价，按照竞争比选文件的要求，承担本次竞争比选文件要求的安装工程。</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p>
    <w:p>
      <w:pPr>
        <w:tabs>
          <w:tab w:val="left" w:pos="540"/>
          <w:tab w:val="left" w:pos="900"/>
        </w:tabs>
        <w:spacing w:line="300" w:lineRule="auto"/>
        <w:rPr>
          <w:rFonts w:ascii="Arial" w:hAnsi="Arial" w:cs="Arial"/>
          <w:color w:val="000000"/>
          <w:sz w:val="24"/>
          <w:highlight w:val="none"/>
        </w:rPr>
      </w:pPr>
      <w:r>
        <w:rPr>
          <w:rFonts w:hint="eastAsia" w:ascii="Arial" w:hAnsi="Arial" w:cs="Arial"/>
          <w:color w:val="000000"/>
          <w:sz w:val="24"/>
          <w:highlight w:val="none"/>
        </w:rPr>
        <w:t>据此函，签字代表宣布同意如下：</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1</w:t>
      </w:r>
      <w:r>
        <w:rPr>
          <w:rFonts w:hint="eastAsia" w:ascii="Arial" w:hAnsi="Arial" w:cs="Arial"/>
          <w:color w:val="000000"/>
          <w:sz w:val="24"/>
          <w:highlight w:val="none"/>
        </w:rPr>
        <w:t>、竞争比选响应单位将按竞争比选文件规定履行合同责任和义务。</w:t>
      </w:r>
    </w:p>
    <w:p>
      <w:pPr>
        <w:tabs>
          <w:tab w:val="left" w:pos="900"/>
        </w:tabs>
        <w:spacing w:line="300" w:lineRule="auto"/>
        <w:rPr>
          <w:rFonts w:ascii="Arial" w:hAnsi="Arial" w:cs="Arial"/>
          <w:b/>
          <w:color w:val="000000"/>
          <w:sz w:val="24"/>
          <w:highlight w:val="none"/>
        </w:rPr>
      </w:pPr>
      <w:r>
        <w:rPr>
          <w:rFonts w:ascii="Arial" w:hAnsi="Arial" w:cs="Arial"/>
          <w:color w:val="000000"/>
          <w:sz w:val="24"/>
          <w:highlight w:val="none"/>
        </w:rPr>
        <w:t>2</w:t>
      </w:r>
      <w:r>
        <w:rPr>
          <w:rFonts w:hint="eastAsia" w:ascii="Arial" w:hAnsi="Arial" w:cs="Arial"/>
          <w:color w:val="000000"/>
          <w:sz w:val="24"/>
          <w:highlight w:val="none"/>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4、与本竞争比选响应有关的一切正式往来通讯请寄：</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地址：</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邮编：</w:t>
      </w:r>
      <w:r>
        <w:rPr>
          <w:rFonts w:ascii="Arial" w:hAnsi="Arial" w:cs="Arial"/>
          <w:color w:val="000000"/>
          <w:sz w:val="24"/>
          <w:highlight w:val="none"/>
          <w:u w:val="single"/>
        </w:rPr>
        <w:t xml:space="preserve">            </w:t>
      </w:r>
      <w:r>
        <w:rPr>
          <w:rFonts w:ascii="Arial" w:hAnsi="Arial" w:cs="Arial"/>
          <w:b/>
          <w:color w:val="000000"/>
          <w:sz w:val="24"/>
          <w:highlight w:val="none"/>
        </w:rPr>
        <w:t xml:space="preserve">  </w:t>
      </w:r>
    </w:p>
    <w:p>
      <w:pPr>
        <w:tabs>
          <w:tab w:val="left" w:pos="900"/>
        </w:tabs>
        <w:spacing w:line="300" w:lineRule="auto"/>
        <w:rPr>
          <w:rFonts w:ascii="Arial" w:hAnsi="Arial" w:cs="Arial"/>
          <w:color w:val="000000"/>
          <w:sz w:val="24"/>
          <w:highlight w:val="none"/>
          <w:u w:val="single"/>
        </w:rPr>
      </w:pPr>
      <w:r>
        <w:rPr>
          <w:rFonts w:hint="eastAsia" w:ascii="Arial" w:hAnsi="Arial" w:cs="Arial"/>
          <w:color w:val="000000"/>
          <w:sz w:val="24"/>
          <w:highlight w:val="none"/>
        </w:rPr>
        <w:t>电话：</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传真：</w:t>
      </w:r>
      <w:r>
        <w:rPr>
          <w:rFonts w:ascii="Arial" w:hAnsi="Arial" w:cs="Arial"/>
          <w:color w:val="000000"/>
          <w:sz w:val="24"/>
          <w:highlight w:val="none"/>
          <w:u w:val="single"/>
        </w:rPr>
        <w:t xml:space="preserve">            </w:t>
      </w:r>
    </w:p>
    <w:p>
      <w:pPr>
        <w:tabs>
          <w:tab w:val="left" w:pos="900"/>
        </w:tabs>
        <w:spacing w:line="300" w:lineRule="auto"/>
        <w:rPr>
          <w:rFonts w:ascii="Arial" w:hAnsi="Arial" w:cs="Arial"/>
          <w:sz w:val="24"/>
          <w:highlight w:val="none"/>
        </w:rPr>
      </w:pPr>
      <w:r>
        <w:rPr>
          <w:rFonts w:hint="eastAsia" w:ascii="Arial" w:hAnsi="Arial" w:cs="Arial"/>
          <w:sz w:val="24"/>
          <w:highlight w:val="none"/>
        </w:rPr>
        <w:t>竞争比选响应单位法定代表人或授权代表人（签字）：</w:t>
      </w:r>
      <w:r>
        <w:rPr>
          <w:rFonts w:ascii="Arial" w:hAnsi="Arial" w:cs="Arial"/>
          <w:sz w:val="24"/>
          <w:highlight w:val="none"/>
          <w:u w:val="single"/>
        </w:rPr>
        <w:t xml:space="preserve">             </w:t>
      </w:r>
      <w:r>
        <w:rPr>
          <w:rFonts w:ascii="Arial" w:hAnsi="Arial" w:cs="Arial"/>
          <w:sz w:val="24"/>
          <w:highlight w:val="none"/>
        </w:rPr>
        <w:t xml:space="preserve">  </w:t>
      </w:r>
    </w:p>
    <w:p>
      <w:pPr>
        <w:tabs>
          <w:tab w:val="left" w:pos="900"/>
        </w:tabs>
        <w:spacing w:line="300" w:lineRule="auto"/>
        <w:rPr>
          <w:rFonts w:ascii="Arial" w:hAnsi="Arial" w:cs="Arial"/>
          <w:sz w:val="24"/>
          <w:highlight w:val="none"/>
        </w:rPr>
      </w:pPr>
      <w:r>
        <w:rPr>
          <w:rFonts w:hint="eastAsia" w:ascii="Arial" w:hAnsi="Arial" w:cs="Arial"/>
          <w:sz w:val="24"/>
          <w:highlight w:val="none"/>
        </w:rPr>
        <w:t>竞争比选响应单位法定代表人或授权代表人职务：</w:t>
      </w:r>
      <w:r>
        <w:rPr>
          <w:rFonts w:ascii="Arial" w:hAnsi="Arial" w:cs="Arial"/>
          <w:sz w:val="24"/>
          <w:highlight w:val="none"/>
          <w:u w:val="single"/>
        </w:rPr>
        <w:t xml:space="preserve">             </w:t>
      </w:r>
      <w:r>
        <w:rPr>
          <w:rFonts w:ascii="Arial" w:hAnsi="Arial" w:cs="Arial"/>
          <w:sz w:val="24"/>
          <w:highlight w:val="none"/>
        </w:rPr>
        <w:t xml:space="preserve">               </w:t>
      </w:r>
    </w:p>
    <w:p>
      <w:pPr>
        <w:tabs>
          <w:tab w:val="left" w:pos="900"/>
        </w:tabs>
        <w:spacing w:line="300" w:lineRule="auto"/>
        <w:rPr>
          <w:rFonts w:ascii="Arial" w:hAnsi="Arial" w:cs="Arial"/>
          <w:color w:val="000000"/>
          <w:sz w:val="24"/>
          <w:highlight w:val="none"/>
        </w:rPr>
      </w:pPr>
      <w:r>
        <w:rPr>
          <w:rFonts w:hint="eastAsia" w:ascii="Arial" w:hAnsi="Arial" w:cs="Arial"/>
          <w:sz w:val="24"/>
          <w:highlight w:val="none"/>
        </w:rPr>
        <w:t>竞争比选响应单位名称（加盖公章）：</w:t>
      </w:r>
      <w:r>
        <w:rPr>
          <w:rFonts w:ascii="Arial" w:hAnsi="Arial" w:cs="Arial"/>
          <w:sz w:val="24"/>
          <w:highlight w:val="none"/>
          <w:u w:val="single"/>
        </w:rPr>
        <w:t xml:space="preserve">               </w:t>
      </w:r>
      <w:r>
        <w:rPr>
          <w:rFonts w:ascii="Arial" w:hAnsi="Arial" w:cs="Arial"/>
          <w:color w:val="000000"/>
          <w:sz w:val="24"/>
          <w:highlight w:val="none"/>
          <w:u w:val="single"/>
        </w:rPr>
        <w:t xml:space="preserve">                  </w:t>
      </w:r>
    </w:p>
    <w:p>
      <w:pPr>
        <w:tabs>
          <w:tab w:val="left" w:pos="900"/>
        </w:tabs>
        <w:spacing w:line="300" w:lineRule="auto"/>
        <w:rPr>
          <w:rFonts w:ascii="Arial" w:hAnsi="Arial" w:cs="Arial"/>
          <w:color w:val="000000"/>
          <w:sz w:val="24"/>
          <w:highlight w:val="none"/>
        </w:rPr>
      </w:pPr>
      <w:r>
        <w:rPr>
          <w:rFonts w:hint="eastAsia" w:ascii="Arial" w:hAnsi="Arial" w:cs="Arial"/>
          <w:color w:val="000000"/>
          <w:sz w:val="24"/>
          <w:highlight w:val="none"/>
        </w:rPr>
        <w:t>日期：</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年</w:t>
      </w:r>
      <w:r>
        <w:rPr>
          <w:rFonts w:ascii="Arial" w:hAnsi="Arial" w:cs="Arial"/>
          <w:color w:val="000000"/>
          <w:sz w:val="24"/>
          <w:highlight w:val="none"/>
          <w:u w:val="single"/>
        </w:rPr>
        <w:t xml:space="preserve">      </w:t>
      </w:r>
      <w:r>
        <w:rPr>
          <w:rFonts w:hint="eastAsia" w:ascii="Arial" w:hAnsi="Arial" w:cs="Arial"/>
          <w:color w:val="000000"/>
          <w:sz w:val="24"/>
          <w:highlight w:val="none"/>
        </w:rPr>
        <w:t>月</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日</w:t>
      </w:r>
      <w:r>
        <w:rPr>
          <w:rFonts w:ascii="Arial" w:hAnsi="Arial" w:cs="Arial"/>
          <w:color w:val="000000"/>
          <w:sz w:val="24"/>
          <w:highlight w:val="none"/>
        </w:rPr>
        <w:t xml:space="preserve"> </w:t>
      </w:r>
    </w:p>
    <w:p>
      <w:pPr>
        <w:outlineLvl w:val="0"/>
        <w:rPr>
          <w:b/>
          <w:sz w:val="24"/>
          <w:highlight w:val="none"/>
        </w:rPr>
      </w:pPr>
    </w:p>
    <w:p>
      <w:pPr>
        <w:outlineLvl w:val="0"/>
        <w:rPr>
          <w:b/>
          <w:sz w:val="24"/>
          <w:highlight w:val="none"/>
        </w:rPr>
      </w:pPr>
    </w:p>
    <w:p>
      <w:pPr>
        <w:outlineLvl w:val="0"/>
        <w:rPr>
          <w:b/>
          <w:sz w:val="24"/>
          <w:highlight w:val="none"/>
        </w:rPr>
      </w:pPr>
    </w:p>
    <w:p>
      <w:pPr>
        <w:outlineLvl w:val="0"/>
        <w:rPr>
          <w:b/>
          <w:sz w:val="24"/>
          <w:highlight w:val="none"/>
        </w:rPr>
      </w:pPr>
    </w:p>
    <w:p>
      <w:pPr>
        <w:outlineLvl w:val="0"/>
        <w:rPr>
          <w:b/>
          <w:sz w:val="24"/>
          <w:highlight w:val="none"/>
        </w:rPr>
      </w:pPr>
      <w:bookmarkStart w:id="239" w:name="_Toc318"/>
      <w:bookmarkStart w:id="240" w:name="_Toc15924"/>
      <w:bookmarkStart w:id="241" w:name="_Toc27412"/>
      <w:bookmarkStart w:id="242" w:name="_Toc5852"/>
      <w:r>
        <w:rPr>
          <w:rFonts w:hint="eastAsia"/>
          <w:b/>
          <w:sz w:val="24"/>
          <w:highlight w:val="none"/>
        </w:rPr>
        <w:t>附报价单位法定代表人或授权代表人身份证复印件（正、反面）</w:t>
      </w:r>
      <w:bookmarkEnd w:id="239"/>
      <w:bookmarkEnd w:id="240"/>
      <w:bookmarkEnd w:id="241"/>
      <w:bookmarkEnd w:id="242"/>
    </w:p>
    <w:p>
      <w:pPr>
        <w:outlineLvl w:val="0"/>
        <w:rPr>
          <w:b/>
          <w:sz w:val="24"/>
          <w:highlight w:val="none"/>
        </w:rPr>
      </w:pPr>
    </w:p>
    <w:p>
      <w:pPr>
        <w:rPr>
          <w:rFonts w:ascii="宋体" w:hAnsi="宋体" w:cs="宋体"/>
          <w:snapToGrid w:val="0"/>
          <w:kern w:val="0"/>
          <w:szCs w:val="21"/>
          <w:highlight w:val="none"/>
        </w:rPr>
      </w:pPr>
    </w:p>
    <w:p>
      <w:pPr>
        <w:rPr>
          <w:rFonts w:ascii="宋体" w:hAnsi="宋体" w:cs="宋体"/>
          <w:highlight w:val="none"/>
        </w:rPr>
        <w:sectPr>
          <w:pgSz w:w="11906" w:h="16838"/>
          <w:pgMar w:top="1440" w:right="1803" w:bottom="1440" w:left="1803" w:header="851" w:footer="992" w:gutter="0"/>
          <w:cols w:space="720" w:num="1"/>
          <w:titlePg/>
          <w:docGrid w:type="lines" w:linePitch="319" w:charSpace="0"/>
        </w:sectPr>
      </w:pPr>
    </w:p>
    <w:p>
      <w:pPr>
        <w:jc w:val="center"/>
        <w:rPr>
          <w:rFonts w:ascii="宋体" w:hAnsi="宋体" w:cs="宋体"/>
          <w:b/>
          <w:highlight w:val="none"/>
        </w:rPr>
      </w:pPr>
      <w:bookmarkStart w:id="243" w:name="_Toc11329275"/>
      <w:r>
        <w:rPr>
          <w:rFonts w:hint="eastAsia" w:ascii="宋体" w:hAnsi="宋体" w:cs="宋体"/>
          <w:b/>
          <w:bCs/>
          <w:kern w:val="0"/>
          <w:sz w:val="28"/>
          <w:szCs w:val="32"/>
          <w:highlight w:val="none"/>
        </w:rPr>
        <w:t>二、</w:t>
      </w:r>
      <w:bookmarkEnd w:id="236"/>
      <w:bookmarkEnd w:id="237"/>
      <w:bookmarkEnd w:id="238"/>
      <w:bookmarkEnd w:id="243"/>
      <w:r>
        <w:rPr>
          <w:rFonts w:hint="eastAsia" w:ascii="宋体" w:hAnsi="宋体" w:cs="宋体"/>
          <w:b/>
          <w:bCs/>
          <w:kern w:val="0"/>
          <w:sz w:val="28"/>
          <w:szCs w:val="32"/>
          <w:highlight w:val="none"/>
        </w:rPr>
        <w:t>报价一览表</w:t>
      </w:r>
    </w:p>
    <w:p>
      <w:pPr>
        <w:ind w:left="765"/>
        <w:jc w:val="center"/>
        <w:rPr>
          <w:rFonts w:ascii="宋体" w:hAnsi="宋体" w:cs="宋体"/>
          <w:szCs w:val="21"/>
          <w:highlight w:val="none"/>
        </w:rPr>
      </w:pPr>
    </w:p>
    <w:p>
      <w:pPr>
        <w:pStyle w:val="38"/>
        <w:jc w:val="both"/>
        <w:rPr>
          <w:rFonts w:hAnsi="宋体"/>
          <w:highlight w:val="none"/>
        </w:rPr>
      </w:pPr>
      <w:r>
        <w:rPr>
          <w:rFonts w:hint="eastAsia" w:hAnsi="宋体"/>
          <w:highlight w:val="none"/>
        </w:rPr>
        <w:t>重庆首讯科技股份有限公司：</w:t>
      </w:r>
    </w:p>
    <w:p>
      <w:pPr>
        <w:spacing w:line="360" w:lineRule="auto"/>
        <w:ind w:firstLine="480" w:firstLineChars="200"/>
        <w:jc w:val="left"/>
        <w:rPr>
          <w:rFonts w:ascii="宋体" w:hAnsi="宋体"/>
          <w:b/>
          <w:color w:val="000000"/>
          <w:sz w:val="24"/>
          <w:highlight w:val="none"/>
        </w:rPr>
      </w:pPr>
      <w:r>
        <w:rPr>
          <w:rFonts w:hint="eastAsia" w:ascii="宋体" w:hAnsi="宋体"/>
          <w:color w:val="000000"/>
          <w:sz w:val="24"/>
          <w:highlight w:val="none"/>
        </w:rPr>
        <w:t>在研究了竞争比选文件中所有文件后，我司对</w:t>
      </w:r>
      <w:r>
        <w:rPr>
          <w:rFonts w:hint="eastAsia" w:ascii="宋体" w:hAnsi="宋体"/>
          <w:color w:val="000000"/>
          <w:sz w:val="24"/>
          <w:highlight w:val="none"/>
          <w:u w:val="single"/>
          <w:lang w:eastAsia="zh-CN"/>
        </w:rPr>
        <w:t>首讯公司安全标准化达标认证咨询服务</w:t>
      </w:r>
      <w:r>
        <w:rPr>
          <w:rFonts w:hint="eastAsia" w:ascii="宋体" w:hAnsi="宋体"/>
          <w:color w:val="000000"/>
          <w:sz w:val="24"/>
          <w:highlight w:val="none"/>
          <w:u w:val="single"/>
        </w:rPr>
        <w:t xml:space="preserve"> </w:t>
      </w:r>
      <w:r>
        <w:rPr>
          <w:rFonts w:hint="eastAsia" w:ascii="宋体" w:hAnsi="宋体"/>
          <w:color w:val="000000"/>
          <w:sz w:val="24"/>
          <w:highlight w:val="none"/>
        </w:rPr>
        <w:t>竞</w:t>
      </w:r>
      <w:r>
        <w:rPr>
          <w:rFonts w:hint="eastAsia" w:ascii="Arial" w:hAnsi="Arial" w:cs="Arial"/>
          <w:color w:val="000000"/>
          <w:sz w:val="24"/>
          <w:highlight w:val="none"/>
        </w:rPr>
        <w:t>争比选响应</w:t>
      </w:r>
      <w:r>
        <w:rPr>
          <w:rFonts w:hint="eastAsia" w:ascii="宋体" w:hAnsi="宋体"/>
          <w:color w:val="000000"/>
          <w:sz w:val="24"/>
          <w:highlight w:val="none"/>
        </w:rPr>
        <w:t>报价如下：</w:t>
      </w:r>
      <w:r>
        <w:rPr>
          <w:rFonts w:hint="eastAsia" w:ascii="宋体" w:hAnsi="宋体"/>
          <w:b/>
          <w:color w:val="000000"/>
          <w:sz w:val="24"/>
          <w:highlight w:val="none"/>
        </w:rPr>
        <w:t xml:space="preserve"> </w:t>
      </w:r>
    </w:p>
    <w:p>
      <w:pPr>
        <w:tabs>
          <w:tab w:val="left" w:pos="1680"/>
          <w:tab w:val="left" w:pos="4215"/>
          <w:tab w:val="left" w:pos="4305"/>
          <w:tab w:val="left" w:pos="8000"/>
        </w:tabs>
        <w:autoSpaceDE w:val="0"/>
        <w:autoSpaceDN w:val="0"/>
        <w:adjustRightInd w:val="0"/>
        <w:snapToGrid w:val="0"/>
        <w:spacing w:line="360" w:lineRule="auto"/>
        <w:ind w:firstLine="482" w:firstLineChars="200"/>
        <w:rPr>
          <w:rFonts w:ascii="宋体" w:hAnsi="宋体" w:cs="宋体"/>
          <w:b/>
          <w:kern w:val="0"/>
          <w:sz w:val="28"/>
          <w:szCs w:val="28"/>
          <w:highlight w:val="none"/>
        </w:rPr>
      </w:pPr>
      <w:r>
        <w:rPr>
          <w:rFonts w:hint="eastAsia" w:ascii="宋体" w:hAnsi="宋体"/>
          <w:b/>
          <w:bCs/>
          <w:color w:val="000000"/>
          <w:sz w:val="24"/>
          <w:highlight w:val="none"/>
        </w:rPr>
        <w:t>报价采用表格形式，见“工程量清单”。</w:t>
      </w:r>
      <w:r>
        <w:rPr>
          <w:rFonts w:hint="eastAsia" w:ascii="宋体" w:hAnsi="宋体" w:cs="宋体"/>
          <w:b/>
          <w:kern w:val="0"/>
          <w:sz w:val="28"/>
          <w:szCs w:val="28"/>
          <w:highlight w:val="none"/>
        </w:rPr>
        <w:t xml:space="preserve"> </w:t>
      </w:r>
    </w:p>
    <w:p>
      <w:pPr>
        <w:spacing w:line="400" w:lineRule="exact"/>
        <w:rPr>
          <w:rFonts w:ascii="宋体" w:hAnsi="宋体" w:cs="宋体"/>
          <w:kern w:val="0"/>
          <w:szCs w:val="21"/>
          <w:highlight w:val="none"/>
        </w:rPr>
      </w:pPr>
    </w:p>
    <w:p>
      <w:pPr>
        <w:pStyle w:val="4"/>
        <w:spacing w:before="0" w:after="0" w:line="360" w:lineRule="auto"/>
        <w:jc w:val="center"/>
        <w:rPr>
          <w:rFonts w:ascii="宋体" w:hAnsi="宋体" w:eastAsia="宋体" w:cs="宋体"/>
          <w:sz w:val="28"/>
          <w:highlight w:val="none"/>
        </w:rPr>
      </w:pPr>
      <w:bookmarkStart w:id="244" w:name="_Toc513633971"/>
      <w:bookmarkStart w:id="245" w:name="_Toc11329278"/>
      <w:bookmarkStart w:id="246" w:name="_Toc503951050"/>
      <w:bookmarkStart w:id="247" w:name="_Toc247085887"/>
      <w:bookmarkStart w:id="248" w:name="_Toc246996369"/>
      <w:bookmarkStart w:id="249" w:name="_Toc179632823"/>
      <w:bookmarkStart w:id="250" w:name="_Toc447827058"/>
      <w:bookmarkStart w:id="251" w:name="_Toc152045803"/>
      <w:bookmarkStart w:id="252" w:name="_Toc152042592"/>
      <w:bookmarkStart w:id="253" w:name="_Toc246997112"/>
      <w:bookmarkStart w:id="254" w:name="_Toc144974871"/>
      <w:r>
        <w:rPr>
          <w:rFonts w:hint="eastAsia" w:ascii="宋体" w:hAnsi="宋体" w:eastAsia="宋体" w:cs="宋体"/>
          <w:sz w:val="28"/>
          <w:highlight w:val="none"/>
        </w:rPr>
        <w:br w:type="page"/>
      </w:r>
      <w:bookmarkStart w:id="255" w:name="_Toc12910"/>
      <w:bookmarkStart w:id="256" w:name="_Toc19207"/>
      <w:bookmarkStart w:id="257" w:name="_Toc11961"/>
      <w:bookmarkStart w:id="258" w:name="_Toc18757"/>
      <w:r>
        <w:rPr>
          <w:rFonts w:hint="eastAsia" w:ascii="宋体" w:hAnsi="宋体" w:eastAsia="宋体" w:cs="宋体"/>
          <w:sz w:val="28"/>
          <w:highlight w:val="none"/>
        </w:rPr>
        <w:t>三、资格审查资料</w:t>
      </w:r>
      <w:bookmarkEnd w:id="244"/>
      <w:bookmarkEnd w:id="245"/>
      <w:bookmarkEnd w:id="246"/>
      <w:bookmarkEnd w:id="255"/>
      <w:bookmarkEnd w:id="256"/>
      <w:bookmarkEnd w:id="257"/>
      <w:bookmarkEnd w:id="258"/>
    </w:p>
    <w:p>
      <w:pPr>
        <w:pStyle w:val="4"/>
        <w:spacing w:before="0" w:after="0" w:line="360" w:lineRule="auto"/>
        <w:jc w:val="center"/>
        <w:rPr>
          <w:rFonts w:ascii="宋体" w:hAnsi="宋体" w:eastAsia="宋体" w:cs="宋体"/>
          <w:sz w:val="28"/>
          <w:highlight w:val="none"/>
        </w:rPr>
      </w:pPr>
      <w:bookmarkStart w:id="259" w:name="_Toc22003"/>
      <w:bookmarkStart w:id="260" w:name="_Toc17915"/>
      <w:bookmarkStart w:id="261" w:name="_Toc23731"/>
      <w:bookmarkStart w:id="262" w:name="_Toc32456"/>
      <w:r>
        <w:rPr>
          <w:rFonts w:hint="eastAsia" w:ascii="宋体" w:hAnsi="宋体" w:eastAsia="宋体" w:cs="宋体"/>
          <w:sz w:val="28"/>
          <w:highlight w:val="none"/>
        </w:rPr>
        <w:t>（营业执照、资质证书等）</w:t>
      </w:r>
      <w:bookmarkEnd w:id="259"/>
      <w:bookmarkEnd w:id="260"/>
      <w:bookmarkEnd w:id="261"/>
      <w:bookmarkEnd w:id="262"/>
    </w:p>
    <w:bookmarkEnd w:id="247"/>
    <w:bookmarkEnd w:id="248"/>
    <w:bookmarkEnd w:id="249"/>
    <w:bookmarkEnd w:id="250"/>
    <w:bookmarkEnd w:id="251"/>
    <w:bookmarkEnd w:id="252"/>
    <w:bookmarkEnd w:id="253"/>
    <w:bookmarkEnd w:id="254"/>
    <w:p>
      <w:pPr>
        <w:rPr>
          <w:highlight w:val="none"/>
        </w:rPr>
      </w:pPr>
      <w:bookmarkStart w:id="263" w:name="_Toc503951055"/>
      <w:bookmarkStart w:id="264" w:name="_Toc513633973"/>
      <w:bookmarkStart w:id="265" w:name="_Toc447827068"/>
    </w:p>
    <w:p>
      <w:pPr>
        <w:pStyle w:val="4"/>
        <w:spacing w:before="0" w:after="0" w:line="360" w:lineRule="auto"/>
        <w:jc w:val="center"/>
        <w:rPr>
          <w:rFonts w:ascii="宋体" w:hAnsi="宋体" w:eastAsia="宋体" w:cs="宋体"/>
          <w:sz w:val="28"/>
          <w:highlight w:val="none"/>
        </w:rPr>
      </w:pPr>
      <w:bookmarkStart w:id="266" w:name="_Toc11329281"/>
      <w:bookmarkStart w:id="267" w:name="_Toc11672"/>
      <w:r>
        <w:rPr>
          <w:rFonts w:hint="eastAsia" w:ascii="宋体" w:hAnsi="宋体" w:eastAsia="宋体" w:cs="宋体"/>
          <w:sz w:val="28"/>
          <w:highlight w:val="none"/>
        </w:rPr>
        <w:br w:type="page"/>
      </w:r>
      <w:bookmarkStart w:id="268" w:name="_Toc4378"/>
      <w:bookmarkStart w:id="269" w:name="_Toc29559"/>
      <w:bookmarkStart w:id="270" w:name="_Toc11243"/>
      <w:r>
        <w:rPr>
          <w:rFonts w:hint="eastAsia" w:ascii="宋体" w:hAnsi="宋体" w:eastAsia="宋体" w:cs="宋体"/>
          <w:sz w:val="28"/>
          <w:highlight w:val="none"/>
        </w:rPr>
        <w:t>四、</w:t>
      </w:r>
      <w:bookmarkEnd w:id="263"/>
      <w:bookmarkEnd w:id="264"/>
      <w:bookmarkEnd w:id="265"/>
      <w:r>
        <w:rPr>
          <w:rFonts w:hint="eastAsia" w:ascii="宋体" w:hAnsi="宋体" w:eastAsia="宋体" w:cs="宋体"/>
          <w:sz w:val="28"/>
          <w:highlight w:val="none"/>
        </w:rPr>
        <w:t>报价人须知前附表规定的其他材料</w:t>
      </w:r>
      <w:bookmarkEnd w:id="266"/>
      <w:bookmarkEnd w:id="267"/>
      <w:bookmarkEnd w:id="268"/>
      <w:bookmarkEnd w:id="269"/>
      <w:bookmarkEnd w:id="270"/>
    </w:p>
    <w:p>
      <w:pPr>
        <w:pStyle w:val="5"/>
        <w:jc w:val="center"/>
        <w:rPr>
          <w:rFonts w:ascii="宋体" w:hAnsi="宋体" w:cs="宋体"/>
          <w:sz w:val="28"/>
          <w:highlight w:val="none"/>
        </w:rPr>
      </w:pPr>
      <w:bookmarkStart w:id="271" w:name="bookmark81"/>
      <w:bookmarkStart w:id="272" w:name="_Toc513633974"/>
      <w:bookmarkStart w:id="273" w:name="_Toc503951058"/>
      <w:r>
        <w:rPr>
          <w:rFonts w:hint="eastAsia" w:ascii="宋体" w:hAnsi="宋体" w:cs="宋体"/>
          <w:sz w:val="28"/>
          <w:highlight w:val="none"/>
        </w:rPr>
        <w:t>（一）</w:t>
      </w:r>
      <w:bookmarkStart w:id="274" w:name="_Toc507681700"/>
      <w:bookmarkStart w:id="275" w:name="_Toc507681488"/>
      <w:bookmarkStart w:id="276" w:name="_Toc504639215"/>
      <w:bookmarkEnd w:id="271"/>
      <w:r>
        <w:rPr>
          <w:rFonts w:hint="eastAsia" w:ascii="宋体" w:hAnsi="宋体" w:cs="宋体"/>
          <w:sz w:val="28"/>
          <w:highlight w:val="none"/>
        </w:rPr>
        <w:t>报价人自行承诺部分</w:t>
      </w:r>
      <w:bookmarkEnd w:id="274"/>
      <w:bookmarkEnd w:id="275"/>
      <w:bookmarkEnd w:id="276"/>
    </w:p>
    <w:p>
      <w:pPr>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比选文件中要求报价人自行承诺的，由报价人按比选文件要求内容承诺，格式自拟。</w:t>
      </w:r>
    </w:p>
    <w:p>
      <w:pPr>
        <w:pStyle w:val="5"/>
        <w:jc w:val="center"/>
        <w:rPr>
          <w:rFonts w:ascii="宋体" w:hAnsi="宋体" w:cs="宋体"/>
          <w:sz w:val="28"/>
          <w:highlight w:val="none"/>
        </w:rPr>
      </w:pPr>
    </w:p>
    <w:p>
      <w:pPr>
        <w:pStyle w:val="5"/>
        <w:jc w:val="center"/>
        <w:rPr>
          <w:rFonts w:ascii="宋体" w:hAnsi="宋体" w:cs="宋体"/>
          <w:sz w:val="28"/>
          <w:highlight w:val="none"/>
        </w:rPr>
      </w:pPr>
    </w:p>
    <w:p>
      <w:pPr>
        <w:pStyle w:val="5"/>
        <w:jc w:val="center"/>
        <w:rPr>
          <w:rFonts w:ascii="宋体" w:hAnsi="宋体" w:cs="宋体"/>
          <w:sz w:val="28"/>
          <w:highlight w:val="none"/>
        </w:rPr>
      </w:pPr>
      <w:r>
        <w:rPr>
          <w:rFonts w:hint="eastAsia" w:ascii="宋体" w:hAnsi="宋体" w:cs="宋体"/>
          <w:sz w:val="28"/>
          <w:highlight w:val="none"/>
        </w:rPr>
        <w:t>（二）其他材料（如有）</w:t>
      </w:r>
    </w:p>
    <w:p>
      <w:pPr>
        <w:outlineLvl w:val="0"/>
        <w:rPr>
          <w:b/>
          <w:sz w:val="24"/>
          <w:highlight w:val="none"/>
        </w:rPr>
      </w:pPr>
    </w:p>
    <w:p>
      <w:pPr>
        <w:pStyle w:val="5"/>
        <w:jc w:val="center"/>
        <w:rPr>
          <w:highlight w:val="none"/>
        </w:rPr>
      </w:pPr>
    </w:p>
    <w:p>
      <w:pPr>
        <w:rPr>
          <w:rFonts w:ascii="宋体" w:hAnsi="宋体" w:cs="宋体"/>
          <w:highlight w:val="none"/>
        </w:rPr>
      </w:pPr>
    </w:p>
    <w:p>
      <w:pPr>
        <w:pStyle w:val="2"/>
        <w:rPr>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bookmarkEnd w:id="272"/>
    <w:bookmarkEnd w:id="273"/>
    <w:p>
      <w:pPr>
        <w:pStyle w:val="2"/>
        <w:rPr>
          <w:highlight w:val="none"/>
        </w:rPr>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embedRegular r:id="rId1" w:fontKey="{EDAE18C5-CF54-4F3F-AE22-97EBA35B277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embedRegular r:id="rId2" w:fontKey="{AB1362EA-A4BD-46CD-978F-8227FEEB7BE6}"/>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1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Calibri Light">
    <w:panose1 w:val="020F0302020204030204"/>
    <w:charset w:val="00"/>
    <w:family w:val="swiss"/>
    <w:pitch w:val="default"/>
    <w:sig w:usb0="E0002A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2"/>
      </w:rPr>
    </w:pPr>
    <w:r>
      <w:fldChar w:fldCharType="begin"/>
    </w:r>
    <w:r>
      <w:rPr>
        <w:rStyle w:val="42"/>
      </w:rPr>
      <w:instrText xml:space="preserve">PAGE  </w:instrTex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17</w:t>
    </w:r>
    <w:r>
      <w:fldChar w:fldCharType="end"/>
    </w: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6</w:t>
    </w:r>
    <w:r>
      <w:fldChar w:fldCharType="end"/>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2"/>
      </w:rPr>
    </w:pPr>
    <w:r>
      <w:fldChar w:fldCharType="begin"/>
    </w:r>
    <w:r>
      <w:rPr>
        <w:rStyle w:val="42"/>
      </w:rPr>
      <w:instrText xml:space="preserve">PAGE  </w:instrText>
    </w:r>
    <w:r>
      <w:fldChar w:fldCharType="separate"/>
    </w:r>
    <w:r>
      <w:rPr>
        <w:rStyle w:val="42"/>
      </w:rPr>
      <w:t>73</w:t>
    </w:r>
    <w:r>
      <w:fldChar w:fldCharType="end"/>
    </w:r>
  </w:p>
  <w:p>
    <w:pPr>
      <w:pStyle w:val="27"/>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2"/>
      </w:rPr>
    </w:pPr>
    <w:r>
      <w:fldChar w:fldCharType="begin"/>
    </w:r>
    <w:r>
      <w:rPr>
        <w:rStyle w:val="42"/>
      </w:rPr>
      <w:instrText xml:space="preserve">PAGE  </w:instrText>
    </w:r>
    <w:r>
      <w:fldChar w:fldCharType="separate"/>
    </w:r>
    <w:r>
      <w:rPr>
        <w:rStyle w:val="42"/>
      </w:rPr>
      <w:t>19</w:t>
    </w:r>
    <w:r>
      <w:fldChar w:fldCharType="end"/>
    </w:r>
  </w:p>
  <w:p>
    <w:pPr>
      <w:pStyle w:val="27"/>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7"/>
                            <w:rPr>
                              <w:rStyle w:val="42"/>
                            </w:rPr>
                          </w:pPr>
                          <w:r>
                            <w:fldChar w:fldCharType="begin"/>
                          </w:r>
                          <w:r>
                            <w:rPr>
                              <w:rStyle w:val="42"/>
                            </w:rPr>
                            <w:instrText xml:space="preserve">PAGE  </w:instrText>
                          </w:r>
                          <w:r>
                            <w:fldChar w:fldCharType="separate"/>
                          </w:r>
                          <w:r>
                            <w:rPr>
                              <w:rStyle w:val="42"/>
                            </w:rPr>
                            <w:t>23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LavbcBAABU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GGEsctjujw4/vh5+/Dr2+kye0ZQmwx6zFgXhpv/Yhjnu4jXmbVowKbv6iH&#10;YBwbvT83V46JiPxo0SwWNYYExiYH8auX5wFi+ii9JdlgFHB6pal89zmmY+qUkqs5f6+NKRM0jgyM&#10;Xl81V+XBOYLgxmGNLOJINltpXI8nZWvf7VHYgBvAqMMVpcR8ctjgvCyTAZOxnoxtAL3pkeO81Ivh&#10;wzYhm0IyVzjCngrj6IrM05rl3fjbL1kvP8Pq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F&#10;ctq9twEAAFQDAAAOAAAAAAAAAAEAIAAAAB4BAABkcnMvZTJvRG9jLnhtbFBLBQYAAAAABgAGAFkB&#10;AABHBQAAAAA=&#10;">
              <v:fill on="f" focussize="0,0"/>
              <v:stroke on="f"/>
              <v:imagedata o:title=""/>
              <o:lock v:ext="edit" aspectratio="f"/>
              <v:textbox inset="0mm,0mm,0mm,0mm" style="mso-fit-shape-to-text:t;">
                <w:txbxContent>
                  <w:p>
                    <w:pPr>
                      <w:pStyle w:val="27"/>
                      <w:rPr>
                        <w:rStyle w:val="42"/>
                      </w:rPr>
                    </w:pPr>
                    <w:r>
                      <w:fldChar w:fldCharType="begin"/>
                    </w:r>
                    <w:r>
                      <w:rPr>
                        <w:rStyle w:val="42"/>
                      </w:rPr>
                      <w:instrText xml:space="preserve">PAGE  </w:instrText>
                    </w:r>
                    <w:r>
                      <w:fldChar w:fldCharType="separate"/>
                    </w:r>
                    <w:r>
                      <w:rPr>
                        <w:rStyle w:val="42"/>
                      </w:rP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FD8F28"/>
    <w:multiLevelType w:val="singleLevel"/>
    <w:tmpl w:val="F1FD8F28"/>
    <w:lvl w:ilvl="0" w:tentative="0">
      <w:start w:val="1"/>
      <w:numFmt w:val="decimal"/>
      <w:suff w:val="nothing"/>
      <w:lvlText w:val="（%1）"/>
      <w:lvlJc w:val="left"/>
    </w:lvl>
  </w:abstractNum>
  <w:abstractNum w:abstractNumId="1">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39"/>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oNotDisplayPageBoundaries w:val="1"/>
  <w:embedTrueTypeFonts/>
  <w:saveSubsetFonts/>
  <w:doNotTrackMoves/>
  <w:documentProtection w:enforcement="0"/>
  <w:defaultTabStop w:val="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20E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5746"/>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6B5B"/>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93"/>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554E2"/>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29E0ABC"/>
    <w:rsid w:val="02A800C5"/>
    <w:rsid w:val="02C540E4"/>
    <w:rsid w:val="037D0CD2"/>
    <w:rsid w:val="038B3366"/>
    <w:rsid w:val="03981B5E"/>
    <w:rsid w:val="03996EAD"/>
    <w:rsid w:val="03F60BFA"/>
    <w:rsid w:val="04023CC8"/>
    <w:rsid w:val="042674F4"/>
    <w:rsid w:val="04C12ED8"/>
    <w:rsid w:val="04DC5749"/>
    <w:rsid w:val="04E26FED"/>
    <w:rsid w:val="04FD6633"/>
    <w:rsid w:val="05871A0A"/>
    <w:rsid w:val="05A70EA9"/>
    <w:rsid w:val="05D55D36"/>
    <w:rsid w:val="060C2525"/>
    <w:rsid w:val="062756FD"/>
    <w:rsid w:val="067C53E7"/>
    <w:rsid w:val="06820F5E"/>
    <w:rsid w:val="06AE2ABA"/>
    <w:rsid w:val="06DD02BB"/>
    <w:rsid w:val="06E71F51"/>
    <w:rsid w:val="07050666"/>
    <w:rsid w:val="07362674"/>
    <w:rsid w:val="073B54B2"/>
    <w:rsid w:val="077B3234"/>
    <w:rsid w:val="081748AE"/>
    <w:rsid w:val="0834530C"/>
    <w:rsid w:val="08635851"/>
    <w:rsid w:val="08C2359B"/>
    <w:rsid w:val="09041814"/>
    <w:rsid w:val="092D7BDC"/>
    <w:rsid w:val="09332D2B"/>
    <w:rsid w:val="093E2D64"/>
    <w:rsid w:val="098B1DA7"/>
    <w:rsid w:val="09A31A61"/>
    <w:rsid w:val="09B81915"/>
    <w:rsid w:val="09DE1094"/>
    <w:rsid w:val="09E2475B"/>
    <w:rsid w:val="0A3F34B7"/>
    <w:rsid w:val="0A4B11BE"/>
    <w:rsid w:val="0A8E5B8D"/>
    <w:rsid w:val="0AA240FA"/>
    <w:rsid w:val="0AAC0CBB"/>
    <w:rsid w:val="0AD84BD3"/>
    <w:rsid w:val="0B1061C6"/>
    <w:rsid w:val="0B2B08D5"/>
    <w:rsid w:val="0BB825ED"/>
    <w:rsid w:val="0BC0647C"/>
    <w:rsid w:val="0BF26817"/>
    <w:rsid w:val="0C22464A"/>
    <w:rsid w:val="0C623EAC"/>
    <w:rsid w:val="0CAD24AF"/>
    <w:rsid w:val="0D662EE5"/>
    <w:rsid w:val="0D9339BE"/>
    <w:rsid w:val="0D9F0DC4"/>
    <w:rsid w:val="0DDE695A"/>
    <w:rsid w:val="0E2D072E"/>
    <w:rsid w:val="0E3B295D"/>
    <w:rsid w:val="0E47249B"/>
    <w:rsid w:val="0E551882"/>
    <w:rsid w:val="0F4C19DA"/>
    <w:rsid w:val="0F4C7D05"/>
    <w:rsid w:val="0F5F17BD"/>
    <w:rsid w:val="0F90531D"/>
    <w:rsid w:val="0FAD64B5"/>
    <w:rsid w:val="0FEB1B4B"/>
    <w:rsid w:val="0FFF5930"/>
    <w:rsid w:val="10A265EF"/>
    <w:rsid w:val="11485B0D"/>
    <w:rsid w:val="117076B2"/>
    <w:rsid w:val="11D56D08"/>
    <w:rsid w:val="125E1A9C"/>
    <w:rsid w:val="1276289F"/>
    <w:rsid w:val="1288522D"/>
    <w:rsid w:val="129D6A95"/>
    <w:rsid w:val="12AF4046"/>
    <w:rsid w:val="12CE506D"/>
    <w:rsid w:val="12F65490"/>
    <w:rsid w:val="12F73D2A"/>
    <w:rsid w:val="13112273"/>
    <w:rsid w:val="13511DF6"/>
    <w:rsid w:val="138B4634"/>
    <w:rsid w:val="138F1214"/>
    <w:rsid w:val="13D101C7"/>
    <w:rsid w:val="13D65F2A"/>
    <w:rsid w:val="1400440E"/>
    <w:rsid w:val="144729D8"/>
    <w:rsid w:val="14AB614D"/>
    <w:rsid w:val="15507C7E"/>
    <w:rsid w:val="15664AEF"/>
    <w:rsid w:val="158E23E1"/>
    <w:rsid w:val="159D7EA6"/>
    <w:rsid w:val="159F1BF9"/>
    <w:rsid w:val="160B0227"/>
    <w:rsid w:val="17081A7A"/>
    <w:rsid w:val="17292C0C"/>
    <w:rsid w:val="176F50FE"/>
    <w:rsid w:val="17DD0B49"/>
    <w:rsid w:val="181C1400"/>
    <w:rsid w:val="18223BBF"/>
    <w:rsid w:val="18D435BC"/>
    <w:rsid w:val="19BA69A5"/>
    <w:rsid w:val="19DF6D3F"/>
    <w:rsid w:val="19E24459"/>
    <w:rsid w:val="19FB72C6"/>
    <w:rsid w:val="1A3D7EBE"/>
    <w:rsid w:val="1A4353A0"/>
    <w:rsid w:val="1B075A0C"/>
    <w:rsid w:val="1B67066F"/>
    <w:rsid w:val="1B7229E4"/>
    <w:rsid w:val="1B7A5EC7"/>
    <w:rsid w:val="1BA35EDC"/>
    <w:rsid w:val="1CF6260F"/>
    <w:rsid w:val="1CF83AEA"/>
    <w:rsid w:val="1D6914D5"/>
    <w:rsid w:val="1D7E09CF"/>
    <w:rsid w:val="1E7F32B0"/>
    <w:rsid w:val="1EBB622E"/>
    <w:rsid w:val="1EEA13A6"/>
    <w:rsid w:val="1EFE64E9"/>
    <w:rsid w:val="1F6207D0"/>
    <w:rsid w:val="1FE1627D"/>
    <w:rsid w:val="1FEA603B"/>
    <w:rsid w:val="20293E2F"/>
    <w:rsid w:val="206E3E8E"/>
    <w:rsid w:val="208247DE"/>
    <w:rsid w:val="2093114F"/>
    <w:rsid w:val="209B57AA"/>
    <w:rsid w:val="20A87B06"/>
    <w:rsid w:val="20D83D6E"/>
    <w:rsid w:val="20EA6084"/>
    <w:rsid w:val="20F01139"/>
    <w:rsid w:val="20F1461D"/>
    <w:rsid w:val="212B522B"/>
    <w:rsid w:val="21736537"/>
    <w:rsid w:val="21977807"/>
    <w:rsid w:val="219D77BC"/>
    <w:rsid w:val="226827C0"/>
    <w:rsid w:val="227C6EFF"/>
    <w:rsid w:val="22942795"/>
    <w:rsid w:val="22A10D06"/>
    <w:rsid w:val="22E46F4A"/>
    <w:rsid w:val="22F20159"/>
    <w:rsid w:val="230329AD"/>
    <w:rsid w:val="23486890"/>
    <w:rsid w:val="23AB4CDF"/>
    <w:rsid w:val="23C37A75"/>
    <w:rsid w:val="23D964C1"/>
    <w:rsid w:val="23EB6BB8"/>
    <w:rsid w:val="24436391"/>
    <w:rsid w:val="24AD6D9A"/>
    <w:rsid w:val="26154215"/>
    <w:rsid w:val="26666FDC"/>
    <w:rsid w:val="26B267E7"/>
    <w:rsid w:val="26C80CCF"/>
    <w:rsid w:val="26F65310"/>
    <w:rsid w:val="27352534"/>
    <w:rsid w:val="27357F9F"/>
    <w:rsid w:val="27EF1935"/>
    <w:rsid w:val="280A1B75"/>
    <w:rsid w:val="283962F8"/>
    <w:rsid w:val="290212C1"/>
    <w:rsid w:val="29403128"/>
    <w:rsid w:val="29656DCE"/>
    <w:rsid w:val="298B4B23"/>
    <w:rsid w:val="29D875FE"/>
    <w:rsid w:val="2A194E5D"/>
    <w:rsid w:val="2A594BC2"/>
    <w:rsid w:val="2AA90FA0"/>
    <w:rsid w:val="2AB53836"/>
    <w:rsid w:val="2B552F60"/>
    <w:rsid w:val="2BB367B9"/>
    <w:rsid w:val="2C184D47"/>
    <w:rsid w:val="2C796A89"/>
    <w:rsid w:val="2CBD3A96"/>
    <w:rsid w:val="2CC74339"/>
    <w:rsid w:val="2CCE1414"/>
    <w:rsid w:val="2CF93ABF"/>
    <w:rsid w:val="2D1E27A3"/>
    <w:rsid w:val="2D766528"/>
    <w:rsid w:val="2E6A704D"/>
    <w:rsid w:val="2E8A6255"/>
    <w:rsid w:val="2F0B1048"/>
    <w:rsid w:val="2F141AAA"/>
    <w:rsid w:val="2FF23F99"/>
    <w:rsid w:val="30236367"/>
    <w:rsid w:val="30331BC6"/>
    <w:rsid w:val="303E7E03"/>
    <w:rsid w:val="304A182B"/>
    <w:rsid w:val="30757C00"/>
    <w:rsid w:val="307D5D65"/>
    <w:rsid w:val="30B34CE3"/>
    <w:rsid w:val="30CB1C83"/>
    <w:rsid w:val="31832D29"/>
    <w:rsid w:val="31D20CDE"/>
    <w:rsid w:val="31F37E23"/>
    <w:rsid w:val="32223DC6"/>
    <w:rsid w:val="329032EF"/>
    <w:rsid w:val="329970EF"/>
    <w:rsid w:val="32B35AAA"/>
    <w:rsid w:val="334459AC"/>
    <w:rsid w:val="33705A64"/>
    <w:rsid w:val="342645AD"/>
    <w:rsid w:val="34335C8F"/>
    <w:rsid w:val="34617CD8"/>
    <w:rsid w:val="34731A2E"/>
    <w:rsid w:val="34A61339"/>
    <w:rsid w:val="34F3793E"/>
    <w:rsid w:val="35185DCE"/>
    <w:rsid w:val="35574E9C"/>
    <w:rsid w:val="35712E34"/>
    <w:rsid w:val="35ED793B"/>
    <w:rsid w:val="366C082D"/>
    <w:rsid w:val="36C90DD1"/>
    <w:rsid w:val="3703397C"/>
    <w:rsid w:val="37704489"/>
    <w:rsid w:val="37925427"/>
    <w:rsid w:val="37A55DCC"/>
    <w:rsid w:val="37CA04FF"/>
    <w:rsid w:val="394C68A5"/>
    <w:rsid w:val="395E479A"/>
    <w:rsid w:val="39A36C2D"/>
    <w:rsid w:val="39AA29B9"/>
    <w:rsid w:val="39C9079C"/>
    <w:rsid w:val="39E71AEC"/>
    <w:rsid w:val="39F60058"/>
    <w:rsid w:val="3A104089"/>
    <w:rsid w:val="3AB8426E"/>
    <w:rsid w:val="3ACF765C"/>
    <w:rsid w:val="3AD278CD"/>
    <w:rsid w:val="3AFA4BE5"/>
    <w:rsid w:val="3B144639"/>
    <w:rsid w:val="3B2A44B8"/>
    <w:rsid w:val="3B2B6476"/>
    <w:rsid w:val="3BBC038E"/>
    <w:rsid w:val="3C852047"/>
    <w:rsid w:val="3CA13116"/>
    <w:rsid w:val="3CA925AE"/>
    <w:rsid w:val="3CF877AB"/>
    <w:rsid w:val="3D306CB2"/>
    <w:rsid w:val="3D667959"/>
    <w:rsid w:val="3D8230F2"/>
    <w:rsid w:val="3D886E2C"/>
    <w:rsid w:val="3DD83D60"/>
    <w:rsid w:val="3E044CAE"/>
    <w:rsid w:val="3EAD4174"/>
    <w:rsid w:val="3EAD7F9C"/>
    <w:rsid w:val="3EB32892"/>
    <w:rsid w:val="3EBC3336"/>
    <w:rsid w:val="3F064AE9"/>
    <w:rsid w:val="3F3B0C43"/>
    <w:rsid w:val="3F4C62B0"/>
    <w:rsid w:val="3F5160C2"/>
    <w:rsid w:val="3F722D17"/>
    <w:rsid w:val="402A34B8"/>
    <w:rsid w:val="40360CD1"/>
    <w:rsid w:val="40613E30"/>
    <w:rsid w:val="40736573"/>
    <w:rsid w:val="409B4A07"/>
    <w:rsid w:val="40F66678"/>
    <w:rsid w:val="4120577A"/>
    <w:rsid w:val="4167053C"/>
    <w:rsid w:val="41FD121E"/>
    <w:rsid w:val="421A7627"/>
    <w:rsid w:val="4233112B"/>
    <w:rsid w:val="43702851"/>
    <w:rsid w:val="4424604A"/>
    <w:rsid w:val="445014AB"/>
    <w:rsid w:val="454F0B76"/>
    <w:rsid w:val="457E2BBE"/>
    <w:rsid w:val="45E076C0"/>
    <w:rsid w:val="4662498C"/>
    <w:rsid w:val="46A022D9"/>
    <w:rsid w:val="46A9554B"/>
    <w:rsid w:val="46BE1A6C"/>
    <w:rsid w:val="471B3499"/>
    <w:rsid w:val="48037A8A"/>
    <w:rsid w:val="48377D23"/>
    <w:rsid w:val="486634EE"/>
    <w:rsid w:val="48807890"/>
    <w:rsid w:val="48A64B98"/>
    <w:rsid w:val="48BC156D"/>
    <w:rsid w:val="48F765BE"/>
    <w:rsid w:val="49320F23"/>
    <w:rsid w:val="49DD73AE"/>
    <w:rsid w:val="49F95BD6"/>
    <w:rsid w:val="4A2D058F"/>
    <w:rsid w:val="4AD703A4"/>
    <w:rsid w:val="4B86504E"/>
    <w:rsid w:val="4BD07B58"/>
    <w:rsid w:val="4C3176AB"/>
    <w:rsid w:val="4C6E278E"/>
    <w:rsid w:val="4CF73C3A"/>
    <w:rsid w:val="4D7251FF"/>
    <w:rsid w:val="4E472C92"/>
    <w:rsid w:val="4E9D5C2D"/>
    <w:rsid w:val="4EBA57C1"/>
    <w:rsid w:val="4EEF6CFA"/>
    <w:rsid w:val="4FA91AAC"/>
    <w:rsid w:val="4FBD0FF5"/>
    <w:rsid w:val="4FC854D7"/>
    <w:rsid w:val="50142DE1"/>
    <w:rsid w:val="5015687B"/>
    <w:rsid w:val="501926CA"/>
    <w:rsid w:val="505E3D68"/>
    <w:rsid w:val="5094143C"/>
    <w:rsid w:val="509C7E88"/>
    <w:rsid w:val="516A440A"/>
    <w:rsid w:val="51791341"/>
    <w:rsid w:val="51C42E16"/>
    <w:rsid w:val="525351F4"/>
    <w:rsid w:val="525A6FBC"/>
    <w:rsid w:val="526C0997"/>
    <w:rsid w:val="533D33D1"/>
    <w:rsid w:val="53670B33"/>
    <w:rsid w:val="53775B6A"/>
    <w:rsid w:val="53D43855"/>
    <w:rsid w:val="53EE1101"/>
    <w:rsid w:val="53FC4E8E"/>
    <w:rsid w:val="541717DC"/>
    <w:rsid w:val="546A6D9B"/>
    <w:rsid w:val="553C46BA"/>
    <w:rsid w:val="55494082"/>
    <w:rsid w:val="557D5B60"/>
    <w:rsid w:val="55834A19"/>
    <w:rsid w:val="55F526C6"/>
    <w:rsid w:val="56066DC9"/>
    <w:rsid w:val="564E1228"/>
    <w:rsid w:val="56A6131D"/>
    <w:rsid w:val="56A82B00"/>
    <w:rsid w:val="56BC5AD0"/>
    <w:rsid w:val="56D00C68"/>
    <w:rsid w:val="57895A45"/>
    <w:rsid w:val="57C5313B"/>
    <w:rsid w:val="57D807D4"/>
    <w:rsid w:val="57EA7969"/>
    <w:rsid w:val="58750691"/>
    <w:rsid w:val="58AB575D"/>
    <w:rsid w:val="59445F91"/>
    <w:rsid w:val="59815208"/>
    <w:rsid w:val="59F001A4"/>
    <w:rsid w:val="5A1E2DE7"/>
    <w:rsid w:val="5B123FA7"/>
    <w:rsid w:val="5B613C0E"/>
    <w:rsid w:val="5BCA6564"/>
    <w:rsid w:val="5C1E3775"/>
    <w:rsid w:val="5C381264"/>
    <w:rsid w:val="5C672644"/>
    <w:rsid w:val="5C8132C7"/>
    <w:rsid w:val="5CA23A25"/>
    <w:rsid w:val="5CC26330"/>
    <w:rsid w:val="5CD67F41"/>
    <w:rsid w:val="5D017C51"/>
    <w:rsid w:val="5D463591"/>
    <w:rsid w:val="5D4F2A78"/>
    <w:rsid w:val="5D792AE4"/>
    <w:rsid w:val="5E2F58D3"/>
    <w:rsid w:val="5E5A06FD"/>
    <w:rsid w:val="5E9342EC"/>
    <w:rsid w:val="5EC777C7"/>
    <w:rsid w:val="5F1E4EC5"/>
    <w:rsid w:val="5F3815EE"/>
    <w:rsid w:val="5F5C32D6"/>
    <w:rsid w:val="600E788A"/>
    <w:rsid w:val="604130CF"/>
    <w:rsid w:val="60794FD4"/>
    <w:rsid w:val="60814FEF"/>
    <w:rsid w:val="60D32F5A"/>
    <w:rsid w:val="610E2B4C"/>
    <w:rsid w:val="61DE43D4"/>
    <w:rsid w:val="61E06967"/>
    <w:rsid w:val="624216A0"/>
    <w:rsid w:val="626736F9"/>
    <w:rsid w:val="628E1BE9"/>
    <w:rsid w:val="62D06FF9"/>
    <w:rsid w:val="62D765EB"/>
    <w:rsid w:val="636B22CC"/>
    <w:rsid w:val="63B65AC7"/>
    <w:rsid w:val="63D7428B"/>
    <w:rsid w:val="640C4C0D"/>
    <w:rsid w:val="645830D7"/>
    <w:rsid w:val="647258C3"/>
    <w:rsid w:val="64AA2E73"/>
    <w:rsid w:val="64E8446E"/>
    <w:rsid w:val="65376B47"/>
    <w:rsid w:val="654042F5"/>
    <w:rsid w:val="660447CA"/>
    <w:rsid w:val="665622BC"/>
    <w:rsid w:val="665E5759"/>
    <w:rsid w:val="666C4EE6"/>
    <w:rsid w:val="66FB0FDC"/>
    <w:rsid w:val="66FC5AFF"/>
    <w:rsid w:val="67BA7741"/>
    <w:rsid w:val="680D0CA5"/>
    <w:rsid w:val="68A45648"/>
    <w:rsid w:val="68A5668C"/>
    <w:rsid w:val="6911241F"/>
    <w:rsid w:val="69145B6D"/>
    <w:rsid w:val="69B67115"/>
    <w:rsid w:val="69EF53B4"/>
    <w:rsid w:val="6A126DD2"/>
    <w:rsid w:val="6A420E56"/>
    <w:rsid w:val="6A924E32"/>
    <w:rsid w:val="6A94008C"/>
    <w:rsid w:val="6AE60947"/>
    <w:rsid w:val="6B0B374F"/>
    <w:rsid w:val="6B1F0CCB"/>
    <w:rsid w:val="6B6234E5"/>
    <w:rsid w:val="6BBD11F5"/>
    <w:rsid w:val="6BD12800"/>
    <w:rsid w:val="6C5E02FC"/>
    <w:rsid w:val="6C721812"/>
    <w:rsid w:val="6C8B0F52"/>
    <w:rsid w:val="6C967106"/>
    <w:rsid w:val="6CDD0DD0"/>
    <w:rsid w:val="6D0127E4"/>
    <w:rsid w:val="6D19028F"/>
    <w:rsid w:val="6D1C168A"/>
    <w:rsid w:val="6D3668DD"/>
    <w:rsid w:val="6DB941BD"/>
    <w:rsid w:val="6E5F1098"/>
    <w:rsid w:val="6EA41FA2"/>
    <w:rsid w:val="6F381CAC"/>
    <w:rsid w:val="6F9C6902"/>
    <w:rsid w:val="6FA0729C"/>
    <w:rsid w:val="70100CA2"/>
    <w:rsid w:val="70393572"/>
    <w:rsid w:val="70A24D48"/>
    <w:rsid w:val="70BA64EF"/>
    <w:rsid w:val="70C900DF"/>
    <w:rsid w:val="71326D32"/>
    <w:rsid w:val="713623DF"/>
    <w:rsid w:val="715A596A"/>
    <w:rsid w:val="717C247D"/>
    <w:rsid w:val="71816B8E"/>
    <w:rsid w:val="71832D29"/>
    <w:rsid w:val="71907818"/>
    <w:rsid w:val="71E95916"/>
    <w:rsid w:val="7250588C"/>
    <w:rsid w:val="726F5278"/>
    <w:rsid w:val="727E786A"/>
    <w:rsid w:val="72BD0544"/>
    <w:rsid w:val="72C0472D"/>
    <w:rsid w:val="72D11D5C"/>
    <w:rsid w:val="72E85DAD"/>
    <w:rsid w:val="730B14BE"/>
    <w:rsid w:val="732303D9"/>
    <w:rsid w:val="73532CC9"/>
    <w:rsid w:val="744975DD"/>
    <w:rsid w:val="746920A5"/>
    <w:rsid w:val="74DE73F5"/>
    <w:rsid w:val="755169C7"/>
    <w:rsid w:val="75D07F8B"/>
    <w:rsid w:val="75EE5669"/>
    <w:rsid w:val="76957051"/>
    <w:rsid w:val="773E064E"/>
    <w:rsid w:val="774E1211"/>
    <w:rsid w:val="777B71D8"/>
    <w:rsid w:val="77A54D53"/>
    <w:rsid w:val="77FC6767"/>
    <w:rsid w:val="781A0BEC"/>
    <w:rsid w:val="78202415"/>
    <w:rsid w:val="78213FC9"/>
    <w:rsid w:val="78701D9C"/>
    <w:rsid w:val="7A0C1011"/>
    <w:rsid w:val="7A0E7A81"/>
    <w:rsid w:val="7A321CDB"/>
    <w:rsid w:val="7A6E32C8"/>
    <w:rsid w:val="7AC900CF"/>
    <w:rsid w:val="7B052FBD"/>
    <w:rsid w:val="7B5A5A6C"/>
    <w:rsid w:val="7B5C250E"/>
    <w:rsid w:val="7B6D0F87"/>
    <w:rsid w:val="7B783FD8"/>
    <w:rsid w:val="7B9A3DB8"/>
    <w:rsid w:val="7BF20E1E"/>
    <w:rsid w:val="7C9408F4"/>
    <w:rsid w:val="7CB90CC2"/>
    <w:rsid w:val="7CFB2CE9"/>
    <w:rsid w:val="7D212CA5"/>
    <w:rsid w:val="7D255EE2"/>
    <w:rsid w:val="7D293184"/>
    <w:rsid w:val="7D69777E"/>
    <w:rsid w:val="7DB34706"/>
    <w:rsid w:val="7E1A0A9F"/>
    <w:rsid w:val="7E3C401A"/>
    <w:rsid w:val="7E641213"/>
    <w:rsid w:val="7EF34773"/>
    <w:rsid w:val="7F0D08DC"/>
    <w:rsid w:val="7F4029E3"/>
    <w:rsid w:val="7F714EE5"/>
    <w:rsid w:val="7F7F2734"/>
    <w:rsid w:val="7FA63F96"/>
    <w:rsid w:val="7FB9287C"/>
    <w:rsid w:val="7FCC47FD"/>
    <w:rsid w:val="7FFB1B6E"/>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4"/>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3"/>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88"/>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5"/>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5"/>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77"/>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69"/>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0">
    <w:name w:val="Default Paragraph Font"/>
    <w:unhideWhenUsed/>
    <w:qFormat/>
    <w:uiPriority w:val="1"/>
  </w:style>
  <w:style w:type="table" w:default="1" w:styleId="47">
    <w:name w:val="Normal Table"/>
    <w:unhideWhenUsed/>
    <w:qFormat/>
    <w:uiPriority w:val="99"/>
    <w:tblPr>
      <w:tblLayout w:type="fixed"/>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szCs w:val="20"/>
    </w:rPr>
  </w:style>
  <w:style w:type="paragraph" w:styleId="11">
    <w:name w:val="annotation subject"/>
    <w:basedOn w:val="12"/>
    <w:next w:val="12"/>
    <w:link w:val="64"/>
    <w:qFormat/>
    <w:uiPriority w:val="0"/>
    <w:rPr>
      <w:b/>
      <w:bCs/>
    </w:rPr>
  </w:style>
  <w:style w:type="paragraph" w:styleId="12">
    <w:name w:val="annotation text"/>
    <w:basedOn w:val="1"/>
    <w:link w:val="54"/>
    <w:unhideWhenUsed/>
    <w:qFormat/>
    <w:uiPriority w:val="99"/>
    <w:pPr>
      <w:jc w:val="left"/>
    </w:pPr>
    <w:rPr>
      <w:kern w:val="0"/>
      <w:sz w:val="20"/>
    </w:rPr>
  </w:style>
  <w:style w:type="paragraph" w:styleId="13">
    <w:name w:val="toc 7"/>
    <w:basedOn w:val="1"/>
    <w:next w:val="1"/>
    <w:qFormat/>
    <w:uiPriority w:val="39"/>
    <w:pPr>
      <w:ind w:left="1260"/>
      <w:jc w:val="left"/>
    </w:pPr>
    <w:rPr>
      <w:rFonts w:ascii="Calibri" w:hAnsi="Calibri"/>
      <w:sz w:val="18"/>
      <w:szCs w:val="18"/>
    </w:rPr>
  </w:style>
  <w:style w:type="paragraph" w:styleId="14">
    <w:name w:val="Normal Indent"/>
    <w:basedOn w:val="1"/>
    <w:link w:val="65"/>
    <w:qFormat/>
    <w:uiPriority w:val="0"/>
    <w:pPr>
      <w:ind w:firstLine="420" w:firstLineChars="200"/>
    </w:pPr>
  </w:style>
  <w:style w:type="paragraph" w:styleId="15">
    <w:name w:val="Document Map"/>
    <w:basedOn w:val="1"/>
    <w:link w:val="72"/>
    <w:qFormat/>
    <w:uiPriority w:val="0"/>
    <w:pPr>
      <w:shd w:val="clear" w:color="auto" w:fill="000080"/>
    </w:pPr>
    <w:rPr>
      <w:kern w:val="0"/>
      <w:sz w:val="20"/>
    </w:rPr>
  </w:style>
  <w:style w:type="paragraph" w:styleId="16">
    <w:name w:val="Body Text 3"/>
    <w:basedOn w:val="1"/>
    <w:link w:val="58"/>
    <w:qFormat/>
    <w:uiPriority w:val="0"/>
    <w:rPr>
      <w:rFonts w:ascii="宋体"/>
      <w:kern w:val="0"/>
      <w:sz w:val="24"/>
      <w:szCs w:val="20"/>
    </w:rPr>
  </w:style>
  <w:style w:type="paragraph" w:styleId="17">
    <w:name w:val="Body Text"/>
    <w:basedOn w:val="1"/>
    <w:link w:val="61"/>
    <w:qFormat/>
    <w:uiPriority w:val="0"/>
    <w:pPr>
      <w:spacing w:after="120"/>
    </w:pPr>
    <w:rPr>
      <w:kern w:val="0"/>
      <w:sz w:val="20"/>
    </w:rPr>
  </w:style>
  <w:style w:type="paragraph" w:styleId="18">
    <w:name w:val="Body Text Indent"/>
    <w:basedOn w:val="1"/>
    <w:link w:val="71"/>
    <w:qFormat/>
    <w:uiPriority w:val="0"/>
    <w:pPr>
      <w:spacing w:after="120"/>
      <w:ind w:left="420" w:leftChars="20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4"/>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78"/>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76"/>
    <w:qFormat/>
    <w:uiPriority w:val="0"/>
    <w:rPr>
      <w:kern w:val="0"/>
      <w:sz w:val="18"/>
      <w:szCs w:val="18"/>
    </w:rPr>
  </w:style>
  <w:style w:type="paragraph" w:styleId="27">
    <w:name w:val="footer"/>
    <w:basedOn w:val="1"/>
    <w:link w:val="90"/>
    <w:qFormat/>
    <w:uiPriority w:val="99"/>
    <w:pPr>
      <w:tabs>
        <w:tab w:val="center" w:pos="4153"/>
        <w:tab w:val="right" w:pos="8306"/>
      </w:tabs>
      <w:snapToGrid w:val="0"/>
      <w:jc w:val="left"/>
    </w:pPr>
    <w:rPr>
      <w:kern w:val="0"/>
      <w:sz w:val="18"/>
      <w:szCs w:val="18"/>
    </w:rPr>
  </w:style>
  <w:style w:type="paragraph" w:styleId="28">
    <w:name w:val="header"/>
    <w:basedOn w:val="1"/>
    <w:link w:val="68"/>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2"/>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2"/>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5"/>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styleId="41">
    <w:name w:val="Strong"/>
    <w:qFormat/>
    <w:uiPriority w:val="0"/>
    <w:rPr>
      <w:b/>
      <w:bCs/>
    </w:rPr>
  </w:style>
  <w:style w:type="character" w:styleId="42">
    <w:name w:val="page number"/>
    <w:qFormat/>
    <w:uiPriority w:val="0"/>
  </w:style>
  <w:style w:type="character" w:styleId="43">
    <w:name w:val="FollowedHyperlink"/>
    <w:qFormat/>
    <w:uiPriority w:val="0"/>
    <w:rPr>
      <w:rFonts w:hint="default" w:ascii="Arial" w:hAnsi="Arial" w:eastAsia="Arial" w:cs="Arial"/>
      <w:color w:val="333333"/>
      <w:sz w:val="21"/>
      <w:szCs w:val="21"/>
      <w:u w:val="none"/>
    </w:rPr>
  </w:style>
  <w:style w:type="character" w:styleId="44">
    <w:name w:val="Hyperlink"/>
    <w:qFormat/>
    <w:uiPriority w:val="99"/>
    <w:rPr>
      <w:rFonts w:ascii="Arial" w:hAnsi="Arial" w:eastAsia="Arial" w:cs="Arial"/>
      <w:color w:val="333333"/>
      <w:sz w:val="21"/>
      <w:szCs w:val="21"/>
      <w:u w:val="none"/>
    </w:rPr>
  </w:style>
  <w:style w:type="character" w:styleId="45">
    <w:name w:val="annotation reference"/>
    <w:qFormat/>
    <w:uiPriority w:val="0"/>
    <w:rPr>
      <w:sz w:val="21"/>
      <w:szCs w:val="21"/>
    </w:rPr>
  </w:style>
  <w:style w:type="character" w:styleId="46">
    <w:name w:val="footnote reference"/>
    <w:qFormat/>
    <w:uiPriority w:val="0"/>
    <w:rPr>
      <w:vertAlign w:val="superscript"/>
    </w:rPr>
  </w:style>
  <w:style w:type="table" w:styleId="48">
    <w:name w:val="Table Grid"/>
    <w:basedOn w:val="47"/>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9">
    <w:name w:val="apple-style-span"/>
    <w:qFormat/>
    <w:uiPriority w:val="0"/>
    <w:rPr>
      <w:rFonts w:ascii="Verdana" w:hAnsi="Verdana" w:eastAsia="宋体"/>
      <w:sz w:val="21"/>
      <w:lang w:val="en-US" w:eastAsia="en-US" w:bidi="ar-SA"/>
    </w:rPr>
  </w:style>
  <w:style w:type="character" w:customStyle="1" w:styleId="50">
    <w:name w:val="正文文本 3 Char1"/>
    <w:semiHidden/>
    <w:qFormat/>
    <w:uiPriority w:val="99"/>
    <w:rPr>
      <w:rFonts w:ascii="Times New Roman" w:hAnsi="Times New Roman" w:eastAsia="宋体" w:cs="Times New Roman"/>
      <w:sz w:val="16"/>
      <w:szCs w:val="16"/>
    </w:rPr>
  </w:style>
  <w:style w:type="character" w:customStyle="1" w:styleId="51">
    <w:name w:val="样式 宋体"/>
    <w:qFormat/>
    <w:uiPriority w:val="0"/>
    <w:rPr>
      <w:rFonts w:ascii="Times New Roman" w:hAnsi="Times New Roman" w:eastAsia="宋体"/>
      <w:sz w:val="21"/>
    </w:rPr>
  </w:style>
  <w:style w:type="character" w:customStyle="1" w:styleId="52">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3">
    <w:name w:val="标题 3 字符"/>
    <w:link w:val="5"/>
    <w:qFormat/>
    <w:uiPriority w:val="0"/>
    <w:rPr>
      <w:rFonts w:ascii="Times New Roman" w:hAnsi="Times New Roman" w:eastAsia="宋体" w:cs="Times New Roman"/>
      <w:b/>
      <w:bCs/>
      <w:sz w:val="32"/>
      <w:szCs w:val="32"/>
    </w:rPr>
  </w:style>
  <w:style w:type="character" w:customStyle="1" w:styleId="54">
    <w:name w:val="批注文字 字符"/>
    <w:link w:val="12"/>
    <w:semiHidden/>
    <w:qFormat/>
    <w:uiPriority w:val="99"/>
    <w:rPr>
      <w:rFonts w:ascii="Times New Roman" w:hAnsi="Times New Roman" w:eastAsia="宋体" w:cs="Times New Roman"/>
      <w:szCs w:val="24"/>
    </w:rPr>
  </w:style>
  <w:style w:type="character" w:customStyle="1" w:styleId="55">
    <w:name w:val="标题 6 字符"/>
    <w:link w:val="7"/>
    <w:qFormat/>
    <w:uiPriority w:val="0"/>
    <w:rPr>
      <w:rFonts w:ascii="Arial" w:hAnsi="Arial" w:eastAsia="黑体" w:cs="Times New Roman"/>
      <w:b/>
      <w:bCs/>
      <w:kern w:val="0"/>
      <w:sz w:val="24"/>
      <w:szCs w:val="24"/>
    </w:rPr>
  </w:style>
  <w:style w:type="character" w:customStyle="1" w:styleId="56">
    <w:name w:val="Char Char8"/>
    <w:qFormat/>
    <w:uiPriority w:val="0"/>
    <w:rPr>
      <w:rFonts w:ascii="Arial" w:hAnsi="Arial" w:eastAsia="黑体"/>
      <w:b/>
      <w:bCs/>
      <w:kern w:val="2"/>
      <w:sz w:val="32"/>
      <w:szCs w:val="32"/>
      <w:lang w:val="en-US" w:eastAsia="zh-CN" w:bidi="ar-SA"/>
    </w:rPr>
  </w:style>
  <w:style w:type="character" w:customStyle="1" w:styleId="57">
    <w:name w:val="脚注文本 Char1"/>
    <w:semiHidden/>
    <w:qFormat/>
    <w:uiPriority w:val="99"/>
    <w:rPr>
      <w:rFonts w:ascii="Times New Roman" w:hAnsi="Times New Roman" w:eastAsia="宋体" w:cs="Times New Roman"/>
      <w:sz w:val="18"/>
      <w:szCs w:val="18"/>
    </w:rPr>
  </w:style>
  <w:style w:type="character" w:customStyle="1" w:styleId="58">
    <w:name w:val="正文文本 3 字符"/>
    <w:link w:val="16"/>
    <w:qFormat/>
    <w:uiPriority w:val="0"/>
    <w:rPr>
      <w:rFonts w:ascii="宋体"/>
      <w:sz w:val="24"/>
    </w:rPr>
  </w:style>
  <w:style w:type="character" w:customStyle="1" w:styleId="59">
    <w:name w:val="页脚 Char1"/>
    <w:semiHidden/>
    <w:qFormat/>
    <w:uiPriority w:val="99"/>
    <w:rPr>
      <w:rFonts w:ascii="Times New Roman" w:hAnsi="Times New Roman" w:eastAsia="宋体" w:cs="Times New Roman"/>
      <w:sz w:val="18"/>
      <w:szCs w:val="18"/>
    </w:rPr>
  </w:style>
  <w:style w:type="character" w:customStyle="1" w:styleId="60">
    <w:name w:val="标题 Char1"/>
    <w:qFormat/>
    <w:uiPriority w:val="10"/>
    <w:rPr>
      <w:rFonts w:ascii="Calibri Light" w:hAnsi="Calibri Light" w:eastAsia="宋体" w:cs="Times New Roman"/>
      <w:b/>
      <w:bCs/>
      <w:sz w:val="32"/>
      <w:szCs w:val="32"/>
    </w:rPr>
  </w:style>
  <w:style w:type="character" w:customStyle="1" w:styleId="61">
    <w:name w:val="正文文本 字符"/>
    <w:link w:val="17"/>
    <w:qFormat/>
    <w:uiPriority w:val="0"/>
    <w:rPr>
      <w:rFonts w:eastAsia="宋体"/>
      <w:szCs w:val="24"/>
    </w:rPr>
  </w:style>
  <w:style w:type="character" w:customStyle="1" w:styleId="62">
    <w:name w:val="脚注文本 字符"/>
    <w:link w:val="30"/>
    <w:qFormat/>
    <w:uiPriority w:val="0"/>
    <w:rPr>
      <w:rFonts w:eastAsia="宋体"/>
    </w:rPr>
  </w:style>
  <w:style w:type="character" w:customStyle="1" w:styleId="63">
    <w:name w:val="纯文本 Char1"/>
    <w:semiHidden/>
    <w:qFormat/>
    <w:uiPriority w:val="99"/>
    <w:rPr>
      <w:rFonts w:ascii="宋体" w:hAnsi="Courier New" w:eastAsia="宋体" w:cs="Courier New"/>
      <w:szCs w:val="21"/>
    </w:rPr>
  </w:style>
  <w:style w:type="character" w:customStyle="1" w:styleId="64">
    <w:name w:val="批注主题 字符"/>
    <w:link w:val="11"/>
    <w:qFormat/>
    <w:uiPriority w:val="0"/>
    <w:rPr>
      <w:rFonts w:ascii="Times New Roman" w:hAnsi="Times New Roman" w:eastAsia="宋体" w:cs="Times New Roman"/>
      <w:b/>
      <w:bCs/>
      <w:szCs w:val="24"/>
    </w:rPr>
  </w:style>
  <w:style w:type="character" w:customStyle="1" w:styleId="65">
    <w:name w:val="正文缩进 字符"/>
    <w:link w:val="14"/>
    <w:qFormat/>
    <w:locked/>
    <w:uiPriority w:val="0"/>
    <w:rPr>
      <w:kern w:val="2"/>
      <w:sz w:val="21"/>
      <w:szCs w:val="24"/>
    </w:rPr>
  </w:style>
  <w:style w:type="character" w:customStyle="1" w:styleId="66">
    <w:name w:val="font11"/>
    <w:qFormat/>
    <w:uiPriority w:val="0"/>
    <w:rPr>
      <w:rFonts w:hint="default" w:ascii="Times New Roman" w:hAnsi="Times New Roman" w:cs="Times New Roman"/>
      <w:color w:val="000000"/>
      <w:sz w:val="22"/>
      <w:szCs w:val="22"/>
      <w:u w:val="none"/>
    </w:rPr>
  </w:style>
  <w:style w:type="character" w:customStyle="1" w:styleId="67">
    <w:name w:val="font01"/>
    <w:qFormat/>
    <w:uiPriority w:val="0"/>
    <w:rPr>
      <w:rFonts w:hint="eastAsia" w:ascii="宋体" w:hAnsi="宋体" w:eastAsia="宋体" w:cs="宋体"/>
      <w:color w:val="000000"/>
      <w:sz w:val="22"/>
      <w:szCs w:val="22"/>
      <w:u w:val="none"/>
    </w:rPr>
  </w:style>
  <w:style w:type="character" w:customStyle="1" w:styleId="68">
    <w:name w:val="页眉 字符"/>
    <w:link w:val="28"/>
    <w:qFormat/>
    <w:uiPriority w:val="0"/>
    <w:rPr>
      <w:rFonts w:ascii="Times New Roman" w:hAnsi="Times New Roman" w:eastAsia="宋体" w:cs="Times New Roman"/>
      <w:sz w:val="18"/>
      <w:szCs w:val="18"/>
    </w:rPr>
  </w:style>
  <w:style w:type="character" w:customStyle="1" w:styleId="69">
    <w:name w:val="标题 9 字符"/>
    <w:link w:val="10"/>
    <w:qFormat/>
    <w:uiPriority w:val="0"/>
    <w:rPr>
      <w:rFonts w:ascii="Arial" w:hAnsi="Arial" w:eastAsia="黑体" w:cs="Times New Roman"/>
      <w:kern w:val="0"/>
      <w:szCs w:val="21"/>
    </w:rPr>
  </w:style>
  <w:style w:type="character" w:customStyle="1" w:styleId="70">
    <w:name w:val="标题 2 Char1"/>
    <w:qFormat/>
    <w:uiPriority w:val="0"/>
    <w:rPr>
      <w:rFonts w:ascii="Arial" w:hAnsi="Arial" w:eastAsia="黑体" w:cs="Times New Roman"/>
      <w:b/>
      <w:bCs/>
      <w:sz w:val="32"/>
      <w:szCs w:val="32"/>
      <w:lang w:val="en-US" w:eastAsia="en-US" w:bidi="ar-SA"/>
    </w:rPr>
  </w:style>
  <w:style w:type="character" w:customStyle="1" w:styleId="71">
    <w:name w:val="正文文本缩进 字符"/>
    <w:link w:val="18"/>
    <w:qFormat/>
    <w:uiPriority w:val="0"/>
    <w:rPr>
      <w:szCs w:val="24"/>
    </w:rPr>
  </w:style>
  <w:style w:type="character" w:customStyle="1" w:styleId="72">
    <w:name w:val="文档结构图 字符"/>
    <w:link w:val="15"/>
    <w:qFormat/>
    <w:uiPriority w:val="0"/>
    <w:rPr>
      <w:rFonts w:ascii="Times New Roman" w:hAnsi="Times New Roman" w:eastAsia="宋体" w:cs="Times New Roman"/>
      <w:szCs w:val="24"/>
      <w:shd w:val="clear" w:color="auto" w:fill="000080"/>
    </w:rPr>
  </w:style>
  <w:style w:type="character" w:customStyle="1" w:styleId="73">
    <w:name w:val="font161"/>
    <w:qFormat/>
    <w:uiPriority w:val="0"/>
    <w:rPr>
      <w:b/>
      <w:bCs/>
      <w:sz w:val="32"/>
      <w:szCs w:val="32"/>
    </w:rPr>
  </w:style>
  <w:style w:type="character" w:customStyle="1" w:styleId="74">
    <w:name w:val="标题 2 字符"/>
    <w:link w:val="4"/>
    <w:qFormat/>
    <w:uiPriority w:val="0"/>
    <w:rPr>
      <w:rFonts w:ascii="Arial" w:hAnsi="Arial" w:eastAsia="黑体" w:cs="Times New Roman"/>
      <w:b/>
      <w:bCs/>
      <w:sz w:val="32"/>
      <w:szCs w:val="32"/>
    </w:rPr>
  </w:style>
  <w:style w:type="character" w:customStyle="1" w:styleId="75">
    <w:name w:val="标题 字符"/>
    <w:link w:val="39"/>
    <w:qFormat/>
    <w:uiPriority w:val="0"/>
    <w:rPr>
      <w:rFonts w:ascii="Arial" w:hAnsi="Arial"/>
      <w:b/>
      <w:sz w:val="32"/>
    </w:rPr>
  </w:style>
  <w:style w:type="character" w:customStyle="1" w:styleId="76">
    <w:name w:val="批注框文本 字符"/>
    <w:link w:val="26"/>
    <w:qFormat/>
    <w:uiPriority w:val="0"/>
    <w:rPr>
      <w:rFonts w:ascii="Times New Roman" w:hAnsi="Times New Roman" w:eastAsia="宋体" w:cs="Times New Roman"/>
      <w:sz w:val="18"/>
      <w:szCs w:val="18"/>
    </w:rPr>
  </w:style>
  <w:style w:type="character" w:customStyle="1" w:styleId="77">
    <w:name w:val="标题 8 字符"/>
    <w:link w:val="9"/>
    <w:qFormat/>
    <w:uiPriority w:val="0"/>
    <w:rPr>
      <w:rFonts w:ascii="Arial" w:hAnsi="Arial" w:eastAsia="黑体" w:cs="Times New Roman"/>
      <w:kern w:val="0"/>
      <w:sz w:val="24"/>
      <w:szCs w:val="24"/>
    </w:rPr>
  </w:style>
  <w:style w:type="character" w:customStyle="1" w:styleId="78">
    <w:name w:val="日期 字符"/>
    <w:link w:val="24"/>
    <w:qFormat/>
    <w:uiPriority w:val="0"/>
    <w:rPr>
      <w:rFonts w:ascii="Times New Roman" w:hAnsi="Times New Roman" w:eastAsia="宋体" w:cs="Times New Roman"/>
      <w:sz w:val="24"/>
      <w:szCs w:val="20"/>
    </w:rPr>
  </w:style>
  <w:style w:type="character" w:customStyle="1" w:styleId="79">
    <w:name w:val="标题 1 字符"/>
    <w:link w:val="3"/>
    <w:qFormat/>
    <w:uiPriority w:val="0"/>
    <w:rPr>
      <w:rFonts w:ascii="Times New Roman" w:hAnsi="Times New Roman" w:eastAsia="宋体" w:cs="Times New Roman"/>
      <w:b/>
      <w:bCs/>
      <w:kern w:val="44"/>
      <w:sz w:val="44"/>
      <w:szCs w:val="44"/>
    </w:rPr>
  </w:style>
  <w:style w:type="character" w:customStyle="1" w:styleId="80">
    <w:name w:val="招标节 Char"/>
    <w:link w:val="81"/>
    <w:qFormat/>
    <w:locked/>
    <w:uiPriority w:val="0"/>
    <w:rPr>
      <w:b/>
      <w:sz w:val="24"/>
      <w:szCs w:val="24"/>
    </w:rPr>
  </w:style>
  <w:style w:type="paragraph" w:customStyle="1" w:styleId="81">
    <w:name w:val="招标节"/>
    <w:basedOn w:val="1"/>
    <w:next w:val="1"/>
    <w:link w:val="80"/>
    <w:qFormat/>
    <w:uiPriority w:val="0"/>
    <w:pPr>
      <w:spacing w:beforeLines="50" w:afterLines="50"/>
      <w:outlineLvl w:val="1"/>
    </w:pPr>
    <w:rPr>
      <w:b/>
      <w:kern w:val="0"/>
      <w:sz w:val="24"/>
    </w:rPr>
  </w:style>
  <w:style w:type="character" w:customStyle="1" w:styleId="82">
    <w:name w:val="正文文本缩进 3 字符"/>
    <w:link w:val="32"/>
    <w:qFormat/>
    <w:uiPriority w:val="0"/>
    <w:rPr>
      <w:rFonts w:ascii="Times New Roman" w:hAnsi="Times New Roman" w:eastAsia="宋体" w:cs="Times New Roman"/>
      <w:sz w:val="16"/>
      <w:szCs w:val="16"/>
    </w:rPr>
  </w:style>
  <w:style w:type="character" w:customStyle="1" w:styleId="83">
    <w:name w:val="tpc_content1"/>
    <w:qFormat/>
    <w:uiPriority w:val="0"/>
    <w:rPr>
      <w:sz w:val="20"/>
      <w:szCs w:val="20"/>
    </w:rPr>
  </w:style>
  <w:style w:type="character" w:customStyle="1" w:styleId="84">
    <w:name w:val="Char Char"/>
    <w:qFormat/>
    <w:uiPriority w:val="0"/>
    <w:rPr>
      <w:rFonts w:ascii="Arial" w:hAnsi="Arial" w:eastAsia="黑体"/>
      <w:b/>
      <w:bCs/>
      <w:kern w:val="2"/>
      <w:sz w:val="32"/>
      <w:szCs w:val="32"/>
      <w:lang w:val="en-US" w:eastAsia="zh-CN" w:bidi="ar-SA"/>
    </w:rPr>
  </w:style>
  <w:style w:type="character" w:customStyle="1" w:styleId="85">
    <w:name w:val="正文文本 Char1"/>
    <w:semiHidden/>
    <w:qFormat/>
    <w:uiPriority w:val="99"/>
    <w:rPr>
      <w:rFonts w:ascii="Times New Roman" w:hAnsi="Times New Roman" w:eastAsia="宋体" w:cs="Times New Roman"/>
      <w:szCs w:val="24"/>
    </w:rPr>
  </w:style>
  <w:style w:type="character" w:customStyle="1" w:styleId="86">
    <w:name w:val="Char Char2"/>
    <w:qFormat/>
    <w:uiPriority w:val="0"/>
    <w:rPr>
      <w:rFonts w:eastAsia="宋体"/>
      <w:kern w:val="2"/>
      <w:sz w:val="21"/>
      <w:szCs w:val="24"/>
      <w:lang w:val="en-US" w:eastAsia="zh-CN" w:bidi="ar-SA"/>
    </w:rPr>
  </w:style>
  <w:style w:type="character" w:customStyle="1" w:styleId="87">
    <w:name w:val="apple-converted-space"/>
    <w:qFormat/>
    <w:uiPriority w:val="0"/>
  </w:style>
  <w:style w:type="character" w:customStyle="1" w:styleId="88">
    <w:name w:val="标题 4 字符"/>
    <w:link w:val="6"/>
    <w:qFormat/>
    <w:uiPriority w:val="0"/>
    <w:rPr>
      <w:rFonts w:ascii="Arial" w:hAnsi="Arial" w:eastAsia="黑体" w:cs="Times New Roman"/>
      <w:b/>
      <w:bCs/>
      <w:sz w:val="28"/>
      <w:szCs w:val="28"/>
    </w:rPr>
  </w:style>
  <w:style w:type="character" w:customStyle="1" w:styleId="89">
    <w:name w:val="正文文本缩进 Char1"/>
    <w:semiHidden/>
    <w:qFormat/>
    <w:uiPriority w:val="99"/>
    <w:rPr>
      <w:rFonts w:ascii="Times New Roman" w:hAnsi="Times New Roman" w:eastAsia="宋体" w:cs="Times New Roman"/>
      <w:szCs w:val="24"/>
    </w:rPr>
  </w:style>
  <w:style w:type="character" w:customStyle="1" w:styleId="90">
    <w:name w:val="页脚 字符"/>
    <w:link w:val="27"/>
    <w:qFormat/>
    <w:uiPriority w:val="99"/>
    <w:rPr>
      <w:sz w:val="18"/>
      <w:szCs w:val="18"/>
    </w:rPr>
  </w:style>
  <w:style w:type="character" w:customStyle="1" w:styleId="91">
    <w:name w:val="Char Char7"/>
    <w:qFormat/>
    <w:uiPriority w:val="0"/>
    <w:rPr>
      <w:rFonts w:ascii="Arial" w:hAnsi="Arial" w:eastAsia="黑体"/>
      <w:b/>
      <w:bCs/>
      <w:kern w:val="2"/>
      <w:sz w:val="32"/>
      <w:szCs w:val="32"/>
      <w:lang w:val="en-US" w:eastAsia="zh-CN" w:bidi="ar-SA"/>
    </w:rPr>
  </w:style>
  <w:style w:type="character" w:customStyle="1" w:styleId="92">
    <w:name w:val="HTML 预设格式 字符"/>
    <w:link w:val="36"/>
    <w:qFormat/>
    <w:uiPriority w:val="0"/>
    <w:rPr>
      <w:rFonts w:ascii="微软雅黑" w:hAnsi="微软雅黑" w:eastAsia="微软雅黑" w:cs="Times New Roman"/>
      <w:kern w:val="0"/>
      <w:sz w:val="24"/>
      <w:szCs w:val="24"/>
    </w:rPr>
  </w:style>
  <w:style w:type="character" w:customStyle="1" w:styleId="93">
    <w:name w:val="批注文字 Char"/>
    <w:qFormat/>
    <w:uiPriority w:val="0"/>
    <w:rPr>
      <w:rFonts w:eastAsia="宋体"/>
      <w:kern w:val="2"/>
      <w:sz w:val="21"/>
      <w:szCs w:val="24"/>
      <w:lang w:val="en-US" w:eastAsia="zh-CN" w:bidi="ar-SA"/>
    </w:rPr>
  </w:style>
  <w:style w:type="character" w:customStyle="1" w:styleId="94">
    <w:name w:val="纯文本 字符"/>
    <w:link w:val="22"/>
    <w:qFormat/>
    <w:uiPriority w:val="99"/>
    <w:rPr>
      <w:rFonts w:ascii="Courier New" w:hAnsi="Courier New"/>
    </w:rPr>
  </w:style>
  <w:style w:type="character" w:customStyle="1" w:styleId="95">
    <w:name w:val="标题 7 字符"/>
    <w:link w:val="8"/>
    <w:qFormat/>
    <w:uiPriority w:val="0"/>
    <w:rPr>
      <w:rFonts w:ascii="Times New Roman" w:hAnsi="Times New Roman" w:eastAsia="宋体" w:cs="Times New Roman"/>
      <w:b/>
      <w:bCs/>
      <w:kern w:val="0"/>
      <w:sz w:val="24"/>
      <w:szCs w:val="24"/>
    </w:rPr>
  </w:style>
  <w:style w:type="paragraph" w:customStyle="1" w:styleId="96">
    <w:name w:val="样式4"/>
    <w:basedOn w:val="5"/>
    <w:qFormat/>
    <w:uiPriority w:val="0"/>
    <w:rPr>
      <w:rFonts w:eastAsia="Arial"/>
    </w:rPr>
  </w:style>
  <w:style w:type="paragraph" w:customStyle="1" w:styleId="97">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98">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99">
    <w:name w:val="font10"/>
    <w:basedOn w:val="1"/>
    <w:qFormat/>
    <w:uiPriority w:val="0"/>
    <w:pPr>
      <w:widowControl/>
      <w:spacing w:before="100" w:beforeAutospacing="1" w:after="100" w:afterAutospacing="1"/>
      <w:jc w:val="left"/>
    </w:pPr>
    <w:rPr>
      <w:kern w:val="0"/>
      <w:sz w:val="28"/>
      <w:szCs w:val="28"/>
    </w:rPr>
  </w:style>
  <w:style w:type="paragraph" w:customStyle="1" w:styleId="100">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样式1"/>
    <w:basedOn w:val="5"/>
    <w:qFormat/>
    <w:uiPriority w:val="0"/>
    <w:rPr>
      <w:rFonts w:eastAsia="Arial"/>
    </w:rPr>
  </w:style>
  <w:style w:type="paragraph" w:customStyle="1" w:styleId="103">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Char"/>
    <w:basedOn w:val="1"/>
    <w:qFormat/>
    <w:uiPriority w:val="0"/>
    <w:pPr>
      <w:tabs>
        <w:tab w:val="left" w:pos="360"/>
      </w:tabs>
    </w:pPr>
    <w:rPr>
      <w:sz w:val="24"/>
    </w:rPr>
  </w:style>
  <w:style w:type="paragraph" w:customStyle="1" w:styleId="106">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表格"/>
    <w:basedOn w:val="1"/>
    <w:qFormat/>
    <w:uiPriority w:val="0"/>
    <w:pPr>
      <w:jc w:val="center"/>
      <w:textAlignment w:val="center"/>
    </w:pPr>
    <w:rPr>
      <w:rFonts w:ascii="华文细黑" w:hAnsi="华文细黑"/>
      <w:kern w:val="0"/>
      <w:szCs w:val="20"/>
    </w:rPr>
  </w:style>
  <w:style w:type="paragraph" w:customStyle="1" w:styleId="108">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2">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列出段落1"/>
    <w:basedOn w:val="1"/>
    <w:qFormat/>
    <w:uiPriority w:val="34"/>
    <w:pPr>
      <w:ind w:firstLine="420" w:firstLineChars="200"/>
    </w:pPr>
    <w:rPr>
      <w:rFonts w:ascii="Calibri" w:hAnsi="Calibri"/>
      <w:szCs w:val="22"/>
    </w:rPr>
  </w:style>
  <w:style w:type="paragraph" w:customStyle="1" w:styleId="118">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19">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1">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2">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3">
    <w:name w:val="1"/>
    <w:basedOn w:val="1"/>
    <w:next w:val="1"/>
    <w:qFormat/>
    <w:uiPriority w:val="0"/>
  </w:style>
  <w:style w:type="paragraph" w:customStyle="1" w:styleId="124">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5">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6">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27">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28">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29">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0">
    <w:name w:val="样式3"/>
    <w:basedOn w:val="5"/>
    <w:qFormat/>
    <w:uiPriority w:val="0"/>
    <w:rPr>
      <w:rFonts w:eastAsia="Arial"/>
    </w:rPr>
  </w:style>
  <w:style w:type="paragraph" w:customStyle="1" w:styleId="131">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2">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4">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6">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39">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0">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2">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3">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4">
    <w:name w:val="第二"/>
    <w:basedOn w:val="1"/>
    <w:qFormat/>
    <w:uiPriority w:val="0"/>
    <w:pPr>
      <w:adjustRightInd w:val="0"/>
      <w:snapToGrid w:val="0"/>
      <w:spacing w:line="360" w:lineRule="auto"/>
      <w:ind w:right="-108" w:rightChars="-45" w:firstLine="482"/>
    </w:pPr>
    <w:rPr>
      <w:b/>
    </w:rPr>
  </w:style>
  <w:style w:type="paragraph" w:customStyle="1" w:styleId="145">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7">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48">
    <w:name w:val="内容"/>
    <w:basedOn w:val="1"/>
    <w:qFormat/>
    <w:uiPriority w:val="0"/>
    <w:pPr>
      <w:spacing w:line="480" w:lineRule="exact"/>
      <w:ind w:firstLine="200" w:firstLineChars="200"/>
    </w:pPr>
  </w:style>
  <w:style w:type="paragraph" w:customStyle="1" w:styleId="149">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0">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1">
    <w:name w:val="列出段落11"/>
    <w:basedOn w:val="1"/>
    <w:qFormat/>
    <w:uiPriority w:val="99"/>
    <w:pPr>
      <w:ind w:firstLine="420" w:firstLineChars="200"/>
    </w:pPr>
  </w:style>
  <w:style w:type="paragraph" w:customStyle="1" w:styleId="152">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3">
    <w:name w:val="表格文字"/>
    <w:basedOn w:val="1"/>
    <w:qFormat/>
    <w:uiPriority w:val="0"/>
    <w:pPr>
      <w:adjustRightInd w:val="0"/>
      <w:spacing w:line="420" w:lineRule="atLeast"/>
      <w:jc w:val="left"/>
      <w:textAlignment w:val="baseline"/>
    </w:pPr>
    <w:rPr>
      <w:kern w:val="0"/>
      <w:szCs w:val="20"/>
    </w:rPr>
  </w:style>
  <w:style w:type="paragraph" w:customStyle="1" w:styleId="154">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5">
    <w:name w:val="样式2"/>
    <w:basedOn w:val="5"/>
    <w:qFormat/>
    <w:uiPriority w:val="0"/>
  </w:style>
  <w:style w:type="character" w:customStyle="1" w:styleId="156">
    <w:name w:val="after"/>
    <w:qFormat/>
    <w:uiPriority w:val="0"/>
    <w:rPr>
      <w:bdr w:val="dashed" w:color="auto" w:sz="48" w:space="0"/>
    </w:rPr>
  </w:style>
  <w:style w:type="character" w:customStyle="1" w:styleId="157">
    <w:name w:val="before"/>
    <w:qFormat/>
    <w:uiPriority w:val="0"/>
    <w:rPr>
      <w:bdr w:val="single" w:color="auto" w:sz="48" w:space="0"/>
    </w:rPr>
  </w:style>
  <w:style w:type="character" w:customStyle="1" w:styleId="158">
    <w:name w:val="hover48"/>
    <w:qFormat/>
    <w:uiPriority w:val="0"/>
    <w:rPr>
      <w:shd w:val="clear" w:color="auto" w:fill="346AC3"/>
    </w:rPr>
  </w:style>
  <w:style w:type="character" w:customStyle="1" w:styleId="159">
    <w:name w:val="hover49"/>
    <w:basedOn w:val="40"/>
    <w:qFormat/>
    <w:uiPriority w:val="0"/>
  </w:style>
  <w:style w:type="character" w:customStyle="1" w:styleId="160">
    <w:name w:val="hover50"/>
    <w:qFormat/>
    <w:uiPriority w:val="0"/>
    <w:rPr>
      <w:color w:val="4285F4"/>
      <w:u w:val="none"/>
    </w:rPr>
  </w:style>
  <w:style w:type="character" w:customStyle="1" w:styleId="161">
    <w:name w:val="hover51"/>
    <w:qFormat/>
    <w:uiPriority w:val="0"/>
    <w:rPr>
      <w:color w:val="4285F4"/>
    </w:rPr>
  </w:style>
  <w:style w:type="character" w:customStyle="1" w:styleId="162">
    <w:name w:val="hover52"/>
    <w:qFormat/>
    <w:uiPriority w:val="0"/>
    <w:rPr>
      <w:color w:val="1A85D7"/>
    </w:rPr>
  </w:style>
  <w:style w:type="character" w:customStyle="1" w:styleId="163">
    <w:name w:val="credit"/>
    <w:qFormat/>
    <w:uiPriority w:val="0"/>
    <w:rPr>
      <w:sz w:val="18"/>
      <w:szCs w:val="18"/>
    </w:rPr>
  </w:style>
  <w:style w:type="character" w:customStyle="1" w:styleId="164">
    <w:name w:val="first-child"/>
    <w:basedOn w:val="4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26</Pages>
  <Words>1288</Words>
  <Characters>7348</Characters>
  <Lines>61</Lines>
  <Paragraphs>17</Paragraphs>
  <ScaleCrop>false</ScaleCrop>
  <LinksUpToDate>false</LinksUpToDate>
  <CharactersWithSpaces>8619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2020-04-29T08:16:00Z</dcterms:created>
  <dc:creator>陈桂兰</dc:creator>
  <cp:lastModifiedBy>Jck</cp:lastModifiedBy>
  <cp:lastPrinted>2020-05-11T07:11:00Z</cp:lastPrinted>
  <dcterms:modified xsi:type="dcterms:W3CDTF">2021-06-30T03:04:09Z</dcterms:modified>
  <dc:title>项目名称：2019年重庆市取消高速公路省界收费站项目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9AA232BBC7F94BBAA841210958F5E029</vt:lpwstr>
  </property>
</Properties>
</file>