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方正小标宋_GBK" w:eastAsia="方正小标宋_GBK"/>
          <w:sz w:val="24"/>
          <w:szCs w:val="44"/>
        </w:rPr>
      </w:pPr>
      <w:bookmarkStart w:id="0" w:name="OLE_LINK1"/>
      <w:r>
        <w:rPr>
          <w:rFonts w:hint="eastAsia" w:ascii="方正小标宋_GBK" w:eastAsia="方正小标宋_GBK"/>
          <w:sz w:val="24"/>
          <w:szCs w:val="44"/>
        </w:rPr>
        <w:t>涪江干流梯级渠化双江航电枢纽工程厂房、泄水闸等土建及金属结构、机电设备安装工程施工中标候选人公示</w:t>
      </w:r>
    </w:p>
    <w:p>
      <w:pPr>
        <w:spacing w:line="400" w:lineRule="exact"/>
        <w:jc w:val="center"/>
        <w:rPr>
          <w:rFonts w:ascii="方正小标宋_GBK" w:eastAsia="方正小标宋_GBK"/>
          <w:sz w:val="24"/>
          <w:szCs w:val="30"/>
        </w:rPr>
      </w:pPr>
      <w:r>
        <w:rPr>
          <w:rFonts w:hint="eastAsia" w:ascii="方正小标宋_GBK" w:eastAsia="方正小标宋_GBK"/>
          <w:sz w:val="24"/>
          <w:szCs w:val="30"/>
        </w:rPr>
        <w:t>（公示期：2021年9月23日至2021年9月26日）</w:t>
      </w:r>
    </w:p>
    <w:tbl>
      <w:tblPr>
        <w:tblStyle w:val="4"/>
        <w:tblpPr w:leftFromText="180" w:rightFromText="180" w:vertAnchor="text" w:horzAnchor="margin" w:tblpXSpec="center" w:tblpY="227"/>
        <w:tblW w:w="10289" w:type="dxa"/>
        <w:tblInd w:w="0" w:type="dxa"/>
        <w:tblLayout w:type="fixed"/>
        <w:tblCellMar>
          <w:top w:w="0" w:type="dxa"/>
          <w:left w:w="108" w:type="dxa"/>
          <w:bottom w:w="0" w:type="dxa"/>
          <w:right w:w="108" w:type="dxa"/>
        </w:tblCellMar>
      </w:tblPr>
      <w:tblGrid>
        <w:gridCol w:w="1620"/>
        <w:gridCol w:w="1474"/>
        <w:gridCol w:w="1546"/>
        <w:gridCol w:w="924"/>
        <w:gridCol w:w="1774"/>
        <w:gridCol w:w="791"/>
        <w:gridCol w:w="484"/>
        <w:gridCol w:w="641"/>
        <w:gridCol w:w="1035"/>
      </w:tblGrid>
      <w:tr>
        <w:tblPrEx>
          <w:tblCellMar>
            <w:top w:w="0" w:type="dxa"/>
            <w:left w:w="108" w:type="dxa"/>
            <w:bottom w:w="0" w:type="dxa"/>
            <w:right w:w="108" w:type="dxa"/>
          </w:tblCellMar>
        </w:tblPrEx>
        <w:trPr>
          <w:trHeight w:val="420"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项目标段名称</w:t>
            </w:r>
          </w:p>
        </w:tc>
        <w:tc>
          <w:tcPr>
            <w:tcW w:w="5718"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涪江干流梯级渠化双江航电枢纽工程厂房、泄水闸等土建及金属结构、机电设备安装工程施工</w:t>
            </w:r>
          </w:p>
        </w:tc>
        <w:tc>
          <w:tcPr>
            <w:tcW w:w="1275" w:type="dxa"/>
            <w:gridSpan w:val="2"/>
            <w:vMerge w:val="restart"/>
            <w:tcBorders>
              <w:top w:val="single" w:color="auto" w:sz="4" w:space="0"/>
              <w:left w:val="nil"/>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最高限价（或招标控制价）（元）</w:t>
            </w:r>
          </w:p>
        </w:tc>
        <w:tc>
          <w:tcPr>
            <w:tcW w:w="1676" w:type="dxa"/>
            <w:gridSpan w:val="2"/>
            <w:vMerge w:val="restart"/>
            <w:tcBorders>
              <w:top w:val="single" w:color="auto" w:sz="4" w:space="0"/>
              <w:left w:val="nil"/>
              <w:right w:val="single" w:color="000000" w:sz="4" w:space="0"/>
            </w:tcBorders>
            <w:shd w:val="clear" w:color="auto" w:fill="auto"/>
            <w:vAlign w:val="center"/>
          </w:tcPr>
          <w:p>
            <w:pPr>
              <w:widowControl/>
              <w:jc w:val="center"/>
              <w:rPr>
                <w:rFonts w:cs="Calibri" w:asciiTheme="minorEastAsia" w:hAnsiTheme="minorEastAsia"/>
                <w:color w:val="000000"/>
                <w:kern w:val="0"/>
                <w:szCs w:val="21"/>
              </w:rPr>
            </w:pPr>
            <w:r>
              <w:rPr>
                <w:rFonts w:cs="Calibri" w:asciiTheme="minorEastAsia" w:hAnsiTheme="minorEastAsia"/>
                <w:color w:val="000000"/>
                <w:kern w:val="0"/>
                <w:szCs w:val="21"/>
              </w:rPr>
              <w:t>633581810.95</w:t>
            </w:r>
          </w:p>
        </w:tc>
      </w:tr>
      <w:tr>
        <w:tblPrEx>
          <w:tblCellMar>
            <w:top w:w="0" w:type="dxa"/>
            <w:left w:w="108" w:type="dxa"/>
            <w:bottom w:w="0" w:type="dxa"/>
            <w:right w:w="108" w:type="dxa"/>
          </w:tblCellMar>
        </w:tblPrEx>
        <w:trPr>
          <w:trHeight w:val="420"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项目编码</w:t>
            </w:r>
          </w:p>
        </w:tc>
        <w:tc>
          <w:tcPr>
            <w:tcW w:w="5718"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50000120210823001020101</w:t>
            </w:r>
          </w:p>
        </w:tc>
        <w:tc>
          <w:tcPr>
            <w:tcW w:w="1275" w:type="dxa"/>
            <w:gridSpan w:val="2"/>
            <w:vMerge w:val="continue"/>
            <w:tcBorders>
              <w:left w:val="nil"/>
              <w:right w:val="single" w:color="auto" w:sz="4" w:space="0"/>
            </w:tcBorders>
            <w:shd w:val="clear" w:color="auto" w:fill="auto"/>
            <w:vAlign w:val="center"/>
          </w:tcPr>
          <w:p>
            <w:pPr>
              <w:widowControl/>
              <w:jc w:val="center"/>
              <w:rPr>
                <w:rFonts w:cs="宋体" w:asciiTheme="minorEastAsia" w:hAnsiTheme="minorEastAsia"/>
                <w:color w:val="000000"/>
                <w:kern w:val="0"/>
                <w:szCs w:val="21"/>
              </w:rPr>
            </w:pPr>
          </w:p>
        </w:tc>
        <w:tc>
          <w:tcPr>
            <w:tcW w:w="1676" w:type="dxa"/>
            <w:gridSpan w:val="2"/>
            <w:vMerge w:val="continue"/>
            <w:tcBorders>
              <w:left w:val="nil"/>
              <w:right w:val="single" w:color="000000" w:sz="4" w:space="0"/>
            </w:tcBorders>
            <w:shd w:val="clear" w:color="auto" w:fill="auto"/>
            <w:vAlign w:val="center"/>
          </w:tcPr>
          <w:p>
            <w:pPr>
              <w:widowControl/>
              <w:jc w:val="center"/>
              <w:rPr>
                <w:rFonts w:cs="Calibri" w:asciiTheme="minorEastAsia" w:hAnsiTheme="minorEastAsia"/>
                <w:color w:val="000000"/>
                <w:kern w:val="0"/>
                <w:szCs w:val="21"/>
              </w:rPr>
            </w:pPr>
          </w:p>
        </w:tc>
      </w:tr>
      <w:tr>
        <w:tblPrEx>
          <w:tblCellMar>
            <w:top w:w="0" w:type="dxa"/>
            <w:left w:w="108" w:type="dxa"/>
            <w:bottom w:w="0" w:type="dxa"/>
            <w:right w:w="108" w:type="dxa"/>
          </w:tblCellMar>
        </w:tblPrEx>
        <w:trPr>
          <w:trHeight w:val="420"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招标公告编号</w:t>
            </w:r>
          </w:p>
        </w:tc>
        <w:tc>
          <w:tcPr>
            <w:tcW w:w="5718"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w:t>
            </w:r>
          </w:p>
        </w:tc>
        <w:tc>
          <w:tcPr>
            <w:tcW w:w="1275" w:type="dxa"/>
            <w:gridSpan w:val="2"/>
            <w:vMerge w:val="continue"/>
            <w:tcBorders>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p>
        </w:tc>
        <w:tc>
          <w:tcPr>
            <w:tcW w:w="1676" w:type="dxa"/>
            <w:gridSpan w:val="2"/>
            <w:vMerge w:val="continue"/>
            <w:tcBorders>
              <w:left w:val="nil"/>
              <w:bottom w:val="single" w:color="auto" w:sz="4" w:space="0"/>
              <w:right w:val="single" w:color="000000" w:sz="4" w:space="0"/>
            </w:tcBorders>
            <w:shd w:val="clear" w:color="auto" w:fill="auto"/>
            <w:vAlign w:val="center"/>
          </w:tcPr>
          <w:p>
            <w:pPr>
              <w:widowControl/>
              <w:jc w:val="center"/>
              <w:rPr>
                <w:rFonts w:cs="Calibri" w:asciiTheme="minorEastAsia" w:hAnsiTheme="minorEastAsia"/>
                <w:color w:val="000000"/>
                <w:kern w:val="0"/>
                <w:szCs w:val="21"/>
              </w:rPr>
            </w:pPr>
          </w:p>
        </w:tc>
      </w:tr>
      <w:tr>
        <w:tblPrEx>
          <w:tblCellMar>
            <w:top w:w="0" w:type="dxa"/>
            <w:left w:w="108" w:type="dxa"/>
            <w:bottom w:w="0" w:type="dxa"/>
            <w:right w:w="108" w:type="dxa"/>
          </w:tblCellMar>
        </w:tblPrEx>
        <w:trPr>
          <w:trHeight w:val="479"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招标人</w:t>
            </w:r>
          </w:p>
        </w:tc>
        <w:tc>
          <w:tcPr>
            <w:tcW w:w="5718"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cs="Calibri" w:asciiTheme="minorEastAsia" w:hAnsiTheme="minorEastAsia"/>
                <w:color w:val="000000"/>
                <w:kern w:val="0"/>
                <w:szCs w:val="21"/>
              </w:rPr>
            </w:pPr>
            <w:r>
              <w:rPr>
                <w:rFonts w:hint="eastAsia" w:cs="Calibri" w:asciiTheme="minorEastAsia" w:hAnsiTheme="minorEastAsia"/>
                <w:color w:val="000000"/>
                <w:kern w:val="0"/>
                <w:szCs w:val="21"/>
              </w:rPr>
              <w:t>重庆双江航运发展有限公司</w:t>
            </w:r>
          </w:p>
        </w:tc>
        <w:tc>
          <w:tcPr>
            <w:tcW w:w="127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招标人联系电话</w:t>
            </w:r>
          </w:p>
        </w:tc>
        <w:tc>
          <w:tcPr>
            <w:tcW w:w="16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cs="Calibri" w:asciiTheme="minorEastAsia" w:hAnsiTheme="minorEastAsia"/>
                <w:color w:val="000000"/>
                <w:kern w:val="0"/>
                <w:szCs w:val="21"/>
              </w:rPr>
            </w:pPr>
            <w:r>
              <w:rPr>
                <w:rFonts w:hint="eastAsia" w:cs="Calibri" w:asciiTheme="minorEastAsia" w:hAnsiTheme="minorEastAsia"/>
                <w:color w:val="000000"/>
                <w:kern w:val="0"/>
                <w:szCs w:val="21"/>
              </w:rPr>
              <w:t>023-88734299</w:t>
            </w:r>
          </w:p>
        </w:tc>
      </w:tr>
      <w:tr>
        <w:tblPrEx>
          <w:tblCellMar>
            <w:top w:w="0" w:type="dxa"/>
            <w:left w:w="108" w:type="dxa"/>
            <w:bottom w:w="0" w:type="dxa"/>
            <w:right w:w="108" w:type="dxa"/>
          </w:tblCellMar>
        </w:tblPrEx>
        <w:trPr>
          <w:trHeight w:val="557"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招标代理机构</w:t>
            </w:r>
          </w:p>
        </w:tc>
        <w:tc>
          <w:tcPr>
            <w:tcW w:w="5718"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cs="Calibri" w:asciiTheme="minorEastAsia" w:hAnsiTheme="minorEastAsia"/>
                <w:color w:val="000000"/>
                <w:kern w:val="0"/>
                <w:szCs w:val="21"/>
              </w:rPr>
            </w:pPr>
            <w:r>
              <w:rPr>
                <w:rFonts w:cs="Calibri" w:asciiTheme="minorEastAsia" w:hAnsiTheme="minorEastAsia"/>
                <w:color w:val="000000"/>
                <w:kern w:val="0"/>
                <w:szCs w:val="21"/>
              </w:rPr>
              <w:t>　</w:t>
            </w:r>
            <w:r>
              <w:rPr>
                <w:rFonts w:hint="eastAsia" w:cs="Calibri" w:asciiTheme="minorEastAsia" w:hAnsiTheme="minorEastAsia"/>
                <w:color w:val="000000"/>
                <w:kern w:val="0"/>
                <w:szCs w:val="21"/>
              </w:rPr>
              <w:t>重庆招标采购（集团）有限责任公司</w:t>
            </w:r>
          </w:p>
        </w:tc>
        <w:tc>
          <w:tcPr>
            <w:tcW w:w="127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招标代理机构联系电话</w:t>
            </w:r>
          </w:p>
        </w:tc>
        <w:tc>
          <w:tcPr>
            <w:tcW w:w="16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cs="Calibri" w:asciiTheme="minorEastAsia" w:hAnsiTheme="minorEastAsia"/>
                <w:color w:val="000000"/>
                <w:kern w:val="0"/>
                <w:szCs w:val="21"/>
              </w:rPr>
            </w:pPr>
            <w:r>
              <w:rPr>
                <w:rFonts w:cs="Calibri" w:asciiTheme="minorEastAsia" w:hAnsiTheme="minorEastAsia"/>
                <w:color w:val="000000"/>
                <w:kern w:val="0"/>
                <w:szCs w:val="21"/>
              </w:rPr>
              <w:t>023-67590752</w:t>
            </w:r>
          </w:p>
        </w:tc>
      </w:tr>
      <w:tr>
        <w:tblPrEx>
          <w:tblCellMar>
            <w:top w:w="0" w:type="dxa"/>
            <w:left w:w="108" w:type="dxa"/>
            <w:bottom w:w="0" w:type="dxa"/>
            <w:right w:w="108" w:type="dxa"/>
          </w:tblCellMar>
        </w:tblPrEx>
        <w:trPr>
          <w:trHeight w:val="415" w:hRule="atLeast"/>
        </w:trPr>
        <w:tc>
          <w:tcPr>
            <w:tcW w:w="16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中标候选人排序</w:t>
            </w:r>
          </w:p>
        </w:tc>
        <w:tc>
          <w:tcPr>
            <w:tcW w:w="1474" w:type="dxa"/>
            <w:vMerge w:val="restart"/>
            <w:tcBorders>
              <w:top w:val="nil"/>
              <w:left w:val="nil"/>
              <w:bottom w:val="nil"/>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名称</w:t>
            </w:r>
          </w:p>
        </w:tc>
        <w:tc>
          <w:tcPr>
            <w:tcW w:w="15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投标总报价</w:t>
            </w:r>
          </w:p>
        </w:tc>
        <w:tc>
          <w:tcPr>
            <w:tcW w:w="924" w:type="dxa"/>
            <w:vMerge w:val="restart"/>
            <w:tcBorders>
              <w:top w:val="nil"/>
              <w:left w:val="single" w:color="auto" w:sz="4" w:space="0"/>
              <w:bottom w:val="nil"/>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工期</w:t>
            </w:r>
          </w:p>
        </w:tc>
        <w:tc>
          <w:tcPr>
            <w:tcW w:w="1774" w:type="dxa"/>
            <w:vMerge w:val="restart"/>
            <w:tcBorders>
              <w:top w:val="nil"/>
              <w:left w:val="single" w:color="auto" w:sz="4" w:space="0"/>
              <w:bottom w:val="nil"/>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工程质量</w:t>
            </w:r>
          </w:p>
        </w:tc>
        <w:tc>
          <w:tcPr>
            <w:tcW w:w="2951" w:type="dxa"/>
            <w:gridSpan w:val="4"/>
            <w:tcBorders>
              <w:top w:val="nil"/>
              <w:left w:val="nil"/>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cs="Calibri" w:asciiTheme="minorEastAsia" w:hAnsiTheme="minorEastAsia"/>
                <w:color w:val="000000"/>
                <w:kern w:val="0"/>
                <w:szCs w:val="21"/>
              </w:rPr>
              <w:t>拟任项目</w:t>
            </w:r>
            <w:r>
              <w:rPr>
                <w:rFonts w:hint="eastAsia" w:cs="Calibri" w:asciiTheme="minorEastAsia" w:hAnsiTheme="minorEastAsia"/>
                <w:color w:val="000000"/>
                <w:kern w:val="0"/>
                <w:szCs w:val="21"/>
              </w:rPr>
              <w:t>经理</w:t>
            </w:r>
          </w:p>
        </w:tc>
      </w:tr>
      <w:tr>
        <w:tblPrEx>
          <w:tblCellMar>
            <w:top w:w="0" w:type="dxa"/>
            <w:left w:w="108" w:type="dxa"/>
            <w:bottom w:w="0" w:type="dxa"/>
            <w:right w:w="108" w:type="dxa"/>
          </w:tblCellMar>
        </w:tblPrEx>
        <w:trPr>
          <w:trHeight w:val="9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rPr>
            </w:pPr>
          </w:p>
        </w:tc>
        <w:tc>
          <w:tcPr>
            <w:tcW w:w="1474" w:type="dxa"/>
            <w:vMerge w:val="continue"/>
            <w:tcBorders>
              <w:top w:val="nil"/>
              <w:left w:val="nil"/>
              <w:bottom w:val="nil"/>
              <w:right w:val="single" w:color="auto" w:sz="4" w:space="0"/>
            </w:tcBorders>
            <w:vAlign w:val="center"/>
          </w:tcPr>
          <w:p>
            <w:pPr>
              <w:widowControl/>
              <w:jc w:val="left"/>
              <w:rPr>
                <w:rFonts w:cs="宋体" w:asciiTheme="minorEastAsia" w:hAnsiTheme="minorEastAsia"/>
                <w:color w:val="000000"/>
                <w:kern w:val="0"/>
                <w:szCs w:val="21"/>
              </w:rPr>
            </w:pPr>
          </w:p>
        </w:tc>
        <w:tc>
          <w:tcPr>
            <w:tcW w:w="154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rPr>
            </w:pPr>
          </w:p>
        </w:tc>
        <w:tc>
          <w:tcPr>
            <w:tcW w:w="924" w:type="dxa"/>
            <w:vMerge w:val="continue"/>
            <w:tcBorders>
              <w:top w:val="nil"/>
              <w:left w:val="single" w:color="auto" w:sz="4" w:space="0"/>
              <w:bottom w:val="nil"/>
              <w:right w:val="single" w:color="auto" w:sz="4" w:space="0"/>
            </w:tcBorders>
            <w:vAlign w:val="center"/>
          </w:tcPr>
          <w:p>
            <w:pPr>
              <w:widowControl/>
              <w:jc w:val="left"/>
              <w:rPr>
                <w:rFonts w:cs="宋体" w:asciiTheme="minorEastAsia" w:hAnsiTheme="minorEastAsia"/>
                <w:color w:val="000000"/>
                <w:kern w:val="0"/>
                <w:szCs w:val="21"/>
              </w:rPr>
            </w:pPr>
          </w:p>
        </w:tc>
        <w:tc>
          <w:tcPr>
            <w:tcW w:w="1774" w:type="dxa"/>
            <w:vMerge w:val="continue"/>
            <w:tcBorders>
              <w:top w:val="nil"/>
              <w:left w:val="single" w:color="auto" w:sz="4" w:space="0"/>
              <w:bottom w:val="nil"/>
              <w:right w:val="single" w:color="auto" w:sz="4" w:space="0"/>
            </w:tcBorders>
            <w:vAlign w:val="center"/>
          </w:tcPr>
          <w:p>
            <w:pPr>
              <w:widowControl/>
              <w:jc w:val="left"/>
              <w:rPr>
                <w:rFonts w:cs="宋体" w:asciiTheme="minorEastAsia" w:hAnsiTheme="minorEastAsia"/>
                <w:color w:val="000000"/>
                <w:kern w:val="0"/>
                <w:szCs w:val="21"/>
              </w:rPr>
            </w:pPr>
          </w:p>
        </w:tc>
        <w:tc>
          <w:tcPr>
            <w:tcW w:w="791" w:type="dxa"/>
            <w:tcBorders>
              <w:top w:val="nil"/>
              <w:left w:val="nil"/>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cs="Calibri" w:asciiTheme="minorEastAsia" w:hAnsiTheme="minorEastAsia"/>
                <w:color w:val="000000"/>
                <w:kern w:val="0"/>
                <w:szCs w:val="21"/>
              </w:rPr>
              <w:t>姓名</w:t>
            </w:r>
          </w:p>
        </w:tc>
        <w:tc>
          <w:tcPr>
            <w:tcW w:w="112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证书名称</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cs="Calibri" w:asciiTheme="minorEastAsia" w:hAnsiTheme="minorEastAsia"/>
                <w:color w:val="000000"/>
                <w:kern w:val="0"/>
                <w:szCs w:val="21"/>
              </w:rPr>
              <w:t>证书编号</w:t>
            </w:r>
          </w:p>
        </w:tc>
      </w:tr>
      <w:tr>
        <w:tblPrEx>
          <w:tblCellMar>
            <w:top w:w="0" w:type="dxa"/>
            <w:left w:w="108" w:type="dxa"/>
            <w:bottom w:w="0" w:type="dxa"/>
            <w:right w:w="108" w:type="dxa"/>
          </w:tblCellMar>
        </w:tblPrEx>
        <w:trPr>
          <w:trHeight w:val="870"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cs="Calibri" w:asciiTheme="minorEastAsia" w:hAnsiTheme="minorEastAsia"/>
                <w:color w:val="000000"/>
                <w:kern w:val="0"/>
                <w:szCs w:val="21"/>
              </w:rPr>
              <w:t>第一名</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cs="Calibri" w:asciiTheme="minorEastAsia" w:hAnsiTheme="minorEastAsia"/>
                <w:color w:val="000000"/>
                <w:kern w:val="0"/>
                <w:szCs w:val="21"/>
              </w:rPr>
              <w:t>中国水利水电第四工程局有限公司</w:t>
            </w:r>
          </w:p>
        </w:tc>
        <w:tc>
          <w:tcPr>
            <w:tcW w:w="1546" w:type="dxa"/>
            <w:tcBorders>
              <w:top w:val="nil"/>
              <w:left w:val="nil"/>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cs="Calibri" w:asciiTheme="minorEastAsia" w:hAnsiTheme="minorEastAsia"/>
                <w:color w:val="000000"/>
                <w:kern w:val="0"/>
                <w:szCs w:val="21"/>
              </w:rPr>
              <w:t>　</w:t>
            </w:r>
            <w:r>
              <w:rPr>
                <w:rFonts w:hint="eastAsia" w:cs="Calibri" w:asciiTheme="minorEastAsia" w:hAnsiTheme="minorEastAsia"/>
                <w:color w:val="000000"/>
                <w:kern w:val="0"/>
                <w:szCs w:val="21"/>
              </w:rPr>
              <w:t>620970028.15</w:t>
            </w:r>
          </w:p>
          <w:p>
            <w:pPr>
              <w:widowControl/>
              <w:jc w:val="center"/>
              <w:rPr>
                <w:rFonts w:cs="Calibri" w:asciiTheme="minorEastAsia" w:hAnsiTheme="minorEastAsia"/>
                <w:color w:val="000000"/>
                <w:kern w:val="0"/>
                <w:szCs w:val="21"/>
              </w:rPr>
            </w:pP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Calibri" w:asciiTheme="minorEastAsia" w:hAnsiTheme="minorEastAsia"/>
                <w:color w:val="000000"/>
                <w:kern w:val="0"/>
                <w:sz w:val="18"/>
                <w:szCs w:val="21"/>
              </w:rPr>
            </w:pPr>
            <w:r>
              <w:rPr>
                <w:rFonts w:hint="eastAsia" w:cs="Calibri" w:asciiTheme="minorEastAsia" w:hAnsiTheme="minorEastAsia"/>
                <w:color w:val="000000"/>
                <w:kern w:val="0"/>
                <w:sz w:val="18"/>
                <w:szCs w:val="21"/>
              </w:rPr>
              <w:t>计划工期42个月</w:t>
            </w:r>
          </w:p>
        </w:tc>
        <w:tc>
          <w:tcPr>
            <w:tcW w:w="17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Calibri" w:asciiTheme="minorEastAsia" w:hAnsiTheme="minorEastAsia"/>
                <w:color w:val="000000"/>
                <w:kern w:val="0"/>
                <w:sz w:val="18"/>
                <w:szCs w:val="21"/>
              </w:rPr>
            </w:pPr>
            <w:r>
              <w:rPr>
                <w:rFonts w:hint="eastAsia" w:cs="Calibri" w:asciiTheme="minorEastAsia" w:hAnsiTheme="minorEastAsia"/>
                <w:color w:val="000000"/>
                <w:kern w:val="0"/>
                <w:sz w:val="18"/>
                <w:szCs w:val="21"/>
              </w:rPr>
              <w:t>达到国家现行有关施工质量验收规范和标准的要求，并达到合格标准。</w:t>
            </w:r>
          </w:p>
        </w:tc>
        <w:tc>
          <w:tcPr>
            <w:tcW w:w="791" w:type="dxa"/>
            <w:tcBorders>
              <w:top w:val="nil"/>
              <w:left w:val="nil"/>
              <w:bottom w:val="single" w:color="auto" w:sz="4" w:space="0"/>
              <w:right w:val="single" w:color="auto" w:sz="4" w:space="0"/>
            </w:tcBorders>
            <w:shd w:val="clear" w:color="auto" w:fill="auto"/>
            <w:vAlign w:val="center"/>
          </w:tcPr>
          <w:p>
            <w:pPr>
              <w:widowControl/>
              <w:jc w:val="left"/>
              <w:rPr>
                <w:rFonts w:cs="Calibri" w:asciiTheme="minorEastAsia" w:hAnsiTheme="minorEastAsia"/>
                <w:color w:val="000000"/>
                <w:kern w:val="0"/>
                <w:sz w:val="18"/>
                <w:szCs w:val="21"/>
              </w:rPr>
            </w:pPr>
            <w:r>
              <w:rPr>
                <w:rFonts w:hint="eastAsia" w:cs="Calibri" w:asciiTheme="minorEastAsia" w:hAnsiTheme="minorEastAsia"/>
                <w:color w:val="000000"/>
                <w:kern w:val="0"/>
                <w:sz w:val="18"/>
                <w:szCs w:val="21"/>
              </w:rPr>
              <w:t>李猛</w:t>
            </w:r>
          </w:p>
        </w:tc>
        <w:tc>
          <w:tcPr>
            <w:tcW w:w="112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cs="Calibri" w:asciiTheme="minorEastAsia" w:hAnsiTheme="minorEastAsia"/>
                <w:color w:val="000000"/>
                <w:kern w:val="0"/>
                <w:sz w:val="18"/>
                <w:szCs w:val="21"/>
              </w:rPr>
            </w:pPr>
            <w:r>
              <w:rPr>
                <w:rFonts w:hint="eastAsia" w:cs="Calibri" w:asciiTheme="minorEastAsia" w:hAnsiTheme="minorEastAsia"/>
                <w:color w:val="000000"/>
                <w:kern w:val="0"/>
                <w:sz w:val="18"/>
                <w:szCs w:val="21"/>
              </w:rPr>
              <w:t>一级建造师</w:t>
            </w:r>
          </w:p>
        </w:tc>
        <w:tc>
          <w:tcPr>
            <w:tcW w:w="1035" w:type="dxa"/>
            <w:tcBorders>
              <w:top w:val="nil"/>
              <w:left w:val="nil"/>
              <w:bottom w:val="single" w:color="auto" w:sz="4" w:space="0"/>
              <w:right w:val="single" w:color="auto" w:sz="4" w:space="0"/>
            </w:tcBorders>
            <w:shd w:val="clear" w:color="auto" w:fill="auto"/>
            <w:vAlign w:val="center"/>
          </w:tcPr>
          <w:p>
            <w:pPr>
              <w:widowControl/>
              <w:jc w:val="left"/>
              <w:rPr>
                <w:rFonts w:cs="Calibri" w:asciiTheme="minorEastAsia" w:hAnsiTheme="minorEastAsia"/>
                <w:color w:val="000000"/>
                <w:kern w:val="0"/>
                <w:sz w:val="18"/>
                <w:szCs w:val="21"/>
              </w:rPr>
            </w:pPr>
            <w:r>
              <w:rPr>
                <w:rFonts w:cs="Calibri" w:asciiTheme="minorEastAsia" w:hAnsiTheme="minorEastAsia"/>
                <w:color w:val="000000"/>
                <w:kern w:val="0"/>
                <w:sz w:val="18"/>
                <w:szCs w:val="21"/>
              </w:rPr>
              <w:t>青153091068487</w:t>
            </w:r>
          </w:p>
        </w:tc>
      </w:tr>
      <w:tr>
        <w:tblPrEx>
          <w:tblCellMar>
            <w:top w:w="0" w:type="dxa"/>
            <w:left w:w="108" w:type="dxa"/>
            <w:bottom w:w="0" w:type="dxa"/>
            <w:right w:w="108" w:type="dxa"/>
          </w:tblCellMar>
        </w:tblPrEx>
        <w:trPr>
          <w:trHeight w:val="870"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cs="Calibri" w:asciiTheme="minorEastAsia" w:hAnsiTheme="minorEastAsia"/>
                <w:color w:val="000000"/>
                <w:kern w:val="0"/>
                <w:szCs w:val="21"/>
              </w:rPr>
              <w:t>第二名</w:t>
            </w:r>
          </w:p>
        </w:tc>
        <w:tc>
          <w:tcPr>
            <w:tcW w:w="1474" w:type="dxa"/>
            <w:tcBorders>
              <w:top w:val="nil"/>
              <w:left w:val="nil"/>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cs="Calibri" w:asciiTheme="minorEastAsia" w:hAnsiTheme="minorEastAsia"/>
                <w:color w:val="000000"/>
                <w:kern w:val="0"/>
                <w:szCs w:val="21"/>
              </w:rPr>
              <w:t>广东水电二局股份有限公司</w:t>
            </w:r>
          </w:p>
        </w:tc>
        <w:tc>
          <w:tcPr>
            <w:tcW w:w="1546" w:type="dxa"/>
            <w:tcBorders>
              <w:top w:val="nil"/>
              <w:left w:val="nil"/>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cs="Calibri" w:asciiTheme="minorEastAsia" w:hAnsiTheme="minorEastAsia"/>
                <w:color w:val="000000"/>
                <w:kern w:val="0"/>
                <w:szCs w:val="21"/>
              </w:rPr>
              <w:t>　</w:t>
            </w:r>
            <w:r>
              <w:rPr>
                <w:rFonts w:hint="eastAsia" w:cs="Calibri" w:asciiTheme="minorEastAsia" w:hAnsiTheme="minorEastAsia"/>
                <w:color w:val="000000"/>
                <w:kern w:val="0"/>
                <w:szCs w:val="21"/>
              </w:rPr>
              <w:t>621220570.03</w:t>
            </w:r>
          </w:p>
          <w:p>
            <w:pPr>
              <w:widowControl/>
              <w:jc w:val="center"/>
              <w:rPr>
                <w:rFonts w:cs="Calibri" w:asciiTheme="minorEastAsia" w:hAnsiTheme="minorEastAsia"/>
                <w:color w:val="000000"/>
                <w:kern w:val="0"/>
                <w:szCs w:val="21"/>
              </w:rPr>
            </w:pPr>
          </w:p>
        </w:tc>
        <w:tc>
          <w:tcPr>
            <w:tcW w:w="924" w:type="dxa"/>
            <w:tcBorders>
              <w:top w:val="nil"/>
              <w:left w:val="nil"/>
              <w:bottom w:val="single" w:color="auto" w:sz="4" w:space="0"/>
              <w:right w:val="single" w:color="auto" w:sz="4" w:space="0"/>
            </w:tcBorders>
            <w:shd w:val="clear" w:color="auto" w:fill="auto"/>
            <w:vAlign w:val="center"/>
          </w:tcPr>
          <w:p>
            <w:pPr>
              <w:widowControl/>
              <w:jc w:val="left"/>
              <w:rPr>
                <w:rFonts w:cs="Calibri" w:asciiTheme="minorEastAsia" w:hAnsiTheme="minorEastAsia"/>
                <w:color w:val="000000"/>
                <w:kern w:val="0"/>
                <w:sz w:val="18"/>
                <w:szCs w:val="21"/>
              </w:rPr>
            </w:pPr>
            <w:r>
              <w:rPr>
                <w:rFonts w:hint="eastAsia" w:cs="Calibri" w:asciiTheme="minorEastAsia" w:hAnsiTheme="minorEastAsia"/>
                <w:color w:val="000000"/>
                <w:kern w:val="0"/>
                <w:sz w:val="18"/>
                <w:szCs w:val="21"/>
              </w:rPr>
              <w:t>计划工期42个月</w:t>
            </w:r>
          </w:p>
        </w:tc>
        <w:tc>
          <w:tcPr>
            <w:tcW w:w="1774" w:type="dxa"/>
            <w:tcBorders>
              <w:top w:val="nil"/>
              <w:left w:val="nil"/>
              <w:bottom w:val="single" w:color="auto" w:sz="4" w:space="0"/>
              <w:right w:val="single" w:color="auto" w:sz="4" w:space="0"/>
            </w:tcBorders>
            <w:shd w:val="clear" w:color="auto" w:fill="auto"/>
          </w:tcPr>
          <w:p>
            <w:pPr>
              <w:rPr>
                <w:rFonts w:asciiTheme="minorEastAsia" w:hAnsiTheme="minorEastAsia"/>
                <w:sz w:val="16"/>
                <w:szCs w:val="21"/>
              </w:rPr>
            </w:pPr>
            <w:r>
              <w:rPr>
                <w:rFonts w:hint="eastAsia" w:cs="Calibri" w:asciiTheme="minorEastAsia" w:hAnsiTheme="minorEastAsia"/>
                <w:color w:val="000000"/>
                <w:kern w:val="0"/>
                <w:sz w:val="18"/>
                <w:szCs w:val="21"/>
              </w:rPr>
              <w:t>达到国家现行有关施工质量验收规范和标准的要求，并达到合格标准。</w:t>
            </w:r>
          </w:p>
        </w:tc>
        <w:tc>
          <w:tcPr>
            <w:tcW w:w="791" w:type="dxa"/>
            <w:tcBorders>
              <w:top w:val="nil"/>
              <w:left w:val="nil"/>
              <w:bottom w:val="single" w:color="auto" w:sz="4" w:space="0"/>
              <w:right w:val="single" w:color="auto" w:sz="4" w:space="0"/>
            </w:tcBorders>
            <w:shd w:val="clear" w:color="auto" w:fill="auto"/>
            <w:vAlign w:val="center"/>
          </w:tcPr>
          <w:p>
            <w:pPr>
              <w:widowControl/>
              <w:jc w:val="left"/>
            </w:pPr>
            <w:r>
              <w:rPr>
                <w:rFonts w:hint="eastAsia" w:ascii="宋体" w:hAnsi="宋体" w:eastAsia="宋体" w:cs="宋体"/>
                <w:color w:val="000000"/>
                <w:kern w:val="0"/>
                <w:sz w:val="20"/>
                <w:szCs w:val="20"/>
                <w:lang w:bidi="ar"/>
              </w:rPr>
              <w:t>樊军军</w:t>
            </w:r>
          </w:p>
          <w:p>
            <w:pPr>
              <w:widowControl/>
              <w:jc w:val="left"/>
              <w:rPr>
                <w:rFonts w:cs="Calibri" w:asciiTheme="minorEastAsia" w:hAnsiTheme="minorEastAsia"/>
                <w:color w:val="000000"/>
                <w:kern w:val="0"/>
                <w:sz w:val="18"/>
                <w:szCs w:val="21"/>
              </w:rPr>
            </w:pPr>
          </w:p>
        </w:tc>
        <w:tc>
          <w:tcPr>
            <w:tcW w:w="112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cs="Calibri" w:asciiTheme="minorEastAsia" w:hAnsiTheme="minorEastAsia"/>
                <w:color w:val="000000"/>
                <w:kern w:val="0"/>
                <w:sz w:val="18"/>
                <w:szCs w:val="21"/>
              </w:rPr>
            </w:pPr>
            <w:r>
              <w:rPr>
                <w:rFonts w:hint="eastAsia" w:cs="Calibri" w:asciiTheme="minorEastAsia" w:hAnsiTheme="minorEastAsia"/>
                <w:color w:val="000000"/>
                <w:kern w:val="0"/>
                <w:sz w:val="18"/>
                <w:szCs w:val="21"/>
              </w:rPr>
              <w:t>一级建造师</w:t>
            </w:r>
          </w:p>
        </w:tc>
        <w:tc>
          <w:tcPr>
            <w:tcW w:w="1035" w:type="dxa"/>
            <w:tcBorders>
              <w:top w:val="nil"/>
              <w:left w:val="nil"/>
              <w:bottom w:val="single" w:color="auto" w:sz="4" w:space="0"/>
              <w:right w:val="single" w:color="auto" w:sz="4" w:space="0"/>
            </w:tcBorders>
            <w:shd w:val="clear" w:color="auto" w:fill="auto"/>
            <w:vAlign w:val="center"/>
          </w:tcPr>
          <w:p>
            <w:pPr>
              <w:widowControl/>
              <w:jc w:val="left"/>
            </w:pPr>
            <w:r>
              <w:rPr>
                <w:rFonts w:hint="eastAsia" w:ascii="宋体" w:hAnsi="宋体" w:eastAsia="宋体" w:cs="宋体"/>
                <w:color w:val="000000"/>
                <w:kern w:val="0"/>
                <w:sz w:val="20"/>
                <w:szCs w:val="20"/>
                <w:lang w:bidi="ar"/>
              </w:rPr>
              <w:t>粤144171848021</w:t>
            </w:r>
          </w:p>
          <w:p>
            <w:pPr>
              <w:widowControl/>
              <w:jc w:val="left"/>
              <w:rPr>
                <w:rFonts w:cs="Calibri" w:asciiTheme="minorEastAsia" w:hAnsiTheme="minorEastAsia"/>
                <w:color w:val="000000"/>
                <w:kern w:val="0"/>
                <w:sz w:val="18"/>
                <w:szCs w:val="21"/>
              </w:rPr>
            </w:pPr>
          </w:p>
        </w:tc>
      </w:tr>
      <w:tr>
        <w:tblPrEx>
          <w:tblCellMar>
            <w:top w:w="0" w:type="dxa"/>
            <w:left w:w="108" w:type="dxa"/>
            <w:bottom w:w="0" w:type="dxa"/>
            <w:right w:w="108" w:type="dxa"/>
          </w:tblCellMar>
        </w:tblPrEx>
        <w:trPr>
          <w:trHeight w:val="870"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cs="Calibri" w:asciiTheme="minorEastAsia" w:hAnsiTheme="minorEastAsia"/>
                <w:color w:val="000000"/>
                <w:kern w:val="0"/>
                <w:szCs w:val="21"/>
              </w:rPr>
              <w:t>第三名</w:t>
            </w:r>
          </w:p>
        </w:tc>
        <w:tc>
          <w:tcPr>
            <w:tcW w:w="1474" w:type="dxa"/>
            <w:tcBorders>
              <w:top w:val="nil"/>
              <w:left w:val="nil"/>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cs="Calibri" w:asciiTheme="minorEastAsia" w:hAnsiTheme="minorEastAsia"/>
                <w:color w:val="000000"/>
                <w:kern w:val="0"/>
                <w:szCs w:val="21"/>
              </w:rPr>
              <w:t>中国水利水电第七工程局有限公司</w:t>
            </w:r>
          </w:p>
        </w:tc>
        <w:tc>
          <w:tcPr>
            <w:tcW w:w="1546" w:type="dxa"/>
            <w:tcBorders>
              <w:top w:val="nil"/>
              <w:left w:val="nil"/>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hint="eastAsia" w:cs="Calibri" w:asciiTheme="minorEastAsia" w:hAnsiTheme="minorEastAsia"/>
                <w:color w:val="000000"/>
                <w:kern w:val="0"/>
                <w:szCs w:val="21"/>
              </w:rPr>
              <w:t>621226072.29</w:t>
            </w:r>
          </w:p>
        </w:tc>
        <w:tc>
          <w:tcPr>
            <w:tcW w:w="924" w:type="dxa"/>
            <w:tcBorders>
              <w:top w:val="nil"/>
              <w:left w:val="nil"/>
              <w:bottom w:val="single" w:color="auto" w:sz="4" w:space="0"/>
              <w:right w:val="single" w:color="auto" w:sz="4" w:space="0"/>
            </w:tcBorders>
            <w:shd w:val="clear" w:color="auto" w:fill="auto"/>
            <w:vAlign w:val="center"/>
          </w:tcPr>
          <w:p>
            <w:pPr>
              <w:widowControl/>
              <w:jc w:val="left"/>
              <w:rPr>
                <w:rFonts w:cs="Calibri" w:asciiTheme="minorEastAsia" w:hAnsiTheme="minorEastAsia"/>
                <w:color w:val="000000"/>
                <w:kern w:val="0"/>
                <w:sz w:val="18"/>
                <w:szCs w:val="21"/>
              </w:rPr>
            </w:pPr>
            <w:r>
              <w:rPr>
                <w:rFonts w:hint="eastAsia" w:cs="Calibri" w:asciiTheme="minorEastAsia" w:hAnsiTheme="minorEastAsia"/>
                <w:color w:val="000000"/>
                <w:kern w:val="0"/>
                <w:sz w:val="18"/>
                <w:szCs w:val="21"/>
              </w:rPr>
              <w:t>计划工期42个月</w:t>
            </w:r>
          </w:p>
        </w:tc>
        <w:tc>
          <w:tcPr>
            <w:tcW w:w="1774" w:type="dxa"/>
            <w:tcBorders>
              <w:top w:val="nil"/>
              <w:left w:val="nil"/>
              <w:bottom w:val="single" w:color="auto" w:sz="4" w:space="0"/>
              <w:right w:val="single" w:color="auto" w:sz="4" w:space="0"/>
            </w:tcBorders>
            <w:shd w:val="clear" w:color="auto" w:fill="auto"/>
          </w:tcPr>
          <w:p>
            <w:pPr>
              <w:rPr>
                <w:rFonts w:asciiTheme="minorEastAsia" w:hAnsiTheme="minorEastAsia"/>
                <w:sz w:val="16"/>
                <w:szCs w:val="21"/>
              </w:rPr>
            </w:pPr>
            <w:r>
              <w:rPr>
                <w:rFonts w:hint="eastAsia" w:cs="Calibri" w:asciiTheme="minorEastAsia" w:hAnsiTheme="minorEastAsia"/>
                <w:color w:val="000000"/>
                <w:kern w:val="0"/>
                <w:sz w:val="18"/>
                <w:szCs w:val="21"/>
              </w:rPr>
              <w:t>达到国家现行有关施工质量验收规范和标准的要求，并达到合格标准。</w:t>
            </w:r>
          </w:p>
        </w:tc>
        <w:tc>
          <w:tcPr>
            <w:tcW w:w="7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李建</w:t>
            </w:r>
          </w:p>
        </w:tc>
        <w:tc>
          <w:tcPr>
            <w:tcW w:w="112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lang w:bidi="ar"/>
              </w:rPr>
            </w:pPr>
            <w:r>
              <w:rPr>
                <w:rFonts w:hint="eastAsia" w:cs="Calibri" w:asciiTheme="minorEastAsia" w:hAnsiTheme="minorEastAsia"/>
                <w:color w:val="000000"/>
                <w:kern w:val="0"/>
                <w:sz w:val="18"/>
                <w:szCs w:val="21"/>
              </w:rPr>
              <w:t>一级建造师</w:t>
            </w:r>
          </w:p>
        </w:tc>
        <w:tc>
          <w:tcPr>
            <w:tcW w:w="1035" w:type="dxa"/>
            <w:tcBorders>
              <w:top w:val="nil"/>
              <w:left w:val="nil"/>
              <w:bottom w:val="nil"/>
              <w:right w:val="single" w:color="auto" w:sz="4" w:space="0"/>
            </w:tcBorders>
            <w:shd w:val="clear" w:color="auto" w:fill="auto"/>
            <w:vAlign w:val="center"/>
          </w:tcPr>
          <w:p>
            <w:pPr>
              <w:widowControl/>
              <w:jc w:val="left"/>
              <w:rPr>
                <w:rFonts w:cs="Calibri" w:asciiTheme="minorEastAsia" w:hAnsiTheme="minorEastAsia"/>
                <w:color w:val="000000"/>
                <w:kern w:val="0"/>
                <w:sz w:val="18"/>
                <w:szCs w:val="21"/>
              </w:rPr>
            </w:pPr>
            <w:r>
              <w:rPr>
                <w:rFonts w:hint="eastAsia" w:cs="Calibri" w:asciiTheme="minorEastAsia" w:hAnsiTheme="minorEastAsia"/>
                <w:color w:val="000000"/>
                <w:kern w:val="0"/>
                <w:sz w:val="18"/>
                <w:szCs w:val="21"/>
              </w:rPr>
              <w:t>川151171831590</w:t>
            </w:r>
          </w:p>
        </w:tc>
      </w:tr>
      <w:tr>
        <w:tblPrEx>
          <w:tblCellMar>
            <w:top w:w="0" w:type="dxa"/>
            <w:left w:w="108" w:type="dxa"/>
            <w:bottom w:w="0" w:type="dxa"/>
            <w:right w:w="108" w:type="dxa"/>
          </w:tblCellMar>
        </w:tblPrEx>
        <w:trPr>
          <w:trHeight w:val="4350"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中标候选人响应招标文件要求的资格能力条件</w:t>
            </w:r>
          </w:p>
        </w:tc>
        <w:tc>
          <w:tcPr>
            <w:tcW w:w="8669" w:type="dxa"/>
            <w:gridSpan w:val="8"/>
            <w:tcBorders>
              <w:top w:val="single" w:color="auto" w:sz="4" w:space="0"/>
              <w:left w:val="nil"/>
              <w:bottom w:val="single" w:color="auto" w:sz="4" w:space="0"/>
              <w:right w:val="single" w:color="000000" w:sz="4" w:space="0"/>
            </w:tcBorders>
            <w:shd w:val="clear" w:color="auto" w:fill="auto"/>
            <w:vAlign w:val="center"/>
          </w:tcPr>
          <w:p>
            <w:pPr>
              <w:widowControl/>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第一中标候选人：</w:t>
            </w:r>
            <w:r>
              <w:rPr>
                <w:rFonts w:cs="Calibri" w:asciiTheme="minorEastAsia" w:hAnsiTheme="minorEastAsia"/>
                <w:color w:val="000000"/>
                <w:kern w:val="0"/>
                <w:szCs w:val="21"/>
              </w:rPr>
              <w:t>中国水利水电第四工程局有限公司</w:t>
            </w:r>
          </w:p>
          <w:p>
            <w:pPr>
              <w:widowControl/>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资质等级：水利水电工程施工总承包特级</w:t>
            </w:r>
          </w:p>
          <w:p>
            <w:pPr>
              <w:widowControl/>
              <w:ind w:firstLine="440" w:firstLineChars="200"/>
              <w:jc w:val="left"/>
              <w:rPr>
                <w:rFonts w:ascii="宋体" w:hAnsi="宋体" w:eastAsia="宋体" w:cs="宋体"/>
                <w:color w:val="000000"/>
                <w:kern w:val="0"/>
                <w:sz w:val="22"/>
              </w:rPr>
            </w:pPr>
          </w:p>
          <w:p>
            <w:pPr>
              <w:widowControl/>
              <w:ind w:firstLine="440" w:firstLineChars="200"/>
              <w:jc w:val="left"/>
              <w:rPr>
                <w:rFonts w:cs="Calibri" w:asciiTheme="minorEastAsia" w:hAnsiTheme="minorEastAsia"/>
                <w:color w:val="000000"/>
                <w:kern w:val="0"/>
                <w:szCs w:val="21"/>
              </w:rPr>
            </w:pPr>
            <w:r>
              <w:rPr>
                <w:rFonts w:hint="eastAsia" w:ascii="宋体" w:hAnsi="宋体" w:eastAsia="宋体" w:cs="宋体"/>
                <w:color w:val="000000"/>
                <w:kern w:val="0"/>
                <w:sz w:val="22"/>
              </w:rPr>
              <w:t>第二中标候选人：</w:t>
            </w:r>
            <w:r>
              <w:rPr>
                <w:rFonts w:cs="Calibri" w:asciiTheme="minorEastAsia" w:hAnsiTheme="minorEastAsia"/>
                <w:color w:val="000000"/>
                <w:kern w:val="0"/>
                <w:szCs w:val="21"/>
              </w:rPr>
              <w:t>广东水电二局股份有限公司</w:t>
            </w:r>
          </w:p>
          <w:p>
            <w:pPr>
              <w:widowControl/>
              <w:ind w:firstLine="440" w:firstLineChars="200"/>
              <w:jc w:val="left"/>
              <w:rPr>
                <w:rFonts w:ascii="宋体" w:hAnsi="宋体" w:eastAsia="宋体" w:cs="Times New Roman"/>
                <w:szCs w:val="21"/>
                <w:lang w:bidi="ar"/>
              </w:rPr>
            </w:pPr>
            <w:r>
              <w:rPr>
                <w:rFonts w:hint="eastAsia" w:ascii="宋体" w:hAnsi="宋体" w:eastAsia="宋体" w:cs="宋体"/>
                <w:color w:val="000000"/>
                <w:kern w:val="0"/>
                <w:sz w:val="22"/>
              </w:rPr>
              <w:t>资质等级：水利水电工程施工总承包特级</w:t>
            </w:r>
          </w:p>
          <w:p>
            <w:pPr>
              <w:widowControl/>
              <w:ind w:firstLine="420" w:firstLineChars="200"/>
              <w:jc w:val="left"/>
              <w:rPr>
                <w:rFonts w:ascii="宋体" w:hAnsi="宋体" w:eastAsia="宋体" w:cs="Times New Roman"/>
                <w:szCs w:val="21"/>
                <w:lang w:bidi="ar"/>
              </w:rPr>
            </w:pPr>
          </w:p>
          <w:p>
            <w:pPr>
              <w:widowControl/>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第三中标候选人：</w:t>
            </w:r>
            <w:r>
              <w:rPr>
                <w:rFonts w:cs="Calibri" w:asciiTheme="minorEastAsia" w:hAnsiTheme="minorEastAsia"/>
                <w:color w:val="000000"/>
                <w:kern w:val="0"/>
                <w:szCs w:val="21"/>
              </w:rPr>
              <w:t>中国水利水电第七工程局有限公司</w:t>
            </w:r>
          </w:p>
          <w:p>
            <w:pPr>
              <w:widowControl/>
              <w:ind w:firstLine="440" w:firstLineChars="200"/>
              <w:jc w:val="left"/>
              <w:rPr>
                <w:rFonts w:cs="宋体" w:asciiTheme="minorEastAsia" w:hAnsiTheme="minorEastAsia"/>
                <w:b/>
                <w:bCs/>
                <w:color w:val="000000"/>
                <w:kern w:val="0"/>
                <w:szCs w:val="21"/>
              </w:rPr>
            </w:pPr>
            <w:r>
              <w:rPr>
                <w:rFonts w:hint="eastAsia" w:ascii="宋体" w:hAnsi="宋体" w:eastAsia="宋体" w:cs="宋体"/>
                <w:color w:val="000000"/>
                <w:kern w:val="0"/>
                <w:sz w:val="22"/>
              </w:rPr>
              <w:t>资质等级：水利水电工程施工总承包特级</w:t>
            </w:r>
          </w:p>
        </w:tc>
      </w:tr>
    </w:tbl>
    <w:tbl>
      <w:tblPr>
        <w:tblStyle w:val="4"/>
        <w:tblpPr w:leftFromText="180" w:rightFromText="180" w:vertAnchor="text" w:horzAnchor="margin" w:tblpXSpec="center" w:tblpY="-779"/>
        <w:tblW w:w="10160" w:type="dxa"/>
        <w:tblInd w:w="0" w:type="dxa"/>
        <w:tblLayout w:type="fixed"/>
        <w:tblCellMar>
          <w:top w:w="0" w:type="dxa"/>
          <w:left w:w="108" w:type="dxa"/>
          <w:bottom w:w="0" w:type="dxa"/>
          <w:right w:w="108" w:type="dxa"/>
        </w:tblCellMar>
      </w:tblPr>
      <w:tblGrid>
        <w:gridCol w:w="1620"/>
        <w:gridCol w:w="3960"/>
        <w:gridCol w:w="4580"/>
      </w:tblGrid>
      <w:tr>
        <w:tblPrEx>
          <w:tblCellMar>
            <w:top w:w="0" w:type="dxa"/>
            <w:left w:w="108" w:type="dxa"/>
            <w:bottom w:w="0" w:type="dxa"/>
            <w:right w:w="108" w:type="dxa"/>
          </w:tblCellMar>
        </w:tblPrEx>
        <w:trPr>
          <w:trHeight w:val="4469"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招标文件规定应公示的其他内容</w:t>
            </w:r>
          </w:p>
        </w:tc>
        <w:tc>
          <w:tcPr>
            <w:tcW w:w="8540" w:type="dxa"/>
            <w:gridSpan w:val="2"/>
            <w:tcBorders>
              <w:top w:val="single" w:color="auto" w:sz="4" w:space="0"/>
              <w:left w:val="nil"/>
              <w:bottom w:val="single" w:color="auto" w:sz="4" w:space="0"/>
              <w:right w:val="single" w:color="000000" w:sz="4" w:space="0"/>
            </w:tcBorders>
            <w:shd w:val="clear" w:color="auto" w:fill="auto"/>
            <w:vAlign w:val="center"/>
          </w:tcPr>
          <w:p>
            <w:pPr>
              <w:widowControl/>
              <w:ind w:firstLine="440" w:firstLineChars="200"/>
              <w:jc w:val="left"/>
              <w:rPr>
                <w:rFonts w:cs="Calibri" w:asciiTheme="minorEastAsia" w:hAnsiTheme="minorEastAsia"/>
                <w:color w:val="000000"/>
                <w:kern w:val="0"/>
                <w:szCs w:val="21"/>
              </w:rPr>
            </w:pPr>
            <w:r>
              <w:rPr>
                <w:rFonts w:hint="eastAsia" w:ascii="宋体" w:hAnsi="宋体" w:eastAsia="宋体" w:cs="宋体"/>
                <w:color w:val="000000"/>
                <w:kern w:val="0"/>
                <w:sz w:val="22"/>
              </w:rPr>
              <w:t>第一中标候选人：</w:t>
            </w:r>
            <w:r>
              <w:rPr>
                <w:rFonts w:cs="Calibri" w:asciiTheme="minorEastAsia" w:hAnsiTheme="minorEastAsia"/>
                <w:color w:val="000000"/>
                <w:kern w:val="0"/>
                <w:szCs w:val="21"/>
              </w:rPr>
              <w:t>中国水利水电第四工程局有限公司</w:t>
            </w:r>
          </w:p>
          <w:p>
            <w:pPr>
              <w:keepNext w:val="0"/>
              <w:keepLines w:val="0"/>
              <w:widowControl/>
              <w:suppressLineNumbers w:val="0"/>
              <w:jc w:val="left"/>
              <w:rPr>
                <w:rFonts w:ascii="宋体" w:hAnsi="宋体" w:eastAsia="宋体" w:cs="宋体"/>
                <w:color w:val="000000"/>
                <w:kern w:val="0"/>
                <w:sz w:val="22"/>
              </w:rPr>
            </w:pPr>
            <w:r>
              <w:rPr>
                <w:rFonts w:hint="eastAsia" w:ascii="宋体" w:hAnsi="宋体" w:eastAsia="宋体" w:cs="宋体"/>
                <w:color w:val="000000"/>
                <w:kern w:val="0"/>
                <w:sz w:val="22"/>
              </w:rPr>
              <w:t>业绩：</w:t>
            </w:r>
            <w:r>
              <w:rPr>
                <w:rFonts w:hint="eastAsia" w:ascii="宋体" w:hAnsi="宋体"/>
                <w:color w:val="000000"/>
                <w:szCs w:val="24"/>
              </w:rPr>
              <w:t>功果桥水电站大坝土建及金属结构安装工程</w:t>
            </w:r>
            <w:r>
              <w:rPr>
                <w:rFonts w:hint="eastAsia" w:ascii="宋体" w:hAnsi="宋体" w:eastAsia="宋体" w:cs="宋体"/>
                <w:color w:val="000000"/>
                <w:kern w:val="0"/>
                <w:sz w:val="22"/>
              </w:rPr>
              <w:t>；</w:t>
            </w:r>
            <w:r>
              <w:rPr>
                <w:rFonts w:hint="eastAsia" w:ascii="宋体" w:hAnsi="宋体" w:eastAsia="宋体" w:cs="宋体"/>
                <w:color w:val="000000"/>
                <w:kern w:val="0"/>
                <w:sz w:val="21"/>
                <w:szCs w:val="21"/>
                <w:lang w:val="en-US" w:eastAsia="zh-CN" w:bidi="ar"/>
              </w:rPr>
              <w:t>金安桥水电站大坝土建及金属结构安装工程</w:t>
            </w:r>
            <w:r>
              <w:rPr>
                <w:rFonts w:hint="eastAsia" w:eastAsia="宋体"/>
                <w:lang w:eastAsia="zh-CN"/>
              </w:rPr>
              <w:t>；</w:t>
            </w:r>
            <w:r>
              <w:rPr>
                <w:rFonts w:hint="eastAsia" w:ascii="宋体" w:hAnsi="宋体" w:eastAsia="宋体" w:cs="宋体"/>
                <w:color w:val="000000"/>
                <w:kern w:val="0"/>
                <w:sz w:val="21"/>
                <w:szCs w:val="21"/>
                <w:lang w:val="en-US" w:eastAsia="zh-CN" w:bidi="ar"/>
              </w:rPr>
              <w:t>雅砻江官地水电站大坝工程施工；向家坝水电站二期土建和金属结构安装工程（Ⅱ标段）施工；云南澜沧江黄登水电站大坝土建及金属结构安装工程；涪江干流梯级渠化潼南航电枢纽一期工程土建及金属结构、机电设备安装工程；长洲水利枢纽工程机电设备安装工程；黄河大河家水电站机电设备安装工程；金沙江向家坝水电站机电设备安装与调试工程；黄河积石峡水电站机电安装工程；</w:t>
            </w:r>
            <w:r>
              <w:rPr>
                <w:rFonts w:hint="eastAsia" w:ascii="宋体" w:hAnsi="宋体"/>
                <w:color w:val="000000"/>
                <w:sz w:val="21"/>
                <w:szCs w:val="24"/>
              </w:rPr>
              <w:t>小湾水电站右岸大坝土建及金属结构安装工程</w:t>
            </w:r>
            <w:r>
              <w:rPr>
                <w:rFonts w:hint="eastAsia" w:ascii="宋体" w:hAnsi="宋体"/>
                <w:color w:val="000000"/>
                <w:sz w:val="21"/>
                <w:szCs w:val="24"/>
                <w:lang w:eastAsia="zh-CN"/>
              </w:rPr>
              <w:t>；</w:t>
            </w:r>
            <w:r>
              <w:rPr>
                <w:rFonts w:hint="eastAsia" w:ascii="宋体" w:hAnsi="宋体"/>
                <w:color w:val="000000"/>
                <w:sz w:val="21"/>
                <w:szCs w:val="24"/>
              </w:rPr>
              <w:t xml:space="preserve">广西右江百色水利枢纽工程 </w:t>
            </w:r>
            <w:r>
              <w:rPr>
                <w:rFonts w:hint="eastAsia" w:ascii="宋体" w:hAnsi="宋体"/>
                <w:color w:val="000000"/>
                <w:sz w:val="21"/>
                <w:szCs w:val="24"/>
                <w:lang w:eastAsia="zh-CN"/>
              </w:rPr>
              <w:t>；</w:t>
            </w:r>
            <w:r>
              <w:rPr>
                <w:rFonts w:hint="eastAsia" w:ascii="宋体" w:hAnsi="宋体"/>
                <w:color w:val="000000"/>
                <w:sz w:val="21"/>
                <w:szCs w:val="24"/>
              </w:rPr>
              <w:t>贵州北盘江光照水电站工程</w:t>
            </w:r>
            <w:r>
              <w:rPr>
                <w:rFonts w:hint="eastAsia" w:ascii="宋体" w:hAnsi="宋体"/>
                <w:color w:val="000000"/>
                <w:sz w:val="21"/>
                <w:szCs w:val="24"/>
                <w:lang w:eastAsia="zh-CN"/>
              </w:rPr>
              <w:t>；</w:t>
            </w:r>
          </w:p>
          <w:p>
            <w:pPr>
              <w:widowControl/>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第二中标候选人：</w:t>
            </w:r>
            <w:r>
              <w:rPr>
                <w:rFonts w:cs="Calibri" w:asciiTheme="minorEastAsia" w:hAnsiTheme="minorEastAsia"/>
                <w:color w:val="000000"/>
                <w:kern w:val="0"/>
                <w:szCs w:val="21"/>
              </w:rPr>
              <w:t>广东水电二局股份有限公司</w:t>
            </w:r>
          </w:p>
          <w:p>
            <w:pPr>
              <w:widowControl/>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业绩：广西郁江老口航运枢纽右岸主体工程(一、二期）施工；云南省金平县金水河三级水电站土建工程</w:t>
            </w:r>
            <w:r>
              <w:rPr>
                <w:rFonts w:hint="eastAsia" w:ascii="宋体" w:hAnsi="宋体" w:eastAsia="宋体" w:cs="宋体"/>
                <w:color w:val="000000"/>
                <w:kern w:val="0"/>
                <w:sz w:val="22"/>
                <w:lang w:eastAsia="zh-CN"/>
              </w:rPr>
              <w:t>；北江（乌石至三水河口）航道扩能升级项目飞来峡枢纽二、三线船闸段施工；北江（韶关至乌石）航道扩能升级工程孟洲坝枢纽二线船闸工程；云南省红河马堵山水电站工程；湖南省洪江市安江水电站土建、机电设备安装工程；四川岷江汉阳航电枢纽工程；四川大渡河沙湾水电站厂房及冲砂闸工程土建及金属结构安装工程；四川省通济堰灌区续建配套与节水改造渠首取水改造工程；</w:t>
            </w:r>
          </w:p>
          <w:p>
            <w:pPr>
              <w:widowControl/>
              <w:ind w:firstLine="440" w:firstLineChars="200"/>
              <w:jc w:val="left"/>
              <w:rPr>
                <w:rFonts w:cs="Calibri" w:asciiTheme="minorEastAsia" w:hAnsiTheme="minorEastAsia"/>
                <w:color w:val="000000"/>
                <w:kern w:val="0"/>
                <w:szCs w:val="21"/>
              </w:rPr>
            </w:pPr>
            <w:r>
              <w:rPr>
                <w:rFonts w:hint="eastAsia" w:ascii="宋体" w:hAnsi="宋体" w:eastAsia="宋体" w:cs="宋体"/>
                <w:color w:val="000000"/>
                <w:kern w:val="0"/>
                <w:sz w:val="22"/>
              </w:rPr>
              <w:t>第三中标候选人：</w:t>
            </w:r>
            <w:r>
              <w:rPr>
                <w:rFonts w:cs="Calibri" w:asciiTheme="minorEastAsia" w:hAnsiTheme="minorEastAsia"/>
                <w:color w:val="000000"/>
                <w:kern w:val="0"/>
                <w:szCs w:val="21"/>
              </w:rPr>
              <w:t>中国水利水电第七工程局有限公司</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2"/>
              </w:rPr>
              <w:t>业绩：锦屏一级水电站大坝左岸工程施工；雅砻江桐子林水电站导流明渠工程施工</w:t>
            </w:r>
            <w:r>
              <w:rPr>
                <w:rFonts w:hint="eastAsia" w:ascii="宋体" w:hAnsi="宋体" w:eastAsia="宋体" w:cs="宋体"/>
                <w:color w:val="000000"/>
                <w:kern w:val="0"/>
                <w:sz w:val="22"/>
                <w:lang w:eastAsia="zh-CN"/>
              </w:rPr>
              <w:t>；雅砻江桐子林水电站厂房和泄洪闸工程施工；</w:t>
            </w:r>
            <w:r>
              <w:rPr>
                <w:rFonts w:hint="eastAsia" w:ascii="宋体" w:hAnsi="宋体" w:eastAsia="宋体" w:cs="宋体"/>
                <w:color w:val="000000"/>
                <w:kern w:val="0"/>
                <w:sz w:val="21"/>
                <w:szCs w:val="21"/>
                <w:lang w:val="en-US" w:eastAsia="zh-CN" w:bidi="ar"/>
              </w:rPr>
              <w:t>国电西藏尼洋河布多水电站机电设备安装工程；国电大渡河沙坪二级水电站机电设备及金属结构安装工程；西藏 DG 水电站厂房土建及</w:t>
            </w:r>
          </w:p>
          <w:p>
            <w:pPr>
              <w:keepNext w:val="0"/>
              <w:keepLines w:val="0"/>
              <w:widowControl/>
              <w:suppressLineNumbers w:val="0"/>
              <w:jc w:val="left"/>
              <w:rPr>
                <w:rFonts w:ascii="宋体" w:hAnsi="宋体" w:eastAsia="宋体" w:cs="宋体"/>
                <w:color w:val="000000"/>
                <w:kern w:val="0"/>
                <w:sz w:val="22"/>
              </w:rPr>
            </w:pPr>
            <w:r>
              <w:rPr>
                <w:rFonts w:hint="eastAsia" w:ascii="宋体" w:hAnsi="宋体" w:eastAsia="宋体" w:cs="宋体"/>
                <w:color w:val="000000"/>
                <w:kern w:val="0"/>
                <w:sz w:val="21"/>
                <w:szCs w:val="21"/>
                <w:lang w:val="en-US" w:eastAsia="zh-CN" w:bidi="ar"/>
              </w:rPr>
              <w:t>金属结构安装工程施工；四川省大渡河安谷水电站厂坝枢纽土建及金属结构安装工程；嘉陵江亭子口水利枢纽大坝土建与金属结构安装工程I标；四川省雅砻江官地水电站机电设备安装工程；观音岩水电站厂房土建、机电及金属结构安装工程；糯扎渡水电站溢洪道、电站进水口土建及金属结构安装工程；金沙江向家坝水电站右岸地下引水发电系统土建及金属结构安装工程；大岗山水电站引水发电系统建筑工程；乌江彭水水电站地下电站建筑及金属结构安装工程；</w:t>
            </w:r>
          </w:p>
          <w:p>
            <w:pPr>
              <w:widowControl/>
              <w:ind w:firstLine="440" w:firstLineChars="200"/>
              <w:jc w:val="left"/>
              <w:rPr>
                <w:rFonts w:ascii="宋体" w:hAnsi="宋体" w:eastAsia="宋体" w:cs="宋体"/>
                <w:bCs/>
                <w:color w:val="000000"/>
                <w:kern w:val="0"/>
                <w:sz w:val="20"/>
                <w:szCs w:val="20"/>
              </w:rPr>
            </w:pPr>
            <w:r>
              <w:rPr>
                <w:rFonts w:hint="eastAsia" w:ascii="宋体" w:hAnsi="宋体" w:eastAsia="宋体" w:cs="宋体"/>
                <w:color w:val="000000"/>
                <w:kern w:val="0"/>
                <w:sz w:val="22"/>
              </w:rPr>
              <w:t>否决投标情况及理由：中国水利水电第三工程局有限公司、中国水利水电第五工程局有限公司、中国水利水电第十二工</w:t>
            </w:r>
            <w:r>
              <w:rPr>
                <w:rFonts w:ascii="宋体" w:hAnsi="宋体" w:eastAsia="宋体" w:cs="宋体"/>
                <w:color w:val="000000"/>
                <w:kern w:val="0"/>
                <w:sz w:val="22"/>
              </w:rPr>
              <w:t>程局有限公司、中国葛洲坝集团股份有限公司四家单位在资格审查资料中缺少拟投入本标段的主要施工设备表，根据否决投标一览表中的“A-6投标人的其他要求须满足投标人须知前附表1.4.1项第6条的要求，否则由评标委员会作否决投标处理”，评标委员会对以上投标单位作否决投标处理。</w:t>
            </w:r>
          </w:p>
        </w:tc>
      </w:tr>
      <w:tr>
        <w:tblPrEx>
          <w:tblCellMar>
            <w:top w:w="0" w:type="dxa"/>
            <w:left w:w="108" w:type="dxa"/>
            <w:bottom w:w="0" w:type="dxa"/>
            <w:right w:w="108" w:type="dxa"/>
          </w:tblCellMar>
        </w:tblPrEx>
        <w:trPr>
          <w:trHeight w:val="90"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2"/>
              </w:rPr>
              <w:t>中标候选人评标情况</w:t>
            </w:r>
          </w:p>
        </w:tc>
        <w:tc>
          <w:tcPr>
            <w:tcW w:w="8540" w:type="dxa"/>
            <w:gridSpan w:val="2"/>
            <w:tcBorders>
              <w:top w:val="single" w:color="auto" w:sz="4" w:space="0"/>
              <w:left w:val="nil"/>
              <w:bottom w:val="single" w:color="auto" w:sz="4" w:space="0"/>
              <w:right w:val="single" w:color="000000" w:sz="4" w:space="0"/>
            </w:tcBorders>
            <w:shd w:val="clear" w:color="auto" w:fill="auto"/>
            <w:vAlign w:val="center"/>
          </w:tcPr>
          <w:p>
            <w:pPr>
              <w:widowControl/>
              <w:ind w:firstLine="440" w:firstLineChars="200"/>
              <w:jc w:val="left"/>
              <w:rPr>
                <w:rFonts w:ascii="宋体" w:hAnsi="宋体" w:eastAsia="宋体" w:cs="宋体"/>
                <w:bCs/>
                <w:color w:val="000000"/>
                <w:kern w:val="0"/>
                <w:sz w:val="20"/>
                <w:szCs w:val="20"/>
              </w:rPr>
            </w:pPr>
            <w:r>
              <w:rPr>
                <w:rFonts w:hint="eastAsia"/>
                <w:color w:val="333333"/>
                <w:sz w:val="22"/>
                <w:shd w:val="clear" w:color="auto" w:fill="FFFFFF"/>
              </w:rPr>
              <w:t>中标候选人符合性审查（包括资格评审、形式评审、响应性评审）经评标委员会评审均合格。</w:t>
            </w:r>
          </w:p>
        </w:tc>
      </w:tr>
      <w:tr>
        <w:tblPrEx>
          <w:tblCellMar>
            <w:top w:w="0" w:type="dxa"/>
            <w:left w:w="108" w:type="dxa"/>
            <w:bottom w:w="0" w:type="dxa"/>
            <w:right w:w="108" w:type="dxa"/>
          </w:tblCellMar>
        </w:tblPrEx>
        <w:trPr>
          <w:trHeight w:val="1019"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2"/>
              </w:rPr>
              <w:t>提出异议的渠道和方式</w:t>
            </w:r>
          </w:p>
        </w:tc>
        <w:tc>
          <w:tcPr>
            <w:tcW w:w="85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投标人或者其他利害关系人对评标结果有异议的，应在中标候选人公示期内以书面形式向招标人：重庆双江航运发展有限公司(联系电话：023-89139833）提出异议。</w:t>
            </w:r>
          </w:p>
        </w:tc>
      </w:tr>
      <w:tr>
        <w:tblPrEx>
          <w:tblCellMar>
            <w:top w:w="0" w:type="dxa"/>
            <w:left w:w="108" w:type="dxa"/>
            <w:bottom w:w="0" w:type="dxa"/>
            <w:right w:w="108" w:type="dxa"/>
          </w:tblCellMar>
        </w:tblPrEx>
        <w:trPr>
          <w:trHeight w:val="1771" w:hRule="atLeast"/>
        </w:trPr>
        <w:tc>
          <w:tcPr>
            <w:tcW w:w="55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440"/>
              <w:rPr>
                <w:rFonts w:cs="Calibri" w:asciiTheme="majorEastAsia" w:hAnsiTheme="majorEastAsia" w:eastAsiaTheme="majorEastAsia"/>
                <w:color w:val="000000"/>
                <w:kern w:val="0"/>
                <w:sz w:val="22"/>
              </w:rPr>
            </w:pPr>
            <w:r>
              <w:rPr>
                <w:rFonts w:hint="eastAsia" w:cs="宋体" w:asciiTheme="majorEastAsia" w:hAnsiTheme="majorEastAsia" w:eastAsiaTheme="majorEastAsia"/>
                <w:color w:val="000000"/>
                <w:kern w:val="0"/>
                <w:sz w:val="22"/>
              </w:rPr>
              <w:t>招标人（盖章）</w:t>
            </w:r>
            <w:r>
              <w:rPr>
                <w:rFonts w:cs="Calibri" w:asciiTheme="majorEastAsia" w:hAnsiTheme="majorEastAsia" w:eastAsiaTheme="majorEastAsia"/>
                <w:color w:val="000000"/>
                <w:kern w:val="0"/>
                <w:sz w:val="22"/>
              </w:rPr>
              <w:t xml:space="preserve">:   </w:t>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t xml:space="preserve">                                          </w:t>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t xml:space="preserve">                           </w:t>
            </w:r>
            <w:r>
              <w:rPr>
                <w:rFonts w:hint="eastAsia" w:cs="Calibri" w:asciiTheme="majorEastAsia" w:hAnsiTheme="majorEastAsia" w:eastAsiaTheme="majorEastAsia"/>
                <w:color w:val="000000"/>
                <w:kern w:val="0"/>
                <w:sz w:val="22"/>
              </w:rPr>
              <w:t xml:space="preserve">2021年9月23日      </w:t>
            </w:r>
            <w:r>
              <w:rPr>
                <w:rFonts w:cs="Calibri" w:asciiTheme="majorEastAsia" w:hAnsiTheme="majorEastAsia" w:eastAsiaTheme="majorEastAsia"/>
                <w:color w:val="000000"/>
                <w:kern w:val="0"/>
                <w:sz w:val="22"/>
              </w:rPr>
              <w:t xml:space="preserve">                                                        </w:t>
            </w:r>
          </w:p>
        </w:tc>
        <w:tc>
          <w:tcPr>
            <w:tcW w:w="4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招标代理机构（盖章）：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2021年9月23日  </w:t>
            </w:r>
          </w:p>
        </w:tc>
      </w:tr>
    </w:tbl>
    <w:p>
      <w:pPr>
        <w:jc w:val="left"/>
        <w:rPr>
          <w:rFonts w:ascii="方正小标宋_GBK" w:eastAsia="方正小标宋_GBK"/>
          <w:sz w:val="30"/>
          <w:szCs w:val="30"/>
        </w:rPr>
      </w:pPr>
      <w:r>
        <w:rPr>
          <w:rFonts w:hint="eastAsia" w:ascii="宋体" w:hAnsi="宋体" w:eastAsia="宋体" w:cs="宋体"/>
          <w:color w:val="000000"/>
          <w:kern w:val="0"/>
          <w:sz w:val="22"/>
        </w:rPr>
        <w:t>注：1.招标人及其委托的招标代理机</w:t>
      </w:r>
      <w:bookmarkStart w:id="1" w:name="_GoBack"/>
      <w:bookmarkEnd w:id="1"/>
      <w:r>
        <w:rPr>
          <w:rFonts w:hint="eastAsia" w:ascii="宋体" w:hAnsi="宋体" w:eastAsia="宋体" w:cs="宋体"/>
          <w:color w:val="000000"/>
          <w:kern w:val="0"/>
          <w:sz w:val="22"/>
        </w:rPr>
        <w:t>对填写的中标候选人公示内容的真实性、准确性和一致性负责。</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bookmarkEnd w:id="0"/>
    </w:p>
    <w:sectPr>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722D"/>
    <w:rsid w:val="00065390"/>
    <w:rsid w:val="000838C4"/>
    <w:rsid w:val="00147A29"/>
    <w:rsid w:val="00172A27"/>
    <w:rsid w:val="001A05AA"/>
    <w:rsid w:val="002018F7"/>
    <w:rsid w:val="0020706E"/>
    <w:rsid w:val="00221071"/>
    <w:rsid w:val="00243447"/>
    <w:rsid w:val="00257621"/>
    <w:rsid w:val="003739A3"/>
    <w:rsid w:val="003A092C"/>
    <w:rsid w:val="004F7249"/>
    <w:rsid w:val="0055752E"/>
    <w:rsid w:val="005A20AB"/>
    <w:rsid w:val="005F7769"/>
    <w:rsid w:val="00636DB4"/>
    <w:rsid w:val="006A71D4"/>
    <w:rsid w:val="006F7C68"/>
    <w:rsid w:val="007B162E"/>
    <w:rsid w:val="007B76AF"/>
    <w:rsid w:val="007C4F8D"/>
    <w:rsid w:val="00810AF5"/>
    <w:rsid w:val="008421D2"/>
    <w:rsid w:val="009B76B6"/>
    <w:rsid w:val="00A4293A"/>
    <w:rsid w:val="00AC2D02"/>
    <w:rsid w:val="00AE04B3"/>
    <w:rsid w:val="00AF14F0"/>
    <w:rsid w:val="00B9444B"/>
    <w:rsid w:val="00C179F2"/>
    <w:rsid w:val="00C25BB3"/>
    <w:rsid w:val="00D86C8D"/>
    <w:rsid w:val="00D955BB"/>
    <w:rsid w:val="00E00A45"/>
    <w:rsid w:val="00E33F2A"/>
    <w:rsid w:val="00F02F83"/>
    <w:rsid w:val="00F64EAF"/>
    <w:rsid w:val="022805E2"/>
    <w:rsid w:val="0E8205C8"/>
    <w:rsid w:val="0EA76E8A"/>
    <w:rsid w:val="172909AD"/>
    <w:rsid w:val="19384759"/>
    <w:rsid w:val="1EC2419A"/>
    <w:rsid w:val="28285559"/>
    <w:rsid w:val="3840320A"/>
    <w:rsid w:val="3C930F29"/>
    <w:rsid w:val="405C3390"/>
    <w:rsid w:val="4663234F"/>
    <w:rsid w:val="46A65F92"/>
    <w:rsid w:val="61683D37"/>
    <w:rsid w:val="67CD478D"/>
    <w:rsid w:val="69611F28"/>
    <w:rsid w:val="6968575C"/>
    <w:rsid w:val="728211E6"/>
    <w:rsid w:val="7B872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9"/>
    <w:unhideWhenUsed/>
    <w:qFormat/>
    <w:uiPriority w:val="99"/>
    <w:pPr>
      <w:tabs>
        <w:tab w:val="center" w:pos="4153"/>
        <w:tab w:val="right" w:pos="8306"/>
      </w:tabs>
      <w:snapToGrid w:val="0"/>
      <w:jc w:val="left"/>
    </w:pPr>
    <w:rPr>
      <w:sz w:val="18"/>
      <w:szCs w:val="18"/>
    </w:rPr>
  </w:style>
  <w:style w:type="paragraph" w:styleId="3">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styleId="7">
    <w:name w:val="FollowedHyperlink"/>
    <w:basedOn w:val="5"/>
    <w:semiHidden/>
    <w:unhideWhenUsed/>
    <w:qFormat/>
    <w:uiPriority w:val="99"/>
    <w:rPr>
      <w:color w:val="800080"/>
      <w:u w:val="none"/>
    </w:rPr>
  </w:style>
  <w:style w:type="character" w:styleId="8">
    <w:name w:val="Emphasis"/>
    <w:basedOn w:val="5"/>
    <w:qFormat/>
    <w:uiPriority w:val="20"/>
    <w:rPr>
      <w:b/>
      <w:bCs/>
    </w:rPr>
  </w:style>
  <w:style w:type="character" w:styleId="9">
    <w:name w:val="HTML Definition"/>
    <w:basedOn w:val="5"/>
    <w:semiHidden/>
    <w:unhideWhenUsed/>
    <w:qFormat/>
    <w:uiPriority w:val="99"/>
  </w:style>
  <w:style w:type="character" w:styleId="10">
    <w:name w:val="HTML Typewriter"/>
    <w:basedOn w:val="5"/>
    <w:semiHidden/>
    <w:unhideWhenUsed/>
    <w:qFormat/>
    <w:uiPriority w:val="99"/>
    <w:rPr>
      <w:rFonts w:hint="default" w:ascii="monospace" w:hAnsi="monospace" w:eastAsia="monospace" w:cs="monospace"/>
      <w:sz w:val="20"/>
    </w:rPr>
  </w:style>
  <w:style w:type="character" w:styleId="11">
    <w:name w:val="HTML Acronym"/>
    <w:basedOn w:val="5"/>
    <w:semiHidden/>
    <w:unhideWhenUsed/>
    <w:qFormat/>
    <w:uiPriority w:val="99"/>
  </w:style>
  <w:style w:type="character" w:styleId="12">
    <w:name w:val="HTML Variable"/>
    <w:basedOn w:val="5"/>
    <w:semiHidden/>
    <w:unhideWhenUsed/>
    <w:qFormat/>
    <w:uiPriority w:val="99"/>
  </w:style>
  <w:style w:type="character" w:styleId="13">
    <w:name w:val="Hyperlink"/>
    <w:basedOn w:val="5"/>
    <w:semiHidden/>
    <w:unhideWhenUsed/>
    <w:qFormat/>
    <w:uiPriority w:val="99"/>
    <w:rPr>
      <w:color w:val="0000FF"/>
      <w:u w:val="none"/>
    </w:rPr>
  </w:style>
  <w:style w:type="character" w:styleId="14">
    <w:name w:val="HTML Code"/>
    <w:basedOn w:val="5"/>
    <w:semiHidden/>
    <w:unhideWhenUsed/>
    <w:qFormat/>
    <w:uiPriority w:val="99"/>
    <w:rPr>
      <w:rFonts w:hint="default" w:ascii="monospace" w:hAnsi="monospace" w:eastAsia="monospace" w:cs="monospace"/>
      <w:sz w:val="20"/>
    </w:rPr>
  </w:style>
  <w:style w:type="character" w:styleId="15">
    <w:name w:val="HTML Cite"/>
    <w:basedOn w:val="5"/>
    <w:semiHidden/>
    <w:unhideWhenUsed/>
    <w:qFormat/>
    <w:uiPriority w:val="99"/>
    <w:rPr>
      <w:bdr w:val="single" w:color="BDBEC1" w:sz="4" w:space="0"/>
      <w:shd w:val="clear" w:color="auto" w:fill="F2F4F9"/>
    </w:rPr>
  </w:style>
  <w:style w:type="character" w:styleId="16">
    <w:name w:val="HTML Keyboard"/>
    <w:basedOn w:val="5"/>
    <w:semiHidden/>
    <w:unhideWhenUsed/>
    <w:qFormat/>
    <w:uiPriority w:val="99"/>
    <w:rPr>
      <w:rFonts w:ascii="monospace" w:hAnsi="monospace" w:eastAsia="monospace" w:cs="monospace"/>
      <w:sz w:val="20"/>
    </w:rPr>
  </w:style>
  <w:style w:type="character" w:styleId="17">
    <w:name w:val="HTML Sample"/>
    <w:basedOn w:val="5"/>
    <w:semiHidden/>
    <w:unhideWhenUsed/>
    <w:qFormat/>
    <w:uiPriority w:val="99"/>
    <w:rPr>
      <w:rFonts w:hint="default" w:ascii="monospace" w:hAnsi="monospace" w:eastAsia="monospace" w:cs="monospace"/>
    </w:rPr>
  </w:style>
  <w:style w:type="character" w:customStyle="1" w:styleId="18">
    <w:name w:val="页眉 字符"/>
    <w:basedOn w:val="5"/>
    <w:link w:val="3"/>
    <w:qFormat/>
    <w:uiPriority w:val="99"/>
    <w:rPr>
      <w:kern w:val="2"/>
      <w:sz w:val="18"/>
      <w:szCs w:val="18"/>
    </w:rPr>
  </w:style>
  <w:style w:type="character" w:customStyle="1" w:styleId="19">
    <w:name w:val="页脚 字符"/>
    <w:basedOn w:val="5"/>
    <w:link w:val="2"/>
    <w:qFormat/>
    <w:uiPriority w:val="99"/>
    <w:rPr>
      <w:kern w:val="2"/>
      <w:sz w:val="18"/>
      <w:szCs w:val="18"/>
    </w:rPr>
  </w:style>
  <w:style w:type="paragraph" w:customStyle="1" w:styleId="20">
    <w:name w:val="Default"/>
    <w:unhideWhenUsed/>
    <w:qFormat/>
    <w:uiPriority w:val="99"/>
    <w:pPr>
      <w:widowControl w:val="0"/>
      <w:autoSpaceDE w:val="0"/>
      <w:autoSpaceDN w:val="0"/>
      <w:adjustRightInd w:val="0"/>
    </w:pPr>
    <w:rPr>
      <w:rFonts w:hint="eastAsia" w:ascii="Arial Unicode MS" w:hAnsi="Arial Unicode MS" w:eastAsia="Arial Unicode MS"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cqmzj</Company>
  <Pages>1</Pages>
  <Words>241</Words>
  <Characters>1374</Characters>
  <Lines>11</Lines>
  <Paragraphs>3</Paragraphs>
  <TotalTime>76</TotalTime>
  <ScaleCrop>false</ScaleCrop>
  <LinksUpToDate>false</LinksUpToDate>
  <CharactersWithSpaces>1612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刘洋</cp:lastModifiedBy>
  <cp:lastPrinted>2020-04-29T08:41:00Z</cp:lastPrinted>
  <dcterms:modified xsi:type="dcterms:W3CDTF">2021-09-23T06:10:16Z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D97892089B4A4382BB20AF2794C11057</vt:lpwstr>
  </property>
</Properties>
</file>