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cs="宋体"/>
          <w:b/>
          <w:sz w:val="32"/>
          <w:szCs w:val="32"/>
          <w:lang w:val="en-US" w:eastAsia="zh-CN"/>
        </w:rPr>
      </w:pPr>
      <w:r>
        <w:rPr>
          <w:rFonts w:hint="eastAsia" w:ascii="宋体" w:hAnsi="宋体" w:cs="宋体"/>
          <w:b/>
          <w:sz w:val="32"/>
          <w:szCs w:val="32"/>
        </w:rPr>
        <w:t>项目名称：重庆首讯科技股份有限公司项目开发管理系统</w:t>
      </w:r>
      <w:r>
        <w:rPr>
          <w:rFonts w:hint="eastAsia" w:ascii="宋体" w:hAnsi="宋体" w:cs="宋体"/>
          <w:b/>
          <w:sz w:val="32"/>
          <w:szCs w:val="32"/>
          <w:lang w:val="en-US" w:eastAsia="zh-CN"/>
        </w:rPr>
        <w:t>采购</w:t>
      </w:r>
    </w:p>
    <w:p>
      <w:pPr>
        <w:spacing w:line="400" w:lineRule="exact"/>
        <w:jc w:val="center"/>
        <w:rPr>
          <w:rFonts w:hint="eastAsia" w:ascii="宋体" w:hAnsi="宋体" w:eastAsia="宋体" w:cs="宋体"/>
          <w:b/>
          <w:sz w:val="32"/>
          <w:szCs w:val="32"/>
          <w:lang w:eastAsia="zh-CN"/>
        </w:rPr>
      </w:pPr>
      <w:bookmarkStart w:id="284" w:name="_GoBack"/>
      <w:bookmarkEnd w:id="284"/>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5</w:t>
      </w:r>
      <w:r>
        <w:rPr>
          <w:rFonts w:hint="eastAsia" w:ascii="宋体" w:hAnsi="宋体" w:cs="宋体"/>
          <w:b/>
          <w:sz w:val="28"/>
          <w:szCs w:val="28"/>
          <w:u w:val="single"/>
        </w:rPr>
        <w:t xml:space="preserve">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319889"/>
      <w:bookmarkStart w:id="1" w:name="_Toc246996898"/>
      <w:bookmarkStart w:id="2" w:name="_Toc247085669"/>
      <w:bookmarkStart w:id="3" w:name="_Toc296602400"/>
      <w:bookmarkStart w:id="4" w:name="_Toc507428442"/>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2"/>
      <w:bookmarkStart w:id="8" w:name="OLE_LINK3"/>
    </w:p>
    <w:p>
      <w:pPr>
        <w:pStyle w:val="4"/>
        <w:spacing w:before="0" w:after="0" w:line="360" w:lineRule="auto"/>
        <w:rPr>
          <w:rFonts w:ascii="宋体" w:hAnsi="宋体" w:eastAsia="宋体" w:cs="宋体"/>
        </w:rPr>
      </w:pPr>
      <w:bookmarkStart w:id="9" w:name="_Toc6549"/>
      <w:bookmarkStart w:id="10" w:name="_Toc11329213"/>
      <w:bookmarkStart w:id="11" w:name="_Toc179632528"/>
      <w:bookmarkStart w:id="12" w:name="_Toc10076"/>
      <w:bookmarkStart w:id="13" w:name="_Toc24874"/>
      <w:bookmarkStart w:id="14" w:name="_Toc152045512"/>
      <w:bookmarkStart w:id="15" w:name="_Toc246996901"/>
      <w:bookmarkStart w:id="16" w:name="_Toc19148"/>
      <w:bookmarkStart w:id="17" w:name="_Toc507319891"/>
      <w:bookmarkStart w:id="18" w:name="_Toc144974480"/>
      <w:bookmarkStart w:id="19" w:name="_Toc152042288"/>
      <w:bookmarkStart w:id="20" w:name="_Toc15945"/>
      <w:bookmarkStart w:id="21" w:name="_Toc247085672"/>
      <w:bookmarkStart w:id="22" w:name="_Toc246996158"/>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本竞争性比选项目重庆首讯科技股份有限公司项目开发管理系统</w:t>
      </w:r>
      <w:r>
        <w:rPr>
          <w:rFonts w:hint="eastAsia" w:ascii="宋体" w:hAnsi="宋体" w:cs="宋体"/>
          <w:szCs w:val="21"/>
          <w:lang w:eastAsia="zh-CN"/>
        </w:rPr>
        <w:t>（</w:t>
      </w:r>
      <w:r>
        <w:rPr>
          <w:rFonts w:hint="eastAsia" w:ascii="宋体" w:hAnsi="宋体" w:cs="宋体"/>
          <w:szCs w:val="21"/>
          <w:lang w:val="en-US" w:eastAsia="zh-CN"/>
        </w:rPr>
        <w:t>第二次</w:t>
      </w:r>
      <w:r>
        <w:rPr>
          <w:rFonts w:hint="eastAsia" w:ascii="宋体" w:hAnsi="宋体" w:cs="宋体"/>
          <w:szCs w:val="21"/>
          <w:lang w:eastAsia="zh-CN"/>
        </w:rPr>
        <w:t>）</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21343"/>
      <w:bookmarkStart w:id="24" w:name="_Toc18109"/>
      <w:bookmarkStart w:id="25" w:name="_Toc152042289"/>
      <w:bookmarkStart w:id="26" w:name="_Toc152045513"/>
      <w:bookmarkStart w:id="27" w:name="_Toc9168"/>
      <w:bookmarkStart w:id="28" w:name="_Toc246996902"/>
      <w:bookmarkStart w:id="29" w:name="_Toc10321"/>
      <w:bookmarkStart w:id="30" w:name="_Toc246996159"/>
      <w:bookmarkStart w:id="31" w:name="_Toc144974481"/>
      <w:bookmarkStart w:id="32" w:name="_Toc247085673"/>
      <w:bookmarkStart w:id="33" w:name="_Toc179632529"/>
      <w:bookmarkStart w:id="34" w:name="_Toc507319892"/>
      <w:bookmarkStart w:id="35" w:name="_Toc10952"/>
      <w:bookmarkStart w:id="36" w:name="_Toc11329214"/>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pStyle w:val="12"/>
        <w:adjustRightInd w:val="0"/>
        <w:spacing w:line="400" w:lineRule="exact"/>
        <w:rPr>
          <w:rFonts w:ascii="宋体" w:hAnsi="宋体" w:cs="宋体"/>
          <w:szCs w:val="21"/>
        </w:rPr>
      </w:pPr>
      <w:r>
        <w:rPr>
          <w:rFonts w:hint="eastAsia" w:ascii="宋体" w:hAnsi="宋体" w:cs="宋体"/>
          <w:szCs w:val="21"/>
        </w:rPr>
        <w:t>2.2 服务内容：本项目为重庆首讯科技股份有限公司项目开发管理系统，主要包括</w:t>
      </w:r>
    </w:p>
    <w:p>
      <w:pPr>
        <w:spacing w:line="480" w:lineRule="exact"/>
        <w:ind w:firstLine="422" w:firstLineChars="200"/>
        <w:rPr>
          <w:rFonts w:ascii="宋体" w:hAnsi="宋体" w:cs="宋体"/>
          <w:b/>
          <w:bCs/>
          <w:szCs w:val="21"/>
        </w:rPr>
      </w:pPr>
      <w:r>
        <w:rPr>
          <w:rFonts w:hint="eastAsia" w:ascii="宋体" w:hAnsi="宋体" w:cs="宋体"/>
          <w:b/>
          <w:bCs/>
          <w:szCs w:val="21"/>
        </w:rPr>
        <w:t>（1）、项目集管理</w:t>
      </w:r>
    </w:p>
    <w:p>
      <w:pPr>
        <w:spacing w:line="480" w:lineRule="exact"/>
        <w:ind w:left="630" w:leftChars="300"/>
        <w:rPr>
          <w:rFonts w:hint="eastAsia" w:ascii="宋体" w:hAnsi="宋体" w:eastAsia="宋体" w:cs="宋体"/>
          <w:szCs w:val="21"/>
          <w:lang w:eastAsia="zh-CN"/>
        </w:rPr>
      </w:pPr>
      <w:r>
        <w:rPr>
          <w:rFonts w:hint="eastAsia" w:ascii="宋体" w:hAnsi="宋体" w:cs="宋体"/>
          <w:szCs w:val="21"/>
        </w:rPr>
        <w:t>支持多层级的项目集合管理，能够呈现出整体项目集和产品交付物与项目实施的管理架构，可提供项目整体的进度视图</w:t>
      </w:r>
      <w:r>
        <w:rPr>
          <w:rFonts w:hint="eastAsia" w:ascii="宋体" w:hAnsi="宋体" w:cs="宋体"/>
          <w:szCs w:val="21"/>
          <w:lang w:eastAsia="zh-CN"/>
        </w:rPr>
        <w:t>；</w:t>
      </w:r>
    </w:p>
    <w:p>
      <w:pPr>
        <w:spacing w:line="480" w:lineRule="exact"/>
        <w:ind w:firstLine="422" w:firstLineChars="200"/>
        <w:rPr>
          <w:rFonts w:ascii="宋体" w:hAnsi="宋体" w:cs="宋体"/>
          <w:b/>
          <w:bCs/>
          <w:szCs w:val="21"/>
        </w:rPr>
      </w:pPr>
      <w:r>
        <w:rPr>
          <w:rFonts w:hint="eastAsia" w:ascii="宋体" w:hAnsi="宋体" w:cs="宋体"/>
          <w:b/>
          <w:bCs/>
          <w:szCs w:val="21"/>
        </w:rPr>
        <w:t>（2）、产品管理</w:t>
      </w:r>
    </w:p>
    <w:p>
      <w:pPr>
        <w:spacing w:line="480" w:lineRule="exact"/>
        <w:ind w:left="630" w:leftChars="300"/>
        <w:rPr>
          <w:rFonts w:ascii="宋体" w:hAnsi="宋体" w:cs="宋体"/>
          <w:szCs w:val="21"/>
        </w:rPr>
      </w:pPr>
      <w:r>
        <w:rPr>
          <w:rFonts w:hint="eastAsia" w:ascii="宋体" w:hAnsi="宋体" w:cs="宋体"/>
          <w:szCs w:val="21"/>
        </w:rPr>
        <w:t>1）支持产品路标管理和版本管理，能够呈现出整体和各产品线的路标规划和迭代版本计划；</w:t>
      </w:r>
    </w:p>
    <w:p>
      <w:pPr>
        <w:spacing w:line="480" w:lineRule="exact"/>
        <w:ind w:left="630" w:leftChars="300"/>
        <w:rPr>
          <w:rFonts w:ascii="宋体" w:hAnsi="宋体" w:cs="宋体"/>
          <w:szCs w:val="21"/>
        </w:rPr>
      </w:pPr>
      <w:r>
        <w:rPr>
          <w:rFonts w:hint="eastAsia" w:ascii="宋体" w:hAnsi="宋体" w:cs="宋体"/>
          <w:szCs w:val="21"/>
        </w:rPr>
        <w:t>2)支持迭代版本计划按时发布的统计；</w:t>
      </w:r>
    </w:p>
    <w:p>
      <w:pPr>
        <w:spacing w:line="480" w:lineRule="exact"/>
        <w:ind w:left="630" w:leftChars="300"/>
        <w:rPr>
          <w:rFonts w:hint="eastAsia" w:ascii="宋体" w:hAnsi="宋体" w:eastAsia="宋体" w:cs="宋体"/>
          <w:szCs w:val="21"/>
          <w:lang w:eastAsia="zh-CN"/>
        </w:rPr>
      </w:pPr>
      <w:r>
        <w:rPr>
          <w:rFonts w:hint="eastAsia" w:ascii="宋体" w:hAnsi="宋体" w:cs="宋体"/>
          <w:szCs w:val="21"/>
        </w:rPr>
        <w:t>3)支持版本分类的区别标识，如正式发布版本、测评版本等</w:t>
      </w:r>
      <w:r>
        <w:rPr>
          <w:rFonts w:hint="eastAsia" w:ascii="宋体" w:hAnsi="宋体" w:cs="宋体"/>
          <w:szCs w:val="21"/>
          <w:lang w:eastAsia="zh-CN"/>
        </w:rPr>
        <w:t>；</w:t>
      </w:r>
    </w:p>
    <w:p>
      <w:pPr>
        <w:spacing w:line="480" w:lineRule="exact"/>
        <w:ind w:firstLine="422" w:firstLineChars="200"/>
        <w:rPr>
          <w:rFonts w:ascii="宋体" w:hAnsi="宋体" w:cs="宋体"/>
          <w:b/>
          <w:bCs/>
          <w:szCs w:val="21"/>
        </w:rPr>
      </w:pPr>
      <w:r>
        <w:rPr>
          <w:rFonts w:hint="eastAsia" w:ascii="宋体" w:hAnsi="宋体" w:cs="宋体"/>
          <w:b/>
          <w:bCs/>
          <w:szCs w:val="21"/>
        </w:rPr>
        <w:t>（3）、需求管理</w:t>
      </w:r>
    </w:p>
    <w:p>
      <w:pPr>
        <w:spacing w:line="480" w:lineRule="exact"/>
        <w:ind w:left="630" w:leftChars="300"/>
        <w:rPr>
          <w:rFonts w:ascii="宋体" w:hAnsi="宋体" w:cs="宋体"/>
          <w:szCs w:val="21"/>
        </w:rPr>
      </w:pPr>
      <w:r>
        <w:rPr>
          <w:rFonts w:hint="eastAsia" w:ascii="宋体" w:hAnsi="宋体" w:cs="宋体"/>
          <w:szCs w:val="21"/>
        </w:rPr>
        <w:t>1）支持需求的导入和导出；</w:t>
      </w:r>
    </w:p>
    <w:p>
      <w:pPr>
        <w:spacing w:line="480" w:lineRule="exact"/>
        <w:ind w:left="630" w:leftChars="300"/>
        <w:rPr>
          <w:rFonts w:ascii="宋体" w:hAnsi="宋体" w:cs="宋体"/>
          <w:szCs w:val="21"/>
        </w:rPr>
      </w:pPr>
      <w:r>
        <w:rPr>
          <w:rFonts w:hint="eastAsia" w:ascii="宋体" w:hAnsi="宋体" w:cs="宋体"/>
          <w:szCs w:val="21"/>
        </w:rPr>
        <w:t>2）支持需求的编码跟踪，以及与测试用例和缺陷的关联，从分析后产品化需求——设计需求——开发任务——测试用例——测试结果——缺陷的关联跟踪；</w:t>
      </w:r>
    </w:p>
    <w:p>
      <w:pPr>
        <w:spacing w:line="480" w:lineRule="exact"/>
        <w:ind w:left="630" w:leftChars="300"/>
        <w:rPr>
          <w:rFonts w:ascii="宋体" w:hAnsi="宋体" w:cs="宋体"/>
          <w:szCs w:val="21"/>
        </w:rPr>
      </w:pPr>
      <w:r>
        <w:rPr>
          <w:rFonts w:hint="eastAsia" w:ascii="宋体" w:hAnsi="宋体" w:cs="宋体"/>
          <w:szCs w:val="21"/>
        </w:rPr>
        <w:t>3）支持需求分发后与产品、版本及项目的关联；</w:t>
      </w:r>
    </w:p>
    <w:p>
      <w:pPr>
        <w:spacing w:line="480" w:lineRule="exact"/>
        <w:ind w:firstLine="422" w:firstLineChars="200"/>
        <w:rPr>
          <w:rFonts w:ascii="宋体" w:hAnsi="宋体" w:cs="宋体"/>
          <w:b/>
          <w:bCs/>
          <w:szCs w:val="21"/>
        </w:rPr>
      </w:pPr>
      <w:r>
        <w:rPr>
          <w:rFonts w:hint="eastAsia" w:ascii="宋体" w:hAnsi="宋体" w:cs="宋体"/>
          <w:b/>
          <w:bCs/>
          <w:szCs w:val="21"/>
        </w:rPr>
        <w:t>（4）、项目管理：</w:t>
      </w:r>
    </w:p>
    <w:p>
      <w:pPr>
        <w:spacing w:line="480" w:lineRule="exact"/>
        <w:ind w:left="630" w:leftChars="300"/>
        <w:rPr>
          <w:rFonts w:ascii="宋体" w:hAnsi="宋体" w:cs="宋体"/>
          <w:szCs w:val="21"/>
        </w:rPr>
      </w:pPr>
      <w:r>
        <w:rPr>
          <w:rFonts w:hint="eastAsia" w:ascii="宋体" w:hAnsi="宋体" w:cs="宋体"/>
          <w:szCs w:val="21"/>
        </w:rPr>
        <w:t>1）支持不同类型的项目管理模型，包含Scrum、瀑布和看板等；</w:t>
      </w:r>
    </w:p>
    <w:p>
      <w:pPr>
        <w:spacing w:line="480" w:lineRule="exact"/>
        <w:ind w:left="630" w:leftChars="300"/>
        <w:rPr>
          <w:rFonts w:hint="eastAsia" w:ascii="宋体" w:hAnsi="宋体" w:eastAsia="宋体" w:cs="宋体"/>
          <w:szCs w:val="21"/>
          <w:lang w:eastAsia="zh-CN"/>
        </w:rPr>
      </w:pPr>
      <w:r>
        <w:rPr>
          <w:rFonts w:hint="eastAsia" w:ascii="宋体" w:hAnsi="宋体" w:cs="宋体"/>
          <w:szCs w:val="21"/>
        </w:rPr>
        <w:t>2）支持项目的问题、风险、机会、度量、QA等管理</w:t>
      </w:r>
      <w:r>
        <w:rPr>
          <w:rFonts w:hint="eastAsia" w:ascii="宋体" w:hAnsi="宋体" w:cs="宋体"/>
          <w:szCs w:val="21"/>
          <w:lang w:eastAsia="zh-CN"/>
        </w:rPr>
        <w:t>；</w:t>
      </w:r>
    </w:p>
    <w:p>
      <w:pPr>
        <w:spacing w:line="480" w:lineRule="exact"/>
        <w:ind w:left="630" w:leftChars="300"/>
        <w:rPr>
          <w:rFonts w:ascii="宋体" w:hAnsi="宋体" w:cs="宋体"/>
          <w:szCs w:val="21"/>
        </w:rPr>
      </w:pPr>
      <w:r>
        <w:rPr>
          <w:rFonts w:hint="eastAsia" w:ascii="宋体" w:hAnsi="宋体" w:cs="宋体"/>
          <w:szCs w:val="21"/>
        </w:rPr>
        <w:t>3）支持敏捷模式下需求到开发任务的分发下达与关联；</w:t>
      </w:r>
    </w:p>
    <w:p>
      <w:pPr>
        <w:spacing w:line="480" w:lineRule="exact"/>
        <w:ind w:firstLine="422" w:firstLineChars="200"/>
        <w:rPr>
          <w:rFonts w:ascii="宋体" w:hAnsi="宋体" w:cs="宋体"/>
          <w:b/>
          <w:bCs/>
          <w:szCs w:val="21"/>
        </w:rPr>
      </w:pPr>
      <w:r>
        <w:rPr>
          <w:rFonts w:hint="eastAsia" w:ascii="宋体" w:hAnsi="宋体" w:cs="宋体"/>
          <w:b/>
          <w:bCs/>
          <w:szCs w:val="21"/>
        </w:rPr>
        <w:t>（5）、工时管理</w:t>
      </w:r>
    </w:p>
    <w:p>
      <w:pPr>
        <w:spacing w:line="480" w:lineRule="exact"/>
        <w:ind w:left="630" w:leftChars="300"/>
        <w:rPr>
          <w:rFonts w:ascii="宋体" w:hAnsi="宋体" w:cs="宋体"/>
          <w:szCs w:val="21"/>
        </w:rPr>
      </w:pPr>
      <w:r>
        <w:rPr>
          <w:rFonts w:hint="eastAsia" w:ascii="宋体" w:hAnsi="宋体" w:cs="宋体"/>
          <w:szCs w:val="21"/>
        </w:rPr>
        <w:t xml:space="preserve">支持基于个人项目任务层级的工时提报，同一任务支持持续多次的工时提报直至任务完成；更新任务，系统自动生成对应的日志信息； </w:t>
      </w:r>
    </w:p>
    <w:p>
      <w:pPr>
        <w:spacing w:line="480" w:lineRule="exact"/>
        <w:ind w:left="630" w:leftChars="300"/>
        <w:rPr>
          <w:rFonts w:ascii="宋体" w:hAnsi="宋体" w:cs="宋体"/>
          <w:szCs w:val="21"/>
        </w:rPr>
      </w:pPr>
      <w:r>
        <w:rPr>
          <w:rFonts w:hint="eastAsia" w:ascii="宋体" w:hAnsi="宋体" w:cs="宋体"/>
          <w:szCs w:val="21"/>
        </w:rPr>
        <w:t>支持以日历的形式，展示每天的日志信息和待办工作；</w:t>
      </w:r>
    </w:p>
    <w:p>
      <w:pPr>
        <w:spacing w:line="480" w:lineRule="exact"/>
        <w:ind w:left="630" w:leftChars="300"/>
        <w:rPr>
          <w:rFonts w:ascii="宋体" w:hAnsi="宋体" w:cs="宋体"/>
          <w:szCs w:val="21"/>
        </w:rPr>
      </w:pPr>
      <w:r>
        <w:rPr>
          <w:rFonts w:hint="eastAsia" w:ascii="宋体" w:hAnsi="宋体" w:cs="宋体"/>
          <w:szCs w:val="21"/>
        </w:rPr>
        <w:t>支持任务预估工时与实际消耗工时的对比；</w:t>
      </w:r>
    </w:p>
    <w:p>
      <w:pPr>
        <w:spacing w:line="480" w:lineRule="exact"/>
        <w:ind w:firstLine="422" w:firstLineChars="200"/>
        <w:rPr>
          <w:rFonts w:ascii="宋体" w:hAnsi="宋体" w:cs="宋体"/>
          <w:b/>
          <w:bCs/>
          <w:szCs w:val="21"/>
        </w:rPr>
      </w:pPr>
      <w:r>
        <w:rPr>
          <w:rFonts w:hint="eastAsia" w:ascii="宋体" w:hAnsi="宋体" w:cs="宋体"/>
          <w:b/>
          <w:bCs/>
          <w:szCs w:val="21"/>
        </w:rPr>
        <w:t>（6）、缺陷管理</w:t>
      </w:r>
    </w:p>
    <w:p>
      <w:pPr>
        <w:spacing w:line="480" w:lineRule="exact"/>
        <w:ind w:left="630" w:leftChars="300"/>
        <w:rPr>
          <w:rFonts w:ascii="宋体" w:hAnsi="宋体" w:cs="宋体"/>
          <w:szCs w:val="21"/>
        </w:rPr>
      </w:pPr>
      <w:r>
        <w:rPr>
          <w:rFonts w:hint="eastAsia" w:ascii="宋体" w:hAnsi="宋体" w:cs="宋体"/>
          <w:szCs w:val="21"/>
        </w:rPr>
        <w:t>1)支持BUG提交与测试用例及测试结果关联，BUG解决与项目、版本关联；</w:t>
      </w:r>
    </w:p>
    <w:p>
      <w:pPr>
        <w:spacing w:line="480" w:lineRule="exact"/>
        <w:ind w:left="630" w:leftChars="300"/>
        <w:rPr>
          <w:rFonts w:ascii="宋体" w:hAnsi="宋体" w:cs="宋体"/>
          <w:szCs w:val="21"/>
        </w:rPr>
      </w:pPr>
      <w:r>
        <w:rPr>
          <w:rFonts w:hint="eastAsia" w:ascii="宋体" w:hAnsi="宋体" w:cs="宋体"/>
          <w:szCs w:val="21"/>
        </w:rPr>
        <w:t>2)支持BUG提交并区分BUG来源，包含内部测试BUG和外部（如售后、制造等）提交的BUG；</w:t>
      </w:r>
    </w:p>
    <w:p>
      <w:pPr>
        <w:spacing w:line="480" w:lineRule="exact"/>
        <w:ind w:left="630" w:leftChars="300"/>
        <w:rPr>
          <w:rFonts w:ascii="宋体" w:hAnsi="宋体" w:cs="宋体"/>
          <w:szCs w:val="21"/>
        </w:rPr>
      </w:pPr>
      <w:r>
        <w:rPr>
          <w:rFonts w:hint="eastAsia" w:ascii="宋体" w:hAnsi="宋体" w:cs="宋体"/>
          <w:szCs w:val="21"/>
        </w:rPr>
        <w:t>3）支持BUG的跟踪，可以根据缺陷类别定义BUG的处理流程和节点人员；</w:t>
      </w:r>
    </w:p>
    <w:p>
      <w:pPr>
        <w:spacing w:line="480" w:lineRule="exact"/>
        <w:ind w:firstLine="422" w:firstLineChars="200"/>
        <w:rPr>
          <w:rFonts w:ascii="宋体" w:hAnsi="宋体" w:cs="宋体"/>
          <w:b/>
          <w:bCs/>
          <w:szCs w:val="21"/>
        </w:rPr>
      </w:pPr>
      <w:r>
        <w:rPr>
          <w:rFonts w:hint="eastAsia" w:ascii="宋体" w:hAnsi="宋体" w:cs="宋体"/>
          <w:b/>
          <w:bCs/>
          <w:szCs w:val="21"/>
        </w:rPr>
        <w:t>（7）、测试管理</w:t>
      </w:r>
    </w:p>
    <w:p>
      <w:pPr>
        <w:spacing w:line="480" w:lineRule="exact"/>
        <w:ind w:left="630" w:leftChars="300"/>
        <w:rPr>
          <w:rFonts w:ascii="宋体" w:hAnsi="宋体" w:cs="宋体"/>
          <w:szCs w:val="21"/>
          <w:highlight w:val="none"/>
        </w:rPr>
      </w:pPr>
      <w:r>
        <w:rPr>
          <w:rFonts w:hint="eastAsia" w:ascii="宋体" w:hAnsi="宋体" w:cs="宋体"/>
          <w:szCs w:val="21"/>
          <w:highlight w:val="none"/>
        </w:rPr>
        <w:t>1)支持测试用例的导入和导出以及在线维护，导入导出及在线维护可设置必须的审核审批流程；</w:t>
      </w:r>
    </w:p>
    <w:p>
      <w:pPr>
        <w:spacing w:line="480" w:lineRule="exact"/>
        <w:ind w:left="630" w:leftChars="300"/>
        <w:rPr>
          <w:rFonts w:ascii="宋体" w:hAnsi="宋体" w:cs="宋体"/>
          <w:szCs w:val="21"/>
          <w:highlight w:val="none"/>
        </w:rPr>
      </w:pPr>
      <w:r>
        <w:rPr>
          <w:rFonts w:hint="eastAsia" w:ascii="宋体" w:hAnsi="宋体" w:cs="宋体"/>
          <w:szCs w:val="21"/>
          <w:highlight w:val="none"/>
        </w:rPr>
        <w:t>2)可以根据需求创建测试用例或自动关联测试用例库内的用例；</w:t>
      </w:r>
    </w:p>
    <w:p>
      <w:pPr>
        <w:spacing w:line="480" w:lineRule="exact"/>
        <w:ind w:left="630" w:leftChars="300"/>
        <w:rPr>
          <w:rFonts w:ascii="宋体" w:hAnsi="宋体" w:cs="宋体"/>
          <w:szCs w:val="21"/>
          <w:highlight w:val="none"/>
        </w:rPr>
      </w:pPr>
      <w:r>
        <w:rPr>
          <w:rFonts w:hint="eastAsia" w:ascii="宋体" w:hAnsi="宋体" w:cs="宋体"/>
          <w:szCs w:val="21"/>
          <w:highlight w:val="none"/>
        </w:rPr>
        <w:t>3)支持根据测试用例分发测试任务到责任人，责任人可关联填报测试结果和关联提报BUG；</w:t>
      </w:r>
    </w:p>
    <w:p>
      <w:pPr>
        <w:spacing w:line="480" w:lineRule="exact"/>
        <w:ind w:firstLine="422" w:firstLineChars="200"/>
        <w:rPr>
          <w:rFonts w:ascii="宋体" w:hAnsi="宋体" w:cs="宋体"/>
          <w:b/>
          <w:bCs/>
          <w:szCs w:val="21"/>
          <w:highlight w:val="none"/>
        </w:rPr>
      </w:pPr>
      <w:r>
        <w:rPr>
          <w:rFonts w:hint="eastAsia" w:ascii="宋体" w:hAnsi="宋体" w:cs="宋体"/>
          <w:b/>
          <w:bCs/>
          <w:szCs w:val="21"/>
          <w:highlight w:val="none"/>
        </w:rPr>
        <w:t>（8）、知识管理</w:t>
      </w:r>
    </w:p>
    <w:p>
      <w:pPr>
        <w:spacing w:line="480" w:lineRule="exact"/>
        <w:ind w:left="630" w:leftChars="300"/>
        <w:rPr>
          <w:rFonts w:ascii="宋体" w:hAnsi="宋体" w:cs="宋体"/>
          <w:szCs w:val="21"/>
          <w:highlight w:val="none"/>
        </w:rPr>
      </w:pPr>
      <w:r>
        <w:rPr>
          <w:rFonts w:hint="eastAsia" w:ascii="宋体" w:hAnsi="宋体" w:cs="宋体"/>
          <w:szCs w:val="21"/>
          <w:highlight w:val="none"/>
        </w:rPr>
        <w:t>1)支持产品开发过程文档（EXCEL、WORD</w:t>
      </w:r>
      <w:r>
        <w:rPr>
          <w:rFonts w:hint="eastAsia" w:ascii="宋体" w:hAnsi="宋体" w:cs="宋体"/>
          <w:szCs w:val="21"/>
          <w:highlight w:val="none"/>
          <w:lang w:eastAsia="zh-CN"/>
        </w:rPr>
        <w:t>、</w:t>
      </w:r>
      <w:r>
        <w:rPr>
          <w:rFonts w:hint="eastAsia" w:ascii="宋体" w:hAnsi="宋体" w:cs="宋体"/>
          <w:szCs w:val="21"/>
          <w:highlight w:val="none"/>
        </w:rPr>
        <w:t>PPT</w:t>
      </w:r>
      <w:r>
        <w:rPr>
          <w:rFonts w:hint="eastAsia" w:ascii="宋体" w:hAnsi="宋体" w:cs="宋体"/>
          <w:szCs w:val="21"/>
          <w:highlight w:val="none"/>
          <w:lang w:eastAsia="zh-CN"/>
        </w:rPr>
        <w:t>、</w:t>
      </w:r>
      <w:r>
        <w:rPr>
          <w:rFonts w:hint="eastAsia" w:ascii="宋体" w:hAnsi="宋体" w:cs="宋体"/>
          <w:szCs w:val="21"/>
          <w:highlight w:val="none"/>
          <w:lang w:val="en-US" w:eastAsia="zh-CN"/>
        </w:rPr>
        <w:t>图片、压缩包</w:t>
      </w:r>
      <w:r>
        <w:rPr>
          <w:rFonts w:hint="eastAsia" w:ascii="宋体" w:hAnsi="宋体" w:cs="宋体"/>
          <w:szCs w:val="21"/>
          <w:highlight w:val="none"/>
        </w:rPr>
        <w:t>等）作为附件上传，与任务关联或者与项目关联，便于按照项目或任务检索；</w:t>
      </w:r>
    </w:p>
    <w:p>
      <w:pPr>
        <w:spacing w:line="480" w:lineRule="exact"/>
        <w:ind w:left="630" w:leftChars="300"/>
        <w:rPr>
          <w:rFonts w:ascii="宋体" w:hAnsi="宋体" w:cs="宋体"/>
          <w:szCs w:val="21"/>
          <w:highlight w:val="none"/>
        </w:rPr>
      </w:pPr>
      <w:r>
        <w:rPr>
          <w:rFonts w:hint="eastAsia" w:ascii="宋体" w:hAnsi="宋体" w:cs="宋体"/>
          <w:szCs w:val="21"/>
          <w:highlight w:val="none"/>
        </w:rPr>
        <w:t>2)支持不用类型模式进行知识管理，支持按不同知识库区分权限管理；</w:t>
      </w:r>
    </w:p>
    <w:p>
      <w:pPr>
        <w:spacing w:line="48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rPr>
        <w:t>3）支持附件内容的在线预览和编辑</w:t>
      </w:r>
      <w:r>
        <w:rPr>
          <w:rFonts w:hint="eastAsia" w:ascii="宋体" w:hAnsi="宋体" w:cs="宋体"/>
          <w:szCs w:val="21"/>
          <w:highlight w:val="none"/>
          <w:lang w:eastAsia="zh-CN"/>
        </w:rPr>
        <w:t>；</w:t>
      </w:r>
    </w:p>
    <w:p>
      <w:pPr>
        <w:spacing w:line="48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rPr>
        <w:t>）支持</w:t>
      </w:r>
      <w:r>
        <w:rPr>
          <w:rFonts w:hint="eastAsia" w:ascii="宋体" w:hAnsi="宋体" w:cs="宋体"/>
          <w:szCs w:val="21"/>
          <w:highlight w:val="none"/>
          <w:lang w:val="en-US" w:eastAsia="zh-CN"/>
        </w:rPr>
        <w:t>拖拽调整文档的目录结构</w:t>
      </w:r>
      <w:r>
        <w:rPr>
          <w:rFonts w:hint="eastAsia" w:ascii="宋体" w:hAnsi="宋体" w:cs="宋体"/>
          <w:szCs w:val="21"/>
          <w:highlight w:val="none"/>
          <w:lang w:eastAsia="zh-CN"/>
        </w:rPr>
        <w:t>；</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cs="宋体"/>
          <w:szCs w:val="21"/>
          <w:highlight w:val="none"/>
        </w:rPr>
        <w:t>）支持</w:t>
      </w:r>
      <w:r>
        <w:rPr>
          <w:rFonts w:hint="eastAsia" w:ascii="宋体" w:hAnsi="宋体" w:cs="宋体"/>
          <w:szCs w:val="21"/>
          <w:highlight w:val="none"/>
          <w:lang w:val="en-US" w:eastAsia="zh-CN"/>
        </w:rPr>
        <w:t>根据不同项目创建知识库目录，可以直接查看该项目所包含的一类文档类型，二类文档类型，三类文档烈性；</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）支持</w:t>
      </w:r>
      <w:r>
        <w:rPr>
          <w:rFonts w:hint="eastAsia" w:ascii="宋体" w:hAnsi="宋体" w:cs="宋体"/>
          <w:szCs w:val="21"/>
          <w:highlight w:val="none"/>
          <w:lang w:val="en-US" w:eastAsia="zh-CN"/>
        </w:rPr>
        <w:t>知识库整个库根据关键词检索，展示关键字相关的文档信息；</w:t>
      </w:r>
    </w:p>
    <w:p>
      <w:pPr>
        <w:spacing w:line="480" w:lineRule="exact"/>
        <w:ind w:firstLine="422" w:firstLineChars="200"/>
        <w:rPr>
          <w:rFonts w:ascii="宋体" w:hAnsi="宋体" w:cs="宋体"/>
          <w:b/>
          <w:bCs/>
          <w:szCs w:val="21"/>
          <w:highlight w:val="none"/>
        </w:rPr>
      </w:pPr>
      <w:r>
        <w:rPr>
          <w:rFonts w:hint="eastAsia" w:ascii="宋体" w:hAnsi="宋体" w:cs="宋体"/>
          <w:b/>
          <w:bCs/>
          <w:szCs w:val="21"/>
          <w:highlight w:val="none"/>
        </w:rPr>
        <w:t>（9）、DevOps CI/CD搭建</w:t>
      </w:r>
    </w:p>
    <w:p>
      <w:pPr>
        <w:spacing w:line="480" w:lineRule="exact"/>
        <w:ind w:left="630" w:leftChars="300"/>
        <w:rPr>
          <w:rFonts w:ascii="宋体" w:hAnsi="宋体" w:cs="宋体"/>
          <w:szCs w:val="21"/>
          <w:highlight w:val="none"/>
        </w:rPr>
      </w:pPr>
      <w:r>
        <w:rPr>
          <w:rFonts w:hint="eastAsia" w:ascii="宋体" w:hAnsi="宋体" w:cs="宋体"/>
          <w:szCs w:val="21"/>
          <w:highlight w:val="none"/>
        </w:rPr>
        <w:t>1)支持与SVN、Git、GitLab等配置管理工具的集成；</w:t>
      </w:r>
    </w:p>
    <w:p>
      <w:pPr>
        <w:spacing w:line="480" w:lineRule="exact"/>
        <w:ind w:left="630" w:leftChars="300"/>
        <w:rPr>
          <w:rFonts w:ascii="宋体" w:hAnsi="宋体" w:cs="宋体"/>
          <w:szCs w:val="21"/>
          <w:highlight w:val="none"/>
        </w:rPr>
      </w:pPr>
      <w:r>
        <w:rPr>
          <w:rFonts w:hint="eastAsia" w:ascii="宋体" w:hAnsi="宋体" w:cs="宋体"/>
          <w:szCs w:val="21"/>
          <w:highlight w:val="none"/>
        </w:rPr>
        <w:t>2）支持与Jenkins的集成，支持自动构建；</w:t>
      </w:r>
    </w:p>
    <w:p>
      <w:pPr>
        <w:spacing w:line="48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rPr>
        <w:t>3）支持集成SonarQube，通过构建任务出发SoanrQube扫描，展示扫描报告与问题列表</w:t>
      </w:r>
      <w:r>
        <w:rPr>
          <w:rFonts w:hint="eastAsia" w:ascii="宋体" w:hAnsi="宋体" w:cs="宋体"/>
          <w:szCs w:val="21"/>
          <w:highlight w:val="none"/>
          <w:lang w:eastAsia="zh-CN"/>
        </w:rPr>
        <w:t>；</w:t>
      </w:r>
    </w:p>
    <w:p>
      <w:pPr>
        <w:spacing w:line="480" w:lineRule="exact"/>
        <w:ind w:firstLine="422" w:firstLineChars="200"/>
        <w:rPr>
          <w:rFonts w:hint="default" w:ascii="宋体" w:hAnsi="宋体" w:eastAsia="宋体" w:cs="宋体"/>
          <w:b/>
          <w:bCs/>
          <w:szCs w:val="21"/>
          <w:highlight w:val="none"/>
          <w:lang w:eastAsia="zh-CN"/>
        </w:rPr>
      </w:pPr>
      <w:r>
        <w:rPr>
          <w:rFonts w:hint="eastAsia" w:ascii="宋体" w:hAnsi="宋体" w:cs="宋体"/>
          <w:b/>
          <w:bCs/>
          <w:szCs w:val="21"/>
          <w:highlight w:val="none"/>
        </w:rPr>
        <w:t>（10）、</w:t>
      </w:r>
      <w:r>
        <w:rPr>
          <w:rFonts w:hint="eastAsia" w:ascii="宋体" w:hAnsi="宋体" w:cs="宋体"/>
          <w:b/>
          <w:bCs/>
          <w:szCs w:val="21"/>
          <w:highlight w:val="none"/>
          <w:lang w:val="en-US" w:eastAsia="zh-CN"/>
        </w:rPr>
        <w:t>运维</w:t>
      </w:r>
      <w:r>
        <w:rPr>
          <w:rFonts w:hint="default" w:ascii="宋体" w:hAnsi="宋体" w:cs="宋体"/>
          <w:b/>
          <w:bCs/>
          <w:szCs w:val="21"/>
          <w:highlight w:val="none"/>
          <w:lang w:eastAsia="zh-CN"/>
        </w:rPr>
        <w:t>实施</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1)有运维实施独立模块，包括但不限于运维资产管理、运维工单管理、运维数据看板、实施项目管理、运维实施知识库；</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2)运维资产管理，主要功能包括但不限于机房主机、各级工控机及工作站、各项配置信息、各级业务系统信息，支持批量录入、表格导出，对应权限用户可编辑运维资产信息，支持条件和关键字搜索，最终实现运维资产的数据化、标准化；</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3)支持运维工单管理，包括但不限于创建运维工单、工单查询、工单处理、工单转需求/BUG/任务/代办、创建知识、关联知识；</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4)运维看板：从工单用户分布、工单类型、同类故障工单频率、工单时间分布、形成知识数量等多维度对运维数据进行统计分析，形成运维数据看板；</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5)实施项目管理：支持项目分类，新建项目时可按建设项目、开发项目、实施项目等进行标签分类，并按不同项目类型生成匹配的项目模板，时项目管理更有针对性；实施项目可选择要实施部署的软件产品及版本，同时关联该版本产品的功能描述、部署手册、操作手册等，实施人员可快捷查看和下载；实施项目各阶段实施任务、指派的实施人员、时间范围等相关信息填写完毕后，支持实施计划导出；</w:t>
      </w:r>
    </w:p>
    <w:p>
      <w:pPr>
        <w:spacing w:line="48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）具备运维实施知识库，支持标签标记知识、分类管理、条件及关键字搜索、支持分类统计图表</w:t>
      </w:r>
      <w:r>
        <w:rPr>
          <w:rFonts w:hint="eastAsia" w:ascii="宋体" w:hAnsi="宋体" w:cs="宋体"/>
          <w:szCs w:val="21"/>
          <w:highlight w:val="none"/>
          <w:lang w:val="en-US" w:eastAsia="zh-CN"/>
        </w:rPr>
        <w:t>；</w:t>
      </w:r>
    </w:p>
    <w:p>
      <w:pPr>
        <w:spacing w:line="480" w:lineRule="exact"/>
        <w:ind w:firstLine="422" w:firstLineChars="20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1</w:t>
      </w:r>
      <w:r>
        <w:rPr>
          <w:rFonts w:hint="eastAsia" w:ascii="宋体" w:hAnsi="宋体" w:cs="宋体"/>
          <w:b/>
          <w:bCs/>
          <w:szCs w:val="21"/>
          <w:highlight w:val="none"/>
        </w:rPr>
        <w:t>）、其他</w:t>
      </w:r>
    </w:p>
    <w:p>
      <w:pPr>
        <w:spacing w:line="480" w:lineRule="exact"/>
        <w:ind w:left="630" w:leftChars="300"/>
        <w:rPr>
          <w:rFonts w:ascii="宋体" w:hAnsi="宋体" w:cs="宋体"/>
          <w:szCs w:val="21"/>
          <w:highlight w:val="none"/>
        </w:rPr>
      </w:pPr>
      <w:r>
        <w:rPr>
          <w:rFonts w:hint="eastAsia" w:ascii="宋体" w:hAnsi="宋体" w:cs="宋体"/>
          <w:szCs w:val="21"/>
          <w:highlight w:val="none"/>
        </w:rPr>
        <w:t>1)支持私有化部署、支持安全验证；</w:t>
      </w:r>
    </w:p>
    <w:p>
      <w:pPr>
        <w:spacing w:line="48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rPr>
        <w:t>2）支持apache、mysql和php的架构</w:t>
      </w:r>
      <w:r>
        <w:rPr>
          <w:rFonts w:hint="eastAsia" w:ascii="宋体" w:hAnsi="宋体" w:cs="宋体"/>
          <w:szCs w:val="21"/>
          <w:highlight w:val="none"/>
          <w:lang w:eastAsia="zh-CN"/>
        </w:rPr>
        <w:t>；</w:t>
      </w:r>
    </w:p>
    <w:p>
      <w:pPr>
        <w:spacing w:line="48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rPr>
        <w:t>3）支持直接网页访问</w:t>
      </w:r>
      <w:r>
        <w:rPr>
          <w:rFonts w:hint="eastAsia" w:ascii="宋体" w:hAnsi="宋体" w:cs="宋体"/>
          <w:szCs w:val="21"/>
          <w:highlight w:val="none"/>
          <w:lang w:eastAsia="zh-CN"/>
        </w:rPr>
        <w:t>；</w:t>
      </w:r>
    </w:p>
    <w:p>
      <w:pPr>
        <w:spacing w:line="480" w:lineRule="exact"/>
        <w:ind w:left="630" w:leftChars="300"/>
        <w:rPr>
          <w:rFonts w:ascii="宋体" w:hAnsi="宋体" w:cs="宋体"/>
          <w:szCs w:val="21"/>
          <w:highlight w:val="none"/>
        </w:rPr>
      </w:pPr>
      <w:r>
        <w:rPr>
          <w:rFonts w:hint="eastAsia" w:ascii="宋体" w:hAnsi="宋体" w:cs="宋体"/>
          <w:szCs w:val="21"/>
          <w:highlight w:val="none"/>
        </w:rPr>
        <w:t>4)开放API接口，支持第三方工具调用系统数据等；</w:t>
      </w:r>
    </w:p>
    <w:p>
      <w:pPr>
        <w:spacing w:line="480" w:lineRule="exact"/>
        <w:ind w:left="630" w:leftChars="300"/>
        <w:rPr>
          <w:rFonts w:ascii="宋体" w:hAnsi="宋体" w:cs="宋体"/>
          <w:szCs w:val="21"/>
          <w:highlight w:val="none"/>
        </w:rPr>
      </w:pPr>
      <w:r>
        <w:rPr>
          <w:rFonts w:hint="eastAsia" w:ascii="宋体" w:hAnsi="宋体" w:cs="宋体"/>
          <w:szCs w:val="21"/>
          <w:highlight w:val="none"/>
        </w:rPr>
        <w:t>5)支持分角色的权限设置与调整，对应审批权限、查阅权限等的管理；</w:t>
      </w:r>
    </w:p>
    <w:p>
      <w:pPr>
        <w:spacing w:line="480" w:lineRule="exact"/>
        <w:ind w:left="630" w:leftChars="300"/>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根据用户实际需要提供系统使用培训，必要时能到现场进行培训</w:t>
      </w:r>
      <w:r>
        <w:rPr>
          <w:rFonts w:hint="eastAsia" w:ascii="宋体" w:hAnsi="宋体" w:cs="宋体"/>
          <w:szCs w:val="21"/>
          <w:highlight w:val="none"/>
        </w:rPr>
        <w:t>；</w:t>
      </w:r>
    </w:p>
    <w:p>
      <w:pPr>
        <w:spacing w:line="480" w:lineRule="exact"/>
        <w:ind w:left="630" w:leftChars="3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)支持与邮件、企业微信、短信等即时通知功能；</w:t>
      </w:r>
    </w:p>
    <w:p>
      <w:pPr>
        <w:pStyle w:val="12"/>
        <w:adjustRightInd w:val="0"/>
        <w:spacing w:line="400" w:lineRule="exact"/>
        <w:ind w:left="0" w:leftChars="0" w:firstLine="420" w:firstLineChars="200"/>
        <w:rPr>
          <w:rFonts w:hint="eastAsia" w:ascii="宋体" w:hAnsi="宋体" w:cs="宋体"/>
          <w:highlight w:val="none"/>
        </w:rPr>
      </w:pPr>
    </w:p>
    <w:p>
      <w:pPr>
        <w:pStyle w:val="12"/>
        <w:adjustRightInd w:val="0"/>
        <w:spacing w:line="400" w:lineRule="exact"/>
        <w:ind w:left="0" w:leftChars="0" w:firstLine="420" w:firstLineChars="200"/>
        <w:rPr>
          <w:rFonts w:ascii="宋体" w:hAnsi="宋体" w:cs="宋体"/>
          <w:szCs w:val="21"/>
          <w:highlight w:val="none"/>
        </w:rPr>
      </w:pPr>
      <w:r>
        <w:rPr>
          <w:rFonts w:hint="eastAsia" w:ascii="宋体" w:hAnsi="宋体" w:cs="宋体"/>
          <w:highlight w:val="none"/>
        </w:rPr>
        <w:t>2.3 实施期：2022年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日前完成。</w:t>
      </w:r>
    </w:p>
    <w:p>
      <w:pPr>
        <w:pStyle w:val="4"/>
        <w:spacing w:before="120" w:after="0" w:line="360" w:lineRule="auto"/>
        <w:rPr>
          <w:rFonts w:ascii="宋体" w:hAnsi="宋体" w:eastAsia="宋体" w:cs="宋体"/>
          <w:highlight w:val="none"/>
        </w:rPr>
      </w:pPr>
      <w:bookmarkStart w:id="38" w:name="_Toc247085674"/>
      <w:bookmarkStart w:id="39" w:name="_Toc144974482"/>
      <w:bookmarkStart w:id="40" w:name="_Toc246996160"/>
      <w:bookmarkStart w:id="41" w:name="_Toc10171"/>
      <w:bookmarkStart w:id="42" w:name="_Toc507319893"/>
      <w:bookmarkStart w:id="43" w:name="_Toc8744"/>
      <w:bookmarkStart w:id="44" w:name="_Toc152045514"/>
      <w:bookmarkStart w:id="45" w:name="_Toc26889"/>
      <w:bookmarkStart w:id="46" w:name="_Toc152042290"/>
      <w:bookmarkStart w:id="47" w:name="_Toc30356"/>
      <w:bookmarkStart w:id="48" w:name="_Toc179632530"/>
      <w:bookmarkStart w:id="49" w:name="_Toc246996903"/>
      <w:bookmarkStart w:id="50" w:name="_Toc11329215"/>
      <w:bookmarkStart w:id="51" w:name="_Toc7065"/>
      <w:r>
        <w:rPr>
          <w:rFonts w:hint="eastAsia" w:ascii="宋体" w:hAnsi="宋体" w:eastAsia="宋体" w:cs="宋体"/>
          <w:highlight w:val="none"/>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144974483"/>
      <w:bookmarkStart w:id="53" w:name="_Toc246996904"/>
      <w:bookmarkStart w:id="54" w:name="_Toc179632531"/>
      <w:bookmarkStart w:id="55" w:name="_Toc152045515"/>
      <w:bookmarkStart w:id="56" w:name="_Toc152042291"/>
      <w:bookmarkStart w:id="57" w:name="_Toc246996161"/>
      <w:bookmarkStart w:id="58" w:name="_Toc24708567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（2）具有有效的营业执照（经营范围含计算机软硬件开发、生产和销售及技术咨询服务）；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（3）具有研发项目管理系统的安装部署、维护、开发经验，需提供2020年1月1日至本竞争性比选公告发出之日期间至少两个相关业绩证明材料。</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25619"/>
      <w:bookmarkStart w:id="60" w:name="_Toc14361"/>
      <w:bookmarkStart w:id="61" w:name="_Toc20193"/>
      <w:bookmarkStart w:id="62" w:name="_Toc12460"/>
      <w:bookmarkStart w:id="63" w:name="_Toc507319894"/>
      <w:bookmarkStart w:id="64" w:name="_Toc7266"/>
      <w:bookmarkStart w:id="65" w:name="_Toc11329216"/>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247085676"/>
      <w:bookmarkStart w:id="67" w:name="_Toc144974484"/>
      <w:bookmarkStart w:id="68" w:name="_Toc507319895"/>
      <w:bookmarkStart w:id="69" w:name="_Toc179632532"/>
      <w:bookmarkStart w:id="70" w:name="_Toc246996905"/>
      <w:bookmarkStart w:id="71" w:name="_Toc152042292"/>
      <w:bookmarkStart w:id="72" w:name="_Toc11329217"/>
      <w:bookmarkStart w:id="73" w:name="_Toc152045516"/>
      <w:bookmarkStart w:id="74" w:name="_Toc24699616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5 </w:t>
      </w:r>
      <w:r>
        <w:rPr>
          <w:rFonts w:hint="eastAsia" w:ascii="宋体" w:hAnsi="宋体"/>
          <w:szCs w:val="21"/>
        </w:rPr>
        <w:t>月</w:t>
      </w:r>
      <w:r>
        <w:rPr>
          <w:rFonts w:hint="eastAsia" w:ascii="宋体" w:hAnsi="宋体"/>
          <w:szCs w:val="21"/>
          <w:u w:val="single"/>
        </w:rPr>
        <w:t xml:space="preserve"> 2</w:t>
      </w:r>
      <w:r>
        <w:rPr>
          <w:rFonts w:hint="eastAsia" w:ascii="宋体" w:hAnsi="宋体"/>
          <w:szCs w:val="21"/>
          <w:u w:val="single"/>
          <w:lang w:val="en-US" w:eastAsia="zh-CN"/>
        </w:rPr>
        <w:t>6</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1</w:t>
      </w:r>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31493"/>
      <w:bookmarkStart w:id="76" w:name="_Toc3064"/>
      <w:bookmarkStart w:id="77" w:name="_Toc16686"/>
      <w:bookmarkStart w:id="78" w:name="_Toc9131"/>
      <w:bookmarkStart w:id="79" w:name="_Toc17832"/>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6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247085678"/>
      <w:bookmarkStart w:id="81" w:name="_Toc144974485"/>
      <w:bookmarkStart w:id="82" w:name="_Toc246996164"/>
      <w:bookmarkStart w:id="83" w:name="_Toc18402"/>
      <w:bookmarkStart w:id="84" w:name="_Toc179632534"/>
      <w:bookmarkStart w:id="85" w:name="_Toc152042293"/>
      <w:bookmarkStart w:id="86" w:name="_Toc11329219"/>
      <w:bookmarkStart w:id="87" w:name="_Toc10307"/>
      <w:bookmarkStart w:id="88" w:name="_Toc18284"/>
      <w:bookmarkStart w:id="89" w:name="_Toc152045517"/>
      <w:bookmarkStart w:id="90" w:name="_Toc21615"/>
      <w:bookmarkStart w:id="91" w:name="_Toc246996907"/>
      <w:bookmarkStart w:id="92" w:name="_Toc393"/>
      <w:bookmarkStart w:id="93" w:name="_Toc507319897"/>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技术联系人：代老师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话：13883657944</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商务联系人：刘老师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话：18623655450</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152045527"/>
      <w:bookmarkStart w:id="95" w:name="_Toc2000405"/>
      <w:bookmarkStart w:id="96" w:name="_Toc21719"/>
      <w:bookmarkStart w:id="97" w:name="_Toc507319898"/>
      <w:bookmarkStart w:id="98" w:name="_Toc152042303"/>
      <w:bookmarkStart w:id="99" w:name="_Toc246996173"/>
      <w:bookmarkStart w:id="100" w:name="_Toc179632544"/>
      <w:bookmarkStart w:id="101" w:name="_Toc246996916"/>
      <w:bookmarkStart w:id="102" w:name="_Toc247085687"/>
      <w:bookmarkStart w:id="103" w:name="_Toc144974495"/>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址：重庆市南岸区四公里内环入口高速集团首讯科技大楼</w:t>
            </w:r>
          </w:p>
          <w:p>
            <w:pPr>
              <w:spacing w:line="400" w:lineRule="exact"/>
              <w:ind w:firstLine="420" w:firstLineChars="200"/>
              <w:rPr>
                <w:rFonts w:ascii="宋体" w:hAnsi="宋体" w:cs="宋体"/>
                <w:szCs w:val="21"/>
              </w:rPr>
            </w:pPr>
            <w:r>
              <w:rPr>
                <w:rFonts w:hint="eastAsia" w:ascii="宋体" w:hAnsi="宋体" w:cs="宋体"/>
                <w:szCs w:val="21"/>
              </w:rPr>
              <w:t>联系人：刘老师</w:t>
            </w:r>
          </w:p>
          <w:p>
            <w:pPr>
              <w:topLinePunct/>
              <w:spacing w:line="420" w:lineRule="exact"/>
              <w:ind w:firstLine="420" w:firstLineChars="200"/>
            </w:pPr>
            <w:r>
              <w:rPr>
                <w:rFonts w:hint="eastAsia" w:ascii="宋体" w:hAnsi="宋体" w:cs="宋体"/>
                <w:szCs w:val="21"/>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重庆首讯科技股份有限公司项目开发管理系统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yellow"/>
              </w:rPr>
            </w:pPr>
            <w:r>
              <w:rPr>
                <w:rFonts w:hint="eastAsia" w:ascii="宋体" w:hAnsi="宋体"/>
                <w:b/>
                <w:bCs/>
                <w:szCs w:val="21"/>
              </w:rPr>
              <w:t>本项目最高限价</w:t>
            </w:r>
            <w:r>
              <w:rPr>
                <w:rFonts w:hint="eastAsia" w:ascii="宋体" w:hAnsi="宋体"/>
                <w:b/>
                <w:bCs/>
                <w:szCs w:val="21"/>
                <w:u w:val="single"/>
              </w:rPr>
              <w:t>250000.00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1.软件部署调试及培训完成，经甲方验收合格后支付合同总价金额的95%；剩余的结算价款的5%作为质量保证金，缺陷责任期一年（从本工程竣（交）工验收合格之日起计算）届满后，由乙方主动提出书面申请，经甲方业务部门确认后，30个工作日内全额支付（质量保证金不计任何利息），若乙方未提出书面申请，则相应的延迟责任由乙方自行承担。注：乙方每次办理支付前须开具等额的税率13%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vAlign w:val="center"/>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ind w:firstLine="420" w:firstLineChars="200"/>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50"/>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6</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w:t>
            </w:r>
            <w:r>
              <w:rPr>
                <w:rFonts w:hint="eastAsia" w:hAnsi="宋体"/>
                <w:sz w:val="21"/>
                <w:szCs w:val="18"/>
                <w:u w:val="single"/>
              </w:rPr>
              <w:t xml:space="preserve"> </w:t>
            </w:r>
            <w:r>
              <w:rPr>
                <w:rFonts w:hint="eastAsia" w:hAnsi="宋体"/>
                <w:sz w:val="21"/>
                <w:szCs w:val="18"/>
              </w:rPr>
              <w:t>日</w:t>
            </w:r>
            <w:r>
              <w:rPr>
                <w:rFonts w:hint="eastAsia" w:hAnsi="宋体"/>
                <w:sz w:val="21"/>
                <w:szCs w:val="18"/>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时 00分（北京时间）。</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2.报价地点和开标地点：重庆首讯科技股份有限公司（重庆市南岸区四公里内环入口高速集团首讯科技大楼307室）。</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4.文件递交方式：</w:t>
            </w:r>
            <w:r>
              <w:rPr>
                <w:rFonts w:hint="eastAsia" w:hAnsi="宋体"/>
                <w:color w:val="auto"/>
                <w:kern w:val="2"/>
                <w:sz w:val="21"/>
                <w:szCs w:val="21"/>
                <w:lang w:val="en-US" w:eastAsia="zh-CN"/>
              </w:rPr>
              <w:t>由于疫情原因，不便组织现场开标。请于2022年06月01日上午11：00将报价文件通过EMS或者顺丰快递至：重庆市南岸区广黔路内环入口200米处重庆首讯科技股份有限公司，刘栋，18623655450</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报价人应提供竞争性比选响应文件正本1份，副本1份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电子文件1份（U盘1份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50"/>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电子文件为报价人竞争性比选响应文件加盖公章后的扫描件，要求为PDF格式）</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重庆首讯科技股份有限公司项目管理系统软件采购竞争性比选响应文件</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6</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w:t>
            </w:r>
            <w:r>
              <w:rPr>
                <w:rFonts w:hAnsi="宋体"/>
                <w:sz w:val="21"/>
                <w:szCs w:val="18"/>
                <w:u w:val="single"/>
              </w:rPr>
              <w:t xml:space="preserve"> </w:t>
            </w:r>
            <w:r>
              <w:rPr>
                <w:rFonts w:hint="eastAsia" w:hAnsi="宋体"/>
                <w:sz w:val="21"/>
                <w:szCs w:val="18"/>
              </w:rPr>
              <w:t>日</w:t>
            </w:r>
            <w:r>
              <w:rPr>
                <w:rFonts w:hint="eastAsia" w:hAnsi="宋体"/>
                <w:color w:val="auto"/>
                <w:kern w:val="2"/>
                <w:sz w:val="21"/>
                <w:szCs w:val="21"/>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07" w:name="_Toc11329222"/>
      <w:bookmarkStart w:id="108" w:name="_Toc17532"/>
      <w:bookmarkStart w:id="109" w:name="_Toc5691"/>
      <w:bookmarkStart w:id="110" w:name="_Toc11284"/>
      <w:bookmarkStart w:id="111" w:name="_Toc30198"/>
      <w:bookmarkStart w:id="112" w:name="_Toc17399"/>
      <w:r>
        <w:rPr>
          <w:rFonts w:hint="eastAsia" w:ascii="宋体" w:hAnsi="宋体" w:eastAsia="宋体" w:cs="宋体"/>
          <w:sz w:val="28"/>
          <w:szCs w:val="28"/>
        </w:rPr>
        <w:t>附录1  资格审查条件（资质最低要求）</w:t>
      </w:r>
      <w:bookmarkEnd w:id="107"/>
      <w:bookmarkEnd w:id="108"/>
      <w:bookmarkEnd w:id="109"/>
      <w:bookmarkEnd w:id="110"/>
      <w:bookmarkEnd w:id="111"/>
      <w:bookmarkEnd w:id="112"/>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pStyle w:val="2"/>
              <w:rPr>
                <w:b w:val="0"/>
                <w:bCs w:val="0"/>
                <w:sz w:val="21"/>
                <w:szCs w:val="21"/>
              </w:rPr>
            </w:pPr>
            <w:r>
              <w:rPr>
                <w:rFonts w:hint="eastAsia"/>
                <w:b w:val="0"/>
                <w:bCs w:val="0"/>
                <w:sz w:val="21"/>
                <w:szCs w:val="21"/>
              </w:rPr>
              <w:t>（1）具有独立法人资格；</w:t>
            </w:r>
          </w:p>
          <w:p>
            <w:pPr>
              <w:pStyle w:val="2"/>
            </w:pPr>
            <w:r>
              <w:rPr>
                <w:rFonts w:hint="eastAsia"/>
                <w:b w:val="0"/>
                <w:bCs w:val="0"/>
                <w:sz w:val="21"/>
                <w:szCs w:val="21"/>
              </w:rPr>
              <w:t>（2）具有有效的营业执照（经营范围含计算机软硬件开发、生产和销售及技术咨询服务）；</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3" w:name="_Toc30995"/>
      <w:bookmarkStart w:id="114" w:name="_Toc13719"/>
      <w:bookmarkStart w:id="115" w:name="_Toc11329223"/>
      <w:bookmarkStart w:id="116" w:name="_Toc30363"/>
      <w:bookmarkStart w:id="117" w:name="_Toc1778"/>
      <w:bookmarkStart w:id="118" w:name="_Toc17235"/>
      <w:r>
        <w:rPr>
          <w:rFonts w:hint="eastAsia" w:ascii="宋体" w:hAnsi="宋体" w:eastAsia="宋体" w:cs="宋体"/>
          <w:bCs w:val="0"/>
          <w:sz w:val="28"/>
          <w:szCs w:val="28"/>
        </w:rPr>
        <w:t>附录2  资格审查条件（财务最低要求）</w:t>
      </w:r>
      <w:bookmarkEnd w:id="113"/>
      <w:bookmarkEnd w:id="114"/>
      <w:bookmarkEnd w:id="115"/>
      <w:bookmarkEnd w:id="116"/>
      <w:bookmarkEnd w:id="117"/>
      <w:bookmarkEnd w:id="118"/>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19" w:name="_Toc11329224"/>
    </w:p>
    <w:p>
      <w:pPr>
        <w:pStyle w:val="4"/>
        <w:jc w:val="center"/>
        <w:rPr>
          <w:rFonts w:ascii="宋体" w:hAnsi="宋体" w:eastAsia="宋体" w:cs="宋体"/>
          <w:bCs w:val="0"/>
          <w:sz w:val="28"/>
          <w:szCs w:val="28"/>
        </w:rPr>
      </w:pPr>
      <w:bookmarkStart w:id="120" w:name="_Toc16937"/>
      <w:bookmarkStart w:id="121" w:name="_Toc19507"/>
      <w:bookmarkStart w:id="122" w:name="_Toc6263"/>
      <w:bookmarkStart w:id="123" w:name="_Toc16638"/>
      <w:bookmarkStart w:id="124" w:name="_Toc28315"/>
      <w:r>
        <w:rPr>
          <w:rFonts w:hint="eastAsia" w:ascii="宋体" w:hAnsi="宋体" w:eastAsia="宋体" w:cs="宋体"/>
          <w:bCs w:val="0"/>
          <w:sz w:val="28"/>
          <w:szCs w:val="28"/>
        </w:rPr>
        <w:t>附录3  资格审查条件（业绩最低要求）</w:t>
      </w:r>
      <w:bookmarkEnd w:id="119"/>
      <w:bookmarkEnd w:id="120"/>
      <w:bookmarkEnd w:id="121"/>
      <w:bookmarkEnd w:id="122"/>
      <w:bookmarkEnd w:id="123"/>
      <w:bookmarkEnd w:id="124"/>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pPr>
            <w:r>
              <w:rPr>
                <w:rFonts w:hint="eastAsia"/>
                <w:szCs w:val="21"/>
              </w:rPr>
              <w:t>（1）具有研发项目管理系统的安装部署、维护、开发经验，需提供2020年1月1日至本竞争性比公告发出之日期间至少两个相关业绩证明材料。</w:t>
            </w:r>
          </w:p>
        </w:tc>
      </w:tr>
    </w:tbl>
    <w:p>
      <w:pPr>
        <w:pStyle w:val="4"/>
        <w:jc w:val="center"/>
        <w:rPr>
          <w:rFonts w:ascii="宋体" w:hAnsi="宋体" w:eastAsia="宋体" w:cs="宋体"/>
          <w:bCs w:val="0"/>
          <w:sz w:val="28"/>
          <w:szCs w:val="28"/>
        </w:rPr>
      </w:pPr>
      <w:bookmarkStart w:id="125" w:name="_Toc11329225"/>
    </w:p>
    <w:p>
      <w:pPr>
        <w:pStyle w:val="4"/>
        <w:jc w:val="center"/>
        <w:rPr>
          <w:rFonts w:ascii="宋体" w:hAnsi="宋体" w:cs="宋体"/>
          <w:b w:val="0"/>
          <w:sz w:val="28"/>
          <w:szCs w:val="28"/>
        </w:rPr>
      </w:pPr>
      <w:bookmarkStart w:id="126" w:name="_Toc5047"/>
      <w:bookmarkStart w:id="127" w:name="_Toc12296"/>
      <w:bookmarkStart w:id="128" w:name="_Toc26749"/>
      <w:bookmarkStart w:id="129" w:name="_Toc2830"/>
      <w:bookmarkStart w:id="130" w:name="_Toc10083"/>
      <w:r>
        <w:rPr>
          <w:rFonts w:hint="eastAsia" w:ascii="宋体" w:hAnsi="宋体" w:eastAsia="宋体" w:cs="宋体"/>
          <w:bCs w:val="0"/>
          <w:sz w:val="28"/>
          <w:szCs w:val="28"/>
        </w:rPr>
        <w:t>附录4 资格审查条件（信誉最低要求）</w:t>
      </w:r>
      <w:bookmarkEnd w:id="125"/>
      <w:bookmarkEnd w:id="126"/>
      <w:bookmarkEnd w:id="127"/>
      <w:bookmarkEnd w:id="128"/>
      <w:bookmarkEnd w:id="129"/>
      <w:bookmarkEnd w:id="130"/>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25591"/>
      <w:bookmarkStart w:id="132" w:name="_Toc14083"/>
      <w:bookmarkStart w:id="133" w:name="_Toc21425"/>
      <w:bookmarkStart w:id="134" w:name="_Toc27096"/>
      <w:bookmarkStart w:id="135" w:name="_Toc12773"/>
      <w:bookmarkStart w:id="136" w:name="_Toc11329226"/>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bookmarkEnd w:id="136"/>
    </w:p>
    <w:p>
      <w:pPr>
        <w:spacing w:line="400" w:lineRule="exact"/>
        <w:jc w:val="center"/>
      </w:pPr>
      <w:r>
        <w:rPr>
          <w:rFonts w:hint="eastAsia" w:ascii="宋体" w:hAnsi="宋体" w:cs="宋体"/>
          <w:b/>
          <w:szCs w:val="21"/>
        </w:rPr>
        <w:t>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8534043"/>
            <w:bookmarkStart w:id="138"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无。 </w:t>
            </w:r>
          </w:p>
        </w:tc>
      </w:tr>
    </w:tbl>
    <w:p>
      <w:pPr>
        <w:spacing w:line="400" w:lineRule="exact"/>
        <w:jc w:val="center"/>
        <w:rPr>
          <w:rFonts w:ascii="宋体" w:hAnsi="宋体" w:cs="宋体"/>
          <w:szCs w:val="21"/>
        </w:rPr>
      </w:pPr>
      <w:r>
        <w:rPr>
          <w:rFonts w:hint="eastAsia" w:ascii="宋体" w:hAnsi="宋体" w:cs="宋体"/>
          <w:szCs w:val="21"/>
        </w:rPr>
        <w:t xml:space="preserve">   </w:t>
      </w:r>
      <w:r>
        <w:rPr>
          <w:rFonts w:hint="eastAsia" w:hAnsi="宋体"/>
          <w:b/>
          <w:bCs/>
          <w:szCs w:val="21"/>
        </w:rPr>
        <w:t>注：报价人自行承诺即可，无需提供相关证明材料，并加盖单位鲜公章。</w:t>
      </w:r>
    </w:p>
    <w:p>
      <w:pPr>
        <w:pStyle w:val="2"/>
      </w:pP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w:t>
      </w:r>
      <w:r>
        <w:rPr>
          <w:rFonts w:hint="eastAsia" w:hAnsi="宋体"/>
          <w:b/>
          <w:bCs/>
          <w:color w:val="auto"/>
          <w:sz w:val="21"/>
          <w:szCs w:val="21"/>
          <w:lang w:val="en-US" w:eastAsia="zh-CN"/>
        </w:rPr>
        <w:t>5</w:t>
      </w:r>
      <w:r>
        <w:rPr>
          <w:rFonts w:hint="eastAsia" w:hAnsi="宋体"/>
          <w:b/>
          <w:bCs/>
          <w:color w:val="auto"/>
          <w:sz w:val="21"/>
          <w:szCs w:val="21"/>
        </w:rPr>
        <w:t>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bookmarkEnd w:id="137"/>
    <w:bookmarkEnd w:id="13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139" w:name="_Toc246996230"/>
      <w:bookmarkStart w:id="140" w:name="_Toc144974554"/>
      <w:bookmarkStart w:id="141" w:name="_Toc507319957"/>
      <w:bookmarkStart w:id="142" w:name="_Toc152045587"/>
      <w:bookmarkStart w:id="143" w:name="_Toc2000406"/>
      <w:bookmarkStart w:id="144" w:name="_Toc152042364"/>
      <w:bookmarkStart w:id="145" w:name="_Toc9135"/>
      <w:bookmarkStart w:id="146" w:name="_Toc246996973"/>
      <w:bookmarkStart w:id="147" w:name="_Toc247085745"/>
      <w:bookmarkStart w:id="148" w:name="_Toc7682"/>
      <w:bookmarkStart w:id="149" w:name="_Toc179632605"/>
      <w:r>
        <w:rPr>
          <w:rFonts w:hint="eastAsia" w:ascii="宋体" w:hAnsi="宋体" w:cs="宋体"/>
        </w:rPr>
        <w:t>评标办法（综合</w:t>
      </w:r>
      <w:r>
        <w:rPr>
          <w:rFonts w:hint="eastAsia" w:ascii="宋体" w:hAnsi="宋体" w:cs="宋体"/>
          <w:szCs w:val="21"/>
        </w:rPr>
        <w:t>评分</w:t>
      </w:r>
      <w:r>
        <w:rPr>
          <w:rFonts w:hint="eastAsia" w:ascii="宋体" w:hAnsi="宋体" w:cs="宋体"/>
        </w:rPr>
        <w:t>法）</w:t>
      </w:r>
      <w:bookmarkEnd w:id="139"/>
      <w:bookmarkEnd w:id="140"/>
      <w:bookmarkEnd w:id="141"/>
      <w:bookmarkEnd w:id="142"/>
      <w:bookmarkEnd w:id="143"/>
      <w:bookmarkEnd w:id="144"/>
      <w:bookmarkEnd w:id="145"/>
      <w:bookmarkEnd w:id="146"/>
      <w:bookmarkEnd w:id="147"/>
      <w:bookmarkEnd w:id="148"/>
      <w:bookmarkEnd w:id="149"/>
    </w:p>
    <w:p/>
    <w:tbl>
      <w:tblPr>
        <w:tblStyle w:val="41"/>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263"/>
        <w:gridCol w:w="2050"/>
        <w:gridCol w:w="5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59"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470"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96" w:type="dxa"/>
            <w:tcBorders>
              <w:top w:val="single" w:color="auto" w:sz="4" w:space="0"/>
              <w:right w:val="single" w:color="auto" w:sz="4" w:space="0"/>
            </w:tcBorders>
            <w:vAlign w:val="center"/>
          </w:tcPr>
          <w:p>
            <w:pPr>
              <w:spacing w:line="400" w:lineRule="exact"/>
              <w:jc w:val="center"/>
            </w:pPr>
            <w:r>
              <w:t>1</w:t>
            </w:r>
          </w:p>
        </w:tc>
        <w:tc>
          <w:tcPr>
            <w:tcW w:w="1263"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中标候选人排序方法</w:t>
            </w:r>
          </w:p>
        </w:tc>
        <w:tc>
          <w:tcPr>
            <w:tcW w:w="5470" w:type="dxa"/>
            <w:tcBorders>
              <w:top w:val="single" w:color="auto" w:sz="4" w:space="0"/>
              <w:left w:val="single" w:color="auto" w:sz="4" w:space="0"/>
              <w:bottom w:val="single" w:color="auto" w:sz="4" w:space="0"/>
            </w:tcBorders>
          </w:tcPr>
          <w:p>
            <w:pPr>
              <w:spacing w:line="400" w:lineRule="exact"/>
            </w:pPr>
            <w:r>
              <w:rPr>
                <w:rFonts w:hint="eastAsia"/>
              </w:rPr>
              <w:t>报价人得分=A+B+C，对通过初步评审的报价人按照投标总得分（商务+技术+报价）由从高到低的先后顺序。如出现得分(精确到小数点后两位)相等时，按以下原则确定第一中标候选人：</w:t>
            </w:r>
          </w:p>
          <w:p>
            <w:pPr>
              <w:spacing w:line="400" w:lineRule="exact"/>
            </w:pPr>
            <w:r>
              <w:rPr>
                <w:rFonts w:hint="eastAsia"/>
              </w:rPr>
              <w:t>（1）以评标价低的报价人优先；</w:t>
            </w:r>
          </w:p>
          <w:p>
            <w:pPr>
              <w:spacing w:line="400" w:lineRule="exact"/>
            </w:pPr>
            <w:r>
              <w:rPr>
                <w:rFonts w:hint="eastAsia"/>
              </w:rPr>
              <w:t>（2）如评标价也相同时，以技术得分较高的报价人优先；</w:t>
            </w:r>
          </w:p>
          <w:p>
            <w:pPr>
              <w:spacing w:line="400" w:lineRule="exact"/>
            </w:pPr>
            <w:r>
              <w:rPr>
                <w:rFonts w:hint="eastAsia"/>
              </w:rPr>
              <w:t>（3）如技术得分也相同时，以商务得分高的优先；</w:t>
            </w:r>
          </w:p>
          <w:p>
            <w:pPr>
              <w:spacing w:line="400" w:lineRule="exact"/>
            </w:pPr>
            <w:r>
              <w:rPr>
                <w:rFonts w:hint="eastAsia"/>
              </w:rPr>
              <w:t>（4）</w:t>
            </w:r>
            <w:r>
              <w:t>如商务得分也</w:t>
            </w:r>
            <w:r>
              <w:rPr>
                <w:rFonts w:hint="eastAsia"/>
              </w:rPr>
              <w:t>相</w:t>
            </w:r>
            <w: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263"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报价人名称</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报价函签字盖章</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竞争性比选响应文件格式</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符合第九章“竞争性比选响应文件格式”的要求，字迹清晰可辨。</w:t>
            </w:r>
          </w:p>
          <w:p>
            <w:pPr>
              <w:spacing w:line="400" w:lineRule="exact"/>
            </w:pPr>
            <w:r>
              <w:rPr>
                <w:rFonts w:hint="eastAsia"/>
              </w:rPr>
              <w:t>1.报价函的所有数据均符合比选文件的规定；</w:t>
            </w:r>
          </w:p>
          <w:p>
            <w:pPr>
              <w:spacing w:line="400" w:lineRule="exact"/>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已标价工程量清单</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470" w:type="dxa"/>
            <w:tcBorders>
              <w:top w:val="single" w:color="auto" w:sz="4" w:space="0"/>
              <w:left w:val="single" w:color="auto" w:sz="4" w:space="0"/>
            </w:tcBorders>
            <w:vAlign w:val="center"/>
          </w:tcPr>
          <w:p>
            <w:pPr>
              <w:spacing w:line="400" w:lineRule="exact"/>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470" w:type="dxa"/>
            <w:tcBorders>
              <w:top w:val="single" w:color="auto" w:sz="4" w:space="0"/>
              <w:left w:val="single" w:color="auto" w:sz="4" w:space="0"/>
              <w:bottom w:val="single" w:color="auto" w:sz="4" w:space="0"/>
            </w:tcBorders>
          </w:tcPr>
          <w:p>
            <w:pPr>
              <w:spacing w:line="400" w:lineRule="exact"/>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7"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A：投标报价50分；</w:t>
            </w:r>
          </w:p>
          <w:p>
            <w:pPr>
              <w:spacing w:line="400" w:lineRule="exact"/>
              <w:ind w:firstLine="420"/>
            </w:pPr>
            <w:r>
              <w:rPr>
                <w:rFonts w:hint="eastAsia"/>
              </w:rPr>
              <w:t>B：商务部分20分；</w:t>
            </w:r>
          </w:p>
          <w:p>
            <w:pPr>
              <w:spacing w:line="400" w:lineRule="exact"/>
              <w:ind w:firstLine="420"/>
            </w:pPr>
            <w:r>
              <w:rPr>
                <w:rFonts w:hint="eastAsia"/>
              </w:rPr>
              <w:t>C：技术部分30分。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1</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报价部分</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（50分）</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（1）满足招标文件要求，有效的投标报价的平均值为评标基准价。</w:t>
            </w:r>
          </w:p>
          <w:p>
            <w:pPr>
              <w:spacing w:line="400" w:lineRule="exact"/>
              <w:ind w:firstLine="420"/>
            </w:pPr>
            <w:r>
              <w:rPr>
                <w:rFonts w:hint="eastAsia"/>
              </w:rPr>
              <w:t>（2）偏差率=100%×（投标人报价－评标基准价）/评标基准价。</w:t>
            </w:r>
          </w:p>
          <w:p>
            <w:pPr>
              <w:spacing w:line="400" w:lineRule="exact"/>
              <w:ind w:firstLine="420"/>
              <w:rPr>
                <w:rFonts w:hint="eastAsia" w:eastAsia="宋体"/>
                <w:lang w:eastAsia="zh-CN"/>
              </w:rPr>
            </w:pPr>
            <w:r>
              <w:rPr>
                <w:rFonts w:hint="eastAsia"/>
              </w:rPr>
              <w:t>（3）经评审的有效投标报价与评标基准价相比，等于基准价的得50分，每增加1%扣0.5分，每减少1%扣0.25分，扣完为止。</w:t>
            </w:r>
            <w:r>
              <w:rPr>
                <w:rFonts w:hint="eastAsia"/>
                <w:lang w:eastAsia="zh-CN"/>
              </w:rPr>
              <w:t>（</w:t>
            </w:r>
            <w:r>
              <w:rPr>
                <w:rFonts w:hint="eastAsia"/>
                <w:lang w:val="en-US" w:eastAsia="zh-CN"/>
              </w:rPr>
              <w:t>线性</w:t>
            </w:r>
            <w:r>
              <w:rPr>
                <w:rFonts w:hint="eastAsia"/>
                <w:lang w:eastAsia="zh-CN"/>
              </w:rPr>
              <w:t>）</w:t>
            </w:r>
          </w:p>
          <w:p>
            <w:pPr>
              <w:spacing w:line="400" w:lineRule="exact"/>
              <w:ind w:firstLine="420"/>
            </w:pPr>
            <w:r>
              <w:rPr>
                <w:rFonts w:hint="eastAsia"/>
              </w:rPr>
              <w:t>（4）结果保留2位小数。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2</w:t>
            </w:r>
          </w:p>
        </w:tc>
        <w:tc>
          <w:tcPr>
            <w:tcW w:w="1263" w:type="dxa"/>
            <w:vMerge w:val="restart"/>
            <w:tcBorders>
              <w:top w:val="single" w:color="auto" w:sz="4" w:space="0"/>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（20分）</w:t>
            </w: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报价人实力</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因项目涉及到项目管理系统的安装、实施和售后支持，报价人需有对应的支持服务能力，有报价产品独立著作权的得4分，其余不得分。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项目团队</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有项目管理资质证书，例如PMP证书、PO证书、ScrumMaster证书、看板证书等，每项证书得1分，本项最多得4分，未提供不得分。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本地化服务</w:t>
            </w:r>
          </w:p>
          <w:p>
            <w:pPr>
              <w:spacing w:line="400" w:lineRule="exact"/>
              <w:ind w:firstLine="420"/>
            </w:pPr>
            <w:r>
              <w:rPr>
                <w:rFonts w:hint="eastAsia"/>
              </w:rPr>
              <w:t>（8分）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报价人有ISO9001认证、ISO27001认证、ISO20000认证、CMMI体系认证等，每项资质得2分，本项最多得8分。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bottom w:val="single" w:color="auto" w:sz="4" w:space="0"/>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报价人业绩</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2020年以来，报价人独立承担过信息化系统建设或改造项目。提供1个得1分；本项最多得4分，未提供不得分。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3</w:t>
            </w:r>
          </w:p>
        </w:tc>
        <w:tc>
          <w:tcPr>
            <w:tcW w:w="1263" w:type="dxa"/>
            <w:vMerge w:val="restart"/>
            <w:tcBorders>
              <w:top w:val="single" w:color="auto" w:sz="4" w:space="0"/>
              <w:left w:val="single" w:color="auto" w:sz="4" w:space="0"/>
              <w:right w:val="single" w:color="auto" w:sz="4" w:space="0"/>
            </w:tcBorders>
            <w:vAlign w:val="center"/>
          </w:tcPr>
          <w:p>
            <w:pPr>
              <w:tabs>
                <w:tab w:val="left" w:pos="1875"/>
              </w:tabs>
              <w:spacing w:line="400" w:lineRule="exact"/>
              <w:jc w:val="center"/>
            </w:pPr>
            <w:r>
              <w:rPr>
                <w:rFonts w:hint="eastAsia"/>
              </w:rPr>
              <w:t>技术部分（30分）</w:t>
            </w: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起评分数</w:t>
            </w:r>
          </w:p>
          <w:p>
            <w:pPr>
              <w:spacing w:line="400" w:lineRule="exact"/>
              <w:ind w:firstLine="420"/>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各投标人起评分数5分，根据第七章技术标准和工作要求中的功能需求，发现一项负偏离扣1分，扣完为止。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整体方案</w:t>
            </w:r>
          </w:p>
          <w:p>
            <w:pPr>
              <w:spacing w:line="400" w:lineRule="exact"/>
              <w:ind w:firstLine="420"/>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方案能完整覆盖研发项目核心流程、具有完全的软件生命周期管理，支持常见的软件开发模型和C</w:t>
            </w:r>
            <w:r>
              <w:t>MMI</w:t>
            </w:r>
            <w:r>
              <w:rPr>
                <w:rFonts w:hint="eastAsia"/>
              </w:rPr>
              <w:t>管理标准，能支持二次开发，并可以私有化部署。</w:t>
            </w:r>
          </w:p>
          <w:p>
            <w:pPr>
              <w:spacing w:line="400" w:lineRule="exact"/>
            </w:pPr>
            <w:r>
              <w:rPr>
                <w:rFonts w:hint="eastAsia"/>
              </w:rPr>
              <w:t>优：方案详细，有针对性，合理可行，分值5分；</w:t>
            </w:r>
          </w:p>
          <w:p>
            <w:pPr>
              <w:spacing w:line="400" w:lineRule="exact"/>
            </w:pPr>
            <w:r>
              <w:rPr>
                <w:rFonts w:hint="eastAsia"/>
              </w:rPr>
              <w:t>良：方案较为详细，较合理可行，分值3分；</w:t>
            </w:r>
          </w:p>
          <w:p>
            <w:pPr>
              <w:spacing w:line="400" w:lineRule="exact"/>
              <w:rPr>
                <w:rFonts w:hint="eastAsia"/>
              </w:rPr>
            </w:pPr>
            <w:r>
              <w:rPr>
                <w:rFonts w:hint="eastAsia"/>
              </w:rPr>
              <w:t>一般：方案一般，基本可行，分值1分；</w:t>
            </w:r>
          </w:p>
          <w:p>
            <w:pPr>
              <w:spacing w:line="400" w:lineRule="exact"/>
            </w:pPr>
            <w:r>
              <w:rPr>
                <w:rFonts w:hint="eastAsia"/>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rPr>
                <w:rFonts w:hint="eastAsia"/>
              </w:rPr>
            </w:pPr>
            <w:r>
              <w:rPr>
                <w:rFonts w:hint="eastAsia"/>
              </w:rPr>
              <w:t>项目及产品管理功能模块</w:t>
            </w:r>
          </w:p>
          <w:p>
            <w:pPr>
              <w:spacing w:line="400" w:lineRule="exact"/>
              <w:jc w:val="center"/>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方案能满足多层级项目集合管理、项目集管理架构展示、项目整理进度视图功能；项目的风险、机会、度量、QA管理，配置管理，进度超期预警；产品的路标和版本管理功能。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pStyle w:val="2"/>
              <w:rPr>
                <w:rFonts w:ascii="Times New Roman" w:hAnsi="Times New Roman"/>
                <w:b w:val="0"/>
                <w:bCs w:val="0"/>
                <w:caps w:val="0"/>
                <w:sz w:val="21"/>
                <w:szCs w:val="24"/>
              </w:rPr>
            </w:pPr>
            <w:r>
              <w:rPr>
                <w:rFonts w:hint="eastAsia" w:ascii="Times New Roman" w:hAnsi="Times New Roman"/>
                <w:b w:val="0"/>
                <w:bCs w:val="0"/>
                <w:caps w:val="0"/>
                <w:sz w:val="21"/>
                <w:szCs w:val="24"/>
              </w:rPr>
              <w:t>差：功能一般，基本契合需求，分值</w:t>
            </w:r>
            <w:r>
              <w:rPr>
                <w:rFonts w:ascii="Times New Roman" w:hAnsi="Times New Roman"/>
                <w:b w:val="0"/>
                <w:bCs w:val="0"/>
                <w:caps w:val="0"/>
                <w:sz w:val="21"/>
                <w:szCs w:val="24"/>
              </w:rPr>
              <w:t>1</w:t>
            </w:r>
            <w:r>
              <w:rPr>
                <w:rFonts w:hint="eastAsia" w:ascii="Times New Roman" w:hAnsi="Times New Roman"/>
                <w:b w:val="0"/>
                <w:bCs w:val="0"/>
                <w:caps w:val="0"/>
                <w:sz w:val="21"/>
                <w:szCs w:val="24"/>
              </w:rPr>
              <w:t>分；</w:t>
            </w:r>
          </w:p>
          <w:p>
            <w:pPr>
              <w:rPr>
                <w:rFonts w:hint="eastAsia"/>
              </w:rPr>
            </w:pPr>
            <w:r>
              <w:rPr>
                <w:rFonts w:hint="eastAsia"/>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需求及工时管理功能模块</w:t>
            </w:r>
          </w:p>
          <w:p>
            <w:pPr>
              <w:pStyle w:val="2"/>
              <w:jc w:val="center"/>
              <w:rPr>
                <w:rFonts w:ascii="Times New Roman" w:hAnsi="Times New Roman"/>
                <w:b w:val="0"/>
                <w:bCs w:val="0"/>
                <w:caps w:val="0"/>
                <w:sz w:val="21"/>
                <w:szCs w:val="24"/>
              </w:rP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需求导入导出、需求编码跟踪、需求与产品及项目关联、需求池管理、需求变更管理、需求分类规划管理、个人项目任务层级工时提报、预计工时与实际工时对比、工时日历、工时数据多维度统计报表、人力资源工时分布等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w:t>
            </w:r>
            <w:r>
              <w:t>1</w:t>
            </w:r>
            <w:r>
              <w:rPr>
                <w:rFonts w:hint="eastAsia"/>
              </w:rPr>
              <w:t>分；</w:t>
            </w:r>
          </w:p>
          <w:p>
            <w:pPr>
              <w:pStyle w:val="2"/>
              <w:rPr>
                <w:rFonts w:hint="eastAsia"/>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缺陷及测试管理功能模块</w:t>
            </w:r>
          </w:p>
          <w:p>
            <w:pPr>
              <w:pStyle w:val="2"/>
              <w:jc w:val="center"/>
              <w:rPr>
                <w:rFonts w:ascii="Times New Roman" w:hAnsi="Times New Roman"/>
                <w:b w:val="0"/>
                <w:bCs w:val="0"/>
                <w:caps w:val="0"/>
                <w:sz w:val="21"/>
                <w:szCs w:val="24"/>
              </w:rP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BUG提交关联、BUG跟踪、缺陷报表统计、缺陷处理及时性和时效性统计、测试用例导入导出、需求创建用例或自动关联测试用例、测试用例分派关联、测试报告生成、手动创建测试任务及调整测试计划等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差：功能一般，基本契合需求，分值1分；</w:t>
            </w:r>
          </w:p>
          <w:p>
            <w:pPr>
              <w:pStyle w:val="2"/>
              <w:rPr>
                <w:rFonts w:hint="eastAsia"/>
                <w:b w:val="0"/>
                <w:bCs w:val="0"/>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知识管理及其他功能模块</w:t>
            </w:r>
          </w:p>
          <w:p>
            <w:pPr>
              <w:pStyle w:val="2"/>
              <w:jc w:val="cente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产品开发过程文档上传、知识文档关联项目或任务、支持库区分权限、多条件联合搜索、知识万当在线预览及编辑、支持与SVN、Git、GitLab等配置管理工具的集成，支持与主流自动化测试工具集成、支持安全验证，支持apache、mysql和php的架构，支持直接网页访问，支持与邮件、企业微信、短信等即时通知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差：功能一般，基本契合需求，分值1分；</w:t>
            </w:r>
          </w:p>
          <w:p>
            <w:pPr>
              <w:pStyle w:val="2"/>
              <w:rPr>
                <w:rFonts w:hint="eastAsia"/>
                <w:b w:val="0"/>
                <w:bCs w:val="0"/>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696"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综合</w:t>
            </w:r>
            <w:r>
              <w:rPr>
                <w:rFonts w:hint="eastAsia" w:ascii="宋体" w:hAnsi="宋体" w:cs="宋体"/>
                <w:szCs w:val="21"/>
              </w:rPr>
              <w:t>评分</w:t>
            </w:r>
            <w:r>
              <w:t>法。</w:t>
            </w:r>
          </w:p>
          <w:p>
            <w:pPr>
              <w:spacing w:line="400" w:lineRule="exact"/>
              <w:ind w:firstLine="420" w:firstLineChars="200"/>
            </w:pPr>
            <w:r>
              <w:rPr>
                <w:rFonts w:hint="eastAsia"/>
              </w:rPr>
              <w:t>1.初步评审前，按规定对投标报价有算术性错误的进行算术性错误修正，并对所有报价人递交的竞争性比选响应文件进行初步评审（形式、资格、响应评审）。</w:t>
            </w:r>
          </w:p>
          <w:p>
            <w:pPr>
              <w:spacing w:line="400" w:lineRule="exact"/>
              <w:ind w:firstLine="420" w:firstLineChars="200"/>
            </w:pPr>
            <w:r>
              <w:rPr>
                <w:rFonts w:hint="eastAsia"/>
              </w:rPr>
              <w:t>2.初步评审合格的才进行详细评审。</w:t>
            </w:r>
          </w:p>
          <w:p>
            <w:pPr>
              <w:spacing w:line="400" w:lineRule="exact"/>
              <w:ind w:firstLine="420" w:firstLineChars="200"/>
            </w:pPr>
            <w:r>
              <w:rPr>
                <w:rFonts w:hint="eastAsia"/>
              </w:rPr>
              <w:t>3.报价人得分=A+B+C，对通过初步评审的报价人按照投标总得分（商务+技术+报价）由从高到低的先后顺序推荐2名中标候选人。保留2位小数。</w:t>
            </w:r>
          </w:p>
        </w:tc>
      </w:tr>
    </w:tbl>
    <w:p>
      <w:pPr>
        <w:spacing w:line="360"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（一）符合性审查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评标委员会应当对符合资格的报价人的投标文件进行符合性审查，以确定其是否满足招标文件的实质性要求。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（三）比较与评价。按招标文件中规定的评标方法和标准，对资格审查和符合性审查合格的投标文件进行商务和技术评估。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复核后，评标委员会汇总每个报价人每项评分因素的得分。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（四）推荐中标候选人名单。</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按评审后得分由高到低的排列顺序推荐综合得分前</w:t>
      </w:r>
      <w:r>
        <w:rPr>
          <w:rFonts w:hint="eastAsia"/>
        </w:rPr>
        <w:t>2名中标候选人</w:t>
      </w:r>
      <w:r>
        <w:rPr>
          <w:rFonts w:hint="eastAsia" w:ascii="宋体" w:hAnsi="宋体" w:cs="宋体"/>
          <w:szCs w:val="21"/>
        </w:rPr>
        <w:t>为本项目中标候选人。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六、无效投标条款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报价人或其投标文件出现下列情况之一者，应为无效投标：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（1）投标文件未按招标文件要求签署、盖章的；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（2）不具备招标文件中规定的资格要求的；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（3）报价超过招标文件中规定的预算金额或者最高限价的；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（4）投标文件含有采购人不能接受的附加条件的；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（5）报价人串通投标的；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（6）报价人组成联合体投标的；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（7）法律、法规和招标文件规定的其他无效情形。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七、废标条款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评标委员会评审时出现以下情况之一的，应予废标：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（1）符合专业条件的报价人或者对招标文件作实质响应的报价人不足三家的；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（2）报价人的报价均超过了采购预算，采购人不能支付的；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（3）出现影响采购公正的违法、违规行为的；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（4）因重大变故，采购任务取消的。</w:t>
      </w:r>
    </w:p>
    <w:p>
      <w:pPr>
        <w:pStyle w:val="2"/>
        <w:jc w:val="center"/>
      </w:pPr>
      <w:r>
        <w:rPr>
          <w:rFonts w:hint="eastAsia"/>
        </w:rPr>
        <w:br w:type="page"/>
      </w:r>
      <w:bookmarkStart w:id="150" w:name="_Toc363"/>
      <w:bookmarkStart w:id="151" w:name="_Toc13787"/>
      <w:r>
        <w:rPr>
          <w:rStyle w:val="81"/>
          <w:rFonts w:hint="eastAsia"/>
          <w:b/>
          <w:bCs/>
        </w:rPr>
        <w:t>第四章 报价说明</w:t>
      </w:r>
      <w:bookmarkEnd w:id="150"/>
      <w:bookmarkEnd w:id="151"/>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152" w:name="_Toc247085855"/>
      <w:bookmarkStart w:id="153" w:name="_Toc514858705"/>
      <w:bookmarkStart w:id="154" w:name="_Toc179632789"/>
      <w:bookmarkStart w:id="155" w:name="_Toc144974834"/>
      <w:bookmarkStart w:id="156" w:name="_Toc152045772"/>
      <w:bookmarkStart w:id="157" w:name="_Toc1532"/>
      <w:bookmarkStart w:id="158" w:name="_Toc24503"/>
      <w:bookmarkStart w:id="159" w:name="_Toc2000409"/>
      <w:bookmarkStart w:id="160" w:name="_Toc152042554"/>
      <w:bookmarkStart w:id="161" w:name="_Toc246997083"/>
      <w:bookmarkStart w:id="162" w:name="_Toc246996340"/>
      <w:bookmarkStart w:id="163" w:name="_Toc179632806"/>
      <w:bookmarkStart w:id="164" w:name="_Toc246997097"/>
      <w:bookmarkStart w:id="165" w:name="_Toc152042575"/>
      <w:bookmarkStart w:id="166" w:name="_Toc247085872"/>
      <w:bookmarkStart w:id="167" w:name="_Toc152045786"/>
      <w:bookmarkStart w:id="168" w:name="_Toc246996354"/>
      <w:bookmarkStart w:id="169" w:name="_Toc144974855"/>
      <w:r>
        <w:rPr>
          <w:rFonts w:hint="eastAsia" w:ascii="宋体" w:hAnsi="宋体" w:cs="宋体"/>
        </w:rPr>
        <w:t>第五章  工程量清单</w:t>
      </w:r>
      <w:bookmarkEnd w:id="152"/>
      <w:bookmarkEnd w:id="153"/>
      <w:bookmarkEnd w:id="154"/>
      <w:bookmarkEnd w:id="155"/>
      <w:bookmarkEnd w:id="156"/>
      <w:bookmarkEnd w:id="157"/>
      <w:bookmarkEnd w:id="158"/>
      <w:bookmarkEnd w:id="159"/>
      <w:bookmarkEnd w:id="160"/>
      <w:bookmarkEnd w:id="161"/>
      <w:bookmarkEnd w:id="162"/>
    </w:p>
    <w:p>
      <w:pPr>
        <w:ind w:firstLine="420"/>
        <w:jc w:val="left"/>
        <w:rPr>
          <w:rFonts w:ascii="宋体" w:hAnsi="宋体" w:cs="宋体"/>
          <w:b/>
        </w:rPr>
      </w:pPr>
      <w:bookmarkStart w:id="170" w:name="_Toc152045782"/>
      <w:bookmarkStart w:id="171" w:name="_Toc152042571"/>
      <w:bookmarkStart w:id="172" w:name="_Toc144974851"/>
      <w:bookmarkStart w:id="173" w:name="_Toc247085866"/>
      <w:bookmarkStart w:id="174" w:name="_Toc246997093"/>
      <w:bookmarkStart w:id="175" w:name="_Toc247096438"/>
      <w:bookmarkStart w:id="176" w:name="_Toc179632800"/>
      <w:bookmarkStart w:id="177" w:name="_Toc246996350"/>
    </w:p>
    <w:tbl>
      <w:tblPr>
        <w:tblStyle w:val="42"/>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938"/>
        <w:gridCol w:w="712"/>
        <w:gridCol w:w="1513"/>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69" w:type="dxa"/>
            <w:shd w:val="clear" w:color="auto" w:fill="auto"/>
            <w:vAlign w:val="center"/>
          </w:tcPr>
          <w:p>
            <w:pPr>
              <w:jc w:val="center"/>
              <w:rPr>
                <w:rFonts w:eastAsia="Times New Roman"/>
                <w:b/>
              </w:rPr>
            </w:pPr>
            <w:r>
              <w:rPr>
                <w:rFonts w:hint="eastAsia" w:eastAsia="Times New Roman"/>
                <w:b/>
              </w:rPr>
              <w:t>指标项</w:t>
            </w:r>
          </w:p>
        </w:tc>
        <w:tc>
          <w:tcPr>
            <w:tcW w:w="938" w:type="dxa"/>
            <w:shd w:val="clear" w:color="auto" w:fill="auto"/>
            <w:vAlign w:val="center"/>
          </w:tcPr>
          <w:p>
            <w:pPr>
              <w:jc w:val="center"/>
              <w:rPr>
                <w:rFonts w:eastAsia="Times New Roman"/>
                <w:b/>
              </w:rPr>
            </w:pPr>
            <w:r>
              <w:rPr>
                <w:rFonts w:hint="eastAsia" w:eastAsia="Times New Roman"/>
                <w:b/>
              </w:rPr>
              <w:t>单位</w:t>
            </w:r>
          </w:p>
        </w:tc>
        <w:tc>
          <w:tcPr>
            <w:tcW w:w="712" w:type="dxa"/>
            <w:shd w:val="clear" w:color="auto" w:fill="auto"/>
            <w:vAlign w:val="center"/>
          </w:tcPr>
          <w:p>
            <w:pPr>
              <w:jc w:val="center"/>
              <w:rPr>
                <w:rFonts w:eastAsia="Times New Roman"/>
                <w:b/>
              </w:rPr>
            </w:pPr>
            <w:r>
              <w:rPr>
                <w:rFonts w:hint="eastAsia" w:eastAsia="Times New Roman"/>
                <w:b/>
              </w:rPr>
              <w:t>数量</w:t>
            </w:r>
          </w:p>
        </w:tc>
        <w:tc>
          <w:tcPr>
            <w:tcW w:w="1513" w:type="dxa"/>
            <w:shd w:val="clear" w:color="auto" w:fill="auto"/>
            <w:vAlign w:val="center"/>
          </w:tcPr>
          <w:p>
            <w:pPr>
              <w:jc w:val="center"/>
              <w:rPr>
                <w:rFonts w:eastAsia="Times New Roman"/>
                <w:b/>
              </w:rPr>
            </w:pPr>
            <w:r>
              <w:rPr>
                <w:rFonts w:hint="eastAsia" w:eastAsia="Times New Roman"/>
                <w:b/>
              </w:rPr>
              <w:t>报价（元）</w:t>
            </w:r>
          </w:p>
        </w:tc>
        <w:tc>
          <w:tcPr>
            <w:tcW w:w="2962" w:type="dxa"/>
            <w:shd w:val="clear" w:color="auto" w:fill="auto"/>
            <w:vAlign w:val="center"/>
          </w:tcPr>
          <w:p>
            <w:pPr>
              <w:jc w:val="center"/>
              <w:rPr>
                <w:rFonts w:eastAsia="Times New Roman"/>
                <w:b/>
              </w:rPr>
            </w:pPr>
            <w:r>
              <w:rPr>
                <w:rFonts w:hint="eastAsia"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9" w:type="dxa"/>
            <w:vAlign w:val="center"/>
          </w:tcPr>
          <w:p>
            <w:pPr>
              <w:jc w:val="center"/>
              <w:rPr>
                <w:rFonts w:eastAsia="Times New Roman"/>
                <w:bCs/>
              </w:rPr>
            </w:pPr>
            <w:r>
              <w:rPr>
                <w:rFonts w:hint="eastAsia" w:ascii="宋体" w:hAnsi="宋体" w:eastAsia="Times New Roman" w:cs="宋体"/>
                <w:szCs w:val="21"/>
              </w:rPr>
              <w:t>重庆首讯科技股份有限公司项目开发管理系统</w:t>
            </w:r>
          </w:p>
        </w:tc>
        <w:tc>
          <w:tcPr>
            <w:tcW w:w="938" w:type="dxa"/>
            <w:vAlign w:val="center"/>
          </w:tcPr>
          <w:p>
            <w:pPr>
              <w:jc w:val="center"/>
              <w:rPr>
                <w:rFonts w:eastAsia="Times New Roman"/>
                <w:bCs/>
              </w:rPr>
            </w:pPr>
            <w:r>
              <w:rPr>
                <w:rFonts w:hint="eastAsia" w:eastAsia="Times New Roman"/>
                <w:bCs/>
              </w:rPr>
              <w:t>套</w:t>
            </w:r>
          </w:p>
        </w:tc>
        <w:tc>
          <w:tcPr>
            <w:tcW w:w="712" w:type="dxa"/>
            <w:vAlign w:val="center"/>
          </w:tcPr>
          <w:p>
            <w:pPr>
              <w:jc w:val="center"/>
              <w:rPr>
                <w:rFonts w:eastAsia="Times New Roman"/>
                <w:bCs/>
              </w:rPr>
            </w:pPr>
            <w:r>
              <w:rPr>
                <w:rFonts w:hint="eastAsia" w:eastAsia="Times New Roman"/>
                <w:bCs/>
              </w:rPr>
              <w:t>1</w:t>
            </w:r>
          </w:p>
        </w:tc>
        <w:tc>
          <w:tcPr>
            <w:tcW w:w="1513" w:type="dxa"/>
            <w:vAlign w:val="center"/>
          </w:tcPr>
          <w:p>
            <w:pPr>
              <w:jc w:val="center"/>
              <w:rPr>
                <w:rFonts w:eastAsia="Times New Roman"/>
                <w:bCs/>
              </w:rPr>
            </w:pPr>
          </w:p>
        </w:tc>
        <w:tc>
          <w:tcPr>
            <w:tcW w:w="2962" w:type="dxa"/>
            <w:vAlign w:val="center"/>
          </w:tcPr>
          <w:p>
            <w:pPr>
              <w:jc w:val="center"/>
              <w:rPr>
                <w:rFonts w:eastAsia="Times New Roman"/>
                <w:bCs/>
              </w:rPr>
            </w:pPr>
            <w:r>
              <w:rPr>
                <w:rFonts w:hint="eastAsia" w:eastAsia="Times New Roman"/>
                <w:bCs/>
              </w:rPr>
              <w:t>180个私有化部署，使用权限为终身的账号，另1个管理员账号，共计181个账号数量。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19" w:type="dxa"/>
            <w:gridSpan w:val="3"/>
            <w:vAlign w:val="center"/>
          </w:tcPr>
          <w:p>
            <w:pPr>
              <w:jc w:val="center"/>
              <w:rPr>
                <w:rFonts w:eastAsia="Times New Roman"/>
                <w:b/>
              </w:rPr>
            </w:pPr>
            <w:r>
              <w:rPr>
                <w:rFonts w:hint="eastAsia" w:eastAsia="Times New Roman"/>
                <w:b/>
              </w:rPr>
              <w:t>总报价</w:t>
            </w:r>
          </w:p>
        </w:tc>
        <w:tc>
          <w:tcPr>
            <w:tcW w:w="1513" w:type="dxa"/>
            <w:vAlign w:val="center"/>
          </w:tcPr>
          <w:p>
            <w:pPr>
              <w:jc w:val="center"/>
              <w:rPr>
                <w:rFonts w:eastAsia="Times New Roman"/>
                <w:b/>
              </w:rPr>
            </w:pPr>
          </w:p>
        </w:tc>
        <w:tc>
          <w:tcPr>
            <w:tcW w:w="2962" w:type="dxa"/>
            <w:vAlign w:val="center"/>
          </w:tcPr>
          <w:p>
            <w:pPr>
              <w:jc w:val="center"/>
              <w:rPr>
                <w:rFonts w:eastAsia="Times New Roman"/>
                <w:b/>
              </w:rPr>
            </w:pPr>
          </w:p>
        </w:tc>
      </w:tr>
    </w:tbl>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178" w:name="_Toc513633963"/>
      <w:bookmarkStart w:id="179" w:name="_Toc2000410"/>
      <w:bookmarkStart w:id="180" w:name="_Toc18088"/>
      <w:bookmarkStart w:id="181" w:name="_Toc12440"/>
      <w:bookmarkStart w:id="182" w:name="_Toc514858706"/>
      <w:bookmarkStart w:id="183" w:name="_Toc503951042"/>
      <w:bookmarkStart w:id="184" w:name="_Toc447827048"/>
      <w:r>
        <w:rPr>
          <w:rFonts w:hint="eastAsia" w:ascii="宋体" w:hAnsi="宋体" w:cs="宋体"/>
        </w:rPr>
        <w:t>第六章  图  纸</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85" w:name="_Toc152045785"/>
      <w:bookmarkStart w:id="186" w:name="_Toc152042574"/>
      <w:bookmarkStart w:id="187" w:name="_Toc144974854"/>
    </w:p>
    <w:p>
      <w:pPr>
        <w:pStyle w:val="3"/>
        <w:numPr>
          <w:ilvl w:val="0"/>
          <w:numId w:val="5"/>
        </w:numPr>
        <w:spacing w:before="0" w:after="0" w:line="360" w:lineRule="auto"/>
        <w:jc w:val="center"/>
        <w:rPr>
          <w:rFonts w:ascii="宋体" w:hAnsi="宋体" w:cs="宋体"/>
        </w:rPr>
      </w:pPr>
      <w:bookmarkStart w:id="188" w:name="_Toc10887"/>
      <w:bookmarkStart w:id="189" w:name="_Toc2000411"/>
      <w:bookmarkStart w:id="190" w:name="_Toc514858707"/>
      <w:bookmarkStart w:id="191" w:name="_Toc513633964"/>
      <w:bookmarkStart w:id="192" w:name="_Toc179632804"/>
      <w:bookmarkStart w:id="193" w:name="_Toc503951043"/>
      <w:bookmarkStart w:id="194" w:name="_Toc246996353"/>
      <w:bookmarkStart w:id="195" w:name="_Toc246997096"/>
      <w:bookmarkStart w:id="196" w:name="_Toc247085870"/>
      <w:bookmarkStart w:id="197" w:name="_Toc447827049"/>
      <w:r>
        <w:rPr>
          <w:rFonts w:hint="eastAsia" w:ascii="宋体" w:hAnsi="宋体" w:cs="宋体"/>
        </w:rPr>
        <w:t xml:space="preserve"> </w:t>
      </w:r>
      <w:bookmarkStart w:id="198" w:name="_Toc25212"/>
      <w:r>
        <w:rPr>
          <w:rFonts w:hint="eastAsia" w:ascii="宋体" w:hAnsi="宋体" w:cs="宋体"/>
        </w:rPr>
        <w:t>技术标准和工作要求</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bookmarkEnd w:id="163"/>
    <w:bookmarkEnd w:id="164"/>
    <w:bookmarkEnd w:id="165"/>
    <w:bookmarkEnd w:id="166"/>
    <w:bookmarkEnd w:id="167"/>
    <w:bookmarkEnd w:id="168"/>
    <w:bookmarkEnd w:id="169"/>
    <w:p>
      <w:pPr>
        <w:tabs>
          <w:tab w:val="left" w:pos="360"/>
        </w:tabs>
        <w:spacing w:line="400" w:lineRule="exact"/>
        <w:ind w:firstLine="420" w:firstLineChars="200"/>
        <w:rPr>
          <w:rFonts w:ascii="宋体" w:hAnsi="宋体" w:cs="宋体"/>
          <w:szCs w:val="21"/>
        </w:rPr>
      </w:pPr>
      <w:bookmarkStart w:id="199" w:name="_Toc12089"/>
      <w:bookmarkStart w:id="200" w:name="_Toc2000412"/>
      <w:bookmarkStart w:id="201" w:name="_Toc514430114"/>
      <w:bookmarkStart w:id="202" w:name="_Toc514858708"/>
      <w:bookmarkStart w:id="203" w:name="_Toc13280"/>
      <w:bookmarkStart w:id="204" w:name="_Toc507320039"/>
      <w:bookmarkStart w:id="205" w:name="_Toc152045787"/>
      <w:bookmarkStart w:id="206" w:name="_Toc246997098"/>
      <w:bookmarkStart w:id="207" w:name="_Toc246996355"/>
      <w:bookmarkStart w:id="208" w:name="_Toc179632807"/>
      <w:bookmarkStart w:id="209" w:name="_Toc144974856"/>
      <w:bookmarkStart w:id="210" w:name="_Toc247085873"/>
      <w:bookmarkStart w:id="211" w:name="_Toc152042576"/>
      <w:r>
        <w:rPr>
          <w:rFonts w:hint="eastAsia" w:ascii="宋体" w:hAnsi="宋体" w:cs="宋体"/>
          <w:szCs w:val="21"/>
        </w:rPr>
        <w:t>1、服务内容：本项目为重庆首讯科技股份有限公司项目开发管理系统，主要包括：</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（1）、项目集管理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支持多层级的项目集合管理，能够呈现出整体项目集和产品交付物与项目实施的管理架构，可提供项目整体的进度视图。</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（2）、产品管理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1）支持产品路标管理和版本管理，能够呈现出整体和各产品线的路标规划和迭代版本计划；</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2)支持迭代版本计划按时发布的统计；</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3)支持版本分类的区别标识，如正式发布版本、测评版本等</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（3）、需求管理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1）支持需求的导入和导出；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2）支持需求的编码跟踪，以及与测试用例和缺陷的关联，从分析后产品化需求——设计需求——开发任务——测试用例——测试结果——缺陷的关联跟踪；</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3）支持需求分发后与产品、版本及项目的关联；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4）支持需求的合并与分解，从一个原始需求分解为多个研发需求；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5）支持需求池的管理，维护展示所有的需求列表；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6）支持需求的状态查询，可查询需求所处的阶段和当前的负责人；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7）支持需求变更管理，变更后可展示出需求变更影响范围；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8）支持需求的分类规划管理，包含需求的模块、分支和平台。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9）支持需求以看板的形式统计展示。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10）支持需求跟踪矩阵功能，跟踪需求-&gt;任务-&gt;设计-&gt;用例-&gt;代码提交-&gt;缺陷，了解需求的整体生命周期及关联关系。</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（4）、项目管理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1）支持不同类型的项目管理模型，包含Scrum、瀑布和看板等；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2）支持项目的问题、风险、机会、度量、QA等管理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3）支持敏捷模式下需求到开发任务的分发下达与关联；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4）支持瀑布模式下自定义项目阶段模板，设置里程碑；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5）支持任务的导入和导出，同时支持多人任务；</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6）支持以甘特图的形式，展示整体项目进度；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7）支持项目配置管理，包含基线库管理、基线报告；</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8）支持生成项目周报和里程碑报告；</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9）支持项目进度和任务层级的超期预警；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10）支持产品开发项目的任务分发、非开发类项目的常规任务下达、维护类任务下达等，可以记录任务下达人员、负责人员、任务要求等信息；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11）支持维护任务的前后置关系，展示关键路径。</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（5）、工时管理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 xml:space="preserve">1）支持基于个人项目任务层级的工时提报，同一任务支持持续多次的工时提报直至任务完成；更新任务，系统自动生成对应的日志信息； </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2）支持以日历的形式，展示每天的日志信息和待办工作；</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3）支持任务预估工时与实际消耗工时的对比；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4)支持工时数据的自动统计报表，基于项目集、项目、部门、个人等维度的工时统计和个人总工时的汇总，支持后期个人工时与考勤数据的核对；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5)支持基于工时的人力资源分布分析，如人员在不同项目内的工时分布、人员负载平衡等；</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（6）、缺陷管理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1)支持BUG提交与测试用例及测试结果关联，BUG解决与项目、版本关联；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2)支持BUG提交并区分BUG来源，包含内部测试BUG和外部（如售后、制造等）提交的BUG；</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3）支持BUG的跟踪，可以根据缺陷类别定义BUG的处理流程和节点人员；</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4）支持缺陷报表统计，从产品、版本、测试人员、缺陷等级等维度进行统计分析；</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5）缺陷处理和解决关闭的及时性和时效统计；</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（7）、测试管理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1)支持测试用例的导入和导出以及在线维护，导入导出及在线维护可设置必须的审核审批流程；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2)可以根据需求创建测试用例或自动关联测试用例库内的用例；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3)支持根据测试用例分发测试任务到责任人，责任人可关联填报测试结果和关联提报BUG；</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4)支持测试报告的生成，测试报告至少应包含测试覆盖度、测试执行情况、缺陷分布、缺陷等级分布、缺陷增长趋势、关联测试人员等信息；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5)支持手动创建测试任务并分发给测试人员，支持测试计划的手动调整；</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（8）、知识管理</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1)支持产品开发过程文档（EXCEL、WORD</w:t>
      </w:r>
      <w:r>
        <w:rPr>
          <w:rFonts w:hint="eastAsia" w:ascii="宋体" w:hAnsi="宋体" w:cs="宋体"/>
          <w:szCs w:val="21"/>
          <w:lang w:eastAsia="zh-CN"/>
        </w:rPr>
        <w:t>、</w:t>
      </w:r>
      <w:r>
        <w:rPr>
          <w:rFonts w:hint="eastAsia" w:ascii="宋体" w:hAnsi="宋体" w:cs="宋体"/>
          <w:szCs w:val="21"/>
        </w:rPr>
        <w:t>PPT</w:t>
      </w:r>
      <w:r>
        <w:rPr>
          <w:rFonts w:hint="eastAsia" w:ascii="宋体" w:hAnsi="宋体" w:cs="宋体"/>
          <w:szCs w:val="21"/>
          <w:lang w:eastAsia="zh-CN"/>
        </w:rPr>
        <w:t>、</w:t>
      </w:r>
      <w:r>
        <w:rPr>
          <w:rFonts w:hint="eastAsia" w:ascii="宋体" w:hAnsi="宋体" w:cs="宋体"/>
          <w:szCs w:val="21"/>
          <w:lang w:val="en-US" w:eastAsia="zh-CN"/>
        </w:rPr>
        <w:t>图片、压缩包</w:t>
      </w:r>
      <w:r>
        <w:rPr>
          <w:rFonts w:hint="eastAsia" w:ascii="宋体" w:hAnsi="宋体" w:cs="宋体"/>
          <w:szCs w:val="21"/>
        </w:rPr>
        <w:t>等）作为附件上传，与任务关联或者与项目关联，便于按照项目或任务检索；</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2)支持不用类型模式进行知识管理，支持按不同知识库区分权限管理；</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3）支持附件内容的在线预览和编辑。</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）支持</w:t>
      </w:r>
      <w:r>
        <w:rPr>
          <w:rFonts w:hint="eastAsia" w:ascii="宋体" w:hAnsi="宋体" w:cs="宋体"/>
          <w:szCs w:val="21"/>
          <w:lang w:val="en-US" w:eastAsia="zh-CN"/>
        </w:rPr>
        <w:t>拖拽调整文档的目录结构</w:t>
      </w:r>
      <w:r>
        <w:rPr>
          <w:rFonts w:hint="eastAsia" w:ascii="宋体" w:hAnsi="宋体" w:cs="宋体"/>
          <w:szCs w:val="21"/>
        </w:rPr>
        <w:t>。</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）支持</w:t>
      </w:r>
      <w:r>
        <w:rPr>
          <w:rFonts w:hint="eastAsia" w:ascii="宋体" w:hAnsi="宋体" w:cs="宋体"/>
          <w:szCs w:val="21"/>
          <w:lang w:val="en-US" w:eastAsia="zh-CN"/>
        </w:rPr>
        <w:t>根据不同项目创建知识库目录，可以直接查看该项目所包含的一类文档类型，二类文档类型，三类文档烈性。</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）支持</w:t>
      </w:r>
      <w:r>
        <w:rPr>
          <w:rFonts w:hint="eastAsia" w:ascii="宋体" w:hAnsi="宋体" w:cs="宋体"/>
          <w:szCs w:val="21"/>
          <w:lang w:val="en-US" w:eastAsia="zh-CN"/>
        </w:rPr>
        <w:t>知识库整个库根据关键词检索，展示关键字相关的文档信息。</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（9）、DevOps CI/CD搭建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1)支持与SVN、Git、GitLab等配置管理工具的集成；</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2）支持与Jenkins的集成，支持自动构建；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3）支持集成SonarQube，通过构建任务出发SoanrQube扫描，展示扫描报告与问题列表。</w:t>
      </w:r>
    </w:p>
    <w:p>
      <w:pPr>
        <w:spacing w:line="480" w:lineRule="exact"/>
        <w:ind w:firstLine="422" w:firstLineChars="200"/>
        <w:rPr>
          <w:rFonts w:hint="default" w:ascii="宋体" w:hAnsi="宋体" w:eastAsia="宋体" w:cs="宋体"/>
          <w:b/>
          <w:bCs/>
          <w:szCs w:val="21"/>
          <w:highlight w:val="none"/>
          <w:lang w:eastAsia="zh-CN"/>
        </w:rPr>
      </w:pPr>
      <w:r>
        <w:rPr>
          <w:rFonts w:hint="eastAsia" w:ascii="宋体" w:hAnsi="宋体" w:cs="宋体"/>
          <w:b/>
          <w:bCs/>
          <w:szCs w:val="21"/>
          <w:highlight w:val="none"/>
        </w:rPr>
        <w:t>（10）、</w:t>
      </w:r>
      <w:r>
        <w:rPr>
          <w:rFonts w:hint="eastAsia" w:ascii="宋体" w:hAnsi="宋体" w:cs="宋体"/>
          <w:b/>
          <w:bCs/>
          <w:szCs w:val="21"/>
          <w:highlight w:val="none"/>
          <w:lang w:val="en-US" w:eastAsia="zh-CN"/>
        </w:rPr>
        <w:t>运维</w:t>
      </w:r>
      <w:r>
        <w:rPr>
          <w:rFonts w:hint="default" w:ascii="宋体" w:hAnsi="宋体" w:cs="宋体"/>
          <w:b/>
          <w:bCs/>
          <w:szCs w:val="21"/>
          <w:highlight w:val="none"/>
          <w:lang w:eastAsia="zh-CN"/>
        </w:rPr>
        <w:t>实施</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1)有运维实施独立模块，包括但不限于运维资产管理、运维工单管理、运维数据看板、实施项目管理、运维实施知识库；</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运维资产管理，主要功能包括但不限于机房主机、各级工控机及工作站、各项配置信息、各级业务系统信息，支持批量录入、表格导出，对应权限用户可编辑运维资产信息，支持条件和关键字搜索，最终实现运维资产的数据化、标准化；</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3)支持运维工单管理，包括但不限于创建运维工单、工单查询、工单处理、工单转需求/BUG/任务/代办、创建知识、关联知识；</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4)运维看板：从工单用户分布、工单类型、同类故障工单频率、工单时间分布、形成知识数量等多维度对运维数据进行统计分析，形成运维数据看板。</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实施项目管理：支持项目分类，新建项目时可按建设项目、开发项目、实施项目等进行标签分类，并按不同项目类型生成匹配的项目模板，时项目管理更有针对性；实施项目可选择要实施部署的软件产品及版本，同时关联该版本产品的功能描述、部署手册、操作手册等，实施人员可快捷查看和下载；实施项目各阶段实施任务、指派的实施人员、时间范围等相关信息填写完毕后，支持实施计划导出。</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w:t>
      </w:r>
      <w:r>
        <w:rPr>
          <w:rFonts w:hint="default" w:ascii="宋体" w:hAnsi="宋体" w:cs="宋体"/>
          <w:szCs w:val="21"/>
          <w:lang w:val="en-US" w:eastAsia="zh-CN"/>
        </w:rPr>
        <w:t>）具备运维实施知识库，支持标签标记知识、分类管理、条件及关键字搜索、支持分类统计图表。</w:t>
      </w:r>
    </w:p>
    <w:p>
      <w:pPr>
        <w:spacing w:line="480" w:lineRule="exact"/>
        <w:ind w:firstLine="422" w:firstLineChars="200"/>
        <w:rPr>
          <w:rFonts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1</w:t>
      </w:r>
      <w:r>
        <w:rPr>
          <w:rFonts w:hint="eastAsia" w:ascii="宋体" w:hAnsi="宋体" w:cs="宋体"/>
          <w:b/>
          <w:bCs/>
          <w:szCs w:val="21"/>
        </w:rPr>
        <w:t>）、其他</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1)支持私有化部署、支持安全验证；</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2）支持apache、mysql和php的架构</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3）支持直接网页访问</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4)开放API接口，支持第三方工具调用系统数据等；</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5)支持分角色的权限设置与调整，对应审批权限、查阅权限等的管理；</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6)支持售后培训，包括：产品，开发，运维等人员的分角色使用该项目管理软件的培训课程；</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7)支持与邮件、企业微信、短信等即时通知功能；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2、实施要求</w:t>
      </w:r>
      <w:r>
        <w:rPr>
          <w:rFonts w:hint="eastAsia" w:ascii="宋体" w:hAnsi="宋体" w:cs="宋体"/>
          <w:szCs w:val="21"/>
          <w:lang w:eastAsia="zh-CN"/>
        </w:rPr>
        <w:t>：</w:t>
      </w:r>
      <w:r>
        <w:rPr>
          <w:rFonts w:hint="eastAsia" w:ascii="宋体" w:hAnsi="宋体" w:cs="宋体"/>
          <w:szCs w:val="21"/>
        </w:rPr>
        <w:t>账号数量要求：180个，使用权限为终身的账号，另1个管理员账号，共计181个账号数量。</w:t>
      </w:r>
    </w:p>
    <w:p>
      <w:pPr>
        <w:pStyle w:val="2"/>
      </w:pPr>
    </w:p>
    <w:p>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、报价人需在收到中标通知书</w:t>
      </w:r>
      <w:r>
        <w:rPr>
          <w:rFonts w:hint="eastAsia" w:ascii="宋体" w:hAnsi="宋体" w:cs="宋体"/>
          <w:szCs w:val="21"/>
          <w:lang w:val="en-US" w:eastAsia="zh-CN"/>
        </w:rPr>
        <w:t>10</w:t>
      </w:r>
      <w:r>
        <w:rPr>
          <w:rFonts w:hint="eastAsia" w:ascii="宋体" w:hAnsi="宋体" w:cs="宋体"/>
          <w:szCs w:val="21"/>
        </w:rPr>
        <w:t>个日历日之内，按要求提供标的的项目开发管理系统并协助本地安装。</w:t>
      </w:r>
    </w:p>
    <w:p>
      <w:pPr>
        <w:pStyle w:val="3"/>
        <w:spacing w:before="0" w:after="0" w:line="360" w:lineRule="auto"/>
        <w:jc w:val="center"/>
        <w:rPr>
          <w:rFonts w:ascii="宋体" w:hAnsi="宋体" w:cs="宋体"/>
        </w:rPr>
      </w:pPr>
      <w:r>
        <w:rPr>
          <w:rFonts w:hint="eastAsia" w:ascii="宋体" w:hAnsi="宋体" w:cs="宋体"/>
        </w:rPr>
        <w:br w:type="page"/>
      </w:r>
      <w:bookmarkStart w:id="212" w:name="_Toc23208"/>
      <w:r>
        <w:rPr>
          <w:rFonts w:hint="eastAsia" w:ascii="宋体" w:hAnsi="宋体" w:cs="宋体"/>
        </w:rPr>
        <w:t>第八章  工程量清单计量规则</w:t>
      </w:r>
      <w:bookmarkEnd w:id="199"/>
      <w:bookmarkEnd w:id="200"/>
      <w:bookmarkEnd w:id="201"/>
      <w:bookmarkEnd w:id="202"/>
      <w:bookmarkEnd w:id="203"/>
      <w:bookmarkEnd w:id="212"/>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bookmarkStart w:id="213" w:name="_Toc8090"/>
      <w:r>
        <w:rPr>
          <w:rFonts w:hint="eastAsia" w:ascii="宋体" w:hAnsi="宋体" w:cs="宋体"/>
          <w:sz w:val="24"/>
          <w:szCs w:val="24"/>
        </w:rPr>
        <w:t>无。</w:t>
      </w:r>
      <w:bookmarkEnd w:id="213"/>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4" w:name="_Toc513633965"/>
    </w:p>
    <w:p>
      <w:pPr>
        <w:rPr>
          <w:rFonts w:ascii="宋体" w:hAnsi="宋体" w:cs="宋体"/>
        </w:rPr>
      </w:pPr>
    </w:p>
    <w:p>
      <w:pPr>
        <w:pStyle w:val="3"/>
        <w:spacing w:before="0" w:after="0" w:line="360" w:lineRule="auto"/>
        <w:jc w:val="center"/>
        <w:rPr>
          <w:rFonts w:ascii="宋体" w:hAnsi="宋体" w:cs="宋体"/>
        </w:rPr>
      </w:pPr>
      <w:bookmarkStart w:id="215" w:name="_Toc514858709"/>
      <w:bookmarkStart w:id="216" w:name="_Toc2000413"/>
      <w:bookmarkStart w:id="217" w:name="_Toc24853"/>
      <w:bookmarkStart w:id="218" w:name="_Toc22294"/>
      <w:r>
        <w:rPr>
          <w:rFonts w:hint="eastAsia" w:ascii="宋体" w:hAnsi="宋体" w:cs="宋体"/>
        </w:rPr>
        <w:t>第九章  竞争性比选响应文件格式</w:t>
      </w:r>
      <w:bookmarkEnd w:id="214"/>
      <w:bookmarkEnd w:id="215"/>
      <w:bookmarkEnd w:id="216"/>
      <w:bookmarkEnd w:id="217"/>
      <w:bookmarkEnd w:id="218"/>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19" w:name="_Toc513646738"/>
      <w:bookmarkStart w:id="220" w:name="_Toc514858710"/>
      <w:bookmarkStart w:id="221" w:name="_Toc513633967"/>
      <w:bookmarkStart w:id="222" w:name="_Toc503971829"/>
      <w:bookmarkStart w:id="223" w:name="_Toc503951046"/>
      <w:r>
        <w:rPr>
          <w:rFonts w:hint="eastAsia" w:ascii="宋体" w:hAnsi="宋体" w:cs="宋体"/>
          <w:u w:val="single"/>
        </w:rPr>
        <w:t xml:space="preserve">   </w:t>
      </w:r>
      <w:bookmarkEnd w:id="219"/>
      <w:bookmarkEnd w:id="220"/>
      <w:bookmarkEnd w:id="221"/>
      <w:bookmarkEnd w:id="222"/>
      <w:bookmarkEnd w:id="223"/>
      <w:r>
        <w:rPr>
          <w:rFonts w:hint="eastAsia" w:ascii="宋体" w:hAnsi="宋体" w:cs="宋体"/>
          <w:b/>
          <w:bCs/>
          <w:sz w:val="48"/>
          <w:szCs w:val="56"/>
          <w:u w:val="single"/>
        </w:rPr>
        <w:t>重庆首讯科技股份有限公司项目开发管理系统</w:t>
      </w:r>
      <w:r>
        <w:rPr>
          <w:rFonts w:hint="eastAsia" w:ascii="宋体" w:hAnsi="宋体" w:cs="宋体"/>
          <w:b/>
          <w:bCs/>
          <w:sz w:val="48"/>
          <w:szCs w:val="56"/>
          <w:u w:val="single"/>
          <w:lang w:eastAsia="zh-CN"/>
        </w:rPr>
        <w:t>（</w:t>
      </w:r>
      <w:r>
        <w:rPr>
          <w:rFonts w:hint="eastAsia" w:ascii="宋体" w:hAnsi="宋体" w:cs="宋体"/>
          <w:b/>
          <w:bCs/>
          <w:sz w:val="48"/>
          <w:szCs w:val="56"/>
          <w:u w:val="single"/>
          <w:lang w:val="en-US" w:eastAsia="zh-CN"/>
        </w:rPr>
        <w:t>第二次</w:t>
      </w:r>
      <w:r>
        <w:rPr>
          <w:rFonts w:hint="eastAsia" w:ascii="宋体" w:hAnsi="宋体" w:cs="宋体"/>
          <w:b/>
          <w:bCs/>
          <w:sz w:val="48"/>
          <w:szCs w:val="56"/>
          <w:u w:val="single"/>
          <w:lang w:eastAsia="zh-CN"/>
        </w:rPr>
        <w:t>）</w:t>
      </w:r>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4" w:name="_Toc5459"/>
      <w:bookmarkStart w:id="225" w:name="_Toc12693"/>
      <w:bookmarkStart w:id="226" w:name="_Toc1368"/>
      <w:bookmarkStart w:id="227" w:name="_Toc11078"/>
      <w:bookmarkStart w:id="228" w:name="_Toc11329273"/>
      <w:bookmarkStart w:id="229" w:name="_Toc28780"/>
      <w:r>
        <w:rPr>
          <w:rFonts w:hint="eastAsia" w:ascii="宋体" w:hAnsi="宋体" w:eastAsia="宋体" w:cs="宋体"/>
        </w:rPr>
        <w:t>目    录</w:t>
      </w:r>
      <w:bookmarkEnd w:id="204"/>
      <w:bookmarkEnd w:id="205"/>
      <w:bookmarkEnd w:id="206"/>
      <w:bookmarkEnd w:id="207"/>
      <w:bookmarkEnd w:id="208"/>
      <w:bookmarkEnd w:id="209"/>
      <w:bookmarkEnd w:id="210"/>
      <w:bookmarkEnd w:id="211"/>
      <w:bookmarkEnd w:id="224"/>
      <w:bookmarkEnd w:id="225"/>
      <w:bookmarkEnd w:id="226"/>
      <w:bookmarkEnd w:id="227"/>
      <w:bookmarkEnd w:id="228"/>
      <w:bookmarkEnd w:id="229"/>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hint="eastAsia" w:ascii="宋体" w:hAnsi="宋体" w:cs="宋体"/>
          <w:szCs w:val="21"/>
        </w:rPr>
      </w:pPr>
      <w:r>
        <w:rPr>
          <w:rFonts w:hint="eastAsia" w:ascii="宋体" w:hAnsi="宋体" w:cs="宋体"/>
        </w:rPr>
        <w:t>四、</w:t>
      </w:r>
      <w:r>
        <w:rPr>
          <w:rFonts w:hint="eastAsia" w:ascii="宋体" w:hAnsi="宋体" w:cs="宋体"/>
          <w:szCs w:val="21"/>
        </w:rPr>
        <w:t>报价人须知前附表规定的其他材料</w:t>
      </w:r>
    </w:p>
    <w:p>
      <w:pPr>
        <w:spacing w:line="400" w:lineRule="exact"/>
        <w:rPr>
          <w:rFonts w:ascii="宋体" w:hAnsi="宋体" w:cs="宋体"/>
        </w:rPr>
      </w:pPr>
      <w:r>
        <w:rPr>
          <w:rFonts w:hint="eastAsia" w:ascii="宋体" w:hAnsi="宋体" w:cs="宋体"/>
        </w:rPr>
        <w:t>五、报价人基本信息及其他材料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0" w:name="_Toc8870"/>
      <w:bookmarkStart w:id="231" w:name="_Toc11329274"/>
      <w:bookmarkStart w:id="232" w:name="_Toc4828"/>
      <w:bookmarkStart w:id="233" w:name="_Toc29547"/>
      <w:bookmarkStart w:id="234" w:name="_Toc25874"/>
      <w:bookmarkStart w:id="235" w:name="_Toc15863"/>
      <w:bookmarkStart w:id="236" w:name="_Toc9071"/>
      <w:bookmarkStart w:id="237" w:name="_Toc447827053"/>
      <w:bookmarkStart w:id="238" w:name="_Toc503951048"/>
      <w:bookmarkStart w:id="239" w:name="_Toc513633969"/>
      <w:r>
        <w:rPr>
          <w:rFonts w:hint="eastAsia" w:ascii="宋体" w:hAnsi="宋体" w:eastAsia="宋体" w:cs="宋体"/>
          <w:sz w:val="28"/>
        </w:rPr>
        <w:t>一、</w:t>
      </w:r>
      <w:bookmarkEnd w:id="230"/>
      <w:bookmarkEnd w:id="231"/>
      <w:r>
        <w:rPr>
          <w:rFonts w:hint="eastAsia" w:ascii="宋体" w:hAnsi="宋体" w:eastAsia="宋体" w:cs="宋体"/>
          <w:sz w:val="28"/>
        </w:rPr>
        <w:t>竞争比选响应声明书</w:t>
      </w:r>
      <w:bookmarkEnd w:id="232"/>
      <w:bookmarkEnd w:id="233"/>
      <w:bookmarkEnd w:id="234"/>
      <w:bookmarkEnd w:id="235"/>
      <w:bookmarkEnd w:id="23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重庆首讯科技股份有限公司项目开发管理系统</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40" w:name="_Toc15924"/>
      <w:bookmarkStart w:id="241" w:name="_Toc32079"/>
      <w:bookmarkStart w:id="242" w:name="_Toc5852"/>
      <w:bookmarkStart w:id="243" w:name="_Toc318"/>
      <w:bookmarkStart w:id="244" w:name="_Toc27412"/>
      <w:r>
        <w:rPr>
          <w:rFonts w:hint="eastAsia"/>
          <w:b/>
          <w:sz w:val="24"/>
        </w:rPr>
        <w:t>附报价单位法定代表人或授权代表人身份证复印件（正、反面）</w:t>
      </w:r>
      <w:bookmarkEnd w:id="240"/>
      <w:bookmarkEnd w:id="241"/>
      <w:bookmarkEnd w:id="242"/>
      <w:bookmarkEnd w:id="243"/>
      <w:bookmarkEnd w:id="244"/>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5" w:name="_Toc11329275"/>
      <w:r>
        <w:rPr>
          <w:rFonts w:hint="eastAsia" w:ascii="宋体" w:hAnsi="宋体" w:cs="宋体"/>
          <w:b/>
          <w:bCs/>
          <w:kern w:val="0"/>
          <w:sz w:val="28"/>
          <w:szCs w:val="32"/>
        </w:rPr>
        <w:t>二、</w:t>
      </w:r>
      <w:bookmarkEnd w:id="237"/>
      <w:bookmarkEnd w:id="238"/>
      <w:bookmarkEnd w:id="239"/>
      <w:bookmarkEnd w:id="245"/>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重庆首讯科技股份有限公司项目开发管理系统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spacing w:line="360" w:lineRule="auto"/>
        <w:jc w:val="center"/>
        <w:outlineLvl w:val="0"/>
        <w:rPr>
          <w:rFonts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jc w:val="center"/>
        <w:outlineLvl w:val="0"/>
        <w:rPr>
          <w:rFonts w:asciiTheme="minorEastAsia" w:hAnsiTheme="minorEastAsia" w:eastAsiaTheme="minorEastAsia" w:cstheme="minorEastAsia"/>
          <w:b/>
          <w:bCs/>
          <w:color w:val="000000" w:themeColor="text1"/>
          <w:sz w:val="24"/>
          <w14:textFill>
            <w14:solidFill>
              <w14:schemeClr w14:val="tx1"/>
            </w14:solidFill>
          </w14:textFill>
        </w:rPr>
      </w:pPr>
      <w:bookmarkStart w:id="246" w:name="_Toc1813"/>
      <w:r>
        <w:rPr>
          <w:rFonts w:hint="eastAsia" w:asciiTheme="minorEastAsia" w:hAnsiTheme="minorEastAsia" w:eastAsiaTheme="minorEastAsia" w:cstheme="minorEastAsia"/>
          <w:b/>
          <w:bCs/>
          <w:color w:val="000000" w:themeColor="text1"/>
          <w:sz w:val="24"/>
          <w14:textFill>
            <w14:solidFill>
              <w14:schemeClr w14:val="tx1"/>
            </w14:solidFill>
          </w14:textFill>
        </w:rPr>
        <w:t>报价一览表</w:t>
      </w:r>
      <w:bookmarkEnd w:id="246"/>
    </w:p>
    <w:tbl>
      <w:tblPr>
        <w:tblStyle w:val="42"/>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eastAsia="Times New Roman" w:asciiTheme="minorEastAsia" w:hAnsiTheme="minorEastAsia" w:cstheme="minorEastAsia"/>
                <w:b/>
                <w:bCs/>
                <w:color w:val="000000" w:themeColor="text1"/>
                <w:sz w:val="24"/>
                <w14:textFill>
                  <w14:solidFill>
                    <w14:schemeClr w14:val="tx1"/>
                  </w14:solidFill>
                </w14:textFill>
              </w:rPr>
            </w:pPr>
            <w:r>
              <w:rPr>
                <w:rFonts w:hint="eastAsia" w:eastAsia="Times New Roman"/>
                <w:color w:val="000000" w:themeColor="text1"/>
                <w:sz w:val="24"/>
                <w:szCs w:val="28"/>
                <w14:textFill>
                  <w14:solidFill>
                    <w14:schemeClr w14:val="tx1"/>
                  </w14:solidFill>
                </w14:textFill>
              </w:rPr>
              <w:t>重庆首讯科技股份有限公司项目开发管理系统</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详见第七章 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pStyle w:val="2"/>
      </w:pPr>
    </w:p>
    <w:p>
      <w:pPr>
        <w:pStyle w:val="16"/>
        <w:rPr>
          <w:rFonts w:ascii="宋体" w:hAnsi="宋体"/>
          <w:color w:val="000000" w:themeColor="text1"/>
          <w:sz w:val="24"/>
          <w14:textFill>
            <w14:solidFill>
              <w14:schemeClr w14:val="tx1"/>
            </w14:solidFill>
          </w14:textFill>
        </w:rPr>
      </w:pPr>
    </w:p>
    <w:p/>
    <w:p>
      <w:pPr>
        <w:spacing w:line="360" w:lineRule="auto"/>
        <w:ind w:firstLine="480" w:firstLineChars="200"/>
        <w:jc w:val="left"/>
        <w:rPr>
          <w:rFonts w:ascii="宋体" w:hAnsi="宋体"/>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
      <w:pPr>
        <w:pStyle w:val="4"/>
        <w:spacing w:before="0" w:after="0" w:line="360" w:lineRule="auto"/>
        <w:jc w:val="center"/>
        <w:rPr>
          <w:rFonts w:ascii="宋体" w:hAnsi="宋体" w:eastAsia="宋体" w:cs="宋体"/>
          <w:sz w:val="28"/>
        </w:rPr>
      </w:pPr>
      <w:bookmarkStart w:id="247" w:name="_Toc18757"/>
      <w:bookmarkStart w:id="248" w:name="_Toc11961"/>
      <w:bookmarkStart w:id="249" w:name="_Toc19207"/>
      <w:bookmarkStart w:id="250" w:name="_Toc12910"/>
      <w:bookmarkStart w:id="251" w:name="_Toc11329278"/>
      <w:bookmarkStart w:id="252" w:name="_Toc513633971"/>
      <w:bookmarkStart w:id="253" w:name="_Toc503951050"/>
      <w:bookmarkStart w:id="254" w:name="_Toc29310"/>
      <w:bookmarkStart w:id="255" w:name="_Toc247085887"/>
      <w:bookmarkStart w:id="256" w:name="_Toc152042592"/>
      <w:bookmarkStart w:id="257" w:name="_Toc152045803"/>
      <w:bookmarkStart w:id="258" w:name="_Toc179632823"/>
      <w:bookmarkStart w:id="259" w:name="_Toc144974871"/>
      <w:bookmarkStart w:id="260" w:name="_Toc246996369"/>
      <w:bookmarkStart w:id="261" w:name="_Toc447827058"/>
      <w:bookmarkStart w:id="262" w:name="_Toc246997112"/>
      <w:r>
        <w:rPr>
          <w:rFonts w:hint="eastAsia" w:ascii="宋体" w:hAnsi="宋体" w:eastAsia="宋体" w:cs="宋体"/>
          <w:sz w:val="28"/>
        </w:rPr>
        <w:t>三、资格审查资料</w:t>
      </w:r>
      <w:bookmarkEnd w:id="247"/>
      <w:bookmarkEnd w:id="248"/>
      <w:bookmarkEnd w:id="249"/>
      <w:bookmarkEnd w:id="250"/>
      <w:bookmarkEnd w:id="251"/>
      <w:bookmarkEnd w:id="252"/>
      <w:bookmarkEnd w:id="253"/>
      <w:bookmarkEnd w:id="254"/>
    </w:p>
    <w:p>
      <w:pPr>
        <w:spacing w:line="360" w:lineRule="auto"/>
        <w:jc w:val="center"/>
        <w:outlineLvl w:val="1"/>
        <w:rPr>
          <w:rFonts w:ascii="宋体" w:hAnsi="宋体" w:cs="宋体"/>
          <w:b/>
          <w:bCs/>
          <w:kern w:val="0"/>
          <w:sz w:val="28"/>
          <w:szCs w:val="32"/>
        </w:rPr>
      </w:pPr>
      <w:bookmarkStart w:id="263" w:name="_Toc26946"/>
      <w:r>
        <w:rPr>
          <w:rFonts w:hint="eastAsia" w:ascii="宋体" w:hAnsi="宋体" w:cs="宋体"/>
          <w:b/>
          <w:bCs/>
          <w:kern w:val="0"/>
          <w:sz w:val="28"/>
          <w:szCs w:val="32"/>
        </w:rPr>
        <w:t>（一）资格条件</w:t>
      </w:r>
      <w:bookmarkEnd w:id="263"/>
    </w:p>
    <w:p/>
    <w:bookmarkEnd w:id="255"/>
    <w:bookmarkEnd w:id="256"/>
    <w:bookmarkEnd w:id="257"/>
    <w:bookmarkEnd w:id="258"/>
    <w:bookmarkEnd w:id="259"/>
    <w:bookmarkEnd w:id="260"/>
    <w:bookmarkEnd w:id="261"/>
    <w:bookmarkEnd w:id="262"/>
    <w:p>
      <w:bookmarkStart w:id="264" w:name="_Toc513633973"/>
      <w:bookmarkStart w:id="265" w:name="_Toc503951055"/>
      <w:bookmarkStart w:id="266" w:name="_Toc44782706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67" w:name="_Toc11329281"/>
      <w:bookmarkStart w:id="268" w:name="_Toc11672"/>
      <w:r>
        <w:rPr>
          <w:rFonts w:hint="eastAsia" w:ascii="宋体" w:hAnsi="宋体" w:cs="宋体"/>
          <w:sz w:val="28"/>
        </w:rPr>
        <w:br w:type="page"/>
      </w:r>
      <w:bookmarkStart w:id="269" w:name="_Toc8299"/>
      <w:bookmarkStart w:id="270" w:name="_Toc11243"/>
      <w:bookmarkStart w:id="271" w:name="_Toc4378"/>
      <w:bookmarkStart w:id="272" w:name="_Toc29559"/>
      <w:r>
        <w:rPr>
          <w:rFonts w:hint="eastAsia" w:ascii="宋体" w:hAnsi="宋体" w:cs="宋体"/>
          <w:b/>
          <w:bCs/>
          <w:kern w:val="0"/>
          <w:sz w:val="28"/>
          <w:szCs w:val="32"/>
        </w:rPr>
        <w:t>（二）商务及技术评分资料</w:t>
      </w:r>
      <w:bookmarkEnd w:id="269"/>
    </w:p>
    <w:p>
      <w:pPr>
        <w:spacing w:line="360" w:lineRule="auto"/>
        <w:jc w:val="center"/>
        <w:outlineLvl w:val="2"/>
        <w:rPr>
          <w:b/>
          <w:sz w:val="24"/>
        </w:rPr>
      </w:pPr>
      <w:bookmarkStart w:id="273" w:name="OLE_LINK34"/>
      <w:r>
        <w:rPr>
          <w:rFonts w:hint="eastAsia"/>
          <w:bCs/>
          <w:sz w:val="24"/>
        </w:rPr>
        <w:t>商务及技术部分</w:t>
      </w:r>
      <w:bookmarkEnd w:id="273"/>
      <w:r>
        <w:rPr>
          <w:rFonts w:hint="eastAsia"/>
          <w:bCs/>
          <w:sz w:val="24"/>
        </w:rPr>
        <w:t>资料目录</w:t>
      </w:r>
    </w:p>
    <w:tbl>
      <w:tblPr>
        <w:tblStyle w:val="41"/>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3"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194"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tcPr>
          <w:p>
            <w:pPr>
              <w:spacing w:line="360" w:lineRule="auto"/>
              <w:jc w:val="center"/>
              <w:rPr>
                <w:rFonts w:asciiTheme="minorEastAsia" w:hAnsiTheme="minorEastAsia" w:eastAsiaTheme="minorEastAsia" w:cstheme="minorEastAsia"/>
                <w:b/>
                <w:sz w:val="18"/>
                <w:szCs w:val="18"/>
              </w:rPr>
            </w:pPr>
          </w:p>
        </w:tc>
        <w:tc>
          <w:tcPr>
            <w:tcW w:w="3030" w:type="dxa"/>
          </w:tcPr>
          <w:p>
            <w:pPr>
              <w:spacing w:line="360" w:lineRule="auto"/>
              <w:jc w:val="center"/>
              <w:rPr>
                <w:rFonts w:asciiTheme="minorEastAsia" w:hAnsiTheme="minorEastAsia" w:eastAsiaTheme="minorEastAsia" w:cstheme="minorEastAsia"/>
                <w:b/>
                <w:sz w:val="18"/>
                <w:szCs w:val="18"/>
              </w:rPr>
            </w:pPr>
          </w:p>
        </w:tc>
        <w:tc>
          <w:tcPr>
            <w:tcW w:w="2895" w:type="dxa"/>
          </w:tcPr>
          <w:p>
            <w:pPr>
              <w:spacing w:line="360" w:lineRule="auto"/>
              <w:jc w:val="center"/>
              <w:rPr>
                <w:rFonts w:asciiTheme="minorEastAsia" w:hAnsiTheme="minorEastAsia" w:eastAsiaTheme="minorEastAsia" w:cstheme="minorEastAsia"/>
                <w:b/>
                <w:sz w:val="18"/>
                <w:szCs w:val="18"/>
              </w:rPr>
            </w:pPr>
          </w:p>
        </w:tc>
        <w:tc>
          <w:tcPr>
            <w:tcW w:w="1194"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bl>
    <w:p/>
    <w:p/>
    <w:p/>
    <w:p/>
    <w:p/>
    <w:p/>
    <w:p/>
    <w:p>
      <w:pPr>
        <w:pStyle w:val="6"/>
        <w:jc w:val="center"/>
        <w:rPr>
          <w:rFonts w:ascii="宋体" w:hAnsi="宋体" w:eastAsia="宋体" w:cs="宋体"/>
          <w:szCs w:val="32"/>
        </w:rPr>
      </w:pPr>
      <w:r>
        <w:rPr>
          <w:rFonts w:hint="eastAsia" w:ascii="宋体" w:hAnsi="宋体" w:eastAsia="宋体" w:cs="宋体"/>
          <w:szCs w:val="32"/>
        </w:rPr>
        <w:t>（三）技术方案</w:t>
      </w:r>
    </w:p>
    <w:p>
      <w:pPr>
        <w:pStyle w:val="4"/>
        <w:spacing w:before="0" w:after="0" w:line="360" w:lineRule="auto"/>
        <w:jc w:val="center"/>
        <w:rPr>
          <w:rFonts w:ascii="宋体" w:hAnsi="宋体" w:eastAsia="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ascii="宋体" w:hAnsi="宋体" w:eastAsia="宋体" w:cs="宋体"/>
          <w:sz w:val="28"/>
        </w:rPr>
      </w:pPr>
      <w:bookmarkStart w:id="274" w:name="_Toc5446"/>
      <w:r>
        <w:rPr>
          <w:rFonts w:hint="eastAsia" w:ascii="宋体" w:hAnsi="宋体" w:eastAsia="宋体" w:cs="宋体"/>
          <w:sz w:val="28"/>
        </w:rPr>
        <w:t>四、</w:t>
      </w:r>
      <w:bookmarkEnd w:id="264"/>
      <w:bookmarkEnd w:id="265"/>
      <w:bookmarkEnd w:id="266"/>
      <w:r>
        <w:rPr>
          <w:rFonts w:hint="eastAsia" w:ascii="宋体" w:hAnsi="宋体" w:eastAsia="宋体" w:cs="宋体"/>
          <w:sz w:val="28"/>
        </w:rPr>
        <w:t>报价人须知前附表规定的其他材料</w:t>
      </w:r>
      <w:bookmarkEnd w:id="267"/>
      <w:bookmarkEnd w:id="268"/>
      <w:bookmarkEnd w:id="270"/>
      <w:bookmarkEnd w:id="271"/>
      <w:bookmarkEnd w:id="272"/>
      <w:bookmarkEnd w:id="274"/>
    </w:p>
    <w:p>
      <w:pPr>
        <w:pStyle w:val="5"/>
        <w:jc w:val="center"/>
        <w:rPr>
          <w:rFonts w:ascii="宋体" w:hAnsi="宋体" w:cs="宋体"/>
          <w:sz w:val="28"/>
        </w:rPr>
      </w:pPr>
      <w:bookmarkStart w:id="275" w:name="bookmark81"/>
      <w:bookmarkStart w:id="276" w:name="_Toc503951058"/>
      <w:bookmarkStart w:id="277" w:name="_Toc513633974"/>
      <w:r>
        <w:rPr>
          <w:rFonts w:hint="eastAsia" w:ascii="宋体" w:hAnsi="宋体" w:cs="宋体"/>
          <w:sz w:val="28"/>
        </w:rPr>
        <w:t>（一）</w:t>
      </w:r>
      <w:bookmarkEnd w:id="275"/>
      <w:bookmarkStart w:id="278" w:name="_Toc507681488"/>
      <w:bookmarkStart w:id="279" w:name="_Toc507681700"/>
      <w:bookmarkStart w:id="280" w:name="_Toc504639215"/>
      <w:r>
        <w:rPr>
          <w:rFonts w:hint="eastAsia" w:ascii="宋体" w:hAnsi="宋体" w:cs="宋体"/>
          <w:sz w:val="28"/>
        </w:rPr>
        <w:t>报价人自行承诺部分</w:t>
      </w:r>
      <w:bookmarkEnd w:id="278"/>
      <w:bookmarkEnd w:id="279"/>
      <w:bookmarkEnd w:id="28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rPr>
          <w:rFonts w:ascii="宋体" w:hAnsi="宋体" w:cs="宋体"/>
          <w:sz w:val="28"/>
        </w:rPr>
      </w:pPr>
      <w:r>
        <w:rPr>
          <w:rFonts w:ascii="宋体" w:hAnsi="宋体" w:cs="宋体"/>
          <w:sz w:val="28"/>
        </w:rPr>
        <w:br w:type="page"/>
      </w: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81" w:name="_Toc508110857"/>
      <w:bookmarkStart w:id="282" w:name="_Toc4375"/>
      <w:bookmarkStart w:id="283" w:name="_Toc45210713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81"/>
      <w:bookmarkEnd w:id="282"/>
      <w:bookmarkEnd w:id="283"/>
    </w:p>
    <w:p>
      <w:pPr>
        <w:pStyle w:val="26"/>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b/>
          <w:bCs/>
        </w:rPr>
      </w:pP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76"/>
    <w:bookmarkEnd w:id="277"/>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E2F888-3889-46A1-9A36-C5DC4364D6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34CB5A-3766-4C3C-AC66-0B9BA796E04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3" w:fontKey="{47ABF594-C4DA-4BE5-9B00-E5A70F7A392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1655C"/>
    <w:multiLevelType w:val="singleLevel"/>
    <w:tmpl w:val="BCC1655C"/>
    <w:lvl w:ilvl="0" w:tentative="0">
      <w:start w:val="7"/>
      <w:numFmt w:val="chineseCounting"/>
      <w:suff w:val="space"/>
      <w:lvlText w:val="第%1章"/>
      <w:lvlJc w:val="left"/>
      <w:rPr>
        <w:rFonts w:hint="eastAsia"/>
      </w:rPr>
    </w:lvl>
  </w:abstractNum>
  <w:abstractNum w:abstractNumId="1">
    <w:nsid w:val="DE1CB082"/>
    <w:multiLevelType w:val="singleLevel"/>
    <w:tmpl w:val="DE1CB082"/>
    <w:lvl w:ilvl="0" w:tentative="0">
      <w:start w:val="1"/>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2B64926"/>
    <w:multiLevelType w:val="singleLevel"/>
    <w:tmpl w:val="72B64926"/>
    <w:lvl w:ilvl="0" w:tentative="0">
      <w:start w:val="3"/>
      <w:numFmt w:val="chineseCounting"/>
      <w:suff w:val="space"/>
      <w:lvlText w:val="第%1章"/>
      <w:lvlJc w:val="left"/>
      <w:rPr>
        <w:rFonts w:hint="eastAsia"/>
      </w:rPr>
    </w:lvl>
  </w:abstractNum>
  <w:abstractNum w:abstractNumId="4">
    <w:nsid w:val="78BA0F68"/>
    <w:multiLevelType w:val="singleLevel"/>
    <w:tmpl w:val="78BA0F68"/>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DdkNmVkZGY4ZmUzNTUxZTk4MGEwOTY4Y2Y2MG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5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3393"/>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5FA0"/>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327E0D"/>
    <w:rsid w:val="057D5C2F"/>
    <w:rsid w:val="057F1F11"/>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9339BE"/>
    <w:rsid w:val="0D9F0DC4"/>
    <w:rsid w:val="0DDE695A"/>
    <w:rsid w:val="0E2D072E"/>
    <w:rsid w:val="0E3B295D"/>
    <w:rsid w:val="0E47249B"/>
    <w:rsid w:val="0E551882"/>
    <w:rsid w:val="0E9E2292"/>
    <w:rsid w:val="0ECE05C2"/>
    <w:rsid w:val="0F4C19DA"/>
    <w:rsid w:val="0F4C7D05"/>
    <w:rsid w:val="0F5F17BD"/>
    <w:rsid w:val="0F90531D"/>
    <w:rsid w:val="0FAD64B5"/>
    <w:rsid w:val="0FEB1B4B"/>
    <w:rsid w:val="0FFF5930"/>
    <w:rsid w:val="10421816"/>
    <w:rsid w:val="10A265EF"/>
    <w:rsid w:val="11485B0D"/>
    <w:rsid w:val="117076B2"/>
    <w:rsid w:val="11D56D08"/>
    <w:rsid w:val="125E1A9C"/>
    <w:rsid w:val="126C604E"/>
    <w:rsid w:val="1276289F"/>
    <w:rsid w:val="127D3F3D"/>
    <w:rsid w:val="1288522D"/>
    <w:rsid w:val="129D6A95"/>
    <w:rsid w:val="12AF4046"/>
    <w:rsid w:val="12B90EE0"/>
    <w:rsid w:val="12CE506D"/>
    <w:rsid w:val="12F65490"/>
    <w:rsid w:val="12F73D2A"/>
    <w:rsid w:val="13112273"/>
    <w:rsid w:val="13511DF6"/>
    <w:rsid w:val="138B4634"/>
    <w:rsid w:val="138F1214"/>
    <w:rsid w:val="13D101C7"/>
    <w:rsid w:val="13D65F2A"/>
    <w:rsid w:val="1400440E"/>
    <w:rsid w:val="144729D8"/>
    <w:rsid w:val="14894722"/>
    <w:rsid w:val="14AB614D"/>
    <w:rsid w:val="15507C7E"/>
    <w:rsid w:val="15664AEF"/>
    <w:rsid w:val="158E23E1"/>
    <w:rsid w:val="159D7EA6"/>
    <w:rsid w:val="159F1BF9"/>
    <w:rsid w:val="160B0227"/>
    <w:rsid w:val="16CF02A2"/>
    <w:rsid w:val="16F512D4"/>
    <w:rsid w:val="1705300C"/>
    <w:rsid w:val="17081A7A"/>
    <w:rsid w:val="17292C0C"/>
    <w:rsid w:val="17680579"/>
    <w:rsid w:val="176F50FE"/>
    <w:rsid w:val="17DD0B49"/>
    <w:rsid w:val="181C1400"/>
    <w:rsid w:val="18223BBF"/>
    <w:rsid w:val="18624138"/>
    <w:rsid w:val="18D435BC"/>
    <w:rsid w:val="19BA69A5"/>
    <w:rsid w:val="19DF6D3F"/>
    <w:rsid w:val="19E24459"/>
    <w:rsid w:val="19FB72C6"/>
    <w:rsid w:val="1A3D7EBE"/>
    <w:rsid w:val="1A4353A0"/>
    <w:rsid w:val="1A9C5527"/>
    <w:rsid w:val="1B075A0C"/>
    <w:rsid w:val="1B67066F"/>
    <w:rsid w:val="1B7229E4"/>
    <w:rsid w:val="1B7A5EC7"/>
    <w:rsid w:val="1BA35EDC"/>
    <w:rsid w:val="1BE70A37"/>
    <w:rsid w:val="1CB30939"/>
    <w:rsid w:val="1CF6260F"/>
    <w:rsid w:val="1CF83AEA"/>
    <w:rsid w:val="1D6914D5"/>
    <w:rsid w:val="1D7E09CF"/>
    <w:rsid w:val="1E7F32B0"/>
    <w:rsid w:val="1EBB622E"/>
    <w:rsid w:val="1EEA13A6"/>
    <w:rsid w:val="1EFE64E9"/>
    <w:rsid w:val="1F457AAC"/>
    <w:rsid w:val="1F6207D0"/>
    <w:rsid w:val="1FAF4CBE"/>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D964C1"/>
    <w:rsid w:val="23EB6BB8"/>
    <w:rsid w:val="240F3CB0"/>
    <w:rsid w:val="24436391"/>
    <w:rsid w:val="24AD6D9A"/>
    <w:rsid w:val="254A5C25"/>
    <w:rsid w:val="259E376E"/>
    <w:rsid w:val="25E82995"/>
    <w:rsid w:val="26154215"/>
    <w:rsid w:val="26666FDC"/>
    <w:rsid w:val="26B267E7"/>
    <w:rsid w:val="26C80CCF"/>
    <w:rsid w:val="26F65310"/>
    <w:rsid w:val="27020634"/>
    <w:rsid w:val="27352534"/>
    <w:rsid w:val="27357F9F"/>
    <w:rsid w:val="27EF1935"/>
    <w:rsid w:val="280A1B75"/>
    <w:rsid w:val="283962F8"/>
    <w:rsid w:val="290212C1"/>
    <w:rsid w:val="29403128"/>
    <w:rsid w:val="29656DCE"/>
    <w:rsid w:val="298B4B23"/>
    <w:rsid w:val="29C037B7"/>
    <w:rsid w:val="29D875FE"/>
    <w:rsid w:val="2A194E5D"/>
    <w:rsid w:val="2A594BC2"/>
    <w:rsid w:val="2AA90FA0"/>
    <w:rsid w:val="2AB53836"/>
    <w:rsid w:val="2B0C402E"/>
    <w:rsid w:val="2B552F60"/>
    <w:rsid w:val="2BB367B9"/>
    <w:rsid w:val="2C184D47"/>
    <w:rsid w:val="2C796A89"/>
    <w:rsid w:val="2CBD3A96"/>
    <w:rsid w:val="2CC74339"/>
    <w:rsid w:val="2CCE1414"/>
    <w:rsid w:val="2CF93ABF"/>
    <w:rsid w:val="2D1E27A3"/>
    <w:rsid w:val="2D766528"/>
    <w:rsid w:val="2DD5633D"/>
    <w:rsid w:val="2E6A704D"/>
    <w:rsid w:val="2E8A6255"/>
    <w:rsid w:val="2F0B1048"/>
    <w:rsid w:val="2F141AAA"/>
    <w:rsid w:val="2FF23F99"/>
    <w:rsid w:val="30093CDB"/>
    <w:rsid w:val="30236367"/>
    <w:rsid w:val="30331BC6"/>
    <w:rsid w:val="303E7E03"/>
    <w:rsid w:val="304A182B"/>
    <w:rsid w:val="30757C00"/>
    <w:rsid w:val="307D5D65"/>
    <w:rsid w:val="30B34CE3"/>
    <w:rsid w:val="30CB1C83"/>
    <w:rsid w:val="31832D29"/>
    <w:rsid w:val="31AE3364"/>
    <w:rsid w:val="31D20CDE"/>
    <w:rsid w:val="31F37E23"/>
    <w:rsid w:val="32223DC6"/>
    <w:rsid w:val="32584127"/>
    <w:rsid w:val="329032EF"/>
    <w:rsid w:val="329970EF"/>
    <w:rsid w:val="32B35AAA"/>
    <w:rsid w:val="334459AC"/>
    <w:rsid w:val="33705A64"/>
    <w:rsid w:val="33F44ABC"/>
    <w:rsid w:val="342645AD"/>
    <w:rsid w:val="34335C8F"/>
    <w:rsid w:val="34617CD8"/>
    <w:rsid w:val="34731A2E"/>
    <w:rsid w:val="34A61339"/>
    <w:rsid w:val="34F3793E"/>
    <w:rsid w:val="35185DCE"/>
    <w:rsid w:val="35574E9C"/>
    <w:rsid w:val="35712E34"/>
    <w:rsid w:val="35ED793B"/>
    <w:rsid w:val="35F25212"/>
    <w:rsid w:val="366C082D"/>
    <w:rsid w:val="36732DF9"/>
    <w:rsid w:val="36C90DD1"/>
    <w:rsid w:val="3703397C"/>
    <w:rsid w:val="37704489"/>
    <w:rsid w:val="37925427"/>
    <w:rsid w:val="37A55DCC"/>
    <w:rsid w:val="37CA04FF"/>
    <w:rsid w:val="37EE7ED1"/>
    <w:rsid w:val="38AD49B0"/>
    <w:rsid w:val="394C68A5"/>
    <w:rsid w:val="395E479A"/>
    <w:rsid w:val="39A36C2D"/>
    <w:rsid w:val="39AA29B9"/>
    <w:rsid w:val="39C9079C"/>
    <w:rsid w:val="39E71AEC"/>
    <w:rsid w:val="39F60058"/>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D83D60"/>
    <w:rsid w:val="3E044CAE"/>
    <w:rsid w:val="3EAD4174"/>
    <w:rsid w:val="3EAD7F9C"/>
    <w:rsid w:val="3EB32892"/>
    <w:rsid w:val="3EBC3336"/>
    <w:rsid w:val="3F064AE9"/>
    <w:rsid w:val="3F3B0C43"/>
    <w:rsid w:val="3F4C62B0"/>
    <w:rsid w:val="3F5160C2"/>
    <w:rsid w:val="3FB1022D"/>
    <w:rsid w:val="3FE828DE"/>
    <w:rsid w:val="402A34B8"/>
    <w:rsid w:val="40360CD1"/>
    <w:rsid w:val="40613E30"/>
    <w:rsid w:val="40736573"/>
    <w:rsid w:val="409B4A07"/>
    <w:rsid w:val="40F66678"/>
    <w:rsid w:val="4120577A"/>
    <w:rsid w:val="4167053C"/>
    <w:rsid w:val="416C3831"/>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8037A8A"/>
    <w:rsid w:val="48377D23"/>
    <w:rsid w:val="486634EE"/>
    <w:rsid w:val="48807890"/>
    <w:rsid w:val="48A64B98"/>
    <w:rsid w:val="48BC156D"/>
    <w:rsid w:val="48C80F11"/>
    <w:rsid w:val="48F765BE"/>
    <w:rsid w:val="49320F23"/>
    <w:rsid w:val="49DD73AE"/>
    <w:rsid w:val="49F95BD6"/>
    <w:rsid w:val="4A2D058F"/>
    <w:rsid w:val="4AD703A4"/>
    <w:rsid w:val="4B6D5DC5"/>
    <w:rsid w:val="4B6F7F5B"/>
    <w:rsid w:val="4B86504E"/>
    <w:rsid w:val="4BD07B58"/>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91341"/>
    <w:rsid w:val="51C42E16"/>
    <w:rsid w:val="522019E0"/>
    <w:rsid w:val="525351F4"/>
    <w:rsid w:val="525A6FBC"/>
    <w:rsid w:val="52677AF3"/>
    <w:rsid w:val="526C0997"/>
    <w:rsid w:val="533D33D1"/>
    <w:rsid w:val="53670B33"/>
    <w:rsid w:val="53775B6A"/>
    <w:rsid w:val="53D43855"/>
    <w:rsid w:val="53EE1101"/>
    <w:rsid w:val="53FC4E8E"/>
    <w:rsid w:val="541717DC"/>
    <w:rsid w:val="54446DEC"/>
    <w:rsid w:val="545D46A4"/>
    <w:rsid w:val="553C46BA"/>
    <w:rsid w:val="55494082"/>
    <w:rsid w:val="557D5B60"/>
    <w:rsid w:val="55834A19"/>
    <w:rsid w:val="55F526C6"/>
    <w:rsid w:val="56066DC9"/>
    <w:rsid w:val="564031D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AEC372E"/>
    <w:rsid w:val="5B123FA7"/>
    <w:rsid w:val="5B613C0E"/>
    <w:rsid w:val="5B913B2C"/>
    <w:rsid w:val="5BCA6564"/>
    <w:rsid w:val="5C1E3775"/>
    <w:rsid w:val="5C381264"/>
    <w:rsid w:val="5C672644"/>
    <w:rsid w:val="5C8132C7"/>
    <w:rsid w:val="5CA23A25"/>
    <w:rsid w:val="5CC26330"/>
    <w:rsid w:val="5CD67F41"/>
    <w:rsid w:val="5D017C51"/>
    <w:rsid w:val="5D463591"/>
    <w:rsid w:val="5D4F2A78"/>
    <w:rsid w:val="5D792AE4"/>
    <w:rsid w:val="5DF91E52"/>
    <w:rsid w:val="5E2F58D3"/>
    <w:rsid w:val="5E4222CF"/>
    <w:rsid w:val="5E5A06FD"/>
    <w:rsid w:val="5E6D3270"/>
    <w:rsid w:val="5E9342EC"/>
    <w:rsid w:val="5F1E4EC5"/>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2D65C4"/>
    <w:rsid w:val="636B22CC"/>
    <w:rsid w:val="637F4381"/>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4539A1"/>
    <w:rsid w:val="68A45648"/>
    <w:rsid w:val="68A5668C"/>
    <w:rsid w:val="6911241F"/>
    <w:rsid w:val="69145B6D"/>
    <w:rsid w:val="691722BE"/>
    <w:rsid w:val="6918360E"/>
    <w:rsid w:val="69B67115"/>
    <w:rsid w:val="69EF53B4"/>
    <w:rsid w:val="6A126DD2"/>
    <w:rsid w:val="6A254DE4"/>
    <w:rsid w:val="6A420E56"/>
    <w:rsid w:val="6A924E32"/>
    <w:rsid w:val="6A94008C"/>
    <w:rsid w:val="6AC954A6"/>
    <w:rsid w:val="6AE60947"/>
    <w:rsid w:val="6AE937FA"/>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0365A1"/>
    <w:rsid w:val="6E257AD9"/>
    <w:rsid w:val="6E5F1098"/>
    <w:rsid w:val="6EA41FA2"/>
    <w:rsid w:val="6ECE1BA8"/>
    <w:rsid w:val="6F381CAC"/>
    <w:rsid w:val="6F9C6902"/>
    <w:rsid w:val="6FA0729C"/>
    <w:rsid w:val="70100CA2"/>
    <w:rsid w:val="701E5C70"/>
    <w:rsid w:val="703655F9"/>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3A6A18"/>
    <w:rsid w:val="73532CC9"/>
    <w:rsid w:val="744975DD"/>
    <w:rsid w:val="746920A5"/>
    <w:rsid w:val="74C52CCA"/>
    <w:rsid w:val="74DE73F5"/>
    <w:rsid w:val="752A7E05"/>
    <w:rsid w:val="755169C7"/>
    <w:rsid w:val="75D07F8B"/>
    <w:rsid w:val="75EE5669"/>
    <w:rsid w:val="7680773A"/>
    <w:rsid w:val="76957051"/>
    <w:rsid w:val="76BF34B5"/>
    <w:rsid w:val="773E064E"/>
    <w:rsid w:val="774E1211"/>
    <w:rsid w:val="777B71D8"/>
    <w:rsid w:val="77A54D53"/>
    <w:rsid w:val="77FC6767"/>
    <w:rsid w:val="781A0BEC"/>
    <w:rsid w:val="78202415"/>
    <w:rsid w:val="78213FC9"/>
    <w:rsid w:val="783B1525"/>
    <w:rsid w:val="784C5AA9"/>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CC60F8"/>
    <w:rsid w:val="7CFB2CE9"/>
    <w:rsid w:val="7D212CA5"/>
    <w:rsid w:val="7D255EE2"/>
    <w:rsid w:val="7D293184"/>
    <w:rsid w:val="7D69777E"/>
    <w:rsid w:val="7DB34706"/>
    <w:rsid w:val="7E1A0A9F"/>
    <w:rsid w:val="7E3C401A"/>
    <w:rsid w:val="7E641213"/>
    <w:rsid w:val="7E64269E"/>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12022</Words>
  <Characters>12632</Characters>
  <Lines>96</Lines>
  <Paragraphs>27</Paragraphs>
  <TotalTime>4</TotalTime>
  <ScaleCrop>false</ScaleCrop>
  <LinksUpToDate>false</LinksUpToDate>
  <CharactersWithSpaces>13128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2022-05-24T05:49:40Z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AA957B8B2A1E42C89FF38BCE2F8C534E</vt:lpwstr>
  </property>
  <property fmtid="{D5CDD505-2E9C-101B-9397-08002B2CF9AE}" pid="4" name="commondata">
    <vt:lpwstr>eyJoZGlkIjoiNmI0YzI4NGJiMjg2ZWZlN2MzZDcyYzg5ZDEwYzBhZDAifQ==</vt:lpwstr>
  </property>
</Properties>
</file>