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rPr>
        <w:t>重庆中渝高速公路有限公司                             客车辆定点维修厂公开询价文件</w:t>
      </w:r>
    </w:p>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2022年1</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第三章项目服务及技术要求</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第四章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 </w:t>
      </w:r>
    </w:p>
    <w:p>
      <w:pPr>
        <w:spacing w:line="440" w:lineRule="exact"/>
        <w:ind w:firstLine="360" w:firstLineChars="200"/>
        <w:rPr>
          <w:rFonts w:ascii="微软雅黑" w:hAnsi="微软雅黑" w:eastAsia="微软雅黑"/>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为提高车辆维修维质量，确保公司车辆安全运行，拟对公司客车保养定点维修厂实行公开招标，欢迎符合资格的投标人参加投标。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重庆中渝高速公路有限公司客车定点维修厂招标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w:t>
      </w:r>
      <w:r>
        <w:rPr>
          <w:rFonts w:hint="eastAsia" w:ascii="微软雅黑" w:hAnsi="微软雅黑" w:eastAsia="微软雅黑"/>
          <w:color w:val="000000"/>
          <w:sz w:val="18"/>
          <w:szCs w:val="18"/>
          <w:lang w:eastAsia="zh-CN"/>
        </w:rPr>
        <w:t>中渝</w:t>
      </w:r>
      <w:r>
        <w:rPr>
          <w:rFonts w:hint="eastAsia" w:ascii="微软雅黑" w:hAnsi="微软雅黑" w:eastAsia="微软雅黑"/>
          <w:color w:val="000000"/>
          <w:sz w:val="18"/>
          <w:szCs w:val="18"/>
          <w:lang w:val="en-US" w:eastAsia="zh-CN"/>
        </w:rPr>
        <w:t>高速公路有限</w:t>
      </w:r>
      <w:r>
        <w:rPr>
          <w:rFonts w:hint="eastAsia" w:ascii="微软雅黑" w:hAnsi="微软雅黑" w:eastAsia="微软雅黑"/>
          <w:color w:val="000000"/>
          <w:sz w:val="18"/>
          <w:szCs w:val="18"/>
          <w:lang w:eastAsia="zh-CN"/>
        </w:rPr>
        <w:t>公司客车</w:t>
      </w:r>
      <w:r>
        <w:rPr>
          <w:rFonts w:hint="eastAsia" w:ascii="微软雅黑" w:hAnsi="微软雅黑" w:eastAsia="微软雅黑"/>
          <w:color w:val="000000"/>
          <w:sz w:val="18"/>
          <w:szCs w:val="18"/>
        </w:rPr>
        <w:t>定点维修保养。服务范围包括车辆大修、中小修、专项修理以及维护</w:t>
      </w:r>
      <w:r>
        <w:rPr>
          <w:rFonts w:hint="eastAsia" w:ascii="微软雅黑" w:hAnsi="微软雅黑" w:eastAsia="微软雅黑"/>
          <w:b w:val="0"/>
          <w:bCs w:val="0"/>
          <w:strike/>
          <w:dstrike w:val="0"/>
          <w:color w:val="000000"/>
          <w:sz w:val="18"/>
          <w:szCs w:val="18"/>
          <w:lang w:val="en-US" w:eastAsia="zh-CN"/>
        </w:rPr>
        <w:t>z</w:t>
      </w:r>
      <w:r>
        <w:rPr>
          <w:rFonts w:hint="eastAsia" w:ascii="微软雅黑" w:hAnsi="微软雅黑" w:eastAsia="微软雅黑"/>
          <w:color w:val="000000"/>
          <w:sz w:val="18"/>
          <w:szCs w:val="18"/>
        </w:rPr>
        <w:t>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w:t>
      </w:r>
      <w:r>
        <w:rPr>
          <w:rFonts w:hint="eastAsia" w:ascii="微软雅黑" w:hAnsi="微软雅黑" w:eastAsia="微软雅黑"/>
          <w:color w:val="000000"/>
          <w:sz w:val="18"/>
          <w:szCs w:val="18"/>
          <w:lang w:eastAsia="zh-CN"/>
        </w:rPr>
        <w:t>重</w:t>
      </w:r>
      <w:r>
        <w:rPr>
          <w:rFonts w:hint="eastAsia" w:ascii="微软雅黑" w:hAnsi="微软雅黑" w:eastAsia="微软雅黑"/>
          <w:color w:val="000000"/>
          <w:sz w:val="18"/>
          <w:szCs w:val="18"/>
        </w:rPr>
        <w:t>庆市区拥有固定维修场所并提供该机构的详细地址资料（</w:t>
      </w:r>
      <w:r>
        <w:rPr>
          <w:rFonts w:hint="eastAsia" w:ascii="微软雅黑" w:hAnsi="微软雅黑" w:eastAsia="微软雅黑"/>
          <w:color w:val="auto"/>
          <w:sz w:val="18"/>
          <w:szCs w:val="18"/>
        </w:rPr>
        <w:t>由于考虑维修效率及故障及时处理等问题，维修厂距离</w:t>
      </w:r>
      <w:r>
        <w:rPr>
          <w:rFonts w:hint="eastAsia" w:ascii="微软雅黑" w:hAnsi="微软雅黑" w:eastAsia="微软雅黑"/>
          <w:color w:val="auto"/>
          <w:sz w:val="18"/>
          <w:szCs w:val="18"/>
          <w:lang w:eastAsia="zh-CN"/>
        </w:rPr>
        <w:t>重庆高速公路集团有限</w:t>
      </w:r>
      <w:r>
        <w:rPr>
          <w:rFonts w:hint="eastAsia" w:ascii="微软雅黑" w:hAnsi="微软雅黑" w:eastAsia="微软雅黑"/>
          <w:color w:val="auto"/>
          <w:sz w:val="18"/>
          <w:szCs w:val="18"/>
        </w:rPr>
        <w:t>公司总部大楼最短公路距离不得超过</w:t>
      </w:r>
      <w:r>
        <w:rPr>
          <w:rFonts w:hint="eastAsia" w:ascii="微软雅黑" w:hAnsi="微软雅黑" w:eastAsia="微软雅黑"/>
          <w:color w:val="auto"/>
          <w:sz w:val="18"/>
          <w:szCs w:val="18"/>
          <w:lang w:val="en-US" w:eastAsia="zh-CN"/>
        </w:rPr>
        <w:t>20</w:t>
      </w:r>
      <w:r>
        <w:rPr>
          <w:rFonts w:hint="eastAsia" w:ascii="微软雅黑" w:hAnsi="微软雅黑" w:eastAsia="微软雅黑"/>
          <w:color w:val="auto"/>
          <w:sz w:val="18"/>
          <w:szCs w:val="18"/>
        </w:rPr>
        <w:t>公里，以高德地图导航显示距离为准）；</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3、投标人经营范围具有</w:t>
      </w:r>
      <w:r>
        <w:rPr>
          <w:rFonts w:hint="eastAsia" w:ascii="微软雅黑" w:hAnsi="微软雅黑" w:eastAsia="微软雅黑"/>
          <w:color w:val="auto"/>
          <w:sz w:val="18"/>
          <w:szCs w:val="18"/>
          <w:lang w:eastAsia="zh-CN"/>
        </w:rPr>
        <w:t>一</w:t>
      </w:r>
      <w:r>
        <w:rPr>
          <w:rFonts w:hint="eastAsia" w:ascii="微软雅黑" w:hAnsi="微软雅黑" w:eastAsia="微软雅黑"/>
          <w:color w:val="auto"/>
          <w:sz w:val="18"/>
          <w:szCs w:val="18"/>
        </w:rPr>
        <w:t>类汽车维修资格；</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4、投标人须具有一般纳税人资格，在经营活动中没有违法记录；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6、法律、行政法规规定的其他条件。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招标文件发布时间: 2022年</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月</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 xml:space="preserve"> 日</w:t>
      </w:r>
      <w:r>
        <w:rPr>
          <w:rFonts w:hint="eastAsia" w:ascii="微软雅黑" w:hAnsi="微软雅黑" w:eastAsia="微软雅黑"/>
          <w:sz w:val="18"/>
          <w:szCs w:val="18"/>
        </w:rPr>
        <w:br w:type="textWrapping"/>
      </w:r>
      <w:r>
        <w:rPr>
          <w:rFonts w:hint="eastAsia" w:ascii="微软雅黑" w:hAnsi="微软雅黑" w:eastAsia="微软雅黑"/>
          <w:sz w:val="18"/>
          <w:szCs w:val="18"/>
        </w:rPr>
        <w:t>招标公告在重庆高速公路集团有限公司官网上发布。</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五、投标文件接收信息</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投标文件接收时间 : 2022年</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 xml:space="preserve">月 </w:t>
      </w:r>
      <w:r>
        <w:rPr>
          <w:rFonts w:hint="eastAsia" w:ascii="微软雅黑" w:hAnsi="微软雅黑" w:eastAsia="微软雅黑"/>
          <w:sz w:val="18"/>
          <w:szCs w:val="18"/>
          <w:lang w:val="en-US" w:eastAsia="zh-CN"/>
        </w:rPr>
        <w:t>20</w:t>
      </w:r>
      <w:r>
        <w:rPr>
          <w:rFonts w:hint="eastAsia" w:ascii="微软雅黑" w:hAnsi="微软雅黑" w:eastAsia="微软雅黑"/>
          <w:sz w:val="18"/>
          <w:szCs w:val="18"/>
        </w:rPr>
        <w:t>日 上午 9 :00--10：00</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投标文件接收地点：重庆中渝高速公路有限公司</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投标文件接收人： 封勇</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六、投标文件开标信息</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开标时间：2022年</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月</w:t>
      </w:r>
      <w:r>
        <w:rPr>
          <w:rFonts w:hint="eastAsia" w:ascii="微软雅黑" w:hAnsi="微软雅黑" w:eastAsia="微软雅黑"/>
          <w:sz w:val="18"/>
          <w:szCs w:val="18"/>
          <w:lang w:val="en-US" w:eastAsia="zh-CN"/>
        </w:rPr>
        <w:t>20</w:t>
      </w:r>
      <w:r>
        <w:rPr>
          <w:rFonts w:hint="eastAsia" w:ascii="微软雅黑" w:hAnsi="微软雅黑" w:eastAsia="微软雅黑"/>
          <w:sz w:val="18"/>
          <w:szCs w:val="18"/>
        </w:rPr>
        <w:t xml:space="preserve"> 日上午 10 :00</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开标地点：218会议室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七、本次招标联系事项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联系人：   封勇</w:t>
      </w:r>
    </w:p>
    <w:p>
      <w:pPr>
        <w:pStyle w:val="6"/>
        <w:shd w:val="clear" w:color="auto" w:fill="FFFFFF"/>
        <w:spacing w:before="0" w:beforeAutospacing="0" w:after="0" w:afterAutospacing="0" w:line="376" w:lineRule="atLeast"/>
        <w:rPr>
          <w:rFonts w:ascii="微软雅黑" w:hAnsi="微软雅黑" w:eastAsia="微软雅黑"/>
          <w:sz w:val="15"/>
          <w:szCs w:val="15"/>
        </w:rPr>
      </w:pPr>
      <w:r>
        <w:rPr>
          <w:rFonts w:hint="eastAsia" w:ascii="微软雅黑" w:hAnsi="微软雅黑" w:eastAsia="微软雅黑"/>
          <w:color w:val="000000"/>
          <w:sz w:val="18"/>
          <w:szCs w:val="18"/>
        </w:rPr>
        <w:t>电话：</w:t>
      </w:r>
      <w:r>
        <w:rPr>
          <w:rFonts w:hint="eastAsia" w:ascii="微软雅黑" w:hAnsi="微软雅黑" w:eastAsia="微软雅黑"/>
          <w:color w:val="0000FF"/>
          <w:sz w:val="15"/>
          <w:szCs w:val="15"/>
        </w:rPr>
        <w:t xml:space="preserve">   </w:t>
      </w:r>
      <w:r>
        <w:rPr>
          <w:rFonts w:hint="eastAsia" w:ascii="微软雅黑" w:hAnsi="微软雅黑" w:eastAsia="微软雅黑"/>
          <w:sz w:val="15"/>
          <w:szCs w:val="15"/>
        </w:rPr>
        <w:t xml:space="preserve"> 18996113186</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重庆中渝高速公路有限公司地址：重庆市江津区双福镇双福南高速公路收费站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邮政编码：402248 </w:t>
      </w:r>
    </w:p>
    <w:p>
      <w:pPr>
        <w:pStyle w:val="6"/>
        <w:numPr>
          <w:numId w:val="0"/>
        </w:numPr>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八、注意</w:t>
      </w:r>
      <w:r>
        <w:rPr>
          <w:rFonts w:hint="eastAsia" w:ascii="微软雅黑" w:hAnsi="微软雅黑" w:eastAsia="微软雅黑"/>
          <w:color w:val="000000"/>
          <w:sz w:val="18"/>
          <w:szCs w:val="18"/>
        </w:rPr>
        <w:t>事项</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投标人进入中渝公司驻地，需持72小时核酸阴性证明，渝康码为绿码。</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1、适用范围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本招标文件仅适用于本次招标中所叙述的服务内容采购。</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2.定义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2.1“采购人”本项目系指重庆中渝高速公路有限公司</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2.2“投标人”系指无条件接受招标文件的各项要求，具备规定资质要求的汽车维修企业。</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2.3 “车辆”系指重庆中渝高速公路有限公司的</w:t>
      </w:r>
      <w:r>
        <w:rPr>
          <w:rFonts w:hint="eastAsia" w:ascii="微软雅黑" w:hAnsi="微软雅黑" w:eastAsia="微软雅黑"/>
          <w:color w:val="000000"/>
          <w:sz w:val="18"/>
          <w:szCs w:val="18"/>
          <w:lang w:val="en-US" w:eastAsia="zh-CN"/>
        </w:rPr>
        <w:t>客</w:t>
      </w:r>
      <w:r>
        <w:rPr>
          <w:rFonts w:hint="eastAsia" w:ascii="微软雅黑" w:hAnsi="微软雅黑" w:eastAsia="微软雅黑"/>
          <w:color w:val="000000"/>
          <w:sz w:val="18"/>
          <w:szCs w:val="18"/>
        </w:rPr>
        <w:t>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 “维修”系指招标文件规定的车辆大、中、小型修理，一、二、三级维护，以及其它汽车维修服务。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3.1 </w:t>
      </w:r>
      <w:r>
        <w:rPr>
          <w:rFonts w:hint="eastAsia" w:ascii="微软雅黑" w:hAnsi="微软雅黑" w:eastAsia="微软雅黑"/>
          <w:color w:val="auto"/>
          <w:sz w:val="18"/>
          <w:szCs w:val="18"/>
        </w:rPr>
        <w:t>投标人经营范围具有</w:t>
      </w:r>
      <w:r>
        <w:rPr>
          <w:rFonts w:hint="eastAsia" w:ascii="微软雅黑" w:hAnsi="微软雅黑" w:eastAsia="微软雅黑"/>
          <w:color w:val="auto"/>
          <w:sz w:val="18"/>
          <w:szCs w:val="18"/>
          <w:lang w:eastAsia="zh-CN"/>
        </w:rPr>
        <w:t>一</w:t>
      </w:r>
      <w:r>
        <w:rPr>
          <w:rFonts w:hint="eastAsia" w:ascii="微软雅黑" w:hAnsi="微软雅黑" w:eastAsia="微软雅黑"/>
          <w:color w:val="auto"/>
          <w:sz w:val="18"/>
          <w:szCs w:val="18"/>
        </w:rPr>
        <w:t>类汽车维修资格</w:t>
      </w:r>
      <w:r>
        <w:rPr>
          <w:rFonts w:hint="eastAsia" w:ascii="微软雅黑" w:hAnsi="微软雅黑" w:eastAsia="微软雅黑"/>
          <w:sz w:val="18"/>
          <w:szCs w:val="18"/>
        </w:rPr>
        <w:t>。</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7.1任何要求对招标文件进行澄清的投标人，均应在2022年</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000000"/>
          <w:sz w:val="18"/>
          <w:szCs w:val="18"/>
        </w:rPr>
        <w:t xml:space="preserve">月 </w:t>
      </w:r>
      <w:r>
        <w:rPr>
          <w:rFonts w:hint="eastAsia" w:ascii="微软雅黑" w:hAnsi="微软雅黑" w:eastAsia="微软雅黑"/>
          <w:color w:val="000000"/>
          <w:sz w:val="18"/>
          <w:szCs w:val="18"/>
          <w:lang w:val="en-US" w:eastAsia="zh-CN"/>
        </w:rPr>
        <w:t>20</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自开标日起90天内，投标文件应保持有效。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投标人应提交一式两份投标文件（一份正本，一份副本），每份投标文件须清楚地标明“正本”或“副本”字样。一旦正本和副本不符，以正本为准。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13.3在招标文件要求提交投标文件的截止时间之后送达的。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14、联合投标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本项目不接受联合投标。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15、诚实信用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15.1投标人之间不得相互串通投标报价，不得妨碍其他投标人的公平竞争，不得损害采购人或者其他投标人的合法权益。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16、质疑和投诉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16.2我公司在收到投标人的书面质疑后7个工作日内作出答复，并以书面形式通知质疑投标人和其他有关投标人，但答复的内容不涉及商业秘密。</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第三章  项目服务及技术要求</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1、技术要求</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1.1、做到“四优服务”，即：时间优先、质量优良、服务优质、价格优惠。维修全过程不与询价人发生任何争吵。</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1.2、设立救急电话，配备救急保障车，确保24小时有人值班，做到车辆随到随修。</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1.3、具备本项目服务车辆维修必须的生产维修设施设备。</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1.4、汽车配件、配件材料应保质保量，符合国家及行业相关标准，更换的配件及材料必须是正规生产厂家的全新正品件，并附有出厂合格证。</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1.5、实行电子档案管理，建立汽车维修档案，详细记录每辆车车型、里程、维修时间及项目、更换材料及维修工时费等信息资料。</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1.6、有健全的内部管理和规章制度并完善和严格执行，严禁私自动用询价人车辆（试车除外）和私自拆借零配件。</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1.7、在维修中，坚决杜绝非正常交易，严格维护报价人的利益；协助有关部门做好报价人经办人的廉政工作，防止腐败现象产生。</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1.8、免费协助询价人对事故车辆进行保险定损及保险理赔。</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 xml:space="preserve">1.9、免费保管询价人车上物品。                                                   </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2、质量要求</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2.3、同一车辆同一问题在以上标准规定时限内反复维修的，中标人必须免费维修，无法完成修复工作的，询价人有权将该故障车辆交由其它定点维修厂家或4S店进行维修，所需费用由中标人承担。同时，询价人可对中标人进行相应的考核处罚。</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2.4、总成大修：质量保证期为车辆行驶</w:t>
      </w:r>
      <w:r>
        <w:rPr>
          <w:rFonts w:hint="eastAsia" w:ascii="微软雅黑" w:hAnsi="微软雅黑" w:eastAsia="微软雅黑"/>
          <w:color w:val="000000"/>
          <w:sz w:val="18"/>
          <w:szCs w:val="18"/>
          <w:lang w:val="en-US" w:eastAsia="zh-CN"/>
        </w:rPr>
        <w:t>20000</w:t>
      </w:r>
      <w:r>
        <w:rPr>
          <w:rFonts w:hint="eastAsia" w:ascii="微软雅黑" w:hAnsi="微软雅黑" w:eastAsia="微软雅黑"/>
          <w:color w:val="000000"/>
          <w:sz w:val="18"/>
          <w:szCs w:val="18"/>
        </w:rPr>
        <w:t>公里或者按维修出厂日期起</w:t>
      </w:r>
      <w:r>
        <w:rPr>
          <w:rFonts w:hint="eastAsia" w:ascii="微软雅黑" w:hAnsi="微软雅黑" w:eastAsia="微软雅黑"/>
          <w:color w:val="000000"/>
          <w:sz w:val="18"/>
          <w:szCs w:val="18"/>
          <w:lang w:val="en-US" w:eastAsia="zh-CN"/>
        </w:rPr>
        <w:t>100天</w:t>
      </w:r>
      <w:r>
        <w:rPr>
          <w:rFonts w:hint="eastAsia" w:ascii="微软雅黑" w:hAnsi="微软雅黑" w:eastAsia="微软雅黑"/>
          <w:color w:val="000000"/>
          <w:sz w:val="18"/>
          <w:szCs w:val="18"/>
        </w:rPr>
        <w:t>为止。（人为因素除外）。</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2.5、二级维护（日常保养）：质量保证期为车辆行驶</w:t>
      </w:r>
      <w:r>
        <w:rPr>
          <w:rFonts w:hint="eastAsia" w:ascii="微软雅黑" w:hAnsi="微软雅黑" w:eastAsia="微软雅黑"/>
          <w:color w:val="000000"/>
          <w:sz w:val="18"/>
          <w:szCs w:val="18"/>
          <w:lang w:val="en-US" w:eastAsia="zh-CN"/>
        </w:rPr>
        <w:t>5000</w:t>
      </w:r>
      <w:r>
        <w:rPr>
          <w:rFonts w:hint="eastAsia" w:ascii="微软雅黑" w:hAnsi="微软雅黑" w:eastAsia="微软雅黑"/>
          <w:color w:val="000000"/>
          <w:sz w:val="18"/>
          <w:szCs w:val="18"/>
        </w:rPr>
        <w:t>公里或者按维修出厂日期起</w:t>
      </w:r>
      <w:r>
        <w:rPr>
          <w:rFonts w:hint="eastAsia" w:ascii="微软雅黑" w:hAnsi="微软雅黑" w:eastAsia="微软雅黑"/>
          <w:color w:val="000000"/>
          <w:sz w:val="18"/>
          <w:szCs w:val="18"/>
          <w:lang w:val="en-US" w:eastAsia="zh-CN"/>
        </w:rPr>
        <w:t>30天</w:t>
      </w:r>
      <w:r>
        <w:rPr>
          <w:rFonts w:hint="eastAsia" w:ascii="微软雅黑" w:hAnsi="微软雅黑" w:eastAsia="微软雅黑"/>
          <w:color w:val="000000"/>
          <w:sz w:val="18"/>
          <w:szCs w:val="18"/>
        </w:rPr>
        <w:t>为止。（人为因素除外）。</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2.6、漆面维修及钣金作业的车辆，3个月内出现褪色、磨砂、发皱、裂纹等现象免费返修。</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2.7、汽车配件、配件材料应保质保量，符合国家及行业相关标准；更换的配件及材料必须是正规生产厂家的全新正品件，并附有出厂合格证；对更换后有质量问题的配件免费予以调换（除易损件和人为因素外）。</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2.8、如发生车辆修理责任事故，造成的损失由中标人承担。</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3、时间要求</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3.1、时间从速、质量从优，做到小修不过夜，单项大修不超过7天，整车大修以协商为准。</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3.2、按约定的时间交车。如遇特殊情况不能按时交车，应及时通知询价人，并说明原因。</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3.3、实行全天候24小时服务，保障随到随修和随时随地实施救急抢险作业。</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（四）现场踏勘</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第四章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w:t>
      </w:r>
      <w:r>
        <w:rPr>
          <w:rFonts w:hint="eastAsia" w:ascii="微软雅黑" w:hAnsi="微软雅黑" w:eastAsia="微软雅黑"/>
          <w:color w:val="000000"/>
          <w:sz w:val="18"/>
          <w:szCs w:val="18"/>
          <w:lang w:val="en-US" w:eastAsia="zh-CN"/>
        </w:rPr>
        <w:t>一</w:t>
      </w:r>
      <w:r>
        <w:rPr>
          <w:rFonts w:hint="eastAsia" w:ascii="微软雅黑" w:hAnsi="微软雅黑" w:eastAsia="微软雅黑"/>
          <w:color w:val="000000"/>
          <w:sz w:val="18"/>
          <w:szCs w:val="18"/>
        </w:rPr>
        <w:t>级汽车维修资质）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(10)投标人2020年1月1日以来类似项目合同(复印件加盖投标人公章)</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第五章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FF0000"/>
          <w:sz w:val="18"/>
          <w:szCs w:val="18"/>
        </w:rPr>
        <w:t xml:space="preserve"> </w:t>
      </w:r>
      <w:r>
        <w:rPr>
          <w:rFonts w:hint="eastAsia" w:ascii="微软雅黑" w:hAnsi="微软雅黑" w:eastAsia="微软雅黑"/>
          <w:sz w:val="18"/>
          <w:szCs w:val="18"/>
        </w:rPr>
        <w:t xml:space="preserve">月 </w:t>
      </w:r>
      <w:r>
        <w:rPr>
          <w:rFonts w:hint="eastAsia" w:ascii="微软雅黑" w:hAnsi="微软雅黑" w:eastAsia="微软雅黑"/>
          <w:sz w:val="18"/>
          <w:szCs w:val="18"/>
          <w:lang w:val="en-US" w:eastAsia="zh-CN"/>
        </w:rPr>
        <w:t>20</w:t>
      </w:r>
      <w:bookmarkStart w:id="0" w:name="_GoBack"/>
      <w:bookmarkEnd w:id="0"/>
      <w:r>
        <w:rPr>
          <w:rFonts w:hint="eastAsia" w:ascii="微软雅黑" w:hAnsi="微软雅黑" w:eastAsia="微软雅黑"/>
          <w:sz w:val="18"/>
          <w:szCs w:val="18"/>
        </w:rPr>
        <w:t>日上午10点在218会议室进行公开开标，请各位投标人参加。开标只对投标人所报价格进行开标确认。</w:t>
      </w:r>
      <w:r>
        <w:rPr>
          <w:rFonts w:hint="eastAsia" w:ascii="微软雅黑" w:hAnsi="微软雅黑" w:eastAsia="微软雅黑"/>
          <w:sz w:val="18"/>
          <w:szCs w:val="18"/>
        </w:rPr>
        <w:br w:type="textWrapping"/>
      </w:r>
      <w:r>
        <w:rPr>
          <w:rFonts w:hint="eastAsia" w:ascii="微软雅黑" w:hAnsi="微软雅黑" w:eastAsia="微软雅黑"/>
          <w:sz w:val="18"/>
          <w:szCs w:val="18"/>
        </w:rPr>
        <w:t>1.2开标时，开标一览表内容与投标文件中其他内容不一致的，以开标一览表为准。</w:t>
      </w:r>
      <w:r>
        <w:rPr>
          <w:rFonts w:hint="eastAsia" w:ascii="微软雅黑" w:hAnsi="微软雅黑" w:eastAsia="微软雅黑"/>
          <w:sz w:val="18"/>
          <w:szCs w:val="18"/>
        </w:rPr>
        <w:br w:type="textWrapping"/>
      </w:r>
      <w:r>
        <w:rPr>
          <w:rFonts w:hint="eastAsia" w:ascii="微软雅黑" w:hAnsi="微软雅黑" w:eastAsia="微软雅黑"/>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sz w:val="18"/>
          <w:szCs w:val="18"/>
        </w:rPr>
        <w:br w:type="textWrapping"/>
      </w:r>
      <w:r>
        <w:rPr>
          <w:rFonts w:hint="eastAsia" w:ascii="微软雅黑" w:hAnsi="微软雅黑" w:eastAsia="微软雅黑"/>
          <w:sz w:val="18"/>
          <w:szCs w:val="18"/>
        </w:rPr>
        <w:t>2.评标</w:t>
      </w:r>
      <w:r>
        <w:rPr>
          <w:rFonts w:hint="eastAsia" w:ascii="微软雅黑" w:hAnsi="微软雅黑" w:eastAsia="微软雅黑"/>
          <w:sz w:val="18"/>
          <w:szCs w:val="18"/>
        </w:rPr>
        <w:br w:type="textWrapping"/>
      </w:r>
      <w:r>
        <w:rPr>
          <w:rFonts w:hint="eastAsia" w:ascii="微软雅黑" w:hAnsi="微软雅黑" w:eastAsia="微软雅黑"/>
          <w:sz w:val="18"/>
          <w:szCs w:val="18"/>
        </w:rPr>
        <w:t>2.1评标组织</w:t>
      </w:r>
      <w:r>
        <w:rPr>
          <w:rFonts w:hint="eastAsia" w:ascii="微软雅黑" w:hAnsi="微软雅黑" w:eastAsia="微软雅黑"/>
          <w:sz w:val="18"/>
          <w:szCs w:val="18"/>
        </w:rPr>
        <w:br w:type="textWrapping"/>
      </w:r>
      <w:r>
        <w:rPr>
          <w:rFonts w:hint="eastAsia" w:ascii="微软雅黑" w:hAnsi="微软雅黑" w:eastAsia="微软雅黑"/>
          <w:sz w:val="18"/>
          <w:szCs w:val="18"/>
        </w:rPr>
        <w:t>(1)评标工作由重庆中渝高速公路有限公司负责组织，具体评标事务将组建评标小组负责，并独立履行职责。</w:t>
      </w:r>
      <w:r>
        <w:rPr>
          <w:rFonts w:hint="eastAsia" w:ascii="微软雅黑" w:hAnsi="微软雅黑" w:eastAsia="微软雅黑"/>
          <w:sz w:val="18"/>
          <w:szCs w:val="18"/>
        </w:rPr>
        <w:br w:type="textWrapping"/>
      </w:r>
      <w:r>
        <w:rPr>
          <w:rFonts w:hint="eastAsia" w:ascii="微软雅黑" w:hAnsi="微软雅黑" w:eastAsia="微软雅黑"/>
          <w:sz w:val="18"/>
          <w:szCs w:val="18"/>
        </w:rPr>
        <w:t>(2)评标小组由中渝公司运行巡查部、管理中心等部门的人员组成，独立开展评审工作。</w:t>
      </w:r>
      <w:r>
        <w:rPr>
          <w:rFonts w:hint="eastAsia" w:ascii="微软雅黑" w:hAnsi="微软雅黑" w:eastAsia="微软雅黑"/>
          <w:sz w:val="18"/>
          <w:szCs w:val="18"/>
        </w:rPr>
        <w:br w:type="textWrapping"/>
      </w:r>
      <w:r>
        <w:rPr>
          <w:rFonts w:hint="eastAsia" w:ascii="微软雅黑" w:hAnsi="微软雅黑" w:eastAsia="微软雅黑"/>
          <w:sz w:val="18"/>
          <w:szCs w:val="18"/>
        </w:rPr>
        <w:t>2.2评标方法</w:t>
      </w:r>
      <w:r>
        <w:rPr>
          <w:rFonts w:hint="eastAsia" w:ascii="微软雅黑" w:hAnsi="微软雅黑" w:eastAsia="微软雅黑"/>
          <w:sz w:val="18"/>
          <w:szCs w:val="18"/>
        </w:rPr>
        <w:br w:type="textWrapping"/>
      </w:r>
      <w:r>
        <w:rPr>
          <w:rFonts w:hint="eastAsia" w:ascii="微软雅黑" w:hAnsi="微软雅黑" w:eastAsia="微软雅黑"/>
          <w:sz w:val="18"/>
          <w:szCs w:val="18"/>
        </w:rPr>
        <w:t>(1) 评标采用综合评分法，得分最高者为中标单位。。</w:t>
      </w:r>
      <w:r>
        <w:rPr>
          <w:rFonts w:hint="eastAsia" w:ascii="微软雅黑" w:hAnsi="微软雅黑" w:eastAsia="微软雅黑"/>
          <w:sz w:val="18"/>
          <w:szCs w:val="18"/>
        </w:rPr>
        <w:br w:type="textWrapping"/>
      </w:r>
      <w:r>
        <w:rPr>
          <w:rFonts w:hint="eastAsia" w:ascii="微软雅黑" w:hAnsi="微软雅黑" w:eastAsia="微软雅黑"/>
          <w:sz w:val="18"/>
          <w:szCs w:val="18"/>
        </w:rPr>
        <w:t>(2) 评标考虑的主要因素及其权值是：项目 评分标准</w:t>
      </w:r>
      <w:r>
        <w:rPr>
          <w:rFonts w:hint="eastAsia" w:ascii="微软雅黑" w:hAnsi="微软雅黑" w:eastAsia="微软雅黑"/>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项 目 评分标准</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（60分） 主要考量甲方提供的材料报价和维修工时费。（报价一览表附后）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报价一览表评分</w:t>
      </w:r>
      <w:r>
        <w:rPr>
          <w:rFonts w:hint="eastAsia" w:ascii="微软雅黑" w:hAnsi="微软雅黑" w:eastAsia="微软雅黑"/>
          <w:color w:val="000000"/>
          <w:sz w:val="18"/>
          <w:szCs w:val="18"/>
          <w:lang w:val="en-US" w:eastAsia="zh-CN"/>
        </w:rPr>
        <w:t>原则</w:t>
      </w:r>
      <w:r>
        <w:rPr>
          <w:rFonts w:hint="eastAsia" w:ascii="微软雅黑" w:hAnsi="微软雅黑" w:eastAsia="微软雅黑"/>
          <w:color w:val="000000"/>
          <w:sz w:val="18"/>
          <w:szCs w:val="18"/>
        </w:rPr>
        <w:t>为：询价人设立最高限价</w:t>
      </w:r>
      <w:r>
        <w:rPr>
          <w:rFonts w:hint="eastAsia" w:ascii="微软雅黑" w:hAnsi="微软雅黑" w:eastAsia="微软雅黑"/>
          <w:color w:val="000000"/>
          <w:sz w:val="18"/>
          <w:szCs w:val="18"/>
          <w:lang w:val="en-US" w:eastAsia="zh-CN"/>
        </w:rPr>
        <w:t>为人民币25587元</w:t>
      </w:r>
      <w:r>
        <w:rPr>
          <w:rFonts w:hint="eastAsia" w:ascii="微软雅黑" w:hAnsi="微软雅黑" w:eastAsia="微软雅黑"/>
          <w:color w:val="000000"/>
          <w:sz w:val="18"/>
          <w:szCs w:val="18"/>
        </w:rPr>
        <w:t>，投标报价高于最高投标限价或评标小组认定投标人以低于成本价竞标的为无效投标。</w:t>
      </w:r>
      <w:r>
        <w:rPr>
          <w:rFonts w:hint="eastAsia" w:ascii="微软雅黑" w:hAnsi="微软雅黑" w:eastAsia="微软雅黑"/>
          <w:color w:val="000000"/>
          <w:sz w:val="18"/>
          <w:szCs w:val="18"/>
          <w:lang w:val="en-US" w:eastAsia="zh-CN"/>
        </w:rPr>
        <w:t>报价一览表中列有15个细项，每项</w:t>
      </w:r>
      <w:r>
        <w:rPr>
          <w:rFonts w:hint="eastAsia" w:ascii="微软雅黑" w:hAnsi="微软雅黑" w:eastAsia="微软雅黑"/>
          <w:color w:val="000000"/>
          <w:sz w:val="18"/>
          <w:szCs w:val="18"/>
        </w:rPr>
        <w:t>以报价人的平均价作为满分4分，</w:t>
      </w:r>
      <w:r>
        <w:rPr>
          <w:rFonts w:hint="eastAsia" w:ascii="微软雅黑" w:hAnsi="微软雅黑" w:eastAsia="微软雅黑"/>
          <w:color w:val="000000"/>
          <w:sz w:val="18"/>
          <w:szCs w:val="18"/>
          <w:lang w:val="en-US" w:eastAsia="zh-CN"/>
        </w:rPr>
        <w:t>每项</w:t>
      </w:r>
      <w:r>
        <w:rPr>
          <w:rFonts w:hint="eastAsia" w:ascii="微软雅黑" w:hAnsi="微软雅黑" w:eastAsia="微软雅黑"/>
          <w:color w:val="000000"/>
          <w:sz w:val="18"/>
          <w:szCs w:val="18"/>
        </w:rPr>
        <w:t>报价低于平均价1%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扣0.25分，</w:t>
      </w:r>
      <w:r>
        <w:rPr>
          <w:rFonts w:hint="eastAsia" w:ascii="微软雅黑" w:hAnsi="微软雅黑" w:eastAsia="微软雅黑"/>
          <w:color w:val="000000"/>
          <w:sz w:val="18"/>
          <w:szCs w:val="18"/>
          <w:lang w:val="en-US" w:eastAsia="zh-CN"/>
        </w:rPr>
        <w:t>每项报价</w:t>
      </w:r>
      <w:r>
        <w:rPr>
          <w:rFonts w:hint="eastAsia" w:ascii="微软雅黑" w:hAnsi="微软雅黑" w:eastAsia="微软雅黑"/>
          <w:color w:val="000000"/>
          <w:sz w:val="18"/>
          <w:szCs w:val="18"/>
        </w:rPr>
        <w:t>高于平均价1%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扣0.5分，以此类推。</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汽车配件、配件材料应保质保量，符合国家及行业相关标准，更换的配件及材料必须是正规生产厂家的全新正品件，对更换后有质量问题的配件免费予以调换（除易损件和人为因素外）。</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本条考评标准得分满分为60分。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（10分） 1、评标委员会综合评定投标人其他方面内容。主要考评内容包括2019年1月至今曾受奖励情况并提供盖有颁发单位公章的文件及证明，一次奖励得1分；免费服务项目1项得1分，最高得5分；2、提供具有健全的安全生产各项规章制度及管理措施证明，优得3分、良好得2分、合格得1分；3、维修作业区域安全设施齐备、制度上墙得2分，未提供上墙证明图片不得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（30分） 评标委员会综合评定投标人所属维修厂的技术人员资质组成，场地环境条件及专业设备等情况评定分数（满分30分）。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sz w:val="18"/>
          <w:szCs w:val="18"/>
        </w:rPr>
        <w:t>各投标人所属员工具备高级职称1名者得3分，中级职称1名者得1分，最高得</w:t>
      </w:r>
      <w:r>
        <w:rPr>
          <w:rFonts w:hint="eastAsia" w:ascii="微软雅黑" w:hAnsi="微软雅黑" w:eastAsia="微软雅黑"/>
          <w:sz w:val="18"/>
          <w:szCs w:val="18"/>
          <w:lang w:val="en-US" w:eastAsia="zh-CN"/>
        </w:rPr>
        <w:t>15</w:t>
      </w:r>
      <w:r>
        <w:rPr>
          <w:rFonts w:hint="eastAsia" w:ascii="微软雅黑" w:hAnsi="微软雅黑" w:eastAsia="微软雅黑"/>
          <w:sz w:val="18"/>
          <w:szCs w:val="18"/>
        </w:rPr>
        <w:t>分</w:t>
      </w: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具有宇通客车、苏州金龙客车特约维修站资质的，一项得3分，最高6分。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驶员休室的设置、车辆停放等综合打分，最高</w:t>
      </w:r>
      <w:r>
        <w:rPr>
          <w:rFonts w:hint="eastAsia" w:ascii="微软雅黑" w:hAnsi="微软雅黑" w:eastAsia="微软雅黑"/>
          <w:color w:val="000000"/>
          <w:sz w:val="18"/>
          <w:szCs w:val="18"/>
          <w:lang w:val="en-US" w:eastAsia="zh-CN"/>
        </w:rPr>
        <w:t>4</w:t>
      </w:r>
      <w:r>
        <w:rPr>
          <w:rFonts w:hint="eastAsia" w:ascii="微软雅黑" w:hAnsi="微软雅黑" w:eastAsia="微软雅黑"/>
          <w:color w:val="000000"/>
          <w:sz w:val="18"/>
          <w:szCs w:val="18"/>
        </w:rPr>
        <w:t>分，最低0分。(投标后，开标前，将组织到投标人处查看)</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4.1车辆维修服务项目:一级、二级、三级车辆维护，大、中、小修理，和其他有关的汽车维修服务项目，包括交通事故车辆维修和理赔.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4.2质量保证（见附件甲方维修要求及质保标准）。中标单位在定点维修服务期内，设计的车辆维修材料及工时费必须按照投标中的材料报价及工时费报价执行，其它车辆维修材料及工时费按市场价执行。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4.3结算方式：本合同范围内的维修费用由中标修理厂每月提供增值税普通发票，由车管员审核后报销，使用转账方式支付。</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4.4违约责任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4.5解决合同纠纷的方式</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4.76合同年限.：初定为自签订合同之日起1年内有效。经招标人考核，符合招标人车辆维修技术要求和服务要求的，可延长此合同1年。如中标人考核不合格，合同自动终止。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重庆中渝高速公路有限公司车辆维修定点修理厂廉洁自律承诺书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五、自觉接受贵公司党群人力资源部的监督检查。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6"/>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p/>
    <w:p/>
    <w:p/>
    <w:p/>
    <w:p/>
    <w:p/>
    <w:p/>
    <w:p/>
    <w:p/>
    <w:p/>
    <w:p>
      <w:pPr>
        <w:rPr>
          <w:rFonts w:hint="eastAsia"/>
        </w:rPr>
      </w:pPr>
    </w:p>
    <w:p>
      <w:pPr>
        <w:rPr>
          <w:rFonts w:hint="eastAsia"/>
        </w:rPr>
      </w:pPr>
    </w:p>
    <w:p>
      <w:r>
        <w:rPr>
          <w:rFonts w:hint="eastAsia"/>
        </w:rPr>
        <w:t>报价一览表：</w:t>
      </w:r>
    </w:p>
    <w:tbl>
      <w:tblPr>
        <w:tblStyle w:val="7"/>
        <w:tblpPr w:leftFromText="180" w:rightFromText="180" w:vertAnchor="text" w:horzAnchor="margin" w:tblpX="-261" w:tblpY="383"/>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843"/>
        <w:gridCol w:w="851"/>
        <w:gridCol w:w="992"/>
        <w:gridCol w:w="880"/>
        <w:gridCol w:w="743"/>
        <w:gridCol w:w="1109"/>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报价人</w:t>
            </w:r>
            <w:r>
              <w:rPr>
                <w:rFonts w:ascii="宋体" w:hAnsi="宋体" w:eastAsia="宋体"/>
                <w:sz w:val="18"/>
                <w:szCs w:val="18"/>
              </w:rPr>
              <w:t>名称</w:t>
            </w:r>
          </w:p>
        </w:tc>
        <w:tc>
          <w:tcPr>
            <w:tcW w:w="7535" w:type="dxa"/>
            <w:gridSpan w:val="7"/>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维修项目</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材料明细</w:t>
            </w:r>
          </w:p>
        </w:tc>
        <w:tc>
          <w:tcPr>
            <w:tcW w:w="851" w:type="dxa"/>
            <w:vAlign w:val="center"/>
          </w:tcPr>
          <w:p>
            <w:pPr>
              <w:pStyle w:val="2"/>
              <w:jc w:val="center"/>
              <w:rPr>
                <w:rFonts w:ascii="宋体" w:hAnsi="宋体" w:eastAsia="宋体"/>
                <w:sz w:val="18"/>
                <w:szCs w:val="18"/>
              </w:rPr>
            </w:pPr>
            <w:r>
              <w:rPr>
                <w:rFonts w:ascii="宋体" w:hAnsi="宋体" w:eastAsia="宋体"/>
                <w:sz w:val="18"/>
                <w:szCs w:val="18"/>
              </w:rPr>
              <w:t>数量</w:t>
            </w:r>
          </w:p>
        </w:tc>
        <w:tc>
          <w:tcPr>
            <w:tcW w:w="992" w:type="dxa"/>
            <w:vAlign w:val="center"/>
          </w:tcPr>
          <w:p>
            <w:pPr>
              <w:pStyle w:val="2"/>
              <w:jc w:val="center"/>
              <w:rPr>
                <w:rFonts w:ascii="宋体" w:hAnsi="宋体" w:eastAsia="宋体"/>
                <w:sz w:val="18"/>
                <w:szCs w:val="18"/>
              </w:rPr>
            </w:pPr>
            <w:r>
              <w:rPr>
                <w:rFonts w:hint="eastAsia" w:ascii="宋体" w:hAnsi="宋体" w:eastAsia="宋体"/>
                <w:sz w:val="18"/>
                <w:szCs w:val="18"/>
              </w:rPr>
              <w:t>材料</w:t>
            </w:r>
            <w:r>
              <w:rPr>
                <w:rFonts w:ascii="宋体" w:hAnsi="宋体" w:eastAsia="宋体"/>
                <w:sz w:val="18"/>
                <w:szCs w:val="18"/>
              </w:rPr>
              <w:t>单</w:t>
            </w:r>
            <w:r>
              <w:rPr>
                <w:rFonts w:hint="eastAsia" w:ascii="宋体" w:hAnsi="宋体" w:eastAsia="宋体"/>
                <w:sz w:val="18"/>
                <w:szCs w:val="18"/>
              </w:rPr>
              <w:t>价</w:t>
            </w:r>
          </w:p>
        </w:tc>
        <w:tc>
          <w:tcPr>
            <w:tcW w:w="880" w:type="dxa"/>
            <w:vAlign w:val="center"/>
          </w:tcPr>
          <w:p>
            <w:pPr>
              <w:pStyle w:val="2"/>
              <w:jc w:val="center"/>
              <w:rPr>
                <w:rFonts w:ascii="宋体" w:hAnsi="宋体" w:eastAsia="宋体"/>
                <w:sz w:val="18"/>
                <w:szCs w:val="18"/>
              </w:rPr>
            </w:pPr>
            <w:r>
              <w:rPr>
                <w:rFonts w:ascii="宋体" w:hAnsi="宋体" w:eastAsia="宋体"/>
                <w:sz w:val="18"/>
                <w:szCs w:val="18"/>
              </w:rPr>
              <w:t>材料总价</w:t>
            </w:r>
          </w:p>
        </w:tc>
        <w:tc>
          <w:tcPr>
            <w:tcW w:w="743" w:type="dxa"/>
            <w:vAlign w:val="center"/>
          </w:tcPr>
          <w:p>
            <w:pPr>
              <w:pStyle w:val="2"/>
              <w:jc w:val="center"/>
              <w:rPr>
                <w:rFonts w:ascii="宋体" w:hAnsi="宋体" w:eastAsia="宋体"/>
                <w:sz w:val="18"/>
                <w:szCs w:val="18"/>
              </w:rPr>
            </w:pPr>
            <w:r>
              <w:rPr>
                <w:rFonts w:hint="eastAsia" w:ascii="宋体" w:hAnsi="宋体" w:eastAsia="宋体"/>
                <w:sz w:val="18"/>
                <w:szCs w:val="18"/>
              </w:rPr>
              <w:t>工时费</w:t>
            </w:r>
          </w:p>
        </w:tc>
        <w:tc>
          <w:tcPr>
            <w:tcW w:w="1109" w:type="dxa"/>
            <w:vAlign w:val="center"/>
          </w:tcPr>
          <w:p>
            <w:pPr>
              <w:pStyle w:val="2"/>
              <w:jc w:val="center"/>
              <w:rPr>
                <w:rFonts w:ascii="宋体" w:hAnsi="宋体" w:eastAsia="宋体"/>
                <w:sz w:val="18"/>
                <w:szCs w:val="18"/>
              </w:rPr>
            </w:pPr>
            <w:r>
              <w:rPr>
                <w:rFonts w:hint="eastAsia" w:ascii="宋体" w:hAnsi="宋体" w:eastAsia="宋体"/>
                <w:sz w:val="18"/>
                <w:szCs w:val="18"/>
              </w:rPr>
              <w:t>维修</w:t>
            </w:r>
            <w:r>
              <w:rPr>
                <w:rFonts w:ascii="宋体" w:hAnsi="宋体" w:eastAsia="宋体"/>
                <w:sz w:val="18"/>
                <w:szCs w:val="18"/>
              </w:rPr>
              <w:t>费</w:t>
            </w:r>
            <w:r>
              <w:rPr>
                <w:rFonts w:hint="eastAsia" w:ascii="宋体" w:hAnsi="宋体" w:eastAsia="宋体"/>
                <w:sz w:val="18"/>
                <w:szCs w:val="18"/>
              </w:rPr>
              <w:t>合计</w:t>
            </w:r>
          </w:p>
        </w:tc>
        <w:tc>
          <w:tcPr>
            <w:tcW w:w="1117" w:type="dxa"/>
            <w:vAlign w:val="center"/>
          </w:tcPr>
          <w:p>
            <w:pPr>
              <w:pStyle w:val="2"/>
              <w:jc w:val="center"/>
              <w:rPr>
                <w:rFonts w:ascii="宋体" w:hAnsi="宋体" w:eastAsia="宋体"/>
                <w:sz w:val="18"/>
                <w:szCs w:val="18"/>
              </w:rPr>
            </w:pPr>
            <w:r>
              <w:rPr>
                <w:rFonts w:ascii="宋体" w:hAnsi="宋体" w:eastAsia="宋体"/>
                <w:sz w:val="18"/>
                <w:szCs w:val="18"/>
              </w:rPr>
              <w:t>本项上限价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76"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发电机润滑油</w:t>
            </w:r>
          </w:p>
        </w:tc>
        <w:tc>
          <w:tcPr>
            <w:tcW w:w="1843" w:type="dxa"/>
            <w:tcBorders>
              <w:bottom w:val="single" w:color="auto" w:sz="4" w:space="0"/>
            </w:tcBorders>
            <w:vAlign w:val="center"/>
          </w:tcPr>
          <w:p>
            <w:pPr>
              <w:pStyle w:val="2"/>
              <w:jc w:val="center"/>
              <w:rPr>
                <w:rFonts w:ascii="宋体" w:hAnsi="宋体" w:eastAsia="宋体"/>
                <w:sz w:val="18"/>
                <w:szCs w:val="18"/>
              </w:rPr>
            </w:pPr>
            <w:r>
              <w:rPr>
                <w:rFonts w:hint="eastAsia"/>
                <w:sz w:val="18"/>
                <w:szCs w:val="18"/>
                <w:lang w:val="en-US" w:eastAsia="zh-CN"/>
              </w:rPr>
              <w:t>玉柴国五专用机油大桶</w:t>
            </w:r>
          </w:p>
        </w:tc>
        <w:tc>
          <w:tcPr>
            <w:tcW w:w="851" w:type="dxa"/>
            <w:tcBorders>
              <w:bottom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16升</w:t>
            </w:r>
          </w:p>
        </w:tc>
        <w:tc>
          <w:tcPr>
            <w:tcW w:w="992" w:type="dxa"/>
            <w:tcBorders>
              <w:bottom w:val="single" w:color="auto" w:sz="4" w:space="0"/>
            </w:tcBorders>
            <w:vAlign w:val="center"/>
          </w:tcPr>
          <w:p>
            <w:pPr>
              <w:pStyle w:val="2"/>
              <w:jc w:val="center"/>
              <w:rPr>
                <w:rFonts w:ascii="宋体" w:hAnsi="宋体" w:eastAsia="宋体"/>
                <w:sz w:val="18"/>
                <w:szCs w:val="18"/>
              </w:rPr>
            </w:pPr>
          </w:p>
        </w:tc>
        <w:tc>
          <w:tcPr>
            <w:tcW w:w="880" w:type="dxa"/>
            <w:tcBorders>
              <w:bottom w:val="single" w:color="auto" w:sz="4" w:space="0"/>
            </w:tcBorders>
            <w:vAlign w:val="center"/>
          </w:tcPr>
          <w:p>
            <w:pPr>
              <w:pStyle w:val="2"/>
              <w:jc w:val="center"/>
              <w:rPr>
                <w:rFonts w:ascii="宋体" w:hAnsi="宋体" w:eastAsia="宋体"/>
                <w:sz w:val="18"/>
                <w:szCs w:val="18"/>
              </w:rPr>
            </w:pPr>
          </w:p>
        </w:tc>
        <w:tc>
          <w:tcPr>
            <w:tcW w:w="743" w:type="dxa"/>
            <w:tcBorders>
              <w:bottom w:val="single" w:color="auto" w:sz="4" w:space="0"/>
            </w:tcBorders>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376" w:type="dxa"/>
            <w:vMerge w:val="restart"/>
            <w:vAlign w:val="center"/>
          </w:tcPr>
          <w:p>
            <w:pPr>
              <w:pStyle w:val="2"/>
              <w:jc w:val="center"/>
              <w:rPr>
                <w:rFonts w:ascii="宋体" w:hAnsi="宋体" w:eastAsia="宋体"/>
                <w:sz w:val="18"/>
                <w:szCs w:val="18"/>
              </w:rPr>
            </w:pPr>
            <w:r>
              <w:rPr>
                <w:rFonts w:hint="eastAsia" w:ascii="宋体" w:hAnsi="宋体" w:eastAsia="宋体"/>
                <w:sz w:val="18"/>
                <w:szCs w:val="18"/>
                <w:lang w:val="en-US" w:eastAsia="zh-CN"/>
              </w:rPr>
              <w:t>发电机润滑油</w:t>
            </w:r>
          </w:p>
        </w:tc>
        <w:tc>
          <w:tcPr>
            <w:tcW w:w="1843" w:type="dxa"/>
            <w:tcBorders>
              <w:top w:val="single" w:color="auto" w:sz="4" w:space="0"/>
              <w:bottom w:val="nil"/>
            </w:tcBorders>
            <w:vAlign w:val="center"/>
          </w:tcPr>
          <w:p>
            <w:pPr>
              <w:pStyle w:val="2"/>
              <w:rPr>
                <w:rFonts w:ascii="宋体" w:hAnsi="宋体" w:eastAsia="宋体"/>
                <w:sz w:val="18"/>
                <w:szCs w:val="18"/>
              </w:rPr>
            </w:pPr>
          </w:p>
        </w:tc>
        <w:tc>
          <w:tcPr>
            <w:tcW w:w="851" w:type="dxa"/>
            <w:vMerge w:val="restart"/>
            <w:tcBorders>
              <w:top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4升</w:t>
            </w:r>
          </w:p>
        </w:tc>
        <w:tc>
          <w:tcPr>
            <w:tcW w:w="992" w:type="dxa"/>
            <w:vMerge w:val="restart"/>
            <w:tcBorders>
              <w:top w:val="single" w:color="auto" w:sz="4" w:space="0"/>
            </w:tcBorders>
            <w:vAlign w:val="center"/>
          </w:tcPr>
          <w:p>
            <w:pPr>
              <w:pStyle w:val="2"/>
              <w:jc w:val="center"/>
              <w:rPr>
                <w:rFonts w:ascii="宋体" w:hAnsi="宋体" w:eastAsia="宋体"/>
                <w:sz w:val="18"/>
                <w:szCs w:val="18"/>
              </w:rPr>
            </w:pPr>
          </w:p>
        </w:tc>
        <w:tc>
          <w:tcPr>
            <w:tcW w:w="880" w:type="dxa"/>
            <w:vMerge w:val="restart"/>
            <w:tcBorders>
              <w:top w:val="single" w:color="auto" w:sz="4" w:space="0"/>
            </w:tcBorders>
            <w:vAlign w:val="center"/>
          </w:tcPr>
          <w:p>
            <w:pPr>
              <w:pStyle w:val="2"/>
              <w:jc w:val="center"/>
              <w:rPr>
                <w:rFonts w:ascii="宋体" w:hAnsi="宋体" w:eastAsia="宋体"/>
                <w:sz w:val="18"/>
                <w:szCs w:val="18"/>
              </w:rPr>
            </w:pPr>
          </w:p>
        </w:tc>
        <w:tc>
          <w:tcPr>
            <w:tcW w:w="743" w:type="dxa"/>
            <w:vMerge w:val="restart"/>
            <w:tcBorders>
              <w:top w:val="single" w:color="auto" w:sz="4" w:space="0"/>
            </w:tcBorders>
            <w:vAlign w:val="center"/>
          </w:tcPr>
          <w:p>
            <w:pPr>
              <w:pStyle w:val="2"/>
              <w:jc w:val="center"/>
              <w:rPr>
                <w:rFonts w:ascii="宋体" w:hAnsi="宋体" w:eastAsia="宋体"/>
                <w:sz w:val="18"/>
                <w:szCs w:val="18"/>
              </w:rPr>
            </w:pPr>
          </w:p>
        </w:tc>
        <w:tc>
          <w:tcPr>
            <w:tcW w:w="1109" w:type="dxa"/>
            <w:vMerge w:val="restart"/>
            <w:vAlign w:val="center"/>
          </w:tcPr>
          <w:p>
            <w:pPr>
              <w:pStyle w:val="2"/>
              <w:jc w:val="center"/>
              <w:rPr>
                <w:rFonts w:ascii="宋体" w:hAnsi="宋体" w:eastAsia="宋体"/>
                <w:sz w:val="18"/>
                <w:szCs w:val="18"/>
              </w:rPr>
            </w:pPr>
          </w:p>
        </w:tc>
        <w:tc>
          <w:tcPr>
            <w:tcW w:w="1117" w:type="dxa"/>
            <w:vMerge w:val="restart"/>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376" w:type="dxa"/>
            <w:vMerge w:val="continue"/>
            <w:vAlign w:val="center"/>
          </w:tcPr>
          <w:p>
            <w:pPr>
              <w:pStyle w:val="2"/>
              <w:jc w:val="center"/>
              <w:rPr>
                <w:rFonts w:ascii="宋体" w:hAnsi="宋体" w:eastAsia="宋体"/>
                <w:sz w:val="18"/>
                <w:szCs w:val="18"/>
              </w:rPr>
            </w:pPr>
          </w:p>
        </w:tc>
        <w:tc>
          <w:tcPr>
            <w:tcW w:w="1843" w:type="dxa"/>
            <w:tcBorders>
              <w:top w:val="nil"/>
            </w:tcBorders>
            <w:vAlign w:val="center"/>
          </w:tcPr>
          <w:p>
            <w:pPr>
              <w:pStyle w:val="2"/>
              <w:jc w:val="center"/>
              <w:rPr>
                <w:rFonts w:ascii="宋体" w:hAnsi="宋体" w:eastAsia="宋体"/>
                <w:sz w:val="18"/>
                <w:szCs w:val="18"/>
              </w:rPr>
            </w:pPr>
            <w:r>
              <w:rPr>
                <w:rFonts w:hint="eastAsia"/>
                <w:sz w:val="18"/>
                <w:szCs w:val="18"/>
                <w:lang w:val="en-US" w:eastAsia="zh-CN"/>
              </w:rPr>
              <w:t>玉柴国五专用机油小桶</w:t>
            </w:r>
          </w:p>
        </w:tc>
        <w:tc>
          <w:tcPr>
            <w:tcW w:w="851" w:type="dxa"/>
            <w:vMerge w:val="continue"/>
            <w:vAlign w:val="center"/>
          </w:tcPr>
          <w:p>
            <w:pPr>
              <w:pStyle w:val="2"/>
              <w:jc w:val="center"/>
              <w:rPr>
                <w:rFonts w:ascii="宋体" w:hAnsi="宋体" w:eastAsia="宋体"/>
                <w:sz w:val="18"/>
                <w:szCs w:val="18"/>
              </w:rPr>
            </w:pPr>
          </w:p>
        </w:tc>
        <w:tc>
          <w:tcPr>
            <w:tcW w:w="992" w:type="dxa"/>
            <w:vMerge w:val="continue"/>
            <w:vAlign w:val="center"/>
          </w:tcPr>
          <w:p>
            <w:pPr>
              <w:pStyle w:val="2"/>
              <w:jc w:val="center"/>
              <w:rPr>
                <w:rFonts w:ascii="宋体" w:hAnsi="宋体" w:eastAsia="宋体"/>
                <w:sz w:val="18"/>
                <w:szCs w:val="18"/>
              </w:rPr>
            </w:pPr>
          </w:p>
        </w:tc>
        <w:tc>
          <w:tcPr>
            <w:tcW w:w="880" w:type="dxa"/>
            <w:vMerge w:val="continue"/>
            <w:vAlign w:val="center"/>
          </w:tcPr>
          <w:p>
            <w:pPr>
              <w:pStyle w:val="2"/>
              <w:jc w:val="center"/>
              <w:rPr>
                <w:rFonts w:ascii="宋体" w:hAnsi="宋体" w:eastAsia="宋体"/>
                <w:sz w:val="18"/>
                <w:szCs w:val="18"/>
              </w:rPr>
            </w:pPr>
          </w:p>
        </w:tc>
        <w:tc>
          <w:tcPr>
            <w:tcW w:w="743" w:type="dxa"/>
            <w:vMerge w:val="continue"/>
            <w:vAlign w:val="center"/>
          </w:tcPr>
          <w:p>
            <w:pPr>
              <w:pStyle w:val="2"/>
              <w:jc w:val="center"/>
              <w:rPr>
                <w:rFonts w:ascii="宋体" w:hAnsi="宋体" w:eastAsia="宋体"/>
                <w:sz w:val="18"/>
                <w:szCs w:val="18"/>
              </w:rPr>
            </w:pPr>
          </w:p>
        </w:tc>
        <w:tc>
          <w:tcPr>
            <w:tcW w:w="1109" w:type="dxa"/>
            <w:vMerge w:val="continue"/>
            <w:vAlign w:val="center"/>
          </w:tcPr>
          <w:p>
            <w:pPr>
              <w:pStyle w:val="2"/>
              <w:jc w:val="center"/>
              <w:rPr>
                <w:rFonts w:ascii="宋体" w:hAnsi="宋体" w:eastAsia="宋体"/>
                <w:sz w:val="18"/>
                <w:szCs w:val="18"/>
              </w:rPr>
            </w:pPr>
          </w:p>
        </w:tc>
        <w:tc>
          <w:tcPr>
            <w:tcW w:w="1117" w:type="dxa"/>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6" w:type="dxa"/>
            <w:vMerge w:val="restart"/>
            <w:vAlign w:val="center"/>
          </w:tcPr>
          <w:p>
            <w:pPr>
              <w:pStyle w:val="2"/>
              <w:jc w:val="center"/>
              <w:rPr>
                <w:rFonts w:ascii="宋体" w:hAnsi="宋体" w:eastAsia="宋体"/>
                <w:sz w:val="18"/>
                <w:szCs w:val="18"/>
              </w:rPr>
            </w:pPr>
            <w:r>
              <w:rPr>
                <w:rFonts w:hint="eastAsia"/>
                <w:sz w:val="18"/>
                <w:szCs w:val="18"/>
              </w:rPr>
              <w:t>汽车蓄电瓶</w:t>
            </w:r>
          </w:p>
        </w:tc>
        <w:tc>
          <w:tcPr>
            <w:tcW w:w="1843" w:type="dxa"/>
            <w:vAlign w:val="center"/>
          </w:tcPr>
          <w:p>
            <w:pPr>
              <w:pStyle w:val="2"/>
              <w:jc w:val="center"/>
              <w:rPr>
                <w:rFonts w:ascii="宋体" w:hAnsi="宋体" w:eastAsia="宋体"/>
                <w:sz w:val="18"/>
                <w:szCs w:val="18"/>
              </w:rPr>
            </w:pPr>
            <w:r>
              <w:rPr>
                <w:rFonts w:hint="eastAsia"/>
                <w:sz w:val="18"/>
                <w:szCs w:val="18"/>
                <w:lang w:eastAsia="zh-CN"/>
              </w:rPr>
              <w:t>骆驼</w:t>
            </w:r>
            <w:r>
              <w:rPr>
                <w:rFonts w:hint="eastAsia"/>
                <w:sz w:val="18"/>
                <w:szCs w:val="18"/>
                <w:lang w:val="en-US" w:eastAsia="zh-CN"/>
              </w:rPr>
              <w:t>165A</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880" w:type="dxa"/>
            <w:vAlign w:val="center"/>
          </w:tcPr>
          <w:p>
            <w:pPr>
              <w:pStyle w:val="2"/>
              <w:jc w:val="center"/>
              <w:rPr>
                <w:rFonts w:ascii="宋体" w:hAnsi="宋体" w:eastAsia="宋体"/>
                <w:sz w:val="18"/>
                <w:szCs w:val="18"/>
              </w:rPr>
            </w:pPr>
          </w:p>
        </w:tc>
        <w:tc>
          <w:tcPr>
            <w:tcW w:w="743" w:type="dxa"/>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76" w:type="dxa"/>
            <w:vMerge w:val="continue"/>
            <w:vAlign w:val="center"/>
          </w:tcPr>
          <w:p>
            <w:pPr>
              <w:pStyle w:val="2"/>
              <w:jc w:val="both"/>
              <w:rPr>
                <w:rFonts w:ascii="宋体" w:hAnsi="宋体" w:eastAsia="宋体"/>
                <w:sz w:val="18"/>
                <w:szCs w:val="18"/>
              </w:rPr>
            </w:pPr>
          </w:p>
        </w:tc>
        <w:tc>
          <w:tcPr>
            <w:tcW w:w="1843" w:type="dxa"/>
            <w:vAlign w:val="center"/>
          </w:tcPr>
          <w:p>
            <w:pPr>
              <w:pStyle w:val="2"/>
              <w:jc w:val="center"/>
              <w:rPr>
                <w:rFonts w:ascii="宋体" w:hAnsi="宋体" w:eastAsia="宋体"/>
                <w:sz w:val="18"/>
                <w:szCs w:val="18"/>
              </w:rPr>
            </w:pPr>
            <w:r>
              <w:rPr>
                <w:rFonts w:hint="eastAsia"/>
                <w:sz w:val="18"/>
                <w:szCs w:val="18"/>
                <w:lang w:val="en-US" w:eastAsia="zh-CN"/>
              </w:rPr>
              <w:t>宝胜200A</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880" w:type="dxa"/>
            <w:vAlign w:val="center"/>
          </w:tcPr>
          <w:p>
            <w:pPr>
              <w:pStyle w:val="2"/>
              <w:jc w:val="center"/>
              <w:rPr>
                <w:rFonts w:ascii="宋体" w:hAnsi="宋体" w:eastAsia="宋体"/>
                <w:sz w:val="18"/>
                <w:szCs w:val="18"/>
              </w:rPr>
            </w:pPr>
          </w:p>
        </w:tc>
        <w:tc>
          <w:tcPr>
            <w:tcW w:w="743" w:type="dxa"/>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76" w:type="dxa"/>
            <w:vAlign w:val="center"/>
          </w:tcPr>
          <w:p>
            <w:pPr>
              <w:pStyle w:val="2"/>
              <w:jc w:val="center"/>
              <w:rPr>
                <w:rFonts w:ascii="宋体" w:hAnsi="宋体" w:eastAsia="宋体"/>
                <w:sz w:val="18"/>
                <w:szCs w:val="18"/>
              </w:rPr>
            </w:pPr>
            <w:r>
              <w:rPr>
                <w:rFonts w:hint="eastAsia"/>
                <w:sz w:val="18"/>
                <w:szCs w:val="18"/>
              </w:rPr>
              <w:t>更换</w:t>
            </w:r>
            <w:r>
              <w:rPr>
                <w:rFonts w:hint="eastAsia"/>
                <w:sz w:val="18"/>
                <w:szCs w:val="18"/>
                <w:lang w:eastAsia="zh-CN"/>
              </w:rPr>
              <w:t>右前轮</w:t>
            </w:r>
            <w:r>
              <w:rPr>
                <w:rFonts w:hint="eastAsia"/>
                <w:sz w:val="18"/>
                <w:szCs w:val="18"/>
              </w:rPr>
              <w:t>刹车片</w:t>
            </w:r>
          </w:p>
        </w:tc>
        <w:tc>
          <w:tcPr>
            <w:tcW w:w="1843" w:type="dxa"/>
            <w:vAlign w:val="center"/>
          </w:tcPr>
          <w:p>
            <w:pPr>
              <w:pStyle w:val="2"/>
              <w:jc w:val="center"/>
              <w:rPr>
                <w:rFonts w:ascii="宋体" w:hAnsi="宋体" w:eastAsia="宋体"/>
                <w:sz w:val="18"/>
                <w:szCs w:val="18"/>
              </w:rPr>
            </w:pPr>
            <w:r>
              <w:rPr>
                <w:rFonts w:hint="eastAsia"/>
                <w:sz w:val="18"/>
                <w:szCs w:val="18"/>
              </w:rPr>
              <w:t>右前轮刹车蹄片</w:t>
            </w:r>
            <w:r>
              <w:rPr>
                <w:rFonts w:hint="eastAsia"/>
                <w:sz w:val="18"/>
                <w:szCs w:val="18"/>
                <w:lang w:eastAsia="zh-CN"/>
              </w:rPr>
              <w:t>（</w:t>
            </w:r>
            <w:r>
              <w:rPr>
                <w:rFonts w:hint="eastAsia"/>
                <w:sz w:val="18"/>
                <w:szCs w:val="18"/>
                <w:lang w:val="en-US" w:eastAsia="zh-CN"/>
              </w:rPr>
              <w:t>金龙原厂件）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880" w:type="dxa"/>
            <w:vAlign w:val="center"/>
          </w:tcPr>
          <w:p>
            <w:pPr>
              <w:pStyle w:val="2"/>
              <w:jc w:val="center"/>
              <w:rPr>
                <w:rFonts w:ascii="宋体" w:hAnsi="宋体" w:eastAsia="宋体"/>
                <w:sz w:val="18"/>
                <w:szCs w:val="18"/>
              </w:rPr>
            </w:pPr>
          </w:p>
        </w:tc>
        <w:tc>
          <w:tcPr>
            <w:tcW w:w="743" w:type="dxa"/>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376" w:type="dxa"/>
            <w:vAlign w:val="center"/>
          </w:tcPr>
          <w:p>
            <w:pPr>
              <w:pStyle w:val="2"/>
              <w:jc w:val="center"/>
              <w:rPr>
                <w:rFonts w:ascii="宋体" w:hAnsi="宋体" w:eastAsia="宋体"/>
                <w:sz w:val="18"/>
                <w:szCs w:val="18"/>
              </w:rPr>
            </w:pPr>
            <w:r>
              <w:rPr>
                <w:rFonts w:hint="eastAsia"/>
                <w:sz w:val="18"/>
                <w:szCs w:val="18"/>
                <w:lang w:val="en-US" w:eastAsia="zh-CN"/>
              </w:rPr>
              <w:t>更换快放阀</w:t>
            </w:r>
          </w:p>
        </w:tc>
        <w:tc>
          <w:tcPr>
            <w:tcW w:w="1843" w:type="dxa"/>
            <w:vAlign w:val="center"/>
          </w:tcPr>
          <w:p>
            <w:pPr>
              <w:pStyle w:val="2"/>
              <w:jc w:val="center"/>
              <w:rPr>
                <w:rFonts w:ascii="宋体" w:hAnsi="宋体" w:eastAsia="宋体"/>
                <w:sz w:val="18"/>
                <w:szCs w:val="18"/>
              </w:rPr>
            </w:pPr>
            <w:r>
              <w:rPr>
                <w:rFonts w:hint="eastAsia"/>
                <w:sz w:val="18"/>
                <w:szCs w:val="18"/>
                <w:lang w:eastAsia="zh-CN"/>
              </w:rPr>
              <w:t>快放阀（</w:t>
            </w:r>
            <w:r>
              <w:rPr>
                <w:rFonts w:hint="eastAsia"/>
                <w:sz w:val="18"/>
                <w:szCs w:val="18"/>
                <w:lang w:val="en-US" w:eastAsia="zh-CN"/>
              </w:rPr>
              <w:t>金龙原厂件）</w:t>
            </w:r>
          </w:p>
        </w:tc>
        <w:tc>
          <w:tcPr>
            <w:tcW w:w="851" w:type="dxa"/>
            <w:vAlign w:val="center"/>
          </w:tcPr>
          <w:p>
            <w:pPr>
              <w:pStyle w:val="2"/>
              <w:jc w:val="both"/>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880" w:type="dxa"/>
            <w:vAlign w:val="center"/>
          </w:tcPr>
          <w:p>
            <w:pPr>
              <w:pStyle w:val="2"/>
              <w:jc w:val="center"/>
              <w:rPr>
                <w:rFonts w:ascii="宋体" w:hAnsi="宋体" w:eastAsia="宋体"/>
                <w:sz w:val="18"/>
                <w:szCs w:val="18"/>
              </w:rPr>
            </w:pPr>
          </w:p>
        </w:tc>
        <w:tc>
          <w:tcPr>
            <w:tcW w:w="743" w:type="dxa"/>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376" w:type="dxa"/>
            <w:vAlign w:val="center"/>
          </w:tcPr>
          <w:p>
            <w:pPr>
              <w:pStyle w:val="2"/>
              <w:jc w:val="center"/>
              <w:rPr>
                <w:rFonts w:ascii="宋体" w:hAnsi="宋体" w:eastAsia="宋体"/>
                <w:sz w:val="18"/>
                <w:szCs w:val="18"/>
              </w:rPr>
            </w:pPr>
            <w:r>
              <w:rPr>
                <w:rFonts w:hint="eastAsia"/>
                <w:sz w:val="18"/>
                <w:szCs w:val="18"/>
                <w:lang w:val="en-US" w:eastAsia="zh-CN"/>
              </w:rPr>
              <w:t>更换离合器片</w:t>
            </w:r>
          </w:p>
        </w:tc>
        <w:tc>
          <w:tcPr>
            <w:tcW w:w="1843" w:type="dxa"/>
            <w:vAlign w:val="center"/>
          </w:tcPr>
          <w:p>
            <w:pPr>
              <w:pStyle w:val="2"/>
              <w:jc w:val="center"/>
              <w:rPr>
                <w:rFonts w:ascii="宋体" w:hAnsi="宋体" w:eastAsia="宋体"/>
                <w:sz w:val="18"/>
                <w:szCs w:val="18"/>
              </w:rPr>
            </w:pPr>
            <w:r>
              <w:rPr>
                <w:rFonts w:hint="eastAsia"/>
                <w:sz w:val="18"/>
                <w:szCs w:val="18"/>
                <w:lang w:val="en-US" w:eastAsia="zh-CN"/>
              </w:rPr>
              <w:t>离合器片</w:t>
            </w:r>
            <w:r>
              <w:rPr>
                <w:rFonts w:hint="eastAsia"/>
                <w:sz w:val="18"/>
                <w:szCs w:val="18"/>
                <w:lang w:eastAsia="zh-CN"/>
              </w:rPr>
              <w:t>（</w:t>
            </w:r>
            <w:r>
              <w:rPr>
                <w:rFonts w:hint="eastAsia"/>
                <w:sz w:val="18"/>
                <w:szCs w:val="18"/>
                <w:lang w:val="en-US" w:eastAsia="zh-CN"/>
              </w:rPr>
              <w:t>金龙原厂件）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880" w:type="dxa"/>
            <w:vAlign w:val="center"/>
          </w:tcPr>
          <w:p>
            <w:pPr>
              <w:pStyle w:val="2"/>
              <w:jc w:val="center"/>
              <w:rPr>
                <w:rFonts w:ascii="宋体" w:hAnsi="宋体" w:eastAsia="宋体"/>
                <w:sz w:val="18"/>
                <w:szCs w:val="18"/>
              </w:rPr>
            </w:pPr>
          </w:p>
        </w:tc>
        <w:tc>
          <w:tcPr>
            <w:tcW w:w="743" w:type="dxa"/>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76" w:type="dxa"/>
            <w:vAlign w:val="center"/>
          </w:tcPr>
          <w:p>
            <w:pPr>
              <w:pStyle w:val="2"/>
              <w:jc w:val="center"/>
              <w:rPr>
                <w:rFonts w:ascii="宋体" w:hAnsi="宋体" w:eastAsia="宋体"/>
                <w:sz w:val="18"/>
                <w:szCs w:val="18"/>
              </w:rPr>
            </w:pPr>
            <w:r>
              <w:rPr>
                <w:rFonts w:hint="eastAsia"/>
                <w:sz w:val="18"/>
                <w:szCs w:val="18"/>
                <w:lang w:eastAsia="zh-CN"/>
              </w:rPr>
              <w:t>更换喷油嘴</w:t>
            </w:r>
          </w:p>
        </w:tc>
        <w:tc>
          <w:tcPr>
            <w:tcW w:w="1843" w:type="dxa"/>
            <w:vAlign w:val="center"/>
          </w:tcPr>
          <w:p>
            <w:pPr>
              <w:pStyle w:val="2"/>
              <w:jc w:val="both"/>
              <w:rPr>
                <w:rFonts w:ascii="宋体" w:hAnsi="宋体" w:eastAsia="宋体"/>
                <w:sz w:val="18"/>
                <w:szCs w:val="18"/>
              </w:rPr>
            </w:pPr>
            <w:r>
              <w:rPr>
                <w:rFonts w:hint="eastAsia"/>
                <w:sz w:val="18"/>
                <w:szCs w:val="18"/>
                <w:lang w:eastAsia="zh-CN"/>
              </w:rPr>
              <w:t>喷油嘴</w:t>
            </w:r>
            <w:r>
              <w:rPr>
                <w:rFonts w:hint="eastAsia"/>
                <w:sz w:val="18"/>
                <w:szCs w:val="18"/>
                <w:lang w:val="en-US" w:eastAsia="zh-CN"/>
              </w:rPr>
              <w:t>/玉柴6J</w:t>
            </w:r>
            <w:r>
              <w:rPr>
                <w:rFonts w:hint="eastAsia"/>
                <w:sz w:val="18"/>
                <w:szCs w:val="18"/>
                <w:lang w:eastAsia="zh-CN"/>
              </w:rPr>
              <w:t>（</w:t>
            </w:r>
            <w:r>
              <w:rPr>
                <w:rFonts w:hint="eastAsia"/>
                <w:sz w:val="18"/>
                <w:szCs w:val="18"/>
                <w:lang w:val="en-US" w:eastAsia="zh-CN"/>
              </w:rPr>
              <w:t>金龙原厂件）</w:t>
            </w:r>
          </w:p>
        </w:tc>
        <w:tc>
          <w:tcPr>
            <w:tcW w:w="851" w:type="dxa"/>
            <w:vAlign w:val="center"/>
          </w:tcPr>
          <w:p>
            <w:pPr>
              <w:pStyle w:val="2"/>
              <w:jc w:val="both"/>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880" w:type="dxa"/>
            <w:vAlign w:val="center"/>
          </w:tcPr>
          <w:p>
            <w:pPr>
              <w:pStyle w:val="2"/>
              <w:jc w:val="center"/>
              <w:rPr>
                <w:rFonts w:ascii="宋体" w:hAnsi="宋体" w:eastAsia="宋体"/>
                <w:sz w:val="18"/>
                <w:szCs w:val="18"/>
              </w:rPr>
            </w:pPr>
          </w:p>
        </w:tc>
        <w:tc>
          <w:tcPr>
            <w:tcW w:w="743" w:type="dxa"/>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376" w:type="dxa"/>
            <w:vAlign w:val="center"/>
          </w:tcPr>
          <w:p>
            <w:pPr>
              <w:pStyle w:val="2"/>
              <w:jc w:val="center"/>
              <w:rPr>
                <w:rFonts w:ascii="宋体" w:hAnsi="宋体" w:eastAsia="宋体"/>
                <w:sz w:val="18"/>
                <w:szCs w:val="18"/>
              </w:rPr>
            </w:pPr>
            <w:r>
              <w:rPr>
                <w:rFonts w:hint="eastAsia"/>
                <w:b w:val="0"/>
                <w:bCs/>
                <w:sz w:val="18"/>
                <w:szCs w:val="18"/>
                <w:lang w:val="en-US" w:eastAsia="zh-CN"/>
              </w:rPr>
              <w:t>更换传动轴总成</w:t>
            </w:r>
          </w:p>
        </w:tc>
        <w:tc>
          <w:tcPr>
            <w:tcW w:w="1843" w:type="dxa"/>
            <w:vAlign w:val="center"/>
          </w:tcPr>
          <w:p>
            <w:pPr>
              <w:pStyle w:val="2"/>
              <w:jc w:val="center"/>
              <w:rPr>
                <w:rFonts w:ascii="宋体" w:hAnsi="宋体" w:eastAsia="宋体"/>
                <w:sz w:val="18"/>
                <w:szCs w:val="18"/>
              </w:rPr>
            </w:pPr>
            <w:r>
              <w:rPr>
                <w:rFonts w:hint="eastAsia"/>
                <w:b w:val="0"/>
                <w:bCs/>
                <w:sz w:val="18"/>
                <w:szCs w:val="18"/>
                <w:lang w:val="en-US" w:eastAsia="zh-CN"/>
              </w:rPr>
              <w:t>传动轴总成</w:t>
            </w:r>
            <w:r>
              <w:rPr>
                <w:rFonts w:hint="eastAsia"/>
                <w:sz w:val="18"/>
                <w:szCs w:val="18"/>
                <w:lang w:eastAsia="zh-CN"/>
              </w:rPr>
              <w:t>（</w:t>
            </w:r>
            <w:r>
              <w:rPr>
                <w:rFonts w:hint="eastAsia"/>
                <w:sz w:val="18"/>
                <w:szCs w:val="18"/>
                <w:lang w:val="en-US" w:eastAsia="zh-CN"/>
              </w:rPr>
              <w:t>金龙原厂件）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880" w:type="dxa"/>
            <w:vAlign w:val="center"/>
          </w:tcPr>
          <w:p>
            <w:pPr>
              <w:pStyle w:val="2"/>
              <w:jc w:val="center"/>
              <w:rPr>
                <w:rFonts w:ascii="宋体" w:hAnsi="宋体" w:eastAsia="宋体"/>
                <w:sz w:val="18"/>
                <w:szCs w:val="18"/>
              </w:rPr>
            </w:pPr>
          </w:p>
        </w:tc>
        <w:tc>
          <w:tcPr>
            <w:tcW w:w="743" w:type="dxa"/>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376" w:type="dxa"/>
            <w:vAlign w:val="center"/>
          </w:tcPr>
          <w:p>
            <w:pPr>
              <w:pStyle w:val="2"/>
              <w:jc w:val="center"/>
              <w:rPr>
                <w:rFonts w:ascii="宋体" w:hAnsi="宋体" w:eastAsia="宋体"/>
                <w:b/>
                <w:bCs/>
                <w:sz w:val="18"/>
                <w:szCs w:val="18"/>
              </w:rPr>
            </w:pPr>
            <w:r>
              <w:rPr>
                <w:rFonts w:hint="eastAsia" w:asciiTheme="majorEastAsia" w:hAnsiTheme="majorEastAsia" w:eastAsiaTheme="majorEastAsia"/>
                <w:b/>
                <w:bCs/>
                <w:sz w:val="18"/>
                <w:szCs w:val="18"/>
                <w:lang w:val="en-US" w:eastAsia="zh-CN"/>
              </w:rPr>
              <w:t>更换左前</w:t>
            </w:r>
            <w:r>
              <w:rPr>
                <w:rFonts w:hint="eastAsia" w:asciiTheme="majorEastAsia" w:hAnsiTheme="majorEastAsia" w:eastAsiaTheme="majorEastAsia"/>
                <w:b/>
                <w:bCs/>
                <w:sz w:val="18"/>
                <w:szCs w:val="18"/>
              </w:rPr>
              <w:t>减震</w:t>
            </w:r>
          </w:p>
        </w:tc>
        <w:tc>
          <w:tcPr>
            <w:tcW w:w="1843" w:type="dxa"/>
            <w:vAlign w:val="center"/>
          </w:tcPr>
          <w:p>
            <w:pPr>
              <w:pStyle w:val="2"/>
              <w:jc w:val="center"/>
              <w:rPr>
                <w:rFonts w:ascii="宋体" w:hAnsi="宋体" w:eastAsia="宋体"/>
                <w:sz w:val="18"/>
                <w:szCs w:val="18"/>
              </w:rPr>
            </w:pPr>
            <w:r>
              <w:rPr>
                <w:rFonts w:hint="eastAsia" w:asciiTheme="majorEastAsia" w:hAnsiTheme="majorEastAsia" w:eastAsiaTheme="majorEastAsia"/>
                <w:sz w:val="18"/>
                <w:szCs w:val="18"/>
              </w:rPr>
              <w:t>左前减震器</w:t>
            </w:r>
            <w:r>
              <w:rPr>
                <w:rFonts w:hint="eastAsia"/>
                <w:sz w:val="18"/>
                <w:szCs w:val="18"/>
                <w:lang w:eastAsia="zh-CN"/>
              </w:rPr>
              <w:t>（</w:t>
            </w:r>
            <w:r>
              <w:rPr>
                <w:rFonts w:hint="eastAsia"/>
                <w:sz w:val="18"/>
                <w:szCs w:val="18"/>
                <w:lang w:val="en-US" w:eastAsia="zh-CN"/>
              </w:rPr>
              <w:t>金龙原厂件）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880" w:type="dxa"/>
            <w:vAlign w:val="center"/>
          </w:tcPr>
          <w:p>
            <w:pPr>
              <w:pStyle w:val="2"/>
              <w:jc w:val="center"/>
              <w:rPr>
                <w:rFonts w:ascii="宋体" w:hAnsi="宋体" w:eastAsia="宋体"/>
                <w:sz w:val="18"/>
                <w:szCs w:val="18"/>
              </w:rPr>
            </w:pPr>
          </w:p>
        </w:tc>
        <w:tc>
          <w:tcPr>
            <w:tcW w:w="743" w:type="dxa"/>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76" w:type="dxa"/>
            <w:vAlign w:val="center"/>
          </w:tcPr>
          <w:p>
            <w:pPr>
              <w:pStyle w:val="2"/>
              <w:jc w:val="center"/>
              <w:rPr>
                <w:rFonts w:ascii="宋体" w:hAnsi="宋体" w:eastAsia="宋体"/>
                <w:b/>
                <w:bCs/>
                <w:sz w:val="18"/>
                <w:szCs w:val="18"/>
              </w:rPr>
            </w:pPr>
            <w:r>
              <w:rPr>
                <w:rFonts w:hint="eastAsia" w:asciiTheme="majorEastAsia" w:hAnsiTheme="majorEastAsia" w:eastAsiaTheme="majorEastAsia"/>
                <w:b/>
                <w:bCs/>
                <w:sz w:val="18"/>
                <w:szCs w:val="18"/>
                <w:lang w:val="en-US" w:eastAsia="zh-CN"/>
              </w:rPr>
              <w:t>更换发电机</w:t>
            </w:r>
          </w:p>
        </w:tc>
        <w:tc>
          <w:tcPr>
            <w:tcW w:w="1843" w:type="dxa"/>
            <w:vAlign w:val="center"/>
          </w:tcPr>
          <w:p>
            <w:pPr>
              <w:pStyle w:val="2"/>
              <w:jc w:val="center"/>
              <w:rPr>
                <w:rFonts w:ascii="宋体" w:hAnsi="宋体" w:eastAsia="宋体"/>
                <w:sz w:val="18"/>
                <w:szCs w:val="18"/>
              </w:rPr>
            </w:pPr>
            <w:r>
              <w:rPr>
                <w:rFonts w:hint="eastAsia" w:asciiTheme="majorEastAsia" w:hAnsiTheme="majorEastAsia" w:eastAsiaTheme="majorEastAsia"/>
                <w:sz w:val="18"/>
                <w:szCs w:val="18"/>
                <w:lang w:val="en-US" w:eastAsia="zh-CN"/>
              </w:rPr>
              <w:t>发电机</w:t>
            </w:r>
            <w:r>
              <w:rPr>
                <w:rFonts w:hint="eastAsia"/>
                <w:sz w:val="18"/>
                <w:szCs w:val="18"/>
                <w:lang w:eastAsia="zh-CN"/>
              </w:rPr>
              <w:t>（</w:t>
            </w:r>
            <w:r>
              <w:rPr>
                <w:rFonts w:hint="eastAsia"/>
                <w:sz w:val="18"/>
                <w:szCs w:val="18"/>
                <w:lang w:val="en-US" w:eastAsia="zh-CN"/>
              </w:rPr>
              <w:t>金龙原厂件）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880" w:type="dxa"/>
            <w:vAlign w:val="center"/>
          </w:tcPr>
          <w:p>
            <w:pPr>
              <w:pStyle w:val="2"/>
              <w:jc w:val="center"/>
              <w:rPr>
                <w:rFonts w:ascii="宋体" w:hAnsi="宋体" w:eastAsia="宋体"/>
                <w:sz w:val="18"/>
                <w:szCs w:val="18"/>
              </w:rPr>
            </w:pPr>
          </w:p>
        </w:tc>
        <w:tc>
          <w:tcPr>
            <w:tcW w:w="743" w:type="dxa"/>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76" w:type="dxa"/>
            <w:vAlign w:val="center"/>
          </w:tcPr>
          <w:p>
            <w:pPr>
              <w:pStyle w:val="2"/>
              <w:jc w:val="center"/>
              <w:rPr>
                <w:rFonts w:ascii="宋体" w:hAnsi="宋体" w:eastAsia="宋体"/>
                <w:b/>
                <w:bCs/>
                <w:sz w:val="18"/>
                <w:szCs w:val="18"/>
              </w:rPr>
            </w:pPr>
            <w:r>
              <w:rPr>
                <w:rFonts w:hint="eastAsia" w:asciiTheme="majorEastAsia" w:hAnsiTheme="majorEastAsia" w:eastAsiaTheme="majorEastAsia"/>
                <w:b/>
                <w:bCs/>
                <w:sz w:val="18"/>
                <w:szCs w:val="18"/>
                <w:lang w:val="en-US" w:eastAsia="zh-CN"/>
              </w:rPr>
              <w:t>更换起动机</w:t>
            </w:r>
          </w:p>
        </w:tc>
        <w:tc>
          <w:tcPr>
            <w:tcW w:w="1843" w:type="dxa"/>
            <w:vAlign w:val="center"/>
          </w:tcPr>
          <w:p>
            <w:pPr>
              <w:pStyle w:val="2"/>
              <w:jc w:val="both"/>
              <w:rPr>
                <w:rFonts w:ascii="宋体" w:hAnsi="宋体" w:eastAsia="宋体"/>
                <w:sz w:val="18"/>
                <w:szCs w:val="18"/>
              </w:rPr>
            </w:pPr>
            <w:r>
              <w:rPr>
                <w:rFonts w:hint="eastAsia" w:asciiTheme="majorEastAsia" w:hAnsiTheme="majorEastAsia" w:eastAsiaTheme="majorEastAsia"/>
                <w:sz w:val="18"/>
                <w:szCs w:val="18"/>
                <w:lang w:val="en-US" w:eastAsia="zh-CN"/>
              </w:rPr>
              <w:t>起动机</w:t>
            </w:r>
            <w:r>
              <w:rPr>
                <w:rFonts w:hint="eastAsia"/>
                <w:sz w:val="18"/>
                <w:szCs w:val="18"/>
                <w:lang w:eastAsia="zh-CN"/>
              </w:rPr>
              <w:t>（</w:t>
            </w:r>
            <w:r>
              <w:rPr>
                <w:rFonts w:hint="eastAsia"/>
                <w:sz w:val="18"/>
                <w:szCs w:val="18"/>
                <w:lang w:val="en-US" w:eastAsia="zh-CN"/>
              </w:rPr>
              <w:t>金龙原厂件）</w:t>
            </w:r>
          </w:p>
        </w:tc>
        <w:tc>
          <w:tcPr>
            <w:tcW w:w="851" w:type="dxa"/>
            <w:vAlign w:val="center"/>
          </w:tcPr>
          <w:p>
            <w:pPr>
              <w:pStyle w:val="2"/>
              <w:jc w:val="center"/>
              <w:rPr>
                <w:rFonts w:hint="eastAsia"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880" w:type="dxa"/>
            <w:vAlign w:val="center"/>
          </w:tcPr>
          <w:p>
            <w:pPr>
              <w:pStyle w:val="2"/>
              <w:jc w:val="center"/>
              <w:rPr>
                <w:rFonts w:ascii="宋体" w:hAnsi="宋体" w:eastAsia="宋体"/>
                <w:sz w:val="18"/>
                <w:szCs w:val="18"/>
              </w:rPr>
            </w:pPr>
          </w:p>
        </w:tc>
        <w:tc>
          <w:tcPr>
            <w:tcW w:w="743" w:type="dxa"/>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376" w:type="dxa"/>
            <w:vAlign w:val="center"/>
          </w:tcPr>
          <w:p>
            <w:pPr>
              <w:pStyle w:val="2"/>
              <w:jc w:val="center"/>
              <w:rPr>
                <w:rFonts w:ascii="宋体" w:hAnsi="宋体" w:eastAsia="宋体"/>
                <w:b/>
                <w:bCs/>
                <w:sz w:val="18"/>
                <w:szCs w:val="18"/>
              </w:rPr>
            </w:pPr>
            <w:r>
              <w:rPr>
                <w:rFonts w:hint="eastAsia"/>
                <w:b/>
                <w:bCs/>
                <w:sz w:val="18"/>
                <w:szCs w:val="18"/>
              </w:rPr>
              <w:t>更换空调压缩机</w:t>
            </w:r>
          </w:p>
        </w:tc>
        <w:tc>
          <w:tcPr>
            <w:tcW w:w="1843" w:type="dxa"/>
            <w:vAlign w:val="center"/>
          </w:tcPr>
          <w:p>
            <w:pPr>
              <w:pStyle w:val="2"/>
              <w:jc w:val="both"/>
              <w:rPr>
                <w:rFonts w:ascii="宋体" w:hAnsi="宋体" w:eastAsia="宋体"/>
                <w:sz w:val="18"/>
                <w:szCs w:val="18"/>
              </w:rPr>
            </w:pPr>
            <w:r>
              <w:rPr>
                <w:rFonts w:hint="eastAsia"/>
                <w:sz w:val="18"/>
                <w:szCs w:val="18"/>
              </w:rPr>
              <w:t>空调压缩机</w:t>
            </w:r>
            <w:r>
              <w:rPr>
                <w:rFonts w:hint="eastAsia"/>
                <w:sz w:val="18"/>
                <w:szCs w:val="18"/>
                <w:lang w:eastAsia="zh-CN"/>
              </w:rPr>
              <w:t>（</w:t>
            </w:r>
            <w:r>
              <w:rPr>
                <w:rFonts w:hint="eastAsia"/>
                <w:sz w:val="18"/>
                <w:szCs w:val="18"/>
                <w:lang w:val="en-US" w:eastAsia="zh-CN"/>
              </w:rPr>
              <w:t>金龙原厂件）</w:t>
            </w:r>
          </w:p>
        </w:tc>
        <w:tc>
          <w:tcPr>
            <w:tcW w:w="851" w:type="dxa"/>
            <w:vAlign w:val="center"/>
          </w:tcPr>
          <w:p>
            <w:pPr>
              <w:pStyle w:val="2"/>
              <w:jc w:val="center"/>
              <w:rPr>
                <w:rFonts w:hint="eastAsia"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880" w:type="dxa"/>
            <w:vAlign w:val="center"/>
          </w:tcPr>
          <w:p>
            <w:pPr>
              <w:pStyle w:val="2"/>
              <w:jc w:val="center"/>
              <w:rPr>
                <w:rFonts w:ascii="宋体" w:hAnsi="宋体" w:eastAsia="宋体"/>
                <w:sz w:val="18"/>
                <w:szCs w:val="18"/>
              </w:rPr>
            </w:pPr>
          </w:p>
        </w:tc>
        <w:tc>
          <w:tcPr>
            <w:tcW w:w="743" w:type="dxa"/>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376" w:type="dxa"/>
            <w:vAlign w:val="center"/>
          </w:tcPr>
          <w:p>
            <w:pPr>
              <w:pStyle w:val="2"/>
              <w:jc w:val="center"/>
              <w:rPr>
                <w:rFonts w:ascii="宋体" w:hAnsi="宋体" w:eastAsia="宋体"/>
                <w:b/>
                <w:bCs/>
                <w:sz w:val="18"/>
                <w:szCs w:val="18"/>
              </w:rPr>
            </w:pPr>
            <w:r>
              <w:rPr>
                <w:rFonts w:hint="eastAsia"/>
                <w:b/>
                <w:bCs/>
                <w:sz w:val="18"/>
                <w:szCs w:val="18"/>
                <w:lang w:val="en-US" w:eastAsia="zh-CN"/>
              </w:rPr>
              <w:t>更换左前大灯总成</w:t>
            </w:r>
          </w:p>
        </w:tc>
        <w:tc>
          <w:tcPr>
            <w:tcW w:w="1843" w:type="dxa"/>
            <w:vAlign w:val="center"/>
          </w:tcPr>
          <w:p>
            <w:pPr>
              <w:pStyle w:val="2"/>
              <w:jc w:val="both"/>
              <w:rPr>
                <w:rFonts w:ascii="宋体" w:hAnsi="宋体" w:eastAsia="宋体"/>
                <w:sz w:val="18"/>
                <w:szCs w:val="18"/>
              </w:rPr>
            </w:pPr>
            <w:r>
              <w:rPr>
                <w:rFonts w:hint="eastAsia"/>
                <w:b w:val="0"/>
                <w:bCs/>
                <w:sz w:val="18"/>
                <w:szCs w:val="18"/>
                <w:lang w:val="en-US" w:eastAsia="zh-CN"/>
              </w:rPr>
              <w:t>左前大灯总成</w:t>
            </w:r>
            <w:r>
              <w:rPr>
                <w:rFonts w:hint="eastAsia"/>
                <w:sz w:val="18"/>
                <w:szCs w:val="18"/>
                <w:lang w:eastAsia="zh-CN"/>
              </w:rPr>
              <w:t>（</w:t>
            </w:r>
            <w:r>
              <w:rPr>
                <w:rFonts w:hint="eastAsia"/>
                <w:sz w:val="18"/>
                <w:szCs w:val="18"/>
                <w:lang w:val="en-US" w:eastAsia="zh-CN"/>
              </w:rPr>
              <w:t>金龙原厂件）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880" w:type="dxa"/>
            <w:vAlign w:val="center"/>
          </w:tcPr>
          <w:p>
            <w:pPr>
              <w:pStyle w:val="2"/>
              <w:jc w:val="center"/>
              <w:rPr>
                <w:rFonts w:ascii="宋体" w:hAnsi="宋体" w:eastAsia="宋体"/>
                <w:sz w:val="18"/>
                <w:szCs w:val="18"/>
              </w:rPr>
            </w:pPr>
          </w:p>
        </w:tc>
        <w:tc>
          <w:tcPr>
            <w:tcW w:w="743" w:type="dxa"/>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376" w:type="dxa"/>
            <w:vAlign w:val="center"/>
          </w:tcPr>
          <w:p>
            <w:pPr>
              <w:pStyle w:val="2"/>
              <w:jc w:val="center"/>
              <w:rPr>
                <w:rFonts w:ascii="宋体" w:hAnsi="宋体" w:eastAsia="宋体"/>
                <w:sz w:val="18"/>
                <w:szCs w:val="18"/>
              </w:rPr>
            </w:pPr>
            <w:r>
              <w:rPr>
                <w:rFonts w:hint="eastAsia"/>
                <w:b w:val="0"/>
                <w:bCs/>
                <w:sz w:val="18"/>
                <w:szCs w:val="18"/>
                <w:lang w:val="en-US" w:eastAsia="zh-CN"/>
              </w:rPr>
              <w:t>更换转向节总成</w:t>
            </w:r>
          </w:p>
        </w:tc>
        <w:tc>
          <w:tcPr>
            <w:tcW w:w="1843" w:type="dxa"/>
            <w:vAlign w:val="center"/>
          </w:tcPr>
          <w:p>
            <w:pPr>
              <w:pStyle w:val="2"/>
              <w:jc w:val="center"/>
              <w:rPr>
                <w:rFonts w:ascii="宋体" w:hAnsi="宋体" w:eastAsia="宋体"/>
                <w:sz w:val="18"/>
                <w:szCs w:val="18"/>
              </w:rPr>
            </w:pPr>
            <w:r>
              <w:rPr>
                <w:rFonts w:hint="eastAsia"/>
                <w:b w:val="0"/>
                <w:bCs/>
                <w:sz w:val="18"/>
                <w:szCs w:val="18"/>
                <w:lang w:val="en-US" w:eastAsia="zh-CN"/>
              </w:rPr>
              <w:t>转向节总成</w:t>
            </w:r>
            <w:r>
              <w:rPr>
                <w:rFonts w:hint="eastAsia"/>
                <w:sz w:val="18"/>
                <w:szCs w:val="18"/>
                <w:lang w:eastAsia="zh-CN"/>
              </w:rPr>
              <w:t>（</w:t>
            </w:r>
            <w:r>
              <w:rPr>
                <w:rFonts w:hint="eastAsia"/>
                <w:sz w:val="18"/>
                <w:szCs w:val="18"/>
                <w:lang w:val="en-US" w:eastAsia="zh-CN"/>
              </w:rPr>
              <w:t>金龙原厂件）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880" w:type="dxa"/>
            <w:vAlign w:val="center"/>
          </w:tcPr>
          <w:p>
            <w:pPr>
              <w:pStyle w:val="2"/>
              <w:jc w:val="center"/>
              <w:rPr>
                <w:rFonts w:ascii="宋体" w:hAnsi="宋体" w:eastAsia="宋体"/>
                <w:sz w:val="18"/>
                <w:szCs w:val="18"/>
              </w:rPr>
            </w:pPr>
          </w:p>
        </w:tc>
        <w:tc>
          <w:tcPr>
            <w:tcW w:w="743" w:type="dxa"/>
            <w:vAlign w:val="center"/>
          </w:tcPr>
          <w:p>
            <w:pPr>
              <w:pStyle w:val="2"/>
              <w:jc w:val="center"/>
              <w:rPr>
                <w:rFonts w:ascii="宋体" w:hAnsi="宋体" w:eastAsia="宋体"/>
                <w:sz w:val="18"/>
                <w:szCs w:val="18"/>
              </w:rPr>
            </w:pPr>
          </w:p>
        </w:tc>
        <w:tc>
          <w:tcPr>
            <w:tcW w:w="1109" w:type="dxa"/>
            <w:vAlign w:val="center"/>
          </w:tcPr>
          <w:p>
            <w:pPr>
              <w:pStyle w:val="2"/>
              <w:jc w:val="center"/>
              <w:rPr>
                <w:rFonts w:ascii="宋体" w:hAnsi="宋体" w:eastAsia="宋体"/>
                <w:sz w:val="18"/>
                <w:szCs w:val="18"/>
              </w:rPr>
            </w:pPr>
          </w:p>
        </w:tc>
        <w:tc>
          <w:tcPr>
            <w:tcW w:w="111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94" w:type="dxa"/>
            <w:gridSpan w:val="7"/>
            <w:vAlign w:val="center"/>
          </w:tcPr>
          <w:p>
            <w:pPr>
              <w:pStyle w:val="2"/>
              <w:jc w:val="center"/>
              <w:rPr>
                <w:rFonts w:ascii="宋体" w:hAnsi="宋体" w:eastAsia="宋体"/>
                <w:u w:val="single"/>
              </w:rPr>
            </w:pPr>
            <w:r>
              <w:rPr>
                <w:rFonts w:hint="eastAsia" w:ascii="宋体" w:hAnsi="宋体" w:eastAsia="宋体"/>
                <w:u w:val="single"/>
              </w:rPr>
              <w:t>总价：</w:t>
            </w:r>
            <w:r>
              <w:rPr>
                <w:rFonts w:hint="eastAsia" w:ascii="宋体" w:hAnsi="宋体" w:eastAsia="宋体"/>
                <w:u w:val="single"/>
                <w:lang w:val="en-US" w:eastAsia="zh-CN"/>
              </w:rPr>
              <w:t>25587</w:t>
            </w:r>
            <w:r>
              <w:rPr>
                <w:rFonts w:hint="eastAsia" w:ascii="宋体" w:hAnsi="宋体" w:eastAsia="宋体"/>
                <w:u w:val="single"/>
              </w:rPr>
              <w:t xml:space="preserve">元 </w:t>
            </w:r>
          </w:p>
        </w:tc>
        <w:tc>
          <w:tcPr>
            <w:tcW w:w="1117" w:type="dxa"/>
            <w:vAlign w:val="center"/>
          </w:tcPr>
          <w:p>
            <w:pPr>
              <w:pStyle w:val="2"/>
              <w:jc w:val="center"/>
              <w:rPr>
                <w:rFonts w:ascii="宋体" w:hAnsi="宋体" w:eastAsia="宋体"/>
              </w:rPr>
            </w:pPr>
          </w:p>
        </w:tc>
      </w:tr>
    </w:tbl>
    <w:p>
      <w:pPr>
        <w:jc w:val="left"/>
      </w:pPr>
      <w:r>
        <w:rPr>
          <w:rFonts w:hint="eastAsia"/>
        </w:rPr>
        <w:t xml:space="preserve">   </w:t>
      </w:r>
    </w:p>
    <w:p>
      <w:pPr>
        <w:jc w:val="left"/>
        <w:rPr>
          <w:rFonts w:hint="default"/>
          <w:lang w:val="en-US"/>
        </w:rPr>
      </w:pPr>
      <w:r>
        <w:rPr>
          <w:rFonts w:hint="eastAsia"/>
        </w:rPr>
        <w:t>此表所列维修项目车型为20</w:t>
      </w:r>
      <w:r>
        <w:rPr>
          <w:rFonts w:hint="eastAsia"/>
          <w:lang w:val="en-US" w:eastAsia="zh-CN"/>
        </w:rPr>
        <w:t>21年海格牌KLQ6902KAE61D</w:t>
      </w:r>
    </w:p>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rPr>
        <w:t>免费服务提供：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0000公里或者按维修出厂日期起</w:t>
      </w:r>
      <w:r>
        <w:rPr>
          <w:rFonts w:hint="eastAsia" w:cs="仿宋" w:asciiTheme="minorEastAsia" w:hAnsiTheme="minorEastAsia"/>
          <w:color w:val="000000"/>
          <w:szCs w:val="21"/>
          <w:lang w:val="en-US" w:eastAsia="zh-CN"/>
        </w:rPr>
        <w:t>100</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(2)竣工出厂质量保证期:二级维护（日常保养）质量保证期为车辆行驶5000公里或者按维修出厂日期起</w:t>
      </w:r>
      <w:r>
        <w:rPr>
          <w:rFonts w:hint="eastAsia" w:cs="仿宋" w:asciiTheme="minorEastAsia" w:hAnsiTheme="minorEastAsia"/>
          <w:color w:val="000000"/>
          <w:szCs w:val="21"/>
          <w:lang w:val="en-US" w:eastAsia="zh-CN"/>
        </w:rPr>
        <w:t>30</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000公里或者按维修出厂日期起</w:t>
      </w:r>
      <w:r>
        <w:rPr>
          <w:rFonts w:hint="eastAsia" w:cs="仿宋" w:asciiTheme="minorEastAsia" w:hAnsiTheme="minorEastAsia"/>
          <w:color w:val="000000"/>
          <w:szCs w:val="21"/>
          <w:lang w:val="en-US" w:eastAsia="zh-CN"/>
        </w:rPr>
        <w:t>1</w:t>
      </w:r>
      <w:r>
        <w:rPr>
          <w:rFonts w:hint="eastAsia" w:cs="仿宋" w:asciiTheme="minorEastAsia" w:hAnsiTheme="minorEastAsia"/>
          <w:color w:val="000000"/>
          <w:szCs w:val="21"/>
        </w:rPr>
        <w:t>0天为止。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szCs w:val="21"/>
        </w:rPr>
        <w:t>(4)配件材料（原厂配件、同质配件），并提供来源凭证。</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供应商应向重庆中渝高速公路有限公司提供以下售后服务：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3、协议范围内车辆在集团总部大楼内发生故障，供应商应在60分钟内到达现场，免费上门服务；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4、安排专人实行24小时全天候服务，建立重庆中渝高速公路有限公司车辆维修技术档案，并定期报送相关职能部门。</w:t>
      </w: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22F23"/>
    <w:rsid w:val="00023667"/>
    <w:rsid w:val="00024ABC"/>
    <w:rsid w:val="00053C66"/>
    <w:rsid w:val="000569E6"/>
    <w:rsid w:val="000C3085"/>
    <w:rsid w:val="000C50B7"/>
    <w:rsid w:val="000F0125"/>
    <w:rsid w:val="001036A2"/>
    <w:rsid w:val="00104AEF"/>
    <w:rsid w:val="00114594"/>
    <w:rsid w:val="00150AB0"/>
    <w:rsid w:val="00151B50"/>
    <w:rsid w:val="001535DA"/>
    <w:rsid w:val="00167CE6"/>
    <w:rsid w:val="00182CE6"/>
    <w:rsid w:val="001A2FA9"/>
    <w:rsid w:val="001C793B"/>
    <w:rsid w:val="001E6DB9"/>
    <w:rsid w:val="00201183"/>
    <w:rsid w:val="002472D8"/>
    <w:rsid w:val="00250646"/>
    <w:rsid w:val="002751D7"/>
    <w:rsid w:val="002A029A"/>
    <w:rsid w:val="002B4A79"/>
    <w:rsid w:val="002D1DC7"/>
    <w:rsid w:val="00332C79"/>
    <w:rsid w:val="003374F8"/>
    <w:rsid w:val="00346AB1"/>
    <w:rsid w:val="0036579E"/>
    <w:rsid w:val="003709FD"/>
    <w:rsid w:val="0038299E"/>
    <w:rsid w:val="00390A6F"/>
    <w:rsid w:val="003A0A4F"/>
    <w:rsid w:val="003A5CED"/>
    <w:rsid w:val="003B2EC9"/>
    <w:rsid w:val="003C2DC2"/>
    <w:rsid w:val="003C3FA1"/>
    <w:rsid w:val="003E5576"/>
    <w:rsid w:val="0044664D"/>
    <w:rsid w:val="004506D6"/>
    <w:rsid w:val="00476E6F"/>
    <w:rsid w:val="004B4619"/>
    <w:rsid w:val="004F5009"/>
    <w:rsid w:val="005058A3"/>
    <w:rsid w:val="005502BD"/>
    <w:rsid w:val="0059738A"/>
    <w:rsid w:val="005E1415"/>
    <w:rsid w:val="006248E2"/>
    <w:rsid w:val="0065630A"/>
    <w:rsid w:val="0067010E"/>
    <w:rsid w:val="00674268"/>
    <w:rsid w:val="006F4856"/>
    <w:rsid w:val="006F7021"/>
    <w:rsid w:val="00720B66"/>
    <w:rsid w:val="00724CDA"/>
    <w:rsid w:val="00754B4E"/>
    <w:rsid w:val="007C420D"/>
    <w:rsid w:val="00802A5C"/>
    <w:rsid w:val="008032E7"/>
    <w:rsid w:val="00810F3C"/>
    <w:rsid w:val="00841725"/>
    <w:rsid w:val="008E5671"/>
    <w:rsid w:val="00910914"/>
    <w:rsid w:val="00921DFD"/>
    <w:rsid w:val="0092740F"/>
    <w:rsid w:val="00936B48"/>
    <w:rsid w:val="00987ED1"/>
    <w:rsid w:val="009E6DCF"/>
    <w:rsid w:val="009F6BDD"/>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DC4689"/>
    <w:rsid w:val="00E114B3"/>
    <w:rsid w:val="00EF17A0"/>
    <w:rsid w:val="00F04DAF"/>
    <w:rsid w:val="00F3119B"/>
    <w:rsid w:val="00F54A14"/>
    <w:rsid w:val="00F609E6"/>
    <w:rsid w:val="00F66288"/>
    <w:rsid w:val="00FB63C2"/>
    <w:rsid w:val="00FC3307"/>
    <w:rsid w:val="00FC5101"/>
    <w:rsid w:val="00FE5A23"/>
    <w:rsid w:val="018B2118"/>
    <w:rsid w:val="01F60611"/>
    <w:rsid w:val="0201460B"/>
    <w:rsid w:val="020277D8"/>
    <w:rsid w:val="026652FE"/>
    <w:rsid w:val="02BA4D88"/>
    <w:rsid w:val="04787230"/>
    <w:rsid w:val="04A4775F"/>
    <w:rsid w:val="0539061F"/>
    <w:rsid w:val="063F7B4D"/>
    <w:rsid w:val="07415808"/>
    <w:rsid w:val="075E3B26"/>
    <w:rsid w:val="083E0AB4"/>
    <w:rsid w:val="08D25907"/>
    <w:rsid w:val="09215687"/>
    <w:rsid w:val="0AB14674"/>
    <w:rsid w:val="0B1C6AE0"/>
    <w:rsid w:val="0BC95965"/>
    <w:rsid w:val="0C6159D9"/>
    <w:rsid w:val="0CB1468E"/>
    <w:rsid w:val="0D44636F"/>
    <w:rsid w:val="0E4D3106"/>
    <w:rsid w:val="0EFA5E61"/>
    <w:rsid w:val="0F571121"/>
    <w:rsid w:val="0F927F1A"/>
    <w:rsid w:val="1103607D"/>
    <w:rsid w:val="11134B92"/>
    <w:rsid w:val="11BA567A"/>
    <w:rsid w:val="12527F22"/>
    <w:rsid w:val="12834EDE"/>
    <w:rsid w:val="12AA012C"/>
    <w:rsid w:val="1333260E"/>
    <w:rsid w:val="13773FFC"/>
    <w:rsid w:val="14240765"/>
    <w:rsid w:val="14AB2E72"/>
    <w:rsid w:val="14AC43F9"/>
    <w:rsid w:val="1547063F"/>
    <w:rsid w:val="15C51FDD"/>
    <w:rsid w:val="15DF34F1"/>
    <w:rsid w:val="1649511F"/>
    <w:rsid w:val="175974DB"/>
    <w:rsid w:val="17A56FDA"/>
    <w:rsid w:val="182633AB"/>
    <w:rsid w:val="19D807F3"/>
    <w:rsid w:val="19F710A8"/>
    <w:rsid w:val="1B1F5E63"/>
    <w:rsid w:val="1D5F48BD"/>
    <w:rsid w:val="1D9A202A"/>
    <w:rsid w:val="1DC16EE0"/>
    <w:rsid w:val="1F0926FA"/>
    <w:rsid w:val="1FF664BD"/>
    <w:rsid w:val="204E3966"/>
    <w:rsid w:val="208650E9"/>
    <w:rsid w:val="20A33F60"/>
    <w:rsid w:val="21B657DB"/>
    <w:rsid w:val="223460AA"/>
    <w:rsid w:val="22F506E6"/>
    <w:rsid w:val="239B75FA"/>
    <w:rsid w:val="23B55D13"/>
    <w:rsid w:val="23E45DF0"/>
    <w:rsid w:val="2402157A"/>
    <w:rsid w:val="24780862"/>
    <w:rsid w:val="250329C5"/>
    <w:rsid w:val="25502AC4"/>
    <w:rsid w:val="25920967"/>
    <w:rsid w:val="25B32D12"/>
    <w:rsid w:val="25C0407C"/>
    <w:rsid w:val="26FB6383"/>
    <w:rsid w:val="27187EB1"/>
    <w:rsid w:val="27B3051A"/>
    <w:rsid w:val="27EC7E50"/>
    <w:rsid w:val="28187A54"/>
    <w:rsid w:val="294B6B4C"/>
    <w:rsid w:val="29D02628"/>
    <w:rsid w:val="2B1E1227"/>
    <w:rsid w:val="2B797161"/>
    <w:rsid w:val="2BA568A2"/>
    <w:rsid w:val="2D023BD4"/>
    <w:rsid w:val="2D136F02"/>
    <w:rsid w:val="2D1D7812"/>
    <w:rsid w:val="2FE50263"/>
    <w:rsid w:val="30844FF0"/>
    <w:rsid w:val="308F13B7"/>
    <w:rsid w:val="31F1376F"/>
    <w:rsid w:val="334141A4"/>
    <w:rsid w:val="335B4D4D"/>
    <w:rsid w:val="33DA309D"/>
    <w:rsid w:val="3508205C"/>
    <w:rsid w:val="368D5C7F"/>
    <w:rsid w:val="37B336EE"/>
    <w:rsid w:val="3A1F706B"/>
    <w:rsid w:val="3A8176EA"/>
    <w:rsid w:val="3AF24E44"/>
    <w:rsid w:val="3C1150E1"/>
    <w:rsid w:val="3E113772"/>
    <w:rsid w:val="3E251484"/>
    <w:rsid w:val="3E8502F1"/>
    <w:rsid w:val="3E895925"/>
    <w:rsid w:val="3EFB7C1E"/>
    <w:rsid w:val="3FA80C95"/>
    <w:rsid w:val="3FCD053B"/>
    <w:rsid w:val="408D50F6"/>
    <w:rsid w:val="415A4696"/>
    <w:rsid w:val="419E29B4"/>
    <w:rsid w:val="41D83A9B"/>
    <w:rsid w:val="42F21FE1"/>
    <w:rsid w:val="433D49DF"/>
    <w:rsid w:val="43E609B5"/>
    <w:rsid w:val="44E67D7C"/>
    <w:rsid w:val="453321DA"/>
    <w:rsid w:val="45AC2896"/>
    <w:rsid w:val="468034B7"/>
    <w:rsid w:val="46B73DD8"/>
    <w:rsid w:val="46C87701"/>
    <w:rsid w:val="49380A3A"/>
    <w:rsid w:val="498135DD"/>
    <w:rsid w:val="4CAC6F22"/>
    <w:rsid w:val="4E2D304A"/>
    <w:rsid w:val="500365D1"/>
    <w:rsid w:val="512412EF"/>
    <w:rsid w:val="515C1C1A"/>
    <w:rsid w:val="51914ADE"/>
    <w:rsid w:val="524D0258"/>
    <w:rsid w:val="53362C11"/>
    <w:rsid w:val="540135DE"/>
    <w:rsid w:val="5430412D"/>
    <w:rsid w:val="546F7495"/>
    <w:rsid w:val="556F33F8"/>
    <w:rsid w:val="57971EC0"/>
    <w:rsid w:val="57A23AD5"/>
    <w:rsid w:val="57FD36DF"/>
    <w:rsid w:val="5887504C"/>
    <w:rsid w:val="591B7ABE"/>
    <w:rsid w:val="59895714"/>
    <w:rsid w:val="5AC7557B"/>
    <w:rsid w:val="5AD1170E"/>
    <w:rsid w:val="5ADC2963"/>
    <w:rsid w:val="5BA913F1"/>
    <w:rsid w:val="5C384ECF"/>
    <w:rsid w:val="5C871CD9"/>
    <w:rsid w:val="62753275"/>
    <w:rsid w:val="633D145D"/>
    <w:rsid w:val="63BC7E5F"/>
    <w:rsid w:val="63F32569"/>
    <w:rsid w:val="648F4E9C"/>
    <w:rsid w:val="65AA441B"/>
    <w:rsid w:val="66D01339"/>
    <w:rsid w:val="6AD14D4C"/>
    <w:rsid w:val="6AE901F4"/>
    <w:rsid w:val="6B865AF4"/>
    <w:rsid w:val="6BBF3C17"/>
    <w:rsid w:val="6BCE176C"/>
    <w:rsid w:val="6C041806"/>
    <w:rsid w:val="6C4910B5"/>
    <w:rsid w:val="6CD12293"/>
    <w:rsid w:val="6DB7708E"/>
    <w:rsid w:val="6F65589F"/>
    <w:rsid w:val="70026C53"/>
    <w:rsid w:val="70173375"/>
    <w:rsid w:val="714B246D"/>
    <w:rsid w:val="71B3441E"/>
    <w:rsid w:val="72CB4D72"/>
    <w:rsid w:val="730E3456"/>
    <w:rsid w:val="732B4F01"/>
    <w:rsid w:val="75AA7A0A"/>
    <w:rsid w:val="76E221C8"/>
    <w:rsid w:val="772E3E17"/>
    <w:rsid w:val="77A82EDA"/>
    <w:rsid w:val="77DA64AE"/>
    <w:rsid w:val="79146126"/>
    <w:rsid w:val="798A03F3"/>
    <w:rsid w:val="7D237C5A"/>
    <w:rsid w:val="7D852DDA"/>
    <w:rsid w:val="7D85447B"/>
    <w:rsid w:val="7E5D7248"/>
    <w:rsid w:val="7F8519C2"/>
    <w:rsid w:val="7FAF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adjustRightInd w:val="0"/>
      <w:snapToGrid w:val="0"/>
      <w:spacing w:line="360" w:lineRule="auto"/>
      <w:outlineLvl w:val="1"/>
    </w:pPr>
    <w:rPr>
      <w:rFonts w:ascii="宋体" w:hAnsi="宋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unhideWhenUsed/>
    <w:qFormat/>
    <w:uiPriority w:val="99"/>
    <w:rPr>
      <w:color w:val="800080" w:themeColor="followedHyperlink"/>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44D1-CD55-4138-A8E1-82A1E936AFAD}">
  <ds:schemaRefs/>
</ds:datastoreItem>
</file>

<file path=docProps/app.xml><?xml version="1.0" encoding="utf-8"?>
<Properties xmlns="http://schemas.openxmlformats.org/officeDocument/2006/extended-properties" xmlns:vt="http://schemas.openxmlformats.org/officeDocument/2006/docPropsVTypes">
  <Template>Normal</Template>
  <Pages>13</Pages>
  <Words>1743</Words>
  <Characters>9938</Characters>
  <Lines>82</Lines>
  <Paragraphs>23</Paragraphs>
  <TotalTime>2</TotalTime>
  <ScaleCrop>false</ScaleCrop>
  <LinksUpToDate>false</LinksUpToDate>
  <CharactersWithSpaces>11658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傅渝凌</cp:lastModifiedBy>
  <cp:lastPrinted>2022-11-04T05:45:00Z</cp:lastPrinted>
  <dcterms:modified xsi:type="dcterms:W3CDTF">2022-12-12T05:12:13Z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D0B0AF21E73B4663A8B4945674A15D5B</vt:lpwstr>
  </property>
</Properties>
</file>