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</w:rPr>
      </w:pPr>
    </w:p>
    <w:p>
      <w:pPr>
        <w:snapToGrid/>
        <w:spacing w:line="560" w:lineRule="exact"/>
        <w:ind w:firstLine="0" w:firstLineChars="0"/>
        <w:jc w:val="center"/>
        <w:outlineLvl w:val="9"/>
        <w:rPr>
          <w:rFonts w:hint="eastAsia" w:ascii="方正小标宋_GBK" w:hAnsi="宋体" w:eastAsia="方正小标宋_GBK" w:cs="Arial"/>
          <w:b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Arial"/>
          <w:b w:val="0"/>
          <w:kern w:val="0"/>
          <w:sz w:val="44"/>
          <w:szCs w:val="44"/>
        </w:rPr>
        <w:t>航发</w:t>
      </w:r>
      <w:r>
        <w:rPr>
          <w:rFonts w:hint="eastAsia" w:ascii="方正小标宋_GBK" w:hAnsi="宋体" w:eastAsia="方正小标宋_GBK" w:cs="Arial"/>
          <w:b w:val="0"/>
          <w:kern w:val="0"/>
          <w:sz w:val="44"/>
          <w:szCs w:val="44"/>
          <w:lang w:eastAsia="zh-CN"/>
        </w:rPr>
        <w:t>三</w:t>
      </w:r>
      <w:r>
        <w:rPr>
          <w:rFonts w:hint="eastAsia" w:ascii="方正小标宋_GBK" w:hAnsi="宋体" w:eastAsia="方正小标宋_GBK" w:cs="Arial"/>
          <w:b w:val="0"/>
          <w:kern w:val="0"/>
          <w:sz w:val="44"/>
          <w:szCs w:val="44"/>
          <w:lang w:val="en-US" w:eastAsia="zh-CN"/>
        </w:rPr>
        <w:t>江公司</w:t>
      </w:r>
      <w:r>
        <w:rPr>
          <w:rFonts w:hint="eastAsia" w:ascii="方正小标宋_GBK" w:hAnsi="宋体" w:eastAsia="方正小标宋_GBK" w:cs="Arial"/>
          <w:b w:val="0"/>
          <w:kern w:val="0"/>
          <w:sz w:val="44"/>
          <w:szCs w:val="44"/>
        </w:rPr>
        <w:t>薪酬绩效管理咨询项目</w:t>
      </w:r>
    </w:p>
    <w:p>
      <w:pPr>
        <w:snapToGrid/>
        <w:spacing w:line="560" w:lineRule="exact"/>
        <w:ind w:firstLine="0" w:firstLineChars="0"/>
        <w:jc w:val="center"/>
        <w:outlineLvl w:val="9"/>
        <w:rPr>
          <w:rFonts w:hint="eastAsia" w:ascii="方正小标宋_GBK" w:hAnsi="宋体" w:eastAsia="方正小标宋_GBK" w:cs="Arial"/>
          <w:b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Arial"/>
          <w:b w:val="0"/>
          <w:kern w:val="0"/>
          <w:sz w:val="44"/>
          <w:szCs w:val="44"/>
        </w:rPr>
        <w:t>最高限</w:t>
      </w:r>
      <w:r>
        <w:rPr>
          <w:rFonts w:hint="eastAsia" w:ascii="方正小标宋_GBK" w:hAnsi="宋体" w:eastAsia="方正小标宋_GBK" w:cs="Arial"/>
          <w:b w:val="0"/>
          <w:kern w:val="0"/>
          <w:sz w:val="44"/>
          <w:szCs w:val="44"/>
          <w:lang w:val="en-US" w:eastAsia="zh-CN"/>
        </w:rPr>
        <w:t>价</w:t>
      </w:r>
      <w:r>
        <w:rPr>
          <w:rFonts w:hint="eastAsia" w:ascii="方正小标宋_GBK" w:hAnsi="宋体" w:eastAsia="方正小标宋_GBK" w:cs="Arial"/>
          <w:b w:val="0"/>
          <w:kern w:val="0"/>
          <w:sz w:val="44"/>
          <w:szCs w:val="44"/>
        </w:rPr>
        <w:t>编制报告</w:t>
      </w:r>
      <w:bookmarkStart w:id="0" w:name="_GoBack"/>
      <w:bookmarkEnd w:id="0"/>
    </w:p>
    <w:p>
      <w:pPr>
        <w:snapToGrid w:val="0"/>
        <w:spacing w:line="360" w:lineRule="auto"/>
        <w:ind w:firstLine="551" w:firstLineChars="196"/>
        <w:rPr>
          <w:rFonts w:ascii="宋体" w:hAnsi="宋体"/>
          <w:b/>
          <w:sz w:val="28"/>
          <w:szCs w:val="28"/>
        </w:rPr>
      </w:pPr>
    </w:p>
    <w:p>
      <w:pPr>
        <w:snapToGrid/>
        <w:spacing w:line="560" w:lineRule="exact"/>
        <w:ind w:firstLine="640" w:firstLineChars="200"/>
        <w:outlineLvl w:val="9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三江公司部门及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人员概况</w:t>
      </w:r>
    </w:p>
    <w:p>
      <w:pPr>
        <w:spacing w:line="560" w:lineRule="exact"/>
        <w:ind w:firstLine="640" w:firstLineChars="200"/>
        <w:rPr>
          <w:rStyle w:val="16"/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三江公司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本部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设综合部、财务部、安全环保部、生产部（调度室）、商贸部、工程部共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6个部门。</w:t>
      </w:r>
      <w:r>
        <w:rPr>
          <w:rStyle w:val="16"/>
          <w:rFonts w:ascii="Times New Roman" w:hAnsi="Times New Roman" w:eastAsia="方正仿宋_GBK"/>
          <w:color w:val="000000"/>
          <w:sz w:val="32"/>
          <w:szCs w:val="32"/>
        </w:rPr>
        <w:t>下辖佛耳岩码头、石盘沱码头2个经营主体，并代管下塘口码头</w:t>
      </w:r>
      <w:r>
        <w:rPr>
          <w:rStyle w:val="16"/>
          <w:rFonts w:hint="eastAsia" w:ascii="Times New Roman" w:hAnsi="Times New Roman" w:eastAsia="方正仿宋_GBK"/>
          <w:color w:val="000000"/>
          <w:sz w:val="32"/>
          <w:szCs w:val="32"/>
        </w:rPr>
        <w:t>。现有在册职工10</w:t>
      </w:r>
      <w:r>
        <w:rPr>
          <w:rStyle w:val="16"/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Style w:val="16"/>
          <w:rFonts w:hint="eastAsia" w:ascii="Times New Roman" w:hAnsi="Times New Roman" w:eastAsia="方正仿宋_GBK"/>
          <w:color w:val="000000"/>
          <w:sz w:val="32"/>
          <w:szCs w:val="32"/>
        </w:rPr>
        <w:t>人</w:t>
      </w:r>
      <w:r>
        <w:rPr>
          <w:rStyle w:val="16"/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咨询项目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范围</w:t>
      </w:r>
    </w:p>
    <w:p>
      <w:pPr>
        <w:autoSpaceDE/>
        <w:autoSpaceDN/>
        <w:adjustRightInd/>
        <w:snapToGrid/>
        <w:spacing w:line="560" w:lineRule="exact"/>
        <w:ind w:right="0" w:firstLine="640" w:firstLineChars="200"/>
        <w:jc w:val="both"/>
        <w:outlineLvl w:val="9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本次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薪酬</w:t>
      </w: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项目</w:t>
      </w: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范围包括：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项目准备与启动、管理诊断、职位说明书编写，职位价值评估，薪酬体系优化，绩效体系优化，后期实施辅导等。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三、编制依据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1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三江公司部门岗位设置及</w:t>
      </w: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人员概况；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2. 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市场上同类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项目相关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数据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参考；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、编制说明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1. </w:t>
      </w:r>
      <w:r>
        <w:rPr>
          <w:rFonts w:hint="eastAsia" w:ascii="方正仿宋_GBK" w:hAnsi="宋体" w:eastAsia="方正仿宋_GBK"/>
          <w:bCs w:val="0"/>
          <w:color w:val="auto"/>
          <w:sz w:val="32"/>
          <w:szCs w:val="32"/>
        </w:rPr>
        <w:t>根据</w:t>
      </w:r>
      <w:r>
        <w:rPr>
          <w:rFonts w:hint="eastAsia" w:ascii="方正仿宋_GBK" w:hAnsi="宋体" w:eastAsia="方正仿宋_GBK" w:cs="Times New Roman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宋体" w:eastAsia="方正仿宋_GBK" w:cs="Times New Roman"/>
          <w:bCs w:val="0"/>
          <w:color w:val="auto"/>
          <w:sz w:val="32"/>
          <w:szCs w:val="32"/>
          <w:lang w:val="en-US" w:eastAsia="zh-CN"/>
        </w:rPr>
        <w:t>江公司部门设置及</w:t>
      </w:r>
      <w:r>
        <w:rPr>
          <w:rFonts w:hint="eastAsia" w:ascii="方正仿宋_GBK" w:hAnsi="宋体" w:eastAsia="方正仿宋_GBK"/>
          <w:bCs w:val="0"/>
          <w:color w:val="auto"/>
          <w:sz w:val="32"/>
          <w:szCs w:val="32"/>
        </w:rPr>
        <w:t>人员情况，参考</w:t>
      </w:r>
      <w:r>
        <w:rPr>
          <w:rFonts w:hint="eastAsia" w:ascii="方正仿宋_GBK" w:hAnsi="宋体" w:eastAsia="方正仿宋_GBK"/>
          <w:bCs w:val="0"/>
          <w:color w:val="auto"/>
          <w:sz w:val="32"/>
          <w:szCs w:val="32"/>
          <w:lang w:val="en-US" w:eastAsia="zh-CN"/>
        </w:rPr>
        <w:t>市场上</w:t>
      </w:r>
      <w:r>
        <w:rPr>
          <w:rFonts w:hint="eastAsia" w:ascii="方正仿宋_GBK" w:hAnsi="宋体" w:eastAsia="方正仿宋_GBK"/>
          <w:bCs w:val="0"/>
          <w:color w:val="auto"/>
          <w:sz w:val="32"/>
          <w:szCs w:val="32"/>
        </w:rPr>
        <w:t>同类项目的</w:t>
      </w:r>
      <w:r>
        <w:rPr>
          <w:rFonts w:hint="eastAsia" w:ascii="方正仿宋_GBK" w:hAnsi="宋体" w:eastAsia="方正仿宋_GBK"/>
          <w:bCs w:val="0"/>
          <w:color w:val="auto"/>
          <w:sz w:val="32"/>
          <w:szCs w:val="32"/>
          <w:lang w:val="en-US" w:eastAsia="zh-CN"/>
        </w:rPr>
        <w:t>人员数量</w:t>
      </w:r>
      <w:r>
        <w:rPr>
          <w:rFonts w:hint="eastAsia" w:ascii="方正仿宋_GBK" w:hAnsi="宋体" w:eastAsia="方正仿宋_GBK"/>
          <w:bCs w:val="0"/>
          <w:color w:val="auto"/>
          <w:sz w:val="32"/>
          <w:szCs w:val="32"/>
        </w:rPr>
        <w:t>、咨询</w:t>
      </w:r>
      <w:r>
        <w:rPr>
          <w:rFonts w:hint="eastAsia" w:ascii="方正仿宋_GBK" w:hAnsi="宋体" w:eastAsia="方正仿宋_GBK"/>
          <w:bCs w:val="0"/>
          <w:color w:val="auto"/>
          <w:sz w:val="32"/>
          <w:szCs w:val="32"/>
          <w:lang w:val="en-US" w:eastAsia="zh-CN"/>
        </w:rPr>
        <w:t>项目范围</w:t>
      </w:r>
      <w:r>
        <w:rPr>
          <w:rFonts w:hint="eastAsia" w:ascii="方正仿宋_GBK" w:hAnsi="宋体" w:eastAsia="方正仿宋_GBK"/>
          <w:bCs w:val="0"/>
          <w:color w:val="auto"/>
          <w:sz w:val="32"/>
          <w:szCs w:val="32"/>
        </w:rPr>
        <w:t>等因素进行综合评估。其中重点参考重庆体彩、重庆高速传媒、重庆高速国储项目情况，进行限价测算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。</w:t>
      </w:r>
    </w:p>
    <w:p>
      <w:pPr>
        <w:adjustRightInd/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2. 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</w:rPr>
        <w:t>本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次咨询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</w:rPr>
        <w:t>项目预估周期为9周，项目人力投入为资深顾问1人，高级顾问1人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结合此次项目涉及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岗位数量、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人员数量、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咨询项目成果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，预估项目周期，预估投入项目顾问人力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成本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来综合测算。</w:t>
      </w:r>
    </w:p>
    <w:p>
      <w:pPr>
        <w:adjustRightInd/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 xml:space="preserve">3. 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本限价编制金额包含：项目准备与启动、管理诊断、职位说明书编写，职位价值评估，薪酬体系优化，绩效体系优化，后期实施辅导等。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、编制结果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江公司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薪酬绩效管理咨询项目</w:t>
      </w:r>
      <w:r>
        <w:rPr>
          <w:rFonts w:hint="eastAsia" w:ascii="方正仿宋_GBK" w:hAnsi="宋体" w:eastAsia="方正仿宋_GBK" w:cs="Times New Roman"/>
          <w:bCs w:val="0"/>
          <w:color w:val="auto"/>
          <w:sz w:val="32"/>
          <w:szCs w:val="32"/>
        </w:rPr>
        <w:t>最高限价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编制金额为1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eastAsia="zh-CN"/>
        </w:rPr>
        <w:t>7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万元。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妥否，请领导批示。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</w:pPr>
    </w:p>
    <w:p>
      <w:pPr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 xml:space="preserve">  综合</w:t>
      </w: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部</w:t>
      </w:r>
    </w:p>
    <w:p>
      <w:pPr>
        <w:snapToGrid/>
        <w:spacing w:line="560" w:lineRule="exact"/>
        <w:ind w:firstLine="640" w:firstLineChars="200"/>
        <w:outlineLvl w:val="9"/>
        <w:rPr>
          <w:rFonts w:hint="eastAsia" w:ascii="方正仿宋_GBK" w:hAnsi="宋体" w:eastAsia="方正仿宋_GBK"/>
          <w:b w:val="0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 xml:space="preserve">                           2021年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日</w:t>
      </w:r>
    </w:p>
    <w:p>
      <w:pPr>
        <w:adjustRightInd/>
        <w:snapToGrid w:val="0"/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557" w:firstLineChars="198"/>
        <w:rPr>
          <w:rFonts w:ascii="宋体" w:hAnsi="宋体"/>
          <w:b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napToGrid w:val="0"/>
        <w:spacing w:line="360" w:lineRule="auto"/>
        <w:ind w:firstLine="557" w:firstLineChars="198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eastAsia="zh-CN"/>
        </w:rPr>
        <w:t>航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lang w:val="en-US" w:eastAsia="zh-CN"/>
        </w:rPr>
        <w:t>发三江公司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薪酬绩效管理咨询项目最高限价预算表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3334"/>
        <w:gridCol w:w="880"/>
        <w:gridCol w:w="764"/>
        <w:gridCol w:w="1385"/>
        <w:gridCol w:w="1891"/>
        <w:gridCol w:w="2006"/>
        <w:gridCol w:w="1962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91" w:hRule="atLeast"/>
        </w:trPr>
        <w:tc>
          <w:tcPr>
            <w:tcW w:w="1463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航发三江公司薪酬绩效管理咨询项目最高限价预算表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6" w:hRule="atLeast"/>
        </w:trPr>
        <w:tc>
          <w:tcPr>
            <w:tcW w:w="1463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3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材料、设备及费用名称</w:t>
            </w:r>
          </w:p>
        </w:tc>
        <w:tc>
          <w:tcPr>
            <w:tcW w:w="30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编制限价</w:t>
            </w:r>
          </w:p>
        </w:tc>
        <w:tc>
          <w:tcPr>
            <w:tcW w:w="5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市场同类项目情况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3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重庆体彩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重庆高速国储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高速传媒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7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7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薪酬绩效管理咨询项目</w:t>
            </w:r>
          </w:p>
        </w:tc>
        <w:tc>
          <w:tcPr>
            <w:tcW w:w="8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职位说明书编写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17万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约17万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约19万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约17万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根据各单位岗位数量，工作量大小差异核算价格，此价格均为含税包干价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职位价值评估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薪酬体系优化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(4)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绩效体系优化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(5)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项目实施辅导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pgNumType w:start="1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7B3"/>
    <w:rsid w:val="00005A67"/>
    <w:rsid w:val="00066271"/>
    <w:rsid w:val="00091E19"/>
    <w:rsid w:val="000C1FCE"/>
    <w:rsid w:val="000C5B26"/>
    <w:rsid w:val="000D0864"/>
    <w:rsid w:val="000D23DC"/>
    <w:rsid w:val="000F4A37"/>
    <w:rsid w:val="00112161"/>
    <w:rsid w:val="00114496"/>
    <w:rsid w:val="00154D84"/>
    <w:rsid w:val="0015642F"/>
    <w:rsid w:val="00160D9E"/>
    <w:rsid w:val="001A5F71"/>
    <w:rsid w:val="001A705B"/>
    <w:rsid w:val="001B2449"/>
    <w:rsid w:val="001B79C6"/>
    <w:rsid w:val="001D7A78"/>
    <w:rsid w:val="001E3A1B"/>
    <w:rsid w:val="002045DB"/>
    <w:rsid w:val="0023768B"/>
    <w:rsid w:val="0025309D"/>
    <w:rsid w:val="002549EE"/>
    <w:rsid w:val="00264B7C"/>
    <w:rsid w:val="00272925"/>
    <w:rsid w:val="002871C0"/>
    <w:rsid w:val="002969D2"/>
    <w:rsid w:val="002B1286"/>
    <w:rsid w:val="002D0064"/>
    <w:rsid w:val="002D4C96"/>
    <w:rsid w:val="002F5ABC"/>
    <w:rsid w:val="00312C18"/>
    <w:rsid w:val="00314DFA"/>
    <w:rsid w:val="00324697"/>
    <w:rsid w:val="00331C3B"/>
    <w:rsid w:val="003420AD"/>
    <w:rsid w:val="00350C0E"/>
    <w:rsid w:val="003A4E89"/>
    <w:rsid w:val="003C0AB9"/>
    <w:rsid w:val="003C2B3F"/>
    <w:rsid w:val="003C4578"/>
    <w:rsid w:val="003D596C"/>
    <w:rsid w:val="003E20E0"/>
    <w:rsid w:val="003E3215"/>
    <w:rsid w:val="004272B0"/>
    <w:rsid w:val="00445FCB"/>
    <w:rsid w:val="004777E2"/>
    <w:rsid w:val="00485E6F"/>
    <w:rsid w:val="004A1549"/>
    <w:rsid w:val="004C5DEB"/>
    <w:rsid w:val="004E0FE2"/>
    <w:rsid w:val="004F234E"/>
    <w:rsid w:val="004F769F"/>
    <w:rsid w:val="00512A56"/>
    <w:rsid w:val="00513481"/>
    <w:rsid w:val="00554D07"/>
    <w:rsid w:val="00582190"/>
    <w:rsid w:val="00590EB7"/>
    <w:rsid w:val="00595A47"/>
    <w:rsid w:val="005A32D2"/>
    <w:rsid w:val="005B4F57"/>
    <w:rsid w:val="005F06AB"/>
    <w:rsid w:val="00625524"/>
    <w:rsid w:val="00655A54"/>
    <w:rsid w:val="00655FB3"/>
    <w:rsid w:val="0067517A"/>
    <w:rsid w:val="00696BE2"/>
    <w:rsid w:val="006A3128"/>
    <w:rsid w:val="00720734"/>
    <w:rsid w:val="00733564"/>
    <w:rsid w:val="00736FC4"/>
    <w:rsid w:val="007379D7"/>
    <w:rsid w:val="007A29DB"/>
    <w:rsid w:val="007A43D8"/>
    <w:rsid w:val="00802655"/>
    <w:rsid w:val="00830987"/>
    <w:rsid w:val="008370CE"/>
    <w:rsid w:val="00846115"/>
    <w:rsid w:val="008A35C3"/>
    <w:rsid w:val="008C0865"/>
    <w:rsid w:val="008C326A"/>
    <w:rsid w:val="008C4924"/>
    <w:rsid w:val="008C4D85"/>
    <w:rsid w:val="008D07A8"/>
    <w:rsid w:val="00943392"/>
    <w:rsid w:val="009B4DD3"/>
    <w:rsid w:val="00A25EC4"/>
    <w:rsid w:val="00A400A7"/>
    <w:rsid w:val="00A61B9C"/>
    <w:rsid w:val="00A753C6"/>
    <w:rsid w:val="00A8335B"/>
    <w:rsid w:val="00B14CBD"/>
    <w:rsid w:val="00B14F1D"/>
    <w:rsid w:val="00B41847"/>
    <w:rsid w:val="00B518E0"/>
    <w:rsid w:val="00BB5CF6"/>
    <w:rsid w:val="00BC2D3C"/>
    <w:rsid w:val="00BD4AAB"/>
    <w:rsid w:val="00C07CBD"/>
    <w:rsid w:val="00C12B06"/>
    <w:rsid w:val="00C33D15"/>
    <w:rsid w:val="00C3666B"/>
    <w:rsid w:val="00C5796A"/>
    <w:rsid w:val="00C65224"/>
    <w:rsid w:val="00C707C1"/>
    <w:rsid w:val="00C765C1"/>
    <w:rsid w:val="00C92170"/>
    <w:rsid w:val="00CA3D56"/>
    <w:rsid w:val="00CC206C"/>
    <w:rsid w:val="00CE1F73"/>
    <w:rsid w:val="00D01AC4"/>
    <w:rsid w:val="00D62DFB"/>
    <w:rsid w:val="00D81382"/>
    <w:rsid w:val="00DC7F99"/>
    <w:rsid w:val="00DD4CCE"/>
    <w:rsid w:val="00DE2D48"/>
    <w:rsid w:val="00DE730E"/>
    <w:rsid w:val="00DF7D12"/>
    <w:rsid w:val="00E24FB1"/>
    <w:rsid w:val="00E4515F"/>
    <w:rsid w:val="00E64A96"/>
    <w:rsid w:val="00E81058"/>
    <w:rsid w:val="00EB0561"/>
    <w:rsid w:val="00ED413E"/>
    <w:rsid w:val="00ED6767"/>
    <w:rsid w:val="00F07536"/>
    <w:rsid w:val="00F22F4C"/>
    <w:rsid w:val="00F349FB"/>
    <w:rsid w:val="00F465EB"/>
    <w:rsid w:val="00F55F17"/>
    <w:rsid w:val="00F5766F"/>
    <w:rsid w:val="00F62778"/>
    <w:rsid w:val="00F7595E"/>
    <w:rsid w:val="00F830E1"/>
    <w:rsid w:val="00F86317"/>
    <w:rsid w:val="00F90989"/>
    <w:rsid w:val="00FA3AAE"/>
    <w:rsid w:val="00FF1980"/>
    <w:rsid w:val="03314B90"/>
    <w:rsid w:val="061551B2"/>
    <w:rsid w:val="074175BB"/>
    <w:rsid w:val="09367853"/>
    <w:rsid w:val="094944F4"/>
    <w:rsid w:val="0B28750C"/>
    <w:rsid w:val="0B4450E6"/>
    <w:rsid w:val="0BB81E46"/>
    <w:rsid w:val="0CF87BBD"/>
    <w:rsid w:val="118D4FB7"/>
    <w:rsid w:val="1193743B"/>
    <w:rsid w:val="1208158E"/>
    <w:rsid w:val="17B14199"/>
    <w:rsid w:val="193C559B"/>
    <w:rsid w:val="1BC16333"/>
    <w:rsid w:val="1BC26837"/>
    <w:rsid w:val="1BC6678B"/>
    <w:rsid w:val="1C016A7D"/>
    <w:rsid w:val="1FED244D"/>
    <w:rsid w:val="1FFA730C"/>
    <w:rsid w:val="204A28D6"/>
    <w:rsid w:val="207B442E"/>
    <w:rsid w:val="211D1FFF"/>
    <w:rsid w:val="234C58A8"/>
    <w:rsid w:val="24A96994"/>
    <w:rsid w:val="256D33F7"/>
    <w:rsid w:val="25930FC9"/>
    <w:rsid w:val="264265E4"/>
    <w:rsid w:val="28280653"/>
    <w:rsid w:val="284A02D2"/>
    <w:rsid w:val="28A51A87"/>
    <w:rsid w:val="2AC53C4A"/>
    <w:rsid w:val="2B9F2726"/>
    <w:rsid w:val="2BB26EC3"/>
    <w:rsid w:val="2C2C2EB3"/>
    <w:rsid w:val="2D011A87"/>
    <w:rsid w:val="2DF408A8"/>
    <w:rsid w:val="2F2836F6"/>
    <w:rsid w:val="30EA6DBF"/>
    <w:rsid w:val="324C7D60"/>
    <w:rsid w:val="359B0621"/>
    <w:rsid w:val="369A5DBC"/>
    <w:rsid w:val="37472173"/>
    <w:rsid w:val="37BB17F0"/>
    <w:rsid w:val="37D60123"/>
    <w:rsid w:val="38D15433"/>
    <w:rsid w:val="39647B31"/>
    <w:rsid w:val="399A382E"/>
    <w:rsid w:val="3A0C2F5E"/>
    <w:rsid w:val="3CB40058"/>
    <w:rsid w:val="40C65F1B"/>
    <w:rsid w:val="422F6570"/>
    <w:rsid w:val="423B5DD7"/>
    <w:rsid w:val="4450571C"/>
    <w:rsid w:val="45536991"/>
    <w:rsid w:val="47F91A5B"/>
    <w:rsid w:val="484444A3"/>
    <w:rsid w:val="48AB45F3"/>
    <w:rsid w:val="49E54481"/>
    <w:rsid w:val="4AD456E1"/>
    <w:rsid w:val="4C6976DE"/>
    <w:rsid w:val="4DDD127A"/>
    <w:rsid w:val="4F2E2691"/>
    <w:rsid w:val="4F5D2D00"/>
    <w:rsid w:val="4FD067E9"/>
    <w:rsid w:val="50586899"/>
    <w:rsid w:val="507357AD"/>
    <w:rsid w:val="5086406E"/>
    <w:rsid w:val="52970F08"/>
    <w:rsid w:val="53D751E9"/>
    <w:rsid w:val="54A0578F"/>
    <w:rsid w:val="577479D0"/>
    <w:rsid w:val="57EE3ED9"/>
    <w:rsid w:val="591E1595"/>
    <w:rsid w:val="5A006329"/>
    <w:rsid w:val="5A7514DF"/>
    <w:rsid w:val="5C6F6D59"/>
    <w:rsid w:val="652B4BAD"/>
    <w:rsid w:val="678444E9"/>
    <w:rsid w:val="67DD2EA6"/>
    <w:rsid w:val="68C65410"/>
    <w:rsid w:val="69660643"/>
    <w:rsid w:val="69A07F43"/>
    <w:rsid w:val="6A9B2E18"/>
    <w:rsid w:val="6AD55B8B"/>
    <w:rsid w:val="6D60179C"/>
    <w:rsid w:val="70A86A3A"/>
    <w:rsid w:val="739F4B81"/>
    <w:rsid w:val="74E54701"/>
    <w:rsid w:val="755023D0"/>
    <w:rsid w:val="782C5751"/>
    <w:rsid w:val="7DDE786B"/>
    <w:rsid w:val="7F342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Body Text Indent"/>
    <w:basedOn w:val="1"/>
    <w:uiPriority w:val="0"/>
    <w:pPr>
      <w:ind w:firstLine="600" w:firstLineChars="200"/>
    </w:pPr>
    <w:rPr>
      <w:rFonts w:eastAsia="仿宋_GB2312"/>
      <w:sz w:val="30"/>
    </w:rPr>
  </w:style>
  <w:style w:type="paragraph" w:styleId="5">
    <w:name w:val="Date"/>
    <w:basedOn w:val="1"/>
    <w:next w:val="1"/>
    <w:link w:val="13"/>
    <w:uiPriority w:val="0"/>
    <w:pPr>
      <w:widowControl/>
    </w:pPr>
    <w:rPr>
      <w:rFonts w:ascii="宋体"/>
      <w:kern w:val="0"/>
      <w:sz w:val="28"/>
      <w:szCs w:val="20"/>
    </w:rPr>
  </w:style>
  <w:style w:type="paragraph" w:styleId="6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</w:style>
  <w:style w:type="character" w:customStyle="1" w:styleId="13">
    <w:name w:val="日期 Char"/>
    <w:link w:val="5"/>
    <w:uiPriority w:val="0"/>
    <w:rPr>
      <w:rFonts w:ascii="宋体"/>
      <w:sz w:val="28"/>
    </w:rPr>
  </w:style>
  <w:style w:type="character" w:customStyle="1" w:styleId="14">
    <w:name w:val="正文文本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5">
    <w:name w:val=" Char Char1"/>
    <w:basedOn w:val="1"/>
    <w:qFormat/>
    <w:uiPriority w:val="0"/>
    <w:pPr>
      <w:spacing w:before="182" w:beforeLines="50" w:after="182" w:afterLines="50"/>
    </w:pPr>
    <w:rPr>
      <w:rFonts w:ascii="Tahoma" w:hAnsi="Tahoma"/>
      <w:sz w:val="24"/>
      <w:szCs w:val="20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793</Words>
  <Characters>4524</Characters>
  <Lines>37</Lines>
  <Paragraphs>10</Paragraphs>
  <TotalTime>17</TotalTime>
  <ScaleCrop>false</ScaleCrop>
  <LinksUpToDate>false</LinksUpToDate>
  <CharactersWithSpaces>5307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2018-12-04T06:41:00Z</dcterms:created>
  <dc:creator>肖颖</dc:creator>
  <cp:lastModifiedBy>六六</cp:lastModifiedBy>
  <cp:lastPrinted>2021-12-07T01:20:00Z</cp:lastPrinted>
  <dcterms:modified xsi:type="dcterms:W3CDTF">2021-12-08T07:38:52Z</dcterms:modified>
  <dc:title>求精造价作业文件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BE4EC90F65B341B6A5B8193AAF5F279E</vt:lpwstr>
  </property>
</Properties>
</file>