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重庆高速文化传媒股份有限公司</w:t>
      </w:r>
    </w:p>
    <w:p>
      <w:pPr>
        <w:jc w:val="center"/>
        <w:rPr>
          <w:rFonts w:ascii="宋体" w:hAnsi="宋体" w:eastAsia="宋体" w:cs="宋体"/>
          <w:b/>
          <w:color w:val="auto"/>
          <w:sz w:val="48"/>
          <w:szCs w:val="48"/>
          <w:highlight w:val="none"/>
        </w:rPr>
      </w:pPr>
      <w:r>
        <w:rPr>
          <w:rFonts w:hint="eastAsia" w:ascii="宋体" w:hAnsi="宋体" w:cs="宋体"/>
          <w:b/>
          <w:color w:val="auto"/>
          <w:sz w:val="48"/>
          <w:szCs w:val="48"/>
          <w:highlight w:val="none"/>
          <w:lang w:val="en-US" w:eastAsia="zh-CN"/>
        </w:rPr>
        <w:t>绕城路</w:t>
      </w:r>
      <w:r>
        <w:rPr>
          <w:rFonts w:hint="eastAsia" w:ascii="宋体" w:hAnsi="宋体" w:cs="宋体"/>
          <w:b/>
          <w:color w:val="auto"/>
          <w:sz w:val="48"/>
          <w:szCs w:val="48"/>
          <w:highlight w:val="none"/>
        </w:rPr>
        <w:t>广告牌建设工程</w:t>
      </w:r>
    </w:p>
    <w:p>
      <w:pPr>
        <w:jc w:val="center"/>
        <w:rPr>
          <w:rFonts w:ascii="宋体" w:hAnsi="宋体" w:eastAsia="宋体" w:cs="宋体"/>
          <w:b/>
          <w:color w:val="auto"/>
          <w:spacing w:val="20"/>
          <w:sz w:val="72"/>
          <w:szCs w:val="72"/>
          <w:highlight w:val="none"/>
        </w:rPr>
      </w:pPr>
    </w:p>
    <w:p>
      <w:pPr>
        <w:pStyle w:val="11"/>
        <w:rPr>
          <w:color w:val="auto"/>
          <w:highlight w:val="none"/>
        </w:rPr>
      </w:pPr>
    </w:p>
    <w:p>
      <w:pPr>
        <w:jc w:val="center"/>
        <w:rPr>
          <w:rFonts w:ascii="宋体" w:hAnsi="宋体" w:cs="宋体"/>
          <w:b/>
          <w:color w:val="auto"/>
          <w:spacing w:val="20"/>
          <w:sz w:val="72"/>
          <w:szCs w:val="72"/>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rPr>
        <w:t>竞争性比选文件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11"/>
        <w:rPr>
          <w:rFonts w:ascii="宋体" w:hAnsi="宋体" w:cs="宋体"/>
          <w:color w:val="auto"/>
          <w:szCs w:val="21"/>
          <w:highlight w:val="none"/>
        </w:rPr>
      </w:pPr>
    </w:p>
    <w:p>
      <w:pPr>
        <w:pStyle w:val="11"/>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pacing w:val="100"/>
          <w:szCs w:val="21"/>
          <w:highlight w:val="none"/>
        </w:rPr>
      </w:pPr>
    </w:p>
    <w:p>
      <w:pPr>
        <w:pStyle w:val="5"/>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5"/>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rPr>
        <w:t>重庆高速文化传媒股份有限公司</w:t>
      </w:r>
      <w:r>
        <w:rPr>
          <w:rFonts w:hint="eastAsia" w:ascii="宋体" w:hAnsi="宋体" w:cs="宋体"/>
          <w:b/>
          <w:color w:val="auto"/>
          <w:sz w:val="30"/>
          <w:szCs w:val="30"/>
          <w:highlight w:val="none"/>
          <w:lang w:val="en-US" w:eastAsia="zh-CN"/>
        </w:rPr>
        <w:t>绕城路</w:t>
      </w:r>
    </w:p>
    <w:p>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广告牌建设工程竞争性比选公告</w:t>
      </w:r>
      <w:bookmarkStart w:id="0" w:name="_Toc247085680"/>
      <w:bookmarkStart w:id="1" w:name="_Toc246996909"/>
      <w:bookmarkStart w:id="2" w:name="_Toc152042295"/>
      <w:bookmarkStart w:id="3" w:name="_Toc246996166"/>
      <w:bookmarkStart w:id="4" w:name="_Toc179632536"/>
      <w:bookmarkStart w:id="5" w:name="_Toc296602410"/>
      <w:bookmarkStart w:id="6" w:name="_Toc144974487"/>
      <w:bookmarkStart w:id="7" w:name="_Toc152045519"/>
    </w:p>
    <w:p>
      <w:pPr>
        <w:pStyle w:val="2"/>
        <w:rPr>
          <w:color w:val="auto"/>
          <w:highlight w:val="none"/>
        </w:rPr>
      </w:pPr>
    </w:p>
    <w:bookmarkEnd w:id="0"/>
    <w:bookmarkEnd w:id="1"/>
    <w:bookmarkEnd w:id="2"/>
    <w:bookmarkEnd w:id="3"/>
    <w:bookmarkEnd w:id="4"/>
    <w:bookmarkEnd w:id="5"/>
    <w:bookmarkEnd w:id="6"/>
    <w:bookmarkEnd w:id="7"/>
    <w:p>
      <w:pPr>
        <w:wordWrap w:val="0"/>
        <w:spacing w:line="400" w:lineRule="exact"/>
        <w:ind w:firstLine="420" w:firstLineChars="200"/>
        <w:jc w:val="left"/>
        <w:rPr>
          <w:color w:val="auto"/>
          <w:szCs w:val="21"/>
          <w:highlight w:val="none"/>
        </w:rPr>
      </w:pPr>
      <w:bookmarkStart w:id="8" w:name="_Toc247085682"/>
      <w:bookmarkStart w:id="9" w:name="_Toc246996911"/>
      <w:bookmarkStart w:id="10" w:name="_Toc296602412"/>
      <w:bookmarkStart w:id="11" w:name="_Toc152045521"/>
      <w:bookmarkStart w:id="12" w:name="_Toc152042297"/>
      <w:bookmarkStart w:id="13" w:name="_Toc179632538"/>
      <w:bookmarkStart w:id="14" w:name="_Toc246996168"/>
      <w:bookmarkStart w:id="15" w:name="_Toc144974489"/>
      <w:r>
        <w:rPr>
          <w:color w:val="auto"/>
          <w:szCs w:val="21"/>
          <w:highlight w:val="none"/>
        </w:rPr>
        <w:t>本项目</w:t>
      </w:r>
      <w:r>
        <w:rPr>
          <w:rFonts w:hint="eastAsia"/>
          <w:b/>
          <w:bCs/>
          <w:color w:val="auto"/>
          <w:szCs w:val="21"/>
          <w:highlight w:val="none"/>
        </w:rPr>
        <w:t>重庆高速文化传媒股份有限公司</w:t>
      </w:r>
      <w:r>
        <w:rPr>
          <w:rFonts w:hint="eastAsia"/>
          <w:b/>
          <w:bCs/>
          <w:color w:val="auto"/>
          <w:szCs w:val="21"/>
          <w:highlight w:val="none"/>
          <w:lang w:val="en-US" w:eastAsia="zh-CN"/>
        </w:rPr>
        <w:t>绕城路</w:t>
      </w:r>
      <w:r>
        <w:rPr>
          <w:rFonts w:hint="eastAsia"/>
          <w:b/>
          <w:bCs/>
          <w:color w:val="auto"/>
          <w:szCs w:val="21"/>
          <w:highlight w:val="none"/>
        </w:rPr>
        <w:t>广告牌建设工程</w:t>
      </w:r>
      <w:r>
        <w:rPr>
          <w:color w:val="auto"/>
          <w:szCs w:val="21"/>
          <w:highlight w:val="none"/>
        </w:rPr>
        <w:t>准备组织实施，重庆高速文化传媒股份有限公司计划以</w:t>
      </w:r>
      <w:r>
        <w:rPr>
          <w:rFonts w:hint="eastAsia"/>
          <w:color w:val="auto"/>
          <w:szCs w:val="21"/>
          <w:highlight w:val="none"/>
        </w:rPr>
        <w:t>公开竞争性比选</w:t>
      </w:r>
      <w:r>
        <w:rPr>
          <w:color w:val="auto"/>
          <w:szCs w:val="21"/>
          <w:highlight w:val="none"/>
        </w:rPr>
        <w:t>方式确定</w:t>
      </w:r>
      <w:r>
        <w:rPr>
          <w:rFonts w:hint="eastAsia"/>
          <w:color w:val="auto"/>
          <w:szCs w:val="21"/>
          <w:highlight w:val="none"/>
        </w:rPr>
        <w:t>成交</w:t>
      </w:r>
      <w:r>
        <w:rPr>
          <w:color w:val="auto"/>
          <w:szCs w:val="21"/>
          <w:highlight w:val="none"/>
        </w:rPr>
        <w:t>单位，具体情况如下：</w:t>
      </w:r>
    </w:p>
    <w:p>
      <w:pPr>
        <w:spacing w:line="400" w:lineRule="exact"/>
        <w:rPr>
          <w:b/>
          <w:color w:val="auto"/>
          <w:szCs w:val="21"/>
          <w:highlight w:val="none"/>
        </w:rPr>
      </w:pPr>
      <w:bookmarkStart w:id="16" w:name="_Toc144974488"/>
      <w:bookmarkStart w:id="17" w:name="_Toc296602411"/>
      <w:bookmarkStart w:id="18" w:name="_Toc247085681"/>
      <w:bookmarkStart w:id="19" w:name="_Toc152042296"/>
      <w:bookmarkStart w:id="20" w:name="_Toc246996910"/>
      <w:bookmarkStart w:id="21" w:name="_Toc152045520"/>
      <w:bookmarkStart w:id="22" w:name="_Toc179632537"/>
      <w:bookmarkStart w:id="23" w:name="_Toc246996167"/>
      <w:r>
        <w:rPr>
          <w:b/>
          <w:color w:val="auto"/>
          <w:szCs w:val="21"/>
          <w:highlight w:val="none"/>
        </w:rPr>
        <w:t>一、项目概况与</w:t>
      </w:r>
      <w:r>
        <w:rPr>
          <w:rFonts w:hint="eastAsia"/>
          <w:b/>
          <w:color w:val="auto"/>
          <w:szCs w:val="21"/>
          <w:highlight w:val="none"/>
        </w:rPr>
        <w:t>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本项目为</w:t>
      </w:r>
      <w:r>
        <w:rPr>
          <w:rFonts w:hint="eastAsia"/>
          <w:color w:val="auto"/>
          <w:szCs w:val="21"/>
          <w:highlight w:val="none"/>
        </w:rPr>
        <w:t>重庆高速文化传媒股份有限公司</w:t>
      </w:r>
      <w:r>
        <w:rPr>
          <w:rFonts w:hint="eastAsia"/>
          <w:color w:val="auto"/>
          <w:szCs w:val="21"/>
          <w:highlight w:val="none"/>
          <w:lang w:val="en-US" w:eastAsia="zh-CN"/>
        </w:rPr>
        <w:t>绕城路</w:t>
      </w:r>
      <w:r>
        <w:rPr>
          <w:rFonts w:hint="eastAsia"/>
          <w:color w:val="auto"/>
          <w:szCs w:val="21"/>
          <w:highlight w:val="none"/>
        </w:rPr>
        <w:t>广告牌建设工程</w:t>
      </w:r>
      <w:r>
        <w:rPr>
          <w:color w:val="auto"/>
          <w:szCs w:val="21"/>
          <w:highlight w:val="none"/>
        </w:rPr>
        <w:t>。本项目为一个</w:t>
      </w:r>
      <w:r>
        <w:rPr>
          <w:rFonts w:hint="eastAsia"/>
          <w:color w:val="auto"/>
          <w:szCs w:val="21"/>
          <w:highlight w:val="none"/>
        </w:rPr>
        <w:t>标段实施</w:t>
      </w:r>
      <w:r>
        <w:rPr>
          <w:color w:val="auto"/>
          <w:szCs w:val="21"/>
          <w:highlight w:val="none"/>
        </w:rPr>
        <w:t>。</w:t>
      </w:r>
    </w:p>
    <w:p>
      <w:pPr>
        <w:widowControl/>
        <w:spacing w:line="400" w:lineRule="exact"/>
        <w:ind w:firstLine="422" w:firstLineChars="200"/>
        <w:rPr>
          <w:b/>
          <w:bCs/>
          <w:color w:val="auto"/>
          <w:szCs w:val="21"/>
          <w:highlight w:val="none"/>
        </w:rPr>
      </w:pPr>
      <w:r>
        <w:rPr>
          <w:b/>
          <w:bCs/>
          <w:color w:val="auto"/>
          <w:szCs w:val="21"/>
          <w:highlight w:val="none"/>
        </w:rPr>
        <w:t>1、工程内容：</w:t>
      </w:r>
    </w:p>
    <w:p>
      <w:pPr>
        <w:spacing w:line="400" w:lineRule="exact"/>
        <w:ind w:firstLine="420" w:firstLineChars="200"/>
        <w:rPr>
          <w:color w:val="auto"/>
          <w:kern w:val="0"/>
          <w:szCs w:val="21"/>
          <w:highlight w:val="none"/>
        </w:rPr>
      </w:pPr>
      <w:r>
        <w:rPr>
          <w:color w:val="auto"/>
          <w:kern w:val="0"/>
          <w:szCs w:val="21"/>
          <w:highlight w:val="none"/>
        </w:rPr>
        <w:t>（1）</w:t>
      </w:r>
      <w:r>
        <w:rPr>
          <w:rFonts w:hint="eastAsia"/>
          <w:snapToGrid w:val="0"/>
          <w:color w:val="auto"/>
          <w:kern w:val="0"/>
          <w:szCs w:val="21"/>
          <w:highlight w:val="none"/>
        </w:rPr>
        <w:t>建设</w:t>
      </w:r>
      <w:r>
        <w:rPr>
          <w:snapToGrid w:val="0"/>
          <w:color w:val="auto"/>
          <w:kern w:val="0"/>
          <w:szCs w:val="21"/>
          <w:highlight w:val="none"/>
        </w:rPr>
        <w:t>地点：</w:t>
      </w:r>
      <w:r>
        <w:rPr>
          <w:rFonts w:hint="eastAsia"/>
          <w:snapToGrid w:val="0"/>
          <w:color w:val="auto"/>
          <w:kern w:val="0"/>
          <w:szCs w:val="21"/>
          <w:highlight w:val="none"/>
        </w:rPr>
        <w:t>重庆</w:t>
      </w:r>
      <w:r>
        <w:rPr>
          <w:rFonts w:hint="eastAsia"/>
          <w:snapToGrid w:val="0"/>
          <w:color w:val="auto"/>
          <w:kern w:val="0"/>
          <w:szCs w:val="21"/>
          <w:highlight w:val="none"/>
          <w:lang w:val="en-US" w:eastAsia="zh-CN"/>
        </w:rPr>
        <w:t>绕城</w:t>
      </w:r>
      <w:r>
        <w:rPr>
          <w:rFonts w:hint="eastAsia"/>
          <w:snapToGrid w:val="0"/>
          <w:color w:val="auto"/>
          <w:kern w:val="0"/>
          <w:szCs w:val="21"/>
          <w:highlight w:val="none"/>
        </w:rPr>
        <w:t>高速</w:t>
      </w:r>
      <w:r>
        <w:rPr>
          <w:rFonts w:hint="eastAsia"/>
          <w:snapToGrid w:val="0"/>
          <w:color w:val="auto"/>
          <w:kern w:val="0"/>
          <w:szCs w:val="21"/>
          <w:highlight w:val="none"/>
          <w:lang w:val="en-US" w:eastAsia="zh-CN"/>
        </w:rPr>
        <w:t>珊瑚立交RK142+200</w:t>
      </w:r>
      <w:r>
        <w:rPr>
          <w:rFonts w:hint="eastAsia"/>
          <w:color w:val="auto"/>
          <w:kern w:val="0"/>
          <w:szCs w:val="21"/>
          <w:highlight w:val="none"/>
        </w:rPr>
        <w:t>。</w:t>
      </w:r>
    </w:p>
    <w:p>
      <w:pPr>
        <w:spacing w:line="400" w:lineRule="exact"/>
        <w:ind w:firstLine="420" w:firstLineChars="200"/>
        <w:rPr>
          <w:rFonts w:hint="eastAsia"/>
          <w:snapToGrid w:val="0"/>
          <w:color w:val="auto"/>
          <w:kern w:val="0"/>
          <w:szCs w:val="21"/>
          <w:highlight w:val="none"/>
          <w:lang w:val="en-US" w:eastAsia="zh-CN"/>
        </w:rPr>
      </w:pPr>
      <w:r>
        <w:rPr>
          <w:rFonts w:hint="eastAsia"/>
          <w:color w:val="auto"/>
          <w:kern w:val="0"/>
          <w:szCs w:val="21"/>
          <w:highlight w:val="none"/>
        </w:rPr>
        <w:t>（</w:t>
      </w:r>
      <w:r>
        <w:rPr>
          <w:rFonts w:hint="eastAsia"/>
          <w:color w:val="auto"/>
          <w:kern w:val="0"/>
          <w:szCs w:val="21"/>
          <w:highlight w:val="none"/>
        </w:rPr>
        <w:t>2）</w:t>
      </w:r>
      <w:r>
        <w:rPr>
          <w:rFonts w:hint="eastAsia"/>
          <w:snapToGrid w:val="0"/>
          <w:color w:val="auto"/>
          <w:kern w:val="0"/>
          <w:szCs w:val="21"/>
          <w:highlight w:val="none"/>
        </w:rPr>
        <w:t>建设</w:t>
      </w:r>
      <w:r>
        <w:rPr>
          <w:snapToGrid w:val="0"/>
          <w:color w:val="auto"/>
          <w:kern w:val="0"/>
          <w:szCs w:val="21"/>
          <w:highlight w:val="none"/>
        </w:rPr>
        <w:t>规模：</w:t>
      </w:r>
      <w:r>
        <w:rPr>
          <w:rFonts w:hint="eastAsia"/>
          <w:snapToGrid w:val="0"/>
          <w:color w:val="auto"/>
          <w:kern w:val="0"/>
          <w:szCs w:val="21"/>
          <w:highlight w:val="none"/>
        </w:rPr>
        <w:t>共</w:t>
      </w:r>
      <w:r>
        <w:rPr>
          <w:rFonts w:hint="eastAsia"/>
          <w:snapToGrid w:val="0"/>
          <w:color w:val="auto"/>
          <w:kern w:val="0"/>
          <w:szCs w:val="21"/>
          <w:highlight w:val="none"/>
          <w:lang w:val="en-US" w:eastAsia="zh-CN"/>
        </w:rPr>
        <w:t>1</w:t>
      </w:r>
      <w:r>
        <w:rPr>
          <w:rFonts w:hint="eastAsia"/>
          <w:snapToGrid w:val="0"/>
          <w:color w:val="auto"/>
          <w:kern w:val="0"/>
          <w:szCs w:val="21"/>
          <w:highlight w:val="none"/>
        </w:rPr>
        <w:t>块</w:t>
      </w:r>
      <w:r>
        <w:rPr>
          <w:rFonts w:hint="eastAsia"/>
          <w:snapToGrid w:val="0"/>
          <w:color w:val="auto"/>
          <w:kern w:val="0"/>
          <w:szCs w:val="21"/>
          <w:highlight w:val="none"/>
          <w:lang w:val="en-US" w:eastAsia="zh-CN"/>
        </w:rPr>
        <w:t>27米三面体</w:t>
      </w:r>
      <w:r>
        <w:rPr>
          <w:rFonts w:hint="eastAsia"/>
          <w:snapToGrid w:val="0"/>
          <w:color w:val="auto"/>
          <w:kern w:val="0"/>
          <w:szCs w:val="21"/>
          <w:highlight w:val="none"/>
        </w:rPr>
        <w:t>广告牌</w:t>
      </w:r>
      <w:r>
        <w:rPr>
          <w:rFonts w:hint="eastAsia"/>
          <w:snapToGrid w:val="0"/>
          <w:color w:val="auto"/>
          <w:kern w:val="0"/>
          <w:szCs w:val="21"/>
          <w:highlight w:val="none"/>
          <w:lang w:val="en-US" w:eastAsia="zh-CN"/>
        </w:rPr>
        <w:t>。</w:t>
      </w:r>
    </w:p>
    <w:p>
      <w:pPr>
        <w:spacing w:line="400" w:lineRule="exact"/>
        <w:ind w:firstLine="420" w:firstLineChars="200"/>
        <w:rPr>
          <w:color w:val="auto"/>
          <w:kern w:val="0"/>
          <w:szCs w:val="21"/>
          <w:highlight w:val="none"/>
        </w:rPr>
      </w:pPr>
      <w:r>
        <w:rPr>
          <w:rFonts w:hint="eastAsia"/>
          <w:color w:val="auto"/>
          <w:kern w:val="0"/>
          <w:szCs w:val="21"/>
          <w:highlight w:val="none"/>
        </w:rPr>
        <w:t>（3）计划工期：</w:t>
      </w:r>
      <w:r>
        <w:rPr>
          <w:rFonts w:hint="eastAsia"/>
          <w:color w:val="auto"/>
          <w:kern w:val="0"/>
          <w:szCs w:val="21"/>
          <w:highlight w:val="none"/>
          <w:lang w:val="en-US" w:eastAsia="zh-CN"/>
        </w:rPr>
        <w:t>40</w:t>
      </w:r>
      <w:r>
        <w:rPr>
          <w:rFonts w:hint="eastAsia"/>
          <w:color w:val="auto"/>
          <w:kern w:val="0"/>
          <w:szCs w:val="21"/>
          <w:highlight w:val="none"/>
        </w:rPr>
        <w:t>日历天。</w:t>
      </w:r>
    </w:p>
    <w:p>
      <w:pPr>
        <w:spacing w:line="400" w:lineRule="exact"/>
        <w:ind w:firstLine="420" w:firstLineChars="200"/>
        <w:rPr>
          <w:rFonts w:hint="eastAsia"/>
          <w:color w:val="auto"/>
          <w:kern w:val="0"/>
          <w:szCs w:val="21"/>
          <w:highlight w:val="none"/>
        </w:rPr>
      </w:pPr>
      <w:r>
        <w:rPr>
          <w:rFonts w:hint="eastAsia"/>
          <w:color w:val="auto"/>
          <w:kern w:val="0"/>
          <w:szCs w:val="21"/>
          <w:highlight w:val="none"/>
        </w:rPr>
        <w:t>（4）工程范围：包括以上广告牌的钢筋混凝土基础、钢结构、板架、走道、爬梯、广告板面及包边、挂画面钢筋、防腐等所有施工设计图包含内容的制作、安装，和按照本合同中户外广告发布要求完善施工图未标明的内容制作及施工，以及保修等内容。价格采用综合单价，每块广告牌的价格包干，包括手续办理，交通组织，土地平整、占用，青苗补偿以及保修等所有内容</w:t>
      </w:r>
      <w:r>
        <w:rPr>
          <w:rFonts w:hint="eastAsia"/>
          <w:color w:val="auto"/>
          <w:kern w:val="0"/>
          <w:szCs w:val="21"/>
          <w:highlight w:val="none"/>
          <w:lang w:eastAsia="zh-CN"/>
        </w:rPr>
        <w:t>，</w:t>
      </w:r>
      <w:r>
        <w:rPr>
          <w:rFonts w:hint="eastAsia"/>
          <w:snapToGrid w:val="0"/>
          <w:color w:val="auto"/>
          <w:kern w:val="0"/>
          <w:szCs w:val="21"/>
          <w:highlight w:val="none"/>
          <w:lang w:eastAsia="zh-CN"/>
        </w:rPr>
        <w:t>以及获取</w:t>
      </w:r>
      <w:r>
        <w:rPr>
          <w:rFonts w:hint="eastAsia"/>
          <w:color w:val="auto"/>
          <w:szCs w:val="21"/>
          <w:highlight w:val="none"/>
          <w:lang w:val="en-US" w:eastAsia="zh-CN"/>
        </w:rPr>
        <w:t>重庆市交通局科研项目</w:t>
      </w:r>
      <w:bookmarkStart w:id="24" w:name="OLE_LINK7"/>
      <w:r>
        <w:rPr>
          <w:rFonts w:hint="eastAsia"/>
          <w:color w:val="auto"/>
          <w:szCs w:val="21"/>
          <w:highlight w:val="none"/>
          <w:lang w:val="en-US" w:eastAsia="zh-CN"/>
        </w:rPr>
        <w:t>成果</w:t>
      </w:r>
      <w:bookmarkEnd w:id="24"/>
      <w:r>
        <w:rPr>
          <w:rFonts w:hint="eastAsia"/>
          <w:color w:val="auto"/>
          <w:szCs w:val="21"/>
          <w:highlight w:val="none"/>
          <w:lang w:val="en-US" w:eastAsia="zh-CN"/>
        </w:rPr>
        <w:t>确认。</w:t>
      </w:r>
    </w:p>
    <w:p>
      <w:pPr>
        <w:widowControl/>
        <w:spacing w:line="400" w:lineRule="exact"/>
        <w:ind w:firstLine="422" w:firstLineChars="200"/>
        <w:rPr>
          <w:b/>
          <w:bCs/>
          <w:color w:val="auto"/>
          <w:szCs w:val="21"/>
          <w:highlight w:val="none"/>
        </w:rPr>
      </w:pPr>
      <w:r>
        <w:rPr>
          <w:b/>
          <w:bCs/>
          <w:color w:val="auto"/>
          <w:szCs w:val="21"/>
          <w:highlight w:val="none"/>
        </w:rPr>
        <w:t>2、支付条款：</w:t>
      </w:r>
    </w:p>
    <w:p>
      <w:pPr>
        <w:spacing w:line="400" w:lineRule="exact"/>
        <w:ind w:firstLine="420" w:firstLineChars="200"/>
        <w:rPr>
          <w:color w:val="auto"/>
          <w:kern w:val="0"/>
          <w:szCs w:val="21"/>
          <w:highlight w:val="none"/>
        </w:rPr>
      </w:pPr>
      <w:r>
        <w:rPr>
          <w:rFonts w:hint="eastAsia"/>
          <w:color w:val="auto"/>
          <w:szCs w:val="21"/>
          <w:highlight w:val="none"/>
        </w:rPr>
        <w:t>工程进度完成100%并经甲方验收合格后支付合同金额的</w:t>
      </w:r>
      <w:r>
        <w:rPr>
          <w:rFonts w:hint="eastAsia"/>
          <w:color w:val="auto"/>
          <w:szCs w:val="21"/>
          <w:highlight w:val="none"/>
          <w:lang w:val="en-US" w:eastAsia="zh-CN"/>
        </w:rPr>
        <w:t>7</w:t>
      </w:r>
      <w:r>
        <w:rPr>
          <w:rFonts w:hint="eastAsia"/>
          <w:color w:val="auto"/>
          <w:szCs w:val="21"/>
          <w:highlight w:val="none"/>
        </w:rPr>
        <w:t>0%；通过外业验收、竣工验收、提交通过审核的竣工资料</w:t>
      </w:r>
      <w:r>
        <w:rPr>
          <w:rFonts w:hint="eastAsia"/>
          <w:color w:val="auto"/>
          <w:szCs w:val="21"/>
          <w:highlight w:val="none"/>
          <w:lang w:val="en-US" w:eastAsia="zh-CN"/>
        </w:rPr>
        <w:t>和重庆市交通局科研项目成果确认后（以重庆市交通局批复为准）</w:t>
      </w:r>
      <w:r>
        <w:rPr>
          <w:rFonts w:hint="eastAsia"/>
          <w:color w:val="auto"/>
          <w:szCs w:val="21"/>
          <w:highlight w:val="none"/>
        </w:rPr>
        <w:t>后10个工作日内由业主向施工单位支付合同金额的2</w:t>
      </w:r>
      <w:r>
        <w:rPr>
          <w:rFonts w:hint="eastAsia"/>
          <w:color w:val="auto"/>
          <w:szCs w:val="21"/>
          <w:highlight w:val="none"/>
          <w:lang w:val="en-US" w:eastAsia="zh-CN"/>
        </w:rPr>
        <w:t>5</w:t>
      </w:r>
      <w:r>
        <w:rPr>
          <w:rFonts w:hint="eastAsia"/>
          <w:color w:val="auto"/>
          <w:szCs w:val="21"/>
          <w:highlight w:val="none"/>
        </w:rPr>
        <w:t>%，剩余</w:t>
      </w:r>
      <w:r>
        <w:rPr>
          <w:rFonts w:hint="eastAsia"/>
          <w:color w:val="auto"/>
          <w:szCs w:val="21"/>
          <w:highlight w:val="none"/>
          <w:lang w:val="en-US" w:eastAsia="zh-CN"/>
        </w:rPr>
        <w:t>5</w:t>
      </w:r>
      <w:r>
        <w:rPr>
          <w:rFonts w:hint="eastAsia"/>
          <w:color w:val="auto"/>
          <w:szCs w:val="21"/>
          <w:highlight w:val="none"/>
        </w:rPr>
        <w:t>%为工程质量缺陷保证金，待缺陷责任期满后10个工作日内进行支付（不计利息）。</w:t>
      </w:r>
      <w:r>
        <w:rPr>
          <w:rFonts w:hint="eastAsia"/>
          <w:color w:val="auto"/>
          <w:szCs w:val="21"/>
          <w:highlight w:val="none"/>
          <w:lang w:val="en-US" w:eastAsia="zh-CN"/>
        </w:rPr>
        <w:t>质保期为2年。</w:t>
      </w:r>
    </w:p>
    <w:p>
      <w:pPr>
        <w:spacing w:line="400" w:lineRule="exact"/>
        <w:rPr>
          <w:b/>
          <w:color w:val="auto"/>
          <w:szCs w:val="21"/>
          <w:highlight w:val="none"/>
        </w:rPr>
      </w:pPr>
      <w:r>
        <w:rPr>
          <w:b/>
          <w:color w:val="auto"/>
          <w:szCs w:val="21"/>
          <w:highlight w:val="none"/>
        </w:rPr>
        <w:t>二、</w:t>
      </w:r>
      <w:r>
        <w:rPr>
          <w:rFonts w:hint="eastAsia"/>
          <w:b/>
          <w:color w:val="auto"/>
          <w:szCs w:val="21"/>
          <w:highlight w:val="none"/>
        </w:rPr>
        <w:t>比选申请</w:t>
      </w:r>
      <w:r>
        <w:rPr>
          <w:b/>
          <w:color w:val="auto"/>
          <w:szCs w:val="21"/>
          <w:highlight w:val="none"/>
        </w:rPr>
        <w:t>要求（</w:t>
      </w:r>
      <w:r>
        <w:rPr>
          <w:rFonts w:hint="eastAsia"/>
          <w:b/>
          <w:color w:val="auto"/>
          <w:szCs w:val="21"/>
          <w:highlight w:val="none"/>
        </w:rPr>
        <w:t>须同时满足以下资格要求）：</w:t>
      </w:r>
    </w:p>
    <w:p>
      <w:pPr>
        <w:spacing w:line="400" w:lineRule="exact"/>
        <w:ind w:firstLine="420" w:firstLineChars="200"/>
        <w:rPr>
          <w:color w:val="auto"/>
          <w:szCs w:val="21"/>
          <w:highlight w:val="none"/>
        </w:rPr>
      </w:pPr>
      <w:r>
        <w:rPr>
          <w:rFonts w:hint="eastAsia"/>
          <w:color w:val="auto"/>
          <w:szCs w:val="21"/>
          <w:highlight w:val="none"/>
          <w:lang w:val="en-US" w:eastAsia="zh-CN"/>
        </w:rPr>
        <w:t>1、</w:t>
      </w:r>
      <w:r>
        <w:rPr>
          <w:rFonts w:hint="eastAsia"/>
          <w:color w:val="auto"/>
          <w:szCs w:val="21"/>
          <w:highlight w:val="none"/>
        </w:rPr>
        <w:t>资质要求：具有独立法人资格，具有有效的营业执照，并在人员、设备、资金等方面具有相应的施工能力；具备有效的安全生产许可证，具备建设行政主管部门颁发钢结构工程专业承包三级及以上资质</w:t>
      </w:r>
      <w:r>
        <w:rPr>
          <w:rFonts w:hint="eastAsia"/>
          <w:color w:val="auto"/>
          <w:szCs w:val="21"/>
          <w:highlight w:val="none"/>
          <w:lang w:eastAsia="zh-CN"/>
        </w:rPr>
        <w:t>，施工人员具有高空作业证</w:t>
      </w:r>
      <w:r>
        <w:rPr>
          <w:rFonts w:hint="eastAsia"/>
          <w:color w:val="auto"/>
          <w:szCs w:val="21"/>
          <w:highlight w:val="none"/>
        </w:rPr>
        <w:t>。</w:t>
      </w:r>
    </w:p>
    <w:p>
      <w:pPr>
        <w:pStyle w:val="11"/>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（注：比选申请单位须提供须提供营业执照、安全生产许可证、</w:t>
      </w:r>
      <w:r>
        <w:rPr>
          <w:rFonts w:hint="eastAsia" w:asciiTheme="minorHAnsi" w:hAnsiTheme="minorHAnsi" w:eastAsiaTheme="minorEastAsia" w:cstheme="minorBidi"/>
          <w:b/>
          <w:bCs/>
          <w:color w:val="auto"/>
          <w:kern w:val="2"/>
          <w:sz w:val="21"/>
          <w:szCs w:val="21"/>
          <w:highlight w:val="none"/>
          <w:lang w:eastAsia="zh-CN"/>
        </w:rPr>
        <w:t>高空作业证</w:t>
      </w:r>
      <w:r>
        <w:rPr>
          <w:rFonts w:hint="eastAsia" w:asciiTheme="minorHAnsi" w:hAnsiTheme="minorHAnsi" w:eastAsiaTheme="minorEastAsia" w:cstheme="minorBidi"/>
          <w:b/>
          <w:bCs/>
          <w:color w:val="auto"/>
          <w:kern w:val="2"/>
          <w:sz w:val="21"/>
          <w:szCs w:val="21"/>
          <w:highlight w:val="none"/>
        </w:rPr>
        <w:t>资质证书的复印件或扫描件，并加盖比选申请单位公章。）</w:t>
      </w:r>
    </w:p>
    <w:p>
      <w:pPr>
        <w:spacing w:line="400" w:lineRule="exact"/>
        <w:ind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信誉要求：</w:t>
      </w:r>
    </w:p>
    <w:p>
      <w:pPr>
        <w:spacing w:line="400" w:lineRule="exact"/>
        <w:ind w:firstLine="420" w:firstLineChars="200"/>
        <w:rPr>
          <w:rFonts w:hint="eastAsia"/>
          <w:color w:val="auto"/>
          <w:szCs w:val="21"/>
          <w:highlight w:val="none"/>
        </w:rPr>
      </w:pPr>
      <w:bookmarkStart w:id="25" w:name="_Hlk36217333"/>
      <w:r>
        <w:rPr>
          <w:rFonts w:hint="eastAsia"/>
          <w:color w:val="auto"/>
          <w:szCs w:val="21"/>
          <w:highlight w:val="none"/>
          <w:lang w:val="en-US" w:eastAsia="zh-CN"/>
        </w:rPr>
        <w:t>（1）</w:t>
      </w:r>
      <w:r>
        <w:rPr>
          <w:rFonts w:hint="eastAsia"/>
          <w:color w:val="auto"/>
          <w:szCs w:val="21"/>
          <w:highlight w:val="none"/>
        </w:rPr>
        <w:t>企业存续期在半年年以上（含半年），在行业内无不良信誉记录和重大安全责任事故记录。</w:t>
      </w:r>
    </w:p>
    <w:p>
      <w:pPr>
        <w:spacing w:line="400" w:lineRule="exact"/>
        <w:ind w:firstLine="420" w:firstLineChars="200"/>
        <w:rPr>
          <w:color w:val="auto"/>
          <w:szCs w:val="21"/>
          <w:highlight w:val="none"/>
        </w:rPr>
      </w:pPr>
      <w:r>
        <w:rPr>
          <w:rFonts w:hint="eastAsia"/>
          <w:color w:val="auto"/>
          <w:szCs w:val="21"/>
          <w:highlight w:val="none"/>
        </w:rPr>
        <w:t>（2）在交通运输部和重庆市交通局发布的最新一期公路工程施工企业综合信用评价结果未被评为D级。</w:t>
      </w:r>
      <w:bookmarkEnd w:id="25"/>
    </w:p>
    <w:p>
      <w:pPr>
        <w:pStyle w:val="11"/>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（注：须由比选申请单位对上述信誉要求作出承诺即可，承诺书格式自拟，并加盖比选申请单位公章。）</w:t>
      </w:r>
    </w:p>
    <w:bookmarkEnd w:id="8"/>
    <w:bookmarkEnd w:id="9"/>
    <w:bookmarkEnd w:id="10"/>
    <w:bookmarkEnd w:id="11"/>
    <w:bookmarkEnd w:id="12"/>
    <w:bookmarkEnd w:id="13"/>
    <w:bookmarkEnd w:id="14"/>
    <w:bookmarkEnd w:id="15"/>
    <w:p>
      <w:pPr>
        <w:spacing w:line="400" w:lineRule="exact"/>
        <w:ind w:firstLine="420" w:firstLineChars="200"/>
        <w:rPr>
          <w:snapToGrid w:val="0"/>
          <w:color w:val="auto"/>
          <w:kern w:val="0"/>
          <w:szCs w:val="21"/>
          <w:highlight w:val="none"/>
        </w:rPr>
      </w:pPr>
      <w:bookmarkStart w:id="26" w:name="_Toc144974490"/>
      <w:bookmarkStart w:id="27" w:name="_Toc247085683"/>
      <w:bookmarkStart w:id="28" w:name="_Toc152045522"/>
      <w:bookmarkStart w:id="29" w:name="_Toc246996912"/>
      <w:bookmarkStart w:id="30" w:name="_Toc152042298"/>
      <w:bookmarkStart w:id="31" w:name="_Toc296602413"/>
      <w:bookmarkStart w:id="32" w:name="_Toc246996169"/>
      <w:bookmarkStart w:id="33" w:name="_Toc179632539"/>
      <w:r>
        <w:rPr>
          <w:rFonts w:hint="eastAsia"/>
          <w:snapToGrid w:val="0"/>
          <w:color w:val="auto"/>
          <w:kern w:val="0"/>
          <w:szCs w:val="21"/>
          <w:highlight w:val="none"/>
          <w:lang w:val="en-US" w:eastAsia="zh-CN"/>
        </w:rPr>
        <w:t>（3）</w:t>
      </w:r>
      <w:r>
        <w:rPr>
          <w:snapToGrid w:val="0"/>
          <w:color w:val="auto"/>
          <w:kern w:val="0"/>
          <w:szCs w:val="21"/>
          <w:highlight w:val="none"/>
        </w:rPr>
        <w:t>本次招标不接受联合体投标。</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（4）</w:t>
      </w:r>
      <w:r>
        <w:rPr>
          <w:snapToGrid w:val="0"/>
          <w:color w:val="auto"/>
          <w:kern w:val="0"/>
          <w:szCs w:val="21"/>
          <w:highlight w:val="none"/>
        </w:rPr>
        <w:t>与招标人存在利害关系可能影响招标公正性的法人、其它组织或者个人不得参加投标。单位负责人为同一人或者存在控股、管理关系的不同单位，不得同时参加投标。</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备注：第“二”要求需提供相关证明资料复印件（或原件）并加盖比选申请单位鲜章，否则按无效投标处理。</w:t>
      </w:r>
    </w:p>
    <w:p>
      <w:pPr>
        <w:rPr>
          <w:rFonts w:hint="eastAsia"/>
          <w:color w:val="auto"/>
          <w:highlight w:val="none"/>
        </w:rPr>
      </w:pPr>
    </w:p>
    <w:p>
      <w:pPr>
        <w:spacing w:line="400" w:lineRule="exact"/>
        <w:rPr>
          <w:b/>
          <w:color w:val="auto"/>
          <w:szCs w:val="21"/>
          <w:highlight w:val="none"/>
        </w:rPr>
      </w:pPr>
      <w:r>
        <w:rPr>
          <w:b/>
          <w:color w:val="auto"/>
          <w:szCs w:val="21"/>
          <w:highlight w:val="none"/>
        </w:rPr>
        <w:t>三、竞争性比选申请文件的相关要求：</w:t>
      </w:r>
    </w:p>
    <w:bookmarkEnd w:id="26"/>
    <w:bookmarkEnd w:id="27"/>
    <w:bookmarkEnd w:id="28"/>
    <w:bookmarkEnd w:id="29"/>
    <w:bookmarkEnd w:id="30"/>
    <w:bookmarkEnd w:id="31"/>
    <w:bookmarkEnd w:id="32"/>
    <w:bookmarkEnd w:id="33"/>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color w:val="auto"/>
          <w:szCs w:val="21"/>
          <w:highlight w:val="none"/>
        </w:rPr>
      </w:pPr>
      <w:r>
        <w:rPr>
          <w:rFonts w:hint="eastAsia"/>
          <w:color w:val="auto"/>
          <w:szCs w:val="21"/>
          <w:highlight w:val="none"/>
        </w:rPr>
        <w:t>（1）报价书按规定格式填写，</w:t>
      </w:r>
      <w:r>
        <w:rPr>
          <w:color w:val="auto"/>
          <w:szCs w:val="21"/>
          <w:highlight w:val="none"/>
        </w:rPr>
        <w:t>需盖单位鲜章。</w:t>
      </w:r>
    </w:p>
    <w:p>
      <w:pPr>
        <w:spacing w:line="400" w:lineRule="exact"/>
        <w:ind w:firstLine="420" w:firstLineChars="200"/>
        <w:outlineLvl w:val="0"/>
        <w:rPr>
          <w:color w:val="auto"/>
          <w:szCs w:val="21"/>
          <w:highlight w:val="none"/>
        </w:rPr>
      </w:pPr>
      <w:r>
        <w:rPr>
          <w:rFonts w:hint="eastAsia"/>
          <w:color w:val="auto"/>
          <w:szCs w:val="21"/>
          <w:highlight w:val="none"/>
        </w:rPr>
        <w:t>（2）</w:t>
      </w:r>
      <w:r>
        <w:rPr>
          <w:color w:val="auto"/>
          <w:szCs w:val="21"/>
          <w:highlight w:val="none"/>
        </w:rPr>
        <w:t>如所有单位的报价经比选人组织的评</w:t>
      </w:r>
      <w:r>
        <w:rPr>
          <w:rFonts w:hint="eastAsia"/>
          <w:color w:val="auto"/>
          <w:szCs w:val="21"/>
          <w:highlight w:val="none"/>
        </w:rPr>
        <w:t>价</w:t>
      </w:r>
      <w:r>
        <w:rPr>
          <w:color w:val="auto"/>
          <w:szCs w:val="21"/>
          <w:highlight w:val="none"/>
        </w:rPr>
        <w:t>小组评审认定为明显高于市场价时，比选人有权拒绝所有单位报价，可重新组织</w:t>
      </w:r>
      <w:r>
        <w:rPr>
          <w:rFonts w:hint="eastAsia"/>
          <w:color w:val="auto"/>
          <w:szCs w:val="21"/>
          <w:highlight w:val="none"/>
        </w:rPr>
        <w:t>竞争性比选</w:t>
      </w:r>
      <w:r>
        <w:rPr>
          <w:color w:val="auto"/>
          <w:szCs w:val="21"/>
          <w:highlight w:val="none"/>
        </w:rPr>
        <w:t>。</w:t>
      </w:r>
    </w:p>
    <w:p>
      <w:pPr>
        <w:spacing w:line="400" w:lineRule="exact"/>
        <w:ind w:firstLine="420" w:firstLineChars="200"/>
        <w:outlineLvl w:val="0"/>
        <w:rPr>
          <w:color w:val="auto"/>
          <w:szCs w:val="21"/>
          <w:highlight w:val="none"/>
        </w:rPr>
      </w:pPr>
      <w:r>
        <w:rPr>
          <w:rFonts w:hint="eastAsia"/>
          <w:color w:val="auto"/>
          <w:szCs w:val="21"/>
          <w:highlight w:val="none"/>
        </w:rPr>
        <w:t>（3）本项目竞争最高总限价为：420525</w:t>
      </w:r>
      <w:r>
        <w:rPr>
          <w:rFonts w:hint="eastAsia"/>
          <w:color w:val="auto"/>
          <w:szCs w:val="21"/>
          <w:highlight w:val="none"/>
        </w:rPr>
        <w:t>元（大写：</w:t>
      </w:r>
      <w:r>
        <w:rPr>
          <w:rFonts w:hint="eastAsia"/>
          <w:color w:val="auto"/>
          <w:szCs w:val="21"/>
          <w:highlight w:val="none"/>
          <w:lang w:val="en-US" w:eastAsia="zh-CN"/>
        </w:rPr>
        <w:t>肆拾贰万伍佰贰拾伍元整</w:t>
      </w:r>
      <w:r>
        <w:rPr>
          <w:rFonts w:hint="eastAsia"/>
          <w:color w:val="auto"/>
          <w:szCs w:val="21"/>
          <w:highlight w:val="none"/>
        </w:rPr>
        <w:t>）</w:t>
      </w:r>
      <w:r>
        <w:rPr>
          <w:rFonts w:hint="eastAsia"/>
          <w:color w:val="auto"/>
          <w:szCs w:val="21"/>
          <w:highlight w:val="none"/>
          <w:lang w:val="en-US" w:eastAsia="zh-CN"/>
        </w:rPr>
        <w:t>。</w:t>
      </w:r>
      <w:r>
        <w:rPr>
          <w:rFonts w:hint="eastAsia"/>
          <w:color w:val="auto"/>
          <w:szCs w:val="21"/>
          <w:highlight w:val="none"/>
        </w:rPr>
        <w:t>比选申请人的竞标总报价及单价报价均不得</w:t>
      </w:r>
      <w:r>
        <w:rPr>
          <w:color w:val="auto"/>
          <w:szCs w:val="21"/>
          <w:highlight w:val="none"/>
        </w:rPr>
        <w:t>超过</w:t>
      </w:r>
      <w:r>
        <w:rPr>
          <w:rFonts w:hint="eastAsia"/>
          <w:color w:val="auto"/>
          <w:szCs w:val="21"/>
          <w:highlight w:val="none"/>
        </w:rPr>
        <w:t>竞标</w:t>
      </w:r>
      <w:r>
        <w:rPr>
          <w:color w:val="auto"/>
          <w:szCs w:val="21"/>
          <w:highlight w:val="none"/>
        </w:rPr>
        <w:t>总</w:t>
      </w:r>
      <w:r>
        <w:rPr>
          <w:rFonts w:hint="eastAsia"/>
          <w:color w:val="auto"/>
          <w:szCs w:val="21"/>
          <w:highlight w:val="none"/>
        </w:rPr>
        <w:t>限</w:t>
      </w:r>
      <w:r>
        <w:rPr>
          <w:color w:val="auto"/>
          <w:szCs w:val="21"/>
          <w:highlight w:val="none"/>
        </w:rPr>
        <w:t>价及</w:t>
      </w:r>
      <w:r>
        <w:rPr>
          <w:rFonts w:hint="eastAsia"/>
          <w:color w:val="auto"/>
          <w:szCs w:val="21"/>
          <w:highlight w:val="none"/>
        </w:rPr>
        <w:t>单价</w:t>
      </w:r>
      <w:r>
        <w:rPr>
          <w:color w:val="auto"/>
          <w:szCs w:val="21"/>
          <w:highlight w:val="none"/>
        </w:rPr>
        <w:t>限价（</w:t>
      </w:r>
      <w:r>
        <w:rPr>
          <w:rFonts w:hint="eastAsia"/>
          <w:color w:val="auto"/>
          <w:szCs w:val="21"/>
          <w:highlight w:val="none"/>
        </w:rPr>
        <w:t>单价限价详见比选格式中“一、报价书”）</w:t>
      </w:r>
      <w:r>
        <w:rPr>
          <w:color w:val="auto"/>
          <w:szCs w:val="21"/>
          <w:highlight w:val="none"/>
        </w:rPr>
        <w:t>，</w:t>
      </w:r>
      <w:r>
        <w:rPr>
          <w:rFonts w:hint="eastAsia"/>
          <w:color w:val="auto"/>
          <w:szCs w:val="21"/>
          <w:highlight w:val="none"/>
        </w:rPr>
        <w:t>否则将视</w:t>
      </w:r>
      <w:r>
        <w:rPr>
          <w:color w:val="auto"/>
          <w:szCs w:val="21"/>
          <w:highlight w:val="none"/>
        </w:rPr>
        <w:t>为无效</w:t>
      </w:r>
      <w:r>
        <w:rPr>
          <w:rFonts w:hint="eastAsia"/>
          <w:color w:val="auto"/>
          <w:szCs w:val="21"/>
          <w:highlight w:val="none"/>
        </w:rPr>
        <w:t>竞标</w:t>
      </w:r>
      <w:r>
        <w:rPr>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2、</w:t>
      </w:r>
      <w:r>
        <w:rPr>
          <w:color w:val="auto"/>
          <w:szCs w:val="21"/>
          <w:highlight w:val="none"/>
        </w:rPr>
        <w:t>本次竞争性比选申请文件的组成：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34" w:name="_Hlk36216534"/>
      <w:r>
        <w:rPr>
          <w:rFonts w:hint="eastAsia"/>
          <w:color w:val="auto"/>
          <w:szCs w:val="21"/>
          <w:highlight w:val="none"/>
        </w:rPr>
        <w:t>比选申请</w:t>
      </w:r>
      <w:r>
        <w:rPr>
          <w:color w:val="auto"/>
          <w:szCs w:val="21"/>
          <w:highlight w:val="none"/>
        </w:rPr>
        <w:t>单位有效的营业执照</w:t>
      </w:r>
      <w:r>
        <w:rPr>
          <w:rFonts w:hint="eastAsia"/>
          <w:color w:val="auto"/>
          <w:szCs w:val="21"/>
          <w:highlight w:val="none"/>
        </w:rPr>
        <w:t>资料</w:t>
      </w:r>
      <w:bookmarkEnd w:id="34"/>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④</w:t>
      </w:r>
      <w:bookmarkStart w:id="35" w:name="_Hlk36214680"/>
      <w:bookmarkStart w:id="36" w:name="_Hlk36216541"/>
      <w:r>
        <w:rPr>
          <w:rFonts w:hint="eastAsia"/>
          <w:color w:val="auto"/>
          <w:szCs w:val="21"/>
          <w:highlight w:val="none"/>
        </w:rPr>
        <w:t>比选申请</w:t>
      </w:r>
      <w:r>
        <w:rPr>
          <w:color w:val="auto"/>
          <w:szCs w:val="21"/>
          <w:highlight w:val="none"/>
        </w:rPr>
        <w:t>单位有效的</w:t>
      </w:r>
      <w:r>
        <w:rPr>
          <w:rFonts w:hint="eastAsia"/>
          <w:color w:val="auto"/>
          <w:szCs w:val="21"/>
          <w:highlight w:val="none"/>
        </w:rPr>
        <w:t>安全生产许可证、资质证书</w:t>
      </w:r>
      <w:bookmarkEnd w:id="35"/>
      <w:r>
        <w:rPr>
          <w:rFonts w:hint="eastAsia"/>
          <w:color w:val="auto"/>
          <w:szCs w:val="21"/>
          <w:highlight w:val="none"/>
        </w:rPr>
        <w:t>资料</w:t>
      </w:r>
      <w:bookmarkEnd w:id="36"/>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⑤</w:t>
      </w:r>
      <w:bookmarkStart w:id="37" w:name="_Hlk36216547"/>
      <w:r>
        <w:rPr>
          <w:rFonts w:hint="eastAsia"/>
          <w:color w:val="auto"/>
          <w:szCs w:val="21"/>
          <w:highlight w:val="none"/>
        </w:rPr>
        <w:t>比选申请单位的业绩证明资料</w:t>
      </w:r>
      <w:bookmarkEnd w:id="37"/>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若有</w:t>
      </w:r>
      <w:r>
        <w:rPr>
          <w:rFonts w:hint="eastAsia"/>
          <w:color w:val="auto"/>
          <w:szCs w:val="21"/>
          <w:highlight w:val="none"/>
          <w:lang w:eastAsia="zh-CN"/>
        </w:rPr>
        <w:t>）</w:t>
      </w:r>
    </w:p>
    <w:p>
      <w:pPr>
        <w:spacing w:line="400" w:lineRule="exact"/>
        <w:ind w:firstLine="735" w:firstLineChars="350"/>
        <w:rPr>
          <w:color w:val="auto"/>
          <w:szCs w:val="21"/>
          <w:highlight w:val="none"/>
        </w:rPr>
      </w:pPr>
      <w:r>
        <w:rPr>
          <w:rFonts w:hint="eastAsia"/>
          <w:color w:val="auto"/>
          <w:szCs w:val="21"/>
          <w:highlight w:val="none"/>
        </w:rPr>
        <w:t>⑥</w:t>
      </w:r>
      <w:bookmarkStart w:id="38" w:name="_Hlk36216554"/>
      <w:r>
        <w:rPr>
          <w:rFonts w:hint="eastAsia"/>
          <w:color w:val="auto"/>
          <w:szCs w:val="21"/>
          <w:highlight w:val="none"/>
        </w:rPr>
        <w:t>比选申请单位的信誉承诺书</w:t>
      </w:r>
      <w:bookmarkEnd w:id="38"/>
      <w:r>
        <w:rPr>
          <w:rFonts w:hint="eastAsia"/>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⑦比选申请单位的投入本项目主要管理人员承诺书；</w:t>
      </w:r>
      <w:r>
        <w:rPr>
          <w:color w:val="auto"/>
          <w:szCs w:val="21"/>
          <w:highlight w:val="none"/>
        </w:rPr>
        <w:t xml:space="preserve"> </w:t>
      </w:r>
    </w:p>
    <w:p>
      <w:pPr>
        <w:spacing w:line="400" w:lineRule="exact"/>
        <w:ind w:firstLine="735" w:firstLineChars="350"/>
        <w:rPr>
          <w:color w:val="auto"/>
          <w:szCs w:val="21"/>
          <w:highlight w:val="none"/>
        </w:rPr>
      </w:pPr>
      <w:r>
        <w:rPr>
          <w:rFonts w:hint="eastAsia"/>
          <w:color w:val="auto"/>
          <w:szCs w:val="21"/>
          <w:highlight w:val="none"/>
        </w:rPr>
        <w:t>⑧</w:t>
      </w:r>
      <w:r>
        <w:rPr>
          <w:color w:val="auto"/>
          <w:szCs w:val="21"/>
          <w:highlight w:val="none"/>
        </w:rPr>
        <w:t>技术部分；</w:t>
      </w:r>
    </w:p>
    <w:p>
      <w:pPr>
        <w:spacing w:line="400" w:lineRule="exact"/>
        <w:ind w:firstLine="735" w:firstLineChars="350"/>
        <w:rPr>
          <w:color w:val="auto"/>
          <w:szCs w:val="21"/>
          <w:highlight w:val="none"/>
        </w:rPr>
      </w:pPr>
      <w:r>
        <w:rPr>
          <w:rFonts w:hint="eastAsia"/>
          <w:color w:val="auto"/>
          <w:szCs w:val="21"/>
          <w:highlight w:val="none"/>
        </w:rPr>
        <w:t>⑨其他相关资料。</w:t>
      </w:r>
    </w:p>
    <w:p>
      <w:pPr>
        <w:spacing w:line="400" w:lineRule="exact"/>
        <w:ind w:firstLine="420" w:firstLineChars="200"/>
        <w:rPr>
          <w:color w:val="auto"/>
          <w:szCs w:val="21"/>
          <w:highlight w:val="none"/>
        </w:rPr>
      </w:pPr>
      <w:r>
        <w:rPr>
          <w:rFonts w:hint="eastAsia"/>
          <w:color w:val="auto"/>
          <w:szCs w:val="21"/>
          <w:highlight w:val="none"/>
        </w:rPr>
        <w:t>3、</w:t>
      </w:r>
      <w:r>
        <w:rPr>
          <w:color w:val="auto"/>
          <w:szCs w:val="21"/>
          <w:highlight w:val="none"/>
        </w:rPr>
        <w:t>竞争性比选申请文件的份数及编制要求</w:t>
      </w:r>
    </w:p>
    <w:p>
      <w:pPr>
        <w:autoSpaceDE w:val="0"/>
        <w:autoSpaceDN w:val="0"/>
        <w:spacing w:line="400" w:lineRule="exact"/>
        <w:ind w:firstLine="420" w:firstLineChars="200"/>
        <w:jc w:val="left"/>
        <w:rPr>
          <w:color w:val="auto"/>
          <w:szCs w:val="21"/>
          <w:highlight w:val="none"/>
        </w:rPr>
      </w:pPr>
      <w:r>
        <w:rPr>
          <w:color w:val="auto"/>
          <w:szCs w:val="21"/>
          <w:highlight w:val="none"/>
        </w:rPr>
        <w:t>竞争性比选申请文件正本1份，副本1份，竞争性比选申请文件按竞争性比选文件中规定格式排版，并应编制目录，逐页标注页码。</w:t>
      </w:r>
    </w:p>
    <w:p>
      <w:r>
        <w:rPr>
          <w:rFonts w:hint="eastAsia"/>
          <w:b/>
          <w:color w:val="auto"/>
          <w:szCs w:val="21"/>
          <w:highlight w:val="none"/>
        </w:rPr>
        <w:t>备注：</w:t>
      </w:r>
      <w:r>
        <w:rPr>
          <w:rFonts w:hint="eastAsia"/>
          <w:b/>
          <w:color w:val="auto"/>
          <w:szCs w:val="21"/>
          <w:highlight w:val="none"/>
          <w:lang w:val="en-US" w:eastAsia="zh-CN"/>
        </w:rPr>
        <w:t>不按“二”或“三”条执行按无效竞标处理。</w:t>
      </w:r>
    </w:p>
    <w:p>
      <w:pPr>
        <w:spacing w:line="400" w:lineRule="exact"/>
        <w:rPr>
          <w:b/>
          <w:color w:val="auto"/>
          <w:szCs w:val="21"/>
          <w:highlight w:val="none"/>
        </w:rPr>
      </w:pPr>
      <w:r>
        <w:rPr>
          <w:b/>
          <w:color w:val="auto"/>
          <w:szCs w:val="21"/>
          <w:highlight w:val="none"/>
        </w:rPr>
        <w:t>四、评标办法（</w:t>
      </w:r>
      <w:r>
        <w:rPr>
          <w:rFonts w:hint="eastAsia"/>
          <w:b/>
          <w:color w:val="auto"/>
          <w:szCs w:val="21"/>
          <w:highlight w:val="none"/>
        </w:rPr>
        <w:t>经评审的最低价法</w:t>
      </w:r>
      <w:r>
        <w:rPr>
          <w:b/>
          <w:color w:val="auto"/>
          <w:szCs w:val="21"/>
          <w:highlight w:val="none"/>
        </w:rPr>
        <w:t>）：</w:t>
      </w:r>
    </w:p>
    <w:tbl>
      <w:tblPr>
        <w:tblStyle w:val="10"/>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color w:val="auto"/>
                <w:highlight w:val="none"/>
              </w:rPr>
            </w:pPr>
            <w:r>
              <w:rPr>
                <w:rFonts w:hint="default"/>
                <w:color w:val="auto"/>
                <w:highlight w:val="none"/>
              </w:rPr>
              <w:t>本次评标采用经评审的</w:t>
            </w:r>
            <w:r>
              <w:rPr>
                <w:rFonts w:hint="eastAsia"/>
                <w:color w:val="auto"/>
                <w:highlight w:val="none"/>
                <w:lang w:val="en-US" w:eastAsia="zh-CN"/>
              </w:rPr>
              <w:t>最</w:t>
            </w:r>
            <w:r>
              <w:rPr>
                <w:rFonts w:hint="default"/>
                <w:color w:val="auto"/>
                <w:highlight w:val="none"/>
              </w:rPr>
              <w:t>低价法。评标委员会对满足招标文件</w:t>
            </w:r>
            <w:r>
              <w:rPr>
                <w:rFonts w:hint="eastAsia"/>
                <w:color w:val="auto"/>
                <w:highlight w:val="none"/>
                <w:lang w:val="en-US" w:eastAsia="zh-CN"/>
              </w:rPr>
              <w:t>资格</w:t>
            </w:r>
            <w:r>
              <w:rPr>
                <w:rFonts w:hint="default"/>
                <w:color w:val="auto"/>
                <w:highlight w:val="none"/>
              </w:rPr>
              <w:t>要求的投标文件，根据本章第2.2款规定的量化因素及量化标准进行价格计算，按照经评审的投标报价由低到高的顺序推荐中标候选人，但投标报价低于其成本的除外。</w:t>
            </w:r>
          </w:p>
          <w:p>
            <w:pPr>
              <w:spacing w:line="360" w:lineRule="auto"/>
              <w:ind w:firstLine="420"/>
              <w:rPr>
                <w:rFonts w:hint="eastAsia" w:eastAsia="仿宋_GB2312"/>
                <w:color w:val="auto"/>
                <w:highlight w:val="none"/>
                <w:lang w:val="en-US" w:eastAsia="zh-CN"/>
              </w:rPr>
            </w:pPr>
            <w:r>
              <w:rPr>
                <w:rFonts w:hint="default"/>
                <w:color w:val="auto"/>
                <w:highlight w:val="none"/>
              </w:rPr>
              <w:t>经评审的投标报价得分相等时，则以抽签的形式确定第一中标候选人。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12"/>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a.投标函按招标文件规定填写了项目名称、工期、</w:t>
            </w:r>
            <w:r>
              <w:rPr>
                <w:rFonts w:hint="eastAsia" w:ascii="Times New Roman" w:hAnsi="Times New Roman" w:cs="Times New Roman"/>
                <w:snapToGrid w:val="0"/>
                <w:color w:val="auto"/>
                <w:kern w:val="0"/>
                <w:szCs w:val="21"/>
                <w:highlight w:val="none"/>
                <w:lang w:val="en-US" w:eastAsia="zh-CN"/>
              </w:rPr>
              <w:t>项目</w:t>
            </w:r>
            <w:r>
              <w:rPr>
                <w:rFonts w:hint="default" w:ascii="Times New Roman" w:hAnsi="Times New Roman" w:cs="Times New Roman"/>
                <w:snapToGrid w:val="0"/>
                <w:color w:val="auto"/>
                <w:kern w:val="0"/>
                <w:szCs w:val="21"/>
                <w:highlight w:val="none"/>
              </w:rPr>
              <w:t>质量要求。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b.若采用电汇，投标人在招标文件前附表规定的时间之前，将投标保证金由投标人的基本账户一次性汇入招标人指定帐户。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（6）投标文件载明的招标项目完成期限未超过招标文件规定的期限。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w:t>
            </w:r>
            <w:r>
              <w:rPr>
                <w:rFonts w:hint="eastAsia" w:ascii="Times New Roman" w:hAnsi="Times New Roman" w:cs="Times New Roman"/>
                <w:snapToGrid w:val="0"/>
                <w:color w:val="auto"/>
                <w:kern w:val="0"/>
                <w:szCs w:val="21"/>
                <w:highlight w:val="none"/>
                <w:lang w:val="en-US" w:eastAsia="zh-CN"/>
              </w:rPr>
              <w:t>无效竞标</w:t>
            </w:r>
            <w:r>
              <w:rPr>
                <w:rFonts w:hint="default" w:ascii="Times New Roman" w:hAnsi="Times New Roman" w:cs="Times New Roman"/>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w:t>
            </w:r>
            <w:r>
              <w:rPr>
                <w:rFonts w:hint="default" w:ascii="Times New Roman" w:hAnsi="Times New Roman" w:cs="Times New Roman"/>
                <w:color w:val="auto"/>
                <w:szCs w:val="21"/>
                <w:highlight w:val="none"/>
              </w:rPr>
              <w:t>对通过初步评审、详细评审的投标人</w:t>
            </w:r>
            <w:r>
              <w:rPr>
                <w:rFonts w:hint="default" w:ascii="Times New Roman" w:hAnsi="Times New Roman" w:cs="Times New Roman"/>
                <w:color w:val="auto"/>
                <w:szCs w:val="21"/>
                <w:highlight w:val="none"/>
              </w:rPr>
              <w:t>按照经评审的投标报价由低到高的顺序依次推荐3名中标候选人</w:t>
            </w:r>
            <w:r>
              <w:rPr>
                <w:rFonts w:hint="default" w:ascii="Times New Roman" w:hAnsi="Times New Roman" w:cs="Times New Roman"/>
                <w:color w:val="auto"/>
                <w:szCs w:val="21"/>
                <w:highlight w:val="none"/>
              </w:rPr>
              <w:t>。若不足3名，则只选取相应的数量。</w:t>
            </w:r>
          </w:p>
        </w:tc>
      </w:tr>
    </w:tbl>
    <w:p>
      <w:pPr>
        <w:numPr>
          <w:ilvl w:val="0"/>
          <w:numId w:val="1"/>
        </w:numPr>
        <w:spacing w:line="400" w:lineRule="exact"/>
        <w:rPr>
          <w:b/>
          <w:color w:val="auto"/>
          <w:szCs w:val="21"/>
          <w:highlight w:val="none"/>
        </w:rPr>
      </w:pPr>
      <w:r>
        <w:rPr>
          <w:b/>
          <w:color w:val="auto"/>
          <w:szCs w:val="21"/>
          <w:highlight w:val="none"/>
        </w:rPr>
        <w:t>询价须知</w:t>
      </w:r>
    </w:p>
    <w:p>
      <w:pPr>
        <w:spacing w:line="400" w:lineRule="exact"/>
        <w:ind w:firstLine="420" w:firstLineChars="200"/>
        <w:rPr>
          <w:color w:val="auto"/>
          <w:highlight w:val="none"/>
        </w:rPr>
      </w:pPr>
      <w:r>
        <w:rPr>
          <w:color w:val="auto"/>
          <w:szCs w:val="21"/>
          <w:highlight w:val="none"/>
        </w:rPr>
        <w:t>（一）</w:t>
      </w:r>
      <w:r>
        <w:rPr>
          <w:rFonts w:hint="eastAsia"/>
          <w:color w:val="auto"/>
          <w:szCs w:val="21"/>
          <w:highlight w:val="none"/>
          <w:lang w:val="en-US" w:eastAsia="zh-CN"/>
        </w:rPr>
        <w:t>比选</w:t>
      </w:r>
      <w:r>
        <w:rPr>
          <w:color w:val="auto"/>
          <w:szCs w:val="21"/>
          <w:highlight w:val="none"/>
        </w:rPr>
        <w:t>文件发售时间：20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5</w:t>
      </w:r>
      <w:r>
        <w:rPr>
          <w:color w:val="auto"/>
          <w:szCs w:val="21"/>
          <w:highlight w:val="none"/>
        </w:rPr>
        <w:t>日-20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9</w:t>
      </w:r>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9"/>
          <w:color w:val="auto"/>
          <w:szCs w:val="21"/>
          <w:highlight w:val="none"/>
        </w:rPr>
        <w:t>http://bulletin.cebpubservice.com/）</w:t>
      </w:r>
      <w:r>
        <w:rPr>
          <w:rStyle w:val="9"/>
          <w:rFonts w:hint="eastAsia"/>
          <w:color w:val="auto"/>
          <w:szCs w:val="21"/>
          <w:highlight w:val="none"/>
          <w:lang w:eastAsia="zh-CN"/>
        </w:rPr>
        <w:t>、</w:t>
      </w:r>
      <w:r>
        <w:rPr>
          <w:rFonts w:hint="eastAsia"/>
          <w:bCs/>
          <w:color w:val="auto"/>
          <w:szCs w:val="21"/>
          <w:highlight w:val="none"/>
        </w:rPr>
        <w:t>重庆高速公路集团有限公司招投标管理平台（http://112.35.165.219:8088/PMS/）</w:t>
      </w:r>
      <w:r>
        <w:rPr>
          <w:rFonts w:hint="eastAsia"/>
          <w:bCs/>
          <w:color w:val="auto"/>
          <w:szCs w:val="21"/>
          <w:highlight w:val="none"/>
          <w:lang w:val="en-US" w:eastAsia="zh-CN"/>
        </w:rPr>
        <w:t>和重庆高速集团官网上发布比选公告。</w:t>
      </w:r>
      <w:r>
        <w:rPr>
          <w:rStyle w:val="9"/>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pStyle w:val="11"/>
        <w:spacing w:line="400" w:lineRule="exact"/>
        <w:ind w:firstLine="420"/>
        <w:rPr>
          <w:rFonts w:hint="eastAsia" w:ascii="Times New Roman" w:eastAsia="宋体" w:cs="Times New Roman"/>
          <w:color w:val="auto"/>
          <w:sz w:val="21"/>
          <w:szCs w:val="21"/>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三</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竞争性比选地点：</w:t>
      </w:r>
      <w:bookmarkStart w:id="42" w:name="_GoBack"/>
      <w:r>
        <w:rPr>
          <w:rFonts w:hint="eastAsia" w:ascii="Times New Roman" w:eastAsia="宋体" w:cs="Times New Roman"/>
          <w:color w:val="auto"/>
          <w:sz w:val="21"/>
          <w:szCs w:val="21"/>
          <w:highlight w:val="none"/>
        </w:rPr>
        <w:t>重庆市渝北区海王星科技大厦D区5楼</w:t>
      </w:r>
      <w:bookmarkEnd w:id="42"/>
      <w:r>
        <w:rPr>
          <w:rFonts w:hint="eastAsia" w:ascii="Times New Roman" w:eastAsia="宋体" w:cs="Times New Roman"/>
          <w:color w:val="auto"/>
          <w:sz w:val="21"/>
          <w:szCs w:val="21"/>
          <w:highlight w:val="none"/>
        </w:rPr>
        <w:t>。</w:t>
      </w:r>
    </w:p>
    <w:p>
      <w:pPr>
        <w:pStyle w:val="11"/>
        <w:spacing w:line="400" w:lineRule="exact"/>
        <w:ind w:firstLine="420"/>
        <w:rPr>
          <w:rFonts w:hint="eastAsia"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（四）竞争性比选截止及开标时间：</w:t>
      </w:r>
      <w:r>
        <w:rPr>
          <w:rFonts w:hint="eastAsia" w:ascii="Times New Roman" w:eastAsia="宋体" w:cs="Times New Roman"/>
          <w:color w:val="auto"/>
          <w:sz w:val="21"/>
          <w:szCs w:val="21"/>
          <w:highlight w:val="none"/>
          <w:lang w:eastAsia="zh-CN"/>
        </w:rPr>
        <w:t>202</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年</w:t>
      </w:r>
      <w:r>
        <w:rPr>
          <w:rFonts w:hint="eastAsia" w:ascii="Times New Roman" w:eastAsia="宋体" w:cs="Times New Roman"/>
          <w:color w:val="auto"/>
          <w:sz w:val="21"/>
          <w:szCs w:val="21"/>
          <w:highlight w:val="none"/>
          <w:lang w:val="en-US" w:eastAsia="zh-CN"/>
        </w:rPr>
        <w:t>8</w:t>
      </w:r>
      <w:r>
        <w:rPr>
          <w:rFonts w:hint="eastAsia"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10</w:t>
      </w:r>
      <w:r>
        <w:rPr>
          <w:rFonts w:hint="eastAsia" w:ascii="Times New Roman" w:eastAsia="宋体" w:cs="Times New Roman"/>
          <w:color w:val="auto"/>
          <w:sz w:val="21"/>
          <w:szCs w:val="21"/>
          <w:highlight w:val="none"/>
        </w:rPr>
        <w:t>日 1</w:t>
      </w:r>
      <w:r>
        <w:rPr>
          <w:rFonts w:hint="eastAsia" w:ascii="Times New Roman" w:eastAsia="宋体" w:cs="Times New Roman"/>
          <w:color w:val="auto"/>
          <w:sz w:val="21"/>
          <w:szCs w:val="21"/>
          <w:highlight w:val="none"/>
          <w:lang w:val="en-US" w:eastAsia="zh-CN"/>
        </w:rPr>
        <w:t>0</w:t>
      </w:r>
      <w:r>
        <w:rPr>
          <w:rFonts w:hint="eastAsia" w:ascii="Times New Roman" w:eastAsia="宋体" w:cs="Times New Roman"/>
          <w:color w:val="auto"/>
          <w:sz w:val="21"/>
          <w:szCs w:val="21"/>
          <w:highlight w:val="none"/>
        </w:rPr>
        <w:t>时 00 分（北京时间）。</w:t>
      </w:r>
    </w:p>
    <w:p>
      <w:pPr>
        <w:spacing w:line="400" w:lineRule="exact"/>
        <w:ind w:firstLine="420" w:firstLineChars="200"/>
        <w:rPr>
          <w:rFonts w:hint="eastAsia" w:ascii="Times New Roman" w:eastAsia="宋体" w:cs="Times New Roman"/>
          <w:color w:val="auto"/>
          <w:szCs w:val="21"/>
          <w:highlight w:val="none"/>
          <w:lang w:val="en-US" w:eastAsia="zh-CN"/>
        </w:rPr>
      </w:pPr>
      <w:r>
        <w:rPr>
          <w:color w:val="auto"/>
          <w:szCs w:val="21"/>
          <w:highlight w:val="none"/>
        </w:rPr>
        <w:t>（</w:t>
      </w:r>
      <w:r>
        <w:rPr>
          <w:rFonts w:hint="eastAsia"/>
          <w:color w:val="auto"/>
          <w:szCs w:val="21"/>
          <w:highlight w:val="none"/>
        </w:rPr>
        <w:t>五</w:t>
      </w:r>
      <w:r>
        <w:rPr>
          <w:color w:val="auto"/>
          <w:szCs w:val="21"/>
          <w:highlight w:val="none"/>
        </w:rPr>
        <w:t>）</w:t>
      </w:r>
      <w:r>
        <w:rPr>
          <w:rFonts w:hint="eastAsia" w:ascii="Times New Roman" w:eastAsia="宋体" w:cs="Times New Roman"/>
          <w:color w:val="auto"/>
          <w:szCs w:val="21"/>
          <w:highlight w:val="none"/>
        </w:rPr>
        <w:t>本项目的竞标保证金为</w:t>
      </w:r>
      <w:r>
        <w:rPr>
          <w:rFonts w:hint="eastAsia" w:ascii="Times New Roman" w:eastAsia="宋体" w:cs="Times New Roman"/>
          <w:color w:val="auto"/>
          <w:szCs w:val="21"/>
          <w:highlight w:val="none"/>
          <w:lang w:val="en-US" w:eastAsia="zh-CN"/>
        </w:rPr>
        <w:t>8000</w:t>
      </w:r>
      <w:r>
        <w:rPr>
          <w:rFonts w:hint="eastAsia" w:ascii="Times New Roman" w:eastAsia="宋体" w:cs="Times New Roman"/>
          <w:color w:val="auto"/>
          <w:szCs w:val="21"/>
          <w:highlight w:val="none"/>
        </w:rPr>
        <w:t>元整。比选申请单位需在</w:t>
      </w:r>
      <w:r>
        <w:rPr>
          <w:rFonts w:hint="eastAsia" w:ascii="Times New Roman" w:eastAsia="宋体" w:cs="Times New Roman"/>
          <w:color w:val="auto"/>
          <w:szCs w:val="21"/>
          <w:highlight w:val="none"/>
          <w:lang w:eastAsia="zh-CN"/>
        </w:rPr>
        <w:t>202</w:t>
      </w:r>
      <w:r>
        <w:rPr>
          <w:rFonts w:hint="eastAsia" w:ascii="Times New Roman" w:eastAsia="宋体" w:cs="Times New Roman"/>
          <w:color w:val="auto"/>
          <w:szCs w:val="21"/>
          <w:highlight w:val="none"/>
          <w:lang w:val="en-US" w:eastAsia="zh-CN"/>
        </w:rPr>
        <w:t>2</w:t>
      </w:r>
      <w:r>
        <w:rPr>
          <w:rFonts w:ascii="Times New Roman" w:eastAsia="宋体" w:cs="Times New Roman"/>
          <w:color w:val="auto"/>
          <w:szCs w:val="21"/>
          <w:highlight w:val="none"/>
        </w:rPr>
        <w:t>年</w:t>
      </w:r>
      <w:r>
        <w:rPr>
          <w:rFonts w:hint="eastAsia"/>
          <w:color w:val="auto"/>
          <w:szCs w:val="21"/>
          <w:highlight w:val="none"/>
          <w:lang w:val="en-US" w:eastAsia="zh-CN"/>
        </w:rPr>
        <w:t>8</w:t>
      </w:r>
      <w:r>
        <w:rPr>
          <w:rFonts w:ascii="Times New Roman" w:eastAsia="宋体" w:cs="Times New Roman"/>
          <w:color w:val="auto"/>
          <w:szCs w:val="21"/>
          <w:highlight w:val="none"/>
        </w:rPr>
        <w:t>月</w:t>
      </w:r>
      <w:r>
        <w:rPr>
          <w:rFonts w:hint="eastAsia"/>
          <w:color w:val="auto"/>
          <w:szCs w:val="21"/>
          <w:highlight w:val="none"/>
          <w:lang w:val="en-US" w:eastAsia="zh-CN"/>
        </w:rPr>
        <w:t>9</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lang w:val="en-US" w:eastAsia="zh-CN"/>
        </w:rPr>
        <w:t>7</w:t>
      </w:r>
      <w:r>
        <w:rPr>
          <w:rFonts w:hint="eastAsia" w:ascii="Times New Roman" w:eastAsia="宋体" w:cs="Times New Roman"/>
          <w:color w:val="auto"/>
          <w:szCs w:val="21"/>
          <w:highlight w:val="none"/>
        </w:rPr>
        <w:t>:00（北京时间）前将保证金</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lang w:val="en-US" w:eastAsia="zh-CN"/>
        </w:rPr>
        <w:t>需备注项目全称</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rPr>
        <w:t>交到比选人指定账户（比选人账户见下）。比选结果公布后，比选申请单位向比选人提</w:t>
      </w:r>
      <w:r>
        <w:rPr>
          <w:rFonts w:hint="eastAsia" w:ascii="Times New Roman" w:eastAsia="宋体" w:cs="Times New Roman"/>
          <w:color w:val="auto"/>
          <w:szCs w:val="21"/>
          <w:highlight w:val="none"/>
          <w:lang w:eastAsia="zh-CN"/>
        </w:rPr>
        <w:t>交</w:t>
      </w:r>
      <w:r>
        <w:rPr>
          <w:rFonts w:hint="eastAsia" w:ascii="Times New Roman" w:eastAsia="宋体" w:cs="Times New Roman"/>
          <w:color w:val="auto"/>
          <w:szCs w:val="21"/>
          <w:highlight w:val="none"/>
        </w:rPr>
        <w:t>退保证金申请</w:t>
      </w:r>
      <w:r>
        <w:rPr>
          <w:rFonts w:hint="eastAsia" w:ascii="Times New Roman" w:eastAsia="宋体" w:cs="Times New Roman"/>
          <w:color w:val="auto"/>
          <w:szCs w:val="21"/>
          <w:highlight w:val="none"/>
          <w:lang w:eastAsia="zh-CN"/>
        </w:rPr>
        <w:t>（盖公章）及财务收据（盖财务章）</w:t>
      </w:r>
      <w:r>
        <w:rPr>
          <w:rFonts w:hint="eastAsia" w:ascii="Times New Roman" w:eastAsia="宋体" w:cs="Times New Roman"/>
          <w:color w:val="auto"/>
          <w:szCs w:val="21"/>
          <w:highlight w:val="none"/>
        </w:rPr>
        <w:t>，比选人在收到退保证金申请后的20个工作日内无息返还竞标保证金。</w:t>
      </w:r>
      <w:r>
        <w:rPr>
          <w:rFonts w:hint="eastAsia"/>
          <w:bCs/>
          <w:color w:val="auto"/>
          <w:szCs w:val="21"/>
          <w:highlight w:val="none"/>
        </w:rPr>
        <w:t>（成交单位的竞标保证金自动转为履约保证金）</w:t>
      </w:r>
    </w:p>
    <w:p>
      <w:pPr>
        <w:spacing w:line="400" w:lineRule="exact"/>
        <w:ind w:firstLine="420" w:firstLineChars="200"/>
        <w:rPr>
          <w:rFonts w:hint="eastAsia" w:ascii="Times New Roman" w:eastAsia="宋体" w:cs="Times New Roman"/>
          <w:color w:val="auto"/>
          <w:szCs w:val="21"/>
          <w:highlight w:val="none"/>
          <w:lang w:val="en-US" w:eastAsia="zh-CN"/>
        </w:rPr>
      </w:pPr>
      <w:r>
        <w:rPr>
          <w:color w:val="auto"/>
          <w:szCs w:val="21"/>
          <w:highlight w:val="none"/>
        </w:rPr>
        <w:t>（</w:t>
      </w:r>
      <w:r>
        <w:rPr>
          <w:rFonts w:hint="eastAsia"/>
          <w:color w:val="auto"/>
          <w:szCs w:val="21"/>
          <w:highlight w:val="none"/>
          <w:lang w:eastAsia="zh-CN"/>
        </w:rPr>
        <w:t>六</w:t>
      </w:r>
      <w:r>
        <w:rPr>
          <w:color w:val="auto"/>
          <w:szCs w:val="21"/>
          <w:highlight w:val="none"/>
        </w:rPr>
        <w:t>）</w:t>
      </w:r>
      <w:r>
        <w:rPr>
          <w:rFonts w:hint="eastAsia"/>
          <w:color w:val="auto"/>
          <w:szCs w:val="21"/>
          <w:highlight w:val="none"/>
          <w:lang w:val="en-US" w:eastAsia="zh-CN"/>
        </w:rPr>
        <w:t>比选申请人的中标报价如果低于此项目上限价的85%，</w:t>
      </w:r>
      <w:r>
        <w:rPr>
          <w:rFonts w:hint="eastAsia" w:ascii="Times New Roman" w:eastAsia="宋体" w:cs="Times New Roman"/>
          <w:color w:val="auto"/>
          <w:szCs w:val="21"/>
          <w:highlight w:val="none"/>
          <w:lang w:val="en-US" w:eastAsia="zh-CN"/>
        </w:rPr>
        <w:t>需在中标结果公示后的5个工作日内缴纳低于</w:t>
      </w:r>
      <w:r>
        <w:rPr>
          <w:rFonts w:hint="eastAsia"/>
          <w:color w:val="auto"/>
          <w:szCs w:val="21"/>
          <w:highlight w:val="none"/>
          <w:lang w:val="en-US" w:eastAsia="zh-CN"/>
        </w:rPr>
        <w:t>上限价85%差值3倍的低价保证金</w:t>
      </w:r>
      <w:r>
        <w:rPr>
          <w:rFonts w:hint="eastAsia" w:ascii="Times New Roman" w:eastAsia="宋体" w:cs="Times New Roman"/>
          <w:color w:val="auto"/>
          <w:szCs w:val="21"/>
          <w:highlight w:val="none"/>
          <w:lang w:val="en-US" w:eastAsia="zh-CN"/>
        </w:rPr>
        <w:t>，否则做废标处理并没收投标保证金。</w:t>
      </w:r>
    </w:p>
    <w:p>
      <w:pPr>
        <w:pStyle w:val="2"/>
        <w:rPr>
          <w:rFonts w:hint="default"/>
          <w:color w:val="auto"/>
          <w:highlight w:val="none"/>
          <w:lang w:val="en-US" w:eastAsia="zh-CN"/>
        </w:rPr>
      </w:pPr>
    </w:p>
    <w:p>
      <w:pPr>
        <w:pStyle w:val="11"/>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比选人账户：</w:t>
      </w:r>
    </w:p>
    <w:p>
      <w:pPr>
        <w:widowControl/>
        <w:spacing w:line="400" w:lineRule="exact"/>
        <w:jc w:val="left"/>
        <w:rPr>
          <w:color w:val="auto"/>
          <w:kern w:val="0"/>
          <w:szCs w:val="21"/>
          <w:highlight w:val="none"/>
          <w:lang w:val="en-US"/>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89138385</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numPr>
          <w:ilvl w:val="0"/>
          <w:numId w:val="0"/>
        </w:numPr>
        <w:spacing w:line="400" w:lineRule="exact"/>
        <w:rPr>
          <w:color w:val="auto"/>
          <w:szCs w:val="21"/>
          <w:highlight w:val="none"/>
        </w:rPr>
      </w:pPr>
      <w:r>
        <w:rPr>
          <w:rFonts w:hint="eastAsia"/>
          <w:color w:val="auto"/>
          <w:szCs w:val="21"/>
          <w:highlight w:val="none"/>
          <w:lang w:val="en-US" w:eastAsia="zh-CN"/>
        </w:rPr>
        <w:t xml:space="preserve">  </w:t>
      </w: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rFonts w:hint="eastAsia"/>
          <w:color w:val="auto"/>
          <w:szCs w:val="21"/>
          <w:highlight w:val="none"/>
        </w:rPr>
      </w:pPr>
      <w:r>
        <w:rPr>
          <w:color w:val="auto"/>
          <w:szCs w:val="21"/>
          <w:highlight w:val="none"/>
        </w:rPr>
        <w:t>按要求制作的</w:t>
      </w:r>
      <w:r>
        <w:rPr>
          <w:rFonts w:hint="eastAsia"/>
          <w:color w:val="auto"/>
          <w:szCs w:val="21"/>
          <w:highlight w:val="none"/>
          <w:lang w:val="en-US" w:eastAsia="zh-CN"/>
        </w:rPr>
        <w:t>比选</w:t>
      </w:r>
      <w:r>
        <w:rPr>
          <w:color w:val="auto"/>
          <w:szCs w:val="21"/>
          <w:highlight w:val="none"/>
        </w:rPr>
        <w:t>响应文件，将</w:t>
      </w:r>
      <w:r>
        <w:rPr>
          <w:rFonts w:hint="eastAsia"/>
          <w:color w:val="auto"/>
          <w:szCs w:val="21"/>
          <w:highlight w:val="none"/>
          <w:lang w:val="en-US" w:eastAsia="zh-CN"/>
        </w:rPr>
        <w:t>比选</w:t>
      </w:r>
      <w:r>
        <w:rPr>
          <w:color w:val="auto"/>
          <w:szCs w:val="21"/>
          <w:highlight w:val="none"/>
        </w:rPr>
        <w:t>响应文件密封到一个封套中，再在封套上写明</w:t>
      </w:r>
      <w:r>
        <w:rPr>
          <w:rFonts w:hint="eastAsia"/>
          <w:color w:val="auto"/>
          <w:szCs w:val="21"/>
          <w:highlight w:val="none"/>
        </w:rPr>
        <w:t>以下信息：</w:t>
      </w:r>
    </w:p>
    <w:p>
      <w:pPr>
        <w:pStyle w:val="2"/>
        <w:rPr>
          <w:rFonts w:hint="eastAsia"/>
          <w:color w:val="auto"/>
          <w:szCs w:val="21"/>
          <w:highlight w:val="none"/>
        </w:rPr>
      </w:pPr>
    </w:p>
    <w:p>
      <w:pPr>
        <w:rPr>
          <w:color w:val="auto"/>
          <w:highlight w:val="none"/>
        </w:rPr>
      </w:pPr>
    </w:p>
    <w:p>
      <w:pPr>
        <w:jc w:val="center"/>
        <w:rPr>
          <w:rFonts w:hint="eastAsia" w:asciiTheme="minorHAnsi" w:hAnsiTheme="minorHAnsi" w:eastAsiaTheme="minorEastAsia" w:cstheme="minorBidi"/>
          <w:b w:val="0"/>
          <w:color w:val="auto"/>
          <w:kern w:val="2"/>
          <w:sz w:val="21"/>
          <w:szCs w:val="21"/>
          <w:highlight w:val="none"/>
          <w:u w:val="single"/>
          <w:lang w:val="en-US" w:eastAsia="zh-CN" w:bidi="ar-SA"/>
        </w:rPr>
      </w:pPr>
      <w:r>
        <w:rPr>
          <w:rFonts w:hint="eastAsia" w:asciiTheme="minorHAnsi" w:eastAsiaTheme="minorEastAsia" w:cstheme="minorBidi"/>
          <w:b w:val="0"/>
          <w:color w:val="auto"/>
          <w:kern w:val="2"/>
          <w:sz w:val="21"/>
          <w:szCs w:val="21"/>
          <w:highlight w:val="none"/>
          <w:u w:val="single"/>
          <w:lang w:val="en-US" w:eastAsia="zh-CN" w:bidi="ar-SA"/>
        </w:rPr>
        <w:t xml:space="preserve">  重庆高速文化传媒股份有限公司绕城路广告牌建设工程</w:t>
      </w:r>
    </w:p>
    <w:p>
      <w:pPr>
        <w:rPr>
          <w:rFonts w:hint="eastAsia"/>
          <w:color w:val="auto"/>
          <w:highlight w:val="none"/>
          <w:lang w:val="en-US" w:eastAsia="zh-CN"/>
        </w:rPr>
      </w:pPr>
    </w:p>
    <w:p>
      <w:pPr>
        <w:spacing w:line="400" w:lineRule="exact"/>
        <w:ind w:firstLine="420" w:firstLineChars="200"/>
        <w:jc w:val="center"/>
        <w:rPr>
          <w:color w:val="auto"/>
          <w:szCs w:val="21"/>
          <w:highlight w:val="none"/>
          <w:u w:val="single"/>
        </w:rPr>
      </w:pPr>
      <w:r>
        <w:rPr>
          <w:color w:val="auto"/>
          <w:szCs w:val="21"/>
          <w:highlight w:val="none"/>
          <w:u w:val="single"/>
        </w:rPr>
        <w:t>在20</w:t>
      </w:r>
      <w:r>
        <w:rPr>
          <w:rFonts w:hint="eastAsia"/>
          <w:color w:val="auto"/>
          <w:szCs w:val="21"/>
          <w:highlight w:val="none"/>
          <w:u w:val="single"/>
          <w:lang w:val="en-US" w:eastAsia="zh-CN"/>
        </w:rPr>
        <w:t>22</w:t>
      </w:r>
      <w:r>
        <w:rPr>
          <w:color w:val="auto"/>
          <w:szCs w:val="21"/>
          <w:highlight w:val="none"/>
          <w:u w:val="single"/>
        </w:rPr>
        <w:t xml:space="preserve">年 </w:t>
      </w:r>
      <w:r>
        <w:rPr>
          <w:rFonts w:hint="eastAsia"/>
          <w:color w:val="auto"/>
          <w:szCs w:val="21"/>
          <w:highlight w:val="none"/>
          <w:u w:val="single"/>
          <w:lang w:val="en-US" w:eastAsia="zh-CN"/>
        </w:rPr>
        <w:t>8</w:t>
      </w:r>
      <w:r>
        <w:rPr>
          <w:color w:val="auto"/>
          <w:szCs w:val="21"/>
          <w:highlight w:val="none"/>
          <w:u w:val="single"/>
        </w:rPr>
        <w:t xml:space="preserve">月 </w:t>
      </w:r>
      <w:r>
        <w:rPr>
          <w:rFonts w:hint="eastAsia"/>
          <w:color w:val="auto"/>
          <w:szCs w:val="21"/>
          <w:highlight w:val="none"/>
          <w:u w:val="single"/>
          <w:lang w:val="en-US" w:eastAsia="zh-CN"/>
        </w:rPr>
        <w:t>10</w:t>
      </w:r>
      <w:r>
        <w:rPr>
          <w:color w:val="auto"/>
          <w:szCs w:val="21"/>
          <w:highlight w:val="none"/>
          <w:u w:val="single"/>
        </w:rPr>
        <w:t xml:space="preserve"> 日</w:t>
      </w:r>
      <w:r>
        <w:rPr>
          <w:rFonts w:hint="eastAsia"/>
          <w:color w:val="auto"/>
          <w:szCs w:val="21"/>
          <w:highlight w:val="none"/>
          <w:u w:val="single"/>
          <w:lang w:eastAsia="zh-CN"/>
        </w:rPr>
        <w:t>上</w:t>
      </w:r>
      <w:r>
        <w:rPr>
          <w:color w:val="auto"/>
          <w:szCs w:val="21"/>
          <w:highlight w:val="none"/>
          <w:u w:val="single"/>
        </w:rPr>
        <w:t>午</w:t>
      </w:r>
      <w:r>
        <w:rPr>
          <w:rFonts w:hint="eastAsia"/>
          <w:color w:val="auto"/>
          <w:szCs w:val="21"/>
          <w:highlight w:val="none"/>
          <w:u w:val="single"/>
          <w:lang w:val="en-US" w:eastAsia="zh-CN"/>
        </w:rPr>
        <w:t>10：</w:t>
      </w:r>
      <w:r>
        <w:rPr>
          <w:color w:val="auto"/>
          <w:szCs w:val="21"/>
          <w:highlight w:val="none"/>
          <w:u w:val="single"/>
        </w:rPr>
        <w:t>00时前不得开启</w:t>
      </w: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r>
        <w:rPr>
          <w:rFonts w:hint="eastAsia"/>
          <w:color w:val="auto"/>
          <w:szCs w:val="21"/>
          <w:highlight w:val="none"/>
          <w:lang w:val="en-US" w:eastAsia="zh-CN"/>
        </w:rPr>
        <w:t>比选</w:t>
      </w:r>
      <w:r>
        <w:rPr>
          <w:color w:val="auto"/>
          <w:szCs w:val="21"/>
          <w:highlight w:val="none"/>
        </w:rPr>
        <w:t>人：重庆高速文化传媒股份有限公司</w:t>
      </w:r>
    </w:p>
    <w:p>
      <w:pPr>
        <w:spacing w:line="400" w:lineRule="exact"/>
        <w:ind w:left="420" w:leftChars="200"/>
        <w:jc w:val="left"/>
        <w:rPr>
          <w:rFonts w:hint="default" w:eastAsiaTheme="minorEastAsia"/>
          <w:color w:val="auto"/>
          <w:szCs w:val="21"/>
          <w:highlight w:val="none"/>
          <w:lang w:val="en-US" w:eastAsia="zh-CN"/>
        </w:rPr>
      </w:pPr>
      <w:r>
        <w:rPr>
          <w:color w:val="auto"/>
          <w:szCs w:val="21"/>
          <w:highlight w:val="none"/>
        </w:rPr>
        <w:t>地址：</w:t>
      </w:r>
      <w:r>
        <w:rPr>
          <w:rFonts w:hint="eastAsia" w:ascii="Times New Roman" w:eastAsia="宋体" w:cs="Times New Roman"/>
          <w:color w:val="auto"/>
          <w:sz w:val="21"/>
          <w:szCs w:val="21"/>
          <w:highlight w:val="none"/>
        </w:rPr>
        <w:t>：重庆市渝北区海王星科技大厦D区5楼</w:t>
      </w:r>
      <w:r>
        <w:rPr>
          <w:rFonts w:hint="eastAsia" w:ascii="Times New Roman" w:eastAsia="宋体" w:cs="Times New Roman"/>
          <w:color w:val="auto"/>
          <w:sz w:val="21"/>
          <w:szCs w:val="21"/>
          <w:highlight w:val="none"/>
          <w:lang w:val="en-US" w:eastAsia="zh-CN"/>
        </w:rPr>
        <w:t>办公室</w:t>
      </w:r>
      <w:r>
        <w:rPr>
          <w:color w:val="auto"/>
          <w:szCs w:val="21"/>
          <w:highlight w:val="none"/>
        </w:rPr>
        <w:br w:type="textWrapping"/>
      </w:r>
      <w:r>
        <w:rPr>
          <w:color w:val="auto"/>
          <w:szCs w:val="21"/>
          <w:highlight w:val="none"/>
        </w:rPr>
        <w:t xml:space="preserve">联系人：吴老师 </w:t>
      </w:r>
      <w:r>
        <w:rPr>
          <w:rFonts w:hint="eastAsia"/>
          <w:color w:val="auto"/>
          <w:szCs w:val="21"/>
          <w:highlight w:val="none"/>
        </w:rPr>
        <w:t xml:space="preserve">   </w:t>
      </w:r>
      <w:r>
        <w:rPr>
          <w:color w:val="auto"/>
          <w:szCs w:val="21"/>
          <w:highlight w:val="none"/>
        </w:rPr>
        <w:t xml:space="preserve"> 电话：</w:t>
      </w:r>
      <w:r>
        <w:rPr>
          <w:rFonts w:hint="eastAsia"/>
          <w:color w:val="auto"/>
          <w:szCs w:val="21"/>
          <w:highlight w:val="none"/>
        </w:rPr>
        <w:t>023－89139</w:t>
      </w:r>
      <w:r>
        <w:rPr>
          <w:rFonts w:hint="eastAsia"/>
          <w:color w:val="auto"/>
          <w:szCs w:val="21"/>
          <w:highlight w:val="none"/>
          <w:lang w:val="en-US" w:eastAsia="zh-CN"/>
        </w:rPr>
        <w:t>0907</w:t>
      </w:r>
    </w:p>
    <w:p>
      <w:pPr>
        <w:pStyle w:val="2"/>
        <w:rPr>
          <w:rFonts w:hint="eastAsia"/>
          <w:color w:val="auto"/>
          <w:szCs w:val="21"/>
          <w:highlight w:val="none"/>
        </w:rPr>
      </w:pPr>
    </w:p>
    <w:p>
      <w:pPr>
        <w:pStyle w:val="11"/>
        <w:rPr>
          <w:color w:val="auto"/>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竞争性比选申请文件格式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ascii="宋体" w:hAnsi="宋体" w:cs="宋体"/>
          <w:b/>
          <w:color w:val="auto"/>
          <w:sz w:val="24"/>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right="480" w:firstLine="2849" w:firstLineChars="946"/>
        <w:jc w:val="right"/>
        <w:rPr>
          <w:rFonts w:ascii="宋体" w:hAnsi="宋体" w:cs="宋体"/>
          <w:b/>
          <w:color w:val="auto"/>
          <w:sz w:val="30"/>
          <w:szCs w:val="30"/>
          <w:highlight w:val="none"/>
        </w:rPr>
      </w:pPr>
      <w:r>
        <w:rPr>
          <w:rFonts w:hint="eastAsia" w:ascii="宋体" w:hAnsi="宋体" w:cs="宋体"/>
          <w:b/>
          <w:color w:val="auto"/>
          <w:sz w:val="30"/>
          <w:szCs w:val="30"/>
          <w:highlight w:val="none"/>
        </w:rPr>
        <w:t>正本（或副本）</w:t>
      </w:r>
    </w:p>
    <w:p>
      <w:pPr>
        <w:pStyle w:val="11"/>
        <w:rPr>
          <w:color w:val="auto"/>
          <w:highlight w:val="none"/>
        </w:rPr>
      </w:pP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rPr>
        <w:t>重庆高速文化传媒股份有限公司</w:t>
      </w:r>
      <w:r>
        <w:rPr>
          <w:rFonts w:hint="eastAsia" w:ascii="宋体" w:hAnsi="宋体" w:cs="宋体"/>
          <w:b/>
          <w:color w:val="auto"/>
          <w:sz w:val="44"/>
          <w:szCs w:val="44"/>
          <w:highlight w:val="none"/>
          <w:u w:val="single"/>
          <w:lang w:val="en-US" w:eastAsia="zh-CN"/>
        </w:rPr>
        <w:t>绕城路</w:t>
      </w:r>
    </w:p>
    <w:p>
      <w:pPr>
        <w:jc w:val="center"/>
        <w:rPr>
          <w:rFonts w:hint="eastAsia" w:ascii="宋体" w:hAnsi="宋体" w:cs="宋体"/>
          <w:b/>
          <w:color w:val="auto"/>
          <w:sz w:val="44"/>
          <w:szCs w:val="44"/>
          <w:highlight w:val="none"/>
          <w:u w:val="single"/>
        </w:rPr>
      </w:pPr>
      <w:r>
        <w:rPr>
          <w:rFonts w:hint="eastAsia" w:ascii="宋体" w:hAnsi="宋体" w:cs="宋体"/>
          <w:b/>
          <w:color w:val="auto"/>
          <w:sz w:val="44"/>
          <w:szCs w:val="44"/>
          <w:highlight w:val="none"/>
          <w:u w:val="single"/>
        </w:rPr>
        <w:t>广告牌建设工程</w:t>
      </w:r>
    </w:p>
    <w:p>
      <w:pPr>
        <w:pStyle w:val="2"/>
        <w:rPr>
          <w:rFonts w:hint="eastAsia" w:ascii="宋体" w:hAnsi="宋体" w:cs="宋体"/>
          <w:b/>
          <w:color w:val="auto"/>
          <w:sz w:val="44"/>
          <w:szCs w:val="44"/>
          <w:highlight w:val="none"/>
          <w:u w:val="single"/>
        </w:rPr>
      </w:pPr>
    </w:p>
    <w:p>
      <w:pPr>
        <w:rPr>
          <w:rFonts w:hint="eastAsia" w:ascii="宋体" w:hAnsi="宋体" w:cs="宋体"/>
          <w:b/>
          <w:color w:val="auto"/>
          <w:sz w:val="44"/>
          <w:szCs w:val="44"/>
          <w:highlight w:val="none"/>
          <w:u w:val="single"/>
        </w:rPr>
      </w:pPr>
    </w:p>
    <w:p>
      <w:pPr>
        <w:pStyle w:val="2"/>
        <w:rPr>
          <w:rFonts w:hint="eastAsia" w:ascii="宋体" w:hAnsi="宋体" w:cs="宋体"/>
          <w:b/>
          <w:color w:val="auto"/>
          <w:sz w:val="44"/>
          <w:szCs w:val="44"/>
          <w:highlight w:val="none"/>
          <w:u w:val="single"/>
        </w:rPr>
      </w:pPr>
    </w:p>
    <w:p>
      <w:pPr>
        <w:pStyle w:val="2"/>
        <w:rPr>
          <w:rFonts w:hint="eastAsia" w:ascii="宋体" w:hAnsi="宋体" w:cs="宋体"/>
          <w:b/>
          <w:color w:val="auto"/>
          <w:sz w:val="44"/>
          <w:szCs w:val="44"/>
          <w:highlight w:val="none"/>
          <w:u w:val="single"/>
        </w:rPr>
      </w:pPr>
    </w:p>
    <w:p>
      <w:pPr>
        <w:rPr>
          <w:rFonts w:hint="eastAsia"/>
          <w:color w:val="auto"/>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 xml:space="preserve">竞争性比选申请文件 </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pStyle w:val="2"/>
        <w:rPr>
          <w:rFonts w:ascii="宋体" w:hAnsi="宋体" w:cs="宋体"/>
          <w:color w:val="auto"/>
          <w:sz w:val="32"/>
          <w:szCs w:val="32"/>
          <w:highlight w:val="none"/>
        </w:rPr>
      </w:pPr>
    </w:p>
    <w:p>
      <w:pPr>
        <w:rPr>
          <w:rFonts w:ascii="宋体" w:hAnsi="宋体" w:cs="宋体"/>
          <w:color w:val="auto"/>
          <w:sz w:val="32"/>
          <w:szCs w:val="32"/>
          <w:highlight w:val="none"/>
        </w:rPr>
      </w:pPr>
    </w:p>
    <w:p>
      <w:pPr>
        <w:pStyle w:val="2"/>
        <w:rPr>
          <w:rFonts w:ascii="宋体" w:hAnsi="宋体" w:cs="宋体"/>
          <w:color w:val="auto"/>
          <w:sz w:val="32"/>
          <w:szCs w:val="32"/>
          <w:highlight w:val="none"/>
        </w:rPr>
      </w:pPr>
    </w:p>
    <w:p>
      <w:pPr>
        <w:rPr>
          <w:color w:val="auto"/>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w:t>
      </w:r>
      <w:r>
        <w:rPr>
          <w:rFonts w:hint="eastAsia" w:ascii="宋体" w:hAnsi="宋体" w:cs="宋体"/>
          <w:color w:val="auto"/>
          <w:sz w:val="32"/>
          <w:szCs w:val="32"/>
          <w:highlight w:val="none"/>
          <w:u w:val="single"/>
        </w:rPr>
        <w:t>响应单位名称全称（盖单位公章）</w:t>
      </w:r>
    </w:p>
    <w:p>
      <w:pPr>
        <w:jc w:val="center"/>
        <w:rPr>
          <w:rFonts w:ascii="宋体" w:hAnsi="宋体" w:cs="宋体"/>
          <w:color w:val="auto"/>
          <w:sz w:val="32"/>
          <w:szCs w:val="32"/>
          <w:highlight w:val="none"/>
          <w:u w:val="single"/>
        </w:rPr>
      </w:pPr>
    </w:p>
    <w:p>
      <w:pPr>
        <w:pStyle w:val="11"/>
        <w:rPr>
          <w:color w:val="auto"/>
          <w:highlight w:val="none"/>
        </w:rPr>
      </w:pPr>
    </w:p>
    <w:p>
      <w:pPr>
        <w:pStyle w:val="11"/>
        <w:rPr>
          <w:color w:val="auto"/>
          <w:highlight w:val="none"/>
        </w:rPr>
      </w:pPr>
    </w:p>
    <w:p>
      <w:pPr>
        <w:jc w:val="center"/>
        <w:rPr>
          <w:rFonts w:ascii="宋体" w:hAnsi="宋体" w:cs="宋体"/>
          <w:color w:val="auto"/>
          <w:sz w:val="32"/>
          <w:szCs w:val="32"/>
          <w:highlight w:val="none"/>
          <w:u w:val="singl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一、报价书；</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二、法定代表人身份证明及授权委托书；</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三、比选申请单位有效的营业执照资料；</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四、比选申请单位有效的安全生产许可证、资质证书资料；</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五、比选申请单位的业绩证明资料；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宋体" w:cs="宋体"/>
          <w:color w:val="auto"/>
          <w:sz w:val="24"/>
          <w:szCs w:val="24"/>
          <w:highlight w:val="none"/>
          <w:lang w:eastAsia="zh-CN"/>
        </w:rPr>
        <w:t>）</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六、比选申请单位的信誉承诺书；</w:t>
      </w:r>
    </w:p>
    <w:p>
      <w:pPr>
        <w:tabs>
          <w:tab w:val="left" w:pos="900"/>
          <w:tab w:val="left" w:pos="1080"/>
        </w:tabs>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、其他相关资料。</w:t>
      </w: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pPr>
        <w:rPr>
          <w:color w:val="auto"/>
          <w:highlight w:val="none"/>
        </w:rPr>
      </w:pPr>
    </w:p>
    <w:p>
      <w:pPr>
        <w:pStyle w:val="2"/>
        <w:rPr>
          <w:color w:val="auto"/>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jc w:val="center"/>
        <w:outlineLvl w:val="2"/>
        <w:rPr>
          <w:rFonts w:ascii="宋体" w:hAnsi="宋体" w:cs="宋体"/>
          <w:b/>
          <w:color w:val="auto"/>
          <w:sz w:val="28"/>
          <w:szCs w:val="28"/>
          <w:highlight w:val="none"/>
        </w:rPr>
      </w:pPr>
      <w:bookmarkStart w:id="39" w:name="_Toc265510122"/>
      <w:r>
        <w:rPr>
          <w:rFonts w:hint="eastAsia" w:ascii="宋体" w:hAnsi="宋体" w:cs="宋体"/>
          <w:b/>
          <w:color w:val="auto"/>
          <w:sz w:val="28"/>
          <w:szCs w:val="28"/>
          <w:highlight w:val="none"/>
        </w:rPr>
        <w:t>一、报价书</w:t>
      </w:r>
      <w:bookmarkEnd w:id="39"/>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b/>
          <w:color w:val="auto"/>
          <w:szCs w:val="21"/>
          <w:highlight w:val="none"/>
          <w:u w:val="single"/>
        </w:rPr>
        <w:t>重庆高速文化传媒股份有限公司</w:t>
      </w:r>
      <w:r>
        <w:rPr>
          <w:rFonts w:hint="eastAsia" w:ascii="宋体" w:hAnsi="宋体" w:cs="宋体"/>
          <w:b/>
          <w:color w:val="auto"/>
          <w:szCs w:val="21"/>
          <w:highlight w:val="none"/>
          <w:u w:val="single"/>
          <w:lang w:val="en-US" w:eastAsia="zh-CN"/>
        </w:rPr>
        <w:t>绕城路</w:t>
      </w:r>
      <w:r>
        <w:rPr>
          <w:rFonts w:hint="eastAsia" w:ascii="宋体" w:hAnsi="宋体" w:cs="宋体"/>
          <w:b/>
          <w:color w:val="auto"/>
          <w:szCs w:val="21"/>
          <w:highlight w:val="none"/>
          <w:u w:val="single"/>
        </w:rPr>
        <w:t>广告牌建设工程竞争性比选文件</w:t>
      </w:r>
      <w:r>
        <w:rPr>
          <w:rFonts w:hint="eastAsia" w:ascii="宋体" w:hAnsi="宋体" w:cs="宋体"/>
          <w:color w:val="auto"/>
          <w:szCs w:val="21"/>
          <w:highlight w:val="none"/>
        </w:rPr>
        <w:t>的全部内容，根据相关取费标准，愿意以竞标总报价</w:t>
      </w:r>
      <w:r>
        <w:rPr>
          <w:color w:val="auto"/>
          <w:szCs w:val="21"/>
          <w:highlight w:val="none"/>
        </w:rPr>
        <w:t>（大写）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元</w:t>
      </w:r>
      <w:r>
        <w:rPr>
          <w:color w:val="auto"/>
          <w:szCs w:val="21"/>
          <w:highlight w:val="none"/>
        </w:rPr>
        <w:t>）</w:t>
      </w:r>
      <w:r>
        <w:rPr>
          <w:rFonts w:hint="eastAsia" w:ascii="宋体" w:hAnsi="宋体" w:cs="宋体"/>
          <w:color w:val="auto"/>
          <w:szCs w:val="21"/>
          <w:highlight w:val="none"/>
        </w:rPr>
        <w:t>，</w:t>
      </w:r>
      <w:r>
        <w:rPr>
          <w:rFonts w:hint="eastAsia"/>
          <w:color w:val="auto"/>
          <w:szCs w:val="21"/>
          <w:highlight w:val="none"/>
        </w:rPr>
        <w:t>并按</w:t>
      </w:r>
      <w:r>
        <w:rPr>
          <w:color w:val="auto"/>
          <w:szCs w:val="21"/>
          <w:highlight w:val="none"/>
        </w:rPr>
        <w:t>合同</w:t>
      </w:r>
      <w:r>
        <w:rPr>
          <w:rFonts w:hint="eastAsia"/>
          <w:color w:val="auto"/>
          <w:szCs w:val="21"/>
          <w:highlight w:val="none"/>
        </w:rPr>
        <w:t>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40日历天</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我方承诺在竞标有效期内不修改、撤销竞争性比选申请文件。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highlight w:val="none"/>
        </w:rPr>
        <w:t>我方在此声明，所递交的竞争性比选申请文件及有关资料内容完整、真实和准确。</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5．在合同协议书正式签署生效之前，本报价书连同你方的成交通知书将构成我们双方之间共同遵守的文件。对双方具有约束力。</w:t>
      </w:r>
    </w:p>
    <w:p>
      <w:pPr>
        <w:pStyle w:val="11"/>
        <w:rPr>
          <w:rFonts w:hint="eastAsia"/>
          <w:color w:val="auto"/>
          <w:highlight w:val="none"/>
        </w:rPr>
      </w:pPr>
    </w:p>
    <w:p>
      <w:pPr>
        <w:rPr>
          <w:rFonts w:hint="eastAsia"/>
          <w:color w:val="auto"/>
          <w:highlight w:val="none"/>
        </w:rPr>
      </w:pPr>
    </w:p>
    <w:p>
      <w:pPr>
        <w:pStyle w:val="2"/>
        <w:ind w:left="0" w:leftChars="0" w:firstLine="0" w:firstLineChars="0"/>
        <w:rPr>
          <w:rFonts w:hint="eastAsia" w:eastAsia="仿宋_GB2312"/>
          <w:color w:val="auto"/>
          <w:highlight w:val="none"/>
          <w:lang w:val="en-US" w:eastAsia="zh-CN"/>
        </w:rPr>
      </w:pPr>
      <w:r>
        <w:rPr>
          <w:rFonts w:hint="eastAsia"/>
          <w:color w:val="auto"/>
          <w:highlight w:val="none"/>
          <w:lang w:val="en-US" w:eastAsia="zh-CN"/>
        </w:rPr>
        <w:t xml:space="preserve">  </w:t>
      </w: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spacing w:line="440" w:lineRule="exact"/>
        <w:ind w:firstLine="3675" w:firstLineChars="1750"/>
        <w:rPr>
          <w:rFonts w:hint="eastAsia" w:ascii="宋体" w:hAnsi="宋体" w:cs="宋体"/>
          <w:color w:val="auto"/>
          <w:szCs w:val="21"/>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比选申请人：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p>
    <w:p>
      <w:pPr>
        <w:spacing w:line="400" w:lineRule="atLeast"/>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ind w:firstLine="2003" w:firstLineChars="950"/>
        <w:outlineLvl w:val="1"/>
        <w:rPr>
          <w:rFonts w:ascii="宋体" w:hAnsi="宋体" w:cs="宋体"/>
          <w:b/>
          <w:color w:val="auto"/>
          <w:highlight w:val="none"/>
        </w:rPr>
      </w:pPr>
    </w:p>
    <w:p>
      <w:pPr>
        <w:spacing w:line="440" w:lineRule="exact"/>
        <w:ind w:firstLine="2003" w:firstLineChars="950"/>
        <w:outlineLvl w:val="1"/>
        <w:rPr>
          <w:rFonts w:ascii="宋体" w:hAnsi="宋体" w:cs="宋体"/>
          <w:b/>
          <w:color w:val="auto"/>
          <w:highlight w:val="none"/>
        </w:rPr>
      </w:pPr>
    </w:p>
    <w:p>
      <w:pPr>
        <w:spacing w:line="440" w:lineRule="exact"/>
        <w:ind w:firstLine="2003" w:firstLineChars="950"/>
        <w:outlineLvl w:val="1"/>
        <w:rPr>
          <w:rFonts w:ascii="宋体" w:hAnsi="宋体" w:cs="宋体"/>
          <w:b/>
          <w:color w:val="auto"/>
          <w:highlight w:val="none"/>
        </w:rPr>
      </w:pPr>
    </w:p>
    <w:p>
      <w:pPr>
        <w:spacing w:line="440" w:lineRule="exact"/>
        <w:ind w:firstLine="2003" w:firstLineChars="950"/>
        <w:outlineLvl w:val="1"/>
        <w:rPr>
          <w:rFonts w:ascii="宋体" w:hAnsi="宋体" w:cs="宋体"/>
          <w:b/>
          <w:color w:val="auto"/>
          <w:highlight w:val="none"/>
        </w:rPr>
      </w:pPr>
    </w:p>
    <w:p>
      <w:pPr>
        <w:spacing w:line="440" w:lineRule="exact"/>
        <w:ind w:firstLine="2003" w:firstLineChars="950"/>
        <w:outlineLvl w:val="1"/>
        <w:rPr>
          <w:rFonts w:ascii="宋体" w:hAnsi="宋体" w:cs="宋体"/>
          <w:b/>
          <w:color w:val="auto"/>
          <w:highlight w:val="none"/>
        </w:rPr>
      </w:pPr>
    </w:p>
    <w:p>
      <w:pPr>
        <w:pStyle w:val="11"/>
        <w:rPr>
          <w:rFonts w:ascii="宋体" w:hAnsi="宋体" w:cs="宋体"/>
          <w:b/>
          <w:color w:val="auto"/>
          <w:highlight w:val="none"/>
        </w:rPr>
      </w:pPr>
    </w:p>
    <w:p>
      <w:pPr>
        <w:pStyle w:val="11"/>
        <w:rPr>
          <w:rFonts w:ascii="宋体" w:hAnsi="宋体" w:cs="宋体"/>
          <w:b/>
          <w:color w:val="auto"/>
          <w:highlight w:val="none"/>
        </w:rPr>
      </w:pP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40" w:name="_Toc262547328"/>
      <w:r>
        <w:rPr>
          <w:rFonts w:hint="eastAsia" w:ascii="宋体" w:hAnsi="宋体" w:cs="宋体"/>
          <w:b/>
          <w:color w:val="auto"/>
          <w:szCs w:val="21"/>
          <w:highlight w:val="none"/>
        </w:rPr>
        <w:t>（一）法定代表人身份证明</w:t>
      </w:r>
      <w:bookmarkEnd w:id="40"/>
    </w:p>
    <w:p>
      <w:pPr>
        <w:spacing w:line="440" w:lineRule="exact"/>
        <w:rPr>
          <w:rFonts w:ascii="宋体" w:hAnsi="宋体" w:cs="宋体"/>
          <w:color w:val="auto"/>
          <w:szCs w:val="21"/>
          <w:highlight w:val="none"/>
        </w:rPr>
      </w:pPr>
      <w:r>
        <w:rPr>
          <w:rFonts w:hint="eastAsia" w:ascii="宋体" w:hAnsi="宋体" w:cs="宋体"/>
          <w:color w:val="auto"/>
          <w:szCs w:val="21"/>
          <w:highlight w:val="none"/>
        </w:rPr>
        <w:t>比选申请人名称：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（比选申请人名称）的法定代表人。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比选申请人：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11"/>
        <w:rPr>
          <w:rFonts w:ascii="宋体" w:hAnsi="宋体" w:cs="宋体"/>
          <w:color w:val="auto"/>
          <w:szCs w:val="21"/>
          <w:highlight w:val="none"/>
        </w:rPr>
      </w:pPr>
    </w:p>
    <w:p>
      <w:pPr>
        <w:pStyle w:val="11"/>
        <w:rPr>
          <w:rFonts w:ascii="宋体" w:hAnsi="宋体" w:cs="宋体"/>
          <w:color w:val="auto"/>
          <w:szCs w:val="21"/>
          <w:highlight w:val="none"/>
        </w:rPr>
      </w:pPr>
    </w:p>
    <w:p>
      <w:pPr>
        <w:pStyle w:val="11"/>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41" w:name="_Toc262547329"/>
      <w:r>
        <w:rPr>
          <w:rFonts w:hint="eastAsia" w:ascii="宋体" w:hAnsi="宋体" w:cs="宋体"/>
          <w:b/>
          <w:color w:val="auto"/>
          <w:szCs w:val="21"/>
          <w:highlight w:val="none"/>
        </w:rPr>
        <w:t>（二）授权委托书</w:t>
      </w:r>
      <w:bookmarkEnd w:id="41"/>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ascii="宋体" w:hAnsi="宋体" w:cs="宋体"/>
          <w:color w:val="auto"/>
          <w:w w:val="200"/>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ascii="宋体" w:hAnsi="宋体" w:cs="宋体"/>
          <w:color w:val="auto"/>
          <w:w w:val="200"/>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1"/>
          <w:highlight w:val="none"/>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600" w:lineRule="exact"/>
        <w:rPr>
          <w:rFonts w:ascii="宋体" w:hAnsi="宋体" w:cs="宋体"/>
          <w:color w:val="auto"/>
          <w:sz w:val="28"/>
          <w:szCs w:val="28"/>
          <w:highlight w:val="none"/>
        </w:rPr>
      </w:pPr>
    </w:p>
    <w:p>
      <w:pPr>
        <w:spacing w:line="600" w:lineRule="exact"/>
        <w:rPr>
          <w:rFonts w:ascii="宋体" w:hAnsi="宋体" w:cs="宋体"/>
          <w:color w:val="auto"/>
          <w:sz w:val="28"/>
          <w:szCs w:val="28"/>
          <w:highlight w:val="none"/>
        </w:rPr>
      </w:pPr>
    </w:p>
    <w:p>
      <w:pPr>
        <w:pStyle w:val="11"/>
        <w:rPr>
          <w:color w:val="auto"/>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sectPr>
          <w:headerReference r:id="rId5" w:type="default"/>
          <w:footerReference r:id="rId6"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三、比选申请单位有效的营业执照资料</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sectPr>
          <w:pgSz w:w="11906" w:h="16838"/>
          <w:pgMar w:top="1134" w:right="1803" w:bottom="992" w:left="1803" w:header="851" w:footer="992" w:gutter="0"/>
          <w:cols w:space="0" w:num="1"/>
          <w:docGrid w:type="lines" w:linePitch="319" w:charSpace="0"/>
        </w:sectPr>
      </w:pPr>
      <w:r>
        <w:rPr>
          <w:rFonts w:hint="eastAsia" w:ascii="宋体" w:hAnsi="宋体" w:cs="宋体"/>
          <w:b/>
          <w:color w:val="auto"/>
          <w:sz w:val="28"/>
          <w:szCs w:val="28"/>
          <w:highlight w:val="none"/>
        </w:rPr>
        <w:t>四、比选申请单位有效的安全生产许可证、资质证书资料</w:t>
      </w:r>
    </w:p>
    <w:p>
      <w:pPr>
        <w:tabs>
          <w:tab w:val="left" w:pos="900"/>
          <w:tab w:val="left" w:pos="1080"/>
        </w:tabs>
        <w:spacing w:line="300" w:lineRule="auto"/>
        <w:jc w:val="center"/>
        <w:outlineLvl w:val="0"/>
        <w:rPr>
          <w:rFonts w:ascii="宋体" w:hAnsi="宋体" w:cs="宋体"/>
          <w:b/>
          <w:color w:val="auto"/>
          <w:sz w:val="28"/>
          <w:szCs w:val="28"/>
          <w:highlight w:val="none"/>
        </w:rPr>
        <w:sectPr>
          <w:headerReference r:id="rId7" w:type="default"/>
          <w:footerReference r:id="rId8" w:type="default"/>
          <w:pgSz w:w="11906" w:h="16838"/>
          <w:pgMar w:top="1134" w:right="1803" w:bottom="992" w:left="1803" w:header="851" w:footer="992" w:gutter="0"/>
          <w:cols w:space="0" w:num="1"/>
          <w:docGrid w:type="lines" w:linePitch="319" w:charSpace="0"/>
        </w:sectPr>
      </w:pPr>
      <w:r>
        <w:rPr>
          <w:rFonts w:hint="eastAsia" w:ascii="宋体" w:hAnsi="宋体" w:cs="宋体"/>
          <w:b/>
          <w:color w:val="auto"/>
          <w:sz w:val="28"/>
          <w:szCs w:val="28"/>
          <w:highlight w:val="none"/>
        </w:rPr>
        <w:t>五、比选申请单位的业绩证明资料</w:t>
      </w: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六、比选申请单位的信誉承诺书</w:t>
      </w:r>
    </w:p>
    <w:p>
      <w:pPr>
        <w:jc w:val="center"/>
        <w:rPr>
          <w:b/>
          <w:bCs/>
          <w:color w:val="auto"/>
          <w:sz w:val="40"/>
          <w:szCs w:val="40"/>
          <w:highlight w:val="none"/>
        </w:r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ascii="宋体" w:hAnsi="宋体" w:cs="宋体"/>
          <w:b/>
          <w:color w:val="auto"/>
          <w:sz w:val="28"/>
          <w:szCs w:val="28"/>
          <w:highlight w:val="none"/>
        </w:rPr>
        <w:t>信誉</w:t>
      </w:r>
      <w:r>
        <w:rPr>
          <w:rFonts w:hint="eastAsia" w:ascii="宋体" w:hAnsi="宋体" w:cs="宋体"/>
          <w:b/>
          <w:color w:val="auto"/>
          <w:sz w:val="28"/>
          <w:szCs w:val="28"/>
          <w:highlight w:val="none"/>
        </w:rPr>
        <w:t>承诺书</w:t>
      </w:r>
    </w:p>
    <w:p>
      <w:pPr>
        <w:spacing w:line="360" w:lineRule="auto"/>
        <w:jc w:val="left"/>
        <w:rPr>
          <w:rFonts w:hint="eastAsia"/>
          <w:color w:val="auto"/>
          <w:sz w:val="24"/>
          <w:highlight w:val="none"/>
        </w:rPr>
      </w:pPr>
      <w:r>
        <w:rPr>
          <w:color w:val="auto"/>
          <w:szCs w:val="21"/>
          <w:highlight w:val="none"/>
          <w:u w:val="single"/>
        </w:rPr>
        <w:t>（</w:t>
      </w:r>
      <w:r>
        <w:rPr>
          <w:rFonts w:hint="eastAsia"/>
          <w:color w:val="auto"/>
          <w:szCs w:val="21"/>
          <w:highlight w:val="none"/>
          <w:u w:val="single"/>
        </w:rPr>
        <w:t>比选</w:t>
      </w:r>
      <w:r>
        <w:rPr>
          <w:color w:val="auto"/>
          <w:szCs w:val="21"/>
          <w:highlight w:val="none"/>
          <w:u w:val="single"/>
        </w:rPr>
        <w:t>人名称）</w:t>
      </w:r>
      <w:r>
        <w:rPr>
          <w:color w:val="auto"/>
          <w:sz w:val="24"/>
          <w:highlight w:val="none"/>
          <w:u w:val="single"/>
        </w:rPr>
        <w:t xml:space="preserve"> </w:t>
      </w:r>
      <w:r>
        <w:rPr>
          <w:rFonts w:hint="eastAsia"/>
          <w:color w:val="auto"/>
          <w:sz w:val="24"/>
          <w:highlight w:val="none"/>
        </w:rPr>
        <w:t>：</w:t>
      </w:r>
    </w:p>
    <w:p>
      <w:pPr>
        <w:spacing w:line="360" w:lineRule="exact"/>
        <w:jc w:val="left"/>
        <w:rPr>
          <w:color w:val="auto"/>
          <w:sz w:val="24"/>
          <w:highlight w:val="none"/>
        </w:rPr>
      </w:pPr>
    </w:p>
    <w:p>
      <w:pPr>
        <w:spacing w:line="360" w:lineRule="exact"/>
        <w:ind w:firstLine="420" w:firstLineChars="200"/>
        <w:rPr>
          <w:color w:val="auto"/>
          <w:szCs w:val="21"/>
          <w:highlight w:val="none"/>
        </w:rPr>
      </w:pPr>
      <w:r>
        <w:rPr>
          <w:color w:val="auto"/>
          <w:szCs w:val="21"/>
          <w:highlight w:val="none"/>
        </w:rPr>
        <w:t>我单位参加</w:t>
      </w:r>
      <w:r>
        <w:rPr>
          <w:color w:val="auto"/>
          <w:szCs w:val="21"/>
          <w:highlight w:val="none"/>
          <w:u w:val="single"/>
        </w:rPr>
        <w:t xml:space="preserve">              </w:t>
      </w:r>
      <w:r>
        <w:rPr>
          <w:color w:val="auto"/>
          <w:szCs w:val="21"/>
          <w:highlight w:val="none"/>
        </w:rPr>
        <w:t>（项目名称）的</w:t>
      </w:r>
      <w:r>
        <w:rPr>
          <w:rFonts w:hint="eastAsia"/>
          <w:color w:val="auto"/>
          <w:szCs w:val="21"/>
          <w:highlight w:val="none"/>
        </w:rPr>
        <w:t>竞</w:t>
      </w:r>
      <w:r>
        <w:rPr>
          <w:color w:val="auto"/>
          <w:szCs w:val="21"/>
          <w:highlight w:val="none"/>
        </w:rPr>
        <w:t>标，对以下内容作出承诺：</w:t>
      </w:r>
    </w:p>
    <w:p>
      <w:pPr>
        <w:spacing w:line="360" w:lineRule="exact"/>
        <w:ind w:firstLine="420" w:firstLineChars="200"/>
        <w:rPr>
          <w:rFonts w:hint="eastAsia"/>
          <w:color w:val="auto"/>
          <w:szCs w:val="21"/>
          <w:highlight w:val="none"/>
        </w:rPr>
      </w:pPr>
      <w:r>
        <w:rPr>
          <w:rFonts w:hint="eastAsia"/>
          <w:color w:val="auto"/>
          <w:szCs w:val="21"/>
          <w:highlight w:val="none"/>
        </w:rPr>
        <w:t>（1）企业存续期在半年年以上（含半年），在行业内无不良信誉记录和重大安全责任事故记录。</w:t>
      </w:r>
    </w:p>
    <w:p>
      <w:pPr>
        <w:spacing w:line="360" w:lineRule="exact"/>
        <w:ind w:firstLine="420" w:firstLineChars="200"/>
        <w:rPr>
          <w:rFonts w:hint="eastAsia"/>
          <w:color w:val="auto"/>
          <w:szCs w:val="21"/>
          <w:highlight w:val="none"/>
        </w:rPr>
      </w:pPr>
      <w:r>
        <w:rPr>
          <w:rFonts w:hint="eastAsia"/>
          <w:color w:val="auto"/>
          <w:szCs w:val="21"/>
          <w:highlight w:val="none"/>
        </w:rPr>
        <w:t>（2）在交通运输部和重庆市交通局发布的最新一期公路工程施工企业综合信用评价结果未被评为D级。</w:t>
      </w:r>
    </w:p>
    <w:p>
      <w:pPr>
        <w:spacing w:line="360" w:lineRule="exact"/>
        <w:ind w:firstLine="420" w:firstLineChars="200"/>
        <w:rPr>
          <w:color w:val="auto"/>
          <w:szCs w:val="21"/>
          <w:highlight w:val="none"/>
        </w:rPr>
      </w:pP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如我单位提供的拟派</w:t>
      </w:r>
      <w:r>
        <w:rPr>
          <w:rFonts w:hint="eastAsia"/>
          <w:color w:val="auto"/>
          <w:szCs w:val="21"/>
          <w:highlight w:val="none"/>
        </w:rPr>
        <w:t>投入本项目</w:t>
      </w:r>
      <w:r>
        <w:rPr>
          <w:color w:val="auto"/>
          <w:szCs w:val="21"/>
          <w:highlight w:val="none"/>
        </w:rPr>
        <w:t>主要管理人员不满足</w:t>
      </w:r>
      <w:r>
        <w:rPr>
          <w:rFonts w:hint="eastAsia"/>
          <w:color w:val="auto"/>
          <w:szCs w:val="21"/>
          <w:highlight w:val="none"/>
        </w:rPr>
        <w:t>本</w:t>
      </w:r>
      <w:r>
        <w:rPr>
          <w:color w:val="auto"/>
          <w:szCs w:val="21"/>
          <w:highlight w:val="none"/>
        </w:rPr>
        <w:t>项目要求，</w:t>
      </w:r>
      <w:r>
        <w:rPr>
          <w:rFonts w:hint="eastAsia"/>
          <w:color w:val="auto"/>
          <w:szCs w:val="21"/>
          <w:highlight w:val="none"/>
        </w:rPr>
        <w:t>比选</w:t>
      </w:r>
      <w:r>
        <w:rPr>
          <w:color w:val="auto"/>
          <w:szCs w:val="21"/>
          <w:highlight w:val="none"/>
        </w:rPr>
        <w:t>人有权取消其</w:t>
      </w:r>
      <w:r>
        <w:rPr>
          <w:rFonts w:hint="eastAsia"/>
          <w:color w:val="auto"/>
          <w:szCs w:val="21"/>
          <w:highlight w:val="none"/>
        </w:rPr>
        <w:t>成交</w:t>
      </w:r>
      <w:r>
        <w:rPr>
          <w:color w:val="auto"/>
          <w:szCs w:val="21"/>
          <w:highlight w:val="none"/>
        </w:rPr>
        <w:t>资格，扣除</w:t>
      </w:r>
      <w:r>
        <w:rPr>
          <w:rFonts w:hint="eastAsia"/>
          <w:color w:val="auto"/>
          <w:szCs w:val="21"/>
          <w:highlight w:val="none"/>
        </w:rPr>
        <w:t>竞标</w:t>
      </w:r>
      <w:r>
        <w:rPr>
          <w:color w:val="auto"/>
          <w:szCs w:val="21"/>
          <w:highlight w:val="none"/>
        </w:rPr>
        <w:t>保证金；已签订合同的，</w:t>
      </w:r>
      <w:r>
        <w:rPr>
          <w:rFonts w:hint="eastAsia"/>
          <w:color w:val="auto"/>
          <w:szCs w:val="21"/>
          <w:highlight w:val="none"/>
        </w:rPr>
        <w:t>比选</w:t>
      </w:r>
      <w:r>
        <w:rPr>
          <w:color w:val="auto"/>
          <w:szCs w:val="21"/>
          <w:highlight w:val="none"/>
        </w:rPr>
        <w:t>人有权解除合同、扣除履约保证金并追究违约责任的后果。</w:t>
      </w:r>
    </w:p>
    <w:p>
      <w:pPr>
        <w:pStyle w:val="11"/>
        <w:spacing w:line="360" w:lineRule="auto"/>
        <w:ind w:firstLine="420" w:firstLineChars="200"/>
        <w:rPr>
          <w:rFonts w:ascii="Times New Roman" w:cs="Times New Roman"/>
          <w:color w:val="auto"/>
          <w:sz w:val="21"/>
          <w:szCs w:val="21"/>
          <w:highlight w:val="none"/>
        </w:rPr>
      </w:pPr>
    </w:p>
    <w:p>
      <w:pPr>
        <w:spacing w:line="380" w:lineRule="exact"/>
        <w:ind w:firstLine="3150" w:firstLineChars="1500"/>
        <w:rPr>
          <w:color w:val="auto"/>
          <w:sz w:val="24"/>
          <w:highlight w:val="none"/>
          <w:u w:val="single"/>
        </w:rPr>
      </w:pPr>
      <w:r>
        <w:rPr>
          <w:rFonts w:hint="eastAsia" w:ascii="宋体" w:hAnsi="宋体" w:cs="宋体"/>
          <w:color w:val="auto"/>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单位公章）</w:t>
      </w:r>
    </w:p>
    <w:p>
      <w:pPr>
        <w:spacing w:line="380" w:lineRule="exact"/>
        <w:ind w:firstLine="3150" w:firstLineChars="1500"/>
        <w:rPr>
          <w:rFonts w:ascii="宋体" w:hAnsi="宋体" w:cs="宋体"/>
          <w:color w:val="auto"/>
          <w:szCs w:val="21"/>
          <w:highlight w:val="none"/>
        </w:rPr>
      </w:pPr>
      <w:r>
        <w:rPr>
          <w:rFonts w:ascii="宋体" w:hAnsi="宋体" w:cs="宋体"/>
          <w:color w:val="auto"/>
          <w:szCs w:val="21"/>
          <w:highlight w:val="none"/>
        </w:rPr>
        <w:t xml:space="preserve">     年   月   日</w:t>
      </w:r>
    </w:p>
    <w:p>
      <w:pPr>
        <w:pStyle w:val="11"/>
        <w:spacing w:line="360" w:lineRule="exact"/>
        <w:rPr>
          <w:color w:val="auto"/>
          <w:highlight w:val="none"/>
        </w:rPr>
      </w:pPr>
    </w:p>
    <w:p>
      <w:pPr>
        <w:rPr>
          <w:rFonts w:ascii="宋体" w:hAnsi="宋体" w:cs="宋体"/>
          <w:b/>
          <w:color w:val="auto"/>
          <w:sz w:val="30"/>
          <w:szCs w:val="30"/>
          <w:highlight w:val="none"/>
        </w:rPr>
      </w:pPr>
      <w:r>
        <w:rPr>
          <w:rFonts w:hint="eastAsia" w:ascii="宋体" w:hAnsi="宋体" w:cs="宋体"/>
          <w:b/>
          <w:color w:val="auto"/>
          <w:sz w:val="28"/>
          <w:szCs w:val="28"/>
          <w:highlight w:val="none"/>
        </w:rPr>
        <w:br w:type="page"/>
      </w: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七</w:t>
      </w:r>
      <w:r>
        <w:rPr>
          <w:rFonts w:hint="eastAsia" w:ascii="宋体" w:hAnsi="宋体" w:cs="宋体"/>
          <w:b/>
          <w:color w:val="auto"/>
          <w:sz w:val="28"/>
          <w:szCs w:val="28"/>
          <w:highlight w:val="none"/>
        </w:rPr>
        <w:t>、其他相关资料</w:t>
      </w:r>
    </w:p>
    <w:p>
      <w:pPr>
        <w:jc w:val="center"/>
        <w:outlineLvl w:val="0"/>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pStyle w:val="11"/>
        <w:rPr>
          <w:rFonts w:ascii="宋体" w:hAnsi="宋体" w:cs="宋体"/>
          <w:b/>
          <w:color w:val="auto"/>
          <w:sz w:val="30"/>
          <w:szCs w:val="30"/>
          <w:highlight w:val="none"/>
        </w:rPr>
      </w:pPr>
    </w:p>
    <w:p>
      <w:pPr>
        <w:jc w:val="center"/>
        <w:outlineLvl w:val="0"/>
        <w:rPr>
          <w:rFonts w:hint="eastAsia" w:ascii="方正仿宋_GBK" w:hAnsi="方正仿宋_GBK" w:eastAsia="方正仿宋_GBK" w:cs="方正仿宋_GBK"/>
          <w:color w:val="auto"/>
          <w:sz w:val="28"/>
          <w:szCs w:val="28"/>
          <w:highlight w:val="none"/>
          <w:lang w:val="en-US" w:eastAsia="zh-CN"/>
        </w:rPr>
      </w:pPr>
      <w:r>
        <w:rPr>
          <w:rFonts w:hint="eastAsia" w:ascii="宋体" w:hAnsi="宋体" w:cs="宋体"/>
          <w:bCs/>
          <w:color w:val="auto"/>
          <w:sz w:val="24"/>
          <w:szCs w:val="24"/>
          <w:highlight w:val="none"/>
        </w:rPr>
        <w:t>（结束）</w:t>
      </w:r>
    </w:p>
    <w:p>
      <w:pPr>
        <w:rPr>
          <w:color w:val="auto"/>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Dialog . plain">
    <w:altName w:val="Segoe Print"/>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经典平黑简">
    <w:altName w:val="黑体"/>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 w:name="方正书宋_GBK">
    <w:panose1 w:val="03000509000000000000"/>
    <w:charset w:val="86"/>
    <w:family w:val="auto"/>
    <w:pitch w:val="default"/>
    <w:sig w:usb0="00000001" w:usb1="080E0000" w:usb2="00000000" w:usb3="00000000" w:csb0="00040000" w:csb1="00000000"/>
  </w:font>
  <w:font w:name="??">
    <w:altName w:val="Malgun Gothic"/>
    <w:panose1 w:val="00000000000000000000"/>
    <w:charset w:val="81"/>
    <w:family w:val="swiss"/>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长城仿宋">
    <w:altName w:val="黑体"/>
    <w:panose1 w:val="00000000000000000000"/>
    <w:charset w:val="86"/>
    <w:family w:val="auto"/>
    <w:pitch w:val="default"/>
    <w:sig w:usb0="00000000" w:usb1="00000000" w:usb2="00000010" w:usb3="00000000" w:csb0="00040000" w:csb1="00000000"/>
  </w:font>
  <w:font w:name="MDKGLJ+ËÎÌå">
    <w:altName w:val="Segoe Print"/>
    <w:panose1 w:val="02010600030101010101"/>
    <w:charset w:val="01"/>
    <w:family w:val="auto"/>
    <w:pitch w:val="default"/>
    <w:sig w:usb0="00000000" w:usb1="00000000" w:usb2="01010101" w:usb3="01010101" w:csb0="01010101" w:csb1="01010101"/>
  </w:font>
  <w:font w:name="Segoe Print">
    <w:panose1 w:val="02000600000000000000"/>
    <w:charset w:val="01"/>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tI1pAsQEA&#10;AEgDAAAOAAAAAAAAAAEAIAAAAB4BAABkcnMvZTJvRG9jLnhtbFBLBQYAAAAABgAGAFkBAABBBQAA&#10;AAA=&#10;">
              <v:fill on="f" focussize="0,0"/>
              <v:stroke on="f"/>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A2878"/>
    <w:multiLevelType w:val="singleLevel"/>
    <w:tmpl w:val="62DA2878"/>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60933"/>
    <w:rsid w:val="06060933"/>
    <w:rsid w:val="123513D2"/>
    <w:rsid w:val="3B827C29"/>
    <w:rsid w:val="3D6E2D4B"/>
    <w:rsid w:val="458106F2"/>
    <w:rsid w:val="4834174F"/>
    <w:rsid w:val="6014563B"/>
    <w:rsid w:val="6DB236B2"/>
    <w:rsid w:val="71C324BB"/>
    <w:rsid w:val="76464C9F"/>
    <w:rsid w:val="7DBB6C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120" w:beforeLines="0" w:beforeAutospacing="0" w:after="120" w:afterLines="0" w:afterAutospacing="0" w:line="240" w:lineRule="auto"/>
      <w:jc w:val="left"/>
      <w:outlineLvl w:val="0"/>
    </w:pPr>
    <w:rPr>
      <w:rFonts w:eastAsia="方正小标宋_GBK" w:asciiTheme="minorAscii" w:hAnsiTheme="minorAscii"/>
      <w:b w:val="0"/>
      <w:kern w:val="44"/>
      <w:szCs w:val="2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Date"/>
    <w:basedOn w:val="1"/>
    <w:next w:val="1"/>
    <w:uiPriority w:val="0"/>
    <w:pPr>
      <w:ind w:left="100" w:leftChars="25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Hyperlink"/>
    <w:uiPriority w:val="0"/>
    <w:rPr>
      <w:color w:val="0000FF"/>
      <w:u w:val="single"/>
    </w:rPr>
  </w:style>
  <w:style w:type="paragraph" w:customStyle="1" w:styleId="11">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2">
    <w:name w:val="表中"/>
    <w:basedOn w:val="1"/>
    <w:qFormat/>
    <w:uiPriority w:val="0"/>
    <w:pPr>
      <w:autoSpaceDE w:val="0"/>
      <w:autoSpaceDN w:val="0"/>
      <w:adjustRightInd w:val="0"/>
      <w:spacing w:line="360" w:lineRule="atLeast"/>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2022-08-05T03:15:00Z</dcterms:created>
  <dc:creator>吴骏</dc:creator>
  <cp:lastModifiedBy>吴骏</cp:lastModifiedBy>
  <dcterms:modified xsi:type="dcterms:W3CDTF">2022-08-05T03:24:58Z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