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w w:val="99"/>
          <w:kern w:val="0"/>
          <w:sz w:val="44"/>
          <w:szCs w:val="44"/>
          <w:lang w:val="en-US" w:eastAsia="zh-CN"/>
        </w:rPr>
      </w:pPr>
      <w:r>
        <w:rPr>
          <w:rFonts w:hint="eastAsia" w:ascii="楷体" w:hAnsi="楷体" w:eastAsia="楷体" w:cs="楷体"/>
          <w:b/>
          <w:bCs/>
          <w:color w:val="000000"/>
          <w:w w:val="99"/>
          <w:kern w:val="0"/>
          <w:sz w:val="44"/>
          <w:szCs w:val="44"/>
        </w:rPr>
        <w:t>重庆</w:t>
      </w:r>
      <w:r>
        <w:rPr>
          <w:rFonts w:hint="eastAsia" w:ascii="楷体" w:hAnsi="楷体" w:eastAsia="楷体" w:cs="楷体"/>
          <w:b/>
          <w:bCs/>
          <w:color w:val="000000"/>
          <w:w w:val="99"/>
          <w:kern w:val="0"/>
          <w:sz w:val="44"/>
          <w:szCs w:val="44"/>
          <w:lang w:val="en-US" w:eastAsia="zh-CN"/>
        </w:rPr>
        <w:t>高速国储能源投资有限公司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w w:val="99"/>
          <w:kern w:val="0"/>
          <w:sz w:val="44"/>
          <w:szCs w:val="44"/>
          <w:lang w:val="en-US" w:eastAsia="zh-CN"/>
        </w:rPr>
      </w:pPr>
      <w:r>
        <w:rPr>
          <w:rFonts w:hint="eastAsia" w:ascii="楷体" w:hAnsi="楷体" w:eastAsia="楷体" w:cs="楷体"/>
          <w:b/>
          <w:bCs/>
          <w:color w:val="000000"/>
          <w:w w:val="99"/>
          <w:kern w:val="0"/>
          <w:sz w:val="44"/>
          <w:szCs w:val="44"/>
          <w:lang w:val="en-US" w:eastAsia="zh-CN"/>
        </w:rPr>
        <w:t>投营加油站财产保险项目招标补遗</w:t>
      </w:r>
    </w:p>
    <w:p>
      <w:pP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致各潜在比选申请人：</w:t>
      </w: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br w:type="textWrapping"/>
      </w: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现对本项目补遗内容发布如下：</w:t>
      </w:r>
    </w:p>
    <w:p>
      <w:pPr>
        <w:pStyle w:val="3"/>
        <w:keepLines w:val="0"/>
        <w:numPr>
          <w:ilvl w:val="0"/>
          <w:numId w:val="0"/>
        </w:numPr>
        <w:tabs>
          <w:tab w:val="left" w:pos="1530"/>
          <w:tab w:val="left" w:pos="3360"/>
          <w:tab w:val="left" w:pos="4082"/>
        </w:tabs>
        <w:snapToGrid w:val="0"/>
        <w:spacing w:before="0" w:after="0" w:line="360" w:lineRule="auto"/>
        <w:jc w:val="both"/>
        <w:rPr>
          <w:rFonts w:hint="default" w:asciiTheme="minorEastAsia" w:hAnsiTheme="minorEastAsia" w:eastAsiaTheme="minorEastAsia" w:cstheme="minorEastAsia"/>
          <w:i w:val="0"/>
          <w:iCs w:val="0"/>
          <w:caps w:val="0"/>
          <w:color w:val="666666"/>
          <w:spacing w:val="0"/>
          <w:sz w:val="28"/>
          <w:szCs w:val="28"/>
          <w:shd w:val="clear" w:fill="FFFFFF"/>
          <w:lang w:val="en-US" w:eastAsia="zh-CN"/>
        </w:rPr>
      </w:pPr>
      <w:r>
        <w:rPr>
          <w:rFonts w:hint="eastAsia" w:asciiTheme="minorEastAsia" w:hAnsiTheme="minorEastAsia" w:eastAsiaTheme="minorEastAsia" w:cstheme="minorEastAsia"/>
          <w:i w:val="0"/>
          <w:iCs w:val="0"/>
          <w:caps w:val="0"/>
          <w:color w:val="666666"/>
          <w:spacing w:val="0"/>
          <w:sz w:val="28"/>
          <w:szCs w:val="28"/>
          <w:shd w:val="clear" w:fill="FFFFFF"/>
          <w:lang w:val="en-US" w:eastAsia="zh-CN"/>
        </w:rPr>
        <w:t>1.比选文件中第二篇竞争性比选申请文件格式第一点报价函中加油站平均灌容计量金额原为“3464000”更改为“26308065”；合计金额原为“123714229.7”更改为“146558294.7”，原文件中具体表格更改为以下内容：</w:t>
      </w:r>
    </w:p>
    <w:tbl>
      <w:tblPr>
        <w:tblStyle w:val="4"/>
        <w:tblW w:w="8238" w:type="dxa"/>
        <w:tblInd w:w="93" w:type="dxa"/>
        <w:tblLayout w:type="fixed"/>
        <w:tblCellMar>
          <w:top w:w="0" w:type="dxa"/>
          <w:left w:w="108" w:type="dxa"/>
          <w:bottom w:w="0" w:type="dxa"/>
          <w:right w:w="108" w:type="dxa"/>
        </w:tblCellMar>
      </w:tblPr>
      <w:tblGrid>
        <w:gridCol w:w="2055"/>
        <w:gridCol w:w="2176"/>
        <w:gridCol w:w="2055"/>
        <w:gridCol w:w="726"/>
        <w:gridCol w:w="1226"/>
      </w:tblGrid>
      <w:tr>
        <w:tblPrEx>
          <w:tblCellMar>
            <w:top w:w="0" w:type="dxa"/>
            <w:left w:w="108" w:type="dxa"/>
            <w:bottom w:w="0" w:type="dxa"/>
            <w:right w:w="108" w:type="dxa"/>
          </w:tblCellMar>
        </w:tblPrEx>
        <w:trPr>
          <w:trHeight w:val="717" w:hRule="atLeast"/>
        </w:trPr>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险种名称</w:t>
            </w:r>
          </w:p>
        </w:tc>
        <w:tc>
          <w:tcPr>
            <w:tcW w:w="217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投保资产</w:t>
            </w:r>
          </w:p>
        </w:tc>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计量金额（元）</w:t>
            </w: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费率</w:t>
            </w:r>
          </w:p>
        </w:tc>
        <w:tc>
          <w:tcPr>
            <w:tcW w:w="122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保费</w:t>
            </w:r>
          </w:p>
        </w:tc>
      </w:tr>
      <w:tr>
        <w:tblPrEx>
          <w:tblCellMar>
            <w:top w:w="0" w:type="dxa"/>
            <w:left w:w="108" w:type="dxa"/>
            <w:bottom w:w="0" w:type="dxa"/>
            <w:right w:w="108" w:type="dxa"/>
          </w:tblCellMar>
        </w:tblPrEx>
        <w:trPr>
          <w:trHeight w:val="717" w:hRule="atLeast"/>
        </w:trPr>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财产一切险</w:t>
            </w:r>
          </w:p>
        </w:tc>
        <w:tc>
          <w:tcPr>
            <w:tcW w:w="217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固定资产</w:t>
            </w:r>
          </w:p>
        </w:tc>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120250229.7</w:t>
            </w: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99" w:hRule="atLeast"/>
        </w:trPr>
        <w:tc>
          <w:tcPr>
            <w:tcW w:w="205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217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加油站平均灌容</w:t>
            </w:r>
          </w:p>
        </w:tc>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bidi="ar"/>
              </w:rPr>
              <w:t>26308065</w:t>
            </w: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30" w:hRule="atLeast"/>
        </w:trPr>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公众责任险（23个站点）</w:t>
            </w:r>
          </w:p>
        </w:tc>
        <w:tc>
          <w:tcPr>
            <w:tcW w:w="217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205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30" w:hRule="atLeast"/>
        </w:trPr>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现金及雇员忠诚度保险费（23个站点）</w:t>
            </w:r>
          </w:p>
        </w:tc>
        <w:tc>
          <w:tcPr>
            <w:tcW w:w="217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205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429" w:hRule="atLeast"/>
        </w:trPr>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合计</w:t>
            </w:r>
          </w:p>
        </w:tc>
        <w:tc>
          <w:tcPr>
            <w:tcW w:w="217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205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bidi="ar"/>
              </w:rPr>
              <w:t>146558294.7</w:t>
            </w: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仿宋_GBK" w:hAnsi="方正仿宋_GBK" w:eastAsia="方正仿宋_GBK" w:cs="方正仿宋_GBK"/>
                <w:color w:val="000000"/>
                <w:sz w:val="28"/>
                <w:szCs w:val="28"/>
              </w:rPr>
            </w:pPr>
          </w:p>
        </w:tc>
      </w:tr>
    </w:tbl>
    <w:p>
      <w:pPr>
        <w:rPr>
          <w:rFonts w:hint="default"/>
          <w:lang w:val="en-US" w:eastAsia="zh-CN"/>
        </w:rPr>
      </w:pP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比选文件中第二篇竞争性比选申请文件格式第五大点报价明细资料报价表中加油站平均灌容计量金额0号原为“1370000”更改为“9973600”，92号原为“1214500”更改为“9254490”,95号原为“879500”更改为“7079975”；合计金额原为“123714229.7”更改为“146558294.7”；财产一切险主要保险责任原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在保险期间内，由于自然灾害或意外事故造成保险标的直接物质损坏或灭失（以下简称“损失”），保险人按照保险合同的约定负责赔偿。</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【赔偿限额 （每站独立限额） 】</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每次事故赔偿限额：RMB1,500,000.00；</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其中每人每次事故赔偿限额: RMB600,000.00；</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每人每次附加医疗赔偿限额：RMB60,000.00；</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累计赔偿限额：RMB3,000,000.00；</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现更改为：</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在保险期间内，由于自然灾害或意外事故造成保险标的直接物质损坏或灭失（以下简称“损失”），保险人按照保险合同的约定负责赔偿。</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【免赔额】</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每次事故绝对免赔额为人民币1,000元或损失金额的5%，两者以高者为准。</w:t>
      </w:r>
    </w:p>
    <w:p>
      <w:pPr>
        <w:keepNext w:val="0"/>
        <w:keepLines w:val="0"/>
        <w:widowControl/>
        <w:suppressLineNumbers w:val="0"/>
        <w:jc w:val="left"/>
        <w:textAlignment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p>
    <w:p>
      <w:pPr>
        <w:widowControl/>
        <w:jc w:val="left"/>
        <w:textAlignment w:val="center"/>
        <w:rPr>
          <w:rFonts w:hint="eastAsia" w:ascii="宋体" w:hAnsi="宋体" w:eastAsia="宋体" w:cs="宋体"/>
          <w:color w:val="000000"/>
          <w:kern w:val="0"/>
          <w:sz w:val="28"/>
          <w:szCs w:val="28"/>
          <w:lang w:eastAsia="zh-CN" w:bidi="ar"/>
        </w:rPr>
      </w:pPr>
      <w: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t>现金及雇员忠诚度保险费（23个站点）主要保险责任原为“每人每次赔偿限额：站管 20万元、班长6万元、加油站1万元”更改为每人每次赔偿限额：站管 20万元、班长6万元、加油员1万元。原文件中具体表格更改如下：</w:t>
      </w:r>
    </w:p>
    <w:p>
      <w:pPr>
        <w:widowControl/>
        <w:jc w:val="center"/>
        <w:textAlignment w:val="center"/>
        <w:rPr>
          <w:rFonts w:hint="eastAsia" w:ascii="宋体" w:hAnsi="宋体" w:cs="宋体"/>
          <w:color w:val="000000"/>
          <w:kern w:val="0"/>
          <w:sz w:val="28"/>
          <w:szCs w:val="28"/>
          <w:lang w:val="en-US" w:eastAsia="zh-CN" w:bidi="ar"/>
        </w:rPr>
      </w:pPr>
    </w:p>
    <w:p>
      <w:pPr>
        <w:pStyle w:val="8"/>
        <w:jc w:val="center"/>
        <w:rPr>
          <w:rFonts w:hint="eastAsia" w:asciiTheme="minorEastAsia" w:hAnsiTheme="minorEastAsia" w:eastAsiaTheme="minorEastAsia" w:cstheme="minorEastAsia"/>
          <w:b/>
          <w:i w:val="0"/>
          <w:iCs w:val="0"/>
          <w:caps w:val="0"/>
          <w:color w:val="666666"/>
          <w:spacing w:val="0"/>
          <w:kern w:val="2"/>
          <w:sz w:val="28"/>
          <w:szCs w:val="28"/>
          <w:shd w:val="clear" w:fill="FFFFFF"/>
          <w:lang w:val="en-US" w:eastAsia="zh-CN" w:bidi="ar-SA"/>
        </w:rPr>
      </w:pPr>
      <w:r>
        <w:rPr>
          <w:rFonts w:hint="eastAsia" w:ascii="等线" w:hAnsi="等线" w:eastAsia="等线" w:cs="等线"/>
          <w:b/>
          <w:bCs/>
          <w:color w:val="auto"/>
        </w:rPr>
        <w:t>重庆高速国储能源投资有限公司财产保险项目报价表</w:t>
      </w:r>
    </w:p>
    <w:tbl>
      <w:tblPr>
        <w:tblStyle w:val="4"/>
        <w:tblW w:w="8664" w:type="dxa"/>
        <w:tblInd w:w="0" w:type="dxa"/>
        <w:tblLayout w:type="fixed"/>
        <w:tblCellMar>
          <w:top w:w="0" w:type="dxa"/>
          <w:left w:w="0" w:type="dxa"/>
          <w:bottom w:w="0" w:type="dxa"/>
          <w:right w:w="0" w:type="dxa"/>
        </w:tblCellMar>
      </w:tblPr>
      <w:tblGrid>
        <w:gridCol w:w="1105"/>
        <w:gridCol w:w="423"/>
        <w:gridCol w:w="320"/>
        <w:gridCol w:w="1649"/>
        <w:gridCol w:w="3764"/>
        <w:gridCol w:w="680"/>
        <w:gridCol w:w="723"/>
      </w:tblGrid>
      <w:tr>
        <w:tblPrEx>
          <w:tblCellMar>
            <w:top w:w="0" w:type="dxa"/>
            <w:left w:w="0" w:type="dxa"/>
            <w:bottom w:w="0" w:type="dxa"/>
            <w:right w:w="0" w:type="dxa"/>
          </w:tblCellMar>
        </w:tblPrEx>
        <w:trPr>
          <w:trHeight w:val="408" w:hRule="atLeast"/>
        </w:trPr>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Cs/>
                <w:color w:val="000000"/>
                <w:sz w:val="32"/>
                <w:szCs w:val="32"/>
              </w:rPr>
            </w:pPr>
            <w:r>
              <w:rPr>
                <w:rFonts w:hint="eastAsia" w:ascii="宋体" w:hAnsi="宋体" w:cs="宋体"/>
                <w:bCs/>
                <w:color w:val="000000"/>
                <w:kern w:val="0"/>
                <w:sz w:val="32"/>
                <w:szCs w:val="32"/>
                <w:lang w:bidi="ar"/>
              </w:rPr>
              <w:t>险种名称</w:t>
            </w:r>
          </w:p>
        </w:tc>
        <w:tc>
          <w:tcPr>
            <w:tcW w:w="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Cs/>
                <w:color w:val="000000"/>
                <w:sz w:val="32"/>
                <w:szCs w:val="32"/>
              </w:rPr>
            </w:pPr>
            <w:r>
              <w:rPr>
                <w:rFonts w:hint="eastAsia" w:ascii="宋体" w:hAnsi="宋体" w:cs="宋体"/>
                <w:bCs/>
                <w:color w:val="000000"/>
                <w:kern w:val="0"/>
                <w:sz w:val="32"/>
                <w:szCs w:val="32"/>
                <w:lang w:bidi="ar"/>
              </w:rPr>
              <w:t>投保资产</w:t>
            </w: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Cs/>
                <w:color w:val="000000"/>
                <w:sz w:val="32"/>
                <w:szCs w:val="32"/>
              </w:rPr>
            </w:pP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Cs/>
                <w:color w:val="000000"/>
                <w:sz w:val="32"/>
                <w:szCs w:val="32"/>
                <w:lang w:eastAsia="zh-CN"/>
              </w:rPr>
            </w:pPr>
            <w:r>
              <w:rPr>
                <w:rFonts w:hint="eastAsia" w:ascii="宋体" w:hAnsi="宋体" w:cs="宋体"/>
                <w:bCs/>
                <w:color w:val="000000"/>
                <w:kern w:val="0"/>
                <w:sz w:val="32"/>
                <w:szCs w:val="32"/>
                <w:lang w:bidi="ar"/>
              </w:rPr>
              <w:t>计量金额</w:t>
            </w:r>
            <w:r>
              <w:rPr>
                <w:rFonts w:hint="eastAsia" w:ascii="宋体" w:hAnsi="宋体" w:cs="宋体"/>
                <w:bCs/>
                <w:color w:val="000000"/>
                <w:kern w:val="0"/>
                <w:sz w:val="32"/>
                <w:szCs w:val="32"/>
                <w:lang w:eastAsia="zh-CN" w:bidi="ar"/>
              </w:rPr>
              <w:t>（元）</w:t>
            </w:r>
          </w:p>
        </w:tc>
        <w:tc>
          <w:tcPr>
            <w:tcW w:w="37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等线" w:hAnsi="等线" w:eastAsia="等线" w:cs="等线"/>
                <w:bCs/>
                <w:color w:val="000000"/>
                <w:sz w:val="32"/>
                <w:szCs w:val="32"/>
              </w:rPr>
            </w:pPr>
            <w:r>
              <w:rPr>
                <w:rFonts w:hint="eastAsia" w:ascii="宋体" w:hAnsi="宋体" w:cs="宋体"/>
                <w:bCs/>
                <w:color w:val="000000"/>
                <w:kern w:val="0"/>
                <w:sz w:val="32"/>
                <w:szCs w:val="32"/>
                <w:lang w:bidi="ar"/>
              </w:rPr>
              <w:t>主要保险责任</w:t>
            </w:r>
          </w:p>
        </w:tc>
        <w:tc>
          <w:tcPr>
            <w:tcW w:w="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Cs/>
                <w:color w:val="000000"/>
                <w:sz w:val="32"/>
                <w:szCs w:val="32"/>
              </w:rPr>
            </w:pPr>
            <w:r>
              <w:rPr>
                <w:rFonts w:hint="eastAsia" w:ascii="宋体" w:hAnsi="宋体" w:cs="宋体"/>
                <w:bCs/>
                <w:color w:val="000000"/>
                <w:kern w:val="0"/>
                <w:sz w:val="32"/>
                <w:szCs w:val="32"/>
                <w:lang w:bidi="ar"/>
              </w:rPr>
              <w:t>费率</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Cs/>
                <w:color w:val="000000"/>
                <w:sz w:val="32"/>
                <w:szCs w:val="32"/>
              </w:rPr>
            </w:pPr>
            <w:r>
              <w:rPr>
                <w:rFonts w:hint="eastAsia" w:ascii="宋体" w:hAnsi="宋体" w:cs="宋体"/>
                <w:bCs/>
                <w:color w:val="000000"/>
                <w:kern w:val="0"/>
                <w:sz w:val="32"/>
                <w:szCs w:val="32"/>
                <w:lang w:bidi="ar"/>
              </w:rPr>
              <w:t>保费</w:t>
            </w:r>
          </w:p>
        </w:tc>
      </w:tr>
      <w:tr>
        <w:tblPrEx>
          <w:tblCellMar>
            <w:top w:w="0" w:type="dxa"/>
            <w:left w:w="0" w:type="dxa"/>
            <w:bottom w:w="0" w:type="dxa"/>
            <w:right w:w="0" w:type="dxa"/>
          </w:tblCellMar>
        </w:tblPrEx>
        <w:trPr>
          <w:trHeight w:val="740" w:hRule="atLeast"/>
        </w:trPr>
        <w:tc>
          <w:tcPr>
            <w:tcW w:w="11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财产一切险</w:t>
            </w:r>
          </w:p>
        </w:tc>
        <w:tc>
          <w:tcPr>
            <w:tcW w:w="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固定资产</w:t>
            </w: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120250229.7</w:t>
            </w:r>
          </w:p>
        </w:tc>
        <w:tc>
          <w:tcPr>
            <w:tcW w:w="37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在保险期间内，由于自然灾害或意外事故造成保险标的直接物质损坏或灭失（以下简称“损失”），保险人按照保险合同的约定负责赔偿。</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【免赔额】</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每次事故绝对免赔额为人民币1,000元或损失金额的5%，两者以高者为准。</w:t>
            </w:r>
          </w:p>
          <w:p>
            <w:pPr>
              <w:widowControl/>
              <w:jc w:val="center"/>
              <w:textAlignment w:val="center"/>
              <w:rPr>
                <w:rFonts w:hint="eastAsia" w:asciiTheme="minorEastAsia" w:hAnsiTheme="minorEastAsia" w:eastAsiaTheme="minorEastAsia" w:cstheme="minorEastAsia"/>
                <w:sz w:val="21"/>
                <w:szCs w:val="21"/>
              </w:rPr>
            </w:pPr>
            <w:bookmarkStart w:id="0" w:name="_GoBack"/>
            <w:bookmarkEnd w:id="0"/>
          </w:p>
          <w:p>
            <w:pPr>
              <w:rPr>
                <w:rFonts w:hint="eastAsia"/>
              </w:rPr>
            </w:pPr>
          </w:p>
          <w:p>
            <w:pPr>
              <w:pStyle w:val="8"/>
            </w:pP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42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加油站平均灌容</w:t>
            </w: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0号</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8"/>
                <w:szCs w:val="28"/>
                <w:highlight w:val="yellow"/>
                <w:lang w:val="en-US" w:eastAsia="zh-CN"/>
              </w:rPr>
            </w:pPr>
            <w:r>
              <w:rPr>
                <w:rFonts w:hint="eastAsia" w:ascii="宋体" w:hAnsi="宋体" w:cs="宋体"/>
                <w:color w:val="000000"/>
                <w:kern w:val="0"/>
                <w:sz w:val="28"/>
                <w:szCs w:val="28"/>
                <w:highlight w:val="none"/>
                <w:lang w:val="en-US" w:eastAsia="zh-CN" w:bidi="ar"/>
              </w:rPr>
              <w:t>9973600</w:t>
            </w:r>
          </w:p>
        </w:tc>
        <w:tc>
          <w:tcPr>
            <w:tcW w:w="37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color w:val="000000"/>
                <w:sz w:val="28"/>
                <w:szCs w:val="28"/>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800"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42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92号</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8"/>
                <w:szCs w:val="28"/>
                <w:highlight w:val="yellow"/>
                <w:lang w:val="en-US" w:eastAsia="zh-CN"/>
              </w:rPr>
            </w:pPr>
            <w:r>
              <w:rPr>
                <w:rFonts w:hint="eastAsia" w:ascii="宋体" w:hAnsi="宋体" w:cs="宋体"/>
                <w:color w:val="000000"/>
                <w:kern w:val="0"/>
                <w:sz w:val="28"/>
                <w:szCs w:val="28"/>
                <w:highlight w:val="none"/>
                <w:lang w:val="en-US" w:eastAsia="zh-CN" w:bidi="ar"/>
              </w:rPr>
              <w:t>9254490</w:t>
            </w:r>
          </w:p>
        </w:tc>
        <w:tc>
          <w:tcPr>
            <w:tcW w:w="37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color w:val="000000"/>
                <w:sz w:val="28"/>
                <w:szCs w:val="28"/>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1060"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42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95号</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8"/>
                <w:szCs w:val="28"/>
                <w:highlight w:val="yellow"/>
                <w:lang w:val="en-US" w:eastAsia="zh-CN"/>
              </w:rPr>
            </w:pPr>
            <w:r>
              <w:rPr>
                <w:rFonts w:hint="eastAsia" w:ascii="宋体" w:hAnsi="宋体" w:cs="宋体"/>
                <w:color w:val="000000"/>
                <w:kern w:val="0"/>
                <w:sz w:val="28"/>
                <w:szCs w:val="28"/>
                <w:highlight w:val="none"/>
                <w:lang w:val="en-US" w:eastAsia="zh-CN" w:bidi="ar"/>
              </w:rPr>
              <w:t>7079975</w:t>
            </w:r>
          </w:p>
        </w:tc>
        <w:tc>
          <w:tcPr>
            <w:tcW w:w="37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color w:val="000000"/>
                <w:sz w:val="28"/>
                <w:szCs w:val="28"/>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480" w:hRule="atLeast"/>
        </w:trPr>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公众责任险（23个站点）</w:t>
            </w:r>
          </w:p>
        </w:tc>
        <w:tc>
          <w:tcPr>
            <w:tcW w:w="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kern w:val="0"/>
                <w:sz w:val="28"/>
                <w:szCs w:val="28"/>
                <w:lang w:bidi="ar"/>
              </w:rPr>
            </w:pP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37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420" w:firstLineChars="200"/>
              <w:jc w:val="center"/>
              <w:textAlignment w:val="center"/>
              <w:rPr>
                <w:rFonts w:hint="eastAsia" w:asciiTheme="minorEastAsia" w:hAnsiTheme="minorEastAsia" w:eastAsiaTheme="minorEastAsia" w:cstheme="minorEastAsia"/>
                <w:lang w:val="en-US" w:eastAsia="zh-CN"/>
              </w:rPr>
            </w:pPr>
          </w:p>
          <w:p>
            <w:pPr>
              <w:widowControl/>
              <w:ind w:firstLine="420" w:firstLineChars="200"/>
              <w:jc w:val="center"/>
              <w:textAlignment w:val="center"/>
              <w:rPr>
                <w:rFonts w:hint="eastAsia" w:asciiTheme="minorEastAsia" w:hAnsiTheme="minorEastAsia" w:eastAsiaTheme="minorEastAsia" w:cstheme="minorEastAsia"/>
                <w:lang w:val="en-US" w:eastAsia="zh-CN"/>
              </w:rPr>
            </w:pPr>
          </w:p>
          <w:p>
            <w:pPr>
              <w:widowControl/>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保险期间内，被保险人在保险单载明的区域范围内合法从事生产、经营等业务时，因过失导致意外事故，造成第三者人身伤亡或财产损失，依照中华人民共和国法律（不包括港澳台地区法律）应由被保险人承担的经济赔偿责任，保险人按照保险合同的约定负责赔偿。</w:t>
            </w:r>
          </w:p>
          <w:p>
            <w:pPr>
              <w:widowControl/>
              <w:ind w:firstLine="420" w:firstLineChars="20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【赔偿限额    （每站独立限额） 】</w:t>
            </w:r>
          </w:p>
          <w:p>
            <w:pPr>
              <w:widowControl/>
              <w:ind w:firstLine="420" w:firstLineChars="20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每次事故赔偿限额：RMB1,500,000.00；</w:t>
            </w:r>
          </w:p>
          <w:p>
            <w:pPr>
              <w:widowControl/>
              <w:ind w:firstLine="420" w:firstLineChars="20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其中每人每次事故赔偿限额: RMB600,000.00；</w:t>
            </w:r>
          </w:p>
          <w:p>
            <w:pPr>
              <w:widowControl/>
              <w:ind w:firstLine="420" w:firstLineChars="20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每人每次附加医疗赔偿限额：RMB60,000.00；</w:t>
            </w:r>
          </w:p>
          <w:p>
            <w:pPr>
              <w:widowControl/>
              <w:ind w:firstLine="420" w:firstLineChars="20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累计赔偿限额：RMB3,000,000.00；</w:t>
            </w:r>
          </w:p>
          <w:p>
            <w:pPr>
              <w:pStyle w:val="8"/>
              <w:rPr>
                <w:rFonts w:hint="eastAsia"/>
              </w:rPr>
            </w:pPr>
          </w:p>
        </w:tc>
        <w:tc>
          <w:tcPr>
            <w:tcW w:w="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890" w:hRule="atLeast"/>
        </w:trPr>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sz w:val="28"/>
                <w:szCs w:val="28"/>
              </w:rPr>
            </w:pPr>
            <w:r>
              <w:rPr>
                <w:rFonts w:hint="eastAsia" w:ascii="宋体" w:hAnsi="宋体" w:cs="宋体"/>
                <w:color w:val="000000"/>
                <w:kern w:val="0"/>
                <w:sz w:val="28"/>
                <w:szCs w:val="28"/>
                <w:lang w:bidi="ar"/>
              </w:rPr>
              <w:t>现金及雇员忠诚度保险费（23个站点）</w:t>
            </w:r>
          </w:p>
        </w:tc>
        <w:tc>
          <w:tcPr>
            <w:tcW w:w="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8"/>
                <w:szCs w:val="28"/>
              </w:rPr>
            </w:pPr>
          </w:p>
        </w:tc>
        <w:tc>
          <w:tcPr>
            <w:tcW w:w="37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rPr>
            </w:pPr>
            <w:r>
              <w:rPr>
                <w:rFonts w:hint="eastAsia"/>
              </w:rPr>
              <w:t>在本保险期间内，本保险合同明细表中列明的地点范围内，由于下列原因造成保险标的的损失，保险人按照保险合同的约定负责赔偿：</w:t>
            </w:r>
          </w:p>
          <w:p>
            <w:pPr>
              <w:widowControl/>
              <w:jc w:val="center"/>
              <w:textAlignment w:val="center"/>
              <w:rPr>
                <w:rFonts w:hint="eastAsia"/>
              </w:rPr>
            </w:pPr>
            <w:r>
              <w:rPr>
                <w:rFonts w:hint="eastAsia"/>
              </w:rPr>
              <w:t>（一）火灾、爆炸、洪水；</w:t>
            </w:r>
          </w:p>
          <w:p>
            <w:pPr>
              <w:widowControl/>
              <w:jc w:val="center"/>
              <w:textAlignment w:val="center"/>
              <w:rPr>
                <w:rFonts w:hint="eastAsia"/>
              </w:rPr>
            </w:pPr>
            <w:r>
              <w:rPr>
                <w:rFonts w:hint="eastAsia"/>
              </w:rPr>
              <w:t>（二）被保险人的雇员在前往银行送款或自银行提款回程中遭受抢劫；</w:t>
            </w:r>
          </w:p>
          <w:p>
            <w:pPr>
              <w:widowControl/>
              <w:jc w:val="center"/>
              <w:textAlignment w:val="center"/>
              <w:rPr>
                <w:rFonts w:hint="eastAsia"/>
              </w:rPr>
            </w:pPr>
            <w:r>
              <w:rPr>
                <w:rFonts w:hint="eastAsia"/>
              </w:rPr>
              <w:t>（三）存放在金库、保险箱（柜）内遭受盗窃或抢劫；</w:t>
            </w:r>
          </w:p>
          <w:p>
            <w:pPr>
              <w:widowControl/>
              <w:jc w:val="center"/>
              <w:textAlignment w:val="center"/>
              <w:rPr>
                <w:rFonts w:hint="eastAsia"/>
              </w:rPr>
            </w:pPr>
            <w:r>
              <w:rPr>
                <w:rFonts w:hint="eastAsia"/>
              </w:rPr>
              <w:t>（四）在营业过程中遭受抢劫。</w:t>
            </w:r>
          </w:p>
          <w:p>
            <w:pPr>
              <w:widowControl/>
              <w:jc w:val="center"/>
              <w:textAlignment w:val="center"/>
              <w:rPr>
                <w:rFonts w:hint="eastAsia"/>
              </w:rPr>
            </w:pPr>
            <w:r>
              <w:rPr>
                <w:rFonts w:hint="eastAsia"/>
              </w:rPr>
              <w:t>（五）被保险人的雇员携款潜逃；</w:t>
            </w:r>
          </w:p>
          <w:p>
            <w:pPr>
              <w:widowControl/>
              <w:jc w:val="center"/>
              <w:textAlignment w:val="center"/>
              <w:rPr>
                <w:rFonts w:hint="eastAsia"/>
              </w:rPr>
            </w:pPr>
            <w:r>
              <w:rPr>
                <w:rFonts w:hint="eastAsia"/>
              </w:rPr>
              <w:t>（六）被保险人的雇员的贪污、职务侵占；</w:t>
            </w:r>
          </w:p>
          <w:p>
            <w:pPr>
              <w:widowControl/>
              <w:jc w:val="center"/>
              <w:textAlignment w:val="center"/>
              <w:rPr>
                <w:rFonts w:hint="eastAsia"/>
              </w:rPr>
            </w:pPr>
            <w:r>
              <w:rPr>
                <w:rFonts w:hint="eastAsia"/>
              </w:rPr>
              <w:t>（七）被保险人的雇员单独或与他人共谋抢劫、盗窃现金。</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【赔偿限额    （每站独立限额） 】</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1.现金保险</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营业处所:每站每次限额50万元，累计赔偿限额100万元人民币;</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运输途中：每站每次限额20万元累计赔偿限额40万元人民币。</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2.附加雇员忠诚保证保险</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每次事故赔偿限额（每一站）：RMB 200万元；</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累计赔偿限额：RMB 500万元；</w:t>
            </w:r>
          </w:p>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每人每次赔偿限额：</w:t>
            </w:r>
          </w:p>
          <w:p>
            <w:pPr>
              <w:widowControl/>
              <w:jc w:val="center"/>
              <w:textAlignment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rPr>
              <w:t>站管 20万元、班长6万元、</w:t>
            </w:r>
            <w:r>
              <w:rPr>
                <w:rFonts w:hint="eastAsia" w:asciiTheme="minorEastAsia" w:hAnsiTheme="minorEastAsia" w:eastAsiaTheme="minorEastAsia" w:cstheme="minorEastAsia"/>
                <w:highlight w:val="none"/>
              </w:rPr>
              <w:t>加油</w:t>
            </w:r>
            <w:r>
              <w:rPr>
                <w:rFonts w:hint="eastAsia" w:asciiTheme="minorEastAsia" w:hAnsiTheme="minorEastAsia" w:eastAsiaTheme="minorEastAsia" w:cstheme="minorEastAsia"/>
                <w:highlight w:val="none"/>
                <w:lang w:eastAsia="zh-CN"/>
              </w:rPr>
              <w:t>员</w:t>
            </w:r>
            <w:r>
              <w:rPr>
                <w:rFonts w:hint="eastAsia" w:asciiTheme="minorEastAsia" w:hAnsiTheme="minorEastAsia" w:eastAsiaTheme="minorEastAsia" w:cstheme="minorEastAsia"/>
                <w:highlight w:val="none"/>
              </w:rPr>
              <w:t>1万元</w:t>
            </w:r>
          </w:p>
          <w:p>
            <w:pPr>
              <w:pStyle w:val="8"/>
              <w:rPr>
                <w:rFonts w:hint="eastAsia"/>
              </w:rPr>
            </w:pPr>
          </w:p>
        </w:tc>
        <w:tc>
          <w:tcPr>
            <w:tcW w:w="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68" w:hRule="atLeast"/>
        </w:trPr>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合计</w:t>
            </w:r>
          </w:p>
        </w:tc>
        <w:tc>
          <w:tcPr>
            <w:tcW w:w="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kern w:val="0"/>
                <w:sz w:val="28"/>
                <w:szCs w:val="28"/>
                <w:highlight w:val="none"/>
                <w:lang w:val="en-US" w:eastAsia="zh-CN" w:bidi="ar"/>
              </w:rPr>
              <w:t>146558294.7</w:t>
            </w:r>
          </w:p>
        </w:tc>
        <w:tc>
          <w:tcPr>
            <w:tcW w:w="37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color w:val="000000"/>
                <w:sz w:val="32"/>
                <w:szCs w:val="32"/>
              </w:rPr>
            </w:pPr>
          </w:p>
        </w:tc>
        <w:tc>
          <w:tcPr>
            <w:tcW w:w="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2"/>
                <w:szCs w:val="22"/>
              </w:rPr>
            </w:pPr>
          </w:p>
        </w:tc>
      </w:tr>
    </w:tbl>
    <w:p>
      <w:pPr>
        <w:widowControl/>
        <w:jc w:val="center"/>
        <w:textAlignment w:val="center"/>
        <w:rPr>
          <w:rFonts w:hint="eastAsia" w:ascii="宋体" w:hAnsi="宋体" w:cs="宋体"/>
          <w:color w:val="000000"/>
          <w:kern w:val="0"/>
          <w:sz w:val="28"/>
          <w:szCs w:val="28"/>
          <w:lang w:val="en-US" w:eastAsia="zh-CN" w:bidi="ar"/>
        </w:rPr>
      </w:pPr>
    </w:p>
    <w:p>
      <w:pPr>
        <w:widowControl/>
        <w:jc w:val="center"/>
        <w:textAlignment w:val="center"/>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3.</w:t>
      </w:r>
      <w:r>
        <w:rPr>
          <w:rFonts w:hint="eastAsia" w:ascii="宋体" w:hAnsi="宋体" w:cs="宋体"/>
          <w:color w:val="000000"/>
          <w:kern w:val="0"/>
          <w:sz w:val="28"/>
          <w:szCs w:val="28"/>
          <w:lang w:bidi="ar"/>
        </w:rPr>
        <w:t xml:space="preserve">竞争性比选截止及开标时间更改为：2022年 </w:t>
      </w:r>
      <w:r>
        <w:rPr>
          <w:rFonts w:hint="eastAsia" w:ascii="宋体" w:hAnsi="宋体" w:cs="宋体"/>
          <w:color w:val="000000"/>
          <w:kern w:val="0"/>
          <w:sz w:val="28"/>
          <w:szCs w:val="28"/>
          <w:lang w:val="en-US" w:eastAsia="zh-CN" w:bidi="ar"/>
        </w:rPr>
        <w:t>5</w:t>
      </w:r>
      <w:r>
        <w:rPr>
          <w:rFonts w:hint="eastAsia" w:ascii="宋体" w:hAnsi="宋体" w:cs="宋体"/>
          <w:color w:val="000000"/>
          <w:kern w:val="0"/>
          <w:sz w:val="28"/>
          <w:szCs w:val="28"/>
          <w:lang w:bidi="ar"/>
        </w:rPr>
        <w:t>月</w:t>
      </w:r>
      <w:r>
        <w:rPr>
          <w:rFonts w:hint="eastAsia" w:ascii="宋体" w:hAnsi="宋体" w:cs="宋体"/>
          <w:color w:val="000000"/>
          <w:kern w:val="0"/>
          <w:sz w:val="28"/>
          <w:szCs w:val="28"/>
          <w:lang w:val="en-US" w:eastAsia="zh-CN" w:bidi="ar"/>
        </w:rPr>
        <w:t>13</w:t>
      </w:r>
      <w:r>
        <w:rPr>
          <w:rFonts w:hint="eastAsia" w:ascii="宋体" w:hAnsi="宋体" w:cs="宋体"/>
          <w:color w:val="000000"/>
          <w:kern w:val="0"/>
          <w:sz w:val="28"/>
          <w:szCs w:val="28"/>
          <w:lang w:bidi="ar"/>
        </w:rPr>
        <w:t xml:space="preserve">日 </w:t>
      </w:r>
      <w:r>
        <w:rPr>
          <w:rFonts w:hint="eastAsia" w:ascii="宋体" w:hAnsi="宋体" w:cs="宋体"/>
          <w:color w:val="000000"/>
          <w:kern w:val="0"/>
          <w:sz w:val="28"/>
          <w:szCs w:val="28"/>
          <w:lang w:val="en-US" w:eastAsia="zh-CN" w:bidi="ar"/>
        </w:rPr>
        <w:t>10</w:t>
      </w:r>
      <w:r>
        <w:rPr>
          <w:rFonts w:hint="eastAsia" w:ascii="宋体" w:hAnsi="宋体" w:cs="宋体"/>
          <w:color w:val="000000"/>
          <w:kern w:val="0"/>
          <w:sz w:val="28"/>
          <w:szCs w:val="28"/>
          <w:lang w:bidi="ar"/>
        </w:rPr>
        <w:t>时 00 分（北京时间）。</w:t>
      </w:r>
    </w:p>
    <w:p>
      <w:pPr>
        <w:widowControl/>
        <w:jc w:val="both"/>
        <w:textAlignment w:val="center"/>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特此通知。</w:t>
      </w:r>
    </w:p>
    <w:p>
      <w:pPr>
        <w:rPr>
          <w:rFonts w:hint="eastAsia" w:ascii="宋体" w:hAnsi="宋体" w:eastAsia="宋体" w:cs="宋体"/>
          <w:b w:val="0"/>
          <w:bCs w:val="0"/>
          <w:caps w:val="0"/>
          <w:color w:val="000000"/>
          <w:kern w:val="0"/>
          <w:sz w:val="28"/>
          <w:szCs w:val="28"/>
          <w:lang w:val="en-US" w:eastAsia="zh-CN" w:bidi="ar"/>
        </w:rPr>
      </w:pPr>
      <w:r>
        <w:rPr>
          <w:rFonts w:hint="eastAsia" w:ascii="宋体" w:hAnsi="宋体" w:eastAsia="宋体" w:cs="宋体"/>
          <w:b w:val="0"/>
          <w:bCs w:val="0"/>
          <w:caps w:val="0"/>
          <w:color w:val="000000"/>
          <w:kern w:val="0"/>
          <w:sz w:val="28"/>
          <w:szCs w:val="28"/>
          <w:lang w:val="en-US" w:eastAsia="zh-CN" w:bidi="ar"/>
        </w:rPr>
        <w:t>注：本次补遗通知与原比选文件有不一致的，以本通知为准。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5AD98"/>
    <w:multiLevelType w:val="singleLevel"/>
    <w:tmpl w:val="FB85AD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033A3"/>
    <w:rsid w:val="02F15B75"/>
    <w:rsid w:val="17892C37"/>
    <w:rsid w:val="314033A3"/>
    <w:rsid w:val="41311DA5"/>
    <w:rsid w:val="46377FCB"/>
    <w:rsid w:val="6A4D7CB4"/>
    <w:rsid w:val="7F076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character" w:styleId="6">
    <w:name w:val="FollowedHyperlink"/>
    <w:basedOn w:val="5"/>
    <w:qFormat/>
    <w:uiPriority w:val="0"/>
    <w:rPr>
      <w:color w:val="003399"/>
      <w:u w:val="none"/>
    </w:rPr>
  </w:style>
  <w:style w:type="character" w:styleId="7">
    <w:name w:val="Hyperlink"/>
    <w:basedOn w:val="5"/>
    <w:qFormat/>
    <w:uiPriority w:val="0"/>
    <w:rPr>
      <w:color w:val="0000FF"/>
      <w:u w:val="none"/>
    </w:rPr>
  </w:style>
  <w:style w:type="paragraph" w:customStyle="1" w:styleId="8">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2022-05-09T01:14:00Z</dcterms:created>
  <dc:creator>唐安乐</dc:creator>
  <cp:lastModifiedBy>唐安乐</cp:lastModifiedBy>
  <dcterms:modified xsi:type="dcterms:W3CDTF">2022-05-09T03:41:51Z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1A1C674D59144579A9A3BEDF44B45F41</vt:lpwstr>
  </property>
</Properties>
</file>