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sz w:val="32"/>
          <w:szCs w:val="32"/>
          <w:highlight w:val="none"/>
        </w:rPr>
      </w:pPr>
    </w:p>
    <w:p>
      <w:pPr>
        <w:spacing w:line="400" w:lineRule="exact"/>
        <w:jc w:val="center"/>
        <w:rPr>
          <w:rFonts w:hint="eastAsia" w:ascii="宋体" w:hAnsi="宋体" w:eastAsia="宋体" w:cs="宋体"/>
          <w:b/>
          <w:sz w:val="32"/>
          <w:szCs w:val="32"/>
          <w:highlight w:val="none"/>
          <w:lang w:eastAsia="zh-CN"/>
        </w:rPr>
      </w:pPr>
      <w:r>
        <w:rPr>
          <w:rFonts w:hint="eastAsia" w:ascii="宋体" w:hAnsi="宋体" w:cs="宋体"/>
          <w:b/>
          <w:sz w:val="32"/>
          <w:szCs w:val="32"/>
          <w:highlight w:val="none"/>
        </w:rPr>
        <w:t>项目名称：</w:t>
      </w:r>
      <w:r>
        <w:rPr>
          <w:rFonts w:hint="eastAsia" w:ascii="宋体" w:hAnsi="宋体" w:cs="宋体"/>
          <w:b/>
          <w:sz w:val="32"/>
          <w:szCs w:val="32"/>
          <w:highlight w:val="none"/>
          <w:lang w:eastAsia="zh-CN"/>
        </w:rPr>
        <w:t>首讯公司东界龙湖办公用房装修</w:t>
      </w:r>
      <w:r>
        <w:rPr>
          <w:rFonts w:hint="eastAsia" w:ascii="宋体" w:hAnsi="宋体" w:cs="宋体"/>
          <w:b/>
          <w:sz w:val="32"/>
          <w:szCs w:val="32"/>
          <w:highlight w:val="none"/>
          <w:lang w:val="en-US" w:eastAsia="zh-CN"/>
        </w:rPr>
        <w:t>窗帘定制及安装</w:t>
      </w:r>
      <w:r>
        <w:rPr>
          <w:rFonts w:hint="eastAsia" w:ascii="宋体" w:hAnsi="宋体" w:cs="宋体"/>
          <w:b/>
          <w:sz w:val="32"/>
          <w:szCs w:val="32"/>
          <w:highlight w:val="none"/>
          <w:lang w:eastAsia="zh-CN"/>
        </w:rPr>
        <w:t>项目</w:t>
      </w:r>
    </w:p>
    <w:p>
      <w:pPr>
        <w:rPr>
          <w:rFonts w:hint="eastAsia" w:ascii="宋体" w:hAnsi="宋体" w:cs="宋体"/>
          <w:sz w:val="28"/>
          <w:szCs w:val="2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性</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比</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文</w:t>
      </w:r>
    </w:p>
    <w:p>
      <w:pPr>
        <w:jc w:val="center"/>
        <w:rPr>
          <w:rFonts w:hint="eastAsia" w:ascii="宋体" w:hAnsi="宋体" w:cs="宋体"/>
          <w:b/>
          <w:sz w:val="48"/>
          <w:szCs w:val="48"/>
          <w:highlight w:val="none"/>
        </w:rPr>
      </w:pPr>
    </w:p>
    <w:p>
      <w:pPr>
        <w:jc w:val="center"/>
        <w:rPr>
          <w:rFonts w:hint="eastAsia"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rPr>
          <w:rFonts w:hint="eastAsia"/>
          <w:highlight w:val="none"/>
        </w:rPr>
      </w:pPr>
    </w:p>
    <w:p>
      <w:pPr>
        <w:rPr>
          <w:rFonts w:hint="eastAsia"/>
          <w:highlight w:val="none"/>
        </w:rPr>
      </w:pPr>
    </w:p>
    <w:p>
      <w:pPr>
        <w:jc w:val="center"/>
        <w:rPr>
          <w:rFonts w:hint="eastAsia"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2</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7</w:t>
      </w:r>
      <w:r>
        <w:rPr>
          <w:rFonts w:hint="eastAsia" w:ascii="宋体" w:hAnsi="宋体" w:cs="宋体"/>
          <w:b/>
          <w:sz w:val="28"/>
          <w:szCs w:val="28"/>
          <w:highlight w:val="none"/>
        </w:rPr>
        <w:t>月</w:t>
      </w:r>
    </w:p>
    <w:p>
      <w:pPr>
        <w:pStyle w:val="28"/>
        <w:jc w:val="center"/>
        <w:rPr>
          <w:rFonts w:hint="eastAsia" w:ascii="宋体" w:hAnsi="宋体" w:cs="宋体"/>
          <w:szCs w:val="21"/>
          <w:highlight w:val="none"/>
        </w:rPr>
      </w:pPr>
      <w:r>
        <w:rPr>
          <w:highlight w:val="none"/>
        </w:rPr>
        <w:br w:type="page"/>
      </w:r>
      <w:bookmarkStart w:id="0" w:name="_Toc247085669"/>
      <w:bookmarkStart w:id="1" w:name="_Toc296602400"/>
      <w:bookmarkStart w:id="2" w:name="_Toc507428442"/>
      <w:bookmarkStart w:id="3" w:name="_Toc507319889"/>
      <w:bookmarkStart w:id="4" w:name="_Toc246996898"/>
      <w:r>
        <w:rPr>
          <w:rFonts w:hint="eastAsia" w:ascii="宋体" w:hAnsi="宋体" w:cs="宋体"/>
          <w:b w:val="0"/>
          <w:sz w:val="32"/>
          <w:highlight w:val="none"/>
        </w:rPr>
        <w:t>目   录</w:t>
      </w:r>
      <w:bookmarkEnd w:id="0"/>
      <w:bookmarkEnd w:id="1"/>
      <w:bookmarkEnd w:id="2"/>
      <w:bookmarkEnd w:id="3"/>
      <w:bookmarkEnd w:id="4"/>
    </w:p>
    <w:p>
      <w:pPr>
        <w:pStyle w:val="28"/>
        <w:tabs>
          <w:tab w:val="right" w:leader="dot" w:pos="9638"/>
        </w:tabs>
        <w:rPr>
          <w:highlight w:val="none"/>
        </w:rPr>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_Toc10533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_Toc10533 </w:instrText>
      </w:r>
      <w:r>
        <w:rPr>
          <w:highlight w:val="none"/>
        </w:rPr>
        <w:fldChar w:fldCharType="separate"/>
      </w:r>
      <w:r>
        <w:rPr>
          <w:highlight w:val="none"/>
        </w:rPr>
        <w:t>1</w:t>
      </w:r>
      <w:r>
        <w:rPr>
          <w:highlight w:val="none"/>
        </w:rPr>
        <w:fldChar w:fldCharType="end"/>
      </w:r>
      <w:r>
        <w:rPr>
          <w:rFonts w:hint="eastAsia" w:ascii="宋体" w:hAnsi="宋体" w:cs="宋体"/>
          <w:bCs w:val="0"/>
          <w:caps w:val="0"/>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_Toc21719 </w:instrText>
      </w:r>
      <w:r>
        <w:rPr>
          <w:rFonts w:hint="eastAsia" w:ascii="宋体" w:hAnsi="宋体" w:cs="宋体"/>
          <w:bCs/>
          <w:caps/>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_Toc21719 </w:instrText>
      </w:r>
      <w:r>
        <w:rPr>
          <w:highlight w:val="none"/>
        </w:rPr>
        <w:fldChar w:fldCharType="separate"/>
      </w:r>
      <w:r>
        <w:rPr>
          <w:highlight w:val="none"/>
        </w:rPr>
        <w:t>3</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_Toc7682 </w:instrText>
      </w:r>
      <w:r>
        <w:rPr>
          <w:rFonts w:hint="eastAsia" w:ascii="宋体" w:hAnsi="宋体" w:cs="宋体"/>
          <w:bCs/>
          <w:caps/>
          <w:highlight w:val="none"/>
        </w:rPr>
        <w:fldChar w:fldCharType="separate"/>
      </w:r>
      <w:r>
        <w:rPr>
          <w:rFonts w:hint="eastAsia" w:ascii="宋体" w:hAnsi="宋体" w:cs="宋体"/>
          <w:highlight w:val="none"/>
        </w:rPr>
        <w:t>第三章 评标办法（</w:t>
      </w:r>
      <w:r>
        <w:rPr>
          <w:rFonts w:hint="eastAsia" w:ascii="宋体" w:hAnsi="宋体" w:cs="宋体"/>
          <w:highlight w:val="none"/>
          <w:lang w:val="en-US" w:eastAsia="zh-CN"/>
        </w:rPr>
        <w:t>综合评估</w:t>
      </w:r>
      <w:r>
        <w:rPr>
          <w:rFonts w:hint="eastAsia" w:ascii="宋体" w:hAnsi="宋体" w:cs="宋体"/>
          <w:highlight w:val="none"/>
        </w:rPr>
        <w:t>法）</w:t>
      </w:r>
      <w:r>
        <w:rPr>
          <w:highlight w:val="none"/>
        </w:rPr>
        <w:tab/>
      </w:r>
      <w:r>
        <w:rPr>
          <w:highlight w:val="none"/>
        </w:rPr>
        <w:fldChar w:fldCharType="begin"/>
      </w:r>
      <w:r>
        <w:rPr>
          <w:highlight w:val="none"/>
        </w:rPr>
        <w:instrText xml:space="preserve"> PAGEREF _Toc7682 </w:instrText>
      </w:r>
      <w:r>
        <w:rPr>
          <w:highlight w:val="none"/>
        </w:rPr>
        <w:fldChar w:fldCharType="separate"/>
      </w:r>
      <w:r>
        <w:rPr>
          <w:highlight w:val="none"/>
        </w:rPr>
        <w:t>8</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_Toc13787 </w:instrText>
      </w:r>
      <w:r>
        <w:rPr>
          <w:rFonts w:hint="eastAsia" w:ascii="宋体" w:hAnsi="宋体" w:cs="宋体"/>
          <w:bCs/>
          <w:caps/>
          <w:highlight w:val="none"/>
        </w:rPr>
        <w:fldChar w:fldCharType="separate"/>
      </w:r>
      <w:r>
        <w:rPr>
          <w:rFonts w:hint="eastAsia"/>
          <w:bCs/>
          <w:highlight w:val="none"/>
          <w:lang w:val="en-US" w:eastAsia="zh-CN"/>
        </w:rPr>
        <w:t>第四章 报价说明</w:t>
      </w:r>
      <w:r>
        <w:rPr>
          <w:highlight w:val="none"/>
        </w:rPr>
        <w:tab/>
      </w:r>
      <w:r>
        <w:rPr>
          <w:highlight w:val="none"/>
        </w:rPr>
        <w:fldChar w:fldCharType="begin"/>
      </w:r>
      <w:r>
        <w:rPr>
          <w:highlight w:val="none"/>
        </w:rPr>
        <w:instrText xml:space="preserve"> PAGEREF _Toc13787 </w:instrText>
      </w:r>
      <w:r>
        <w:rPr>
          <w:highlight w:val="none"/>
        </w:rPr>
        <w:fldChar w:fldCharType="separate"/>
      </w:r>
      <w:r>
        <w:rPr>
          <w:highlight w:val="none"/>
        </w:rPr>
        <w:t>10</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_Toc24503 </w:instrText>
      </w:r>
      <w:r>
        <w:rPr>
          <w:rFonts w:hint="eastAsia" w:ascii="宋体" w:hAnsi="宋体" w:cs="宋体"/>
          <w:bCs/>
          <w:caps/>
          <w:highlight w:val="none"/>
        </w:rPr>
        <w:fldChar w:fldCharType="separate"/>
      </w:r>
      <w:r>
        <w:rPr>
          <w:rFonts w:hint="eastAsia" w:ascii="宋体" w:hAnsi="宋体" w:cs="宋体"/>
          <w:highlight w:val="none"/>
        </w:rPr>
        <w:t>第五章  工程量清单</w:t>
      </w:r>
      <w:r>
        <w:rPr>
          <w:rFonts w:hint="eastAsia" w:ascii="宋体" w:hAnsi="宋体" w:cs="宋体"/>
          <w:highlight w:val="none"/>
          <w:lang w:val="en-US" w:eastAsia="zh-CN"/>
        </w:rPr>
        <w:t>及</w:t>
      </w:r>
      <w:r>
        <w:rPr>
          <w:rFonts w:hint="eastAsia" w:ascii="宋体" w:hAnsi="宋体" w:cs="宋体"/>
          <w:highlight w:val="none"/>
        </w:rPr>
        <w:t>计量规则</w:t>
      </w:r>
      <w:r>
        <w:rPr>
          <w:highlight w:val="none"/>
        </w:rPr>
        <w:tab/>
      </w:r>
      <w:r>
        <w:rPr>
          <w:highlight w:val="none"/>
        </w:rPr>
        <w:fldChar w:fldCharType="begin"/>
      </w:r>
      <w:r>
        <w:rPr>
          <w:highlight w:val="none"/>
        </w:rPr>
        <w:instrText xml:space="preserve"> PAGEREF _Toc24503 </w:instrText>
      </w:r>
      <w:r>
        <w:rPr>
          <w:highlight w:val="none"/>
        </w:rPr>
        <w:fldChar w:fldCharType="separate"/>
      </w:r>
      <w:r>
        <w:rPr>
          <w:highlight w:val="none"/>
        </w:rPr>
        <w:t>12</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_Toc12440 </w:instrText>
      </w:r>
      <w:r>
        <w:rPr>
          <w:rFonts w:hint="eastAsia" w:ascii="宋体" w:hAnsi="宋体" w:cs="宋体"/>
          <w:bCs/>
          <w:caps/>
          <w:highlight w:val="none"/>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_Toc12440 </w:instrText>
      </w:r>
      <w:r>
        <w:rPr>
          <w:highlight w:val="none"/>
        </w:rPr>
        <w:fldChar w:fldCharType="separate"/>
      </w:r>
      <w:r>
        <w:rPr>
          <w:highlight w:val="none"/>
        </w:rPr>
        <w:t>13</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_Toc10887 </w:instrText>
      </w:r>
      <w:r>
        <w:rPr>
          <w:rFonts w:hint="eastAsia" w:ascii="宋体" w:hAnsi="宋体" w:cs="宋体"/>
          <w:bCs/>
          <w:caps/>
          <w:highlight w:val="none"/>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_Toc10887 </w:instrText>
      </w:r>
      <w:r>
        <w:rPr>
          <w:highlight w:val="none"/>
        </w:rPr>
        <w:fldChar w:fldCharType="separate"/>
      </w:r>
      <w:r>
        <w:rPr>
          <w:highlight w:val="none"/>
        </w:rPr>
        <w:t>14</w:t>
      </w:r>
      <w:r>
        <w:rPr>
          <w:highlight w:val="none"/>
        </w:rPr>
        <w:fldChar w:fldCharType="end"/>
      </w:r>
      <w:r>
        <w:rPr>
          <w:rFonts w:hint="eastAsia" w:ascii="宋体" w:hAnsi="宋体" w:cs="宋体"/>
          <w:bCs/>
          <w:caps/>
          <w:highlight w:val="none"/>
        </w:rPr>
        <w:fldChar w:fldCharType="end"/>
      </w:r>
    </w:p>
    <w:p>
      <w:pPr>
        <w:pStyle w:val="28"/>
        <w:tabs>
          <w:tab w:val="right" w:leader="dot" w:pos="9638"/>
        </w:tabs>
        <w:rPr>
          <w:rFonts w:hint="eastAsia" w:ascii="宋体" w:hAnsi="宋体" w:cs="宋体"/>
          <w:bCs/>
          <w:caps/>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_Toc24853 </w:instrText>
      </w:r>
      <w:r>
        <w:rPr>
          <w:rFonts w:hint="eastAsia" w:ascii="宋体" w:hAnsi="宋体" w:cs="宋体"/>
          <w:bCs/>
          <w:caps/>
          <w:highlight w:val="none"/>
        </w:rPr>
        <w:fldChar w:fldCharType="separate"/>
      </w:r>
      <w:r>
        <w:rPr>
          <w:rFonts w:hint="eastAsia" w:ascii="宋体" w:hAnsi="宋体" w:cs="宋体"/>
          <w:highlight w:val="none"/>
        </w:rPr>
        <w:t>第九章  竞争性比选响应文件格式</w:t>
      </w:r>
      <w:r>
        <w:rPr>
          <w:highlight w:val="none"/>
        </w:rPr>
        <w:tab/>
      </w:r>
      <w:r>
        <w:rPr>
          <w:highlight w:val="none"/>
        </w:rPr>
        <w:fldChar w:fldCharType="begin"/>
      </w:r>
      <w:r>
        <w:rPr>
          <w:highlight w:val="none"/>
        </w:rPr>
        <w:instrText xml:space="preserve"> PAGEREF _Toc24853 </w:instrText>
      </w:r>
      <w:r>
        <w:rPr>
          <w:highlight w:val="none"/>
        </w:rPr>
        <w:fldChar w:fldCharType="separate"/>
      </w:r>
      <w:r>
        <w:rPr>
          <w:highlight w:val="none"/>
        </w:rPr>
        <w:t>16</w:t>
      </w:r>
      <w:r>
        <w:rPr>
          <w:highlight w:val="none"/>
        </w:rPr>
        <w:fldChar w:fldCharType="end"/>
      </w:r>
      <w:r>
        <w:rPr>
          <w:rFonts w:hint="eastAsia" w:ascii="宋体" w:hAnsi="宋体" w:cs="宋体"/>
          <w:bCs/>
          <w:caps/>
          <w:highlight w:val="none"/>
        </w:rPr>
        <w:fldChar w:fldCharType="end"/>
      </w:r>
    </w:p>
    <w:p>
      <w:pPr>
        <w:rPr>
          <w:highlight w:val="none"/>
        </w:rPr>
      </w:pPr>
    </w:p>
    <w:p>
      <w:pPr>
        <w:pStyle w:val="34"/>
        <w:tabs>
          <w:tab w:val="right" w:leader="dot" w:pos="9628"/>
        </w:tabs>
        <w:ind w:left="0" w:leftChars="0" w:firstLine="0" w:firstLineChars="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3"/>
        <w:spacing w:before="0" w:after="0" w:line="360" w:lineRule="auto"/>
        <w:jc w:val="center"/>
        <w:rPr>
          <w:rFonts w:hint="eastAsia" w:ascii="宋体" w:hAnsi="宋体" w:cs="宋体"/>
          <w:highlight w:val="none"/>
        </w:rPr>
      </w:pPr>
      <w:bookmarkStart w:id="5" w:name="_Toc247085671"/>
      <w:bookmarkStart w:id="6" w:name="_Toc246996900"/>
      <w:bookmarkStart w:id="7" w:name="_Toc246996157"/>
      <w:bookmarkStart w:id="8" w:name="_Toc247096243"/>
      <w:bookmarkStart w:id="9" w:name="_Toc507319890"/>
      <w:bookmarkStart w:id="10" w:name="_Toc152045511"/>
      <w:bookmarkStart w:id="11" w:name="_Toc2000404"/>
      <w:bookmarkStart w:id="12" w:name="_Toc152042287"/>
      <w:bookmarkStart w:id="13" w:name="_Toc144974479"/>
      <w:bookmarkStart w:id="14" w:name="_Toc179632527"/>
      <w:bookmarkStart w:id="15" w:name="_Toc10533"/>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hint="eastAsia" w:ascii="宋体" w:hAnsi="宋体" w:cs="宋体"/>
          <w:b/>
          <w:sz w:val="28"/>
          <w:szCs w:val="28"/>
          <w:highlight w:val="none"/>
        </w:rPr>
      </w:pPr>
      <w:bookmarkStart w:id="16" w:name="OLE_LINK3"/>
      <w:bookmarkStart w:id="17" w:name="OLE_LINK2"/>
    </w:p>
    <w:p>
      <w:pPr>
        <w:pStyle w:val="2"/>
        <w:spacing w:before="0" w:after="0" w:line="360" w:lineRule="auto"/>
        <w:rPr>
          <w:rFonts w:hint="eastAsia" w:ascii="宋体" w:hAnsi="宋体" w:eastAsia="宋体" w:cs="宋体"/>
          <w:highlight w:val="none"/>
        </w:rPr>
      </w:pPr>
      <w:bookmarkStart w:id="18" w:name="_Toc144974480"/>
      <w:bookmarkStart w:id="19" w:name="_Toc246996158"/>
      <w:bookmarkStart w:id="20" w:name="_Toc6549"/>
      <w:bookmarkStart w:id="21" w:name="_Toc24874"/>
      <w:bookmarkStart w:id="22" w:name="_Toc152045512"/>
      <w:bookmarkStart w:id="23" w:name="_Toc10076"/>
      <w:bookmarkStart w:id="24" w:name="_Toc179632528"/>
      <w:bookmarkStart w:id="25" w:name="_Toc11329213"/>
      <w:bookmarkStart w:id="26" w:name="_Toc246996901"/>
      <w:bookmarkStart w:id="27" w:name="_Toc507319891"/>
      <w:bookmarkStart w:id="28" w:name="_Toc247085672"/>
      <w:bookmarkStart w:id="29" w:name="_Toc152042288"/>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hint="eastAsia"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eastAsia="zh-CN"/>
        </w:rPr>
        <w:t>首讯公司东界龙湖办公用房装修</w:t>
      </w:r>
      <w:r>
        <w:rPr>
          <w:rFonts w:hint="eastAsia" w:ascii="宋体" w:hAnsi="宋体" w:cs="宋体"/>
          <w:szCs w:val="21"/>
          <w:highlight w:val="none"/>
          <w:u w:val="single"/>
          <w:lang w:val="en-US" w:eastAsia="zh-CN"/>
        </w:rPr>
        <w:t>窗帘定制及安装</w:t>
      </w:r>
      <w:r>
        <w:rPr>
          <w:rFonts w:hint="eastAsia" w:ascii="宋体" w:hAnsi="宋体" w:cs="宋体"/>
          <w:szCs w:val="21"/>
          <w:highlight w:val="none"/>
          <w:u w:val="single"/>
          <w:lang w:eastAsia="zh-CN"/>
        </w:rPr>
        <w:t>项目</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2"/>
        <w:spacing w:before="120" w:after="0" w:line="360" w:lineRule="auto"/>
        <w:rPr>
          <w:rFonts w:hint="eastAsia" w:ascii="宋体" w:hAnsi="宋体" w:eastAsia="宋体" w:cs="宋体"/>
          <w:highlight w:val="none"/>
        </w:rPr>
      </w:pPr>
      <w:bookmarkStart w:id="30" w:name="_Toc246996159"/>
      <w:bookmarkStart w:id="31" w:name="_Toc179632529"/>
      <w:bookmarkStart w:id="32" w:name="_Toc246996902"/>
      <w:bookmarkStart w:id="33" w:name="_Toc247085673"/>
      <w:bookmarkStart w:id="34" w:name="_Toc10952"/>
      <w:bookmarkStart w:id="35" w:name="_Toc21343"/>
      <w:bookmarkStart w:id="36" w:name="_Toc18109"/>
      <w:bookmarkStart w:id="37" w:name="_Toc152042289"/>
      <w:bookmarkStart w:id="38" w:name="_Toc144974481"/>
      <w:bookmarkStart w:id="39" w:name="_Toc152045513"/>
      <w:bookmarkStart w:id="40" w:name="_Toc11329214"/>
      <w:bookmarkStart w:id="41" w:name="_Toc507319892"/>
      <w:r>
        <w:rPr>
          <w:rFonts w:hint="eastAsia" w:ascii="宋体" w:hAnsi="宋体" w:eastAsia="宋体" w:cs="宋体"/>
          <w:highlight w:val="none"/>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hint="default" w:ascii="宋体" w:hAnsi="宋体" w:eastAsia="宋体" w:cs="宋体"/>
          <w:highlight w:val="none"/>
          <w:lang w:val="en-US" w:eastAsia="zh-CN"/>
        </w:rPr>
      </w:pPr>
      <w:bookmarkStart w:id="42" w:name="_Toc446247226"/>
      <w:r>
        <w:rPr>
          <w:rFonts w:hint="eastAsia" w:ascii="宋体" w:hAnsi="宋体" w:cs="宋体"/>
          <w:highlight w:val="none"/>
        </w:rPr>
        <w:t>2.1 项目地点：</w:t>
      </w:r>
      <w:bookmarkEnd w:id="42"/>
      <w:r>
        <w:rPr>
          <w:rFonts w:hint="eastAsia" w:ascii="宋体" w:hAnsi="宋体" w:cs="宋体"/>
          <w:szCs w:val="21"/>
          <w:highlight w:val="none"/>
          <w:u w:val="single"/>
          <w:lang w:val="en-US" w:eastAsia="zh-CN"/>
        </w:rPr>
        <w:t>重庆市渝北区</w:t>
      </w:r>
      <w:r>
        <w:rPr>
          <w:rFonts w:hint="eastAsia" w:ascii="宋体" w:hAnsi="宋体" w:cs="宋体"/>
          <w:highlight w:val="none"/>
          <w:lang w:eastAsia="zh-CN"/>
        </w:rPr>
        <w:t>。</w:t>
      </w:r>
    </w:p>
    <w:p>
      <w:pPr>
        <w:pStyle w:val="12"/>
        <w:adjustRightInd w:val="0"/>
        <w:spacing w:line="400" w:lineRule="exact"/>
        <w:jc w:val="both"/>
        <w:rPr>
          <w:rFonts w:hint="default" w:ascii="宋体" w:hAnsi="宋体" w:eastAsia="宋体" w:cs="宋体"/>
          <w:kern w:val="2"/>
          <w:sz w:val="21"/>
          <w:szCs w:val="24"/>
          <w:highlight w:val="none"/>
          <w:lang w:val="en-US" w:eastAsia="zh-CN" w:bidi="ar-SA"/>
        </w:rPr>
      </w:pPr>
      <w:r>
        <w:rPr>
          <w:rFonts w:hint="eastAsia" w:ascii="宋体" w:hAnsi="宋体" w:cs="宋体"/>
          <w:szCs w:val="21"/>
          <w:highlight w:val="none"/>
        </w:rPr>
        <w:t>2.2 项目概况：</w:t>
      </w:r>
      <w:r>
        <w:rPr>
          <w:rFonts w:hint="eastAsia" w:ascii="宋体" w:hAnsi="宋体" w:cs="宋体"/>
          <w:szCs w:val="21"/>
          <w:highlight w:val="none"/>
          <w:lang w:eastAsia="zh-CN"/>
        </w:rPr>
        <w:t>首讯公司东界龙湖办公用房装修</w:t>
      </w:r>
      <w:r>
        <w:rPr>
          <w:rFonts w:hint="eastAsia" w:ascii="宋体" w:hAnsi="宋体" w:cs="宋体"/>
          <w:szCs w:val="21"/>
          <w:highlight w:val="none"/>
          <w:lang w:val="en-US" w:eastAsia="zh-CN"/>
        </w:rPr>
        <w:t>窗帘定制及安装</w:t>
      </w:r>
      <w:r>
        <w:rPr>
          <w:rFonts w:hint="eastAsia" w:ascii="宋体" w:hAnsi="宋体" w:cs="宋体"/>
          <w:szCs w:val="21"/>
          <w:highlight w:val="none"/>
          <w:lang w:eastAsia="zh-CN"/>
        </w:rPr>
        <w:t>项目</w:t>
      </w:r>
      <w:r>
        <w:rPr>
          <w:rFonts w:hint="eastAsia" w:ascii="宋体" w:hAnsi="宋体" w:cs="宋体"/>
          <w:szCs w:val="21"/>
          <w:highlight w:val="none"/>
        </w:rPr>
        <w:t>，</w:t>
      </w:r>
      <w:r>
        <w:rPr>
          <w:rFonts w:hint="eastAsia" w:ascii="宋体" w:hAnsi="宋体" w:cs="宋体"/>
          <w:szCs w:val="21"/>
          <w:highlight w:val="none"/>
          <w:lang w:val="en-US" w:eastAsia="zh-CN"/>
        </w:rPr>
        <w:t>本次竞争性比选内容包含</w:t>
      </w:r>
      <w:r>
        <w:rPr>
          <w:rFonts w:hint="eastAsia" w:ascii="宋体" w:hAnsi="宋体" w:cs="宋体"/>
          <w:szCs w:val="21"/>
          <w:highlight w:val="none"/>
          <w:lang w:eastAsia="zh-CN"/>
        </w:rPr>
        <w:t>首讯公司东界龙湖办公用房装修施工项目</w:t>
      </w:r>
      <w:r>
        <w:rPr>
          <w:rFonts w:hint="eastAsia" w:ascii="宋体" w:hAnsi="宋体" w:cs="宋体"/>
          <w:szCs w:val="21"/>
          <w:highlight w:val="none"/>
          <w:lang w:val="en-US" w:eastAsia="zh-CN"/>
        </w:rPr>
        <w:t>三楼办公区、食堂及驾驶员休息室、厨师寝室等区域综合改造的装修窗帘施工定制及安装</w:t>
      </w:r>
      <w:r>
        <w:rPr>
          <w:rFonts w:hint="eastAsia" w:ascii="宋体" w:hAnsi="宋体" w:cs="宋体"/>
          <w:szCs w:val="21"/>
          <w:highlight w:val="none"/>
        </w:rPr>
        <w:t>（详见工程量清单）。</w:t>
      </w:r>
    </w:p>
    <w:p>
      <w:pPr>
        <w:pStyle w:val="12"/>
        <w:adjustRightInd w:val="0"/>
        <w:spacing w:line="400" w:lineRule="exact"/>
        <w:rPr>
          <w:rFonts w:hint="eastAsia" w:ascii="宋体" w:hAnsi="宋体" w:eastAsia="宋体" w:cs="宋体"/>
          <w:szCs w:val="21"/>
          <w:highlight w:val="none"/>
          <w:lang w:val="en-US" w:eastAsia="zh-CN"/>
        </w:rPr>
      </w:pPr>
      <w:r>
        <w:rPr>
          <w:rFonts w:hint="eastAsia" w:ascii="宋体" w:hAnsi="宋体" w:cs="宋体"/>
          <w:highlight w:val="none"/>
        </w:rPr>
        <w:t>2.3 比选范围：</w:t>
      </w:r>
      <w:r>
        <w:rPr>
          <w:rFonts w:hint="eastAsia" w:ascii="宋体" w:hAnsi="宋体" w:cs="宋体"/>
          <w:szCs w:val="21"/>
          <w:highlight w:val="none"/>
          <w:lang w:val="en-US" w:eastAsia="zh-CN"/>
        </w:rPr>
        <w:t xml:space="preserve">以甲方指令的关于本工程的标准设计施工图、合同清单、图纸会审纪要、变更通知、通知单等为依据，由乙方承担本工程的设备安装调试的全部专业任务。作业人员的组织和机构设置、安全生产教育、现场文明施工和标准化建设、参加甲方组织的会议等一切与乙方相关联的工作亦属承包范围。承包方式：实行施工承包人包工、包料（以工程量清单为准）、包质量、包安装、包工期、包安全施工、包文明管理的一揽子承包方式。 </w:t>
      </w:r>
    </w:p>
    <w:p>
      <w:pPr>
        <w:spacing w:line="400" w:lineRule="exact"/>
        <w:ind w:firstLine="420" w:firstLineChars="200"/>
        <w:rPr>
          <w:rFonts w:hint="default" w:ascii="宋体" w:hAnsi="宋体" w:eastAsia="宋体" w:cs="宋体"/>
          <w:b w:val="0"/>
          <w:bCs w:val="0"/>
          <w:kern w:val="2"/>
          <w:sz w:val="21"/>
          <w:szCs w:val="24"/>
          <w:highlight w:val="none"/>
          <w:lang w:val="en-US" w:eastAsia="zh-CN" w:bidi="ar-SA"/>
        </w:rPr>
      </w:pPr>
      <w:r>
        <w:rPr>
          <w:rFonts w:hint="eastAsia" w:ascii="宋体" w:hAnsi="宋体" w:cs="宋体"/>
          <w:b w:val="0"/>
          <w:bCs w:val="0"/>
          <w:highlight w:val="none"/>
        </w:rPr>
        <w:t>2.4</w:t>
      </w:r>
      <w:r>
        <w:rPr>
          <w:rFonts w:hint="eastAsia" w:ascii="宋体" w:hAnsi="宋体" w:eastAsia="宋体" w:cs="宋体"/>
          <w:b w:val="0"/>
          <w:bCs w:val="0"/>
          <w:kern w:val="2"/>
          <w:sz w:val="21"/>
          <w:szCs w:val="24"/>
          <w:highlight w:val="none"/>
          <w:lang w:val="en-US" w:eastAsia="zh-CN" w:bidi="ar-SA"/>
        </w:rPr>
        <w:t xml:space="preserve"> </w:t>
      </w:r>
      <w:r>
        <w:rPr>
          <w:rFonts w:hint="eastAsia" w:ascii="宋体" w:hAnsi="宋体" w:cs="宋体"/>
          <w:b w:val="0"/>
          <w:bCs w:val="0"/>
          <w:kern w:val="2"/>
          <w:sz w:val="21"/>
          <w:szCs w:val="24"/>
          <w:highlight w:val="none"/>
          <w:lang w:val="en-US" w:eastAsia="zh-CN" w:bidi="ar-SA"/>
        </w:rPr>
        <w:t>工期要求：</w:t>
      </w:r>
      <w:r>
        <w:rPr>
          <w:rFonts w:hint="eastAsia" w:ascii="宋体" w:hAnsi="宋体" w:eastAsia="宋体" w:cs="宋体"/>
          <w:b w:val="0"/>
          <w:bCs w:val="0"/>
          <w:kern w:val="2"/>
          <w:sz w:val="21"/>
          <w:szCs w:val="24"/>
          <w:highlight w:val="none"/>
          <w:lang w:val="en-US" w:eastAsia="zh-CN" w:bidi="ar-SA"/>
        </w:rPr>
        <w:t>2022年</w:t>
      </w:r>
      <w:r>
        <w:rPr>
          <w:rFonts w:hint="eastAsia" w:ascii="宋体" w:hAnsi="宋体" w:cs="宋体"/>
          <w:b w:val="0"/>
          <w:bCs w:val="0"/>
          <w:kern w:val="2"/>
          <w:sz w:val="21"/>
          <w:szCs w:val="24"/>
          <w:highlight w:val="none"/>
          <w:lang w:val="en-US" w:eastAsia="zh-CN" w:bidi="ar-SA"/>
        </w:rPr>
        <w:t>8</w:t>
      </w:r>
      <w:r>
        <w:rPr>
          <w:rFonts w:hint="eastAsia" w:ascii="宋体" w:hAnsi="宋体" w:eastAsia="宋体" w:cs="宋体"/>
          <w:b w:val="0"/>
          <w:bCs w:val="0"/>
          <w:kern w:val="2"/>
          <w:sz w:val="21"/>
          <w:szCs w:val="24"/>
          <w:highlight w:val="none"/>
          <w:lang w:val="en-US" w:eastAsia="zh-CN" w:bidi="ar-SA"/>
        </w:rPr>
        <w:t>月</w:t>
      </w:r>
      <w:r>
        <w:rPr>
          <w:rFonts w:hint="eastAsia" w:ascii="宋体" w:hAnsi="宋体" w:cs="宋体"/>
          <w:b w:val="0"/>
          <w:bCs w:val="0"/>
          <w:kern w:val="2"/>
          <w:sz w:val="21"/>
          <w:szCs w:val="24"/>
          <w:highlight w:val="none"/>
          <w:lang w:val="en-US" w:eastAsia="zh-CN" w:bidi="ar-SA"/>
        </w:rPr>
        <w:t>8</w:t>
      </w:r>
      <w:r>
        <w:rPr>
          <w:rFonts w:hint="eastAsia" w:ascii="宋体" w:hAnsi="宋体" w:eastAsia="宋体" w:cs="宋体"/>
          <w:b w:val="0"/>
          <w:bCs w:val="0"/>
          <w:kern w:val="2"/>
          <w:sz w:val="21"/>
          <w:szCs w:val="24"/>
          <w:highlight w:val="none"/>
          <w:lang w:val="en-US" w:eastAsia="zh-CN" w:bidi="ar-SA"/>
        </w:rPr>
        <w:t>日前完成所有</w:t>
      </w:r>
      <w:r>
        <w:rPr>
          <w:rFonts w:hint="eastAsia" w:ascii="宋体" w:hAnsi="宋体" w:cs="宋体"/>
          <w:b w:val="0"/>
          <w:bCs w:val="0"/>
          <w:kern w:val="2"/>
          <w:sz w:val="21"/>
          <w:szCs w:val="24"/>
          <w:highlight w:val="none"/>
          <w:lang w:val="en-US" w:eastAsia="zh-CN" w:bidi="ar-SA"/>
        </w:rPr>
        <w:t>窗帘的定制及现场安装工作。</w:t>
      </w:r>
    </w:p>
    <w:p>
      <w:pPr>
        <w:pStyle w:val="2"/>
        <w:spacing w:before="120" w:after="0" w:line="360" w:lineRule="auto"/>
        <w:rPr>
          <w:rFonts w:hint="eastAsia" w:ascii="宋体" w:hAnsi="宋体" w:eastAsia="宋体" w:cs="宋体"/>
          <w:highlight w:val="none"/>
        </w:rPr>
      </w:pPr>
      <w:bookmarkStart w:id="43" w:name="_Toc152042290"/>
      <w:bookmarkStart w:id="44" w:name="_Toc7065"/>
      <w:bookmarkStart w:id="45" w:name="_Toc246996160"/>
      <w:bookmarkStart w:id="46" w:name="_Toc144974482"/>
      <w:bookmarkStart w:id="47" w:name="_Toc152045514"/>
      <w:bookmarkStart w:id="48" w:name="_Toc10171"/>
      <w:bookmarkStart w:id="49" w:name="_Toc30356"/>
      <w:bookmarkStart w:id="50" w:name="_Toc507319893"/>
      <w:bookmarkStart w:id="51" w:name="_Toc246996903"/>
      <w:bookmarkStart w:id="52" w:name="_Toc11329215"/>
      <w:bookmarkStart w:id="53" w:name="_Toc247085674"/>
      <w:bookmarkStart w:id="54" w:name="_Toc179632530"/>
      <w:r>
        <w:rPr>
          <w:rFonts w:hint="eastAsia" w:ascii="宋体" w:hAnsi="宋体" w:eastAsia="宋体" w:cs="宋体"/>
          <w:highlight w:val="none"/>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2" w:firstLineChars="200"/>
        <w:rPr>
          <w:rFonts w:hint="eastAsia" w:ascii="宋体" w:hAnsi="宋体" w:cs="宋体"/>
          <w:b/>
          <w:bCs/>
          <w:color w:val="FF0000"/>
          <w:szCs w:val="21"/>
          <w:highlight w:val="none"/>
          <w:shd w:val="clear" w:color="auto" w:fill="FFFFFF"/>
        </w:rPr>
      </w:pPr>
      <w:bookmarkStart w:id="55" w:name="_Toc152045515"/>
      <w:bookmarkStart w:id="56" w:name="_Toc246996904"/>
      <w:bookmarkStart w:id="57" w:name="_Toc144974483"/>
      <w:bookmarkStart w:id="58" w:name="_Toc179632531"/>
      <w:bookmarkStart w:id="59" w:name="_Toc246996161"/>
      <w:bookmarkStart w:id="60" w:name="_Toc247085675"/>
      <w:bookmarkStart w:id="61" w:name="_Toc152042291"/>
      <w:r>
        <w:rPr>
          <w:rFonts w:hint="eastAsia" w:ascii="宋体" w:hAnsi="宋体" w:cs="宋体"/>
          <w:b/>
          <w:bCs/>
          <w:color w:val="FF0000"/>
          <w:szCs w:val="21"/>
          <w:highlight w:val="none"/>
          <w:shd w:val="clear" w:color="auto" w:fill="FFFFFF"/>
        </w:rPr>
        <w:t>3.1 资质要求</w:t>
      </w:r>
      <w:r>
        <w:rPr>
          <w:rFonts w:hint="eastAsia" w:ascii="宋体" w:hAnsi="宋体" w:cs="宋体"/>
          <w:b/>
          <w:bCs/>
          <w:color w:val="FF0000"/>
          <w:szCs w:val="21"/>
          <w:highlight w:val="none"/>
          <w:shd w:val="clear" w:color="auto" w:fill="FFFFFF"/>
          <w:lang w:eastAsia="zh-CN"/>
        </w:rPr>
        <w:t>（</w:t>
      </w:r>
      <w:r>
        <w:rPr>
          <w:rFonts w:hint="eastAsia" w:ascii="宋体" w:hAnsi="宋体" w:cs="宋体"/>
          <w:b/>
          <w:bCs/>
          <w:color w:val="FF0000"/>
          <w:szCs w:val="21"/>
          <w:highlight w:val="none"/>
          <w:shd w:val="clear" w:color="auto" w:fill="FFFFFF"/>
          <w:lang w:val="en-US" w:eastAsia="zh-CN"/>
        </w:rPr>
        <w:t>以下资质文件若因疫情影响过期无法办理延续手续，需附相关行政部门下发的延期办理文件</w:t>
      </w:r>
      <w:r>
        <w:rPr>
          <w:rFonts w:hint="eastAsia" w:ascii="宋体" w:hAnsi="宋体" w:cs="宋体"/>
          <w:b/>
          <w:bCs/>
          <w:color w:val="FF0000"/>
          <w:szCs w:val="21"/>
          <w:highlight w:val="none"/>
          <w:shd w:val="clear" w:color="auto" w:fill="FFFFFF"/>
          <w:lang w:eastAsia="zh-CN"/>
        </w:rPr>
        <w:t>）</w:t>
      </w:r>
      <w:r>
        <w:rPr>
          <w:rFonts w:hint="eastAsia" w:ascii="宋体" w:hAnsi="宋体" w:cs="宋体"/>
          <w:b/>
          <w:bCs/>
          <w:color w:val="FF0000"/>
          <w:szCs w:val="21"/>
          <w:highlight w:val="none"/>
          <w:shd w:val="clear" w:color="auto" w:fill="FFFFFF"/>
        </w:rPr>
        <w:t>：</w:t>
      </w:r>
    </w:p>
    <w:p>
      <w:pPr>
        <w:spacing w:line="400" w:lineRule="exact"/>
        <w:ind w:firstLine="422" w:firstLineChars="200"/>
        <w:rPr>
          <w:rFonts w:hint="default" w:ascii="宋体" w:hAnsi="宋体" w:eastAsia="宋体" w:cs="宋体"/>
          <w:b/>
          <w:bCs/>
          <w:color w:val="FF0000"/>
          <w:szCs w:val="21"/>
          <w:highlight w:val="none"/>
          <w:shd w:val="clear" w:color="auto" w:fill="FFFFFF"/>
          <w:lang w:val="en-US" w:eastAsia="zh-CN"/>
        </w:rPr>
      </w:pPr>
      <w:r>
        <w:rPr>
          <w:rFonts w:hint="eastAsia" w:ascii="宋体" w:hAnsi="宋体" w:cs="宋体"/>
          <w:b/>
          <w:bCs/>
          <w:color w:val="FF0000"/>
          <w:szCs w:val="21"/>
          <w:highlight w:val="none"/>
          <w:shd w:val="clear" w:color="auto" w:fill="FFFFFF"/>
        </w:rPr>
        <w:t>（</w:t>
      </w:r>
      <w:r>
        <w:rPr>
          <w:rFonts w:hint="eastAsia" w:ascii="宋体" w:hAnsi="宋体" w:cs="宋体"/>
          <w:b/>
          <w:bCs/>
          <w:color w:val="FF0000"/>
          <w:szCs w:val="21"/>
          <w:highlight w:val="none"/>
          <w:shd w:val="clear" w:color="auto" w:fill="FFFFFF"/>
          <w:lang w:val="en-US" w:eastAsia="zh-CN"/>
        </w:rPr>
        <w:t>1</w:t>
      </w:r>
      <w:r>
        <w:rPr>
          <w:rFonts w:hint="eastAsia" w:ascii="宋体" w:hAnsi="宋体" w:cs="宋体"/>
          <w:b/>
          <w:bCs/>
          <w:color w:val="FF0000"/>
          <w:szCs w:val="21"/>
          <w:highlight w:val="none"/>
          <w:shd w:val="clear" w:color="auto" w:fill="FFFFFF"/>
        </w:rPr>
        <w:t>）具有</w:t>
      </w:r>
      <w:r>
        <w:rPr>
          <w:rFonts w:hint="eastAsia" w:ascii="宋体" w:hAnsi="宋体" w:cs="宋体"/>
          <w:b/>
          <w:bCs/>
          <w:color w:val="FF0000"/>
          <w:szCs w:val="21"/>
          <w:highlight w:val="none"/>
          <w:shd w:val="clear" w:color="auto" w:fill="FFFFFF"/>
          <w:lang w:val="en-US" w:eastAsia="zh-CN"/>
        </w:rPr>
        <w:t>独立法人资格；</w:t>
      </w:r>
    </w:p>
    <w:p>
      <w:pPr>
        <w:spacing w:line="400" w:lineRule="exact"/>
        <w:rPr>
          <w:rFonts w:hint="default" w:ascii="宋体" w:hAnsi="宋体" w:eastAsia="宋体" w:cs="宋体"/>
          <w:b/>
          <w:bCs/>
          <w:color w:val="FF0000"/>
          <w:szCs w:val="21"/>
          <w:highlight w:val="none"/>
          <w:shd w:val="clear" w:color="auto" w:fill="FFFFFF"/>
          <w:lang w:val="en-US" w:eastAsia="zh-CN"/>
        </w:rPr>
      </w:pPr>
      <w:r>
        <w:rPr>
          <w:rFonts w:hint="eastAsia" w:ascii="宋体" w:hAnsi="宋体" w:cs="宋体"/>
          <w:b/>
          <w:bCs/>
          <w:color w:val="FF0000"/>
          <w:szCs w:val="21"/>
          <w:highlight w:val="none"/>
          <w:shd w:val="clear" w:color="auto" w:fill="FFFFFF"/>
          <w:lang w:val="en-US" w:eastAsia="zh-CN"/>
        </w:rPr>
        <w:t xml:space="preserve">    （2）</w:t>
      </w:r>
      <w:r>
        <w:rPr>
          <w:rFonts w:hint="eastAsia" w:ascii="宋体" w:hAnsi="宋体" w:cs="宋体"/>
          <w:b/>
          <w:bCs/>
          <w:color w:val="FF0000"/>
          <w:szCs w:val="21"/>
          <w:highlight w:val="none"/>
          <w:shd w:val="clear" w:color="auto" w:fill="FFFFFF"/>
        </w:rPr>
        <w:t>具有有效的营业执照</w:t>
      </w:r>
      <w:r>
        <w:rPr>
          <w:rFonts w:hint="eastAsia" w:ascii="宋体" w:hAnsi="宋体" w:cs="宋体"/>
          <w:b/>
          <w:bCs/>
          <w:color w:val="FF0000"/>
          <w:szCs w:val="21"/>
          <w:highlight w:val="none"/>
          <w:shd w:val="clear" w:color="auto" w:fill="FFFFFF"/>
          <w:lang w:eastAsia="zh-CN"/>
        </w:rPr>
        <w:t>，</w:t>
      </w:r>
      <w:r>
        <w:rPr>
          <w:rFonts w:hint="eastAsia" w:ascii="宋体" w:hAnsi="宋体" w:cs="宋体"/>
          <w:b/>
          <w:bCs/>
          <w:color w:val="FF0000"/>
          <w:szCs w:val="21"/>
          <w:highlight w:val="none"/>
          <w:shd w:val="clear" w:color="auto" w:fill="FFFFFF"/>
          <w:lang w:val="en-US" w:eastAsia="zh-CN"/>
        </w:rPr>
        <w:t>且经营范围包含窗帘销售及安装。</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3.2</w:t>
      </w:r>
      <w:r>
        <w:rPr>
          <w:rFonts w:hint="eastAsia" w:ascii="宋体" w:hAnsi="宋体" w:cs="宋体"/>
          <w:szCs w:val="21"/>
          <w:highlight w:val="none"/>
          <w:shd w:val="clear" w:color="auto" w:fill="FFFFFF"/>
        </w:rPr>
        <w:t>信誉</w:t>
      </w:r>
      <w:r>
        <w:rPr>
          <w:rFonts w:hint="eastAsia" w:ascii="宋体" w:hAnsi="宋体" w:cs="宋体"/>
          <w:szCs w:val="21"/>
          <w:highlight w:val="none"/>
          <w:shd w:val="clear" w:color="auto" w:fill="FFFFFF"/>
          <w:lang w:val="en-US" w:eastAsia="zh-CN"/>
        </w:rPr>
        <w:t>要求</w:t>
      </w:r>
      <w:r>
        <w:rPr>
          <w:rFonts w:hint="eastAsia" w:ascii="宋体" w:hAnsi="宋体" w:cs="宋体"/>
          <w:szCs w:val="21"/>
          <w:highlight w:val="none"/>
          <w:shd w:val="clear" w:color="auto" w:fill="FFFFFF"/>
        </w:rPr>
        <w:t>：在国家企业信用信息公示系统（http://www.gsxt.gov.cn/）中未被列入严重违法失信企业名单（黑名单）信息；在“信用中国”网站（http://www.creditchina.gov.cn/）中未被列入失信惩戒执行人名单。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hint="default" w:ascii="宋体" w:hAnsi="宋体" w:eastAsia="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3.3报价人须提供采购人要求的所有资质要求、业绩要求、信誉要求的复印件并加盖单位鲜公章。</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4</w:t>
      </w:r>
      <w:r>
        <w:rPr>
          <w:rFonts w:hint="eastAsia" w:ascii="宋体" w:hAnsi="宋体" w:cs="宋体"/>
          <w:szCs w:val="21"/>
          <w:highlight w:val="none"/>
          <w:shd w:val="clear" w:color="auto" w:fill="FFFFFF"/>
        </w:rPr>
        <w:t>本次比选不接受联合体报价。</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5</w:t>
      </w:r>
      <w:r>
        <w:rPr>
          <w:rFonts w:hint="eastAsia" w:ascii="宋体" w:hAnsi="宋体" w:cs="宋体"/>
          <w:szCs w:val="21"/>
          <w:highlight w:val="none"/>
          <w:shd w:val="clear" w:color="auto" w:fill="FFFFFF"/>
        </w:rPr>
        <w:t>与采购人存在利害关系可能影响比选公正性的法人、其他组织或者个人，不得参加本项目报价；单位负责人为同一人或者存在控股、管理关系的不同单位，不得同时参加本项目报价，否则均按无效报价处理。</w:t>
      </w:r>
    </w:p>
    <w:p>
      <w:pPr>
        <w:pStyle w:val="2"/>
        <w:spacing w:before="120" w:after="0" w:line="400" w:lineRule="exact"/>
        <w:rPr>
          <w:rFonts w:hint="eastAsia" w:ascii="宋体" w:hAnsi="宋体" w:eastAsia="宋体" w:cs="宋体"/>
          <w:highlight w:val="none"/>
        </w:rPr>
      </w:pPr>
      <w:bookmarkStart w:id="62" w:name="_Toc12460"/>
      <w:bookmarkStart w:id="63" w:name="_Toc11329216"/>
      <w:bookmarkStart w:id="64" w:name="_Toc507319894"/>
      <w:bookmarkStart w:id="65" w:name="_Toc25619"/>
      <w:bookmarkStart w:id="66" w:name="_Toc14361"/>
      <w:r>
        <w:rPr>
          <w:rFonts w:hint="eastAsia" w:ascii="宋体" w:hAnsi="宋体" w:eastAsia="宋体" w:cs="宋体"/>
          <w:highlight w:val="none"/>
        </w:rPr>
        <w:t>4. 比选文件的获取</w:t>
      </w:r>
      <w:bookmarkEnd w:id="55"/>
      <w:bookmarkEnd w:id="56"/>
      <w:bookmarkEnd w:id="57"/>
      <w:bookmarkEnd w:id="58"/>
      <w:bookmarkEnd w:id="59"/>
      <w:bookmarkEnd w:id="60"/>
      <w:bookmarkEnd w:id="61"/>
      <w:bookmarkEnd w:id="62"/>
      <w:bookmarkEnd w:id="63"/>
      <w:bookmarkEnd w:id="64"/>
      <w:bookmarkEnd w:id="65"/>
      <w:bookmarkEnd w:id="66"/>
    </w:p>
    <w:p>
      <w:pPr>
        <w:spacing w:line="360" w:lineRule="auto"/>
        <w:ind w:firstLine="420" w:firstLineChars="200"/>
        <w:rPr>
          <w:rFonts w:hint="eastAsia" w:ascii="宋体" w:hAnsi="宋体"/>
          <w:szCs w:val="21"/>
          <w:highlight w:val="none"/>
        </w:rPr>
      </w:pPr>
      <w:bookmarkStart w:id="67" w:name="_Toc144974484"/>
      <w:bookmarkStart w:id="68" w:name="_Toc11329217"/>
      <w:bookmarkStart w:id="69" w:name="_Toc507319895"/>
      <w:bookmarkStart w:id="70" w:name="_Toc179632532"/>
      <w:bookmarkStart w:id="71" w:name="_Toc152045516"/>
      <w:bookmarkStart w:id="72" w:name="_Toc152042292"/>
      <w:bookmarkStart w:id="73" w:name="_Toc246996905"/>
      <w:bookmarkStart w:id="74" w:name="_Toc246996162"/>
      <w:bookmarkStart w:id="75" w:name="_Toc247085676"/>
      <w:r>
        <w:rPr>
          <w:rFonts w:ascii="宋体" w:hAnsi="宋体"/>
          <w:szCs w:val="21"/>
          <w:highlight w:val="none"/>
        </w:rPr>
        <w:t>凡愿意参加的潜在</w:t>
      </w:r>
      <w:r>
        <w:rPr>
          <w:rFonts w:hint="eastAsia" w:ascii="宋体" w:hAnsi="宋体"/>
          <w:szCs w:val="21"/>
          <w:highlight w:val="none"/>
        </w:rPr>
        <w:t>报价</w:t>
      </w:r>
      <w:r>
        <w:rPr>
          <w:rFonts w:ascii="宋体" w:hAnsi="宋体"/>
          <w:szCs w:val="21"/>
          <w:highlight w:val="none"/>
        </w:rPr>
        <w:t>人</w:t>
      </w:r>
      <w:r>
        <w:rPr>
          <w:rFonts w:ascii="宋体" w:hAnsi="宋体" w:cs="Times New Roman"/>
          <w:szCs w:val="21"/>
          <w:highlight w:val="none"/>
        </w:rPr>
        <w:t>，</w:t>
      </w:r>
      <w:r>
        <w:rPr>
          <w:rFonts w:hint="eastAsia" w:ascii="宋体" w:hAnsi="宋体" w:cs="Times New Roman"/>
          <w:color w:val="FF0000"/>
          <w:szCs w:val="21"/>
          <w:highlight w:val="none"/>
          <w:lang w:val="en-US" w:eastAsia="zh-CN"/>
        </w:rPr>
        <w:t>在</w:t>
      </w:r>
      <w:r>
        <w:rPr>
          <w:rFonts w:hint="eastAsia" w:ascii="宋体" w:hAnsi="宋体" w:cs="Times New Roman"/>
          <w:color w:val="FF0000"/>
          <w:szCs w:val="21"/>
          <w:highlight w:val="none"/>
          <w:u w:val="single"/>
        </w:rPr>
        <w:t>20</w:t>
      </w:r>
      <w:r>
        <w:rPr>
          <w:rFonts w:hint="eastAsia" w:ascii="宋体" w:hAnsi="宋体" w:cs="Times New Roman"/>
          <w:color w:val="FF0000"/>
          <w:szCs w:val="21"/>
          <w:highlight w:val="none"/>
          <w:u w:val="single"/>
          <w:lang w:val="en-US" w:eastAsia="zh-CN"/>
        </w:rPr>
        <w:t>22</w:t>
      </w:r>
      <w:r>
        <w:rPr>
          <w:rFonts w:hint="eastAsia" w:ascii="宋体" w:hAnsi="宋体" w:cs="Times New Roman"/>
          <w:color w:val="FF0000"/>
          <w:szCs w:val="21"/>
          <w:highlight w:val="none"/>
        </w:rPr>
        <w:t>年</w:t>
      </w:r>
      <w:r>
        <w:rPr>
          <w:rFonts w:hint="eastAsia" w:ascii="宋体" w:hAnsi="宋体" w:cs="Times New Roman"/>
          <w:color w:val="FF0000"/>
          <w:szCs w:val="21"/>
          <w:highlight w:val="none"/>
          <w:lang w:val="en-US" w:eastAsia="zh-CN"/>
        </w:rPr>
        <w:t>8</w:t>
      </w:r>
      <w:r>
        <w:rPr>
          <w:rFonts w:hint="eastAsia" w:ascii="宋体" w:hAnsi="宋体" w:cs="Times New Roman"/>
          <w:color w:val="FF0000"/>
          <w:szCs w:val="21"/>
          <w:highlight w:val="none"/>
          <w:u w:val="single"/>
          <w:lang w:val="en-US" w:eastAsia="zh-CN"/>
        </w:rPr>
        <w:t xml:space="preserve"> </w:t>
      </w:r>
      <w:r>
        <w:rPr>
          <w:rFonts w:hint="eastAsia" w:ascii="宋体" w:hAnsi="宋体" w:cs="Times New Roman"/>
          <w:color w:val="FF0000"/>
          <w:szCs w:val="21"/>
          <w:highlight w:val="none"/>
        </w:rPr>
        <w:t>月</w:t>
      </w:r>
      <w:r>
        <w:rPr>
          <w:rFonts w:hint="eastAsia" w:ascii="宋体" w:hAnsi="宋体" w:cs="Times New Roman"/>
          <w:color w:val="FF0000"/>
          <w:szCs w:val="21"/>
          <w:highlight w:val="none"/>
          <w:u w:val="single"/>
          <w:lang w:val="en-US" w:eastAsia="zh-CN"/>
        </w:rPr>
        <w:t xml:space="preserve"> 1</w:t>
      </w:r>
      <w:r>
        <w:rPr>
          <w:rFonts w:hint="eastAsia" w:ascii="宋体" w:hAnsi="宋体" w:cs="Times New Roman"/>
          <w:color w:val="FF0000"/>
          <w:szCs w:val="21"/>
          <w:highlight w:val="none"/>
        </w:rPr>
        <w:t>日</w:t>
      </w:r>
      <w:r>
        <w:rPr>
          <w:rFonts w:hint="eastAsia" w:ascii="宋体" w:hAnsi="宋体" w:cs="Times New Roman"/>
          <w:color w:val="FF0000"/>
          <w:szCs w:val="21"/>
          <w:highlight w:val="none"/>
          <w:lang w:val="en-US" w:eastAsia="zh-CN"/>
        </w:rPr>
        <w:t>下午</w:t>
      </w:r>
      <w:r>
        <w:rPr>
          <w:rFonts w:hint="eastAsia" w:ascii="宋体" w:hAnsi="宋体" w:cs="Times New Roman"/>
          <w:color w:val="FF0000"/>
          <w:szCs w:val="21"/>
          <w:highlight w:val="none"/>
          <w:u w:val="single"/>
          <w:lang w:val="en-US" w:eastAsia="zh-CN"/>
        </w:rPr>
        <w:t>15:00</w:t>
      </w:r>
      <w:r>
        <w:rPr>
          <w:rFonts w:hint="eastAsia" w:ascii="宋体" w:hAnsi="宋体" w:cs="Times New Roman"/>
          <w:color w:val="FF0000"/>
          <w:szCs w:val="21"/>
          <w:highlight w:val="none"/>
          <w:lang w:val="en-US" w:eastAsia="zh-CN"/>
        </w:rPr>
        <w:t>前在</w:t>
      </w:r>
      <w:r>
        <w:rPr>
          <w:rFonts w:hint="eastAsia" w:ascii="宋体" w:hAnsi="宋体" w:cs="Times New Roman"/>
          <w:szCs w:val="21"/>
          <w:highlight w:val="none"/>
          <w:lang w:val="en-US" w:eastAsia="zh-CN"/>
        </w:rPr>
        <w:t>重庆高速集团招投标管理平台</w:t>
      </w:r>
      <w:r>
        <w:rPr>
          <w:rFonts w:hint="eastAsia" w:ascii="宋体" w:hAnsi="宋体" w:cs="Times New Roman"/>
          <w:szCs w:val="21"/>
          <w:highlight w:val="none"/>
        </w:rPr>
        <w:t>上</w:t>
      </w:r>
      <w:r>
        <w:rPr>
          <w:rFonts w:hint="eastAsia" w:ascii="宋体" w:hAnsi="宋体" w:cs="Times New Roman"/>
          <w:szCs w:val="21"/>
          <w:highlight w:val="none"/>
          <w:lang w:val="en-US" w:eastAsia="zh-CN"/>
        </w:rPr>
        <w:t>进行报名</w:t>
      </w:r>
      <w:r>
        <w:rPr>
          <w:rFonts w:hint="eastAsia" w:ascii="宋体" w:hAnsi="宋体" w:cs="Times New Roman"/>
          <w:szCs w:val="21"/>
          <w:highlight w:val="none"/>
        </w:rPr>
        <w:t>，各报价人</w:t>
      </w:r>
      <w:r>
        <w:rPr>
          <w:rFonts w:hint="eastAsia" w:ascii="宋体" w:hAnsi="宋体"/>
          <w:szCs w:val="21"/>
          <w:highlight w:val="none"/>
        </w:rPr>
        <w:t>应随时关注网上发布的竞争性比选文件答疑、补遗、澄清等文件内容，不管报价人是否下载，均视为已知晓竞争性比选文件的全部内容和有关事宜。</w:t>
      </w:r>
    </w:p>
    <w:p>
      <w:pPr>
        <w:pStyle w:val="2"/>
        <w:spacing w:before="120" w:after="0" w:line="400" w:lineRule="exact"/>
        <w:rPr>
          <w:rFonts w:hint="eastAsia" w:ascii="宋体" w:hAnsi="宋体" w:eastAsia="宋体" w:cs="宋体"/>
          <w:highlight w:val="none"/>
        </w:rPr>
      </w:pPr>
      <w:bookmarkStart w:id="76" w:name="_Toc31493"/>
      <w:bookmarkStart w:id="77" w:name="_Toc16686"/>
      <w:bookmarkStart w:id="78" w:name="_Toc9131"/>
      <w:r>
        <w:rPr>
          <w:rFonts w:hint="eastAsia" w:ascii="宋体" w:hAnsi="宋体" w:eastAsia="宋体" w:cs="宋体"/>
          <w:highlight w:val="none"/>
        </w:rPr>
        <w:t>5.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highlight w:val="none"/>
        </w:rPr>
        <w:t>及相关事宜</w:t>
      </w:r>
      <w:bookmarkEnd w:id="76"/>
      <w:bookmarkEnd w:id="77"/>
      <w:bookmarkEnd w:id="78"/>
    </w:p>
    <w:p>
      <w:pPr>
        <w:tabs>
          <w:tab w:val="left" w:pos="360"/>
        </w:tabs>
        <w:spacing w:line="400" w:lineRule="exact"/>
        <w:ind w:firstLine="420" w:firstLineChars="200"/>
        <w:rPr>
          <w:rFonts w:hint="eastAsia" w:ascii="宋体" w:hAnsi="宋体" w:cs="宋体"/>
          <w:color w:val="FF0000"/>
          <w:szCs w:val="21"/>
          <w:highlight w:val="none"/>
        </w:rPr>
      </w:pPr>
      <w:r>
        <w:rPr>
          <w:rFonts w:hint="eastAsia" w:ascii="宋体" w:hAnsi="宋体" w:cs="宋体"/>
          <w:color w:val="FF0000"/>
          <w:szCs w:val="21"/>
          <w:highlight w:val="none"/>
        </w:rPr>
        <w:t>5.1报价截止时间和开标时间：</w:t>
      </w:r>
      <w:r>
        <w:rPr>
          <w:rFonts w:hint="eastAsia" w:ascii="宋体" w:hAnsi="宋体" w:cs="Times New Roman"/>
          <w:color w:val="FF0000"/>
          <w:szCs w:val="21"/>
          <w:highlight w:val="none"/>
          <w:u w:val="single"/>
        </w:rPr>
        <w:t>20</w:t>
      </w:r>
      <w:r>
        <w:rPr>
          <w:rFonts w:hint="eastAsia" w:ascii="宋体" w:hAnsi="宋体" w:cs="Times New Roman"/>
          <w:color w:val="FF0000"/>
          <w:szCs w:val="21"/>
          <w:highlight w:val="none"/>
          <w:u w:val="single"/>
          <w:lang w:val="en-US" w:eastAsia="zh-CN"/>
        </w:rPr>
        <w:t>22</w:t>
      </w:r>
      <w:r>
        <w:rPr>
          <w:rFonts w:hint="eastAsia" w:ascii="宋体" w:hAnsi="宋体" w:cs="Times New Roman"/>
          <w:color w:val="FF0000"/>
          <w:szCs w:val="21"/>
          <w:highlight w:val="none"/>
        </w:rPr>
        <w:t>年</w:t>
      </w:r>
      <w:r>
        <w:rPr>
          <w:rFonts w:hint="eastAsia" w:ascii="宋体" w:hAnsi="宋体" w:cs="Times New Roman"/>
          <w:color w:val="FF0000"/>
          <w:szCs w:val="21"/>
          <w:highlight w:val="none"/>
          <w:u w:val="single"/>
          <w:lang w:val="en-US" w:eastAsia="zh-CN"/>
        </w:rPr>
        <w:t xml:space="preserve"> 8</w:t>
      </w:r>
      <w:r>
        <w:rPr>
          <w:rFonts w:hint="eastAsia" w:ascii="宋体" w:hAnsi="宋体" w:cs="Times New Roman"/>
          <w:color w:val="FF0000"/>
          <w:szCs w:val="21"/>
          <w:highlight w:val="none"/>
        </w:rPr>
        <w:t>月</w:t>
      </w:r>
      <w:r>
        <w:rPr>
          <w:rFonts w:hint="eastAsia" w:ascii="宋体" w:hAnsi="宋体" w:cs="Times New Roman"/>
          <w:color w:val="FF0000"/>
          <w:szCs w:val="21"/>
          <w:highlight w:val="none"/>
          <w:u w:val="single"/>
          <w:lang w:val="en-US" w:eastAsia="zh-CN"/>
        </w:rPr>
        <w:t xml:space="preserve"> 1</w:t>
      </w:r>
      <w:r>
        <w:rPr>
          <w:rFonts w:hint="eastAsia" w:ascii="宋体" w:hAnsi="宋体" w:cs="Times New Roman"/>
          <w:color w:val="FF0000"/>
          <w:szCs w:val="21"/>
          <w:highlight w:val="none"/>
        </w:rPr>
        <w:t>日</w:t>
      </w:r>
      <w:r>
        <w:rPr>
          <w:rFonts w:hint="eastAsia" w:ascii="宋体" w:hAnsi="宋体" w:cs="Times New Roman"/>
          <w:color w:val="FF0000"/>
          <w:szCs w:val="21"/>
          <w:highlight w:val="none"/>
          <w:lang w:val="en-US" w:eastAsia="zh-CN"/>
        </w:rPr>
        <w:t>下午</w:t>
      </w:r>
      <w:r>
        <w:rPr>
          <w:rFonts w:hint="eastAsia" w:ascii="宋体" w:hAnsi="宋体" w:cs="宋体"/>
          <w:color w:val="FF0000"/>
          <w:szCs w:val="21"/>
          <w:highlight w:val="none"/>
          <w:u w:val="single"/>
        </w:rPr>
        <w:t xml:space="preserve"> </w:t>
      </w:r>
      <w:r>
        <w:rPr>
          <w:rFonts w:hint="eastAsia" w:ascii="宋体" w:hAnsi="宋体" w:cs="宋体"/>
          <w:color w:val="FF0000"/>
          <w:szCs w:val="21"/>
          <w:highlight w:val="none"/>
          <w:u w:val="single"/>
          <w:lang w:val="en-US" w:eastAsia="zh-CN"/>
        </w:rPr>
        <w:t>15</w:t>
      </w:r>
      <w:r>
        <w:rPr>
          <w:rFonts w:hint="eastAsia" w:ascii="宋体" w:hAnsi="宋体" w:cs="宋体"/>
          <w:color w:val="FF0000"/>
          <w:szCs w:val="21"/>
          <w:highlight w:val="none"/>
          <w:u w:val="single"/>
        </w:rPr>
        <w:t xml:space="preserve"> </w:t>
      </w:r>
      <w:r>
        <w:rPr>
          <w:rFonts w:hint="eastAsia" w:ascii="宋体" w:hAnsi="宋体" w:cs="宋体"/>
          <w:color w:val="FF0000"/>
          <w:szCs w:val="21"/>
          <w:highlight w:val="none"/>
        </w:rPr>
        <w:t>时</w:t>
      </w:r>
      <w:r>
        <w:rPr>
          <w:rFonts w:hint="eastAsia" w:ascii="宋体" w:hAnsi="宋体" w:cs="宋体"/>
          <w:color w:val="FF0000"/>
          <w:szCs w:val="21"/>
          <w:highlight w:val="none"/>
          <w:u w:val="single"/>
        </w:rPr>
        <w:t xml:space="preserve"> </w:t>
      </w:r>
      <w:r>
        <w:rPr>
          <w:rFonts w:hint="eastAsia" w:ascii="宋体" w:hAnsi="宋体" w:cs="宋体"/>
          <w:color w:val="FF0000"/>
          <w:szCs w:val="21"/>
          <w:highlight w:val="none"/>
          <w:u w:val="single"/>
          <w:lang w:val="en-US" w:eastAsia="zh-CN"/>
        </w:rPr>
        <w:t>00</w:t>
      </w:r>
      <w:r>
        <w:rPr>
          <w:rFonts w:hint="eastAsia" w:ascii="宋体" w:hAnsi="宋体" w:cs="宋体"/>
          <w:color w:val="FF0000"/>
          <w:szCs w:val="21"/>
          <w:highlight w:val="none"/>
          <w:u w:val="single"/>
        </w:rPr>
        <w:t xml:space="preserve"> </w:t>
      </w:r>
      <w:r>
        <w:rPr>
          <w:rFonts w:hint="eastAsia" w:ascii="宋体" w:hAnsi="宋体" w:cs="宋体"/>
          <w:color w:val="FF0000"/>
          <w:szCs w:val="21"/>
          <w:highlight w:val="none"/>
        </w:rPr>
        <w:t>分（北京时间）。</w:t>
      </w:r>
    </w:p>
    <w:p>
      <w:pPr>
        <w:tabs>
          <w:tab w:val="left" w:pos="360"/>
        </w:tabs>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5.2报价</w:t>
      </w:r>
      <w:r>
        <w:rPr>
          <w:rFonts w:hint="eastAsia" w:ascii="宋体" w:hAnsi="宋体" w:cs="宋体"/>
          <w:szCs w:val="21"/>
          <w:highlight w:val="none"/>
          <w:lang w:val="en-US" w:eastAsia="zh-CN"/>
        </w:rPr>
        <w:t>的上传</w:t>
      </w:r>
      <w:r>
        <w:rPr>
          <w:rFonts w:hint="eastAsia" w:ascii="宋体" w:hAnsi="宋体" w:cs="宋体"/>
          <w:szCs w:val="21"/>
          <w:highlight w:val="none"/>
        </w:rPr>
        <w:t>：</w:t>
      </w:r>
      <w:r>
        <w:rPr>
          <w:rFonts w:hint="eastAsia" w:ascii="宋体" w:hAnsi="宋体" w:cs="宋体"/>
          <w:szCs w:val="21"/>
          <w:highlight w:val="none"/>
          <w:lang w:val="en-US" w:eastAsia="zh-CN"/>
        </w:rPr>
        <w:t>报价人将完整的报价资料的扫描件（扫描到一个PDF文件）上传至</w:t>
      </w:r>
      <w:r>
        <w:rPr>
          <w:rFonts w:hint="eastAsia" w:ascii="宋体" w:hAnsi="宋体" w:cs="Times New Roman"/>
          <w:szCs w:val="21"/>
          <w:highlight w:val="none"/>
          <w:lang w:val="en-US" w:eastAsia="zh-CN"/>
        </w:rPr>
        <w:t>重庆高速集团招投标管理平台。</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3</w:t>
      </w:r>
      <w:r>
        <w:rPr>
          <w:rFonts w:ascii="宋体" w:hAnsi="宋体" w:cs="宋体"/>
          <w:szCs w:val="21"/>
          <w:highlight w:val="none"/>
        </w:rPr>
        <w:t>采购人不组织工程现场踏勘，不召开报价预备会。</w:t>
      </w:r>
    </w:p>
    <w:p>
      <w:pPr>
        <w:pStyle w:val="2"/>
        <w:spacing w:before="120" w:after="0" w:line="400" w:lineRule="exact"/>
        <w:rPr>
          <w:rFonts w:hint="eastAsia" w:ascii="宋体" w:hAnsi="宋体" w:eastAsia="宋体" w:cs="宋体"/>
          <w:highlight w:val="none"/>
        </w:rPr>
      </w:pPr>
      <w:bookmarkStart w:id="79" w:name="_Toc507319897"/>
      <w:bookmarkStart w:id="80" w:name="_Toc21615"/>
      <w:bookmarkStart w:id="81" w:name="_Toc179632534"/>
      <w:bookmarkStart w:id="82" w:name="_Toc11329219"/>
      <w:bookmarkStart w:id="83" w:name="_Toc393"/>
      <w:bookmarkStart w:id="84" w:name="_Toc246996907"/>
      <w:bookmarkStart w:id="85" w:name="_Toc246996164"/>
      <w:bookmarkStart w:id="86" w:name="_Toc152042293"/>
      <w:bookmarkStart w:id="87" w:name="_Toc247085678"/>
      <w:bookmarkStart w:id="88" w:name="_Toc144974485"/>
      <w:bookmarkStart w:id="89" w:name="_Toc152045517"/>
      <w:bookmarkStart w:id="90" w:name="_Toc18402"/>
      <w:r>
        <w:rPr>
          <w:rFonts w:hint="eastAsia" w:ascii="宋体" w:hAnsi="宋体" w:eastAsia="宋体" w:cs="宋体"/>
          <w:highlight w:val="none"/>
          <w:lang w:val="en-US" w:eastAsia="zh-CN"/>
        </w:rPr>
        <w:t>6</w:t>
      </w:r>
      <w:r>
        <w:rPr>
          <w:rFonts w:hint="eastAsia" w:ascii="宋体" w:hAnsi="宋体" w:eastAsia="宋体" w:cs="宋体"/>
          <w:highlight w:val="none"/>
        </w:rPr>
        <w:t>. 联系方式</w:t>
      </w:r>
      <w:bookmarkEnd w:id="79"/>
      <w:bookmarkEnd w:id="80"/>
      <w:bookmarkEnd w:id="81"/>
      <w:bookmarkEnd w:id="82"/>
      <w:bookmarkEnd w:id="83"/>
      <w:bookmarkEnd w:id="84"/>
      <w:bookmarkEnd w:id="85"/>
      <w:bookmarkEnd w:id="86"/>
      <w:bookmarkEnd w:id="87"/>
      <w:bookmarkEnd w:id="88"/>
      <w:bookmarkEnd w:id="89"/>
      <w:bookmarkEnd w:id="90"/>
    </w:p>
    <w:tbl>
      <w:tblPr>
        <w:tblStyle w:val="43"/>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2"/>
              <w:keepNext w:val="0"/>
              <w:keepLines w:val="0"/>
              <w:suppressLineNumbers w:val="0"/>
              <w:spacing w:before="0" w:beforeAutospacing="0" w:after="0" w:afterAutospacing="0" w:line="400" w:lineRule="exact"/>
              <w:ind w:left="0" w:right="0" w:firstLine="420" w:firstLineChars="200"/>
              <w:jc w:val="both"/>
              <w:rPr>
                <w:rFonts w:hint="eastAsia"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2"/>
              <w:keepNext w:val="0"/>
              <w:keepLines w:val="0"/>
              <w:suppressLineNumbers w:val="0"/>
              <w:spacing w:before="0" w:beforeAutospacing="0" w:after="0" w:afterAutospacing="0" w:line="400" w:lineRule="exact"/>
              <w:ind w:left="0" w:right="0" w:firstLine="420" w:firstLineChars="200"/>
              <w:jc w:val="both"/>
              <w:rPr>
                <w:rFonts w:hint="eastAsia"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keepNext w:val="0"/>
              <w:keepLines w:val="0"/>
              <w:suppressLineNumbers w:val="0"/>
              <w:topLinePunct/>
              <w:spacing w:before="0" w:beforeAutospacing="0" w:after="0" w:afterAutospacing="0" w:line="400" w:lineRule="exact"/>
              <w:ind w:left="1050" w:leftChars="200" w:right="0" w:hanging="630" w:hangingChars="300"/>
              <w:rPr>
                <w:rFonts w:hint="eastAsia" w:ascii="宋体" w:hAnsi="宋体" w:cs="宋体"/>
                <w:szCs w:val="21"/>
                <w:highlight w:val="none"/>
              </w:rPr>
            </w:pPr>
            <w:r>
              <w:rPr>
                <w:rFonts w:hint="eastAsia" w:ascii="宋体" w:hAnsi="宋体" w:cs="宋体"/>
                <w:szCs w:val="21"/>
                <w:highlight w:val="none"/>
              </w:rPr>
              <w:t>地址：重庆市南岸区四公里内环入口</w:t>
            </w:r>
            <w:r>
              <w:rPr>
                <w:rFonts w:hint="eastAsia" w:ascii="宋体" w:hAnsi="宋体" w:cs="宋体"/>
                <w:szCs w:val="21"/>
                <w:highlight w:val="none"/>
                <w:lang w:val="en-US" w:eastAsia="zh-CN"/>
              </w:rPr>
              <w:t>200米重庆</w:t>
            </w:r>
            <w:r>
              <w:rPr>
                <w:rFonts w:hint="eastAsia" w:ascii="宋体" w:hAnsi="宋体" w:cs="宋体"/>
                <w:szCs w:val="21"/>
                <w:highlight w:val="none"/>
              </w:rPr>
              <w:t>首讯科技大楼</w:t>
            </w:r>
          </w:p>
        </w:tc>
        <w:tc>
          <w:tcPr>
            <w:tcW w:w="1415"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keepNext w:val="0"/>
              <w:keepLines w:val="0"/>
              <w:suppressLineNumbers w:val="0"/>
              <w:topLinePunct/>
              <w:spacing w:before="0" w:beforeAutospacing="0" w:after="0" w:afterAutospacing="0" w:line="400" w:lineRule="exact"/>
              <w:ind w:left="0" w:right="0"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技术</w:t>
            </w:r>
            <w:r>
              <w:rPr>
                <w:rFonts w:hint="eastAsia" w:ascii="宋体" w:hAnsi="宋体" w:cs="宋体"/>
                <w:szCs w:val="21"/>
                <w:highlight w:val="none"/>
              </w:rPr>
              <w:t>联系人：</w:t>
            </w:r>
            <w:r>
              <w:rPr>
                <w:rFonts w:hint="eastAsia" w:ascii="宋体" w:hAnsi="宋体" w:cs="宋体"/>
                <w:szCs w:val="21"/>
                <w:highlight w:val="none"/>
                <w:lang w:val="en-US" w:eastAsia="zh-CN"/>
              </w:rPr>
              <w:t xml:space="preserve">黄老师  </w:t>
            </w:r>
            <w:r>
              <w:rPr>
                <w:rFonts w:hint="eastAsia" w:ascii="宋体" w:hAnsi="宋体" w:cs="宋体"/>
                <w:szCs w:val="21"/>
                <w:highlight w:val="none"/>
              </w:rPr>
              <w:t>电 话：</w:t>
            </w:r>
            <w:r>
              <w:rPr>
                <w:rFonts w:hint="eastAsia" w:ascii="宋体" w:hAnsi="宋体" w:cs="宋体"/>
                <w:szCs w:val="21"/>
                <w:highlight w:val="none"/>
                <w:lang w:val="en-US" w:eastAsia="zh-CN"/>
              </w:rPr>
              <w:t>15823672420</w:t>
            </w:r>
          </w:p>
        </w:tc>
        <w:tc>
          <w:tcPr>
            <w:tcW w:w="1415"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keepNext w:val="0"/>
              <w:keepLines w:val="0"/>
              <w:suppressLineNumbers w:val="0"/>
              <w:topLinePunct/>
              <w:spacing w:before="0" w:beforeAutospacing="0" w:after="0" w:afterAutospacing="0" w:line="420" w:lineRule="exact"/>
              <w:ind w:left="0" w:right="0" w:firstLine="420" w:firstLineChars="200"/>
              <w:rPr>
                <w:rFonts w:hint="default"/>
                <w:highlight w:val="none"/>
                <w:lang w:val="en-US"/>
              </w:rPr>
            </w:pPr>
            <w:r>
              <w:rPr>
                <w:rFonts w:hint="eastAsia" w:ascii="宋体" w:hAnsi="宋体" w:cs="宋体"/>
                <w:szCs w:val="21"/>
                <w:highlight w:val="none"/>
                <w:lang w:val="en-US" w:eastAsia="zh-CN"/>
              </w:rPr>
              <w:t>商务</w:t>
            </w:r>
            <w:r>
              <w:rPr>
                <w:rFonts w:hint="eastAsia" w:ascii="宋体" w:hAnsi="宋体" w:cs="宋体"/>
                <w:szCs w:val="21"/>
                <w:highlight w:val="none"/>
              </w:rPr>
              <w:t>联系人：</w:t>
            </w:r>
            <w:r>
              <w:rPr>
                <w:rFonts w:hint="eastAsia" w:ascii="宋体" w:hAnsi="宋体" w:cs="宋体"/>
                <w:szCs w:val="21"/>
                <w:highlight w:val="none"/>
                <w:lang w:val="en-US" w:eastAsia="zh-CN"/>
              </w:rPr>
              <w:t xml:space="preserve">蒋老师  </w:t>
            </w:r>
            <w:r>
              <w:rPr>
                <w:rFonts w:hint="eastAsia" w:ascii="宋体" w:hAnsi="宋体" w:cs="宋体"/>
                <w:szCs w:val="21"/>
                <w:highlight w:val="none"/>
              </w:rPr>
              <w:t>电 话：</w:t>
            </w:r>
            <w:r>
              <w:rPr>
                <w:rFonts w:hint="eastAsia" w:ascii="宋体" w:hAnsi="宋体" w:cs="宋体"/>
                <w:szCs w:val="21"/>
                <w:highlight w:val="none"/>
                <w:lang w:val="en-US" w:eastAsia="zh-CN"/>
              </w:rPr>
              <w:t>18523055172</w:t>
            </w:r>
          </w:p>
        </w:tc>
        <w:tc>
          <w:tcPr>
            <w:tcW w:w="1415"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p>
        </w:tc>
      </w:tr>
    </w:tbl>
    <w:p>
      <w:pPr>
        <w:rPr>
          <w:highlight w:val="none"/>
        </w:rPr>
      </w:pPr>
    </w:p>
    <w:p>
      <w:pPr>
        <w:pStyle w:val="28"/>
        <w:rPr>
          <w:highlight w:val="none"/>
        </w:rPr>
      </w:pPr>
    </w:p>
    <w:p>
      <w:pPr>
        <w:rPr>
          <w:highlight w:val="none"/>
        </w:rPr>
      </w:pPr>
    </w:p>
    <w:p>
      <w:pPr>
        <w:pStyle w:val="28"/>
        <w:rPr>
          <w:highlight w:val="none"/>
        </w:rPr>
      </w:pPr>
    </w:p>
    <w:p>
      <w:pPr>
        <w:pStyle w:val="28"/>
        <w:rPr>
          <w:highlight w:val="none"/>
        </w:rPr>
      </w:pPr>
    </w:p>
    <w:bookmarkEnd w:id="16"/>
    <w:bookmarkEnd w:id="17"/>
    <w:p>
      <w:pPr>
        <w:pStyle w:val="3"/>
        <w:spacing w:before="0" w:after="0" w:line="360" w:lineRule="auto"/>
        <w:jc w:val="center"/>
        <w:rPr>
          <w:rFonts w:hint="eastAsia" w:ascii="宋体" w:hAnsi="宋体" w:cs="宋体"/>
          <w:highlight w:val="none"/>
        </w:rPr>
      </w:pPr>
      <w:bookmarkStart w:id="91" w:name="_Toc2000405"/>
      <w:bookmarkStart w:id="92" w:name="_Toc21719"/>
      <w:bookmarkStart w:id="93" w:name="_Toc144974495"/>
      <w:bookmarkStart w:id="94" w:name="_Toc246996173"/>
      <w:bookmarkStart w:id="95" w:name="_Toc179632544"/>
      <w:bookmarkStart w:id="96" w:name="_Toc246996916"/>
      <w:bookmarkStart w:id="97" w:name="_Toc507319898"/>
      <w:bookmarkStart w:id="98" w:name="_Toc152042303"/>
      <w:bookmarkStart w:id="99" w:name="_Toc247085687"/>
      <w:bookmarkStart w:id="100" w:name="_Toc152045527"/>
      <w:r>
        <w:rPr>
          <w:rFonts w:hint="eastAsia" w:ascii="宋体" w:hAnsi="宋体" w:cs="宋体"/>
          <w:highlight w:val="none"/>
        </w:rPr>
        <w:br w:type="page"/>
      </w:r>
      <w:r>
        <w:rPr>
          <w:rFonts w:hint="eastAsia" w:ascii="宋体" w:hAnsi="宋体" w:cs="宋体"/>
          <w:highlight w:val="none"/>
        </w:rPr>
        <w:t>第二章 报价人须知</w:t>
      </w:r>
      <w:bookmarkEnd w:id="91"/>
      <w:bookmarkEnd w:id="92"/>
      <w:bookmarkEnd w:id="93"/>
      <w:bookmarkEnd w:id="94"/>
      <w:bookmarkEnd w:id="95"/>
      <w:bookmarkEnd w:id="96"/>
      <w:bookmarkEnd w:id="97"/>
      <w:bookmarkEnd w:id="98"/>
      <w:bookmarkEnd w:id="99"/>
      <w:bookmarkEnd w:id="100"/>
    </w:p>
    <w:p>
      <w:pPr>
        <w:rPr>
          <w:rFonts w:hint="eastAsia"/>
          <w:highlight w:val="none"/>
        </w:rPr>
      </w:pPr>
    </w:p>
    <w:tbl>
      <w:tblPr>
        <w:tblStyle w:val="4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b/>
                <w:kern w:val="0"/>
                <w:szCs w:val="21"/>
                <w:highlight w:val="none"/>
              </w:rPr>
            </w:pPr>
            <w:bookmarkStart w:id="101" w:name="_Toc326760840"/>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keepNext w:val="0"/>
              <w:keepLines w:val="0"/>
              <w:suppressLineNumbers w:val="0"/>
              <w:spacing w:before="0" w:beforeAutospacing="0" w:after="0" w:afterAutospacing="0" w:line="400" w:lineRule="exact"/>
              <w:ind w:left="0" w:right="0"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址：重庆市南岸区四公里内环入口</w:t>
            </w:r>
            <w:r>
              <w:rPr>
                <w:rFonts w:hint="eastAsia" w:ascii="宋体" w:hAnsi="宋体" w:cs="宋体"/>
                <w:szCs w:val="21"/>
                <w:highlight w:val="none"/>
                <w:lang w:val="en-US" w:eastAsia="zh-CN"/>
              </w:rPr>
              <w:t>200米重庆</w:t>
            </w:r>
            <w:r>
              <w:rPr>
                <w:rFonts w:hint="eastAsia" w:ascii="宋体" w:hAnsi="宋体" w:cs="宋体"/>
                <w:szCs w:val="21"/>
                <w:highlight w:val="none"/>
              </w:rPr>
              <w:t>首讯科技大楼</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黄老师</w:t>
            </w:r>
          </w:p>
          <w:p>
            <w:pPr>
              <w:keepNext w:val="0"/>
              <w:keepLines w:val="0"/>
              <w:suppressLineNumbers w:val="0"/>
              <w:topLinePunct/>
              <w:spacing w:before="0" w:beforeAutospacing="0" w:after="0" w:afterAutospacing="0" w:line="420" w:lineRule="exact"/>
              <w:ind w:left="0" w:right="0" w:firstLine="420" w:firstLineChars="200"/>
              <w:rPr>
                <w:rFonts w:hint="default" w:eastAsia="宋体"/>
                <w:highlight w:val="none"/>
                <w:lang w:val="en-US" w:eastAsia="zh-CN"/>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15823672420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ascii="宋体" w:hAnsi="宋体" w:cs="宋体"/>
                <w:szCs w:val="21"/>
                <w:highlight w:val="none"/>
                <w:lang w:eastAsia="zh-CN"/>
              </w:rPr>
              <w:t>首讯公司东界龙湖办公用房装修</w:t>
            </w:r>
            <w:r>
              <w:rPr>
                <w:rFonts w:hint="eastAsia" w:ascii="宋体" w:hAnsi="宋体" w:cs="宋体"/>
                <w:szCs w:val="21"/>
                <w:highlight w:val="none"/>
                <w:lang w:val="en-US" w:eastAsia="zh-CN"/>
              </w:rPr>
              <w:t>窗帘定制及安装</w:t>
            </w:r>
            <w:r>
              <w:rPr>
                <w:rFonts w:hint="eastAsia" w:ascii="宋体" w:hAnsi="宋体" w:cs="宋体"/>
                <w:szCs w:val="21"/>
                <w:highlight w:val="none"/>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项目地点</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比选范围</w:t>
            </w:r>
          </w:p>
        </w:tc>
        <w:tc>
          <w:tcPr>
            <w:tcW w:w="7104" w:type="dxa"/>
            <w:vAlign w:val="center"/>
          </w:tcPr>
          <w:p>
            <w:pPr>
              <w:keepNext w:val="0"/>
              <w:keepLines w:val="0"/>
              <w:suppressLineNumbers w:val="0"/>
              <w:tabs>
                <w:tab w:val="left" w:pos="3000"/>
                <w:tab w:val="left" w:pos="3280"/>
                <w:tab w:val="left" w:pos="6120"/>
                <w:tab w:val="left" w:pos="7540"/>
                <w:tab w:val="left" w:pos="8320"/>
              </w:tabs>
              <w:autoSpaceDE w:val="0"/>
              <w:autoSpaceDN w:val="0"/>
              <w:adjustRightInd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eastAsia="zh-CN"/>
              </w:rPr>
            </w:pPr>
            <w:r>
              <w:rPr>
                <w:rFonts w:hint="eastAsia" w:ascii="宋体" w:hAnsi="宋体" w:cs="宋体"/>
                <w:kern w:val="0"/>
                <w:szCs w:val="21"/>
                <w:highlight w:val="none"/>
              </w:rPr>
              <w:t>工期</w:t>
            </w:r>
            <w:r>
              <w:rPr>
                <w:rFonts w:hint="eastAsia" w:ascii="宋体" w:hAnsi="宋体" w:cs="宋体"/>
                <w:kern w:val="0"/>
                <w:szCs w:val="21"/>
                <w:highlight w:val="none"/>
                <w:lang w:val="en-US" w:eastAsia="zh-CN"/>
              </w:rPr>
              <w:t>要求</w:t>
            </w:r>
          </w:p>
        </w:tc>
        <w:tc>
          <w:tcPr>
            <w:tcW w:w="7104" w:type="dxa"/>
            <w:vAlign w:val="center"/>
          </w:tcPr>
          <w:p>
            <w:pPr>
              <w:keepNext w:val="0"/>
              <w:keepLines w:val="0"/>
              <w:suppressLineNumbers w:val="0"/>
              <w:tabs>
                <w:tab w:val="left" w:pos="3000"/>
                <w:tab w:val="left" w:pos="3280"/>
                <w:tab w:val="left" w:pos="6120"/>
                <w:tab w:val="left" w:pos="7540"/>
                <w:tab w:val="left" w:pos="8320"/>
              </w:tabs>
              <w:autoSpaceDE w:val="0"/>
              <w:autoSpaceDN w:val="0"/>
              <w:adjustRightInd w:val="0"/>
              <w:spacing w:before="0" w:beforeAutospacing="0" w:after="0" w:afterAutospacing="0" w:line="400" w:lineRule="exact"/>
              <w:ind w:left="0" w:right="0"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质量要求</w:t>
            </w:r>
          </w:p>
        </w:tc>
        <w:tc>
          <w:tcPr>
            <w:tcW w:w="7104"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szCs w:val="21"/>
                <w:highlight w:val="none"/>
              </w:rPr>
              <w:t>达到国家和地方现行有关质量标准和比选文件第七章技术标准和工作要求，并且一次性验收合格，</w:t>
            </w:r>
            <w:r>
              <w:rPr>
                <w:rFonts w:hint="eastAsia" w:ascii="宋体" w:hAnsi="宋体" w:cs="宋体"/>
                <w:color w:val="FF0000"/>
                <w:szCs w:val="21"/>
                <w:highlight w:val="none"/>
              </w:rPr>
              <w:t>缺陷责任期为</w:t>
            </w:r>
            <w:r>
              <w:rPr>
                <w:rFonts w:hint="eastAsia" w:ascii="宋体" w:hAnsi="宋体" w:cs="宋体"/>
                <w:color w:val="FF0000"/>
                <w:szCs w:val="21"/>
                <w:highlight w:val="none"/>
                <w:lang w:val="en-US" w:eastAsia="zh-CN"/>
              </w:rPr>
              <w:t>24</w:t>
            </w:r>
            <w:r>
              <w:rPr>
                <w:rFonts w:hint="eastAsia" w:ascii="宋体" w:hAnsi="宋体" w:cs="宋体"/>
                <w:color w:val="FF000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（1）资质条件：见</w:t>
            </w:r>
            <w:r>
              <w:rPr>
                <w:rFonts w:hint="eastAsia" w:ascii="宋体" w:hAnsi="宋体" w:cs="宋体"/>
                <w:szCs w:val="21"/>
                <w:highlight w:val="none"/>
                <w:lang w:val="en-US" w:eastAsia="zh-CN"/>
              </w:rPr>
              <w:t>比选公告3.</w:t>
            </w:r>
            <w:r>
              <w:rPr>
                <w:rFonts w:hint="eastAsia" w:ascii="宋体" w:hAnsi="宋体" w:cs="宋体"/>
                <w:szCs w:val="21"/>
                <w:highlight w:val="none"/>
              </w:rPr>
              <w:t>1</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（2）业绩要求：见</w:t>
            </w:r>
            <w:r>
              <w:rPr>
                <w:rFonts w:hint="eastAsia" w:ascii="宋体" w:hAnsi="宋体" w:cs="宋体"/>
                <w:szCs w:val="21"/>
                <w:highlight w:val="none"/>
                <w:lang w:val="en-US" w:eastAsia="zh-CN"/>
              </w:rPr>
              <w:t>比选公告3.2</w:t>
            </w:r>
          </w:p>
          <w:p>
            <w:pPr>
              <w:keepNext w:val="0"/>
              <w:keepLines w:val="0"/>
              <w:suppressLineNumbers w:val="0"/>
              <w:spacing w:before="0" w:beforeAutospacing="0" w:after="0" w:afterAutospacing="0" w:line="400" w:lineRule="exact"/>
              <w:ind w:left="0" w:right="0"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）信誉要求：见</w:t>
            </w:r>
            <w:r>
              <w:rPr>
                <w:rFonts w:hint="eastAsia" w:ascii="宋体" w:hAnsi="宋体" w:cs="宋体"/>
                <w:szCs w:val="21"/>
                <w:highlight w:val="none"/>
                <w:lang w:val="en-US" w:eastAsia="zh-CN"/>
              </w:rPr>
              <w:t>比选公告3.3</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）项目主要人员要求：见附录</w:t>
            </w:r>
            <w:r>
              <w:rPr>
                <w:rFonts w:hint="eastAsia" w:ascii="宋体" w:hAnsi="宋体" w:cs="宋体"/>
                <w:szCs w:val="21"/>
                <w:highlight w:val="none"/>
                <w:lang w:val="en-US" w:eastAsia="zh-CN"/>
              </w:rPr>
              <w:t>1</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）其他要求：见附录</w:t>
            </w:r>
            <w:r>
              <w:rPr>
                <w:rFonts w:hint="eastAsia" w:ascii="宋体" w:hAnsi="宋体" w:cs="宋体"/>
                <w:szCs w:val="21"/>
                <w:highlight w:val="none"/>
                <w:lang w:val="en-US" w:eastAsia="zh-CN"/>
              </w:rPr>
              <w:t>2</w:t>
            </w:r>
            <w:r>
              <w:rPr>
                <w:rFonts w:hint="eastAsia" w:ascii="宋体" w:hAnsi="宋体" w:cs="宋体"/>
                <w:szCs w:val="21"/>
                <w:highlight w:val="none"/>
              </w:rPr>
              <w:t>、见附录</w:t>
            </w:r>
            <w:r>
              <w:rPr>
                <w:rFonts w:hint="eastAsia" w:ascii="宋体" w:hAnsi="宋体" w:cs="宋体"/>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keepNext w:val="0"/>
              <w:keepLines w:val="0"/>
              <w:suppressLineNumbers w:val="0"/>
              <w:spacing w:before="0" w:beforeAutospacing="0" w:after="0" w:afterAutospacing="0" w:line="400" w:lineRule="exact"/>
              <w:ind w:left="0" w:right="0"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keepNext w:val="0"/>
              <w:keepLines w:val="0"/>
              <w:suppressLineNumbers w:val="0"/>
              <w:spacing w:before="0" w:beforeAutospacing="0" w:after="0" w:afterAutospacing="0" w:line="44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bookmarkStart w:id="102" w:name="_Hlt227984024"/>
            <w:bookmarkEnd w:id="102"/>
            <w:r>
              <w:rPr>
                <w:rFonts w:hint="eastAsia" w:ascii="宋体" w:hAnsi="宋体" w:cs="宋体"/>
                <w:kern w:val="0"/>
                <w:szCs w:val="21"/>
                <w:highlight w:val="none"/>
                <w:lang w:val="en-US" w:eastAsia="zh-CN"/>
              </w:rPr>
              <w:t>14</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9"/>
              <w:keepNext w:val="0"/>
              <w:keepLines w:val="0"/>
              <w:suppressLineNumbers w:val="0"/>
              <w:spacing w:before="72" w:beforeAutospacing="0" w:after="0" w:afterAutospacing="0" w:line="400" w:lineRule="exact"/>
              <w:ind w:left="0" w:right="0" w:firstLine="420" w:firstLineChars="200"/>
              <w:jc w:val="both"/>
              <w:rPr>
                <w:rFonts w:hint="eastAsia"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jc w:val="left"/>
              <w:rPr>
                <w:rFonts w:hint="eastAsia" w:ascii="宋体" w:hAnsi="宋体" w:cs="宋体"/>
                <w:szCs w:val="21"/>
                <w:highlight w:val="none"/>
              </w:rPr>
            </w:pPr>
            <w:r>
              <w:rPr>
                <w:rFonts w:hint="eastAsia" w:ascii="宋体" w:hAnsi="宋体" w:cs="宋体"/>
                <w:highlight w:val="none"/>
              </w:rPr>
              <w:t>报价人按照采购人提供的工程量清单填写工程量清单</w:t>
            </w:r>
          </w:p>
          <w:p>
            <w:pPr>
              <w:keepNext w:val="0"/>
              <w:keepLines w:val="0"/>
              <w:suppressLineNumbers w:val="0"/>
              <w:spacing w:before="0" w:beforeAutospacing="0" w:after="0" w:afterAutospacing="0" w:line="400" w:lineRule="exact"/>
              <w:ind w:left="0" w:right="0" w:firstLine="422" w:firstLineChars="200"/>
              <w:rPr>
                <w:rFonts w:hint="eastAsia" w:ascii="宋体" w:hAnsi="宋体" w:cs="宋体"/>
                <w:b/>
                <w:szCs w:val="21"/>
                <w:highlight w:val="none"/>
              </w:rPr>
            </w:pPr>
            <w:r>
              <w:rPr>
                <w:rFonts w:hint="eastAsia" w:ascii="宋体" w:hAnsi="宋体" w:cs="宋体"/>
                <w:b/>
                <w:szCs w:val="21"/>
                <w:highlight w:val="none"/>
              </w:rPr>
              <w:t>综合单价取小数点后两位，小数点后第三位四舍五入。</w:t>
            </w:r>
          </w:p>
          <w:p>
            <w:pPr>
              <w:keepNext w:val="0"/>
              <w:keepLines w:val="0"/>
              <w:suppressLineNumbers w:val="0"/>
              <w:spacing w:before="0" w:beforeAutospacing="0" w:after="0" w:afterAutospacing="0" w:line="400" w:lineRule="exact"/>
              <w:ind w:left="0" w:right="0" w:firstLine="422" w:firstLineChars="200"/>
              <w:rPr>
                <w:rFonts w:hint="eastAsia" w:ascii="宋体" w:hAnsi="宋体" w:cs="宋体"/>
                <w:szCs w:val="21"/>
                <w:highlight w:val="none"/>
              </w:rPr>
            </w:pPr>
            <w:r>
              <w:rPr>
                <w:rFonts w:hint="eastAsia" w:ascii="宋体" w:hAnsi="宋体" w:cs="宋体"/>
                <w:b/>
                <w:bCs/>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2" w:firstLineChars="200"/>
              <w:rPr>
                <w:rFonts w:hint="eastAsia" w:ascii="宋体" w:hAnsi="宋体"/>
                <w:color w:val="FF0000"/>
                <w:szCs w:val="21"/>
                <w:highlight w:val="none"/>
              </w:rPr>
            </w:pPr>
            <w:r>
              <w:rPr>
                <w:rFonts w:hint="eastAsia" w:ascii="宋体" w:hAnsi="宋体"/>
                <w:b/>
                <w:bCs/>
                <w:szCs w:val="21"/>
                <w:highlight w:val="none"/>
                <w:lang w:eastAsia="zh-CN"/>
              </w:rPr>
              <w:t>首讯公司东界龙湖办公用房装修</w:t>
            </w:r>
            <w:r>
              <w:rPr>
                <w:rFonts w:hint="eastAsia" w:ascii="宋体" w:hAnsi="宋体"/>
                <w:b/>
                <w:bCs/>
                <w:szCs w:val="21"/>
                <w:highlight w:val="none"/>
                <w:lang w:val="en-US" w:eastAsia="zh-CN"/>
              </w:rPr>
              <w:t>窗帘定制</w:t>
            </w:r>
            <w:r>
              <w:rPr>
                <w:rFonts w:hint="eastAsia" w:ascii="宋体" w:hAnsi="宋体"/>
                <w:b/>
                <w:bCs/>
                <w:szCs w:val="21"/>
                <w:highlight w:val="none"/>
                <w:lang w:eastAsia="zh-CN"/>
              </w:rPr>
              <w:t>项目</w:t>
            </w:r>
            <w:r>
              <w:rPr>
                <w:rFonts w:hint="eastAsia" w:ascii="宋体" w:hAnsi="宋体"/>
                <w:b/>
                <w:bCs/>
                <w:color w:val="FF0000"/>
                <w:szCs w:val="21"/>
                <w:highlight w:val="none"/>
              </w:rPr>
              <w:t>最高限价</w:t>
            </w:r>
            <w:r>
              <w:rPr>
                <w:rFonts w:hint="eastAsia" w:ascii="宋体" w:hAnsi="宋体"/>
                <w:b/>
                <w:bCs/>
                <w:color w:val="FF0000"/>
                <w:szCs w:val="21"/>
                <w:highlight w:val="none"/>
                <w:lang w:val="en-US" w:eastAsia="zh-CN"/>
              </w:rPr>
              <w:t>97234.7元</w:t>
            </w:r>
            <w:r>
              <w:rPr>
                <w:rFonts w:hint="eastAsia" w:ascii="宋体" w:hAnsi="宋体"/>
                <w:b/>
                <w:bCs/>
                <w:color w:val="FF0000"/>
                <w:szCs w:val="21"/>
                <w:highlight w:val="none"/>
              </w:rPr>
              <w:t>。</w:t>
            </w:r>
          </w:p>
          <w:p>
            <w:pPr>
              <w:keepNext w:val="0"/>
              <w:keepLines w:val="0"/>
              <w:suppressLineNumbers w:val="0"/>
              <w:spacing w:before="0" w:beforeAutospacing="0" w:after="0" w:afterAutospacing="0" w:line="400" w:lineRule="exact"/>
              <w:ind w:left="0" w:right="0" w:firstLine="422" w:firstLineChars="200"/>
              <w:rPr>
                <w:rFonts w:hint="eastAsia" w:ascii="宋体" w:hAnsi="宋体" w:cs="宋体"/>
                <w:b/>
                <w:bCs/>
                <w:kern w:val="0"/>
                <w:szCs w:val="21"/>
                <w:highlight w:val="none"/>
              </w:rPr>
            </w:pPr>
            <w:r>
              <w:rPr>
                <w:rFonts w:hint="eastAsia" w:ascii="宋体" w:hAnsi="宋体" w:cs="宋体"/>
                <w:b/>
                <w:szCs w:val="21"/>
                <w:highlight w:val="none"/>
              </w:rPr>
              <w:t>报价人</w:t>
            </w:r>
            <w:r>
              <w:rPr>
                <w:rFonts w:hint="eastAsia" w:ascii="宋体" w:hAnsi="宋体" w:cs="宋体"/>
                <w:b/>
                <w:szCs w:val="21"/>
                <w:highlight w:val="none"/>
                <w:lang w:val="en-US" w:eastAsia="zh-CN"/>
              </w:rPr>
              <w:t>报价</w:t>
            </w:r>
            <w:r>
              <w:rPr>
                <w:rFonts w:hint="eastAsia" w:ascii="宋体" w:hAnsi="宋体" w:cs="宋体"/>
                <w:b/>
                <w:szCs w:val="21"/>
                <w:highlight w:val="none"/>
              </w:rPr>
              <w:t>不得高于采购人发布的最高限价，否则其竞争性比选响应文件视为重大偏差，竞争性比选响应文件将按否决报价处理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合同支付办法</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rPr>
                <w:rFonts w:hint="eastAsia"/>
                <w:color w:val="FF0000"/>
                <w:highlight w:val="none"/>
                <w:lang w:val="en-US" w:eastAsia="zh-CN"/>
              </w:rPr>
            </w:pPr>
            <w:r>
              <w:rPr>
                <w:rFonts w:hint="eastAsia"/>
                <w:highlight w:val="none"/>
                <w:lang w:val="en-US" w:eastAsia="zh-CN"/>
              </w:rPr>
              <w:t>（1）</w:t>
            </w:r>
            <w:r>
              <w:rPr>
                <w:rFonts w:hint="eastAsia"/>
                <w:color w:val="FF0000"/>
                <w:highlight w:val="none"/>
                <w:lang w:val="en-US" w:eastAsia="zh-CN"/>
              </w:rPr>
              <w:t>乙方按合同约定完成合同清单中的窗帘定制及安装施工，经甲方验收合格并在甲方甲醛测试验收通过后且甲方在收到乙方开具的增值税专票15个工作日内，支付至合同金额的97%；</w:t>
            </w:r>
          </w:p>
          <w:p>
            <w:pPr>
              <w:keepNext w:val="0"/>
              <w:keepLines w:val="0"/>
              <w:suppressLineNumbers w:val="0"/>
              <w:spacing w:before="0" w:beforeAutospacing="0" w:after="0" w:afterAutospacing="0" w:line="400" w:lineRule="exact"/>
              <w:ind w:left="0" w:right="0" w:firstLine="420" w:firstLineChars="200"/>
              <w:rPr>
                <w:rFonts w:hint="eastAsia"/>
                <w:color w:val="FF0000"/>
                <w:highlight w:val="none"/>
                <w:lang w:val="en-US" w:eastAsia="zh-CN"/>
              </w:rPr>
            </w:pPr>
            <w:r>
              <w:rPr>
                <w:rFonts w:hint="eastAsia"/>
                <w:color w:val="FF0000"/>
                <w:highlight w:val="none"/>
                <w:lang w:val="en-US" w:eastAsia="zh-CN"/>
              </w:rPr>
              <w:t>（2）双方已确认的结算价款的3%作为质量保证金，缺陷责任期（或质保期）两年（从本工程竣（交）工验收合格之日起计算）届满后，由乙方主动提出书面申请，经甲方确认后，30个工作日内全额支付（质量保证金不计任何利息），若乙方未提出书面申请，则相应的延迟责任由乙方自行承担。</w:t>
            </w:r>
          </w:p>
          <w:p>
            <w:pPr>
              <w:keepNext w:val="0"/>
              <w:keepLines w:val="0"/>
              <w:suppressLineNumbers w:val="0"/>
              <w:spacing w:before="0" w:beforeAutospacing="0" w:after="0" w:afterAutospacing="0" w:line="400" w:lineRule="exact"/>
              <w:ind w:left="0" w:right="0" w:firstLine="420" w:firstLineChars="200"/>
              <w:rPr>
                <w:rFonts w:hint="eastAsia"/>
                <w:highlight w:val="none"/>
              </w:rPr>
            </w:pPr>
            <w:r>
              <w:rPr>
                <w:rFonts w:hint="eastAsia"/>
                <w:color w:val="FF0000"/>
                <w:highlight w:val="none"/>
                <w:lang w:val="en-US" w:eastAsia="zh-CN"/>
              </w:rPr>
              <w:t>（5）乙方应于甲方每次</w:t>
            </w:r>
            <w:bookmarkStart w:id="264" w:name="_GoBack"/>
            <w:bookmarkEnd w:id="264"/>
            <w:r>
              <w:rPr>
                <w:rFonts w:hint="eastAsia"/>
                <w:color w:val="FF0000"/>
                <w:highlight w:val="none"/>
                <w:lang w:val="en-US" w:eastAsia="zh-CN"/>
              </w:rPr>
              <w:t>付款（预付款除外）前提供等额增值税专用发票给甲方。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18</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lang w:val="en-US" w:eastAsia="zh-CN"/>
              </w:rPr>
            </w:pPr>
            <w:r>
              <w:rPr>
                <w:rFonts w:hint="eastAsia" w:ascii="宋体" w:hAnsi="宋体" w:cs="宋体"/>
                <w:szCs w:val="21"/>
                <w:highlight w:val="none"/>
                <w:lang w:val="en-US" w:eastAsia="zh-CN"/>
              </w:rPr>
              <w:t>乙方</w:t>
            </w:r>
            <w:r>
              <w:rPr>
                <w:rFonts w:hint="eastAsia" w:ascii="宋体" w:hAnsi="宋体" w:cs="宋体"/>
                <w:szCs w:val="21"/>
                <w:highlight w:val="none"/>
              </w:rPr>
              <w:t>违约的处理</w:t>
            </w:r>
          </w:p>
        </w:tc>
        <w:tc>
          <w:tcPr>
            <w:tcW w:w="7104" w:type="dxa"/>
            <w:tcBorders>
              <w:bottom w:val="single" w:color="auto" w:sz="4" w:space="0"/>
            </w:tcBorders>
          </w:tcPr>
          <w:p>
            <w:pPr>
              <w:keepNext w:val="0"/>
              <w:keepLines w:val="0"/>
              <w:numPr>
                <w:ilvl w:val="0"/>
                <w:numId w:val="2"/>
              </w:numPr>
              <w:suppressLineNumbers w:val="0"/>
              <w:spacing w:before="0" w:beforeAutospacing="0" w:after="0" w:afterAutospacing="0" w:line="400" w:lineRule="exact"/>
              <w:ind w:left="0" w:right="0" w:firstLine="420" w:firstLineChars="200"/>
              <w:rPr>
                <w:rFonts w:hint="eastAsia"/>
                <w:highlight w:val="none"/>
                <w:lang w:val="en-US" w:eastAsia="zh-CN"/>
              </w:rPr>
            </w:pPr>
            <w:r>
              <w:rPr>
                <w:rFonts w:hint="eastAsia"/>
                <w:highlight w:val="none"/>
                <w:lang w:val="en-US" w:eastAsia="zh-CN"/>
              </w:rPr>
              <w:t>乙方分包的工程项目，不得再行转包或分包，否则将无条件被认为乙方违约，由此引起的一切责任、事故和损失由乙方负责。此外，乙方还应当向甲方支付1万元违约金，甲方有权终止或解除合同。</w:t>
            </w:r>
          </w:p>
          <w:p>
            <w:pPr>
              <w:keepNext w:val="0"/>
              <w:keepLines w:val="0"/>
              <w:numPr>
                <w:ilvl w:val="0"/>
                <w:numId w:val="2"/>
              </w:numPr>
              <w:suppressLineNumbers w:val="0"/>
              <w:spacing w:before="0" w:beforeAutospacing="0" w:after="0" w:afterAutospacing="0" w:line="400" w:lineRule="exact"/>
              <w:ind w:left="0" w:right="0" w:firstLine="420" w:firstLineChars="200"/>
              <w:rPr>
                <w:rFonts w:hint="eastAsia"/>
                <w:highlight w:val="none"/>
                <w:lang w:val="en-US" w:eastAsia="zh-CN"/>
              </w:rPr>
            </w:pPr>
            <w:r>
              <w:rPr>
                <w:rFonts w:hint="eastAsia"/>
                <w:highlight w:val="none"/>
                <w:lang w:val="en-US" w:eastAsia="zh-CN"/>
              </w:rPr>
              <w:t>在施工过程中由乙方分包的工程项目质量经检验达不到验收规范和评定标准，不能保证工程质量，或因乙方的进度不能满足甲方制定的进度目标要求，则甲方有权终止合同。</w:t>
            </w:r>
          </w:p>
          <w:p>
            <w:pPr>
              <w:keepNext w:val="0"/>
              <w:keepLines w:val="0"/>
              <w:numPr>
                <w:ilvl w:val="0"/>
                <w:numId w:val="2"/>
              </w:numPr>
              <w:suppressLineNumbers w:val="0"/>
              <w:spacing w:before="0" w:beforeAutospacing="0" w:after="0" w:afterAutospacing="0" w:line="400" w:lineRule="exact"/>
              <w:ind w:left="0" w:leftChars="0" w:right="0" w:firstLine="420" w:firstLineChars="200"/>
              <w:rPr>
                <w:rFonts w:hint="eastAsia"/>
                <w:highlight w:val="none"/>
                <w:lang w:val="en-US" w:eastAsia="zh-CN"/>
              </w:rPr>
            </w:pPr>
            <w:r>
              <w:rPr>
                <w:rFonts w:hint="eastAsia"/>
                <w:highlight w:val="none"/>
                <w:lang w:val="en-US" w:eastAsia="zh-CN"/>
              </w:rPr>
              <w:t>乙方不遵守甲方的管理，不能服从甲方监理人的指令，造成工程不能管理无法推进，则甲方有权终止合同。</w:t>
            </w:r>
          </w:p>
          <w:p>
            <w:pPr>
              <w:keepNext w:val="0"/>
              <w:keepLines w:val="0"/>
              <w:numPr>
                <w:ilvl w:val="0"/>
                <w:numId w:val="0"/>
              </w:numPr>
              <w:suppressLineNumbers w:val="0"/>
              <w:spacing w:before="0" w:beforeAutospacing="0" w:after="0" w:afterAutospacing="0" w:line="400" w:lineRule="exact"/>
              <w:ind w:left="420" w:leftChars="200" w:right="0" w:rightChars="0"/>
              <w:rPr>
                <w:rFonts w:hint="eastAsia"/>
                <w:highlight w:val="none"/>
                <w:lang w:val="en-US" w:eastAsia="zh-CN"/>
              </w:rPr>
            </w:pPr>
            <w:r>
              <w:rPr>
                <w:rFonts w:hint="eastAsia"/>
                <w:highlight w:val="none"/>
                <w:lang w:val="en-US" w:eastAsia="zh-CN"/>
              </w:rPr>
              <w:t>除上述条款外，合同签订后，不经双方协商同意，任何一方不得随意变更或解除。</w:t>
            </w:r>
          </w:p>
          <w:p>
            <w:pPr>
              <w:keepNext w:val="0"/>
              <w:keepLines w:val="0"/>
              <w:suppressLineNumbers w:val="0"/>
              <w:spacing w:before="0" w:beforeAutospacing="0" w:after="0" w:afterAutospacing="0" w:line="400" w:lineRule="exact"/>
              <w:ind w:left="0" w:right="0" w:firstLine="420" w:firstLineChars="200"/>
              <w:rPr>
                <w:rFonts w:hint="default"/>
                <w:highlight w:val="none"/>
                <w:lang w:val="en-US" w:eastAsia="zh-CN"/>
              </w:rPr>
            </w:pPr>
            <w:r>
              <w:rPr>
                <w:rFonts w:hint="default" w:cs="Times New Roman"/>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106" w:type="dxa"/>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highlight w:val="none"/>
              </w:rPr>
            </w:pPr>
            <w:r>
              <w:rPr>
                <w:rFonts w:hint="eastAsia" w:ascii="宋体" w:hAnsi="宋体" w:cs="宋体"/>
                <w:highlight w:val="none"/>
              </w:rPr>
              <w:t>推荐的中标候选人数：</w:t>
            </w:r>
            <w:r>
              <w:rPr>
                <w:rFonts w:hint="eastAsia" w:ascii="宋体" w:hAnsi="宋体" w:cs="宋体"/>
                <w:highlight w:val="none"/>
                <w:lang w:val="en-US" w:eastAsia="zh-CN"/>
              </w:rPr>
              <w:t>3</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keepNext w:val="0"/>
              <w:keepLines w:val="0"/>
              <w:suppressLineNumbers w:val="0"/>
              <w:spacing w:before="0" w:beforeAutospacing="0" w:after="0" w:afterAutospacing="0" w:line="400" w:lineRule="exact"/>
              <w:ind w:left="0" w:right="0"/>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20</w:t>
            </w:r>
          </w:p>
        </w:tc>
        <w:tc>
          <w:tcPr>
            <w:tcW w:w="2106" w:type="dxa"/>
            <w:vAlign w:val="center"/>
          </w:tcPr>
          <w:p>
            <w:pPr>
              <w:pStyle w:val="149"/>
              <w:keepNext w:val="0"/>
              <w:keepLines w:val="0"/>
              <w:suppressLineNumbers w:val="0"/>
              <w:spacing w:before="0" w:beforeAutospacing="0" w:after="0" w:afterAutospacing="0" w:line="400" w:lineRule="exact"/>
              <w:ind w:left="0" w:right="0"/>
              <w:jc w:val="center"/>
              <w:rPr>
                <w:rFonts w:hint="eastAsia" w:hAnsi="宋体"/>
                <w:color w:val="FF0000"/>
                <w:kern w:val="2"/>
                <w:sz w:val="21"/>
                <w:szCs w:val="21"/>
                <w:highlight w:val="none"/>
              </w:rPr>
            </w:pPr>
            <w:r>
              <w:rPr>
                <w:rFonts w:hint="eastAsia" w:hAnsi="宋体"/>
                <w:color w:val="FF0000"/>
                <w:kern w:val="2"/>
                <w:sz w:val="21"/>
                <w:szCs w:val="21"/>
                <w:highlight w:val="none"/>
                <w:lang w:val="en-US" w:eastAsia="zh-CN"/>
              </w:rPr>
              <w:t>保证金</w:t>
            </w:r>
          </w:p>
        </w:tc>
        <w:tc>
          <w:tcPr>
            <w:tcW w:w="7104" w:type="dxa"/>
            <w:vAlign w:val="center"/>
          </w:tcPr>
          <w:p>
            <w:pPr>
              <w:pStyle w:val="149"/>
              <w:keepNext w:val="0"/>
              <w:keepLines w:val="0"/>
              <w:suppressLineNumbers w:val="0"/>
              <w:spacing w:before="0" w:beforeAutospacing="0" w:after="0" w:afterAutospacing="0" w:line="400" w:lineRule="exact"/>
              <w:ind w:left="0" w:right="0" w:firstLine="420" w:firstLineChars="200"/>
              <w:rPr>
                <w:rFonts w:hint="default" w:hAnsi="宋体" w:cs="宋体"/>
                <w:color w:val="FF0000"/>
                <w:kern w:val="2"/>
                <w:sz w:val="21"/>
                <w:szCs w:val="24"/>
                <w:highlight w:val="none"/>
                <w:lang w:val="en-US" w:eastAsia="zh-CN" w:bidi="ar-SA"/>
              </w:rPr>
            </w:pPr>
            <w:r>
              <w:rPr>
                <w:rFonts w:hint="eastAsia" w:hAnsi="宋体" w:cs="宋体"/>
                <w:color w:val="FF0000"/>
                <w:kern w:val="2"/>
                <w:sz w:val="21"/>
                <w:szCs w:val="24"/>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21</w:t>
            </w:r>
          </w:p>
        </w:tc>
        <w:tc>
          <w:tcPr>
            <w:tcW w:w="2106" w:type="dxa"/>
            <w:vAlign w:val="center"/>
          </w:tcPr>
          <w:p>
            <w:pPr>
              <w:pStyle w:val="149"/>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9"/>
              <w:keepNext w:val="0"/>
              <w:keepLines w:val="0"/>
              <w:suppressLineNumbers w:val="0"/>
              <w:spacing w:before="0" w:beforeAutospacing="0" w:after="0" w:afterAutospacing="0" w:line="400" w:lineRule="exact"/>
              <w:ind w:left="0" w:right="0" w:firstLine="420" w:firstLineChars="200"/>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rPr>
              <w:t>监督部门：</w:t>
            </w:r>
            <w:r>
              <w:rPr>
                <w:rFonts w:hint="eastAsia" w:hAnsi="宋体"/>
                <w:color w:val="auto"/>
                <w:kern w:val="2"/>
                <w:sz w:val="21"/>
                <w:szCs w:val="21"/>
                <w:highlight w:val="none"/>
                <w:lang w:val="en-US" w:eastAsia="zh-CN"/>
              </w:rPr>
              <w:t>重庆首讯科技股份有限公司风险管理部</w:t>
            </w:r>
          </w:p>
          <w:p>
            <w:pPr>
              <w:pStyle w:val="149"/>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rPr>
            </w:pPr>
            <w:r>
              <w:rPr>
                <w:rFonts w:hint="eastAsia" w:hAnsi="宋体"/>
                <w:color w:val="auto"/>
                <w:kern w:val="2"/>
                <w:sz w:val="21"/>
                <w:szCs w:val="21"/>
                <w:highlight w:val="none"/>
              </w:rPr>
              <w:t>地    址：</w:t>
            </w:r>
            <w:r>
              <w:rPr>
                <w:rFonts w:hint="eastAsia" w:hAnsi="宋体"/>
                <w:color w:val="auto"/>
                <w:kern w:val="2"/>
                <w:sz w:val="21"/>
                <w:szCs w:val="21"/>
                <w:highlight w:val="none"/>
                <w:lang w:val="en-US" w:eastAsia="zh-CN"/>
              </w:rPr>
              <w:t>重庆市南岸区四公里内环入口200米处重庆首讯科技大楼</w:t>
            </w:r>
          </w:p>
          <w:p>
            <w:pPr>
              <w:pStyle w:val="149"/>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电    话：</w:t>
            </w:r>
            <w:r>
              <w:rPr>
                <w:rFonts w:hint="eastAsia" w:hAnsi="宋体"/>
                <w:color w:val="auto"/>
                <w:kern w:val="2"/>
                <w:sz w:val="21"/>
                <w:szCs w:val="21"/>
                <w:highlight w:val="none"/>
                <w:lang w:val="en-US" w:eastAsia="zh-CN"/>
              </w:rPr>
              <w:t>023-86376833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keepNext w:val="0"/>
              <w:keepLines w:val="0"/>
              <w:suppressLineNumbers w:val="0"/>
              <w:spacing w:before="0" w:beforeAutospacing="0" w:after="0" w:afterAutospacing="0" w:line="400" w:lineRule="exact"/>
              <w:ind w:left="0" w:right="0"/>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22</w:t>
            </w:r>
          </w:p>
        </w:tc>
        <w:tc>
          <w:tcPr>
            <w:tcW w:w="9210" w:type="dxa"/>
            <w:gridSpan w:val="2"/>
            <w:vAlign w:val="center"/>
          </w:tcPr>
          <w:p>
            <w:pPr>
              <w:pStyle w:val="149"/>
              <w:keepNext w:val="0"/>
              <w:keepLines w:val="0"/>
              <w:suppressLineNumbers w:val="0"/>
              <w:spacing w:before="0" w:beforeAutospacing="0" w:after="0" w:afterAutospacing="0" w:line="400" w:lineRule="exact"/>
              <w:ind w:left="0" w:right="0" w:firstLine="482" w:firstLineChars="200"/>
              <w:jc w:val="center"/>
              <w:rPr>
                <w:rFonts w:hint="eastAsia" w:hAnsi="宋体"/>
                <w:color w:val="auto"/>
                <w:kern w:val="2"/>
                <w:sz w:val="21"/>
                <w:szCs w:val="21"/>
                <w:highlight w:val="none"/>
              </w:rPr>
            </w:pPr>
            <w:r>
              <w:rPr>
                <w:rFonts w:hint="default"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keepNext w:val="0"/>
              <w:keepLines w:val="0"/>
              <w:suppressLineNumbers w:val="0"/>
              <w:spacing w:before="0" w:beforeAutospacing="0" w:after="0" w:afterAutospacing="0" w:line="400" w:lineRule="exact"/>
              <w:ind w:left="0" w:right="0"/>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22</w:t>
            </w:r>
            <w:r>
              <w:rPr>
                <w:rFonts w:hint="eastAsia" w:hAnsi="宋体"/>
                <w:color w:val="auto"/>
                <w:kern w:val="2"/>
                <w:sz w:val="21"/>
                <w:szCs w:val="21"/>
                <w:highlight w:val="none"/>
              </w:rPr>
              <w:t>.1</w:t>
            </w:r>
          </w:p>
        </w:tc>
        <w:tc>
          <w:tcPr>
            <w:tcW w:w="9210" w:type="dxa"/>
            <w:gridSpan w:val="2"/>
            <w:vAlign w:val="center"/>
          </w:tcPr>
          <w:p>
            <w:pPr>
              <w:pStyle w:val="149"/>
              <w:keepNext w:val="0"/>
              <w:keepLines w:val="0"/>
              <w:suppressLineNumbers w:val="0"/>
              <w:spacing w:before="0" w:beforeAutospacing="0" w:after="0" w:afterAutospacing="0" w:line="400" w:lineRule="exact"/>
              <w:ind w:left="0" w:right="0" w:firstLine="420" w:firstLineChars="200"/>
              <w:rPr>
                <w:rFonts w:hint="default"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w:t>
            </w:r>
            <w:r>
              <w:rPr>
                <w:rFonts w:hint="eastAsia" w:hAnsi="宋体"/>
                <w:sz w:val="21"/>
                <w:szCs w:val="21"/>
                <w:highlight w:val="none"/>
                <w:lang w:eastAsia="zh-CN"/>
              </w:rPr>
              <w:t>报价人</w:t>
            </w:r>
            <w:r>
              <w:rPr>
                <w:rFonts w:hint="eastAsia" w:hAnsi="宋体"/>
                <w:sz w:val="21"/>
                <w:szCs w:val="21"/>
                <w:highlight w:val="none"/>
              </w:rPr>
              <w:t>仍少于3个，按法定程序开标和评标，确定中标人。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keepNext w:val="0"/>
              <w:keepLines w:val="0"/>
              <w:suppressLineNumbers w:val="0"/>
              <w:spacing w:before="0" w:beforeAutospacing="0" w:after="0" w:afterAutospacing="0" w:line="400" w:lineRule="exact"/>
              <w:ind w:left="0" w:right="0"/>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22.2</w:t>
            </w:r>
          </w:p>
        </w:tc>
        <w:tc>
          <w:tcPr>
            <w:tcW w:w="9210" w:type="dxa"/>
            <w:gridSpan w:val="2"/>
            <w:vAlign w:val="center"/>
          </w:tcPr>
          <w:p>
            <w:pPr>
              <w:pStyle w:val="149"/>
              <w:keepNext w:val="0"/>
              <w:keepLines w:val="0"/>
              <w:suppressLineNumbers w:val="0"/>
              <w:spacing w:before="0" w:beforeAutospacing="0" w:after="0" w:afterAutospacing="0" w:line="400" w:lineRule="exact"/>
              <w:ind w:left="0" w:right="0" w:firstLine="420" w:firstLineChars="200"/>
              <w:rPr>
                <w:rFonts w:hint="eastAsia" w:hAnsi="宋体" w:eastAsia="宋体"/>
                <w:sz w:val="21"/>
                <w:szCs w:val="21"/>
                <w:highlight w:val="none"/>
                <w:lang w:eastAsia="zh-CN"/>
              </w:rPr>
            </w:pPr>
          </w:p>
        </w:tc>
      </w:tr>
      <w:bookmarkEnd w:id="101"/>
    </w:tbl>
    <w:p>
      <w:pPr>
        <w:spacing w:line="360" w:lineRule="auto"/>
        <w:jc w:val="center"/>
        <w:rPr>
          <w:rFonts w:hint="eastAsia"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2"/>
        <w:jc w:val="center"/>
        <w:rPr>
          <w:rFonts w:hint="eastAsia" w:ascii="宋体" w:hAnsi="宋体" w:eastAsia="宋体" w:cs="宋体"/>
          <w:bCs w:val="0"/>
          <w:sz w:val="28"/>
          <w:szCs w:val="28"/>
          <w:highlight w:val="none"/>
        </w:rPr>
      </w:pPr>
      <w:bookmarkStart w:id="103" w:name="_Toc11329222"/>
      <w:bookmarkStart w:id="104" w:name="_Toc11284"/>
      <w:bookmarkStart w:id="105" w:name="_Toc30198"/>
      <w:bookmarkStart w:id="106" w:name="_Toc17532"/>
      <w:r>
        <w:rPr>
          <w:rFonts w:hint="eastAsia" w:ascii="宋体" w:hAnsi="宋体" w:eastAsia="宋体" w:cs="宋体"/>
          <w:sz w:val="28"/>
          <w:szCs w:val="28"/>
          <w:highlight w:val="none"/>
        </w:rPr>
        <w:t xml:space="preserve">附录1  </w:t>
      </w:r>
      <w:bookmarkEnd w:id="103"/>
      <w:bookmarkEnd w:id="104"/>
      <w:bookmarkEnd w:id="105"/>
      <w:bookmarkEnd w:id="106"/>
      <w:bookmarkStart w:id="107" w:name="_Toc11329226"/>
      <w:bookmarkStart w:id="108" w:name="_Toc27096"/>
      <w:bookmarkStart w:id="109" w:name="_Toc12773"/>
      <w:bookmarkStart w:id="110" w:name="_Toc25591"/>
      <w:r>
        <w:rPr>
          <w:rFonts w:hint="eastAsia" w:ascii="宋体" w:hAnsi="宋体" w:eastAsia="宋体" w:cs="宋体"/>
          <w:bCs w:val="0"/>
          <w:sz w:val="28"/>
          <w:szCs w:val="28"/>
          <w:highlight w:val="none"/>
        </w:rPr>
        <w:t>资格审查文件（项目主要管理人员最低要求）</w:t>
      </w:r>
      <w:bookmarkEnd w:id="107"/>
      <w:bookmarkEnd w:id="108"/>
      <w:bookmarkEnd w:id="109"/>
      <w:bookmarkEnd w:id="110"/>
    </w:p>
    <w:p>
      <w:pPr>
        <w:spacing w:line="400" w:lineRule="exact"/>
        <w:jc w:val="center"/>
        <w:rPr>
          <w:rFonts w:hint="eastAsia"/>
          <w:highlight w:val="none"/>
        </w:rPr>
      </w:pPr>
      <w:r>
        <w:rPr>
          <w:rFonts w:hint="eastAsia" w:ascii="宋体" w:hAnsi="宋体" w:cs="宋体"/>
          <w:b/>
          <w:szCs w:val="21"/>
          <w:highlight w:val="none"/>
        </w:rPr>
        <w:t>主要管理人员最低要求</w:t>
      </w:r>
    </w:p>
    <w:tbl>
      <w:tblPr>
        <w:tblStyle w:val="43"/>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64"/>
        <w:gridCol w:w="1465"/>
        <w:gridCol w:w="733"/>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1"/>
                <w:szCs w:val="21"/>
                <w:highlight w:val="none"/>
              </w:rPr>
            </w:pPr>
            <w:bookmarkStart w:id="111" w:name="_Toc387234996"/>
            <w:bookmarkStart w:id="112" w:name="_Toc388534043"/>
            <w:r>
              <w:rPr>
                <w:rFonts w:hint="eastAsia" w:ascii="宋体" w:hAnsi="宋体" w:eastAsia="宋体" w:cs="宋体"/>
                <w:kern w:val="2"/>
                <w:sz w:val="21"/>
                <w:szCs w:val="21"/>
                <w:highlight w:val="none"/>
                <w:lang w:val="en-US" w:eastAsia="zh-CN" w:bidi="ar"/>
              </w:rPr>
              <w:t>序号</w:t>
            </w:r>
          </w:p>
        </w:tc>
        <w:tc>
          <w:tcPr>
            <w:tcW w:w="14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人  员</w:t>
            </w:r>
          </w:p>
        </w:tc>
        <w:tc>
          <w:tcPr>
            <w:tcW w:w="7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数量</w:t>
            </w:r>
          </w:p>
        </w:tc>
        <w:tc>
          <w:tcPr>
            <w:tcW w:w="67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67" w:hRule="atLeast"/>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w:t>
            </w:r>
          </w:p>
        </w:tc>
        <w:tc>
          <w:tcPr>
            <w:tcW w:w="14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项目经理</w:t>
            </w:r>
          </w:p>
        </w:tc>
        <w:tc>
          <w:tcPr>
            <w:tcW w:w="7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w:t>
            </w:r>
          </w:p>
        </w:tc>
        <w:tc>
          <w:tcPr>
            <w:tcW w:w="67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宋体" w:hAnsi="宋体" w:eastAsia="宋体" w:cs="宋体"/>
                <w:kern w:val="2"/>
                <w:sz w:val="21"/>
                <w:szCs w:val="21"/>
                <w:highlight w:val="none"/>
                <w:lang w:val="en-US" w:eastAsia="zh-CN"/>
              </w:rPr>
            </w:pPr>
            <w:r>
              <w:rPr>
                <w:rFonts w:hint="eastAsia" w:ascii="宋体" w:hAnsi="宋体" w:cs="宋体"/>
                <w:kern w:val="2"/>
                <w:sz w:val="21"/>
                <w:szCs w:val="21"/>
                <w:highlight w:val="none"/>
                <w:lang w:val="en-US" w:eastAsia="zh-CN"/>
              </w:rPr>
              <w:t>无</w:t>
            </w:r>
          </w:p>
        </w:tc>
      </w:tr>
    </w:tbl>
    <w:p>
      <w:pPr>
        <w:keepNext w:val="0"/>
        <w:keepLines w:val="0"/>
        <w:widowControl w:val="0"/>
        <w:suppressLineNumbers w:val="0"/>
        <w:spacing w:before="0" w:beforeAutospacing="0" w:after="0" w:afterAutospacing="0" w:line="400" w:lineRule="exact"/>
        <w:ind w:left="0" w:right="0"/>
        <w:jc w:val="both"/>
        <w:rPr>
          <w:rFonts w:hint="eastAsia" w:ascii="宋体" w:hAnsi="宋体" w:cs="宋体"/>
          <w:szCs w:val="21"/>
          <w:highlight w:val="none"/>
        </w:rPr>
      </w:pPr>
      <w:r>
        <w:rPr>
          <w:rFonts w:hint="eastAsia" w:ascii="宋体" w:hAnsi="宋体" w:cs="宋体"/>
          <w:szCs w:val="21"/>
          <w:highlight w:val="none"/>
        </w:rPr>
        <w:t xml:space="preserve">   </w:t>
      </w:r>
      <w:r>
        <w:rPr>
          <w:rFonts w:hint="eastAsia" w:ascii="宋体" w:hAnsi="宋体" w:eastAsia="宋体" w:cs="宋体"/>
          <w:kern w:val="2"/>
          <w:sz w:val="21"/>
          <w:szCs w:val="21"/>
          <w:highlight w:val="none"/>
          <w:lang w:val="en-US" w:eastAsia="zh-CN" w:bidi="ar"/>
        </w:rPr>
        <w:t xml:space="preserve"> </w:t>
      </w:r>
      <w:r>
        <w:rPr>
          <w:rFonts w:hint="eastAsia" w:ascii="宋体" w:hAnsi="宋体" w:eastAsia="宋体" w:cs="宋体"/>
          <w:b w:val="0"/>
          <w:kern w:val="2"/>
          <w:sz w:val="21"/>
          <w:szCs w:val="21"/>
          <w:highlight w:val="none"/>
          <w:lang w:val="en-US" w:eastAsia="zh-CN" w:bidi="ar"/>
        </w:rPr>
        <w:t>注：以上人员不得在其他项目重复任职。需提供项目主要管理人员名单（表格形式），以上人员相关资质证件、身份证复印件及由社保局出具的报价人为以上人员缴纳近三个月的养老保险证明（带有社保部门公章或社保部门的有效电子印章），并加盖单位鲜公章。</w:t>
      </w:r>
    </w:p>
    <w:p>
      <w:pPr>
        <w:pStyle w:val="28"/>
        <w:rPr>
          <w:rFonts w:hint="eastAsia"/>
          <w:highlight w:val="none"/>
        </w:rPr>
      </w:pPr>
    </w:p>
    <w:p>
      <w:pPr>
        <w:outlineLvl w:val="1"/>
        <w:rPr>
          <w:rFonts w:hint="eastAsia" w:ascii="宋体" w:hAnsi="宋体" w:cs="宋体"/>
          <w:b/>
          <w:sz w:val="28"/>
          <w:szCs w:val="28"/>
          <w:highlight w:val="none"/>
        </w:rPr>
        <w:sectPr>
          <w:pgSz w:w="11906" w:h="16838"/>
          <w:pgMar w:top="1418" w:right="1134" w:bottom="1418" w:left="1134" w:header="851" w:footer="992" w:gutter="0"/>
          <w:cols w:space="720" w:num="1"/>
          <w:docGrid w:type="lines" w:linePitch="312" w:charSpace="0"/>
        </w:sectPr>
      </w:pPr>
    </w:p>
    <w:p>
      <w:pPr>
        <w:pStyle w:val="2"/>
        <w:jc w:val="center"/>
        <w:rPr>
          <w:rFonts w:hint="eastAsia" w:ascii="宋体" w:hAnsi="宋体" w:eastAsia="宋体" w:cs="宋体"/>
          <w:bCs w:val="0"/>
          <w:sz w:val="28"/>
          <w:szCs w:val="28"/>
          <w:highlight w:val="none"/>
        </w:rPr>
      </w:pPr>
      <w:bookmarkStart w:id="113" w:name="_Toc8293"/>
      <w:bookmarkStart w:id="114" w:name="_Toc27148"/>
      <w:bookmarkStart w:id="115" w:name="_Toc11329227"/>
      <w:bookmarkStart w:id="116" w:name="_Toc21487"/>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2</w:t>
      </w:r>
      <w:r>
        <w:rPr>
          <w:rFonts w:hint="eastAsia" w:ascii="宋体" w:hAnsi="宋体" w:eastAsia="宋体" w:cs="宋体"/>
          <w:bCs w:val="0"/>
          <w:sz w:val="28"/>
          <w:szCs w:val="28"/>
          <w:highlight w:val="none"/>
        </w:rPr>
        <w:t xml:space="preserve"> 资格审查文件（项目</w:t>
      </w:r>
      <w:r>
        <w:rPr>
          <w:rFonts w:hint="eastAsia" w:ascii="宋体" w:hAnsi="宋体" w:eastAsia="宋体" w:cs="宋体"/>
          <w:bCs w:val="0"/>
          <w:sz w:val="28"/>
          <w:szCs w:val="28"/>
          <w:highlight w:val="none"/>
          <w:lang w:val="en-US" w:eastAsia="zh-CN"/>
        </w:rPr>
        <w:t>其他</w:t>
      </w:r>
      <w:r>
        <w:rPr>
          <w:rFonts w:hint="eastAsia" w:ascii="宋体" w:hAnsi="宋体" w:eastAsia="宋体" w:cs="宋体"/>
          <w:bCs w:val="0"/>
          <w:sz w:val="28"/>
          <w:szCs w:val="28"/>
          <w:highlight w:val="none"/>
        </w:rPr>
        <w:t>人员</w:t>
      </w:r>
      <w:r>
        <w:rPr>
          <w:rFonts w:hint="eastAsia" w:ascii="宋体" w:hAnsi="宋体" w:eastAsia="宋体" w:cs="宋体"/>
          <w:bCs w:val="0"/>
          <w:sz w:val="28"/>
          <w:szCs w:val="28"/>
          <w:highlight w:val="none"/>
          <w:lang w:val="en-US" w:eastAsia="zh-CN"/>
        </w:rPr>
        <w:t>最低</w:t>
      </w:r>
      <w:r>
        <w:rPr>
          <w:rFonts w:hint="eastAsia" w:ascii="宋体" w:hAnsi="宋体" w:eastAsia="宋体" w:cs="宋体"/>
          <w:bCs w:val="0"/>
          <w:sz w:val="28"/>
          <w:szCs w:val="28"/>
          <w:highlight w:val="none"/>
        </w:rPr>
        <w:t>要求）</w:t>
      </w:r>
      <w:bookmarkEnd w:id="113"/>
      <w:bookmarkEnd w:id="114"/>
      <w:bookmarkEnd w:id="115"/>
      <w:bookmarkEnd w:id="116"/>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bookmarkStart w:id="117" w:name="_Toc23696"/>
            <w:bookmarkStart w:id="118" w:name="_Toc413241584"/>
            <w:bookmarkStart w:id="119" w:name="_Toc507319900"/>
            <w:r>
              <w:rPr>
                <w:rFonts w:hint="eastAsia" w:ascii="宋体" w:hAnsi="宋体" w:cs="宋体"/>
                <w:szCs w:val="21"/>
                <w:highlight w:val="none"/>
              </w:rPr>
              <w:t>项目施工、安装及调试劳务人员最低要求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 w:hRule="atLeast"/>
          <w:jc w:val="center"/>
        </w:trPr>
        <w:tc>
          <w:tcPr>
            <w:tcW w:w="9160" w:type="dxa"/>
          </w:tcPr>
          <w:p>
            <w:pPr>
              <w:keepNext w:val="0"/>
              <w:keepLines w:val="0"/>
              <w:suppressLineNumbers w:val="0"/>
              <w:spacing w:before="0" w:beforeAutospacing="0" w:after="0" w:afterAutospacing="0"/>
              <w:ind w:left="0" w:right="0" w:firstLine="420" w:firstLineChars="200"/>
              <w:rPr>
                <w:rFonts w:hint="eastAsia" w:ascii="宋体" w:hAnsi="宋体" w:cs="宋体"/>
                <w:caps/>
                <w:szCs w:val="21"/>
                <w:highlight w:val="none"/>
              </w:rPr>
            </w:pPr>
            <w:r>
              <w:rPr>
                <w:rFonts w:hint="eastAsia" w:hAnsi="宋体"/>
                <w:bCs/>
                <w:color w:val="auto"/>
                <w:szCs w:val="21"/>
                <w:highlight w:val="none"/>
                <w:lang w:val="en-US" w:eastAsia="zh-CN"/>
              </w:rPr>
              <w:t>1.</w:t>
            </w:r>
            <w:r>
              <w:rPr>
                <w:rFonts w:hint="eastAsia" w:hAnsi="宋体"/>
                <w:bCs/>
                <w:color w:val="FF0000"/>
                <w:szCs w:val="21"/>
                <w:highlight w:val="none"/>
              </w:rPr>
              <w:t>施工劳务人员，</w:t>
            </w:r>
            <w:r>
              <w:rPr>
                <w:rFonts w:hint="eastAsia" w:ascii="宋体" w:hAnsi="宋体" w:cs="宋体"/>
                <w:bCs/>
                <w:color w:val="FF0000"/>
                <w:kern w:val="0"/>
                <w:szCs w:val="21"/>
                <w:highlight w:val="none"/>
              </w:rPr>
              <w:t>最低</w:t>
            </w:r>
            <w:r>
              <w:rPr>
                <w:rFonts w:hint="eastAsia" w:ascii="宋体" w:hAnsi="宋体" w:cs="宋体"/>
                <w:bCs/>
                <w:color w:val="FF0000"/>
                <w:kern w:val="0"/>
                <w:szCs w:val="21"/>
                <w:highlight w:val="none"/>
                <w:u w:val="single"/>
                <w:lang w:val="en-US" w:eastAsia="zh-CN"/>
              </w:rPr>
              <w:t>2</w:t>
            </w:r>
            <w:r>
              <w:rPr>
                <w:rFonts w:hint="eastAsia" w:ascii="宋体" w:hAnsi="宋体" w:cs="宋体"/>
                <w:bCs/>
                <w:color w:val="FF0000"/>
                <w:kern w:val="0"/>
                <w:szCs w:val="21"/>
                <w:highlight w:val="none"/>
              </w:rPr>
              <w:t>个组，每个组至少</w:t>
            </w:r>
            <w:r>
              <w:rPr>
                <w:rFonts w:hint="eastAsia" w:ascii="宋体" w:hAnsi="宋体" w:cs="宋体"/>
                <w:bCs/>
                <w:color w:val="FF0000"/>
                <w:kern w:val="0"/>
                <w:szCs w:val="21"/>
                <w:highlight w:val="none"/>
                <w:u w:val="single"/>
              </w:rPr>
              <w:t xml:space="preserve"> </w:t>
            </w:r>
            <w:r>
              <w:rPr>
                <w:rFonts w:hint="eastAsia" w:ascii="宋体" w:hAnsi="宋体" w:cs="宋体"/>
                <w:bCs/>
                <w:color w:val="FF0000"/>
                <w:kern w:val="0"/>
                <w:szCs w:val="21"/>
                <w:highlight w:val="none"/>
                <w:u w:val="single"/>
                <w:lang w:val="en-US" w:eastAsia="zh-CN"/>
              </w:rPr>
              <w:t>3</w:t>
            </w:r>
            <w:r>
              <w:rPr>
                <w:rFonts w:hint="eastAsia" w:ascii="宋体" w:hAnsi="宋体" w:cs="宋体"/>
                <w:bCs/>
                <w:color w:val="FF0000"/>
                <w:kern w:val="0"/>
                <w:szCs w:val="21"/>
                <w:highlight w:val="none"/>
                <w:u w:val="single"/>
              </w:rPr>
              <w:t xml:space="preserve"> </w:t>
            </w:r>
            <w:r>
              <w:rPr>
                <w:rFonts w:hint="eastAsia" w:ascii="宋体" w:hAnsi="宋体" w:cs="宋体"/>
                <w:bCs/>
                <w:color w:val="FF0000"/>
                <w:kern w:val="0"/>
                <w:szCs w:val="21"/>
                <w:highlight w:val="none"/>
              </w:rPr>
              <w:t>人，</w:t>
            </w:r>
            <w:r>
              <w:rPr>
                <w:rFonts w:hint="eastAsia"/>
                <w:color w:val="FF0000"/>
                <w:highlight w:val="none"/>
              </w:rPr>
              <w:t>必</w:t>
            </w:r>
            <w:r>
              <w:rPr>
                <w:rFonts w:hint="eastAsia"/>
                <w:color w:val="auto"/>
                <w:highlight w:val="none"/>
              </w:rPr>
              <w:t>须为报价人</w:t>
            </w:r>
            <w:r>
              <w:rPr>
                <w:rFonts w:hint="eastAsia"/>
                <w:b/>
                <w:color w:val="auto"/>
                <w:highlight w:val="none"/>
              </w:rPr>
              <w:t>自有员工或者劳务派遣员工</w:t>
            </w:r>
            <w:r>
              <w:rPr>
                <w:rFonts w:hint="eastAsia"/>
                <w:b/>
                <w:color w:val="auto"/>
                <w:highlight w:val="none"/>
                <w:lang w:eastAsia="zh-CN"/>
              </w:rPr>
              <w:t>（报价人自行承诺即可，无需提供相关证明材料）</w:t>
            </w:r>
            <w:r>
              <w:rPr>
                <w:rFonts w:hint="eastAsia" w:ascii="宋体" w:hAnsi="宋体" w:cs="宋体"/>
                <w:bCs/>
                <w:color w:val="auto"/>
                <w:kern w:val="0"/>
                <w:szCs w:val="21"/>
                <w:highlight w:val="none"/>
              </w:rPr>
              <w:t>。</w:t>
            </w:r>
            <w:r>
              <w:rPr>
                <w:rFonts w:hint="eastAsia" w:ascii="宋体" w:hAnsi="宋体" w:cs="宋体"/>
                <w:caps/>
                <w:szCs w:val="21"/>
                <w:highlight w:val="none"/>
              </w:rPr>
              <w:t xml:space="preserve"> </w:t>
            </w:r>
          </w:p>
          <w:p>
            <w:pPr>
              <w:keepNext w:val="0"/>
              <w:keepLines w:val="0"/>
              <w:suppressLineNumbers w:val="0"/>
              <w:spacing w:before="0" w:beforeAutospacing="0" w:after="0" w:afterAutospacing="0"/>
              <w:ind w:left="0" w:right="0" w:firstLine="420" w:firstLineChars="200"/>
              <w:rPr>
                <w:rFonts w:hint="default" w:ascii="宋体" w:hAnsi="宋体" w:eastAsia="宋体" w:cs="宋体"/>
                <w:caps/>
                <w:szCs w:val="21"/>
                <w:highlight w:val="none"/>
                <w:lang w:val="en-US" w:eastAsia="zh-CN"/>
              </w:rPr>
            </w:pPr>
            <w:r>
              <w:rPr>
                <w:rFonts w:hint="eastAsia" w:ascii="宋体" w:hAnsi="宋体" w:cs="宋体"/>
                <w:caps/>
                <w:szCs w:val="21"/>
                <w:highlight w:val="none"/>
                <w:lang w:val="en-US" w:eastAsia="zh-CN"/>
              </w:rPr>
              <w:t>2</w:t>
            </w:r>
            <w:r>
              <w:rPr>
                <w:rFonts w:hint="default" w:ascii="宋体" w:hAnsi="宋体" w:cs="宋体"/>
                <w:caps/>
                <w:szCs w:val="21"/>
                <w:highlight w:val="none"/>
                <w:lang w:eastAsia="zh-CN"/>
              </w:rPr>
              <w:t>.</w:t>
            </w:r>
            <w:r>
              <w:rPr>
                <w:rFonts w:hint="eastAsia" w:ascii="宋体" w:hAnsi="宋体" w:cs="宋体"/>
                <w:caps/>
                <w:szCs w:val="21"/>
                <w:highlight w:val="none"/>
                <w:lang w:val="en-US" w:eastAsia="zh-CN"/>
              </w:rPr>
              <w:t>资料员1名</w:t>
            </w:r>
            <w:r>
              <w:rPr>
                <w:rFonts w:hint="eastAsia" w:ascii="宋体" w:hAnsi="宋体" w:cs="宋体"/>
                <w:bCs/>
                <w:color w:val="auto"/>
                <w:kern w:val="0"/>
                <w:szCs w:val="21"/>
                <w:highlight w:val="none"/>
              </w:rPr>
              <w:t>，</w:t>
            </w:r>
            <w:r>
              <w:rPr>
                <w:rFonts w:hint="eastAsia"/>
                <w:color w:val="auto"/>
                <w:highlight w:val="none"/>
              </w:rPr>
              <w:t>必须为报价人</w:t>
            </w:r>
            <w:r>
              <w:rPr>
                <w:rFonts w:hint="eastAsia"/>
                <w:b/>
                <w:color w:val="auto"/>
                <w:highlight w:val="none"/>
              </w:rPr>
              <w:t>自有员工或者劳务派遣员工</w:t>
            </w:r>
            <w:r>
              <w:rPr>
                <w:rFonts w:hint="eastAsia"/>
                <w:b/>
                <w:color w:val="auto"/>
                <w:highlight w:val="none"/>
                <w:lang w:eastAsia="zh-CN"/>
              </w:rPr>
              <w:t>（报价人自行承诺即可，无需提供相关证明材料）</w:t>
            </w:r>
            <w:r>
              <w:rPr>
                <w:rFonts w:hint="eastAsia" w:ascii="宋体" w:hAnsi="宋体" w:cs="宋体"/>
                <w:caps/>
                <w:szCs w:val="21"/>
                <w:highlight w:val="none"/>
                <w:lang w:val="en-US" w:eastAsia="zh-CN"/>
              </w:rPr>
              <w:t>。</w:t>
            </w:r>
          </w:p>
          <w:p>
            <w:pPr>
              <w:keepNext w:val="0"/>
              <w:keepLines w:val="0"/>
              <w:suppressLineNumbers w:val="0"/>
              <w:spacing w:before="0" w:beforeAutospacing="0" w:after="0" w:afterAutospacing="0"/>
              <w:ind w:left="0" w:right="0" w:firstLine="420" w:firstLineChars="200"/>
              <w:rPr>
                <w:rFonts w:hint="eastAsia" w:eastAsia="宋体"/>
                <w:highlight w:val="none"/>
                <w:lang w:val="en-US" w:eastAsia="zh-CN"/>
              </w:rPr>
            </w:pPr>
            <w:r>
              <w:rPr>
                <w:rFonts w:hint="eastAsia"/>
                <w:highlight w:val="none"/>
                <w:lang w:val="en-US" w:eastAsia="zh-CN"/>
              </w:rPr>
              <w:t>3.</w:t>
            </w:r>
            <w:r>
              <w:rPr>
                <w:rFonts w:hint="eastAsia" w:ascii="宋体" w:hAnsi="宋体" w:cs="宋体"/>
                <w:caps/>
                <w:szCs w:val="21"/>
                <w:highlight w:val="none"/>
              </w:rPr>
              <w:t>另需根据项目实际施工进度情况及时增加</w:t>
            </w:r>
            <w:r>
              <w:rPr>
                <w:rFonts w:hint="eastAsia" w:ascii="宋体" w:hAnsi="宋体" w:cs="宋体"/>
                <w:caps/>
                <w:szCs w:val="21"/>
                <w:highlight w:val="none"/>
                <w:lang w:val="en-US" w:eastAsia="zh-CN"/>
              </w:rPr>
              <w:t>人员</w:t>
            </w:r>
            <w:r>
              <w:rPr>
                <w:rFonts w:hint="eastAsia"/>
                <w:b/>
                <w:color w:val="auto"/>
                <w:highlight w:val="none"/>
                <w:lang w:eastAsia="zh-CN"/>
              </w:rPr>
              <w:t>（报价人自行承诺即可，无需提供相关证明材料）</w:t>
            </w:r>
            <w:r>
              <w:rPr>
                <w:rFonts w:hint="eastAsia" w:ascii="宋体" w:hAnsi="宋体" w:cs="宋体"/>
                <w:caps/>
                <w:szCs w:val="21"/>
                <w:highlight w:val="none"/>
                <w:lang w:val="en-US" w:eastAsia="zh-CN"/>
              </w:rPr>
              <w:t>。</w:t>
            </w:r>
          </w:p>
        </w:tc>
      </w:tr>
    </w:tbl>
    <w:p>
      <w:pPr>
        <w:pStyle w:val="149"/>
        <w:adjustRightInd/>
        <w:spacing w:line="360" w:lineRule="auto"/>
        <w:jc w:val="both"/>
        <w:rPr>
          <w:rFonts w:hint="eastAsia" w:hAnsi="宋体"/>
          <w:b w:val="0"/>
          <w:bCs w:val="0"/>
          <w:color w:val="FF0000"/>
          <w:sz w:val="21"/>
          <w:szCs w:val="21"/>
          <w:highlight w:val="none"/>
        </w:rPr>
      </w:pPr>
      <w:r>
        <w:rPr>
          <w:rFonts w:hint="eastAsia" w:hAnsi="宋体"/>
          <w:b w:val="0"/>
          <w:bCs w:val="0"/>
          <w:color w:val="auto"/>
          <w:sz w:val="21"/>
          <w:szCs w:val="21"/>
          <w:highlight w:val="none"/>
        </w:rPr>
        <w:t>注：</w:t>
      </w:r>
      <w:r>
        <w:rPr>
          <w:rFonts w:hint="eastAsia" w:ascii="Times New Roman" w:hAnsi="宋体" w:cs="Times New Roman"/>
          <w:b w:val="0"/>
          <w:bCs w:val="0"/>
          <w:color w:val="auto"/>
          <w:sz w:val="21"/>
          <w:szCs w:val="21"/>
          <w:highlight w:val="none"/>
          <w:lang w:val="en-US" w:eastAsia="zh-CN"/>
        </w:rPr>
        <w:t>以上人员不得</w:t>
      </w:r>
      <w:r>
        <w:rPr>
          <w:rFonts w:hint="eastAsia" w:hAnsi="宋体" w:cs="Times New Roman"/>
          <w:b w:val="0"/>
          <w:bCs w:val="0"/>
          <w:color w:val="auto"/>
          <w:sz w:val="21"/>
          <w:szCs w:val="21"/>
          <w:highlight w:val="none"/>
          <w:lang w:val="en-US" w:eastAsia="zh-CN"/>
        </w:rPr>
        <w:t>在其他项目</w:t>
      </w:r>
      <w:r>
        <w:rPr>
          <w:rFonts w:hint="eastAsia" w:ascii="Times New Roman" w:hAnsi="宋体" w:cs="Times New Roman"/>
          <w:b w:val="0"/>
          <w:bCs w:val="0"/>
          <w:color w:val="auto"/>
          <w:sz w:val="21"/>
          <w:szCs w:val="21"/>
          <w:highlight w:val="none"/>
          <w:lang w:val="en-US" w:eastAsia="zh-CN"/>
        </w:rPr>
        <w:t>重复任职。</w:t>
      </w:r>
      <w:r>
        <w:rPr>
          <w:rFonts w:hint="default" w:ascii="Times New Roman" w:hAnsi="宋体" w:cs="Times New Roman"/>
          <w:b w:val="0"/>
          <w:bCs w:val="0"/>
          <w:color w:val="auto"/>
          <w:sz w:val="21"/>
          <w:szCs w:val="21"/>
          <w:highlight w:val="none"/>
          <w:lang w:eastAsia="zh-CN"/>
        </w:rPr>
        <w:t>除特殊说明外，其余</w:t>
      </w:r>
      <w:r>
        <w:rPr>
          <w:rFonts w:hint="eastAsia" w:ascii="Times New Roman" w:hAnsi="宋体" w:cs="Times New Roman"/>
          <w:b w:val="0"/>
          <w:bCs w:val="0"/>
          <w:color w:val="auto"/>
          <w:sz w:val="21"/>
          <w:szCs w:val="21"/>
          <w:highlight w:val="none"/>
          <w:lang w:val="en-US" w:eastAsia="zh-CN"/>
        </w:rPr>
        <w:t>人员需提供相关资质证件及身份证复印件</w:t>
      </w:r>
      <w:r>
        <w:rPr>
          <w:rFonts w:hint="eastAsia" w:hAnsi="宋体"/>
          <w:b w:val="0"/>
          <w:bCs w:val="0"/>
          <w:color w:val="auto"/>
          <w:sz w:val="21"/>
          <w:szCs w:val="21"/>
          <w:highlight w:val="none"/>
        </w:rPr>
        <w:t>，</w:t>
      </w:r>
      <w:r>
        <w:rPr>
          <w:rFonts w:hint="eastAsia" w:hAnsi="宋体"/>
          <w:b w:val="0"/>
          <w:bCs w:val="0"/>
          <w:color w:val="auto"/>
          <w:sz w:val="21"/>
          <w:szCs w:val="21"/>
          <w:highlight w:val="none"/>
          <w:lang w:val="en-US" w:eastAsia="zh-CN"/>
        </w:rPr>
        <w:t>并</w:t>
      </w:r>
      <w:r>
        <w:rPr>
          <w:rFonts w:hint="eastAsia" w:hAnsi="宋体"/>
          <w:b w:val="0"/>
          <w:bCs w:val="0"/>
          <w:color w:val="auto"/>
          <w:sz w:val="21"/>
          <w:szCs w:val="21"/>
          <w:highlight w:val="none"/>
        </w:rPr>
        <w:t>加盖单位鲜公章。</w:t>
      </w:r>
    </w:p>
    <w:bookmarkEnd w:id="117"/>
    <w:bookmarkEnd w:id="118"/>
    <w:bookmarkEnd w:id="119"/>
    <w:p>
      <w:pPr>
        <w:pStyle w:val="2"/>
        <w:rPr>
          <w:rStyle w:val="77"/>
          <w:rFonts w:hint="eastAsia" w:ascii="宋体" w:hAnsi="宋体" w:eastAsia="宋体" w:cs="宋体"/>
          <w:b w:val="0"/>
          <w:bCs w:val="0"/>
          <w:sz w:val="28"/>
          <w:szCs w:val="28"/>
          <w:highlight w:val="none"/>
        </w:rPr>
      </w:pPr>
    </w:p>
    <w:p>
      <w:pPr>
        <w:rPr>
          <w:rStyle w:val="77"/>
          <w:rFonts w:hint="eastAsia" w:ascii="宋体" w:hAnsi="宋体" w:eastAsia="宋体" w:cs="宋体"/>
          <w:b w:val="0"/>
          <w:bCs w:val="0"/>
          <w:sz w:val="28"/>
          <w:szCs w:val="28"/>
          <w:highlight w:val="none"/>
        </w:rPr>
      </w:pPr>
    </w:p>
    <w:p>
      <w:pPr>
        <w:rPr>
          <w:rStyle w:val="77"/>
          <w:rFonts w:hint="eastAsia" w:ascii="宋体" w:hAnsi="宋体" w:eastAsia="宋体" w:cs="宋体"/>
          <w:b w:val="0"/>
          <w:bCs w:val="0"/>
          <w:sz w:val="28"/>
          <w:szCs w:val="28"/>
          <w:highlight w:val="none"/>
        </w:rPr>
      </w:pPr>
    </w:p>
    <w:p>
      <w:pPr>
        <w:rPr>
          <w:rStyle w:val="77"/>
          <w:rFonts w:hint="eastAsia" w:ascii="宋体" w:hAnsi="宋体" w:eastAsia="宋体" w:cs="宋体"/>
          <w:b w:val="0"/>
          <w:bCs w:val="0"/>
          <w:sz w:val="28"/>
          <w:szCs w:val="28"/>
          <w:highlight w:val="none"/>
        </w:rPr>
      </w:pPr>
    </w:p>
    <w:p>
      <w:pPr>
        <w:rPr>
          <w:rStyle w:val="77"/>
          <w:rFonts w:hint="eastAsia" w:ascii="宋体" w:hAnsi="宋体" w:eastAsia="宋体" w:cs="宋体"/>
          <w:b w:val="0"/>
          <w:bCs w:val="0"/>
          <w:sz w:val="28"/>
          <w:szCs w:val="28"/>
          <w:highlight w:val="none"/>
        </w:rPr>
      </w:pPr>
    </w:p>
    <w:p>
      <w:pPr>
        <w:rPr>
          <w:rStyle w:val="77"/>
          <w:rFonts w:hint="eastAsia" w:ascii="宋体" w:hAnsi="宋体" w:eastAsia="宋体" w:cs="宋体"/>
          <w:b w:val="0"/>
          <w:bCs w:val="0"/>
          <w:sz w:val="28"/>
          <w:szCs w:val="28"/>
          <w:highlight w:val="none"/>
        </w:rPr>
      </w:pPr>
    </w:p>
    <w:p>
      <w:pPr>
        <w:rPr>
          <w:rStyle w:val="77"/>
          <w:rFonts w:hint="eastAsia" w:ascii="宋体" w:hAnsi="宋体" w:eastAsia="宋体" w:cs="宋体"/>
          <w:b w:val="0"/>
          <w:bCs w:val="0"/>
          <w:sz w:val="28"/>
          <w:szCs w:val="28"/>
          <w:highlight w:val="none"/>
        </w:rPr>
      </w:pPr>
    </w:p>
    <w:p>
      <w:pPr>
        <w:rPr>
          <w:rStyle w:val="77"/>
          <w:rFonts w:hint="eastAsia" w:ascii="宋体" w:hAnsi="宋体" w:eastAsia="宋体" w:cs="宋体"/>
          <w:b w:val="0"/>
          <w:bCs w:val="0"/>
          <w:sz w:val="28"/>
          <w:szCs w:val="28"/>
          <w:highlight w:val="none"/>
        </w:rPr>
      </w:pPr>
    </w:p>
    <w:p>
      <w:pPr>
        <w:rPr>
          <w:rStyle w:val="77"/>
          <w:rFonts w:hint="eastAsia" w:ascii="宋体" w:hAnsi="宋体" w:eastAsia="宋体" w:cs="宋体"/>
          <w:b w:val="0"/>
          <w:bCs w:val="0"/>
          <w:sz w:val="28"/>
          <w:szCs w:val="28"/>
          <w:highlight w:val="none"/>
        </w:rPr>
      </w:pPr>
    </w:p>
    <w:p>
      <w:pPr>
        <w:rPr>
          <w:rStyle w:val="77"/>
          <w:rFonts w:hint="eastAsia" w:ascii="宋体" w:hAnsi="宋体" w:eastAsia="宋体" w:cs="宋体"/>
          <w:b w:val="0"/>
          <w:bCs w:val="0"/>
          <w:sz w:val="28"/>
          <w:szCs w:val="28"/>
          <w:highlight w:val="none"/>
        </w:rPr>
      </w:pPr>
    </w:p>
    <w:p>
      <w:pPr>
        <w:rPr>
          <w:rStyle w:val="77"/>
          <w:rFonts w:hint="eastAsia" w:ascii="宋体" w:hAnsi="宋体" w:eastAsia="宋体" w:cs="宋体"/>
          <w:b w:val="0"/>
          <w:bCs w:val="0"/>
          <w:sz w:val="28"/>
          <w:szCs w:val="28"/>
          <w:highlight w:val="none"/>
        </w:rPr>
      </w:pPr>
    </w:p>
    <w:p>
      <w:pPr>
        <w:rPr>
          <w:rStyle w:val="77"/>
          <w:rFonts w:hint="eastAsia" w:ascii="宋体" w:hAnsi="宋体" w:eastAsia="宋体" w:cs="宋体"/>
          <w:b w:val="0"/>
          <w:bCs w:val="0"/>
          <w:sz w:val="28"/>
          <w:szCs w:val="28"/>
          <w:highlight w:val="none"/>
        </w:rPr>
      </w:pPr>
    </w:p>
    <w:p>
      <w:pPr>
        <w:rPr>
          <w:rStyle w:val="77"/>
          <w:rFonts w:hint="eastAsia" w:ascii="宋体" w:hAnsi="宋体" w:eastAsia="宋体" w:cs="宋体"/>
          <w:b w:val="0"/>
          <w:bCs w:val="0"/>
          <w:sz w:val="28"/>
          <w:szCs w:val="28"/>
          <w:highlight w:val="none"/>
        </w:rPr>
      </w:pPr>
    </w:p>
    <w:p>
      <w:pPr>
        <w:pStyle w:val="2"/>
        <w:rPr>
          <w:rFonts w:hint="eastAsia" w:hAnsi="宋体"/>
          <w:b w:val="0"/>
          <w:sz w:val="28"/>
          <w:szCs w:val="28"/>
          <w:highlight w:val="none"/>
        </w:rPr>
      </w:pPr>
      <w:bookmarkStart w:id="120" w:name="_Toc4169"/>
      <w:bookmarkStart w:id="121" w:name="_Toc17384"/>
      <w:bookmarkStart w:id="122" w:name="_Toc6096"/>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3</w:t>
      </w:r>
      <w:r>
        <w:rPr>
          <w:rFonts w:hint="eastAsia" w:ascii="宋体" w:hAnsi="宋体" w:eastAsia="宋体" w:cs="宋体"/>
          <w:bCs w:val="0"/>
          <w:sz w:val="28"/>
          <w:szCs w:val="28"/>
          <w:highlight w:val="none"/>
        </w:rPr>
        <w:t xml:space="preserve"> 资格审查文件（主要机械设备和试验检测设备最低要求）</w:t>
      </w:r>
      <w:bookmarkEnd w:id="120"/>
      <w:bookmarkEnd w:id="121"/>
      <w:bookmarkEnd w:id="122"/>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6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keepNext w:val="0"/>
              <w:keepLines w:val="0"/>
              <w:suppressLineNumbers w:val="0"/>
              <w:spacing w:before="0" w:beforeAutospacing="0" w:after="0" w:afterAutospacing="0"/>
              <w:ind w:left="0" w:right="0" w:firstLine="420" w:firstLineChars="200"/>
              <w:rPr>
                <w:rFonts w:hint="eastAsia"/>
                <w:highlight w:val="none"/>
              </w:rPr>
            </w:pPr>
            <w:r>
              <w:rPr>
                <w:rFonts w:hint="eastAsia" w:ascii="宋体" w:hAnsi="宋体" w:cs="宋体"/>
                <w:caps/>
                <w:szCs w:val="21"/>
                <w:highlight w:val="none"/>
              </w:rPr>
              <w:t>需根据项目实际施工进度情况</w:t>
            </w:r>
            <w:r>
              <w:rPr>
                <w:rFonts w:hint="eastAsia" w:ascii="宋体" w:hAnsi="宋体" w:cs="宋体"/>
                <w:caps/>
                <w:szCs w:val="21"/>
                <w:highlight w:val="none"/>
                <w:lang w:val="en-US" w:eastAsia="zh-CN"/>
              </w:rPr>
              <w:t>安排运输车辆</w:t>
            </w:r>
            <w:r>
              <w:rPr>
                <w:rFonts w:hint="eastAsia" w:ascii="宋体" w:hAnsi="宋体" w:cs="宋体"/>
                <w:caps/>
                <w:szCs w:val="21"/>
                <w:highlight w:val="none"/>
              </w:rPr>
              <w:t xml:space="preserve">，拟推进项目顺利实施。 </w:t>
            </w:r>
          </w:p>
        </w:tc>
      </w:tr>
    </w:tbl>
    <w:p>
      <w:pPr>
        <w:spacing w:line="400" w:lineRule="exact"/>
        <w:ind w:firstLine="420"/>
        <w:rPr>
          <w:rFonts w:hint="eastAsia" w:ascii="宋体" w:hAnsi="宋体" w:cs="宋体"/>
          <w:color w:val="auto"/>
          <w:kern w:val="0"/>
          <w:szCs w:val="21"/>
          <w:highlight w:val="none"/>
        </w:rPr>
      </w:pPr>
      <w:r>
        <w:rPr>
          <w:rFonts w:hint="eastAsia" w:ascii="宋体" w:hAnsi="宋体" w:cs="宋体"/>
          <w:bCs/>
          <w:kern w:val="0"/>
          <w:szCs w:val="21"/>
          <w:highlight w:val="none"/>
        </w:rPr>
        <w:t>注：</w:t>
      </w:r>
      <w:r>
        <w:rPr>
          <w:rFonts w:hint="eastAsia" w:ascii="宋体" w:hAnsi="宋体" w:cs="宋体"/>
          <w:bCs/>
          <w:color w:val="auto"/>
          <w:kern w:val="0"/>
          <w:szCs w:val="21"/>
          <w:highlight w:val="none"/>
        </w:rPr>
        <w:t>以上设备</w:t>
      </w:r>
      <w:r>
        <w:rPr>
          <w:rFonts w:hint="eastAsia" w:ascii="宋体" w:hAnsi="宋体" w:cs="宋体"/>
          <w:color w:val="auto"/>
          <w:kern w:val="0"/>
          <w:highlight w:val="none"/>
        </w:rPr>
        <w:t>由报价人</w:t>
      </w:r>
      <w:r>
        <w:rPr>
          <w:rFonts w:hint="eastAsia" w:ascii="宋体" w:hAnsi="宋体" w:cs="宋体"/>
          <w:b/>
          <w:color w:val="auto"/>
          <w:kern w:val="0"/>
          <w:highlight w:val="none"/>
        </w:rPr>
        <w:t>自行承诺</w:t>
      </w:r>
      <w:r>
        <w:rPr>
          <w:rFonts w:hint="eastAsia" w:ascii="宋体" w:hAnsi="宋体" w:cs="宋体"/>
          <w:color w:val="auto"/>
          <w:kern w:val="0"/>
          <w:highlight w:val="none"/>
        </w:rPr>
        <w:t>，</w:t>
      </w:r>
      <w:r>
        <w:rPr>
          <w:rFonts w:hint="eastAsia" w:ascii="宋体" w:hAnsi="宋体" w:cs="宋体"/>
          <w:color w:val="auto"/>
          <w:kern w:val="0"/>
          <w:szCs w:val="21"/>
          <w:highlight w:val="none"/>
        </w:rPr>
        <w:t>无需提供有关证明资料，并加盖单位鲜公章。</w:t>
      </w:r>
    </w:p>
    <w:p>
      <w:pPr>
        <w:pStyle w:val="149"/>
        <w:adjustRightInd/>
        <w:spacing w:line="400" w:lineRule="exact"/>
        <w:ind w:firstLine="422" w:firstLineChars="200"/>
        <w:jc w:val="both"/>
        <w:rPr>
          <w:rFonts w:hint="eastAsia" w:hAnsi="宋体"/>
          <w:bCs/>
          <w:color w:val="auto"/>
          <w:sz w:val="21"/>
          <w:szCs w:val="21"/>
          <w:highlight w:val="none"/>
        </w:rPr>
      </w:pPr>
      <w:r>
        <w:rPr>
          <w:rFonts w:hint="eastAsia" w:hAnsi="宋体"/>
          <w:b/>
          <w:bCs/>
          <w:color w:val="auto"/>
          <w:sz w:val="21"/>
          <w:szCs w:val="21"/>
          <w:highlight w:val="none"/>
        </w:rPr>
        <w:t>以上（附录1-附录</w:t>
      </w:r>
      <w:r>
        <w:rPr>
          <w:rFonts w:hint="eastAsia" w:hAnsi="宋体"/>
          <w:b/>
          <w:bCs/>
          <w:color w:val="auto"/>
          <w:sz w:val="21"/>
          <w:szCs w:val="21"/>
          <w:highlight w:val="none"/>
          <w:lang w:val="en-US" w:eastAsia="zh-CN"/>
        </w:rPr>
        <w:t>3</w:t>
      </w:r>
      <w:r>
        <w:rPr>
          <w:rFonts w:hint="eastAsia" w:hAnsi="宋体"/>
          <w:b/>
          <w:bCs/>
          <w:color w:val="auto"/>
          <w:sz w:val="21"/>
          <w:szCs w:val="21"/>
          <w:highlight w:val="none"/>
        </w:rPr>
        <w:t>中的资格审查）的要求均为强制性条件，其中任何一条不满足要求，则按否决报价处理。</w:t>
      </w:r>
    </w:p>
    <w:p>
      <w:pPr>
        <w:pStyle w:val="149"/>
        <w:adjustRightInd/>
        <w:spacing w:line="360" w:lineRule="auto"/>
        <w:jc w:val="both"/>
        <w:rPr>
          <w:rFonts w:hint="eastAsia" w:hAnsi="宋体"/>
          <w:bCs/>
          <w:color w:val="auto"/>
          <w:sz w:val="21"/>
          <w:szCs w:val="21"/>
          <w:highlight w:val="none"/>
        </w:rPr>
      </w:pPr>
    </w:p>
    <w:bookmarkEnd w:id="111"/>
    <w:bookmarkEnd w:id="112"/>
    <w:p>
      <w:pPr>
        <w:spacing w:line="440" w:lineRule="exact"/>
        <w:rPr>
          <w:rFonts w:hint="eastAsia" w:ascii="宋体" w:hAnsi="宋体" w:cs="宋体"/>
          <w:szCs w:val="21"/>
          <w:highlight w:val="none"/>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hint="eastAsia" w:ascii="宋体" w:hAnsi="宋体" w:cs="宋体"/>
          <w:highlight w:val="none"/>
        </w:rPr>
      </w:pPr>
    </w:p>
    <w:p>
      <w:pPr>
        <w:pStyle w:val="3"/>
        <w:spacing w:before="0" w:after="0" w:line="360" w:lineRule="auto"/>
        <w:jc w:val="center"/>
        <w:rPr>
          <w:rFonts w:hint="eastAsia" w:ascii="宋体" w:hAnsi="宋体" w:cs="宋体"/>
          <w:highlight w:val="none"/>
        </w:rPr>
      </w:pPr>
      <w:bookmarkStart w:id="123" w:name="_Toc152045587"/>
      <w:bookmarkStart w:id="124" w:name="_Toc2000406"/>
      <w:bookmarkStart w:id="125" w:name="_Toc246996973"/>
      <w:bookmarkStart w:id="126" w:name="_Toc247085745"/>
      <w:bookmarkStart w:id="127" w:name="_Toc152042364"/>
      <w:bookmarkStart w:id="128" w:name="_Toc246996230"/>
      <w:bookmarkStart w:id="129" w:name="_Toc507319957"/>
      <w:bookmarkStart w:id="130" w:name="_Toc7682"/>
      <w:bookmarkStart w:id="131" w:name="_Toc179632605"/>
      <w:bookmarkStart w:id="132" w:name="_Toc144974554"/>
      <w:r>
        <w:rPr>
          <w:rFonts w:hint="eastAsia" w:ascii="宋体" w:hAnsi="宋体" w:cs="宋体"/>
          <w:highlight w:val="none"/>
        </w:rPr>
        <w:t>第三章 评标办法（</w:t>
      </w:r>
      <w:r>
        <w:rPr>
          <w:rFonts w:hint="eastAsia" w:ascii="宋体" w:hAnsi="宋体" w:cs="宋体"/>
          <w:highlight w:val="none"/>
          <w:lang w:val="en-US" w:eastAsia="zh-CN"/>
        </w:rPr>
        <w:t>综合评估</w:t>
      </w:r>
      <w:r>
        <w:rPr>
          <w:rFonts w:hint="eastAsia" w:ascii="宋体" w:hAnsi="宋体" w:cs="宋体"/>
          <w:highlight w:val="none"/>
        </w:rPr>
        <w:t>法）</w:t>
      </w:r>
      <w:bookmarkEnd w:id="123"/>
      <w:bookmarkEnd w:id="124"/>
      <w:bookmarkEnd w:id="125"/>
      <w:bookmarkEnd w:id="126"/>
      <w:bookmarkEnd w:id="127"/>
      <w:bookmarkEnd w:id="128"/>
      <w:bookmarkEnd w:id="129"/>
      <w:bookmarkEnd w:id="130"/>
      <w:bookmarkEnd w:id="131"/>
      <w:bookmarkEnd w:id="132"/>
    </w:p>
    <w:p>
      <w:pPr>
        <w:rPr>
          <w:rFonts w:hint="eastAsia"/>
          <w:highlight w:val="none"/>
        </w:rPr>
      </w:pPr>
    </w:p>
    <w:tbl>
      <w:tblPr>
        <w:tblStyle w:val="43"/>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b/>
                <w:color w:val="auto"/>
                <w:highlight w:val="none"/>
              </w:rPr>
            </w:pPr>
            <w:r>
              <w:rPr>
                <w:rFonts w:hint="default"/>
                <w:b/>
                <w:color w:val="auto"/>
                <w:highlight w:val="none"/>
              </w:rPr>
              <w:t>条款号</w:t>
            </w:r>
          </w:p>
        </w:tc>
        <w:tc>
          <w:tcPr>
            <w:tcW w:w="2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b/>
                <w:color w:val="auto"/>
                <w:highlight w:val="none"/>
              </w:rPr>
            </w:pPr>
            <w:r>
              <w:rPr>
                <w:rFonts w:hint="default"/>
                <w:b/>
                <w:color w:val="auto"/>
                <w:highlight w:val="none"/>
              </w:rPr>
              <w:t>评审因素</w:t>
            </w:r>
          </w:p>
        </w:tc>
        <w:tc>
          <w:tcPr>
            <w:tcW w:w="5004"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b/>
                <w:color w:val="auto"/>
                <w:highlight w:val="none"/>
              </w:rPr>
            </w:pPr>
            <w:r>
              <w:rPr>
                <w:rFonts w:hint="default"/>
                <w:b/>
                <w:color w:val="auto"/>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r>
              <w:rPr>
                <w:rFonts w:hint="default"/>
                <w:color w:val="auto"/>
                <w:highlight w:val="none"/>
              </w:rPr>
              <w:t>1</w:t>
            </w:r>
          </w:p>
        </w:tc>
        <w:tc>
          <w:tcPr>
            <w:tcW w:w="1124"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r>
              <w:rPr>
                <w:rFonts w:hint="default"/>
                <w:color w:val="auto"/>
                <w:highlight w:val="none"/>
              </w:rPr>
              <w:t>评标方法</w:t>
            </w:r>
          </w:p>
        </w:tc>
        <w:tc>
          <w:tcPr>
            <w:tcW w:w="2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r>
              <w:rPr>
                <w:rFonts w:hint="default"/>
                <w:color w:val="auto"/>
                <w:highlight w:val="none"/>
              </w:rPr>
              <w:t>中标候选人排序方法</w:t>
            </w:r>
          </w:p>
        </w:tc>
        <w:tc>
          <w:tcPr>
            <w:tcW w:w="5004" w:type="dxa"/>
            <w:tcBorders>
              <w:top w:val="single" w:color="auto" w:sz="4" w:space="0"/>
              <w:left w:val="single" w:color="auto" w:sz="4" w:space="0"/>
              <w:bottom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color w:val="auto"/>
                <w:highlight w:val="none"/>
              </w:rPr>
            </w:pPr>
            <w:r>
              <w:rPr>
                <w:rFonts w:hint="default"/>
                <w:color w:val="auto"/>
                <w:highlight w:val="none"/>
              </w:rPr>
              <w:t>如出现</w:t>
            </w:r>
            <w:r>
              <w:rPr>
                <w:rFonts w:hint="eastAsia" w:ascii="宋体" w:hAnsi="宋体" w:eastAsia="宋体" w:cs="宋体"/>
                <w:color w:val="auto"/>
                <w:kern w:val="0"/>
                <w:sz w:val="21"/>
                <w:szCs w:val="21"/>
                <w:highlight w:val="none"/>
              </w:rPr>
              <w:t>综合评分相等时，</w:t>
            </w:r>
            <w:r>
              <w:rPr>
                <w:rFonts w:hint="default"/>
                <w:color w:val="auto"/>
                <w:highlight w:val="none"/>
              </w:rPr>
              <w:t>评审小组按以下原则确定第一中标候选人：</w:t>
            </w:r>
          </w:p>
          <w:p>
            <w:pPr>
              <w:keepNext w:val="0"/>
              <w:keepLines w:val="0"/>
              <w:suppressLineNumbers w:val="0"/>
              <w:snapToGrid w:val="0"/>
              <w:spacing w:before="0" w:beforeAutospacing="0" w:after="0" w:afterAutospacing="0" w:line="400" w:lineRule="exact"/>
              <w:ind w:left="0" w:right="0"/>
              <w:rPr>
                <w:rFonts w:hint="default" w:ascii="宋体" w:hAnsi="宋体" w:cs="宋体"/>
                <w:b/>
                <w:kern w:val="0"/>
                <w:highlight w:val="none"/>
              </w:rPr>
            </w:pPr>
            <w:r>
              <w:rPr>
                <w:rFonts w:hint="eastAsia" w:ascii="宋体" w:hAnsi="宋体" w:cs="宋体"/>
                <w:b/>
                <w:kern w:val="0"/>
                <w:highlight w:val="none"/>
              </w:rPr>
              <w:t>（1）以评标价低的报价人优先；</w:t>
            </w:r>
          </w:p>
          <w:p>
            <w:pPr>
              <w:keepNext w:val="0"/>
              <w:keepLines w:val="0"/>
              <w:suppressLineNumbers w:val="0"/>
              <w:snapToGrid w:val="0"/>
              <w:spacing w:before="0" w:beforeAutospacing="0" w:after="0" w:afterAutospacing="0" w:line="400" w:lineRule="exact"/>
              <w:ind w:left="0" w:right="0"/>
              <w:rPr>
                <w:rFonts w:hint="default" w:ascii="宋体" w:hAnsi="宋体" w:cs="宋体"/>
                <w:b/>
                <w:kern w:val="0"/>
                <w:highlight w:val="none"/>
              </w:rPr>
            </w:pPr>
            <w:r>
              <w:rPr>
                <w:rFonts w:hint="eastAsia" w:ascii="宋体" w:hAnsi="宋体" w:cs="宋体"/>
                <w:b/>
                <w:kern w:val="0"/>
                <w:highlight w:val="none"/>
              </w:rPr>
              <w:t>（2）如评标价也相同时，以技术得分较高的报价人优先；</w:t>
            </w:r>
          </w:p>
          <w:p>
            <w:pPr>
              <w:keepNext w:val="0"/>
              <w:keepLines w:val="0"/>
              <w:suppressLineNumbers w:val="0"/>
              <w:snapToGrid w:val="0"/>
              <w:spacing w:before="0" w:beforeAutospacing="0" w:after="0" w:afterAutospacing="0" w:line="400" w:lineRule="exact"/>
              <w:ind w:left="0" w:right="0"/>
              <w:rPr>
                <w:rFonts w:hint="default" w:ascii="宋体" w:hAnsi="宋体" w:cs="宋体"/>
                <w:b/>
                <w:kern w:val="0"/>
                <w:highlight w:val="none"/>
              </w:rPr>
            </w:pPr>
            <w:r>
              <w:rPr>
                <w:rFonts w:hint="eastAsia" w:ascii="宋体" w:hAnsi="宋体" w:cs="宋体"/>
                <w:b/>
                <w:kern w:val="0"/>
                <w:highlight w:val="none"/>
              </w:rPr>
              <w:t>（3）如技术得分也相同时，以商务得分高的优先；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color w:val="auto"/>
                <w:highlight w:val="none"/>
              </w:rPr>
            </w:pPr>
            <w:r>
              <w:rPr>
                <w:rFonts w:hint="eastAsia"/>
                <w:b/>
                <w:bCs/>
                <w:highlight w:val="none"/>
              </w:rPr>
              <w:t>（4）</w:t>
            </w:r>
            <w:r>
              <w:rPr>
                <w:rFonts w:hint="default" w:ascii="宋体" w:hAnsi="宋体" w:cs="宋体"/>
                <w:b/>
                <w:highlight w:val="none"/>
              </w:rPr>
              <w:t>如商务得分也</w:t>
            </w:r>
            <w:r>
              <w:rPr>
                <w:rFonts w:hint="eastAsia" w:ascii="宋体" w:hAnsi="宋体" w:cs="宋体"/>
                <w:b/>
                <w:highlight w:val="none"/>
              </w:rPr>
              <w:t>相</w:t>
            </w:r>
            <w:r>
              <w:rPr>
                <w:rFonts w:hint="default" w:ascii="宋体" w:hAnsi="宋体" w:cs="宋体"/>
                <w:b/>
                <w:highlight w:val="none"/>
              </w:rPr>
              <w:t>同时，</w:t>
            </w:r>
            <w:r>
              <w:rPr>
                <w:rFonts w:hint="eastAsia" w:ascii="宋体" w:hAnsi="宋体" w:cs="宋体"/>
                <w:b/>
                <w:highlight w:val="none"/>
              </w:rPr>
              <w:t>由评标委员会投票决定。</w:t>
            </w:r>
            <w:r>
              <w:rPr>
                <w:rFonts w:hint="eastAsia"/>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eastAsia="宋体"/>
                <w:color w:val="auto"/>
                <w:highlight w:val="none"/>
                <w:lang w:eastAsia="zh-CN"/>
              </w:rPr>
            </w:pPr>
            <w:r>
              <w:rPr>
                <w:rFonts w:hint="eastAsia"/>
                <w:color w:val="auto"/>
                <w:highlight w:val="none"/>
                <w:lang w:val="en-US" w:eastAsia="zh-CN"/>
              </w:rPr>
              <w:t>2</w:t>
            </w:r>
          </w:p>
        </w:tc>
        <w:tc>
          <w:tcPr>
            <w:tcW w:w="1124"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r>
              <w:rPr>
                <w:rFonts w:hint="default"/>
                <w:color w:val="auto"/>
                <w:highlight w:val="none"/>
              </w:rPr>
              <w:t>形式评审标准</w:t>
            </w:r>
          </w:p>
        </w:tc>
        <w:tc>
          <w:tcPr>
            <w:tcW w:w="2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r>
              <w:rPr>
                <w:rFonts w:hint="eastAsia"/>
                <w:color w:val="auto"/>
                <w:highlight w:val="none"/>
              </w:rPr>
              <w:t>报价</w:t>
            </w:r>
            <w:r>
              <w:rPr>
                <w:rFonts w:hint="default"/>
                <w:color w:val="auto"/>
                <w:highlight w:val="none"/>
              </w:rPr>
              <w:t>人名称</w:t>
            </w:r>
          </w:p>
        </w:tc>
        <w:tc>
          <w:tcPr>
            <w:tcW w:w="5004"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color w:val="auto"/>
                <w:highlight w:val="none"/>
              </w:rPr>
            </w:pPr>
            <w:r>
              <w:rPr>
                <w:rFonts w:hint="default"/>
                <w:color w:val="auto"/>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p>
        </w:tc>
        <w:tc>
          <w:tcPr>
            <w:tcW w:w="1124" w:type="dxa"/>
            <w:vMerge w:val="continue"/>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r>
              <w:rPr>
                <w:rFonts w:hint="eastAsia"/>
                <w:color w:val="auto"/>
                <w:highlight w:val="none"/>
              </w:rPr>
              <w:t>报价</w:t>
            </w:r>
            <w:r>
              <w:rPr>
                <w:rFonts w:hint="default"/>
                <w:color w:val="auto"/>
                <w:highlight w:val="none"/>
              </w:rPr>
              <w:t>函签字盖章</w:t>
            </w:r>
          </w:p>
        </w:tc>
        <w:tc>
          <w:tcPr>
            <w:tcW w:w="5004"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color w:val="auto"/>
                <w:highlight w:val="none"/>
              </w:rPr>
            </w:pPr>
            <w:r>
              <w:rPr>
                <w:rFonts w:hint="default"/>
                <w:color w:val="auto"/>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p>
        </w:tc>
        <w:tc>
          <w:tcPr>
            <w:tcW w:w="1124" w:type="dxa"/>
            <w:vMerge w:val="continue"/>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r>
              <w:rPr>
                <w:rFonts w:hint="eastAsia"/>
                <w:color w:val="auto"/>
                <w:highlight w:val="none"/>
              </w:rPr>
              <w:t>竞争性</w:t>
            </w:r>
            <w:r>
              <w:rPr>
                <w:rFonts w:hint="default"/>
                <w:color w:val="auto"/>
                <w:highlight w:val="none"/>
              </w:rPr>
              <w:t>比选响应文件格式</w:t>
            </w:r>
          </w:p>
        </w:tc>
        <w:tc>
          <w:tcPr>
            <w:tcW w:w="5004"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color w:val="auto"/>
                <w:highlight w:val="none"/>
              </w:rPr>
            </w:pPr>
            <w:r>
              <w:rPr>
                <w:rFonts w:hint="default"/>
                <w:color w:val="auto"/>
                <w:highlight w:val="none"/>
              </w:rPr>
              <w:t>符合第</w:t>
            </w:r>
            <w:r>
              <w:rPr>
                <w:rFonts w:hint="eastAsia"/>
                <w:color w:val="auto"/>
                <w:highlight w:val="none"/>
                <w:lang w:val="en-US" w:eastAsia="zh-CN"/>
              </w:rPr>
              <w:t>八</w:t>
            </w:r>
            <w:r>
              <w:rPr>
                <w:rFonts w:hint="default"/>
                <w:color w:val="auto"/>
                <w:highlight w:val="none"/>
              </w:rPr>
              <w:t>章“</w:t>
            </w:r>
            <w:r>
              <w:rPr>
                <w:rFonts w:hint="eastAsia"/>
                <w:color w:val="auto"/>
                <w:highlight w:val="none"/>
              </w:rPr>
              <w:t>竞争性</w:t>
            </w:r>
            <w:r>
              <w:rPr>
                <w:rFonts w:hint="default"/>
                <w:color w:val="auto"/>
                <w:highlight w:val="none"/>
              </w:rPr>
              <w:t>比选响应文件格式”的要求，字迹</w:t>
            </w:r>
            <w:r>
              <w:rPr>
                <w:rFonts w:hint="eastAsia"/>
                <w:color w:val="auto"/>
                <w:highlight w:val="none"/>
                <w:lang w:val="en-US" w:eastAsia="zh-CN"/>
              </w:rPr>
              <w:t>及相关证件扫描件</w:t>
            </w:r>
            <w:r>
              <w:rPr>
                <w:rFonts w:hint="default"/>
                <w:color w:val="auto"/>
                <w:highlight w:val="none"/>
              </w:rPr>
              <w:t>清晰可辨。</w:t>
            </w:r>
          </w:p>
          <w:p>
            <w:pPr>
              <w:keepNext w:val="0"/>
              <w:keepLines w:val="0"/>
              <w:suppressLineNumbers w:val="0"/>
              <w:spacing w:before="0" w:beforeAutospacing="0" w:after="0" w:afterAutospacing="0" w:line="400" w:lineRule="exact"/>
              <w:ind w:left="0" w:right="0"/>
              <w:rPr>
                <w:rFonts w:hint="default"/>
                <w:color w:val="auto"/>
                <w:highlight w:val="none"/>
              </w:rPr>
            </w:pPr>
            <w:r>
              <w:rPr>
                <w:rFonts w:hint="default"/>
                <w:color w:val="auto"/>
                <w:highlight w:val="none"/>
              </w:rPr>
              <w:t>1.</w:t>
            </w:r>
            <w:r>
              <w:rPr>
                <w:rFonts w:hint="eastAsia"/>
                <w:color w:val="auto"/>
                <w:highlight w:val="none"/>
              </w:rPr>
              <w:t>报价</w:t>
            </w:r>
            <w:r>
              <w:rPr>
                <w:rFonts w:hint="default"/>
                <w:color w:val="auto"/>
                <w:highlight w:val="none"/>
              </w:rPr>
              <w:t>函的所有数据均符合</w:t>
            </w:r>
            <w:r>
              <w:rPr>
                <w:rFonts w:hint="eastAsia"/>
                <w:color w:val="auto"/>
                <w:highlight w:val="none"/>
              </w:rPr>
              <w:t>比选</w:t>
            </w:r>
            <w:r>
              <w:rPr>
                <w:rFonts w:hint="default"/>
                <w:color w:val="auto"/>
                <w:highlight w:val="none"/>
              </w:rPr>
              <w:t>文件的规定；</w:t>
            </w:r>
          </w:p>
          <w:p>
            <w:pPr>
              <w:keepNext w:val="0"/>
              <w:keepLines w:val="0"/>
              <w:suppressLineNumbers w:val="0"/>
              <w:spacing w:before="0" w:beforeAutospacing="0" w:after="0" w:afterAutospacing="0" w:line="400" w:lineRule="exact"/>
              <w:ind w:left="0" w:right="0"/>
              <w:rPr>
                <w:rFonts w:hint="default"/>
                <w:color w:val="auto"/>
                <w:highlight w:val="none"/>
              </w:rPr>
            </w:pPr>
            <w:r>
              <w:rPr>
                <w:rFonts w:hint="default"/>
                <w:color w:val="auto"/>
                <w:highlight w:val="none"/>
              </w:rPr>
              <w:t>2.</w:t>
            </w:r>
            <w:r>
              <w:rPr>
                <w:rFonts w:hint="eastAsia"/>
                <w:color w:val="auto"/>
                <w:highlight w:val="none"/>
              </w:rPr>
              <w:t>竞争性</w:t>
            </w:r>
            <w:r>
              <w:rPr>
                <w:rFonts w:hint="default"/>
                <w:color w:val="auto"/>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p>
        </w:tc>
        <w:tc>
          <w:tcPr>
            <w:tcW w:w="1124" w:type="dxa"/>
            <w:vMerge w:val="continue"/>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eastAsia="宋体"/>
                <w:color w:val="auto"/>
                <w:highlight w:val="none"/>
                <w:lang w:eastAsia="zh-CN"/>
              </w:rPr>
            </w:pPr>
            <w:r>
              <w:rPr>
                <w:rFonts w:hint="default"/>
                <w:color w:val="auto"/>
                <w:highlight w:val="none"/>
              </w:rPr>
              <w:t>已标价</w:t>
            </w:r>
            <w:r>
              <w:rPr>
                <w:rFonts w:hint="eastAsia"/>
                <w:color w:val="auto"/>
                <w:highlight w:val="none"/>
                <w:lang w:eastAsia="zh-CN"/>
              </w:rPr>
              <w:t>报价清单</w:t>
            </w:r>
          </w:p>
        </w:tc>
        <w:tc>
          <w:tcPr>
            <w:tcW w:w="5004"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440" w:lineRule="exact"/>
              <w:ind w:left="0" w:right="0"/>
              <w:rPr>
                <w:rFonts w:hint="eastAsia"/>
                <w:color w:val="auto"/>
                <w:highlight w:val="none"/>
              </w:rPr>
            </w:pPr>
            <w:r>
              <w:rPr>
                <w:rFonts w:hint="default"/>
                <w:color w:val="auto"/>
                <w:highlight w:val="none"/>
              </w:rPr>
              <w:t>符合第五章“</w:t>
            </w:r>
            <w:r>
              <w:rPr>
                <w:rFonts w:hint="eastAsia"/>
                <w:color w:val="auto"/>
                <w:highlight w:val="none"/>
                <w:lang w:eastAsia="zh-CN"/>
              </w:rPr>
              <w:t>报价清单</w:t>
            </w:r>
            <w:r>
              <w:rPr>
                <w:rFonts w:hint="default"/>
                <w:color w:val="auto"/>
                <w:highlight w:val="none"/>
              </w:rPr>
              <w:t>”给出的范围及数量</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p>
        </w:tc>
        <w:tc>
          <w:tcPr>
            <w:tcW w:w="1124" w:type="dxa"/>
            <w:vMerge w:val="continue"/>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default"/>
                <w:color w:val="auto"/>
                <w:highlight w:val="none"/>
              </w:rPr>
            </w:pPr>
            <w:r>
              <w:rPr>
                <w:rFonts w:hint="default"/>
                <w:color w:val="auto"/>
                <w:highlight w:val="none"/>
              </w:rPr>
              <w:t>报价其它要求</w:t>
            </w:r>
          </w:p>
        </w:tc>
        <w:tc>
          <w:tcPr>
            <w:tcW w:w="5004"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竞争性</w:t>
            </w:r>
            <w:r>
              <w:rPr>
                <w:rFonts w:hint="default"/>
                <w:color w:val="auto"/>
                <w:highlight w:val="none"/>
              </w:rPr>
              <w:t>比选响应文件报价表中的报价与</w:t>
            </w:r>
            <w:r>
              <w:rPr>
                <w:rFonts w:hint="eastAsia"/>
                <w:color w:val="auto"/>
                <w:highlight w:val="none"/>
              </w:rPr>
              <w:t>报价</w:t>
            </w:r>
            <w:r>
              <w:rPr>
                <w:rFonts w:hint="default"/>
                <w:color w:val="auto"/>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p>
        </w:tc>
        <w:tc>
          <w:tcPr>
            <w:tcW w:w="1124"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p>
        </w:tc>
        <w:tc>
          <w:tcPr>
            <w:tcW w:w="211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highlight w:val="none"/>
              </w:rPr>
            </w:pPr>
            <w:r>
              <w:rPr>
                <w:rFonts w:hint="eastAsia"/>
                <w:color w:val="auto"/>
                <w:sz w:val="21"/>
                <w:szCs w:val="21"/>
                <w:highlight w:val="none"/>
              </w:rPr>
              <w:t>竞争性</w:t>
            </w:r>
            <w:r>
              <w:rPr>
                <w:rFonts w:hint="default"/>
                <w:color w:val="auto"/>
                <w:sz w:val="21"/>
                <w:szCs w:val="21"/>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color w:val="auto"/>
                <w:highlight w:val="none"/>
              </w:rPr>
            </w:pPr>
            <w:r>
              <w:rPr>
                <w:rFonts w:hint="eastAsia"/>
                <w:color w:val="auto"/>
                <w:highlight w:val="none"/>
              </w:rPr>
              <w:t>竞争性</w:t>
            </w:r>
            <w:r>
              <w:rPr>
                <w:rFonts w:hint="default"/>
                <w:color w:val="auto"/>
                <w:highlight w:val="none"/>
              </w:rPr>
              <w:t>比选响应文件正本中法定代表人或授权代理人签署姓名齐全，符合</w:t>
            </w:r>
            <w:r>
              <w:rPr>
                <w:rFonts w:hint="eastAsia"/>
                <w:color w:val="auto"/>
                <w:highlight w:val="none"/>
              </w:rPr>
              <w:t>比选</w:t>
            </w:r>
            <w:r>
              <w:rPr>
                <w:rFonts w:hint="default"/>
                <w:color w:val="auto"/>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p>
        </w:tc>
        <w:tc>
          <w:tcPr>
            <w:tcW w:w="1124"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p>
        </w:tc>
        <w:tc>
          <w:tcPr>
            <w:tcW w:w="2117"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r>
              <w:rPr>
                <w:rFonts w:hint="default"/>
                <w:color w:val="auto"/>
                <w:highlight w:val="none"/>
              </w:rPr>
              <w:t>其它材料</w:t>
            </w:r>
          </w:p>
        </w:tc>
        <w:tc>
          <w:tcPr>
            <w:tcW w:w="5004" w:type="dxa"/>
            <w:tcBorders>
              <w:top w:val="single" w:color="auto" w:sz="4" w:space="0"/>
              <w:lef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color w:val="auto"/>
                <w:highlight w:val="none"/>
              </w:rPr>
            </w:pPr>
            <w:r>
              <w:rPr>
                <w:rFonts w:hint="default"/>
                <w:color w:val="auto"/>
                <w:highlight w:val="none"/>
              </w:rPr>
              <w:t>与</w:t>
            </w:r>
            <w:r>
              <w:rPr>
                <w:rFonts w:hint="eastAsia"/>
                <w:color w:val="auto"/>
                <w:highlight w:val="none"/>
              </w:rPr>
              <w:t>采购人</w:t>
            </w:r>
            <w:r>
              <w:rPr>
                <w:rFonts w:hint="default"/>
                <w:color w:val="auto"/>
                <w:highlight w:val="none"/>
              </w:rPr>
              <w:t>存在利害关系可能影响</w:t>
            </w:r>
            <w:r>
              <w:rPr>
                <w:rFonts w:hint="eastAsia"/>
                <w:color w:val="auto"/>
                <w:highlight w:val="none"/>
              </w:rPr>
              <w:t>比选</w:t>
            </w:r>
            <w:r>
              <w:rPr>
                <w:rFonts w:hint="default"/>
                <w:color w:val="auto"/>
                <w:highlight w:val="none"/>
              </w:rPr>
              <w:t>公正性的法人、其他组织或者个人，不得参加</w:t>
            </w:r>
            <w:r>
              <w:rPr>
                <w:rFonts w:hint="eastAsia"/>
                <w:color w:val="auto"/>
                <w:highlight w:val="none"/>
              </w:rPr>
              <w:t>报价</w:t>
            </w:r>
            <w:r>
              <w:rPr>
                <w:rFonts w:hint="default"/>
                <w:color w:val="auto"/>
                <w:highlight w:val="none"/>
              </w:rPr>
              <w:t>；单位负责人为同一人或者存在控股、管理关系的不同单位，不得同时参加</w:t>
            </w:r>
            <w:r>
              <w:rPr>
                <w:rFonts w:hint="eastAsia"/>
                <w:color w:val="auto"/>
                <w:highlight w:val="none"/>
              </w:rPr>
              <w:t>报价</w:t>
            </w:r>
            <w:r>
              <w:rPr>
                <w:rFonts w:hint="default"/>
                <w:color w:val="auto"/>
                <w:highlight w:val="none"/>
              </w:rPr>
              <w:t>，否则相关</w:t>
            </w:r>
            <w:r>
              <w:rPr>
                <w:rFonts w:hint="eastAsia"/>
                <w:color w:val="auto"/>
                <w:highlight w:val="none"/>
              </w:rPr>
              <w:t>报价</w:t>
            </w:r>
            <w:r>
              <w:rPr>
                <w:rFonts w:hint="default"/>
                <w:color w:val="auto"/>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eastAsia="宋体"/>
                <w:color w:val="auto"/>
                <w:highlight w:val="none"/>
                <w:lang w:eastAsia="zh-CN"/>
              </w:rPr>
            </w:pPr>
            <w:r>
              <w:rPr>
                <w:rFonts w:hint="eastAsia"/>
                <w:color w:val="auto"/>
                <w:highlight w:val="none"/>
                <w:lang w:val="en-US" w:eastAsia="zh-CN"/>
              </w:rPr>
              <w:t>3</w:t>
            </w:r>
          </w:p>
        </w:tc>
        <w:tc>
          <w:tcPr>
            <w:tcW w:w="11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r>
              <w:rPr>
                <w:rFonts w:hint="default"/>
                <w:color w:val="auto"/>
                <w:highlight w:val="none"/>
              </w:rPr>
              <w:t>资格评审标准</w:t>
            </w:r>
          </w:p>
        </w:tc>
        <w:tc>
          <w:tcPr>
            <w:tcW w:w="2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r>
              <w:rPr>
                <w:rFonts w:hint="default"/>
                <w:color w:val="auto"/>
                <w:highlight w:val="none"/>
              </w:rPr>
              <w:t>营业执照</w:t>
            </w:r>
          </w:p>
        </w:tc>
        <w:tc>
          <w:tcPr>
            <w:tcW w:w="5004"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color w:val="auto"/>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8</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r>
              <w:rPr>
                <w:rFonts w:hint="default"/>
                <w:color w:val="auto"/>
                <w:highlight w:val="none"/>
              </w:rPr>
              <w:t>资质要求</w:t>
            </w:r>
          </w:p>
        </w:tc>
        <w:tc>
          <w:tcPr>
            <w:tcW w:w="5004"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color w:val="auto"/>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8</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55" w:hRule="atLeast"/>
          <w:jc w:val="center"/>
        </w:trPr>
        <w:tc>
          <w:tcPr>
            <w:tcW w:w="900" w:type="dxa"/>
            <w:vMerge w:val="continue"/>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r>
              <w:rPr>
                <w:rFonts w:hint="default"/>
                <w:color w:val="auto"/>
                <w:highlight w:val="none"/>
              </w:rPr>
              <w:t>业绩要求</w:t>
            </w:r>
          </w:p>
        </w:tc>
        <w:tc>
          <w:tcPr>
            <w:tcW w:w="5004" w:type="dxa"/>
            <w:tcBorders>
              <w:top w:val="single" w:color="auto" w:sz="4" w:space="0"/>
              <w:left w:val="single" w:color="auto" w:sz="4" w:space="0"/>
              <w:bottom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color w:val="auto"/>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8</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55" w:hRule="atLeast"/>
          <w:jc w:val="center"/>
        </w:trPr>
        <w:tc>
          <w:tcPr>
            <w:tcW w:w="900" w:type="dxa"/>
            <w:vMerge w:val="continue"/>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r>
              <w:rPr>
                <w:rFonts w:hint="default"/>
                <w:color w:val="auto"/>
                <w:highlight w:val="none"/>
              </w:rPr>
              <w:t>信誉要求</w:t>
            </w:r>
          </w:p>
        </w:tc>
        <w:tc>
          <w:tcPr>
            <w:tcW w:w="5004"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color w:val="auto"/>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8</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highlight w:val="none"/>
              </w:rPr>
            </w:pPr>
            <w:r>
              <w:rPr>
                <w:rFonts w:hint="eastAsia" w:ascii="宋体" w:hAnsi="宋体" w:cs="宋体"/>
                <w:color w:val="auto"/>
                <w:szCs w:val="21"/>
                <w:highlight w:val="none"/>
                <w:lang w:val="en-US" w:eastAsia="zh-CN"/>
              </w:rPr>
              <w:t>项目主要管理人员</w:t>
            </w:r>
            <w:r>
              <w:rPr>
                <w:rFonts w:hint="default"/>
                <w:color w:val="auto"/>
                <w:highlight w:val="none"/>
              </w:rPr>
              <w:t>最低要求</w:t>
            </w:r>
          </w:p>
        </w:tc>
        <w:tc>
          <w:tcPr>
            <w:tcW w:w="5004"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eastAsia="宋体"/>
                <w:color w:val="auto"/>
                <w:highlight w:val="none"/>
                <w:lang w:val="en-US" w:eastAsia="zh-CN"/>
              </w:rPr>
            </w:pPr>
            <w:r>
              <w:rPr>
                <w:rFonts w:hint="default"/>
                <w:highlight w:val="none"/>
              </w:rPr>
              <w:t>符合第二章“</w:t>
            </w:r>
            <w:r>
              <w:rPr>
                <w:rFonts w:hint="eastAsia"/>
                <w:highlight w:val="none"/>
              </w:rPr>
              <w:t>报价</w:t>
            </w:r>
            <w:r>
              <w:rPr>
                <w:rFonts w:hint="default"/>
                <w:highlight w:val="none"/>
              </w:rPr>
              <w:t>人须知”前附表附录</w:t>
            </w:r>
            <w:r>
              <w:rPr>
                <w:rFonts w:hint="eastAsia"/>
                <w:highlight w:val="none"/>
                <w:lang w:val="en-US" w:eastAsia="zh-CN"/>
              </w:rPr>
              <w:t>1</w:t>
            </w:r>
            <w:r>
              <w:rPr>
                <w:rFonts w:hint="default"/>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r>
              <w:rPr>
                <w:rFonts w:hint="eastAsia" w:ascii="宋体" w:hAnsi="宋体" w:cs="宋体"/>
                <w:color w:val="auto"/>
                <w:szCs w:val="21"/>
                <w:highlight w:val="none"/>
                <w:lang w:val="en-US" w:eastAsia="zh-CN"/>
              </w:rPr>
              <w:t>其他人员最低要求</w:t>
            </w:r>
          </w:p>
        </w:tc>
        <w:tc>
          <w:tcPr>
            <w:tcW w:w="5004"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color w:val="auto"/>
                <w:highlight w:val="none"/>
              </w:rPr>
            </w:pPr>
            <w:r>
              <w:rPr>
                <w:rFonts w:hint="default"/>
                <w:highlight w:val="none"/>
              </w:rPr>
              <w:t>符合第二章“</w:t>
            </w:r>
            <w:r>
              <w:rPr>
                <w:rFonts w:hint="eastAsia"/>
                <w:highlight w:val="none"/>
              </w:rPr>
              <w:t>报价</w:t>
            </w:r>
            <w:r>
              <w:rPr>
                <w:rFonts w:hint="default"/>
                <w:highlight w:val="none"/>
              </w:rPr>
              <w:t>人须知”前附表附录</w:t>
            </w:r>
            <w:r>
              <w:rPr>
                <w:rFonts w:hint="eastAsia"/>
                <w:highlight w:val="none"/>
                <w:lang w:val="en-US" w:eastAsia="zh-CN"/>
              </w:rPr>
              <w:t>2</w:t>
            </w:r>
            <w:r>
              <w:rPr>
                <w:rFonts w:hint="default"/>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kern w:val="1"/>
                <w:highlight w:val="none"/>
              </w:rPr>
            </w:pPr>
            <w:r>
              <w:rPr>
                <w:rFonts w:hint="eastAsia" w:ascii="宋体" w:hAnsi="宋体" w:cs="宋体"/>
                <w:color w:val="auto"/>
                <w:szCs w:val="21"/>
                <w:highlight w:val="none"/>
                <w:lang w:val="en-US" w:eastAsia="zh-CN"/>
              </w:rPr>
              <w:t>主要机械设备和试验检测设备最低要求</w:t>
            </w:r>
          </w:p>
        </w:tc>
        <w:tc>
          <w:tcPr>
            <w:tcW w:w="5004"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color w:val="auto"/>
                <w:highlight w:val="none"/>
              </w:rPr>
            </w:pPr>
            <w:r>
              <w:rPr>
                <w:rFonts w:hint="default"/>
                <w:highlight w:val="none"/>
              </w:rPr>
              <w:t>符合第二章“</w:t>
            </w:r>
            <w:r>
              <w:rPr>
                <w:rFonts w:hint="eastAsia"/>
                <w:highlight w:val="none"/>
              </w:rPr>
              <w:t>报价</w:t>
            </w:r>
            <w:r>
              <w:rPr>
                <w:rFonts w:hint="default"/>
                <w:highlight w:val="none"/>
              </w:rPr>
              <w:t>人须知”前附表附录</w:t>
            </w:r>
            <w:r>
              <w:rPr>
                <w:rFonts w:hint="eastAsia"/>
                <w:highlight w:val="none"/>
                <w:lang w:val="en-US" w:eastAsia="zh-CN"/>
              </w:rPr>
              <w:t>3</w:t>
            </w:r>
            <w:r>
              <w:rPr>
                <w:rFonts w:hint="default"/>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eastAsia="宋体"/>
                <w:color w:val="auto"/>
                <w:highlight w:val="none"/>
                <w:lang w:eastAsia="zh-CN"/>
              </w:rPr>
            </w:pPr>
            <w:r>
              <w:rPr>
                <w:rFonts w:hint="eastAsia"/>
                <w:color w:val="auto"/>
                <w:highlight w:val="none"/>
                <w:lang w:val="en-US" w:eastAsia="zh-CN"/>
              </w:rPr>
              <w:t>4</w:t>
            </w:r>
          </w:p>
        </w:tc>
        <w:tc>
          <w:tcPr>
            <w:tcW w:w="11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r>
              <w:rPr>
                <w:rFonts w:hint="default"/>
                <w:color w:val="auto"/>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r>
              <w:rPr>
                <w:rFonts w:hint="default"/>
                <w:color w:val="auto"/>
                <w:highlight w:val="none"/>
              </w:rPr>
              <w:t>投标内容</w:t>
            </w:r>
          </w:p>
        </w:tc>
        <w:tc>
          <w:tcPr>
            <w:tcW w:w="5004"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color w:val="auto"/>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4</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p>
        </w:tc>
        <w:tc>
          <w:tcPr>
            <w:tcW w:w="1124"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r>
              <w:rPr>
                <w:rFonts w:hint="default"/>
                <w:color w:val="auto"/>
                <w:highlight w:val="none"/>
              </w:rPr>
              <w:t>报价</w:t>
            </w:r>
          </w:p>
        </w:tc>
        <w:tc>
          <w:tcPr>
            <w:tcW w:w="5004"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color w:val="auto"/>
                <w:highlight w:val="none"/>
              </w:rPr>
            </w:pPr>
            <w:r>
              <w:rPr>
                <w:rFonts w:hint="default"/>
                <w:color w:val="auto"/>
                <w:highlight w:val="none"/>
              </w:rPr>
              <w:t>符合比选文件给出的范围及数量，且报价不得超过</w:t>
            </w:r>
            <w:r>
              <w:rPr>
                <w:rFonts w:hint="eastAsia"/>
                <w:color w:val="auto"/>
                <w:highlight w:val="none"/>
              </w:rPr>
              <w:t>采购人</w:t>
            </w:r>
            <w:r>
              <w:rPr>
                <w:rFonts w:hint="default"/>
                <w:color w:val="auto"/>
                <w:highlight w:val="none"/>
              </w:rPr>
              <w:t>公布的最高</w:t>
            </w:r>
            <w:r>
              <w:rPr>
                <w:rFonts w:hint="eastAsia"/>
                <w:color w:val="auto"/>
                <w:highlight w:val="none"/>
                <w:lang w:val="en-US" w:eastAsia="zh-CN"/>
              </w:rPr>
              <w:t>上限价</w:t>
            </w:r>
            <w:r>
              <w:rPr>
                <w:rFonts w:hint="default"/>
                <w:color w:val="auto"/>
                <w:highlight w:val="none"/>
              </w:rPr>
              <w:t>，但也不得低于</w:t>
            </w:r>
            <w:r>
              <w:rPr>
                <w:rFonts w:hint="eastAsia"/>
                <w:color w:val="auto"/>
                <w:highlight w:val="none"/>
              </w:rPr>
              <w:t>报价</w:t>
            </w:r>
            <w:r>
              <w:rPr>
                <w:rFonts w:hint="default"/>
                <w:color w:val="auto"/>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r>
              <w:rPr>
                <w:rFonts w:hint="default"/>
                <w:color w:val="auto"/>
                <w:highlight w:val="none"/>
              </w:rPr>
              <w:t>工期</w:t>
            </w:r>
          </w:p>
        </w:tc>
        <w:tc>
          <w:tcPr>
            <w:tcW w:w="5004"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color w:val="auto"/>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5</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r>
              <w:rPr>
                <w:rFonts w:hint="default"/>
                <w:color w:val="auto"/>
                <w:highlight w:val="none"/>
              </w:rPr>
              <w:t>质量标准</w:t>
            </w:r>
          </w:p>
        </w:tc>
        <w:tc>
          <w:tcPr>
            <w:tcW w:w="5004"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color w:val="auto"/>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6</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r>
              <w:rPr>
                <w:rFonts w:hint="default"/>
                <w:color w:val="auto"/>
                <w:highlight w:val="none"/>
              </w:rPr>
              <w:t>安全目标</w:t>
            </w:r>
          </w:p>
        </w:tc>
        <w:tc>
          <w:tcPr>
            <w:tcW w:w="5004"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color w:val="auto"/>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7</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eastAsia="宋体"/>
                <w:color w:val="auto"/>
                <w:highlight w:val="none"/>
                <w:lang w:eastAsia="zh-CN"/>
              </w:rPr>
            </w:pPr>
            <w:r>
              <w:rPr>
                <w:rFonts w:hint="eastAsia"/>
                <w:color w:val="auto"/>
                <w:highlight w:val="none"/>
                <w:lang w:val="en-US" w:eastAsia="zh-CN"/>
              </w:rPr>
              <w:t>5</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rPr>
            </w:pPr>
            <w:r>
              <w:rPr>
                <w:rFonts w:hint="eastAsia" w:ascii="宋体" w:hAnsi="宋体" w:cs="宋体"/>
                <w:color w:val="auto"/>
                <w:kern w:val="0"/>
                <w:szCs w:val="21"/>
                <w:highlight w:val="none"/>
              </w:rPr>
              <w:t>分值构成</w:t>
            </w:r>
          </w:p>
        </w:tc>
        <w:tc>
          <w:tcPr>
            <w:tcW w:w="2117" w:type="dxa"/>
            <w:tcBorders>
              <w:top w:val="single" w:color="auto" w:sz="4" w:space="0"/>
              <w:left w:val="single" w:color="auto" w:sz="4" w:space="0"/>
              <w:bottom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分值构成</w:t>
            </w:r>
          </w:p>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color w:val="auto"/>
                <w:highlight w:val="none"/>
              </w:rPr>
            </w:pPr>
            <w:r>
              <w:rPr>
                <w:rFonts w:hint="eastAsia" w:ascii="宋体" w:hAnsi="宋体" w:cs="宋体"/>
                <w:color w:val="auto"/>
                <w:kern w:val="0"/>
                <w:szCs w:val="21"/>
                <w:highlight w:val="none"/>
              </w:rPr>
              <w:t>（总分100分）</w:t>
            </w:r>
          </w:p>
        </w:tc>
        <w:tc>
          <w:tcPr>
            <w:tcW w:w="5004" w:type="dxa"/>
            <w:tcBorders>
              <w:top w:val="single" w:color="auto" w:sz="4" w:space="0"/>
              <w:left w:val="single" w:color="auto" w:sz="4" w:space="0"/>
              <w:bottom w:val="single" w:color="auto" w:sz="4" w:space="0"/>
            </w:tcBorders>
            <w:noWrap w:val="0"/>
            <w:vAlign w:val="top"/>
          </w:tcPr>
          <w:p>
            <w:pPr>
              <w:keepNext w:val="0"/>
              <w:keepLines w:val="0"/>
              <w:numPr>
                <w:ilvl w:val="0"/>
                <w:numId w:val="3"/>
              </w:numPr>
              <w:suppressLineNumbers w:val="0"/>
              <w:autoSpaceDE w:val="0"/>
              <w:autoSpaceDN w:val="0"/>
              <w:adjustRightInd w:val="0"/>
              <w:spacing w:before="0" w:beforeAutospacing="0" w:after="0" w:afterAutospacing="0" w:line="320" w:lineRule="exact"/>
              <w:ind w:left="0" w:right="0" w:firstLine="420" w:firstLineChars="200"/>
              <w:jc w:val="left"/>
              <w:rPr>
                <w:rFonts w:hint="default"/>
                <w:color w:val="auto"/>
                <w:highlight w:val="none"/>
              </w:rPr>
            </w:pPr>
            <w:r>
              <w:rPr>
                <w:rFonts w:hint="eastAsia" w:ascii="宋体" w:hAnsi="宋体" w:cs="宋体"/>
                <w:color w:val="auto"/>
                <w:kern w:val="0"/>
                <w:szCs w:val="21"/>
                <w:highlight w:val="none"/>
              </w:rPr>
              <w:t>报价部分A：50分；</w:t>
            </w:r>
          </w:p>
          <w:p>
            <w:pPr>
              <w:keepNext w:val="0"/>
              <w:keepLines w:val="0"/>
              <w:numPr>
                <w:ilvl w:val="0"/>
                <w:numId w:val="3"/>
              </w:numPr>
              <w:suppressLineNumbers w:val="0"/>
              <w:autoSpaceDE w:val="0"/>
              <w:autoSpaceDN w:val="0"/>
              <w:adjustRightInd w:val="0"/>
              <w:spacing w:before="0" w:beforeAutospacing="0" w:after="0" w:afterAutospacing="0" w:line="320" w:lineRule="exact"/>
              <w:ind w:left="0" w:right="0" w:firstLine="420" w:firstLineChars="200"/>
              <w:jc w:val="left"/>
              <w:rPr>
                <w:rFonts w:hint="default"/>
                <w:color w:val="auto"/>
                <w:highlight w:val="none"/>
              </w:rPr>
            </w:pPr>
            <w:r>
              <w:rPr>
                <w:rFonts w:hint="eastAsia" w:ascii="宋体" w:hAnsi="宋体" w:cs="宋体"/>
                <w:color w:val="auto"/>
                <w:kern w:val="0"/>
                <w:szCs w:val="21"/>
                <w:highlight w:val="none"/>
              </w:rPr>
              <w:t>商务部分B：10分；</w:t>
            </w:r>
          </w:p>
          <w:p>
            <w:pPr>
              <w:keepNext w:val="0"/>
              <w:keepLines w:val="0"/>
              <w:numPr>
                <w:ilvl w:val="0"/>
                <w:numId w:val="3"/>
              </w:numPr>
              <w:suppressLineNumbers w:val="0"/>
              <w:autoSpaceDE w:val="0"/>
              <w:autoSpaceDN w:val="0"/>
              <w:adjustRightInd w:val="0"/>
              <w:spacing w:before="0" w:beforeAutospacing="0" w:after="0" w:afterAutospacing="0" w:line="320" w:lineRule="exact"/>
              <w:ind w:left="0" w:right="0" w:firstLine="420" w:firstLineChars="200"/>
              <w:jc w:val="left"/>
              <w:rPr>
                <w:rFonts w:hint="default"/>
                <w:color w:val="auto"/>
                <w:highlight w:val="none"/>
              </w:rPr>
            </w:pPr>
            <w:r>
              <w:rPr>
                <w:rFonts w:hint="eastAsia" w:ascii="宋体" w:hAnsi="宋体" w:cs="宋体"/>
                <w:color w:val="auto"/>
                <w:kern w:val="0"/>
                <w:szCs w:val="21"/>
                <w:highlight w:val="none"/>
              </w:rPr>
              <w:t>技术部分C：40分；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lang w:val="en-US" w:eastAsia="zh-CN"/>
              </w:rPr>
            </w:pPr>
            <w:r>
              <w:rPr>
                <w:rFonts w:hint="eastAsia"/>
                <w:color w:val="auto"/>
                <w:highlight w:val="none"/>
                <w:lang w:val="en-US" w:eastAsia="zh-CN"/>
              </w:rPr>
              <w:t>6</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Cs w:val="21"/>
                <w:highlight w:val="none"/>
              </w:rPr>
              <w:t>A.报价部分评分标准</w:t>
            </w:r>
          </w:p>
        </w:tc>
        <w:tc>
          <w:tcPr>
            <w:tcW w:w="2117" w:type="dxa"/>
            <w:tcBorders>
              <w:top w:val="single" w:color="auto" w:sz="4" w:space="0"/>
              <w:left w:val="single" w:color="auto" w:sz="4" w:space="0"/>
              <w:bottom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Cs w:val="21"/>
                <w:highlight w:val="none"/>
              </w:rPr>
              <w:t>报价（50分）</w:t>
            </w:r>
          </w:p>
        </w:tc>
        <w:tc>
          <w:tcPr>
            <w:tcW w:w="5004"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default" w:ascii="宋体" w:hAnsi="宋体"/>
                <w:color w:val="auto"/>
                <w:szCs w:val="21"/>
                <w:highlight w:val="none"/>
              </w:rPr>
              <w:t>1.</w:t>
            </w:r>
            <w:r>
              <w:rPr>
                <w:rFonts w:hint="eastAsia" w:ascii="宋体" w:hAnsi="宋体" w:cs="宋体"/>
                <w:color w:val="auto"/>
                <w:szCs w:val="21"/>
                <w:highlight w:val="none"/>
              </w:rPr>
              <w:t>满足招标文件要求，有效的投标报价的平均值为评标基准价</w:t>
            </w:r>
            <w:r>
              <w:rPr>
                <w:rFonts w:hint="default" w:ascii="宋体" w:hAnsi="宋体"/>
                <w:color w:val="auto"/>
                <w:szCs w:val="21"/>
                <w:highlight w:val="none"/>
              </w:rPr>
              <w:t>。</w:t>
            </w:r>
          </w:p>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default" w:ascii="宋体" w:hAnsi="宋体"/>
                <w:color w:val="auto"/>
                <w:szCs w:val="21"/>
                <w:highlight w:val="none"/>
              </w:rPr>
              <w:t>2.偏差率=100%×（报价人报价－评标基准价）/评标基准价。</w:t>
            </w:r>
          </w:p>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default" w:ascii="宋体" w:hAnsi="宋体"/>
                <w:color w:val="auto"/>
                <w:szCs w:val="21"/>
                <w:highlight w:val="none"/>
              </w:rPr>
              <w:t>3.经评审的有效投标报价与评标基准价相比，等于基准价的得</w:t>
            </w:r>
            <w:r>
              <w:rPr>
                <w:rFonts w:hint="eastAsia" w:ascii="宋体" w:hAnsi="宋体"/>
                <w:color w:val="auto"/>
                <w:szCs w:val="21"/>
                <w:highlight w:val="none"/>
              </w:rPr>
              <w:t>5</w:t>
            </w:r>
            <w:r>
              <w:rPr>
                <w:rFonts w:hint="default" w:ascii="宋体" w:hAnsi="宋体"/>
                <w:color w:val="auto"/>
                <w:szCs w:val="21"/>
                <w:highlight w:val="none"/>
              </w:rPr>
              <w:t>0分，每增加1%扣</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default" w:ascii="宋体" w:hAnsi="宋体"/>
                <w:color w:val="auto"/>
                <w:szCs w:val="21"/>
                <w:highlight w:val="none"/>
              </w:rPr>
              <w:t>分，每减少1%扣0.</w:t>
            </w:r>
            <w:r>
              <w:rPr>
                <w:rFonts w:hint="eastAsia" w:ascii="宋体" w:hAnsi="宋体"/>
                <w:color w:val="auto"/>
                <w:szCs w:val="21"/>
                <w:highlight w:val="none"/>
              </w:rPr>
              <w:t>5</w:t>
            </w:r>
            <w:r>
              <w:rPr>
                <w:rFonts w:hint="default" w:ascii="宋体" w:hAnsi="宋体"/>
                <w:color w:val="auto"/>
                <w:szCs w:val="21"/>
                <w:highlight w:val="none"/>
              </w:rPr>
              <w:t>分，</w:t>
            </w:r>
            <w:r>
              <w:rPr>
                <w:rFonts w:hint="eastAsia" w:ascii="宋体" w:hAnsi="宋体"/>
                <w:color w:val="auto"/>
                <w:szCs w:val="21"/>
                <w:highlight w:val="none"/>
              </w:rPr>
              <w:t>最少减至3</w:t>
            </w:r>
            <w:r>
              <w:rPr>
                <w:rFonts w:hint="eastAsia" w:ascii="宋体" w:hAnsi="宋体"/>
                <w:color w:val="auto"/>
                <w:szCs w:val="21"/>
                <w:highlight w:val="none"/>
                <w:lang w:val="en-US" w:eastAsia="zh-CN"/>
              </w:rPr>
              <w:t>0</w:t>
            </w:r>
            <w:r>
              <w:rPr>
                <w:rFonts w:hint="eastAsia" w:ascii="宋体" w:hAnsi="宋体"/>
                <w:color w:val="auto"/>
                <w:szCs w:val="21"/>
                <w:highlight w:val="none"/>
              </w:rPr>
              <w:t>分</w:t>
            </w:r>
            <w:r>
              <w:rPr>
                <w:rFonts w:hint="default" w:ascii="宋体" w:hAnsi="宋体"/>
                <w:color w:val="auto"/>
                <w:szCs w:val="21"/>
                <w:highlight w:val="none"/>
              </w:rPr>
              <w:t>。</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kern w:val="0"/>
                <w:sz w:val="21"/>
                <w:szCs w:val="21"/>
                <w:highlight w:val="none"/>
              </w:rPr>
            </w:pPr>
            <w:r>
              <w:rPr>
                <w:rFonts w:hint="default" w:ascii="宋体" w:hAnsi="宋体"/>
                <w:color w:val="auto"/>
                <w:szCs w:val="21"/>
                <w:highlight w:val="none"/>
              </w:rPr>
              <w:t>4.</w:t>
            </w:r>
            <w:r>
              <w:rPr>
                <w:rFonts w:hint="eastAsia" w:ascii="宋体" w:hAnsi="宋体"/>
                <w:color w:val="auto"/>
                <w:szCs w:val="21"/>
                <w:highlight w:val="none"/>
              </w:rPr>
              <w:t>得分</w:t>
            </w:r>
            <w:r>
              <w:rPr>
                <w:rFonts w:hint="default" w:ascii="宋体" w:hAnsi="宋体"/>
                <w:color w:val="auto"/>
                <w:szCs w:val="21"/>
                <w:highlight w:val="none"/>
              </w:rPr>
              <w:t>保留2位小数。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lang w:val="en-US" w:eastAsia="zh-CN"/>
              </w:rPr>
            </w:pPr>
            <w:r>
              <w:rPr>
                <w:rFonts w:hint="eastAsia"/>
                <w:color w:val="auto"/>
                <w:highlight w:val="none"/>
                <w:lang w:val="en-US" w:eastAsia="zh-CN"/>
              </w:rPr>
              <w:t>7</w:t>
            </w:r>
          </w:p>
        </w:tc>
        <w:tc>
          <w:tcPr>
            <w:tcW w:w="11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color w:val="auto"/>
                <w:highlight w:val="none"/>
              </w:rPr>
            </w:pPr>
            <w:r>
              <w:rPr>
                <w:rFonts w:hint="eastAsia" w:ascii="宋体" w:hAnsi="宋体" w:cs="宋体"/>
                <w:color w:val="auto"/>
                <w:kern w:val="0"/>
                <w:szCs w:val="21"/>
                <w:highlight w:val="none"/>
              </w:rPr>
              <w:t>B.商务部分评分标准</w:t>
            </w:r>
          </w:p>
        </w:tc>
        <w:tc>
          <w:tcPr>
            <w:tcW w:w="2117" w:type="dxa"/>
            <w:tcBorders>
              <w:top w:val="single" w:color="auto" w:sz="4" w:space="0"/>
              <w:left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color w:val="auto"/>
                <w:highlight w:val="none"/>
              </w:rPr>
            </w:pPr>
            <w:r>
              <w:rPr>
                <w:rFonts w:hint="eastAsia" w:ascii="宋体" w:hAnsi="宋体" w:cs="宋体"/>
                <w:color w:val="auto"/>
                <w:szCs w:val="21"/>
                <w:highlight w:val="none"/>
                <w:shd w:val="clear" w:color="FFFFFF" w:fill="auto"/>
              </w:rPr>
              <w:t>项目团队（</w:t>
            </w:r>
            <w:r>
              <w:rPr>
                <w:rFonts w:hint="eastAsia" w:ascii="宋体" w:hAnsi="宋体" w:cs="宋体"/>
                <w:color w:val="auto"/>
                <w:szCs w:val="21"/>
                <w:highlight w:val="none"/>
                <w:shd w:val="clear" w:color="FFFFFF" w:fill="auto"/>
                <w:lang w:val="en-US" w:eastAsia="zh-CN"/>
              </w:rPr>
              <w:t>3</w:t>
            </w:r>
            <w:r>
              <w:rPr>
                <w:rFonts w:hint="eastAsia" w:ascii="宋体" w:hAnsi="宋体" w:cs="宋体"/>
                <w:color w:val="auto"/>
                <w:szCs w:val="21"/>
                <w:highlight w:val="none"/>
                <w:shd w:val="clear" w:color="FFFFFF" w:fill="auto"/>
              </w:rPr>
              <w:t>分）</w:t>
            </w:r>
          </w:p>
        </w:tc>
        <w:tc>
          <w:tcPr>
            <w:tcW w:w="5004" w:type="dxa"/>
            <w:tcBorders>
              <w:top w:val="single" w:color="auto" w:sz="4" w:space="0"/>
              <w:left w:val="single" w:color="auto" w:sz="4" w:space="0"/>
              <w:bottom w:val="single" w:color="auto" w:sz="4" w:space="0"/>
            </w:tcBorders>
            <w:noWrap w:val="0"/>
            <w:vAlign w:val="center"/>
          </w:tcPr>
          <w:p>
            <w:pPr>
              <w:pStyle w:val="41"/>
              <w:keepNext w:val="0"/>
              <w:keepLines w:val="0"/>
              <w:suppressLineNumbers w:val="0"/>
              <w:spacing w:before="0" w:beforeAutospacing="0" w:afterAutospacing="0" w:line="400" w:lineRule="exact"/>
              <w:ind w:left="0" w:right="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rPr>
              <w:t>1.项目管理团队成员至少5人，满足5人及以上得</w:t>
            </w:r>
            <w:r>
              <w:rPr>
                <w:rFonts w:hint="eastAsia" w:hAnsi="宋体" w:eastAsia="宋体" w:cs="宋体"/>
                <w:color w:val="auto"/>
                <w:sz w:val="21"/>
                <w:szCs w:val="21"/>
                <w:highlight w:val="none"/>
                <w:lang w:val="en-US" w:eastAsia="zh-CN"/>
              </w:rPr>
              <w:t>3</w:t>
            </w:r>
            <w:r>
              <w:rPr>
                <w:rFonts w:hint="eastAsia" w:hAnsi="宋体" w:eastAsia="宋体" w:cs="宋体"/>
                <w:color w:val="auto"/>
                <w:sz w:val="21"/>
                <w:szCs w:val="21"/>
                <w:highlight w:val="none"/>
              </w:rPr>
              <w:t>分，人员不足，该项不得分。</w:t>
            </w:r>
          </w:p>
          <w:p>
            <w:pPr>
              <w:pStyle w:val="41"/>
              <w:keepNext w:val="0"/>
              <w:keepLines w:val="0"/>
              <w:suppressLineNumbers w:val="0"/>
              <w:spacing w:before="0" w:beforeAutospacing="0" w:afterAutospacing="0" w:line="400" w:lineRule="exact"/>
              <w:ind w:left="0" w:right="0" w:firstLine="422" w:firstLineChars="200"/>
              <w:rPr>
                <w:rFonts w:hint="default" w:ascii="宋体" w:hAnsi="宋体"/>
                <w:b w:val="0"/>
                <w:bCs w:val="0"/>
                <w:color w:val="auto"/>
                <w:szCs w:val="21"/>
                <w:highlight w:val="none"/>
                <w:lang w:val="en-US" w:eastAsia="zh-CN"/>
              </w:rPr>
            </w:pPr>
            <w:r>
              <w:rPr>
                <w:rFonts w:hint="eastAsia" w:hAnsi="宋体" w:eastAsia="宋体" w:cs="宋体"/>
                <w:b/>
                <w:bCs/>
                <w:color w:val="auto"/>
                <w:sz w:val="21"/>
                <w:szCs w:val="21"/>
                <w:highlight w:val="none"/>
              </w:rPr>
              <w:t>注：需提供项目人员名单加盖公章。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lang w:val="en-US" w:eastAsia="zh-CN"/>
              </w:rPr>
            </w:pPr>
            <w:r>
              <w:rPr>
                <w:rFonts w:hint="eastAsia"/>
                <w:color w:val="auto"/>
                <w:highlight w:val="none"/>
                <w:lang w:val="en-US" w:eastAsia="zh-CN"/>
              </w:rPr>
              <w:t>8</w:t>
            </w: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color w:val="auto"/>
                <w:highlight w:val="none"/>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color w:val="auto"/>
                <w:highlight w:val="none"/>
              </w:rPr>
            </w:pPr>
            <w:r>
              <w:rPr>
                <w:rFonts w:hint="eastAsia" w:ascii="宋体" w:hAnsi="宋体" w:cs="宋体"/>
                <w:color w:val="auto"/>
                <w:szCs w:val="21"/>
                <w:highlight w:val="none"/>
              </w:rPr>
              <w:t>报价人业绩（</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tc>
        <w:tc>
          <w:tcPr>
            <w:tcW w:w="5004" w:type="dxa"/>
            <w:tcBorders>
              <w:top w:val="single" w:color="auto" w:sz="4" w:space="0"/>
              <w:left w:val="single" w:color="auto" w:sz="4" w:space="0"/>
              <w:bottom w:val="single" w:color="auto" w:sz="4" w:space="0"/>
            </w:tcBorders>
            <w:noWrap w:val="0"/>
            <w:vAlign w:val="center"/>
          </w:tcPr>
          <w:p>
            <w:pPr>
              <w:pStyle w:val="41"/>
              <w:keepNext w:val="0"/>
              <w:keepLines w:val="0"/>
              <w:suppressLineNumbers w:val="0"/>
              <w:spacing w:before="0" w:beforeAutospacing="0" w:afterAutospacing="0" w:line="400" w:lineRule="exact"/>
              <w:ind w:left="0" w:right="0" w:firstLineChars="200"/>
              <w:rPr>
                <w:rFonts w:hint="default" w:hAnsi="宋体" w:eastAsia="宋体" w:cs="宋体"/>
                <w:color w:val="auto"/>
                <w:sz w:val="21"/>
                <w:szCs w:val="21"/>
                <w:highlight w:val="none"/>
              </w:rPr>
            </w:pPr>
            <w:r>
              <w:rPr>
                <w:rFonts w:hint="eastAsia" w:hAnsi="宋体" w:eastAsia="宋体" w:cs="宋体"/>
                <w:color w:val="auto"/>
                <w:sz w:val="21"/>
                <w:szCs w:val="21"/>
                <w:highlight w:val="none"/>
              </w:rPr>
              <w:t>1.满足资格要求得</w:t>
            </w:r>
            <w:r>
              <w:rPr>
                <w:rFonts w:hint="eastAsia" w:hAnsi="宋体" w:eastAsia="宋体" w:cs="宋体"/>
                <w:color w:val="auto"/>
                <w:sz w:val="21"/>
                <w:szCs w:val="21"/>
                <w:highlight w:val="none"/>
                <w:lang w:val="en-US" w:eastAsia="zh-CN"/>
              </w:rPr>
              <w:t>3</w:t>
            </w:r>
            <w:r>
              <w:rPr>
                <w:rFonts w:hint="eastAsia" w:hAnsi="宋体" w:eastAsia="宋体" w:cs="宋体"/>
                <w:color w:val="auto"/>
                <w:sz w:val="21"/>
                <w:szCs w:val="21"/>
                <w:highlight w:val="none"/>
              </w:rPr>
              <w:t>分。</w:t>
            </w:r>
          </w:p>
          <w:p>
            <w:pPr>
              <w:pStyle w:val="41"/>
              <w:keepNext w:val="0"/>
              <w:keepLines w:val="0"/>
              <w:suppressLineNumbers w:val="0"/>
              <w:spacing w:before="0" w:beforeAutospacing="0" w:afterAutospacing="0" w:line="400" w:lineRule="exact"/>
              <w:ind w:left="0" w:right="0" w:firstLineChars="200"/>
              <w:rPr>
                <w:rFonts w:hint="default" w:hAnsi="宋体" w:eastAsia="宋体" w:cs="宋体"/>
                <w:color w:val="auto"/>
                <w:sz w:val="21"/>
                <w:szCs w:val="21"/>
                <w:highlight w:val="none"/>
              </w:rPr>
            </w:pPr>
            <w:r>
              <w:rPr>
                <w:rFonts w:hint="eastAsia" w:hAnsi="宋体" w:eastAsia="宋体" w:cs="宋体"/>
                <w:color w:val="auto"/>
                <w:sz w:val="21"/>
                <w:szCs w:val="21"/>
                <w:highlight w:val="none"/>
              </w:rPr>
              <w:t>2.202</w:t>
            </w:r>
            <w:r>
              <w:rPr>
                <w:rFonts w:hint="eastAsia" w:hAnsi="宋体" w:eastAsia="宋体" w:cs="宋体"/>
                <w:color w:val="auto"/>
                <w:sz w:val="21"/>
                <w:szCs w:val="21"/>
                <w:highlight w:val="none"/>
                <w:lang w:val="en-US" w:eastAsia="zh-CN"/>
              </w:rPr>
              <w:t>0</w:t>
            </w:r>
            <w:r>
              <w:rPr>
                <w:rFonts w:hint="eastAsia" w:hAnsi="宋体" w:eastAsia="宋体" w:cs="宋体"/>
                <w:color w:val="auto"/>
                <w:sz w:val="21"/>
                <w:szCs w:val="21"/>
                <w:highlight w:val="none"/>
              </w:rPr>
              <w:t>年1月1日至投标截止时间每增加1个</w:t>
            </w:r>
            <w:r>
              <w:rPr>
                <w:rFonts w:hint="eastAsia" w:hAnsi="宋体" w:eastAsia="宋体" w:cs="宋体"/>
                <w:color w:val="auto"/>
                <w:sz w:val="21"/>
                <w:szCs w:val="21"/>
                <w:highlight w:val="none"/>
                <w:lang w:val="en-US" w:eastAsia="zh-CN"/>
              </w:rPr>
              <w:t>办公楼窗帘定制</w:t>
            </w:r>
            <w:r>
              <w:rPr>
                <w:rFonts w:hint="eastAsia" w:hAnsi="宋体" w:eastAsia="宋体" w:cs="宋体"/>
                <w:color w:val="auto"/>
                <w:sz w:val="21"/>
                <w:szCs w:val="21"/>
                <w:highlight w:val="none"/>
              </w:rPr>
              <w:t>项目业绩（单个合同金额</w:t>
            </w:r>
            <w:r>
              <w:rPr>
                <w:rFonts w:hint="eastAsia" w:hAnsi="宋体" w:eastAsia="宋体" w:cs="宋体"/>
                <w:color w:val="auto"/>
                <w:sz w:val="21"/>
                <w:szCs w:val="21"/>
                <w:highlight w:val="none"/>
                <w:lang w:val="en-US" w:eastAsia="zh-CN"/>
              </w:rPr>
              <w:t>5</w:t>
            </w:r>
            <w:r>
              <w:rPr>
                <w:rFonts w:hint="eastAsia" w:hAnsi="宋体" w:eastAsia="宋体" w:cs="宋体"/>
                <w:color w:val="auto"/>
                <w:sz w:val="21"/>
                <w:szCs w:val="21"/>
                <w:highlight w:val="none"/>
              </w:rPr>
              <w:t>万元以上）加1分，满分</w:t>
            </w:r>
            <w:r>
              <w:rPr>
                <w:rFonts w:hint="eastAsia" w:hAnsi="宋体" w:eastAsia="宋体" w:cs="宋体"/>
                <w:color w:val="auto"/>
                <w:sz w:val="21"/>
                <w:szCs w:val="21"/>
                <w:highlight w:val="none"/>
                <w:lang w:val="en-US" w:eastAsia="zh-CN"/>
              </w:rPr>
              <w:t>4</w:t>
            </w:r>
            <w:r>
              <w:rPr>
                <w:rFonts w:hint="eastAsia" w:hAnsi="宋体" w:eastAsia="宋体" w:cs="宋体"/>
                <w:color w:val="auto"/>
                <w:sz w:val="21"/>
                <w:szCs w:val="21"/>
                <w:highlight w:val="none"/>
              </w:rPr>
              <w:t xml:space="preserve"> 分。</w:t>
            </w:r>
          </w:p>
          <w:p>
            <w:pPr>
              <w:pStyle w:val="5"/>
              <w:suppressLineNumbers w:val="0"/>
              <w:spacing w:before="0" w:beforeAutospacing="0" w:after="0" w:afterAutospacing="0" w:line="400" w:lineRule="exact"/>
              <w:ind w:left="0" w:right="0"/>
              <w:rPr>
                <w:rFonts w:hint="default"/>
                <w:color w:val="auto"/>
                <w:highlight w:val="none"/>
              </w:rPr>
            </w:pPr>
            <w:r>
              <w:rPr>
                <w:rFonts w:hint="eastAsia" w:ascii="宋体" w:hAnsi="宋体" w:eastAsia="宋体" w:cs="宋体"/>
                <w:color w:val="auto"/>
                <w:sz w:val="21"/>
                <w:szCs w:val="21"/>
                <w:highlight w:val="none"/>
              </w:rPr>
              <w:t xml:space="preserve">   注：需提供以上业绩合同扫描件</w:t>
            </w:r>
            <w:r>
              <w:rPr>
                <w:rFonts w:hint="default" w:ascii="宋体" w:hAnsi="宋体" w:eastAsia="宋体" w:cs="宋体"/>
                <w:color w:val="auto"/>
                <w:sz w:val="21"/>
                <w:szCs w:val="21"/>
                <w:highlight w:val="none"/>
              </w:rPr>
              <w:t>和验收证书</w:t>
            </w:r>
            <w:r>
              <w:rPr>
                <w:rFonts w:hint="eastAsia" w:ascii="宋体" w:hAnsi="宋体" w:eastAsia="宋体" w:cs="宋体"/>
                <w:color w:val="auto"/>
                <w:sz w:val="21"/>
                <w:szCs w:val="21"/>
                <w:highlight w:val="none"/>
              </w:rPr>
              <w:t>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color w:val="auto"/>
                <w:highlight w:val="none"/>
                <w:lang w:val="en-US" w:eastAsia="zh-CN"/>
              </w:rPr>
            </w:pPr>
          </w:p>
        </w:tc>
        <w:tc>
          <w:tcPr>
            <w:tcW w:w="11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cs="宋体"/>
                <w:color w:val="auto"/>
                <w:kern w:val="0"/>
                <w:sz w:val="21"/>
                <w:szCs w:val="21"/>
                <w:highlight w:val="none"/>
                <w:lang w:eastAsia="zh-CN"/>
              </w:rPr>
            </w:pPr>
            <w:r>
              <w:rPr>
                <w:rFonts w:hint="eastAsia" w:ascii="宋体" w:hAnsi="宋体" w:cs="宋体"/>
                <w:color w:val="auto"/>
                <w:kern w:val="0"/>
                <w:szCs w:val="21"/>
                <w:highlight w:val="none"/>
              </w:rPr>
              <w:t>C.技术部分评分标准</w:t>
            </w:r>
          </w:p>
        </w:tc>
        <w:tc>
          <w:tcPr>
            <w:tcW w:w="2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1"/>
                <w:szCs w:val="21"/>
                <w:highlight w:val="none"/>
              </w:rPr>
            </w:pPr>
            <w:r>
              <w:rPr>
                <w:rFonts w:hint="eastAsia" w:ascii="宋体" w:hAnsi="宋体" w:cs="宋体"/>
                <w:color w:val="auto"/>
                <w:kern w:val="0"/>
                <w:szCs w:val="21"/>
                <w:highlight w:val="none"/>
                <w:lang w:val="en-US" w:eastAsia="zh-CN"/>
              </w:rPr>
              <w:t>面料及</w:t>
            </w:r>
            <w:r>
              <w:rPr>
                <w:rFonts w:hint="eastAsia" w:ascii="宋体" w:hAnsi="宋体" w:cs="宋体"/>
                <w:color w:val="auto"/>
                <w:kern w:val="0"/>
                <w:szCs w:val="21"/>
                <w:highlight w:val="none"/>
              </w:rPr>
              <w:t>设计</w:t>
            </w:r>
            <w:r>
              <w:rPr>
                <w:rFonts w:hint="eastAsia" w:ascii="宋体" w:hAnsi="宋体" w:cs="宋体"/>
                <w:color w:val="auto"/>
                <w:highlight w:val="none"/>
              </w:rPr>
              <w:t>方案</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分）</w:t>
            </w:r>
          </w:p>
        </w:tc>
        <w:tc>
          <w:tcPr>
            <w:tcW w:w="5004" w:type="dxa"/>
            <w:tcBorders>
              <w:top w:val="single" w:color="auto" w:sz="4" w:space="0"/>
              <w:left w:val="single" w:color="auto" w:sz="4" w:space="0"/>
              <w:bottom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320" w:lineRule="exact"/>
              <w:ind w:left="0" w:right="0" w:firstLine="420" w:firstLineChars="200"/>
              <w:rPr>
                <w:rFonts w:hint="default" w:ascii="宋体" w:hAnsi="宋体" w:eastAsia="宋体" w:cs="宋体"/>
                <w:color w:val="FF0000"/>
                <w:highlight w:val="none"/>
                <w:lang w:val="en-US" w:eastAsia="zh-CN"/>
              </w:rPr>
            </w:pPr>
            <w:r>
              <w:rPr>
                <w:rFonts w:hint="eastAsia" w:ascii="宋体" w:hAnsi="宋体" w:cs="宋体"/>
                <w:color w:val="FF0000"/>
                <w:kern w:val="0"/>
                <w:szCs w:val="21"/>
                <w:highlight w:val="none"/>
                <w:lang w:val="en-US" w:eastAsia="zh-CN"/>
              </w:rPr>
              <w:t>面料与设计</w:t>
            </w:r>
            <w:r>
              <w:rPr>
                <w:rFonts w:hint="eastAsia" w:ascii="宋体" w:hAnsi="宋体" w:cs="宋体"/>
                <w:color w:val="FF0000"/>
                <w:highlight w:val="none"/>
              </w:rPr>
              <w:t>方案</w:t>
            </w:r>
            <w:r>
              <w:rPr>
                <w:rFonts w:hint="eastAsia" w:ascii="宋体" w:hAnsi="宋体" w:cs="宋体"/>
                <w:color w:val="FF0000"/>
                <w:highlight w:val="none"/>
                <w:lang w:val="en-US" w:eastAsia="zh-CN"/>
              </w:rPr>
              <w:t>需包含以下内容：</w:t>
            </w:r>
          </w:p>
          <w:p>
            <w:pPr>
              <w:keepNext w:val="0"/>
              <w:keepLines w:val="0"/>
              <w:suppressLineNumbers w:val="0"/>
              <w:autoSpaceDE w:val="0"/>
              <w:autoSpaceDN w:val="0"/>
              <w:adjustRightInd w:val="0"/>
              <w:spacing w:before="0" w:beforeAutospacing="0" w:after="0" w:afterAutospacing="0" w:line="320" w:lineRule="exact"/>
              <w:ind w:left="0" w:right="0" w:firstLine="420" w:firstLineChars="200"/>
              <w:rPr>
                <w:rFonts w:hint="eastAsia" w:ascii="宋体" w:hAnsi="宋体" w:cs="宋体"/>
                <w:color w:val="FF0000"/>
                <w:highlight w:val="none"/>
              </w:rPr>
            </w:pPr>
            <w:r>
              <w:rPr>
                <w:rFonts w:hint="eastAsia" w:ascii="宋体" w:hAnsi="宋体" w:cs="宋体"/>
                <w:color w:val="FF0000"/>
                <w:highlight w:val="none"/>
              </w:rPr>
              <w:t>1.</w:t>
            </w:r>
            <w:r>
              <w:rPr>
                <w:rFonts w:hint="eastAsia" w:ascii="宋体" w:hAnsi="宋体" w:cs="宋体"/>
                <w:color w:val="FF0000"/>
                <w:highlight w:val="none"/>
                <w:lang w:val="en-US" w:eastAsia="zh-CN"/>
              </w:rPr>
              <w:t>窗帘面料的环保等级需满足E0级环保标准</w:t>
            </w:r>
            <w:r>
              <w:rPr>
                <w:rFonts w:hint="eastAsia" w:ascii="宋体" w:hAnsi="宋体" w:cs="宋体"/>
                <w:color w:val="FF0000"/>
                <w:highlight w:val="none"/>
              </w:rPr>
              <w:t>；</w:t>
            </w:r>
          </w:p>
          <w:p>
            <w:pPr>
              <w:keepNext w:val="0"/>
              <w:keepLines w:val="0"/>
              <w:suppressLineNumbers w:val="0"/>
              <w:autoSpaceDE w:val="0"/>
              <w:autoSpaceDN w:val="0"/>
              <w:adjustRightInd w:val="0"/>
              <w:spacing w:before="0" w:beforeAutospacing="0" w:after="0" w:afterAutospacing="0" w:line="320" w:lineRule="exact"/>
              <w:ind w:left="0" w:right="0" w:firstLine="420" w:firstLineChars="200"/>
              <w:rPr>
                <w:rFonts w:hint="eastAsia" w:ascii="宋体" w:hAnsi="宋体" w:cs="宋体"/>
                <w:color w:val="FF0000"/>
                <w:highlight w:val="none"/>
              </w:rPr>
            </w:pPr>
            <w:r>
              <w:rPr>
                <w:rFonts w:hint="eastAsia" w:ascii="宋体" w:hAnsi="宋体" w:cs="宋体"/>
                <w:color w:val="FF0000"/>
                <w:highlight w:val="none"/>
              </w:rPr>
              <w:t>2.</w:t>
            </w:r>
            <w:r>
              <w:rPr>
                <w:rFonts w:hint="eastAsia" w:ascii="宋体" w:hAnsi="宋体" w:cs="宋体"/>
                <w:color w:val="FF0000"/>
                <w:highlight w:val="none"/>
                <w:lang w:val="en-US" w:eastAsia="zh-CN"/>
              </w:rPr>
              <w:t>窗帘面料的折遮光率在90%以上，褶皱倍数在2倍及以上</w:t>
            </w:r>
            <w:r>
              <w:rPr>
                <w:rFonts w:hint="eastAsia" w:ascii="宋体" w:hAnsi="宋体" w:cs="宋体"/>
                <w:color w:val="FF0000"/>
                <w:highlight w:val="none"/>
              </w:rPr>
              <w:t>；</w:t>
            </w:r>
          </w:p>
          <w:p>
            <w:pPr>
              <w:keepNext w:val="0"/>
              <w:keepLines w:val="0"/>
              <w:suppressLineNumbers w:val="0"/>
              <w:autoSpaceDE w:val="0"/>
              <w:autoSpaceDN w:val="0"/>
              <w:adjustRightInd w:val="0"/>
              <w:spacing w:before="0" w:beforeAutospacing="0" w:after="0" w:afterAutospacing="0" w:line="320" w:lineRule="exact"/>
              <w:ind w:left="0" w:right="0" w:firstLine="420" w:firstLineChars="200"/>
              <w:rPr>
                <w:rFonts w:hint="eastAsia" w:ascii="宋体" w:hAnsi="宋体" w:cs="宋体"/>
                <w:color w:val="FF0000"/>
                <w:highlight w:val="none"/>
                <w:lang w:val="en-US" w:eastAsia="zh-CN"/>
              </w:rPr>
            </w:pPr>
            <w:r>
              <w:rPr>
                <w:rFonts w:hint="eastAsia" w:ascii="宋体" w:hAnsi="宋体" w:cs="宋体"/>
                <w:color w:val="FF0000"/>
                <w:highlight w:val="none"/>
                <w:lang w:val="en-US" w:eastAsia="zh-CN"/>
              </w:rPr>
              <w:t>3.窗帘轨道需采用铝合金静音工艺；</w:t>
            </w:r>
          </w:p>
          <w:p>
            <w:pPr>
              <w:keepNext w:val="0"/>
              <w:keepLines w:val="0"/>
              <w:suppressLineNumbers w:val="0"/>
              <w:autoSpaceDE w:val="0"/>
              <w:autoSpaceDN w:val="0"/>
              <w:adjustRightInd w:val="0"/>
              <w:spacing w:before="0" w:beforeAutospacing="0" w:after="0" w:afterAutospacing="0" w:line="320" w:lineRule="exact"/>
              <w:ind w:left="0" w:right="0" w:firstLine="420" w:firstLineChars="200"/>
              <w:rPr>
                <w:rFonts w:hint="eastAsia" w:ascii="宋体" w:hAnsi="宋体" w:cs="宋体"/>
                <w:color w:val="FF0000"/>
                <w:highlight w:val="none"/>
                <w:lang w:val="en-US" w:eastAsia="zh-CN"/>
              </w:rPr>
            </w:pPr>
            <w:r>
              <w:rPr>
                <w:rFonts w:hint="eastAsia" w:ascii="宋体" w:hAnsi="宋体" w:cs="宋体"/>
                <w:color w:val="FF0000"/>
                <w:highlight w:val="none"/>
                <w:lang w:val="en-US" w:eastAsia="zh-CN"/>
              </w:rPr>
              <w:t>4.窗帘颜色可以提供至少10种以上颜色进行备选；</w:t>
            </w:r>
          </w:p>
          <w:p>
            <w:pPr>
              <w:keepNext w:val="0"/>
              <w:keepLines w:val="0"/>
              <w:suppressLineNumbers w:val="0"/>
              <w:autoSpaceDE w:val="0"/>
              <w:autoSpaceDN w:val="0"/>
              <w:adjustRightInd w:val="0"/>
              <w:spacing w:before="0" w:beforeAutospacing="0" w:after="0" w:afterAutospacing="0" w:line="320" w:lineRule="exact"/>
              <w:ind w:left="0" w:right="0" w:firstLine="420" w:firstLineChars="200"/>
              <w:rPr>
                <w:rFonts w:hint="default" w:ascii="宋体" w:hAnsi="宋体" w:cs="宋体"/>
                <w:color w:val="FF0000"/>
                <w:highlight w:val="none"/>
                <w:lang w:val="en-US" w:eastAsia="zh-CN"/>
              </w:rPr>
            </w:pPr>
            <w:r>
              <w:rPr>
                <w:rFonts w:hint="eastAsia" w:ascii="宋体" w:hAnsi="宋体" w:cs="宋体"/>
                <w:color w:val="FF0000"/>
                <w:highlight w:val="none"/>
                <w:lang w:val="en-US" w:eastAsia="zh-CN"/>
              </w:rPr>
              <w:t>5.有具体的整体配色方案建议及规划图。</w:t>
            </w:r>
          </w:p>
          <w:p>
            <w:pPr>
              <w:pStyle w:val="28"/>
              <w:keepNext w:val="0"/>
              <w:keepLines w:val="0"/>
              <w:suppressLineNumbers w:val="0"/>
              <w:spacing w:beforeAutospacing="0" w:afterAutospacing="0"/>
              <w:ind w:left="0" w:right="0" w:firstLine="402" w:firstLineChars="200"/>
              <w:rPr>
                <w:rFonts w:hint="eastAsia" w:ascii="宋体" w:hAnsi="宋体" w:cs="宋体"/>
                <w:color w:val="auto"/>
                <w:kern w:val="2"/>
                <w:sz w:val="21"/>
                <w:szCs w:val="21"/>
                <w:highlight w:val="none"/>
                <w:lang w:val="en-US" w:eastAsia="zh-CN"/>
              </w:rPr>
            </w:pPr>
            <w:r>
              <w:rPr>
                <w:rFonts w:hint="eastAsia" w:ascii="宋体" w:hAnsi="宋体" w:cs="宋体"/>
                <w:color w:val="auto"/>
                <w:highlight w:val="none"/>
              </w:rPr>
              <w:t>综合比较打分：方案描述清晰、完整，可操作性强得</w:t>
            </w:r>
            <w:r>
              <w:rPr>
                <w:rFonts w:hint="eastAsia" w:ascii="宋体" w:hAnsi="宋体" w:cs="宋体"/>
                <w:color w:val="auto"/>
                <w:highlight w:val="none"/>
                <w:lang w:val="en-US" w:eastAsia="zh-CN"/>
              </w:rPr>
              <w:t>10</w:t>
            </w:r>
            <w:r>
              <w:rPr>
                <w:rFonts w:hint="eastAsia" w:ascii="宋体" w:hAnsi="宋体" w:cs="宋体"/>
                <w:color w:val="auto"/>
                <w:highlight w:val="none"/>
              </w:rPr>
              <w:t>-</w:t>
            </w:r>
            <w:r>
              <w:rPr>
                <w:rFonts w:hint="eastAsia" w:ascii="宋体" w:hAnsi="宋体" w:cs="宋体"/>
                <w:color w:val="auto"/>
                <w:highlight w:val="none"/>
                <w:lang w:val="en-US" w:eastAsia="zh-CN"/>
              </w:rPr>
              <w:t>7</w:t>
            </w:r>
            <w:r>
              <w:rPr>
                <w:rFonts w:hint="eastAsia" w:ascii="宋体" w:hAnsi="宋体" w:cs="宋体"/>
                <w:color w:val="auto"/>
                <w:highlight w:val="none"/>
              </w:rPr>
              <w:t>分，方案描述较清晰、较完整，可操作性较强得</w:t>
            </w:r>
            <w:r>
              <w:rPr>
                <w:rFonts w:hint="eastAsia" w:ascii="宋体" w:hAnsi="宋体" w:cs="宋体"/>
                <w:color w:val="auto"/>
                <w:highlight w:val="none"/>
                <w:lang w:val="en-US" w:eastAsia="zh-CN"/>
              </w:rPr>
              <w:t>6</w:t>
            </w:r>
            <w:r>
              <w:rPr>
                <w:rFonts w:hint="eastAsia" w:ascii="宋体" w:hAnsi="宋体" w:cs="宋体"/>
                <w:color w:val="auto"/>
                <w:highlight w:val="none"/>
              </w:rPr>
              <w:t>-</w:t>
            </w:r>
            <w:r>
              <w:rPr>
                <w:rFonts w:hint="eastAsia" w:ascii="宋体" w:hAnsi="宋体" w:cs="宋体"/>
                <w:color w:val="auto"/>
                <w:highlight w:val="none"/>
                <w:lang w:val="en-US" w:eastAsia="zh-CN"/>
              </w:rPr>
              <w:t>3</w:t>
            </w:r>
            <w:r>
              <w:rPr>
                <w:rFonts w:hint="eastAsia" w:ascii="宋体" w:hAnsi="宋体" w:cs="宋体"/>
                <w:color w:val="auto"/>
                <w:highlight w:val="none"/>
              </w:rPr>
              <w:t>分；方案描述不够清晰，不够完整得</w:t>
            </w:r>
            <w:r>
              <w:rPr>
                <w:rFonts w:hint="eastAsia" w:ascii="宋体" w:hAnsi="宋体" w:cs="宋体"/>
                <w:color w:val="auto"/>
                <w:highlight w:val="none"/>
                <w:lang w:val="en-US" w:eastAsia="zh-CN"/>
              </w:rPr>
              <w:t>3</w:t>
            </w:r>
            <w:r>
              <w:rPr>
                <w:rFonts w:hint="eastAsia" w:ascii="宋体" w:hAnsi="宋体" w:cs="宋体"/>
                <w:color w:val="auto"/>
                <w:highlight w:val="none"/>
              </w:rPr>
              <w:t>-0分。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color w:val="auto"/>
                <w:highlight w:val="none"/>
                <w:lang w:val="en-US" w:eastAsia="zh-CN"/>
              </w:rPr>
            </w:pPr>
            <w:r>
              <w:rPr>
                <w:rFonts w:hint="eastAsia"/>
                <w:color w:val="auto"/>
                <w:highlight w:val="none"/>
                <w:lang w:val="en-US" w:eastAsia="zh-CN"/>
              </w:rPr>
              <w:t>9</w:t>
            </w:r>
          </w:p>
        </w:tc>
        <w:tc>
          <w:tcPr>
            <w:tcW w:w="1124" w:type="dxa"/>
            <w:vMerge w:val="continue"/>
            <w:tcBorders>
              <w:top w:val="single" w:color="auto" w:sz="4" w:space="0"/>
              <w:left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color w:val="auto"/>
                <w:highlight w:val="none"/>
              </w:rPr>
            </w:pPr>
          </w:p>
        </w:tc>
        <w:tc>
          <w:tcPr>
            <w:tcW w:w="2117" w:type="dxa"/>
            <w:tcBorders>
              <w:top w:val="single" w:color="auto" w:sz="4" w:space="0"/>
              <w:left w:val="single" w:color="auto" w:sz="4" w:space="0"/>
              <w:bottom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highlight w:val="none"/>
              </w:rPr>
            </w:pPr>
            <w:r>
              <w:rPr>
                <w:rFonts w:hint="eastAsia" w:ascii="宋体" w:hAnsi="宋体" w:cs="宋体"/>
                <w:color w:val="auto"/>
                <w:kern w:val="0"/>
                <w:szCs w:val="21"/>
                <w:highlight w:val="none"/>
                <w:lang w:val="en-US" w:eastAsia="zh-CN"/>
              </w:rPr>
              <w:t>材料</w:t>
            </w:r>
            <w:r>
              <w:rPr>
                <w:rFonts w:hint="eastAsia" w:ascii="宋体" w:hAnsi="宋体" w:cs="宋体"/>
                <w:color w:val="auto"/>
                <w:kern w:val="0"/>
                <w:szCs w:val="21"/>
                <w:highlight w:val="none"/>
              </w:rPr>
              <w:t>品质（</w:t>
            </w:r>
            <w:r>
              <w:rPr>
                <w:rFonts w:hint="eastAsia" w:ascii="宋体" w:hAnsi="宋体" w:cs="宋体"/>
                <w:color w:val="auto"/>
                <w:kern w:val="0"/>
                <w:szCs w:val="21"/>
                <w:highlight w:val="none"/>
                <w:lang w:val="en-US" w:eastAsia="zh-CN"/>
              </w:rPr>
              <w:t>30</w:t>
            </w:r>
            <w:r>
              <w:rPr>
                <w:rFonts w:hint="eastAsia" w:ascii="宋体" w:hAnsi="宋体" w:cs="宋体"/>
                <w:color w:val="auto"/>
                <w:kern w:val="0"/>
                <w:szCs w:val="21"/>
                <w:highlight w:val="none"/>
              </w:rPr>
              <w:t>分）</w:t>
            </w:r>
          </w:p>
        </w:tc>
        <w:tc>
          <w:tcPr>
            <w:tcW w:w="5004" w:type="dxa"/>
            <w:tcBorders>
              <w:top w:val="single" w:color="auto" w:sz="4" w:space="0"/>
              <w:left w:val="single" w:color="auto" w:sz="4" w:space="0"/>
              <w:bottom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320" w:lineRule="exact"/>
              <w:ind w:left="0" w:right="0" w:firstLine="420" w:firstLineChars="200"/>
              <w:rPr>
                <w:rFonts w:hint="default" w:ascii="宋体" w:hAnsi="宋体" w:eastAsia="宋体" w:cs="宋体"/>
                <w:color w:val="FF0000"/>
                <w:kern w:val="0"/>
                <w:szCs w:val="21"/>
                <w:highlight w:val="none"/>
                <w:lang w:val="en-US" w:eastAsia="zh-CN"/>
              </w:rPr>
            </w:pPr>
            <w:r>
              <w:rPr>
                <w:rFonts w:hint="eastAsia" w:ascii="宋体" w:hAnsi="宋体" w:cs="宋体"/>
                <w:color w:val="FF0000"/>
                <w:kern w:val="0"/>
                <w:szCs w:val="21"/>
                <w:highlight w:val="none"/>
              </w:rPr>
              <w:t>乙供设备品质（</w:t>
            </w:r>
            <w:r>
              <w:rPr>
                <w:rFonts w:hint="eastAsia" w:ascii="宋体" w:hAnsi="宋体" w:cs="宋体"/>
                <w:color w:val="FF0000"/>
                <w:kern w:val="0"/>
                <w:szCs w:val="21"/>
                <w:highlight w:val="none"/>
                <w:lang w:val="en-US" w:eastAsia="zh-CN"/>
              </w:rPr>
              <w:t>30</w:t>
            </w:r>
            <w:r>
              <w:rPr>
                <w:rFonts w:hint="eastAsia" w:ascii="宋体" w:hAnsi="宋体" w:cs="宋体"/>
                <w:color w:val="FF0000"/>
                <w:kern w:val="0"/>
                <w:szCs w:val="21"/>
                <w:highlight w:val="none"/>
              </w:rPr>
              <w:t>分）</w:t>
            </w:r>
          </w:p>
          <w:p>
            <w:pPr>
              <w:keepNext w:val="0"/>
              <w:keepLines w:val="0"/>
              <w:suppressLineNumbers w:val="0"/>
              <w:autoSpaceDE w:val="0"/>
              <w:autoSpaceDN w:val="0"/>
              <w:adjustRightInd w:val="0"/>
              <w:spacing w:before="0" w:beforeAutospacing="0" w:after="0" w:afterAutospacing="0" w:line="320" w:lineRule="exact"/>
              <w:ind w:left="0" w:right="0" w:firstLine="420" w:firstLineChars="200"/>
              <w:rPr>
                <w:rFonts w:hint="eastAsia" w:ascii="宋体" w:hAnsi="宋体" w:cs="宋体"/>
                <w:color w:val="FF0000"/>
                <w:kern w:val="0"/>
                <w:szCs w:val="21"/>
                <w:highlight w:val="none"/>
              </w:rPr>
            </w:pPr>
            <w:r>
              <w:rPr>
                <w:rFonts w:hint="eastAsia" w:ascii="宋体" w:hAnsi="宋体" w:cs="宋体"/>
                <w:color w:val="FF0000"/>
                <w:kern w:val="0"/>
                <w:szCs w:val="21"/>
                <w:highlight w:val="none"/>
                <w:lang w:val="en-US" w:eastAsia="zh-CN"/>
              </w:rPr>
              <w:t>采购人根据报价人现场拿来的窗帘布和窗帘轨道样品</w:t>
            </w:r>
            <w:r>
              <w:rPr>
                <w:rFonts w:hint="eastAsia" w:ascii="宋体" w:hAnsi="宋体" w:cs="宋体"/>
                <w:color w:val="FF0000"/>
                <w:kern w:val="0"/>
                <w:szCs w:val="21"/>
                <w:highlight w:val="none"/>
              </w:rPr>
              <w:t>的档次、品质、口碑</w:t>
            </w:r>
            <w:r>
              <w:rPr>
                <w:rFonts w:hint="eastAsia" w:ascii="宋体" w:hAnsi="宋体" w:cs="宋体"/>
                <w:color w:val="FF0000"/>
                <w:kern w:val="0"/>
                <w:szCs w:val="21"/>
                <w:highlight w:val="none"/>
                <w:lang w:eastAsia="zh-CN"/>
              </w:rPr>
              <w:t>、</w:t>
            </w:r>
            <w:r>
              <w:rPr>
                <w:rFonts w:hint="eastAsia" w:ascii="宋体" w:hAnsi="宋体" w:cs="宋体"/>
                <w:color w:val="FF0000"/>
                <w:kern w:val="0"/>
                <w:szCs w:val="21"/>
                <w:highlight w:val="none"/>
                <w:lang w:val="en-US" w:eastAsia="zh-CN"/>
              </w:rPr>
              <w:t>面料质感、颜色多样性、透光率</w:t>
            </w:r>
            <w:r>
              <w:rPr>
                <w:rFonts w:hint="eastAsia" w:ascii="宋体" w:hAnsi="宋体" w:cs="宋体"/>
                <w:color w:val="FF0000"/>
                <w:kern w:val="0"/>
                <w:szCs w:val="21"/>
                <w:highlight w:val="none"/>
              </w:rPr>
              <w:t>等方面进行</w:t>
            </w:r>
            <w:r>
              <w:rPr>
                <w:rFonts w:hint="eastAsia" w:ascii="宋体" w:hAnsi="宋体" w:cs="宋体"/>
                <w:color w:val="FF0000"/>
                <w:kern w:val="0"/>
                <w:szCs w:val="21"/>
                <w:highlight w:val="none"/>
                <w:lang w:val="en-US" w:eastAsia="zh-CN"/>
              </w:rPr>
              <w:t>综合</w:t>
            </w:r>
            <w:r>
              <w:rPr>
                <w:rFonts w:hint="eastAsia" w:ascii="宋体" w:hAnsi="宋体" w:cs="宋体"/>
                <w:color w:val="FF0000"/>
                <w:kern w:val="0"/>
                <w:szCs w:val="21"/>
                <w:highlight w:val="none"/>
              </w:rPr>
              <w:t>评</w:t>
            </w:r>
            <w:r>
              <w:rPr>
                <w:rFonts w:hint="eastAsia" w:ascii="宋体" w:hAnsi="宋体" w:cs="宋体"/>
                <w:color w:val="FF0000"/>
                <w:kern w:val="0"/>
                <w:szCs w:val="21"/>
                <w:highlight w:val="none"/>
                <w:lang w:val="en-US" w:eastAsia="zh-CN"/>
              </w:rPr>
              <w:t>分</w:t>
            </w:r>
            <w:r>
              <w:rPr>
                <w:rFonts w:hint="eastAsia" w:ascii="宋体" w:hAnsi="宋体" w:cs="宋体"/>
                <w:color w:val="FF0000"/>
                <w:kern w:val="0"/>
                <w:szCs w:val="21"/>
                <w:highlight w:val="none"/>
              </w:rPr>
              <w:t>。</w:t>
            </w:r>
          </w:p>
          <w:p>
            <w:pPr>
              <w:keepNext w:val="0"/>
              <w:keepLines w:val="0"/>
              <w:suppressLineNumbers w:val="0"/>
              <w:autoSpaceDE w:val="0"/>
              <w:autoSpaceDN w:val="0"/>
              <w:adjustRightInd w:val="0"/>
              <w:spacing w:before="0" w:beforeAutospacing="0" w:after="0" w:afterAutospacing="0" w:line="320" w:lineRule="exact"/>
              <w:ind w:left="0" w:right="0" w:firstLine="420" w:firstLineChars="200"/>
              <w:rPr>
                <w:rFonts w:hint="eastAsia"/>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10</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w:t>
            </w:r>
          </w:p>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color w:val="auto"/>
                <w:highlight w:val="none"/>
              </w:rPr>
            </w:pPr>
            <w:r>
              <w:rPr>
                <w:rFonts w:hint="eastAsia" w:ascii="宋体" w:hAnsi="宋体" w:eastAsia="宋体" w:cs="宋体"/>
                <w:color w:val="auto"/>
                <w:kern w:val="0"/>
                <w:sz w:val="21"/>
                <w:szCs w:val="21"/>
                <w:highlight w:val="none"/>
              </w:rPr>
              <w:t>程序</w:t>
            </w:r>
          </w:p>
        </w:tc>
        <w:tc>
          <w:tcPr>
            <w:tcW w:w="7121" w:type="dxa"/>
            <w:gridSpan w:val="2"/>
            <w:tcBorders>
              <w:top w:val="single" w:color="auto" w:sz="4" w:space="0"/>
              <w:left w:val="single" w:color="auto" w:sz="4" w:space="0"/>
              <w:bottom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320" w:lineRule="exact"/>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1.初步评审前，按规定对所有</w:t>
            </w:r>
            <w:r>
              <w:rPr>
                <w:rFonts w:hint="eastAsia" w:ascii="宋体" w:hAnsi="宋体" w:cs="宋体"/>
                <w:color w:val="auto"/>
                <w:kern w:val="0"/>
                <w:sz w:val="21"/>
                <w:szCs w:val="21"/>
                <w:highlight w:val="none"/>
                <w:lang w:val="en-US" w:eastAsia="zh-CN"/>
              </w:rPr>
              <w:t>报价人</w:t>
            </w:r>
            <w:r>
              <w:rPr>
                <w:rFonts w:hint="eastAsia" w:ascii="宋体" w:hAnsi="宋体" w:eastAsia="宋体" w:cs="宋体"/>
                <w:color w:val="auto"/>
                <w:kern w:val="0"/>
                <w:sz w:val="21"/>
                <w:szCs w:val="21"/>
                <w:highlight w:val="none"/>
              </w:rPr>
              <w:t>递交的竞争性比选响应文件进行初步评审（形式、资格、响应评审）。</w:t>
            </w:r>
          </w:p>
          <w:p>
            <w:pPr>
              <w:keepNext w:val="0"/>
              <w:keepLines w:val="0"/>
              <w:suppressLineNumbers w:val="0"/>
              <w:autoSpaceDE w:val="0"/>
              <w:autoSpaceDN w:val="0"/>
              <w:adjustRightInd w:val="0"/>
              <w:spacing w:before="0" w:beforeAutospacing="0" w:after="0" w:afterAutospacing="0" w:line="320" w:lineRule="exact"/>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2.初步评审合格的才进行详细评审。</w:t>
            </w:r>
          </w:p>
          <w:p>
            <w:pPr>
              <w:keepNext w:val="0"/>
              <w:keepLines w:val="0"/>
              <w:suppressLineNumbers w:val="0"/>
              <w:autoSpaceDE w:val="0"/>
              <w:autoSpaceDN w:val="0"/>
              <w:adjustRightInd w:val="0"/>
              <w:spacing w:before="0" w:beforeAutospacing="0" w:after="0" w:afterAutospacing="0" w:line="320" w:lineRule="exact"/>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3.根据综合得分由高至低进行排序，</w:t>
            </w:r>
            <w:r>
              <w:rPr>
                <w:rFonts w:hint="eastAsia" w:ascii="宋体" w:hAnsi="宋体" w:cs="宋体"/>
                <w:color w:val="auto"/>
                <w:kern w:val="0"/>
                <w:szCs w:val="21"/>
                <w:highlight w:val="none"/>
              </w:rPr>
              <w:t>推荐2名中标候选人</w:t>
            </w:r>
            <w:r>
              <w:rPr>
                <w:rFonts w:hint="eastAsia" w:ascii="宋体" w:hAnsi="宋体" w:eastAsia="宋体" w:cs="宋体"/>
                <w:color w:val="auto"/>
                <w:kern w:val="0"/>
                <w:sz w:val="21"/>
                <w:szCs w:val="21"/>
                <w:highlight w:val="none"/>
              </w:rPr>
              <w:t>。</w:t>
            </w:r>
          </w:p>
          <w:p>
            <w:pPr>
              <w:keepNext w:val="0"/>
              <w:keepLines w:val="0"/>
              <w:suppressLineNumbers w:val="0"/>
              <w:autoSpaceDE w:val="0"/>
              <w:autoSpaceDN w:val="0"/>
              <w:adjustRightInd w:val="0"/>
              <w:spacing w:before="0" w:beforeAutospacing="0" w:after="0" w:afterAutospacing="0" w:line="320" w:lineRule="exact"/>
              <w:ind w:left="0" w:right="0" w:firstLine="420" w:firstLineChars="200"/>
              <w:jc w:val="left"/>
              <w:rPr>
                <w:rFonts w:hint="default"/>
                <w:color w:val="auto"/>
                <w:highlight w:val="none"/>
              </w:rPr>
            </w:pPr>
            <w:r>
              <w:rPr>
                <w:rFonts w:hint="eastAsia" w:ascii="宋体" w:hAnsi="宋体" w:eastAsia="宋体" w:cs="宋体"/>
                <w:color w:val="auto"/>
                <w:kern w:val="0"/>
                <w:sz w:val="21"/>
                <w:szCs w:val="21"/>
                <w:highlight w:val="none"/>
              </w:rPr>
              <w:t>4.如经过对所有</w:t>
            </w:r>
            <w:r>
              <w:rPr>
                <w:rFonts w:hint="eastAsia" w:ascii="宋体" w:hAnsi="宋体" w:cs="宋体"/>
                <w:color w:val="auto"/>
                <w:kern w:val="0"/>
                <w:sz w:val="21"/>
                <w:szCs w:val="21"/>
                <w:highlight w:val="none"/>
                <w:lang w:val="en-US" w:eastAsia="zh-CN"/>
              </w:rPr>
              <w:t>报价人</w:t>
            </w:r>
            <w:r>
              <w:rPr>
                <w:rFonts w:hint="eastAsia" w:ascii="宋体" w:hAnsi="宋体" w:eastAsia="宋体" w:cs="宋体"/>
                <w:color w:val="auto"/>
                <w:kern w:val="0"/>
                <w:sz w:val="21"/>
                <w:szCs w:val="21"/>
                <w:highlight w:val="none"/>
              </w:rPr>
              <w:t>的竞争性比选响应文件进行评审，有效</w:t>
            </w:r>
            <w:r>
              <w:rPr>
                <w:rFonts w:hint="eastAsia" w:ascii="宋体" w:hAnsi="宋体" w:eastAsia="宋体" w:cs="宋体"/>
                <w:color w:val="auto"/>
                <w:kern w:val="0"/>
                <w:sz w:val="21"/>
                <w:szCs w:val="21"/>
                <w:highlight w:val="none"/>
                <w:lang w:val="en-US" w:eastAsia="zh-CN"/>
              </w:rPr>
              <w:t>比选文件</w:t>
            </w:r>
            <w:r>
              <w:rPr>
                <w:rFonts w:hint="eastAsia" w:ascii="宋体" w:hAnsi="宋体" w:eastAsia="宋体" w:cs="宋体"/>
                <w:color w:val="auto"/>
                <w:kern w:val="0"/>
                <w:sz w:val="21"/>
                <w:szCs w:val="21"/>
                <w:highlight w:val="none"/>
              </w:rPr>
              <w:t>不足三个使得</w:t>
            </w:r>
            <w:r>
              <w:rPr>
                <w:rFonts w:hint="eastAsia" w:ascii="宋体" w:hAnsi="宋体" w:eastAsia="宋体" w:cs="宋体"/>
                <w:color w:val="auto"/>
                <w:kern w:val="0"/>
                <w:sz w:val="21"/>
                <w:szCs w:val="21"/>
                <w:highlight w:val="none"/>
                <w:lang w:val="en-US" w:eastAsia="zh-CN"/>
              </w:rPr>
              <w:t>比选</w:t>
            </w:r>
            <w:r>
              <w:rPr>
                <w:rFonts w:hint="eastAsia" w:ascii="宋体" w:hAnsi="宋体" w:eastAsia="宋体" w:cs="宋体"/>
                <w:color w:val="auto"/>
                <w:kern w:val="0"/>
                <w:sz w:val="21"/>
                <w:szCs w:val="21"/>
                <w:highlight w:val="none"/>
              </w:rPr>
              <w:t>明显缺乏竞争的，评标委员会可以否决全部</w:t>
            </w:r>
            <w:r>
              <w:rPr>
                <w:rFonts w:hint="eastAsia" w:ascii="宋体" w:hAnsi="宋体" w:eastAsia="宋体" w:cs="宋体"/>
                <w:color w:val="auto"/>
                <w:kern w:val="0"/>
                <w:sz w:val="21"/>
                <w:szCs w:val="21"/>
                <w:highlight w:val="none"/>
                <w:lang w:val="en-US" w:eastAsia="zh-CN"/>
              </w:rPr>
              <w:t>比选文件</w:t>
            </w:r>
            <w:r>
              <w:rPr>
                <w:rFonts w:hint="eastAsia" w:ascii="宋体" w:hAnsi="宋体" w:eastAsia="宋体" w:cs="宋体"/>
                <w:color w:val="auto"/>
                <w:kern w:val="0"/>
                <w:sz w:val="21"/>
                <w:szCs w:val="21"/>
                <w:highlight w:val="none"/>
              </w:rPr>
              <w:t>。如果评标委员会裁定仍具有竞争性，则按照规定程序进行评审，推荐</w:t>
            </w:r>
            <w:r>
              <w:rPr>
                <w:rFonts w:hint="eastAsia" w:ascii="宋体" w:hAnsi="宋体" w:cs="宋体"/>
                <w:color w:val="auto"/>
                <w:kern w:val="0"/>
                <w:sz w:val="21"/>
                <w:szCs w:val="21"/>
                <w:highlight w:val="none"/>
                <w:lang w:eastAsia="zh-CN"/>
              </w:rPr>
              <w:t>2</w:t>
            </w:r>
            <w:r>
              <w:rPr>
                <w:rFonts w:hint="eastAsia" w:ascii="宋体" w:hAnsi="宋体" w:eastAsia="宋体" w:cs="宋体"/>
                <w:color w:val="auto"/>
                <w:kern w:val="0"/>
                <w:sz w:val="21"/>
                <w:szCs w:val="21"/>
                <w:highlight w:val="none"/>
              </w:rPr>
              <w:t>名中标候选人。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w:t>
            </w:r>
            <w:r>
              <w:rPr>
                <w:rFonts w:hint="eastAsia" w:cs="Times New Roman"/>
                <w:color w:val="auto"/>
                <w:highlight w:val="none"/>
                <w:lang w:val="en-US" w:eastAsia="zh-CN"/>
              </w:rPr>
              <w:t>1</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1" w:lineRule="exact"/>
              <w:ind w:left="0" w:right="0"/>
              <w:jc w:val="center"/>
              <w:rPr>
                <w:rFonts w:hint="default"/>
                <w:color w:val="auto"/>
                <w:highlight w:val="none"/>
              </w:rPr>
            </w:pPr>
            <w:r>
              <w:rPr>
                <w:rFonts w:hint="eastAsia" w:ascii="宋体"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得分</w:t>
            </w:r>
          </w:p>
        </w:tc>
        <w:tc>
          <w:tcPr>
            <w:tcW w:w="7121" w:type="dxa"/>
            <w:gridSpan w:val="2"/>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firstLine="420" w:firstLineChars="0"/>
              <w:jc w:val="center"/>
              <w:rPr>
                <w:rFonts w:hint="default"/>
                <w:color w:val="auto"/>
                <w:highlight w:val="none"/>
              </w:rPr>
            </w:pPr>
            <w:r>
              <w:rPr>
                <w:rFonts w:hint="eastAsia" w:ascii="宋体"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得分=A+B</w:t>
            </w:r>
            <w:r>
              <w:rPr>
                <w:rFonts w:hint="eastAsia" w:ascii="宋体" w:hAnsi="宋体" w:eastAsia="宋体" w:cs="宋体"/>
                <w:color w:val="auto"/>
                <w:sz w:val="21"/>
                <w:szCs w:val="21"/>
                <w:highlight w:val="none"/>
                <w:lang w:val="en-US" w:eastAsia="zh-CN"/>
              </w:rPr>
              <w:t>+C</w:t>
            </w:r>
          </w:p>
        </w:tc>
      </w:tr>
    </w:tbl>
    <w:p>
      <w:pPr>
        <w:rPr>
          <w:rFonts w:hint="eastAsia" w:ascii="宋体" w:hAnsi="宋体" w:cs="宋体"/>
          <w:highlight w:val="none"/>
        </w:rPr>
      </w:pPr>
    </w:p>
    <w:p>
      <w:pPr>
        <w:pStyle w:val="28"/>
        <w:numPr>
          <w:ilvl w:val="0"/>
          <w:numId w:val="0"/>
        </w:numPr>
        <w:jc w:val="center"/>
        <w:rPr>
          <w:rFonts w:hint="default"/>
          <w:highlight w:val="none"/>
          <w:lang w:val="en-US" w:eastAsia="zh-CN"/>
        </w:rPr>
      </w:pPr>
      <w:r>
        <w:rPr>
          <w:rFonts w:hint="eastAsia"/>
          <w:highlight w:val="none"/>
        </w:rPr>
        <w:br w:type="page"/>
      </w:r>
      <w:bookmarkStart w:id="133" w:name="_Toc13787"/>
      <w:r>
        <w:rPr>
          <w:rStyle w:val="82"/>
          <w:rFonts w:hint="eastAsia"/>
          <w:b/>
          <w:bCs/>
          <w:highlight w:val="none"/>
          <w:lang w:val="en-US" w:eastAsia="zh-CN"/>
        </w:rPr>
        <w:t>第四章 报价说明</w:t>
      </w:r>
      <w:bookmarkEnd w:id="133"/>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1、工程量清单应与本工程竞争性比选文件、技术标准和要求等文件结合起来查阅与理解。</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本竞争性比选报价采用综合单价报价。综合单价是指完成工程量清单中一个规定计量单位的分部分项工程量清单费用、措施项目清单费用、其他项目清单费用、规费、税金等完成本项目的一切费用（即本项目除安全生产费以外的人工费、材料设备及采管费和二次转运费、交通组织费、工程照管费、机械使用费、安装和调试费、差旅费、交通费、车辆通行费、车辆台班费、办理施工许可、竣工资料编制、驻地建设、竣工验收、保险、环境保护、文物保护、废弃物转运处理、综合费</w:t>
      </w:r>
      <w:r>
        <w:rPr>
          <w:rFonts w:hint="eastAsia" w:ascii="宋体" w:hAnsi="宋体" w:cs="宋体"/>
          <w:b w:val="0"/>
          <w:bCs w:val="0"/>
          <w:sz w:val="21"/>
          <w:szCs w:val="21"/>
          <w:highlight w:val="none"/>
          <w:lang w:val="en-US" w:eastAsia="zh-CN"/>
        </w:rPr>
        <w:t>、防疫费</w:t>
      </w:r>
      <w:r>
        <w:rPr>
          <w:rFonts w:hint="eastAsia" w:ascii="宋体" w:hAnsi="宋体" w:eastAsia="宋体" w:cs="宋体"/>
          <w:b w:val="0"/>
          <w:bCs w:val="0"/>
          <w:sz w:val="21"/>
          <w:szCs w:val="21"/>
          <w:highlight w:val="none"/>
          <w:lang w:val="en-US" w:eastAsia="zh-CN"/>
        </w:rPr>
        <w:t>等），以及竞争性比选文件中明示或暗示的的所有责任、义务和一般风险。</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安全生产费”报价人应按照采购人在竞争性比选文件中规定的金额填写，不得调整（安全生产费包含但不限于①.设置、完善、改造和维护安全防护设施设备支出；②.配备、维护、保养应急救援的器材和设备支出和应急演练支出；③.重大危险源和事故隐患评估、监控(包括远程监控)和整改支出；④.安全生产检查、咨询、评价和安全生产标准化支出；⑤.配备和更新现场作业人员安全防护用品支出；⑥.安全生产宣传、教育、培训支出；⑦.安全生产适用的新技术、新标准、新工艺、新装备的推广应用支出；⑧.安全设施及特种设备检测检验支出；⑨.其他与安全生产直接相关的支出）。保险均由报价人承担并支付，不在报价中单列。</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采购人供应的材料、设备的金额不进入总报价，其他全部进入总报价。报价人在实施土建工作时，如管沟开挖、设备基础等，应包含定位放样、基础开挖和回填、弃土外运、基础钢筋制作和支模、基础浇筑及附属管道敷设等全部工作内容，电缆应根据要求进行防盗包封，设备及线缆标识按采购人要求制作安装，以上工作内容采购人不再另行计量与支付。</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5、报价人应结合施工现场实际和现在的市场情况、自身技术及管理水平、经营状况、机械设备及制定的施工方案的要求自行报价，该报价不低于报价人完成该项目的成本。</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6、工程量清单中所列工程数量是估算的数量，仅作为报价的共同基础，不能作为最终结算与支付的依据。实际支付应按实际完成的工程量*工程量清单的单价来计算支付金额。</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7、工程量清单中所列工程量的变动，丝毫不会降低或影响合同条款的效力，也不免除报价人按规定的标准进行施工和修复缺陷的责任。</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工程费用的汇总。</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9、工程量清单中的任何内容不得随意删除或涂改，若有误，在有效时间内书面向采购人提出，以“补遗”资料为准。</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10、不同单项及单位工程中的分部分项工程量清单中相同项目（项目特征及工作内容相同）的应报价统一，如有差异，按最低的一个报价进行结算；材料设备单价处理办法相同。</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11、对作业和材料</w:t>
      </w:r>
      <w:r>
        <w:rPr>
          <w:rFonts w:hint="eastAsia" w:ascii="宋体" w:hAnsi="宋体" w:cs="宋体"/>
          <w:b w:val="0"/>
          <w:bCs w:val="0"/>
          <w:sz w:val="21"/>
          <w:szCs w:val="21"/>
          <w:highlight w:val="none"/>
          <w:lang w:val="en-US" w:eastAsia="zh-CN"/>
        </w:rPr>
        <w:t>设备</w:t>
      </w:r>
      <w:r>
        <w:rPr>
          <w:rFonts w:hint="eastAsia" w:ascii="宋体" w:hAnsi="宋体" w:eastAsia="宋体" w:cs="宋体"/>
          <w:b w:val="0"/>
          <w:bCs w:val="0"/>
          <w:sz w:val="21"/>
          <w:szCs w:val="21"/>
          <w:highlight w:val="none"/>
          <w:lang w:val="en-US" w:eastAsia="zh-CN"/>
        </w:rPr>
        <w:t>的技术标准和要求及一般说明或规定，未重复写入工程量清单内，在给工程量清单各细目报价前，应参阅</w:t>
      </w:r>
      <w:r>
        <w:rPr>
          <w:rFonts w:hint="eastAsia" w:ascii="宋体" w:hAnsi="宋体" w:cs="宋体"/>
          <w:b w:val="0"/>
          <w:bCs w:val="0"/>
          <w:sz w:val="21"/>
          <w:szCs w:val="21"/>
          <w:highlight w:val="none"/>
          <w:lang w:val="en-US" w:eastAsia="zh-CN"/>
        </w:rPr>
        <w:t>并满足</w:t>
      </w:r>
      <w:r>
        <w:rPr>
          <w:rFonts w:hint="eastAsia" w:ascii="宋体" w:hAnsi="宋体" w:eastAsia="宋体" w:cs="宋体"/>
          <w:b w:val="0"/>
          <w:bCs w:val="0"/>
          <w:sz w:val="21"/>
          <w:szCs w:val="21"/>
          <w:highlight w:val="none"/>
          <w:lang w:val="en-US" w:eastAsia="zh-CN"/>
        </w:rPr>
        <w:t>设计文件及竞争性比选文件中技术标准和要求的有关部分</w:t>
      </w:r>
      <w:r>
        <w:rPr>
          <w:rFonts w:hint="eastAsia" w:ascii="宋体" w:hAnsi="宋体" w:cs="宋体"/>
          <w:b w:val="0"/>
          <w:bCs w:val="0"/>
          <w:sz w:val="21"/>
          <w:szCs w:val="21"/>
          <w:highlight w:val="none"/>
          <w:lang w:val="en-US" w:eastAsia="zh-CN"/>
        </w:rPr>
        <w:t>，如不满足相关</w:t>
      </w:r>
      <w:r>
        <w:rPr>
          <w:rFonts w:hint="eastAsia" w:ascii="宋体" w:hAnsi="宋体" w:eastAsia="宋体" w:cs="宋体"/>
          <w:b w:val="0"/>
          <w:bCs w:val="0"/>
          <w:sz w:val="21"/>
          <w:szCs w:val="21"/>
          <w:highlight w:val="none"/>
          <w:lang w:val="en-US" w:eastAsia="zh-CN"/>
        </w:rPr>
        <w:t>技术标准和要求</w:t>
      </w:r>
      <w:r>
        <w:rPr>
          <w:rFonts w:hint="eastAsia" w:ascii="宋体" w:hAnsi="宋体" w:cs="宋体"/>
          <w:b w:val="0"/>
          <w:bCs w:val="0"/>
          <w:sz w:val="21"/>
          <w:szCs w:val="21"/>
          <w:highlight w:val="none"/>
          <w:lang w:val="en-US" w:eastAsia="zh-CN"/>
        </w:rPr>
        <w:t>，由此对采购人造成的一切损失由报价人承担</w:t>
      </w:r>
      <w:r>
        <w:rPr>
          <w:rFonts w:hint="eastAsia" w:ascii="宋体" w:hAnsi="宋体" w:eastAsia="宋体" w:cs="宋体"/>
          <w:b w:val="0"/>
          <w:bCs w:val="0"/>
          <w:sz w:val="21"/>
          <w:szCs w:val="21"/>
          <w:highlight w:val="none"/>
          <w:lang w:val="en-US" w:eastAsia="zh-CN"/>
        </w:rPr>
        <w:t>。</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12、对于符合要求的竞争性比选响应文件，在签订合同协议书前，如发现工程量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w:t>
      </w:r>
      <w:r>
        <w:rPr>
          <w:rFonts w:hint="eastAsia" w:ascii="宋体" w:hAnsi="宋体" w:cs="宋体"/>
          <w:b w:val="0"/>
          <w:bCs w:val="0"/>
          <w:sz w:val="21"/>
          <w:szCs w:val="21"/>
          <w:highlight w:val="none"/>
          <w:lang w:val="en-US" w:eastAsia="zh-CN"/>
        </w:rPr>
        <w:t>报价做废标处理</w:t>
      </w:r>
      <w:r>
        <w:rPr>
          <w:rFonts w:hint="eastAsia" w:ascii="宋体" w:hAnsi="宋体" w:eastAsia="宋体" w:cs="宋体"/>
          <w:b w:val="0"/>
          <w:bCs w:val="0"/>
          <w:sz w:val="21"/>
          <w:szCs w:val="21"/>
          <w:highlight w:val="none"/>
          <w:lang w:val="en-US" w:eastAsia="zh-CN"/>
        </w:rPr>
        <w:t>。</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13、工程量清单中的任何内容不得随意删除或涂改，若有误，在有效时间内书面向采购人提出，以“补遗”资料为准。</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14、报价中的单价和合价全部以人民币（元）表示。</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15、对于报价人报价中明显高于市场价的单项报价，采购人有权进行价格审核后调整。调整后应以取得报价人的同意，并确认修正后的最终报价。如果报价人拒绝确认，则其竞争性响应文件将不予评审。</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16、合同为单价合同，合同期间不予调价。</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17、</w:t>
      </w:r>
      <w:r>
        <w:rPr>
          <w:rFonts w:hint="eastAsia" w:ascii="宋体" w:hAnsi="宋体" w:cs="宋体"/>
          <w:b w:val="0"/>
          <w:bCs w:val="0"/>
          <w:sz w:val="21"/>
          <w:szCs w:val="21"/>
          <w:highlight w:val="none"/>
          <w:lang w:val="en-US" w:eastAsia="zh-CN"/>
        </w:rPr>
        <w:t>报价人应严格按照工程量清单进行报价，不得随意修改采购人发布的工程量清单数量、公式及相关内容。</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18、报价人提供的材料设备需在报价清单中明确品牌、产品系列及</w:t>
      </w:r>
      <w:r>
        <w:rPr>
          <w:rFonts w:hint="default" w:ascii="宋体" w:hAnsi="宋体" w:cs="宋体"/>
          <w:b w:val="0"/>
          <w:bCs w:val="0"/>
          <w:sz w:val="21"/>
          <w:szCs w:val="21"/>
          <w:highlight w:val="none"/>
          <w:lang w:eastAsia="zh-CN"/>
        </w:rPr>
        <w:t>规格</w:t>
      </w:r>
      <w:r>
        <w:rPr>
          <w:rFonts w:hint="eastAsia" w:ascii="宋体" w:hAnsi="宋体" w:cs="宋体"/>
          <w:b w:val="0"/>
          <w:bCs w:val="0"/>
          <w:sz w:val="21"/>
          <w:szCs w:val="21"/>
          <w:highlight w:val="none"/>
          <w:lang w:val="en-US" w:eastAsia="zh-CN"/>
        </w:rPr>
        <w:t>型号</w:t>
      </w:r>
      <w:r>
        <w:rPr>
          <w:rFonts w:hint="default" w:ascii="宋体" w:hAnsi="宋体" w:cs="宋体"/>
          <w:b w:val="0"/>
          <w:bCs w:val="0"/>
          <w:sz w:val="21"/>
          <w:szCs w:val="21"/>
          <w:highlight w:val="none"/>
          <w:lang w:eastAsia="zh-CN"/>
        </w:rPr>
        <w:t>，且所报品牌档次不得低于采购人建议品牌档次（建议品牌详见附件工程量清单表3）</w:t>
      </w:r>
      <w:r>
        <w:rPr>
          <w:rFonts w:hint="eastAsia" w:ascii="宋体" w:hAnsi="宋体" w:cs="宋体"/>
          <w:b w:val="0"/>
          <w:bCs w:val="0"/>
          <w:sz w:val="21"/>
          <w:szCs w:val="21"/>
          <w:highlight w:val="none"/>
          <w:lang w:val="en-US" w:eastAsia="zh-CN"/>
        </w:rPr>
        <w:t>。</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19、工程量清单中的“家具费用”报价人应按照采购人在竞争性比选文件中规定的金额填写，不得调整</w:t>
      </w:r>
      <w:r>
        <w:rPr>
          <w:rFonts w:hint="eastAsia" w:ascii="宋体" w:hAnsi="宋体" w:cs="宋体"/>
          <w:b w:val="0"/>
          <w:bCs w:val="0"/>
          <w:sz w:val="21"/>
          <w:szCs w:val="21"/>
          <w:highlight w:val="none"/>
          <w:lang w:val="en-US" w:eastAsia="zh-CN"/>
        </w:rPr>
        <w:t>，家具清单及样式</w:t>
      </w:r>
      <w:r>
        <w:rPr>
          <w:rFonts w:hint="default" w:ascii="宋体" w:hAnsi="宋体" w:cs="宋体"/>
          <w:b w:val="0"/>
          <w:bCs w:val="0"/>
          <w:sz w:val="21"/>
          <w:szCs w:val="21"/>
          <w:highlight w:val="none"/>
          <w:lang w:eastAsia="zh-CN"/>
        </w:rPr>
        <w:t>详见附件工程量清单表</w:t>
      </w: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w:t>
      </w:r>
    </w:p>
    <w:p>
      <w:pPr>
        <w:rPr>
          <w:rFonts w:hint="eastAsia"/>
          <w:lang w:val="en-US" w:eastAsia="zh-CN"/>
        </w:rPr>
      </w:pPr>
      <w:r>
        <w:rPr>
          <w:rFonts w:hint="eastAsia" w:ascii="宋体" w:hAnsi="宋体" w:cs="宋体"/>
          <w:b w:val="0"/>
          <w:bCs w:val="0"/>
          <w:sz w:val="21"/>
          <w:szCs w:val="21"/>
          <w:highlight w:val="none"/>
          <w:lang w:val="en-US" w:eastAsia="zh-CN"/>
        </w:rPr>
        <w:t xml:space="preserve">    20、若报价人未按要求填写工程量清单，将按废标处理。</w:t>
      </w:r>
    </w:p>
    <w:p>
      <w:pPr>
        <w:pStyle w:val="28"/>
        <w:rPr>
          <w:rFonts w:hint="default"/>
          <w:highlight w:val="none"/>
          <w:lang w:val="en-US" w:eastAsia="zh-CN"/>
        </w:rPr>
        <w:sectPr>
          <w:footerReference r:id="rId9" w:type="default"/>
          <w:pgSz w:w="11906" w:h="16838"/>
          <w:pgMar w:top="1440" w:right="1800" w:bottom="1440" w:left="1800" w:header="851" w:footer="992" w:gutter="0"/>
          <w:cols w:space="720" w:num="1"/>
          <w:titlePg/>
          <w:docGrid w:type="lines" w:linePitch="312" w:charSpace="0"/>
        </w:sectPr>
      </w:pPr>
    </w:p>
    <w:p>
      <w:pPr>
        <w:spacing w:line="400" w:lineRule="exact"/>
        <w:rPr>
          <w:rFonts w:hint="eastAsia" w:ascii="宋体" w:hAnsi="宋体" w:cs="宋体"/>
          <w:szCs w:val="21"/>
          <w:highlight w:val="none"/>
        </w:rPr>
      </w:pPr>
      <w:bookmarkStart w:id="134" w:name="_Toc246996354"/>
      <w:bookmarkStart w:id="135" w:name="_Toc152045786"/>
      <w:bookmarkStart w:id="136" w:name="_Toc246997097"/>
      <w:bookmarkStart w:id="137" w:name="_Toc144974855"/>
      <w:bookmarkStart w:id="138" w:name="_Toc152042575"/>
      <w:bookmarkStart w:id="139" w:name="_Toc247085872"/>
      <w:bookmarkStart w:id="140" w:name="_Toc179632806"/>
    </w:p>
    <w:p>
      <w:pPr>
        <w:pStyle w:val="3"/>
        <w:spacing w:before="0" w:after="0" w:line="360" w:lineRule="auto"/>
        <w:jc w:val="center"/>
        <w:rPr>
          <w:rFonts w:hint="eastAsia" w:ascii="宋体" w:hAnsi="宋体" w:cs="宋体"/>
          <w:highlight w:val="none"/>
        </w:rPr>
      </w:pPr>
      <w:bookmarkStart w:id="141" w:name="_Toc152042554"/>
      <w:bookmarkStart w:id="142" w:name="_Toc144974834"/>
      <w:bookmarkStart w:id="143" w:name="_Toc179632789"/>
      <w:bookmarkStart w:id="144" w:name="_Toc246997083"/>
      <w:bookmarkStart w:id="145" w:name="_Toc247085855"/>
      <w:bookmarkStart w:id="146" w:name="_Toc24503"/>
      <w:bookmarkStart w:id="147" w:name="_Toc2000409"/>
      <w:bookmarkStart w:id="148" w:name="_Toc246996340"/>
      <w:bookmarkStart w:id="149" w:name="_Toc152045772"/>
      <w:bookmarkStart w:id="150" w:name="_Toc514858705"/>
      <w:r>
        <w:rPr>
          <w:rFonts w:hint="eastAsia" w:ascii="宋体" w:hAnsi="宋体" w:cs="宋体"/>
          <w:highlight w:val="none"/>
        </w:rPr>
        <w:t>第五章  工程量清单</w:t>
      </w:r>
      <w:bookmarkEnd w:id="141"/>
      <w:bookmarkEnd w:id="142"/>
      <w:bookmarkEnd w:id="143"/>
      <w:bookmarkEnd w:id="144"/>
      <w:bookmarkEnd w:id="145"/>
      <w:bookmarkEnd w:id="146"/>
      <w:bookmarkEnd w:id="147"/>
      <w:bookmarkEnd w:id="148"/>
      <w:bookmarkEnd w:id="149"/>
      <w:bookmarkEnd w:id="150"/>
    </w:p>
    <w:p>
      <w:pPr>
        <w:ind w:firstLine="420"/>
        <w:jc w:val="left"/>
        <w:rPr>
          <w:rFonts w:hint="eastAsia" w:ascii="宋体" w:hAnsi="宋体" w:cs="宋体"/>
          <w:b/>
          <w:highlight w:val="none"/>
        </w:rPr>
      </w:pPr>
      <w:bookmarkStart w:id="151" w:name="_Toc179632800"/>
      <w:bookmarkStart w:id="152" w:name="_Toc247096438"/>
      <w:bookmarkStart w:id="153" w:name="_Toc144974851"/>
      <w:bookmarkStart w:id="154" w:name="_Toc246997093"/>
      <w:bookmarkStart w:id="155" w:name="_Toc247085866"/>
      <w:bookmarkStart w:id="156" w:name="_Toc152045782"/>
      <w:bookmarkStart w:id="157" w:name="_Toc246996350"/>
      <w:bookmarkStart w:id="158" w:name="_Toc152042571"/>
    </w:p>
    <w:tbl>
      <w:tblPr>
        <w:tblStyle w:val="4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3"/>
        <w:gridCol w:w="864"/>
        <w:gridCol w:w="2080"/>
        <w:gridCol w:w="1188"/>
        <w:gridCol w:w="423"/>
        <w:gridCol w:w="731"/>
        <w:gridCol w:w="1040"/>
        <w:gridCol w:w="851"/>
        <w:gridCol w:w="9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5000" w:type="pct"/>
            <w:gridSpan w:val="9"/>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spacing w:val="-2"/>
                <w:kern w:val="0"/>
                <w:sz w:val="32"/>
                <w:szCs w:val="32"/>
                <w:u w:val="none"/>
                <w:lang w:val="en-US" w:eastAsia="zh-CN" w:bidi="ar"/>
              </w:rPr>
              <w:drawing>
                <wp:anchor distT="0" distB="0" distL="114300" distR="114300" simplePos="0" relativeHeight="251659264" behindDoc="0" locked="0" layoutInCell="1" allowOverlap="1">
                  <wp:simplePos x="0" y="0"/>
                  <wp:positionH relativeFrom="column">
                    <wp:posOffset>333375</wp:posOffset>
                  </wp:positionH>
                  <wp:positionV relativeFrom="paragraph">
                    <wp:posOffset>0</wp:posOffset>
                  </wp:positionV>
                  <wp:extent cx="685800" cy="793750"/>
                  <wp:effectExtent l="0" t="0" r="0" b="0"/>
                  <wp:wrapNone/>
                  <wp:docPr id="7" name="Host_Control__1"/>
                  <wp:cNvGraphicFramePr/>
                  <a:graphic xmlns:a="http://schemas.openxmlformats.org/drawingml/2006/main">
                    <a:graphicData uri="http://schemas.openxmlformats.org/drawingml/2006/picture">
                      <pic:pic xmlns:pic="http://schemas.openxmlformats.org/drawingml/2006/picture">
                        <pic:nvPicPr>
                          <pic:cNvPr id="7" name="Host_Control__1"/>
                          <pic:cNvPicPr/>
                        </pic:nvPicPr>
                        <pic:blipFill>
                          <a:blip r:embed="rId13"/>
                          <a:stretch>
                            <a:fillRect/>
                          </a:stretch>
                        </pic:blipFill>
                        <pic:spPr>
                          <a:xfrm>
                            <a:off x="0" y="0"/>
                            <a:ext cx="685800" cy="793750"/>
                          </a:xfrm>
                          <a:prstGeom prst="rect">
                            <a:avLst/>
                          </a:prstGeom>
                          <a:noFill/>
                          <a:ln>
                            <a:noFill/>
                          </a:ln>
                        </pic:spPr>
                      </pic:pic>
                    </a:graphicData>
                  </a:graphic>
                </wp:anchor>
              </w:drawing>
            </w:r>
            <w:r>
              <w:rPr>
                <w:rFonts w:hint="eastAsia" w:ascii="宋体" w:hAnsi="宋体" w:eastAsia="宋体" w:cs="宋体"/>
                <w:b/>
                <w:bCs/>
                <w:i w:val="0"/>
                <w:iCs w:val="0"/>
                <w:color w:val="000000"/>
                <w:spacing w:val="-2"/>
                <w:kern w:val="0"/>
                <w:sz w:val="32"/>
                <w:szCs w:val="32"/>
                <w:u w:val="none"/>
                <w:lang w:val="en-US" w:eastAsia="zh-CN" w:bidi="ar"/>
              </w:rPr>
              <w:drawing>
                <wp:anchor distT="0" distB="0" distL="114300" distR="114300" simplePos="0" relativeHeight="251660288" behindDoc="0" locked="0" layoutInCell="1" allowOverlap="1">
                  <wp:simplePos x="0" y="0"/>
                  <wp:positionH relativeFrom="column">
                    <wp:posOffset>333375</wp:posOffset>
                  </wp:positionH>
                  <wp:positionV relativeFrom="paragraph">
                    <wp:posOffset>0</wp:posOffset>
                  </wp:positionV>
                  <wp:extent cx="685800" cy="793750"/>
                  <wp:effectExtent l="0" t="0" r="0" b="0"/>
                  <wp:wrapNone/>
                  <wp:docPr id="5" name="Host_Control__1_SpCnt_1"/>
                  <wp:cNvGraphicFramePr/>
                  <a:graphic xmlns:a="http://schemas.openxmlformats.org/drawingml/2006/main">
                    <a:graphicData uri="http://schemas.openxmlformats.org/drawingml/2006/picture">
                      <pic:pic xmlns:pic="http://schemas.openxmlformats.org/drawingml/2006/picture">
                        <pic:nvPicPr>
                          <pic:cNvPr id="5" name="Host_Control__1_SpCnt_1"/>
                          <pic:cNvPicPr/>
                        </pic:nvPicPr>
                        <pic:blipFill>
                          <a:blip r:embed="rId13"/>
                          <a:stretch>
                            <a:fillRect/>
                          </a:stretch>
                        </pic:blipFill>
                        <pic:spPr>
                          <a:xfrm>
                            <a:off x="0" y="0"/>
                            <a:ext cx="685800" cy="793750"/>
                          </a:xfrm>
                          <a:prstGeom prst="rect">
                            <a:avLst/>
                          </a:prstGeom>
                          <a:noFill/>
                          <a:ln>
                            <a:noFill/>
                          </a:ln>
                        </pic:spPr>
                      </pic:pic>
                    </a:graphicData>
                  </a:graphic>
                </wp:anchor>
              </w:drawing>
            </w:r>
            <w:r>
              <w:rPr>
                <w:rFonts w:hint="eastAsia" w:ascii="宋体" w:hAnsi="宋体" w:eastAsia="宋体" w:cs="宋体"/>
                <w:b/>
                <w:bCs/>
                <w:i w:val="0"/>
                <w:iCs w:val="0"/>
                <w:color w:val="000000"/>
                <w:spacing w:val="-2"/>
                <w:kern w:val="0"/>
                <w:sz w:val="32"/>
                <w:szCs w:val="32"/>
                <w:u w:val="none"/>
                <w:lang w:val="en-US" w:eastAsia="zh-CN" w:bidi="ar"/>
              </w:rPr>
              <w:drawing>
                <wp:anchor distT="0" distB="0" distL="114300" distR="114300" simplePos="0" relativeHeight="251661312" behindDoc="0" locked="0" layoutInCell="1" allowOverlap="1">
                  <wp:simplePos x="0" y="0"/>
                  <wp:positionH relativeFrom="column">
                    <wp:posOffset>333375</wp:posOffset>
                  </wp:positionH>
                  <wp:positionV relativeFrom="paragraph">
                    <wp:posOffset>0</wp:posOffset>
                  </wp:positionV>
                  <wp:extent cx="685800" cy="793750"/>
                  <wp:effectExtent l="0" t="0" r="0" b="0"/>
                  <wp:wrapNone/>
                  <wp:docPr id="12" name="Host_Control__1_SpCnt_2"/>
                  <wp:cNvGraphicFramePr/>
                  <a:graphic xmlns:a="http://schemas.openxmlformats.org/drawingml/2006/main">
                    <a:graphicData uri="http://schemas.openxmlformats.org/drawingml/2006/picture">
                      <pic:pic xmlns:pic="http://schemas.openxmlformats.org/drawingml/2006/picture">
                        <pic:nvPicPr>
                          <pic:cNvPr id="12" name="Host_Control__1_SpCnt_2"/>
                          <pic:cNvPicPr/>
                        </pic:nvPicPr>
                        <pic:blipFill>
                          <a:blip r:embed="rId13"/>
                          <a:stretch>
                            <a:fillRect/>
                          </a:stretch>
                        </pic:blipFill>
                        <pic:spPr>
                          <a:xfrm>
                            <a:off x="0" y="0"/>
                            <a:ext cx="685800" cy="793750"/>
                          </a:xfrm>
                          <a:prstGeom prst="rect">
                            <a:avLst/>
                          </a:prstGeom>
                          <a:noFill/>
                          <a:ln>
                            <a:noFill/>
                          </a:ln>
                        </pic:spPr>
                      </pic:pic>
                    </a:graphicData>
                  </a:graphic>
                </wp:anchor>
              </w:drawing>
            </w:r>
            <w:r>
              <w:rPr>
                <w:rFonts w:hint="eastAsia" w:ascii="宋体" w:hAnsi="宋体" w:eastAsia="宋体" w:cs="宋体"/>
                <w:b/>
                <w:bCs/>
                <w:i w:val="0"/>
                <w:iCs w:val="0"/>
                <w:color w:val="000000"/>
                <w:spacing w:val="-2"/>
                <w:kern w:val="0"/>
                <w:sz w:val="32"/>
                <w:szCs w:val="32"/>
                <w:u w:val="none"/>
                <w:lang w:val="en-US" w:eastAsia="zh-CN" w:bidi="ar"/>
              </w:rPr>
              <w:drawing>
                <wp:anchor distT="0" distB="0" distL="114300" distR="114300" simplePos="0" relativeHeight="251662336" behindDoc="0" locked="0" layoutInCell="1" allowOverlap="1">
                  <wp:simplePos x="0" y="0"/>
                  <wp:positionH relativeFrom="column">
                    <wp:posOffset>333375</wp:posOffset>
                  </wp:positionH>
                  <wp:positionV relativeFrom="paragraph">
                    <wp:posOffset>0</wp:posOffset>
                  </wp:positionV>
                  <wp:extent cx="685800" cy="793750"/>
                  <wp:effectExtent l="0" t="0" r="0" b="0"/>
                  <wp:wrapNone/>
                  <wp:docPr id="13" name="Host_Control__1_SpCnt_3"/>
                  <wp:cNvGraphicFramePr/>
                  <a:graphic xmlns:a="http://schemas.openxmlformats.org/drawingml/2006/main">
                    <a:graphicData uri="http://schemas.openxmlformats.org/drawingml/2006/picture">
                      <pic:pic xmlns:pic="http://schemas.openxmlformats.org/drawingml/2006/picture">
                        <pic:nvPicPr>
                          <pic:cNvPr id="13" name="Host_Control__1_SpCnt_3"/>
                          <pic:cNvPicPr/>
                        </pic:nvPicPr>
                        <pic:blipFill>
                          <a:blip r:embed="rId13"/>
                          <a:stretch>
                            <a:fillRect/>
                          </a:stretch>
                        </pic:blipFill>
                        <pic:spPr>
                          <a:xfrm>
                            <a:off x="0" y="0"/>
                            <a:ext cx="685800" cy="793750"/>
                          </a:xfrm>
                          <a:prstGeom prst="rect">
                            <a:avLst/>
                          </a:prstGeom>
                          <a:noFill/>
                          <a:ln>
                            <a:noFill/>
                          </a:ln>
                        </pic:spPr>
                      </pic:pic>
                    </a:graphicData>
                  </a:graphic>
                </wp:anchor>
              </w:drawing>
            </w:r>
            <w:r>
              <w:rPr>
                <w:rFonts w:hint="eastAsia" w:ascii="宋体" w:hAnsi="宋体" w:eastAsia="宋体" w:cs="宋体"/>
                <w:b/>
                <w:bCs/>
                <w:i w:val="0"/>
                <w:iCs w:val="0"/>
                <w:color w:val="000000"/>
                <w:spacing w:val="-2"/>
                <w:kern w:val="0"/>
                <w:sz w:val="32"/>
                <w:szCs w:val="32"/>
                <w:u w:val="none"/>
                <w:lang w:val="en-US" w:eastAsia="zh-CN" w:bidi="ar"/>
              </w:rPr>
              <w:drawing>
                <wp:anchor distT="0" distB="0" distL="114300" distR="114300" simplePos="0" relativeHeight="251663360" behindDoc="0" locked="0" layoutInCell="1" allowOverlap="1">
                  <wp:simplePos x="0" y="0"/>
                  <wp:positionH relativeFrom="column">
                    <wp:posOffset>333375</wp:posOffset>
                  </wp:positionH>
                  <wp:positionV relativeFrom="paragraph">
                    <wp:posOffset>0</wp:posOffset>
                  </wp:positionV>
                  <wp:extent cx="685800" cy="793750"/>
                  <wp:effectExtent l="0" t="0" r="0" b="0"/>
                  <wp:wrapNone/>
                  <wp:docPr id="11" name="Host_Control__1_SpCnt_4"/>
                  <wp:cNvGraphicFramePr/>
                  <a:graphic xmlns:a="http://schemas.openxmlformats.org/drawingml/2006/main">
                    <a:graphicData uri="http://schemas.openxmlformats.org/drawingml/2006/picture">
                      <pic:pic xmlns:pic="http://schemas.openxmlformats.org/drawingml/2006/picture">
                        <pic:nvPicPr>
                          <pic:cNvPr id="11" name="Host_Control__1_SpCnt_4"/>
                          <pic:cNvPicPr/>
                        </pic:nvPicPr>
                        <pic:blipFill>
                          <a:blip r:embed="rId13"/>
                          <a:stretch>
                            <a:fillRect/>
                          </a:stretch>
                        </pic:blipFill>
                        <pic:spPr>
                          <a:xfrm>
                            <a:off x="0" y="0"/>
                            <a:ext cx="685800" cy="793750"/>
                          </a:xfrm>
                          <a:prstGeom prst="rect">
                            <a:avLst/>
                          </a:prstGeom>
                          <a:noFill/>
                          <a:ln>
                            <a:noFill/>
                          </a:ln>
                        </pic:spPr>
                      </pic:pic>
                    </a:graphicData>
                  </a:graphic>
                </wp:anchor>
              </w:drawing>
            </w:r>
            <w:r>
              <w:rPr>
                <w:rFonts w:hint="eastAsia" w:ascii="宋体" w:hAnsi="宋体" w:eastAsia="宋体" w:cs="宋体"/>
                <w:b/>
                <w:bCs/>
                <w:i w:val="0"/>
                <w:iCs w:val="0"/>
                <w:color w:val="000000"/>
                <w:spacing w:val="-2"/>
                <w:kern w:val="0"/>
                <w:sz w:val="32"/>
                <w:szCs w:val="32"/>
                <w:u w:val="none"/>
                <w:lang w:val="en-US" w:eastAsia="zh-CN" w:bidi="ar"/>
              </w:rPr>
              <w:drawing>
                <wp:anchor distT="0" distB="0" distL="114300" distR="114300" simplePos="0" relativeHeight="251664384" behindDoc="0" locked="0" layoutInCell="1" allowOverlap="1">
                  <wp:simplePos x="0" y="0"/>
                  <wp:positionH relativeFrom="column">
                    <wp:posOffset>333375</wp:posOffset>
                  </wp:positionH>
                  <wp:positionV relativeFrom="paragraph">
                    <wp:posOffset>0</wp:posOffset>
                  </wp:positionV>
                  <wp:extent cx="685800" cy="793750"/>
                  <wp:effectExtent l="0" t="0" r="0" b="0"/>
                  <wp:wrapNone/>
                  <wp:docPr id="14" name="Host_Control__1_SpCnt_5"/>
                  <wp:cNvGraphicFramePr/>
                  <a:graphic xmlns:a="http://schemas.openxmlformats.org/drawingml/2006/main">
                    <a:graphicData uri="http://schemas.openxmlformats.org/drawingml/2006/picture">
                      <pic:pic xmlns:pic="http://schemas.openxmlformats.org/drawingml/2006/picture">
                        <pic:nvPicPr>
                          <pic:cNvPr id="14" name="Host_Control__1_SpCnt_5"/>
                          <pic:cNvPicPr/>
                        </pic:nvPicPr>
                        <pic:blipFill>
                          <a:blip r:embed="rId13"/>
                          <a:stretch>
                            <a:fillRect/>
                          </a:stretch>
                        </pic:blipFill>
                        <pic:spPr>
                          <a:xfrm>
                            <a:off x="0" y="0"/>
                            <a:ext cx="685800" cy="793750"/>
                          </a:xfrm>
                          <a:prstGeom prst="rect">
                            <a:avLst/>
                          </a:prstGeom>
                          <a:noFill/>
                          <a:ln>
                            <a:noFill/>
                          </a:ln>
                        </pic:spPr>
                      </pic:pic>
                    </a:graphicData>
                  </a:graphic>
                </wp:anchor>
              </w:drawing>
            </w:r>
            <w:r>
              <w:rPr>
                <w:rFonts w:hint="eastAsia" w:ascii="宋体" w:hAnsi="宋体" w:eastAsia="宋体" w:cs="宋体"/>
                <w:b/>
                <w:bCs/>
                <w:i w:val="0"/>
                <w:iCs w:val="0"/>
                <w:color w:val="000000"/>
                <w:spacing w:val="-2"/>
                <w:kern w:val="0"/>
                <w:sz w:val="32"/>
                <w:szCs w:val="32"/>
                <w:u w:val="none"/>
                <w:lang w:val="en-US" w:eastAsia="zh-CN" w:bidi="ar"/>
              </w:rPr>
              <w:drawing>
                <wp:anchor distT="0" distB="0" distL="114300" distR="114300" simplePos="0" relativeHeight="251665408" behindDoc="0" locked="0" layoutInCell="1" allowOverlap="1">
                  <wp:simplePos x="0" y="0"/>
                  <wp:positionH relativeFrom="column">
                    <wp:posOffset>333375</wp:posOffset>
                  </wp:positionH>
                  <wp:positionV relativeFrom="paragraph">
                    <wp:posOffset>0</wp:posOffset>
                  </wp:positionV>
                  <wp:extent cx="685800" cy="793750"/>
                  <wp:effectExtent l="0" t="0" r="0" b="0"/>
                  <wp:wrapNone/>
                  <wp:docPr id="4" name="Host_Control__1_SpCnt_6"/>
                  <wp:cNvGraphicFramePr/>
                  <a:graphic xmlns:a="http://schemas.openxmlformats.org/drawingml/2006/main">
                    <a:graphicData uri="http://schemas.openxmlformats.org/drawingml/2006/picture">
                      <pic:pic xmlns:pic="http://schemas.openxmlformats.org/drawingml/2006/picture">
                        <pic:nvPicPr>
                          <pic:cNvPr id="4" name="Host_Control__1_SpCnt_6"/>
                          <pic:cNvPicPr/>
                        </pic:nvPicPr>
                        <pic:blipFill>
                          <a:blip r:embed="rId13"/>
                          <a:stretch>
                            <a:fillRect/>
                          </a:stretch>
                        </pic:blipFill>
                        <pic:spPr>
                          <a:xfrm>
                            <a:off x="0" y="0"/>
                            <a:ext cx="685800" cy="793750"/>
                          </a:xfrm>
                          <a:prstGeom prst="rect">
                            <a:avLst/>
                          </a:prstGeom>
                          <a:noFill/>
                          <a:ln>
                            <a:noFill/>
                          </a:ln>
                        </pic:spPr>
                      </pic:pic>
                    </a:graphicData>
                  </a:graphic>
                </wp:anchor>
              </w:drawing>
            </w:r>
            <w:r>
              <w:rPr>
                <w:rFonts w:hint="eastAsia" w:ascii="宋体" w:hAnsi="宋体" w:eastAsia="宋体" w:cs="宋体"/>
                <w:b/>
                <w:bCs/>
                <w:i w:val="0"/>
                <w:iCs w:val="0"/>
                <w:color w:val="000000"/>
                <w:spacing w:val="-2"/>
                <w:kern w:val="0"/>
                <w:sz w:val="32"/>
                <w:szCs w:val="32"/>
                <w:u w:val="none"/>
                <w:lang w:val="en-US" w:eastAsia="zh-CN" w:bidi="ar"/>
              </w:rPr>
              <w:drawing>
                <wp:anchor distT="0" distB="0" distL="114300" distR="114300" simplePos="0" relativeHeight="251666432" behindDoc="0" locked="0" layoutInCell="1" allowOverlap="1">
                  <wp:simplePos x="0" y="0"/>
                  <wp:positionH relativeFrom="column">
                    <wp:posOffset>333375</wp:posOffset>
                  </wp:positionH>
                  <wp:positionV relativeFrom="paragraph">
                    <wp:posOffset>0</wp:posOffset>
                  </wp:positionV>
                  <wp:extent cx="685800" cy="793750"/>
                  <wp:effectExtent l="0" t="0" r="0" b="0"/>
                  <wp:wrapNone/>
                  <wp:docPr id="8" name="Host_Control__1_SpCnt_7"/>
                  <wp:cNvGraphicFramePr/>
                  <a:graphic xmlns:a="http://schemas.openxmlformats.org/drawingml/2006/main">
                    <a:graphicData uri="http://schemas.openxmlformats.org/drawingml/2006/picture">
                      <pic:pic xmlns:pic="http://schemas.openxmlformats.org/drawingml/2006/picture">
                        <pic:nvPicPr>
                          <pic:cNvPr id="8" name="Host_Control__1_SpCnt_7"/>
                          <pic:cNvPicPr/>
                        </pic:nvPicPr>
                        <pic:blipFill>
                          <a:blip r:embed="rId13"/>
                          <a:stretch>
                            <a:fillRect/>
                          </a:stretch>
                        </pic:blipFill>
                        <pic:spPr>
                          <a:xfrm>
                            <a:off x="0" y="0"/>
                            <a:ext cx="685800" cy="793750"/>
                          </a:xfrm>
                          <a:prstGeom prst="rect">
                            <a:avLst/>
                          </a:prstGeom>
                          <a:noFill/>
                          <a:ln>
                            <a:noFill/>
                          </a:ln>
                        </pic:spPr>
                      </pic:pic>
                    </a:graphicData>
                  </a:graphic>
                </wp:anchor>
              </w:drawing>
            </w:r>
            <w:r>
              <w:rPr>
                <w:rFonts w:hint="eastAsia" w:ascii="宋体" w:hAnsi="宋体" w:eastAsia="宋体" w:cs="宋体"/>
                <w:b/>
                <w:bCs/>
                <w:i w:val="0"/>
                <w:iCs w:val="0"/>
                <w:color w:val="000000"/>
                <w:spacing w:val="-2"/>
                <w:kern w:val="0"/>
                <w:sz w:val="32"/>
                <w:szCs w:val="32"/>
                <w:u w:val="none"/>
                <w:lang w:val="en-US" w:eastAsia="zh-CN" w:bidi="ar"/>
              </w:rPr>
              <w:drawing>
                <wp:anchor distT="0" distB="0" distL="114300" distR="114300" simplePos="0" relativeHeight="251667456" behindDoc="0" locked="0" layoutInCell="1" allowOverlap="1">
                  <wp:simplePos x="0" y="0"/>
                  <wp:positionH relativeFrom="column">
                    <wp:posOffset>333375</wp:posOffset>
                  </wp:positionH>
                  <wp:positionV relativeFrom="paragraph">
                    <wp:posOffset>0</wp:posOffset>
                  </wp:positionV>
                  <wp:extent cx="685800" cy="793750"/>
                  <wp:effectExtent l="0" t="0" r="0" b="0"/>
                  <wp:wrapNone/>
                  <wp:docPr id="3" name="Host_Control__1_SpCnt_8"/>
                  <wp:cNvGraphicFramePr/>
                  <a:graphic xmlns:a="http://schemas.openxmlformats.org/drawingml/2006/main">
                    <a:graphicData uri="http://schemas.openxmlformats.org/drawingml/2006/picture">
                      <pic:pic xmlns:pic="http://schemas.openxmlformats.org/drawingml/2006/picture">
                        <pic:nvPicPr>
                          <pic:cNvPr id="3" name="Host_Control__1_SpCnt_8"/>
                          <pic:cNvPicPr/>
                        </pic:nvPicPr>
                        <pic:blipFill>
                          <a:blip r:embed="rId13"/>
                          <a:stretch>
                            <a:fillRect/>
                          </a:stretch>
                        </pic:blipFill>
                        <pic:spPr>
                          <a:xfrm>
                            <a:off x="0" y="0"/>
                            <a:ext cx="685800" cy="793750"/>
                          </a:xfrm>
                          <a:prstGeom prst="rect">
                            <a:avLst/>
                          </a:prstGeom>
                          <a:noFill/>
                          <a:ln>
                            <a:noFill/>
                          </a:ln>
                        </pic:spPr>
                      </pic:pic>
                    </a:graphicData>
                  </a:graphic>
                </wp:anchor>
              </w:drawing>
            </w:r>
            <w:r>
              <w:rPr>
                <w:rFonts w:hint="eastAsia" w:ascii="宋体" w:hAnsi="宋体" w:eastAsia="宋体" w:cs="宋体"/>
                <w:b/>
                <w:bCs/>
                <w:i w:val="0"/>
                <w:iCs w:val="0"/>
                <w:color w:val="000000"/>
                <w:spacing w:val="-2"/>
                <w:kern w:val="0"/>
                <w:sz w:val="32"/>
                <w:szCs w:val="32"/>
                <w:u w:val="none"/>
                <w:lang w:val="en-US" w:eastAsia="zh-CN" w:bidi="ar"/>
              </w:rPr>
              <w:drawing>
                <wp:anchor distT="0" distB="0" distL="114300" distR="114300" simplePos="0" relativeHeight="251668480" behindDoc="0" locked="0" layoutInCell="1" allowOverlap="1">
                  <wp:simplePos x="0" y="0"/>
                  <wp:positionH relativeFrom="column">
                    <wp:posOffset>333375</wp:posOffset>
                  </wp:positionH>
                  <wp:positionV relativeFrom="paragraph">
                    <wp:posOffset>0</wp:posOffset>
                  </wp:positionV>
                  <wp:extent cx="685800" cy="793750"/>
                  <wp:effectExtent l="0" t="0" r="0" b="0"/>
                  <wp:wrapNone/>
                  <wp:docPr id="6" name="Host_Control__1_SpCnt_9"/>
                  <wp:cNvGraphicFramePr/>
                  <a:graphic xmlns:a="http://schemas.openxmlformats.org/drawingml/2006/main">
                    <a:graphicData uri="http://schemas.openxmlformats.org/drawingml/2006/picture">
                      <pic:pic xmlns:pic="http://schemas.openxmlformats.org/drawingml/2006/picture">
                        <pic:nvPicPr>
                          <pic:cNvPr id="6" name="Host_Control__1_SpCnt_9"/>
                          <pic:cNvPicPr/>
                        </pic:nvPicPr>
                        <pic:blipFill>
                          <a:blip r:embed="rId13"/>
                          <a:stretch>
                            <a:fillRect/>
                          </a:stretch>
                        </pic:blipFill>
                        <pic:spPr>
                          <a:xfrm>
                            <a:off x="0" y="0"/>
                            <a:ext cx="685800" cy="793750"/>
                          </a:xfrm>
                          <a:prstGeom prst="rect">
                            <a:avLst/>
                          </a:prstGeom>
                          <a:noFill/>
                          <a:ln>
                            <a:noFill/>
                          </a:ln>
                        </pic:spPr>
                      </pic:pic>
                    </a:graphicData>
                  </a:graphic>
                </wp:anchor>
              </w:drawing>
            </w:r>
            <w:r>
              <w:rPr>
                <w:rFonts w:hint="eastAsia" w:ascii="宋体" w:hAnsi="宋体" w:eastAsia="宋体" w:cs="宋体"/>
                <w:b/>
                <w:bCs/>
                <w:i w:val="0"/>
                <w:iCs w:val="0"/>
                <w:color w:val="000000"/>
                <w:spacing w:val="-2"/>
                <w:kern w:val="0"/>
                <w:sz w:val="32"/>
                <w:szCs w:val="32"/>
                <w:u w:val="none"/>
                <w:lang w:val="en-US" w:eastAsia="zh-CN" w:bidi="ar"/>
              </w:rPr>
              <w:drawing>
                <wp:anchor distT="0" distB="0" distL="114300" distR="114300" simplePos="0" relativeHeight="251669504" behindDoc="0" locked="0" layoutInCell="1" allowOverlap="1">
                  <wp:simplePos x="0" y="0"/>
                  <wp:positionH relativeFrom="column">
                    <wp:posOffset>333375</wp:posOffset>
                  </wp:positionH>
                  <wp:positionV relativeFrom="paragraph">
                    <wp:posOffset>0</wp:posOffset>
                  </wp:positionV>
                  <wp:extent cx="685800" cy="793750"/>
                  <wp:effectExtent l="0" t="0" r="0" b="0"/>
                  <wp:wrapNone/>
                  <wp:docPr id="9" name="Host_Control__1_SpCnt_10"/>
                  <wp:cNvGraphicFramePr/>
                  <a:graphic xmlns:a="http://schemas.openxmlformats.org/drawingml/2006/main">
                    <a:graphicData uri="http://schemas.openxmlformats.org/drawingml/2006/picture">
                      <pic:pic xmlns:pic="http://schemas.openxmlformats.org/drawingml/2006/picture">
                        <pic:nvPicPr>
                          <pic:cNvPr id="9" name="Host_Control__1_SpCnt_10"/>
                          <pic:cNvPicPr/>
                        </pic:nvPicPr>
                        <pic:blipFill>
                          <a:blip r:embed="rId13"/>
                          <a:stretch>
                            <a:fillRect/>
                          </a:stretch>
                        </pic:blipFill>
                        <pic:spPr>
                          <a:xfrm>
                            <a:off x="0" y="0"/>
                            <a:ext cx="685800" cy="7937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spacing w:val="-2"/>
                <w:kern w:val="0"/>
                <w:sz w:val="21"/>
                <w:szCs w:val="21"/>
                <w:u w:val="none"/>
                <w:lang w:val="en-US" w:eastAsia="zh-CN" w:bidi="ar"/>
              </w:rPr>
              <w:t>序号</w:t>
            </w:r>
          </w:p>
        </w:tc>
        <w:tc>
          <w:tcPr>
            <w:tcW w:w="6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spacing w:val="-2"/>
                <w:kern w:val="0"/>
                <w:sz w:val="21"/>
                <w:szCs w:val="21"/>
                <w:u w:val="none"/>
                <w:lang w:val="en-US" w:eastAsia="zh-CN" w:bidi="ar"/>
              </w:rPr>
              <w:t>设备、材料名称</w:t>
            </w:r>
          </w:p>
        </w:tc>
        <w:tc>
          <w:tcPr>
            <w:tcW w:w="13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spacing w:val="-2"/>
                <w:kern w:val="0"/>
                <w:sz w:val="21"/>
                <w:szCs w:val="21"/>
                <w:u w:val="none"/>
                <w:lang w:val="en-US" w:eastAsia="zh-CN" w:bidi="ar"/>
              </w:rPr>
              <w:t>详细技术指标</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spacing w:val="-2"/>
                <w:kern w:val="0"/>
                <w:sz w:val="21"/>
                <w:szCs w:val="21"/>
                <w:u w:val="none"/>
                <w:lang w:val="en-US" w:eastAsia="zh-CN" w:bidi="ar"/>
              </w:rPr>
              <w:t>尺寸</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spacing w:val="-2"/>
                <w:kern w:val="0"/>
                <w:sz w:val="21"/>
                <w:szCs w:val="21"/>
                <w:u w:val="none"/>
                <w:lang w:val="en-US" w:eastAsia="zh-CN" w:bidi="ar"/>
              </w:rPr>
              <w:t>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spacing w:val="-2"/>
                <w:kern w:val="0"/>
                <w:sz w:val="21"/>
                <w:szCs w:val="21"/>
                <w:u w:val="none"/>
                <w:lang w:val="en-US" w:eastAsia="zh-CN" w:bidi="ar"/>
              </w:rPr>
              <w:t>数量</w:t>
            </w:r>
          </w:p>
        </w:tc>
        <w:tc>
          <w:tcPr>
            <w:tcW w:w="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spacing w:val="-2"/>
                <w:kern w:val="0"/>
                <w:sz w:val="21"/>
                <w:szCs w:val="21"/>
                <w:u w:val="none"/>
                <w:lang w:val="en-US" w:eastAsia="zh-CN" w:bidi="ar"/>
              </w:rPr>
              <w:t>期望到货日期</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spacing w:val="-2"/>
                <w:kern w:val="0"/>
                <w:sz w:val="21"/>
                <w:szCs w:val="21"/>
                <w:u w:val="none"/>
                <w:lang w:val="en-US" w:eastAsia="zh-CN" w:bidi="ar"/>
              </w:rPr>
              <w:t>送货地址及收件人</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spacing w:val="-2"/>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1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lang w:val="en-US" w:eastAsia="zh-CN" w:bidi="ar"/>
              </w:rPr>
              <w:t>1</w:t>
            </w:r>
          </w:p>
        </w:tc>
        <w:tc>
          <w:tcPr>
            <w:tcW w:w="6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lang w:val="en-US" w:eastAsia="zh-CN" w:bidi="ar"/>
              </w:rPr>
              <w:t>半遮光阳光卷帘（米灰色）</w:t>
            </w:r>
          </w:p>
        </w:tc>
        <w:tc>
          <w:tcPr>
            <w:tcW w:w="13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lang w:val="en-US" w:eastAsia="zh-CN" w:bidi="ar"/>
              </w:rPr>
              <w:t>【面料成分及工艺】                1.折光率百分之60-70，阻燃功能</w:t>
            </w:r>
            <w:r>
              <w:rPr>
                <w:rFonts w:hint="eastAsia" w:ascii="宋体" w:hAnsi="宋体" w:eastAsia="宋体" w:cs="宋体"/>
                <w:i w:val="0"/>
                <w:iCs w:val="0"/>
                <w:color w:val="333333"/>
                <w:spacing w:val="-2"/>
                <w:kern w:val="0"/>
                <w:sz w:val="21"/>
                <w:szCs w:val="21"/>
                <w:u w:val="none"/>
                <w:lang w:val="en-US" w:eastAsia="zh-CN" w:bidi="ar"/>
              </w:rPr>
              <w:br w:type="textWrapping"/>
            </w:r>
            <w:r>
              <w:rPr>
                <w:rFonts w:hint="eastAsia" w:ascii="宋体" w:hAnsi="宋体" w:eastAsia="宋体" w:cs="宋体"/>
                <w:i w:val="0"/>
                <w:iCs w:val="0"/>
                <w:color w:val="333333"/>
                <w:spacing w:val="-2"/>
                <w:kern w:val="0"/>
                <w:sz w:val="21"/>
                <w:szCs w:val="21"/>
                <w:u w:val="none"/>
                <w:lang w:val="en-US" w:eastAsia="zh-CN" w:bidi="ar"/>
              </w:rPr>
              <w:t>2.直挂 3.幅宽2.5米                  4.环保—EO级</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2"/>
                <w:kern w:val="0"/>
                <w:sz w:val="22"/>
                <w:szCs w:val="22"/>
                <w:u w:val="none"/>
                <w:lang w:val="en-US" w:eastAsia="zh-CN" w:bidi="ar"/>
              </w:rPr>
              <w:t>135.4*2.5</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lang w:val="en-US" w:eastAsia="zh-CN" w:bidi="ar"/>
              </w:rPr>
              <w:t>平方</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lang w:val="en-US" w:eastAsia="zh-CN" w:bidi="ar"/>
              </w:rPr>
              <w:t>288.5</w:t>
            </w:r>
          </w:p>
        </w:tc>
        <w:tc>
          <w:tcPr>
            <w:tcW w:w="54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lang w:val="en-US" w:eastAsia="zh-CN" w:bidi="ar"/>
              </w:rPr>
              <w:t>2022-8-8</w:t>
            </w:r>
          </w:p>
        </w:tc>
        <w:tc>
          <w:tcPr>
            <w:tcW w:w="6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lang w:val="en-US" w:eastAsia="zh-CN" w:bidi="ar"/>
              </w:rPr>
              <w:t xml:space="preserve">                                送货地址：东界龙湖，收件人：赵文君</w:t>
            </w:r>
          </w:p>
        </w:tc>
        <w:tc>
          <w:tcPr>
            <w:tcW w:w="64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lang w:val="en-US" w:eastAsia="zh-CN" w:bidi="ar"/>
              </w:rPr>
              <w:t xml:space="preserve">                             质保期24个月，如有增减，按实际数量结算。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1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lang w:val="en-US" w:eastAsia="zh-CN" w:bidi="ar"/>
              </w:rPr>
              <w:t>2</w:t>
            </w:r>
          </w:p>
        </w:tc>
        <w:tc>
          <w:tcPr>
            <w:tcW w:w="6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685800" cy="828675"/>
                  <wp:effectExtent l="0" t="0" r="0" b="0"/>
                  <wp:wrapNone/>
                  <wp:docPr id="10" name="Host_Control__1_SpCnt_11"/>
                  <wp:cNvGraphicFramePr/>
                  <a:graphic xmlns:a="http://schemas.openxmlformats.org/drawingml/2006/main">
                    <a:graphicData uri="http://schemas.openxmlformats.org/drawingml/2006/picture">
                      <pic:pic xmlns:pic="http://schemas.openxmlformats.org/drawingml/2006/picture">
                        <pic:nvPicPr>
                          <pic:cNvPr id="10" name="Host_Control__1_SpCnt_11"/>
                          <pic:cNvPicPr/>
                        </pic:nvPicPr>
                        <pic:blipFill>
                          <a:blip r:embed="rId13"/>
                          <a:stretch>
                            <a:fillRect/>
                          </a:stretch>
                        </pic:blipFill>
                        <pic:spPr>
                          <a:xfrm>
                            <a:off x="0" y="0"/>
                            <a:ext cx="685800" cy="828675"/>
                          </a:xfrm>
                          <a:prstGeom prst="rect">
                            <a:avLst/>
                          </a:prstGeom>
                          <a:noFill/>
                          <a:ln>
                            <a:noFill/>
                          </a:ln>
                        </pic:spPr>
                      </pic:pic>
                    </a:graphicData>
                  </a:graphic>
                </wp:anchor>
              </w:drawing>
            </w:r>
            <w:r>
              <w:rPr>
                <w:rFonts w:hint="eastAsia" w:ascii="宋体" w:hAnsi="宋体" w:eastAsia="宋体" w:cs="宋体"/>
                <w:i w:val="0"/>
                <w:iCs w:val="0"/>
                <w:color w:val="333333"/>
                <w:spacing w:val="-2"/>
                <w:kern w:val="0"/>
                <w:sz w:val="21"/>
                <w:szCs w:val="21"/>
                <w:u w:val="none"/>
                <w:lang w:val="en-US" w:eastAsia="zh-CN" w:bidi="ar"/>
              </w:rPr>
              <w:t>高配铝百叶 （浅灰色）</w:t>
            </w:r>
          </w:p>
        </w:tc>
        <w:tc>
          <w:tcPr>
            <w:tcW w:w="13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lang w:val="en-US" w:eastAsia="zh-CN" w:bidi="ar"/>
              </w:rPr>
              <w:t>【面料成分及工艺】</w:t>
            </w:r>
            <w:r>
              <w:rPr>
                <w:rFonts w:hint="eastAsia" w:ascii="宋体" w:hAnsi="宋体" w:eastAsia="宋体" w:cs="宋体"/>
                <w:i w:val="0"/>
                <w:iCs w:val="0"/>
                <w:color w:val="333333"/>
                <w:spacing w:val="-2"/>
                <w:kern w:val="0"/>
                <w:sz w:val="21"/>
                <w:szCs w:val="21"/>
                <w:u w:val="none"/>
                <w:lang w:val="en-US" w:eastAsia="zh-CN" w:bidi="ar"/>
              </w:rPr>
              <w:br w:type="textWrapping"/>
            </w:r>
            <w:r>
              <w:rPr>
                <w:rFonts w:hint="eastAsia" w:ascii="宋体" w:hAnsi="宋体" w:eastAsia="宋体" w:cs="宋体"/>
                <w:i w:val="0"/>
                <w:iCs w:val="0"/>
                <w:color w:val="333333"/>
                <w:spacing w:val="-2"/>
                <w:kern w:val="0"/>
                <w:sz w:val="21"/>
                <w:szCs w:val="21"/>
                <w:u w:val="none"/>
                <w:lang w:val="en-US" w:eastAsia="zh-CN" w:bidi="ar"/>
              </w:rPr>
              <w:t>1.耐酸、耐碱、耐洗涤2.直挂                           3.按实际面积算 4.环保—EO级</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2"/>
                <w:kern w:val="0"/>
                <w:sz w:val="22"/>
                <w:szCs w:val="22"/>
                <w:u w:val="none"/>
                <w:lang w:val="en-US" w:eastAsia="zh-CN" w:bidi="ar"/>
              </w:rPr>
              <w:t>58.9*2.2</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lang w:val="en-US" w:eastAsia="zh-CN" w:bidi="ar"/>
              </w:rPr>
              <w:t>平方</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lang w:val="en-US" w:eastAsia="zh-CN" w:bidi="ar"/>
              </w:rPr>
              <w:t>108.4</w:t>
            </w:r>
          </w:p>
        </w:tc>
        <w:tc>
          <w:tcPr>
            <w:tcW w:w="54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333333"/>
                <w:sz w:val="21"/>
                <w:szCs w:val="21"/>
                <w:u w:val="none"/>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333333"/>
                <w:sz w:val="21"/>
                <w:szCs w:val="21"/>
                <w:u w:val="none"/>
              </w:rPr>
            </w:pPr>
          </w:p>
        </w:tc>
        <w:tc>
          <w:tcPr>
            <w:tcW w:w="64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lang w:val="en-US" w:eastAsia="zh-CN" w:bidi="ar"/>
              </w:rPr>
              <w:t>3</w:t>
            </w:r>
          </w:p>
        </w:tc>
        <w:tc>
          <w:tcPr>
            <w:tcW w:w="6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lang w:val="en-US" w:eastAsia="zh-CN" w:bidi="ar"/>
              </w:rPr>
              <w:t xml:space="preserve">领导办公室：高精密 涤纶         蓝色（主布浅灰 ）                           浅灰（拼色配布蓝色）  </w:t>
            </w:r>
          </w:p>
        </w:tc>
        <w:tc>
          <w:tcPr>
            <w:tcW w:w="13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lang w:val="en-US" w:eastAsia="zh-CN" w:bidi="ar"/>
              </w:rPr>
              <w:t>【面料成分及工艺】</w:t>
            </w:r>
            <w:r>
              <w:rPr>
                <w:rFonts w:hint="eastAsia" w:ascii="宋体" w:hAnsi="宋体" w:eastAsia="宋体" w:cs="宋体"/>
                <w:i w:val="0"/>
                <w:iCs w:val="0"/>
                <w:color w:val="333333"/>
                <w:spacing w:val="-2"/>
                <w:kern w:val="0"/>
                <w:sz w:val="21"/>
                <w:szCs w:val="21"/>
                <w:u w:val="none"/>
                <w:lang w:val="en-US" w:eastAsia="zh-CN" w:bidi="ar"/>
              </w:rPr>
              <w:br w:type="textWrapping"/>
            </w:r>
            <w:r>
              <w:rPr>
                <w:rFonts w:hint="eastAsia" w:ascii="宋体" w:hAnsi="宋体" w:eastAsia="宋体" w:cs="宋体"/>
                <w:i w:val="0"/>
                <w:iCs w:val="0"/>
                <w:color w:val="333333"/>
                <w:spacing w:val="-2"/>
                <w:kern w:val="0"/>
                <w:sz w:val="21"/>
                <w:szCs w:val="21"/>
                <w:u w:val="none"/>
                <w:lang w:val="en-US" w:eastAsia="zh-CN" w:bidi="ar"/>
              </w:rPr>
              <w:t>1.耐光，遮光率百分之90，锁色度高，高稳定形杀菌工艺，质保两年  2.窗户超高,2倍褶皱，对开.3.幅宽2.8米         4.环保—EO级</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2"/>
                <w:kern w:val="0"/>
                <w:sz w:val="22"/>
                <w:szCs w:val="22"/>
                <w:u w:val="none"/>
                <w:lang w:val="en-US" w:eastAsia="zh-CN" w:bidi="ar"/>
              </w:rPr>
              <w:t>28.3*3</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lang w:val="en-US" w:eastAsia="zh-CN" w:bidi="ar"/>
              </w:rPr>
              <w:t>米</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lang w:val="en-US" w:eastAsia="zh-CN" w:bidi="ar"/>
              </w:rPr>
              <w:t>63.5</w:t>
            </w:r>
          </w:p>
        </w:tc>
        <w:tc>
          <w:tcPr>
            <w:tcW w:w="54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333333"/>
                <w:sz w:val="21"/>
                <w:szCs w:val="21"/>
                <w:u w:val="none"/>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333333"/>
                <w:sz w:val="21"/>
                <w:szCs w:val="21"/>
                <w:u w:val="none"/>
              </w:rPr>
            </w:pPr>
          </w:p>
        </w:tc>
        <w:tc>
          <w:tcPr>
            <w:tcW w:w="64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1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lang w:val="en-US" w:eastAsia="zh-CN" w:bidi="ar"/>
              </w:rPr>
              <w:t>4</w:t>
            </w:r>
          </w:p>
        </w:tc>
        <w:tc>
          <w:tcPr>
            <w:tcW w:w="6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685800" cy="828675"/>
                  <wp:effectExtent l="0" t="0" r="0" b="0"/>
                  <wp:wrapNone/>
                  <wp:docPr id="15" name="Host_Control__1_SpCnt_12"/>
                  <wp:cNvGraphicFramePr/>
                  <a:graphic xmlns:a="http://schemas.openxmlformats.org/drawingml/2006/main">
                    <a:graphicData uri="http://schemas.openxmlformats.org/drawingml/2006/picture">
                      <pic:pic xmlns:pic="http://schemas.openxmlformats.org/drawingml/2006/picture">
                        <pic:nvPicPr>
                          <pic:cNvPr id="15" name="Host_Control__1_SpCnt_12"/>
                          <pic:cNvPicPr/>
                        </pic:nvPicPr>
                        <pic:blipFill>
                          <a:blip r:embed="rId13"/>
                          <a:stretch>
                            <a:fillRect/>
                          </a:stretch>
                        </pic:blipFill>
                        <pic:spPr>
                          <a:xfrm>
                            <a:off x="0" y="0"/>
                            <a:ext cx="685800" cy="828675"/>
                          </a:xfrm>
                          <a:prstGeom prst="rect">
                            <a:avLst/>
                          </a:prstGeom>
                          <a:noFill/>
                          <a:ln>
                            <a:noFill/>
                          </a:ln>
                        </pic:spPr>
                      </pic:pic>
                    </a:graphicData>
                  </a:graphic>
                </wp:anchor>
              </w:drawing>
            </w:r>
            <w:r>
              <w:rPr>
                <w:rFonts w:hint="eastAsia" w:ascii="宋体" w:hAnsi="宋体" w:eastAsia="宋体" w:cs="宋体"/>
                <w:i w:val="0"/>
                <w:iCs w:val="0"/>
                <w:color w:val="333333"/>
                <w:spacing w:val="-2"/>
                <w:kern w:val="0"/>
                <w:sz w:val="21"/>
                <w:szCs w:val="21"/>
                <w:u w:val="none"/>
                <w:lang w:val="en-US" w:eastAsia="zh-CN" w:bidi="ar"/>
              </w:rPr>
              <w:t xml:space="preserve">小餐厅：澳洲绒灰色  </w:t>
            </w:r>
          </w:p>
        </w:tc>
        <w:tc>
          <w:tcPr>
            <w:tcW w:w="13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lang w:val="en-US" w:eastAsia="zh-CN" w:bidi="ar"/>
              </w:rPr>
              <w:t>【面料成分及工艺】</w:t>
            </w:r>
            <w:r>
              <w:rPr>
                <w:rFonts w:hint="eastAsia" w:ascii="宋体" w:hAnsi="宋体" w:eastAsia="宋体" w:cs="宋体"/>
                <w:i w:val="0"/>
                <w:iCs w:val="0"/>
                <w:color w:val="333333"/>
                <w:spacing w:val="-2"/>
                <w:kern w:val="0"/>
                <w:sz w:val="21"/>
                <w:szCs w:val="21"/>
                <w:u w:val="none"/>
                <w:lang w:val="en-US" w:eastAsia="zh-CN" w:bidi="ar"/>
              </w:rPr>
              <w:br w:type="textWrapping"/>
            </w:r>
            <w:r>
              <w:rPr>
                <w:rFonts w:hint="eastAsia" w:ascii="宋体" w:hAnsi="宋体" w:eastAsia="宋体" w:cs="宋体"/>
                <w:i w:val="0"/>
                <w:iCs w:val="0"/>
                <w:color w:val="333333"/>
                <w:spacing w:val="-2"/>
                <w:kern w:val="0"/>
                <w:sz w:val="21"/>
                <w:szCs w:val="21"/>
                <w:u w:val="none"/>
                <w:lang w:val="en-US" w:eastAsia="zh-CN" w:bidi="ar"/>
              </w:rPr>
              <w:t>1.耐光，遮光率百分之90，锁色度高，高稳定形杀菌工艺，质保两年  2.窗户超高,2倍褶皱，对开. 3.幅宽2.8米                  4.环保—EO级</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2"/>
                <w:kern w:val="0"/>
                <w:sz w:val="22"/>
                <w:szCs w:val="22"/>
                <w:u w:val="none"/>
                <w:lang w:val="en-US" w:eastAsia="zh-CN" w:bidi="ar"/>
              </w:rPr>
              <w:t>11.5*2.85</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lang w:val="en-US" w:eastAsia="zh-CN" w:bidi="ar"/>
              </w:rPr>
              <w:t>米</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lang w:val="en-US" w:eastAsia="zh-CN" w:bidi="ar"/>
              </w:rPr>
              <w:t>27.5</w:t>
            </w:r>
          </w:p>
        </w:tc>
        <w:tc>
          <w:tcPr>
            <w:tcW w:w="54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333333"/>
                <w:sz w:val="21"/>
                <w:szCs w:val="21"/>
                <w:u w:val="none"/>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333333"/>
                <w:sz w:val="21"/>
                <w:szCs w:val="21"/>
                <w:u w:val="none"/>
              </w:rPr>
            </w:pPr>
          </w:p>
        </w:tc>
        <w:tc>
          <w:tcPr>
            <w:tcW w:w="64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lang w:val="en-US" w:eastAsia="zh-CN" w:bidi="ar"/>
              </w:rPr>
              <w:t>5</w:t>
            </w:r>
          </w:p>
        </w:tc>
        <w:tc>
          <w:tcPr>
            <w:tcW w:w="6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685800" cy="828675"/>
                  <wp:effectExtent l="0" t="0" r="0" b="0"/>
                  <wp:wrapNone/>
                  <wp:docPr id="22" name="Host_Control__1_SpCnt_13"/>
                  <wp:cNvGraphicFramePr/>
                  <a:graphic xmlns:a="http://schemas.openxmlformats.org/drawingml/2006/main">
                    <a:graphicData uri="http://schemas.openxmlformats.org/drawingml/2006/picture">
                      <pic:pic xmlns:pic="http://schemas.openxmlformats.org/drawingml/2006/picture">
                        <pic:nvPicPr>
                          <pic:cNvPr id="22" name="Host_Control__1_SpCnt_13"/>
                          <pic:cNvPicPr/>
                        </pic:nvPicPr>
                        <pic:blipFill>
                          <a:blip r:embed="rId13"/>
                          <a:stretch>
                            <a:fillRect/>
                          </a:stretch>
                        </pic:blipFill>
                        <pic:spPr>
                          <a:xfrm>
                            <a:off x="0" y="0"/>
                            <a:ext cx="685800" cy="828675"/>
                          </a:xfrm>
                          <a:prstGeom prst="rect">
                            <a:avLst/>
                          </a:prstGeom>
                          <a:noFill/>
                          <a:ln>
                            <a:noFill/>
                          </a:ln>
                        </pic:spPr>
                      </pic:pic>
                    </a:graphicData>
                  </a:graphic>
                </wp:anchor>
              </w:drawing>
            </w:r>
            <w:r>
              <w:rPr>
                <w:rFonts w:hint="eastAsia" w:ascii="宋体" w:hAnsi="宋体" w:eastAsia="宋体" w:cs="宋体"/>
                <w:i w:val="0"/>
                <w:iCs w:val="0"/>
                <w:color w:val="333333"/>
                <w:spacing w:val="-2"/>
                <w:kern w:val="0"/>
                <w:sz w:val="21"/>
                <w:szCs w:val="21"/>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685800" cy="828675"/>
                  <wp:effectExtent l="0" t="0" r="0" b="0"/>
                  <wp:wrapNone/>
                  <wp:docPr id="18" name="Host_Control__1_SpCnt_14"/>
                  <wp:cNvGraphicFramePr/>
                  <a:graphic xmlns:a="http://schemas.openxmlformats.org/drawingml/2006/main">
                    <a:graphicData uri="http://schemas.openxmlformats.org/drawingml/2006/picture">
                      <pic:pic xmlns:pic="http://schemas.openxmlformats.org/drawingml/2006/picture">
                        <pic:nvPicPr>
                          <pic:cNvPr id="18" name="Host_Control__1_SpCnt_14"/>
                          <pic:cNvPicPr/>
                        </pic:nvPicPr>
                        <pic:blipFill>
                          <a:blip r:embed="rId13"/>
                          <a:stretch>
                            <a:fillRect/>
                          </a:stretch>
                        </pic:blipFill>
                        <pic:spPr>
                          <a:xfrm>
                            <a:off x="0" y="0"/>
                            <a:ext cx="685800" cy="828675"/>
                          </a:xfrm>
                          <a:prstGeom prst="rect">
                            <a:avLst/>
                          </a:prstGeom>
                          <a:noFill/>
                          <a:ln>
                            <a:noFill/>
                          </a:ln>
                        </pic:spPr>
                      </pic:pic>
                    </a:graphicData>
                  </a:graphic>
                </wp:anchor>
              </w:drawing>
            </w:r>
            <w:r>
              <w:rPr>
                <w:rFonts w:hint="eastAsia" w:ascii="宋体" w:hAnsi="宋体" w:eastAsia="宋体" w:cs="宋体"/>
                <w:i w:val="0"/>
                <w:iCs w:val="0"/>
                <w:color w:val="333333"/>
                <w:spacing w:val="-2"/>
                <w:kern w:val="0"/>
                <w:sz w:val="21"/>
                <w:szCs w:val="21"/>
                <w:u w:val="none"/>
                <w:lang w:val="en-US" w:eastAsia="zh-CN" w:bidi="ar"/>
              </w:rPr>
              <w:t>南韩高密度防刮纯白纱     （防刮纱）</w:t>
            </w:r>
          </w:p>
        </w:tc>
        <w:tc>
          <w:tcPr>
            <w:tcW w:w="13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lang w:val="en-US" w:eastAsia="zh-CN" w:bidi="ar"/>
              </w:rPr>
              <w:t>【面料成分及工艺】</w:t>
            </w:r>
            <w:r>
              <w:rPr>
                <w:rFonts w:hint="eastAsia" w:ascii="宋体" w:hAnsi="宋体" w:eastAsia="宋体" w:cs="宋体"/>
                <w:i w:val="0"/>
                <w:iCs w:val="0"/>
                <w:color w:val="333333"/>
                <w:spacing w:val="-2"/>
                <w:kern w:val="0"/>
                <w:sz w:val="21"/>
                <w:szCs w:val="21"/>
                <w:u w:val="none"/>
                <w:lang w:val="en-US" w:eastAsia="zh-CN" w:bidi="ar"/>
              </w:rPr>
              <w:br w:type="textWrapping"/>
            </w:r>
            <w:r>
              <w:rPr>
                <w:rFonts w:hint="eastAsia" w:ascii="宋体" w:hAnsi="宋体" w:eastAsia="宋体" w:cs="宋体"/>
                <w:i w:val="0"/>
                <w:iCs w:val="0"/>
                <w:color w:val="333333"/>
                <w:spacing w:val="-2"/>
                <w:kern w:val="0"/>
                <w:sz w:val="21"/>
                <w:szCs w:val="21"/>
                <w:u w:val="none"/>
                <w:lang w:val="en-US" w:eastAsia="zh-CN" w:bidi="ar"/>
              </w:rPr>
              <w:t>1.阻燃等级GB8624B1，柔顺，防刮耐磨，质保两年 2.窗户超高,2倍褶皱，对开. 3.幅宽2.8米                  4.环保—EO级</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2"/>
                <w:kern w:val="0"/>
                <w:sz w:val="22"/>
                <w:szCs w:val="22"/>
                <w:u w:val="none"/>
                <w:lang w:val="en-US" w:eastAsia="zh-CN" w:bidi="ar"/>
              </w:rPr>
              <w:t>39.8*3</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lang w:val="en-US" w:eastAsia="zh-CN" w:bidi="ar"/>
              </w:rPr>
              <w:t>米</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lang w:val="en-US" w:eastAsia="zh-CN" w:bidi="ar"/>
              </w:rPr>
              <w:t>91</w:t>
            </w:r>
          </w:p>
        </w:tc>
        <w:tc>
          <w:tcPr>
            <w:tcW w:w="54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333333"/>
                <w:sz w:val="21"/>
                <w:szCs w:val="21"/>
                <w:u w:val="none"/>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333333"/>
                <w:sz w:val="21"/>
                <w:szCs w:val="21"/>
                <w:u w:val="none"/>
              </w:rPr>
            </w:pPr>
          </w:p>
        </w:tc>
        <w:tc>
          <w:tcPr>
            <w:tcW w:w="64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lang w:val="en-US" w:eastAsia="zh-CN" w:bidi="ar"/>
              </w:rPr>
              <w:t>6</w:t>
            </w:r>
          </w:p>
        </w:tc>
        <w:tc>
          <w:tcPr>
            <w:tcW w:w="6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685800" cy="809625"/>
                  <wp:effectExtent l="0" t="0" r="0" b="0"/>
                  <wp:wrapNone/>
                  <wp:docPr id="20" name="Host_Control__1_SpCnt_15"/>
                  <wp:cNvGraphicFramePr/>
                  <a:graphic xmlns:a="http://schemas.openxmlformats.org/drawingml/2006/main">
                    <a:graphicData uri="http://schemas.openxmlformats.org/drawingml/2006/picture">
                      <pic:pic xmlns:pic="http://schemas.openxmlformats.org/drawingml/2006/picture">
                        <pic:nvPicPr>
                          <pic:cNvPr id="20" name="Host_Control__1_SpCnt_15"/>
                          <pic:cNvPicPr/>
                        </pic:nvPicPr>
                        <pic:blipFill>
                          <a:blip r:embed="rId13"/>
                          <a:stretch>
                            <a:fillRect/>
                          </a:stretch>
                        </pic:blipFill>
                        <pic:spPr>
                          <a:xfrm>
                            <a:off x="0" y="0"/>
                            <a:ext cx="685800" cy="809625"/>
                          </a:xfrm>
                          <a:prstGeom prst="rect">
                            <a:avLst/>
                          </a:prstGeom>
                          <a:noFill/>
                          <a:ln>
                            <a:noFill/>
                          </a:ln>
                        </pic:spPr>
                      </pic:pic>
                    </a:graphicData>
                  </a:graphic>
                </wp:anchor>
              </w:drawing>
            </w:r>
            <w:r>
              <w:rPr>
                <w:rFonts w:hint="eastAsia" w:ascii="宋体" w:hAnsi="宋体" w:eastAsia="宋体" w:cs="宋体"/>
                <w:i w:val="0"/>
                <w:iCs w:val="0"/>
                <w:color w:val="333333"/>
                <w:spacing w:val="-2"/>
                <w:kern w:val="0"/>
                <w:sz w:val="21"/>
                <w:szCs w:val="21"/>
                <w:u w:val="none"/>
                <w:lang w:val="en-US" w:eastAsia="zh-CN" w:bidi="ar"/>
              </w:rPr>
              <w:t xml:space="preserve"> 面料和纱超高接料加工</w:t>
            </w:r>
          </w:p>
        </w:tc>
        <w:tc>
          <w:tcPr>
            <w:tcW w:w="13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333333"/>
                <w:sz w:val="21"/>
                <w:szCs w:val="21"/>
                <w:u w:val="none"/>
              </w:rPr>
            </w:pP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2"/>
                <w:kern w:val="0"/>
                <w:sz w:val="22"/>
                <w:szCs w:val="22"/>
                <w:u w:val="none"/>
                <w:lang w:val="en-US" w:eastAsia="zh-CN" w:bidi="ar"/>
              </w:rPr>
              <w:t>37.5*0.5</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lang w:val="en-US" w:eastAsia="zh-CN" w:bidi="ar"/>
              </w:rPr>
              <w:t>米</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lang w:val="en-US" w:eastAsia="zh-CN" w:bidi="ar"/>
              </w:rPr>
              <w:t>160</w:t>
            </w:r>
          </w:p>
        </w:tc>
        <w:tc>
          <w:tcPr>
            <w:tcW w:w="54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333333"/>
                <w:sz w:val="21"/>
                <w:szCs w:val="21"/>
                <w:u w:val="none"/>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333333"/>
                <w:sz w:val="21"/>
                <w:szCs w:val="21"/>
                <w:u w:val="none"/>
              </w:rPr>
            </w:pPr>
          </w:p>
        </w:tc>
        <w:tc>
          <w:tcPr>
            <w:tcW w:w="64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lang w:val="en-US" w:eastAsia="zh-CN" w:bidi="ar"/>
              </w:rPr>
              <w:t>7</w:t>
            </w:r>
          </w:p>
        </w:tc>
        <w:tc>
          <w:tcPr>
            <w:tcW w:w="6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685800" cy="800100"/>
                  <wp:effectExtent l="0" t="0" r="0" b="0"/>
                  <wp:wrapNone/>
                  <wp:docPr id="16" name="Host_Control__1_SpCnt_16"/>
                  <wp:cNvGraphicFramePr/>
                  <a:graphic xmlns:a="http://schemas.openxmlformats.org/drawingml/2006/main">
                    <a:graphicData uri="http://schemas.openxmlformats.org/drawingml/2006/picture">
                      <pic:pic xmlns:pic="http://schemas.openxmlformats.org/drawingml/2006/picture">
                        <pic:nvPicPr>
                          <pic:cNvPr id="16" name="Host_Control__1_SpCnt_16"/>
                          <pic:cNvPicPr/>
                        </pic:nvPicPr>
                        <pic:blipFill>
                          <a:blip r:embed="rId13"/>
                          <a:stretch>
                            <a:fillRect/>
                          </a:stretch>
                        </pic:blipFill>
                        <pic:spPr>
                          <a:xfrm>
                            <a:off x="0" y="0"/>
                            <a:ext cx="685800" cy="800100"/>
                          </a:xfrm>
                          <a:prstGeom prst="rect">
                            <a:avLst/>
                          </a:prstGeom>
                          <a:noFill/>
                          <a:ln>
                            <a:noFill/>
                          </a:ln>
                        </pic:spPr>
                      </pic:pic>
                    </a:graphicData>
                  </a:graphic>
                </wp:anchor>
              </w:drawing>
            </w:r>
            <w:r>
              <w:rPr>
                <w:rFonts w:hint="eastAsia" w:ascii="宋体" w:hAnsi="宋体" w:eastAsia="宋体" w:cs="宋体"/>
                <w:i w:val="0"/>
                <w:iCs w:val="0"/>
                <w:color w:val="333333"/>
                <w:spacing w:val="-2"/>
                <w:kern w:val="0"/>
                <w:sz w:val="21"/>
                <w:szCs w:val="21"/>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685800" cy="800100"/>
                  <wp:effectExtent l="0" t="0" r="0" b="0"/>
                  <wp:wrapNone/>
                  <wp:docPr id="21" name="Host_Control__1_SpCnt_17"/>
                  <wp:cNvGraphicFramePr/>
                  <a:graphic xmlns:a="http://schemas.openxmlformats.org/drawingml/2006/main">
                    <a:graphicData uri="http://schemas.openxmlformats.org/drawingml/2006/picture">
                      <pic:pic xmlns:pic="http://schemas.openxmlformats.org/drawingml/2006/picture">
                        <pic:nvPicPr>
                          <pic:cNvPr id="21" name="Host_Control__1_SpCnt_17"/>
                          <pic:cNvPicPr/>
                        </pic:nvPicPr>
                        <pic:blipFill>
                          <a:blip r:embed="rId13"/>
                          <a:stretch>
                            <a:fillRect/>
                          </a:stretch>
                        </pic:blipFill>
                        <pic:spPr>
                          <a:xfrm>
                            <a:off x="0" y="0"/>
                            <a:ext cx="685800" cy="800100"/>
                          </a:xfrm>
                          <a:prstGeom prst="rect">
                            <a:avLst/>
                          </a:prstGeom>
                          <a:noFill/>
                          <a:ln>
                            <a:noFill/>
                          </a:ln>
                        </pic:spPr>
                      </pic:pic>
                    </a:graphicData>
                  </a:graphic>
                </wp:anchor>
              </w:drawing>
            </w:r>
            <w:r>
              <w:rPr>
                <w:rFonts w:hint="eastAsia" w:ascii="宋体" w:hAnsi="宋体" w:eastAsia="宋体" w:cs="宋体"/>
                <w:i w:val="0"/>
                <w:iCs w:val="0"/>
                <w:color w:val="333333"/>
                <w:spacing w:val="-2"/>
                <w:kern w:val="0"/>
                <w:sz w:val="21"/>
                <w:szCs w:val="21"/>
                <w:u w:val="none"/>
                <w:lang w:val="en-US" w:eastAsia="zh-CN" w:bidi="ar"/>
              </w:rPr>
              <w:t xml:space="preserve"> 所有区域：  辅料（布带和挂钩）</w:t>
            </w:r>
          </w:p>
        </w:tc>
        <w:tc>
          <w:tcPr>
            <w:tcW w:w="13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333333"/>
                <w:sz w:val="21"/>
                <w:szCs w:val="21"/>
                <w:u w:val="none"/>
              </w:rPr>
            </w:pP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2"/>
                <w:kern w:val="0"/>
                <w:sz w:val="22"/>
                <w:szCs w:val="22"/>
                <w:u w:val="none"/>
                <w:lang w:val="en-US" w:eastAsia="zh-CN" w:bidi="ar"/>
              </w:rPr>
              <w:t>0.12</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lang w:val="en-US" w:eastAsia="zh-CN" w:bidi="ar"/>
              </w:rPr>
              <w:t>米</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lang w:val="en-US" w:eastAsia="zh-CN" w:bidi="ar"/>
              </w:rPr>
              <w:t>160</w:t>
            </w:r>
          </w:p>
        </w:tc>
        <w:tc>
          <w:tcPr>
            <w:tcW w:w="54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333333"/>
                <w:sz w:val="21"/>
                <w:szCs w:val="21"/>
                <w:u w:val="none"/>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333333"/>
                <w:sz w:val="21"/>
                <w:szCs w:val="21"/>
                <w:u w:val="none"/>
              </w:rPr>
            </w:pPr>
          </w:p>
        </w:tc>
        <w:tc>
          <w:tcPr>
            <w:tcW w:w="64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lang w:val="en-US" w:eastAsia="zh-CN" w:bidi="ar"/>
              </w:rPr>
              <w:t>8</w:t>
            </w:r>
          </w:p>
        </w:tc>
        <w:tc>
          <w:tcPr>
            <w:tcW w:w="6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685800" cy="628650"/>
                  <wp:effectExtent l="0" t="0" r="0" b="0"/>
                  <wp:wrapNone/>
                  <wp:docPr id="17" name="Host_Control__1_SpCnt_18"/>
                  <wp:cNvGraphicFramePr/>
                  <a:graphic xmlns:a="http://schemas.openxmlformats.org/drawingml/2006/main">
                    <a:graphicData uri="http://schemas.openxmlformats.org/drawingml/2006/picture">
                      <pic:pic xmlns:pic="http://schemas.openxmlformats.org/drawingml/2006/picture">
                        <pic:nvPicPr>
                          <pic:cNvPr id="17" name="Host_Control__1_SpCnt_18"/>
                          <pic:cNvPicPr/>
                        </pic:nvPicPr>
                        <pic:blipFill>
                          <a:blip r:embed="rId13"/>
                          <a:stretch>
                            <a:fillRect/>
                          </a:stretch>
                        </pic:blipFill>
                        <pic:spPr>
                          <a:xfrm>
                            <a:off x="0" y="0"/>
                            <a:ext cx="685800" cy="628650"/>
                          </a:xfrm>
                          <a:prstGeom prst="rect">
                            <a:avLst/>
                          </a:prstGeom>
                          <a:noFill/>
                          <a:ln>
                            <a:noFill/>
                          </a:ln>
                        </pic:spPr>
                      </pic:pic>
                    </a:graphicData>
                  </a:graphic>
                </wp:anchor>
              </w:drawing>
            </w:r>
            <w:r>
              <w:rPr>
                <w:rFonts w:hint="eastAsia" w:ascii="宋体" w:hAnsi="宋体" w:eastAsia="宋体" w:cs="宋体"/>
                <w:i w:val="0"/>
                <w:iCs w:val="0"/>
                <w:color w:val="333333"/>
                <w:spacing w:val="-2"/>
                <w:kern w:val="0"/>
                <w:sz w:val="21"/>
                <w:szCs w:val="21"/>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685800" cy="628650"/>
                  <wp:effectExtent l="0" t="0" r="0" b="0"/>
                  <wp:wrapNone/>
                  <wp:docPr id="19" name="Host_Control__1_SpCnt_19"/>
                  <wp:cNvGraphicFramePr/>
                  <a:graphic xmlns:a="http://schemas.openxmlformats.org/drawingml/2006/main">
                    <a:graphicData uri="http://schemas.openxmlformats.org/drawingml/2006/picture">
                      <pic:pic xmlns:pic="http://schemas.openxmlformats.org/drawingml/2006/picture">
                        <pic:nvPicPr>
                          <pic:cNvPr id="19" name="Host_Control__1_SpCnt_19"/>
                          <pic:cNvPicPr/>
                        </pic:nvPicPr>
                        <pic:blipFill>
                          <a:blip r:embed="rId13"/>
                          <a:stretch>
                            <a:fillRect/>
                          </a:stretch>
                        </pic:blipFill>
                        <pic:spPr>
                          <a:xfrm>
                            <a:off x="0" y="0"/>
                            <a:ext cx="685800" cy="628650"/>
                          </a:xfrm>
                          <a:prstGeom prst="rect">
                            <a:avLst/>
                          </a:prstGeom>
                          <a:noFill/>
                          <a:ln>
                            <a:noFill/>
                          </a:ln>
                        </pic:spPr>
                      </pic:pic>
                    </a:graphicData>
                  </a:graphic>
                </wp:anchor>
              </w:drawing>
            </w:r>
            <w:r>
              <w:rPr>
                <w:rFonts w:hint="eastAsia" w:ascii="宋体" w:hAnsi="宋体" w:eastAsia="宋体" w:cs="宋体"/>
                <w:i w:val="0"/>
                <w:iCs w:val="0"/>
                <w:color w:val="333333"/>
                <w:spacing w:val="-2"/>
                <w:kern w:val="0"/>
                <w:sz w:val="21"/>
                <w:szCs w:val="21"/>
                <w:u w:val="none"/>
                <w:lang w:val="en-US" w:eastAsia="zh-CN" w:bidi="ar"/>
              </w:rPr>
              <w:t>轨道铝合金滑轨</w:t>
            </w:r>
          </w:p>
        </w:tc>
        <w:tc>
          <w:tcPr>
            <w:tcW w:w="13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lang w:val="en-US" w:eastAsia="zh-CN" w:bidi="ar"/>
              </w:rPr>
              <w:t>【成分及工艺】</w:t>
            </w:r>
            <w:r>
              <w:rPr>
                <w:rFonts w:hint="eastAsia" w:ascii="宋体" w:hAnsi="宋体" w:eastAsia="宋体" w:cs="宋体"/>
                <w:i w:val="0"/>
                <w:iCs w:val="0"/>
                <w:color w:val="333333"/>
                <w:spacing w:val="-2"/>
                <w:kern w:val="0"/>
                <w:sz w:val="21"/>
                <w:szCs w:val="21"/>
                <w:u w:val="none"/>
                <w:lang w:val="en-US" w:eastAsia="zh-CN" w:bidi="ar"/>
              </w:rPr>
              <w:br w:type="textWrapping"/>
            </w:r>
            <w:r>
              <w:rPr>
                <w:rFonts w:hint="eastAsia" w:ascii="宋体" w:hAnsi="宋体" w:eastAsia="宋体" w:cs="宋体"/>
                <w:i w:val="0"/>
                <w:iCs w:val="0"/>
                <w:color w:val="333333"/>
                <w:spacing w:val="-2"/>
                <w:kern w:val="0"/>
                <w:sz w:val="21"/>
                <w:szCs w:val="21"/>
                <w:u w:val="none"/>
                <w:lang w:val="en-US" w:eastAsia="zh-CN" w:bidi="ar"/>
              </w:rPr>
              <w:t>1.硬度弯度坚固，铝合金釉面工艺，质保两年 2.顶装</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2"/>
                <w:kern w:val="0"/>
                <w:sz w:val="22"/>
                <w:szCs w:val="22"/>
                <w:u w:val="none"/>
                <w:lang w:val="en-US" w:eastAsia="zh-CN" w:bidi="ar"/>
              </w:rPr>
              <w:t>0.06</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lang w:val="en-US" w:eastAsia="zh-CN" w:bidi="ar"/>
              </w:rPr>
              <w:t>米</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lang w:val="en-US" w:eastAsia="zh-CN" w:bidi="ar"/>
              </w:rPr>
              <w:t>79.6</w:t>
            </w:r>
          </w:p>
        </w:tc>
        <w:tc>
          <w:tcPr>
            <w:tcW w:w="54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333333"/>
                <w:sz w:val="21"/>
                <w:szCs w:val="21"/>
                <w:u w:val="none"/>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333333"/>
                <w:sz w:val="21"/>
                <w:szCs w:val="21"/>
                <w:u w:val="none"/>
              </w:rPr>
            </w:pPr>
          </w:p>
        </w:tc>
        <w:tc>
          <w:tcPr>
            <w:tcW w:w="64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lang w:val="en-US" w:eastAsia="zh-CN" w:bidi="ar"/>
              </w:rPr>
              <w:t>9</w:t>
            </w:r>
          </w:p>
        </w:tc>
        <w:tc>
          <w:tcPr>
            <w:tcW w:w="6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lang w:val="en-US" w:eastAsia="zh-CN" w:bidi="ar"/>
              </w:rPr>
              <w:t>高温定型杀菌工艺</w:t>
            </w:r>
          </w:p>
        </w:tc>
        <w:tc>
          <w:tcPr>
            <w:tcW w:w="13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333333"/>
                <w:sz w:val="21"/>
                <w:szCs w:val="21"/>
                <w:u w:val="none"/>
              </w:rPr>
            </w:pP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2"/>
                <w:kern w:val="0"/>
                <w:sz w:val="22"/>
                <w:szCs w:val="22"/>
                <w:u w:val="none"/>
                <w:lang w:val="en-US" w:eastAsia="zh-CN" w:bidi="ar"/>
              </w:rPr>
              <w:t>75</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lang w:val="en-US" w:eastAsia="zh-CN" w:bidi="ar"/>
              </w:rPr>
              <w:t>米</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spacing w:val="-2"/>
                <w:kern w:val="0"/>
                <w:sz w:val="21"/>
                <w:szCs w:val="21"/>
                <w:u w:val="none"/>
                <w:lang w:val="en-US" w:eastAsia="zh-CN" w:bidi="ar"/>
              </w:rPr>
              <w:t>75</w:t>
            </w:r>
          </w:p>
        </w:tc>
        <w:tc>
          <w:tcPr>
            <w:tcW w:w="54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333333"/>
                <w:sz w:val="21"/>
                <w:szCs w:val="21"/>
                <w:u w:val="none"/>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333333"/>
                <w:sz w:val="21"/>
                <w:szCs w:val="21"/>
                <w:u w:val="none"/>
              </w:rPr>
            </w:pPr>
          </w:p>
        </w:tc>
        <w:tc>
          <w:tcPr>
            <w:tcW w:w="64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333333"/>
                <w:sz w:val="21"/>
                <w:szCs w:val="21"/>
                <w:u w:val="none"/>
              </w:rPr>
            </w:pPr>
          </w:p>
        </w:tc>
      </w:tr>
    </w:tbl>
    <w:p>
      <w:pPr>
        <w:jc w:val="center"/>
        <w:rPr>
          <w:rFonts w:hint="eastAsia" w:ascii="宋体" w:hAnsi="宋体" w:cs="宋体"/>
          <w:b/>
          <w:highlight w:val="none"/>
        </w:rPr>
      </w:pPr>
    </w:p>
    <w:p>
      <w:pPr>
        <w:jc w:val="left"/>
        <w:rPr>
          <w:rFonts w:hint="eastAsia" w:ascii="宋体" w:hAnsi="宋体" w:cs="宋体"/>
          <w:color w:val="auto"/>
          <w:szCs w:val="21"/>
          <w:highlight w:val="none"/>
          <w:lang w:val="en-US" w:eastAsia="zh-CN"/>
        </w:rPr>
      </w:pP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工程量清单计量规则：按照重庆市交通委员会2016年4月11日发布的《公路工程工程量清单及计量规范》渝内字【2016】009号执行。</w:t>
      </w: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rPr>
          <w:rFonts w:hint="eastAsia" w:ascii="宋体" w:hAnsi="宋体" w:cs="宋体"/>
          <w:b/>
          <w:highlight w:val="none"/>
        </w:rPr>
      </w:pPr>
    </w:p>
    <w:p>
      <w:pPr>
        <w:jc w:val="center"/>
        <w:rPr>
          <w:rFonts w:hint="eastAsia" w:ascii="宋体" w:hAnsi="宋体" w:cs="宋体"/>
          <w:b/>
          <w:highlight w:val="none"/>
        </w:rPr>
        <w:sectPr>
          <w:pgSz w:w="11906" w:h="16838"/>
          <w:pgMar w:top="1440" w:right="1800" w:bottom="1440" w:left="1800" w:header="851" w:footer="992" w:gutter="0"/>
          <w:cols w:space="720" w:num="1"/>
          <w:titlePg/>
          <w:docGrid w:type="lines" w:linePitch="312" w:charSpace="0"/>
        </w:sectPr>
      </w:pPr>
    </w:p>
    <w:p>
      <w:pPr>
        <w:rPr>
          <w:rFonts w:hint="eastAsia" w:ascii="宋体" w:hAnsi="宋体" w:cs="宋体"/>
          <w:b/>
          <w:highlight w:val="none"/>
        </w:rPr>
      </w:pPr>
    </w:p>
    <w:p>
      <w:pPr>
        <w:jc w:val="center"/>
        <w:rPr>
          <w:rFonts w:hint="eastAsia" w:ascii="宋体" w:hAnsi="宋体" w:cs="宋体"/>
          <w:b/>
          <w:highlight w:val="none"/>
        </w:rPr>
      </w:pPr>
    </w:p>
    <w:p>
      <w:pPr>
        <w:pStyle w:val="3"/>
        <w:spacing w:before="0" w:after="0" w:line="360" w:lineRule="auto"/>
        <w:jc w:val="center"/>
        <w:rPr>
          <w:rFonts w:hint="eastAsia" w:ascii="宋体" w:hAnsi="宋体" w:cs="宋体"/>
          <w:highlight w:val="none"/>
        </w:rPr>
      </w:pPr>
      <w:bookmarkStart w:id="159" w:name="_Toc503951042"/>
      <w:bookmarkStart w:id="160" w:name="_Toc513633963"/>
      <w:bookmarkStart w:id="161" w:name="_Toc12440"/>
      <w:bookmarkStart w:id="162" w:name="_Toc447827048"/>
      <w:bookmarkStart w:id="163" w:name="_Toc2000410"/>
      <w:bookmarkStart w:id="164" w:name="_Toc514858706"/>
      <w:r>
        <w:rPr>
          <w:rFonts w:hint="eastAsia" w:ascii="宋体" w:hAnsi="宋体" w:cs="宋体"/>
          <w:highlight w:val="none"/>
        </w:rPr>
        <w:t>第六章  图  纸</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pPr>
        <w:jc w:val="center"/>
        <w:rPr>
          <w:rFonts w:hint="eastAsia" w:ascii="宋体" w:hAnsi="宋体" w:cs="宋体"/>
          <w:b/>
          <w:highlight w:val="none"/>
        </w:rPr>
      </w:pPr>
      <w:r>
        <w:rPr>
          <w:rFonts w:hint="eastAsia" w:ascii="宋体" w:hAnsi="宋体" w:cs="宋体"/>
          <w:b/>
          <w:kern w:val="0"/>
          <w:sz w:val="24"/>
          <w:highlight w:val="none"/>
        </w:rPr>
        <w:t>详见竞争性比选文件附件。</w:t>
      </w:r>
    </w:p>
    <w:p>
      <w:pPr>
        <w:spacing w:line="400" w:lineRule="exact"/>
        <w:rPr>
          <w:rFonts w:hint="eastAsia" w:ascii="宋体" w:hAnsi="宋体" w:cs="宋体"/>
          <w:highlight w:val="none"/>
        </w:rPr>
      </w:pPr>
      <w:r>
        <w:rPr>
          <w:rFonts w:hint="eastAsia" w:ascii="宋体" w:hAnsi="宋体" w:cs="宋体"/>
          <w:highlight w:val="none"/>
        </w:rPr>
        <w:br w:type="page"/>
      </w:r>
      <w:bookmarkStart w:id="165" w:name="_Toc152042574"/>
      <w:bookmarkStart w:id="166" w:name="_Toc152045785"/>
      <w:bookmarkStart w:id="167" w:name="_Toc144974854"/>
    </w:p>
    <w:p>
      <w:pPr>
        <w:pStyle w:val="3"/>
        <w:spacing w:before="0" w:after="0" w:line="360" w:lineRule="auto"/>
        <w:jc w:val="center"/>
        <w:rPr>
          <w:rFonts w:hint="eastAsia" w:ascii="宋体" w:hAnsi="宋体" w:cs="宋体"/>
          <w:highlight w:val="none"/>
        </w:rPr>
      </w:pPr>
      <w:bookmarkStart w:id="168" w:name="_Toc246996353"/>
      <w:bookmarkStart w:id="169" w:name="_Toc179632804"/>
      <w:bookmarkStart w:id="170" w:name="_Toc503951043"/>
      <w:bookmarkStart w:id="171" w:name="_Toc246997096"/>
      <w:bookmarkStart w:id="172" w:name="_Toc514858707"/>
      <w:bookmarkStart w:id="173" w:name="_Toc2000411"/>
      <w:bookmarkStart w:id="174" w:name="_Toc247085870"/>
      <w:bookmarkStart w:id="175" w:name="_Toc447827049"/>
      <w:bookmarkStart w:id="176" w:name="_Toc513633964"/>
      <w:bookmarkStart w:id="177" w:name="_Toc10887"/>
      <w:r>
        <w:rPr>
          <w:rFonts w:hint="eastAsia" w:ascii="宋体" w:hAnsi="宋体" w:cs="宋体"/>
          <w:highlight w:val="none"/>
        </w:rPr>
        <w:t>第七章  技术标准和工作要求</w:t>
      </w:r>
      <w:bookmarkEnd w:id="165"/>
      <w:bookmarkEnd w:id="166"/>
      <w:bookmarkEnd w:id="167"/>
      <w:bookmarkEnd w:id="168"/>
      <w:bookmarkEnd w:id="169"/>
      <w:bookmarkEnd w:id="170"/>
      <w:bookmarkEnd w:id="171"/>
      <w:bookmarkEnd w:id="172"/>
      <w:bookmarkEnd w:id="173"/>
      <w:bookmarkEnd w:id="174"/>
      <w:bookmarkEnd w:id="175"/>
      <w:bookmarkEnd w:id="176"/>
      <w:bookmarkEnd w:id="177"/>
    </w:p>
    <w:bookmarkEnd w:id="134"/>
    <w:bookmarkEnd w:id="135"/>
    <w:bookmarkEnd w:id="136"/>
    <w:bookmarkEnd w:id="137"/>
    <w:bookmarkEnd w:id="138"/>
    <w:bookmarkEnd w:id="139"/>
    <w:bookmarkEnd w:id="140"/>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4"/>
          <w:highlight w:val="none"/>
          <w:lang w:val="en-US" w:eastAsia="zh-CN"/>
        </w:rPr>
      </w:pPr>
      <w:bookmarkStart w:id="178" w:name="_Toc12089"/>
      <w:bookmarkStart w:id="179" w:name="_Toc514430114"/>
      <w:bookmarkStart w:id="180" w:name="_Toc514858708"/>
      <w:bookmarkStart w:id="181" w:name="_Toc2000412"/>
      <w:bookmarkStart w:id="182" w:name="_Toc152045787"/>
      <w:bookmarkStart w:id="183" w:name="_Toc152042576"/>
      <w:bookmarkStart w:id="184" w:name="_Toc179632807"/>
      <w:bookmarkStart w:id="185" w:name="_Toc247085873"/>
      <w:bookmarkStart w:id="186" w:name="_Toc507320039"/>
      <w:bookmarkStart w:id="187" w:name="_Toc246996355"/>
      <w:bookmarkStart w:id="188" w:name="_Toc144974856"/>
      <w:bookmarkStart w:id="189" w:name="_Toc246997098"/>
      <w:r>
        <w:rPr>
          <w:rFonts w:hint="eastAsia"/>
          <w:sz w:val="24"/>
          <w:szCs w:val="24"/>
          <w:highlight w:val="none"/>
          <w:lang w:val="en-US" w:eastAsia="zh-CN"/>
        </w:rPr>
        <w:t>一、技术标准见图纸和清单说明</w:t>
      </w:r>
      <w:r>
        <w:rPr>
          <w:rFonts w:hint="eastAsia" w:ascii="宋体" w:hAnsi="宋体" w:cs="宋体"/>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二、工作要求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val="0"/>
          <w:bCs w:val="0"/>
          <w:sz w:val="21"/>
          <w:szCs w:val="21"/>
          <w:highlight w:val="none"/>
          <w:lang w:val="en-US" w:eastAsia="zh-CN"/>
        </w:rPr>
      </w:pPr>
      <w:r>
        <w:rPr>
          <w:rFonts w:hint="eastAsia" w:ascii="宋体" w:hAnsi="宋体" w:cs="宋体"/>
          <w:sz w:val="24"/>
          <w:szCs w:val="24"/>
          <w:highlight w:val="none"/>
          <w:lang w:val="en-US" w:eastAsia="zh-CN"/>
        </w:rPr>
        <w:t>1、</w:t>
      </w:r>
      <w:r>
        <w:rPr>
          <w:rFonts w:hint="eastAsia"/>
          <w:highlight w:val="none"/>
          <w:lang w:val="en-US" w:eastAsia="zh-CN"/>
        </w:rPr>
        <w:t>乙方</w:t>
      </w:r>
      <w:r>
        <w:rPr>
          <w:rFonts w:hint="eastAsia" w:ascii="宋体" w:hAnsi="宋体" w:cs="宋体"/>
          <w:b w:val="0"/>
          <w:bCs w:val="0"/>
          <w:sz w:val="21"/>
          <w:szCs w:val="21"/>
          <w:highlight w:val="none"/>
          <w:lang w:val="en-US" w:eastAsia="zh-CN"/>
        </w:rPr>
        <w:t>须严格按照国家行业标准、设计的要求进行材料供货及设备安装，甲方对所供货设备材料及安装工艺应严格按照相关的施工质量验收规范进行验收，乙方必须严格遵守相关规范，保证质量、功能合格，工艺美观，各项设备材料安装后功能试验都必须合格，并同时做好开工申请、进场报验、施工隐蔽、检验批、分部分项及其他相关施工资料、试验检测资料等资料收集及报审，确保质量达到国家标准及以上。对于施工中存在的质量问题、安全问题，一经提出，必须立即整改，拒不整改的话，甲方有权以违约通知书的形式进行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sz w:val="21"/>
          <w:szCs w:val="21"/>
          <w:highlight w:val="none"/>
          <w:lang w:val="en-US" w:eastAsia="zh-CN"/>
        </w:rPr>
      </w:pPr>
      <w:r>
        <w:rPr>
          <w:rFonts w:hint="default" w:ascii="宋体" w:hAnsi="宋体" w:cs="宋体"/>
          <w:b w:val="0"/>
          <w:bCs w:val="0"/>
          <w:sz w:val="21"/>
          <w:szCs w:val="21"/>
          <w:highlight w:val="none"/>
          <w:lang w:eastAsia="zh-CN"/>
        </w:rPr>
        <w:t xml:space="preserve"> </w:t>
      </w:r>
      <w:r>
        <w:rPr>
          <w:rFonts w:hint="default" w:ascii="宋体" w:hAnsi="宋体" w:cs="宋体"/>
          <w:b w:val="0"/>
          <w:bCs w:val="0"/>
          <w:sz w:val="21"/>
          <w:szCs w:val="21"/>
          <w:highlight w:val="none"/>
          <w:lang w:val="en-US" w:eastAsia="zh-CN"/>
        </w:rPr>
        <w:t xml:space="preserve">   </w:t>
      </w:r>
      <w:r>
        <w:rPr>
          <w:rFonts w:hint="eastAsia" w:ascii="宋体" w:hAnsi="宋体" w:cs="宋体"/>
          <w:b w:val="0"/>
          <w:bCs w:val="0"/>
          <w:sz w:val="21"/>
          <w:szCs w:val="21"/>
          <w:highlight w:val="none"/>
          <w:lang w:val="en-US" w:eastAsia="zh-CN"/>
        </w:rPr>
        <w:t>2、报价人提供的材料设备需</w:t>
      </w:r>
      <w:r>
        <w:rPr>
          <w:rFonts w:hint="default" w:ascii="宋体" w:hAnsi="宋体" w:cs="宋体"/>
          <w:b w:val="0"/>
          <w:bCs w:val="0"/>
          <w:sz w:val="21"/>
          <w:szCs w:val="21"/>
          <w:highlight w:val="none"/>
          <w:lang w:val="en-US" w:eastAsia="zh-CN"/>
        </w:rPr>
        <w:t>在进场前将样品提交给采购人确认，审核通过后才能在现场使用。如报价人提供的材料设备不满足采购人要求，报价人必须无条件更换。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highlight w:val="none"/>
          <w:lang w:val="en-US" w:eastAsia="zh-CN"/>
        </w:rPr>
      </w:pPr>
      <w:r>
        <w:rPr>
          <w:rFonts w:hint="eastAsia" w:ascii="宋体" w:hAnsi="宋体" w:cs="宋体"/>
          <w:highlight w:val="none"/>
          <w:lang w:val="en-US" w:eastAsia="zh-CN"/>
        </w:rPr>
        <w:t>3、乙方应根据采购人总体进度要求，统筹协调现场各专业施工进度以及设备材料到场计划。</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FF0000"/>
          <w:highlight w:val="none"/>
          <w:lang w:val="en-US" w:eastAsia="zh-CN"/>
        </w:rPr>
      </w:pPr>
      <w:r>
        <w:rPr>
          <w:rFonts w:hint="default" w:ascii="宋体" w:hAnsi="宋体" w:cs="宋体"/>
          <w:highlight w:val="none"/>
          <w:lang w:eastAsia="zh-CN"/>
        </w:rPr>
        <w:t>4</w:t>
      </w:r>
      <w:r>
        <w:rPr>
          <w:rFonts w:hint="eastAsia" w:ascii="宋体" w:hAnsi="宋体" w:cs="宋体"/>
          <w:highlight w:val="none"/>
          <w:lang w:val="en-US" w:eastAsia="zh-CN"/>
        </w:rPr>
        <w:t>、乙方</w:t>
      </w:r>
      <w:r>
        <w:rPr>
          <w:rFonts w:hint="default" w:ascii="宋体" w:hAnsi="宋体" w:cs="宋体"/>
          <w:highlight w:val="none"/>
          <w:lang w:eastAsia="zh-CN"/>
        </w:rPr>
        <w:t>在装修过程中使用的装修材料以及提供的家具等材料设备需满足《人造板及其制品甲醛释放量分级》（GB/T 39600-2021）中规</w:t>
      </w:r>
      <w:r>
        <w:rPr>
          <w:rFonts w:hint="default" w:ascii="宋体" w:hAnsi="宋体" w:cs="宋体"/>
          <w:color w:val="FF0000"/>
          <w:highlight w:val="none"/>
          <w:lang w:eastAsia="zh-CN"/>
        </w:rPr>
        <w:t>定的E0标准要求</w:t>
      </w:r>
      <w:r>
        <w:rPr>
          <w:rFonts w:hint="eastAsia" w:ascii="宋体" w:hAnsi="宋体" w:cs="宋体"/>
          <w:color w:val="FF000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highlight w:val="none"/>
        </w:rPr>
      </w:pPr>
      <w:r>
        <w:rPr>
          <w:rFonts w:hint="eastAsia" w:ascii="宋体" w:hAnsi="宋体" w:cs="宋体"/>
          <w:highlight w:val="none"/>
          <w:lang w:val="en-US" w:eastAsia="zh-CN"/>
        </w:rPr>
        <w:t>5、乙方在施工期间应积极配合甲方的安全文明施工及防疫工作，做到每日岗前安全教育，岗前防疫检查，检查健康码行程码及体温，并做好记录。新入场工人必须进行核酸检测及健康码行程码。</w:t>
      </w:r>
      <w:r>
        <w:rPr>
          <w:rFonts w:hint="eastAsia" w:ascii="宋体" w:hAnsi="宋体" w:cs="宋体"/>
          <w:highlight w:val="none"/>
        </w:rPr>
        <w:br w:type="page"/>
      </w:r>
      <w:bookmarkEnd w:id="178"/>
      <w:bookmarkEnd w:id="179"/>
      <w:bookmarkEnd w:id="180"/>
      <w:bookmarkEnd w:id="181"/>
      <w:bookmarkStart w:id="190" w:name="_Toc513633965"/>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highlight w:val="none"/>
        </w:rPr>
      </w:pPr>
    </w:p>
    <w:p>
      <w:pPr>
        <w:pStyle w:val="3"/>
        <w:spacing w:before="0" w:after="0" w:line="360" w:lineRule="auto"/>
        <w:jc w:val="center"/>
        <w:rPr>
          <w:rFonts w:hint="eastAsia" w:ascii="宋体" w:hAnsi="宋体" w:cs="宋体"/>
          <w:highlight w:val="none"/>
        </w:rPr>
      </w:pPr>
      <w:bookmarkStart w:id="191" w:name="_Toc514858709"/>
      <w:bookmarkStart w:id="192" w:name="_Toc2000413"/>
      <w:bookmarkStart w:id="193" w:name="_Toc24853"/>
      <w:r>
        <w:rPr>
          <w:rFonts w:hint="eastAsia" w:ascii="宋体" w:hAnsi="宋体" w:cs="宋体"/>
          <w:highlight w:val="none"/>
        </w:rPr>
        <w:t>第</w:t>
      </w:r>
      <w:r>
        <w:rPr>
          <w:rFonts w:hint="eastAsia" w:ascii="宋体" w:hAnsi="宋体" w:cs="宋体"/>
          <w:highlight w:val="none"/>
          <w:lang w:val="en-US" w:eastAsia="zh-CN"/>
        </w:rPr>
        <w:t>八</w:t>
      </w:r>
      <w:r>
        <w:rPr>
          <w:rFonts w:hint="eastAsia" w:ascii="宋体" w:hAnsi="宋体" w:cs="宋体"/>
          <w:highlight w:val="none"/>
        </w:rPr>
        <w:t>章  竞争性比选响应文件格式</w:t>
      </w:r>
      <w:bookmarkEnd w:id="190"/>
      <w:bookmarkEnd w:id="191"/>
      <w:bookmarkEnd w:id="192"/>
      <w:bookmarkEnd w:id="193"/>
    </w:p>
    <w:p>
      <w:pPr>
        <w:rPr>
          <w:rFonts w:hint="eastAsia" w:ascii="宋体" w:hAnsi="宋体" w:cs="宋体"/>
          <w:highlight w:val="none"/>
        </w:rPr>
      </w:pPr>
    </w:p>
    <w:p>
      <w:pPr>
        <w:rPr>
          <w:rFonts w:hint="eastAsia"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highlight w:val="none"/>
        </w:rPr>
      </w:pPr>
    </w:p>
    <w:p>
      <w:pPr>
        <w:jc w:val="center"/>
        <w:rPr>
          <w:rFonts w:hint="eastAsia" w:ascii="宋体" w:hAnsi="宋体" w:cs="宋体"/>
          <w:sz w:val="52"/>
          <w:szCs w:val="52"/>
          <w:highlight w:val="none"/>
          <w:u w:val="single"/>
        </w:rPr>
      </w:pPr>
      <w:bookmarkStart w:id="194" w:name="_Toc503971829"/>
      <w:bookmarkStart w:id="195" w:name="_Toc513633967"/>
      <w:bookmarkStart w:id="196" w:name="_Toc503951046"/>
      <w:bookmarkStart w:id="197" w:name="_Toc513646738"/>
      <w:bookmarkStart w:id="198" w:name="_Toc514858710"/>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194"/>
      <w:bookmarkEnd w:id="195"/>
      <w:bookmarkEnd w:id="196"/>
      <w:bookmarkEnd w:id="197"/>
      <w:bookmarkEnd w:id="198"/>
      <w:r>
        <w:rPr>
          <w:rFonts w:hint="eastAsia" w:ascii="宋体" w:hAnsi="宋体" w:cs="宋体"/>
          <w:sz w:val="52"/>
          <w:szCs w:val="52"/>
          <w:highlight w:val="none"/>
          <w:u w:val="single"/>
        </w:rPr>
        <w:t xml:space="preserve"> </w:t>
      </w:r>
    </w:p>
    <w:p>
      <w:pPr>
        <w:rPr>
          <w:rFonts w:hint="eastAsia" w:ascii="宋体" w:hAnsi="宋体" w:cs="宋体"/>
          <w:sz w:val="20"/>
          <w:szCs w:val="20"/>
          <w:highlight w:val="none"/>
        </w:rPr>
      </w:pPr>
    </w:p>
    <w:p>
      <w:pPr>
        <w:jc w:val="center"/>
        <w:rPr>
          <w:rFonts w:hint="eastAsia" w:ascii="宋体" w:hAnsi="宋体" w:cs="宋体"/>
          <w:sz w:val="44"/>
          <w:szCs w:val="44"/>
          <w:highlight w:val="none"/>
        </w:rPr>
      </w:pPr>
      <w:r>
        <w:rPr>
          <w:rFonts w:hint="eastAsia" w:ascii="宋体" w:hAnsi="宋体" w:cs="宋体"/>
          <w:sz w:val="44"/>
          <w:szCs w:val="44"/>
          <w:highlight w:val="none"/>
        </w:rPr>
        <w:t xml:space="preserve"> </w:t>
      </w: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jc w:val="center"/>
        <w:rPr>
          <w:rFonts w:hint="eastAsia"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hint="eastAsia" w:ascii="宋体" w:hAnsi="宋体" w:cs="宋体"/>
          <w:b/>
          <w:sz w:val="32"/>
          <w:szCs w:val="32"/>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pStyle w:val="28"/>
        <w:rPr>
          <w:rFonts w:hint="eastAsia"/>
          <w:highlight w:val="none"/>
        </w:rPr>
      </w:pPr>
    </w:p>
    <w:p>
      <w:pPr>
        <w:rPr>
          <w:rFonts w:hint="eastAsia"/>
          <w:highlight w:val="none"/>
        </w:rPr>
      </w:pPr>
    </w:p>
    <w:p>
      <w:pPr>
        <w:pStyle w:val="28"/>
        <w:rPr>
          <w:rFonts w:hint="eastAsia"/>
          <w:highlight w:val="none"/>
        </w:rPr>
      </w:pPr>
    </w:p>
    <w:p>
      <w:pPr>
        <w:rPr>
          <w:rFonts w:hint="eastAsia"/>
          <w:highlight w:val="none"/>
        </w:rPr>
      </w:pPr>
    </w:p>
    <w:p>
      <w:pPr>
        <w:pStyle w:val="28"/>
        <w:rPr>
          <w:rFonts w:hint="eastAsia"/>
          <w:highlight w:val="none"/>
        </w:rPr>
      </w:pPr>
    </w:p>
    <w:p>
      <w:pPr>
        <w:jc w:val="center"/>
        <w:rPr>
          <w:rFonts w:hint="eastAsia"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hint="eastAsia"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hint="eastAsia"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pStyle w:val="2"/>
        <w:jc w:val="center"/>
        <w:rPr>
          <w:rFonts w:hint="eastAsia" w:ascii="宋体" w:hAnsi="宋体" w:eastAsia="宋体" w:cs="宋体"/>
          <w:highlight w:val="none"/>
        </w:rPr>
      </w:pPr>
      <w:bookmarkStart w:id="199" w:name="_Toc5459"/>
      <w:bookmarkStart w:id="200" w:name="_Toc1368"/>
      <w:bookmarkStart w:id="201" w:name="_Toc11329273"/>
      <w:bookmarkStart w:id="202" w:name="_Toc28780"/>
      <w:r>
        <w:rPr>
          <w:rFonts w:hint="eastAsia" w:ascii="宋体" w:hAnsi="宋体" w:eastAsia="宋体" w:cs="宋体"/>
          <w:highlight w:val="none"/>
        </w:rPr>
        <w:t>目    录</w:t>
      </w:r>
      <w:bookmarkEnd w:id="182"/>
      <w:bookmarkEnd w:id="183"/>
      <w:bookmarkEnd w:id="184"/>
      <w:bookmarkEnd w:id="185"/>
      <w:bookmarkEnd w:id="186"/>
      <w:bookmarkEnd w:id="187"/>
      <w:bookmarkEnd w:id="188"/>
      <w:bookmarkEnd w:id="189"/>
      <w:bookmarkEnd w:id="199"/>
      <w:bookmarkEnd w:id="200"/>
      <w:bookmarkEnd w:id="201"/>
      <w:bookmarkEnd w:id="202"/>
    </w:p>
    <w:p>
      <w:pPr>
        <w:numPr>
          <w:ilvl w:val="0"/>
          <w:numId w:val="4"/>
        </w:num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竞争性响应声明书</w:t>
      </w:r>
    </w:p>
    <w:p>
      <w:pPr>
        <w:numPr>
          <w:ilvl w:val="0"/>
          <w:numId w:val="4"/>
        </w:numPr>
        <w:spacing w:line="400" w:lineRule="exact"/>
        <w:rPr>
          <w:rFonts w:hint="default" w:ascii="宋体" w:hAnsi="宋体" w:cs="宋体"/>
          <w:highlight w:val="none"/>
          <w:lang w:val="en-US" w:eastAsia="zh-CN"/>
        </w:rPr>
      </w:pPr>
      <w:r>
        <w:rPr>
          <w:rFonts w:hint="default" w:ascii="宋体" w:hAnsi="宋体" w:cs="宋体"/>
          <w:highlight w:val="none"/>
          <w:lang w:val="en-US" w:eastAsia="zh-CN"/>
        </w:rPr>
        <w:t>法定代表人身份证明或法定代表人授权委托书</w:t>
      </w:r>
    </w:p>
    <w:p>
      <w:pPr>
        <w:spacing w:line="400" w:lineRule="exact"/>
        <w:rPr>
          <w:rFonts w:hint="default" w:ascii="宋体" w:hAnsi="宋体" w:eastAsia="宋体" w:cs="宋体"/>
          <w:highlight w:val="none"/>
          <w:lang w:val="en-US" w:eastAsia="zh-CN"/>
        </w:rPr>
      </w:pPr>
      <w:r>
        <w:rPr>
          <w:rFonts w:hint="eastAsia" w:ascii="宋体" w:hAnsi="宋体" w:cs="宋体"/>
          <w:highlight w:val="none"/>
          <w:lang w:val="en-US" w:eastAsia="zh-CN"/>
        </w:rPr>
        <w:t>三</w:t>
      </w:r>
      <w:r>
        <w:rPr>
          <w:rFonts w:hint="eastAsia" w:ascii="宋体" w:hAnsi="宋体" w:cs="宋体"/>
          <w:highlight w:val="none"/>
        </w:rPr>
        <w:t>、</w:t>
      </w:r>
      <w:r>
        <w:rPr>
          <w:rFonts w:hint="eastAsia" w:ascii="宋体" w:hAnsi="宋体" w:cs="宋体"/>
          <w:highlight w:val="none"/>
          <w:lang w:val="en-US" w:eastAsia="zh-CN"/>
        </w:rPr>
        <w:t>报价一览表</w:t>
      </w:r>
    </w:p>
    <w:p>
      <w:pPr>
        <w:spacing w:line="400" w:lineRule="exact"/>
        <w:rPr>
          <w:rFonts w:hint="eastAsia" w:ascii="宋体" w:hAnsi="宋体" w:cs="宋体"/>
          <w:highlight w:val="none"/>
        </w:rPr>
      </w:pPr>
      <w:r>
        <w:rPr>
          <w:rFonts w:hint="eastAsia" w:ascii="宋体" w:hAnsi="宋体" w:cs="宋体"/>
          <w:highlight w:val="none"/>
          <w:lang w:val="en-US" w:eastAsia="zh-CN"/>
        </w:rPr>
        <w:t>四</w:t>
      </w:r>
      <w:r>
        <w:rPr>
          <w:rFonts w:hint="eastAsia" w:ascii="宋体" w:hAnsi="宋体" w:cs="宋体"/>
          <w:highlight w:val="none"/>
        </w:rPr>
        <w:t>、资格审查资料</w:t>
      </w:r>
    </w:p>
    <w:p>
      <w:pPr>
        <w:spacing w:line="400" w:lineRule="exact"/>
        <w:rPr>
          <w:rFonts w:hint="default" w:ascii="宋体" w:hAnsi="宋体" w:eastAsia="宋体" w:cs="宋体"/>
          <w:szCs w:val="21"/>
          <w:highlight w:val="none"/>
          <w:lang w:val="en-US" w:eastAsia="zh-CN"/>
        </w:rPr>
      </w:pPr>
      <w:r>
        <w:rPr>
          <w:rFonts w:hint="eastAsia" w:ascii="宋体" w:hAnsi="宋体" w:cs="宋体"/>
          <w:highlight w:val="none"/>
          <w:lang w:val="en-US" w:eastAsia="zh-CN"/>
        </w:rPr>
        <w:t>五</w:t>
      </w:r>
      <w:r>
        <w:rPr>
          <w:rFonts w:hint="eastAsia" w:ascii="宋体" w:hAnsi="宋体" w:cs="宋体"/>
          <w:highlight w:val="none"/>
        </w:rPr>
        <w:t>、</w:t>
      </w:r>
      <w:r>
        <w:rPr>
          <w:rFonts w:hint="eastAsia" w:ascii="宋体" w:hAnsi="宋体" w:cs="宋体"/>
          <w:szCs w:val="21"/>
          <w:highlight w:val="none"/>
        </w:rPr>
        <w:t>报价人须知前附表规定</w:t>
      </w:r>
      <w:r>
        <w:rPr>
          <w:rFonts w:hint="eastAsia" w:ascii="宋体" w:hAnsi="宋体" w:cs="宋体"/>
          <w:szCs w:val="21"/>
          <w:highlight w:val="none"/>
          <w:lang w:val="en-US" w:eastAsia="zh-CN"/>
        </w:rPr>
        <w:t>要求的资料</w:t>
      </w:r>
    </w:p>
    <w:p>
      <w:pPr>
        <w:spacing w:line="400" w:lineRule="exact"/>
        <w:rPr>
          <w:rFonts w:hint="eastAsia" w:ascii="宋体" w:hAnsi="宋体" w:cs="宋体"/>
          <w:szCs w:val="21"/>
          <w:highlight w:val="none"/>
        </w:rPr>
      </w:pPr>
      <w:r>
        <w:rPr>
          <w:rFonts w:hint="eastAsia" w:ascii="宋体" w:hAnsi="宋体" w:cs="宋体"/>
          <w:szCs w:val="21"/>
          <w:highlight w:val="none"/>
          <w:lang w:val="en-US" w:eastAsia="zh-CN"/>
        </w:rPr>
        <w:t>六、报价人基本信息及</w:t>
      </w:r>
      <w:r>
        <w:rPr>
          <w:rFonts w:hint="eastAsia" w:ascii="宋体" w:hAnsi="宋体" w:cs="宋体"/>
          <w:szCs w:val="21"/>
          <w:highlight w:val="none"/>
        </w:rPr>
        <w:t>其他材料</w:t>
      </w:r>
    </w:p>
    <w:p>
      <w:pPr>
        <w:pStyle w:val="28"/>
        <w:rPr>
          <w:rFonts w:hint="eastAsia" w:ascii="宋体" w:hAnsi="宋体" w:eastAsia="宋体" w:cs="宋体"/>
          <w:b w:val="0"/>
          <w:bCs w:val="0"/>
          <w:caps w:val="0"/>
          <w:kern w:val="2"/>
          <w:sz w:val="21"/>
          <w:szCs w:val="21"/>
          <w:highlight w:val="none"/>
          <w:lang w:val="en-US" w:eastAsia="zh-CN" w:bidi="ar-SA"/>
        </w:rPr>
      </w:pPr>
      <w:r>
        <w:rPr>
          <w:rFonts w:hint="eastAsia" w:ascii="宋体" w:hAnsi="宋体" w:cs="宋体"/>
          <w:b w:val="0"/>
          <w:bCs w:val="0"/>
          <w:caps w:val="0"/>
          <w:kern w:val="2"/>
          <w:sz w:val="21"/>
          <w:szCs w:val="21"/>
          <w:highlight w:val="none"/>
          <w:lang w:val="en-US" w:eastAsia="zh-CN" w:bidi="ar-SA"/>
        </w:rPr>
        <w:t>七、</w:t>
      </w:r>
      <w:r>
        <w:rPr>
          <w:rFonts w:hint="eastAsia" w:ascii="宋体" w:hAnsi="宋体" w:eastAsia="宋体" w:cs="宋体"/>
          <w:b w:val="0"/>
          <w:bCs w:val="0"/>
          <w:caps w:val="0"/>
          <w:kern w:val="2"/>
          <w:sz w:val="21"/>
          <w:szCs w:val="21"/>
          <w:highlight w:val="none"/>
          <w:lang w:val="en-US" w:eastAsia="zh-CN" w:bidi="ar-SA"/>
        </w:rPr>
        <w:t>现场安全负责人承诺书</w:t>
      </w:r>
    </w:p>
    <w:p>
      <w:pPr>
        <w:spacing w:line="400" w:lineRule="exact"/>
        <w:rPr>
          <w:rFonts w:hint="eastAsia" w:ascii="宋体" w:hAnsi="宋体" w:cs="宋体"/>
          <w:highlight w:val="none"/>
        </w:rPr>
      </w:pPr>
      <w:r>
        <w:rPr>
          <w:rFonts w:hint="eastAsia" w:ascii="宋体" w:hAnsi="宋体" w:cs="宋体"/>
          <w:highlight w:val="none"/>
        </w:rPr>
        <w:t xml:space="preserve"> </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r>
        <w:rPr>
          <w:rFonts w:ascii="宋体" w:hAnsi="宋体" w:cs="宋体"/>
          <w:highlight w:val="none"/>
        </w:rPr>
        <w:br w:type="page"/>
      </w:r>
    </w:p>
    <w:p>
      <w:pPr>
        <w:pStyle w:val="2"/>
        <w:spacing w:before="0" w:after="0" w:line="360" w:lineRule="auto"/>
        <w:jc w:val="center"/>
        <w:rPr>
          <w:rFonts w:hint="eastAsia" w:ascii="宋体" w:hAnsi="宋体" w:eastAsia="宋体" w:cs="宋体"/>
          <w:sz w:val="28"/>
          <w:highlight w:val="none"/>
        </w:rPr>
      </w:pPr>
      <w:bookmarkStart w:id="203" w:name="_Toc11329274"/>
      <w:bookmarkStart w:id="204" w:name="_Toc8870"/>
      <w:bookmarkStart w:id="205" w:name="_Toc15863"/>
      <w:bookmarkStart w:id="206" w:name="_Toc25874"/>
      <w:bookmarkStart w:id="207" w:name="_Toc29547"/>
      <w:bookmarkStart w:id="208" w:name="_Toc503951048"/>
      <w:bookmarkStart w:id="209" w:name="_Toc447827053"/>
      <w:bookmarkStart w:id="210" w:name="_Toc513633969"/>
      <w:r>
        <w:rPr>
          <w:rFonts w:hint="eastAsia" w:ascii="宋体" w:hAnsi="宋体" w:eastAsia="宋体" w:cs="宋体"/>
          <w:sz w:val="28"/>
          <w:highlight w:val="none"/>
        </w:rPr>
        <w:t>一、</w:t>
      </w:r>
      <w:bookmarkEnd w:id="203"/>
      <w:bookmarkEnd w:id="204"/>
      <w:r>
        <w:rPr>
          <w:rFonts w:hint="eastAsia" w:ascii="宋体" w:hAnsi="宋体" w:eastAsia="宋体" w:cs="宋体"/>
          <w:sz w:val="28"/>
          <w:highlight w:val="none"/>
          <w:lang w:eastAsia="zh-CN"/>
        </w:rPr>
        <w:t>竞争比选</w:t>
      </w:r>
      <w:r>
        <w:rPr>
          <w:rFonts w:hint="eastAsia" w:ascii="宋体" w:hAnsi="宋体" w:eastAsia="宋体" w:cs="宋体"/>
          <w:sz w:val="28"/>
          <w:highlight w:val="none"/>
        </w:rPr>
        <w:t>响应声明书</w:t>
      </w:r>
      <w:bookmarkEnd w:id="205"/>
      <w:bookmarkEnd w:id="206"/>
      <w:bookmarkEnd w:id="207"/>
    </w:p>
    <w:p>
      <w:pPr>
        <w:tabs>
          <w:tab w:val="left" w:pos="900"/>
        </w:tabs>
        <w:spacing w:line="300" w:lineRule="auto"/>
        <w:rPr>
          <w:rFonts w:hint="eastAsia"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lang w:eastAsia="zh-CN"/>
        </w:rPr>
        <w:t>重庆首讯科技股份有限公司</w:t>
      </w:r>
    </w:p>
    <w:p>
      <w:pPr>
        <w:spacing w:line="700" w:lineRule="atLeast"/>
        <w:ind w:firstLine="480" w:firstLineChars="200"/>
        <w:rPr>
          <w:rFonts w:hint="eastAsia"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color w:val="auto"/>
          <w:sz w:val="24"/>
          <w:highlight w:val="none"/>
        </w:rPr>
        <w:t>方为</w:t>
      </w:r>
      <w:r>
        <w:rPr>
          <w:rFonts w:hint="eastAsia" w:ascii="Arial" w:hAnsi="Arial" w:cs="Arial"/>
          <w:color w:val="000000"/>
          <w:sz w:val="24"/>
          <w:highlight w:val="none"/>
          <w:u w:val="single"/>
          <w:lang w:val="en-US" w:eastAsia="zh-CN"/>
        </w:rPr>
        <w:t>首讯公司东界龙湖办公用房装修窗帘定制及安装项目</w:t>
      </w:r>
      <w:r>
        <w:rPr>
          <w:rFonts w:hint="eastAsia" w:ascii="Arial" w:hAnsi="Arial" w:cs="Arial"/>
          <w:color w:val="auto"/>
          <w:sz w:val="24"/>
          <w:highlight w:val="none"/>
          <w:lang w:eastAsia="zh-CN"/>
        </w:rPr>
        <w:t>竞争比</w:t>
      </w:r>
      <w:r>
        <w:rPr>
          <w:rFonts w:hint="eastAsia" w:ascii="Arial" w:hAnsi="Arial" w:eastAsia="宋体" w:cs="Arial"/>
          <w:color w:val="auto"/>
          <w:sz w:val="24"/>
          <w:highlight w:val="none"/>
          <w:lang w:eastAsia="zh-CN"/>
        </w:rPr>
        <w:t>选</w:t>
      </w:r>
      <w:r>
        <w:rPr>
          <w:rFonts w:hint="eastAsia" w:ascii="Arial" w:hAnsi="Arial" w:cs="Arial"/>
          <w:color w:val="auto"/>
          <w:sz w:val="24"/>
          <w:highlight w:val="none"/>
        </w:rPr>
        <w:t>项目及服</w:t>
      </w:r>
      <w:r>
        <w:rPr>
          <w:rFonts w:hint="eastAsia" w:ascii="Arial" w:hAnsi="Arial" w:cs="Arial"/>
          <w:color w:val="000000"/>
          <w:sz w:val="24"/>
          <w:highlight w:val="none"/>
        </w:rPr>
        <w:t>务的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邀请，签字代表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文件。</w:t>
      </w:r>
    </w:p>
    <w:p>
      <w:pPr>
        <w:spacing w:line="700" w:lineRule="atLeast"/>
        <w:ind w:firstLine="480" w:firstLineChars="200"/>
        <w:rPr>
          <w:rFonts w:hint="eastAsia" w:ascii="Arial" w:hAnsi="Arial" w:cs="Arial"/>
          <w:color w:val="000000"/>
          <w:sz w:val="24"/>
          <w:highlight w:val="none"/>
          <w:u w:val="single"/>
        </w:rPr>
      </w:pPr>
      <w:r>
        <w:rPr>
          <w:rFonts w:hint="eastAsia" w:ascii="Arial" w:hAnsi="Arial" w:cs="Arial"/>
          <w:color w:val="000000"/>
          <w:sz w:val="24"/>
          <w:highlight w:val="none"/>
          <w:u w:val="single"/>
        </w:rPr>
        <w:t>我方愿以人民币：              元（大写              元）的报价总价按照</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文件的要求，承担本次</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文件要求的</w:t>
      </w:r>
      <w:r>
        <w:rPr>
          <w:rFonts w:hint="eastAsia" w:ascii="Arial" w:hAnsi="Arial" w:cs="Arial"/>
          <w:color w:val="000000"/>
          <w:sz w:val="24"/>
          <w:highlight w:val="none"/>
          <w:u w:val="single"/>
          <w:lang w:val="en-US" w:eastAsia="zh-CN"/>
        </w:rPr>
        <w:t>装修</w:t>
      </w:r>
      <w:r>
        <w:rPr>
          <w:rFonts w:hint="eastAsia" w:ascii="Arial" w:hAnsi="Arial" w:cs="Arial"/>
          <w:color w:val="000000"/>
          <w:sz w:val="24"/>
          <w:highlight w:val="none"/>
          <w:u w:val="single"/>
        </w:rPr>
        <w:t>工程。</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tabs>
          <w:tab w:val="left" w:pos="540"/>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响应单位将按</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文件规定履行合同责任和义务。</w:t>
      </w:r>
    </w:p>
    <w:p>
      <w:pPr>
        <w:tabs>
          <w:tab w:val="left" w:pos="900"/>
        </w:tabs>
        <w:spacing w:line="300" w:lineRule="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响应单位已详细审查全部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3、</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响应单位同意提供</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人可能要求的与其</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响应文件有关的一切数据或资料，完全理解</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人不一定要接受最低报价的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响应或收到的任何</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4、与本</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响应有关的一切正式往来通讯请寄：</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tabs>
          <w:tab w:val="left" w:pos="900"/>
        </w:tabs>
        <w:spacing w:line="300" w:lineRule="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tabs>
          <w:tab w:val="left" w:pos="900"/>
        </w:tabs>
        <w:spacing w:line="300" w:lineRule="auto"/>
        <w:rPr>
          <w:rFonts w:hint="eastAsia"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法定代表人或授权代表人（签字）：</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tabs>
          <w:tab w:val="left" w:pos="900"/>
        </w:tabs>
        <w:spacing w:line="300" w:lineRule="auto"/>
        <w:rPr>
          <w:rFonts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w:t>
      </w:r>
      <w:r>
        <w:rPr>
          <w:rFonts w:hint="eastAsia" w:ascii="Arial" w:hAnsi="Arial" w:cs="Arial"/>
          <w:color w:val="auto"/>
          <w:sz w:val="24"/>
          <w:highlight w:val="none"/>
        </w:rPr>
        <w:t>职务：</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tabs>
          <w:tab w:val="left" w:pos="900"/>
        </w:tabs>
        <w:spacing w:line="300" w:lineRule="auto"/>
        <w:rPr>
          <w:rFonts w:ascii="Arial" w:hAnsi="Arial" w:cs="Arial"/>
          <w:color w:val="000000"/>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名称</w:t>
      </w:r>
      <w:r>
        <w:rPr>
          <w:rFonts w:hint="eastAsia" w:ascii="Arial" w:hAnsi="Arial" w:cs="Arial"/>
          <w:color w:val="auto"/>
          <w:sz w:val="24"/>
          <w:highlight w:val="none"/>
        </w:rPr>
        <w:t>（加盖公章）：</w:t>
      </w:r>
      <w:r>
        <w:rPr>
          <w:rFonts w:ascii="Arial" w:hAnsi="Arial" w:cs="Arial"/>
          <w:color w:val="auto"/>
          <w:sz w:val="24"/>
          <w:highlight w:val="none"/>
          <w:u w:val="single"/>
        </w:rPr>
        <w:t xml:space="preserve">               </w:t>
      </w:r>
      <w:r>
        <w:rPr>
          <w:rFonts w:ascii="Arial" w:hAnsi="Arial" w:cs="Arial"/>
          <w:color w:val="000000"/>
          <w:sz w:val="24"/>
          <w:highlight w:val="none"/>
          <w:u w:val="single"/>
        </w:rPr>
        <w:t xml:space="preserve">                  </w:t>
      </w:r>
    </w:p>
    <w:p>
      <w:pPr>
        <w:tabs>
          <w:tab w:val="left" w:pos="900"/>
        </w:tabs>
        <w:spacing w:line="300" w:lineRule="auto"/>
        <w:rPr>
          <w:rFonts w:hint="eastAsia"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outlineLvl w:val="0"/>
        <w:rPr>
          <w:rFonts w:hint="eastAsia"/>
          <w:b/>
          <w:sz w:val="24"/>
          <w:highlight w:val="none"/>
        </w:rPr>
      </w:pPr>
    </w:p>
    <w:p>
      <w:pPr>
        <w:outlineLvl w:val="0"/>
        <w:rPr>
          <w:rFonts w:hint="eastAsia"/>
          <w:b/>
          <w:sz w:val="24"/>
          <w:highlight w:val="none"/>
        </w:rPr>
      </w:pPr>
    </w:p>
    <w:p>
      <w:pPr>
        <w:outlineLvl w:val="0"/>
        <w:rPr>
          <w:rFonts w:hint="eastAsia"/>
          <w:b/>
          <w:sz w:val="24"/>
          <w:highlight w:val="none"/>
        </w:rPr>
      </w:pPr>
    </w:p>
    <w:p>
      <w:pPr>
        <w:pStyle w:val="2"/>
        <w:jc w:val="center"/>
        <w:rPr>
          <w:rFonts w:hint="eastAsia" w:ascii="宋体" w:hAnsi="宋体" w:eastAsia="宋体" w:cs="宋体"/>
          <w:sz w:val="28"/>
          <w:szCs w:val="28"/>
          <w:highlight w:val="none"/>
        </w:rPr>
      </w:pPr>
      <w:bookmarkStart w:id="211" w:name="_Toc27815"/>
      <w:bookmarkStart w:id="212" w:name="_Toc491883232"/>
      <w:r>
        <w:rPr>
          <w:rFonts w:hint="eastAsia" w:ascii="宋体" w:hAnsi="宋体" w:eastAsia="宋体" w:cs="宋体"/>
          <w:sz w:val="28"/>
          <w:szCs w:val="28"/>
          <w:highlight w:val="none"/>
        </w:rPr>
        <w:t>二、法定代表人身份证明或法定代表人授权委托书</w:t>
      </w:r>
      <w:bookmarkEnd w:id="211"/>
    </w:p>
    <w:p>
      <w:pPr>
        <w:pStyle w:val="2"/>
        <w:jc w:val="center"/>
        <w:rPr>
          <w:rFonts w:hint="eastAsia" w:ascii="宋体" w:hAnsi="宋体" w:eastAsia="宋体" w:cs="宋体"/>
          <w:sz w:val="24"/>
          <w:szCs w:val="24"/>
          <w:highlight w:val="none"/>
        </w:rPr>
      </w:pPr>
      <w:bookmarkStart w:id="213" w:name="_Toc14141"/>
      <w:r>
        <w:rPr>
          <w:rFonts w:hint="eastAsia" w:ascii="宋体" w:hAnsi="宋体" w:eastAsia="宋体" w:cs="宋体"/>
          <w:sz w:val="24"/>
          <w:szCs w:val="24"/>
          <w:highlight w:val="none"/>
        </w:rPr>
        <w:t>（一）法定代表人身份证明</w:t>
      </w:r>
      <w:bookmarkEnd w:id="212"/>
      <w:bookmarkEnd w:id="213"/>
    </w:p>
    <w:p>
      <w:pPr>
        <w:spacing w:line="440" w:lineRule="exact"/>
        <w:rPr>
          <w:rFonts w:ascii="宋体" w:hAnsi="宋体"/>
          <w:highlight w:val="none"/>
        </w:rPr>
      </w:pPr>
      <w:r>
        <w:rPr>
          <w:rFonts w:hint="eastAsia" w:ascii="宋体" w:hAnsi="宋体"/>
          <w:highlight w:val="none"/>
          <w:lang w:eastAsia="zh-CN"/>
        </w:rPr>
        <w:t>报价人</w:t>
      </w:r>
      <w:r>
        <w:rPr>
          <w:rFonts w:ascii="宋体" w:hAnsi="宋体"/>
          <w:highlight w:val="none"/>
        </w:rPr>
        <w:t>名称：</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214" w:name="_Toc369531698"/>
      <w:bookmarkStart w:id="215" w:name="_Toc27897"/>
      <w:bookmarkStart w:id="216" w:name="_Toc352691662"/>
      <w:r>
        <w:rPr>
          <w:rFonts w:ascii="宋体" w:hAnsi="宋体"/>
          <w:highlight w:val="none"/>
          <w:u w:val="single"/>
        </w:rPr>
        <w:t xml:space="preserve">        </w:t>
      </w:r>
      <w:r>
        <w:rPr>
          <w:rFonts w:ascii="宋体" w:hAnsi="宋体"/>
          <w:highlight w:val="none"/>
        </w:rPr>
        <w:t>年</w:t>
      </w:r>
      <w:bookmarkEnd w:id="214"/>
      <w:bookmarkEnd w:id="215"/>
      <w:bookmarkEnd w:id="216"/>
      <w:r>
        <w:rPr>
          <w:rFonts w:ascii="宋体" w:hAnsi="宋体"/>
          <w:highlight w:val="none"/>
        </w:rPr>
        <w:t>龄</w:t>
      </w:r>
      <w:bookmarkStart w:id="217" w:name="_Toc352691663"/>
      <w:bookmarkStart w:id="218" w:name="_Toc300835211"/>
      <w:bookmarkStart w:id="219" w:name="_Toc247514248"/>
      <w:bookmarkStart w:id="220" w:name="_Toc15573"/>
      <w:bookmarkStart w:id="221" w:name="_Toc152045789"/>
      <w:bookmarkStart w:id="222" w:name="_Toc144974858"/>
      <w:bookmarkStart w:id="223" w:name="_Toc361508754"/>
      <w:bookmarkStart w:id="224" w:name="_Toc152042578"/>
      <w:bookmarkStart w:id="225" w:name="_Toc247527829"/>
      <w:bookmarkStart w:id="226" w:name="_Toc384308377"/>
      <w:bookmarkStart w:id="227" w:name="_Toc369531699"/>
      <w:r>
        <w:rPr>
          <w:rFonts w:ascii="宋体" w:hAnsi="宋体"/>
          <w:highlight w:val="none"/>
        </w:rPr>
        <w:t>：</w:t>
      </w:r>
      <w:bookmarkEnd w:id="217"/>
      <w:bookmarkEnd w:id="218"/>
      <w:bookmarkEnd w:id="219"/>
      <w:bookmarkEnd w:id="220"/>
      <w:bookmarkEnd w:id="221"/>
      <w:bookmarkEnd w:id="222"/>
      <w:bookmarkEnd w:id="223"/>
      <w:bookmarkEnd w:id="224"/>
      <w:bookmarkEnd w:id="225"/>
      <w:bookmarkEnd w:id="226"/>
      <w:bookmarkEnd w:id="227"/>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w:t>
      </w:r>
    </w:p>
    <w:p>
      <w:pPr>
        <w:spacing w:line="440" w:lineRule="exact"/>
        <w:ind w:firstLine="420" w:firstLineChars="200"/>
        <w:rPr>
          <w:rFonts w:ascii="宋体" w:hAnsi="宋体"/>
          <w:highlight w:val="none"/>
        </w:rPr>
      </w:pPr>
      <w:r>
        <w:rPr>
          <w:rFonts w:ascii="宋体" w:hAnsi="宋体"/>
          <w:highlight w:val="none"/>
        </w:rPr>
        <w:t>特此证明。</w:t>
      </w:r>
    </w:p>
    <w:p>
      <w:pPr>
        <w:spacing w:line="440" w:lineRule="exact"/>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lang w:eastAsia="zh-CN"/>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2"/>
        <w:jc w:val="center"/>
        <w:rPr>
          <w:rFonts w:ascii="宋体" w:hAnsi="宋体"/>
          <w:sz w:val="28"/>
          <w:szCs w:val="28"/>
          <w:highlight w:val="none"/>
        </w:rPr>
      </w:pPr>
      <w:bookmarkStart w:id="228" w:name="_Toc491883233"/>
      <w:bookmarkStart w:id="229" w:name="_Toc58"/>
      <w:r>
        <w:rPr>
          <w:rFonts w:hint="eastAsia" w:ascii="宋体" w:hAnsi="宋体" w:eastAsia="宋体" w:cs="宋体"/>
          <w:sz w:val="24"/>
          <w:szCs w:val="24"/>
          <w:highlight w:val="none"/>
        </w:rPr>
        <w:t>（二）</w:t>
      </w:r>
      <w:bookmarkEnd w:id="228"/>
      <w:r>
        <w:rPr>
          <w:rFonts w:hint="eastAsia" w:ascii="宋体" w:hAnsi="宋体" w:eastAsia="宋体" w:cs="宋体"/>
          <w:sz w:val="24"/>
          <w:szCs w:val="24"/>
          <w:highlight w:val="none"/>
        </w:rPr>
        <w:t>法定代表人授权委托书</w:t>
      </w:r>
      <w:bookmarkEnd w:id="229"/>
    </w:p>
    <w:p>
      <w:pPr>
        <w:topLinePunct/>
        <w:spacing w:line="440" w:lineRule="exact"/>
        <w:ind w:firstLine="420" w:firstLineChars="200"/>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lang w:val="en-US" w:eastAsia="zh-CN"/>
        </w:rPr>
        <w:t>比选</w:t>
      </w:r>
      <w:r>
        <w:rPr>
          <w:rFonts w:ascii="宋体" w:hAnsi="宋体"/>
          <w:highlight w:val="none"/>
        </w:rPr>
        <w:t>文件、签订合同和处理有关事宜，其法律后果由我方承担。</w:t>
      </w:r>
    </w:p>
    <w:p>
      <w:pPr>
        <w:spacing w:line="440" w:lineRule="exact"/>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spacing w:line="440" w:lineRule="exact"/>
        <w:ind w:firstLine="420" w:firstLineChars="200"/>
        <w:rPr>
          <w:rFonts w:ascii="宋体" w:hAnsi="宋体"/>
          <w:highlight w:val="none"/>
        </w:rPr>
      </w:pPr>
      <w:r>
        <w:rPr>
          <w:rFonts w:ascii="宋体" w:hAnsi="宋体"/>
          <w:highlight w:val="none"/>
        </w:rPr>
        <w:t>代理人无转委托权。</w:t>
      </w:r>
    </w:p>
    <w:p>
      <w:pPr>
        <w:spacing w:line="440" w:lineRule="exact"/>
        <w:ind w:firstLine="420" w:firstLineChars="200"/>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lang w:eastAsia="zh-CN"/>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注：本授权委托书需由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并由其法定代表人和委托代理人签字。</w:t>
      </w:r>
    </w:p>
    <w:p>
      <w:pPr>
        <w:pStyle w:val="28"/>
        <w:rPr>
          <w:rFonts w:hint="eastAsia"/>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snapToGrid w:val="0"/>
          <w:kern w:val="0"/>
          <w:szCs w:val="21"/>
          <w:highlight w:val="none"/>
        </w:rPr>
      </w:pPr>
    </w:p>
    <w:p>
      <w:pPr>
        <w:jc w:val="center"/>
        <w:rPr>
          <w:rFonts w:hint="eastAsia" w:ascii="宋体" w:hAnsi="宋体" w:cs="宋体"/>
          <w:b/>
          <w:highlight w:val="none"/>
        </w:rPr>
      </w:pPr>
      <w:bookmarkStart w:id="230" w:name="_Toc11329275"/>
      <w:r>
        <w:rPr>
          <w:rFonts w:hint="eastAsia" w:ascii="宋体" w:hAnsi="宋体" w:cs="宋体"/>
          <w:b/>
          <w:bCs/>
          <w:kern w:val="0"/>
          <w:sz w:val="28"/>
          <w:szCs w:val="32"/>
          <w:highlight w:val="none"/>
          <w:lang w:val="en-US" w:eastAsia="zh-CN" w:bidi="ar-SA"/>
        </w:rPr>
        <w:t>三</w:t>
      </w:r>
      <w:r>
        <w:rPr>
          <w:rFonts w:hint="eastAsia" w:ascii="宋体" w:hAnsi="宋体" w:eastAsia="宋体" w:cs="宋体"/>
          <w:b/>
          <w:bCs/>
          <w:kern w:val="0"/>
          <w:sz w:val="28"/>
          <w:szCs w:val="32"/>
          <w:highlight w:val="none"/>
          <w:lang w:val="en-US" w:eastAsia="zh-CN" w:bidi="ar-SA"/>
        </w:rPr>
        <w:t>、</w:t>
      </w:r>
      <w:bookmarkEnd w:id="208"/>
      <w:bookmarkEnd w:id="209"/>
      <w:bookmarkEnd w:id="210"/>
      <w:bookmarkEnd w:id="230"/>
      <w:r>
        <w:rPr>
          <w:rFonts w:hint="eastAsia" w:ascii="宋体" w:hAnsi="宋体" w:eastAsia="宋体" w:cs="宋体"/>
          <w:b/>
          <w:bCs/>
          <w:kern w:val="0"/>
          <w:sz w:val="28"/>
          <w:szCs w:val="32"/>
          <w:highlight w:val="none"/>
          <w:lang w:val="en-US" w:eastAsia="zh-CN" w:bidi="ar-SA"/>
        </w:rPr>
        <w:t>报价一览表</w:t>
      </w:r>
    </w:p>
    <w:p>
      <w:pPr>
        <w:ind w:left="765"/>
        <w:jc w:val="center"/>
        <w:rPr>
          <w:rFonts w:hint="eastAsia" w:ascii="宋体" w:hAnsi="宋体" w:cs="宋体"/>
          <w:szCs w:val="21"/>
          <w:highlight w:val="none"/>
        </w:rPr>
      </w:pPr>
    </w:p>
    <w:p>
      <w:pPr>
        <w:pStyle w:val="38"/>
        <w:jc w:val="both"/>
        <w:rPr>
          <w:rFonts w:hint="eastAsia" w:hAnsi="宋体"/>
          <w:highlight w:val="none"/>
        </w:rPr>
      </w:pPr>
      <w:r>
        <w:rPr>
          <w:rFonts w:hint="eastAsia" w:hAnsi="宋体"/>
          <w:highlight w:val="none"/>
          <w:lang w:eastAsia="zh-CN"/>
        </w:rPr>
        <w:t>重庆首讯科技股份有限公司</w:t>
      </w:r>
      <w:r>
        <w:rPr>
          <w:rFonts w:hint="eastAsia" w:hAnsi="宋体"/>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b/>
          <w:color w:val="000000"/>
          <w:sz w:val="24"/>
          <w:highlight w:val="none"/>
        </w:rPr>
      </w:pPr>
      <w:r>
        <w:rPr>
          <w:rFonts w:hint="eastAsia" w:ascii="宋体" w:hAnsi="宋体"/>
          <w:color w:val="000000"/>
          <w:sz w:val="24"/>
          <w:highlight w:val="none"/>
        </w:rPr>
        <w:t>在研究了</w:t>
      </w:r>
      <w:r>
        <w:rPr>
          <w:rFonts w:hint="eastAsia" w:ascii="宋体" w:hAnsi="宋体"/>
          <w:color w:val="000000"/>
          <w:sz w:val="24"/>
          <w:highlight w:val="none"/>
          <w:lang w:eastAsia="zh-CN"/>
        </w:rPr>
        <w:t>竞争比选</w:t>
      </w:r>
      <w:r>
        <w:rPr>
          <w:rFonts w:hint="eastAsia" w:ascii="宋体" w:hAnsi="宋体"/>
          <w:color w:val="000000"/>
          <w:sz w:val="24"/>
          <w:highlight w:val="none"/>
        </w:rPr>
        <w:t>文件中所有文件后，我司</w:t>
      </w:r>
      <w:r>
        <w:rPr>
          <w:rFonts w:hint="eastAsia" w:ascii="宋体" w:hAnsi="宋体"/>
          <w:color w:val="000000"/>
          <w:sz w:val="24"/>
          <w:highlight w:val="none"/>
          <w:lang w:eastAsia="zh-CN"/>
        </w:rPr>
        <w:t>对</w:t>
      </w:r>
      <w:r>
        <w:rPr>
          <w:rFonts w:hint="eastAsia" w:ascii="Arial" w:hAnsi="Arial" w:cs="Arial"/>
          <w:color w:val="000000"/>
          <w:sz w:val="24"/>
          <w:highlight w:val="none"/>
          <w:u w:val="single"/>
          <w:lang w:val="en-US" w:eastAsia="zh-CN"/>
        </w:rPr>
        <w:t>首讯公司东界龙湖办公用房装修施工项目</w:t>
      </w:r>
      <w:r>
        <w:rPr>
          <w:rFonts w:hint="eastAsia" w:ascii="宋体" w:hAnsi="宋体"/>
          <w:color w:val="000000"/>
          <w:sz w:val="24"/>
          <w:highlight w:val="none"/>
          <w:lang w:eastAsia="zh-CN"/>
        </w:rPr>
        <w:t>竞</w:t>
      </w:r>
      <w:r>
        <w:rPr>
          <w:rFonts w:hint="eastAsia" w:ascii="Arial" w:hAnsi="Arial" w:eastAsia="宋体" w:cs="Arial"/>
          <w:color w:val="000000"/>
          <w:sz w:val="24"/>
          <w:highlight w:val="none"/>
          <w:lang w:eastAsia="zh-CN"/>
        </w:rPr>
        <w:t>争比选</w:t>
      </w:r>
      <w:r>
        <w:rPr>
          <w:rFonts w:hint="eastAsia" w:ascii="Arial" w:hAnsi="Arial" w:cs="Arial"/>
          <w:color w:val="000000"/>
          <w:sz w:val="24"/>
          <w:highlight w:val="none"/>
        </w:rPr>
        <w:t>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60" w:lineRule="auto"/>
        <w:ind w:firstLine="482" w:firstLineChars="200"/>
        <w:jc w:val="both"/>
        <w:textAlignment w:val="auto"/>
        <w:rPr>
          <w:rFonts w:hint="eastAsia" w:ascii="宋体" w:hAnsi="宋体" w:cs="宋体"/>
          <w:b/>
          <w:kern w:val="0"/>
          <w:sz w:val="28"/>
          <w:szCs w:val="28"/>
          <w:highlight w:val="none"/>
        </w:rPr>
      </w:pPr>
      <w:r>
        <w:rPr>
          <w:rFonts w:hint="eastAsia" w:ascii="宋体" w:hAnsi="宋体" w:cs="Times New Roman"/>
          <w:b/>
          <w:bCs/>
          <w:color w:val="000000"/>
          <w:sz w:val="24"/>
          <w:highlight w:val="none"/>
          <w:lang w:eastAsia="zh-CN"/>
        </w:rPr>
        <w:t>报价采用表格形式，见“工程量清单”。</w:t>
      </w:r>
      <w:r>
        <w:rPr>
          <w:rFonts w:hint="eastAsia" w:ascii="宋体" w:hAnsi="宋体" w:cs="宋体"/>
          <w:b/>
          <w:kern w:val="0"/>
          <w:sz w:val="28"/>
          <w:szCs w:val="28"/>
          <w:highlight w:val="none"/>
        </w:rPr>
        <w:t xml:space="preserve"> </w:t>
      </w:r>
    </w:p>
    <w:p>
      <w:pPr>
        <w:spacing w:line="400" w:lineRule="exact"/>
        <w:rPr>
          <w:rFonts w:hint="eastAsia" w:ascii="宋体" w:hAnsi="宋体" w:cs="宋体"/>
          <w:kern w:val="0"/>
          <w:szCs w:val="21"/>
          <w:highlight w:val="none"/>
        </w:rPr>
      </w:pPr>
    </w:p>
    <w:p>
      <w:pPr>
        <w:pStyle w:val="2"/>
        <w:spacing w:before="0" w:after="0" w:line="360" w:lineRule="auto"/>
        <w:jc w:val="center"/>
        <w:rPr>
          <w:rFonts w:hint="eastAsia" w:ascii="宋体" w:hAnsi="宋体" w:eastAsia="宋体" w:cs="宋体"/>
          <w:sz w:val="28"/>
          <w:highlight w:val="none"/>
        </w:rPr>
      </w:pPr>
      <w:bookmarkStart w:id="231" w:name="_Toc11329278"/>
      <w:bookmarkStart w:id="232" w:name="_Toc513633971"/>
      <w:bookmarkStart w:id="233" w:name="_Toc503951050"/>
      <w:bookmarkStart w:id="234" w:name="_Toc144974871"/>
      <w:bookmarkStart w:id="235" w:name="_Toc447827058"/>
      <w:bookmarkStart w:id="236" w:name="_Toc152042592"/>
      <w:bookmarkStart w:id="237" w:name="_Toc246997112"/>
      <w:bookmarkStart w:id="238" w:name="_Toc247085887"/>
      <w:bookmarkStart w:id="239" w:name="_Toc179632823"/>
      <w:bookmarkStart w:id="240" w:name="_Toc246996369"/>
      <w:bookmarkStart w:id="241" w:name="_Toc152045803"/>
      <w:r>
        <w:rPr>
          <w:rFonts w:hint="eastAsia" w:ascii="宋体" w:hAnsi="宋体" w:eastAsia="宋体" w:cs="宋体"/>
          <w:sz w:val="28"/>
          <w:highlight w:val="none"/>
        </w:rPr>
        <w:br w:type="page"/>
      </w:r>
      <w:bookmarkStart w:id="242" w:name="_Toc12910"/>
      <w:bookmarkStart w:id="243" w:name="_Toc18757"/>
      <w:bookmarkStart w:id="244" w:name="_Toc11961"/>
      <w:r>
        <w:rPr>
          <w:rFonts w:hint="eastAsia" w:ascii="宋体" w:hAnsi="宋体" w:eastAsia="宋体" w:cs="宋体"/>
          <w:sz w:val="28"/>
          <w:highlight w:val="none"/>
          <w:lang w:val="en-US" w:eastAsia="zh-CN"/>
        </w:rPr>
        <w:t>四</w:t>
      </w:r>
      <w:r>
        <w:rPr>
          <w:rFonts w:hint="eastAsia" w:ascii="宋体" w:hAnsi="宋体" w:eastAsia="宋体" w:cs="宋体"/>
          <w:sz w:val="28"/>
          <w:highlight w:val="none"/>
        </w:rPr>
        <w:t>、资格审查资料</w:t>
      </w:r>
      <w:bookmarkEnd w:id="231"/>
      <w:bookmarkEnd w:id="232"/>
      <w:bookmarkEnd w:id="233"/>
      <w:bookmarkEnd w:id="242"/>
      <w:bookmarkEnd w:id="243"/>
      <w:bookmarkEnd w:id="244"/>
    </w:p>
    <w:p>
      <w:pPr>
        <w:pStyle w:val="2"/>
        <w:spacing w:before="0" w:after="0" w:line="360" w:lineRule="auto"/>
        <w:jc w:val="center"/>
        <w:rPr>
          <w:rFonts w:hint="eastAsia" w:ascii="宋体" w:hAnsi="宋体" w:eastAsia="宋体" w:cs="宋体"/>
          <w:sz w:val="28"/>
          <w:highlight w:val="none"/>
          <w:lang w:eastAsia="zh-CN"/>
        </w:rPr>
      </w:pPr>
      <w:bookmarkStart w:id="245" w:name="_Toc32456"/>
      <w:bookmarkStart w:id="246" w:name="_Toc17915"/>
      <w:bookmarkStart w:id="247" w:name="_Toc22003"/>
      <w:r>
        <w:rPr>
          <w:rFonts w:hint="eastAsia" w:ascii="宋体" w:hAnsi="宋体" w:eastAsia="宋体" w:cs="宋体"/>
          <w:sz w:val="28"/>
          <w:highlight w:val="none"/>
          <w:lang w:eastAsia="zh-CN"/>
        </w:rPr>
        <w:t>（</w:t>
      </w:r>
      <w:r>
        <w:rPr>
          <w:rFonts w:hint="eastAsia" w:ascii="宋体" w:hAnsi="宋体" w:eastAsia="宋体" w:cs="宋体"/>
          <w:sz w:val="28"/>
          <w:highlight w:val="none"/>
          <w:lang w:val="en-US" w:eastAsia="zh-CN"/>
        </w:rPr>
        <w:t>营业执照、资质证书、项目人员资料等</w:t>
      </w:r>
      <w:r>
        <w:rPr>
          <w:rFonts w:hint="eastAsia" w:ascii="宋体" w:hAnsi="宋体" w:eastAsia="宋体" w:cs="宋体"/>
          <w:sz w:val="28"/>
          <w:highlight w:val="none"/>
          <w:lang w:eastAsia="zh-CN"/>
        </w:rPr>
        <w:t>）</w:t>
      </w:r>
      <w:bookmarkEnd w:id="245"/>
      <w:bookmarkEnd w:id="246"/>
      <w:bookmarkEnd w:id="247"/>
    </w:p>
    <w:p>
      <w:pPr>
        <w:jc w:val="center"/>
        <w:rPr>
          <w:rFonts w:hint="eastAsia" w:ascii="宋体" w:hAnsi="宋体" w:cs="宋体"/>
          <w:b/>
          <w:szCs w:val="21"/>
          <w:highlight w:val="none"/>
        </w:rPr>
      </w:pPr>
    </w:p>
    <w:p>
      <w:pPr>
        <w:jc w:val="center"/>
        <w:rPr>
          <w:rFonts w:hint="eastAsia" w:eastAsia="宋体"/>
          <w:highlight w:val="none"/>
          <w:lang w:eastAsia="zh-CN"/>
        </w:rPr>
      </w:pPr>
      <w:r>
        <w:rPr>
          <w:rFonts w:hint="eastAsia" w:ascii="宋体" w:hAnsi="宋体" w:cs="宋体"/>
          <w:b/>
          <w:szCs w:val="21"/>
          <w:highlight w:val="none"/>
        </w:rPr>
        <w:t>主要管理人员</w:t>
      </w:r>
      <w:r>
        <w:rPr>
          <w:rFonts w:hint="eastAsia" w:ascii="宋体" w:hAnsi="宋体" w:cs="宋体"/>
          <w:b/>
          <w:szCs w:val="21"/>
          <w:highlight w:val="none"/>
          <w:lang w:val="en-US" w:eastAsia="zh-CN"/>
        </w:rPr>
        <w:t>名单</w:t>
      </w:r>
    </w:p>
    <w:bookmarkEnd w:id="234"/>
    <w:bookmarkEnd w:id="235"/>
    <w:bookmarkEnd w:id="236"/>
    <w:bookmarkEnd w:id="237"/>
    <w:bookmarkEnd w:id="238"/>
    <w:bookmarkEnd w:id="239"/>
    <w:bookmarkEnd w:id="240"/>
    <w:bookmarkEnd w:id="241"/>
    <w:tbl>
      <w:tblPr>
        <w:tblStyle w:val="43"/>
        <w:tblW w:w="10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
        <w:gridCol w:w="1797"/>
        <w:gridCol w:w="1191"/>
        <w:gridCol w:w="2808"/>
        <w:gridCol w:w="306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bookmarkStart w:id="248" w:name="_Toc503951055"/>
            <w:bookmarkStart w:id="249" w:name="_Toc447827068"/>
            <w:bookmarkStart w:id="250" w:name="_Toc513633973"/>
            <w:r>
              <w:rPr>
                <w:rFonts w:hint="eastAsia" w:ascii="宋体" w:hAnsi="宋体" w:cs="宋体"/>
                <w:szCs w:val="21"/>
                <w:highlight w:val="none"/>
              </w:rPr>
              <w:t>序号</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人  员</w:t>
            </w: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姓名</w:t>
            </w: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身份证号码</w:t>
            </w: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资格证件号码</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项目经理</w:t>
            </w: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p>
        </w:tc>
      </w:tr>
    </w:tbl>
    <w:p>
      <w:pPr>
        <w:pStyle w:val="149"/>
        <w:adjustRightInd/>
        <w:spacing w:line="360" w:lineRule="auto"/>
        <w:jc w:val="left"/>
        <w:rPr>
          <w:rFonts w:hint="eastAsia" w:ascii="Times New Roman" w:hAnsi="宋体" w:cs="Times New Roman"/>
          <w:b w:val="0"/>
          <w:bCs w:val="0"/>
          <w:color w:val="auto"/>
          <w:sz w:val="21"/>
          <w:szCs w:val="21"/>
          <w:highlight w:val="none"/>
          <w:lang w:val="en-US" w:eastAsia="zh-CN"/>
        </w:rPr>
      </w:pPr>
      <w:bookmarkStart w:id="251" w:name="_Toc11329281"/>
      <w:bookmarkStart w:id="252" w:name="_Toc11672"/>
      <w:r>
        <w:rPr>
          <w:rFonts w:hint="eastAsia" w:ascii="Times New Roman" w:hAnsi="宋体" w:cs="Times New Roman"/>
          <w:b w:val="0"/>
          <w:bCs w:val="0"/>
          <w:color w:val="auto"/>
          <w:sz w:val="21"/>
          <w:szCs w:val="21"/>
          <w:highlight w:val="none"/>
          <w:lang w:val="en-US" w:eastAsia="zh-CN"/>
        </w:rPr>
        <w:t>注：以上人员不得在其他项目重复任职。需提供项目主要管理人员名单（表格形式），以上人员相关资质证件、身份证复印件及由社保局出具的报价人为以上人员缴纳近三个月的养老保险证明（带有社保部门公章或社保部门的有效电子印章），并加盖单位鲜公章。</w:t>
      </w:r>
    </w:p>
    <w:p>
      <w:pPr>
        <w:pStyle w:val="2"/>
        <w:spacing w:before="0" w:after="0" w:line="360" w:lineRule="auto"/>
        <w:jc w:val="center"/>
        <w:rPr>
          <w:rFonts w:hint="eastAsia" w:ascii="宋体" w:hAnsi="宋体" w:eastAsia="宋体" w:cs="宋体"/>
          <w:sz w:val="28"/>
          <w:highlight w:val="none"/>
        </w:rPr>
      </w:pPr>
    </w:p>
    <w:p>
      <w:pPr>
        <w:jc w:val="center"/>
        <w:rPr>
          <w:rFonts w:hint="eastAsia" w:eastAsia="宋体"/>
          <w:highlight w:val="none"/>
          <w:lang w:eastAsia="zh-CN"/>
        </w:rPr>
      </w:pPr>
      <w:r>
        <w:rPr>
          <w:rFonts w:hint="eastAsia" w:ascii="宋体" w:hAnsi="宋体" w:cs="宋体"/>
          <w:b/>
          <w:szCs w:val="21"/>
          <w:highlight w:val="none"/>
          <w:lang w:val="en-US" w:eastAsia="zh-CN"/>
        </w:rPr>
        <w:t>其他</w:t>
      </w:r>
      <w:r>
        <w:rPr>
          <w:rFonts w:hint="eastAsia" w:ascii="宋体" w:hAnsi="宋体" w:cs="宋体"/>
          <w:b/>
          <w:szCs w:val="21"/>
          <w:highlight w:val="none"/>
        </w:rPr>
        <w:t>人员</w:t>
      </w:r>
      <w:r>
        <w:rPr>
          <w:rFonts w:hint="eastAsia" w:ascii="宋体" w:hAnsi="宋体" w:cs="宋体"/>
          <w:b/>
          <w:szCs w:val="21"/>
          <w:highlight w:val="none"/>
          <w:lang w:val="en-US" w:eastAsia="zh-CN"/>
        </w:rPr>
        <w:t>名单</w:t>
      </w:r>
    </w:p>
    <w:tbl>
      <w:tblPr>
        <w:tblStyle w:val="43"/>
        <w:tblW w:w="10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
        <w:gridCol w:w="1797"/>
        <w:gridCol w:w="1191"/>
        <w:gridCol w:w="2808"/>
        <w:gridCol w:w="306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序号</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人  员</w:t>
            </w: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姓名</w:t>
            </w: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身份证号码</w:t>
            </w: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资格证件号码</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如：电工</w:t>
            </w: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p>
        </w:tc>
      </w:tr>
    </w:tbl>
    <w:p>
      <w:pPr>
        <w:pStyle w:val="149"/>
        <w:adjustRightInd/>
        <w:spacing w:line="360" w:lineRule="auto"/>
        <w:jc w:val="left"/>
        <w:rPr>
          <w:rFonts w:hint="eastAsia" w:hAnsi="宋体"/>
          <w:b w:val="0"/>
          <w:bCs w:val="0"/>
          <w:color w:val="FF0000"/>
          <w:sz w:val="21"/>
          <w:szCs w:val="21"/>
          <w:highlight w:val="none"/>
        </w:rPr>
      </w:pPr>
      <w:r>
        <w:rPr>
          <w:rFonts w:hint="eastAsia" w:hAnsi="宋体"/>
          <w:b w:val="0"/>
          <w:bCs w:val="0"/>
          <w:color w:val="auto"/>
          <w:sz w:val="21"/>
          <w:szCs w:val="21"/>
          <w:highlight w:val="none"/>
        </w:rPr>
        <w:t>注：</w:t>
      </w:r>
      <w:r>
        <w:rPr>
          <w:rFonts w:hint="eastAsia" w:ascii="Times New Roman" w:hAnsi="宋体" w:cs="Times New Roman"/>
          <w:b w:val="0"/>
          <w:bCs w:val="0"/>
          <w:color w:val="auto"/>
          <w:sz w:val="21"/>
          <w:szCs w:val="21"/>
          <w:highlight w:val="none"/>
          <w:lang w:val="en-US" w:eastAsia="zh-CN"/>
        </w:rPr>
        <w:t>以上人员不得</w:t>
      </w:r>
      <w:r>
        <w:rPr>
          <w:rFonts w:hint="eastAsia" w:hAnsi="宋体" w:cs="Times New Roman"/>
          <w:b w:val="0"/>
          <w:bCs w:val="0"/>
          <w:color w:val="auto"/>
          <w:sz w:val="21"/>
          <w:szCs w:val="21"/>
          <w:highlight w:val="none"/>
          <w:lang w:val="en-US" w:eastAsia="zh-CN"/>
        </w:rPr>
        <w:t>在其他项目</w:t>
      </w:r>
      <w:r>
        <w:rPr>
          <w:rFonts w:hint="eastAsia" w:ascii="Times New Roman" w:hAnsi="宋体" w:cs="Times New Roman"/>
          <w:b w:val="0"/>
          <w:bCs w:val="0"/>
          <w:color w:val="auto"/>
          <w:sz w:val="21"/>
          <w:szCs w:val="21"/>
          <w:highlight w:val="none"/>
          <w:lang w:val="en-US" w:eastAsia="zh-CN"/>
        </w:rPr>
        <w:t>重复任职。需提供以上人员相关资质证件及身份证复印件</w:t>
      </w:r>
      <w:r>
        <w:rPr>
          <w:rFonts w:hint="eastAsia" w:hAnsi="宋体"/>
          <w:b w:val="0"/>
          <w:bCs w:val="0"/>
          <w:color w:val="auto"/>
          <w:sz w:val="21"/>
          <w:szCs w:val="21"/>
          <w:highlight w:val="none"/>
        </w:rPr>
        <w:t>，</w:t>
      </w:r>
      <w:r>
        <w:rPr>
          <w:rFonts w:hint="eastAsia" w:hAnsi="宋体"/>
          <w:b w:val="0"/>
          <w:bCs w:val="0"/>
          <w:color w:val="auto"/>
          <w:sz w:val="21"/>
          <w:szCs w:val="21"/>
          <w:highlight w:val="none"/>
          <w:lang w:val="en-US" w:eastAsia="zh-CN"/>
        </w:rPr>
        <w:t>并</w:t>
      </w:r>
      <w:r>
        <w:rPr>
          <w:rFonts w:hint="eastAsia" w:hAnsi="宋体"/>
          <w:b w:val="0"/>
          <w:bCs w:val="0"/>
          <w:color w:val="auto"/>
          <w:sz w:val="21"/>
          <w:szCs w:val="21"/>
          <w:highlight w:val="none"/>
        </w:rPr>
        <w:t>加盖单位鲜公章。</w:t>
      </w:r>
    </w:p>
    <w:p>
      <w:pPr>
        <w:pStyle w:val="2"/>
        <w:spacing w:before="0" w:after="0" w:line="360" w:lineRule="auto"/>
        <w:jc w:val="center"/>
        <w:rPr>
          <w:rFonts w:hint="eastAsia" w:ascii="宋体" w:hAnsi="宋体" w:eastAsia="宋体" w:cs="宋体"/>
          <w:sz w:val="28"/>
          <w:highlight w:val="none"/>
        </w:rPr>
      </w:pPr>
      <w:r>
        <w:rPr>
          <w:rFonts w:hint="eastAsia" w:ascii="宋体" w:hAnsi="宋体" w:eastAsia="宋体" w:cs="宋体"/>
          <w:sz w:val="28"/>
          <w:highlight w:val="none"/>
        </w:rPr>
        <w:br w:type="page"/>
      </w:r>
      <w:bookmarkStart w:id="253" w:name="_Toc29559"/>
      <w:bookmarkStart w:id="254" w:name="_Toc11243"/>
      <w:r>
        <w:rPr>
          <w:rFonts w:hint="eastAsia" w:ascii="宋体" w:hAnsi="宋体" w:eastAsia="宋体" w:cs="宋体"/>
          <w:sz w:val="28"/>
          <w:highlight w:val="none"/>
          <w:lang w:val="en-US" w:eastAsia="zh-CN"/>
        </w:rPr>
        <w:t>五</w:t>
      </w:r>
      <w:r>
        <w:rPr>
          <w:rFonts w:hint="eastAsia" w:ascii="宋体" w:hAnsi="宋体" w:eastAsia="宋体" w:cs="宋体"/>
          <w:sz w:val="28"/>
          <w:highlight w:val="none"/>
        </w:rPr>
        <w:t>、</w:t>
      </w:r>
      <w:bookmarkEnd w:id="248"/>
      <w:bookmarkEnd w:id="249"/>
      <w:bookmarkEnd w:id="250"/>
      <w:r>
        <w:rPr>
          <w:rFonts w:hint="eastAsia" w:ascii="宋体" w:hAnsi="宋体" w:eastAsia="宋体" w:cs="宋体"/>
          <w:sz w:val="28"/>
          <w:highlight w:val="none"/>
        </w:rPr>
        <w:t>报价人须知前附表规定的材料</w:t>
      </w:r>
      <w:bookmarkEnd w:id="251"/>
      <w:bookmarkEnd w:id="252"/>
      <w:bookmarkEnd w:id="253"/>
      <w:bookmarkEnd w:id="254"/>
    </w:p>
    <w:p>
      <w:pPr>
        <w:pStyle w:val="4"/>
        <w:jc w:val="center"/>
        <w:rPr>
          <w:rFonts w:hint="eastAsia" w:ascii="宋体" w:hAnsi="宋体" w:cs="宋体"/>
          <w:sz w:val="28"/>
          <w:highlight w:val="none"/>
        </w:rPr>
      </w:pPr>
      <w:bookmarkStart w:id="255" w:name="bookmark81"/>
      <w:bookmarkStart w:id="256" w:name="_Toc503951058"/>
      <w:bookmarkStart w:id="257" w:name="_Toc513633974"/>
      <w:r>
        <w:rPr>
          <w:rFonts w:hint="eastAsia" w:ascii="宋体" w:hAnsi="宋体" w:cs="宋体"/>
          <w:sz w:val="28"/>
          <w:highlight w:val="none"/>
        </w:rPr>
        <w:t>（一）</w:t>
      </w:r>
      <w:bookmarkEnd w:id="255"/>
      <w:bookmarkStart w:id="258" w:name="_Toc507681700"/>
      <w:bookmarkStart w:id="259" w:name="_Toc507681488"/>
      <w:bookmarkStart w:id="260" w:name="_Toc504639215"/>
      <w:r>
        <w:rPr>
          <w:rFonts w:hint="eastAsia" w:ascii="宋体" w:hAnsi="宋体" w:cs="宋体"/>
          <w:sz w:val="28"/>
          <w:highlight w:val="none"/>
        </w:rPr>
        <w:t>报价人自行承诺部分</w:t>
      </w:r>
      <w:bookmarkEnd w:id="258"/>
      <w:bookmarkEnd w:id="259"/>
      <w:bookmarkEnd w:id="260"/>
    </w:p>
    <w:p>
      <w:pPr>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比选文件中要求报价人自行承诺的，由报价人按比选文件要求内容承诺，格式自拟。</w:t>
      </w:r>
    </w:p>
    <w:p>
      <w:pPr>
        <w:pStyle w:val="4"/>
        <w:jc w:val="center"/>
        <w:rPr>
          <w:rFonts w:hint="eastAsia" w:ascii="宋体" w:hAnsi="宋体" w:cs="宋体"/>
          <w:sz w:val="28"/>
          <w:highlight w:val="none"/>
        </w:rPr>
      </w:pPr>
    </w:p>
    <w:p>
      <w:pPr>
        <w:pStyle w:val="4"/>
        <w:jc w:val="center"/>
        <w:rPr>
          <w:rFonts w:hint="eastAsia" w:ascii="宋体" w:hAnsi="宋体" w:cs="宋体"/>
          <w:sz w:val="28"/>
          <w:highlight w:val="none"/>
        </w:rPr>
      </w:pPr>
    </w:p>
    <w:p>
      <w:pPr>
        <w:pStyle w:val="2"/>
        <w:spacing w:before="0" w:after="0" w:line="360" w:lineRule="auto"/>
        <w:jc w:val="center"/>
        <w:rPr>
          <w:rFonts w:hint="eastAsia" w:ascii="宋体" w:hAnsi="宋体" w:eastAsia="宋体" w:cs="宋体"/>
          <w:sz w:val="28"/>
          <w:highlight w:val="none"/>
          <w:lang w:val="en-US" w:eastAsia="zh-CN"/>
        </w:rPr>
      </w:pPr>
      <w:r>
        <w:rPr>
          <w:rFonts w:hint="eastAsia" w:ascii="宋体" w:hAnsi="宋体" w:cs="宋体"/>
          <w:sz w:val="28"/>
          <w:highlight w:val="none"/>
        </w:rPr>
        <w:br w:type="page"/>
      </w:r>
      <w:r>
        <w:rPr>
          <w:rFonts w:hint="eastAsia" w:ascii="宋体" w:hAnsi="宋体" w:eastAsia="宋体" w:cs="宋体"/>
          <w:sz w:val="28"/>
          <w:highlight w:val="none"/>
          <w:lang w:val="en-US" w:eastAsia="zh-CN"/>
        </w:rPr>
        <w:t>六</w:t>
      </w:r>
      <w:r>
        <w:rPr>
          <w:rFonts w:hint="eastAsia" w:ascii="宋体" w:hAnsi="宋体" w:eastAsia="宋体" w:cs="宋体"/>
          <w:sz w:val="28"/>
          <w:highlight w:val="none"/>
        </w:rPr>
        <w:t>、报价人</w:t>
      </w:r>
      <w:r>
        <w:rPr>
          <w:rFonts w:hint="eastAsia" w:ascii="宋体" w:hAnsi="宋体" w:eastAsia="宋体" w:cs="宋体"/>
          <w:sz w:val="28"/>
          <w:highlight w:val="none"/>
          <w:lang w:val="en-US" w:eastAsia="zh-CN"/>
        </w:rPr>
        <w:t>基本信息及其他材料</w:t>
      </w:r>
    </w:p>
    <w:p>
      <w:pPr>
        <w:pStyle w:val="4"/>
        <w:spacing w:before="0" w:after="0" w:line="360" w:lineRule="auto"/>
        <w:jc w:val="center"/>
        <w:rPr>
          <w:sz w:val="28"/>
          <w:szCs w:val="28"/>
          <w:highlight w:val="none"/>
        </w:rPr>
      </w:pPr>
      <w:bookmarkStart w:id="261" w:name="_Toc508110857"/>
      <w:bookmarkStart w:id="262" w:name="_Toc4375"/>
      <w:bookmarkStart w:id="263" w:name="_Toc452107137"/>
      <w:r>
        <w:rPr>
          <w:rFonts w:hint="eastAsia"/>
          <w:sz w:val="28"/>
          <w:szCs w:val="28"/>
          <w:highlight w:val="none"/>
          <w:lang w:eastAsia="zh-CN"/>
        </w:rPr>
        <w:t>（</w:t>
      </w:r>
      <w:r>
        <w:rPr>
          <w:rFonts w:hint="eastAsia"/>
          <w:sz w:val="28"/>
          <w:szCs w:val="28"/>
          <w:highlight w:val="none"/>
          <w:lang w:val="en-US" w:eastAsia="zh-CN"/>
        </w:rPr>
        <w:t>一</w:t>
      </w:r>
      <w:r>
        <w:rPr>
          <w:rFonts w:hint="eastAsia"/>
          <w:sz w:val="28"/>
          <w:szCs w:val="28"/>
          <w:highlight w:val="none"/>
          <w:lang w:eastAsia="zh-CN"/>
        </w:rPr>
        <w:t>）</w:t>
      </w:r>
      <w:r>
        <w:rPr>
          <w:rFonts w:hint="eastAsia"/>
          <w:sz w:val="28"/>
          <w:szCs w:val="28"/>
          <w:highlight w:val="none"/>
        </w:rPr>
        <w:t>报价人基本信息表</w:t>
      </w:r>
      <w:bookmarkEnd w:id="261"/>
      <w:bookmarkEnd w:id="262"/>
      <w:bookmarkEnd w:id="263"/>
    </w:p>
    <w:p>
      <w:pPr>
        <w:pStyle w:val="26"/>
        <w:rPr>
          <w:highlight w:val="none"/>
        </w:rPr>
      </w:pPr>
    </w:p>
    <w:tbl>
      <w:tblPr>
        <w:tblStyle w:val="43"/>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报价人</w:t>
            </w:r>
          </w:p>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default" w:ascii="宋体" w:hAnsi="宋体" w:cs="宋体"/>
                <w:color w:val="000000"/>
                <w:szCs w:val="21"/>
                <w:highlight w:val="none"/>
              </w:rPr>
            </w:pPr>
            <w:r>
              <w:rPr>
                <w:rFonts w:hint="eastAsia" w:ascii="宋体" w:hAnsi="宋体" w:cs="宋体"/>
                <w:color w:val="000000"/>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highlight w:val="none"/>
              </w:rPr>
            </w:pPr>
            <w:r>
              <w:rPr>
                <w:rFonts w:hint="eastAsia" w:ascii="宋体" w:hAnsi="宋体" w:cs="宋体"/>
                <w:color w:val="000000"/>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210" w:firstLineChars="100"/>
              <w:jc w:val="center"/>
              <w:rPr>
                <w:rFonts w:hint="default" w:ascii="宋体" w:hAnsi="宋体" w:cs="宋体"/>
                <w:color w:val="000000"/>
                <w:szCs w:val="21"/>
                <w:highlight w:val="none"/>
              </w:rPr>
            </w:pPr>
            <w:r>
              <w:rPr>
                <w:rFonts w:hint="eastAsia" w:ascii="宋体" w:hAnsi="宋体" w:cs="宋体"/>
                <w:color w:val="000000"/>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keepNext w:val="0"/>
              <w:keepLines w:val="0"/>
              <w:suppressLineNumbers w:val="0"/>
              <w:topLinePunct/>
              <w:spacing w:before="0" w:beforeAutospacing="0" w:after="0" w:afterAutospacing="0" w:line="440" w:lineRule="exact"/>
              <w:ind w:left="0" w:right="0"/>
              <w:rPr>
                <w:rFonts w:hint="default" w:ascii="宋体" w:hAnsi="宋体" w:cs="宋体"/>
                <w:color w:val="000000"/>
                <w:szCs w:val="21"/>
                <w:highlight w:val="none"/>
              </w:rPr>
            </w:pPr>
            <w:r>
              <w:rPr>
                <w:rFonts w:hint="eastAsia" w:ascii="宋体" w:hAnsi="宋体" w:cs="宋体"/>
                <w:color w:val="000000"/>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bl>
    <w:p>
      <w:pPr>
        <w:pStyle w:val="4"/>
        <w:jc w:val="center"/>
        <w:rPr>
          <w:rFonts w:hint="eastAsia" w:ascii="宋体" w:hAnsi="宋体" w:cs="宋体"/>
          <w:sz w:val="28"/>
          <w:highlight w:val="none"/>
          <w:lang w:val="en-US" w:eastAsia="zh-CN"/>
        </w:rPr>
      </w:pPr>
      <w:r>
        <w:rPr>
          <w:rFonts w:hint="eastAsia" w:ascii="宋体" w:hAnsi="宋体" w:cs="宋体"/>
          <w:sz w:val="28"/>
          <w:highlight w:val="none"/>
          <w:lang w:eastAsia="zh-CN"/>
        </w:rPr>
        <w:t>（</w:t>
      </w:r>
      <w:r>
        <w:rPr>
          <w:rFonts w:hint="eastAsia" w:ascii="宋体" w:hAnsi="宋体" w:cs="宋体"/>
          <w:sz w:val="28"/>
          <w:highlight w:val="none"/>
          <w:lang w:val="en-US" w:eastAsia="zh-CN"/>
        </w:rPr>
        <w:t>二</w:t>
      </w:r>
      <w:r>
        <w:rPr>
          <w:rFonts w:hint="eastAsia" w:ascii="宋体" w:hAnsi="宋体" w:cs="宋体"/>
          <w:sz w:val="28"/>
          <w:highlight w:val="none"/>
          <w:lang w:eastAsia="zh-CN"/>
        </w:rPr>
        <w:t>）</w:t>
      </w:r>
      <w:r>
        <w:rPr>
          <w:rFonts w:hint="eastAsia" w:ascii="宋体" w:hAnsi="宋体" w:cs="宋体"/>
          <w:sz w:val="28"/>
          <w:highlight w:val="none"/>
          <w:lang w:val="en-US" w:eastAsia="zh-CN"/>
        </w:rPr>
        <w:t>其他材料</w:t>
      </w:r>
    </w:p>
    <w:p>
      <w:pPr>
        <w:rPr>
          <w:rFonts w:hint="default"/>
          <w:highlight w:val="none"/>
          <w:lang w:val="en-US" w:eastAsia="zh-CN"/>
        </w:rPr>
      </w:pPr>
    </w:p>
    <w:p>
      <w:pPr>
        <w:pStyle w:val="2"/>
        <w:numPr>
          <w:ilvl w:val="0"/>
          <w:numId w:val="0"/>
        </w:numPr>
        <w:spacing w:before="0" w:after="0" w:line="360" w:lineRule="auto"/>
        <w:jc w:val="center"/>
        <w:rPr>
          <w:rFonts w:hint="eastAsia" w:ascii="宋体" w:hAnsi="宋体" w:eastAsia="宋体" w:cs="宋体"/>
          <w:sz w:val="28"/>
          <w:highlight w:val="none"/>
        </w:rPr>
      </w:pPr>
      <w:r>
        <w:rPr>
          <w:rFonts w:hint="eastAsia" w:ascii="宋体" w:hAnsi="宋体" w:eastAsia="宋体" w:cs="宋体"/>
          <w:sz w:val="28"/>
          <w:highlight w:val="none"/>
          <w:lang w:val="en-US" w:eastAsia="zh-CN"/>
        </w:rPr>
        <w:t>七、现场安全负责人承诺</w:t>
      </w:r>
      <w:r>
        <w:rPr>
          <w:rFonts w:hint="eastAsia" w:ascii="宋体" w:hAnsi="宋体" w:eastAsia="宋体" w:cs="宋体"/>
          <w:sz w:val="28"/>
          <w:highlight w:val="none"/>
        </w:rPr>
        <w:t>书</w:t>
      </w:r>
    </w:p>
    <w:p>
      <w:pPr>
        <w:rPr>
          <w:rFonts w:hint="eastAsia"/>
          <w:highlight w:val="none"/>
        </w:rPr>
      </w:pPr>
    </w:p>
    <w:p>
      <w:pPr>
        <w:tabs>
          <w:tab w:val="left" w:pos="900"/>
        </w:tabs>
        <w:spacing w:line="300" w:lineRule="auto"/>
        <w:rPr>
          <w:rFonts w:hint="eastAsia" w:ascii="Arial" w:hAnsi="Arial" w:cs="Arial"/>
          <w:b/>
          <w:bCs/>
          <w:color w:val="000000"/>
          <w:sz w:val="24"/>
          <w:highlight w:val="none"/>
          <w:u w:val="single"/>
          <w:lang w:eastAsia="zh-CN"/>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lang w:eastAsia="zh-CN"/>
        </w:rPr>
        <w:t>重庆首讯科技股份有限公司</w:t>
      </w:r>
    </w:p>
    <w:p>
      <w:pPr>
        <w:spacing w:line="700" w:lineRule="atLeast"/>
        <w:ind w:firstLine="480" w:firstLineChars="200"/>
        <w:rPr>
          <w:rFonts w:hint="eastAsia"/>
          <w:highlight w:val="none"/>
          <w:lang w:val="en-US" w:eastAsia="zh-CN"/>
        </w:rPr>
      </w:pPr>
      <w:r>
        <w:rPr>
          <w:rFonts w:hint="eastAsia" w:ascii="Arial" w:hAnsi="Arial" w:cs="Arial"/>
          <w:color w:val="000000"/>
          <w:sz w:val="24"/>
          <w:highlight w:val="none"/>
        </w:rPr>
        <w:t>根据贵方为</w:t>
      </w:r>
      <w:r>
        <w:rPr>
          <w:rFonts w:hint="eastAsia" w:ascii="Arial" w:hAnsi="Arial" w:cs="Arial"/>
          <w:color w:val="000000"/>
          <w:sz w:val="24"/>
          <w:highlight w:val="none"/>
          <w:u w:val="single"/>
          <w:lang w:val="en-US" w:eastAsia="zh-CN"/>
        </w:rPr>
        <w:t>首讯公司东界龙湖办公用房装修窗帘定制及安装项目</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项目及服务的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邀请，</w:t>
      </w:r>
      <w:r>
        <w:rPr>
          <w:rFonts w:hint="eastAsia" w:ascii="Arial" w:hAnsi="Arial" w:cs="Arial"/>
          <w:color w:val="000000"/>
          <w:sz w:val="24"/>
          <w:highlight w:val="none"/>
          <w:u w:val="single"/>
          <w:lang w:val="en-US" w:eastAsia="zh-CN"/>
        </w:rPr>
        <w:t>（姓名）</w:t>
      </w:r>
      <w:r>
        <w:rPr>
          <w:rFonts w:hint="eastAsia" w:ascii="Arial" w:hAnsi="Arial" w:cs="Arial"/>
          <w:color w:val="000000"/>
          <w:sz w:val="24"/>
          <w:highlight w:val="none"/>
          <w:u w:val="none"/>
          <w:lang w:val="en-US" w:eastAsia="zh-CN"/>
        </w:rPr>
        <w:t>经正式任命为</w:t>
      </w:r>
      <w:r>
        <w:rPr>
          <w:rFonts w:hint="eastAsia" w:ascii="Arial" w:hAnsi="Arial" w:cs="Arial"/>
          <w:color w:val="000000"/>
          <w:sz w:val="24"/>
          <w:highlight w:val="none"/>
          <w:u w:val="single"/>
          <w:lang w:val="en-US" w:eastAsia="zh-CN"/>
        </w:rPr>
        <w:t>首讯公司东界龙湖办公用房装修窗帘定制及安装项目</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项目及服务</w:t>
      </w:r>
      <w:r>
        <w:rPr>
          <w:rFonts w:hint="eastAsia" w:ascii="Arial" w:hAnsi="Arial" w:cs="Arial"/>
          <w:color w:val="000000"/>
          <w:sz w:val="24"/>
          <w:highlight w:val="none"/>
          <w:lang w:val="en-US" w:eastAsia="zh-CN"/>
        </w:rPr>
        <w:t>现场安全负责人，严格遵守国家有关安全生产的法律法规及《首讯公司工程安全生产的违约处理细则》渝高速首讯文〔2019〕40 号等有关安全生产的规定，承诺施工期间在现场开展安全管理工作。</w:t>
      </w:r>
    </w:p>
    <w:p>
      <w:pPr>
        <w:tabs>
          <w:tab w:val="left" w:pos="540"/>
          <w:tab w:val="left" w:pos="900"/>
        </w:tabs>
        <w:spacing w:line="300" w:lineRule="auto"/>
        <w:rPr>
          <w:rFonts w:hint="eastAsia" w:ascii="Arial" w:hAnsi="Arial" w:cs="Arial"/>
          <w:color w:val="auto"/>
          <w:sz w:val="24"/>
          <w:highlight w:val="none"/>
          <w:lang w:val="en-US" w:eastAsia="zh-CN"/>
        </w:rPr>
      </w:pPr>
      <w:r>
        <w:rPr>
          <w:rFonts w:hint="eastAsia" w:ascii="Arial" w:hAnsi="Arial" w:cs="Arial"/>
          <w:color w:val="auto"/>
          <w:sz w:val="24"/>
          <w:highlight w:val="none"/>
          <w:lang w:val="en-US" w:eastAsia="zh-CN"/>
        </w:rPr>
        <w:t xml:space="preserve">    </w:t>
      </w:r>
    </w:p>
    <w:p>
      <w:pPr>
        <w:pStyle w:val="28"/>
        <w:rPr>
          <w:rFonts w:hint="default" w:ascii="Arial" w:hAnsi="Arial" w:eastAsia="宋体" w:cs="Arial"/>
          <w:b/>
          <w:bCs/>
          <w:caps w:val="0"/>
          <w:color w:val="000000"/>
          <w:kern w:val="2"/>
          <w:sz w:val="24"/>
          <w:szCs w:val="24"/>
          <w:highlight w:val="none"/>
          <w:lang w:val="en-US" w:eastAsia="zh-CN" w:bidi="ar-SA"/>
        </w:rPr>
      </w:pPr>
    </w:p>
    <w:p>
      <w:pPr>
        <w:rPr>
          <w:rFonts w:hint="default" w:ascii="Arial" w:hAnsi="Arial" w:eastAsia="宋体" w:cs="Arial"/>
          <w:b/>
          <w:bCs/>
          <w:caps w:val="0"/>
          <w:color w:val="000000"/>
          <w:kern w:val="2"/>
          <w:sz w:val="24"/>
          <w:szCs w:val="24"/>
          <w:highlight w:val="none"/>
          <w:lang w:val="en-US" w:eastAsia="zh-CN" w:bidi="ar-SA"/>
        </w:rPr>
      </w:pPr>
    </w:p>
    <w:p>
      <w:pPr>
        <w:pStyle w:val="28"/>
        <w:rPr>
          <w:rFonts w:hint="default" w:ascii="Arial" w:hAnsi="Arial" w:eastAsia="宋体" w:cs="Arial"/>
          <w:b/>
          <w:bCs/>
          <w:caps w:val="0"/>
          <w:color w:val="000000"/>
          <w:kern w:val="2"/>
          <w:sz w:val="24"/>
          <w:szCs w:val="24"/>
          <w:highlight w:val="none"/>
          <w:lang w:val="en-US" w:eastAsia="zh-CN" w:bidi="ar-SA"/>
        </w:rPr>
      </w:pPr>
    </w:p>
    <w:p>
      <w:pPr>
        <w:rPr>
          <w:rFonts w:hint="default" w:ascii="Arial" w:hAnsi="Arial" w:eastAsia="宋体" w:cs="Arial"/>
          <w:b/>
          <w:bCs/>
          <w:caps w:val="0"/>
          <w:color w:val="000000"/>
          <w:kern w:val="2"/>
          <w:sz w:val="24"/>
          <w:szCs w:val="24"/>
          <w:highlight w:val="none"/>
          <w:lang w:val="en-US" w:eastAsia="zh-CN" w:bidi="ar-SA"/>
        </w:rPr>
      </w:pPr>
    </w:p>
    <w:p>
      <w:pPr>
        <w:rPr>
          <w:rFonts w:hint="default" w:ascii="Arial" w:hAnsi="Arial" w:eastAsia="宋体" w:cs="Arial"/>
          <w:b/>
          <w:bCs/>
          <w:caps w:val="0"/>
          <w:color w:val="000000"/>
          <w:kern w:val="2"/>
          <w:sz w:val="24"/>
          <w:szCs w:val="24"/>
          <w:highlight w:val="none"/>
          <w:lang w:val="en-US" w:eastAsia="zh-CN" w:bidi="ar-SA"/>
        </w:rPr>
      </w:pPr>
    </w:p>
    <w:p>
      <w:pPr>
        <w:pStyle w:val="28"/>
        <w:jc w:val="both"/>
        <w:rPr>
          <w:rFonts w:hint="default" w:ascii="Arial" w:hAnsi="Arial" w:eastAsia="宋体" w:cs="Arial"/>
          <w:b/>
          <w:bCs/>
          <w:caps w:val="0"/>
          <w:color w:val="000000"/>
          <w:kern w:val="2"/>
          <w:sz w:val="24"/>
          <w:szCs w:val="24"/>
          <w:highlight w:val="none"/>
          <w:u w:val="single"/>
          <w:lang w:val="en-US" w:eastAsia="zh-CN" w:bidi="ar-SA"/>
        </w:rPr>
      </w:pPr>
      <w:r>
        <w:rPr>
          <w:rFonts w:hint="default" w:ascii="Arial" w:hAnsi="Arial" w:eastAsia="宋体" w:cs="Arial"/>
          <w:b/>
          <w:bCs/>
          <w:caps w:val="0"/>
          <w:color w:val="000000"/>
          <w:kern w:val="2"/>
          <w:sz w:val="24"/>
          <w:szCs w:val="24"/>
          <w:highlight w:val="none"/>
          <w:lang w:val="en-US" w:eastAsia="zh-CN" w:bidi="ar-SA"/>
        </w:rPr>
        <w:t>竞争比选响应单位</w:t>
      </w:r>
      <w:r>
        <w:rPr>
          <w:rFonts w:hint="eastAsia" w:ascii="Arial" w:hAnsi="Arial" w:cs="Arial"/>
          <w:b/>
          <w:bCs/>
          <w:caps w:val="0"/>
          <w:color w:val="000000"/>
          <w:kern w:val="2"/>
          <w:sz w:val="24"/>
          <w:szCs w:val="24"/>
          <w:highlight w:val="none"/>
          <w:lang w:val="en-US" w:eastAsia="zh-CN" w:bidi="ar-SA"/>
        </w:rPr>
        <w:t>现场安全负责人</w:t>
      </w:r>
      <w:r>
        <w:rPr>
          <w:rFonts w:hint="default" w:ascii="Arial" w:hAnsi="Arial" w:eastAsia="宋体" w:cs="Arial"/>
          <w:b/>
          <w:bCs/>
          <w:caps w:val="0"/>
          <w:color w:val="000000"/>
          <w:kern w:val="2"/>
          <w:sz w:val="24"/>
          <w:szCs w:val="24"/>
          <w:highlight w:val="none"/>
          <w:lang w:val="en-US" w:eastAsia="zh-CN" w:bidi="ar-SA"/>
        </w:rPr>
        <w:t>（签字）：</w:t>
      </w:r>
      <w:r>
        <w:rPr>
          <w:rFonts w:hint="eastAsia" w:ascii="Arial" w:hAnsi="Arial" w:cs="Arial"/>
          <w:b/>
          <w:bCs/>
          <w:caps w:val="0"/>
          <w:color w:val="000000"/>
          <w:kern w:val="2"/>
          <w:sz w:val="24"/>
          <w:szCs w:val="24"/>
          <w:highlight w:val="none"/>
          <w:u w:val="single"/>
          <w:lang w:val="en-US" w:eastAsia="zh-CN" w:bidi="ar-SA"/>
        </w:rPr>
        <w:t xml:space="preserve">               </w:t>
      </w:r>
    </w:p>
    <w:p>
      <w:pPr>
        <w:pStyle w:val="28"/>
        <w:jc w:val="both"/>
        <w:rPr>
          <w:rFonts w:hint="default" w:ascii="Arial" w:hAnsi="Arial" w:eastAsia="宋体" w:cs="Arial"/>
          <w:b/>
          <w:bCs/>
          <w:caps w:val="0"/>
          <w:color w:val="000000"/>
          <w:kern w:val="2"/>
          <w:sz w:val="24"/>
          <w:szCs w:val="24"/>
          <w:highlight w:val="none"/>
          <w:lang w:val="en-US" w:eastAsia="zh-CN" w:bidi="ar-SA"/>
        </w:rPr>
      </w:pPr>
      <w:r>
        <w:rPr>
          <w:rFonts w:hint="default" w:ascii="Arial" w:hAnsi="Arial" w:eastAsia="宋体" w:cs="Arial"/>
          <w:b/>
          <w:bCs/>
          <w:caps w:val="0"/>
          <w:color w:val="000000"/>
          <w:kern w:val="2"/>
          <w:sz w:val="24"/>
          <w:szCs w:val="24"/>
          <w:highlight w:val="none"/>
          <w:lang w:val="en-US" w:eastAsia="zh-CN" w:bidi="ar-SA"/>
        </w:rPr>
        <w:t>竞争比选响应单位名称（加盖公章）：</w:t>
      </w:r>
    </w:p>
    <w:p>
      <w:pPr>
        <w:pStyle w:val="28"/>
        <w:jc w:val="both"/>
        <w:rPr>
          <w:rFonts w:hint="default" w:ascii="Arial" w:hAnsi="Arial" w:eastAsia="宋体" w:cs="Arial"/>
          <w:b/>
          <w:bCs/>
          <w:caps w:val="0"/>
          <w:color w:val="000000"/>
          <w:kern w:val="2"/>
          <w:sz w:val="24"/>
          <w:szCs w:val="24"/>
          <w:highlight w:val="none"/>
          <w:lang w:val="en-US" w:eastAsia="zh-CN" w:bidi="ar-SA"/>
        </w:rPr>
      </w:pPr>
      <w:r>
        <w:rPr>
          <w:rFonts w:hint="default" w:ascii="Arial" w:hAnsi="Arial" w:eastAsia="宋体" w:cs="Arial"/>
          <w:b/>
          <w:bCs/>
          <w:caps w:val="0"/>
          <w:color w:val="000000"/>
          <w:kern w:val="2"/>
          <w:sz w:val="24"/>
          <w:szCs w:val="24"/>
          <w:highlight w:val="none"/>
          <w:lang w:val="en-US" w:eastAsia="zh-CN" w:bidi="ar-SA"/>
        </w:rPr>
        <w:t>日期：</w:t>
      </w:r>
      <w:r>
        <w:rPr>
          <w:rFonts w:hint="default" w:ascii="Arial" w:hAnsi="Arial" w:eastAsia="宋体" w:cs="Arial"/>
          <w:b/>
          <w:bCs/>
          <w:caps w:val="0"/>
          <w:color w:val="000000"/>
          <w:kern w:val="2"/>
          <w:sz w:val="24"/>
          <w:szCs w:val="24"/>
          <w:highlight w:val="none"/>
          <w:u w:val="single"/>
          <w:lang w:val="en-US" w:eastAsia="zh-CN" w:bidi="ar-SA"/>
        </w:rPr>
        <w:t xml:space="preserve">     </w:t>
      </w:r>
      <w:r>
        <w:rPr>
          <w:rFonts w:hint="default" w:ascii="Arial" w:hAnsi="Arial" w:eastAsia="宋体" w:cs="Arial"/>
          <w:b/>
          <w:bCs/>
          <w:caps w:val="0"/>
          <w:color w:val="000000"/>
          <w:kern w:val="2"/>
          <w:sz w:val="24"/>
          <w:szCs w:val="24"/>
          <w:highlight w:val="none"/>
          <w:lang w:val="en-US" w:eastAsia="zh-CN" w:bidi="ar-SA"/>
        </w:rPr>
        <w:t>年</w:t>
      </w:r>
      <w:r>
        <w:rPr>
          <w:rFonts w:hint="default" w:ascii="Arial" w:hAnsi="Arial" w:eastAsia="宋体" w:cs="Arial"/>
          <w:b/>
          <w:bCs/>
          <w:caps w:val="0"/>
          <w:color w:val="000000"/>
          <w:kern w:val="2"/>
          <w:sz w:val="24"/>
          <w:szCs w:val="24"/>
          <w:highlight w:val="none"/>
          <w:u w:val="single"/>
          <w:lang w:val="en-US" w:eastAsia="zh-CN" w:bidi="ar-SA"/>
        </w:rPr>
        <w:t xml:space="preserve">      </w:t>
      </w:r>
      <w:r>
        <w:rPr>
          <w:rFonts w:hint="default" w:ascii="Arial" w:hAnsi="Arial" w:eastAsia="宋体" w:cs="Arial"/>
          <w:b/>
          <w:bCs/>
          <w:caps w:val="0"/>
          <w:color w:val="000000"/>
          <w:kern w:val="2"/>
          <w:sz w:val="24"/>
          <w:szCs w:val="24"/>
          <w:highlight w:val="none"/>
          <w:lang w:val="en-US" w:eastAsia="zh-CN" w:bidi="ar-SA"/>
        </w:rPr>
        <w:t>月</w:t>
      </w:r>
      <w:r>
        <w:rPr>
          <w:rFonts w:hint="default" w:ascii="Arial" w:hAnsi="Arial" w:eastAsia="宋体" w:cs="Arial"/>
          <w:b/>
          <w:bCs/>
          <w:caps w:val="0"/>
          <w:color w:val="000000"/>
          <w:kern w:val="2"/>
          <w:sz w:val="24"/>
          <w:szCs w:val="24"/>
          <w:highlight w:val="none"/>
          <w:u w:val="single"/>
          <w:lang w:val="en-US" w:eastAsia="zh-CN" w:bidi="ar-SA"/>
        </w:rPr>
        <w:t xml:space="preserve">      </w:t>
      </w:r>
      <w:r>
        <w:rPr>
          <w:rFonts w:hint="default" w:ascii="Arial" w:hAnsi="Arial" w:eastAsia="宋体" w:cs="Arial"/>
          <w:b/>
          <w:bCs/>
          <w:caps w:val="0"/>
          <w:color w:val="000000"/>
          <w:kern w:val="2"/>
          <w:sz w:val="24"/>
          <w:szCs w:val="24"/>
          <w:highlight w:val="none"/>
          <w:lang w:val="en-US" w:eastAsia="zh-CN" w:bidi="ar-SA"/>
        </w:rPr>
        <w:t>日</w:t>
      </w:r>
    </w:p>
    <w:p>
      <w:pPr>
        <w:pStyle w:val="28"/>
        <w:rPr>
          <w:rFonts w:hint="default" w:ascii="Arial" w:hAnsi="Arial" w:eastAsia="宋体" w:cs="Arial"/>
          <w:b/>
          <w:bCs/>
          <w:caps w:val="0"/>
          <w:color w:val="000000"/>
          <w:kern w:val="2"/>
          <w:sz w:val="24"/>
          <w:szCs w:val="24"/>
          <w:highlight w:val="none"/>
          <w:lang w:val="en-US" w:eastAsia="zh-CN" w:bidi="ar-SA"/>
        </w:rPr>
      </w:pPr>
    </w:p>
    <w:p>
      <w:pPr>
        <w:rPr>
          <w:rFonts w:hint="default" w:ascii="Arial" w:hAnsi="Arial" w:eastAsia="宋体" w:cs="Arial"/>
          <w:b/>
          <w:bCs/>
          <w:caps w:val="0"/>
          <w:color w:val="000000"/>
          <w:kern w:val="2"/>
          <w:sz w:val="24"/>
          <w:szCs w:val="24"/>
          <w:highlight w:val="none"/>
          <w:lang w:val="en-US" w:eastAsia="zh-CN" w:bidi="ar-SA"/>
        </w:rPr>
      </w:pPr>
    </w:p>
    <w:p>
      <w:pPr>
        <w:pStyle w:val="28"/>
        <w:rPr>
          <w:rFonts w:hint="default" w:ascii="Arial" w:hAnsi="Arial" w:eastAsia="宋体" w:cs="Arial"/>
          <w:b/>
          <w:bCs/>
          <w:caps w:val="0"/>
          <w:color w:val="000000"/>
          <w:kern w:val="2"/>
          <w:sz w:val="24"/>
          <w:szCs w:val="24"/>
          <w:highlight w:val="none"/>
          <w:lang w:val="en-US" w:eastAsia="zh-CN" w:bidi="ar-SA"/>
        </w:rPr>
      </w:pPr>
    </w:p>
    <w:p>
      <w:pPr>
        <w:pStyle w:val="28"/>
        <w:rPr>
          <w:rFonts w:hint="default" w:ascii="Arial" w:hAnsi="Arial" w:eastAsia="宋体" w:cs="Arial"/>
          <w:b/>
          <w:bCs/>
          <w:caps w:val="0"/>
          <w:color w:val="000000"/>
          <w:kern w:val="2"/>
          <w:sz w:val="24"/>
          <w:szCs w:val="24"/>
          <w:highlight w:val="none"/>
          <w:lang w:val="en-US" w:eastAsia="zh-CN" w:bidi="ar-SA"/>
        </w:rPr>
      </w:pPr>
    </w:p>
    <w:bookmarkEnd w:id="256"/>
    <w:bookmarkEnd w:id="257"/>
    <w:p>
      <w:pPr>
        <w:pStyle w:val="28"/>
        <w:rPr>
          <w:rFonts w:hint="eastAsia"/>
          <w:highlight w:val="none"/>
        </w:r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47C00EA-5F4E-4861-BDD4-736E0B28153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7"/>
      </w:rPr>
    </w:pPr>
    <w:r>
      <w:fldChar w:fldCharType="begin"/>
    </w:r>
    <w:r>
      <w:rPr>
        <w:rStyle w:val="47"/>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eastAsia="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eastAsia="zh-CN"/>
      </w:rPr>
      <w:t>35</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lang w:val="en-US" w:eastAsia="zh-CN"/>
      </w:rPr>
      <w:t>73</w:t>
    </w:r>
    <w:r>
      <w:fldChar w:fldCharType="end"/>
    </w:r>
  </w:p>
  <w:p>
    <w:pPr>
      <w:pStyle w:val="26"/>
      <w:ind w:right="360"/>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6"/>
      <w:ind w:right="360"/>
      <w:jc w:val="cente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EFD19"/>
    <w:multiLevelType w:val="singleLevel"/>
    <w:tmpl w:val="A71EFD19"/>
    <w:lvl w:ilvl="0" w:tentative="0">
      <w:start w:val="1"/>
      <w:numFmt w:val="decimal"/>
      <w:lvlText w:val="%1."/>
      <w:lvlJc w:val="left"/>
      <w:pPr>
        <w:tabs>
          <w:tab w:val="left" w:pos="312"/>
        </w:tabs>
      </w:pPr>
    </w:lvl>
  </w:abstractNum>
  <w:abstractNum w:abstractNumId="1">
    <w:nsid w:val="A7AF1576"/>
    <w:multiLevelType w:val="singleLevel"/>
    <w:tmpl w:val="A7AF1576"/>
    <w:lvl w:ilvl="0" w:tentative="0">
      <w:start w:val="1"/>
      <w:numFmt w:val="decimal"/>
      <w:lvlText w:val="%1."/>
      <w:lvlJc w:val="left"/>
      <w:pPr>
        <w:tabs>
          <w:tab w:val="left" w:pos="312"/>
        </w:tabs>
      </w:pPr>
      <w:rPr>
        <w:rFonts w:hint="default" w:ascii="宋体" w:hAnsi="宋体" w:eastAsia="宋体" w:cs="宋体"/>
        <w:color w:val="auto"/>
      </w:rPr>
    </w:lvl>
  </w:abstractNum>
  <w:abstractNum w:abstractNumId="2">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3871CE1D"/>
    <w:multiLevelType w:val="singleLevel"/>
    <w:tmpl w:val="3871CE1D"/>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4ZTE3MDNmMTVhZmUyYzdkNDYyZWE3MDVjYmJhMDE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3989"/>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4380B"/>
    <w:rsid w:val="01852BD3"/>
    <w:rsid w:val="018A6C3C"/>
    <w:rsid w:val="01A8609A"/>
    <w:rsid w:val="01E05F01"/>
    <w:rsid w:val="020C0D2B"/>
    <w:rsid w:val="02195A53"/>
    <w:rsid w:val="02375428"/>
    <w:rsid w:val="029D41FE"/>
    <w:rsid w:val="02A800C5"/>
    <w:rsid w:val="02C6499B"/>
    <w:rsid w:val="02C91CAA"/>
    <w:rsid w:val="02D0709E"/>
    <w:rsid w:val="037D0CD2"/>
    <w:rsid w:val="038B3366"/>
    <w:rsid w:val="03981B5E"/>
    <w:rsid w:val="03996EAD"/>
    <w:rsid w:val="03F60BFA"/>
    <w:rsid w:val="04023CC8"/>
    <w:rsid w:val="042674F4"/>
    <w:rsid w:val="042D3C13"/>
    <w:rsid w:val="04722D72"/>
    <w:rsid w:val="047A0BBC"/>
    <w:rsid w:val="04933E65"/>
    <w:rsid w:val="04C12ED8"/>
    <w:rsid w:val="04DC5749"/>
    <w:rsid w:val="04E26FED"/>
    <w:rsid w:val="04E41F94"/>
    <w:rsid w:val="04FD6633"/>
    <w:rsid w:val="052E2B3B"/>
    <w:rsid w:val="054416D2"/>
    <w:rsid w:val="05507F0F"/>
    <w:rsid w:val="055A4D20"/>
    <w:rsid w:val="05871A0A"/>
    <w:rsid w:val="05A42E7B"/>
    <w:rsid w:val="05A70EA9"/>
    <w:rsid w:val="05D55D36"/>
    <w:rsid w:val="060C2525"/>
    <w:rsid w:val="062756FD"/>
    <w:rsid w:val="065F7A31"/>
    <w:rsid w:val="067C53E7"/>
    <w:rsid w:val="06820F5E"/>
    <w:rsid w:val="06A7180A"/>
    <w:rsid w:val="06AE2ABA"/>
    <w:rsid w:val="06BA1001"/>
    <w:rsid w:val="06C75DF5"/>
    <w:rsid w:val="06DD02BB"/>
    <w:rsid w:val="06E71F51"/>
    <w:rsid w:val="06F965AD"/>
    <w:rsid w:val="07050666"/>
    <w:rsid w:val="071C4DB7"/>
    <w:rsid w:val="07362674"/>
    <w:rsid w:val="073B54B2"/>
    <w:rsid w:val="07537EF9"/>
    <w:rsid w:val="07815EE7"/>
    <w:rsid w:val="081748AE"/>
    <w:rsid w:val="08635851"/>
    <w:rsid w:val="08C2359B"/>
    <w:rsid w:val="09041814"/>
    <w:rsid w:val="092D7BDC"/>
    <w:rsid w:val="09332D2B"/>
    <w:rsid w:val="093E2D64"/>
    <w:rsid w:val="09455F12"/>
    <w:rsid w:val="09472203"/>
    <w:rsid w:val="098B1DA7"/>
    <w:rsid w:val="09907951"/>
    <w:rsid w:val="099F43E4"/>
    <w:rsid w:val="09A31A61"/>
    <w:rsid w:val="09BA7A85"/>
    <w:rsid w:val="09DE1094"/>
    <w:rsid w:val="09E2475B"/>
    <w:rsid w:val="0A207013"/>
    <w:rsid w:val="0A3F34B7"/>
    <w:rsid w:val="0A4B11BE"/>
    <w:rsid w:val="0A7B4003"/>
    <w:rsid w:val="0A8E5B8D"/>
    <w:rsid w:val="0AA240FA"/>
    <w:rsid w:val="0AAC0CBB"/>
    <w:rsid w:val="0AD84BD3"/>
    <w:rsid w:val="0AE941D3"/>
    <w:rsid w:val="0AFA761E"/>
    <w:rsid w:val="0B1061C6"/>
    <w:rsid w:val="0B2B08D5"/>
    <w:rsid w:val="0B9874FD"/>
    <w:rsid w:val="0BA35012"/>
    <w:rsid w:val="0BB825ED"/>
    <w:rsid w:val="0BC0647C"/>
    <w:rsid w:val="0BD7624B"/>
    <w:rsid w:val="0BF26817"/>
    <w:rsid w:val="0C22464A"/>
    <w:rsid w:val="0C2B72AE"/>
    <w:rsid w:val="0C517E31"/>
    <w:rsid w:val="0C623EAC"/>
    <w:rsid w:val="0C946488"/>
    <w:rsid w:val="0CAB3827"/>
    <w:rsid w:val="0CAD24AF"/>
    <w:rsid w:val="0CB27F34"/>
    <w:rsid w:val="0D0D3F93"/>
    <w:rsid w:val="0D12389F"/>
    <w:rsid w:val="0D2820B7"/>
    <w:rsid w:val="0D2B5BA2"/>
    <w:rsid w:val="0D2F6875"/>
    <w:rsid w:val="0D33523D"/>
    <w:rsid w:val="0D662EE5"/>
    <w:rsid w:val="0D6A3AE7"/>
    <w:rsid w:val="0D860EC5"/>
    <w:rsid w:val="0D9339BE"/>
    <w:rsid w:val="0D9E6A67"/>
    <w:rsid w:val="0D9F0DC4"/>
    <w:rsid w:val="0DC02AA1"/>
    <w:rsid w:val="0DDE695A"/>
    <w:rsid w:val="0DF73A5B"/>
    <w:rsid w:val="0E1037E5"/>
    <w:rsid w:val="0E164CA8"/>
    <w:rsid w:val="0E231949"/>
    <w:rsid w:val="0E2D072E"/>
    <w:rsid w:val="0E3B295D"/>
    <w:rsid w:val="0E47249B"/>
    <w:rsid w:val="0E551882"/>
    <w:rsid w:val="0E7306EC"/>
    <w:rsid w:val="0E963048"/>
    <w:rsid w:val="0EAD7E50"/>
    <w:rsid w:val="0EB254B2"/>
    <w:rsid w:val="0EFB3F5D"/>
    <w:rsid w:val="0F041CC7"/>
    <w:rsid w:val="0F042317"/>
    <w:rsid w:val="0F1209F8"/>
    <w:rsid w:val="0F4C19DA"/>
    <w:rsid w:val="0F4C7D05"/>
    <w:rsid w:val="0F4F31AF"/>
    <w:rsid w:val="0F5F17BD"/>
    <w:rsid w:val="0F6B0BDE"/>
    <w:rsid w:val="0F90531D"/>
    <w:rsid w:val="0FAD64B5"/>
    <w:rsid w:val="0FB21FD4"/>
    <w:rsid w:val="0FFF5930"/>
    <w:rsid w:val="10343FB5"/>
    <w:rsid w:val="10A265EF"/>
    <w:rsid w:val="10EC4A0F"/>
    <w:rsid w:val="11156FC6"/>
    <w:rsid w:val="11485B0D"/>
    <w:rsid w:val="114C7209"/>
    <w:rsid w:val="1154158B"/>
    <w:rsid w:val="11677BA5"/>
    <w:rsid w:val="117076B2"/>
    <w:rsid w:val="119E6579"/>
    <w:rsid w:val="11D435DD"/>
    <w:rsid w:val="11DA3C43"/>
    <w:rsid w:val="1220326C"/>
    <w:rsid w:val="123A67B6"/>
    <w:rsid w:val="125670E6"/>
    <w:rsid w:val="125E1A9C"/>
    <w:rsid w:val="1276289F"/>
    <w:rsid w:val="1288522D"/>
    <w:rsid w:val="129D6A95"/>
    <w:rsid w:val="12AF4046"/>
    <w:rsid w:val="12CE506D"/>
    <w:rsid w:val="12D036D1"/>
    <w:rsid w:val="12F65490"/>
    <w:rsid w:val="12F73D2A"/>
    <w:rsid w:val="12F9698E"/>
    <w:rsid w:val="13112273"/>
    <w:rsid w:val="131C7C5D"/>
    <w:rsid w:val="13511DF6"/>
    <w:rsid w:val="1359610F"/>
    <w:rsid w:val="138B4634"/>
    <w:rsid w:val="138F1214"/>
    <w:rsid w:val="13BF412F"/>
    <w:rsid w:val="13C00A21"/>
    <w:rsid w:val="13D101C7"/>
    <w:rsid w:val="1400440E"/>
    <w:rsid w:val="142669A3"/>
    <w:rsid w:val="14301CC2"/>
    <w:rsid w:val="143805F9"/>
    <w:rsid w:val="144729D8"/>
    <w:rsid w:val="148530C5"/>
    <w:rsid w:val="148E78CB"/>
    <w:rsid w:val="149F4D92"/>
    <w:rsid w:val="14A13E6D"/>
    <w:rsid w:val="14AB614D"/>
    <w:rsid w:val="14B96C2B"/>
    <w:rsid w:val="15067DFC"/>
    <w:rsid w:val="15436E45"/>
    <w:rsid w:val="15507C7E"/>
    <w:rsid w:val="15664AEF"/>
    <w:rsid w:val="158E23E1"/>
    <w:rsid w:val="159D7EA6"/>
    <w:rsid w:val="159F1BF9"/>
    <w:rsid w:val="15B71B1D"/>
    <w:rsid w:val="15E63361"/>
    <w:rsid w:val="160B0227"/>
    <w:rsid w:val="16864176"/>
    <w:rsid w:val="16E04880"/>
    <w:rsid w:val="16F86032"/>
    <w:rsid w:val="17081A7A"/>
    <w:rsid w:val="17292C0C"/>
    <w:rsid w:val="176F50FE"/>
    <w:rsid w:val="17D10049"/>
    <w:rsid w:val="17DD0B49"/>
    <w:rsid w:val="17F1563C"/>
    <w:rsid w:val="17F23C73"/>
    <w:rsid w:val="180F3B80"/>
    <w:rsid w:val="181B1411"/>
    <w:rsid w:val="181C1400"/>
    <w:rsid w:val="18223BBF"/>
    <w:rsid w:val="18406E44"/>
    <w:rsid w:val="185C1918"/>
    <w:rsid w:val="1880349D"/>
    <w:rsid w:val="18D435BC"/>
    <w:rsid w:val="18E261BC"/>
    <w:rsid w:val="18E6320F"/>
    <w:rsid w:val="19193365"/>
    <w:rsid w:val="19261639"/>
    <w:rsid w:val="195D5C0E"/>
    <w:rsid w:val="19B116AD"/>
    <w:rsid w:val="19B64CC2"/>
    <w:rsid w:val="19BA69A5"/>
    <w:rsid w:val="19DF6D3F"/>
    <w:rsid w:val="19E24459"/>
    <w:rsid w:val="19EF2451"/>
    <w:rsid w:val="1A194A1B"/>
    <w:rsid w:val="1A305FF4"/>
    <w:rsid w:val="1A3D7EBE"/>
    <w:rsid w:val="1A4353A0"/>
    <w:rsid w:val="1A557489"/>
    <w:rsid w:val="1AF45443"/>
    <w:rsid w:val="1B075A0C"/>
    <w:rsid w:val="1B67066F"/>
    <w:rsid w:val="1B7229E4"/>
    <w:rsid w:val="1B7A5EC7"/>
    <w:rsid w:val="1B8E5EC0"/>
    <w:rsid w:val="1BBE47DE"/>
    <w:rsid w:val="1C2613A8"/>
    <w:rsid w:val="1C477E44"/>
    <w:rsid w:val="1C9B22E2"/>
    <w:rsid w:val="1CA53B30"/>
    <w:rsid w:val="1CB33990"/>
    <w:rsid w:val="1CF6260F"/>
    <w:rsid w:val="1CF83AEA"/>
    <w:rsid w:val="1CF911FC"/>
    <w:rsid w:val="1D34223E"/>
    <w:rsid w:val="1D6914D5"/>
    <w:rsid w:val="1D7C7A22"/>
    <w:rsid w:val="1D7E09CF"/>
    <w:rsid w:val="1D9F1A69"/>
    <w:rsid w:val="1DB50BD0"/>
    <w:rsid w:val="1DE41480"/>
    <w:rsid w:val="1E2139B7"/>
    <w:rsid w:val="1E7A14A8"/>
    <w:rsid w:val="1E7F32B0"/>
    <w:rsid w:val="1EBA058B"/>
    <w:rsid w:val="1EBB622E"/>
    <w:rsid w:val="1EDD751C"/>
    <w:rsid w:val="1EE170B7"/>
    <w:rsid w:val="1EEA13A6"/>
    <w:rsid w:val="1EFE64E9"/>
    <w:rsid w:val="1F6207D0"/>
    <w:rsid w:val="1FCA360B"/>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1641D5"/>
    <w:rsid w:val="212B522B"/>
    <w:rsid w:val="21736537"/>
    <w:rsid w:val="21977807"/>
    <w:rsid w:val="219A6D4B"/>
    <w:rsid w:val="21B32189"/>
    <w:rsid w:val="21C2735E"/>
    <w:rsid w:val="21E57FA3"/>
    <w:rsid w:val="21FB5A74"/>
    <w:rsid w:val="226827C0"/>
    <w:rsid w:val="227C6EFF"/>
    <w:rsid w:val="22942795"/>
    <w:rsid w:val="22A10D06"/>
    <w:rsid w:val="22B665A5"/>
    <w:rsid w:val="22C925E0"/>
    <w:rsid w:val="22D84291"/>
    <w:rsid w:val="22E46F4A"/>
    <w:rsid w:val="22F20159"/>
    <w:rsid w:val="23005537"/>
    <w:rsid w:val="232C54A8"/>
    <w:rsid w:val="233C2C53"/>
    <w:rsid w:val="23486890"/>
    <w:rsid w:val="236F1F61"/>
    <w:rsid w:val="23AB4CDF"/>
    <w:rsid w:val="23C37A75"/>
    <w:rsid w:val="240404D0"/>
    <w:rsid w:val="24220F3E"/>
    <w:rsid w:val="2423604B"/>
    <w:rsid w:val="243A3F7E"/>
    <w:rsid w:val="24436391"/>
    <w:rsid w:val="2450121E"/>
    <w:rsid w:val="247A4C56"/>
    <w:rsid w:val="2487622C"/>
    <w:rsid w:val="24973094"/>
    <w:rsid w:val="24AD6D9A"/>
    <w:rsid w:val="24E85B0E"/>
    <w:rsid w:val="251418FC"/>
    <w:rsid w:val="255249D2"/>
    <w:rsid w:val="25712B23"/>
    <w:rsid w:val="25A845B3"/>
    <w:rsid w:val="25EB71B7"/>
    <w:rsid w:val="26154215"/>
    <w:rsid w:val="261A0BE6"/>
    <w:rsid w:val="263C7691"/>
    <w:rsid w:val="265E2776"/>
    <w:rsid w:val="26666FDC"/>
    <w:rsid w:val="26963D4E"/>
    <w:rsid w:val="26AB763C"/>
    <w:rsid w:val="26B267E7"/>
    <w:rsid w:val="26D794B7"/>
    <w:rsid w:val="26F131DC"/>
    <w:rsid w:val="26F65310"/>
    <w:rsid w:val="27052D05"/>
    <w:rsid w:val="27082804"/>
    <w:rsid w:val="270832AE"/>
    <w:rsid w:val="27357F9F"/>
    <w:rsid w:val="275E35BF"/>
    <w:rsid w:val="27A4553F"/>
    <w:rsid w:val="27D35135"/>
    <w:rsid w:val="27EF1935"/>
    <w:rsid w:val="280A1B75"/>
    <w:rsid w:val="28257458"/>
    <w:rsid w:val="283962F8"/>
    <w:rsid w:val="287A36F4"/>
    <w:rsid w:val="288458E7"/>
    <w:rsid w:val="28A33A20"/>
    <w:rsid w:val="28A47F17"/>
    <w:rsid w:val="28FE6071"/>
    <w:rsid w:val="290212C1"/>
    <w:rsid w:val="290D5ED8"/>
    <w:rsid w:val="29656DCE"/>
    <w:rsid w:val="29722140"/>
    <w:rsid w:val="298B4B23"/>
    <w:rsid w:val="29AD63FD"/>
    <w:rsid w:val="29B71FDB"/>
    <w:rsid w:val="29CF18DD"/>
    <w:rsid w:val="29D65D23"/>
    <w:rsid w:val="29D875FE"/>
    <w:rsid w:val="2A194E5D"/>
    <w:rsid w:val="2A21554B"/>
    <w:rsid w:val="2A336C65"/>
    <w:rsid w:val="2A594BC2"/>
    <w:rsid w:val="2A9F7561"/>
    <w:rsid w:val="2AA90FA0"/>
    <w:rsid w:val="2AB103DC"/>
    <w:rsid w:val="2AB31CE2"/>
    <w:rsid w:val="2AB55266"/>
    <w:rsid w:val="2AEC556D"/>
    <w:rsid w:val="2AF000D8"/>
    <w:rsid w:val="2B487382"/>
    <w:rsid w:val="2B552F60"/>
    <w:rsid w:val="2B7841A6"/>
    <w:rsid w:val="2BB367B9"/>
    <w:rsid w:val="2C13380B"/>
    <w:rsid w:val="2C184D47"/>
    <w:rsid w:val="2C796A89"/>
    <w:rsid w:val="2CBD3A96"/>
    <w:rsid w:val="2CC74339"/>
    <w:rsid w:val="2CCC23F7"/>
    <w:rsid w:val="2CCE1414"/>
    <w:rsid w:val="2CF93ABF"/>
    <w:rsid w:val="2D1E27A3"/>
    <w:rsid w:val="2D1E560F"/>
    <w:rsid w:val="2D394FF5"/>
    <w:rsid w:val="2D766528"/>
    <w:rsid w:val="2DF50B51"/>
    <w:rsid w:val="2E6111A5"/>
    <w:rsid w:val="2E671D49"/>
    <w:rsid w:val="2E6A704D"/>
    <w:rsid w:val="2E8A6255"/>
    <w:rsid w:val="2EB8596B"/>
    <w:rsid w:val="2EC8145A"/>
    <w:rsid w:val="2F0B1048"/>
    <w:rsid w:val="2F132DA3"/>
    <w:rsid w:val="2F141AAA"/>
    <w:rsid w:val="2F6D1224"/>
    <w:rsid w:val="2FCA4353"/>
    <w:rsid w:val="2FE55D75"/>
    <w:rsid w:val="2FF23F99"/>
    <w:rsid w:val="2FFF3277"/>
    <w:rsid w:val="30236367"/>
    <w:rsid w:val="30331BC6"/>
    <w:rsid w:val="303E7E03"/>
    <w:rsid w:val="30405AEB"/>
    <w:rsid w:val="304A182B"/>
    <w:rsid w:val="30700C52"/>
    <w:rsid w:val="30757C00"/>
    <w:rsid w:val="30782C0F"/>
    <w:rsid w:val="307D5D65"/>
    <w:rsid w:val="30B34CE3"/>
    <w:rsid w:val="30CB1C83"/>
    <w:rsid w:val="30ED2830"/>
    <w:rsid w:val="3112096E"/>
    <w:rsid w:val="316B2857"/>
    <w:rsid w:val="31832D29"/>
    <w:rsid w:val="319D5339"/>
    <w:rsid w:val="319F2F47"/>
    <w:rsid w:val="31D20CDE"/>
    <w:rsid w:val="31F37E23"/>
    <w:rsid w:val="31FE689A"/>
    <w:rsid w:val="32223DC6"/>
    <w:rsid w:val="325A02A1"/>
    <w:rsid w:val="329032EF"/>
    <w:rsid w:val="329970EF"/>
    <w:rsid w:val="32AE0B6A"/>
    <w:rsid w:val="32B35AAA"/>
    <w:rsid w:val="33135210"/>
    <w:rsid w:val="3326373F"/>
    <w:rsid w:val="334459AC"/>
    <w:rsid w:val="33705A64"/>
    <w:rsid w:val="338E32D5"/>
    <w:rsid w:val="33A055AF"/>
    <w:rsid w:val="33A51E80"/>
    <w:rsid w:val="33E40DF3"/>
    <w:rsid w:val="33EE589E"/>
    <w:rsid w:val="340329A9"/>
    <w:rsid w:val="342645AD"/>
    <w:rsid w:val="342B057B"/>
    <w:rsid w:val="34335C8F"/>
    <w:rsid w:val="34617CD8"/>
    <w:rsid w:val="346317C9"/>
    <w:rsid w:val="34753860"/>
    <w:rsid w:val="34A61339"/>
    <w:rsid w:val="34CC3006"/>
    <w:rsid w:val="34F3793E"/>
    <w:rsid w:val="34FA09EA"/>
    <w:rsid w:val="354B5D9D"/>
    <w:rsid w:val="35574E9C"/>
    <w:rsid w:val="35712E34"/>
    <w:rsid w:val="359305B1"/>
    <w:rsid w:val="35ED793B"/>
    <w:rsid w:val="35F06F52"/>
    <w:rsid w:val="35F84740"/>
    <w:rsid w:val="36383125"/>
    <w:rsid w:val="366C082D"/>
    <w:rsid w:val="368C388A"/>
    <w:rsid w:val="36C90DD1"/>
    <w:rsid w:val="36EF2646"/>
    <w:rsid w:val="36F55D23"/>
    <w:rsid w:val="374634AB"/>
    <w:rsid w:val="37543CF6"/>
    <w:rsid w:val="37704489"/>
    <w:rsid w:val="37710026"/>
    <w:rsid w:val="37925427"/>
    <w:rsid w:val="37A01319"/>
    <w:rsid w:val="37A55DCC"/>
    <w:rsid w:val="37CA04FF"/>
    <w:rsid w:val="37D30771"/>
    <w:rsid w:val="37EC0BB8"/>
    <w:rsid w:val="38371ACC"/>
    <w:rsid w:val="38A748FD"/>
    <w:rsid w:val="38FF39F5"/>
    <w:rsid w:val="394C68A5"/>
    <w:rsid w:val="3952462B"/>
    <w:rsid w:val="395E479A"/>
    <w:rsid w:val="39675804"/>
    <w:rsid w:val="398A60A0"/>
    <w:rsid w:val="39A36C2D"/>
    <w:rsid w:val="39AA29B9"/>
    <w:rsid w:val="39AE63D1"/>
    <w:rsid w:val="39D7D99B"/>
    <w:rsid w:val="39E71AEC"/>
    <w:rsid w:val="39F60058"/>
    <w:rsid w:val="3A104089"/>
    <w:rsid w:val="3A1A692D"/>
    <w:rsid w:val="3A8217DE"/>
    <w:rsid w:val="3A822B01"/>
    <w:rsid w:val="3AB8426E"/>
    <w:rsid w:val="3ACF765C"/>
    <w:rsid w:val="3AD278CD"/>
    <w:rsid w:val="3AFA4BE5"/>
    <w:rsid w:val="3B2A44B8"/>
    <w:rsid w:val="3B2B6476"/>
    <w:rsid w:val="3BAF3CA2"/>
    <w:rsid w:val="3BBC038E"/>
    <w:rsid w:val="3BFE3F02"/>
    <w:rsid w:val="3C2972FD"/>
    <w:rsid w:val="3C5B4444"/>
    <w:rsid w:val="3C852047"/>
    <w:rsid w:val="3CA13116"/>
    <w:rsid w:val="3CA925AE"/>
    <w:rsid w:val="3CCF4FA4"/>
    <w:rsid w:val="3CF877AB"/>
    <w:rsid w:val="3D306CB2"/>
    <w:rsid w:val="3D32729D"/>
    <w:rsid w:val="3D485E54"/>
    <w:rsid w:val="3D4C3271"/>
    <w:rsid w:val="3D667959"/>
    <w:rsid w:val="3D8230F2"/>
    <w:rsid w:val="3D886E2C"/>
    <w:rsid w:val="3D9A6B04"/>
    <w:rsid w:val="3DAA5519"/>
    <w:rsid w:val="3DC413E8"/>
    <w:rsid w:val="3DCA34BB"/>
    <w:rsid w:val="3DD83D60"/>
    <w:rsid w:val="3DEE7764"/>
    <w:rsid w:val="3E044CAE"/>
    <w:rsid w:val="3E12201C"/>
    <w:rsid w:val="3E427218"/>
    <w:rsid w:val="3E460E59"/>
    <w:rsid w:val="3E8F30B5"/>
    <w:rsid w:val="3E9D9EE9"/>
    <w:rsid w:val="3EA72ABE"/>
    <w:rsid w:val="3EAD4174"/>
    <w:rsid w:val="3EAD7F9C"/>
    <w:rsid w:val="3EB32892"/>
    <w:rsid w:val="3EBC3336"/>
    <w:rsid w:val="3EDE79C6"/>
    <w:rsid w:val="3EF60080"/>
    <w:rsid w:val="3EF65530"/>
    <w:rsid w:val="3EFEC654"/>
    <w:rsid w:val="3F064AE9"/>
    <w:rsid w:val="3F3B0C43"/>
    <w:rsid w:val="3F4C62B0"/>
    <w:rsid w:val="3F6A4BE4"/>
    <w:rsid w:val="3F7279F0"/>
    <w:rsid w:val="3F7C65CA"/>
    <w:rsid w:val="3F7F0FB6"/>
    <w:rsid w:val="3F9717D1"/>
    <w:rsid w:val="3FB2485B"/>
    <w:rsid w:val="3FBD3AE8"/>
    <w:rsid w:val="402A34B8"/>
    <w:rsid w:val="40360CD1"/>
    <w:rsid w:val="40361D66"/>
    <w:rsid w:val="404C1EBB"/>
    <w:rsid w:val="405214DD"/>
    <w:rsid w:val="406060C3"/>
    <w:rsid w:val="40613E30"/>
    <w:rsid w:val="40736573"/>
    <w:rsid w:val="407D7357"/>
    <w:rsid w:val="408D0A8F"/>
    <w:rsid w:val="409B4A07"/>
    <w:rsid w:val="40BF6E39"/>
    <w:rsid w:val="40C25B7F"/>
    <w:rsid w:val="40F66678"/>
    <w:rsid w:val="40FA12EB"/>
    <w:rsid w:val="410A16AB"/>
    <w:rsid w:val="410E1C56"/>
    <w:rsid w:val="4120577A"/>
    <w:rsid w:val="416C142E"/>
    <w:rsid w:val="41E677EA"/>
    <w:rsid w:val="41FD121E"/>
    <w:rsid w:val="421A7627"/>
    <w:rsid w:val="4233112B"/>
    <w:rsid w:val="42401E98"/>
    <w:rsid w:val="42474F8A"/>
    <w:rsid w:val="42872311"/>
    <w:rsid w:val="428B5762"/>
    <w:rsid w:val="429F3B64"/>
    <w:rsid w:val="42B64F1C"/>
    <w:rsid w:val="42D47C2B"/>
    <w:rsid w:val="42DA32B5"/>
    <w:rsid w:val="42FB45E4"/>
    <w:rsid w:val="433543AC"/>
    <w:rsid w:val="43420FE8"/>
    <w:rsid w:val="434513F0"/>
    <w:rsid w:val="43606D1A"/>
    <w:rsid w:val="43702851"/>
    <w:rsid w:val="437269BA"/>
    <w:rsid w:val="437F3C65"/>
    <w:rsid w:val="43CA4F48"/>
    <w:rsid w:val="43FE78B1"/>
    <w:rsid w:val="440A7CA0"/>
    <w:rsid w:val="4424604A"/>
    <w:rsid w:val="442967DE"/>
    <w:rsid w:val="445014AB"/>
    <w:rsid w:val="44CE660D"/>
    <w:rsid w:val="454F0B76"/>
    <w:rsid w:val="45795008"/>
    <w:rsid w:val="4579514B"/>
    <w:rsid w:val="457E2BBE"/>
    <w:rsid w:val="457F72E8"/>
    <w:rsid w:val="45DE083B"/>
    <w:rsid w:val="45E076C0"/>
    <w:rsid w:val="45F36067"/>
    <w:rsid w:val="460C0745"/>
    <w:rsid w:val="463122D8"/>
    <w:rsid w:val="4632053D"/>
    <w:rsid w:val="46577675"/>
    <w:rsid w:val="4662415A"/>
    <w:rsid w:val="4662498C"/>
    <w:rsid w:val="466E26B2"/>
    <w:rsid w:val="46A022D9"/>
    <w:rsid w:val="46A9554B"/>
    <w:rsid w:val="46B21457"/>
    <w:rsid w:val="46BE1A6C"/>
    <w:rsid w:val="46BE6647"/>
    <w:rsid w:val="46EE3897"/>
    <w:rsid w:val="471B3499"/>
    <w:rsid w:val="4730142A"/>
    <w:rsid w:val="478E4BD2"/>
    <w:rsid w:val="47D84DCE"/>
    <w:rsid w:val="47DD756D"/>
    <w:rsid w:val="48037A8A"/>
    <w:rsid w:val="48057880"/>
    <w:rsid w:val="48150BC3"/>
    <w:rsid w:val="48377D23"/>
    <w:rsid w:val="486634EE"/>
    <w:rsid w:val="48807890"/>
    <w:rsid w:val="48A64B98"/>
    <w:rsid w:val="48A71804"/>
    <w:rsid w:val="48B30830"/>
    <w:rsid w:val="48BC156D"/>
    <w:rsid w:val="48DF62C3"/>
    <w:rsid w:val="48F765BE"/>
    <w:rsid w:val="490445F2"/>
    <w:rsid w:val="49320F23"/>
    <w:rsid w:val="49A10911"/>
    <w:rsid w:val="49DD73AE"/>
    <w:rsid w:val="49F95BD6"/>
    <w:rsid w:val="4A0C7375"/>
    <w:rsid w:val="4A194AA5"/>
    <w:rsid w:val="4A2710F3"/>
    <w:rsid w:val="4A4934DE"/>
    <w:rsid w:val="4AA73240"/>
    <w:rsid w:val="4AB72272"/>
    <w:rsid w:val="4AD703A4"/>
    <w:rsid w:val="4B305E1B"/>
    <w:rsid w:val="4B5D2E40"/>
    <w:rsid w:val="4BB92D8E"/>
    <w:rsid w:val="4BBB7216"/>
    <w:rsid w:val="4BD07B58"/>
    <w:rsid w:val="4BE87BA5"/>
    <w:rsid w:val="4C3176AB"/>
    <w:rsid w:val="4C415DC1"/>
    <w:rsid w:val="4C571AC7"/>
    <w:rsid w:val="4C6E278E"/>
    <w:rsid w:val="4CE45067"/>
    <w:rsid w:val="4CFF538B"/>
    <w:rsid w:val="4D2A4B22"/>
    <w:rsid w:val="4D471EEE"/>
    <w:rsid w:val="4D4D7800"/>
    <w:rsid w:val="4D7251FF"/>
    <w:rsid w:val="4DDB4948"/>
    <w:rsid w:val="4DE50C0B"/>
    <w:rsid w:val="4DF831B6"/>
    <w:rsid w:val="4E11105D"/>
    <w:rsid w:val="4E16225A"/>
    <w:rsid w:val="4E253AB8"/>
    <w:rsid w:val="4E472C92"/>
    <w:rsid w:val="4E824D97"/>
    <w:rsid w:val="4E9D5C2D"/>
    <w:rsid w:val="4EBA57C1"/>
    <w:rsid w:val="4EC8768D"/>
    <w:rsid w:val="4EEB58EF"/>
    <w:rsid w:val="4EFE6975"/>
    <w:rsid w:val="4F047E0A"/>
    <w:rsid w:val="4F477F24"/>
    <w:rsid w:val="4FA91AAC"/>
    <w:rsid w:val="4FBD0FF5"/>
    <w:rsid w:val="4FC854D7"/>
    <w:rsid w:val="50142DE1"/>
    <w:rsid w:val="5015687B"/>
    <w:rsid w:val="501926CA"/>
    <w:rsid w:val="503109FF"/>
    <w:rsid w:val="503E7F87"/>
    <w:rsid w:val="504544C8"/>
    <w:rsid w:val="505E3D68"/>
    <w:rsid w:val="506F5953"/>
    <w:rsid w:val="50C2531E"/>
    <w:rsid w:val="50D13748"/>
    <w:rsid w:val="516A440A"/>
    <w:rsid w:val="51BA5A6F"/>
    <w:rsid w:val="51C42E16"/>
    <w:rsid w:val="51E5538B"/>
    <w:rsid w:val="520D6221"/>
    <w:rsid w:val="525351F4"/>
    <w:rsid w:val="525A6FBC"/>
    <w:rsid w:val="526C0997"/>
    <w:rsid w:val="52855A65"/>
    <w:rsid w:val="52E44E05"/>
    <w:rsid w:val="53311AB3"/>
    <w:rsid w:val="53317F44"/>
    <w:rsid w:val="533D33D1"/>
    <w:rsid w:val="53511F1B"/>
    <w:rsid w:val="5353295D"/>
    <w:rsid w:val="53670B33"/>
    <w:rsid w:val="537735FB"/>
    <w:rsid w:val="53775B6A"/>
    <w:rsid w:val="538F5737"/>
    <w:rsid w:val="53D43855"/>
    <w:rsid w:val="53D6214F"/>
    <w:rsid w:val="53EE1101"/>
    <w:rsid w:val="53FC4E8E"/>
    <w:rsid w:val="541717DC"/>
    <w:rsid w:val="54271D5C"/>
    <w:rsid w:val="54976AA9"/>
    <w:rsid w:val="549A3F89"/>
    <w:rsid w:val="54A022DD"/>
    <w:rsid w:val="54DE0134"/>
    <w:rsid w:val="553C46BA"/>
    <w:rsid w:val="55494082"/>
    <w:rsid w:val="555F54CC"/>
    <w:rsid w:val="557D5B60"/>
    <w:rsid w:val="55834A19"/>
    <w:rsid w:val="55C1312C"/>
    <w:rsid w:val="55CF743F"/>
    <w:rsid w:val="55F27046"/>
    <w:rsid w:val="55F526C6"/>
    <w:rsid w:val="56066DC9"/>
    <w:rsid w:val="561A7CC7"/>
    <w:rsid w:val="564E1228"/>
    <w:rsid w:val="56A6131D"/>
    <w:rsid w:val="56A82B00"/>
    <w:rsid w:val="56BC5AD0"/>
    <w:rsid w:val="56D00C68"/>
    <w:rsid w:val="57022BD1"/>
    <w:rsid w:val="57212B27"/>
    <w:rsid w:val="572809C2"/>
    <w:rsid w:val="57480C4D"/>
    <w:rsid w:val="574C27F3"/>
    <w:rsid w:val="57895A45"/>
    <w:rsid w:val="57B30CDA"/>
    <w:rsid w:val="57C5313B"/>
    <w:rsid w:val="57D807D4"/>
    <w:rsid w:val="57EA7969"/>
    <w:rsid w:val="57F740F4"/>
    <w:rsid w:val="57FA3D86"/>
    <w:rsid w:val="58750691"/>
    <w:rsid w:val="58AB575D"/>
    <w:rsid w:val="58BC728D"/>
    <w:rsid w:val="58DD0763"/>
    <w:rsid w:val="58EA22FF"/>
    <w:rsid w:val="58EB59C1"/>
    <w:rsid w:val="59445F91"/>
    <w:rsid w:val="59815208"/>
    <w:rsid w:val="5993057B"/>
    <w:rsid w:val="59A64B68"/>
    <w:rsid w:val="59F001A4"/>
    <w:rsid w:val="5A1E2DE7"/>
    <w:rsid w:val="5A20427A"/>
    <w:rsid w:val="5A331DE9"/>
    <w:rsid w:val="5A395FB6"/>
    <w:rsid w:val="5A436A2D"/>
    <w:rsid w:val="5A9833A8"/>
    <w:rsid w:val="5AAC047B"/>
    <w:rsid w:val="5B0A066E"/>
    <w:rsid w:val="5B123FA7"/>
    <w:rsid w:val="5B5E18A4"/>
    <w:rsid w:val="5B613C0E"/>
    <w:rsid w:val="5B955E96"/>
    <w:rsid w:val="5B9B3675"/>
    <w:rsid w:val="5BA26571"/>
    <w:rsid w:val="5BCA6564"/>
    <w:rsid w:val="5BD66D67"/>
    <w:rsid w:val="5BFE7E52"/>
    <w:rsid w:val="5C107D40"/>
    <w:rsid w:val="5C1E3775"/>
    <w:rsid w:val="5C381264"/>
    <w:rsid w:val="5C672644"/>
    <w:rsid w:val="5C8132C7"/>
    <w:rsid w:val="5CA23A25"/>
    <w:rsid w:val="5CC26330"/>
    <w:rsid w:val="5CD67F41"/>
    <w:rsid w:val="5CDF760E"/>
    <w:rsid w:val="5D017C51"/>
    <w:rsid w:val="5D4165A3"/>
    <w:rsid w:val="5D463591"/>
    <w:rsid w:val="5D4F2A78"/>
    <w:rsid w:val="5D570A59"/>
    <w:rsid w:val="5D792AE4"/>
    <w:rsid w:val="5DC25C67"/>
    <w:rsid w:val="5DD97571"/>
    <w:rsid w:val="5E2F58D3"/>
    <w:rsid w:val="5E5A06FD"/>
    <w:rsid w:val="5E9342EC"/>
    <w:rsid w:val="5EA27CF7"/>
    <w:rsid w:val="5EBC3C1E"/>
    <w:rsid w:val="5F3815EE"/>
    <w:rsid w:val="5F5C32D6"/>
    <w:rsid w:val="5FB10E83"/>
    <w:rsid w:val="5FFD96AC"/>
    <w:rsid w:val="600E788A"/>
    <w:rsid w:val="6016396B"/>
    <w:rsid w:val="60173C67"/>
    <w:rsid w:val="60206354"/>
    <w:rsid w:val="604130CF"/>
    <w:rsid w:val="60663C94"/>
    <w:rsid w:val="60794FD4"/>
    <w:rsid w:val="60814FEF"/>
    <w:rsid w:val="60946411"/>
    <w:rsid w:val="60AE4E89"/>
    <w:rsid w:val="60D32F5A"/>
    <w:rsid w:val="610E2B4C"/>
    <w:rsid w:val="613E3956"/>
    <w:rsid w:val="619945D7"/>
    <w:rsid w:val="61C210E3"/>
    <w:rsid w:val="61C24BFD"/>
    <w:rsid w:val="61DE43D4"/>
    <w:rsid w:val="61E06967"/>
    <w:rsid w:val="61ED083B"/>
    <w:rsid w:val="624216A0"/>
    <w:rsid w:val="626343A0"/>
    <w:rsid w:val="626736F9"/>
    <w:rsid w:val="626B4082"/>
    <w:rsid w:val="626B6B00"/>
    <w:rsid w:val="628E1BE9"/>
    <w:rsid w:val="62C126EC"/>
    <w:rsid w:val="62D06FF9"/>
    <w:rsid w:val="62D765EB"/>
    <w:rsid w:val="636B22CC"/>
    <w:rsid w:val="636C198B"/>
    <w:rsid w:val="63B65AC7"/>
    <w:rsid w:val="63D7428B"/>
    <w:rsid w:val="64002DAD"/>
    <w:rsid w:val="640C4C0D"/>
    <w:rsid w:val="643B5584"/>
    <w:rsid w:val="645830D7"/>
    <w:rsid w:val="64675414"/>
    <w:rsid w:val="647258C3"/>
    <w:rsid w:val="64763CBE"/>
    <w:rsid w:val="64AA2E73"/>
    <w:rsid w:val="64B8434A"/>
    <w:rsid w:val="64C5008F"/>
    <w:rsid w:val="64E8446E"/>
    <w:rsid w:val="64F9CCE6"/>
    <w:rsid w:val="651B5828"/>
    <w:rsid w:val="65376B47"/>
    <w:rsid w:val="654042F5"/>
    <w:rsid w:val="65E44DFA"/>
    <w:rsid w:val="65F66C79"/>
    <w:rsid w:val="660447CA"/>
    <w:rsid w:val="665622BC"/>
    <w:rsid w:val="66653739"/>
    <w:rsid w:val="666C4EE6"/>
    <w:rsid w:val="66792487"/>
    <w:rsid w:val="66FB0FDC"/>
    <w:rsid w:val="66FC5AFF"/>
    <w:rsid w:val="6709462E"/>
    <w:rsid w:val="6777196F"/>
    <w:rsid w:val="678A1ED0"/>
    <w:rsid w:val="67AB61F8"/>
    <w:rsid w:val="67BA7741"/>
    <w:rsid w:val="67E6170C"/>
    <w:rsid w:val="67ED1BBE"/>
    <w:rsid w:val="680D0CA5"/>
    <w:rsid w:val="686C7F9F"/>
    <w:rsid w:val="68A45648"/>
    <w:rsid w:val="68A5668C"/>
    <w:rsid w:val="68BD44C2"/>
    <w:rsid w:val="68D27297"/>
    <w:rsid w:val="6911241F"/>
    <w:rsid w:val="69B55D5F"/>
    <w:rsid w:val="69B67115"/>
    <w:rsid w:val="69B82DF4"/>
    <w:rsid w:val="69EF53B4"/>
    <w:rsid w:val="69FB8724"/>
    <w:rsid w:val="6A126DD2"/>
    <w:rsid w:val="6A420E56"/>
    <w:rsid w:val="6A924E32"/>
    <w:rsid w:val="6A94008C"/>
    <w:rsid w:val="6AC635A8"/>
    <w:rsid w:val="6AE60947"/>
    <w:rsid w:val="6AEF6EB8"/>
    <w:rsid w:val="6AFD0629"/>
    <w:rsid w:val="6B0B374F"/>
    <w:rsid w:val="6B0E6D92"/>
    <w:rsid w:val="6B17074E"/>
    <w:rsid w:val="6B1F0CCB"/>
    <w:rsid w:val="6B6234E5"/>
    <w:rsid w:val="6BA67A32"/>
    <w:rsid w:val="6BBD11F5"/>
    <w:rsid w:val="6BCE1834"/>
    <w:rsid w:val="6BD12800"/>
    <w:rsid w:val="6C022DB1"/>
    <w:rsid w:val="6C1B1096"/>
    <w:rsid w:val="6C5E02FC"/>
    <w:rsid w:val="6C721812"/>
    <w:rsid w:val="6C8B0F52"/>
    <w:rsid w:val="6CDD0DD0"/>
    <w:rsid w:val="6CFA7DB1"/>
    <w:rsid w:val="6D0127E4"/>
    <w:rsid w:val="6D135E16"/>
    <w:rsid w:val="6D1C168A"/>
    <w:rsid w:val="6D347A31"/>
    <w:rsid w:val="6D3668DD"/>
    <w:rsid w:val="6D471CAB"/>
    <w:rsid w:val="6D70425D"/>
    <w:rsid w:val="6DAC0977"/>
    <w:rsid w:val="6DB941BD"/>
    <w:rsid w:val="6DC60F63"/>
    <w:rsid w:val="6DF11063"/>
    <w:rsid w:val="6E4C770B"/>
    <w:rsid w:val="6E5F1098"/>
    <w:rsid w:val="6E6F2793"/>
    <w:rsid w:val="6E703D8E"/>
    <w:rsid w:val="6E84323D"/>
    <w:rsid w:val="6E942A76"/>
    <w:rsid w:val="6EA41FA2"/>
    <w:rsid w:val="6EB44AD4"/>
    <w:rsid w:val="6F313FE8"/>
    <w:rsid w:val="6F381CAC"/>
    <w:rsid w:val="6F6128C1"/>
    <w:rsid w:val="6F9C6902"/>
    <w:rsid w:val="6F9E6156"/>
    <w:rsid w:val="6FA0729C"/>
    <w:rsid w:val="70100CA2"/>
    <w:rsid w:val="70271BB9"/>
    <w:rsid w:val="70393572"/>
    <w:rsid w:val="706E27A1"/>
    <w:rsid w:val="70A24D48"/>
    <w:rsid w:val="70BA64EF"/>
    <w:rsid w:val="70C900DF"/>
    <w:rsid w:val="70F80524"/>
    <w:rsid w:val="710A2419"/>
    <w:rsid w:val="710E65A0"/>
    <w:rsid w:val="71326D32"/>
    <w:rsid w:val="714C2CD0"/>
    <w:rsid w:val="715A596A"/>
    <w:rsid w:val="717C247D"/>
    <w:rsid w:val="717F26E4"/>
    <w:rsid w:val="71816B8E"/>
    <w:rsid w:val="71832D29"/>
    <w:rsid w:val="71907818"/>
    <w:rsid w:val="71B252F9"/>
    <w:rsid w:val="71E95916"/>
    <w:rsid w:val="7203413E"/>
    <w:rsid w:val="72191ED0"/>
    <w:rsid w:val="7250588C"/>
    <w:rsid w:val="726F5278"/>
    <w:rsid w:val="727E786A"/>
    <w:rsid w:val="72887FD4"/>
    <w:rsid w:val="72BD0544"/>
    <w:rsid w:val="72C0472D"/>
    <w:rsid w:val="72D11D5C"/>
    <w:rsid w:val="72DC3720"/>
    <w:rsid w:val="72E4193A"/>
    <w:rsid w:val="72E85DAD"/>
    <w:rsid w:val="732303D9"/>
    <w:rsid w:val="734979C3"/>
    <w:rsid w:val="73532CC9"/>
    <w:rsid w:val="73D73D11"/>
    <w:rsid w:val="744975DD"/>
    <w:rsid w:val="74610332"/>
    <w:rsid w:val="746920A5"/>
    <w:rsid w:val="74AE06FF"/>
    <w:rsid w:val="74CB1EDB"/>
    <w:rsid w:val="74DE73F5"/>
    <w:rsid w:val="7517095A"/>
    <w:rsid w:val="751E77AF"/>
    <w:rsid w:val="757A6A57"/>
    <w:rsid w:val="75D07F8B"/>
    <w:rsid w:val="75EE5669"/>
    <w:rsid w:val="76957051"/>
    <w:rsid w:val="76BD4232"/>
    <w:rsid w:val="76C10199"/>
    <w:rsid w:val="76C57BCB"/>
    <w:rsid w:val="76D474B3"/>
    <w:rsid w:val="76F927CD"/>
    <w:rsid w:val="772F78A5"/>
    <w:rsid w:val="773B2934"/>
    <w:rsid w:val="773E064E"/>
    <w:rsid w:val="774E1211"/>
    <w:rsid w:val="777B71D8"/>
    <w:rsid w:val="77A54D53"/>
    <w:rsid w:val="77AB25AD"/>
    <w:rsid w:val="77D75F2B"/>
    <w:rsid w:val="77FC6767"/>
    <w:rsid w:val="781A0BEC"/>
    <w:rsid w:val="78202415"/>
    <w:rsid w:val="78213FC9"/>
    <w:rsid w:val="78701D9C"/>
    <w:rsid w:val="78F9F6D3"/>
    <w:rsid w:val="78FA0671"/>
    <w:rsid w:val="793A634F"/>
    <w:rsid w:val="797A5A56"/>
    <w:rsid w:val="798635EB"/>
    <w:rsid w:val="79A5750A"/>
    <w:rsid w:val="79ED0DA8"/>
    <w:rsid w:val="7A0C1011"/>
    <w:rsid w:val="7A0E7A81"/>
    <w:rsid w:val="7A321CDB"/>
    <w:rsid w:val="7A567B6E"/>
    <w:rsid w:val="7A6E32C8"/>
    <w:rsid w:val="7AB0113D"/>
    <w:rsid w:val="7AC900CF"/>
    <w:rsid w:val="7B052FBD"/>
    <w:rsid w:val="7B2F54B5"/>
    <w:rsid w:val="7B5A5A6C"/>
    <w:rsid w:val="7B5C250E"/>
    <w:rsid w:val="7B6D0F87"/>
    <w:rsid w:val="7B72691F"/>
    <w:rsid w:val="7B783FD8"/>
    <w:rsid w:val="7B9A3DB8"/>
    <w:rsid w:val="7BA113AB"/>
    <w:rsid w:val="7BD52290"/>
    <w:rsid w:val="7BD568A0"/>
    <w:rsid w:val="7BE22960"/>
    <w:rsid w:val="7BF20E1E"/>
    <w:rsid w:val="7BFF70BE"/>
    <w:rsid w:val="7C5728ED"/>
    <w:rsid w:val="7C9408F4"/>
    <w:rsid w:val="7CB83597"/>
    <w:rsid w:val="7CB90CC2"/>
    <w:rsid w:val="7CC752E0"/>
    <w:rsid w:val="7CFB2CE9"/>
    <w:rsid w:val="7CFBCE9D"/>
    <w:rsid w:val="7D0C34C4"/>
    <w:rsid w:val="7D212CA5"/>
    <w:rsid w:val="7D255EE2"/>
    <w:rsid w:val="7D293184"/>
    <w:rsid w:val="7D4B3EE6"/>
    <w:rsid w:val="7D6112EF"/>
    <w:rsid w:val="7D68620F"/>
    <w:rsid w:val="7D69777E"/>
    <w:rsid w:val="7D6FB106"/>
    <w:rsid w:val="7D752C5B"/>
    <w:rsid w:val="7D927DC0"/>
    <w:rsid w:val="7DB34706"/>
    <w:rsid w:val="7E1A0A9F"/>
    <w:rsid w:val="7E3C401A"/>
    <w:rsid w:val="7E641213"/>
    <w:rsid w:val="7EA7EB6C"/>
    <w:rsid w:val="7EB859C9"/>
    <w:rsid w:val="7ECB4935"/>
    <w:rsid w:val="7EE33139"/>
    <w:rsid w:val="7EEBD690"/>
    <w:rsid w:val="7EF34773"/>
    <w:rsid w:val="7F0D08DC"/>
    <w:rsid w:val="7F173D26"/>
    <w:rsid w:val="7F666017"/>
    <w:rsid w:val="7F6FBE70"/>
    <w:rsid w:val="7F714EE5"/>
    <w:rsid w:val="7F765549"/>
    <w:rsid w:val="7F7F2734"/>
    <w:rsid w:val="7FA63F96"/>
    <w:rsid w:val="7FB9287C"/>
    <w:rsid w:val="7FC32F20"/>
    <w:rsid w:val="7FCC47FD"/>
    <w:rsid w:val="7FD31973"/>
    <w:rsid w:val="7FE15B01"/>
    <w:rsid w:val="7FFB1B6E"/>
    <w:rsid w:val="C6F5E4F8"/>
    <w:rsid w:val="DCE705B6"/>
    <w:rsid w:val="DE35E862"/>
    <w:rsid w:val="DF77D5E2"/>
    <w:rsid w:val="DFE64E7C"/>
    <w:rsid w:val="F76F081C"/>
    <w:rsid w:val="F7B3F097"/>
    <w:rsid w:val="F7BF1B7E"/>
    <w:rsid w:val="F7E8024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2">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5">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6">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7">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9">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unhideWhenUsed/>
    <w:qFormat/>
    <w:uiPriority w:val="1"/>
  </w:style>
  <w:style w:type="table" w:default="1" w:styleId="43">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0">
    <w:name w:val="toc 7"/>
    <w:basedOn w:val="1"/>
    <w:next w:val="1"/>
    <w:qFormat/>
    <w:uiPriority w:val="39"/>
    <w:pPr>
      <w:ind w:left="1260"/>
      <w:jc w:val="left"/>
    </w:pPr>
    <w:rPr>
      <w:rFonts w:ascii="Calibri" w:hAnsi="Calibri"/>
      <w:sz w:val="18"/>
      <w:szCs w:val="18"/>
    </w:rPr>
  </w:style>
  <w:style w:type="paragraph" w:styleId="11">
    <w:name w:val="table of authorities"/>
    <w:basedOn w:val="1"/>
    <w:next w:val="1"/>
    <w:qFormat/>
    <w:uiPriority w:val="99"/>
    <w:pPr>
      <w:ind w:left="420" w:leftChars="200"/>
    </w:pPr>
  </w:style>
  <w:style w:type="paragraph" w:styleId="12">
    <w:name w:val="Normal Indent"/>
    <w:basedOn w:val="1"/>
    <w:link w:val="68"/>
    <w:qFormat/>
    <w:uiPriority w:val="0"/>
    <w:pPr>
      <w:ind w:firstLine="420" w:firstLineChars="200"/>
    </w:pPr>
  </w:style>
  <w:style w:type="paragraph" w:styleId="13">
    <w:name w:val="Document Map"/>
    <w:basedOn w:val="1"/>
    <w:link w:val="75"/>
    <w:qFormat/>
    <w:uiPriority w:val="0"/>
    <w:pPr>
      <w:shd w:val="clear" w:color="auto" w:fill="000080"/>
    </w:pPr>
    <w:rPr>
      <w:kern w:val="0"/>
      <w:sz w:val="20"/>
    </w:rPr>
  </w:style>
  <w:style w:type="paragraph" w:styleId="14">
    <w:name w:val="annotation text"/>
    <w:basedOn w:val="1"/>
    <w:link w:val="57"/>
    <w:unhideWhenUsed/>
    <w:qFormat/>
    <w:uiPriority w:val="99"/>
    <w:pPr>
      <w:jc w:val="left"/>
    </w:pPr>
    <w:rPr>
      <w:kern w:val="0"/>
      <w:sz w:val="20"/>
    </w:rPr>
  </w:style>
  <w:style w:type="paragraph" w:styleId="15">
    <w:name w:val="Body Text 3"/>
    <w:basedOn w:val="1"/>
    <w:link w:val="61"/>
    <w:qFormat/>
    <w:uiPriority w:val="0"/>
    <w:rPr>
      <w:rFonts w:ascii="宋体"/>
      <w:kern w:val="0"/>
      <w:sz w:val="24"/>
      <w:szCs w:val="20"/>
    </w:rPr>
  </w:style>
  <w:style w:type="paragraph" w:styleId="16">
    <w:name w:val="Body Text"/>
    <w:basedOn w:val="1"/>
    <w:next w:val="1"/>
    <w:link w:val="64"/>
    <w:qFormat/>
    <w:uiPriority w:val="0"/>
    <w:pPr>
      <w:spacing w:after="120"/>
    </w:pPr>
    <w:rPr>
      <w:kern w:val="0"/>
      <w:sz w:val="20"/>
    </w:rPr>
  </w:style>
  <w:style w:type="paragraph" w:styleId="17">
    <w:name w:val="Body Text Indent"/>
    <w:basedOn w:val="1"/>
    <w:next w:val="1"/>
    <w:link w:val="74"/>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7"/>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1"/>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9"/>
    <w:qFormat/>
    <w:uiPriority w:val="0"/>
    <w:rPr>
      <w:kern w:val="0"/>
      <w:sz w:val="18"/>
      <w:szCs w:val="18"/>
    </w:r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eastAsia="宋体"/>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4"/>
    <w:next w:val="14"/>
    <w:link w:val="67"/>
    <w:qFormat/>
    <w:uiPriority w:val="0"/>
    <w:rPr>
      <w:b/>
      <w:bCs/>
    </w:rPr>
  </w:style>
  <w:style w:type="paragraph" w:styleId="41">
    <w:name w:val="Body Text First Indent"/>
    <w:basedOn w:val="16"/>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7"/>
    <w:unhideWhenUsed/>
    <w:qFormat/>
    <w:uiPriority w:val="0"/>
    <w:pPr>
      <w:ind w:left="420" w:firstLine="420"/>
    </w:p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Char"/>
    <w:link w:val="4"/>
    <w:qFormat/>
    <w:uiPriority w:val="0"/>
    <w:rPr>
      <w:rFonts w:ascii="Times New Roman" w:hAnsi="Times New Roman" w:eastAsia="宋体" w:cs="Times New Roman"/>
      <w:b/>
      <w:bCs/>
      <w:sz w:val="32"/>
      <w:szCs w:val="32"/>
    </w:rPr>
  </w:style>
  <w:style w:type="character" w:customStyle="1" w:styleId="57">
    <w:name w:val="批注文字 Char1"/>
    <w:link w:val="14"/>
    <w:semiHidden/>
    <w:qFormat/>
    <w:uiPriority w:val="99"/>
    <w:rPr>
      <w:rFonts w:ascii="Times New Roman" w:hAnsi="Times New Roman" w:eastAsia="宋体" w:cs="Times New Roman"/>
      <w:szCs w:val="24"/>
    </w:rPr>
  </w:style>
  <w:style w:type="character" w:customStyle="1" w:styleId="58">
    <w:name w:val="标题 6 Char"/>
    <w:link w:val="6"/>
    <w:qFormat/>
    <w:uiPriority w:val="0"/>
    <w:rPr>
      <w:rFonts w:ascii="Arial" w:hAnsi="Arial" w:eastAsia="黑体" w:cs="Times New Roman"/>
      <w:b/>
      <w:bCs/>
      <w:kern w:val="0"/>
      <w:sz w:val="24"/>
      <w:szCs w:val="24"/>
    </w:rPr>
  </w:style>
  <w:style w:type="character" w:customStyle="1" w:styleId="59">
    <w:name w:val=" 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Char"/>
    <w:link w:val="15"/>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Char"/>
    <w:link w:val="16"/>
    <w:qFormat/>
    <w:uiPriority w:val="0"/>
    <w:rPr>
      <w:rFonts w:eastAsia="宋体"/>
      <w:szCs w:val="24"/>
    </w:rPr>
  </w:style>
  <w:style w:type="character" w:customStyle="1" w:styleId="65">
    <w:name w:val="脚注文本 Char"/>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Char"/>
    <w:link w:val="40"/>
    <w:qFormat/>
    <w:uiPriority w:val="0"/>
    <w:rPr>
      <w:rFonts w:ascii="Times New Roman" w:hAnsi="Times New Roman" w:eastAsia="宋体" w:cs="Times New Roman"/>
      <w:b/>
      <w:bCs/>
      <w:szCs w:val="24"/>
    </w:rPr>
  </w:style>
  <w:style w:type="character" w:customStyle="1" w:styleId="68">
    <w:name w:val="正文缩进 Char"/>
    <w:link w:val="12"/>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Char"/>
    <w:link w:val="27"/>
    <w:qFormat/>
    <w:uiPriority w:val="0"/>
    <w:rPr>
      <w:rFonts w:ascii="Times New Roman" w:hAnsi="Times New Roman" w:eastAsia="宋体" w:cs="Times New Roman"/>
      <w:sz w:val="18"/>
      <w:szCs w:val="18"/>
    </w:rPr>
  </w:style>
  <w:style w:type="character" w:customStyle="1" w:styleId="72">
    <w:name w:val="标题 9 Char"/>
    <w:link w:val="9"/>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Char"/>
    <w:link w:val="17"/>
    <w:qFormat/>
    <w:uiPriority w:val="0"/>
    <w:rPr>
      <w:szCs w:val="24"/>
    </w:rPr>
  </w:style>
  <w:style w:type="character" w:customStyle="1" w:styleId="75">
    <w:name w:val="文档结构图 Char"/>
    <w:link w:val="13"/>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Char"/>
    <w:link w:val="2"/>
    <w:qFormat/>
    <w:uiPriority w:val="0"/>
    <w:rPr>
      <w:rFonts w:ascii="Arial" w:hAnsi="Arial" w:eastAsia="黑体" w:cs="Times New Roman"/>
      <w:b/>
      <w:bCs/>
      <w:sz w:val="32"/>
      <w:szCs w:val="32"/>
    </w:rPr>
  </w:style>
  <w:style w:type="character" w:customStyle="1" w:styleId="78">
    <w:name w:val="标题 Char"/>
    <w:link w:val="39"/>
    <w:qFormat/>
    <w:uiPriority w:val="0"/>
    <w:rPr>
      <w:rFonts w:ascii="Arial" w:hAnsi="Arial"/>
      <w:b/>
      <w:sz w:val="32"/>
    </w:rPr>
  </w:style>
  <w:style w:type="character" w:customStyle="1" w:styleId="79">
    <w:name w:val="批注框文本 Char"/>
    <w:link w:val="25"/>
    <w:qFormat/>
    <w:uiPriority w:val="0"/>
    <w:rPr>
      <w:rFonts w:ascii="Times New Roman" w:hAnsi="Times New Roman" w:eastAsia="宋体" w:cs="Times New Roman"/>
      <w:sz w:val="18"/>
      <w:szCs w:val="18"/>
    </w:rPr>
  </w:style>
  <w:style w:type="character" w:customStyle="1" w:styleId="80">
    <w:name w:val="标题 8 Char"/>
    <w:link w:val="8"/>
    <w:qFormat/>
    <w:uiPriority w:val="0"/>
    <w:rPr>
      <w:rFonts w:ascii="Arial" w:hAnsi="Arial" w:eastAsia="黑体" w:cs="Times New Roman"/>
      <w:kern w:val="0"/>
      <w:sz w:val="24"/>
      <w:szCs w:val="24"/>
    </w:rPr>
  </w:style>
  <w:style w:type="character" w:customStyle="1" w:styleId="81">
    <w:name w:val="日期 Char"/>
    <w:link w:val="23"/>
    <w:qFormat/>
    <w:uiPriority w:val="0"/>
    <w:rPr>
      <w:rFonts w:ascii="Times New Roman" w:hAnsi="Times New Roman" w:eastAsia="宋体" w:cs="Times New Roman"/>
      <w:sz w:val="24"/>
      <w:szCs w:val="20"/>
    </w:rPr>
  </w:style>
  <w:style w:type="character" w:customStyle="1" w:styleId="82">
    <w:name w:val="标题 1 Char"/>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Char"/>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 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 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Char"/>
    <w:link w:val="5"/>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Char"/>
    <w:link w:val="26"/>
    <w:qFormat/>
    <w:uiPriority w:val="99"/>
    <w:rPr>
      <w:sz w:val="18"/>
      <w:szCs w:val="18"/>
    </w:rPr>
  </w:style>
  <w:style w:type="character" w:customStyle="1" w:styleId="94">
    <w:name w:val=" Char Char7"/>
    <w:qFormat/>
    <w:uiPriority w:val="0"/>
    <w:rPr>
      <w:rFonts w:ascii="Arial" w:hAnsi="Arial" w:eastAsia="黑体"/>
      <w:b/>
      <w:bCs/>
      <w:kern w:val="2"/>
      <w:sz w:val="32"/>
      <w:szCs w:val="32"/>
      <w:lang w:val="en-US" w:eastAsia="zh-CN" w:bidi="ar-SA"/>
    </w:rPr>
  </w:style>
  <w:style w:type="character" w:customStyle="1" w:styleId="95">
    <w:name w:val="HTML 预设格式 Char"/>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Char"/>
    <w:link w:val="21"/>
    <w:qFormat/>
    <w:uiPriority w:val="99"/>
    <w:rPr>
      <w:rFonts w:ascii="Courier New" w:hAnsi="Courier New"/>
    </w:rPr>
  </w:style>
  <w:style w:type="character" w:customStyle="1" w:styleId="98">
    <w:name w:val="标题 7 Char"/>
    <w:link w:val="7"/>
    <w:qFormat/>
    <w:uiPriority w:val="0"/>
    <w:rPr>
      <w:rFonts w:ascii="Times New Roman" w:hAnsi="Times New Roman" w:eastAsia="宋体" w:cs="Times New Roman"/>
      <w:b/>
      <w:bCs/>
      <w:kern w:val="0"/>
      <w:sz w:val="24"/>
      <w:szCs w:val="24"/>
    </w:rPr>
  </w:style>
  <w:style w:type="paragraph" w:customStyle="1" w:styleId="99">
    <w:name w:val="样式4"/>
    <w:basedOn w:val="4"/>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4"/>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 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List Paragraph"/>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2"/>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4"/>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4"/>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31</Pages>
  <Words>9651</Words>
  <Characters>10076</Characters>
  <Lines>1</Lines>
  <Paragraphs>1</Paragraphs>
  <TotalTime>4</TotalTime>
  <ScaleCrop>false</ScaleCrop>
  <LinksUpToDate>false</LinksUpToDate>
  <CharactersWithSpaces>11168</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2020-05-01T00:16:00Z</dcterms:created>
  <dc:creator>陈桂兰</dc:creator>
  <cp:lastModifiedBy>糖醋排骨。</cp:lastModifiedBy>
  <cp:lastPrinted>2020-05-12T23:11:00Z</cp:lastPrinted>
  <dcterms:modified xsi:type="dcterms:W3CDTF">2022-07-29T01:20:56Z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6B56EA7179394622BD14443697393D97</vt:lpwstr>
  </property>
  <property fmtid="{D5CDD505-2E9C-101B-9397-08002B2CF9AE}" pid="4" name="commondata">
    <vt:lpwstr>eyJoZGlkIjoiNmI0YzI4NGJiMjg2ZWZlN2MzZDcyYzg5ZDEwYzBhZDAifQ==</vt:lpwstr>
  </property>
</Properties>
</file>