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bookmarkStart w:id="7" w:name="_GoBack"/>
      <w:bookmarkEnd w:id="7"/>
    </w:p>
    <w:p>
      <w:pPr>
        <w:jc w:val="center"/>
        <w:rPr>
          <w:rFonts w:ascii="方正小标宋_GBK" w:eastAsia="方正小标宋_GBK"/>
          <w:sz w:val="44"/>
          <w:szCs w:val="44"/>
        </w:rPr>
      </w:pPr>
      <w:r>
        <w:rPr>
          <w:rFonts w:hint="eastAsia" w:ascii="方正小标宋_GBK" w:eastAsia="方正小标宋_GBK"/>
          <w:sz w:val="44"/>
          <w:szCs w:val="44"/>
        </w:rPr>
        <w:t>重庆交通速运汽车租赁有限公司</w:t>
      </w:r>
    </w:p>
    <w:p>
      <w:pPr>
        <w:jc w:val="center"/>
        <w:rPr>
          <w:rFonts w:ascii="方正小标宋_GBK" w:eastAsia="方正小标宋_GBK"/>
          <w:sz w:val="44"/>
          <w:szCs w:val="44"/>
        </w:rPr>
      </w:pPr>
      <w:r>
        <w:rPr>
          <w:rFonts w:hint="eastAsia" w:ascii="方正小标宋_GBK" w:eastAsia="方正小标宋_GBK"/>
          <w:sz w:val="44"/>
          <w:szCs w:val="44"/>
        </w:rPr>
        <w:t>2022年度车辆保险项目</w:t>
      </w:r>
    </w:p>
    <w:p>
      <w:pPr>
        <w:rPr>
          <w:rFonts w:ascii="方正小标宋_GBK" w:eastAsia="方正小标宋_GBK"/>
          <w:sz w:val="44"/>
          <w:szCs w:val="44"/>
        </w:rPr>
      </w:pPr>
    </w:p>
    <w:p>
      <w:pPr>
        <w:rPr>
          <w:rFonts w:ascii="方正小标宋_GBK" w:eastAsia="方正小标宋_GBK"/>
          <w:sz w:val="44"/>
          <w:szCs w:val="44"/>
        </w:rPr>
      </w:pPr>
    </w:p>
    <w:p>
      <w:pPr>
        <w:rPr>
          <w:rFonts w:ascii="方正小标宋_GBK" w:eastAsia="方正小标宋_GBK"/>
          <w:sz w:val="44"/>
          <w:szCs w:val="44"/>
        </w:rPr>
      </w:pPr>
    </w:p>
    <w:p>
      <w:pPr>
        <w:jc w:val="center"/>
        <w:rPr>
          <w:rFonts w:ascii="方正小标宋_GBK" w:eastAsia="方正小标宋_GBK"/>
          <w:sz w:val="84"/>
          <w:szCs w:val="84"/>
        </w:rPr>
      </w:pPr>
      <w:r>
        <w:rPr>
          <w:rFonts w:hint="eastAsia" w:ascii="方正小标宋_GBK" w:eastAsia="方正小标宋_GBK"/>
          <w:sz w:val="84"/>
          <w:szCs w:val="84"/>
        </w:rPr>
        <w:t>竞争性比选文件</w:t>
      </w:r>
    </w:p>
    <w:p>
      <w:pPr>
        <w:rPr>
          <w:rFonts w:ascii="方正小标宋_GBK" w:eastAsia="方正小标宋_GBK"/>
          <w:sz w:val="84"/>
          <w:szCs w:val="84"/>
        </w:rPr>
      </w:pPr>
    </w:p>
    <w:p>
      <w:pPr>
        <w:rPr>
          <w:rFonts w:ascii="方正小标宋_GBK" w:eastAsia="方正小标宋_GBK"/>
          <w:sz w:val="84"/>
          <w:szCs w:val="84"/>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jc w:val="center"/>
        <w:rPr>
          <w:rFonts w:ascii="方正仿宋_GBK" w:eastAsia="方正仿宋_GBK"/>
          <w:sz w:val="32"/>
          <w:szCs w:val="32"/>
        </w:rPr>
      </w:pPr>
      <w:r>
        <w:rPr>
          <w:rFonts w:hint="eastAsia" w:ascii="方正仿宋_GBK" w:eastAsia="方正仿宋_GBK"/>
          <w:sz w:val="32"/>
          <w:szCs w:val="32"/>
        </w:rPr>
        <w:t>重庆交通速运汽车租赁有限公司</w:t>
      </w:r>
    </w:p>
    <w:p>
      <w:pPr>
        <w:pStyle w:val="8"/>
        <w:snapToGrid w:val="0"/>
        <w:spacing w:line="560" w:lineRule="exact"/>
        <w:ind w:firstLine="570" w:firstLineChars="150"/>
        <w:jc w:val="both"/>
        <w:rPr>
          <w:rFonts w:ascii="宋体"/>
          <w:color w:val="000000" w:themeColor="text1"/>
          <w:sz w:val="21"/>
          <w:szCs w:val="21"/>
        </w:rPr>
      </w:pPr>
      <w:r>
        <w:rPr>
          <w:rFonts w:hint="eastAsia" w:ascii="方正黑体_GBK" w:hAnsi="方正黑体_GBK" w:eastAsia="方正黑体_GBK" w:cs="方正黑体_GBK"/>
          <w:b w:val="0"/>
          <w:color w:val="000000" w:themeColor="text1"/>
          <w:sz w:val="32"/>
          <w:szCs w:val="32"/>
        </w:rPr>
        <w:t xml:space="preserve">           二0二二年一月</w:t>
      </w:r>
    </w:p>
    <w:p>
      <w:pPr>
        <w:rPr>
          <w:rFonts w:ascii="仿宋" w:hAnsi="仿宋" w:eastAsia="仿宋" w:cs="仿宋"/>
          <w:sz w:val="32"/>
          <w:szCs w:val="32"/>
        </w:rPr>
      </w:pPr>
    </w:p>
    <w:p>
      <w:pPr>
        <w:spacing w:line="6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重庆交通速运汽车租赁有限公司</w:t>
      </w:r>
    </w:p>
    <w:p>
      <w:pPr>
        <w:spacing w:line="660" w:lineRule="exact"/>
        <w:jc w:val="center"/>
        <w:rPr>
          <w:rFonts w:ascii="方正小标宋_GBK" w:hAnsi="宋体" w:eastAsia="方正小标宋_GBK" w:cs="宋体"/>
          <w:sz w:val="44"/>
          <w:szCs w:val="44"/>
        </w:rPr>
      </w:pPr>
      <w:r>
        <w:rPr>
          <w:rFonts w:hint="eastAsia" w:ascii="方正小标宋_GBK" w:eastAsia="方正小标宋_GBK"/>
          <w:sz w:val="44"/>
          <w:szCs w:val="44"/>
        </w:rPr>
        <w:t>2022年度车辆保险项目</w:t>
      </w:r>
      <w:r>
        <w:rPr>
          <w:rFonts w:hint="eastAsia" w:ascii="方正小标宋_GBK" w:hAnsi="宋体" w:eastAsia="方正小标宋_GBK" w:cs="宋体"/>
          <w:sz w:val="44"/>
          <w:szCs w:val="44"/>
        </w:rPr>
        <w:t>竞争性比选公告</w:t>
      </w:r>
    </w:p>
    <w:p>
      <w:pPr>
        <w:spacing w:line="560" w:lineRule="exact"/>
        <w:rPr>
          <w:rFonts w:ascii="仿宋" w:hAnsi="仿宋" w:eastAsia="仿宋" w:cs="仿宋"/>
          <w:sz w:val="32"/>
          <w:szCs w:val="32"/>
        </w:rPr>
      </w:pPr>
    </w:p>
    <w:p>
      <w:pPr>
        <w:pStyle w:val="10"/>
        <w:spacing w:line="560" w:lineRule="exact"/>
        <w:ind w:firstLine="640"/>
        <w:rPr>
          <w:rFonts w:ascii="方正仿宋_GBK" w:hAnsi="方正黑体_GBK" w:eastAsia="方正仿宋_GBK" w:cs="方正黑体_GBK"/>
          <w:color w:val="000000" w:themeColor="text1"/>
          <w:sz w:val="32"/>
          <w:szCs w:val="32"/>
        </w:rPr>
      </w:pPr>
      <w:r>
        <w:rPr>
          <w:rFonts w:hint="eastAsia" w:ascii="方正仿宋_GBK" w:hAnsi="方正黑体_GBK" w:eastAsia="方正仿宋_GBK" w:cs="方正黑体_GBK"/>
          <w:color w:val="000000"/>
          <w:sz w:val="32"/>
          <w:szCs w:val="32"/>
        </w:rPr>
        <w:t>按照高速集团车辆及驾驶员管理办法</w:t>
      </w:r>
      <w:r>
        <w:rPr>
          <w:rFonts w:hint="eastAsia" w:ascii="方正仿宋_GBK" w:hAnsi="方正黑体_GBK" w:eastAsia="方正仿宋_GBK" w:cs="方正黑体_GBK"/>
          <w:color w:val="000000" w:themeColor="text1"/>
          <w:sz w:val="32"/>
          <w:szCs w:val="32"/>
        </w:rPr>
        <w:t>文件内容要求，确保公司2022年度车辆保险承保单位选择的合理合规性，公司现</w:t>
      </w:r>
      <w:r>
        <w:rPr>
          <w:rFonts w:hint="eastAsia" w:ascii="方正仿宋_GBK" w:eastAsia="方正仿宋_GBK" w:cs="方正仿宋_GBK"/>
          <w:color w:val="000000" w:themeColor="text1"/>
          <w:sz w:val="32"/>
          <w:szCs w:val="32"/>
        </w:rPr>
        <w:t>开展2022年度</w:t>
      </w:r>
      <w:r>
        <w:rPr>
          <w:rFonts w:hint="eastAsia" w:ascii="方正仿宋_GBK" w:hAnsi="方正黑体_GBK" w:eastAsia="方正仿宋_GBK" w:cs="方正黑体_GBK"/>
          <w:color w:val="000000" w:themeColor="text1"/>
          <w:sz w:val="32"/>
          <w:szCs w:val="32"/>
        </w:rPr>
        <w:t>车辆保险承保单位</w:t>
      </w:r>
      <w:r>
        <w:rPr>
          <w:rFonts w:hint="eastAsia" w:ascii="方正仿宋_GBK" w:eastAsia="方正仿宋_GBK" w:cs="方正仿宋_GBK"/>
          <w:color w:val="000000" w:themeColor="text1"/>
          <w:sz w:val="32"/>
          <w:szCs w:val="32"/>
        </w:rPr>
        <w:t>竞争性择优选择询价工作，</w:t>
      </w:r>
      <w:r>
        <w:rPr>
          <w:rFonts w:hint="eastAsia" w:ascii="方正仿宋_GBK" w:hAnsi="方正黑体_GBK" w:eastAsia="方正仿宋_GBK" w:cs="方正黑体_GBK"/>
          <w:color w:val="000000" w:themeColor="text1"/>
          <w:sz w:val="32"/>
          <w:szCs w:val="32"/>
        </w:rPr>
        <w:t>通过公开竞争性比选方式确定承保单位，具体要求如下：</w:t>
      </w:r>
    </w:p>
    <w:p>
      <w:pPr>
        <w:pStyle w:val="10"/>
        <w:spacing w:line="560" w:lineRule="exact"/>
        <w:ind w:firstLine="64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一、项目概况与竞争性比选范围</w:t>
      </w:r>
    </w:p>
    <w:p>
      <w:pPr>
        <w:pStyle w:val="10"/>
        <w:spacing w:line="560" w:lineRule="exact"/>
        <w:ind w:firstLine="64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（一）项目概况</w:t>
      </w:r>
    </w:p>
    <w:p>
      <w:pPr>
        <w:pStyle w:val="10"/>
        <w:spacing w:line="560" w:lineRule="exact"/>
        <w:ind w:firstLine="640"/>
        <w:rPr>
          <w:rFonts w:ascii="方正仿宋_GBK" w:hAnsi="方正黑体_GBK" w:eastAsia="方正仿宋_GBK" w:cs="方正黑体_GBK"/>
          <w:color w:val="000000"/>
          <w:sz w:val="32"/>
          <w:szCs w:val="32"/>
        </w:rPr>
      </w:pPr>
      <w:r>
        <w:rPr>
          <w:rFonts w:hint="eastAsia" w:ascii="方正仿宋_GBK" w:hAnsi="方正黑体_GBK" w:eastAsia="方正仿宋_GBK" w:cs="方正黑体_GBK"/>
          <w:color w:val="000000"/>
          <w:sz w:val="32"/>
          <w:szCs w:val="32"/>
        </w:rPr>
        <w:t>本次公开竞争性比选涉及承保车辆约100</w:t>
      </w:r>
      <w:r>
        <w:rPr>
          <w:rFonts w:hint="eastAsia" w:ascii="方正仿宋_GBK" w:hAnsi="方正仿宋_GBK" w:eastAsia="方正仿宋_GBK" w:cs="方正仿宋_GBK"/>
          <w:bCs/>
          <w:sz w:val="32"/>
          <w:szCs w:val="32"/>
        </w:rPr>
        <w:t>台（租赁车辆22台、非营运车辆78台）。</w:t>
      </w:r>
    </w:p>
    <w:p>
      <w:pPr>
        <w:spacing w:line="560" w:lineRule="exact"/>
        <w:ind w:firstLine="640" w:firstLineChars="200"/>
        <w:outlineLvl w:val="0"/>
        <w:rPr>
          <w:rFonts w:ascii="方正楷体_GBK" w:hAnsi="方正黑体_GBK" w:eastAsia="方正楷体_GBK" w:cs="方正黑体_GBK"/>
          <w:color w:val="000000"/>
          <w:sz w:val="32"/>
          <w:szCs w:val="32"/>
        </w:rPr>
      </w:pPr>
      <w:r>
        <w:rPr>
          <w:rFonts w:hint="eastAsia" w:ascii="方正楷体_GBK" w:hAnsi="方正黑体_GBK" w:eastAsia="方正楷体_GBK" w:cs="方正黑体_GBK"/>
          <w:color w:val="000000"/>
          <w:sz w:val="32"/>
          <w:szCs w:val="32"/>
        </w:rPr>
        <w:t>（二）比选范围</w:t>
      </w:r>
    </w:p>
    <w:p>
      <w:pPr>
        <w:spacing w:line="560" w:lineRule="exact"/>
        <w:ind w:firstLine="640" w:firstLineChars="200"/>
        <w:outlineLvl w:val="0"/>
        <w:rPr>
          <w:rFonts w:ascii="方正仿宋_GBK" w:hAnsi="方正黑体_GBK" w:eastAsia="方正仿宋_GBK" w:cs="方正黑体_GBK"/>
          <w:color w:val="000000"/>
          <w:sz w:val="32"/>
          <w:szCs w:val="32"/>
        </w:rPr>
      </w:pPr>
      <w:r>
        <w:rPr>
          <w:rFonts w:hint="eastAsia" w:ascii="方正仿宋_GBK" w:hAnsi="方正仿宋_GBK" w:eastAsia="方正仿宋_GBK" w:cs="方正仿宋_GBK"/>
          <w:sz w:val="32"/>
          <w:szCs w:val="32"/>
        </w:rPr>
        <w:t>经中国保险监督管理委员会批准成立且正常经营的保险公司或其下属机构</w:t>
      </w:r>
      <w:r>
        <w:rPr>
          <w:rFonts w:hint="eastAsia" w:ascii="方正仿宋_GBK" w:hAnsi="方正黑体_GBK" w:eastAsia="方正仿宋_GBK" w:cs="方正黑体_GBK"/>
          <w:color w:val="000000"/>
          <w:sz w:val="32"/>
          <w:szCs w:val="32"/>
        </w:rPr>
        <w:t>。</w:t>
      </w:r>
    </w:p>
    <w:p>
      <w:pPr>
        <w:spacing w:line="560" w:lineRule="exact"/>
        <w:ind w:firstLine="640" w:firstLineChars="200"/>
        <w:rPr>
          <w:rFonts w:asci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二、</w:t>
      </w:r>
      <w:r>
        <w:rPr>
          <w:rFonts w:hint="eastAsia" w:ascii="方正黑体_GBK" w:eastAsia="方正黑体_GBK" w:cs="方正黑体_GBK"/>
          <w:color w:val="000000"/>
          <w:sz w:val="32"/>
          <w:szCs w:val="32"/>
        </w:rPr>
        <w:t>比选响应人资质条件要求</w:t>
      </w:r>
    </w:p>
    <w:p>
      <w:pPr>
        <w:spacing w:line="560" w:lineRule="exact"/>
        <w:ind w:firstLine="640" w:firstLineChars="200"/>
        <w:rPr>
          <w:rFonts w:ascii="方正仿宋_GBK" w:hAnsi="方正仿宋_GBK" w:eastAsia="方正仿宋_GBK" w:cs="方正仿宋_GBK"/>
          <w:sz w:val="32"/>
          <w:szCs w:val="32"/>
        </w:rPr>
      </w:pPr>
      <w:bookmarkStart w:id="0" w:name="_Toc157499355"/>
      <w:bookmarkStart w:id="1" w:name="_Toc179632533"/>
      <w:bookmarkStart w:id="2" w:name="_Toc246996906"/>
      <w:bookmarkStart w:id="3" w:name="_Toc246996163"/>
      <w:bookmarkStart w:id="4" w:name="_Toc491329987"/>
      <w:bookmarkStart w:id="5" w:name="_Toc247085677"/>
      <w:r>
        <w:rPr>
          <w:rFonts w:hint="eastAsia" w:ascii="方正仿宋_GBK" w:eastAsia="方正仿宋_GBK" w:cs="方正仿宋_GBK"/>
          <w:color w:val="000000"/>
          <w:sz w:val="32"/>
          <w:szCs w:val="32"/>
        </w:rPr>
        <w:t>1. 依法设立，</w:t>
      </w:r>
      <w:r>
        <w:rPr>
          <w:rFonts w:hint="eastAsia" w:ascii="方正仿宋_GBK" w:hAnsi="方正仿宋_GBK" w:eastAsia="方正仿宋_GBK" w:cs="方正仿宋_GBK"/>
          <w:sz w:val="32"/>
          <w:szCs w:val="32"/>
        </w:rPr>
        <w:t>具备经营上述保险项目</w:t>
      </w:r>
      <w:r>
        <w:rPr>
          <w:rFonts w:hint="eastAsia" w:ascii="方正仿宋_GBK" w:eastAsia="方正仿宋_GBK" w:cs="方正仿宋_GBK"/>
          <w:color w:val="000000"/>
          <w:sz w:val="32"/>
          <w:szCs w:val="32"/>
        </w:rPr>
        <w:t>开展业务相适应的资质、资格、固定场所。具有经</w:t>
      </w:r>
      <w:r>
        <w:rPr>
          <w:rFonts w:hint="eastAsia" w:ascii="方正仿宋_GBK" w:hAnsi="方正仿宋_GBK" w:eastAsia="方正仿宋_GBK" w:cs="方正仿宋_GBK"/>
          <w:sz w:val="32"/>
          <w:szCs w:val="32"/>
        </w:rPr>
        <w:t>中国保险监督管理委员会批准开展业务的相应证明，且</w:t>
      </w:r>
      <w:r>
        <w:rPr>
          <w:rFonts w:hint="eastAsia" w:ascii="方正仿宋_GBK" w:eastAsia="方正仿宋_GBK" w:cs="方正仿宋_GBK"/>
          <w:color w:val="000000"/>
          <w:sz w:val="32"/>
          <w:szCs w:val="32"/>
        </w:rPr>
        <w:t>在有效期限内。</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2．具有承保租赁车辆或营运车辆和政府、国有企业车辆业绩（需</w:t>
      </w:r>
      <w:r>
        <w:rPr>
          <w:rFonts w:ascii="方正仿宋_GBK" w:eastAsia="方正仿宋_GBK" w:cs="方正仿宋_GBK"/>
          <w:color w:val="000000"/>
          <w:sz w:val="32"/>
          <w:szCs w:val="32"/>
        </w:rPr>
        <w:t>提供</w:t>
      </w:r>
      <w:r>
        <w:rPr>
          <w:rFonts w:hint="eastAsia" w:ascii="方正仿宋_GBK" w:eastAsia="方正仿宋_GBK" w:cs="方正仿宋_GBK"/>
          <w:color w:val="000000"/>
          <w:sz w:val="32"/>
          <w:szCs w:val="32"/>
        </w:rPr>
        <w:t>2021年</w:t>
      </w:r>
      <w:r>
        <w:rPr>
          <w:rFonts w:ascii="方正仿宋_GBK" w:eastAsia="方正仿宋_GBK" w:cs="方正仿宋_GBK"/>
          <w:color w:val="000000"/>
          <w:sz w:val="32"/>
          <w:szCs w:val="32"/>
        </w:rPr>
        <w:t>合同复印件</w:t>
      </w:r>
      <w:r>
        <w:rPr>
          <w:rFonts w:hint="eastAsia" w:ascii="方正仿宋_GBK" w:eastAsia="方正仿宋_GBK" w:cs="方正仿宋_GBK"/>
          <w:color w:val="000000"/>
          <w:sz w:val="32"/>
          <w:szCs w:val="32"/>
        </w:rPr>
        <w:t>，不少于5家，</w:t>
      </w:r>
      <w:r>
        <w:rPr>
          <w:rFonts w:ascii="方正仿宋_GBK" w:eastAsia="方正仿宋_GBK" w:cs="方正仿宋_GBK"/>
          <w:color w:val="000000"/>
          <w:sz w:val="32"/>
          <w:szCs w:val="32"/>
        </w:rPr>
        <w:t>并</w:t>
      </w:r>
      <w:r>
        <w:rPr>
          <w:rFonts w:hint="eastAsia" w:ascii="方正仿宋_GBK" w:eastAsia="方正仿宋_GBK" w:cs="方正仿宋_GBK"/>
          <w:color w:val="000000"/>
          <w:sz w:val="32"/>
          <w:szCs w:val="32"/>
        </w:rPr>
        <w:t>加盖比选申请单位公章</w:t>
      </w:r>
      <w:r>
        <w:rPr>
          <w:rFonts w:ascii="方正仿宋_GBK" w:eastAsia="方正仿宋_GBK" w:cs="方正仿宋_GBK"/>
          <w:color w:val="000000"/>
          <w:sz w:val="32"/>
          <w:szCs w:val="32"/>
        </w:rPr>
        <w:t>）。</w:t>
      </w:r>
    </w:p>
    <w:p>
      <w:pPr>
        <w:spacing w:line="560" w:lineRule="exact"/>
        <w:ind w:firstLine="640" w:firstLineChars="200"/>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3．有良好的社会信誉，3年内无违法执业或违法行为，在“信用中国”网站（http://www.creditchina.gov.cn/）中被列入失信被执行人名单（黑名单）的单位，不得参加比选</w:t>
      </w:r>
      <w:r>
        <w:rPr>
          <w:rFonts w:ascii="方正仿宋_GBK" w:eastAsia="方正仿宋_GBK" w:cs="方正仿宋_GBK"/>
          <w:color w:val="000000"/>
          <w:sz w:val="32"/>
          <w:szCs w:val="32"/>
        </w:rPr>
        <w:t>（提供承诺，格式自拟）</w:t>
      </w:r>
      <w:r>
        <w:rPr>
          <w:rFonts w:hint="eastAsia" w:ascii="方正仿宋_GBK" w:eastAsia="方正仿宋_GBK" w:cs="方正仿宋_GBK"/>
          <w:color w:val="000000"/>
          <w:sz w:val="32"/>
          <w:szCs w:val="32"/>
        </w:rPr>
        <w:t>。</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4．企业经营状况良好、资金实力雄厚，能提供保险业务优化方案，能确保上门办理各种保险业务及理赔事项。</w:t>
      </w:r>
    </w:p>
    <w:p>
      <w:pPr>
        <w:pStyle w:val="2"/>
      </w:pPr>
      <w:r>
        <w:rPr>
          <w:rFonts w:hint="eastAsia" w:ascii="方正仿宋_GBK" w:eastAsia="方正仿宋_GBK" w:cs="方正仿宋_GBK"/>
          <w:spacing w:val="-20"/>
          <w:kern w:val="2"/>
          <w:sz w:val="32"/>
          <w:szCs w:val="32"/>
        </w:rPr>
        <w:t>（</w:t>
      </w:r>
      <w:r>
        <w:rPr>
          <w:rFonts w:hint="eastAsia" w:ascii="方正仿宋_GBK" w:eastAsia="方正仿宋_GBK" w:cs="方正仿宋_GBK"/>
          <w:bCs/>
          <w:spacing w:val="-20"/>
          <w:kern w:val="2"/>
          <w:sz w:val="32"/>
          <w:szCs w:val="32"/>
        </w:rPr>
        <w:t>注：</w:t>
      </w:r>
      <w:r>
        <w:rPr>
          <w:rFonts w:hint="eastAsia" w:ascii="方正仿宋_GBK" w:eastAsia="方正仿宋_GBK" w:cs="方正仿宋_GBK"/>
          <w:spacing w:val="-20"/>
          <w:kern w:val="2"/>
          <w:sz w:val="32"/>
          <w:szCs w:val="32"/>
        </w:rPr>
        <w:t>所有证明材料的复印件或扫描件均须加盖比选申请单位公章）</w:t>
      </w:r>
    </w:p>
    <w:p>
      <w:pPr>
        <w:pStyle w:val="10"/>
        <w:spacing w:line="560" w:lineRule="exact"/>
        <w:ind w:firstLine="64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三、承保车辆保险范围及标准</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1．机动车交通事故责任强制保险；</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2．机动车损失险，按参考折旧系数表确定保险金额（列明具体计算方式）；</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3．机动车第三者责任险，保险金额：100万元；</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4．机动车车上人员责任保险（驾驶人、乘客），保险金额：5万元/座（按核定座位数投保）；</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5.驾乘人员补充意外伤害保险。</w:t>
      </w:r>
    </w:p>
    <w:bookmarkEnd w:id="0"/>
    <w:bookmarkEnd w:id="1"/>
    <w:bookmarkEnd w:id="2"/>
    <w:bookmarkEnd w:id="3"/>
    <w:bookmarkEnd w:id="4"/>
    <w:bookmarkEnd w:id="5"/>
    <w:p>
      <w:pPr>
        <w:pStyle w:val="10"/>
        <w:spacing w:line="560" w:lineRule="exact"/>
        <w:ind w:firstLine="630" w:firstLineChars="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四、评标办法</w:t>
      </w:r>
    </w:p>
    <w:p>
      <w:pPr>
        <w:pStyle w:val="10"/>
        <w:spacing w:line="560" w:lineRule="exact"/>
        <w:ind w:firstLine="630" w:firstLineChars="0"/>
        <w:rPr>
          <w:rFonts w:ascii="方正仿宋_GBK" w:hAnsi="方正黑体_GBK" w:eastAsia="方正仿宋_GBK" w:cs="方正黑体_GBK"/>
          <w:color w:val="000000"/>
          <w:sz w:val="32"/>
          <w:szCs w:val="32"/>
        </w:rPr>
      </w:pPr>
      <w:r>
        <w:rPr>
          <w:rFonts w:hint="eastAsia" w:ascii="方正仿宋_GBK" w:hAnsi="方正黑体_GBK" w:eastAsia="方正仿宋_GBK" w:cs="方正黑体_GBK"/>
          <w:color w:val="000000"/>
          <w:sz w:val="32"/>
          <w:szCs w:val="32"/>
        </w:rPr>
        <w:t>本项目综合评审法，按照竞争评分表（详见附件）计算得分从高到低的先后顺序推荐中标候选人，出现相同得分时按商业险自主定价系数低者为中标候选人，若仍相同时按指定车辆保险报价低者为中标候选人，再次出现相同时则由相应的竞标人对该部分进行第二次报价。其他服务承诺得分由评标委员会综合评分均值计算得分。</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若投标报价书中内容被发现有欺诈行为或不响应比选文件要求的将按废标处理；若竞标人恶意竞标后不按比选要求与比选人签订合同，比选人将直接将竞标人及其关联单位（含法人代表与委托代理人）一并拉入黑名单。</w:t>
      </w:r>
    </w:p>
    <w:p>
      <w:pPr>
        <w:spacing w:line="520" w:lineRule="exact"/>
        <w:ind w:firstLine="640" w:firstLineChars="200"/>
        <w:rPr>
          <w:rFonts w:ascii="方正仿宋_GBK" w:eastAsia="方正仿宋_GBK" w:cs="方正仿宋_GBK"/>
          <w:color w:val="000000" w:themeColor="text1"/>
          <w:sz w:val="32"/>
          <w:szCs w:val="32"/>
        </w:rPr>
      </w:pPr>
      <w:r>
        <w:rPr>
          <w:rFonts w:hint="eastAsia" w:ascii="方正黑体_GBK" w:eastAsia="方正黑体_GBK" w:cs="方正黑体_GBK"/>
          <w:color w:val="000000" w:themeColor="text1"/>
          <w:sz w:val="32"/>
          <w:szCs w:val="32"/>
        </w:rPr>
        <w:t>五、比选文件递交时间及开标时间</w:t>
      </w:r>
    </w:p>
    <w:p>
      <w:pPr>
        <w:spacing w:line="520" w:lineRule="exact"/>
        <w:ind w:firstLine="640"/>
        <w:rPr>
          <w:rFonts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rPr>
        <w:t>（一）比选文件递交时间</w:t>
      </w:r>
    </w:p>
    <w:p>
      <w:pPr>
        <w:spacing w:line="520" w:lineRule="exact"/>
        <w:ind w:firstLine="640" w:firstLineChars="20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 xml:space="preserve">2022年 1 月 18 日，截止时间为上午 10 </w:t>
      </w:r>
      <w:r>
        <w:rPr>
          <w:rFonts w:ascii="方正仿宋_GBK" w:eastAsia="方正仿宋_GBK" w:cs="方正仿宋_GBK"/>
          <w:color w:val="000000" w:themeColor="text1"/>
          <w:sz w:val="32"/>
          <w:szCs w:val="32"/>
        </w:rPr>
        <w:t>：</w:t>
      </w:r>
      <w:r>
        <w:rPr>
          <w:rFonts w:hint="eastAsia" w:ascii="方正仿宋_GBK" w:eastAsia="方正仿宋_GBK" w:cs="方正仿宋_GBK"/>
          <w:color w:val="000000" w:themeColor="text1"/>
          <w:sz w:val="32"/>
          <w:szCs w:val="32"/>
        </w:rPr>
        <w:t>00  (北京时间)</w:t>
      </w:r>
    </w:p>
    <w:p>
      <w:pPr>
        <w:spacing w:line="520" w:lineRule="exact"/>
        <w:ind w:firstLine="640"/>
        <w:rPr>
          <w:rFonts w:ascii="方正仿宋_GBK" w:eastAsia="方正仿宋_GBK" w:cs="方正仿宋_GBK"/>
          <w:color w:val="000000" w:themeColor="text1"/>
          <w:sz w:val="32"/>
          <w:szCs w:val="32"/>
        </w:rPr>
      </w:pPr>
      <w:r>
        <w:rPr>
          <w:rFonts w:hint="eastAsia" w:ascii="方正楷体_GBK" w:eastAsia="方正楷体_GBK" w:cs="方正楷体_GBK"/>
          <w:color w:val="000000" w:themeColor="text1"/>
          <w:sz w:val="32"/>
          <w:szCs w:val="32"/>
        </w:rPr>
        <w:t>（二）比选文件递交地点</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重庆交通速运汽车租赁有限公司219办公室（重庆保时通物流园信息交换大楼）。</w:t>
      </w:r>
    </w:p>
    <w:p>
      <w:pPr>
        <w:spacing w:line="520" w:lineRule="exact"/>
        <w:ind w:firstLine="640"/>
        <w:rPr>
          <w:rFonts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rPr>
        <w:t>（三）比选文件开标时间</w:t>
      </w:r>
    </w:p>
    <w:p>
      <w:pPr>
        <w:spacing w:line="520" w:lineRule="exact"/>
        <w:ind w:firstLine="640" w:firstLineChars="20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2022年 1 月 18日上午 10 点 10分（北京时间）</w:t>
      </w:r>
    </w:p>
    <w:p>
      <w:pPr>
        <w:spacing w:line="520" w:lineRule="exact"/>
        <w:ind w:firstLine="640" w:firstLineChars="200"/>
        <w:rPr>
          <w:rFonts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rPr>
        <w:t>（四）比选文件开标地点</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重庆交通速运汽车租赁有限公司219办公室（重庆保时通物流园信息交换大楼）。</w:t>
      </w:r>
    </w:p>
    <w:p>
      <w:pPr>
        <w:spacing w:line="520" w:lineRule="exact"/>
        <w:rPr>
          <w:rFonts w:ascii="方正黑体_GBK" w:eastAsia="方正黑体_GBK" w:cs="方正黑体_GBK"/>
          <w:color w:val="000000" w:themeColor="text1"/>
          <w:sz w:val="32"/>
          <w:szCs w:val="32"/>
        </w:rPr>
      </w:pPr>
      <w:r>
        <w:rPr>
          <w:rFonts w:hint="eastAsia" w:ascii="方正黑体_GBK" w:eastAsia="方正黑体_GBK" w:cs="方正黑体_GBK"/>
          <w:color w:val="000000" w:themeColor="text1"/>
          <w:sz w:val="32"/>
          <w:szCs w:val="32"/>
        </w:rPr>
        <w:t xml:space="preserve">    六、比选文件制作要求</w:t>
      </w:r>
    </w:p>
    <w:p>
      <w:pPr>
        <w:spacing w:line="520" w:lineRule="exact"/>
        <w:ind w:firstLine="640" w:firstLineChars="20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spacing w:line="520" w:lineRule="exact"/>
        <w:ind w:firstLine="640" w:firstLineChars="20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投标文件由资质文件、商务文件、技术文件和报价文件等四部分组成，各类文件按A4纸规格密封合并装订成一本，正本一份，副本二份。信封的封口须加盖比选申请人公章。未按规定密封将导致报价文件被拒绝接收。报价文件制作要求如下：</w:t>
      </w:r>
    </w:p>
    <w:p>
      <w:pPr>
        <w:spacing w:line="520" w:lineRule="exact"/>
        <w:ind w:firstLine="640" w:firstLineChars="200"/>
        <w:rPr>
          <w:rFonts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rPr>
        <w:t>（一）资质文件内容要求</w:t>
      </w:r>
    </w:p>
    <w:p>
      <w:pPr>
        <w:spacing w:line="520" w:lineRule="exact"/>
        <w:ind w:firstLine="640" w:firstLineChars="20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提供资料：比选申请人营业执照复印件、信誉声明；比选申请人法定代表人或负责人身份证明和法定代表人或负责人授权代表委托书；</w:t>
      </w:r>
      <w:r>
        <w:rPr>
          <w:rFonts w:hint="eastAsia" w:ascii="方正仿宋_GBK" w:hAnsi="方正仿宋_GBK" w:eastAsia="方正仿宋_GBK" w:cs="方正仿宋_GBK"/>
          <w:color w:val="000000" w:themeColor="text1"/>
          <w:sz w:val="32"/>
          <w:szCs w:val="32"/>
        </w:rPr>
        <w:t>经中国保险监督管理委员会批准成立的相关证书</w:t>
      </w:r>
      <w:r>
        <w:rPr>
          <w:rFonts w:hint="eastAsia" w:ascii="方正仿宋_GBK" w:eastAsia="方正仿宋_GBK" w:cs="方正仿宋_GBK"/>
          <w:color w:val="000000" w:themeColor="text1"/>
          <w:sz w:val="32"/>
          <w:szCs w:val="32"/>
        </w:rPr>
        <w:t>、主要人员资格证书等。以上所有证照必须年审合格，且在有效期内，复印件必须清晰可见，且加盖比选申请人单位鲜章，提供原件备查。</w:t>
      </w:r>
    </w:p>
    <w:p>
      <w:pPr>
        <w:spacing w:line="520" w:lineRule="exact"/>
        <w:ind w:firstLine="640" w:firstLineChars="200"/>
        <w:rPr>
          <w:rFonts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rPr>
        <w:t>（二）商务文件内容要求</w:t>
      </w:r>
    </w:p>
    <w:p>
      <w:pPr>
        <w:snapToGrid w:val="0"/>
        <w:spacing w:line="520" w:lineRule="exact"/>
        <w:ind w:firstLine="640" w:firstLineChars="20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业绩证明中的每份合同复印件可以不复印完合同的具体内容，但必须有双方单位、合同金额的部分，并加盖鲜章。</w:t>
      </w:r>
    </w:p>
    <w:p>
      <w:pPr>
        <w:snapToGrid w:val="0"/>
        <w:spacing w:line="520" w:lineRule="exact"/>
        <w:rPr>
          <w:rFonts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rPr>
        <w:t xml:space="preserve">    （三）技术文件内容要求</w:t>
      </w:r>
    </w:p>
    <w:p>
      <w:pPr>
        <w:snapToGrid w:val="0"/>
        <w:spacing w:line="520" w:lineRule="exact"/>
        <w:ind w:firstLine="64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技术文件格式自定，内容包括</w:t>
      </w:r>
      <w:r>
        <w:rPr>
          <w:rFonts w:hint="eastAsia" w:ascii="方正仿宋_GBK" w:hAnsi="方正仿宋_GBK" w:eastAsia="方正仿宋_GBK" w:cs="方正仿宋_GBK"/>
          <w:sz w:val="32"/>
          <w:szCs w:val="32"/>
        </w:rPr>
        <w:t>能提供保险业务优化方案，能确保上门办理各种保险业务及理赔事项等服务和承诺。</w:t>
      </w:r>
    </w:p>
    <w:p>
      <w:pPr>
        <w:snapToGrid w:val="0"/>
        <w:spacing w:line="520" w:lineRule="exact"/>
        <w:ind w:firstLine="640" w:firstLineChars="200"/>
        <w:rPr>
          <w:rFonts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rPr>
        <w:t>（四）报价文件填写要求</w:t>
      </w:r>
    </w:p>
    <w:p>
      <w:pPr>
        <w:tabs>
          <w:tab w:val="left" w:pos="567"/>
        </w:tabs>
        <w:spacing w:line="520" w:lineRule="exact"/>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 xml:space="preserve">    1．报价表应由法人授权代表人签字并加盖单位公章，未加盖公章的，视为无效。</w:t>
      </w:r>
    </w:p>
    <w:p>
      <w:pPr>
        <w:spacing w:line="520" w:lineRule="exact"/>
        <w:ind w:firstLine="63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2．报价文件未密封的、报价文件逾期送达的视为无效。</w:t>
      </w:r>
    </w:p>
    <w:p>
      <w:pPr>
        <w:spacing w:line="520" w:lineRule="exact"/>
        <w:rPr>
          <w:rFonts w:ascii="方正黑体_GBK" w:eastAsia="方正黑体_GBK" w:cs="方正黑体_GBK"/>
          <w:color w:val="000000" w:themeColor="text1"/>
          <w:sz w:val="32"/>
          <w:szCs w:val="32"/>
        </w:rPr>
      </w:pPr>
      <w:r>
        <w:rPr>
          <w:rFonts w:hint="eastAsia" w:ascii="方正黑体_GBK" w:eastAsia="方正黑体_GBK" w:cs="方正黑体_GBK"/>
          <w:color w:val="000000" w:themeColor="text1"/>
          <w:sz w:val="32"/>
          <w:szCs w:val="32"/>
        </w:rPr>
        <w:t xml:space="preserve">    七、中选公示及中选通知</w:t>
      </w:r>
    </w:p>
    <w:p>
      <w:pPr>
        <w:spacing w:line="520" w:lineRule="exact"/>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 xml:space="preserve">    （一）比选人在完成评标之日起3日内公示中选候选人，公示期不得少于3日。</w:t>
      </w:r>
    </w:p>
    <w:p>
      <w:pPr>
        <w:spacing w:line="520" w:lineRule="exact"/>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 xml:space="preserve">    （二）中选通知:公示期间无异议或投诉、异议不成立，比选人在公示期结束后5日内按照比选文件规定的定标办法确定中选人。</w:t>
      </w:r>
    </w:p>
    <w:p>
      <w:pPr>
        <w:spacing w:line="520" w:lineRule="exact"/>
        <w:ind w:firstLine="64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（三）除不可抗力外，中选人放弃中选资格的，取消其一至二年投标资格。</w:t>
      </w:r>
    </w:p>
    <w:p>
      <w:pPr>
        <w:spacing w:line="560" w:lineRule="exact"/>
        <w:ind w:firstLine="627" w:firstLineChars="196"/>
        <w:rPr>
          <w:rFonts w:ascii="方正黑体_GBK" w:hAnsi="Calibri" w:eastAsia="方正黑体_GBK" w:cs="Times New Roman"/>
          <w:sz w:val="32"/>
          <w:szCs w:val="32"/>
        </w:rPr>
      </w:pPr>
      <w:r>
        <w:rPr>
          <w:rFonts w:hint="eastAsia" w:ascii="方正黑体_GBK" w:hAnsi="Calibri" w:eastAsia="方正黑体_GBK" w:cs="Times New Roman"/>
          <w:sz w:val="32"/>
          <w:szCs w:val="32"/>
        </w:rPr>
        <w:t>八、竞争性比选须知</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（一）竞争性比选文件获取方式</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凡自愿参加的潜在竞标人，自挂网起至竞争性比选响应文件递交截止时间前，详见重庆高速集团官网（</w:t>
      </w:r>
      <w:bookmarkStart w:id="6" w:name="OLE_LINK1"/>
      <w:r>
        <w:rPr>
          <w:rFonts w:hint="eastAsia" w:ascii="方正仿宋_GBK" w:hAnsi="宋体" w:eastAsia="方正仿宋_GBK" w:cs="宋体"/>
          <w:sz w:val="32"/>
          <w:szCs w:val="32"/>
        </w:rPr>
        <w:t>http://www.cegc.com.cn</w:t>
      </w:r>
      <w:bookmarkEnd w:id="6"/>
      <w:r>
        <w:rPr>
          <w:rFonts w:hint="eastAsia" w:ascii="方正仿宋_GBK" w:hAnsi="宋体" w:eastAsia="方正仿宋_GBK" w:cs="宋体"/>
          <w:sz w:val="32"/>
          <w:szCs w:val="32"/>
        </w:rPr>
        <w:t>）上发布的本项目竞争性比选公告，自行下载。不管竞标人是否下载，均视为已知晓竞争性比选文件的全部内容和有关事宜。本项目不需要报名，直接投标。</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w:t>
      </w:r>
      <w:r>
        <w:rPr>
          <w:rFonts w:hint="eastAsia" w:ascii="方正楷体_GBK" w:hAnsi="方正楷体_GBK" w:eastAsia="方正楷体_GBK" w:cs="方正楷体_GBK"/>
          <w:sz w:val="32"/>
          <w:szCs w:val="32"/>
        </w:rPr>
        <w:t>二</w:t>
      </w:r>
      <w:r>
        <w:rPr>
          <w:rFonts w:hint="eastAsia" w:ascii="方正仿宋_GBK" w:hAnsi="宋体" w:eastAsia="方正仿宋_GBK" w:cs="宋体"/>
          <w:sz w:val="32"/>
          <w:szCs w:val="32"/>
        </w:rPr>
        <w:t>）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w:t>
      </w:r>
      <w:r>
        <w:rPr>
          <w:rFonts w:hint="eastAsia" w:ascii="方正楷体_GBK" w:hAnsi="方正楷体_GBK" w:eastAsia="方正楷体_GBK" w:cs="方正楷体_GBK"/>
          <w:sz w:val="32"/>
          <w:szCs w:val="32"/>
        </w:rPr>
        <w:t>三</w:t>
      </w:r>
      <w:r>
        <w:rPr>
          <w:rFonts w:hint="eastAsia" w:ascii="方正仿宋_GBK" w:hAnsi="宋体" w:eastAsia="方正仿宋_GBK" w:cs="宋体"/>
          <w:sz w:val="32"/>
          <w:szCs w:val="32"/>
        </w:rPr>
        <w:t>）竞标人因自身原因或其他特殊情况等不能到场开标，可通过其他方式在投标截止日前递交标书进行报名。不到场参与开标，视为竞标人默认开标过程及开标结果。</w:t>
      </w:r>
    </w:p>
    <w:p>
      <w:pPr>
        <w:spacing w:line="560" w:lineRule="exact"/>
        <w:ind w:firstLine="640" w:firstLineChars="200"/>
        <w:rPr>
          <w:rFonts w:ascii="方正仿宋_GBK" w:hAnsi="宋体" w:eastAsia="方正仿宋_GBK" w:cs="宋体"/>
          <w:bCs/>
          <w:sz w:val="32"/>
          <w:szCs w:val="32"/>
        </w:rPr>
      </w:pPr>
      <w:r>
        <w:rPr>
          <w:rFonts w:hint="eastAsia" w:ascii="方正黑体_GBK" w:hAnsi="宋体" w:eastAsia="方正黑体_GBK" w:cs="宋体"/>
          <w:sz w:val="32"/>
          <w:szCs w:val="32"/>
        </w:rPr>
        <w:t>重要提醒：根据疫情防控工作要求，非我司常驻人员进入公司大楼，须出示渝康码、行程码，中高风险区前来人员需提供24小时核酸检测阴性结果证明。故本次比选，竞标人可不现场参与开标，可将密封好的“竞争性比选响应文件”邮寄或送到我司。</w:t>
      </w:r>
    </w:p>
    <w:p>
      <w:pPr>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九、廉政约定</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举报部门：</w:t>
      </w:r>
      <w:r>
        <w:rPr>
          <w:rFonts w:hint="eastAsia" w:ascii="方正仿宋_GBK" w:eastAsia="方正仿宋_GBK"/>
          <w:sz w:val="32"/>
          <w:szCs w:val="32"/>
        </w:rPr>
        <w:t>综合部</w:t>
      </w:r>
      <w:r>
        <w:rPr>
          <w:rFonts w:hint="eastAsia" w:ascii="方正仿宋_GBK" w:hAnsi="Calibri" w:eastAsia="方正仿宋_GBK" w:cs="Times New Roman"/>
          <w:sz w:val="32"/>
          <w:szCs w:val="32"/>
        </w:rPr>
        <w:t xml:space="preserve">      举报电话：023-</w:t>
      </w:r>
      <w:r>
        <w:rPr>
          <w:rFonts w:hint="eastAsia" w:ascii="方正仿宋_GBK" w:eastAsia="方正仿宋_GBK"/>
          <w:sz w:val="32"/>
          <w:szCs w:val="32"/>
        </w:rPr>
        <w:t>63422672</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我司承诺：对所有举报信息及时调查处理，对举报来源严格保守秘密，对举报单位因举报所可能遭受的利益损害采取特别措施予以保护。</w:t>
      </w:r>
    </w:p>
    <w:p>
      <w:pPr>
        <w:spacing w:line="560" w:lineRule="exact"/>
        <w:ind w:firstLine="640" w:firstLineChars="200"/>
        <w:jc w:val="left"/>
        <w:rPr>
          <w:rFonts w:ascii="方正黑体_GBK" w:hAnsi="宋体" w:eastAsia="方正黑体_GBK" w:cs="宋体"/>
          <w:bCs/>
          <w:sz w:val="32"/>
          <w:szCs w:val="32"/>
        </w:rPr>
      </w:pPr>
      <w:r>
        <w:rPr>
          <w:rFonts w:hint="eastAsia" w:ascii="方正黑体_GBK" w:hAnsi="宋体" w:eastAsia="方正黑体_GBK" w:cs="宋体"/>
          <w:bCs/>
          <w:sz w:val="32"/>
          <w:szCs w:val="32"/>
        </w:rPr>
        <w:t>十、竞争性比选人联系方式</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竞争性比选人：重庆交通速运汽车租赁有限公司</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地址：重庆市保时通物流园信息交换大楼2楼</w:t>
      </w:r>
    </w:p>
    <w:p>
      <w:pPr>
        <w:spacing w:line="560" w:lineRule="exact"/>
        <w:ind w:firstLine="640" w:firstLineChars="200"/>
        <w:jc w:val="left"/>
        <w:rPr>
          <w:rFonts w:ascii="方正仿宋_GBK" w:hAnsi="宋体" w:eastAsia="方正仿宋_GBK" w:cs="Times New Roman"/>
          <w:snapToGrid w:val="0"/>
          <w:kern w:val="0"/>
          <w:sz w:val="32"/>
          <w:szCs w:val="32"/>
        </w:rPr>
      </w:pPr>
      <w:r>
        <w:rPr>
          <w:rFonts w:hint="eastAsia" w:ascii="方正仿宋_GBK" w:hAnsi="宋体" w:eastAsia="方正仿宋_GBK" w:cs="宋体"/>
          <w:sz w:val="32"/>
          <w:szCs w:val="32"/>
        </w:rPr>
        <w:t>联系人：周老师     电话：023-67684385</w:t>
      </w:r>
    </w:p>
    <w:p>
      <w:pPr>
        <w:pStyle w:val="10"/>
        <w:spacing w:line="560" w:lineRule="exact"/>
        <w:ind w:firstLine="0" w:firstLineChars="0"/>
      </w:pPr>
    </w:p>
    <w:p>
      <w:pPr>
        <w:pStyle w:val="10"/>
        <w:spacing w:line="560" w:lineRule="exact"/>
        <w:ind w:firstLine="0" w:firstLineChars="0"/>
      </w:pP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 xml:space="preserve">                    重庆交通速运汽车租赁有限公司</w:t>
      </w: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 xml:space="preserve">                          2021年1月5日</w:t>
      </w:r>
    </w:p>
    <w:p>
      <w:pPr>
        <w:spacing w:line="560" w:lineRule="exact"/>
        <w:ind w:firstLine="640" w:firstLineChars="200"/>
        <w:jc w:val="left"/>
        <w:rPr>
          <w:rFonts w:ascii="方正楷体_GBK" w:hAnsi="仿宋" w:eastAsia="方正楷体_GBK" w:cs="仿宋"/>
          <w:sz w:val="32"/>
          <w:szCs w:val="32"/>
        </w:rPr>
      </w:pPr>
      <w:r>
        <w:rPr>
          <w:rFonts w:hint="eastAsia" w:ascii="方正楷体_GBK" w:hAnsi="仿宋" w:eastAsia="方正楷体_GBK" w:cs="仿宋"/>
          <w:sz w:val="32"/>
          <w:szCs w:val="32"/>
        </w:rPr>
        <w:br w:type="page"/>
      </w:r>
    </w:p>
    <w:p>
      <w:pPr>
        <w:rPr>
          <w:rFonts w:ascii="方正楷体_GBK" w:hAnsi="仿宋" w:eastAsia="方正楷体_GBK" w:cs="仿宋"/>
          <w:sz w:val="32"/>
          <w:szCs w:val="32"/>
        </w:rPr>
      </w:pPr>
      <w:r>
        <w:rPr>
          <w:rFonts w:hint="eastAsia" w:ascii="方正楷体_GBK" w:hAnsi="仿宋" w:eastAsia="方正楷体_GBK" w:cs="仿宋"/>
          <w:sz w:val="32"/>
          <w:szCs w:val="32"/>
        </w:rPr>
        <w:t>附件1</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竞争评分表</w:t>
      </w:r>
    </w:p>
    <w:tbl>
      <w:tblPr>
        <w:tblStyle w:val="11"/>
        <w:tblW w:w="8593" w:type="dxa"/>
        <w:tblInd w:w="108" w:type="dxa"/>
        <w:tblLayout w:type="autofit"/>
        <w:tblCellMar>
          <w:top w:w="0" w:type="dxa"/>
          <w:left w:w="108" w:type="dxa"/>
          <w:bottom w:w="0" w:type="dxa"/>
          <w:right w:w="108" w:type="dxa"/>
        </w:tblCellMar>
      </w:tblPr>
      <w:tblGrid>
        <w:gridCol w:w="1432"/>
        <w:gridCol w:w="1687"/>
        <w:gridCol w:w="2610"/>
        <w:gridCol w:w="1501"/>
        <w:gridCol w:w="1363"/>
      </w:tblGrid>
      <w:tr>
        <w:tblPrEx>
          <w:tblCellMar>
            <w:top w:w="0" w:type="dxa"/>
            <w:left w:w="108" w:type="dxa"/>
            <w:bottom w:w="0" w:type="dxa"/>
            <w:right w:w="108" w:type="dxa"/>
          </w:tblCellMar>
        </w:tblPrEx>
        <w:trPr>
          <w:trHeight w:val="308" w:hRule="atLeast"/>
        </w:trPr>
        <w:tc>
          <w:tcPr>
            <w:tcW w:w="1432" w:type="dxa"/>
            <w:vMerge w:val="restart"/>
            <w:tcBorders>
              <w:top w:val="single" w:color="auto" w:sz="12" w:space="0"/>
              <w:left w:val="single" w:color="auto" w:sz="8" w:space="0"/>
              <w:bottom w:val="single" w:color="000000" w:sz="12" w:space="0"/>
              <w:right w:val="single" w:color="auto" w:sz="8" w:space="0"/>
            </w:tcBorders>
            <w:shd w:val="clear" w:color="auto" w:fill="auto"/>
            <w:vAlign w:val="center"/>
          </w:tcPr>
          <w:p>
            <w:pPr>
              <w:widowControl/>
              <w:jc w:val="center"/>
              <w:rPr>
                <w:rFonts w:ascii="宋体"/>
                <w:b/>
                <w:sz w:val="24"/>
                <w:szCs w:val="20"/>
              </w:rPr>
            </w:pPr>
            <w:r>
              <w:rPr>
                <w:rFonts w:hint="eastAsia" w:ascii="宋体"/>
                <w:b/>
                <w:sz w:val="24"/>
                <w:szCs w:val="20"/>
              </w:rPr>
              <w:t>序号</w:t>
            </w:r>
          </w:p>
        </w:tc>
        <w:tc>
          <w:tcPr>
            <w:tcW w:w="1687" w:type="dxa"/>
            <w:tcBorders>
              <w:top w:val="single" w:color="auto" w:sz="12" w:space="0"/>
              <w:left w:val="nil"/>
              <w:bottom w:val="nil"/>
              <w:right w:val="single" w:color="auto" w:sz="8" w:space="0"/>
            </w:tcBorders>
            <w:shd w:val="clear" w:color="auto" w:fill="auto"/>
            <w:vAlign w:val="center"/>
          </w:tcPr>
          <w:p>
            <w:pPr>
              <w:widowControl/>
              <w:jc w:val="center"/>
              <w:rPr>
                <w:rFonts w:ascii="宋体"/>
                <w:b/>
                <w:sz w:val="24"/>
                <w:szCs w:val="20"/>
              </w:rPr>
            </w:pPr>
          </w:p>
          <w:p>
            <w:pPr>
              <w:widowControl/>
              <w:jc w:val="center"/>
              <w:rPr>
                <w:rFonts w:ascii="宋体"/>
                <w:b/>
                <w:sz w:val="24"/>
                <w:szCs w:val="20"/>
              </w:rPr>
            </w:pPr>
            <w:r>
              <w:rPr>
                <w:rFonts w:hint="eastAsia" w:ascii="宋体"/>
                <w:b/>
                <w:sz w:val="24"/>
                <w:szCs w:val="20"/>
              </w:rPr>
              <w:t>评标因素</w:t>
            </w:r>
          </w:p>
        </w:tc>
        <w:tc>
          <w:tcPr>
            <w:tcW w:w="4111" w:type="dxa"/>
            <w:gridSpan w:val="2"/>
            <w:vMerge w:val="restart"/>
            <w:tcBorders>
              <w:top w:val="single" w:color="auto" w:sz="12" w:space="0"/>
              <w:left w:val="single" w:color="auto" w:sz="8" w:space="0"/>
              <w:bottom w:val="single" w:color="000000" w:sz="12" w:space="0"/>
              <w:right w:val="single" w:color="000000" w:sz="8" w:space="0"/>
            </w:tcBorders>
            <w:shd w:val="clear" w:color="auto" w:fill="auto"/>
            <w:vAlign w:val="center"/>
          </w:tcPr>
          <w:p>
            <w:pPr>
              <w:widowControl/>
              <w:jc w:val="center"/>
              <w:rPr>
                <w:rFonts w:ascii="宋体"/>
                <w:b/>
                <w:sz w:val="24"/>
                <w:szCs w:val="20"/>
              </w:rPr>
            </w:pPr>
            <w:r>
              <w:rPr>
                <w:rFonts w:hint="eastAsia" w:ascii="宋体"/>
                <w:b/>
                <w:sz w:val="24"/>
                <w:szCs w:val="20"/>
              </w:rPr>
              <w:t>评标因素子项</w:t>
            </w:r>
          </w:p>
        </w:tc>
        <w:tc>
          <w:tcPr>
            <w:tcW w:w="1363" w:type="dxa"/>
            <w:vMerge w:val="restart"/>
            <w:tcBorders>
              <w:top w:val="single" w:color="auto" w:sz="12" w:space="0"/>
              <w:left w:val="single" w:color="auto" w:sz="8" w:space="0"/>
              <w:bottom w:val="single" w:color="000000" w:sz="12" w:space="0"/>
              <w:right w:val="single" w:color="auto" w:sz="8" w:space="0"/>
            </w:tcBorders>
            <w:shd w:val="clear" w:color="auto" w:fill="auto"/>
            <w:vAlign w:val="center"/>
          </w:tcPr>
          <w:p>
            <w:pPr>
              <w:widowControl/>
              <w:jc w:val="center"/>
              <w:rPr>
                <w:rFonts w:ascii="宋体"/>
                <w:b/>
                <w:sz w:val="24"/>
                <w:szCs w:val="20"/>
              </w:rPr>
            </w:pPr>
            <w:r>
              <w:rPr>
                <w:rFonts w:hint="eastAsia" w:ascii="宋体"/>
                <w:b/>
                <w:sz w:val="24"/>
                <w:szCs w:val="20"/>
              </w:rPr>
              <w:t>评标子项计分</w:t>
            </w:r>
          </w:p>
        </w:tc>
      </w:tr>
      <w:tr>
        <w:tblPrEx>
          <w:tblCellMar>
            <w:top w:w="0" w:type="dxa"/>
            <w:left w:w="108" w:type="dxa"/>
            <w:bottom w:w="0" w:type="dxa"/>
            <w:right w:w="108" w:type="dxa"/>
          </w:tblCellMar>
        </w:tblPrEx>
        <w:trPr>
          <w:trHeight w:val="308" w:hRule="atLeast"/>
        </w:trPr>
        <w:tc>
          <w:tcPr>
            <w:tcW w:w="1432" w:type="dxa"/>
            <w:vMerge w:val="continue"/>
            <w:tcBorders>
              <w:top w:val="single" w:color="auto" w:sz="12" w:space="0"/>
              <w:left w:val="single" w:color="auto" w:sz="8" w:space="0"/>
              <w:bottom w:val="single" w:color="000000" w:sz="12" w:space="0"/>
              <w:right w:val="single" w:color="auto" w:sz="8" w:space="0"/>
            </w:tcBorders>
            <w:vAlign w:val="center"/>
          </w:tcPr>
          <w:p>
            <w:pPr>
              <w:widowControl/>
              <w:jc w:val="left"/>
              <w:rPr>
                <w:rFonts w:ascii="宋体"/>
                <w:sz w:val="24"/>
                <w:szCs w:val="20"/>
              </w:rPr>
            </w:pPr>
          </w:p>
        </w:tc>
        <w:tc>
          <w:tcPr>
            <w:tcW w:w="1687" w:type="dxa"/>
            <w:tcBorders>
              <w:top w:val="nil"/>
              <w:left w:val="nil"/>
              <w:bottom w:val="single" w:color="auto" w:sz="12" w:space="0"/>
              <w:right w:val="single" w:color="auto" w:sz="8" w:space="0"/>
            </w:tcBorders>
            <w:shd w:val="clear" w:color="auto" w:fill="auto"/>
            <w:vAlign w:val="center"/>
          </w:tcPr>
          <w:p>
            <w:pPr>
              <w:widowControl/>
              <w:rPr>
                <w:rFonts w:ascii="宋体"/>
                <w:sz w:val="24"/>
                <w:szCs w:val="20"/>
              </w:rPr>
            </w:pPr>
          </w:p>
        </w:tc>
        <w:tc>
          <w:tcPr>
            <w:tcW w:w="4111" w:type="dxa"/>
            <w:gridSpan w:val="2"/>
            <w:vMerge w:val="continue"/>
            <w:tcBorders>
              <w:top w:val="nil"/>
              <w:left w:val="nil"/>
              <w:bottom w:val="single" w:color="auto" w:sz="12" w:space="0"/>
              <w:right w:val="single" w:color="auto" w:sz="8" w:space="0"/>
            </w:tcBorders>
            <w:vAlign w:val="center"/>
          </w:tcPr>
          <w:p>
            <w:pPr>
              <w:widowControl/>
              <w:jc w:val="center"/>
              <w:rPr>
                <w:rFonts w:ascii="宋体"/>
                <w:sz w:val="24"/>
                <w:szCs w:val="20"/>
              </w:rPr>
            </w:pPr>
          </w:p>
        </w:tc>
        <w:tc>
          <w:tcPr>
            <w:tcW w:w="1363" w:type="dxa"/>
            <w:vMerge w:val="continue"/>
            <w:tcBorders>
              <w:top w:val="single" w:color="auto" w:sz="12" w:space="0"/>
              <w:left w:val="single" w:color="auto" w:sz="8" w:space="0"/>
              <w:bottom w:val="single" w:color="000000" w:sz="12" w:space="0"/>
              <w:right w:val="single" w:color="auto" w:sz="8" w:space="0"/>
            </w:tcBorders>
            <w:vAlign w:val="center"/>
          </w:tcPr>
          <w:p>
            <w:pPr>
              <w:widowControl/>
              <w:jc w:val="left"/>
              <w:rPr>
                <w:rFonts w:ascii="宋体"/>
                <w:sz w:val="24"/>
                <w:szCs w:val="20"/>
              </w:rPr>
            </w:pPr>
          </w:p>
        </w:tc>
      </w:tr>
      <w:tr>
        <w:tblPrEx>
          <w:tblCellMar>
            <w:top w:w="0" w:type="dxa"/>
            <w:left w:w="108" w:type="dxa"/>
            <w:bottom w:w="0" w:type="dxa"/>
            <w:right w:w="108" w:type="dxa"/>
          </w:tblCellMar>
        </w:tblPrEx>
        <w:trPr>
          <w:trHeight w:val="913" w:hRule="atLeast"/>
        </w:trPr>
        <w:tc>
          <w:tcPr>
            <w:tcW w:w="14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sz w:val="24"/>
                <w:szCs w:val="20"/>
              </w:rPr>
            </w:pPr>
            <w:r>
              <w:rPr>
                <w:rFonts w:hint="eastAsia" w:ascii="宋体"/>
                <w:sz w:val="24"/>
                <w:szCs w:val="20"/>
              </w:rPr>
              <w:t>一</w:t>
            </w:r>
          </w:p>
        </w:tc>
        <w:tc>
          <w:tcPr>
            <w:tcW w:w="1687" w:type="dxa"/>
            <w:tcBorders>
              <w:top w:val="nil"/>
              <w:left w:val="nil"/>
              <w:bottom w:val="single" w:color="auto" w:sz="8" w:space="0"/>
              <w:right w:val="single" w:color="auto" w:sz="8" w:space="0"/>
            </w:tcBorders>
            <w:shd w:val="clear" w:color="auto" w:fill="auto"/>
            <w:vAlign w:val="center"/>
          </w:tcPr>
          <w:p>
            <w:pPr>
              <w:widowControl/>
              <w:jc w:val="center"/>
              <w:rPr>
                <w:rFonts w:ascii="宋体"/>
                <w:b/>
                <w:sz w:val="24"/>
                <w:szCs w:val="20"/>
              </w:rPr>
            </w:pPr>
            <w:r>
              <w:rPr>
                <w:rFonts w:hint="eastAsia" w:ascii="宋体"/>
                <w:b/>
                <w:sz w:val="24"/>
                <w:szCs w:val="20"/>
              </w:rPr>
              <w:t>商业险自主定价系数</w:t>
            </w:r>
          </w:p>
        </w:tc>
        <w:tc>
          <w:tcPr>
            <w:tcW w:w="4111" w:type="dxa"/>
            <w:gridSpan w:val="2"/>
            <w:tcBorders>
              <w:top w:val="single" w:color="auto" w:sz="12" w:space="0"/>
              <w:left w:val="nil"/>
              <w:bottom w:val="single" w:color="auto" w:sz="8" w:space="0"/>
              <w:right w:val="single" w:color="000000" w:sz="8" w:space="0"/>
            </w:tcBorders>
            <w:shd w:val="clear" w:color="auto" w:fill="auto"/>
            <w:vAlign w:val="center"/>
          </w:tcPr>
          <w:p>
            <w:pPr>
              <w:widowControl/>
              <w:ind w:firstLine="1200" w:firstLineChars="500"/>
              <w:rPr>
                <w:rFonts w:ascii="宋体"/>
                <w:sz w:val="24"/>
                <w:szCs w:val="20"/>
              </w:rPr>
            </w:pPr>
            <w:r>
              <w:rPr>
                <w:rFonts w:hint="eastAsia" w:ascii="宋体"/>
                <w:sz w:val="24"/>
                <w:szCs w:val="20"/>
              </w:rPr>
              <w:t>自主定价系数</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宋体"/>
                <w:sz w:val="24"/>
                <w:szCs w:val="20"/>
              </w:rPr>
            </w:pPr>
            <w:r>
              <w:rPr>
                <w:rFonts w:ascii="宋体"/>
                <w:sz w:val="24"/>
                <w:szCs w:val="20"/>
              </w:rPr>
              <w:t>40</w:t>
            </w:r>
            <w:r>
              <w:rPr>
                <w:rFonts w:hint="eastAsia" w:ascii="宋体"/>
                <w:sz w:val="24"/>
                <w:szCs w:val="20"/>
              </w:rPr>
              <w:t>（满分）</w:t>
            </w:r>
          </w:p>
        </w:tc>
      </w:tr>
      <w:tr>
        <w:tblPrEx>
          <w:tblCellMar>
            <w:top w:w="0" w:type="dxa"/>
            <w:left w:w="108" w:type="dxa"/>
            <w:bottom w:w="0" w:type="dxa"/>
            <w:right w:w="108" w:type="dxa"/>
          </w:tblCellMar>
        </w:tblPrEx>
        <w:trPr>
          <w:trHeight w:val="605" w:hRule="atLeast"/>
        </w:trPr>
        <w:tc>
          <w:tcPr>
            <w:tcW w:w="14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sz w:val="24"/>
                <w:szCs w:val="20"/>
              </w:rPr>
            </w:pPr>
            <w:r>
              <w:rPr>
                <w:rFonts w:hint="eastAsia" w:ascii="宋体"/>
                <w:sz w:val="24"/>
                <w:szCs w:val="20"/>
              </w:rPr>
              <w:t>二</w:t>
            </w:r>
          </w:p>
        </w:tc>
        <w:tc>
          <w:tcPr>
            <w:tcW w:w="1687" w:type="dxa"/>
            <w:tcBorders>
              <w:top w:val="nil"/>
              <w:left w:val="nil"/>
              <w:bottom w:val="single" w:color="auto" w:sz="8" w:space="0"/>
              <w:right w:val="single" w:color="auto" w:sz="8" w:space="0"/>
            </w:tcBorders>
            <w:shd w:val="clear" w:color="auto" w:fill="auto"/>
            <w:vAlign w:val="center"/>
          </w:tcPr>
          <w:p>
            <w:pPr>
              <w:widowControl/>
              <w:jc w:val="center"/>
              <w:rPr>
                <w:rFonts w:ascii="宋体"/>
                <w:b/>
                <w:sz w:val="24"/>
                <w:szCs w:val="20"/>
              </w:rPr>
            </w:pPr>
            <w:r>
              <w:rPr>
                <w:rFonts w:hint="eastAsia" w:ascii="宋体"/>
                <w:b/>
                <w:sz w:val="24"/>
                <w:szCs w:val="20"/>
              </w:rPr>
              <w:t>指定车辆</w:t>
            </w:r>
          </w:p>
        </w:tc>
        <w:tc>
          <w:tcPr>
            <w:tcW w:w="411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sz w:val="24"/>
                <w:szCs w:val="20"/>
              </w:rPr>
            </w:pP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宋体"/>
                <w:sz w:val="24"/>
                <w:szCs w:val="20"/>
              </w:rPr>
            </w:pPr>
            <w:r>
              <w:rPr>
                <w:rFonts w:ascii="宋体"/>
                <w:sz w:val="24"/>
                <w:szCs w:val="20"/>
              </w:rPr>
              <w:t>20</w:t>
            </w:r>
            <w:r>
              <w:rPr>
                <w:rFonts w:hint="eastAsia" w:ascii="宋体"/>
                <w:sz w:val="24"/>
                <w:szCs w:val="20"/>
              </w:rPr>
              <w:t>（满分）</w:t>
            </w:r>
          </w:p>
        </w:tc>
      </w:tr>
      <w:tr>
        <w:tblPrEx>
          <w:tblCellMar>
            <w:top w:w="0" w:type="dxa"/>
            <w:left w:w="108" w:type="dxa"/>
            <w:bottom w:w="0" w:type="dxa"/>
            <w:right w:w="108" w:type="dxa"/>
          </w:tblCellMar>
        </w:tblPrEx>
        <w:trPr>
          <w:trHeight w:val="605" w:hRule="atLeast"/>
        </w:trPr>
        <w:tc>
          <w:tcPr>
            <w:tcW w:w="14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sz w:val="24"/>
                <w:szCs w:val="20"/>
              </w:rPr>
            </w:pPr>
            <w:r>
              <w:rPr>
                <w:rFonts w:hint="eastAsia" w:ascii="宋体"/>
                <w:sz w:val="24"/>
                <w:szCs w:val="20"/>
              </w:rPr>
              <w:t>三</w:t>
            </w:r>
          </w:p>
        </w:tc>
        <w:tc>
          <w:tcPr>
            <w:tcW w:w="1687" w:type="dxa"/>
            <w:tcBorders>
              <w:top w:val="nil"/>
              <w:left w:val="nil"/>
              <w:bottom w:val="single" w:color="auto" w:sz="8" w:space="0"/>
              <w:right w:val="single" w:color="auto" w:sz="8" w:space="0"/>
            </w:tcBorders>
            <w:shd w:val="clear" w:color="auto" w:fill="auto"/>
            <w:vAlign w:val="center"/>
          </w:tcPr>
          <w:p>
            <w:pPr>
              <w:widowControl/>
              <w:jc w:val="center"/>
              <w:rPr>
                <w:rFonts w:ascii="宋体"/>
                <w:b/>
                <w:sz w:val="24"/>
                <w:szCs w:val="20"/>
              </w:rPr>
            </w:pPr>
            <w:r>
              <w:rPr>
                <w:rFonts w:hint="eastAsia" w:ascii="宋体"/>
                <w:b/>
                <w:sz w:val="24"/>
                <w:szCs w:val="20"/>
              </w:rPr>
              <w:t>商业乘坐险报价</w:t>
            </w:r>
          </w:p>
        </w:tc>
        <w:tc>
          <w:tcPr>
            <w:tcW w:w="411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sz w:val="24"/>
                <w:szCs w:val="20"/>
              </w:rPr>
            </w:pP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宋体"/>
                <w:sz w:val="24"/>
                <w:szCs w:val="20"/>
              </w:rPr>
            </w:pPr>
            <w:r>
              <w:rPr>
                <w:rFonts w:ascii="宋体"/>
                <w:sz w:val="24"/>
                <w:szCs w:val="20"/>
              </w:rPr>
              <w:t>10</w:t>
            </w:r>
            <w:r>
              <w:rPr>
                <w:rFonts w:hint="eastAsia" w:ascii="宋体"/>
                <w:sz w:val="24"/>
                <w:szCs w:val="20"/>
              </w:rPr>
              <w:t>（满分）</w:t>
            </w:r>
          </w:p>
        </w:tc>
      </w:tr>
      <w:tr>
        <w:tblPrEx>
          <w:tblCellMar>
            <w:top w:w="0" w:type="dxa"/>
            <w:left w:w="108" w:type="dxa"/>
            <w:bottom w:w="0" w:type="dxa"/>
            <w:right w:w="108" w:type="dxa"/>
          </w:tblCellMar>
        </w:tblPrEx>
        <w:trPr>
          <w:trHeight w:val="902" w:hRule="atLeast"/>
        </w:trPr>
        <w:tc>
          <w:tcPr>
            <w:tcW w:w="143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sz w:val="24"/>
                <w:szCs w:val="20"/>
              </w:rPr>
            </w:pPr>
            <w:r>
              <w:rPr>
                <w:rFonts w:hint="eastAsia" w:ascii="宋体"/>
                <w:sz w:val="24"/>
                <w:szCs w:val="20"/>
              </w:rPr>
              <w:t>四、</w:t>
            </w:r>
          </w:p>
        </w:tc>
        <w:tc>
          <w:tcPr>
            <w:tcW w:w="168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b/>
                <w:sz w:val="24"/>
                <w:szCs w:val="20"/>
              </w:rPr>
            </w:pPr>
            <w:r>
              <w:rPr>
                <w:rFonts w:ascii="宋体"/>
                <w:b/>
                <w:sz w:val="24"/>
                <w:szCs w:val="20"/>
              </w:rPr>
              <w:t>商务因素</w:t>
            </w:r>
          </w:p>
          <w:p>
            <w:pPr>
              <w:widowControl/>
              <w:rPr>
                <w:rFonts w:ascii="宋体"/>
                <w:b/>
                <w:sz w:val="24"/>
                <w:szCs w:val="20"/>
              </w:rPr>
            </w:pPr>
            <w:r>
              <w:rPr>
                <w:rFonts w:ascii="宋体"/>
                <w:b/>
                <w:sz w:val="24"/>
                <w:szCs w:val="20"/>
              </w:rPr>
              <w:t>20</w:t>
            </w:r>
            <w:r>
              <w:rPr>
                <w:rFonts w:hint="eastAsia" w:ascii="宋体"/>
                <w:b/>
                <w:sz w:val="24"/>
                <w:szCs w:val="20"/>
              </w:rPr>
              <w:t>（满分）</w:t>
            </w:r>
          </w:p>
        </w:tc>
        <w:tc>
          <w:tcPr>
            <w:tcW w:w="2610" w:type="dxa"/>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480" w:firstLineChars="200"/>
              <w:jc w:val="left"/>
              <w:rPr>
                <w:rFonts w:ascii="宋体"/>
                <w:sz w:val="24"/>
                <w:szCs w:val="20"/>
              </w:rPr>
            </w:pPr>
            <w:r>
              <w:rPr>
                <w:rFonts w:hint="eastAsia" w:ascii="宋体"/>
                <w:sz w:val="24"/>
                <w:szCs w:val="20"/>
              </w:rPr>
              <w:t>投标人资质</w:t>
            </w:r>
          </w:p>
        </w:tc>
        <w:tc>
          <w:tcPr>
            <w:tcW w:w="1501" w:type="dxa"/>
            <w:tcBorders>
              <w:top w:val="nil"/>
              <w:left w:val="nil"/>
              <w:bottom w:val="single" w:color="auto" w:sz="8" w:space="0"/>
              <w:right w:val="single" w:color="auto" w:sz="8" w:space="0"/>
            </w:tcBorders>
            <w:shd w:val="clear" w:color="auto" w:fill="auto"/>
            <w:vAlign w:val="center"/>
          </w:tcPr>
          <w:p>
            <w:pPr>
              <w:widowControl/>
              <w:jc w:val="left"/>
              <w:rPr>
                <w:rFonts w:ascii="宋体"/>
                <w:sz w:val="24"/>
                <w:szCs w:val="20"/>
              </w:rPr>
            </w:pPr>
            <w:r>
              <w:rPr>
                <w:rFonts w:ascii="宋体"/>
                <w:sz w:val="24"/>
                <w:szCs w:val="20"/>
              </w:rPr>
              <w:t>1.</w:t>
            </w:r>
            <w:r>
              <w:rPr>
                <w:rFonts w:hint="eastAsia" w:ascii="宋体"/>
                <w:sz w:val="24"/>
                <w:szCs w:val="20"/>
              </w:rPr>
              <w:t>综合偿付能力充足率</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宋体"/>
                <w:sz w:val="24"/>
                <w:szCs w:val="20"/>
              </w:rPr>
            </w:pPr>
            <w:r>
              <w:rPr>
                <w:rFonts w:ascii="宋体"/>
                <w:sz w:val="24"/>
                <w:szCs w:val="20"/>
              </w:rPr>
              <w:t>5</w:t>
            </w:r>
            <w:r>
              <w:rPr>
                <w:rFonts w:hint="eastAsia" w:ascii="宋体"/>
                <w:sz w:val="24"/>
                <w:szCs w:val="20"/>
              </w:rPr>
              <w:t>（满分）</w:t>
            </w:r>
          </w:p>
        </w:tc>
      </w:tr>
      <w:tr>
        <w:tblPrEx>
          <w:tblCellMar>
            <w:top w:w="0" w:type="dxa"/>
            <w:left w:w="108" w:type="dxa"/>
            <w:bottom w:w="0" w:type="dxa"/>
            <w:right w:w="108" w:type="dxa"/>
          </w:tblCellMar>
        </w:tblPrEx>
        <w:trPr>
          <w:trHeight w:val="605" w:hRule="atLeast"/>
        </w:trPr>
        <w:tc>
          <w:tcPr>
            <w:tcW w:w="1432"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sz w:val="24"/>
                <w:szCs w:val="20"/>
              </w:rPr>
            </w:pPr>
          </w:p>
        </w:tc>
        <w:tc>
          <w:tcPr>
            <w:tcW w:w="16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b/>
                <w:sz w:val="24"/>
                <w:szCs w:val="20"/>
              </w:rPr>
            </w:pPr>
          </w:p>
        </w:tc>
        <w:tc>
          <w:tcPr>
            <w:tcW w:w="261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sz w:val="24"/>
                <w:szCs w:val="20"/>
              </w:rPr>
            </w:pPr>
          </w:p>
        </w:tc>
        <w:tc>
          <w:tcPr>
            <w:tcW w:w="1501" w:type="dxa"/>
            <w:tcBorders>
              <w:top w:val="nil"/>
              <w:left w:val="nil"/>
              <w:bottom w:val="single" w:color="auto" w:sz="8" w:space="0"/>
              <w:right w:val="single" w:color="auto" w:sz="8" w:space="0"/>
            </w:tcBorders>
            <w:shd w:val="clear" w:color="auto" w:fill="auto"/>
            <w:vAlign w:val="center"/>
          </w:tcPr>
          <w:p>
            <w:pPr>
              <w:widowControl/>
              <w:jc w:val="left"/>
              <w:rPr>
                <w:rFonts w:ascii="宋体"/>
                <w:sz w:val="24"/>
                <w:szCs w:val="20"/>
              </w:rPr>
            </w:pPr>
            <w:r>
              <w:rPr>
                <w:rFonts w:ascii="宋体"/>
                <w:sz w:val="24"/>
                <w:szCs w:val="20"/>
              </w:rPr>
              <w:t>2.</w:t>
            </w:r>
            <w:r>
              <w:rPr>
                <w:rFonts w:hint="eastAsia" w:ascii="宋体"/>
                <w:sz w:val="24"/>
                <w:szCs w:val="20"/>
              </w:rPr>
              <w:t>服务网点</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宋体"/>
                <w:sz w:val="24"/>
                <w:szCs w:val="20"/>
              </w:rPr>
            </w:pPr>
            <w:r>
              <w:rPr>
                <w:rFonts w:ascii="宋体"/>
                <w:sz w:val="24"/>
                <w:szCs w:val="20"/>
              </w:rPr>
              <w:t>5</w:t>
            </w:r>
            <w:r>
              <w:rPr>
                <w:rFonts w:hint="eastAsia" w:ascii="宋体"/>
                <w:sz w:val="24"/>
                <w:szCs w:val="20"/>
              </w:rPr>
              <w:t>（满分）</w:t>
            </w:r>
          </w:p>
        </w:tc>
      </w:tr>
      <w:tr>
        <w:tblPrEx>
          <w:tblCellMar>
            <w:top w:w="0" w:type="dxa"/>
            <w:left w:w="108" w:type="dxa"/>
            <w:bottom w:w="0" w:type="dxa"/>
            <w:right w:w="108" w:type="dxa"/>
          </w:tblCellMar>
        </w:tblPrEx>
        <w:trPr>
          <w:trHeight w:val="605" w:hRule="atLeast"/>
        </w:trPr>
        <w:tc>
          <w:tcPr>
            <w:tcW w:w="1432"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sz w:val="24"/>
                <w:szCs w:val="20"/>
              </w:rPr>
            </w:pPr>
          </w:p>
        </w:tc>
        <w:tc>
          <w:tcPr>
            <w:tcW w:w="16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b/>
                <w:sz w:val="24"/>
                <w:szCs w:val="20"/>
              </w:rPr>
            </w:pPr>
          </w:p>
        </w:tc>
        <w:tc>
          <w:tcPr>
            <w:tcW w:w="2610" w:type="dxa"/>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480" w:firstLineChars="200"/>
              <w:jc w:val="left"/>
              <w:rPr>
                <w:rFonts w:ascii="宋体"/>
                <w:sz w:val="24"/>
                <w:szCs w:val="20"/>
              </w:rPr>
            </w:pPr>
            <w:r>
              <w:rPr>
                <w:rFonts w:hint="eastAsia" w:ascii="宋体"/>
                <w:sz w:val="24"/>
                <w:szCs w:val="20"/>
              </w:rPr>
              <w:t>投标人服务</w:t>
            </w:r>
          </w:p>
        </w:tc>
        <w:tc>
          <w:tcPr>
            <w:tcW w:w="1501" w:type="dxa"/>
            <w:tcBorders>
              <w:top w:val="nil"/>
              <w:left w:val="nil"/>
              <w:bottom w:val="single" w:color="auto" w:sz="8" w:space="0"/>
              <w:right w:val="single" w:color="auto" w:sz="8" w:space="0"/>
            </w:tcBorders>
            <w:shd w:val="clear" w:color="auto" w:fill="auto"/>
            <w:vAlign w:val="center"/>
          </w:tcPr>
          <w:p>
            <w:pPr>
              <w:widowControl/>
              <w:jc w:val="left"/>
              <w:rPr>
                <w:rFonts w:ascii="宋体"/>
                <w:sz w:val="24"/>
                <w:szCs w:val="20"/>
              </w:rPr>
            </w:pPr>
            <w:r>
              <w:rPr>
                <w:rFonts w:ascii="宋体"/>
                <w:sz w:val="24"/>
                <w:szCs w:val="20"/>
              </w:rPr>
              <w:t>3.</w:t>
            </w:r>
            <w:r>
              <w:rPr>
                <w:rFonts w:hint="eastAsia" w:ascii="宋体"/>
                <w:sz w:val="24"/>
                <w:szCs w:val="20"/>
              </w:rPr>
              <w:t>消费者投诉</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宋体"/>
                <w:sz w:val="24"/>
                <w:szCs w:val="20"/>
              </w:rPr>
            </w:pPr>
            <w:r>
              <w:rPr>
                <w:rFonts w:ascii="宋体"/>
                <w:sz w:val="24"/>
                <w:szCs w:val="20"/>
              </w:rPr>
              <w:t>5</w:t>
            </w:r>
            <w:r>
              <w:rPr>
                <w:rFonts w:hint="eastAsia" w:ascii="宋体"/>
                <w:sz w:val="24"/>
                <w:szCs w:val="20"/>
              </w:rPr>
              <w:t>（满分）</w:t>
            </w:r>
          </w:p>
        </w:tc>
      </w:tr>
      <w:tr>
        <w:tblPrEx>
          <w:tblCellMar>
            <w:top w:w="0" w:type="dxa"/>
            <w:left w:w="108" w:type="dxa"/>
            <w:bottom w:w="0" w:type="dxa"/>
            <w:right w:w="108" w:type="dxa"/>
          </w:tblCellMar>
        </w:tblPrEx>
        <w:trPr>
          <w:trHeight w:val="605" w:hRule="atLeast"/>
        </w:trPr>
        <w:tc>
          <w:tcPr>
            <w:tcW w:w="1432"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sz w:val="24"/>
                <w:szCs w:val="20"/>
              </w:rPr>
            </w:pPr>
          </w:p>
        </w:tc>
        <w:tc>
          <w:tcPr>
            <w:tcW w:w="16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b/>
                <w:sz w:val="24"/>
                <w:szCs w:val="20"/>
              </w:rPr>
            </w:pPr>
          </w:p>
        </w:tc>
        <w:tc>
          <w:tcPr>
            <w:tcW w:w="261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sz w:val="24"/>
                <w:szCs w:val="20"/>
              </w:rPr>
            </w:pPr>
          </w:p>
        </w:tc>
        <w:tc>
          <w:tcPr>
            <w:tcW w:w="1501" w:type="dxa"/>
            <w:tcBorders>
              <w:top w:val="nil"/>
              <w:left w:val="nil"/>
              <w:bottom w:val="single" w:color="auto" w:sz="8" w:space="0"/>
              <w:right w:val="single" w:color="auto" w:sz="8" w:space="0"/>
            </w:tcBorders>
            <w:shd w:val="clear" w:color="auto" w:fill="auto"/>
            <w:vAlign w:val="center"/>
          </w:tcPr>
          <w:p>
            <w:pPr>
              <w:widowControl/>
              <w:jc w:val="left"/>
              <w:rPr>
                <w:rFonts w:ascii="宋体"/>
                <w:sz w:val="24"/>
                <w:szCs w:val="20"/>
              </w:rPr>
            </w:pPr>
            <w:r>
              <w:rPr>
                <w:rFonts w:ascii="宋体"/>
                <w:sz w:val="24"/>
                <w:szCs w:val="20"/>
              </w:rPr>
              <w:t>4.</w:t>
            </w:r>
            <w:r>
              <w:rPr>
                <w:rFonts w:hint="eastAsia" w:ascii="宋体"/>
                <w:sz w:val="24"/>
                <w:szCs w:val="20"/>
              </w:rPr>
              <w:t>车险承保业绩</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宋体"/>
                <w:sz w:val="24"/>
                <w:szCs w:val="20"/>
              </w:rPr>
            </w:pPr>
            <w:r>
              <w:rPr>
                <w:rFonts w:ascii="宋体"/>
                <w:sz w:val="24"/>
                <w:szCs w:val="20"/>
              </w:rPr>
              <w:t>5</w:t>
            </w:r>
            <w:r>
              <w:rPr>
                <w:rFonts w:hint="eastAsia" w:ascii="宋体"/>
                <w:sz w:val="24"/>
                <w:szCs w:val="20"/>
              </w:rPr>
              <w:t>（满分）</w:t>
            </w:r>
          </w:p>
        </w:tc>
      </w:tr>
      <w:tr>
        <w:tblPrEx>
          <w:tblCellMar>
            <w:top w:w="0" w:type="dxa"/>
            <w:left w:w="108" w:type="dxa"/>
            <w:bottom w:w="0" w:type="dxa"/>
            <w:right w:w="108" w:type="dxa"/>
          </w:tblCellMar>
        </w:tblPrEx>
        <w:trPr>
          <w:trHeight w:val="605" w:hRule="atLeast"/>
        </w:trPr>
        <w:tc>
          <w:tcPr>
            <w:tcW w:w="143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sz w:val="24"/>
                <w:szCs w:val="20"/>
              </w:rPr>
            </w:pPr>
            <w:r>
              <w:rPr>
                <w:rFonts w:hint="eastAsia" w:ascii="宋体"/>
                <w:sz w:val="24"/>
                <w:szCs w:val="20"/>
              </w:rPr>
              <w:t>五、</w:t>
            </w:r>
          </w:p>
        </w:tc>
        <w:tc>
          <w:tcPr>
            <w:tcW w:w="168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b/>
                <w:sz w:val="24"/>
                <w:szCs w:val="20"/>
              </w:rPr>
            </w:pPr>
            <w:r>
              <w:rPr>
                <w:rFonts w:hint="eastAsia" w:ascii="宋体"/>
                <w:b/>
                <w:sz w:val="24"/>
                <w:szCs w:val="20"/>
              </w:rPr>
              <w:t>服务类因素</w:t>
            </w:r>
          </w:p>
          <w:p>
            <w:pPr>
              <w:widowControl/>
              <w:jc w:val="center"/>
              <w:rPr>
                <w:rFonts w:ascii="宋体"/>
                <w:b/>
                <w:sz w:val="24"/>
                <w:szCs w:val="20"/>
              </w:rPr>
            </w:pPr>
            <w:r>
              <w:rPr>
                <w:rFonts w:ascii="宋体"/>
                <w:b/>
                <w:sz w:val="24"/>
                <w:szCs w:val="20"/>
              </w:rPr>
              <w:t>10</w:t>
            </w:r>
            <w:r>
              <w:rPr>
                <w:rFonts w:hint="eastAsia" w:ascii="宋体"/>
                <w:b/>
                <w:sz w:val="24"/>
                <w:szCs w:val="20"/>
              </w:rPr>
              <w:t>（满分）</w:t>
            </w:r>
          </w:p>
        </w:tc>
        <w:tc>
          <w:tcPr>
            <w:tcW w:w="261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sz w:val="24"/>
                <w:szCs w:val="20"/>
              </w:rPr>
            </w:pPr>
            <w:r>
              <w:rPr>
                <w:rFonts w:hint="eastAsia" w:ascii="宋体"/>
                <w:sz w:val="24"/>
                <w:szCs w:val="20"/>
              </w:rPr>
              <w:t>服务方案</w:t>
            </w:r>
          </w:p>
        </w:tc>
        <w:tc>
          <w:tcPr>
            <w:tcW w:w="1501" w:type="dxa"/>
            <w:tcBorders>
              <w:top w:val="nil"/>
              <w:left w:val="nil"/>
              <w:bottom w:val="single" w:color="auto" w:sz="8" w:space="0"/>
              <w:right w:val="single" w:color="auto" w:sz="8" w:space="0"/>
            </w:tcBorders>
            <w:shd w:val="clear" w:color="auto" w:fill="auto"/>
            <w:vAlign w:val="center"/>
          </w:tcPr>
          <w:p>
            <w:pPr>
              <w:widowControl/>
              <w:jc w:val="left"/>
              <w:rPr>
                <w:rFonts w:ascii="宋体"/>
                <w:sz w:val="24"/>
                <w:szCs w:val="20"/>
              </w:rPr>
            </w:pPr>
            <w:r>
              <w:rPr>
                <w:rFonts w:hint="eastAsia" w:ascii="宋体"/>
                <w:sz w:val="24"/>
                <w:szCs w:val="20"/>
              </w:rPr>
              <w:t>承保服务方案</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宋体"/>
                <w:sz w:val="24"/>
                <w:szCs w:val="20"/>
              </w:rPr>
            </w:pPr>
            <w:r>
              <w:rPr>
                <w:rFonts w:ascii="宋体"/>
                <w:sz w:val="24"/>
                <w:szCs w:val="20"/>
              </w:rPr>
              <w:t>5</w:t>
            </w:r>
            <w:r>
              <w:rPr>
                <w:rFonts w:hint="eastAsia" w:ascii="宋体"/>
                <w:sz w:val="24"/>
                <w:szCs w:val="20"/>
              </w:rPr>
              <w:t>（满分）</w:t>
            </w:r>
          </w:p>
        </w:tc>
      </w:tr>
      <w:tr>
        <w:tblPrEx>
          <w:tblCellMar>
            <w:top w:w="0" w:type="dxa"/>
            <w:left w:w="108" w:type="dxa"/>
            <w:bottom w:w="0" w:type="dxa"/>
            <w:right w:w="108" w:type="dxa"/>
          </w:tblCellMar>
        </w:tblPrEx>
        <w:trPr>
          <w:trHeight w:val="605" w:hRule="atLeast"/>
        </w:trPr>
        <w:tc>
          <w:tcPr>
            <w:tcW w:w="14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sz w:val="24"/>
                <w:szCs w:val="20"/>
              </w:rPr>
            </w:pPr>
          </w:p>
        </w:tc>
        <w:tc>
          <w:tcPr>
            <w:tcW w:w="16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sz w:val="24"/>
                <w:szCs w:val="20"/>
              </w:rPr>
            </w:pPr>
          </w:p>
        </w:tc>
        <w:tc>
          <w:tcPr>
            <w:tcW w:w="261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sz w:val="24"/>
                <w:szCs w:val="20"/>
              </w:rPr>
            </w:pPr>
          </w:p>
        </w:tc>
        <w:tc>
          <w:tcPr>
            <w:tcW w:w="1501" w:type="dxa"/>
            <w:tcBorders>
              <w:top w:val="nil"/>
              <w:left w:val="nil"/>
              <w:bottom w:val="single" w:color="auto" w:sz="8" w:space="0"/>
              <w:right w:val="single" w:color="auto" w:sz="8" w:space="0"/>
            </w:tcBorders>
            <w:shd w:val="clear" w:color="auto" w:fill="auto"/>
            <w:vAlign w:val="center"/>
          </w:tcPr>
          <w:p>
            <w:pPr>
              <w:widowControl/>
              <w:jc w:val="left"/>
              <w:rPr>
                <w:rFonts w:ascii="宋体"/>
                <w:sz w:val="24"/>
                <w:szCs w:val="20"/>
              </w:rPr>
            </w:pPr>
            <w:r>
              <w:rPr>
                <w:rFonts w:hint="eastAsia" w:ascii="宋体"/>
                <w:sz w:val="24"/>
                <w:szCs w:val="20"/>
              </w:rPr>
              <w:t>理赔服务方案</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宋体"/>
                <w:sz w:val="24"/>
                <w:szCs w:val="20"/>
              </w:rPr>
            </w:pPr>
            <w:r>
              <w:rPr>
                <w:rFonts w:ascii="宋体"/>
                <w:sz w:val="24"/>
                <w:szCs w:val="20"/>
              </w:rPr>
              <w:t>5</w:t>
            </w:r>
            <w:r>
              <w:rPr>
                <w:rFonts w:hint="eastAsia" w:ascii="宋体"/>
                <w:sz w:val="24"/>
                <w:szCs w:val="20"/>
              </w:rPr>
              <w:t>（满分）</w:t>
            </w:r>
          </w:p>
        </w:tc>
      </w:tr>
    </w:tbl>
    <w:p>
      <w:pPr>
        <w:pStyle w:val="10"/>
        <w:ind w:firstLine="0" w:firstLineChars="0"/>
        <w:rPr>
          <w:rFonts w:ascii="方正仿宋_GBK" w:hAnsi="Calibri" w:eastAsia="方正仿宋_GBK" w:cs="Times New Roman"/>
          <w:szCs w:val="32"/>
        </w:rPr>
      </w:pPr>
      <w:r>
        <w:rPr>
          <w:rFonts w:hint="eastAsia" w:ascii="方正仿宋_GBK" w:hAnsi="Calibri" w:eastAsia="方正仿宋_GBK" w:cs="Times New Roman"/>
          <w:szCs w:val="32"/>
        </w:rPr>
        <w:t>注：本次评标委员会由公司领导、资产安全部、综合部、财务部组成，按照竞标人提交有关资料进行评选打分。</w:t>
      </w:r>
    </w:p>
    <w:p>
      <w:pPr>
        <w:pStyle w:val="2"/>
        <w:rPr>
          <w:rFonts w:ascii="方正仿宋_GBK" w:hAnsi="Calibri" w:eastAsia="方正仿宋_GBK" w:cs="Times New Roman"/>
          <w:color w:val="auto"/>
          <w:kern w:val="2"/>
          <w:sz w:val="32"/>
          <w:szCs w:val="32"/>
        </w:rPr>
      </w:pPr>
    </w:p>
    <w:p>
      <w:pPr>
        <w:pStyle w:val="16"/>
        <w:numPr>
          <w:ilvl w:val="0"/>
          <w:numId w:val="2"/>
        </w:numPr>
        <w:tabs>
          <w:tab w:val="left" w:pos="540"/>
        </w:tabs>
        <w:spacing w:line="300" w:lineRule="auto"/>
        <w:ind w:firstLineChars="0"/>
        <w:rPr>
          <w:rFonts w:ascii="方正仿宋_GBK" w:hAnsi="Calibri" w:eastAsia="方正仿宋_GBK" w:cs="Times New Roman"/>
          <w:sz w:val="32"/>
          <w:szCs w:val="32"/>
        </w:rPr>
      </w:pPr>
      <w:r>
        <w:rPr>
          <w:rFonts w:hint="eastAsia" w:ascii="方正仿宋_GBK" w:hAnsi="Calibri" w:eastAsia="方正仿宋_GBK" w:cs="Times New Roman"/>
          <w:sz w:val="32"/>
          <w:szCs w:val="32"/>
        </w:rPr>
        <w:t>商业险自主定价系数：</w:t>
      </w:r>
      <w:r>
        <w:rPr>
          <w:rFonts w:ascii="方正仿宋_GBK" w:hAnsi="Calibri" w:eastAsia="方正仿宋_GBK" w:cs="Times New Roman"/>
          <w:sz w:val="32"/>
          <w:szCs w:val="32"/>
        </w:rPr>
        <w:t>投标报价保留小数点后</w:t>
      </w:r>
      <w:r>
        <w:rPr>
          <w:rFonts w:hint="eastAsia" w:ascii="方正仿宋_GBK" w:hAnsi="Calibri" w:eastAsia="方正仿宋_GBK" w:cs="Times New Roman"/>
          <w:sz w:val="32"/>
          <w:szCs w:val="32"/>
        </w:rPr>
        <w:t>四</w:t>
      </w:r>
      <w:r>
        <w:rPr>
          <w:rFonts w:ascii="方正仿宋_GBK" w:hAnsi="Calibri" w:eastAsia="方正仿宋_GBK" w:cs="Times New Roman"/>
          <w:sz w:val="32"/>
          <w:szCs w:val="32"/>
        </w:rPr>
        <w:t>位</w:t>
      </w:r>
      <w:r>
        <w:rPr>
          <w:rFonts w:hint="eastAsia" w:ascii="方正仿宋_GBK" w:hAnsi="Calibri" w:eastAsia="方正仿宋_GBK" w:cs="Times New Roman"/>
          <w:sz w:val="32"/>
          <w:szCs w:val="32"/>
        </w:rPr>
        <w:t>，所有有效服务商的最终自主定价系数进行排名，</w:t>
      </w:r>
      <w:r>
        <w:rPr>
          <w:rFonts w:ascii="方正仿宋_GBK" w:hAnsi="Calibri" w:eastAsia="方正仿宋_GBK" w:cs="Times New Roman"/>
          <w:sz w:val="32"/>
          <w:szCs w:val="32"/>
        </w:rPr>
        <w:t>排名第一得40分，排名每低一名扣</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w:t>
      </w:r>
      <w:r>
        <w:rPr>
          <w:rFonts w:hint="eastAsia" w:ascii="方正仿宋_GBK" w:hAnsi="Calibri" w:eastAsia="方正仿宋_GBK" w:cs="Times New Roman"/>
          <w:sz w:val="32"/>
          <w:szCs w:val="32"/>
        </w:rPr>
        <w:t>。</w:t>
      </w:r>
    </w:p>
    <w:p>
      <w:pPr>
        <w:pStyle w:val="16"/>
        <w:numPr>
          <w:ilvl w:val="0"/>
          <w:numId w:val="2"/>
        </w:numPr>
        <w:tabs>
          <w:tab w:val="left" w:pos="540"/>
        </w:tabs>
        <w:spacing w:line="300" w:lineRule="auto"/>
        <w:ind w:firstLineChars="0"/>
        <w:rPr>
          <w:rFonts w:ascii="方正仿宋_GBK" w:hAnsi="Calibri" w:eastAsia="方正仿宋_GBK" w:cs="Times New Roman"/>
          <w:sz w:val="32"/>
          <w:szCs w:val="32"/>
        </w:rPr>
      </w:pPr>
      <w:r>
        <w:rPr>
          <w:rFonts w:ascii="方正仿宋_GBK" w:hAnsi="Calibri" w:eastAsia="方正仿宋_GBK" w:cs="Times New Roman"/>
          <w:sz w:val="32"/>
          <w:szCs w:val="32"/>
        </w:rPr>
        <w:t>指定车辆</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投标报价保留小数点后</w:t>
      </w:r>
      <w:r>
        <w:rPr>
          <w:rFonts w:hint="eastAsia" w:ascii="方正仿宋_GBK" w:hAnsi="Calibri" w:eastAsia="方正仿宋_GBK" w:cs="Times New Roman"/>
          <w:sz w:val="32"/>
          <w:szCs w:val="32"/>
        </w:rPr>
        <w:t>两</w:t>
      </w:r>
      <w:r>
        <w:rPr>
          <w:rFonts w:ascii="方正仿宋_GBK" w:hAnsi="Calibri" w:eastAsia="方正仿宋_GBK" w:cs="Times New Roman"/>
          <w:sz w:val="32"/>
          <w:szCs w:val="32"/>
        </w:rPr>
        <w:t>位</w:t>
      </w:r>
      <w:r>
        <w:rPr>
          <w:rFonts w:hint="eastAsia" w:ascii="方正仿宋_GBK" w:hAnsi="Calibri" w:eastAsia="方正仿宋_GBK" w:cs="Times New Roman"/>
          <w:sz w:val="32"/>
          <w:szCs w:val="32"/>
        </w:rPr>
        <w:t>，所有有效服务商按指定车辆保险报价进行排名，报价最</w:t>
      </w:r>
      <w:r>
        <w:rPr>
          <w:rFonts w:ascii="方正仿宋_GBK" w:hAnsi="Calibri" w:eastAsia="方正仿宋_GBK" w:cs="Times New Roman"/>
          <w:sz w:val="32"/>
          <w:szCs w:val="32"/>
        </w:rPr>
        <w:t>低者排名第一得20分，排名每低一名扣</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w:t>
      </w:r>
      <w:r>
        <w:rPr>
          <w:rFonts w:hint="eastAsia" w:ascii="方正仿宋_GBK" w:hAnsi="Calibri" w:eastAsia="方正仿宋_GBK" w:cs="Times New Roman"/>
          <w:sz w:val="32"/>
          <w:szCs w:val="32"/>
        </w:rPr>
        <w:t>。</w:t>
      </w:r>
    </w:p>
    <w:p>
      <w:pPr>
        <w:pStyle w:val="16"/>
        <w:numPr>
          <w:ilvl w:val="0"/>
          <w:numId w:val="2"/>
        </w:numPr>
        <w:tabs>
          <w:tab w:val="left" w:pos="540"/>
        </w:tabs>
        <w:spacing w:line="300" w:lineRule="auto"/>
        <w:ind w:firstLineChars="0"/>
        <w:rPr>
          <w:rFonts w:ascii="方正仿宋_GBK" w:hAnsi="Calibri" w:eastAsia="方正仿宋_GBK" w:cs="Times New Roman"/>
          <w:sz w:val="32"/>
          <w:szCs w:val="32"/>
        </w:rPr>
      </w:pPr>
      <w:r>
        <w:rPr>
          <w:rFonts w:ascii="方正仿宋_GBK" w:hAnsi="Calibri" w:eastAsia="方正仿宋_GBK" w:cs="Times New Roman"/>
          <w:sz w:val="32"/>
          <w:szCs w:val="32"/>
        </w:rPr>
        <w:t>商业乘坐险报价</w:t>
      </w:r>
      <w:r>
        <w:rPr>
          <w:rFonts w:hint="eastAsia" w:ascii="方正仿宋_GBK" w:hAnsi="Calibri" w:eastAsia="方正仿宋_GBK" w:cs="Times New Roman"/>
          <w:sz w:val="32"/>
          <w:szCs w:val="32"/>
        </w:rPr>
        <w:t>：所有有效服务商商业</w:t>
      </w:r>
      <w:r>
        <w:rPr>
          <w:rFonts w:ascii="方正仿宋_GBK" w:hAnsi="Calibri" w:eastAsia="方正仿宋_GBK" w:cs="Times New Roman"/>
          <w:sz w:val="32"/>
          <w:szCs w:val="32"/>
        </w:rPr>
        <w:t>乘坐险</w:t>
      </w:r>
      <w:r>
        <w:rPr>
          <w:rFonts w:hint="eastAsia" w:ascii="方正仿宋_GBK" w:hAnsi="Calibri" w:eastAsia="方正仿宋_GBK" w:cs="Times New Roman"/>
          <w:sz w:val="32"/>
          <w:szCs w:val="32"/>
        </w:rPr>
        <w:t>报价进行排名，报价最</w:t>
      </w:r>
      <w:r>
        <w:rPr>
          <w:rFonts w:ascii="方正仿宋_GBK" w:hAnsi="Calibri" w:eastAsia="方正仿宋_GBK" w:cs="Times New Roman"/>
          <w:sz w:val="32"/>
          <w:szCs w:val="32"/>
        </w:rPr>
        <w:t>低者排名第一得10分，排名每低一名扣2分</w:t>
      </w:r>
      <w:r>
        <w:rPr>
          <w:rFonts w:hint="eastAsia" w:ascii="方正仿宋_GBK" w:hAnsi="Calibri" w:eastAsia="方正仿宋_GBK" w:cs="Times New Roman"/>
          <w:sz w:val="32"/>
          <w:szCs w:val="32"/>
        </w:rPr>
        <w:t>。</w:t>
      </w:r>
    </w:p>
    <w:p>
      <w:pPr>
        <w:tabs>
          <w:tab w:val="left" w:pos="540"/>
        </w:tabs>
        <w:spacing w:line="300" w:lineRule="auto"/>
        <w:ind w:left="640"/>
        <w:rPr>
          <w:rFonts w:ascii="方正仿宋_GBK" w:hAnsi="Calibri" w:eastAsia="方正仿宋_GBK" w:cs="Times New Roman"/>
          <w:sz w:val="32"/>
          <w:szCs w:val="32"/>
        </w:rPr>
      </w:pPr>
      <w:r>
        <w:rPr>
          <w:rFonts w:hint="eastAsia" w:ascii="方正仿宋_GBK" w:hAnsi="Calibri" w:eastAsia="方正仿宋_GBK" w:cs="Times New Roman"/>
          <w:sz w:val="32"/>
          <w:szCs w:val="32"/>
        </w:rPr>
        <w:t>四、</w:t>
      </w:r>
      <w:r>
        <w:rPr>
          <w:rFonts w:ascii="方正仿宋_GBK" w:hAnsi="Calibri" w:eastAsia="方正仿宋_GBK" w:cs="Times New Roman"/>
          <w:sz w:val="32"/>
          <w:szCs w:val="32"/>
        </w:rPr>
        <w:t>商务因素：商务因素满分20分</w:t>
      </w:r>
    </w:p>
    <w:p>
      <w:pPr>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1、综合</w:t>
      </w:r>
      <w:r>
        <w:rPr>
          <w:rFonts w:ascii="方正仿宋_GBK" w:hAnsi="Calibri" w:eastAsia="方正仿宋_GBK" w:cs="Times New Roman"/>
          <w:sz w:val="32"/>
          <w:szCs w:val="32"/>
        </w:rPr>
        <w:t>偿付能力充足率（</w:t>
      </w:r>
      <w:r>
        <w:rPr>
          <w:rFonts w:hint="eastAsia" w:ascii="方正仿宋_GBK" w:hAnsi="Calibri" w:eastAsia="方正仿宋_GBK" w:cs="Times New Roman"/>
          <w:sz w:val="32"/>
          <w:szCs w:val="32"/>
        </w:rPr>
        <w:t>提供202</w:t>
      </w:r>
      <w:r>
        <w:rPr>
          <w:rFonts w:ascii="方正仿宋_GBK" w:hAnsi="Calibri" w:eastAsia="方正仿宋_GBK" w:cs="Times New Roman"/>
          <w:sz w:val="32"/>
          <w:szCs w:val="32"/>
        </w:rPr>
        <w:t>1</w:t>
      </w:r>
      <w:r>
        <w:rPr>
          <w:rFonts w:hint="eastAsia" w:ascii="方正仿宋_GBK" w:hAnsi="Calibri" w:eastAsia="方正仿宋_GBK" w:cs="Times New Roman"/>
          <w:sz w:val="32"/>
          <w:szCs w:val="32"/>
        </w:rPr>
        <w:t>年三季度投标人总公司审计报告披露的数据证明材料并加盖投标人公章，</w:t>
      </w:r>
      <w:r>
        <w:rPr>
          <w:rFonts w:ascii="方正仿宋_GBK" w:hAnsi="Calibri" w:eastAsia="方正仿宋_GBK" w:cs="Times New Roman"/>
          <w:sz w:val="32"/>
          <w:szCs w:val="32"/>
        </w:rPr>
        <w:t>满分</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投标人法人机构偿付能力充足率＞</w:t>
      </w:r>
      <w:r>
        <w:rPr>
          <w:rFonts w:hint="eastAsia" w:ascii="方正仿宋_GBK" w:hAnsi="Calibri" w:eastAsia="方正仿宋_GBK" w:cs="Times New Roman"/>
          <w:sz w:val="32"/>
          <w:szCs w:val="32"/>
        </w:rPr>
        <w:t>300</w:t>
      </w:r>
      <w:r>
        <w:rPr>
          <w:rFonts w:ascii="方正仿宋_GBK" w:hAnsi="Calibri" w:eastAsia="方正仿宋_GBK" w:cs="Times New Roman"/>
          <w:sz w:val="32"/>
          <w:szCs w:val="32"/>
        </w:rPr>
        <w:t>%，得</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2</w:t>
      </w:r>
      <w:r>
        <w:rPr>
          <w:rFonts w:hint="eastAsia" w:ascii="方正仿宋_GBK" w:hAnsi="Calibri" w:eastAsia="方正仿宋_GBK" w:cs="Times New Roman"/>
          <w:sz w:val="32"/>
          <w:szCs w:val="32"/>
        </w:rPr>
        <w:t>50</w:t>
      </w:r>
      <w:r>
        <w:rPr>
          <w:rFonts w:ascii="方正仿宋_GBK" w:hAnsi="Calibri" w:eastAsia="方正仿宋_GBK" w:cs="Times New Roman"/>
          <w:sz w:val="32"/>
          <w:szCs w:val="32"/>
        </w:rPr>
        <w:t>%＜投标人法人机构偿付能力充足率≤</w:t>
      </w:r>
      <w:r>
        <w:rPr>
          <w:rFonts w:hint="eastAsia" w:ascii="方正仿宋_GBK" w:hAnsi="Calibri" w:eastAsia="方正仿宋_GBK" w:cs="Times New Roman"/>
          <w:sz w:val="32"/>
          <w:szCs w:val="32"/>
        </w:rPr>
        <w:t>300</w:t>
      </w:r>
      <w:r>
        <w:rPr>
          <w:rFonts w:ascii="方正仿宋_GBK" w:hAnsi="Calibri" w:eastAsia="方正仿宋_GBK" w:cs="Times New Roman"/>
          <w:sz w:val="32"/>
          <w:szCs w:val="32"/>
        </w:rPr>
        <w:t>%，得</w:t>
      </w:r>
      <w:r>
        <w:rPr>
          <w:rFonts w:hint="eastAsia" w:ascii="方正仿宋_GBK" w:hAnsi="Calibri" w:eastAsia="方正仿宋_GBK" w:cs="Times New Roman"/>
          <w:sz w:val="32"/>
          <w:szCs w:val="32"/>
        </w:rPr>
        <w:t>3</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250</w:t>
      </w:r>
      <w:r>
        <w:rPr>
          <w:rFonts w:ascii="方正仿宋_GBK" w:hAnsi="Calibri" w:eastAsia="方正仿宋_GBK" w:cs="Times New Roman"/>
          <w:sz w:val="32"/>
          <w:szCs w:val="32"/>
        </w:rPr>
        <w:t>%＜投标人法人机构偿付能力充足率，得</w:t>
      </w:r>
      <w:r>
        <w:rPr>
          <w:rFonts w:hint="eastAsia" w:ascii="方正仿宋_GBK" w:hAnsi="Calibri" w:eastAsia="方正仿宋_GBK" w:cs="Times New Roman"/>
          <w:sz w:val="32"/>
          <w:szCs w:val="32"/>
        </w:rPr>
        <w:t>1</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2</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服务网点(满分</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据投标人2021年</w:t>
      </w:r>
      <w:r>
        <w:rPr>
          <w:rFonts w:hint="eastAsia" w:ascii="方正仿宋_GBK" w:hAnsi="Calibri" w:eastAsia="方正仿宋_GBK" w:cs="Times New Roman"/>
          <w:sz w:val="32"/>
          <w:szCs w:val="32"/>
        </w:rPr>
        <w:t>在重庆的所有分支公司数量（不含营销部）</w:t>
      </w:r>
      <w:r>
        <w:rPr>
          <w:rFonts w:ascii="方正仿宋_GBK" w:hAnsi="Calibri" w:eastAsia="方正仿宋_GBK" w:cs="Times New Roman"/>
          <w:sz w:val="32"/>
          <w:szCs w:val="32"/>
        </w:rPr>
        <w:t>，排名第一的得满分</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分，排名每低一名扣</w:t>
      </w:r>
      <w:r>
        <w:rPr>
          <w:rFonts w:hint="eastAsia" w:ascii="方正仿宋_GBK" w:hAnsi="Calibri" w:eastAsia="方正仿宋_GBK" w:cs="Times New Roman"/>
          <w:sz w:val="32"/>
          <w:szCs w:val="32"/>
        </w:rPr>
        <w:t>1</w:t>
      </w:r>
      <w:r>
        <w:rPr>
          <w:rFonts w:ascii="方正仿宋_GBK" w:hAnsi="Calibri" w:eastAsia="方正仿宋_GBK" w:cs="Times New Roman"/>
          <w:sz w:val="32"/>
          <w:szCs w:val="32"/>
        </w:rPr>
        <w:t>分，扣完为止</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该项最低得分为0分。</w:t>
      </w:r>
    </w:p>
    <w:p>
      <w:pPr>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3 、</w:t>
      </w:r>
      <w:r>
        <w:rPr>
          <w:rFonts w:ascii="方正仿宋_GBK" w:hAnsi="Calibri" w:eastAsia="方正仿宋_GBK" w:cs="Times New Roman"/>
          <w:sz w:val="32"/>
          <w:szCs w:val="32"/>
        </w:rPr>
        <w:t>消费投诉(满分</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根据投标人在2021年三季度亿元保费消费投诉情况量(件/亿元)进行打分(投诉量件数保留小数点后两位)。</w:t>
      </w:r>
      <w:r>
        <w:rPr>
          <w:rFonts w:hint="eastAsia" w:ascii="方正仿宋_GBK" w:hAnsi="Calibri" w:eastAsia="方正仿宋_GBK" w:cs="Times New Roman"/>
          <w:sz w:val="32"/>
          <w:szCs w:val="32"/>
        </w:rPr>
        <w:t>（提供《重庆市银保监管局办公室关于2021年三季度保险消费投诉情况的通报》文件及附表）</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亿元保费投诉件数</w:t>
      </w:r>
      <w:r>
        <w:rPr>
          <w:rFonts w:hint="eastAsia" w:ascii="方正仿宋_GBK" w:hAnsi="Calibri" w:eastAsia="方正仿宋_GBK" w:cs="Times New Roman"/>
          <w:sz w:val="32"/>
          <w:szCs w:val="32"/>
        </w:rPr>
        <w:t>为</w:t>
      </w:r>
      <w:r>
        <w:rPr>
          <w:rFonts w:ascii="方正仿宋_GBK" w:hAnsi="Calibri" w:eastAsia="方正仿宋_GBK" w:cs="Times New Roman"/>
          <w:sz w:val="32"/>
          <w:szCs w:val="32"/>
        </w:rPr>
        <w:t>0得</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0件&lt;亿元保费投诉件数≤2.00件得</w:t>
      </w:r>
      <w:r>
        <w:rPr>
          <w:rFonts w:hint="eastAsia" w:ascii="方正仿宋_GBK" w:hAnsi="Calibri" w:eastAsia="方正仿宋_GBK" w:cs="Times New Roman"/>
          <w:sz w:val="32"/>
          <w:szCs w:val="32"/>
        </w:rPr>
        <w:t>3</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2.00件&lt;亿元保费投诉件数≤3.00件得</w:t>
      </w:r>
      <w:r>
        <w:rPr>
          <w:rFonts w:hint="eastAsia" w:ascii="方正仿宋_GBK" w:hAnsi="Calibri" w:eastAsia="方正仿宋_GBK" w:cs="Times New Roman"/>
          <w:sz w:val="32"/>
          <w:szCs w:val="32"/>
        </w:rPr>
        <w:t>1</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&gt;3.00 件不得分。</w:t>
      </w:r>
    </w:p>
    <w:p>
      <w:pPr>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4、提供具有承保租赁车辆或营运车辆和政府、国有企业车辆业绩（满分5分）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证明文件包括但不限于中标通知</w:t>
      </w:r>
      <w:r>
        <w:rPr>
          <w:rFonts w:hint="eastAsia" w:ascii="方正仿宋_GBK" w:hAnsi="Calibri" w:eastAsia="方正仿宋_GBK" w:cs="Times New Roman"/>
          <w:sz w:val="32"/>
          <w:szCs w:val="32"/>
        </w:rPr>
        <w:t>书或保险服务协议，并附加盖有公章的承保清单或者其他证明文件。</w:t>
      </w:r>
    </w:p>
    <w:p>
      <w:pPr>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五、服务类因素</w:t>
      </w:r>
      <w:r>
        <w:rPr>
          <w:rFonts w:ascii="方正仿宋_GBK" w:hAnsi="Calibri" w:eastAsia="方正仿宋_GBK" w:cs="Times New Roman"/>
          <w:sz w:val="32"/>
          <w:szCs w:val="32"/>
        </w:rPr>
        <w:t>(满分1</w:t>
      </w:r>
      <w:r>
        <w:rPr>
          <w:rFonts w:hint="eastAsia" w:ascii="方正仿宋_GBK" w:hAnsi="Calibri" w:eastAsia="方正仿宋_GBK" w:cs="Times New Roman"/>
          <w:sz w:val="32"/>
          <w:szCs w:val="32"/>
        </w:rPr>
        <w:t>0</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1</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.承保服务方案(满分</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承保服务方案主要考查服务团队的人员设置、投标人承保出单、日常服务等方面。评委对投标人提出的承保服务方案对招标人保险利益的实质性保障程度进行排名，排名第一得</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分，排名每低一名扣</w:t>
      </w:r>
      <w:r>
        <w:rPr>
          <w:rFonts w:hint="eastAsia" w:ascii="方正仿宋_GBK" w:hAnsi="Calibri" w:eastAsia="方正仿宋_GBK" w:cs="Times New Roman"/>
          <w:sz w:val="32"/>
          <w:szCs w:val="32"/>
        </w:rPr>
        <w:t>1</w:t>
      </w:r>
      <w:r>
        <w:rPr>
          <w:rFonts w:ascii="方正仿宋_GBK" w:hAnsi="Calibri" w:eastAsia="方正仿宋_GBK" w:cs="Times New Roman"/>
          <w:sz w:val="32"/>
          <w:szCs w:val="32"/>
        </w:rPr>
        <w:t>分，未提供项该项得0分。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2.理赔服务方案(满分5分)</w:t>
      </w:r>
    </w:p>
    <w:p>
      <w:pPr>
        <w:ind w:firstLine="640" w:firstLineChars="200"/>
        <w:rPr>
          <w:rFonts w:ascii="方正仿宋_GBK" w:hAnsi="Calibri" w:eastAsia="方正仿宋_GBK" w:cs="Times New Roman"/>
          <w:sz w:val="32"/>
          <w:szCs w:val="32"/>
        </w:rPr>
      </w:pPr>
      <w:r>
        <w:rPr>
          <w:rFonts w:ascii="方正仿宋_GBK" w:hAnsi="Calibri" w:eastAsia="方正仿宋_GBK" w:cs="Times New Roman"/>
          <w:sz w:val="32"/>
          <w:szCs w:val="32"/>
        </w:rPr>
        <w:t>理赔服务方案主要考察投标人接报案</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现场查勘时限、理赔时限</w:t>
      </w:r>
      <w:r>
        <w:rPr>
          <w:rFonts w:hint="eastAsia" w:ascii="方正仿宋_GBK" w:hAnsi="Calibri" w:eastAsia="方正仿宋_GBK" w:cs="Times New Roman"/>
          <w:sz w:val="32"/>
          <w:szCs w:val="32"/>
        </w:rPr>
        <w:t>及</w:t>
      </w:r>
      <w:r>
        <w:rPr>
          <w:rFonts w:ascii="方正仿宋_GBK" w:hAnsi="Calibri" w:eastAsia="方正仿宋_GBK" w:cs="Times New Roman"/>
          <w:sz w:val="32"/>
          <w:szCs w:val="32"/>
        </w:rPr>
        <w:t>小额案件</w:t>
      </w:r>
      <w:r>
        <w:rPr>
          <w:rFonts w:hint="eastAsia" w:ascii="方正仿宋_GBK" w:hAnsi="Calibri" w:eastAsia="方正仿宋_GBK" w:cs="Times New Roman"/>
          <w:sz w:val="32"/>
          <w:szCs w:val="32"/>
        </w:rPr>
        <w:t>的及时处理、争议案件处理等，</w:t>
      </w:r>
      <w:r>
        <w:rPr>
          <w:rFonts w:ascii="方正仿宋_GBK" w:hAnsi="Calibri" w:eastAsia="方正仿宋_GBK" w:cs="Times New Roman"/>
          <w:sz w:val="32"/>
          <w:szCs w:val="32"/>
        </w:rPr>
        <w:t>排名第一得</w:t>
      </w: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分，排名每低一名扣</w:t>
      </w:r>
      <w:r>
        <w:rPr>
          <w:rFonts w:hint="eastAsia" w:ascii="方正仿宋_GBK" w:hAnsi="Calibri" w:eastAsia="方正仿宋_GBK" w:cs="Times New Roman"/>
          <w:sz w:val="32"/>
          <w:szCs w:val="32"/>
        </w:rPr>
        <w:t>1</w:t>
      </w:r>
      <w:r>
        <w:rPr>
          <w:rFonts w:ascii="方正仿宋_GBK" w:hAnsi="Calibri" w:eastAsia="方正仿宋_GBK" w:cs="Times New Roman"/>
          <w:sz w:val="32"/>
          <w:szCs w:val="32"/>
        </w:rPr>
        <w:t>分，未提供项该项得0分。</w:t>
      </w:r>
    </w:p>
    <w:p>
      <w:pPr>
        <w:pStyle w:val="2"/>
        <w:rPr>
          <w:rFonts w:ascii="方正仿宋_GBK" w:hAnsi="Calibri" w:eastAsia="方正仿宋_GBK" w:cs="Times New Roman"/>
          <w:color w:val="auto"/>
          <w:kern w:val="2"/>
          <w:sz w:val="32"/>
          <w:szCs w:val="32"/>
        </w:rPr>
      </w:pPr>
    </w:p>
    <w:p>
      <w:pPr>
        <w:pStyle w:val="2"/>
      </w:pPr>
    </w:p>
    <w:p>
      <w:pPr>
        <w:pStyle w:val="2"/>
      </w:pPr>
    </w:p>
    <w:p>
      <w:pPr>
        <w:pStyle w:val="10"/>
        <w:spacing w:line="240" w:lineRule="auto"/>
        <w:ind w:firstLine="0" w:firstLineChars="0"/>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r>
        <w:rPr>
          <w:rFonts w:hint="eastAsia" w:ascii="方正楷体_GBK" w:eastAsia="方正楷体_GBK"/>
          <w:sz w:val="32"/>
          <w:szCs w:val="32"/>
        </w:rPr>
        <w:t>附件2</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商业险自主定价系数报价表</w:t>
      </w:r>
    </w:p>
    <w:p>
      <w:pPr>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报价单位（公章）：</w:t>
      </w:r>
    </w:p>
    <w:tbl>
      <w:tblPr>
        <w:tblStyle w:val="12"/>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19"/>
        <w:gridCol w:w="1594"/>
        <w:gridCol w:w="29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4219" w:type="dxa"/>
            <w:vAlign w:val="center"/>
          </w:tcPr>
          <w:p>
            <w:pPr>
              <w:pStyle w:val="10"/>
              <w:spacing w:line="400" w:lineRule="exact"/>
              <w:ind w:firstLine="0" w:firstLineChars="0"/>
              <w:jc w:val="center"/>
              <w:rPr>
                <w:rFonts w:ascii="方正仿宋_GBK" w:eastAsia="方正仿宋_GBK"/>
                <w:sz w:val="32"/>
                <w:szCs w:val="32"/>
              </w:rPr>
            </w:pPr>
            <w:r>
              <w:rPr>
                <w:rFonts w:hint="eastAsia" w:ascii="方正仿宋_GBK" w:eastAsia="方正仿宋_GBK"/>
                <w:sz w:val="32"/>
                <w:szCs w:val="32"/>
              </w:rPr>
              <w:t>项目名称</w:t>
            </w:r>
          </w:p>
        </w:tc>
        <w:tc>
          <w:tcPr>
            <w:tcW w:w="1594" w:type="dxa"/>
            <w:vAlign w:val="center"/>
          </w:tcPr>
          <w:p>
            <w:pPr>
              <w:pStyle w:val="10"/>
              <w:spacing w:line="400" w:lineRule="exact"/>
              <w:ind w:firstLine="0" w:firstLineChars="0"/>
              <w:jc w:val="center"/>
              <w:rPr>
                <w:rFonts w:ascii="方正仿宋_GBK" w:eastAsia="方正仿宋_GBK"/>
                <w:sz w:val="32"/>
                <w:szCs w:val="32"/>
              </w:rPr>
            </w:pPr>
            <w:r>
              <w:rPr>
                <w:rFonts w:hint="eastAsia" w:ascii="方正仿宋_GBK" w:eastAsia="方正仿宋_GBK"/>
                <w:sz w:val="32"/>
                <w:szCs w:val="32"/>
              </w:rPr>
              <w:t>承保车</w:t>
            </w:r>
          </w:p>
          <w:p>
            <w:pPr>
              <w:pStyle w:val="10"/>
              <w:spacing w:line="400" w:lineRule="exact"/>
              <w:ind w:firstLine="0" w:firstLineChars="0"/>
              <w:jc w:val="center"/>
              <w:rPr>
                <w:rFonts w:ascii="方正仿宋_GBK" w:eastAsia="方正仿宋_GBK"/>
                <w:sz w:val="32"/>
                <w:szCs w:val="32"/>
              </w:rPr>
            </w:pPr>
            <w:r>
              <w:rPr>
                <w:rFonts w:hint="eastAsia" w:ascii="方正仿宋_GBK" w:eastAsia="方正仿宋_GBK"/>
                <w:sz w:val="32"/>
                <w:szCs w:val="32"/>
              </w:rPr>
              <w:t>辆数量</w:t>
            </w:r>
          </w:p>
        </w:tc>
        <w:tc>
          <w:tcPr>
            <w:tcW w:w="2907" w:type="dxa"/>
            <w:vAlign w:val="center"/>
          </w:tcPr>
          <w:p>
            <w:pPr>
              <w:pStyle w:val="10"/>
              <w:spacing w:line="400" w:lineRule="exact"/>
              <w:ind w:firstLine="0" w:firstLineChars="0"/>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商业险</w:t>
            </w:r>
          </w:p>
          <w:p>
            <w:pPr>
              <w:pStyle w:val="10"/>
              <w:spacing w:line="400" w:lineRule="exact"/>
              <w:ind w:firstLine="0" w:firstLineChars="0"/>
              <w:jc w:val="center"/>
              <w:rPr>
                <w:rFonts w:ascii="方正仿宋_GBK" w:eastAsia="方正仿宋_GBK"/>
                <w:sz w:val="32"/>
                <w:szCs w:val="32"/>
              </w:rPr>
            </w:pPr>
            <w:r>
              <w:rPr>
                <w:rFonts w:hint="eastAsia" w:ascii="方正仿宋_GBK" w:hAnsi="Times New Roman" w:eastAsia="方正仿宋_GBK" w:cs="Times New Roman"/>
                <w:sz w:val="32"/>
                <w:szCs w:val="32"/>
              </w:rPr>
              <w:t>自主定价系数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4219" w:type="dxa"/>
            <w:vAlign w:val="center"/>
          </w:tcPr>
          <w:p>
            <w:pPr>
              <w:pStyle w:val="10"/>
              <w:ind w:firstLine="0" w:firstLineChars="0"/>
              <w:jc w:val="left"/>
              <w:rPr>
                <w:rFonts w:ascii="方正仿宋_GBK" w:eastAsia="方正仿宋_GBK"/>
                <w:sz w:val="32"/>
                <w:szCs w:val="32"/>
              </w:rPr>
            </w:pPr>
            <w:r>
              <w:rPr>
                <w:rFonts w:hint="eastAsia" w:ascii="方正仿宋_GBK" w:hAnsi="Times New Roman" w:eastAsia="方正仿宋_GBK" w:cs="Times New Roman"/>
                <w:sz w:val="32"/>
                <w:szCs w:val="32"/>
              </w:rPr>
              <w:t>速运公司2022年度车辆保险项目</w:t>
            </w:r>
          </w:p>
        </w:tc>
        <w:tc>
          <w:tcPr>
            <w:tcW w:w="1594" w:type="dxa"/>
            <w:vAlign w:val="center"/>
          </w:tcPr>
          <w:p>
            <w:pPr>
              <w:pStyle w:val="10"/>
              <w:ind w:firstLine="0" w:firstLineChars="0"/>
              <w:jc w:val="center"/>
              <w:rPr>
                <w:rFonts w:ascii="方正仿宋_GBK" w:eastAsia="方正仿宋_GBK"/>
                <w:sz w:val="32"/>
                <w:szCs w:val="32"/>
              </w:rPr>
            </w:pPr>
            <w:r>
              <w:rPr>
                <w:rFonts w:hint="eastAsia" w:ascii="方正仿宋_GBK" w:eastAsia="方正仿宋_GBK"/>
                <w:sz w:val="32"/>
                <w:szCs w:val="32"/>
              </w:rPr>
              <w:t>100</w:t>
            </w:r>
          </w:p>
        </w:tc>
        <w:tc>
          <w:tcPr>
            <w:tcW w:w="2907" w:type="dxa"/>
            <w:vAlign w:val="center"/>
          </w:tcPr>
          <w:p>
            <w:pPr>
              <w:pStyle w:val="10"/>
              <w:ind w:firstLine="0" w:firstLineChars="0"/>
              <w:jc w:val="center"/>
              <w:rPr>
                <w:rFonts w:ascii="方正仿宋_GBK" w:eastAsia="方正仿宋_GBK"/>
                <w:sz w:val="32"/>
                <w:szCs w:val="32"/>
              </w:rPr>
            </w:pPr>
          </w:p>
        </w:tc>
      </w:tr>
    </w:tbl>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r>
        <w:rPr>
          <w:rFonts w:hint="eastAsia" w:ascii="方正楷体_GBK" w:eastAsia="方正楷体_GBK"/>
          <w:sz w:val="32"/>
          <w:szCs w:val="32"/>
        </w:rPr>
        <w:t>附件3</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指定车辆商业保险报价表</w:t>
      </w:r>
    </w:p>
    <w:p>
      <w:pPr>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报价单位（公章）：</w:t>
      </w:r>
    </w:p>
    <w:tbl>
      <w:tblPr>
        <w:tblStyle w:val="12"/>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3685"/>
        <w:gridCol w:w="992"/>
        <w:gridCol w:w="1134"/>
        <w:gridCol w:w="1418"/>
        <w:gridCol w:w="9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Borders>
              <w:right w:val="single" w:color="auto" w:sz="4" w:space="0"/>
            </w:tcBorders>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序</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号</w:t>
            </w:r>
          </w:p>
        </w:tc>
        <w:tc>
          <w:tcPr>
            <w:tcW w:w="3685" w:type="dxa"/>
            <w:tcBorders>
              <w:left w:val="single" w:color="auto" w:sz="4" w:space="0"/>
            </w:tcBorders>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承保险种</w:t>
            </w:r>
          </w:p>
        </w:tc>
        <w:tc>
          <w:tcPr>
            <w:tcW w:w="992" w:type="dxa"/>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绝对</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免赔率</w:t>
            </w:r>
          </w:p>
        </w:tc>
        <w:tc>
          <w:tcPr>
            <w:tcW w:w="1134" w:type="dxa"/>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费率</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浮动</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w:t>
            </w:r>
          </w:p>
        </w:tc>
        <w:tc>
          <w:tcPr>
            <w:tcW w:w="1418" w:type="dxa"/>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保险金额/</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责任限额</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（元）</w:t>
            </w:r>
          </w:p>
        </w:tc>
        <w:tc>
          <w:tcPr>
            <w:tcW w:w="957" w:type="dxa"/>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保险费</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8720" w:type="dxa"/>
            <w:gridSpan w:val="6"/>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渝A7131K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8720" w:type="dxa"/>
            <w:gridSpan w:val="6"/>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车架号：</w:t>
            </w:r>
            <w:r>
              <w:rPr>
                <w:rFonts w:asciiTheme="minorEastAsia" w:hAnsiTheme="minorEastAsia"/>
                <w:szCs w:val="24"/>
              </w:rPr>
              <w:t>L</w:t>
            </w:r>
            <w:r>
              <w:rPr>
                <w:rFonts w:hint="eastAsia" w:asciiTheme="minorEastAsia" w:hAnsiTheme="minorEastAsia"/>
                <w:szCs w:val="24"/>
              </w:rPr>
              <w:t>B1WG2E17H8029607                             发动机号：</w:t>
            </w:r>
            <w:r>
              <w:rPr>
                <w:rFonts w:asciiTheme="minorEastAsia" w:hAnsiTheme="minorEastAsia"/>
                <w:szCs w:val="24"/>
              </w:rPr>
              <w:t>1</w:t>
            </w:r>
            <w:r>
              <w:rPr>
                <w:rFonts w:hint="eastAsia" w:asciiTheme="minorEastAsia" w:hAnsiTheme="minorEastAsia"/>
                <w:szCs w:val="24"/>
              </w:rPr>
              <w:t>0926345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1</w:t>
            </w:r>
          </w:p>
        </w:tc>
        <w:tc>
          <w:tcPr>
            <w:tcW w:w="3685" w:type="dxa"/>
            <w:tcBorders>
              <w:lef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机动车损失保险</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p>
        </w:tc>
        <w:tc>
          <w:tcPr>
            <w:tcW w:w="957" w:type="dxa"/>
            <w:vAlign w:val="center"/>
          </w:tcPr>
          <w:p>
            <w:pPr>
              <w:pStyle w:val="10"/>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2</w:t>
            </w:r>
          </w:p>
        </w:tc>
        <w:tc>
          <w:tcPr>
            <w:tcW w:w="3685" w:type="dxa"/>
            <w:tcBorders>
              <w:lef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机动车第三者责任保险</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1000000</w:t>
            </w:r>
          </w:p>
        </w:tc>
        <w:tc>
          <w:tcPr>
            <w:tcW w:w="957" w:type="dxa"/>
            <w:vAlign w:val="center"/>
          </w:tcPr>
          <w:p>
            <w:pPr>
              <w:pStyle w:val="10"/>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3</w:t>
            </w:r>
          </w:p>
        </w:tc>
        <w:tc>
          <w:tcPr>
            <w:tcW w:w="3685" w:type="dxa"/>
            <w:tcBorders>
              <w:lef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机动车车上人员责任保险（司机）</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50000</w:t>
            </w:r>
          </w:p>
        </w:tc>
        <w:tc>
          <w:tcPr>
            <w:tcW w:w="957" w:type="dxa"/>
            <w:vAlign w:val="center"/>
          </w:tcPr>
          <w:p>
            <w:pPr>
              <w:pStyle w:val="10"/>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4</w:t>
            </w:r>
          </w:p>
        </w:tc>
        <w:tc>
          <w:tcPr>
            <w:tcW w:w="3685" w:type="dxa"/>
            <w:tcBorders>
              <w:lef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机动车国上人员责任保险（乘客）</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50000</w:t>
            </w:r>
          </w:p>
        </w:tc>
        <w:tc>
          <w:tcPr>
            <w:tcW w:w="957" w:type="dxa"/>
            <w:vAlign w:val="center"/>
          </w:tcPr>
          <w:p>
            <w:pPr>
              <w:pStyle w:val="10"/>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219" w:type="dxa"/>
            <w:gridSpan w:val="2"/>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小计</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p>
        </w:tc>
        <w:tc>
          <w:tcPr>
            <w:tcW w:w="957" w:type="dxa"/>
            <w:vAlign w:val="center"/>
          </w:tcPr>
          <w:p>
            <w:pPr>
              <w:pStyle w:val="10"/>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8720" w:type="dxa"/>
            <w:gridSpan w:val="6"/>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渝D0R319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8720" w:type="dxa"/>
            <w:gridSpan w:val="6"/>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车架号：</w:t>
            </w:r>
            <w:r>
              <w:rPr>
                <w:rFonts w:asciiTheme="minorEastAsia" w:hAnsiTheme="minorEastAsia"/>
                <w:szCs w:val="24"/>
              </w:rPr>
              <w:t>L</w:t>
            </w:r>
            <w:r>
              <w:rPr>
                <w:rFonts w:hint="eastAsia" w:asciiTheme="minorEastAsia" w:hAnsiTheme="minorEastAsia"/>
                <w:szCs w:val="24"/>
              </w:rPr>
              <w:t>VHRM182XG5145379                           发动机号：5148362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1</w:t>
            </w:r>
          </w:p>
        </w:tc>
        <w:tc>
          <w:tcPr>
            <w:tcW w:w="3685" w:type="dxa"/>
            <w:tcBorders>
              <w:lef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机动车损失保险</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p>
        </w:tc>
        <w:tc>
          <w:tcPr>
            <w:tcW w:w="957" w:type="dxa"/>
            <w:vAlign w:val="center"/>
          </w:tcPr>
          <w:p>
            <w:pPr>
              <w:pStyle w:val="10"/>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2</w:t>
            </w:r>
          </w:p>
        </w:tc>
        <w:tc>
          <w:tcPr>
            <w:tcW w:w="3685" w:type="dxa"/>
            <w:tcBorders>
              <w:lef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机动车第三者责任保险</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1000000</w:t>
            </w:r>
          </w:p>
        </w:tc>
        <w:tc>
          <w:tcPr>
            <w:tcW w:w="957" w:type="dxa"/>
            <w:vAlign w:val="center"/>
          </w:tcPr>
          <w:p>
            <w:pPr>
              <w:pStyle w:val="10"/>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3</w:t>
            </w:r>
          </w:p>
        </w:tc>
        <w:tc>
          <w:tcPr>
            <w:tcW w:w="3685" w:type="dxa"/>
            <w:tcBorders>
              <w:lef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机动车车上人员责任保险（司机）</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50000</w:t>
            </w:r>
          </w:p>
        </w:tc>
        <w:tc>
          <w:tcPr>
            <w:tcW w:w="957" w:type="dxa"/>
            <w:vAlign w:val="center"/>
          </w:tcPr>
          <w:p>
            <w:pPr>
              <w:pStyle w:val="10"/>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4</w:t>
            </w:r>
          </w:p>
        </w:tc>
        <w:tc>
          <w:tcPr>
            <w:tcW w:w="3685" w:type="dxa"/>
            <w:tcBorders>
              <w:lef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机动车国上人员责任保险（乘客）</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50000</w:t>
            </w:r>
          </w:p>
        </w:tc>
        <w:tc>
          <w:tcPr>
            <w:tcW w:w="957" w:type="dxa"/>
            <w:vAlign w:val="center"/>
          </w:tcPr>
          <w:p>
            <w:pPr>
              <w:pStyle w:val="10"/>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219" w:type="dxa"/>
            <w:gridSpan w:val="2"/>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小计</w:t>
            </w:r>
          </w:p>
        </w:tc>
        <w:tc>
          <w:tcPr>
            <w:tcW w:w="992" w:type="dxa"/>
            <w:vAlign w:val="center"/>
          </w:tcPr>
          <w:p>
            <w:pPr>
              <w:pStyle w:val="10"/>
              <w:spacing w:line="240" w:lineRule="auto"/>
              <w:ind w:firstLine="0" w:firstLineChars="0"/>
              <w:rPr>
                <w:rFonts w:asciiTheme="minorEastAsia" w:hAnsiTheme="minorEastAsia"/>
                <w:szCs w:val="24"/>
              </w:rPr>
            </w:pPr>
          </w:p>
        </w:tc>
        <w:tc>
          <w:tcPr>
            <w:tcW w:w="1134" w:type="dxa"/>
            <w:vAlign w:val="center"/>
          </w:tcPr>
          <w:p>
            <w:pPr>
              <w:pStyle w:val="10"/>
              <w:spacing w:line="240" w:lineRule="auto"/>
              <w:ind w:firstLine="0" w:firstLineChars="0"/>
              <w:rPr>
                <w:rFonts w:asciiTheme="minorEastAsia" w:hAnsiTheme="minorEastAsia"/>
                <w:szCs w:val="24"/>
              </w:rPr>
            </w:pPr>
          </w:p>
        </w:tc>
        <w:tc>
          <w:tcPr>
            <w:tcW w:w="1418" w:type="dxa"/>
            <w:vAlign w:val="center"/>
          </w:tcPr>
          <w:p>
            <w:pPr>
              <w:pStyle w:val="10"/>
              <w:spacing w:line="240" w:lineRule="auto"/>
              <w:ind w:firstLine="0" w:firstLineChars="0"/>
              <w:rPr>
                <w:rFonts w:asciiTheme="minorEastAsia" w:hAnsiTheme="minorEastAsia"/>
                <w:szCs w:val="24"/>
              </w:rPr>
            </w:pPr>
          </w:p>
        </w:tc>
        <w:tc>
          <w:tcPr>
            <w:tcW w:w="957" w:type="dxa"/>
            <w:vAlign w:val="center"/>
          </w:tcPr>
          <w:p>
            <w:pPr>
              <w:pStyle w:val="10"/>
              <w:spacing w:line="240" w:lineRule="auto"/>
              <w:ind w:firstLine="0" w:firstLineChars="0"/>
              <w:rPr>
                <w:rFonts w:asciiTheme="minorEastAsia" w:hAnsiTheme="minorEastAsia"/>
                <w:szCs w:val="24"/>
              </w:rPr>
            </w:pPr>
          </w:p>
        </w:tc>
      </w:tr>
    </w:tbl>
    <w:p>
      <w:pPr>
        <w:ind w:firstLine="420" w:firstLineChars="200"/>
        <w:outlineLvl w:val="0"/>
      </w:pPr>
      <w:r>
        <w:rPr>
          <w:rFonts w:hint="eastAsia"/>
        </w:rPr>
        <w:t>注：机动车损失保险以参考折旧系数表计算方式为准，各单位在计算时应明确写明计算方式。以上保费报价最终总额正负在3%以内视为同等报价。</w:t>
      </w: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rPr>
          <w:rFonts w:ascii="方正楷体_GBK" w:eastAsia="方正楷体_GBK"/>
          <w:sz w:val="32"/>
          <w:szCs w:val="32"/>
        </w:rPr>
      </w:pPr>
      <w:r>
        <w:rPr>
          <w:rFonts w:hint="eastAsia" w:ascii="方正楷体_GBK" w:eastAsia="方正楷体_GBK"/>
          <w:sz w:val="32"/>
          <w:szCs w:val="32"/>
        </w:rPr>
        <w:t>附件4</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驾乘人员补充意外伤害保险报价表</w:t>
      </w:r>
    </w:p>
    <w:p>
      <w:pPr>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报价单位（公章）：</w:t>
      </w:r>
    </w:p>
    <w:tbl>
      <w:tblPr>
        <w:tblStyle w:val="12"/>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3118"/>
        <w:gridCol w:w="2552"/>
        <w:gridCol w:w="1417"/>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Borders>
              <w:right w:val="single" w:color="auto" w:sz="4" w:space="0"/>
            </w:tcBorders>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序</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号</w:t>
            </w:r>
          </w:p>
        </w:tc>
        <w:tc>
          <w:tcPr>
            <w:tcW w:w="3118" w:type="dxa"/>
            <w:tcBorders>
              <w:left w:val="single" w:color="auto" w:sz="4" w:space="0"/>
            </w:tcBorders>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承保险种</w:t>
            </w:r>
          </w:p>
        </w:tc>
        <w:tc>
          <w:tcPr>
            <w:tcW w:w="2552" w:type="dxa"/>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承保项目</w:t>
            </w:r>
          </w:p>
        </w:tc>
        <w:tc>
          <w:tcPr>
            <w:tcW w:w="1417" w:type="dxa"/>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保险金额/</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责任限额</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（元）</w:t>
            </w:r>
          </w:p>
        </w:tc>
        <w:tc>
          <w:tcPr>
            <w:tcW w:w="992" w:type="dxa"/>
            <w:vAlign w:val="center"/>
          </w:tcPr>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保险费</w:t>
            </w:r>
          </w:p>
          <w:p>
            <w:pPr>
              <w:pStyle w:val="10"/>
              <w:spacing w:line="240" w:lineRule="auto"/>
              <w:ind w:firstLine="0" w:firstLineChars="0"/>
              <w:jc w:val="center"/>
              <w:rPr>
                <w:rFonts w:asciiTheme="minorEastAsia" w:hAnsiTheme="minorEastAsia"/>
                <w:szCs w:val="24"/>
              </w:rPr>
            </w:pPr>
            <w:r>
              <w:rPr>
                <w:rFonts w:hint="eastAsia" w:asciiTheme="minorEastAsia" w:hAnsiTheme="minorEastAsia"/>
                <w:szCs w:val="24"/>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1</w:t>
            </w:r>
          </w:p>
        </w:tc>
        <w:tc>
          <w:tcPr>
            <w:tcW w:w="3118" w:type="dxa"/>
            <w:tcBorders>
              <w:left w:val="single" w:color="auto" w:sz="4" w:space="0"/>
            </w:tcBorders>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驾乘人员补充意外伤害保险</w:t>
            </w:r>
          </w:p>
        </w:tc>
        <w:tc>
          <w:tcPr>
            <w:tcW w:w="2552" w:type="dxa"/>
            <w:vAlign w:val="center"/>
          </w:tcPr>
          <w:p>
            <w:pPr>
              <w:pStyle w:val="10"/>
              <w:spacing w:line="240" w:lineRule="auto"/>
              <w:ind w:firstLine="0" w:firstLineChars="0"/>
              <w:rPr>
                <w:rFonts w:asciiTheme="minorEastAsia" w:hAnsiTheme="minorEastAsia"/>
                <w:szCs w:val="24"/>
              </w:rPr>
            </w:pPr>
            <w:r>
              <w:rPr>
                <w:rFonts w:asciiTheme="minorEastAsia" w:hAnsiTheme="minorEastAsia"/>
                <w:szCs w:val="24"/>
              </w:rPr>
              <w:t>驾驶或乘坐非营运汽车意外伤害身故、残疾给付</w:t>
            </w:r>
          </w:p>
        </w:tc>
        <w:tc>
          <w:tcPr>
            <w:tcW w:w="1417" w:type="dxa"/>
            <w:vAlign w:val="center"/>
          </w:tcPr>
          <w:p>
            <w:pPr>
              <w:pStyle w:val="10"/>
              <w:spacing w:line="240" w:lineRule="auto"/>
              <w:ind w:firstLine="0" w:firstLineChars="0"/>
              <w:rPr>
                <w:rFonts w:asciiTheme="minorEastAsia" w:hAnsiTheme="minorEastAsia"/>
                <w:szCs w:val="24"/>
              </w:rPr>
            </w:pPr>
            <w:r>
              <w:rPr>
                <w:rFonts w:hint="eastAsia" w:asciiTheme="minorEastAsia" w:hAnsiTheme="minorEastAsia"/>
                <w:szCs w:val="24"/>
              </w:rPr>
              <w:t>50万元/座</w:t>
            </w:r>
          </w:p>
          <w:p>
            <w:pPr>
              <w:pStyle w:val="10"/>
              <w:spacing w:line="240" w:lineRule="auto"/>
              <w:ind w:firstLine="0" w:firstLineChars="0"/>
              <w:rPr>
                <w:rFonts w:asciiTheme="minorEastAsia" w:hAnsiTheme="minorEastAsia"/>
                <w:szCs w:val="24"/>
              </w:rPr>
            </w:pPr>
            <w:r>
              <w:rPr>
                <w:rFonts w:hint="eastAsia" w:asciiTheme="minorEastAsia" w:hAnsiTheme="minorEastAsia"/>
                <w:szCs w:val="24"/>
              </w:rPr>
              <w:t>（身故、残疾给付金额、意外伤害医疗补偿金额、其他补偿金额）</w:t>
            </w:r>
          </w:p>
        </w:tc>
        <w:tc>
          <w:tcPr>
            <w:tcW w:w="992" w:type="dxa"/>
            <w:vAlign w:val="center"/>
          </w:tcPr>
          <w:p>
            <w:pPr>
              <w:pStyle w:val="10"/>
              <w:spacing w:line="240" w:lineRule="auto"/>
              <w:ind w:firstLine="0" w:firstLineChars="0"/>
              <w:rPr>
                <w:rFonts w:asciiTheme="minorEastAsia" w:hAnsiTheme="minorEastAsia"/>
                <w:szCs w:val="24"/>
              </w:rPr>
            </w:pPr>
          </w:p>
        </w:tc>
      </w:tr>
    </w:tbl>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p>
    <w:p>
      <w:pPr>
        <w:pStyle w:val="10"/>
        <w:ind w:firstLine="0" w:firstLineChars="0"/>
        <w:rPr>
          <w:rFonts w:ascii="方正楷体_GBK" w:eastAsia="方正楷体_GBK"/>
          <w:sz w:val="32"/>
          <w:szCs w:val="32"/>
        </w:rPr>
      </w:pPr>
      <w:r>
        <w:rPr>
          <w:rFonts w:hint="eastAsia" w:ascii="方正楷体_GBK" w:eastAsia="方正楷体_GBK"/>
          <w:sz w:val="32"/>
          <w:szCs w:val="32"/>
        </w:rPr>
        <w:t>附件5</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其他服务承诺</w:t>
      </w:r>
    </w:p>
    <w:p>
      <w:pPr>
        <w:spacing w:line="560" w:lineRule="exact"/>
        <w:ind w:firstLine="640" w:firstLineChars="200"/>
        <w:jc w:val="left"/>
        <w:rPr>
          <w:rFonts w:ascii="方正仿宋_GBK" w:hAnsi="宋体" w:eastAsia="方正仿宋_GBK" w:cs="宋体"/>
          <w:sz w:val="32"/>
          <w:szCs w:val="32"/>
        </w:rPr>
      </w:pP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一、</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二、</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三、</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w:t>
      </w:r>
    </w:p>
    <w:p>
      <w:pPr>
        <w:spacing w:line="560" w:lineRule="exact"/>
        <w:ind w:firstLine="640" w:firstLineChars="200"/>
        <w:jc w:val="left"/>
        <w:rPr>
          <w:rFonts w:ascii="方正仿宋_GBK" w:hAnsi="宋体" w:eastAsia="方正仿宋_GBK" w:cs="宋体"/>
          <w:sz w:val="32"/>
          <w:szCs w:val="32"/>
        </w:rPr>
      </w:pP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 xml:space="preserve">                                  承诺单位：</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 xml:space="preserve">                               2021年   月   日</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4"/>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abstractNum w:abstractNumId="1">
    <w:nsid w:val="4A863D70"/>
    <w:multiLevelType w:val="multilevel"/>
    <w:tmpl w:val="4A863D70"/>
    <w:lvl w:ilvl="0" w:tentative="0">
      <w:start w:val="1"/>
      <w:numFmt w:val="japaneseCounting"/>
      <w:lvlText w:val="%1、"/>
      <w:lvlJc w:val="left"/>
      <w:pPr>
        <w:ind w:left="1144" w:hanging="504"/>
      </w:pPr>
      <w:rPr>
        <w:rFonts w:ascii="方正仿宋简体" w:hAnsi="宋体" w:eastAsia="方正仿宋简体" w:cs="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D1"/>
    <w:rsid w:val="00002F95"/>
    <w:rsid w:val="0000697B"/>
    <w:rsid w:val="0001047E"/>
    <w:rsid w:val="00021B9E"/>
    <w:rsid w:val="00026213"/>
    <w:rsid w:val="0004436C"/>
    <w:rsid w:val="00052DC9"/>
    <w:rsid w:val="000A7C9D"/>
    <w:rsid w:val="000C529B"/>
    <w:rsid w:val="000E007D"/>
    <w:rsid w:val="00175F5C"/>
    <w:rsid w:val="001A507B"/>
    <w:rsid w:val="001B06D6"/>
    <w:rsid w:val="001C0CFF"/>
    <w:rsid w:val="001D4628"/>
    <w:rsid w:val="001F17E0"/>
    <w:rsid w:val="00225013"/>
    <w:rsid w:val="00252925"/>
    <w:rsid w:val="00280780"/>
    <w:rsid w:val="0029144F"/>
    <w:rsid w:val="00297AD5"/>
    <w:rsid w:val="002B4FEC"/>
    <w:rsid w:val="002E35C0"/>
    <w:rsid w:val="00312435"/>
    <w:rsid w:val="00320010"/>
    <w:rsid w:val="00392331"/>
    <w:rsid w:val="003D64CB"/>
    <w:rsid w:val="00454C74"/>
    <w:rsid w:val="004D6938"/>
    <w:rsid w:val="005C065D"/>
    <w:rsid w:val="005D34C6"/>
    <w:rsid w:val="005E4316"/>
    <w:rsid w:val="005F30B8"/>
    <w:rsid w:val="0065663D"/>
    <w:rsid w:val="006A59BB"/>
    <w:rsid w:val="006B0569"/>
    <w:rsid w:val="00744BBA"/>
    <w:rsid w:val="007C03DB"/>
    <w:rsid w:val="00834A0C"/>
    <w:rsid w:val="00852E00"/>
    <w:rsid w:val="008A05D1"/>
    <w:rsid w:val="008A73C4"/>
    <w:rsid w:val="00987B4C"/>
    <w:rsid w:val="009D64C7"/>
    <w:rsid w:val="009D69E4"/>
    <w:rsid w:val="009F659C"/>
    <w:rsid w:val="00A038D2"/>
    <w:rsid w:val="00AC5335"/>
    <w:rsid w:val="00AD289E"/>
    <w:rsid w:val="00B100B7"/>
    <w:rsid w:val="00B10440"/>
    <w:rsid w:val="00B57A11"/>
    <w:rsid w:val="00B607E7"/>
    <w:rsid w:val="00C243B8"/>
    <w:rsid w:val="00C51DCC"/>
    <w:rsid w:val="00C55AEB"/>
    <w:rsid w:val="00C65BFB"/>
    <w:rsid w:val="00DA7243"/>
    <w:rsid w:val="00DC00D6"/>
    <w:rsid w:val="00DC1857"/>
    <w:rsid w:val="00DC4456"/>
    <w:rsid w:val="00DD102C"/>
    <w:rsid w:val="00E07FB3"/>
    <w:rsid w:val="00E1442F"/>
    <w:rsid w:val="00E174E1"/>
    <w:rsid w:val="00E56BAA"/>
    <w:rsid w:val="00E76CC6"/>
    <w:rsid w:val="00E82AF3"/>
    <w:rsid w:val="00E850CC"/>
    <w:rsid w:val="00EB61E5"/>
    <w:rsid w:val="00EB7728"/>
    <w:rsid w:val="00ED7EFE"/>
    <w:rsid w:val="00EE3690"/>
    <w:rsid w:val="00F55F54"/>
    <w:rsid w:val="00F656D1"/>
    <w:rsid w:val="00FA7E21"/>
    <w:rsid w:val="00FB55F8"/>
    <w:rsid w:val="00FE4E1C"/>
    <w:rsid w:val="04A27F5D"/>
    <w:rsid w:val="055602B8"/>
    <w:rsid w:val="06D5774B"/>
    <w:rsid w:val="07DA6B5D"/>
    <w:rsid w:val="083A3ACF"/>
    <w:rsid w:val="08A86101"/>
    <w:rsid w:val="09D76047"/>
    <w:rsid w:val="0D1024B5"/>
    <w:rsid w:val="0EB17A27"/>
    <w:rsid w:val="0FCE5C59"/>
    <w:rsid w:val="14325519"/>
    <w:rsid w:val="14F61ECE"/>
    <w:rsid w:val="167619F0"/>
    <w:rsid w:val="174F3EB1"/>
    <w:rsid w:val="18786351"/>
    <w:rsid w:val="187F7D13"/>
    <w:rsid w:val="1BB62660"/>
    <w:rsid w:val="1C9C0B71"/>
    <w:rsid w:val="1E620328"/>
    <w:rsid w:val="213417B7"/>
    <w:rsid w:val="27502088"/>
    <w:rsid w:val="29A47E8A"/>
    <w:rsid w:val="2B72508C"/>
    <w:rsid w:val="2BCF690C"/>
    <w:rsid w:val="2E303D37"/>
    <w:rsid w:val="2EA81224"/>
    <w:rsid w:val="2F255978"/>
    <w:rsid w:val="30DF5246"/>
    <w:rsid w:val="31810A01"/>
    <w:rsid w:val="334A1F1B"/>
    <w:rsid w:val="34060241"/>
    <w:rsid w:val="34B65BBE"/>
    <w:rsid w:val="35D46169"/>
    <w:rsid w:val="36275114"/>
    <w:rsid w:val="3843720B"/>
    <w:rsid w:val="38E34B11"/>
    <w:rsid w:val="39C214E7"/>
    <w:rsid w:val="3A0F421B"/>
    <w:rsid w:val="3AB15D2A"/>
    <w:rsid w:val="3B4340B9"/>
    <w:rsid w:val="3BC21312"/>
    <w:rsid w:val="41607402"/>
    <w:rsid w:val="475641C9"/>
    <w:rsid w:val="4FB7625E"/>
    <w:rsid w:val="50A8359D"/>
    <w:rsid w:val="50A87870"/>
    <w:rsid w:val="56212D46"/>
    <w:rsid w:val="5D482D0B"/>
    <w:rsid w:val="5DB40B08"/>
    <w:rsid w:val="5F3B4B44"/>
    <w:rsid w:val="61825C10"/>
    <w:rsid w:val="62064B2B"/>
    <w:rsid w:val="62E77AFC"/>
    <w:rsid w:val="695E1C9B"/>
    <w:rsid w:val="69E22DE2"/>
    <w:rsid w:val="6AC60616"/>
    <w:rsid w:val="6DCC3B0D"/>
    <w:rsid w:val="6FB43E70"/>
    <w:rsid w:val="70DC2727"/>
    <w:rsid w:val="76882090"/>
    <w:rsid w:val="76EC4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next w:val="1"/>
    <w:qFormat/>
    <w:uiPriority w:val="0"/>
    <w:pPr>
      <w:keepNext/>
      <w:keepLines/>
      <w:widowControl w:val="0"/>
      <w:spacing w:before="260" w:after="260" w:line="415" w:lineRule="auto"/>
      <w:jc w:val="both"/>
      <w:outlineLvl w:val="1"/>
    </w:pPr>
    <w:rPr>
      <w:rFonts w:ascii="Cambria" w:hAnsi="Cambria" w:eastAsia="宋体" w:cs="Times New Roman"/>
      <w:b/>
      <w:bCs/>
      <w:kern w:val="2"/>
      <w:sz w:val="32"/>
      <w:szCs w:val="32"/>
      <w:lang w:val="en-US" w:eastAsia="zh-CN" w:bidi="ar-SA"/>
    </w:rPr>
  </w:style>
  <w:style w:type="paragraph" w:styleId="4">
    <w:name w:val="heading 4"/>
    <w:basedOn w:val="1"/>
    <w:next w:val="1"/>
    <w:unhideWhenUsed/>
    <w:qFormat/>
    <w:uiPriority w:val="9"/>
    <w:pPr>
      <w:keepNext/>
      <w:numPr>
        <w:ilvl w:val="3"/>
        <w:numId w:val="1"/>
      </w:numPr>
      <w:tabs>
        <w:tab w:val="left" w:pos="864"/>
      </w:tabs>
      <w:outlineLvl w:val="3"/>
    </w:pPr>
    <w:rPr>
      <w:rFonts w:eastAsia="仿宋_GB2312"/>
      <w:b/>
      <w:kern w:val="0"/>
      <w:sz w:val="20"/>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unhideWhenUsed/>
    <w:qFormat/>
    <w:uiPriority w:val="99"/>
    <w:pPr>
      <w:jc w:val="left"/>
    </w:pPr>
  </w:style>
  <w:style w:type="paragraph" w:styleId="6">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Body Text Indent"/>
    <w:basedOn w:val="1"/>
    <w:unhideWhenUsed/>
    <w:qFormat/>
    <w:uiPriority w:val="99"/>
    <w:pPr>
      <w:ind w:firstLine="407" w:firstLineChars="200"/>
    </w:pPr>
  </w:style>
  <w:style w:type="paragraph" w:styleId="8">
    <w:name w:val="Date"/>
    <w:basedOn w:val="1"/>
    <w:next w:val="1"/>
    <w:unhideWhenUsed/>
    <w:qFormat/>
    <w:uiPriority w:val="99"/>
    <w:pPr>
      <w:spacing w:line="312" w:lineRule="atLeast"/>
      <w:jc w:val="right"/>
    </w:pPr>
    <w:rPr>
      <w:b/>
      <w:spacing w:val="30"/>
      <w:sz w:val="36"/>
    </w:rPr>
  </w:style>
  <w:style w:type="paragraph" w:styleId="9">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10">
    <w:name w:val="Body Text First Indent 2"/>
    <w:basedOn w:val="7"/>
    <w:unhideWhenUsed/>
    <w:qFormat/>
    <w:uiPriority w:val="99"/>
    <w:pPr>
      <w:spacing w:line="360" w:lineRule="auto"/>
      <w:ind w:firstLine="420"/>
    </w:pPr>
    <w:rPr>
      <w:rFonts w:ascii="宋体"/>
      <w:sz w:val="24"/>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99"/>
    <w:rPr>
      <w:color w:val="0000FF" w:themeColor="hyperlink"/>
      <w:u w:val="single"/>
    </w:rPr>
  </w:style>
  <w:style w:type="paragraph" w:customStyle="1" w:styleId="15">
    <w:name w:val="列出段落1"/>
    <w:basedOn w:val="1"/>
    <w:unhideWhenUsed/>
    <w:qFormat/>
    <w:uiPriority w:val="99"/>
    <w:pPr>
      <w:ind w:firstLine="420" w:firstLineChars="200"/>
    </w:p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736</Words>
  <Characters>4197</Characters>
  <Lines>34</Lines>
  <Paragraphs>9</Paragraphs>
  <TotalTime>93</TotalTime>
  <ScaleCrop>false</ScaleCrop>
  <LinksUpToDate>false</LinksUpToDate>
  <CharactersWithSpaces>4924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2021-11-23T06:49:00Z</dcterms:created>
  <dc:creator>Administrator</dc:creator>
  <cp:lastModifiedBy>Administrator</cp:lastModifiedBy>
  <cp:lastPrinted>2022-01-05T07:42:00Z</cp:lastPrinted>
  <dcterms:modified xsi:type="dcterms:W3CDTF">2022-01-07T08:50:38Z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BE4B022A5398485E81F2BE8F440FA2E3</vt:lpwstr>
  </property>
</Properties>
</file>