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32"/>
          <w:highlight w:val="none"/>
          <w:lang w:eastAsia="zh-CN"/>
        </w:rPr>
      </w:pPr>
      <w:r>
        <w:rPr>
          <w:rFonts w:hint="eastAsia" w:ascii="宋体" w:hAnsi="宋体"/>
          <w:b/>
          <w:sz w:val="28"/>
          <w:szCs w:val="32"/>
          <w:highlight w:val="none"/>
        </w:rPr>
        <w:t>重庆潼南航运电力开发有限公司物业服务</w:t>
      </w:r>
      <w:r>
        <w:rPr>
          <w:rFonts w:hint="eastAsia" w:ascii="宋体" w:hAnsi="宋体"/>
          <w:b/>
          <w:sz w:val="28"/>
          <w:szCs w:val="32"/>
          <w:highlight w:val="none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highlight w:val="none"/>
          <w:lang w:val="en-US" w:eastAsia="zh-CN"/>
        </w:rPr>
        <w:t>第二次</w:t>
      </w:r>
      <w:r>
        <w:rPr>
          <w:rFonts w:hint="eastAsia" w:ascii="宋体" w:hAnsi="宋体"/>
          <w:b/>
          <w:sz w:val="28"/>
          <w:szCs w:val="32"/>
          <w:highlight w:val="none"/>
          <w:lang w:eastAsia="zh-CN"/>
        </w:rPr>
        <w:t>）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招标公告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  <w:highlight w:val="none"/>
        </w:rPr>
      </w:pPr>
      <w:bookmarkStart w:id="0" w:name="_Toc234814197"/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 xml:space="preserve">1. </w:t>
      </w:r>
      <w:bookmarkEnd w:id="0"/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>招标条件</w:t>
      </w:r>
    </w:p>
    <w:p>
      <w:pPr>
        <w:widowControl/>
        <w:tabs>
          <w:tab w:val="left" w:pos="2655"/>
        </w:tabs>
        <w:snapToGrid w:val="0"/>
        <w:spacing w:line="360" w:lineRule="auto"/>
        <w:ind w:firstLine="315" w:firstLineChars="150"/>
        <w:rPr>
          <w:rFonts w:ascii="宋体" w:hAnsi="宋体"/>
          <w:szCs w:val="21"/>
          <w:highlight w:val="none"/>
        </w:rPr>
      </w:pPr>
      <w:bookmarkStart w:id="1" w:name="_Toc234814198"/>
      <w:r>
        <w:rPr>
          <w:rFonts w:ascii="宋体" w:hAnsi="宋体"/>
          <w:snapToGrid w:val="0"/>
          <w:kern w:val="0"/>
          <w:szCs w:val="21"/>
          <w:highlight w:val="none"/>
        </w:rPr>
        <w:t>本招标项目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>重庆潼南航运电力开发有限公司物业服务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  <w:lang w:val="en-US" w:eastAsia="zh-CN"/>
        </w:rPr>
        <w:t>第二次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  <w:lang w:eastAsia="zh-CN"/>
        </w:rPr>
        <w:t>）</w:t>
      </w:r>
      <w:r>
        <w:rPr>
          <w:rFonts w:ascii="宋体" w:hAnsi="宋体"/>
          <w:snapToGrid w:val="0"/>
          <w:kern w:val="0"/>
          <w:szCs w:val="21"/>
          <w:highlight w:val="none"/>
        </w:rPr>
        <w:t>已批准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实施</w:t>
      </w:r>
      <w:r>
        <w:rPr>
          <w:rFonts w:ascii="宋体" w:hAnsi="宋体"/>
          <w:snapToGrid w:val="0"/>
          <w:kern w:val="0"/>
          <w:szCs w:val="21"/>
          <w:highlight w:val="none"/>
        </w:rPr>
        <w:t>，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招标人</w:t>
      </w:r>
      <w:r>
        <w:rPr>
          <w:rFonts w:ascii="宋体" w:hAnsi="宋体"/>
          <w:snapToGrid w:val="0"/>
          <w:kern w:val="0"/>
          <w:szCs w:val="21"/>
          <w:highlight w:val="none"/>
        </w:rPr>
        <w:t>为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>重庆潼南航运电力开发有限公司</w:t>
      </w:r>
      <w:r>
        <w:rPr>
          <w:rFonts w:ascii="宋体" w:hAnsi="宋体"/>
          <w:snapToGrid w:val="0"/>
          <w:kern w:val="0"/>
          <w:szCs w:val="21"/>
          <w:highlight w:val="none"/>
        </w:rPr>
        <w:t>，资金来自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>企业自筹</w:t>
      </w:r>
      <w:r>
        <w:rPr>
          <w:rFonts w:ascii="宋体" w:hAnsi="宋体"/>
          <w:snapToGrid w:val="0"/>
          <w:kern w:val="0"/>
          <w:position w:val="-2"/>
          <w:szCs w:val="21"/>
          <w:highlight w:val="none"/>
        </w:rPr>
        <w:t>。项目已具备招标条件，现对</w:t>
      </w:r>
      <w:r>
        <w:rPr>
          <w:rFonts w:hint="eastAsia" w:ascii="宋体" w:hAnsi="宋体"/>
          <w:snapToGrid w:val="0"/>
          <w:kern w:val="0"/>
          <w:position w:val="-2"/>
          <w:szCs w:val="21"/>
          <w:highlight w:val="none"/>
        </w:rPr>
        <w:t>该项目</w:t>
      </w:r>
      <w:r>
        <w:rPr>
          <w:rFonts w:ascii="宋体" w:hAnsi="宋体"/>
          <w:snapToGrid w:val="0"/>
          <w:kern w:val="0"/>
          <w:position w:val="-2"/>
          <w:szCs w:val="21"/>
          <w:highlight w:val="none"/>
        </w:rPr>
        <w:t>进行公开招标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widowControl/>
        <w:tabs>
          <w:tab w:val="left" w:pos="2655"/>
        </w:tabs>
        <w:snapToGrid w:val="0"/>
        <w:spacing w:line="360" w:lineRule="auto"/>
        <w:ind w:firstLine="422" w:firstLineChars="200"/>
        <w:rPr>
          <w:rFonts w:ascii="宋体" w:hAnsi="宋体" w:cs="宋体"/>
          <w:b/>
          <w:snapToGrid w:val="0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 xml:space="preserve">2. </w:t>
      </w:r>
      <w:bookmarkEnd w:id="1"/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>项目概况与招标范围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snapToGrid w:val="0"/>
          <w:kern w:val="0"/>
          <w:szCs w:val="21"/>
          <w:highlight w:val="none"/>
        </w:rPr>
        <w:t>2.1项目名称：重庆潼南航运电力开发有限公司物业服务</w:t>
      </w:r>
      <w:r>
        <w:rPr>
          <w:rFonts w:hint="eastAsia" w:ascii="宋体" w:hAnsi="宋体" w:cs="宋体"/>
          <w:snapToGrid w:val="0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napToGrid w:val="0"/>
          <w:kern w:val="0"/>
          <w:szCs w:val="21"/>
          <w:highlight w:val="none"/>
          <w:lang w:val="en-US" w:eastAsia="zh-CN"/>
        </w:rPr>
        <w:t>第二次</w:t>
      </w:r>
      <w:r>
        <w:rPr>
          <w:rFonts w:hint="eastAsia" w:ascii="宋体" w:hAnsi="宋体" w:cs="宋体"/>
          <w:snapToGrid w:val="0"/>
          <w:kern w:val="0"/>
          <w:szCs w:val="21"/>
          <w:highlight w:val="none"/>
          <w:lang w:eastAsia="zh-CN"/>
        </w:rPr>
        <w:t>）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2.2项目地点：公司位于潼南区桂林街道莲花社区一组，距潼南区江北新城约3km，交通便利。公司生产厂区和办公区比较集中，厂区、办公区相距约200m，管理方便。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2.3本项目招标金额：约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    660  </w:t>
      </w:r>
      <w:r>
        <w:rPr>
          <w:rFonts w:hint="eastAsia" w:ascii="宋体" w:hAnsi="宋体" w:cs="宋体"/>
          <w:kern w:val="0"/>
          <w:szCs w:val="21"/>
          <w:highlight w:val="none"/>
        </w:rPr>
        <w:t>万元。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 xml:space="preserve">2.4招标范围： 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（一）物业服务范围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1、公司办公楼、宿舍楼、食堂、办公区院坝、主副厂房各楼层、泄水闸室、尾水启闭机室、前池及尾水检修平台、泄水闸检修平台、大坝交通桥、船闸控制楼及上下闸室、机电仓库、室内墙壁、栏杆、玻璃、消防设施的保洁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2、办公区、厂区、机电仓库、码头的安全检查、安全保卫和治安秩序维护（面积和地点详见第五章物业服务范围及地点统计表）。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3、公司公务用车及合川、重庆方向职工上下班交通用车的驾驶；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4、工作船舶运行、值守，日常保养、维护及码头、船舶的清洁；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5、公司的生产、办公、后勤服务保障以及临时性事务工作。主要用工项目有：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fldChar w:fldCharType="begin"/>
      </w:r>
      <w:r>
        <w:rPr>
          <w:rFonts w:hint="eastAsia" w:ascii="宋体" w:hAnsi="宋体" w:cs="宋体"/>
          <w:kern w:val="0"/>
          <w:szCs w:val="21"/>
          <w:highlight w:val="none"/>
        </w:rPr>
        <w:instrText xml:space="preserve"> = 1 \* GB3 \* MERGEFORMAT </w:instrTex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separate"/>
      </w:r>
      <w:r>
        <w:rPr>
          <w:highlight w:val="none"/>
        </w:rPr>
        <w:t>①</w: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end"/>
      </w:r>
      <w:r>
        <w:rPr>
          <w:rFonts w:hint="eastAsia" w:ascii="宋体" w:hAnsi="宋体" w:cs="宋体"/>
          <w:kern w:val="0"/>
          <w:szCs w:val="21"/>
          <w:highlight w:val="none"/>
        </w:rPr>
        <w:t>交通客车2台（19座以上）、商务车2台、小轿车1台、皮卡车1台；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fldChar w:fldCharType="begin"/>
      </w:r>
      <w:r>
        <w:rPr>
          <w:rFonts w:hint="eastAsia" w:ascii="宋体" w:hAnsi="宋体" w:cs="宋体"/>
          <w:kern w:val="0"/>
          <w:szCs w:val="21"/>
          <w:highlight w:val="none"/>
        </w:rPr>
        <w:instrText xml:space="preserve"> = 2 \* GB3 \* MERGEFORMAT </w:instrTex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separate"/>
      </w:r>
      <w:r>
        <w:rPr>
          <w:highlight w:val="none"/>
        </w:rPr>
        <w:t>②</w: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end"/>
      </w:r>
      <w:r>
        <w:rPr>
          <w:rFonts w:hint="eastAsia" w:ascii="宋体" w:hAnsi="宋体" w:cs="宋体"/>
          <w:kern w:val="0"/>
          <w:szCs w:val="21"/>
          <w:highlight w:val="none"/>
        </w:rPr>
        <w:t>工作码头1处、工作船舶2艘；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fldChar w:fldCharType="begin"/>
      </w:r>
      <w:r>
        <w:rPr>
          <w:rFonts w:hint="eastAsia" w:ascii="宋体" w:hAnsi="宋体" w:cs="宋体"/>
          <w:kern w:val="0"/>
          <w:szCs w:val="21"/>
          <w:highlight w:val="none"/>
        </w:rPr>
        <w:instrText xml:space="preserve"> = 3 \* GB3 \* MERGEFORMAT </w:instrTex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separate"/>
      </w:r>
      <w:r>
        <w:rPr>
          <w:highlight w:val="none"/>
        </w:rPr>
        <w:t>③</w: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end"/>
      </w:r>
      <w:r>
        <w:rPr>
          <w:rFonts w:hint="eastAsia" w:ascii="宋体" w:hAnsi="宋体" w:cs="宋体"/>
          <w:kern w:val="0"/>
          <w:szCs w:val="21"/>
          <w:highlight w:val="none"/>
        </w:rPr>
        <w:t>职工食堂1处；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fldChar w:fldCharType="begin"/>
      </w:r>
      <w:r>
        <w:rPr>
          <w:rFonts w:hint="eastAsia" w:ascii="宋体" w:hAnsi="宋体" w:cs="宋体"/>
          <w:kern w:val="0"/>
          <w:szCs w:val="21"/>
          <w:highlight w:val="none"/>
        </w:rPr>
        <w:instrText xml:space="preserve"> = 4 \* GB3 \* MERGEFORMAT </w:instrTex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separate"/>
      </w:r>
      <w:r>
        <w:rPr>
          <w:highlight w:val="none"/>
        </w:rPr>
        <w:t>④</w:t>
      </w:r>
      <w:r>
        <w:rPr>
          <w:rFonts w:hint="eastAsia" w:ascii="宋体" w:hAnsi="宋体" w:cs="宋体"/>
          <w:kern w:val="0"/>
          <w:szCs w:val="21"/>
          <w:highlight w:val="none"/>
        </w:rPr>
        <w:fldChar w:fldCharType="end"/>
      </w:r>
      <w:r>
        <w:rPr>
          <w:rFonts w:hint="eastAsia" w:ascii="宋体" w:hAnsi="宋体" w:cs="宋体"/>
          <w:kern w:val="0"/>
          <w:szCs w:val="21"/>
          <w:highlight w:val="none"/>
        </w:rPr>
        <w:t>库房2处、外来人员接待用房20间。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（二）临时用工范围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1、公司年度检修、技改、消缺或设备维护检修的辅助用工；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2、前池、拦污栅清污除渣及转运处置；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3、绿化植物植被栽培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、养护</w:t>
      </w:r>
      <w:r>
        <w:rPr>
          <w:rFonts w:hint="eastAsia" w:ascii="宋体" w:hAnsi="宋体" w:cs="宋体"/>
          <w:kern w:val="0"/>
          <w:szCs w:val="21"/>
          <w:highlight w:val="none"/>
        </w:rPr>
        <w:t>;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4、防洪、应急、迎检等临时性工作。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2.5服务期限：3年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2022.7.1日-2025.6.30日)</w:t>
      </w:r>
      <w:r>
        <w:rPr>
          <w:rFonts w:hint="eastAsia" w:ascii="宋体" w:hAnsi="宋体" w:cs="宋体"/>
          <w:kern w:val="0"/>
          <w:szCs w:val="21"/>
          <w:highlight w:val="none"/>
        </w:rPr>
        <w:t>，每年考核合格后续签合同。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>3. 投标人资格要求</w:t>
      </w:r>
    </w:p>
    <w:p>
      <w:pPr>
        <w:widowControl/>
        <w:tabs>
          <w:tab w:val="left" w:pos="2655"/>
        </w:tabs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本项目实行资格后审，投标人应满足下列条件，</w:t>
      </w:r>
      <w:r>
        <w:rPr>
          <w:rFonts w:hint="eastAsia" w:ascii="宋体" w:hAnsi="宋体" w:cs="Arial"/>
          <w:kern w:val="0"/>
          <w:szCs w:val="21"/>
          <w:highlight w:val="none"/>
        </w:rPr>
        <w:t>并在人员、设备、资金等方面具备相应的能力</w:t>
      </w:r>
      <w:r>
        <w:rPr>
          <w:rFonts w:hint="eastAsia" w:ascii="宋体" w:hAnsi="宋体" w:cs="宋体"/>
          <w:kern w:val="0"/>
          <w:szCs w:val="21"/>
          <w:highlight w:val="none"/>
        </w:rPr>
        <w:t>：</w:t>
      </w:r>
    </w:p>
    <w:p>
      <w:pPr>
        <w:spacing w:line="360" w:lineRule="auto"/>
        <w:ind w:firstLine="315" w:firstLineChars="150"/>
        <w:rPr>
          <w:rFonts w:hint="eastAsia"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highlight w:val="none"/>
        </w:rPr>
        <w:t xml:space="preserve"> 3.1投标人须同时满足以下资质条件：</w:t>
      </w:r>
    </w:p>
    <w:p>
      <w:pPr>
        <w:snapToGrid w:val="0"/>
        <w:spacing w:line="360" w:lineRule="auto"/>
        <w:ind w:firstLine="315" w:firstLineChars="150"/>
        <w:rPr>
          <w:rFonts w:hint="eastAsia"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highlight w:val="none"/>
        </w:rPr>
        <w:t>（1）营业执照和劳务派遣许可证。</w:t>
      </w:r>
    </w:p>
    <w:p>
      <w:pPr>
        <w:snapToGrid w:val="0"/>
        <w:spacing w:line="360" w:lineRule="auto"/>
        <w:ind w:firstLine="315" w:firstLineChars="150"/>
        <w:rPr>
          <w:rFonts w:hint="eastAsia"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highlight w:val="none"/>
        </w:rPr>
        <w:t>（2）三体系证书（环境管理体系认证证书、职业健康安全管理体系认证证书、质量管理体系认证证书）。</w:t>
      </w:r>
    </w:p>
    <w:p>
      <w:pPr>
        <w:tabs>
          <w:tab w:val="left" w:pos="2655"/>
        </w:tabs>
        <w:snapToGrid w:val="0"/>
        <w:spacing w:line="360" w:lineRule="auto"/>
        <w:ind w:firstLine="315" w:firstLineChars="150"/>
        <w:rPr>
          <w:rFonts w:hint="eastAsia"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highlight w:val="none"/>
        </w:rPr>
        <w:t xml:space="preserve"> 3.2 投标人自2017年1月1日起至投标截止日止（以合同签订时间为准），具有至少1个在发电生产类企业的物业服务业绩。</w:t>
      </w:r>
    </w:p>
    <w:p>
      <w:pPr>
        <w:tabs>
          <w:tab w:val="left" w:pos="2655"/>
        </w:tabs>
        <w:snapToGrid w:val="0"/>
        <w:spacing w:line="360" w:lineRule="auto"/>
        <w:ind w:firstLine="315" w:firstLineChars="150"/>
        <w:rPr>
          <w:rFonts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highlight w:val="none"/>
        </w:rPr>
        <w:t>3.3 本项目不接受联合体投标。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>4. 招标文件的获取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bookmarkStart w:id="2" w:name="_Toc200359242"/>
      <w:bookmarkStart w:id="3" w:name="_Toc200359431"/>
      <w:bookmarkStart w:id="4" w:name="_Toc295409219"/>
      <w:bookmarkStart w:id="5" w:name="_Toc200359432"/>
      <w:bookmarkStart w:id="6" w:name="_Toc296442773"/>
      <w:bookmarkStart w:id="7" w:name="_Toc224103304"/>
      <w:bookmarkStart w:id="8" w:name="_Toc291745123"/>
      <w:bookmarkStart w:id="9" w:name="_Toc200359243"/>
      <w:bookmarkStart w:id="10" w:name="_Toc234814203"/>
      <w:r>
        <w:rPr>
          <w:rFonts w:hint="eastAsia" w:ascii="宋体" w:hAnsi="宋体" w:cs="宋体"/>
          <w:szCs w:val="21"/>
          <w:highlight w:val="none"/>
        </w:rPr>
        <w:t>4.1</w:t>
      </w:r>
      <w:r>
        <w:rPr>
          <w:rFonts w:ascii="宋体" w:hAnsi="宋体" w:cs="宋体"/>
          <w:szCs w:val="21"/>
          <w:highlight w:val="non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凡有意参加投标者，请于2022年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12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日起，</w:t>
      </w:r>
      <w:r>
        <w:rPr>
          <w:rFonts w:hint="eastAsia" w:ascii="宋体" w:hAnsi="宋体" w:cs="宋体"/>
          <w:snapToGrid w:val="0"/>
          <w:kern w:val="0"/>
          <w:szCs w:val="21"/>
          <w:highlight w:val="none"/>
        </w:rPr>
        <w:t>在</w:t>
      </w:r>
      <w:r>
        <w:rPr>
          <w:rFonts w:hint="eastAsia" w:ascii="宋体" w:hAnsi="宋体" w:cs="宋体"/>
          <w:snapToGrid w:val="0"/>
          <w:kern w:val="0"/>
          <w:szCs w:val="21"/>
          <w:highlight w:val="none"/>
          <w:u w:val="single"/>
        </w:rPr>
        <w:t>重庆市公共资源交易网（https://www.cqggzy.com）</w:t>
      </w:r>
      <w:r>
        <w:rPr>
          <w:rFonts w:hint="eastAsia" w:ascii="宋体" w:hAnsi="宋体" w:cs="宋体"/>
          <w:szCs w:val="21"/>
          <w:highlight w:val="none"/>
        </w:rPr>
        <w:t>上下载招标文件、答疑、补遗等开标前的有关资料，不管投标人下载与否，招标人和招标代理机构都视为投标人全部知晓有关招标过程和事宜，由此产生的一切后果由投标人自负。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4.2本招标公告开始发布至投标截止时间止，各投标人应随时在</w:t>
      </w:r>
      <w:r>
        <w:rPr>
          <w:rFonts w:hint="eastAsia" w:ascii="宋体" w:hAnsi="宋体" w:cs="宋体"/>
          <w:snapToGrid w:val="0"/>
          <w:kern w:val="0"/>
          <w:szCs w:val="21"/>
          <w:highlight w:val="none"/>
          <w:u w:val="single"/>
        </w:rPr>
        <w:t>重庆市公共资源交易网（https://www.cqggzy.com）</w:t>
      </w:r>
      <w:r>
        <w:rPr>
          <w:rFonts w:hint="eastAsia" w:ascii="宋体" w:hAnsi="宋体" w:cs="宋体"/>
          <w:szCs w:val="21"/>
          <w:highlight w:val="none"/>
        </w:rPr>
        <w:t>上关注本招标项目相关修改或补充内容。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4.3投标人应仔细阅读和检查招标文件的全部内容。如发现缺页或附件不全，应及时提出，以便补齐。如有疑问，请在2022年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ascii="宋体" w:hAnsi="宋体" w:cs="宋体"/>
          <w:szCs w:val="21"/>
          <w:highlight w:val="none"/>
          <w:u w:val="single"/>
        </w:rPr>
        <w:t xml:space="preserve"> 17 </w:t>
      </w:r>
      <w:r>
        <w:rPr>
          <w:rFonts w:hint="eastAsia" w:ascii="宋体" w:hAnsi="宋体" w:cs="宋体"/>
          <w:szCs w:val="21"/>
          <w:highlight w:val="none"/>
        </w:rPr>
        <w:t>时</w:t>
      </w:r>
      <w:r>
        <w:rPr>
          <w:rFonts w:ascii="宋体" w:hAnsi="宋体" w:cs="宋体"/>
          <w:szCs w:val="21"/>
          <w:highlight w:val="none"/>
          <w:u w:val="single"/>
        </w:rPr>
        <w:t xml:space="preserve"> 00 </w:t>
      </w:r>
      <w:r>
        <w:rPr>
          <w:rFonts w:hint="eastAsia" w:ascii="宋体" w:hAnsi="宋体" w:cs="宋体"/>
          <w:szCs w:val="21"/>
          <w:highlight w:val="none"/>
        </w:rPr>
        <w:t>分前</w:t>
      </w:r>
      <w:r>
        <w:rPr>
          <w:rFonts w:ascii="宋体" w:hAnsi="宋体" w:cs="宋体"/>
          <w:highlight w:val="none"/>
        </w:rPr>
        <w:t>（北京时间，下同）</w:t>
      </w:r>
      <w:r>
        <w:rPr>
          <w:rFonts w:hint="eastAsia" w:ascii="宋体" w:hAnsi="宋体" w:cs="宋体"/>
          <w:szCs w:val="21"/>
          <w:highlight w:val="none"/>
        </w:rPr>
        <w:t>在</w:t>
      </w:r>
      <w:r>
        <w:rPr>
          <w:rFonts w:hint="eastAsia" w:ascii="宋体" w:hAnsi="宋体" w:cs="宋体"/>
          <w:snapToGrid w:val="0"/>
          <w:kern w:val="0"/>
          <w:szCs w:val="21"/>
          <w:highlight w:val="none"/>
          <w:u w:val="single"/>
        </w:rPr>
        <w:t>重庆市公共资源交易网（https://www.cqggzy.com）</w:t>
      </w:r>
      <w:r>
        <w:rPr>
          <w:rFonts w:hint="eastAsia" w:ascii="宋体" w:hAnsi="宋体" w:cs="宋体"/>
          <w:szCs w:val="21"/>
          <w:highlight w:val="none"/>
        </w:rPr>
        <w:t>上指定位置匿名提出质疑，过期不再受理质疑。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/>
          <w:szCs w:val="21"/>
          <w:highlight w:val="none"/>
        </w:rPr>
      </w:pPr>
      <w:bookmarkStart w:id="11" w:name="_Toc342244955"/>
      <w:bookmarkStart w:id="12" w:name="_Toc347232060"/>
      <w:bookmarkStart w:id="13" w:name="_Toc335745333"/>
      <w:r>
        <w:rPr>
          <w:rFonts w:hint="eastAsia" w:ascii="宋体" w:hAnsi="宋体"/>
          <w:b/>
          <w:szCs w:val="21"/>
          <w:highlight w:val="none"/>
        </w:rPr>
        <w:t>5.招标文件</w:t>
      </w:r>
      <w:r>
        <w:rPr>
          <w:rFonts w:ascii="宋体" w:hAnsi="宋体"/>
          <w:b/>
          <w:szCs w:val="21"/>
          <w:highlight w:val="none"/>
        </w:rPr>
        <w:t>的递交</w:t>
      </w:r>
      <w:bookmarkEnd w:id="2"/>
      <w:bookmarkEnd w:id="3"/>
      <w:bookmarkEnd w:id="4"/>
      <w:bookmarkEnd w:id="11"/>
      <w:bookmarkEnd w:id="12"/>
      <w:bookmarkEnd w:id="13"/>
    </w:p>
    <w:p>
      <w:pPr>
        <w:spacing w:line="360" w:lineRule="auto"/>
        <w:ind w:firstLine="420" w:firstLineChars="200"/>
        <w:rPr>
          <w:rFonts w:ascii="宋体" w:hAnsi="宋体" w:cs="MingLiU"/>
          <w:snapToGrid w:val="0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5.1</w:t>
      </w:r>
      <w:r>
        <w:rPr>
          <w:rFonts w:ascii="宋体" w:hAnsi="宋体"/>
          <w:snapToGrid w:val="0"/>
          <w:kern w:val="0"/>
          <w:szCs w:val="21"/>
          <w:highlight w:val="none"/>
        </w:rPr>
        <w:t>投标文件递交的截止时间（投标截止时间，下同）为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>202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>2</w:t>
      </w:r>
      <w:r>
        <w:rPr>
          <w:rFonts w:ascii="宋体" w:hAnsi="宋体"/>
          <w:snapToGrid w:val="0"/>
          <w:kern w:val="0"/>
          <w:szCs w:val="21"/>
          <w:highlight w:val="none"/>
        </w:rPr>
        <w:t>年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  <w:highlight w:val="none"/>
        </w:rPr>
        <w:t>月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  <w:highlight w:val="none"/>
        </w:rPr>
        <w:t>日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  <w:highlight w:val="none"/>
        </w:rPr>
        <w:t>时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 </w:t>
      </w:r>
      <w:r>
        <w:rPr>
          <w:rFonts w:ascii="宋体" w:hAnsi="宋体"/>
          <w:snapToGrid w:val="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  <w:highlight w:val="none"/>
        </w:rPr>
        <w:t>分，地点为</w:t>
      </w:r>
      <w:r>
        <w:rPr>
          <w:rFonts w:hint="eastAsia" w:ascii="宋体" w:hAnsi="宋体" w:cs="宋体"/>
          <w:snapToGrid w:val="0"/>
          <w:kern w:val="0"/>
          <w:szCs w:val="21"/>
          <w:highlight w:val="none"/>
          <w:u w:val="single"/>
        </w:rPr>
        <w:t>重庆市公共资源交易中心（地址：重庆市渝北区青枫北路6号渝兴广场B10栋），具体详见交易中心大厅电子显示屏。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5.2</w:t>
      </w:r>
      <w:r>
        <w:rPr>
          <w:rFonts w:ascii="宋体" w:hAnsi="宋体"/>
          <w:snapToGrid w:val="0"/>
          <w:kern w:val="0"/>
          <w:szCs w:val="21"/>
          <w:highlight w:val="none"/>
        </w:rPr>
        <w:t>逾期送达的或者未送达指定地点的投标文件，招标人不予受理</w:t>
      </w:r>
      <w:r>
        <w:rPr>
          <w:rFonts w:ascii="宋体" w:hAnsi="宋体"/>
          <w:szCs w:val="21"/>
          <w:highlight w:val="none"/>
        </w:rPr>
        <w:t>。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snapToGrid w:val="0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 xml:space="preserve">6. 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cs="宋体"/>
          <w:b/>
          <w:snapToGrid w:val="0"/>
          <w:kern w:val="0"/>
          <w:szCs w:val="21"/>
          <w:highlight w:val="none"/>
        </w:rPr>
        <w:t>发布公告的媒介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本次招标公告同时在重庆市公共资源交易网（https://www.cqggzy.com）</w:t>
      </w:r>
      <w:r>
        <w:rPr>
          <w:rFonts w:hint="eastAsia" w:ascii="宋体" w:hAnsi="宋体"/>
          <w:szCs w:val="21"/>
          <w:highlight w:val="none"/>
        </w:rPr>
        <w:t>、</w:t>
      </w:r>
      <w:r>
        <w:rPr>
          <w:rFonts w:hint="eastAsia" w:ascii="宋体" w:hAnsi="宋体" w:cs="宋体"/>
          <w:szCs w:val="21"/>
          <w:highlight w:val="none"/>
        </w:rPr>
        <w:t>重庆高速公路集团有限公司官网（http://www.cegc.com.cn/gw）、重庆高速公路集团有限公司招投标管理平台（http://43.240.249.108:8088/PMS/）上发布。</w:t>
      </w:r>
    </w:p>
    <w:bookmarkEnd w:id="10"/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/>
          <w:b/>
          <w:highlight w:val="none"/>
        </w:rPr>
      </w:pPr>
      <w:r>
        <w:rPr>
          <w:rFonts w:hint="eastAsia" w:ascii="宋体" w:hAnsi="宋体"/>
          <w:b/>
          <w:highlight w:val="none"/>
        </w:rPr>
        <w:t>7. 联系方式</w:t>
      </w:r>
    </w:p>
    <w:p>
      <w:pPr>
        <w:pStyle w:val="17"/>
        <w:snapToGrid w:val="0"/>
        <w:spacing w:before="0" w:beforeAutospacing="0" w:after="0" w:afterAutospacing="0" w:line="360" w:lineRule="auto"/>
        <w:ind w:left="105" w:leftChars="50" w:firstLine="210" w:firstLineChars="100"/>
        <w:rPr>
          <w:rFonts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 xml:space="preserve">招标人：重庆潼南航运电力开发有限公司    </w:t>
      </w:r>
    </w:p>
    <w:p>
      <w:pPr>
        <w:pStyle w:val="17"/>
        <w:snapToGrid w:val="0"/>
        <w:spacing w:before="0" w:beforeAutospacing="0" w:after="0" w:afterAutospacing="0" w:line="360" w:lineRule="auto"/>
        <w:ind w:firstLine="315" w:firstLineChars="150"/>
        <w:rPr>
          <w:rFonts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>地址：</w:t>
      </w:r>
      <w:bookmarkStart w:id="14" w:name="_Hlk87865085"/>
      <w:r>
        <w:rPr>
          <w:rFonts w:hint="eastAsia" w:cs="Times New Roman"/>
          <w:kern w:val="2"/>
          <w:sz w:val="21"/>
          <w:highlight w:val="none"/>
        </w:rPr>
        <w:t xml:space="preserve">重庆市潼南区桂林街道潼南航电枢纽生产管理大楼 </w:t>
      </w:r>
      <w:bookmarkEnd w:id="14"/>
      <w:r>
        <w:rPr>
          <w:rFonts w:hint="eastAsia" w:cs="Times New Roman"/>
          <w:kern w:val="2"/>
          <w:sz w:val="21"/>
          <w:highlight w:val="none"/>
        </w:rPr>
        <w:t xml:space="preserve">         </w:t>
      </w:r>
    </w:p>
    <w:p>
      <w:pPr>
        <w:pStyle w:val="17"/>
        <w:snapToGrid w:val="0"/>
        <w:spacing w:before="0" w:beforeAutospacing="0" w:after="0" w:afterAutospacing="0" w:line="360" w:lineRule="auto"/>
        <w:ind w:firstLine="315" w:firstLineChars="150"/>
        <w:rPr>
          <w:rFonts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>联系人：王先生</w:t>
      </w:r>
      <w:r>
        <w:rPr>
          <w:rFonts w:cs="Times New Roman"/>
          <w:kern w:val="2"/>
          <w:sz w:val="21"/>
          <w:highlight w:val="none"/>
        </w:rPr>
        <w:t xml:space="preserve">        </w:t>
      </w:r>
    </w:p>
    <w:p>
      <w:pPr>
        <w:pStyle w:val="17"/>
        <w:snapToGrid w:val="0"/>
        <w:spacing w:before="0" w:beforeAutospacing="0" w:after="0" w:afterAutospacing="0" w:line="360" w:lineRule="auto"/>
        <w:ind w:firstLine="315" w:firstLineChars="150"/>
        <w:rPr>
          <w:rFonts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>电话：13709428527</w:t>
      </w:r>
    </w:p>
    <w:p>
      <w:pPr>
        <w:pStyle w:val="17"/>
        <w:snapToGrid w:val="0"/>
        <w:spacing w:before="0" w:beforeAutospacing="0" w:after="0" w:afterAutospacing="0"/>
        <w:rPr>
          <w:rFonts w:cs="Times New Roman"/>
          <w:kern w:val="2"/>
          <w:sz w:val="21"/>
          <w:highlight w:val="none"/>
        </w:rPr>
      </w:pPr>
    </w:p>
    <w:p>
      <w:pPr>
        <w:pStyle w:val="17"/>
        <w:snapToGrid w:val="0"/>
        <w:spacing w:before="0" w:beforeAutospacing="0" w:after="0" w:afterAutospacing="0" w:line="360" w:lineRule="auto"/>
        <w:ind w:firstLine="315" w:firstLineChars="150"/>
        <w:rPr>
          <w:rFonts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>招标代理机构：重庆招标采购（集团）有限责任公司</w:t>
      </w:r>
    </w:p>
    <w:p>
      <w:pPr>
        <w:pStyle w:val="17"/>
        <w:snapToGrid w:val="0"/>
        <w:spacing w:before="0" w:beforeAutospacing="0" w:after="0" w:afterAutospacing="0" w:line="360" w:lineRule="auto"/>
        <w:ind w:firstLine="315" w:firstLineChars="150"/>
        <w:rPr>
          <w:rFonts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>地址：重庆市江北五里店五简路2号重庆咨询大厦A幢</w:t>
      </w:r>
    </w:p>
    <w:p>
      <w:pPr>
        <w:pStyle w:val="17"/>
        <w:snapToGrid w:val="0"/>
        <w:spacing w:before="0" w:beforeAutospacing="0" w:after="0" w:afterAutospacing="0" w:line="360" w:lineRule="auto"/>
        <w:ind w:firstLine="315" w:firstLineChars="150"/>
        <w:rPr>
          <w:rFonts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>联 系 人：廖老师</w:t>
      </w:r>
    </w:p>
    <w:p>
      <w:pPr>
        <w:pStyle w:val="17"/>
        <w:snapToGrid w:val="0"/>
        <w:spacing w:before="0" w:beforeAutospacing="0" w:after="0" w:afterAutospacing="0" w:line="360" w:lineRule="auto"/>
        <w:ind w:firstLine="315" w:firstLineChars="150"/>
        <w:rPr>
          <w:rFonts w:hint="eastAsia" w:cs="Times New Roman"/>
          <w:kern w:val="2"/>
          <w:sz w:val="21"/>
          <w:highlight w:val="none"/>
        </w:rPr>
      </w:pPr>
      <w:r>
        <w:rPr>
          <w:rFonts w:hint="eastAsia" w:cs="Times New Roman"/>
          <w:kern w:val="2"/>
          <w:sz w:val="21"/>
          <w:highlight w:val="none"/>
        </w:rPr>
        <w:t>电话：023-67107374</w:t>
      </w:r>
    </w:p>
    <w:p>
      <w:pPr>
        <w:rPr>
          <w:rFonts w:hint="default"/>
          <w:lang w:val="en-US" w:eastAsia="zh-CN"/>
        </w:rPr>
      </w:pPr>
      <w:bookmarkStart w:id="15" w:name="_GoBack"/>
      <w:bookmarkEnd w:id="15"/>
    </w:p>
    <w:sectPr>
      <w:pgSz w:w="11906" w:h="16838"/>
      <w:pgMar w:top="1440" w:right="12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54984"/>
    <w:multiLevelType w:val="multilevel"/>
    <w:tmpl w:val="68F54984"/>
    <w:lvl w:ilvl="0" w:tentative="0">
      <w:start w:val="1"/>
      <w:numFmt w:val="japaneseCounting"/>
      <w:pStyle w:val="3"/>
      <w:lvlText w:val="第%1章"/>
      <w:lvlJc w:val="left"/>
      <w:pPr>
        <w:ind w:left="4470" w:hanging="1320"/>
      </w:pPr>
      <w:rPr>
        <w:rFonts w:hint="default" w:ascii="黑体" w:cs="MingLiU"/>
      </w:rPr>
    </w:lvl>
    <w:lvl w:ilvl="1" w:tentative="0">
      <w:start w:val="1"/>
      <w:numFmt w:val="lowerLetter"/>
      <w:lvlText w:val="%2)"/>
      <w:lvlJc w:val="left"/>
      <w:pPr>
        <w:ind w:left="2205" w:hanging="420"/>
      </w:pPr>
    </w:lvl>
    <w:lvl w:ilvl="2" w:tentative="0">
      <w:start w:val="1"/>
      <w:numFmt w:val="lowerRoman"/>
      <w:lvlText w:val="%3."/>
      <w:lvlJc w:val="right"/>
      <w:pPr>
        <w:ind w:left="2625" w:hanging="420"/>
      </w:pPr>
    </w:lvl>
    <w:lvl w:ilvl="3" w:tentative="0">
      <w:start w:val="1"/>
      <w:numFmt w:val="decimal"/>
      <w:lvlText w:val="%4."/>
      <w:lvlJc w:val="left"/>
      <w:pPr>
        <w:ind w:left="3045" w:hanging="420"/>
      </w:pPr>
    </w:lvl>
    <w:lvl w:ilvl="4" w:tentative="0">
      <w:start w:val="1"/>
      <w:numFmt w:val="lowerLetter"/>
      <w:lvlText w:val="%5)"/>
      <w:lvlJc w:val="left"/>
      <w:pPr>
        <w:ind w:left="3465" w:hanging="420"/>
      </w:pPr>
    </w:lvl>
    <w:lvl w:ilvl="5" w:tentative="0">
      <w:start w:val="1"/>
      <w:numFmt w:val="lowerRoman"/>
      <w:lvlText w:val="%6."/>
      <w:lvlJc w:val="right"/>
      <w:pPr>
        <w:ind w:left="3885" w:hanging="420"/>
      </w:pPr>
    </w:lvl>
    <w:lvl w:ilvl="6" w:tentative="0">
      <w:start w:val="1"/>
      <w:numFmt w:val="decimal"/>
      <w:lvlText w:val="%7."/>
      <w:lvlJc w:val="left"/>
      <w:pPr>
        <w:ind w:left="4305" w:hanging="420"/>
      </w:pPr>
    </w:lvl>
    <w:lvl w:ilvl="7" w:tentative="0">
      <w:start w:val="1"/>
      <w:numFmt w:val="lowerLetter"/>
      <w:lvlText w:val="%8)"/>
      <w:lvlJc w:val="left"/>
      <w:pPr>
        <w:ind w:left="4725" w:hanging="420"/>
      </w:pPr>
    </w:lvl>
    <w:lvl w:ilvl="8" w:tentative="0">
      <w:start w:val="1"/>
      <w:numFmt w:val="lowerRoman"/>
      <w:lvlText w:val="%9."/>
      <w:lvlJc w:val="right"/>
      <w:pPr>
        <w:ind w:left="51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7E"/>
    <w:rsid w:val="000E7592"/>
    <w:rsid w:val="007A097E"/>
    <w:rsid w:val="008436AB"/>
    <w:rsid w:val="00B6085F"/>
    <w:rsid w:val="00C64186"/>
    <w:rsid w:val="05EF0DBB"/>
    <w:rsid w:val="1260078E"/>
    <w:rsid w:val="1BFA69AC"/>
    <w:rsid w:val="31F87F66"/>
    <w:rsid w:val="44123DF2"/>
    <w:rsid w:val="484A160B"/>
    <w:rsid w:val="4A003006"/>
    <w:rsid w:val="4AF92D1E"/>
    <w:rsid w:val="4D8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eastAsia="黑体"/>
      <w:kern w:val="0"/>
      <w:sz w:val="44"/>
      <w:szCs w:val="44"/>
    </w:rPr>
  </w:style>
  <w:style w:type="paragraph" w:styleId="4">
    <w:name w:val="heading 2"/>
    <w:basedOn w:val="1"/>
    <w:next w:val="1"/>
    <w:link w:val="11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/>
      <w:b/>
      <w:spacing w:val="1"/>
      <w:w w:val="99"/>
      <w:kern w:val="0"/>
      <w:sz w:val="28"/>
      <w:szCs w:val="32"/>
    </w:rPr>
  </w:style>
  <w:style w:type="paragraph" w:styleId="5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字符1"/>
    <w:link w:val="4"/>
    <w:qFormat/>
    <w:uiPriority w:val="0"/>
    <w:rPr>
      <w:rFonts w:ascii="仿宋_GB2312" w:hAnsi="Times New Roman" w:eastAsia="仿宋_GB2312" w:cs="Times New Roman"/>
      <w:b/>
      <w:spacing w:val="1"/>
      <w:w w:val="99"/>
      <w:kern w:val="0"/>
      <w:sz w:val="28"/>
      <w:szCs w:val="32"/>
    </w:rPr>
  </w:style>
  <w:style w:type="character" w:customStyle="1" w:styleId="12">
    <w:name w:val="标题 3 字符"/>
    <w:basedOn w:val="9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页眉 字符"/>
    <w:basedOn w:val="9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样式 标题 2 + Times New Roman 四号 非加粗 段前: 5 磅 段后: 0 磅 行距: 固定值 20..."/>
    <w:basedOn w:val="4"/>
    <w:qFormat/>
    <w:uiPriority w:val="0"/>
    <w:pPr>
      <w:keepNext/>
      <w:keepLines/>
      <w:autoSpaceDE/>
      <w:autoSpaceDN/>
      <w:adjustRightInd/>
      <w:snapToGrid/>
      <w:spacing w:before="100" w:line="400" w:lineRule="exact"/>
      <w:jc w:val="both"/>
    </w:pPr>
    <w:rPr>
      <w:rFonts w:ascii="Times New Roman" w:eastAsia="黑体"/>
      <w:b w:val="0"/>
      <w:spacing w:val="0"/>
      <w:w w:val="100"/>
      <w:kern w:val="2"/>
      <w:szCs w:val="20"/>
    </w:rPr>
  </w:style>
  <w:style w:type="paragraph" w:customStyle="1" w:styleId="1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1716</Characters>
  <Lines>14</Lines>
  <Paragraphs>4</Paragraphs>
  <TotalTime>0</TotalTime>
  <ScaleCrop>false</ScaleCrop>
  <LinksUpToDate>false</LinksUpToDate>
  <CharactersWithSpaces>2012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2021-11-02T08:10:00Z</dcterms:created>
  <dc:creator>刘洋</dc:creator>
  <cp:lastModifiedBy>NTKO</cp:lastModifiedBy>
  <dcterms:modified xsi:type="dcterms:W3CDTF">2022-05-12T04:56:29Z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7E266F4723D4495CB9D1D83C65112C82</vt:lpwstr>
  </property>
</Properties>
</file>