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default" w:ascii="方正仿宋_GBK" w:hAnsi="方正仿宋_GBK" w:eastAsia="方正仿宋_GBK" w:cs="方正仿宋_GBK"/>
          <w:b/>
          <w:bCs/>
          <w:color w:val="auto"/>
          <w:sz w:val="32"/>
          <w:szCs w:val="32"/>
          <w:highlight w:val="none"/>
          <w:lang w:val="en-US"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三江公司法律服务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24"/>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7"/>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10</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10</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w:t>
          </w:r>
          <w:r>
            <w:rPr>
              <w:rFonts w:hint="eastAsia" w:ascii="Times New Roman" w:hAnsi="Times New Roman" w:eastAsia="方正仿宋_GBK" w:cs="Times New Roman"/>
              <w:color w:val="auto"/>
              <w:sz w:val="32"/>
              <w:highlight w:val="none"/>
              <w:lang w:val="en-US" w:eastAsia="zh-CN"/>
            </w:rPr>
            <w:t>廉政合同</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9</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color w:val="auto"/>
              <w:sz w:val="32"/>
              <w:highlight w:val="none"/>
              <w:lang w:val="en-US" w:eastAsia="zh-CN"/>
            </w:rPr>
            <w:t>诚信合规协议</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22</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一、</w:t>
          </w:r>
          <w:r>
            <w:rPr>
              <w:rStyle w:val="17"/>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9</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二、报价</w:t>
          </w:r>
          <w:r>
            <w:rPr>
              <w:rStyle w:val="17"/>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1</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三、</w:t>
          </w:r>
          <w:r>
            <w:rPr>
              <w:rStyle w:val="17"/>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四、</w:t>
          </w:r>
          <w:r>
            <w:rPr>
              <w:rStyle w:val="17"/>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4</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五、诚信</w:t>
          </w:r>
          <w:r>
            <w:rPr>
              <w:rStyle w:val="17"/>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5</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六、</w:t>
          </w:r>
          <w:r>
            <w:rPr>
              <w:rStyle w:val="17"/>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bookmarkStart w:id="17" w:name="_GoBack"/>
          <w:bookmarkEnd w:id="17"/>
        </w:p>
        <w:p>
          <w:pPr>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b/>
              <w:bCs/>
              <w:color w:val="auto"/>
              <w:sz w:val="32"/>
              <w:highlight w:val="none"/>
              <w:lang w:val="zh-CN"/>
            </w:rPr>
            <w:fldChar w:fldCharType="end"/>
          </w:r>
        </w:p>
      </w:sdtContent>
    </w:sdt>
    <w:p>
      <w:pPr>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重庆航发三江港埠有限公司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法律服务询价公告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sz w:val="32"/>
          <w:szCs w:val="32"/>
          <w:lang w:val="en-US" w:eastAsia="zh-CN"/>
        </w:rPr>
        <w:t>询价条件（公开询价）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default" w:ascii="Times New Roman" w:hAnsi="Times New Roman" w:eastAsia="方正仿宋_GBK" w:cs="Times New Roman"/>
          <w:bCs/>
          <w:color w:val="auto"/>
          <w:sz w:val="32"/>
          <w:szCs w:val="32"/>
          <w:highlight w:val="none"/>
          <w:lang w:eastAsia="zh-CN"/>
        </w:rPr>
        <w:t>项目已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项目概况与询价工作范围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2.1项目地址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重</w:t>
      </w:r>
      <w:r>
        <w:rPr>
          <w:rFonts w:hint="eastAsia" w:ascii="Times New Roman" w:hAnsi="Times New Roman" w:eastAsia="方正仿宋_GBK" w:cs="Times New Roman"/>
          <w:bCs/>
          <w:color w:val="auto"/>
          <w:kern w:val="2"/>
          <w:sz w:val="32"/>
          <w:szCs w:val="32"/>
          <w:highlight w:val="none"/>
          <w:lang w:val="en-US" w:eastAsia="zh-CN" w:bidi="ar-SA"/>
        </w:rPr>
        <w:t>庆航发三江港埠有限公司佛耳岩码头位于重庆市巴南区境内，鱼洞滨江路末端的渔洞镇金子沟村，距渔洞镇约3.5km，下距朝天门约36km的长江南岸，距重庆市区约28公里。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z w:val="32"/>
          <w:szCs w:val="32"/>
          <w:lang w:val="en-US" w:eastAsia="zh-CN"/>
        </w:rPr>
        <w:t>2022年8月23日</w:t>
      </w:r>
      <w:r>
        <w:rPr>
          <w:rFonts w:hint="eastAsia" w:ascii="Times New Roman" w:hAnsi="Times New Roman" w:eastAsia="方正仿宋_GBK" w:cs="方正仿宋_GBK"/>
          <w:sz w:val="32"/>
          <w:szCs w:val="32"/>
          <w:lang w:val="en-US" w:eastAsia="zh-CN"/>
        </w:rPr>
        <w:t>8:30左右，我司佛耳岩码头二期2号仓库起火，并引燃堆场木材。2022年8月23日，重庆消防总队水上支队出具了《封控的通告》。截止目前，佛耳岩</w:t>
      </w:r>
      <w:r>
        <w:rPr>
          <w:rFonts w:hint="default" w:ascii="Times New Roman" w:hAnsi="Times New Roman" w:eastAsia="方正仿宋_GBK" w:cs="方正仿宋_GBK"/>
          <w:sz w:val="32"/>
          <w:szCs w:val="32"/>
          <w:lang w:val="en-US" w:eastAsia="zh-CN"/>
        </w:rPr>
        <w:t>“8.23”火灾事故意见书（涉及起火原因）、火灾直接损失评估</w:t>
      </w:r>
      <w:r>
        <w:rPr>
          <w:rFonts w:hint="default" w:ascii="Times New Roman" w:hAnsi="Times New Roman" w:eastAsia="方正仿宋_GBK" w:cs="Times New Roman"/>
          <w:sz w:val="32"/>
          <w:szCs w:val="32"/>
        </w:rPr>
        <w:t>报告尚未有书面定论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佛耳岩码头二期封闭的状态尚未解除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2022年10月</w:t>
      </w:r>
      <w:r>
        <w:rPr>
          <w:rFonts w:hint="eastAsia"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日，</w:t>
      </w:r>
      <w:r>
        <w:rPr>
          <w:rFonts w:hint="eastAsia" w:ascii="方正仿宋_GBK" w:hAnsi="方正仿宋_GBK" w:eastAsia="方正仿宋_GBK" w:cs="方正仿宋_GBK"/>
          <w:sz w:val="32"/>
          <w:szCs w:val="32"/>
          <w:u w:val="none"/>
        </w:rPr>
        <w:t>苏州吉千安国际贸易有限公</w:t>
      </w:r>
      <w:r>
        <w:rPr>
          <w:rFonts w:hint="eastAsia" w:ascii="方正仿宋_GBK" w:hAnsi="方正仿宋_GBK" w:eastAsia="方正仿宋_GBK" w:cs="方正仿宋_GBK"/>
          <w:sz w:val="32"/>
          <w:szCs w:val="32"/>
          <w:u w:val="none"/>
          <w:lang w:val="en-US" w:eastAsia="zh-CN"/>
        </w:rPr>
        <w:t>司（以下简称“</w:t>
      </w:r>
      <w:r>
        <w:rPr>
          <w:rFonts w:hint="default" w:ascii="Times New Roman" w:hAnsi="Times New Roman" w:eastAsia="方正仿宋_GBK" w:cs="Times New Roman"/>
          <w:color w:val="auto"/>
          <w:sz w:val="32"/>
          <w:szCs w:val="32"/>
          <w:highlight w:val="none"/>
        </w:rPr>
        <w:t>吉千安公司</w:t>
      </w:r>
      <w:r>
        <w:rPr>
          <w:rFonts w:hint="eastAsia" w:ascii="方正仿宋_GBK" w:hAnsi="方正仿宋_GBK" w:eastAsia="方正仿宋_GBK" w:cs="方正仿宋_GBK"/>
          <w:sz w:val="32"/>
          <w:szCs w:val="32"/>
          <w:u w:val="none"/>
          <w:lang w:val="en-US" w:eastAsia="zh-CN"/>
        </w:rPr>
        <w:t>”）和重庆嘉林木材贸易有限公司（以下简称“</w:t>
      </w:r>
      <w:r>
        <w:rPr>
          <w:rFonts w:hint="default" w:ascii="Times New Roman" w:hAnsi="Times New Roman" w:eastAsia="方正仿宋_GBK" w:cs="Times New Roman"/>
          <w:color w:val="auto"/>
          <w:sz w:val="32"/>
          <w:szCs w:val="32"/>
          <w:highlight w:val="none"/>
        </w:rPr>
        <w:t>嘉林公司</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color w:val="auto"/>
          <w:sz w:val="32"/>
          <w:szCs w:val="32"/>
          <w:highlight w:val="none"/>
        </w:rPr>
        <w:t>已经先行向法院对三江公司申请了诉前财产保全，要求保全冻结三江公司银行账户2120万元</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2022年12月8日，吉千安公司、嘉林公司以“港口货物保管纠纷”为案由提起诉讼</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诉讼标的分别为1174万元、507万元</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目前</w:t>
      </w:r>
      <w:r>
        <w:rPr>
          <w:rFonts w:hint="eastAsia" w:ascii="Times New Roman" w:hAnsi="Times New Roman" w:eastAsia="方正仿宋_GBK" w:cs="Times New Roman"/>
          <w:color w:val="auto"/>
          <w:sz w:val="32"/>
          <w:szCs w:val="32"/>
          <w:highlight w:val="none"/>
        </w:rPr>
        <w:t>吉千安、嘉林公司</w:t>
      </w:r>
      <w:r>
        <w:rPr>
          <w:rFonts w:hint="eastAsia" w:ascii="Times New Roman" w:hAnsi="Times New Roman" w:eastAsia="方正仿宋_GBK" w:cs="Times New Roman"/>
          <w:color w:val="auto"/>
          <w:sz w:val="32"/>
          <w:szCs w:val="32"/>
          <w:highlight w:val="none"/>
          <w:lang w:val="en-US" w:eastAsia="zh-CN"/>
        </w:rPr>
        <w:t>分别</w:t>
      </w:r>
      <w:r>
        <w:rPr>
          <w:rFonts w:hint="eastAsia" w:ascii="Times New Roman" w:hAnsi="Times New Roman" w:eastAsia="方正仿宋_GBK" w:cs="Times New Roman"/>
          <w:color w:val="auto"/>
          <w:sz w:val="32"/>
          <w:szCs w:val="32"/>
          <w:highlight w:val="none"/>
        </w:rPr>
        <w:t>欠付三江公司作业费</w:t>
      </w:r>
      <w:r>
        <w:rPr>
          <w:rFonts w:hint="eastAsia" w:ascii="Times New Roman" w:hAnsi="Times New Roman" w:eastAsia="方正仿宋_GBK" w:cs="Times New Roman"/>
          <w:color w:val="auto"/>
          <w:sz w:val="32"/>
          <w:szCs w:val="32"/>
          <w:highlight w:val="none"/>
          <w:lang w:val="en-US" w:eastAsia="zh-CN"/>
        </w:rPr>
        <w:t>137.78万元、29.21万元</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我司拟聘请一家擅长火灾财产损失纠纷案诉讼的律师事务所，代理相关诉讼工作。</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2.3本次询价项目最高限价金额：90万元。</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2.4询价范围：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报价人</w:t>
      </w:r>
      <w:r>
        <w:rPr>
          <w:rFonts w:hint="default" w:ascii="Times New Roman" w:hAnsi="Times New Roman" w:eastAsia="方正仿宋_GBK" w:cs="Times New Roman"/>
          <w:color w:val="auto"/>
          <w:sz w:val="32"/>
          <w:szCs w:val="32"/>
          <w:highlight w:val="none"/>
          <w:u w:val="none"/>
        </w:rPr>
        <w:t>接受</w:t>
      </w:r>
      <w:r>
        <w:rPr>
          <w:rFonts w:hint="eastAsia" w:ascii="Times New Roman" w:hAnsi="Times New Roman" w:eastAsia="方正仿宋_GBK" w:cs="Times New Roman"/>
          <w:color w:val="auto"/>
          <w:sz w:val="32"/>
          <w:szCs w:val="32"/>
          <w:highlight w:val="none"/>
          <w:u w:val="none"/>
          <w:lang w:val="en-US" w:eastAsia="zh-CN"/>
        </w:rPr>
        <w:t>发包人</w:t>
      </w:r>
      <w:r>
        <w:rPr>
          <w:rFonts w:hint="default" w:ascii="Times New Roman" w:hAnsi="Times New Roman" w:eastAsia="方正仿宋_GBK" w:cs="Times New Roman"/>
          <w:color w:val="auto"/>
          <w:sz w:val="32"/>
          <w:szCs w:val="32"/>
          <w:highlight w:val="none"/>
          <w:u w:val="none"/>
        </w:rPr>
        <w:t>委托，指派</w:t>
      </w:r>
      <w:r>
        <w:rPr>
          <w:rFonts w:hint="eastAsia" w:ascii="Times New Roman" w:hAnsi="Times New Roman" w:eastAsia="方正仿宋_GBK" w:cs="Times New Roman"/>
          <w:color w:val="auto"/>
          <w:sz w:val="32"/>
          <w:szCs w:val="32"/>
          <w:highlight w:val="none"/>
          <w:u w:val="none"/>
          <w:lang w:val="en-US" w:eastAsia="zh-CN"/>
        </w:rPr>
        <w:t>不少于2名（含2名）</w:t>
      </w:r>
      <w:r>
        <w:rPr>
          <w:rFonts w:hint="default" w:ascii="Times New Roman" w:hAnsi="Times New Roman" w:eastAsia="方正仿宋_GBK" w:cs="Times New Roman"/>
          <w:color w:val="auto"/>
          <w:sz w:val="32"/>
          <w:szCs w:val="32"/>
          <w:highlight w:val="none"/>
          <w:u w:val="none"/>
        </w:rPr>
        <w:t>律师为甲方在</w:t>
      </w:r>
      <w:r>
        <w:rPr>
          <w:rFonts w:hint="eastAsia" w:ascii="Times New Roman" w:hAnsi="Times New Roman" w:eastAsia="方正仿宋_GBK" w:cs="Times New Roman"/>
          <w:color w:val="auto"/>
          <w:sz w:val="32"/>
          <w:szCs w:val="32"/>
          <w:highlight w:val="none"/>
          <w:u w:val="none"/>
          <w:lang w:val="en-US" w:eastAsia="zh-CN"/>
        </w:rPr>
        <w:t>两起案件的</w:t>
      </w:r>
      <w:r>
        <w:rPr>
          <w:rFonts w:hint="default" w:ascii="Times New Roman" w:hAnsi="Times New Roman" w:eastAsia="方正仿宋_GBK" w:cs="Times New Roman"/>
          <w:color w:val="auto"/>
          <w:sz w:val="32"/>
          <w:szCs w:val="32"/>
          <w:highlight w:val="none"/>
          <w:u w:val="none"/>
        </w:rPr>
        <w:t>诉讼程序</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调解，一审（如有）、二审（如有）、执行（如有））</w:t>
      </w:r>
      <w:r>
        <w:rPr>
          <w:rFonts w:hint="default" w:ascii="Times New Roman" w:hAnsi="Times New Roman" w:eastAsia="方正仿宋_GBK" w:cs="Times New Roman"/>
          <w:color w:val="auto"/>
          <w:sz w:val="32"/>
          <w:szCs w:val="32"/>
          <w:highlight w:val="none"/>
          <w:u w:val="none"/>
        </w:rPr>
        <w:t>中提供法律服务，担任代理人</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包括但不限于收集证据、制定应诉方案、出庭、协调诉讼等。</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w:t>
      </w:r>
      <w:r>
        <w:rPr>
          <w:rFonts w:hint="default" w:ascii="Times New Roman" w:hAnsi="Times New Roman" w:eastAsia="方正仿宋_GBK" w:cs="Times New Roman"/>
          <w:bCs/>
          <w:color w:val="auto"/>
          <w:kern w:val="2"/>
          <w:sz w:val="32"/>
          <w:szCs w:val="32"/>
          <w:highlight w:val="none"/>
          <w:lang w:val="en-US" w:eastAsia="zh-CN" w:bidi="ar-SA"/>
        </w:rPr>
        <w:t>依照《中华人民共和国律师法》成立的律师事务所，成立时间在</w:t>
      </w:r>
      <w:r>
        <w:rPr>
          <w:rFonts w:hint="eastAsia" w:ascii="Times New Roman" w:hAnsi="Times New Roman" w:eastAsia="方正仿宋_GBK" w:cs="Times New Roman"/>
          <w:bCs/>
          <w:color w:val="auto"/>
          <w:kern w:val="2"/>
          <w:sz w:val="32"/>
          <w:szCs w:val="32"/>
          <w:highlight w:val="none"/>
          <w:lang w:val="en-US" w:eastAsia="zh-CN" w:bidi="ar-SA"/>
        </w:rPr>
        <w:t>7</w:t>
      </w:r>
      <w:r>
        <w:rPr>
          <w:rFonts w:hint="default" w:ascii="Times New Roman" w:hAnsi="Times New Roman" w:eastAsia="方正仿宋_GBK" w:cs="Times New Roman"/>
          <w:bCs/>
          <w:color w:val="auto"/>
          <w:kern w:val="2"/>
          <w:sz w:val="32"/>
          <w:szCs w:val="32"/>
          <w:highlight w:val="none"/>
          <w:lang w:val="en-US" w:eastAsia="zh-CN" w:bidi="ar-SA"/>
        </w:rPr>
        <w:t>年以上（截至202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1</w:t>
      </w:r>
      <w:r>
        <w:rPr>
          <w:rFonts w:hint="default" w:ascii="Times New Roman" w:hAnsi="Times New Roman" w:eastAsia="方正仿宋_GBK" w:cs="Times New Roman"/>
          <w:bCs/>
          <w:color w:val="auto"/>
          <w:kern w:val="2"/>
          <w:sz w:val="32"/>
          <w:szCs w:val="32"/>
          <w:highlight w:val="none"/>
          <w:lang w:val="en-US" w:eastAsia="zh-CN" w:bidi="ar-SA"/>
        </w:rPr>
        <w:t>月止）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在资格审查部分须提供律师事务所执业许可证。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（二）具有不少于 20名的执业律师，其中最少有 3名具有10年以上执业经验（截至2023年1月止）的律师；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在资格审查部分须提供人员配备表。</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kern w:val="2"/>
          <w:sz w:val="32"/>
          <w:szCs w:val="32"/>
          <w:highlight w:val="yellow"/>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（三）报价人委派的律师，须</w:t>
      </w:r>
      <w:r>
        <w:rPr>
          <w:rFonts w:hint="default" w:ascii="Times New Roman" w:hAnsi="Times New Roman" w:eastAsia="方正仿宋_GBK" w:cs="Times New Roman"/>
          <w:bCs/>
          <w:color w:val="auto"/>
          <w:kern w:val="2"/>
          <w:sz w:val="32"/>
          <w:szCs w:val="32"/>
          <w:highlight w:val="none"/>
          <w:lang w:val="en-US" w:eastAsia="zh-CN" w:bidi="ar-SA"/>
        </w:rPr>
        <w:t>取得法律职业资格（A类），具有</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年以上律师从业经验</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在资格审查部分须提供律师学历证明、执业证复印件。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3.2业绩要求</w:t>
      </w:r>
    </w:p>
    <w:p>
      <w:pPr>
        <w:pStyle w:val="2"/>
        <w:keepNext w:val="0"/>
        <w:keepLines w:val="0"/>
        <w:pageBreakBefore w:val="0"/>
        <w:widowControl w:val="0"/>
        <w:numPr>
          <w:ilvl w:val="-1"/>
          <w:numId w:val="0"/>
        </w:numPr>
        <w:kinsoku/>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bCs/>
          <w:color w:val="auto"/>
          <w:kern w:val="2"/>
          <w:sz w:val="32"/>
          <w:szCs w:val="32"/>
          <w:highlight w:val="none"/>
          <w:lang w:val="en-US" w:eastAsia="zh-CN" w:bidi="ar-SA"/>
        </w:rPr>
        <w:t>自2020年1月1日以来，至少提供三份合同类纠纷胜诉判决书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2"/>
          <w:sz w:val="32"/>
          <w:szCs w:val="32"/>
          <w:highlight w:val="none"/>
          <w:lang w:val="en-US" w:eastAsia="zh-CN" w:bidi="ar-SA"/>
        </w:rPr>
        <w:t>3.3</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lang w:val="en-US" w:eastAsia="zh-CN"/>
        </w:rPr>
      </w:pPr>
      <w:r>
        <w:rPr>
          <w:rFonts w:hint="eastAsia" w:ascii="Times New Roman" w:hAnsi="Times New Roman" w:eastAsia="方正仿宋_GBK" w:cs="Times New Roman"/>
          <w:bCs/>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r>
        <w:rPr>
          <w:rFonts w:hint="eastAsia"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kinsoku/>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bCs/>
          <w:color w:val="auto"/>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报价文件的递交</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重庆航发三江港埠有限公司(综合部）</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挂网公示之后第4日上午10点</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挂网之日不算</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pStyle w:val="2"/>
        <w:keepNext w:val="0"/>
        <w:keepLines w:val="0"/>
        <w:pageBreakBefore w:val="0"/>
        <w:widowControl w:val="0"/>
        <w:kinsoku/>
        <w:overflowPunct/>
        <w:topLinePunct w:val="0"/>
        <w:autoSpaceDE/>
        <w:autoSpaceDN/>
        <w:bidi w:val="0"/>
        <w:adjustRightInd/>
        <w:snapToGrid/>
        <w:spacing w:after="0" w:line="560" w:lineRule="exact"/>
        <w:textAlignment w:val="auto"/>
        <w:rPr>
          <w:rFonts w:hint="default"/>
          <w:color w:val="auto"/>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张先生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023-89153175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重庆航运建设发展（集团）有限公司审计法务部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023-89076368</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eastAsiaTheme="minorEastAsia"/>
          <w:color w:val="auto"/>
          <w:sz w:val="24"/>
          <w:szCs w:val="21"/>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2"/>
        <w:keepNext w:val="0"/>
        <w:keepLines w:val="0"/>
        <w:pageBreakBefore w:val="0"/>
        <w:widowControl w:val="0"/>
        <w:kinsoku/>
        <w:overflowPunct/>
        <w:topLinePunct w:val="0"/>
        <w:autoSpaceDE/>
        <w:autoSpaceDN/>
        <w:bidi w:val="0"/>
        <w:adjustRightInd/>
        <w:snapToGrid/>
        <w:spacing w:after="0" w:line="560" w:lineRule="exact"/>
        <w:jc w:val="right"/>
        <w:textAlignment w:val="auto"/>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2023年1月4日</w:t>
      </w:r>
    </w:p>
    <w:p>
      <w:pPr>
        <w:pStyle w:val="2"/>
        <w:rPr>
          <w:rFonts w:hint="default"/>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kern w:val="2"/>
          <w:sz w:val="32"/>
          <w:szCs w:val="32"/>
          <w:highlight w:val="none"/>
          <w:lang w:val="en-US" w:eastAsia="zh-CN" w:bidi="ar-SA"/>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val="en-US" w:eastAsia="zh-CN"/>
        </w:rPr>
        <w:t>对分项报价和总报价进行限价，</w:t>
      </w:r>
      <w:r>
        <w:rPr>
          <w:rFonts w:hint="default"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分项报价和总</w:t>
      </w:r>
      <w:r>
        <w:rPr>
          <w:rFonts w:hint="default" w:ascii="Times New Roman" w:hAnsi="Times New Roman" w:eastAsia="方正仿宋_GBK" w:cs="Times New Roman"/>
          <w:bCs/>
          <w:color w:val="auto"/>
          <w:sz w:val="32"/>
          <w:szCs w:val="32"/>
          <w:highlight w:val="none"/>
          <w:lang w:eastAsia="zh-CN"/>
        </w:rPr>
        <w:t>报价不得高于</w:t>
      </w:r>
      <w:r>
        <w:rPr>
          <w:rFonts w:hint="eastAsia" w:ascii="Times New Roman" w:hAnsi="Times New Roman" w:eastAsia="方正仿宋_GBK" w:cs="Times New Roman"/>
          <w:bCs/>
          <w:color w:val="auto"/>
          <w:sz w:val="32"/>
          <w:szCs w:val="32"/>
          <w:highlight w:val="none"/>
          <w:lang w:val="en-US" w:eastAsia="zh-CN"/>
        </w:rPr>
        <w:t>规定上</w:t>
      </w:r>
      <w:r>
        <w:rPr>
          <w:rFonts w:hint="default" w:ascii="Times New Roman" w:hAnsi="Times New Roman" w:eastAsia="方正仿宋_GBK" w:cs="Times New Roman"/>
          <w:bCs/>
          <w:color w:val="auto"/>
          <w:sz w:val="32"/>
          <w:szCs w:val="32"/>
          <w:highlight w:val="none"/>
          <w:lang w:eastAsia="zh-CN"/>
        </w:rPr>
        <w:t>限价，否则其报价文件将被否决。其它要求详见报价表中的报价说明。</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82"/>
        <w:gridCol w:w="159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基本服务费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风险部分比例（减损服务费）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8%（84万元）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2"/>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总报价上限价</w:t>
            </w:r>
          </w:p>
        </w:tc>
        <w:tc>
          <w:tcPr>
            <w:tcW w:w="5159"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none"/>
                <w:lang w:val="en-US" w:eastAsia="zh-CN" w:bidi="ar-SA"/>
              </w:rPr>
              <w:t>90万元</w:t>
            </w:r>
          </w:p>
        </w:tc>
      </w:tr>
    </w:tbl>
    <w:p>
      <w:pPr>
        <w:pStyle w:val="2"/>
        <w:numPr>
          <w:ilvl w:val="0"/>
          <w:numId w:val="0"/>
        </w:numPr>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说明</w:t>
      </w:r>
      <w:r>
        <w:rPr>
          <w:rFonts w:hint="eastAsia" w:ascii="方正仿宋_GBK" w:hAnsi="方正仿宋_GBK" w:eastAsia="方正仿宋_GBK" w:cs="方正仿宋_GBK"/>
          <w:color w:val="auto"/>
          <w:sz w:val="32"/>
          <w:szCs w:val="32"/>
          <w:highlight w:val="none"/>
          <w:lang w:val="en-US" w:eastAsia="zh-CN"/>
        </w:rPr>
        <w:t>：减损服务费是指针对原告起诉被告要求赔付的争议标的额（吉千安按1174万元计，嘉林按507万元计），经诉讼代理而实际减少赔付的费用部分的法律服务费，报价人需同时报风险部分比例（不超过8%）和减损服务费（不超过84万元，若按报价比例计算的减损服务费超过上限价84万元，则按84万元计）。</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w:t>
      </w:r>
      <w:r>
        <w:rPr>
          <w:rFonts w:hint="eastAsia" w:ascii="Times New Roman" w:hAnsi="Times New Roman" w:eastAsia="方正仿宋_GBK" w:cs="Times New Roman"/>
          <w:bCs/>
          <w:color w:val="auto"/>
          <w:sz w:val="32"/>
          <w:szCs w:val="32"/>
          <w:highlight w:val="none"/>
          <w:lang w:val="en-US" w:eastAsia="zh-CN"/>
        </w:rPr>
        <w:t>建议</w:t>
      </w:r>
      <w:r>
        <w:rPr>
          <w:rFonts w:hint="default" w:ascii="Times New Roman" w:hAnsi="Times New Roman" w:eastAsia="方正仿宋_GBK" w:cs="Times New Roman"/>
          <w:bCs/>
          <w:color w:val="auto"/>
          <w:sz w:val="32"/>
          <w:szCs w:val="32"/>
          <w:highlight w:val="none"/>
          <w:lang w:eastAsia="zh-CN"/>
        </w:rPr>
        <w:t>不采用活页夹等可随时拆换的方式装订，</w:t>
      </w:r>
      <w:r>
        <w:rPr>
          <w:rFonts w:hint="eastAsia" w:ascii="Times New Roman" w:hAnsi="Times New Roman" w:eastAsia="方正仿宋_GBK" w:cs="Times New Roman"/>
          <w:bCs/>
          <w:color w:val="auto"/>
          <w:sz w:val="32"/>
          <w:szCs w:val="32"/>
          <w:highlight w:val="none"/>
          <w:lang w:val="en-US" w:eastAsia="zh-CN"/>
        </w:rPr>
        <w:t>如采用</w:t>
      </w:r>
      <w:r>
        <w:rPr>
          <w:rFonts w:hint="default" w:ascii="Times New Roman" w:hAnsi="Times New Roman" w:eastAsia="方正仿宋_GBK" w:cs="Times New Roman"/>
          <w:bCs/>
          <w:color w:val="auto"/>
          <w:sz w:val="32"/>
          <w:szCs w:val="32"/>
          <w:highlight w:val="none"/>
          <w:lang w:eastAsia="zh-CN"/>
        </w:rPr>
        <w:t>活页夹等可随时拆换的方式装订</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须加盖骑缝章，</w:t>
      </w:r>
      <w:r>
        <w:rPr>
          <w:rFonts w:hint="default" w:ascii="Times New Roman" w:hAnsi="Times New Roman" w:eastAsia="方正仿宋_GBK" w:cs="Times New Roman"/>
          <w:bCs/>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三江公司法律服务选聘</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w:t>
      </w:r>
      <w:r>
        <w:rPr>
          <w:rFonts w:hint="default" w:ascii="Times New Roman" w:hAnsi="Times New Roman" w:eastAsia="方正仿宋_GBK" w:cs="Times New Roman"/>
          <w:bCs/>
          <w:color w:val="auto"/>
          <w:sz w:val="32"/>
          <w:szCs w:val="32"/>
          <w:highlight w:val="none"/>
          <w:u w:val="single"/>
          <w:lang w:eastAsia="zh-CN"/>
        </w:rPr>
        <w:t>在</w:t>
      </w:r>
      <w:r>
        <w:rPr>
          <w:rFonts w:hint="eastAsia" w:ascii="Times New Roman" w:hAnsi="Times New Roman" w:eastAsia="方正仿宋_GBK" w:cs="Times New Roman"/>
          <w:bCs/>
          <w:color w:val="auto"/>
          <w:sz w:val="32"/>
          <w:szCs w:val="32"/>
          <w:highlight w:val="none"/>
          <w:u w:val="single"/>
          <w:lang w:val="en-US" w:eastAsia="zh-CN"/>
        </w:rPr>
        <w:t>挂网公示之后第4日上午10点</w:t>
      </w:r>
      <w:r>
        <w:rPr>
          <w:rFonts w:hint="default" w:ascii="Times New Roman" w:hAnsi="Times New Roman" w:eastAsia="方正仿宋_GBK" w:cs="Times New Roman"/>
          <w:bCs/>
          <w:color w:val="auto"/>
          <w:sz w:val="32"/>
          <w:szCs w:val="32"/>
          <w:highlight w:val="none"/>
          <w:u w:val="single"/>
          <w:lang w:eastAsia="zh-CN"/>
        </w:rPr>
        <w:t>（</w:t>
      </w:r>
      <w:r>
        <w:rPr>
          <w:rFonts w:hint="eastAsia" w:ascii="Times New Roman" w:hAnsi="Times New Roman" w:eastAsia="方正仿宋_GBK" w:cs="Times New Roman"/>
          <w:bCs/>
          <w:color w:val="auto"/>
          <w:sz w:val="32"/>
          <w:szCs w:val="32"/>
          <w:highlight w:val="none"/>
          <w:u w:val="single"/>
          <w:lang w:val="en-US" w:eastAsia="zh-CN"/>
        </w:rPr>
        <w:t>挂网之日起算</w:t>
      </w:r>
      <w:r>
        <w:rPr>
          <w:rFonts w:hint="default" w:ascii="Times New Roman" w:hAnsi="Times New Roman" w:eastAsia="方正仿宋_GBK" w:cs="Times New Roman"/>
          <w:bCs/>
          <w:color w:val="auto"/>
          <w:sz w:val="32"/>
          <w:szCs w:val="32"/>
          <w:highlight w:val="none"/>
          <w:u w:val="single"/>
          <w:lang w:eastAsia="zh-CN"/>
        </w:rPr>
        <w:t>）</w:t>
      </w:r>
      <w:r>
        <w:rPr>
          <w:rFonts w:hint="default" w:ascii="Times New Roman" w:hAnsi="Times New Roman" w:eastAsia="方正仿宋_GBK" w:cs="Times New Roman"/>
          <w:bCs/>
          <w:color w:val="auto"/>
          <w:sz w:val="32"/>
          <w:szCs w:val="32"/>
          <w:highlight w:val="none"/>
          <w:lang w:eastAsia="zh-CN"/>
        </w:rPr>
        <w:t>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本项目采用综合评估法。评</w:t>
      </w:r>
      <w:r>
        <w:rPr>
          <w:rFonts w:hint="eastAsia" w:ascii="方正仿宋_GBK" w:hAnsi="方正仿宋_GBK" w:eastAsia="方正仿宋_GBK" w:cs="方正仿宋_GBK"/>
          <w:bCs/>
          <w:color w:val="auto"/>
          <w:sz w:val="32"/>
          <w:szCs w:val="32"/>
          <w:highlight w:val="none"/>
          <w:lang w:val="en-US" w:eastAsia="zh-CN"/>
        </w:rPr>
        <w:t>审</w:t>
      </w:r>
      <w:r>
        <w:rPr>
          <w:rFonts w:hint="eastAsia" w:ascii="方正仿宋_GBK" w:hAnsi="方正仿宋_GBK" w:eastAsia="方正仿宋_GBK" w:cs="方正仿宋_GBK"/>
          <w:bCs/>
          <w:color w:val="auto"/>
          <w:sz w:val="32"/>
          <w:szCs w:val="32"/>
          <w:highlight w:val="none"/>
          <w:lang w:eastAsia="zh-CN"/>
        </w:rPr>
        <w:t>委员会按照规定的评分标准进行打分，按得分由高到低顺序推荐中标候选人。综合评分相等时，以投标报价低的优先；投标报价也相等的，以技术得分高的优先；如果技术得分也相等，由评标委员会投票确定。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hint="eastAsia"/>
          <w:lang w:eastAsia="zh-CN"/>
        </w:rPr>
      </w:pPr>
      <w:r>
        <w:rPr>
          <w:rFonts w:hint="eastAsia" w:ascii="方正仿宋_GBK" w:hAnsi="方正仿宋_GBK" w:eastAsia="方正仿宋_GBK" w:cs="方正仿宋_GBK"/>
          <w:bCs/>
          <w:color w:val="auto"/>
          <w:sz w:val="32"/>
          <w:szCs w:val="32"/>
          <w:highlight w:val="none"/>
          <w:lang w:eastAsia="zh-CN"/>
        </w:rPr>
        <w:t>评分标准</w:t>
      </w:r>
    </w:p>
    <w:tbl>
      <w:tblPr>
        <w:tblStyle w:val="13"/>
        <w:tblpPr w:leftFromText="180" w:rightFromText="180" w:vertAnchor="text" w:horzAnchor="page" w:tblpX="1889" w:tblpY="187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224"/>
        <w:gridCol w:w="841"/>
        <w:gridCol w:w="5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9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序号</w:t>
            </w:r>
          </w:p>
        </w:tc>
        <w:tc>
          <w:tcPr>
            <w:tcW w:w="1224"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评分因素及权重</w:t>
            </w:r>
          </w:p>
        </w:tc>
        <w:tc>
          <w:tcPr>
            <w:tcW w:w="841"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分值</w:t>
            </w:r>
          </w:p>
        </w:tc>
        <w:tc>
          <w:tcPr>
            <w:tcW w:w="5867"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1</w:t>
            </w:r>
          </w:p>
        </w:tc>
        <w:tc>
          <w:tcPr>
            <w:tcW w:w="1224" w:type="dxa"/>
            <w:tcBorders>
              <w:top w:val="nil"/>
              <w:left w:val="nil"/>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投标报价</w:t>
            </w:r>
          </w:p>
          <w:p>
            <w:pPr>
              <w:pStyle w:val="2"/>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kern w:val="0"/>
                <w:sz w:val="24"/>
                <w:lang w:bidi="ar"/>
              </w:rPr>
              <w:t>（50%）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50分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①对所有有效投标报价进行算术平均，所得的算术平均值作为评标基准价。</w:t>
            </w:r>
          </w:p>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评标基准价：所有通过初步评审的投标人的投标总报价中去掉一个最低价和一个最高价后（不足六家报价则不去掉），取算术平均值。</w:t>
            </w:r>
          </w:p>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②投标报价与评标基准价相比，等于评标基准价的得50分；</w:t>
            </w:r>
            <w:r>
              <w:rPr>
                <w:rFonts w:hint="eastAsia" w:ascii="宋体" w:hAnsi="宋体" w:eastAsia="宋体" w:cs="宋体"/>
                <w:color w:val="auto"/>
                <w:kern w:val="0"/>
                <w:sz w:val="24"/>
                <w:szCs w:val="24"/>
                <w:lang w:eastAsia="zh-Hans" w:bidi="ar"/>
              </w:rPr>
              <w:t>每增加</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.1分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依此类推</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每减少</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0"/>
                <w:sz w:val="24"/>
                <w:szCs w:val="24"/>
                <w:lang w:eastAsia="zh-Hans" w:bidi="ar"/>
              </w:rPr>
              <w:t>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bidi="ar"/>
              </w:rPr>
              <w:t>依此类推；</w:t>
            </w:r>
            <w:r>
              <w:rPr>
                <w:rFonts w:hint="eastAsia" w:ascii="宋体" w:hAnsi="宋体" w:eastAsia="宋体" w:cs="宋体"/>
                <w:color w:val="auto"/>
                <w:kern w:val="0"/>
                <w:sz w:val="24"/>
                <w:szCs w:val="24"/>
                <w:lang w:eastAsia="zh-Hans" w:bidi="ar"/>
              </w:rPr>
              <w:t>不到</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hint="eastAsia" w:ascii="宋体" w:hAnsi="宋体" w:eastAsia="宋体" w:cs="宋体"/>
                <w:color w:val="auto"/>
                <w:kern w:val="0"/>
                <w:sz w:val="24"/>
                <w:szCs w:val="24"/>
                <w:lang w:bidi="ar"/>
              </w:rPr>
              <w:t>的按插入法计算，结果保留小数点后</w:t>
            </w:r>
            <w:r>
              <w:rPr>
                <w:rFonts w:hint="eastAsia" w:ascii="宋体" w:hAnsi="宋体" w:eastAsia="宋体" w:cs="宋体"/>
                <w:color w:val="auto"/>
                <w:kern w:val="0"/>
                <w:sz w:val="24"/>
                <w:szCs w:val="24"/>
                <w:lang w:eastAsia="zh-Hans" w:bidi="ar"/>
              </w:rPr>
              <w:t>一位</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2</w:t>
            </w:r>
          </w:p>
        </w:tc>
        <w:tc>
          <w:tcPr>
            <w:tcW w:w="1224" w:type="dxa"/>
            <w:vMerge w:val="restart"/>
            <w:tcBorders>
              <w:top w:val="single" w:color="auto" w:sz="4" w:space="0"/>
              <w:left w:val="nil"/>
              <w:right w:val="single" w:color="000000" w:sz="8"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技术部分</w:t>
            </w:r>
          </w:p>
          <w:p>
            <w:pPr>
              <w:pStyle w:val="2"/>
              <w:ind w:left="0" w:leftChars="0" w:firstLine="0"/>
              <w:jc w:val="center"/>
            </w:pPr>
            <w:r>
              <w:rPr>
                <w:rFonts w:hint="eastAsia" w:ascii="宋体" w:hAnsi="宋体" w:eastAsia="宋体" w:cs="宋体"/>
                <w:sz w:val="24"/>
              </w:rPr>
              <w:t>（20%）</w:t>
            </w:r>
          </w:p>
          <w:p>
            <w:pPr>
              <w:pStyle w:val="2"/>
              <w:ind w:left="420" w:leftChars="200" w:firstLine="420" w:firstLineChars="0"/>
              <w:jc w:val="center"/>
              <w:rPr>
                <w:rFonts w:hint="eastAsia" w:ascii="宋体" w:hAnsi="宋体" w:eastAsia="宋体" w:cs="宋体"/>
                <w:color w:val="auto"/>
                <w:sz w:val="24"/>
                <w:szCs w:val="24"/>
                <w:highlight w:val="none"/>
              </w:rPr>
            </w:pP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5分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对项目的认识：评审小组横向比较资料完整性及体现出的认识程度，进行评分.优得5分；中得3分；差得1分。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10分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技术方案：结合项目需求，编制相应专项服务方案、工作程序等。评审小组横向比较资料全面、方案可行性及合理性进行评分。优得10分；中得6分；差得2分。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vMerge w:val="restart"/>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5分</w:t>
            </w:r>
          </w:p>
        </w:tc>
        <w:tc>
          <w:tcPr>
            <w:tcW w:w="5867" w:type="dxa"/>
            <w:tcBorders>
              <w:top w:val="nil"/>
              <w:left w:val="nil"/>
              <w:bottom w:val="nil"/>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管理及质量保证措施：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从管理组织合理、管理体系完善、质量保证措施等方面进行独立评分。优得5分；中得3分；差得1分。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3</w:t>
            </w:r>
          </w:p>
        </w:tc>
        <w:tc>
          <w:tcPr>
            <w:tcW w:w="1224" w:type="dxa"/>
            <w:vMerge w:val="restart"/>
            <w:tcBorders>
              <w:top w:val="single" w:color="auto" w:sz="4" w:space="0"/>
              <w:left w:val="nil"/>
              <w:right w:val="single" w:color="000000" w:sz="8" w:space="0"/>
            </w:tcBorders>
            <w:shd w:val="clear" w:color="auto" w:fill="auto"/>
            <w:vAlign w:val="center"/>
          </w:tcPr>
          <w:p>
            <w:pPr>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商务部分</w:t>
            </w:r>
          </w:p>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（30%）</w:t>
            </w: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23</w:t>
            </w:r>
            <w:r>
              <w:rPr>
                <w:rFonts w:hint="eastAsia" w:ascii="宋体" w:hAnsi="宋体" w:eastAsia="宋体" w:cs="宋体"/>
                <w:color w:val="auto"/>
                <w:kern w:val="0"/>
                <w:sz w:val="24"/>
                <w:szCs w:val="24"/>
                <w:lang w:bidi="ar"/>
              </w:rPr>
              <w:t>分</w:t>
            </w:r>
          </w:p>
        </w:tc>
        <w:tc>
          <w:tcPr>
            <w:tcW w:w="5867" w:type="dxa"/>
            <w:tcBorders>
              <w:top w:val="nil"/>
              <w:left w:val="nil"/>
              <w:bottom w:val="single" w:color="auto" w:sz="4" w:space="0"/>
              <w:right w:val="single" w:color="000000" w:sz="8" w:space="0"/>
            </w:tcBorders>
            <w:shd w:val="clear" w:color="auto" w:fill="auto"/>
            <w:vAlign w:val="center"/>
          </w:tcPr>
          <w:p>
            <w:pPr>
              <w:textAlignment w:val="center"/>
              <w:rPr>
                <w:rFonts w:ascii="宋体" w:hAnsi="宋体" w:eastAsia="宋体" w:cs="宋体"/>
                <w:color w:val="auto"/>
                <w:sz w:val="24"/>
                <w:szCs w:val="24"/>
              </w:rPr>
            </w:pPr>
            <w:r>
              <w:rPr>
                <w:rFonts w:hint="eastAsia" w:ascii="宋体" w:hAnsi="宋体" w:eastAsia="宋体" w:cs="宋体"/>
                <w:color w:val="auto"/>
                <w:sz w:val="24"/>
                <w:szCs w:val="24"/>
              </w:rPr>
              <w:t>投标人业绩：</w:t>
            </w:r>
          </w:p>
          <w:p>
            <w:pPr>
              <w:pStyle w:val="2"/>
              <w:numPr>
                <w:ilvl w:val="0"/>
                <w:numId w:val="0"/>
              </w:numPr>
              <w:ind w:left="0" w:leftChars="0" w:firstLine="0" w:firstLineChars="0"/>
              <w:rPr>
                <w:rFonts w:hint="eastAsia" w:ascii="宋体" w:hAnsi="宋体" w:eastAsia="宋体" w:cs="宋体"/>
                <w:color w:val="auto"/>
                <w:sz w:val="24"/>
                <w:lang w:eastAsia="zh-CN"/>
              </w:rPr>
            </w:pPr>
            <w:r>
              <w:rPr>
                <w:rFonts w:hint="eastAsia" w:ascii="宋体" w:hAnsi="宋体" w:eastAsia="宋体" w:cs="宋体"/>
                <w:color w:val="auto"/>
                <w:sz w:val="24"/>
              </w:rPr>
              <w:t>①2020年1月起在重庆九区十二县范围内火灾事故类法律服务数量（以判决书或委托合同为准），每1个得2分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最高不超过14分</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包含业绩要求提供的案件代理情况</w:t>
            </w:r>
            <w:r>
              <w:rPr>
                <w:rFonts w:hint="eastAsia" w:ascii="宋体" w:hAnsi="宋体" w:eastAsia="宋体" w:cs="宋体"/>
                <w:color w:val="auto"/>
                <w:sz w:val="24"/>
                <w:lang w:eastAsia="zh-CN"/>
              </w:rPr>
              <w:t>）</w:t>
            </w:r>
          </w:p>
          <w:p>
            <w:pPr>
              <w:pStyle w:val="2"/>
              <w:numPr>
                <w:ilvl w:val="0"/>
                <w:numId w:val="0"/>
              </w:numPr>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rPr>
              <w:t>②若代理事故责任一方取得20%以内（含20%）责任比例判决书的，每1个得3分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最高不超过9分</w:t>
            </w:r>
            <w:r>
              <w:rPr>
                <w:rFonts w:hint="eastAsia" w:ascii="宋体" w:hAnsi="宋体" w:eastAsia="宋体" w:cs="宋体"/>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single" w:color="auto" w:sz="4"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textAlignment w:val="center"/>
              <w:rPr>
                <w:rFonts w:ascii="宋体" w:hAnsi="宋体" w:eastAsia="宋体" w:cs="宋体"/>
                <w:color w:val="auto"/>
                <w:sz w:val="24"/>
                <w:szCs w:val="24"/>
              </w:rPr>
            </w:pPr>
            <w:r>
              <w:rPr>
                <w:rFonts w:hint="eastAsia" w:ascii="宋体" w:hAnsi="宋体" w:eastAsia="宋体" w:cs="宋体"/>
                <w:color w:val="auto"/>
                <w:sz w:val="24"/>
                <w:szCs w:val="24"/>
              </w:rPr>
              <w:t>人力资源配备：</w:t>
            </w:r>
          </w:p>
          <w:p>
            <w:pPr>
              <w:pStyle w:val="23"/>
              <w:numPr>
                <w:ilvl w:val="0"/>
                <w:numId w:val="2"/>
              </w:numPr>
              <w:ind w:firstLineChars="0"/>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律所律师团队人数超20人得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23"/>
              <w:numPr>
                <w:ilvl w:val="0"/>
                <w:numId w:val="2"/>
              </w:numPr>
              <w:ind w:left="360" w:leftChars="0" w:hanging="360" w:firstLineChars="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color w:val="auto"/>
                <w:sz w:val="24"/>
                <w:szCs w:val="24"/>
              </w:rPr>
              <w:t>律所注册合伙人律师直接代理案件得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bottom w:val="single" w:color="auto" w:sz="4" w:space="0"/>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2分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color w:val="auto"/>
                <w:kern w:val="0"/>
                <w:sz w:val="24"/>
                <w:szCs w:val="24"/>
                <w:lang w:bidi="ar"/>
              </w:rPr>
              <w:t>获奖情况：近三年内有律师行业协会颁发荣誉的，得2分</w:t>
            </w:r>
          </w:p>
        </w:tc>
      </w:tr>
    </w:tbl>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审小组</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由</w:t>
      </w:r>
      <w:r>
        <w:rPr>
          <w:rFonts w:hint="eastAsia" w:ascii="方正仿宋_GBK" w:hAnsi="方正仿宋_GBK" w:eastAsia="方正仿宋_GBK" w:cs="方正仿宋_GBK"/>
          <w:color w:val="auto"/>
          <w:sz w:val="32"/>
          <w:szCs w:val="32"/>
          <w:highlight w:val="none"/>
          <w:lang w:val="en-US" w:eastAsia="zh-CN"/>
        </w:rPr>
        <w:t>发包人</w:t>
      </w:r>
      <w:r>
        <w:rPr>
          <w:rFonts w:hint="eastAsia" w:ascii="方正仿宋_GBK" w:hAnsi="方正仿宋_GBK" w:eastAsia="方正仿宋_GBK" w:cs="方正仿宋_GBK"/>
          <w:color w:val="auto"/>
          <w:sz w:val="32"/>
          <w:szCs w:val="32"/>
          <w:highlight w:val="none"/>
        </w:rPr>
        <w:t xml:space="preserve">依法组建。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2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cs="Times New Roman" w:eastAsiaTheme="minorEastAsia"/>
          <w:color w:val="auto"/>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52097542"/>
      <w:bookmarkStart w:id="1" w:name="_Toc29194791"/>
      <w:r>
        <w:rPr>
          <w:rFonts w:hint="default" w:ascii="Times New Roman" w:hAnsi="Times New Roman" w:eastAsia="方正小标宋_GBK" w:cs="Times New Roman"/>
          <w:bCs/>
          <w:color w:val="auto"/>
          <w:sz w:val="44"/>
          <w:szCs w:val="44"/>
          <w:highlight w:val="none"/>
          <w:lang w:val="zh-CN" w:eastAsia="zh-CN"/>
        </w:rPr>
        <w:t>第三章</w:t>
      </w:r>
      <w:bookmarkEnd w:id="0"/>
      <w:bookmarkEnd w:id="1"/>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w:t>
      </w:r>
      <w:r>
        <w:rPr>
          <w:rFonts w:hint="eastAsia" w:ascii="仿宋_GB2312" w:eastAsia="仿宋_GB2312"/>
          <w:sz w:val="24"/>
          <w:lang w:val="en-US" w:eastAsia="zh-CN"/>
        </w:rPr>
        <w:t>服务</w:t>
      </w:r>
      <w:r>
        <w:rPr>
          <w:rFonts w:hint="eastAsia" w:ascii="仿宋_GB2312" w:eastAsia="仿宋_GB2312"/>
          <w:sz w:val="24"/>
        </w:rPr>
        <w:t>类【202</w:t>
      </w:r>
      <w:r>
        <w:rPr>
          <w:rFonts w:hint="eastAsia" w:ascii="仿宋_GB2312" w:eastAsia="仿宋_GB2312"/>
          <w:sz w:val="24"/>
          <w:lang w:val="en-US" w:eastAsia="zh-CN"/>
        </w:rPr>
        <w:t>3</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default" w:ascii="宋体" w:hAnsi="宋体" w:eastAsia="宋体"/>
          <w:sz w:val="30"/>
          <w:szCs w:val="30"/>
          <w:lang w:val="en-US"/>
        </w:rPr>
      </w:pPr>
      <w:r>
        <w:rPr>
          <w:rFonts w:hint="eastAsia" w:ascii="仿宋_GB2312" w:eastAsia="仿宋_GB2312"/>
          <w:sz w:val="44"/>
          <w:szCs w:val="44"/>
          <w:lang w:val="en-US" w:eastAsia="zh-CN"/>
        </w:rPr>
        <w:t>三江公司法律服务</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w:t>
      </w:r>
      <w:r>
        <w:rPr>
          <w:rFonts w:hint="eastAsia" w:ascii="宋体" w:hAnsi="宋体" w:eastAsia="宋体"/>
          <w:sz w:val="30"/>
          <w:szCs w:val="30"/>
          <w:lang w:val="en-US" w:eastAsia="zh-CN"/>
        </w:rPr>
        <w:t>委托</w:t>
      </w:r>
      <w:r>
        <w:rPr>
          <w:rFonts w:hint="eastAsia" w:ascii="宋体" w:hAnsi="宋体" w:eastAsia="宋体"/>
          <w:sz w:val="30"/>
          <w:szCs w:val="30"/>
        </w:rPr>
        <w:t>方）：重庆航发三江港埠有限公司</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乙方（受托方）：</w:t>
      </w:r>
    </w:p>
    <w:p>
      <w:pPr>
        <w:jc w:val="left"/>
        <w:rPr>
          <w:rFonts w:hint="eastAsia" w:ascii="宋体" w:hAnsi="宋体" w:eastAsia="宋体"/>
          <w:sz w:val="30"/>
          <w:szCs w:val="30"/>
        </w:rPr>
      </w:pPr>
    </w:p>
    <w:p>
      <w:pPr>
        <w:jc w:val="left"/>
        <w:rPr>
          <w:rFonts w:hint="eastAsia"/>
          <w:sz w:val="30"/>
          <w:szCs w:val="30"/>
          <w:lang w:val="en-US" w:eastAsia="zh-CN"/>
        </w:rPr>
      </w:pPr>
      <w:r>
        <w:rPr>
          <w:rFonts w:hint="eastAsia"/>
          <w:sz w:val="30"/>
          <w:szCs w:val="30"/>
          <w:lang w:val="en-US" w:eastAsia="zh-CN"/>
        </w:rPr>
        <w:t>日期：</w:t>
      </w:r>
    </w:p>
    <w:p>
      <w:pPr>
        <w:pStyle w:val="2"/>
        <w:rPr>
          <w:rFonts w:hint="eastAsia"/>
          <w:sz w:val="30"/>
          <w:szCs w:val="30"/>
          <w:lang w:val="en-US" w:eastAsia="zh-CN"/>
        </w:rPr>
      </w:pPr>
    </w:p>
    <w:p>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根据《中华人民共和国律师法》《中华人民共和国民事诉讼法》等法律规定，甲方就本合同所涉法律事务委托乙方提供法律服务。甲、乙双方经协商，订立下列条款，以资共同遵守：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sz w:val="32"/>
          <w:szCs w:val="32"/>
          <w:lang w:val="en-US" w:eastAsia="zh-CN"/>
        </w:rPr>
        <w:t xml:space="preserve">第一条  </w:t>
      </w:r>
      <w:r>
        <w:rPr>
          <w:rFonts w:hint="eastAsia" w:ascii="方正仿宋_GBK" w:hAnsi="方正仿宋_GBK" w:eastAsia="方正仿宋_GBK" w:cs="方正仿宋_GBK"/>
          <w:sz w:val="32"/>
          <w:szCs w:val="32"/>
        </w:rPr>
        <w:t>乙方接受甲方委托，指派</w:t>
      </w:r>
      <w:r>
        <w:rPr>
          <w:rFonts w:hint="eastAsia" w:ascii="方正仿宋_GBK" w:hAnsi="方正仿宋_GBK" w:eastAsia="方正仿宋_GBK" w:cs="方正仿宋_GBK"/>
          <w:sz w:val="32"/>
          <w:szCs w:val="32"/>
          <w:u w:val="single"/>
          <w:lang w:val="en-US" w:eastAsia="zh-CN"/>
        </w:rPr>
        <w:t>XXX、XXX</w:t>
      </w:r>
      <w:r>
        <w:rPr>
          <w:rFonts w:hint="eastAsia" w:ascii="方正仿宋_GBK" w:hAnsi="方正仿宋_GBK" w:eastAsia="方正仿宋_GBK" w:cs="方正仿宋_GBK"/>
          <w:sz w:val="32"/>
          <w:szCs w:val="32"/>
          <w:u w:val="single"/>
        </w:rPr>
        <w:t>律师等</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u w:val="single"/>
        </w:rPr>
        <w:t>甲方</w:t>
      </w:r>
      <w:r>
        <w:rPr>
          <w:rFonts w:hint="eastAsia" w:ascii="方正仿宋_GBK" w:hAnsi="方正仿宋_GBK" w:eastAsia="方正仿宋_GBK" w:cs="方正仿宋_GBK"/>
          <w:sz w:val="32"/>
          <w:szCs w:val="32"/>
        </w:rPr>
        <w:t>因与</w:t>
      </w:r>
      <w:r>
        <w:rPr>
          <w:rFonts w:hint="eastAsia" w:ascii="方正仿宋_GBK" w:hAnsi="方正仿宋_GBK" w:eastAsia="方正仿宋_GBK" w:cs="方正仿宋_GBK"/>
          <w:sz w:val="32"/>
          <w:szCs w:val="32"/>
          <w:u w:val="single"/>
        </w:rPr>
        <w:t>苏州吉千安国际贸易有限公</w:t>
      </w:r>
      <w:r>
        <w:rPr>
          <w:rFonts w:hint="eastAsia" w:ascii="方正仿宋_GBK" w:hAnsi="方正仿宋_GBK" w:eastAsia="方正仿宋_GBK" w:cs="方正仿宋_GBK"/>
          <w:sz w:val="32"/>
          <w:szCs w:val="32"/>
          <w:u w:val="single"/>
          <w:lang w:val="en-US" w:eastAsia="zh-CN"/>
        </w:rPr>
        <w:t>司和重庆嘉林木材贸易有限公司，</w:t>
      </w:r>
      <w:r>
        <w:rPr>
          <w:rFonts w:hint="eastAsia" w:ascii="方正仿宋_GBK" w:hAnsi="方正仿宋_GBK" w:eastAsia="方正仿宋_GBK" w:cs="方正仿宋_GBK"/>
          <w:sz w:val="32"/>
          <w:szCs w:val="32"/>
        </w:rPr>
        <w:t>就港口货物保管合同纠纷一案在</w:t>
      </w:r>
      <w:r>
        <w:rPr>
          <w:rFonts w:hint="eastAsia" w:ascii="方正仿宋_GBK" w:hAnsi="方正仿宋_GBK" w:eastAsia="方正仿宋_GBK" w:cs="方正仿宋_GBK"/>
          <w:sz w:val="32"/>
          <w:szCs w:val="32"/>
          <w:u w:val="single"/>
        </w:rPr>
        <w:t>一审、二审诉讼</w:t>
      </w:r>
      <w:r>
        <w:rPr>
          <w:rFonts w:hint="eastAsia" w:ascii="方正仿宋_GBK" w:hAnsi="方正仿宋_GBK" w:eastAsia="方正仿宋_GBK" w:cs="方正仿宋_GBK"/>
          <w:sz w:val="32"/>
          <w:szCs w:val="32"/>
        </w:rPr>
        <w:t>程序中提供法律服务，担任代理人。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诉讼标的额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吉千安公司暂定起诉金额11748905元、嘉林公司暂定起诉金额5070000元），最终以诉讼文书载明金额为准）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有关案件事务具体如何分工、如何办理、调取证据及出庭律师安排等，由</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根据案件情况自主负责安排，除上述律师之外，</w:t>
      </w:r>
      <w:r>
        <w:rPr>
          <w:rFonts w:hint="eastAsia" w:ascii="方正仿宋_GBK" w:hAnsi="方正仿宋_GBK" w:eastAsia="方正仿宋_GBK" w:cs="方正仿宋_GBK"/>
          <w:sz w:val="32"/>
          <w:szCs w:val="32"/>
          <w:highlight w:val="none"/>
        </w:rPr>
        <w:t>根据需要乙方</w:t>
      </w:r>
      <w:r>
        <w:rPr>
          <w:rFonts w:hint="eastAsia" w:ascii="方正仿宋_GBK" w:hAnsi="方正仿宋_GBK" w:eastAsia="方正仿宋_GBK" w:cs="方正仿宋_GBK"/>
          <w:sz w:val="32"/>
          <w:szCs w:val="32"/>
          <w:highlight w:val="none"/>
          <w:lang w:val="en-US" w:eastAsia="zh-CN"/>
        </w:rPr>
        <w:t>需</w:t>
      </w:r>
      <w:r>
        <w:rPr>
          <w:rFonts w:hint="eastAsia" w:ascii="方正仿宋_GBK" w:hAnsi="方正仿宋_GBK" w:eastAsia="方正仿宋_GBK" w:cs="方正仿宋_GBK"/>
          <w:sz w:val="32"/>
          <w:szCs w:val="32"/>
          <w:highlight w:val="none"/>
        </w:rPr>
        <w:t>调配其他律师共同协助办理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费用包含在合同总价内，不另行增加费用</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委托权限为本条所列第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1.特别授权：代为承认、放弃、变更诉讼请求，进行和解、调解，提起反诉、上诉；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2.一般授权。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甲方的权利和义务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1.甲方应确保其有权签订本合同，与上述案件具有法律上的利害关系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2.甲方应真实、完整、客观地向乙方律师介绍本合同所涉法律事务的有关情况，并提供有关的资料和证据，不得隐瞒虚构。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3.甲方应按照本合同约定的金额和支付方式向乙方支付</w:t>
      </w:r>
      <w:r>
        <w:rPr>
          <w:rFonts w:hint="eastAsia" w:ascii="方正仿宋_GBK" w:hAnsi="方正仿宋_GBK" w:eastAsia="方正仿宋_GBK" w:cs="方正仿宋_GBK"/>
          <w:sz w:val="32"/>
          <w:szCs w:val="32"/>
          <w:highlight w:val="none"/>
        </w:rPr>
        <w:t>律师服务费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差旅费</w:t>
      </w:r>
      <w:r>
        <w:rPr>
          <w:rFonts w:hint="eastAsia" w:ascii="方正仿宋_GBK" w:hAnsi="方正仿宋_GBK" w:eastAsia="方正仿宋_GBK" w:cs="方正仿宋_GBK"/>
          <w:sz w:val="32"/>
          <w:szCs w:val="32"/>
        </w:rPr>
        <w:t>，不得向乙方律师个人支付合同约定之外的其他任何费用；若甲方未按约支付律师服务费的，</w:t>
      </w:r>
      <w:r>
        <w:rPr>
          <w:rFonts w:hint="eastAsia" w:ascii="方正仿宋_GBK" w:hAnsi="方正仿宋_GBK" w:eastAsia="方正仿宋_GBK" w:cs="方正仿宋_GBK"/>
          <w:sz w:val="32"/>
          <w:szCs w:val="32"/>
          <w:lang w:val="en-US" w:eastAsia="zh-CN"/>
        </w:rPr>
        <w:t>经乙方催付后仍不支付的，</w:t>
      </w:r>
      <w:r>
        <w:rPr>
          <w:rFonts w:hint="eastAsia" w:ascii="方正仿宋_GBK" w:hAnsi="方正仿宋_GBK" w:eastAsia="方正仿宋_GBK" w:cs="方正仿宋_GBK"/>
          <w:sz w:val="32"/>
          <w:szCs w:val="32"/>
        </w:rPr>
        <w:t>乙方律师有权停止工作（包括但不限于调查、取证、开庭、与办案机关接洽联系等），且不构成违约和违规。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4.甲方认为乙方指派律师在服务过程中不负责任或不适合办理甲方委托的法律事务，有权要求乙方更换。但甲方应向乙方说明要求更换律师的具体理由。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5.甲方应在乙方办理法律事务终止时，如实完整地填写《重庆市律师服务质量反馈意见卡》，并及时交由乙方归档。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6.甲方应积极配合乙方办案，并不得要求乙方律师进行违法犯罪活动。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7.乙方无正当理由单方解除本合同，甲方有权要求乙方退还未提供服务部分的相应律师服务费</w:t>
      </w:r>
      <w:r>
        <w:rPr>
          <w:rFonts w:hint="eastAsia" w:ascii="方正仿宋_GBK" w:hAnsi="方正仿宋_GBK" w:eastAsia="方正仿宋_GBK" w:cs="方正仿宋_GBK"/>
          <w:sz w:val="32"/>
          <w:szCs w:val="32"/>
          <w:lang w:val="en-US" w:eastAsia="zh-CN"/>
        </w:rPr>
        <w:t>等相关费用</w:t>
      </w:r>
      <w:r>
        <w:rPr>
          <w:rFonts w:hint="eastAsia" w:ascii="方正仿宋_GBK" w:hAnsi="方正仿宋_GBK" w:eastAsia="方正仿宋_GBK" w:cs="方正仿宋_GBK"/>
          <w:sz w:val="32"/>
          <w:szCs w:val="32"/>
        </w:rPr>
        <w:t>，乙方依法有权拒绝办理的除外。</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乙方的权利和义务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1.了解案情，根据案情的需要调查取证；分析案情，确定办案思路及策略。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2.出庭参与听证、仲裁或诉讼活动，依法提出有利于甲方的证据或意见。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3.在委托过程中，对涉及与本案有关的活动向甲方提供法律意见；若为特别授权代理，应遵循有利于甲方利益的原则按相应程序的法律规定谨慎行事。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z w:val="32"/>
          <w:szCs w:val="32"/>
        </w:rPr>
        <w:t>4.乙方律师应严格遵守律师职业道德和执业纪律，不得泄露在提供服务过程中所知悉的当事人的商业秘密或者个人隐私，</w:t>
      </w:r>
      <w:r>
        <w:rPr>
          <w:rFonts w:hint="eastAsia" w:ascii="方正仿宋_GBK" w:hAnsi="方正仿宋_GBK" w:eastAsia="方正仿宋_GBK" w:cs="方正仿宋_GBK"/>
          <w:kern w:val="0"/>
          <w:sz w:val="32"/>
          <w:szCs w:val="32"/>
        </w:rPr>
        <w:t>非因法律规定或当事人同意，不得向任何第三方披露。但此等事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5.乙方按照本合同的约定收取律师服务费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差旅费</w:t>
      </w:r>
      <w:r>
        <w:rPr>
          <w:rFonts w:hint="eastAsia" w:ascii="方正仿宋_GBK" w:hAnsi="方正仿宋_GBK" w:eastAsia="方正仿宋_GBK" w:cs="方正仿宋_GBK"/>
          <w:sz w:val="32"/>
          <w:szCs w:val="32"/>
        </w:rPr>
        <w:t>，但乙方律师不得私自向甲方收取其他费用。甲方无正当理由单方解除本合同，乙方收取的律师服务费不予退还，甲方尚未支付律师服务费的，乙方有权继续追讨。</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6.如乙方代理的当事人与甲方存在利害关系的，应及时告知甲方，由双方协商处理。</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7.乙方律师未按约定履行义务或其他未尽到忠诚履职义务给甲方造成损失的，应由乙方对甲方进行赔偿。</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乙方承诺不以赠送现金、购物卡、礼品、礼券或其他方式向甲方工作人员行贿或变相行贿以违规获得利益，否则，甲方有权取消乙方业务合作资格，并由乙方向甲方支付合同金额20%或者相当于乙方所获违规利益数额（以金额高者为准）的违约金。</w:t>
      </w:r>
    </w:p>
    <w:p>
      <w:pPr>
        <w:keepNext w:val="0"/>
        <w:keepLines w:val="0"/>
        <w:pageBreakBefore w:val="0"/>
        <w:widowControl w:val="0"/>
        <w:kinsoku/>
        <w:wordWrap/>
        <w:overflowPunct/>
        <w:topLinePunct w:val="0"/>
        <w:autoSpaceDE/>
        <w:autoSpaceDN/>
        <w:bidi w:val="0"/>
        <w:adjustRightInd/>
        <w:snapToGrid w:val="0"/>
        <w:spacing w:line="520" w:lineRule="exact"/>
        <w:ind w:left="48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第五条  律师服务费的约定：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none"/>
        </w:rPr>
        <w:t>1.</w:t>
      </w:r>
      <w:r>
        <w:rPr>
          <w:rFonts w:hint="eastAsia" w:ascii="方正仿宋_GBK" w:hAnsi="方正仿宋_GBK" w:eastAsia="方正仿宋_GBK" w:cs="方正仿宋_GBK"/>
          <w:sz w:val="32"/>
          <w:szCs w:val="32"/>
          <w:highlight w:val="none"/>
        </w:rPr>
        <w:t>合同中标总价为      万元人民币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含税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税率：？%</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color w:val="auto"/>
          <w:sz w:val="32"/>
          <w:szCs w:val="32"/>
          <w:highlight w:val="none"/>
          <w:u w:val="single"/>
        </w:rPr>
        <w:t>双方协商一致同意，就乙方指派律师承办本合同项下之委托事项，由甲方</w:t>
      </w:r>
      <w:r>
        <w:rPr>
          <w:rFonts w:hint="eastAsia" w:ascii="方正仿宋_GBK" w:hAnsi="方正仿宋_GBK" w:eastAsia="方正仿宋_GBK" w:cs="方正仿宋_GBK"/>
          <w:color w:val="auto"/>
          <w:sz w:val="32"/>
          <w:szCs w:val="32"/>
          <w:highlight w:val="none"/>
          <w:u w:val="single"/>
          <w:lang w:val="en-US" w:eastAsia="zh-CN"/>
        </w:rPr>
        <w:t>按风险代理的方式向乙方计付律师费：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方正仿宋_GBK" w:cs="Times New Roman"/>
          <w:sz w:val="32"/>
          <w:szCs w:val="32"/>
          <w:highlight w:val="none"/>
          <w:u w:val="none"/>
          <w:lang w:val="en-US" w:eastAsia="zh-CN"/>
        </w:rPr>
      </w:pPr>
      <w:r>
        <w:rPr>
          <w:rFonts w:hint="eastAsia" w:ascii="方正仿宋_GBK" w:hAnsi="方正仿宋_GBK" w:eastAsia="方正仿宋_GBK" w:cs="方正仿宋_GBK"/>
          <w:sz w:val="32"/>
          <w:szCs w:val="32"/>
          <w:highlight w:val="none"/>
          <w:lang w:val="en-US" w:eastAsia="zh-CN"/>
        </w:rPr>
        <w:t>基本服务费</w:t>
      </w:r>
      <w:r>
        <w:rPr>
          <w:rFonts w:hint="eastAsia" w:ascii="Times New Roman" w:hAnsi="Times New Roman" w:eastAsia="方正仿宋_GBK" w:cs="Times New Roman"/>
          <w:sz w:val="32"/>
          <w:szCs w:val="32"/>
          <w:highlight w:val="none"/>
          <w:u w:val="none"/>
          <w:lang w:val="en-US" w:eastAsia="zh-CN"/>
        </w:rPr>
        <w:t>XX万元包干使用。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u w:val="single"/>
        </w:rPr>
      </w:pPr>
      <w:r>
        <w:rPr>
          <w:rFonts w:hint="eastAsia" w:ascii="Times New Roman" w:hAnsi="Times New Roman" w:eastAsia="方正仿宋_GBK" w:cs="Times New Roman"/>
          <w:sz w:val="32"/>
          <w:szCs w:val="32"/>
          <w:highlight w:val="none"/>
          <w:u w:val="none"/>
          <w:lang w:val="en-US" w:eastAsia="zh-CN"/>
        </w:rPr>
        <w:t>减损服务费按相对争议标的额实际减损金额，再按中标百分比计算所得。</w:t>
      </w:r>
      <w:r>
        <w:rPr>
          <w:rFonts w:hint="eastAsia" w:ascii="方正仿宋_GBK" w:hAnsi="方正仿宋_GBK" w:eastAsia="方正仿宋_GBK" w:cs="方正仿宋_GBK"/>
          <w:color w:val="auto"/>
          <w:sz w:val="32"/>
          <w:szCs w:val="32"/>
          <w:highlight w:val="none"/>
          <w:u w:val="single"/>
        </w:rPr>
        <w:t>减损金额根据本案生效法律文书或庭外和解协议书载明的甲方应承担赔偿金额与本案原告诉请金额的差额确定</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lang w:val="en-US" w:eastAsia="zh-CN"/>
        </w:rPr>
        <w:t>最终结算的减损服务费不超过上限价84万元。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eastAsia="方正仿宋_GBK"/>
          <w:sz w:val="32"/>
          <w:szCs w:val="32"/>
          <w:highlight w:val="none"/>
          <w:lang w:val="en-US" w:eastAsia="zh-CN"/>
        </w:rPr>
        <w:t>服务费</w:t>
      </w:r>
      <w:r>
        <w:rPr>
          <w:rFonts w:ascii="Calibri" w:hAnsi="Calibri" w:eastAsia="方正仿宋_GBK" w:cs="Times New Roman"/>
          <w:sz w:val="32"/>
          <w:szCs w:val="32"/>
          <w:highlight w:val="none"/>
        </w:rPr>
        <w:t>包括</w:t>
      </w:r>
      <w:r>
        <w:rPr>
          <w:rFonts w:hint="eastAsia" w:eastAsia="方正仿宋_GBK"/>
          <w:sz w:val="32"/>
          <w:szCs w:val="32"/>
          <w:highlight w:val="none"/>
        </w:rPr>
        <w:t>服务期间</w:t>
      </w:r>
      <w:r>
        <w:rPr>
          <w:rFonts w:eastAsia="方正仿宋_GBK"/>
          <w:sz w:val="32"/>
          <w:szCs w:val="32"/>
          <w:highlight w:val="none"/>
        </w:rPr>
        <w:t>的劳务、</w:t>
      </w:r>
      <w:r>
        <w:rPr>
          <w:rFonts w:hint="eastAsia" w:eastAsia="方正仿宋_GBK"/>
          <w:sz w:val="32"/>
          <w:szCs w:val="32"/>
          <w:highlight w:val="none"/>
        </w:rPr>
        <w:t>差旅</w:t>
      </w:r>
      <w:r>
        <w:rPr>
          <w:rFonts w:eastAsia="方正仿宋_GBK"/>
          <w:sz w:val="32"/>
          <w:szCs w:val="32"/>
          <w:highlight w:val="none"/>
        </w:rPr>
        <w:t>、管理、税费、利润</w:t>
      </w:r>
      <w:r>
        <w:rPr>
          <w:rFonts w:ascii="Calibri" w:hAnsi="Calibri" w:eastAsia="方正仿宋_GBK" w:cs="Times New Roman"/>
          <w:sz w:val="32"/>
          <w:szCs w:val="32"/>
          <w:highlight w:val="none"/>
        </w:rPr>
        <w:t>等所有费用，以及该项任务明示或暗示的所有责任、义务和风险。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注：本合同所称生效法律文书为人民法院出具的判决书、裁定书、调解书或各方庭外和解协议书等。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其中，律师费基本部分应在本合同签订后10日内一次性支付给乙方，风险部分在吉千安、嘉林公司撤回本案起诉或甲方收到本案“货物保管合同违约之诉”人民法院生效法律文书（判决书、裁定书、调解书等）之日；或甲方与对方当事人达成和解或庭外自行和解之日起，按照应付风险代理费的40%在10日内一次性支付。（</w:t>
      </w:r>
      <w:r>
        <w:rPr>
          <w:rFonts w:hint="eastAsia" w:ascii="方正仿宋_GBK" w:hAnsi="方正仿宋_GBK" w:eastAsia="方正仿宋_GBK" w:cs="方正仿宋_GBK"/>
          <w:color w:val="auto"/>
          <w:sz w:val="32"/>
          <w:szCs w:val="32"/>
          <w:lang w:val="en-US" w:eastAsia="zh-CN"/>
        </w:rPr>
        <w:t>每次支付前乙方应提供合法有效的等额增值税专用发票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（1）收到人民法院生效法律文书（判决书、裁定书、调解书等）之日；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rPr>
        <w:t>（2）甲方与对方当事人达成和解或庭外自行和解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撤回起诉并由法院做出裁定</w:t>
      </w:r>
      <w:r>
        <w:rPr>
          <w:rFonts w:hint="eastAsia" w:ascii="方正仿宋_GBK" w:hAnsi="方正仿宋_GBK" w:eastAsia="方正仿宋_GBK" w:cs="方正仿宋_GBK"/>
          <w:color w:val="auto"/>
          <w:sz w:val="32"/>
          <w:szCs w:val="32"/>
        </w:rPr>
        <w:t>之日。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lang w:val="en-US" w:eastAsia="zh-CN"/>
        </w:rPr>
        <w:t>2.</w:t>
      </w:r>
      <w:r>
        <w:rPr>
          <w:rFonts w:hint="eastAsia" w:ascii="方正仿宋_GBK" w:hAnsi="方正仿宋_GBK" w:eastAsia="方正仿宋_GBK" w:cs="方正仿宋_GBK"/>
          <w:color w:val="auto"/>
          <w:sz w:val="32"/>
          <w:szCs w:val="32"/>
          <w:highlight w:val="none"/>
          <w:u w:val="single"/>
        </w:rPr>
        <w:t>鉴于原告方吉千安公司</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lang w:val="en-US" w:eastAsia="zh-CN"/>
        </w:rPr>
        <w:t>嘉林公司</w:t>
      </w:r>
      <w:r>
        <w:rPr>
          <w:rFonts w:hint="eastAsia" w:ascii="方正仿宋_GBK" w:hAnsi="方正仿宋_GBK" w:eastAsia="方正仿宋_GBK" w:cs="方正仿宋_GBK"/>
          <w:color w:val="auto"/>
          <w:sz w:val="32"/>
          <w:szCs w:val="32"/>
          <w:highlight w:val="none"/>
          <w:u w:val="single"/>
        </w:rPr>
        <w:t>尚欠</w:t>
      </w:r>
      <w:r>
        <w:rPr>
          <w:rFonts w:hint="eastAsia" w:ascii="方正仿宋_GBK" w:hAnsi="方正仿宋_GBK" w:eastAsia="方正仿宋_GBK" w:cs="方正仿宋_GBK"/>
          <w:color w:val="auto"/>
          <w:sz w:val="32"/>
          <w:szCs w:val="32"/>
          <w:highlight w:val="none"/>
          <w:u w:val="single"/>
          <w:lang w:val="en-US" w:eastAsia="zh-CN"/>
        </w:rPr>
        <w:t>甲方</w:t>
      </w:r>
      <w:r>
        <w:rPr>
          <w:rFonts w:hint="eastAsia" w:ascii="方正仿宋_GBK" w:hAnsi="方正仿宋_GBK" w:eastAsia="方正仿宋_GBK" w:cs="方正仿宋_GBK"/>
          <w:color w:val="auto"/>
          <w:sz w:val="32"/>
          <w:szCs w:val="32"/>
          <w:highlight w:val="none"/>
          <w:u w:val="single"/>
        </w:rPr>
        <w:t>作业费未支付，同时根据双方合同约定，违约方承担守约方主张权利的律师费，若甲方有意提起针对作业费的反诉主张的，可在本案法庭辩论终结前提出，反诉委托代理律师费</w:t>
      </w:r>
      <w:r>
        <w:rPr>
          <w:rFonts w:hint="eastAsia" w:ascii="方正仿宋_GBK" w:hAnsi="方正仿宋_GBK" w:eastAsia="方正仿宋_GBK" w:cs="方正仿宋_GBK"/>
          <w:color w:val="auto"/>
          <w:sz w:val="32"/>
          <w:szCs w:val="32"/>
          <w:highlight w:val="none"/>
          <w:u w:val="single"/>
          <w:lang w:val="en-US" w:eastAsia="zh-CN"/>
        </w:rPr>
        <w:t>双方另行协商</w:t>
      </w:r>
      <w:r>
        <w:rPr>
          <w:rFonts w:hint="eastAsia" w:ascii="方正仿宋_GBK" w:hAnsi="方正仿宋_GBK" w:eastAsia="方正仿宋_GBK" w:cs="方正仿宋_GBK"/>
          <w:color w:val="auto"/>
          <w:sz w:val="32"/>
          <w:szCs w:val="32"/>
          <w:highlight w:val="none"/>
          <w:u w:val="singl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.上述律师服务费，由甲方直接支付至乙方银行基本账户，开户名称：</w:t>
      </w:r>
      <w:r>
        <w:rPr>
          <w:rFonts w:hint="eastAsia" w:ascii="方正仿宋_GBK" w:hAnsi="方正仿宋_GBK" w:eastAsia="方正仿宋_GBK" w:cs="方正仿宋_GBK"/>
          <w:color w:val="auto"/>
          <w:sz w:val="32"/>
          <w:szCs w:val="32"/>
          <w:highlight w:val="none"/>
          <w:lang w:val="en-US" w:eastAsia="zh-CN"/>
        </w:rPr>
        <w:t>XXX</w:t>
      </w: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XXXX</w:t>
      </w:r>
      <w:r>
        <w:rPr>
          <w:rFonts w:hint="eastAsia" w:ascii="方正仿宋_GBK" w:hAnsi="方正仿宋_GBK" w:eastAsia="方正仿宋_GBK" w:cs="方正仿宋_GBK"/>
          <w:color w:val="auto"/>
          <w:sz w:val="32"/>
          <w:szCs w:val="32"/>
          <w:highlight w:val="none"/>
        </w:rPr>
        <w:t>，银行账户：</w:t>
      </w:r>
      <w:r>
        <w:rPr>
          <w:rFonts w:hint="eastAsia" w:ascii="方正仿宋_GBK" w:hAnsi="方正仿宋_GBK" w:eastAsia="方正仿宋_GBK" w:cs="方正仿宋_GBK"/>
          <w:color w:val="auto"/>
          <w:sz w:val="32"/>
          <w:szCs w:val="32"/>
          <w:highlight w:val="none"/>
          <w:lang w:val="en-US" w:eastAsia="zh-CN"/>
        </w:rPr>
        <w:t>XXXX</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.案件其他费用：乙方律师在办理甲方委托的法律事务过程中发生的仲裁费、诉讼费、保全费、保全担保费、鉴定费、公证费、公告费、查档费</w:t>
      </w:r>
      <w:r>
        <w:rPr>
          <w:rFonts w:hint="eastAsia" w:ascii="方正仿宋_GBK" w:hAnsi="方正仿宋_GBK" w:eastAsia="方正仿宋_GBK" w:cs="方正仿宋_GBK"/>
          <w:color w:val="auto"/>
          <w:sz w:val="32"/>
          <w:szCs w:val="32"/>
          <w:highlight w:val="none"/>
          <w:lang w:val="en-US" w:eastAsia="zh-CN"/>
        </w:rPr>
        <w:t>等</w:t>
      </w:r>
      <w:r>
        <w:rPr>
          <w:rFonts w:hint="eastAsia" w:ascii="方正仿宋_GBK" w:hAnsi="方正仿宋_GBK" w:eastAsia="方正仿宋_GBK" w:cs="方正仿宋_GBK"/>
          <w:color w:val="auto"/>
          <w:sz w:val="32"/>
          <w:szCs w:val="32"/>
          <w:highlight w:val="none"/>
        </w:rPr>
        <w:t>由甲方支付的其他费用，由甲方另行承担</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.除非乙方书面同意，因甲方未按照约定足额付清上述费用，导致乙方律师不履行或未及时履行本合同约定义务的责任由甲方承担。</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6.今后若有类似诉讼，可参照本合同半风险比例计算，并与律师事务所另行协商。</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第六条  特别约定</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1.本合同项下律师费收取进行最高限额，前述两案代理事项律师费最高限额为XX万元，即律师费的全部收取最高不得超过XX万元，收满为止。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若吉千安、嘉林公司在本案中撤诉或合同违约之诉判决生效后三年内未变更案由以侵权案由重新就同一事实起诉的，则甲方应在三年期满后10日内将剩余60%风险代理费一次性支付乙方。若在上述三年期限内吉千安公司、嘉林公司变更诉请案由以侵权案由重新就同一事实提起诉讼的，乙方继续代理不再另外收取费用，风险代理费也最终以变更案由后审理结果或和解情况确定结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w:t>
      </w: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rPr>
        <w:t>条  本合同有效期自签订生效之日起至委托事项终止时止。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因调解、和解、撤诉、撤案、行政机关撤销具体行政行为或被法院责令重新作出具体行政行为等原因造成本合同无需或不能继续履行的，均视为乙方已全面履行本合同约定义务，甲方应依据本合同的约定支付律师服务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本合同有效期届满，如甲方需委托乙方继续提供法律服务，双方应另行订立合同。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rPr>
        <w:t xml:space="preserve">条  甲方确认下列通讯地址及联系人是乙方提供本合同约定的法律服务向甲方履行通知义务的联系方式及联系人，也是甲方的代理人，有权代表甲方直接与乙方接洽案件相关事务、代为签收相关法律文件：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 xml:space="preserve">    联系人：                     电子邮箱：          /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 xml:space="preserve">    电  话：                     地    址：          /                       </w:t>
      </w:r>
    </w:p>
    <w:p>
      <w:pPr>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乙方按上述通讯方式向指定的联系人履行了通知义务，视为乙方已向甲方履行了通知义务。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甲方如变更通讯地址或联系人，需提前七日书面通知乙方。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w:t>
      </w:r>
      <w:r>
        <w:rPr>
          <w:rFonts w:hint="eastAsia" w:ascii="方正仿宋_GBK" w:hAnsi="方正仿宋_GBK" w:eastAsia="方正仿宋_GBK" w:cs="方正仿宋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rPr>
        <w:t>条  其他约定：</w:t>
      </w:r>
      <w:r>
        <w:rPr>
          <w:rFonts w:hint="eastAsia" w:ascii="方正仿宋_GBK" w:hAnsi="方正仿宋_GBK" w:eastAsia="方正仿宋_GBK" w:cs="方正仿宋_GBK"/>
          <w:color w:val="auto"/>
          <w:sz w:val="32"/>
          <w:szCs w:val="32"/>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w:t>
      </w:r>
      <w:r>
        <w:rPr>
          <w:rFonts w:hint="eastAsia" w:ascii="方正仿宋_GBK" w:hAnsi="方正仿宋_GBK" w:eastAsia="方正仿宋_GBK" w:cs="方正仿宋_GBK"/>
          <w:color w:val="auto"/>
          <w:sz w:val="32"/>
          <w:szCs w:val="32"/>
          <w:highlight w:val="none"/>
          <w:lang w:val="en-US" w:eastAsia="zh-CN"/>
        </w:rPr>
        <w:t>十</w:t>
      </w:r>
      <w:r>
        <w:rPr>
          <w:rFonts w:hint="eastAsia" w:ascii="方正仿宋_GBK" w:hAnsi="方正仿宋_GBK" w:eastAsia="方正仿宋_GBK" w:cs="方正仿宋_GBK"/>
          <w:color w:val="auto"/>
          <w:sz w:val="32"/>
          <w:szCs w:val="32"/>
          <w:highlight w:val="none"/>
        </w:rPr>
        <w:t>条  甲、乙双方发生因本合同引起的或与本合同有关的任何争议，应协商解决，协商不成的，可以提请</w:t>
      </w:r>
      <w:r>
        <w:rPr>
          <w:rFonts w:hint="eastAsia" w:ascii="方正仿宋_GBK" w:hAnsi="方正仿宋_GBK" w:eastAsia="方正仿宋_GBK" w:cs="方正仿宋_GBK"/>
          <w:color w:val="auto"/>
          <w:sz w:val="32"/>
          <w:szCs w:val="32"/>
          <w:highlight w:val="none"/>
          <w:lang w:val="en-US" w:eastAsia="zh-CN"/>
        </w:rPr>
        <w:t>甲</w:t>
      </w:r>
      <w:r>
        <w:rPr>
          <w:rFonts w:hint="eastAsia" w:ascii="方正仿宋_GBK" w:hAnsi="方正仿宋_GBK" w:eastAsia="方正仿宋_GBK" w:cs="方正仿宋_GBK"/>
          <w:color w:val="auto"/>
          <w:sz w:val="32"/>
          <w:szCs w:val="32"/>
          <w:highlight w:val="none"/>
        </w:rPr>
        <w:t>方所在地的司法行政部门或律师协会调解处理，也可以向</w:t>
      </w:r>
      <w:r>
        <w:rPr>
          <w:rFonts w:hint="eastAsia" w:ascii="方正仿宋_GBK" w:hAnsi="方正仿宋_GBK" w:eastAsia="方正仿宋_GBK" w:cs="方正仿宋_GBK"/>
          <w:color w:val="auto"/>
          <w:sz w:val="32"/>
          <w:szCs w:val="32"/>
          <w:highlight w:val="none"/>
          <w:lang w:val="en-US" w:eastAsia="zh-CN"/>
        </w:rPr>
        <w:t>甲</w:t>
      </w:r>
      <w:r>
        <w:rPr>
          <w:rFonts w:hint="eastAsia" w:ascii="方正仿宋_GBK" w:hAnsi="方正仿宋_GBK" w:eastAsia="方正仿宋_GBK" w:cs="方正仿宋_GBK"/>
          <w:color w:val="auto"/>
          <w:sz w:val="32"/>
          <w:szCs w:val="32"/>
          <w:highlight w:val="none"/>
        </w:rPr>
        <w:t>方所在地人民法院诉讼解决。</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第十</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条  本合同经双方签字或盖章生效；壹式</w:t>
      </w:r>
      <w:r>
        <w:rPr>
          <w:rFonts w:hint="eastAsia" w:ascii="方正仿宋_GBK" w:hAnsi="方正仿宋_GBK" w:eastAsia="方正仿宋_GBK" w:cs="方正仿宋_GBK"/>
          <w:color w:val="auto"/>
          <w:sz w:val="32"/>
          <w:szCs w:val="32"/>
          <w:highlight w:val="none"/>
          <w:lang w:val="en-US" w:eastAsia="zh-CN"/>
        </w:rPr>
        <w:t>陆</w:t>
      </w:r>
      <w:r>
        <w:rPr>
          <w:rFonts w:hint="eastAsia" w:ascii="方正仿宋_GBK" w:hAnsi="方正仿宋_GBK" w:eastAsia="方正仿宋_GBK" w:cs="方正仿宋_GBK"/>
          <w:color w:val="auto"/>
          <w:sz w:val="32"/>
          <w:szCs w:val="32"/>
          <w:highlight w:val="none"/>
        </w:rPr>
        <w:t>份，甲方持</w:t>
      </w:r>
      <w:r>
        <w:rPr>
          <w:rFonts w:hint="eastAsia" w:ascii="方正仿宋_GBK" w:hAnsi="方正仿宋_GBK" w:eastAsia="方正仿宋_GBK" w:cs="方正仿宋_GBK"/>
          <w:color w:val="auto"/>
          <w:sz w:val="32"/>
          <w:szCs w:val="32"/>
          <w:highlight w:val="none"/>
          <w:lang w:val="en-US" w:eastAsia="zh-CN"/>
        </w:rPr>
        <w:t>肆</w:t>
      </w:r>
      <w:r>
        <w:rPr>
          <w:rFonts w:hint="eastAsia" w:ascii="方正仿宋_GBK" w:hAnsi="方正仿宋_GBK" w:eastAsia="方正仿宋_GBK" w:cs="方正仿宋_GBK"/>
          <w:color w:val="auto"/>
          <w:sz w:val="32"/>
          <w:szCs w:val="32"/>
          <w:highlight w:val="none"/>
        </w:rPr>
        <w:t>份，乙方持贰份，具有同等法律效力。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第十</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rPr>
        <w:t>条  本合同未尽事宜，可由双方共同协商并签订补充协议，补充协议与本合同具有同等法律效力。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第十</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 xml:space="preserve">条 </w:t>
      </w:r>
      <w:r>
        <w:rPr>
          <w:rFonts w:hint="eastAsia" w:ascii="方正仿宋_GBK" w:hAnsi="方正仿宋_GBK" w:eastAsia="方正仿宋_GBK" w:cs="方正仿宋_GBK"/>
          <w:b/>
          <w:bCs/>
          <w:i/>
          <w:iCs/>
          <w:color w:val="auto"/>
          <w:sz w:val="32"/>
          <w:szCs w:val="32"/>
          <w:highlight w:val="none"/>
        </w:rPr>
        <w:t xml:space="preserve"> </w:t>
      </w:r>
      <w:r>
        <w:rPr>
          <w:rFonts w:hint="eastAsia" w:ascii="方正仿宋_GBK" w:hAnsi="方正仿宋_GBK" w:eastAsia="方正仿宋_GBK" w:cs="方正仿宋_GBK"/>
          <w:color w:val="auto"/>
          <w:sz w:val="32"/>
          <w:szCs w:val="32"/>
          <w:highlight w:val="none"/>
        </w:rPr>
        <w:t>甲方确认：本合同签订前，乙方律师已向甲方充分告</w:t>
      </w:r>
      <w:r>
        <w:rPr>
          <w:rFonts w:hint="eastAsia" w:ascii="方正仿宋_GBK" w:hAnsi="方正仿宋_GBK" w:eastAsia="方正仿宋_GBK" w:cs="方正仿宋_GBK"/>
          <w:color w:val="auto"/>
          <w:sz w:val="32"/>
          <w:szCs w:val="32"/>
          <w:highlight w:val="none"/>
          <w:lang w:val="en-US" w:eastAsia="zh-CN"/>
        </w:rPr>
        <w:t>知</w:t>
      </w:r>
      <w:r>
        <w:rPr>
          <w:rFonts w:hint="eastAsia" w:ascii="方正仿宋_GBK" w:hAnsi="方正仿宋_GBK" w:eastAsia="方正仿宋_GBK" w:cs="方正仿宋_GBK"/>
          <w:color w:val="auto"/>
          <w:sz w:val="32"/>
          <w:szCs w:val="32"/>
          <w:highlight w:val="none"/>
        </w:rPr>
        <w:t>案件可能存在的失利或败诉法律风险（包括但不限于未及时缴纳案件相关费用、未如实陈述案件事实、未及时提供证据、案件不利结果的可能性、办案部门延长期限、执行不利、保全不利等等），并提供了《案件风险告知书》，甲方就全部提示内容及本合同所有条款含义所作说明和解释的理解无异议，并完全了解其详尽内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（以下无正文）</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（本页为签署页）</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sz w:val="32"/>
          <w:szCs w:val="32"/>
          <w:highlight w:val="none"/>
        </w:rPr>
        <w:t>甲  方：</w:t>
      </w:r>
      <w:r>
        <w:rPr>
          <w:rFonts w:hint="eastAsia" w:ascii="方正仿宋_GBK" w:hAnsi="方正仿宋_GBK" w:eastAsia="方正仿宋_GBK" w:cs="方正仿宋_GBK"/>
          <w:b/>
          <w:sz w:val="32"/>
          <w:szCs w:val="32"/>
          <w:highlight w:val="none"/>
        </w:rPr>
        <w:t>重庆航发三江港埠有限公司佛耳岩码头</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签约代表：                                     签约代表：</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   方：</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签约代表：</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签约时间：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签约地点：      </w:t>
      </w: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附件1：廉政合同</w:t>
      </w: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附件2：诚信合规协议</w:t>
      </w:r>
    </w:p>
    <w:p>
      <w:pPr>
        <w:pStyle w:val="2"/>
        <w:ind w:left="0" w:leftChars="0" w:firstLine="0"/>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default" w:ascii="Times New Roman" w:hAnsi="Times New Roman" w:eastAsia="宋体" w:cs="Times New Roman"/>
          <w:b/>
          <w:color w:val="auto"/>
          <w:szCs w:val="21"/>
          <w:highlight w:val="none"/>
        </w:rPr>
      </w:pPr>
      <w:r>
        <w:rPr>
          <w:rFonts w:hint="eastAsia" w:ascii="方正仿宋_GBK" w:hAnsi="方正仿宋_GBK" w:eastAsia="方正仿宋_GBK" w:cs="方正仿宋_GBK"/>
          <w:sz w:val="32"/>
          <w:szCs w:val="32"/>
          <w:lang w:val="en-US" w:eastAsia="zh-CN"/>
        </w:rPr>
        <w:t>附件1：</w:t>
      </w:r>
      <w:bookmarkStart w:id="2" w:name="_Toc420995074"/>
      <w:bookmarkStart w:id="3" w:name="_Toc421798219"/>
      <w:bookmarkStart w:id="4" w:name="_Toc418517429"/>
      <w:bookmarkStart w:id="5" w:name="_Toc24117"/>
      <w:bookmarkStart w:id="6" w:name="_Toc416788188"/>
      <w:bookmarkStart w:id="7" w:name="_Toc420995178"/>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廉政合同</w:t>
      </w:r>
      <w:bookmarkEnd w:id="2"/>
      <w:bookmarkEnd w:id="3"/>
      <w:bookmarkEnd w:id="4"/>
      <w:bookmarkEnd w:id="5"/>
      <w:bookmarkEnd w:id="6"/>
      <w:bookmarkEnd w:id="7"/>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根据有关</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、廉政建设的规定，为做好</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中的党风廉政建设，保证</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高效优质，（发包人）与（承包人），特订立如下合同：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 xml:space="preserve">发包人：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法定代表人：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或其授权的代理人：</w:t>
      </w:r>
      <w:r>
        <w:rPr>
          <w:rFonts w:hint="eastAsia" w:ascii="方正仿宋_GBK" w:hAnsi="方正仿宋_GBK" w:eastAsia="方正仿宋_GBK" w:cs="方正仿宋_GBK"/>
          <w:color w:val="auto"/>
          <w:sz w:val="32"/>
          <w:szCs w:val="32"/>
          <w:highlight w:val="none"/>
          <w:lang w:val="zh-CN"/>
        </w:rPr>
        <w:tab/>
      </w:r>
      <w:r>
        <w:rPr>
          <w:rFonts w:hint="eastAsia" w:ascii="方正仿宋_GBK" w:hAnsi="方正仿宋_GBK" w:eastAsia="方正仿宋_GBK" w:cs="方正仿宋_GBK"/>
          <w:color w:val="auto"/>
          <w:sz w:val="32"/>
          <w:szCs w:val="32"/>
          <w:highlight w:val="none"/>
          <w:lang w:val="zh-CN"/>
        </w:rPr>
        <w:t xml:space="preserve">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right="105" w:rightChars="50" w:firstLine="640" w:firstLineChars="200"/>
        <w:jc w:val="left"/>
        <w:textAlignment w:val="auto"/>
        <w:rPr>
          <w:rFonts w:hint="eastAsia" w:ascii="方正仿宋_GBK" w:hAnsi="方正仿宋_GBK" w:eastAsia="方正仿宋_GBK" w:cs="方正仿宋_GBK"/>
          <w:b/>
          <w:bCs/>
          <w:color w:val="auto"/>
          <w:kern w:val="44"/>
          <w:sz w:val="32"/>
          <w:szCs w:val="32"/>
          <w:highlight w:val="none"/>
        </w:rPr>
      </w:pPr>
      <w:r>
        <w:rPr>
          <w:rFonts w:hint="eastAsia" w:ascii="方正仿宋_GBK" w:hAnsi="方正仿宋_GBK" w:eastAsia="方正仿宋_GBK" w:cs="方正仿宋_GBK"/>
          <w:color w:val="auto"/>
          <w:sz w:val="32"/>
          <w:szCs w:val="32"/>
          <w:highlight w:val="none"/>
          <w:lang w:val="zh-CN"/>
        </w:rPr>
        <w:t>发包人监督单位：                承包人监督单位：</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附件2：</w:t>
      </w:r>
    </w:p>
    <w:p>
      <w:pPr>
        <w:widowControl/>
        <w:jc w:val="center"/>
        <w:rPr>
          <w:rFonts w:ascii="方正小标宋_GBK" w:hAnsi="方正小标宋_GBK" w:eastAsia="方正小标宋_GBK" w:cs="方正小标宋_GBK"/>
          <w:kern w:val="0"/>
          <w:sz w:val="44"/>
          <w:szCs w:val="44"/>
          <w:lang w:bidi="ar"/>
        </w:rPr>
      </w:pPr>
      <w:r>
        <w:rPr>
          <w:rFonts w:ascii="方正小标宋_GBK" w:hAnsi="方正小标宋_GBK" w:eastAsia="方正小标宋_GBK" w:cs="方正小标宋_GBK"/>
          <w:kern w:val="0"/>
          <w:sz w:val="44"/>
          <w:szCs w:val="44"/>
          <w:lang w:bidi="ar"/>
        </w:rPr>
        <w:t>诚信合规协议</w:t>
      </w:r>
    </w:p>
    <w:p>
      <w:pPr>
        <w:pStyle w:val="25"/>
        <w:rPr>
          <w:rFonts w:hint="eastAsia"/>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甲方：</w:t>
      </w:r>
      <w:r>
        <w:rPr>
          <w:rFonts w:hint="eastAsia" w:ascii="方正仿宋_GBK" w:hAnsi="方正仿宋_GBK" w:eastAsia="方正仿宋_GBK" w:cs="方正仿宋_GBK"/>
          <w:kern w:val="0"/>
          <w:sz w:val="32"/>
          <w:szCs w:val="32"/>
          <w:u w:val="single"/>
          <w:lang w:bidi="ar"/>
        </w:rPr>
        <w:t xml:space="preserve">重庆航发三江港埠有限公司佛耳岩码头   </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乙方：</w:t>
      </w:r>
      <w:r>
        <w:rPr>
          <w:rFonts w:hint="eastAsia" w:ascii="方正仿宋_GBK" w:hAnsi="方正仿宋_GBK" w:eastAsia="方正仿宋_GBK" w:cs="方正仿宋_GBK"/>
          <w:kern w:val="0"/>
          <w:sz w:val="32"/>
          <w:szCs w:val="32"/>
          <w:u w:val="single"/>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本协议为各方签订的佛耳岩码头</w:t>
      </w:r>
      <w:r>
        <w:rPr>
          <w:rFonts w:hint="eastAsia" w:ascii="方正仿宋_GBK" w:hAnsi="方正仿宋_GBK" w:eastAsia="方正仿宋_GBK" w:cs="方正仿宋_GBK"/>
          <w:sz w:val="32"/>
          <w:szCs w:val="32"/>
          <w:u w:val="single"/>
          <w:lang w:val="en-US" w:eastAsia="zh-CN"/>
        </w:rPr>
        <w:t>三江公司法律服务</w:t>
      </w:r>
      <w:r>
        <w:rPr>
          <w:rFonts w:hint="eastAsia" w:ascii="方正仿宋_GBK" w:hAnsi="方正仿宋_GBK" w:eastAsia="方正仿宋_GBK" w:cs="方正仿宋_GBK"/>
          <w:sz w:val="32"/>
          <w:szCs w:val="32"/>
          <w:u w:val="single"/>
        </w:rPr>
        <w:t>合同</w:t>
      </w:r>
      <w:r>
        <w:rPr>
          <w:rFonts w:hint="eastAsia" w:ascii="方正仿宋_GBK" w:hAnsi="方正仿宋_GBK" w:eastAsia="方正仿宋_GBK" w:cs="方正仿宋_GBK"/>
          <w:sz w:val="32"/>
          <w:szCs w:val="32"/>
        </w:rPr>
        <w:t>合同</w:t>
      </w:r>
      <w:r>
        <w:rPr>
          <w:rFonts w:hint="eastAsia" w:ascii="方正仿宋_GBK" w:hAnsi="方正仿宋_GBK" w:eastAsia="方正仿宋_GBK" w:cs="方正仿宋_GBK"/>
          <w:kern w:val="0"/>
          <w:sz w:val="32"/>
          <w:szCs w:val="32"/>
          <w:lang w:bidi="ar"/>
        </w:rPr>
        <w:t xml:space="preserve">（以下简称“合同”）的重要组成部分，经各方协商一致，同意共同遵守。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kern w:val="0"/>
          <w:sz w:val="32"/>
          <w:szCs w:val="32"/>
          <w:lang w:bidi="ar"/>
        </w:rPr>
        <w:t>一、遵守反腐败法律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（一）为以下目的给予或承诺给予公务人员、个人或法人任何利益：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 不当影响公务人员的行为或决定；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 诱使公务人员违反其法定职责从而作为或不作为；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3. 诱使公务人员直接通过其个人影响力，或通过其对国内外政府或政府部门的影响力，影响该政府或政府部门的行为或决定；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4. 协助各方不当获得或保持商业机会或使其获得不当优势。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（二）为以下目的给予或承诺给予个人任何利益，无论其是否为公务人员：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1、意图使该个人不当履行其应尽的职责或义务；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2、知晓该个人接受利益即构成不当履行其应尽的职责或义务。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二、持续义务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三、公务人员参与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四、无私设资金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五、免责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各方及其股东、董事、高级管理人员及员工不承担因其他方违反本协议约定的反腐败保证和承诺而造成的损失，包括但不限于罚金、损失赔偿金、或上述个人或相关方的经济损失。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六、终止权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七、审核权</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八、调查通知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咨询举报邮箱：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九、本协议有效期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本协议有效期与合同的有效期一致。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十、本协议生效</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本协议一式 份，经各方盖章后生效，具有同等法律效力。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附：公务人员的定义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本协议中的“公务人员”应包括但不限于其他单位的下列人员：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（一）政府部门的官员、雇员、代表以及代表政府或者经公共权力机构授权的人员；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（二）国际组织的官员、雇员和代表;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（三）行使公共权力的政治组织的官员、雇员、代表，或皇室成员;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（四）政府直接或间接控制或施加决定性影响力的国有企业的人员。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kinsoku/>
        <w:wordWrap/>
        <w:overflowPunct/>
        <w:topLinePunct w:val="0"/>
        <w:autoSpaceDE/>
        <w:autoSpaceDN/>
        <w:bidi w:val="0"/>
        <w:adjustRightInd/>
        <w:snapToGrid/>
        <w:spacing w:line="560" w:lineRule="exact"/>
        <w:ind w:left="6115" w:hanging="8153" w:hangingChars="25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甲方：（公章）</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乙方：（公章）</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重庆航发三江港埠有限公司</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佛耳岩码头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                          或委托代理人：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25"/>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25"/>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日期：</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default" w:ascii="方正仿宋_GBK" w:hAnsi="方正仿宋_GBK" w:eastAsia="方正仿宋_GBK" w:cs="方正仿宋_GBK"/>
          <w:sz w:val="32"/>
          <w:szCs w:val="32"/>
          <w:lang w:val="en-US" w:eastAsia="zh-CN"/>
        </w:r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18"/>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8"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eastAsia="zh-CN"/>
        </w:rPr>
      </w:pPr>
    </w:p>
    <w:p>
      <w:pPr>
        <w:pStyle w:val="2"/>
        <w:rPr>
          <w:rFonts w:hint="default" w:ascii="Times New Roman" w:hAnsi="Times New Roman" w:eastAsia="方正仿宋_GBK" w:cs="Times New Roman"/>
          <w:color w:val="auto"/>
          <w:sz w:val="32"/>
          <w:szCs w:val="32"/>
          <w:highlight w:val="none"/>
          <w:lang w:val="en-US" w:eastAsia="zh-CN"/>
        </w:rPr>
      </w:pPr>
    </w:p>
    <w:p>
      <w:pPr>
        <w:pStyle w:val="2"/>
        <w:numPr>
          <w:ilvl w:val="0"/>
          <w:numId w:val="0"/>
        </w:numPr>
        <w:jc w:val="center"/>
        <w:rPr>
          <w:rFonts w:hint="default" w:ascii="Times New Roman" w:hAnsi="Times New Roman" w:eastAsia="方正小标宋_GBK" w:cs="Times New Roman"/>
          <w:color w:val="auto"/>
          <w:sz w:val="44"/>
          <w:szCs w:val="44"/>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9" w:name="_Toc52097543"/>
      <w:r>
        <w:rPr>
          <w:rFonts w:hint="eastAsia" w:ascii="Times New Roman" w:hAnsi="Times New Roman" w:eastAsia="方正小标宋_GBK" w:cs="Times New Roman"/>
          <w:color w:val="auto"/>
          <w:sz w:val="44"/>
          <w:szCs w:val="44"/>
          <w:highlight w:val="none"/>
          <w:lang w:val="en-US" w:eastAsia="zh-CN"/>
        </w:rPr>
        <w:t>一、</w:t>
      </w:r>
      <w:r>
        <w:rPr>
          <w:rFonts w:hint="default" w:ascii="Times New Roman" w:hAnsi="Times New Roman" w:eastAsia="方正小标宋_GBK" w:cs="Times New Roman"/>
          <w:color w:val="auto"/>
          <w:sz w:val="44"/>
          <w:szCs w:val="44"/>
          <w:highlight w:val="none"/>
        </w:rPr>
        <w:t>法定代表人身份证明或授权</w:t>
      </w:r>
      <w:bookmarkEnd w:id="9"/>
      <w:bookmarkStart w:id="10" w:name="_Toc52097544"/>
      <w:r>
        <w:rPr>
          <w:rFonts w:hint="eastAsia" w:ascii="Times New Roman" w:hAnsi="Times New Roman" w:eastAsia="方正小标宋_GBK" w:cs="Times New Roman"/>
          <w:color w:val="auto"/>
          <w:sz w:val="44"/>
          <w:szCs w:val="44"/>
          <w:highlight w:val="none"/>
          <w:lang w:val="en-US" w:eastAsia="zh-CN"/>
        </w:rPr>
        <w:t>委托书</w:t>
      </w:r>
    </w:p>
    <w:p>
      <w:pPr>
        <w:bidi w:val="0"/>
        <w:rPr>
          <w:rFonts w:hint="default"/>
        </w:rPr>
      </w:pPr>
    </w:p>
    <w:p>
      <w:pPr>
        <w:tabs>
          <w:tab w:val="center" w:pos="4153"/>
        </w:tabs>
        <w:bidi w:val="0"/>
        <w:jc w:val="left"/>
        <w:rPr>
          <w:rFonts w:hint="default" w:asciiTheme="minorAscii" w:hAnsiTheme="minorAscii" w:eastAsiaTheme="minorEastAsia"/>
          <w:vanish/>
          <w:sz w:val="21"/>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lang w:eastAsia="zh-CN"/>
        </w:rPr>
        <w:tab/>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二、报价函</w:t>
      </w:r>
      <w:bookmarkEnd w:id="10"/>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1"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1"/>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w:t>
      </w:r>
      <w:r>
        <w:rPr>
          <w:rFonts w:hint="eastAsia" w:ascii="Times New Roman" w:hAnsi="Times New Roman" w:eastAsia="方正仿宋_GBK" w:cs="Times New Roman"/>
          <w:color w:val="auto"/>
          <w:sz w:val="32"/>
          <w:szCs w:val="32"/>
          <w:highlight w:val="none"/>
          <w:lang w:val="en-US" w:eastAsia="zh-CN"/>
        </w:rPr>
        <w:t>诺</w:t>
      </w:r>
      <w:r>
        <w:rPr>
          <w:rFonts w:hint="default" w:ascii="Times New Roman" w:hAnsi="Times New Roman" w:eastAsia="方正仿宋_GBK" w:cs="Times New Roman"/>
          <w:color w:val="auto"/>
          <w:sz w:val="32"/>
          <w:szCs w:val="32"/>
          <w:highlight w:val="none"/>
          <w:lang w:eastAsia="zh-CN"/>
        </w:rPr>
        <w:t>响应询价文件的全部要求。</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有效期内不撤销报价文件。</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20"/>
          <w:rFonts w:hint="default" w:ascii="Times New Roman" w:hAnsi="Times New Roman" w:eastAsia="方正仿宋_GBK" w:cs="Times New Roman"/>
          <w:color w:val="auto"/>
          <w:sz w:val="32"/>
          <w:szCs w:val="32"/>
          <w:highlight w:val="none"/>
        </w:rPr>
        <w:t>报价人：</w:t>
      </w:r>
      <w:r>
        <w:rPr>
          <w:rStyle w:val="21"/>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21"/>
          <w:rFonts w:hint="default" w:ascii="Times New Roman" w:hAnsi="Times New Roman" w:eastAsia="方正仿宋_GBK" w:cs="Times New Roman"/>
          <w:color w:val="auto"/>
          <w:sz w:val="32"/>
          <w:szCs w:val="32"/>
          <w:highlight w:val="none"/>
          <w:lang w:eastAsia="zh-CN"/>
        </w:rPr>
        <w:t>(签字</w:t>
      </w:r>
      <w:r>
        <w:rPr>
          <w:rStyle w:val="21"/>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9"/>
        <w:keepNext/>
        <w:keepLines/>
        <w:shd w:val="clear" w:color="auto" w:fill="auto"/>
        <w:spacing w:before="0" w:after="476" w:line="560" w:lineRule="exact"/>
        <w:jc w:val="center"/>
        <w:rPr>
          <w:rStyle w:val="22"/>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2" w:name="_Toc52097545"/>
      <w:bookmarkStart w:id="13" w:name="_Toc10710825"/>
      <w:bookmarkStart w:id="14" w:name="_Toc29194794"/>
      <w:r>
        <w:rPr>
          <w:rFonts w:hint="default" w:ascii="Times New Roman" w:hAnsi="Times New Roman" w:eastAsia="方正小标宋_GBK" w:cs="Times New Roman"/>
          <w:color w:val="auto"/>
          <w:sz w:val="44"/>
          <w:szCs w:val="44"/>
          <w:highlight w:val="none"/>
        </w:rPr>
        <w:t>三</w:t>
      </w:r>
      <w:r>
        <w:rPr>
          <w:rStyle w:val="22"/>
          <w:rFonts w:hint="default" w:ascii="Times New Roman" w:hAnsi="Times New Roman" w:eastAsia="方正小标宋_GBK" w:cs="Times New Roman"/>
          <w:color w:val="auto"/>
          <w:sz w:val="44"/>
          <w:szCs w:val="44"/>
          <w:highlight w:val="none"/>
        </w:rPr>
        <w:t>、报价表</w:t>
      </w:r>
      <w:bookmarkEnd w:id="12"/>
      <w:bookmarkEnd w:id="13"/>
      <w:bookmarkEnd w:id="14"/>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w:t>
      </w:r>
      <w:r>
        <w:rPr>
          <w:rFonts w:hint="eastAsia" w:ascii="方正仿宋_GBK" w:hAnsi="方正仿宋_GBK" w:eastAsia="方正仿宋_GBK" w:cs="方正仿宋_GBK"/>
          <w:b w:val="0"/>
          <w:bCs w:val="0"/>
          <w:sz w:val="32"/>
          <w:szCs w:val="32"/>
          <w:lang w:val="en-US" w:eastAsia="zh-CN"/>
        </w:rPr>
        <w:t>包含了乙方承接三江公司法律服务所涉及的</w:t>
      </w:r>
      <w:r>
        <w:rPr>
          <w:rFonts w:eastAsia="方正仿宋_GBK"/>
          <w:sz w:val="32"/>
          <w:szCs w:val="32"/>
        </w:rPr>
        <w:t>劳务、</w:t>
      </w:r>
      <w:r>
        <w:rPr>
          <w:rFonts w:hint="eastAsia" w:eastAsia="方正仿宋_GBK"/>
          <w:sz w:val="32"/>
          <w:szCs w:val="32"/>
        </w:rPr>
        <w:t>差旅</w:t>
      </w:r>
      <w:r>
        <w:rPr>
          <w:rFonts w:eastAsia="方正仿宋_GBK"/>
          <w:sz w:val="32"/>
          <w:szCs w:val="32"/>
        </w:rPr>
        <w:t>、管理、税费、利润</w:t>
      </w:r>
      <w:r>
        <w:rPr>
          <w:rFonts w:ascii="Calibri" w:hAnsi="Calibri" w:eastAsia="方正仿宋_GBK" w:cs="Times New Roman"/>
          <w:sz w:val="32"/>
          <w:szCs w:val="32"/>
        </w:rPr>
        <w:t>等所有费用，以及该项任务明示或暗示的所有责任、义务和风险。</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分项报价表应与报价汇总表相一致。</w:t>
      </w:r>
    </w:p>
    <w:p>
      <w:pPr>
        <w:tabs>
          <w:tab w:val="left" w:leader="underscore" w:pos="7582"/>
        </w:tabs>
        <w:spacing w:line="510" w:lineRule="exact"/>
        <w:rPr>
          <w:rFonts w:hint="default"/>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82"/>
        <w:gridCol w:w="159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基本服务费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w:t>
            </w:r>
          </w:p>
        </w:tc>
        <w:tc>
          <w:tcPr>
            <w:tcW w:w="3777"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风险部分比例（减损服务费）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kern w:val="2"/>
                <w:sz w:val="28"/>
                <w:szCs w:val="28"/>
                <w:highlight w:val="none"/>
                <w:u w:val="single"/>
                <w:lang w:val="en-US" w:eastAsia="zh-CN" w:bidi="ar-SA"/>
              </w:rPr>
              <w:t xml:space="preserve">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2"/>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总报价</w:t>
            </w:r>
          </w:p>
        </w:tc>
        <w:tc>
          <w:tcPr>
            <w:tcW w:w="5159" w:type="dxa"/>
            <w:gridSpan w:val="2"/>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u w:val="none"/>
                <w:lang w:val="en-US" w:eastAsia="zh-CN" w:bidi="ar-SA"/>
              </w:rPr>
            </w:pPr>
          </w:p>
        </w:tc>
      </w:tr>
    </w:tbl>
    <w:p>
      <w:pPr>
        <w:pStyle w:val="2"/>
        <w:ind w:left="0" w:leftChars="0" w:firstLine="0" w:firstLineChars="0"/>
        <w:rPr>
          <w:rFonts w:hint="default" w:ascii="Times New Roman" w:hAnsi="Times New Roman" w:cs="Times New Roman"/>
          <w:color w:val="auto"/>
          <w:szCs w:val="21"/>
          <w:highlight w:val="none"/>
          <w:vertAlign w:val="baseline"/>
          <w:lang w:val="en-US" w:eastAsia="zh-CN"/>
        </w:rPr>
      </w:pPr>
    </w:p>
    <w:p>
      <w:pPr>
        <w:pStyle w:val="2"/>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说明：</w:t>
      </w:r>
    </w:p>
    <w:p>
      <w:pPr>
        <w:pStyle w:val="2"/>
        <w:ind w:left="0" w:leftChars="0" w:firstLine="420" w:firstLineChars="20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1、法律诉讼服务费由基本服务费和减损服务费两部分组成。</w:t>
      </w:r>
    </w:p>
    <w:p>
      <w:pPr>
        <w:pStyle w:val="2"/>
        <w:numPr>
          <w:ilvl w:val="0"/>
          <w:numId w:val="0"/>
        </w:numPr>
        <w:ind w:firstLine="420" w:firstLineChars="20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2、基本服务费是指代理本项目案件的基本费用，包干使用。</w:t>
      </w:r>
    </w:p>
    <w:p>
      <w:pPr>
        <w:pStyle w:val="2"/>
        <w:numPr>
          <w:ilvl w:val="0"/>
          <w:numId w:val="0"/>
        </w:numPr>
        <w:ind w:firstLine="420" w:firstLineChars="200"/>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减损服务费是指针对原告起诉被告要求赔付的争议标的额（吉千安按1174万元计，嘉林按507万元计），经诉讼代理而实际减少赔付的费用部分的法律服务费，报价人需同时报风险部分比例（不超过8%）和减损服务费（不超过84万元，若按报价比例计算的减损服务费超过上限价84万元，则按84万元计）。报价时以零赔付（即全额减损）进行风险部分比例及服务费报价，实际结算时，以实际减损金额（即争议标的额减实际赔付额）和所报价的风险部分比例进行计算服务费，风险部分服务费实际最高结算金额不能超过84万，超出部分询价人不予支付。</w:t>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5" w:name="_Toc52097546"/>
      <w:r>
        <w:rPr>
          <w:rFonts w:hint="default" w:ascii="Times New Roman" w:hAnsi="Times New Roman" w:eastAsia="方正小标宋_GBK" w:cs="Times New Roman"/>
          <w:color w:val="auto"/>
          <w:sz w:val="44"/>
          <w:szCs w:val="44"/>
          <w:highlight w:val="none"/>
        </w:rPr>
        <w:t>四、资格审查资料</w:t>
      </w:r>
      <w:bookmarkEnd w:id="15"/>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eastAsia="zh-CN"/>
        </w:rPr>
        <w:t>信用承诺书</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w:t>
      </w:r>
      <w:r>
        <w:rPr>
          <w:rFonts w:hint="eastAsia" w:ascii="Times New Roman" w:hAnsi="Times New Roman" w:eastAsia="方正仿宋_GBK" w:cs="Times New Roman"/>
          <w:color w:val="auto"/>
          <w:sz w:val="32"/>
          <w:szCs w:val="32"/>
          <w:highlight w:val="none"/>
          <w:lang w:val="en-US" w:eastAsia="zh-CN"/>
        </w:rPr>
        <w:t>发三江港埠有限公司</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keepNext w:val="0"/>
        <w:keepLines w:val="0"/>
        <w:pageBreakBefore w:val="0"/>
        <w:widowControl w:val="0"/>
        <w:kinsoku/>
        <w:wordWrap/>
        <w:overflowPunct/>
        <w:topLinePunct w:val="0"/>
        <w:autoSpaceDE/>
        <w:autoSpaceDN/>
        <w:bidi w:val="0"/>
        <w:adjustRightInd w:val="0"/>
        <w:snapToGrid w:val="0"/>
        <w:spacing w:line="51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keepNext w:val="0"/>
        <w:keepLines w:val="0"/>
        <w:pageBreakBefore w:val="0"/>
        <w:widowControl w:val="0"/>
        <w:kinsoku/>
        <w:wordWrap/>
        <w:overflowPunct/>
        <w:topLinePunct w:val="0"/>
        <w:autoSpaceDE/>
        <w:autoSpaceDN/>
        <w:bidi w:val="0"/>
        <w:adjustRightInd w:val="0"/>
        <w:snapToGrid w:val="0"/>
        <w:spacing w:line="51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keepNext w:val="0"/>
        <w:keepLines w:val="0"/>
        <w:pageBreakBefore w:val="0"/>
        <w:widowControl w:val="0"/>
        <w:kinsoku/>
        <w:wordWrap/>
        <w:overflowPunct/>
        <w:topLinePunct w:val="0"/>
        <w:autoSpaceDE/>
        <w:autoSpaceDN/>
        <w:bidi w:val="0"/>
        <w:spacing w:after="0"/>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仿宋_GBK" w:cs="Times New Roman"/>
          <w:color w:val="auto"/>
          <w:sz w:val="32"/>
          <w:szCs w:val="32"/>
          <w:highlight w:val="none"/>
          <w:lang w:eastAsia="zh-CN"/>
        </w:rPr>
      </w:pPr>
      <w:bookmarkStart w:id="16" w:name="_Toc52097548"/>
      <w:r>
        <w:rPr>
          <w:rFonts w:hint="default" w:ascii="Times New Roman" w:hAnsi="Times New Roman" w:eastAsia="方正仿宋_GBK" w:cs="Times New Roman"/>
          <w:color w:val="auto"/>
          <w:sz w:val="32"/>
          <w:szCs w:val="32"/>
          <w:highlight w:val="none"/>
          <w:lang w:eastAsia="zh-CN"/>
        </w:rPr>
        <w:br w:type="page"/>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6"/>
    </w:p>
    <w:p>
      <w:pPr>
        <w:pStyle w:val="2"/>
        <w:numPr>
          <w:ilvl w:val="0"/>
          <w:numId w:val="0"/>
        </w:numPr>
        <w:ind w:leftChars="0"/>
        <w:rPr>
          <w:rFonts w:hint="default" w:ascii="Times New Roman" w:hAnsi="Times New Roman" w:eastAsia="方正小标宋_GBK" w:cs="Times New Roman"/>
          <w:color w:val="auto"/>
          <w:sz w:val="44"/>
          <w:szCs w:val="44"/>
          <w:highlight w:val="none"/>
          <w:lang w:val="en-US" w:eastAsia="zh-CN"/>
        </w:rPr>
      </w:pPr>
    </w:p>
    <w:sectPr>
      <w:footerReference r:id="rId7" w:type="default"/>
      <w:pgSz w:w="11906" w:h="16838"/>
      <w:pgMar w:top="1440" w:right="1800" w:bottom="1440" w:left="1800" w:header="851" w:footer="992" w:gutter="0"/>
      <w:pgNumType w:fmt="decimal"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73A23"/>
    <w:multiLevelType w:val="singleLevel"/>
    <w:tmpl w:val="9CC73A23"/>
    <w:lvl w:ilvl="0" w:tentative="0">
      <w:start w:val="1"/>
      <w:numFmt w:val="decimal"/>
      <w:lvlText w:val="%1."/>
      <w:lvlJc w:val="left"/>
      <w:pPr>
        <w:tabs>
          <w:tab w:val="left" w:pos="312"/>
        </w:tabs>
      </w:pPr>
    </w:lvl>
  </w:abstractNum>
  <w:abstractNum w:abstractNumId="1">
    <w:nsid w:val="2F0C1A38"/>
    <w:multiLevelType w:val="multilevel"/>
    <w:tmpl w:val="2F0C1A3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Njk3NDBjNDZiNmEwMjM4YTYzMjJhNjY2ZTMyYTEifQ=="/>
  </w:docVars>
  <w:rsids>
    <w:rsidRoot w:val="00172A27"/>
    <w:rsid w:val="006E4A62"/>
    <w:rsid w:val="00AB55F5"/>
    <w:rsid w:val="013E2686"/>
    <w:rsid w:val="01D54D98"/>
    <w:rsid w:val="020071A1"/>
    <w:rsid w:val="03CD4C6E"/>
    <w:rsid w:val="0751201A"/>
    <w:rsid w:val="07603356"/>
    <w:rsid w:val="07B55EA8"/>
    <w:rsid w:val="088F0244"/>
    <w:rsid w:val="09610D43"/>
    <w:rsid w:val="09C000DC"/>
    <w:rsid w:val="0D270472"/>
    <w:rsid w:val="0D425D09"/>
    <w:rsid w:val="0EBC5553"/>
    <w:rsid w:val="1034712E"/>
    <w:rsid w:val="10B71B0D"/>
    <w:rsid w:val="11C72224"/>
    <w:rsid w:val="12D04BA7"/>
    <w:rsid w:val="13B90E40"/>
    <w:rsid w:val="1432733D"/>
    <w:rsid w:val="152D05F0"/>
    <w:rsid w:val="15604521"/>
    <w:rsid w:val="188B6770"/>
    <w:rsid w:val="1BD143CB"/>
    <w:rsid w:val="1C6726B4"/>
    <w:rsid w:val="1C6B7A57"/>
    <w:rsid w:val="1CC354E4"/>
    <w:rsid w:val="1D4806BC"/>
    <w:rsid w:val="1D6E2B2F"/>
    <w:rsid w:val="1DE026A3"/>
    <w:rsid w:val="1E0061C1"/>
    <w:rsid w:val="1F310317"/>
    <w:rsid w:val="1FC84ED6"/>
    <w:rsid w:val="1FCF29CF"/>
    <w:rsid w:val="214116AB"/>
    <w:rsid w:val="21DF216F"/>
    <w:rsid w:val="22511AAD"/>
    <w:rsid w:val="24983E20"/>
    <w:rsid w:val="25AA0C61"/>
    <w:rsid w:val="25EA07AB"/>
    <w:rsid w:val="26C32B62"/>
    <w:rsid w:val="26E2195D"/>
    <w:rsid w:val="281F026C"/>
    <w:rsid w:val="2AD25A69"/>
    <w:rsid w:val="2B13434B"/>
    <w:rsid w:val="2CA46115"/>
    <w:rsid w:val="2CB216AE"/>
    <w:rsid w:val="2EBB4596"/>
    <w:rsid w:val="2EE93382"/>
    <w:rsid w:val="2F106B60"/>
    <w:rsid w:val="2F2E6FE6"/>
    <w:rsid w:val="2FB4573E"/>
    <w:rsid w:val="2FF41FDE"/>
    <w:rsid w:val="305F38FB"/>
    <w:rsid w:val="30DF2C8E"/>
    <w:rsid w:val="312005B1"/>
    <w:rsid w:val="31B00187"/>
    <w:rsid w:val="32B4641F"/>
    <w:rsid w:val="343155AF"/>
    <w:rsid w:val="349376F1"/>
    <w:rsid w:val="35FE3BB6"/>
    <w:rsid w:val="384A30E3"/>
    <w:rsid w:val="384C6E5B"/>
    <w:rsid w:val="385775AE"/>
    <w:rsid w:val="3B5E67FC"/>
    <w:rsid w:val="3E467EA9"/>
    <w:rsid w:val="3F340649"/>
    <w:rsid w:val="3F412B97"/>
    <w:rsid w:val="3F5D36FC"/>
    <w:rsid w:val="3F6C1B91"/>
    <w:rsid w:val="3FCF300B"/>
    <w:rsid w:val="42BF6D6E"/>
    <w:rsid w:val="438000FD"/>
    <w:rsid w:val="448E07FB"/>
    <w:rsid w:val="44B738AE"/>
    <w:rsid w:val="464C6278"/>
    <w:rsid w:val="46584C1D"/>
    <w:rsid w:val="47EE2E31"/>
    <w:rsid w:val="48435D16"/>
    <w:rsid w:val="492B143C"/>
    <w:rsid w:val="49764700"/>
    <w:rsid w:val="4BE551A5"/>
    <w:rsid w:val="4EA44B8F"/>
    <w:rsid w:val="4FD73056"/>
    <w:rsid w:val="510C53FD"/>
    <w:rsid w:val="51C632B8"/>
    <w:rsid w:val="52ED2A5B"/>
    <w:rsid w:val="54CA318A"/>
    <w:rsid w:val="5560589C"/>
    <w:rsid w:val="569A430A"/>
    <w:rsid w:val="577B69BD"/>
    <w:rsid w:val="57D7013B"/>
    <w:rsid w:val="5A1924BD"/>
    <w:rsid w:val="5B474DEC"/>
    <w:rsid w:val="5D796DF0"/>
    <w:rsid w:val="5DCA5FA9"/>
    <w:rsid w:val="60BF7C42"/>
    <w:rsid w:val="62C575DA"/>
    <w:rsid w:val="63AD43A2"/>
    <w:rsid w:val="64C74BD9"/>
    <w:rsid w:val="65670581"/>
    <w:rsid w:val="65FF6A0B"/>
    <w:rsid w:val="66BC2B4E"/>
    <w:rsid w:val="6751773B"/>
    <w:rsid w:val="675516DE"/>
    <w:rsid w:val="679A69EC"/>
    <w:rsid w:val="68212C69"/>
    <w:rsid w:val="6A32554B"/>
    <w:rsid w:val="6AD246EE"/>
    <w:rsid w:val="6C5A2BED"/>
    <w:rsid w:val="6CE16E6B"/>
    <w:rsid w:val="6CE70886"/>
    <w:rsid w:val="6D5910F7"/>
    <w:rsid w:val="6D65184A"/>
    <w:rsid w:val="6D8D2958"/>
    <w:rsid w:val="6E930639"/>
    <w:rsid w:val="705F6A24"/>
    <w:rsid w:val="74472AA7"/>
    <w:rsid w:val="74DD43BC"/>
    <w:rsid w:val="75B30869"/>
    <w:rsid w:val="762F0C47"/>
    <w:rsid w:val="764F20A9"/>
    <w:rsid w:val="77323981"/>
    <w:rsid w:val="77A1189C"/>
    <w:rsid w:val="793A1D26"/>
    <w:rsid w:val="7A2F7467"/>
    <w:rsid w:val="7C4A4A2C"/>
    <w:rsid w:val="7CD10CAA"/>
    <w:rsid w:val="7CDC13FD"/>
    <w:rsid w:val="7E0429B9"/>
    <w:rsid w:val="7E123328"/>
    <w:rsid w:val="7E197C2D"/>
    <w:rsid w:val="7EF6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annotation text"/>
    <w:basedOn w:val="1"/>
    <w:qFormat/>
    <w:uiPriority w:val="0"/>
    <w:pPr>
      <w:jc w:val="left"/>
    </w:pPr>
  </w:style>
  <w:style w:type="paragraph" w:styleId="7">
    <w:name w:val="Body Text"/>
    <w:basedOn w:val="1"/>
    <w:qFormat/>
    <w:uiPriority w:val="0"/>
    <w:rPr>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272" w:lineRule="exact"/>
      <w:ind w:left="100"/>
    </w:pPr>
    <w:rPr>
      <w:sz w:val="21"/>
      <w:szCs w:val="21"/>
    </w:rPr>
  </w:style>
  <w:style w:type="paragraph" w:styleId="11">
    <w:name w:val="Body Text Indent 3"/>
    <w:basedOn w:val="1"/>
    <w:qFormat/>
    <w:uiPriority w:val="0"/>
    <w:pPr>
      <w:snapToGrid w:val="0"/>
      <w:spacing w:line="300" w:lineRule="auto"/>
      <w:ind w:firstLine="630"/>
    </w:pPr>
    <w:rPr>
      <w:sz w:val="24"/>
    </w:rPr>
  </w:style>
  <w:style w:type="paragraph" w:styleId="12">
    <w:name w:val="toc 2"/>
    <w:basedOn w:val="1"/>
    <w:next w:val="1"/>
    <w:qFormat/>
    <w:uiPriority w:val="39"/>
    <w:pPr>
      <w:spacing w:line="272" w:lineRule="exact"/>
      <w:ind w:left="520"/>
    </w:pPr>
    <w:rPr>
      <w:sz w:val="21"/>
      <w:szCs w:val="21"/>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List Paragraph"/>
    <w:basedOn w:val="1"/>
    <w:qFormat/>
    <w:uiPriority w:val="1"/>
  </w:style>
  <w:style w:type="paragraph" w:customStyle="1" w:styleId="24">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25">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10953</Words>
  <Characters>11395</Characters>
  <Lines>0</Lines>
  <Paragraphs>0</Paragraphs>
  <TotalTime>10</TotalTime>
  <ScaleCrop>false</ScaleCrop>
  <LinksUpToDate>false</LinksUpToDate>
  <CharactersWithSpaces>12180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2023-01-05T00:59:00Z</dcterms:created>
  <dc:creator>DELL</dc:creator>
  <cp:lastModifiedBy>DELL</cp:lastModifiedBy>
  <dcterms:modified xsi:type="dcterms:W3CDTF">2023-01-28T01:19:29Z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6A5AF6B4491C443D94428C954FE06312</vt:lpwstr>
  </property>
</Properties>
</file>