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276" w:lineRule="auto"/>
        <w:outlineLvl w:val="0"/>
        <w:rPr>
          <w:rFonts w:ascii="宋体" w:hAnsi="宋体"/>
          <w:color w:val="auto"/>
          <w:sz w:val="32"/>
          <w:szCs w:val="32"/>
        </w:rPr>
      </w:pPr>
      <w:r>
        <w:rPr>
          <w:rStyle w:val="11"/>
          <w:rFonts w:hint="eastAsia" w:ascii="宋体" w:hAnsi="宋体" w:cs="宋体"/>
          <w:color w:val="auto"/>
        </w:rPr>
        <w:t>招标公告</w:t>
      </w:r>
    </w:p>
    <w:p>
      <w:pPr>
        <w:spacing w:line="276" w:lineRule="auto"/>
        <w:jc w:val="center"/>
        <w:rPr>
          <w:rFonts w:hint="eastAsia" w:ascii="宋体" w:hAnsi="宋体" w:eastAsia="宋体" w:cs="宋体"/>
          <w:b/>
          <w:bCs/>
          <w:sz w:val="28"/>
          <w:szCs w:val="28"/>
          <w:lang w:eastAsia="zh-CN"/>
        </w:rPr>
      </w:pPr>
      <w:r>
        <w:rPr>
          <w:rFonts w:hint="eastAsia" w:ascii="宋体" w:hAnsi="宋体" w:cs="宋体"/>
          <w:b/>
          <w:bCs/>
          <w:sz w:val="28"/>
          <w:szCs w:val="28"/>
        </w:rPr>
        <w:t>重庆高速公路城开路段服务区保安、保洁劳务外包项目</w:t>
      </w:r>
      <w:r>
        <w:rPr>
          <w:rFonts w:hint="eastAsia" w:ascii="宋体" w:hAnsi="宋体" w:cs="宋体"/>
          <w:b/>
          <w:bCs/>
          <w:sz w:val="28"/>
          <w:szCs w:val="28"/>
          <w:lang w:eastAsia="zh-CN"/>
        </w:rPr>
        <w:t>（</w:t>
      </w:r>
      <w:r>
        <w:rPr>
          <w:rFonts w:hint="eastAsia" w:ascii="宋体" w:hAnsi="宋体" w:cs="宋体"/>
          <w:b/>
          <w:bCs/>
          <w:sz w:val="28"/>
          <w:szCs w:val="28"/>
          <w:lang w:val="en-US" w:eastAsia="zh-CN"/>
        </w:rPr>
        <w:t>第二次</w:t>
      </w:r>
      <w:r>
        <w:rPr>
          <w:rFonts w:hint="eastAsia" w:ascii="宋体" w:hAnsi="宋体" w:cs="宋体"/>
          <w:b/>
          <w:bCs/>
          <w:sz w:val="28"/>
          <w:szCs w:val="28"/>
          <w:lang w:eastAsia="zh-CN"/>
        </w:rPr>
        <w:t>）</w:t>
      </w:r>
    </w:p>
    <w:p>
      <w:pPr>
        <w:spacing w:line="276" w:lineRule="auto"/>
        <w:jc w:val="center"/>
        <w:rPr>
          <w:rFonts w:ascii="宋体" w:hAnsi="宋体" w:cs="宋体"/>
          <w:b/>
          <w:bCs/>
          <w:sz w:val="28"/>
          <w:szCs w:val="28"/>
        </w:rPr>
      </w:pPr>
      <w:r>
        <w:rPr>
          <w:rFonts w:hint="eastAsia" w:ascii="宋体" w:hAnsi="宋体" w:cs="宋体"/>
          <w:b/>
          <w:bCs/>
          <w:sz w:val="28"/>
          <w:szCs w:val="28"/>
        </w:rPr>
        <w:t>招标公告</w:t>
      </w:r>
    </w:p>
    <w:p>
      <w:pPr>
        <w:pStyle w:val="3"/>
        <w:spacing w:before="0" w:after="0" w:line="360" w:lineRule="auto"/>
        <w:rPr>
          <w:rFonts w:ascii="宋体" w:hAnsi="宋体" w:cs="宋体"/>
          <w:sz w:val="26"/>
          <w:szCs w:val="26"/>
        </w:rPr>
      </w:pPr>
      <w:bookmarkStart w:id="0" w:name="_Toc234832845"/>
      <w:bookmarkStart w:id="1" w:name="_Toc509841258"/>
      <w:bookmarkStart w:id="2" w:name="_Toc28550"/>
      <w:bookmarkStart w:id="3" w:name="_Toc9631"/>
      <w:bookmarkStart w:id="4" w:name="_Toc509841260"/>
      <w:bookmarkStart w:id="5" w:name="_Toc234832847"/>
      <w:bookmarkStart w:id="6" w:name="_Toc11190"/>
      <w:r>
        <w:rPr>
          <w:rFonts w:hint="eastAsia" w:ascii="宋体" w:hAnsi="宋体" w:cs="宋体"/>
          <w:sz w:val="26"/>
          <w:szCs w:val="26"/>
        </w:rPr>
        <w:t>1.招标条件</w:t>
      </w:r>
      <w:bookmarkEnd w:id="0"/>
      <w:bookmarkEnd w:id="1"/>
      <w:bookmarkEnd w:id="2"/>
      <w:bookmarkEnd w:id="3"/>
    </w:p>
    <w:p>
      <w:pPr>
        <w:spacing w:line="360" w:lineRule="auto"/>
        <w:ind w:firstLine="420" w:firstLineChars="200"/>
        <w:rPr>
          <w:rFonts w:ascii="宋体" w:hAnsi="宋体" w:cs="宋体"/>
          <w:sz w:val="21"/>
          <w:szCs w:val="21"/>
        </w:rPr>
      </w:pPr>
      <w:bookmarkStart w:id="7" w:name="_Toc509841259"/>
      <w:bookmarkStart w:id="8" w:name="_Toc234832846"/>
      <w:r>
        <w:t>本招标项目</w:t>
      </w:r>
      <w:r>
        <w:rPr>
          <w:rFonts w:hint="eastAsia"/>
          <w:b/>
          <w:u w:val="single"/>
          <w:lang w:eastAsia="zh-CN"/>
        </w:rPr>
        <w:t>重庆高速公路城开路段服务区保安、保洁劳务外包项目（第二次）</w:t>
      </w:r>
      <w:r>
        <w:t>，招标人为</w:t>
      </w:r>
      <w:r>
        <w:rPr>
          <w:rFonts w:hint="eastAsia"/>
          <w:b/>
          <w:bCs/>
          <w:u w:val="single"/>
        </w:rPr>
        <w:t>重庆高速公路集团有限公司东北营运分公司</w:t>
      </w:r>
      <w:r>
        <w:rPr>
          <w:rFonts w:hint="eastAsia"/>
          <w:bCs/>
        </w:rPr>
        <w:t>，签订合同主体为</w:t>
      </w:r>
      <w:r>
        <w:rPr>
          <w:rFonts w:hint="eastAsia"/>
          <w:b/>
          <w:bCs/>
          <w:u w:val="single"/>
        </w:rPr>
        <w:t>重庆高速公路集团有限公司东北营运分公司</w:t>
      </w:r>
      <w:r>
        <w:rPr>
          <w:rFonts w:hint="eastAsia"/>
        </w:rPr>
        <w:t>，</w:t>
      </w:r>
      <w:r>
        <w:t>项目资金来自</w:t>
      </w:r>
      <w:r>
        <w:rPr>
          <w:rFonts w:hint="eastAsia"/>
        </w:rPr>
        <w:t>重庆高速公路集团有限公司东北营运分公司预算</w:t>
      </w:r>
      <w:r>
        <w:t>资金</w:t>
      </w:r>
      <w:r>
        <w:rPr>
          <w:rFonts w:hint="eastAsia"/>
        </w:rPr>
        <w:t>自筹</w:t>
      </w:r>
      <w:r>
        <w:t>，出资比例为100%，该项目已具备招标条件，</w:t>
      </w:r>
      <w:r>
        <w:rPr>
          <w:rFonts w:hint="eastAsia"/>
          <w:lang w:val="en-US" w:eastAsia="zh-CN"/>
        </w:rPr>
        <w:t>本项目第一次招标失败，</w:t>
      </w:r>
      <w:r>
        <w:rPr>
          <w:rFonts w:hint="eastAsia"/>
        </w:rPr>
        <w:t>招标人</w:t>
      </w:r>
      <w:r>
        <w:t>现委托</w:t>
      </w:r>
      <w:r>
        <w:rPr>
          <w:b/>
          <w:u w:val="single"/>
        </w:rPr>
        <w:t>重庆市五环工程建设管理有限公司</w:t>
      </w:r>
      <w:r>
        <w:t>作为本项目招标代理对</w:t>
      </w:r>
      <w:r>
        <w:rPr>
          <w:rFonts w:hint="eastAsia"/>
          <w:b/>
          <w:u w:val="single"/>
          <w:lang w:eastAsia="zh-CN"/>
        </w:rPr>
        <w:t>重庆高速公路城开路段服务区保安、保洁劳务外包项目（第二次）</w:t>
      </w:r>
      <w:r>
        <w:t>进行公开招标，本项目采取资格后审</w:t>
      </w:r>
      <w:r>
        <w:rPr>
          <w:rFonts w:hint="eastAsia"/>
        </w:rPr>
        <w:t>方式</w:t>
      </w:r>
      <w:r>
        <w:rPr>
          <w:rFonts w:hint="eastAsia" w:ascii="宋体" w:hAnsi="宋体" w:cs="宋体"/>
          <w:sz w:val="21"/>
          <w:szCs w:val="21"/>
        </w:rPr>
        <w:t>。</w:t>
      </w:r>
    </w:p>
    <w:p>
      <w:pPr>
        <w:pStyle w:val="3"/>
        <w:spacing w:before="0" w:after="0" w:line="360" w:lineRule="auto"/>
        <w:rPr>
          <w:rFonts w:ascii="宋体" w:hAnsi="宋体" w:cs="宋体"/>
          <w:sz w:val="26"/>
          <w:szCs w:val="26"/>
        </w:rPr>
      </w:pPr>
      <w:bookmarkStart w:id="9" w:name="_Toc29882"/>
      <w:bookmarkStart w:id="10" w:name="_Toc23362"/>
      <w:r>
        <w:rPr>
          <w:rFonts w:hint="eastAsia" w:ascii="宋体" w:hAnsi="宋体" w:cs="宋体"/>
          <w:sz w:val="26"/>
          <w:szCs w:val="26"/>
        </w:rPr>
        <w:t>2.项目概况</w:t>
      </w:r>
      <w:bookmarkEnd w:id="7"/>
      <w:bookmarkEnd w:id="8"/>
      <w:bookmarkEnd w:id="9"/>
      <w:r>
        <w:rPr>
          <w:rFonts w:hint="eastAsia" w:ascii="宋体" w:hAnsi="宋体" w:cs="宋体"/>
          <w:sz w:val="26"/>
          <w:szCs w:val="26"/>
        </w:rPr>
        <w:t>与招标范围</w:t>
      </w:r>
      <w:bookmarkEnd w:id="10"/>
    </w:p>
    <w:p>
      <w:pPr>
        <w:spacing w:line="400" w:lineRule="exact"/>
        <w:ind w:firstLine="420" w:firstLineChars="200"/>
        <w:rPr>
          <w:color w:val="auto"/>
          <w:sz w:val="21"/>
          <w:szCs w:val="21"/>
          <w:highlight w:val="none"/>
        </w:rPr>
      </w:pPr>
      <w:bookmarkStart w:id="11" w:name="_Toc19048"/>
      <w:r>
        <w:rPr>
          <w:color w:val="auto"/>
          <w:sz w:val="21"/>
          <w:szCs w:val="21"/>
          <w:highlight w:val="none"/>
        </w:rPr>
        <w:t>2.1项目概况：</w:t>
      </w:r>
      <w:r>
        <w:rPr>
          <w:rFonts w:hint="eastAsia"/>
          <w:color w:val="auto"/>
          <w:sz w:val="21"/>
          <w:szCs w:val="21"/>
          <w:highlight w:val="none"/>
        </w:rPr>
        <w:t>重庆高速公路集团有限公司东北营运分公司</w:t>
      </w:r>
      <w:r>
        <w:rPr>
          <w:color w:val="auto"/>
          <w:sz w:val="21"/>
          <w:szCs w:val="21"/>
          <w:highlight w:val="none"/>
        </w:rPr>
        <w:t>开展</w:t>
      </w:r>
      <w:r>
        <w:rPr>
          <w:rFonts w:hint="eastAsia"/>
          <w:b/>
          <w:color w:val="auto"/>
          <w:sz w:val="21"/>
          <w:szCs w:val="21"/>
          <w:highlight w:val="none"/>
          <w:u w:val="single"/>
          <w:lang w:eastAsia="zh-CN"/>
        </w:rPr>
        <w:t>重庆高速公路城开路段服务区保安、保洁劳务外包</w:t>
      </w:r>
      <w:r>
        <w:rPr>
          <w:color w:val="auto"/>
          <w:sz w:val="21"/>
          <w:szCs w:val="21"/>
          <w:highlight w:val="none"/>
        </w:rPr>
        <w:t>工作</w:t>
      </w:r>
      <w:r>
        <w:rPr>
          <w:rFonts w:hint="eastAsia"/>
          <w:color w:val="auto"/>
          <w:sz w:val="21"/>
          <w:szCs w:val="21"/>
          <w:highlight w:val="none"/>
        </w:rPr>
        <w:t>，</w:t>
      </w:r>
      <w:r>
        <w:rPr>
          <w:rFonts w:hint="eastAsia"/>
          <w:color w:val="auto"/>
          <w:sz w:val="21"/>
          <w:szCs w:val="21"/>
          <w:highlight w:val="none"/>
          <w:lang w:val="en-US" w:eastAsia="zh-CN"/>
        </w:rPr>
        <w:t>具体</w:t>
      </w:r>
      <w:r>
        <w:rPr>
          <w:color w:val="auto"/>
          <w:sz w:val="21"/>
          <w:szCs w:val="21"/>
          <w:highlight w:val="none"/>
        </w:rPr>
        <w:t>情况</w:t>
      </w:r>
      <w:r>
        <w:rPr>
          <w:rFonts w:hint="eastAsia"/>
          <w:color w:val="auto"/>
          <w:sz w:val="21"/>
          <w:szCs w:val="21"/>
          <w:highlight w:val="none"/>
        </w:rPr>
        <w:t>如</w:t>
      </w:r>
      <w:r>
        <w:rPr>
          <w:color w:val="auto"/>
          <w:sz w:val="21"/>
          <w:szCs w:val="21"/>
          <w:highlight w:val="none"/>
        </w:rPr>
        <w:t>下表：</w:t>
      </w:r>
    </w:p>
    <w:tbl>
      <w:tblPr>
        <w:tblStyle w:val="9"/>
        <w:tblW w:w="8861" w:type="dxa"/>
        <w:jc w:val="center"/>
        <w:tblLayout w:type="fixed"/>
        <w:tblCellMar>
          <w:top w:w="15" w:type="dxa"/>
          <w:left w:w="15" w:type="dxa"/>
          <w:bottom w:w="15" w:type="dxa"/>
          <w:right w:w="15" w:type="dxa"/>
        </w:tblCellMar>
      </w:tblPr>
      <w:tblGrid>
        <w:gridCol w:w="2514"/>
        <w:gridCol w:w="1839"/>
        <w:gridCol w:w="3739"/>
        <w:gridCol w:w="769"/>
      </w:tblGrid>
      <w:tr>
        <w:tblPrEx>
          <w:tblCellMar>
            <w:top w:w="15" w:type="dxa"/>
            <w:left w:w="15" w:type="dxa"/>
            <w:bottom w:w="15" w:type="dxa"/>
            <w:right w:w="15" w:type="dxa"/>
          </w:tblCellMar>
        </w:tblPrEx>
        <w:trPr>
          <w:trHeight w:val="90" w:hRule="atLeast"/>
          <w:jc w:val="center"/>
        </w:trPr>
        <w:tc>
          <w:tcPr>
            <w:tcW w:w="2514" w:type="dxa"/>
            <w:tcBorders>
              <w:top w:val="single" w:color="000000" w:sz="12" w:space="0"/>
              <w:left w:val="single" w:color="000000" w:sz="12" w:space="0"/>
              <w:bottom w:val="single" w:color="000000" w:sz="12" w:space="0"/>
              <w:right w:val="single" w:color="000000" w:sz="12" w:space="0"/>
            </w:tcBorders>
            <w:noWrap w:val="0"/>
            <w:vAlign w:val="center"/>
          </w:tcPr>
          <w:p>
            <w:pPr>
              <w:widowControl/>
              <w:spacing w:line="360" w:lineRule="exact"/>
              <w:jc w:val="center"/>
              <w:textAlignment w:val="top"/>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路段及服务区名称</w:t>
            </w:r>
          </w:p>
        </w:tc>
        <w:tc>
          <w:tcPr>
            <w:tcW w:w="1839" w:type="dxa"/>
            <w:tcBorders>
              <w:top w:val="single" w:color="000000" w:sz="12" w:space="0"/>
              <w:bottom w:val="single" w:color="000000" w:sz="12" w:space="0"/>
              <w:right w:val="single" w:color="000000" w:sz="12" w:space="0"/>
            </w:tcBorders>
            <w:noWrap w:val="0"/>
            <w:vAlign w:val="top"/>
          </w:tcPr>
          <w:p>
            <w:pPr>
              <w:widowControl/>
              <w:spacing w:line="360" w:lineRule="exact"/>
              <w:jc w:val="center"/>
              <w:textAlignment w:val="top"/>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服务内容</w:t>
            </w:r>
          </w:p>
        </w:tc>
        <w:tc>
          <w:tcPr>
            <w:tcW w:w="3739" w:type="dxa"/>
            <w:tcBorders>
              <w:top w:val="single" w:color="000000" w:sz="12" w:space="0"/>
              <w:bottom w:val="single" w:color="000000" w:sz="12" w:space="0"/>
              <w:right w:val="single" w:color="000000" w:sz="12" w:space="0"/>
            </w:tcBorders>
            <w:noWrap w:val="0"/>
            <w:vAlign w:val="top"/>
          </w:tcPr>
          <w:p>
            <w:pPr>
              <w:widowControl/>
              <w:spacing w:line="360" w:lineRule="exact"/>
              <w:jc w:val="center"/>
              <w:textAlignment w:val="top"/>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服务期</w:t>
            </w:r>
          </w:p>
        </w:tc>
        <w:tc>
          <w:tcPr>
            <w:tcW w:w="769" w:type="dxa"/>
            <w:tcBorders>
              <w:top w:val="single" w:color="000000" w:sz="12" w:space="0"/>
              <w:bottom w:val="single" w:color="000000" w:sz="12" w:space="0"/>
              <w:right w:val="single" w:color="000000" w:sz="12" w:space="0"/>
            </w:tcBorders>
            <w:noWrap w:val="0"/>
            <w:vAlign w:val="top"/>
          </w:tcPr>
          <w:p>
            <w:pPr>
              <w:widowControl/>
              <w:spacing w:line="360" w:lineRule="exact"/>
              <w:ind w:firstLine="210" w:firstLineChars="100"/>
              <w:jc w:val="both"/>
              <w:textAlignment w:val="top"/>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备注</w:t>
            </w:r>
          </w:p>
        </w:tc>
      </w:tr>
      <w:tr>
        <w:tblPrEx>
          <w:tblCellMar>
            <w:top w:w="15" w:type="dxa"/>
            <w:left w:w="15" w:type="dxa"/>
            <w:bottom w:w="15" w:type="dxa"/>
            <w:right w:w="15" w:type="dxa"/>
          </w:tblCellMar>
        </w:tblPrEx>
        <w:trPr>
          <w:trHeight w:val="1815" w:hRule="atLeast"/>
          <w:jc w:val="center"/>
        </w:trPr>
        <w:tc>
          <w:tcPr>
            <w:tcW w:w="2514" w:type="dxa"/>
            <w:tcBorders>
              <w:left w:val="single" w:color="000000" w:sz="12" w:space="0"/>
              <w:bottom w:val="single" w:color="000000" w:sz="12" w:space="0"/>
              <w:right w:val="single" w:color="000000" w:sz="12" w:space="0"/>
            </w:tcBorders>
            <w:noWrap w:val="0"/>
            <w:vAlign w:val="center"/>
          </w:tcPr>
          <w:p>
            <w:pPr>
              <w:widowControl/>
              <w:numPr>
                <w:ilvl w:val="0"/>
                <w:numId w:val="0"/>
              </w:numPr>
              <w:spacing w:line="360" w:lineRule="exact"/>
              <w:ind w:firstLine="0" w:firstLineChars="0"/>
              <w:jc w:val="center"/>
              <w:textAlignment w:val="bottom"/>
              <w:rPr>
                <w:rFonts w:hint="eastAsia"/>
                <w:color w:val="auto"/>
                <w:sz w:val="21"/>
                <w:szCs w:val="21"/>
                <w:highlight w:val="none"/>
                <w:lang w:val="en-US" w:eastAsia="zh-CN"/>
              </w:rPr>
            </w:pPr>
            <w:r>
              <w:rPr>
                <w:rFonts w:hint="eastAsia"/>
                <w:color w:val="auto"/>
                <w:sz w:val="21"/>
                <w:szCs w:val="21"/>
                <w:highlight w:val="none"/>
                <w:lang w:val="en-US" w:eastAsia="zh-CN"/>
              </w:rPr>
              <w:t>城开路赵家-谭家段：谭家服务区、开州北服务区、鸡鸣停车区，</w:t>
            </w:r>
            <w:r>
              <w:rPr>
                <w:rFonts w:hint="eastAsia"/>
                <w:color w:val="auto"/>
                <w:sz w:val="21"/>
                <w:szCs w:val="21"/>
                <w:highlight w:val="none"/>
              </w:rPr>
              <w:t>共计</w:t>
            </w:r>
            <w:r>
              <w:rPr>
                <w:rFonts w:hint="eastAsia"/>
                <w:color w:val="auto"/>
                <w:sz w:val="21"/>
                <w:szCs w:val="21"/>
                <w:highlight w:val="none"/>
                <w:lang w:val="en-US" w:eastAsia="zh-CN"/>
              </w:rPr>
              <w:t>2对</w:t>
            </w:r>
            <w:r>
              <w:rPr>
                <w:rFonts w:hint="eastAsia"/>
                <w:color w:val="auto"/>
                <w:sz w:val="21"/>
                <w:szCs w:val="21"/>
                <w:highlight w:val="none"/>
              </w:rPr>
              <w:t>服务区</w:t>
            </w:r>
            <w:r>
              <w:rPr>
                <w:rFonts w:hint="eastAsia"/>
                <w:color w:val="auto"/>
                <w:sz w:val="21"/>
                <w:szCs w:val="21"/>
                <w:highlight w:val="none"/>
                <w:lang w:eastAsia="zh-CN"/>
              </w:rPr>
              <w:t>，</w:t>
            </w:r>
            <w:r>
              <w:rPr>
                <w:rFonts w:hint="eastAsia"/>
                <w:color w:val="auto"/>
                <w:sz w:val="21"/>
                <w:szCs w:val="21"/>
                <w:highlight w:val="none"/>
                <w:lang w:val="en-US" w:eastAsia="zh-CN"/>
              </w:rPr>
              <w:t>1对停车区。</w:t>
            </w:r>
          </w:p>
          <w:p>
            <w:pPr>
              <w:widowControl/>
              <w:numPr>
                <w:ilvl w:val="0"/>
                <w:numId w:val="0"/>
              </w:numPr>
              <w:spacing w:after="0"/>
              <w:ind w:firstLine="420" w:firstLineChars="200"/>
              <w:jc w:val="left"/>
              <w:textAlignment w:val="bottom"/>
              <w:rPr>
                <w:rFonts w:hint="default" w:eastAsia="宋体"/>
                <w:color w:val="auto"/>
                <w:sz w:val="21"/>
                <w:szCs w:val="21"/>
                <w:highlight w:val="none"/>
                <w:lang w:val="en-US" w:eastAsia="zh-CN"/>
              </w:rPr>
            </w:pPr>
            <w:r>
              <w:rPr>
                <w:rFonts w:hint="eastAsia"/>
                <w:color w:val="auto"/>
                <w:sz w:val="21"/>
                <w:szCs w:val="21"/>
                <w:highlight w:val="none"/>
                <w:lang w:val="en-US" w:eastAsia="zh-CN"/>
              </w:rPr>
              <w:br w:type="textWrapping"/>
            </w:r>
          </w:p>
        </w:tc>
        <w:tc>
          <w:tcPr>
            <w:tcW w:w="1839" w:type="dxa"/>
            <w:tcBorders>
              <w:bottom w:val="single" w:color="000000" w:sz="12" w:space="0"/>
              <w:right w:val="single" w:color="000000" w:sz="12" w:space="0"/>
            </w:tcBorders>
            <w:noWrap w:val="0"/>
            <w:vAlign w:val="center"/>
          </w:tcPr>
          <w:p>
            <w:pPr>
              <w:widowControl/>
              <w:spacing w:line="360" w:lineRule="exact"/>
              <w:jc w:val="left"/>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kern w:val="0"/>
                <w:sz w:val="21"/>
                <w:szCs w:val="21"/>
                <w:highlight w:val="none"/>
                <w:lang w:bidi="ar"/>
              </w:rPr>
              <w:t>24小时秩序维护、巡查值守</w:t>
            </w:r>
            <w:r>
              <w:rPr>
                <w:rFonts w:hint="eastAsia" w:ascii="宋体" w:hAnsi="宋体" w:cs="宋体"/>
                <w:color w:val="auto"/>
                <w:kern w:val="0"/>
                <w:sz w:val="21"/>
                <w:szCs w:val="21"/>
                <w:highlight w:val="none"/>
                <w:lang w:eastAsia="zh-CN" w:bidi="ar"/>
              </w:rPr>
              <w:t>、</w:t>
            </w:r>
            <w:r>
              <w:rPr>
                <w:rFonts w:hint="eastAsia" w:ascii="宋体" w:hAnsi="宋体" w:cs="宋体"/>
                <w:color w:val="auto"/>
                <w:kern w:val="0"/>
                <w:sz w:val="21"/>
                <w:szCs w:val="21"/>
                <w:highlight w:val="none"/>
                <w:lang w:bidi="ar"/>
              </w:rPr>
              <w:t>日常清洁、</w:t>
            </w:r>
            <w:r>
              <w:rPr>
                <w:rFonts w:hint="eastAsia" w:ascii="宋体" w:hAnsi="宋体" w:cs="宋体"/>
                <w:color w:val="auto"/>
                <w:kern w:val="0"/>
                <w:sz w:val="21"/>
                <w:szCs w:val="21"/>
                <w:highlight w:val="none"/>
                <w:lang w:eastAsia="zh-CN" w:bidi="ar"/>
              </w:rPr>
              <w:t>公共设施管养</w:t>
            </w:r>
            <w:r>
              <w:rPr>
                <w:rFonts w:hint="eastAsia" w:ascii="宋体" w:hAnsi="宋体" w:cs="宋体"/>
                <w:color w:val="auto"/>
                <w:kern w:val="0"/>
                <w:sz w:val="21"/>
                <w:szCs w:val="21"/>
                <w:highlight w:val="none"/>
                <w:lang w:bidi="ar"/>
              </w:rPr>
              <w:t>及突发事件处置工作等物业服务工作</w:t>
            </w:r>
            <w:r>
              <w:rPr>
                <w:rFonts w:hint="eastAsia" w:ascii="宋体" w:hAnsi="宋体" w:cs="宋体"/>
                <w:color w:val="auto"/>
                <w:kern w:val="0"/>
                <w:sz w:val="21"/>
                <w:szCs w:val="21"/>
                <w:highlight w:val="none"/>
                <w:lang w:eastAsia="zh-CN" w:bidi="ar"/>
              </w:rPr>
              <w:t>。</w:t>
            </w:r>
          </w:p>
        </w:tc>
        <w:tc>
          <w:tcPr>
            <w:tcW w:w="3739" w:type="dxa"/>
            <w:tcBorders>
              <w:bottom w:val="single" w:color="000000" w:sz="12" w:space="0"/>
              <w:right w:val="single" w:color="000000" w:sz="12" w:space="0"/>
            </w:tcBorders>
            <w:noWrap w:val="0"/>
            <w:vAlign w:val="center"/>
          </w:tcPr>
          <w:p>
            <w:pPr>
              <w:widowControl/>
              <w:spacing w:line="360" w:lineRule="exact"/>
              <w:jc w:val="left"/>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val="en-US" w:eastAsia="zh-CN" w:bidi="ar"/>
              </w:rPr>
              <w:t>暂定合同时间为15</w:t>
            </w:r>
            <w:r>
              <w:rPr>
                <w:rFonts w:hint="eastAsia" w:ascii="宋体" w:hAnsi="宋体" w:cs="宋体"/>
                <w:color w:val="auto"/>
                <w:kern w:val="0"/>
                <w:sz w:val="21"/>
                <w:szCs w:val="21"/>
                <w:highlight w:val="none"/>
                <w:lang w:bidi="ar"/>
              </w:rPr>
              <w:t>个月</w:t>
            </w:r>
            <w:r>
              <w:rPr>
                <w:rFonts w:hint="eastAsia" w:ascii="宋体" w:hAnsi="宋体" w:cs="宋体"/>
                <w:color w:val="auto"/>
                <w:kern w:val="0"/>
                <w:sz w:val="21"/>
                <w:szCs w:val="21"/>
                <w:highlight w:val="none"/>
                <w:lang w:eastAsia="zh-CN" w:bidi="ar"/>
              </w:rPr>
              <w:t>，</w:t>
            </w:r>
            <w:r>
              <w:rPr>
                <w:rFonts w:hint="eastAsia" w:ascii="宋体" w:hAnsi="宋体" w:cs="宋体"/>
                <w:color w:val="auto"/>
                <w:kern w:val="0"/>
                <w:sz w:val="21"/>
                <w:szCs w:val="21"/>
                <w:highlight w:val="none"/>
                <w:lang w:bidi="ar"/>
              </w:rPr>
              <w:t>具体</w:t>
            </w:r>
            <w:r>
              <w:rPr>
                <w:rFonts w:hint="eastAsia" w:ascii="宋体" w:hAnsi="宋体" w:cs="宋体"/>
                <w:color w:val="auto"/>
                <w:kern w:val="0"/>
                <w:sz w:val="21"/>
                <w:szCs w:val="21"/>
                <w:highlight w:val="none"/>
                <w:lang w:val="en-US" w:eastAsia="zh-CN" w:bidi="ar"/>
              </w:rPr>
              <w:t>服务时间</w:t>
            </w:r>
            <w:r>
              <w:rPr>
                <w:rFonts w:hint="eastAsia" w:ascii="宋体" w:hAnsi="宋体" w:cs="宋体"/>
                <w:color w:val="auto"/>
                <w:kern w:val="0"/>
                <w:sz w:val="21"/>
                <w:szCs w:val="21"/>
                <w:highlight w:val="none"/>
                <w:lang w:bidi="ar"/>
              </w:rPr>
              <w:t>以</w:t>
            </w:r>
            <w:r>
              <w:rPr>
                <w:rFonts w:hint="eastAsia" w:ascii="宋体" w:hAnsi="宋体" w:cs="宋体"/>
                <w:color w:val="auto"/>
                <w:kern w:val="0"/>
                <w:sz w:val="21"/>
                <w:szCs w:val="21"/>
                <w:highlight w:val="none"/>
                <w:lang w:val="en-US" w:eastAsia="zh-CN" w:bidi="ar"/>
              </w:rPr>
              <w:t>用人单位实际需求</w:t>
            </w:r>
            <w:r>
              <w:rPr>
                <w:rFonts w:hint="eastAsia" w:ascii="宋体" w:hAnsi="宋体" w:cs="宋体"/>
                <w:color w:val="auto"/>
                <w:kern w:val="0"/>
                <w:sz w:val="21"/>
                <w:szCs w:val="21"/>
                <w:highlight w:val="none"/>
                <w:lang w:bidi="ar"/>
              </w:rPr>
              <w:t>为准。</w:t>
            </w:r>
            <w:r>
              <w:rPr>
                <w:rFonts w:hint="eastAsia" w:ascii="宋体" w:hAnsi="宋体" w:cs="宋体"/>
                <w:color w:val="auto"/>
                <w:kern w:val="0"/>
                <w:sz w:val="21"/>
                <w:szCs w:val="21"/>
                <w:highlight w:val="none"/>
                <w:lang w:eastAsia="zh-CN" w:bidi="ar"/>
              </w:rPr>
              <w:t>（</w:t>
            </w:r>
            <w:r>
              <w:rPr>
                <w:rFonts w:hint="eastAsia" w:ascii="宋体" w:hAnsi="宋体" w:cs="宋体"/>
                <w:color w:val="auto"/>
                <w:kern w:val="0"/>
                <w:sz w:val="21"/>
                <w:szCs w:val="21"/>
                <w:highlight w:val="none"/>
                <w:lang w:val="en-US" w:eastAsia="zh-CN" w:bidi="ar"/>
              </w:rPr>
              <w:t>其中谭家服务区、开州北服务区预计2021年10月开通，暂定服务15个月，鸡鸣停车区预计2022年5月开通，暂定服务8个月</w:t>
            </w:r>
            <w:r>
              <w:rPr>
                <w:rFonts w:hint="eastAsia" w:ascii="宋体" w:hAnsi="宋体" w:cs="宋体"/>
                <w:color w:val="auto"/>
                <w:kern w:val="0"/>
                <w:sz w:val="21"/>
                <w:szCs w:val="21"/>
                <w:highlight w:val="none"/>
                <w:lang w:bidi="ar"/>
              </w:rPr>
              <w:t>（年度考核不合格，合同终止）</w:t>
            </w:r>
            <w:r>
              <w:rPr>
                <w:rFonts w:hint="eastAsia" w:ascii="宋体" w:hAnsi="宋体" w:cs="宋体"/>
                <w:color w:val="auto"/>
                <w:kern w:val="0"/>
                <w:sz w:val="21"/>
                <w:szCs w:val="21"/>
                <w:highlight w:val="none"/>
                <w:lang w:eastAsia="zh-CN" w:bidi="ar"/>
              </w:rPr>
              <w:t>）</w:t>
            </w:r>
          </w:p>
        </w:tc>
        <w:tc>
          <w:tcPr>
            <w:tcW w:w="769" w:type="dxa"/>
            <w:tcBorders>
              <w:bottom w:val="single" w:color="000000" w:sz="12" w:space="0"/>
              <w:right w:val="single" w:color="000000" w:sz="12" w:space="0"/>
            </w:tcBorders>
            <w:noWrap w:val="0"/>
            <w:vAlign w:val="center"/>
          </w:tcPr>
          <w:p>
            <w:pPr>
              <w:widowControl/>
              <w:spacing w:line="360" w:lineRule="exact"/>
              <w:jc w:val="left"/>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kern w:val="0"/>
                <w:sz w:val="21"/>
                <w:szCs w:val="21"/>
                <w:highlight w:val="none"/>
                <w:lang w:bidi="ar"/>
              </w:rPr>
              <w:t>具体工作内容详见</w:t>
            </w:r>
            <w:r>
              <w:rPr>
                <w:rFonts w:hint="eastAsia" w:ascii="宋体" w:hAnsi="宋体" w:cs="宋体"/>
                <w:color w:val="auto"/>
                <w:kern w:val="0"/>
                <w:sz w:val="21"/>
                <w:szCs w:val="21"/>
                <w:highlight w:val="none"/>
                <w:lang w:val="en-US" w:eastAsia="zh-CN" w:bidi="ar"/>
              </w:rPr>
              <w:t>附件</w:t>
            </w:r>
          </w:p>
        </w:tc>
      </w:tr>
      <w:tr>
        <w:tblPrEx>
          <w:tblCellMar>
            <w:top w:w="15" w:type="dxa"/>
            <w:left w:w="15" w:type="dxa"/>
            <w:bottom w:w="15" w:type="dxa"/>
            <w:right w:w="15" w:type="dxa"/>
          </w:tblCellMar>
        </w:tblPrEx>
        <w:trPr>
          <w:trHeight w:val="90" w:hRule="atLeast"/>
          <w:jc w:val="center"/>
        </w:trPr>
        <w:tc>
          <w:tcPr>
            <w:tcW w:w="8861" w:type="dxa"/>
            <w:gridSpan w:val="4"/>
            <w:tcBorders>
              <w:left w:val="single" w:color="000000" w:sz="12" w:space="0"/>
              <w:bottom w:val="single" w:color="000000" w:sz="12" w:space="0"/>
              <w:right w:val="single" w:color="000000" w:sz="12" w:space="0"/>
            </w:tcBorders>
            <w:noWrap w:val="0"/>
            <w:vAlign w:val="center"/>
          </w:tcPr>
          <w:p>
            <w:pPr>
              <w:widowControl/>
              <w:spacing w:line="360" w:lineRule="exact"/>
              <w:jc w:val="left"/>
              <w:textAlignment w:val="bottom"/>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备注：因高速公路营运管理实际需要，增加或减少用工数量的，在合同期内按每人每月固定单价、</w:t>
            </w:r>
            <w:r>
              <w:rPr>
                <w:rFonts w:hint="eastAsia" w:ascii="宋体" w:hAnsi="宋体" w:cs="宋体"/>
                <w:color w:val="auto"/>
                <w:kern w:val="0"/>
                <w:sz w:val="21"/>
                <w:szCs w:val="21"/>
                <w:highlight w:val="none"/>
                <w:lang w:val="en-US" w:eastAsia="zh-CN" w:bidi="ar"/>
              </w:rPr>
              <w:t>实际</w:t>
            </w:r>
            <w:r>
              <w:rPr>
                <w:rFonts w:hint="eastAsia" w:ascii="宋体" w:hAnsi="宋体" w:cs="宋体"/>
                <w:color w:val="auto"/>
                <w:kern w:val="0"/>
                <w:sz w:val="21"/>
                <w:szCs w:val="21"/>
                <w:highlight w:val="none"/>
                <w:lang w:bidi="ar"/>
              </w:rPr>
              <w:t>用工人数及服务时间调整服务费用金额。</w:t>
            </w:r>
          </w:p>
        </w:tc>
      </w:tr>
    </w:tbl>
    <w:p>
      <w:pPr>
        <w:pStyle w:val="3"/>
        <w:spacing w:before="0" w:after="0" w:line="360" w:lineRule="auto"/>
        <w:rPr>
          <w:rFonts w:ascii="宋体" w:hAnsi="宋体" w:cs="宋体"/>
          <w:sz w:val="26"/>
          <w:szCs w:val="26"/>
        </w:rPr>
      </w:pPr>
      <w:r>
        <w:rPr>
          <w:rFonts w:hint="eastAsia" w:ascii="宋体" w:hAnsi="宋体" w:cs="宋体"/>
          <w:sz w:val="26"/>
          <w:szCs w:val="26"/>
        </w:rPr>
        <w:t>3.投标人资格要求</w:t>
      </w:r>
      <w:bookmarkEnd w:id="4"/>
      <w:bookmarkEnd w:id="5"/>
      <w:bookmarkEnd w:id="6"/>
      <w:bookmarkEnd w:id="11"/>
    </w:p>
    <w:p>
      <w:pPr>
        <w:spacing w:line="360" w:lineRule="auto"/>
        <w:ind w:firstLine="420" w:firstLineChars="200"/>
        <w:rPr>
          <w:rFonts w:ascii="宋体" w:hAnsi="宋体" w:cs="宋体"/>
          <w:sz w:val="21"/>
          <w:szCs w:val="21"/>
        </w:rPr>
      </w:pPr>
      <w:r>
        <w:rPr>
          <w:rFonts w:ascii="宋体" w:hAnsi="宋体" w:cs="宋体"/>
          <w:sz w:val="21"/>
          <w:szCs w:val="21"/>
        </w:rPr>
        <w:t xml:space="preserve">3.1 </w:t>
      </w:r>
      <w:r>
        <w:rPr>
          <w:rFonts w:hint="eastAsia" w:ascii="宋体" w:hAnsi="宋体" w:cs="宋体"/>
          <w:sz w:val="21"/>
          <w:szCs w:val="21"/>
        </w:rPr>
        <w:t>投标人应具有独立的法人资格，具有有效的营业执照。</w:t>
      </w:r>
    </w:p>
    <w:p>
      <w:pPr>
        <w:spacing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cs="宋体"/>
          <w:sz w:val="21"/>
          <w:szCs w:val="21"/>
          <w:lang w:val="en-US" w:eastAsia="zh-CN"/>
        </w:rPr>
        <w:t>3.2业绩要求：近3年（2018年8月1日至投标截止时间，以合同签订时间为准）投标人承接过一个高速公路服务区或机场或轨道或公交或商业楼或景区景点</w:t>
      </w:r>
      <w:r>
        <w:rPr>
          <w:rFonts w:hint="eastAsia" w:ascii="宋体" w:hAnsi="宋体" w:cs="宋体"/>
          <w:color w:val="auto"/>
          <w:sz w:val="21"/>
          <w:szCs w:val="21"/>
          <w:highlight w:val="none"/>
          <w:lang w:val="en-US" w:eastAsia="zh-CN"/>
        </w:rPr>
        <w:t>等物业服务项目且合同金额不低于200万元。</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3.</w:t>
      </w:r>
      <w:r>
        <w:rPr>
          <w:rFonts w:hint="eastAsia" w:ascii="宋体" w:hAnsi="宋体" w:cs="宋体"/>
          <w:sz w:val="21"/>
          <w:szCs w:val="21"/>
          <w:lang w:val="en-US" w:eastAsia="zh-CN"/>
        </w:rPr>
        <w:t>3</w:t>
      </w:r>
      <w:r>
        <w:rPr>
          <w:rFonts w:hint="eastAsia" w:ascii="宋体" w:hAnsi="宋体" w:cs="宋体"/>
          <w:sz w:val="21"/>
          <w:szCs w:val="21"/>
        </w:rPr>
        <w:t>本次招标不接受联合体投标。</w:t>
      </w:r>
    </w:p>
    <w:p>
      <w:pPr>
        <w:spacing w:line="360" w:lineRule="auto"/>
        <w:ind w:firstLine="420" w:firstLineChars="200"/>
        <w:rPr>
          <w:rFonts w:ascii="宋体" w:hAnsi="宋体" w:cs="宋体"/>
          <w:sz w:val="21"/>
          <w:szCs w:val="21"/>
        </w:rPr>
      </w:pPr>
      <w:r>
        <w:rPr>
          <w:rFonts w:hint="eastAsia" w:ascii="宋体" w:hAnsi="宋体" w:cs="宋体"/>
          <w:sz w:val="21"/>
          <w:szCs w:val="21"/>
        </w:rPr>
        <w:t>3.</w:t>
      </w:r>
      <w:r>
        <w:rPr>
          <w:rFonts w:hint="eastAsia" w:ascii="宋体" w:hAnsi="宋体" w:cs="宋体"/>
          <w:sz w:val="21"/>
          <w:szCs w:val="21"/>
          <w:lang w:val="en-US" w:eastAsia="zh-CN"/>
        </w:rPr>
        <w:t>4</w:t>
      </w:r>
      <w:r>
        <w:rPr>
          <w:rFonts w:hint="eastAsia" w:ascii="宋体" w:hAnsi="宋体" w:cs="宋体"/>
          <w:sz w:val="21"/>
          <w:szCs w:val="21"/>
        </w:rPr>
        <w:t>与招标人存在利害关系可能影响招标公正性的法人、其他组织或者个人，不得参加投标。单位负责人为同一人或者存在控股、管理关系的不同单位，不得同时参加本项目投标。</w:t>
      </w:r>
    </w:p>
    <w:p>
      <w:pPr>
        <w:pStyle w:val="3"/>
        <w:spacing w:before="0" w:after="0" w:line="360" w:lineRule="auto"/>
        <w:rPr>
          <w:rFonts w:ascii="宋体" w:hAnsi="宋体" w:cs="宋体"/>
          <w:sz w:val="26"/>
          <w:szCs w:val="26"/>
        </w:rPr>
      </w:pPr>
      <w:bookmarkStart w:id="12" w:name="_Toc509841261"/>
      <w:bookmarkStart w:id="13" w:name="_Toc5520"/>
      <w:bookmarkStart w:id="14" w:name="_Toc234832848"/>
      <w:bookmarkStart w:id="15" w:name="_Toc26002"/>
      <w:r>
        <w:rPr>
          <w:rFonts w:hint="eastAsia" w:ascii="宋体" w:hAnsi="宋体" w:cs="宋体"/>
          <w:sz w:val="26"/>
          <w:szCs w:val="26"/>
        </w:rPr>
        <w:t>4.招标文件的获取</w:t>
      </w:r>
      <w:bookmarkEnd w:id="12"/>
      <w:bookmarkEnd w:id="13"/>
      <w:bookmarkEnd w:id="14"/>
      <w:bookmarkEnd w:id="15"/>
      <w:r>
        <w:rPr>
          <w:rFonts w:hint="eastAsia" w:ascii="宋体" w:hAnsi="宋体" w:cs="宋体"/>
          <w:sz w:val="26"/>
          <w:szCs w:val="26"/>
        </w:rPr>
        <w:tab/>
      </w:r>
    </w:p>
    <w:p>
      <w:pPr>
        <w:tabs>
          <w:tab w:val="left" w:pos="5700"/>
        </w:tabs>
        <w:spacing w:line="360" w:lineRule="auto"/>
        <w:ind w:firstLine="420" w:firstLineChars="200"/>
        <w:rPr>
          <w:rFonts w:ascii="宋体" w:hAnsi="宋体" w:cs="宋体"/>
          <w:sz w:val="21"/>
          <w:szCs w:val="21"/>
        </w:rPr>
      </w:pPr>
      <w:bookmarkStart w:id="16" w:name="_Toc234832849"/>
      <w:bookmarkStart w:id="17" w:name="_Toc509841262"/>
      <w:r>
        <w:rPr>
          <w:rFonts w:hint="eastAsia" w:ascii="宋体" w:hAnsi="宋体" w:cs="宋体"/>
          <w:sz w:val="21"/>
          <w:szCs w:val="21"/>
        </w:rPr>
        <w:t>凡愿意参加的投标者，从20</w:t>
      </w:r>
      <w:r>
        <w:rPr>
          <w:rFonts w:ascii="宋体" w:hAnsi="宋体" w:cs="宋体"/>
          <w:sz w:val="21"/>
          <w:szCs w:val="21"/>
        </w:rPr>
        <w:t>21</w:t>
      </w:r>
      <w:r>
        <w:rPr>
          <w:rFonts w:hint="eastAsia" w:ascii="宋体" w:hAnsi="宋体" w:cs="宋体"/>
          <w:sz w:val="21"/>
          <w:szCs w:val="21"/>
        </w:rPr>
        <w:t>年</w:t>
      </w:r>
      <w:r>
        <w:rPr>
          <w:rFonts w:hint="eastAsia" w:ascii="宋体" w:hAnsi="宋体" w:cs="宋体"/>
          <w:sz w:val="21"/>
          <w:szCs w:val="21"/>
          <w:u w:val="single"/>
          <w:lang w:val="en-US" w:eastAsia="zh-CN"/>
        </w:rPr>
        <w:t>10</w:t>
      </w:r>
      <w:r>
        <w:rPr>
          <w:rFonts w:hint="eastAsia" w:ascii="宋体" w:hAnsi="宋体" w:cs="宋体"/>
          <w:sz w:val="21"/>
          <w:szCs w:val="21"/>
        </w:rPr>
        <w:t>月</w:t>
      </w:r>
      <w:r>
        <w:rPr>
          <w:rFonts w:hint="eastAsia" w:ascii="宋体" w:hAnsi="宋体" w:cs="宋体"/>
          <w:sz w:val="21"/>
          <w:szCs w:val="21"/>
          <w:u w:val="single"/>
          <w:lang w:val="en-US" w:eastAsia="zh-CN"/>
        </w:rPr>
        <w:t>19</w:t>
      </w:r>
      <w:r>
        <w:rPr>
          <w:rFonts w:hint="eastAsia" w:ascii="宋体" w:hAnsi="宋体" w:cs="宋体"/>
          <w:sz w:val="21"/>
          <w:szCs w:val="21"/>
        </w:rPr>
        <w:t>日起至投标截止时间前，均可登录重庆市公共资源交易网（www.cqggzy.com）直接下载获取招标文件、答疑等开标前的有关资料。在公告期间，各投标人应随时关注网上发布的招标文件答疑、补遗、澄清等文件内容，逾期不管投标人是否下载，均视为已知晓招标文件的全部内容和有关事宜。本项目不需要报名，直接投标。</w:t>
      </w:r>
    </w:p>
    <w:p>
      <w:pPr>
        <w:pStyle w:val="3"/>
        <w:spacing w:before="0" w:after="0" w:line="360" w:lineRule="auto"/>
        <w:rPr>
          <w:rFonts w:ascii="宋体" w:hAnsi="宋体" w:cs="宋体"/>
          <w:sz w:val="26"/>
          <w:szCs w:val="26"/>
        </w:rPr>
      </w:pPr>
      <w:bookmarkStart w:id="18" w:name="_Toc6963"/>
      <w:bookmarkStart w:id="19" w:name="_Toc30853"/>
      <w:r>
        <w:rPr>
          <w:rFonts w:hint="eastAsia" w:ascii="宋体" w:hAnsi="宋体" w:cs="宋体"/>
          <w:sz w:val="26"/>
          <w:szCs w:val="26"/>
        </w:rPr>
        <w:t>5.投标文件的递交及相关事宜</w:t>
      </w:r>
      <w:bookmarkEnd w:id="16"/>
      <w:bookmarkEnd w:id="17"/>
      <w:bookmarkEnd w:id="18"/>
      <w:bookmarkEnd w:id="19"/>
    </w:p>
    <w:p>
      <w:pPr>
        <w:tabs>
          <w:tab w:val="left" w:pos="360"/>
        </w:tabs>
        <w:spacing w:line="360" w:lineRule="auto"/>
        <w:ind w:firstLine="420" w:firstLineChars="200"/>
        <w:rPr>
          <w:rFonts w:ascii="宋体" w:hAnsi="宋体" w:cs="宋体"/>
          <w:sz w:val="21"/>
          <w:szCs w:val="21"/>
        </w:rPr>
      </w:pPr>
      <w:r>
        <w:rPr>
          <w:rFonts w:hint="eastAsia" w:ascii="宋体" w:hAnsi="宋体" w:cs="宋体"/>
          <w:sz w:val="21"/>
          <w:szCs w:val="21"/>
        </w:rPr>
        <w:t>5.1投标截止时间和开标时间：20</w:t>
      </w:r>
      <w:r>
        <w:rPr>
          <w:rFonts w:ascii="宋体" w:hAnsi="宋体" w:cs="宋体"/>
          <w:sz w:val="21"/>
          <w:szCs w:val="21"/>
        </w:rPr>
        <w:t>21</w:t>
      </w:r>
      <w:r>
        <w:rPr>
          <w:rFonts w:hint="eastAsia" w:ascii="宋体" w:hAnsi="宋体" w:cs="宋体"/>
          <w:sz w:val="21"/>
          <w:szCs w:val="21"/>
        </w:rPr>
        <w:t>年</w:t>
      </w:r>
      <w:r>
        <w:rPr>
          <w:rFonts w:hint="eastAsia" w:ascii="宋体" w:hAnsi="宋体" w:cs="宋体"/>
          <w:sz w:val="21"/>
          <w:szCs w:val="21"/>
          <w:u w:val="single"/>
          <w:lang w:val="en-US" w:eastAsia="zh-CN"/>
        </w:rPr>
        <w:t>11</w:t>
      </w:r>
      <w:r>
        <w:rPr>
          <w:rFonts w:hint="eastAsia" w:ascii="宋体" w:hAnsi="宋体" w:cs="宋体"/>
          <w:sz w:val="21"/>
          <w:szCs w:val="21"/>
        </w:rPr>
        <w:t>月</w:t>
      </w:r>
      <w:r>
        <w:rPr>
          <w:rFonts w:hint="eastAsia" w:ascii="宋体" w:hAnsi="宋体" w:cs="宋体"/>
          <w:sz w:val="21"/>
          <w:szCs w:val="21"/>
          <w:u w:val="single"/>
          <w:lang w:val="en-US" w:eastAsia="zh-CN"/>
        </w:rPr>
        <w:t>9</w:t>
      </w:r>
      <w:r>
        <w:rPr>
          <w:rFonts w:hint="eastAsia" w:ascii="宋体" w:hAnsi="宋体" w:cs="宋体"/>
          <w:sz w:val="21"/>
          <w:szCs w:val="21"/>
        </w:rPr>
        <w:t>日1</w:t>
      </w:r>
      <w:r>
        <w:rPr>
          <w:rFonts w:ascii="宋体" w:hAnsi="宋体" w:cs="宋体"/>
          <w:sz w:val="21"/>
          <w:szCs w:val="21"/>
        </w:rPr>
        <w:t>0</w:t>
      </w:r>
      <w:r>
        <w:rPr>
          <w:rFonts w:hint="eastAsia" w:ascii="宋体" w:hAnsi="宋体" w:cs="宋体"/>
          <w:sz w:val="21"/>
          <w:szCs w:val="21"/>
        </w:rPr>
        <w:t>时00分（北京时间）。</w:t>
      </w:r>
    </w:p>
    <w:p>
      <w:pPr>
        <w:tabs>
          <w:tab w:val="left" w:pos="360"/>
        </w:tabs>
        <w:spacing w:line="360" w:lineRule="auto"/>
        <w:ind w:firstLine="420" w:firstLineChars="200"/>
        <w:rPr>
          <w:rFonts w:ascii="宋体" w:hAnsi="宋体"/>
          <w:sz w:val="21"/>
          <w:szCs w:val="21"/>
        </w:rPr>
      </w:pPr>
      <w:r>
        <w:rPr>
          <w:rFonts w:hint="eastAsia" w:ascii="宋体" w:hAnsi="宋体" w:cs="宋体"/>
          <w:sz w:val="21"/>
          <w:szCs w:val="21"/>
        </w:rPr>
        <w:t>5.2投标地点和开标地点：重庆市公共资源交易中心（地址：重庆市渝北区青枫北路6号渝兴广场B</w:t>
      </w:r>
      <w:r>
        <w:rPr>
          <w:rFonts w:ascii="宋体" w:hAnsi="宋体" w:cs="宋体"/>
          <w:sz w:val="21"/>
          <w:szCs w:val="21"/>
        </w:rPr>
        <w:t>9</w:t>
      </w:r>
      <w:r>
        <w:rPr>
          <w:rFonts w:hint="eastAsia" w:ascii="宋体" w:hAnsi="宋体" w:cs="宋体"/>
          <w:sz w:val="21"/>
          <w:szCs w:val="21"/>
        </w:rPr>
        <w:t>栋），具体详见交易中心当天开标大厅电子显示屏。</w:t>
      </w:r>
    </w:p>
    <w:p>
      <w:pPr>
        <w:spacing w:line="360" w:lineRule="auto"/>
        <w:ind w:firstLine="420" w:firstLineChars="200"/>
        <w:rPr>
          <w:rFonts w:ascii="宋体" w:hAnsi="宋体" w:cs="宋体"/>
          <w:sz w:val="21"/>
          <w:szCs w:val="21"/>
        </w:rPr>
      </w:pPr>
      <w:r>
        <w:rPr>
          <w:rFonts w:hint="eastAsia" w:ascii="宋体" w:hAnsi="宋体" w:cs="宋体"/>
          <w:sz w:val="21"/>
          <w:szCs w:val="21"/>
        </w:rPr>
        <w:t>5.3逾期送达的、未送达指定地点的或不按照招标文件要求密封的投标文件，招标人将予以拒收。</w:t>
      </w:r>
    </w:p>
    <w:p>
      <w:pPr>
        <w:pStyle w:val="3"/>
        <w:spacing w:before="0" w:after="0" w:line="360" w:lineRule="auto"/>
        <w:rPr>
          <w:rFonts w:ascii="宋体" w:hAnsi="宋体" w:cs="宋体"/>
          <w:sz w:val="26"/>
          <w:szCs w:val="26"/>
        </w:rPr>
      </w:pPr>
      <w:bookmarkStart w:id="20" w:name="_Toc234832850"/>
      <w:bookmarkStart w:id="21" w:name="_Toc25125"/>
      <w:bookmarkStart w:id="22" w:name="_Toc509841263"/>
      <w:bookmarkStart w:id="23" w:name="_Toc18247"/>
      <w:r>
        <w:rPr>
          <w:rFonts w:hint="eastAsia" w:ascii="宋体" w:hAnsi="宋体" w:cs="宋体"/>
          <w:sz w:val="26"/>
          <w:szCs w:val="26"/>
        </w:rPr>
        <w:t>6.发布公告的媒介</w:t>
      </w:r>
      <w:bookmarkEnd w:id="20"/>
      <w:bookmarkEnd w:id="21"/>
      <w:bookmarkEnd w:id="22"/>
      <w:bookmarkEnd w:id="23"/>
    </w:p>
    <w:p>
      <w:pPr>
        <w:tabs>
          <w:tab w:val="left" w:pos="360"/>
        </w:tabs>
        <w:spacing w:line="360" w:lineRule="auto"/>
        <w:ind w:firstLine="420" w:firstLineChars="200"/>
        <w:rPr>
          <w:rFonts w:ascii="宋体" w:hAnsi="宋体" w:cs="宋体"/>
          <w:sz w:val="21"/>
          <w:szCs w:val="21"/>
        </w:rPr>
      </w:pPr>
      <w:bookmarkStart w:id="24" w:name="_Toc509841264"/>
      <w:bookmarkStart w:id="25" w:name="_Toc16087"/>
      <w:bookmarkStart w:id="26" w:name="_Toc234832851"/>
      <w:r>
        <w:rPr>
          <w:rFonts w:hint="eastAsia" w:ascii="宋体" w:hAnsi="宋体" w:cs="宋体"/>
          <w:sz w:val="21"/>
          <w:szCs w:val="21"/>
        </w:rPr>
        <w:t>本次招标公告同时在中国招标投标公共服务平台、重庆市公共资源交易网、重庆高速集团官网、重庆高速集团招投标管理平台网上发布。</w:t>
      </w:r>
    </w:p>
    <w:p>
      <w:pPr>
        <w:pStyle w:val="3"/>
        <w:spacing w:before="0" w:after="0" w:line="360" w:lineRule="auto"/>
        <w:rPr>
          <w:rFonts w:ascii="宋体" w:hAnsi="宋体" w:cs="宋体"/>
          <w:sz w:val="26"/>
          <w:szCs w:val="26"/>
        </w:rPr>
      </w:pPr>
      <w:bookmarkStart w:id="27" w:name="_Toc7738"/>
      <w:r>
        <w:rPr>
          <w:rFonts w:hint="eastAsia" w:ascii="宋体" w:hAnsi="宋体" w:cs="宋体"/>
          <w:sz w:val="26"/>
          <w:szCs w:val="26"/>
        </w:rPr>
        <w:t>7.联系方式</w:t>
      </w:r>
      <w:bookmarkEnd w:id="24"/>
      <w:bookmarkEnd w:id="25"/>
      <w:bookmarkEnd w:id="26"/>
      <w:bookmarkEnd w:id="27"/>
    </w:p>
    <w:p>
      <w:pPr>
        <w:tabs>
          <w:tab w:val="left" w:pos="360"/>
        </w:tabs>
        <w:spacing w:line="360" w:lineRule="auto"/>
        <w:rPr>
          <w:rFonts w:hint="eastAsia" w:ascii="宋体" w:hAnsi="宋体" w:eastAsia="宋体" w:cs="宋体"/>
          <w:sz w:val="21"/>
          <w:szCs w:val="21"/>
          <w:lang w:eastAsia="zh-CN"/>
        </w:rPr>
      </w:pPr>
      <w:r>
        <w:rPr>
          <w:rFonts w:hint="eastAsia" w:ascii="宋体" w:hAnsi="宋体" w:cs="宋体"/>
          <w:sz w:val="21"/>
          <w:szCs w:val="21"/>
        </w:rPr>
        <w:t>招标人：</w:t>
      </w:r>
      <w:r>
        <w:rPr>
          <w:rFonts w:hint="eastAsia" w:ascii="宋体" w:hAnsi="宋体" w:cs="宋体"/>
          <w:sz w:val="21"/>
          <w:szCs w:val="21"/>
          <w:lang w:eastAsia="zh-CN"/>
        </w:rPr>
        <w:t>重庆高速公路集团有限公司东北营运分公司</w:t>
      </w:r>
    </w:p>
    <w:p>
      <w:pPr>
        <w:tabs>
          <w:tab w:val="left" w:pos="360"/>
        </w:tabs>
        <w:spacing w:line="360" w:lineRule="auto"/>
        <w:rPr>
          <w:rFonts w:ascii="宋体" w:hAnsi="宋体" w:cs="宋体"/>
          <w:sz w:val="21"/>
          <w:szCs w:val="21"/>
        </w:rPr>
      </w:pPr>
      <w:r>
        <w:rPr>
          <w:rFonts w:hint="eastAsia" w:ascii="宋体" w:hAnsi="宋体" w:cs="宋体"/>
          <w:sz w:val="21"/>
          <w:szCs w:val="21"/>
        </w:rPr>
        <w:t>地址：重庆市渝北区银杉路66号</w:t>
      </w:r>
      <w:bookmarkStart w:id="28" w:name="_GoBack"/>
      <w:bookmarkEnd w:id="28"/>
    </w:p>
    <w:p>
      <w:pPr>
        <w:tabs>
          <w:tab w:val="left" w:pos="360"/>
        </w:tabs>
        <w:spacing w:line="360" w:lineRule="auto"/>
        <w:rPr>
          <w:rFonts w:ascii="宋体" w:hAnsi="宋体" w:cs="宋体"/>
          <w:sz w:val="21"/>
          <w:szCs w:val="21"/>
        </w:rPr>
      </w:pPr>
      <w:r>
        <w:rPr>
          <w:rFonts w:hint="eastAsia" w:ascii="宋体" w:hAnsi="宋体" w:cs="宋体"/>
          <w:sz w:val="21"/>
          <w:szCs w:val="21"/>
        </w:rPr>
        <w:t>联系人：谢老师</w:t>
      </w:r>
    </w:p>
    <w:p>
      <w:pPr>
        <w:tabs>
          <w:tab w:val="left" w:pos="360"/>
        </w:tabs>
        <w:spacing w:line="360" w:lineRule="auto"/>
        <w:rPr>
          <w:rFonts w:ascii="宋体" w:hAnsi="宋体" w:cs="宋体"/>
          <w:sz w:val="21"/>
          <w:szCs w:val="21"/>
        </w:rPr>
      </w:pPr>
      <w:r>
        <w:rPr>
          <w:rFonts w:hint="eastAsia" w:ascii="宋体" w:hAnsi="宋体" w:cs="宋体"/>
          <w:sz w:val="21"/>
          <w:szCs w:val="21"/>
        </w:rPr>
        <w:t>电话：023-58338310</w:t>
      </w:r>
    </w:p>
    <w:p>
      <w:pPr>
        <w:tabs>
          <w:tab w:val="left" w:pos="360"/>
        </w:tabs>
        <w:spacing w:line="360" w:lineRule="auto"/>
        <w:rPr>
          <w:rFonts w:ascii="宋体" w:hAnsi="宋体" w:cs="宋体"/>
          <w:sz w:val="21"/>
          <w:szCs w:val="21"/>
        </w:rPr>
      </w:pPr>
      <w:r>
        <w:rPr>
          <w:rFonts w:hint="eastAsia" w:ascii="宋体" w:hAnsi="宋体" w:cs="宋体"/>
          <w:sz w:val="21"/>
          <w:szCs w:val="21"/>
        </w:rPr>
        <w:t>招标代理机构：重庆市五环工程建设管理有限公司</w:t>
      </w:r>
    </w:p>
    <w:p>
      <w:pPr>
        <w:topLinePunct/>
        <w:spacing w:line="360" w:lineRule="auto"/>
        <w:rPr>
          <w:rFonts w:ascii="宋体" w:hAnsi="宋体" w:cs="宋体"/>
          <w:sz w:val="21"/>
          <w:szCs w:val="21"/>
        </w:rPr>
      </w:pPr>
      <w:r>
        <w:rPr>
          <w:rFonts w:hint="eastAsia" w:ascii="宋体" w:hAnsi="宋体" w:cs="宋体"/>
          <w:sz w:val="21"/>
          <w:szCs w:val="21"/>
        </w:rPr>
        <w:t>地址：重庆市江北区五简路2号重咨大厦</w:t>
      </w:r>
    </w:p>
    <w:p>
      <w:pPr>
        <w:tabs>
          <w:tab w:val="left" w:pos="360"/>
        </w:tabs>
        <w:spacing w:line="360" w:lineRule="auto"/>
        <w:rPr>
          <w:rFonts w:ascii="宋体" w:hAnsi="宋体" w:cs="宋体"/>
          <w:sz w:val="21"/>
          <w:szCs w:val="21"/>
        </w:rPr>
      </w:pPr>
      <w:r>
        <w:rPr>
          <w:rFonts w:hint="eastAsia" w:ascii="宋体" w:hAnsi="宋体" w:cs="宋体"/>
          <w:sz w:val="21"/>
          <w:szCs w:val="21"/>
        </w:rPr>
        <w:t>联系人：</w:t>
      </w:r>
      <w:r>
        <w:rPr>
          <w:rFonts w:hint="eastAsia" w:ascii="宋体" w:hAnsi="宋体" w:cs="宋体"/>
          <w:sz w:val="21"/>
          <w:szCs w:val="21"/>
          <w:lang w:val="en-US" w:eastAsia="zh-CN"/>
        </w:rPr>
        <w:t>张</w:t>
      </w:r>
      <w:r>
        <w:rPr>
          <w:rFonts w:hint="eastAsia" w:ascii="宋体" w:hAnsi="宋体" w:cs="宋体"/>
          <w:sz w:val="21"/>
          <w:szCs w:val="21"/>
        </w:rPr>
        <w:t>先生</w:t>
      </w:r>
    </w:p>
    <w:p>
      <w:pPr>
        <w:tabs>
          <w:tab w:val="left" w:pos="360"/>
        </w:tabs>
        <w:spacing w:line="360" w:lineRule="auto"/>
        <w:rPr>
          <w:rFonts w:hint="default" w:ascii="宋体" w:hAnsi="宋体" w:eastAsia="宋体" w:cs="宋体"/>
          <w:sz w:val="21"/>
          <w:szCs w:val="21"/>
          <w:lang w:val="en-US" w:eastAsia="zh-CN"/>
        </w:rPr>
      </w:pPr>
      <w:r>
        <w:rPr>
          <w:rFonts w:hint="eastAsia" w:ascii="宋体" w:hAnsi="宋体" w:cs="宋体"/>
          <w:sz w:val="21"/>
          <w:szCs w:val="21"/>
        </w:rPr>
        <w:t>电话：023-</w:t>
      </w:r>
      <w:r>
        <w:rPr>
          <w:rFonts w:ascii="宋体" w:hAnsi="宋体" w:cs="宋体"/>
          <w:sz w:val="21"/>
          <w:szCs w:val="21"/>
        </w:rPr>
        <w:t>63</w:t>
      </w:r>
      <w:r>
        <w:rPr>
          <w:rFonts w:hint="eastAsia" w:ascii="宋体" w:hAnsi="宋体" w:cs="宋体"/>
          <w:sz w:val="21"/>
          <w:szCs w:val="21"/>
          <w:lang w:val="en-US" w:eastAsia="zh-CN"/>
        </w:rPr>
        <w:t>875872</w:t>
      </w:r>
    </w:p>
    <w:p>
      <w:pPr>
        <w:rPr>
          <w:rFonts w:hint="eastAsia"/>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753A89"/>
    <w:rsid w:val="0E36669F"/>
    <w:rsid w:val="14BF695F"/>
    <w:rsid w:val="3ADA6FB4"/>
    <w:rsid w:val="460710E0"/>
    <w:rsid w:val="471D7281"/>
    <w:rsid w:val="589228E6"/>
    <w:rsid w:val="62043F97"/>
    <w:rsid w:val="77753A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4">
    <w:name w:val="heading 2"/>
    <w:basedOn w:val="1"/>
    <w:next w:val="1"/>
    <w:qFormat/>
    <w:uiPriority w:val="0"/>
    <w:pPr>
      <w:keepNext/>
      <w:keepLines/>
      <w:spacing w:before="260" w:beforeLines="0" w:after="260" w:afterLines="0" w:line="415"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beforeLines="0" w:after="260" w:afterLines="0" w:line="415" w:lineRule="auto"/>
      <w:outlineLvl w:val="2"/>
    </w:pPr>
    <w:rPr>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style>
  <w:style w:type="paragraph" w:styleId="6">
    <w:name w:val="Normal Indent"/>
    <w:basedOn w:val="1"/>
    <w:qFormat/>
    <w:uiPriority w:val="99"/>
    <w:pPr>
      <w:ind w:firstLine="420" w:firstLineChars="200"/>
    </w:pPr>
  </w:style>
  <w:style w:type="paragraph" w:styleId="7">
    <w:name w:val="toc 1"/>
    <w:basedOn w:val="1"/>
    <w:next w:val="1"/>
    <w:qFormat/>
    <w:uiPriority w:val="39"/>
    <w:pPr>
      <w:tabs>
        <w:tab w:val="right" w:leader="dot" w:pos="8805"/>
      </w:tabs>
      <w:spacing w:line="440" w:lineRule="exact"/>
      <w:jc w:val="center"/>
    </w:pPr>
    <w:rPr>
      <w:color w:val="000000"/>
      <w:sz w:val="20"/>
      <w:szCs w:val="20"/>
    </w:rPr>
  </w:style>
  <w:style w:type="paragraph" w:styleId="8">
    <w:name w:val="Title"/>
    <w:basedOn w:val="1"/>
    <w:link w:val="11"/>
    <w:qFormat/>
    <w:uiPriority w:val="0"/>
    <w:pPr>
      <w:adjustRightInd w:val="0"/>
      <w:spacing w:before="240" w:after="60" w:line="420" w:lineRule="atLeast"/>
      <w:jc w:val="center"/>
      <w:textAlignment w:val="baseline"/>
      <w:outlineLvl w:val="0"/>
    </w:pPr>
    <w:rPr>
      <w:rFonts w:ascii="Arial" w:hAnsi="Arial" w:cs="Arial"/>
      <w:b/>
      <w:bCs/>
      <w:kern w:val="0"/>
      <w:sz w:val="32"/>
      <w:szCs w:val="32"/>
    </w:rPr>
  </w:style>
  <w:style w:type="character" w:customStyle="1" w:styleId="11">
    <w:name w:val="标题 字符"/>
    <w:link w:val="8"/>
    <w:qFormat/>
    <w:locked/>
    <w:uiPriority w:val="0"/>
    <w:rPr>
      <w:rFonts w:ascii="Arial" w:hAnsi="Arial" w:cs="Arial"/>
      <w:b/>
      <w:bCs/>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2020-12-29T00:18:00Z</dcterms:created>
  <dc:creator>大熊猫</dc:creator>
  <cp:lastModifiedBy>大熊猫</cp:lastModifiedBy>
  <cp:lastPrinted>2021-10-18T09:20:00Z</cp:lastPrinted>
  <dcterms:modified xsi:type="dcterms:W3CDTF">2021-10-19T07:28:02Z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6673520341CE444D851A055EC92CFEF2</vt:lpwstr>
  </property>
</Properties>
</file>