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hint="eastAsia" w:ascii="方正小标宋_GBK" w:hAnsi="方正小标宋_GBK" w:eastAsia="方正小标宋_GBK" w:cs="方正小标宋_GBK"/>
          <w:bCs/>
          <w:color w:val="auto"/>
          <w:sz w:val="44"/>
          <w:highlight w:val="none"/>
          <w:lang w:eastAsia="zh-CN"/>
        </w:rPr>
      </w:pPr>
      <w:r>
        <w:rPr>
          <w:rFonts w:hint="eastAsia" w:ascii="方正小标宋_GBK" w:hAnsi="方正小标宋_GBK" w:eastAsia="方正小标宋_GBK" w:cs="方正小标宋_GBK"/>
          <w:bCs/>
          <w:color w:val="auto"/>
          <w:sz w:val="44"/>
          <w:highlight w:val="none"/>
          <w:lang w:eastAsia="zh-CN"/>
        </w:rPr>
        <w:t>重庆</w:t>
      </w:r>
      <w:r>
        <w:rPr>
          <w:rFonts w:hint="eastAsia" w:ascii="方正小标宋_GBK" w:hAnsi="方正小标宋_GBK" w:eastAsia="方正小标宋_GBK" w:cs="方正小标宋_GBK"/>
          <w:bCs/>
          <w:color w:val="auto"/>
          <w:sz w:val="44"/>
          <w:highlight w:val="none"/>
          <w:lang w:val="en-US" w:eastAsia="zh-CN"/>
        </w:rPr>
        <w:t>高速国储能源投资</w:t>
      </w:r>
      <w:r>
        <w:rPr>
          <w:rFonts w:hint="eastAsia" w:ascii="方正小标宋_GBK" w:hAnsi="方正小标宋_GBK" w:eastAsia="方正小标宋_GBK" w:cs="方正小标宋_GBK"/>
          <w:bCs/>
          <w:color w:val="auto"/>
          <w:sz w:val="44"/>
          <w:highlight w:val="none"/>
          <w:lang w:eastAsia="zh-CN"/>
        </w:rPr>
        <w:t>有限公司</w:t>
      </w:r>
    </w:p>
    <w:p>
      <w:pPr>
        <w:tabs>
          <w:tab w:val="left" w:pos="1440"/>
        </w:tabs>
        <w:spacing w:line="560" w:lineRule="exact"/>
        <w:jc w:val="center"/>
        <w:rPr>
          <w:rFonts w:hint="eastAsia" w:ascii="方正小标宋_GBK" w:hAnsi="方正小标宋_GBK" w:eastAsia="方正小标宋_GBK" w:cs="方正小标宋_GBK"/>
          <w:bCs/>
          <w:color w:val="auto"/>
          <w:sz w:val="44"/>
          <w:highlight w:val="none"/>
        </w:rPr>
      </w:pPr>
      <w:r>
        <w:rPr>
          <w:rFonts w:hint="eastAsia" w:ascii="方正小标宋_GBK" w:hAnsi="方正小标宋_GBK" w:eastAsia="方正小标宋_GBK" w:cs="方正小标宋_GBK"/>
          <w:bCs/>
          <w:color w:val="auto"/>
          <w:sz w:val="44"/>
          <w:highlight w:val="none"/>
        </w:rPr>
        <w:t>询价邀请函</w:t>
      </w:r>
    </w:p>
    <w:p>
      <w:pPr>
        <w:tabs>
          <w:tab w:val="left" w:pos="1440"/>
        </w:tabs>
        <w:spacing w:line="560" w:lineRule="exact"/>
        <w:jc w:val="center"/>
        <w:rPr>
          <w:rFonts w:hint="eastAsia" w:ascii="方正仿宋_GBK" w:hAnsi="方正仿宋_GBK" w:eastAsia="方正仿宋_GBK" w:cs="方正仿宋_GBK"/>
          <w:bCs/>
          <w:color w:val="auto"/>
          <w:sz w:val="44"/>
          <w:highlight w:val="none"/>
        </w:rPr>
      </w:pPr>
    </w:p>
    <w:p>
      <w:pPr>
        <w:ind w:firstLine="640" w:firstLineChars="200"/>
        <w:jc w:val="left"/>
        <w:rPr>
          <w:rFonts w:hint="eastAsia" w:ascii="方正仿宋_GBK" w:hAnsi="方正仿宋_GBK" w:eastAsia="方正仿宋_GBK" w:cs="方正仿宋_GBK"/>
          <w:color w:val="auto"/>
          <w:sz w:val="32"/>
          <w:highlight w:val="none"/>
          <w:u w:val="single"/>
        </w:rPr>
      </w:pPr>
      <w:r>
        <w:rPr>
          <w:rFonts w:hint="eastAsia" w:ascii="方正仿宋_GBK" w:hAnsi="方正仿宋_GBK" w:eastAsia="方正仿宋_GBK" w:cs="方正仿宋_GBK"/>
          <w:color w:val="auto"/>
          <w:sz w:val="32"/>
          <w:highlight w:val="none"/>
          <w:u w:val="single"/>
        </w:rPr>
        <w:t xml:space="preserve">                            （邀请单位）：</w:t>
      </w:r>
    </w:p>
    <w:p>
      <w:pPr>
        <w:ind w:firstLine="640" w:firstLineChars="200"/>
        <w:jc w:val="left"/>
        <w:rPr>
          <w:rFonts w:hint="eastAsia" w:ascii="方正仿宋_GBK" w:hAnsi="方正仿宋_GBK" w:eastAsia="方正仿宋_GBK" w:cs="方正仿宋_GBK"/>
          <w:color w:val="auto"/>
          <w:sz w:val="32"/>
          <w:highlight w:val="none"/>
        </w:rPr>
      </w:pP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u w:val="none"/>
          <w:lang w:eastAsia="zh-CN"/>
        </w:rPr>
        <w:t>重庆</w:t>
      </w:r>
      <w:r>
        <w:rPr>
          <w:rFonts w:hint="eastAsia" w:ascii="方正仿宋_GBK" w:hAnsi="方正仿宋_GBK" w:eastAsia="方正仿宋_GBK" w:cs="方正仿宋_GBK"/>
          <w:color w:val="auto"/>
          <w:sz w:val="32"/>
          <w:highlight w:val="none"/>
          <w:u w:val="none"/>
          <w:lang w:val="en-US" w:eastAsia="zh-CN"/>
        </w:rPr>
        <w:t>高速国储能源投资</w:t>
      </w:r>
      <w:r>
        <w:rPr>
          <w:rFonts w:hint="eastAsia" w:ascii="方正仿宋_GBK" w:hAnsi="方正仿宋_GBK" w:eastAsia="方正仿宋_GBK" w:cs="方正仿宋_GBK"/>
          <w:color w:val="auto"/>
          <w:sz w:val="32"/>
          <w:highlight w:val="none"/>
          <w:u w:val="none"/>
          <w:lang w:eastAsia="zh-CN"/>
        </w:rPr>
        <w:t>有限</w:t>
      </w:r>
      <w:r>
        <w:rPr>
          <w:rFonts w:hint="eastAsia" w:ascii="方正仿宋_GBK" w:hAnsi="方正仿宋_GBK" w:eastAsia="方正仿宋_GBK" w:cs="方正仿宋_GBK"/>
          <w:color w:val="auto"/>
          <w:sz w:val="32"/>
          <w:highlight w:val="none"/>
          <w:u w:val="none"/>
        </w:rPr>
        <w:t>公司拟对</w:t>
      </w:r>
      <w:r>
        <w:rPr>
          <w:rFonts w:hint="eastAsia" w:ascii="方正仿宋_GBK" w:hAnsi="方正仿宋_GBK" w:eastAsia="方正仿宋_GBK" w:cs="方正仿宋_GBK"/>
          <w:color w:val="auto"/>
          <w:sz w:val="32"/>
          <w:highlight w:val="none"/>
          <w:u w:val="none"/>
          <w:lang w:val="en-US" w:eastAsia="zh-CN"/>
        </w:rPr>
        <w:t>高速国储巴南服务区加油站人孔井改造</w:t>
      </w:r>
      <w:r>
        <w:rPr>
          <w:rFonts w:hint="eastAsia" w:ascii="方正仿宋_GBK" w:hAnsi="方正仿宋_GBK" w:eastAsia="方正仿宋_GBK" w:cs="方正仿宋_GBK"/>
          <w:color w:val="auto"/>
          <w:sz w:val="32"/>
          <w:highlight w:val="none"/>
          <w:u w:val="none"/>
          <w:lang w:eastAsia="zh-CN"/>
        </w:rPr>
        <w:t>工程</w:t>
      </w:r>
      <w:r>
        <w:rPr>
          <w:rFonts w:hint="eastAsia" w:ascii="方正仿宋_GBK" w:hAnsi="方正仿宋_GBK" w:eastAsia="方正仿宋_GBK" w:cs="方正仿宋_GBK"/>
          <w:color w:val="auto"/>
          <w:sz w:val="32"/>
          <w:highlight w:val="none"/>
          <w:u w:val="none"/>
        </w:rPr>
        <w:t>进行询价，现邀请贵单位参与该项目的询价投标。</w:t>
      </w:r>
    </w:p>
    <w:p>
      <w:pPr>
        <w:spacing w:line="52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此函</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1、联系人：</w:t>
      </w:r>
      <w:r>
        <w:rPr>
          <w:rFonts w:hint="eastAsia" w:ascii="方正仿宋_GBK" w:hAnsi="方正仿宋_GBK" w:eastAsia="方正仿宋_GBK" w:cs="方正仿宋_GBK"/>
          <w:color w:val="auto"/>
          <w:sz w:val="32"/>
          <w:szCs w:val="32"/>
          <w:highlight w:val="none"/>
          <w:lang w:val="en-US" w:eastAsia="zh-CN"/>
        </w:rPr>
        <w:t>刘振康</w:t>
      </w:r>
    </w:p>
    <w:p>
      <w:pPr>
        <w:pStyle w:val="6"/>
        <w:spacing w:line="560" w:lineRule="exact"/>
        <w:ind w:firstLine="681" w:firstLineChars="213"/>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2、联系电话及传真：</w:t>
      </w:r>
      <w:r>
        <w:rPr>
          <w:rFonts w:hint="eastAsia" w:ascii="方正仿宋_GBK" w:hAnsi="方正仿宋_GBK" w:eastAsia="方正仿宋_GBK" w:cs="方正仿宋_GBK"/>
          <w:color w:val="auto"/>
          <w:szCs w:val="21"/>
          <w:highlight w:val="none"/>
          <w:lang w:val="en-US" w:eastAsia="zh-CN"/>
        </w:rPr>
        <w:t>15998439035</w:t>
      </w:r>
      <w:r>
        <w:rPr>
          <w:rFonts w:hint="eastAsia" w:ascii="方正仿宋_GBK" w:hAnsi="方正仿宋_GBK" w:eastAsia="方正仿宋_GBK" w:cs="方正仿宋_GBK"/>
          <w:color w:val="auto"/>
          <w:sz w:val="32"/>
          <w:szCs w:val="32"/>
          <w:highlight w:val="none"/>
        </w:rPr>
        <w:t>、联系地址：</w:t>
      </w:r>
      <w:r>
        <w:rPr>
          <w:rFonts w:hint="eastAsia" w:ascii="方正仿宋_GBK" w:hAnsi="方正仿宋_GBK" w:eastAsia="方正仿宋_GBK" w:cs="方正仿宋_GBK"/>
          <w:color w:val="auto"/>
          <w:sz w:val="32"/>
          <w:szCs w:val="32"/>
          <w:highlight w:val="none"/>
          <w:lang w:val="en-US" w:eastAsia="zh-CN"/>
        </w:rPr>
        <w:t>渝</w:t>
      </w:r>
      <w:r>
        <w:rPr>
          <w:rFonts w:hint="eastAsia" w:ascii="方正仿宋_GBK" w:hAnsi="方正仿宋_GBK" w:eastAsia="方正仿宋_GBK" w:cs="方正仿宋_GBK"/>
          <w:color w:val="auto"/>
          <w:sz w:val="32"/>
          <w:szCs w:val="32"/>
          <w:highlight w:val="none"/>
        </w:rPr>
        <w:t>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lang w:eastAsia="zh-CN"/>
        </w:rPr>
        <w:t>第一章</w:t>
      </w:r>
      <w:r>
        <w:rPr>
          <w:rFonts w:hint="eastAsia" w:ascii="方正仿宋_GBK" w:hAnsi="方正仿宋_GBK" w:eastAsia="方正仿宋_GBK" w:cs="方正仿宋_GBK"/>
          <w:color w:val="auto"/>
          <w:sz w:val="32"/>
          <w:highlight w:val="none"/>
        </w:rPr>
        <w:t xml:space="preserve"> 招标文件</w:t>
      </w:r>
    </w:p>
    <w:p>
      <w:pPr>
        <w:ind w:firstLine="640" w:firstLineChars="200"/>
        <w:jc w:val="left"/>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lang w:eastAsia="zh-CN"/>
        </w:rPr>
        <w:t>第二章</w:t>
      </w:r>
      <w:r>
        <w:rPr>
          <w:rFonts w:hint="eastAsia" w:ascii="方正仿宋_GBK" w:hAnsi="方正仿宋_GBK" w:eastAsia="方正仿宋_GBK" w:cs="方正仿宋_GBK"/>
          <w:color w:val="auto"/>
          <w:sz w:val="32"/>
          <w:highlight w:val="none"/>
          <w:lang w:val="en-US" w:eastAsia="zh-CN"/>
        </w:rPr>
        <w:t xml:space="preserve">  主要清单限价</w:t>
      </w:r>
    </w:p>
    <w:p>
      <w:pPr>
        <w:ind w:firstLine="640" w:firstLineChars="200"/>
        <w:jc w:val="left"/>
        <w:rPr>
          <w:rFonts w:hint="eastAsia" w:ascii="方正仿宋_GBK" w:hAnsi="方正仿宋_GBK" w:eastAsia="方正仿宋_GBK" w:cs="方正仿宋_GBK"/>
          <w:color w:val="auto"/>
          <w:sz w:val="32"/>
          <w:highlight w:val="none"/>
          <w:lang w:eastAsia="zh-CN"/>
        </w:rPr>
      </w:pPr>
      <w:r>
        <w:rPr>
          <w:rFonts w:hint="eastAsia" w:ascii="方正仿宋_GBK" w:hAnsi="方正仿宋_GBK" w:eastAsia="方正仿宋_GBK" w:cs="方正仿宋_GBK"/>
          <w:color w:val="auto"/>
          <w:sz w:val="32"/>
          <w:highlight w:val="none"/>
          <w:lang w:eastAsia="zh-CN"/>
        </w:rPr>
        <w:t>第三章</w:t>
      </w:r>
      <w:r>
        <w:rPr>
          <w:rFonts w:hint="eastAsia" w:ascii="方正仿宋_GBK" w:hAnsi="方正仿宋_GBK" w:eastAsia="方正仿宋_GBK" w:cs="方正仿宋_GBK"/>
          <w:color w:val="auto"/>
          <w:sz w:val="32"/>
          <w:highlight w:val="none"/>
        </w:rPr>
        <w:t xml:space="preserve">  </w:t>
      </w:r>
      <w:r>
        <w:rPr>
          <w:rFonts w:hint="eastAsia" w:ascii="方正仿宋_GBK" w:hAnsi="方正仿宋_GBK" w:eastAsia="方正仿宋_GBK" w:cs="方正仿宋_GBK"/>
          <w:color w:val="auto"/>
          <w:sz w:val="32"/>
          <w:highlight w:val="none"/>
          <w:lang w:eastAsia="zh-CN"/>
        </w:rPr>
        <w:t>工程量清单</w:t>
      </w:r>
    </w:p>
    <w:p>
      <w:pPr>
        <w:ind w:firstLine="640" w:firstLineChars="200"/>
        <w:jc w:val="left"/>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lang w:val="en-US" w:eastAsia="zh-CN"/>
        </w:rPr>
        <w:t>第四章  技术标准及要求</w:t>
      </w:r>
    </w:p>
    <w:p>
      <w:pPr>
        <w:ind w:firstLine="640" w:firstLineChars="200"/>
        <w:jc w:val="left"/>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lang w:val="en-US" w:eastAsia="zh-CN"/>
        </w:rPr>
        <w:t>第五章</w:t>
      </w:r>
      <w:r>
        <w:rPr>
          <w:rFonts w:hint="eastAsia" w:ascii="方正仿宋_GBK" w:hAnsi="方正仿宋_GBK" w:eastAsia="方正仿宋_GBK" w:cs="方正仿宋_GBK"/>
          <w:color w:val="auto"/>
          <w:sz w:val="32"/>
          <w:highlight w:val="none"/>
        </w:rPr>
        <w:t xml:space="preserve"> </w:t>
      </w:r>
      <w:r>
        <w:rPr>
          <w:rFonts w:hint="eastAsia" w:ascii="方正仿宋_GBK" w:hAnsi="方正仿宋_GBK" w:eastAsia="方正仿宋_GBK" w:cs="方正仿宋_GBK"/>
          <w:color w:val="auto"/>
          <w:sz w:val="32"/>
          <w:highlight w:val="none"/>
          <w:lang w:val="en-US" w:eastAsia="zh-CN"/>
        </w:rPr>
        <w:t xml:space="preserve"> 投</w:t>
      </w:r>
      <w:r>
        <w:rPr>
          <w:rFonts w:hint="eastAsia" w:ascii="方正仿宋_GBK" w:hAnsi="方正仿宋_GBK" w:eastAsia="方正仿宋_GBK" w:cs="方正仿宋_GBK"/>
          <w:color w:val="auto"/>
          <w:sz w:val="32"/>
          <w:highlight w:val="none"/>
        </w:rPr>
        <w:t>标文件</w:t>
      </w:r>
    </w:p>
    <w:p>
      <w:pPr>
        <w:jc w:val="left"/>
        <w:rPr>
          <w:rFonts w:hint="eastAsia" w:ascii="方正仿宋_GBK" w:hAnsi="方正仿宋_GBK" w:eastAsia="方正仿宋_GBK" w:cs="方正仿宋_GBK"/>
          <w:color w:val="auto"/>
          <w:sz w:val="32"/>
          <w:highlight w:val="none"/>
        </w:rPr>
      </w:pPr>
    </w:p>
    <w:p>
      <w:pPr>
        <w:pStyle w:val="6"/>
        <w:spacing w:line="560" w:lineRule="exact"/>
        <w:ind w:firstLine="729" w:firstLineChars="228"/>
        <w:jc w:val="right"/>
        <w:rPr>
          <w:rFonts w:hint="eastAsia" w:ascii="方正仿宋_GBK" w:hAnsi="方正仿宋_GBK" w:eastAsia="方正仿宋_GBK" w:cs="方正仿宋_GBK"/>
          <w:color w:val="auto"/>
          <w:sz w:val="32"/>
          <w:szCs w:val="24"/>
          <w:highlight w:val="none"/>
          <w:u w:val="single"/>
        </w:rPr>
      </w:pPr>
      <w:r>
        <w:rPr>
          <w:rFonts w:hint="eastAsia" w:ascii="方正仿宋_GBK" w:hAnsi="方正仿宋_GBK" w:eastAsia="方正仿宋_GBK" w:cs="方正仿宋_GBK"/>
          <w:color w:val="auto"/>
          <w:sz w:val="32"/>
          <w:szCs w:val="24"/>
          <w:highlight w:val="none"/>
          <w:u w:val="single"/>
        </w:rPr>
        <w:t>（询价单位）：</w:t>
      </w:r>
      <w:r>
        <w:rPr>
          <w:rFonts w:hint="eastAsia" w:ascii="方正仿宋_GBK" w:hAnsi="方正仿宋_GBK" w:eastAsia="方正仿宋_GBK" w:cs="方正仿宋_GBK"/>
          <w:color w:val="auto"/>
          <w:sz w:val="32"/>
          <w:szCs w:val="24"/>
          <w:highlight w:val="none"/>
          <w:u w:val="single"/>
          <w:lang w:val="en-US" w:eastAsia="zh-CN"/>
        </w:rPr>
        <w:t>高速国储能源投资有限公司</w:t>
      </w:r>
    </w:p>
    <w:p>
      <w:pPr>
        <w:pStyle w:val="6"/>
        <w:wordWrap w:val="0"/>
        <w:spacing w:line="560" w:lineRule="exact"/>
        <w:ind w:firstLine="729" w:firstLineChars="228"/>
        <w:jc w:val="right"/>
        <w:rPr>
          <w:rFonts w:hint="eastAsia" w:ascii="方正仿宋_GBK" w:hAnsi="方正仿宋_GBK" w:eastAsia="方正仿宋_GBK" w:cs="方正仿宋_GBK"/>
          <w:color w:val="auto"/>
          <w:sz w:val="32"/>
          <w:szCs w:val="24"/>
          <w:highlight w:val="none"/>
        </w:rPr>
      </w:pPr>
      <w:r>
        <w:rPr>
          <w:rFonts w:hint="eastAsia" w:ascii="方正仿宋_GBK" w:hAnsi="方正仿宋_GBK" w:eastAsia="方正仿宋_GBK" w:cs="方正仿宋_GBK"/>
          <w:color w:val="auto"/>
          <w:sz w:val="32"/>
          <w:szCs w:val="24"/>
          <w:highlight w:val="none"/>
        </w:rPr>
        <w:t>二○二</w:t>
      </w:r>
      <w:r>
        <w:rPr>
          <w:rFonts w:hint="eastAsia" w:ascii="方正仿宋_GBK" w:hAnsi="方正仿宋_GBK" w:eastAsia="方正仿宋_GBK" w:cs="方正仿宋_GBK"/>
          <w:color w:val="auto"/>
          <w:sz w:val="32"/>
          <w:szCs w:val="24"/>
          <w:highlight w:val="none"/>
          <w:lang w:val="en-US" w:eastAsia="zh-CN"/>
        </w:rPr>
        <w:t>一</w:t>
      </w:r>
      <w:r>
        <w:rPr>
          <w:rFonts w:hint="eastAsia" w:ascii="方正仿宋_GBK" w:hAnsi="方正仿宋_GBK" w:eastAsia="方正仿宋_GBK" w:cs="方正仿宋_GBK"/>
          <w:color w:val="auto"/>
          <w:sz w:val="32"/>
          <w:szCs w:val="24"/>
          <w:highlight w:val="none"/>
        </w:rPr>
        <w:t>年</w:t>
      </w:r>
      <w:r>
        <w:rPr>
          <w:rFonts w:hint="eastAsia" w:ascii="方正仿宋_GBK" w:hAnsi="方正仿宋_GBK" w:eastAsia="方正仿宋_GBK" w:cs="方正仿宋_GBK"/>
          <w:color w:val="auto"/>
          <w:sz w:val="32"/>
          <w:szCs w:val="24"/>
          <w:highlight w:val="none"/>
          <w:lang w:val="en-US" w:eastAsia="zh-CN"/>
        </w:rPr>
        <w:t>10</w:t>
      </w:r>
      <w:r>
        <w:rPr>
          <w:rFonts w:hint="eastAsia" w:ascii="方正仿宋_GBK" w:hAnsi="方正仿宋_GBK" w:eastAsia="方正仿宋_GBK" w:cs="方正仿宋_GBK"/>
          <w:color w:val="auto"/>
          <w:sz w:val="32"/>
          <w:szCs w:val="24"/>
          <w:highlight w:val="none"/>
        </w:rPr>
        <w:t>月</w:t>
      </w:r>
      <w:r>
        <w:rPr>
          <w:rFonts w:hint="eastAsia" w:ascii="方正仿宋_GBK" w:hAnsi="方正仿宋_GBK" w:eastAsia="方正仿宋_GBK" w:cs="方正仿宋_GBK"/>
          <w:color w:val="auto"/>
          <w:sz w:val="32"/>
          <w:szCs w:val="24"/>
          <w:highlight w:val="none"/>
          <w:lang w:val="en-US" w:eastAsia="zh-CN"/>
        </w:rPr>
        <w:t>19</w:t>
      </w:r>
      <w:r>
        <w:rPr>
          <w:rFonts w:hint="eastAsia" w:ascii="方正仿宋_GBK" w:hAnsi="方正仿宋_GBK" w:eastAsia="方正仿宋_GBK" w:cs="方正仿宋_GBK"/>
          <w:color w:val="auto"/>
          <w:sz w:val="32"/>
          <w:szCs w:val="24"/>
          <w:highlight w:val="none"/>
        </w:rPr>
        <w:t>日</w:t>
      </w:r>
    </w:p>
    <w:p>
      <w:pPr>
        <w:pStyle w:val="3"/>
        <w:numPr>
          <w:ilvl w:val="0"/>
          <w:numId w:val="0"/>
        </w:numPr>
        <w:jc w:val="center"/>
        <w:rPr>
          <w:rFonts w:hint="eastAsia" w:ascii="宋体" w:hAnsi="宋体" w:eastAsia="宋体"/>
          <w:b/>
          <w:color w:val="auto"/>
          <w:kern w:val="0"/>
          <w:highlight w:val="none"/>
        </w:rPr>
      </w:pPr>
      <w:r>
        <w:rPr>
          <w:rFonts w:hint="eastAsia" w:asciiTheme="minorEastAsia" w:hAnsiTheme="minorEastAsia" w:eastAsiaTheme="minorEastAsia"/>
          <w:color w:val="auto"/>
          <w:sz w:val="32"/>
          <w:highlight w:val="none"/>
        </w:rPr>
        <w:br w:type="page"/>
      </w:r>
      <w:bookmarkStart w:id="0" w:name="_Toc479101331"/>
      <w:r>
        <w:rPr>
          <w:rFonts w:hint="eastAsia" w:ascii="方正仿宋_GBK" w:hAnsi="方正仿宋_GBK" w:eastAsia="方正仿宋_GBK" w:cs="方正仿宋_GBK"/>
          <w:b/>
          <w:color w:val="auto"/>
          <w:kern w:val="0"/>
          <w:highlight w:val="none"/>
          <w:lang w:eastAsia="zh-CN"/>
        </w:rPr>
        <w:t>第一章</w:t>
      </w:r>
      <w:r>
        <w:rPr>
          <w:rFonts w:hint="eastAsia" w:ascii="方正仿宋_GBK" w:hAnsi="方正仿宋_GBK" w:eastAsia="方正仿宋_GBK" w:cs="方正仿宋_GBK"/>
          <w:b/>
          <w:color w:val="auto"/>
          <w:kern w:val="0"/>
          <w:highlight w:val="none"/>
        </w:rPr>
        <w:t xml:space="preserve">  招标公告</w:t>
      </w:r>
      <w:bookmarkEnd w:id="0"/>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招标概况</w:t>
      </w:r>
    </w:p>
    <w:p>
      <w:pPr>
        <w:pStyle w:val="6"/>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highlight w:val="none"/>
          <w:u w:val="none"/>
          <w:lang w:eastAsia="zh-CN"/>
        </w:rPr>
        <w:t>重庆</w:t>
      </w:r>
      <w:r>
        <w:rPr>
          <w:rFonts w:hint="eastAsia" w:ascii="方正仿宋_GBK" w:hAnsi="方正仿宋_GBK" w:eastAsia="方正仿宋_GBK" w:cs="方正仿宋_GBK"/>
          <w:color w:val="auto"/>
          <w:sz w:val="32"/>
          <w:highlight w:val="none"/>
          <w:u w:val="none"/>
          <w:lang w:val="en-US" w:eastAsia="zh-CN"/>
        </w:rPr>
        <w:t>高速国储能源投资</w:t>
      </w:r>
      <w:r>
        <w:rPr>
          <w:rFonts w:hint="eastAsia" w:ascii="方正仿宋_GBK" w:hAnsi="方正仿宋_GBK" w:eastAsia="方正仿宋_GBK" w:cs="方正仿宋_GBK"/>
          <w:color w:val="auto"/>
          <w:sz w:val="32"/>
          <w:highlight w:val="none"/>
          <w:u w:val="none"/>
          <w:lang w:eastAsia="zh-CN"/>
        </w:rPr>
        <w:t>有限</w:t>
      </w:r>
      <w:r>
        <w:rPr>
          <w:rFonts w:hint="eastAsia" w:ascii="方正仿宋_GBK" w:hAnsi="方正仿宋_GBK" w:eastAsia="方正仿宋_GBK" w:cs="方正仿宋_GBK"/>
          <w:color w:val="auto"/>
          <w:sz w:val="32"/>
          <w:highlight w:val="none"/>
          <w:u w:val="none"/>
        </w:rPr>
        <w:t>公司拟对</w:t>
      </w:r>
      <w:r>
        <w:rPr>
          <w:rFonts w:hint="eastAsia" w:ascii="方正仿宋_GBK" w:hAnsi="方正仿宋_GBK" w:eastAsia="方正仿宋_GBK" w:cs="方正仿宋_GBK"/>
          <w:color w:val="auto"/>
          <w:sz w:val="32"/>
          <w:highlight w:val="none"/>
          <w:u w:val="none"/>
          <w:lang w:val="en-US" w:eastAsia="zh-CN"/>
        </w:rPr>
        <w:t>高速国储巴南服务区加油站人孔井改造</w:t>
      </w:r>
      <w:r>
        <w:rPr>
          <w:rFonts w:hint="eastAsia" w:ascii="方正仿宋_GBK" w:hAnsi="方正仿宋_GBK" w:eastAsia="方正仿宋_GBK" w:cs="方正仿宋_GBK"/>
          <w:color w:val="auto"/>
          <w:sz w:val="32"/>
          <w:highlight w:val="none"/>
          <w:u w:val="none"/>
          <w:lang w:eastAsia="zh-CN"/>
        </w:rPr>
        <w:t>工程</w:t>
      </w:r>
      <w:r>
        <w:rPr>
          <w:rFonts w:hint="eastAsia" w:ascii="方正仿宋_GBK" w:hAnsi="方正仿宋_GBK" w:eastAsia="方正仿宋_GBK" w:cs="方正仿宋_GBK"/>
          <w:color w:val="auto"/>
          <w:sz w:val="32"/>
          <w:highlight w:val="none"/>
          <w:u w:val="none"/>
        </w:rPr>
        <w:t>进行询价</w:t>
      </w:r>
      <w:r>
        <w:rPr>
          <w:rFonts w:hint="eastAsia" w:ascii="方正仿宋_GBK" w:hAnsi="方正仿宋_GBK" w:eastAsia="方正仿宋_GBK" w:cs="方正仿宋_GBK"/>
          <w:color w:val="auto"/>
          <w:sz w:val="32"/>
          <w:szCs w:val="32"/>
          <w:highlight w:val="none"/>
          <w:u w:val="none"/>
        </w:rPr>
        <w:t>，将邀请不低于三家符合资</w:t>
      </w:r>
      <w:r>
        <w:rPr>
          <w:rFonts w:hint="eastAsia" w:ascii="方正仿宋_GBK" w:hAnsi="方正仿宋_GBK" w:eastAsia="方正仿宋_GBK" w:cs="方正仿宋_GBK"/>
          <w:color w:val="auto"/>
          <w:sz w:val="32"/>
          <w:szCs w:val="32"/>
          <w:highlight w:val="none"/>
        </w:rPr>
        <w:t>质要求的单位进行询价投标。</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招标内容</w:t>
      </w: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1、工程量清单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见附件。</w:t>
      </w:r>
    </w:p>
    <w:p>
      <w:pPr>
        <w:pStyle w:val="6"/>
        <w:spacing w:line="560" w:lineRule="exact"/>
        <w:ind w:left="0" w:leftChars="0" w:firstLine="0" w:firstLineChars="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2、</w:t>
      </w:r>
      <w:r>
        <w:rPr>
          <w:rFonts w:hint="eastAsia" w:ascii="方正仿宋_GBK" w:hAnsi="方正仿宋_GBK" w:eastAsia="方正仿宋_GBK" w:cs="方正仿宋_GBK"/>
          <w:color w:val="auto"/>
          <w:sz w:val="32"/>
          <w:szCs w:val="32"/>
          <w:highlight w:val="none"/>
        </w:rPr>
        <w:t>本项目工作期限为现场工期为</w:t>
      </w:r>
      <w:r>
        <w:rPr>
          <w:rFonts w:hint="eastAsia" w:ascii="方正仿宋_GBK" w:hAnsi="方正仿宋_GBK" w:eastAsia="方正仿宋_GBK" w:cs="方正仿宋_GBK"/>
          <w:color w:val="auto"/>
          <w:sz w:val="32"/>
          <w:szCs w:val="32"/>
          <w:highlight w:val="none"/>
          <w:lang w:val="en-US" w:eastAsia="zh-CN"/>
        </w:rPr>
        <w:t>二十</w:t>
      </w:r>
      <w:r>
        <w:rPr>
          <w:rFonts w:hint="eastAsia" w:ascii="方正仿宋_GBK" w:hAnsi="方正仿宋_GBK" w:eastAsia="方正仿宋_GBK" w:cs="方正仿宋_GBK"/>
          <w:color w:val="auto"/>
          <w:sz w:val="32"/>
          <w:szCs w:val="32"/>
          <w:highlight w:val="none"/>
        </w:rPr>
        <w:t>个日历日。</w:t>
      </w:r>
    </w:p>
    <w:p>
      <w:pPr>
        <w:spacing w:line="440" w:lineRule="exact"/>
        <w:ind w:firstLine="320" w:firstLineChars="1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、报价要求及说明</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以及合同明示或暗示的所有责任、义务和一般风险。除非发生工程变更，甲方不再支付其它任何费用，清单中明确不含的除外。</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招标人发布包括最高投标限价的工程量清单。投标人填写工程量清单中的单价、合价、总价，即可完成投标工程量清单的编制，确定投标报价，并打印出投标工程量清单，编入投标文件。</w:t>
      </w:r>
    </w:p>
    <w:p>
      <w:pPr>
        <w:pStyle w:val="5"/>
        <w:numPr>
          <w:ilvl w:val="0"/>
          <w:numId w:val="2"/>
        </w:numPr>
        <w:adjustRightInd w:val="0"/>
        <w:snapToGrid w:val="0"/>
        <w:spacing w:before="156" w:beforeLines="50" w:line="240" w:lineRule="auto"/>
        <w:ind w:left="1360" w:leftChars="0" w:hanging="720" w:firstLineChars="0"/>
        <w:outlineLvl w:val="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施工范围</w:t>
      </w:r>
    </w:p>
    <w:p>
      <w:pPr>
        <w:pStyle w:val="6"/>
        <w:numPr>
          <w:ilvl w:val="0"/>
          <w:numId w:val="0"/>
        </w:numPr>
        <w:spacing w:line="560" w:lineRule="exact"/>
        <w:ind w:left="640" w:leftChars="0"/>
        <w:rPr>
          <w:rFonts w:hint="eastAsia" w:ascii="方正仿宋_GBK" w:hAnsi="方正仿宋_GBK" w:eastAsia="方正仿宋_GBK" w:cs="方正仿宋_GBK"/>
          <w:color w:val="auto"/>
          <w:sz w:val="32"/>
          <w:highlight w:val="none"/>
          <w:lang w:eastAsia="zh-CN"/>
        </w:rPr>
      </w:pPr>
      <w:r>
        <w:rPr>
          <w:rFonts w:hint="default" w:ascii="方正仿宋_GBK" w:hAnsi="方正仿宋_GBK" w:eastAsia="方正仿宋_GBK" w:cs="方正仿宋_GBK"/>
          <w:color w:val="auto"/>
          <w:kern w:val="2"/>
          <w:sz w:val="30"/>
          <w:szCs w:val="30"/>
          <w:highlight w:val="none"/>
          <w:lang w:val="en-US" w:eastAsia="zh-CN" w:bidi="ar-SA"/>
        </w:rPr>
        <w:t>本次施工区域为</w:t>
      </w:r>
      <w:r>
        <w:rPr>
          <w:rFonts w:hint="eastAsia" w:ascii="方正仿宋_GBK" w:hAnsi="方正仿宋_GBK" w:eastAsia="方正仿宋_GBK" w:cs="方正仿宋_GBK"/>
          <w:color w:val="auto"/>
          <w:kern w:val="2"/>
          <w:sz w:val="30"/>
          <w:szCs w:val="30"/>
          <w:highlight w:val="none"/>
          <w:lang w:val="en-US" w:eastAsia="zh-CN" w:bidi="ar-SA"/>
        </w:rPr>
        <w:t>高速国储巴南服务区加油站人孔井的相关</w:t>
      </w:r>
      <w:r>
        <w:rPr>
          <w:rFonts w:hint="eastAsia" w:ascii="方正仿宋_GBK" w:hAnsi="方正仿宋_GBK" w:eastAsia="方正仿宋_GBK" w:cs="方正仿宋_GBK"/>
          <w:color w:val="auto"/>
          <w:sz w:val="32"/>
          <w:highlight w:val="none"/>
          <w:lang w:val="en-US" w:eastAsia="zh-CN"/>
        </w:rPr>
        <w:t>事宜进行改造</w:t>
      </w:r>
      <w:r>
        <w:rPr>
          <w:rFonts w:hint="eastAsia" w:ascii="方正仿宋_GBK" w:hAnsi="方正仿宋_GBK" w:eastAsia="方正仿宋_GBK" w:cs="方正仿宋_GBK"/>
          <w:color w:val="auto"/>
          <w:sz w:val="32"/>
          <w:highlight w:val="none"/>
          <w:lang w:eastAsia="zh-CN"/>
        </w:rPr>
        <w:t>。</w:t>
      </w:r>
    </w:p>
    <w:p>
      <w:pPr>
        <w:pStyle w:val="6"/>
        <w:numPr>
          <w:ilvl w:val="0"/>
          <w:numId w:val="0"/>
        </w:numPr>
        <w:spacing w:line="560" w:lineRule="exact"/>
        <w:ind w:left="640"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对投标人的要求</w:t>
      </w:r>
    </w:p>
    <w:p>
      <w:pPr>
        <w:pStyle w:val="6"/>
        <w:numPr>
          <w:ilvl w:val="0"/>
          <w:numId w:val="0"/>
        </w:numPr>
        <w:spacing w:line="560" w:lineRule="exact"/>
        <w:ind w:left="640"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1、资质要求：</w:t>
      </w:r>
    </w:p>
    <w:p>
      <w:pPr>
        <w:pStyle w:val="6"/>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（1）、满足施工总承包三级及以上资质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p>
    <w:p>
      <w:pPr>
        <w:pStyle w:val="6"/>
        <w:numPr>
          <w:ilvl w:val="0"/>
          <w:numId w:val="0"/>
        </w:numPr>
        <w:spacing w:line="560" w:lineRule="exact"/>
        <w:ind w:left="640" w:leftChars="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2、业绩要求：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方正仿宋_GBK" w:hAnsi="方正仿宋_GBK" w:eastAsia="方正仿宋_GBK" w:cs="方正仿宋_GBK"/>
          <w:b w:val="0"/>
          <w:bCs w:val="0"/>
          <w:caps w:val="0"/>
          <w:color w:val="auto"/>
          <w:kern w:val="2"/>
          <w:sz w:val="32"/>
          <w:szCs w:val="32"/>
          <w:highlight w:val="none"/>
          <w:lang w:val="en-US" w:eastAsia="zh-CN" w:bidi="ar-SA"/>
        </w:rPr>
      </w:pPr>
      <w:r>
        <w:rPr>
          <w:rFonts w:hint="eastAsia" w:ascii="方正仿宋_GBK" w:hAnsi="方正仿宋_GBK" w:eastAsia="方正仿宋_GBK" w:cs="方正仿宋_GBK"/>
          <w:b w:val="0"/>
          <w:bCs w:val="0"/>
          <w:caps w:val="0"/>
          <w:color w:val="auto"/>
          <w:kern w:val="2"/>
          <w:sz w:val="32"/>
          <w:szCs w:val="32"/>
          <w:highlight w:val="none"/>
          <w:lang w:val="en-US" w:eastAsia="zh-CN" w:bidi="ar-SA"/>
        </w:rPr>
        <w:t xml:space="preserve">     签订合同日或交工日在三年内（2018年10月18至2021年10月18日）独立完成过至少一个加油站维修、整改、检测或抢修等项目。</w:t>
      </w:r>
    </w:p>
    <w:p>
      <w:pPr>
        <w:pStyle w:val="6"/>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方正仿宋_GBK" w:hAnsi="方正仿宋_GBK" w:eastAsia="方正仿宋_GBK" w:cs="方正仿宋_GBK"/>
          <w:b w:val="0"/>
          <w:bCs w:val="0"/>
          <w:caps w:val="0"/>
          <w:color w:val="auto"/>
          <w:kern w:val="2"/>
          <w:sz w:val="32"/>
          <w:szCs w:val="32"/>
          <w:highlight w:val="none"/>
          <w:lang w:val="en-US" w:eastAsia="zh-CN" w:bidi="ar-SA"/>
        </w:rPr>
      </w:pPr>
    </w:p>
    <w:p>
      <w:pPr>
        <w:pStyle w:val="2"/>
        <w:ind w:firstLine="64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、投标报价工程量清单和报价汇总表按照附件进行填报。</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投标和开标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1、投标：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时间：</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22</w:t>
      </w:r>
      <w:r>
        <w:rPr>
          <w:rFonts w:hint="eastAsia" w:ascii="方正仿宋_GBK" w:hAnsi="方正仿宋_GBK" w:eastAsia="方正仿宋_GBK" w:cs="方正仿宋_GBK"/>
          <w:color w:val="auto"/>
          <w:sz w:val="32"/>
          <w:szCs w:val="32"/>
          <w:highlight w:val="none"/>
        </w:rPr>
        <w:t>日9：</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0</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2、开标：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时间：</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22</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0-10：</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0</w:t>
      </w:r>
    </w:p>
    <w:p>
      <w:pPr>
        <w:pStyle w:val="6"/>
        <w:spacing w:line="560" w:lineRule="exact"/>
        <w:ind w:firstLine="675" w:firstLineChars="211"/>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投标文件由以下部分文件组成</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1、投标函、投标函附录、报价清单</w:t>
      </w:r>
    </w:p>
    <w:p>
      <w:pPr>
        <w:pStyle w:val="6"/>
        <w:tabs>
          <w:tab w:val="left" w:pos="632"/>
        </w:tabs>
        <w:spacing w:line="560" w:lineRule="exact"/>
        <w:ind w:left="-258" w:leftChars="-86" w:firstLine="976" w:firstLineChars="305"/>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2、投标人资质证明（提供营业执照、组织机构代码证等）</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3、法定代表人身份证明及授权委托书</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4、投标人基本情况表</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5、主要人员简历表</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6、近年完成的类似项目情况表</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联系方式</w:t>
      </w:r>
    </w:p>
    <w:p>
      <w:pPr>
        <w:pStyle w:val="6"/>
        <w:spacing w:line="560" w:lineRule="exact"/>
        <w:ind w:firstLine="681" w:firstLineChars="21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1、联系人：</w:t>
      </w:r>
      <w:r>
        <w:rPr>
          <w:rFonts w:hint="eastAsia" w:ascii="方正仿宋_GBK" w:hAnsi="方正仿宋_GBK" w:eastAsia="方正仿宋_GBK" w:cs="方正仿宋_GBK"/>
          <w:color w:val="auto"/>
          <w:sz w:val="32"/>
          <w:szCs w:val="32"/>
          <w:highlight w:val="none"/>
          <w:lang w:val="en-US" w:eastAsia="zh-CN"/>
        </w:rPr>
        <w:t>刘</w:t>
      </w:r>
      <w:r>
        <w:rPr>
          <w:rFonts w:hint="eastAsia" w:ascii="方正仿宋_GBK" w:hAnsi="方正仿宋_GBK" w:eastAsia="方正仿宋_GBK" w:cs="方正仿宋_GBK"/>
          <w:color w:val="auto"/>
          <w:sz w:val="32"/>
          <w:szCs w:val="32"/>
          <w:highlight w:val="none"/>
        </w:rPr>
        <w:t>先生</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2、联系电话及传真：</w:t>
      </w:r>
      <w:r>
        <w:rPr>
          <w:rFonts w:hint="eastAsia" w:ascii="方正仿宋_GBK" w:hAnsi="方正仿宋_GBK" w:eastAsia="方正仿宋_GBK" w:cs="方正仿宋_GBK"/>
          <w:color w:val="auto"/>
          <w:sz w:val="32"/>
          <w:szCs w:val="32"/>
          <w:highlight w:val="none"/>
          <w:lang w:val="en-US" w:eastAsia="zh-CN"/>
        </w:rPr>
        <w:t>15998439035</w:t>
      </w:r>
      <w:r>
        <w:rPr>
          <w:rFonts w:hint="eastAsia" w:ascii="方正仿宋_GBK" w:hAnsi="方正仿宋_GBK" w:eastAsia="方正仿宋_GBK" w:cs="方正仿宋_GBK"/>
          <w:color w:val="auto"/>
          <w:sz w:val="32"/>
          <w:szCs w:val="32"/>
          <w:highlight w:val="none"/>
        </w:rPr>
        <w:t>、联系地址：渝北区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投标书（密封贴上封条，封条与密封口加盖骑缝公</w:t>
      </w:r>
    </w:p>
    <w:p>
      <w:pPr>
        <w:pStyle w:val="6"/>
        <w:numPr>
          <w:ilvl w:val="0"/>
          <w:numId w:val="0"/>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章）制好后，于投标截止日前送交</w:t>
      </w:r>
      <w:r>
        <w:rPr>
          <w:rFonts w:hint="eastAsia" w:ascii="方正仿宋_GBK" w:hAnsi="方正仿宋_GBK" w:eastAsia="方正仿宋_GBK" w:cs="方正仿宋_GBK"/>
          <w:b/>
          <w:bCs/>
          <w:color w:val="auto"/>
          <w:sz w:val="32"/>
          <w:szCs w:val="32"/>
          <w:highlight w:val="none"/>
          <w:lang w:val="en-US" w:eastAsia="zh-CN"/>
        </w:rPr>
        <w:t>高速国储能源投资有限公司</w:t>
      </w:r>
      <w:r>
        <w:rPr>
          <w:rFonts w:hint="eastAsia" w:ascii="方正仿宋_GBK" w:hAnsi="方正仿宋_GBK" w:eastAsia="方正仿宋_GBK" w:cs="方正仿宋_GBK"/>
          <w:b/>
          <w:bCs/>
          <w:color w:val="auto"/>
          <w:sz w:val="32"/>
          <w:szCs w:val="32"/>
          <w:highlight w:val="none"/>
        </w:rPr>
        <w:t>。</w:t>
      </w:r>
    </w:p>
    <w:p>
      <w:pPr>
        <w:pStyle w:val="6"/>
        <w:numPr>
          <w:ilvl w:val="0"/>
          <w:numId w:val="2"/>
        </w:numPr>
        <w:spacing w:line="56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评标标准、投标无效、废标条件</w:t>
      </w:r>
    </w:p>
    <w:p>
      <w:pPr>
        <w:pStyle w:val="6"/>
        <w:spacing w:line="560" w:lineRule="exact"/>
        <w:ind w:left="640" w:firstLine="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1、评标办法</w:t>
      </w:r>
    </w:p>
    <w:p>
      <w:pPr>
        <w:spacing w:line="400" w:lineRule="exact"/>
        <w:rPr>
          <w:b/>
          <w:color w:val="auto"/>
          <w:szCs w:val="21"/>
          <w:highlight w:val="none"/>
        </w:rPr>
      </w:pPr>
      <w:r>
        <w:rPr>
          <w:b/>
          <w:color w:val="auto"/>
          <w:szCs w:val="21"/>
          <w:highlight w:val="none"/>
        </w:rPr>
        <w:t>评标办法（本项目采用综合评估法）：</w:t>
      </w:r>
    </w:p>
    <w:tbl>
      <w:tblPr>
        <w:tblStyle w:val="12"/>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初步评审</w:t>
            </w:r>
          </w:p>
        </w:tc>
        <w:tc>
          <w:tcPr>
            <w:tcW w:w="8221" w:type="dxa"/>
            <w:gridSpan w:val="3"/>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竞争性比选申请</w:t>
            </w:r>
            <w:r>
              <w:rPr>
                <w:color w:val="auto"/>
                <w:szCs w:val="21"/>
                <w:highlight w:val="none"/>
              </w:rPr>
              <w:t>文件按照</w:t>
            </w:r>
            <w:r>
              <w:rPr>
                <w:rFonts w:hint="eastAsia"/>
                <w:color w:val="auto"/>
                <w:szCs w:val="21"/>
                <w:highlight w:val="none"/>
              </w:rPr>
              <w:t>竞争性比选文件</w:t>
            </w:r>
            <w:r>
              <w:rPr>
                <w:color w:val="auto"/>
                <w:szCs w:val="21"/>
                <w:highlight w:val="none"/>
              </w:rPr>
              <w:t xml:space="preserve">规定的格式、内容填写，字迹清晰可辨； </w:t>
            </w:r>
          </w:p>
          <w:p>
            <w:pPr>
              <w:spacing w:line="400" w:lineRule="exact"/>
              <w:rPr>
                <w:color w:val="auto"/>
                <w:szCs w:val="21"/>
                <w:highlight w:val="none"/>
              </w:rPr>
            </w:pPr>
            <w:r>
              <w:rPr>
                <w:color w:val="auto"/>
                <w:szCs w:val="21"/>
                <w:highlight w:val="none"/>
              </w:rPr>
              <w:t>（2）</w:t>
            </w:r>
            <w:r>
              <w:rPr>
                <w:rFonts w:hint="eastAsia"/>
                <w:color w:val="auto"/>
                <w:szCs w:val="21"/>
                <w:highlight w:val="none"/>
              </w:rPr>
              <w:t>竞争性比选申请</w:t>
            </w:r>
            <w:r>
              <w:rPr>
                <w:color w:val="auto"/>
                <w:szCs w:val="21"/>
                <w:highlight w:val="none"/>
              </w:rPr>
              <w:t>文件上法定代表人或其授权代理人的签字、</w:t>
            </w:r>
            <w:r>
              <w:rPr>
                <w:rFonts w:hint="eastAsia"/>
                <w:color w:val="auto"/>
                <w:szCs w:val="21"/>
                <w:highlight w:val="none"/>
              </w:rPr>
              <w:t>比选申请人</w:t>
            </w:r>
            <w:r>
              <w:rPr>
                <w:color w:val="auto"/>
                <w:szCs w:val="21"/>
                <w:highlight w:val="none"/>
              </w:rPr>
              <w:t>的单位公章齐全，符合</w:t>
            </w:r>
            <w:r>
              <w:rPr>
                <w:rFonts w:hint="eastAsia"/>
                <w:color w:val="auto"/>
                <w:szCs w:val="21"/>
                <w:highlight w:val="none"/>
              </w:rPr>
              <w:t>竞争性比选文件</w:t>
            </w:r>
            <w:r>
              <w:rPr>
                <w:color w:val="auto"/>
                <w:szCs w:val="21"/>
                <w:highlight w:val="none"/>
              </w:rPr>
              <w:t>规定；</w:t>
            </w:r>
          </w:p>
          <w:p>
            <w:pPr>
              <w:spacing w:line="400" w:lineRule="exac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比选申请人</w:t>
            </w:r>
            <w:r>
              <w:rPr>
                <w:color w:val="auto"/>
                <w:szCs w:val="21"/>
                <w:highlight w:val="none"/>
              </w:rPr>
              <w:t>按照前述要求提供了法定代表人的授权委托书或法定代表人身份证明；</w:t>
            </w:r>
          </w:p>
          <w:p>
            <w:pPr>
              <w:spacing w:line="400" w:lineRule="exac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比选申请人资格符合竞争性比选文件规定的资格要求；</w:t>
            </w:r>
          </w:p>
          <w:p>
            <w:pPr>
              <w:spacing w:line="400" w:lineRule="exac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w:t>
            </w:r>
            <w:r>
              <w:rPr>
                <w:rFonts w:hint="eastAsia"/>
                <w:color w:val="auto"/>
                <w:szCs w:val="21"/>
                <w:highlight w:val="none"/>
              </w:rPr>
              <w:t>比选申请人</w:t>
            </w:r>
            <w:r>
              <w:rPr>
                <w:color w:val="auto"/>
                <w:szCs w:val="21"/>
                <w:highlight w:val="none"/>
              </w:rPr>
              <w:t>未提供虚假资料；</w:t>
            </w:r>
          </w:p>
          <w:p>
            <w:pPr>
              <w:spacing w:line="400" w:lineRule="exac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）在报价</w:t>
            </w:r>
            <w:r>
              <w:rPr>
                <w:rFonts w:hint="eastAsia"/>
                <w:color w:val="auto"/>
                <w:szCs w:val="21"/>
                <w:highlight w:val="none"/>
              </w:rPr>
              <w:t>书</w:t>
            </w:r>
            <w:r>
              <w:rPr>
                <w:color w:val="auto"/>
                <w:szCs w:val="21"/>
                <w:highlight w:val="none"/>
              </w:rPr>
              <w:t>上填写了</w:t>
            </w:r>
            <w:r>
              <w:rPr>
                <w:rFonts w:hint="eastAsia"/>
                <w:color w:val="auto"/>
                <w:szCs w:val="21"/>
                <w:highlight w:val="none"/>
              </w:rPr>
              <w:t>竞标</w:t>
            </w:r>
            <w:r>
              <w:rPr>
                <w:color w:val="auto"/>
                <w:szCs w:val="21"/>
                <w:highlight w:val="none"/>
              </w:rPr>
              <w:t>总价（包括大写金额和小写金额），</w:t>
            </w:r>
            <w:r>
              <w:rPr>
                <w:rFonts w:hint="eastAsia"/>
                <w:color w:val="auto"/>
                <w:szCs w:val="21"/>
                <w:highlight w:val="none"/>
              </w:rPr>
              <w:t>竞标</w:t>
            </w:r>
            <w:r>
              <w:rPr>
                <w:color w:val="auto"/>
                <w:szCs w:val="21"/>
                <w:highlight w:val="none"/>
              </w:rPr>
              <w:t>总价和全费用综合单价不</w:t>
            </w:r>
            <w:r>
              <w:rPr>
                <w:rFonts w:hint="eastAsia"/>
                <w:color w:val="auto"/>
                <w:szCs w:val="21"/>
                <w:highlight w:val="none"/>
              </w:rPr>
              <w:t>得</w:t>
            </w:r>
            <w:r>
              <w:rPr>
                <w:color w:val="auto"/>
                <w:szCs w:val="21"/>
                <w:highlight w:val="none"/>
              </w:rPr>
              <w:t>高于</w:t>
            </w:r>
            <w:r>
              <w:rPr>
                <w:rFonts w:hint="eastAsia"/>
                <w:color w:val="auto"/>
                <w:szCs w:val="21"/>
                <w:highlight w:val="none"/>
              </w:rPr>
              <w:t>比选</w:t>
            </w:r>
            <w:r>
              <w:rPr>
                <w:color w:val="auto"/>
                <w:szCs w:val="21"/>
                <w:highlight w:val="none"/>
              </w:rPr>
              <w:t>人公布的</w:t>
            </w:r>
            <w:r>
              <w:rPr>
                <w:rFonts w:hint="eastAsia"/>
                <w:color w:val="auto"/>
                <w:szCs w:val="21"/>
                <w:highlight w:val="none"/>
              </w:rPr>
              <w:t>相应</w:t>
            </w:r>
            <w:r>
              <w:rPr>
                <w:color w:val="auto"/>
                <w:szCs w:val="21"/>
                <w:highlight w:val="none"/>
              </w:rPr>
              <w:t>最高限价，且报价唯一；</w:t>
            </w:r>
          </w:p>
          <w:p>
            <w:pPr>
              <w:spacing w:line="400" w:lineRule="exact"/>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w:t>
            </w:r>
            <w:r>
              <w:rPr>
                <w:rFonts w:hint="eastAsia"/>
                <w:color w:val="auto"/>
                <w:szCs w:val="21"/>
                <w:highlight w:val="none"/>
              </w:rPr>
              <w:t>比选申请人</w:t>
            </w:r>
            <w:r>
              <w:rPr>
                <w:color w:val="auto"/>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详细评审</w:t>
            </w:r>
          </w:p>
        </w:tc>
        <w:tc>
          <w:tcPr>
            <w:tcW w:w="8221" w:type="dxa"/>
            <w:gridSpan w:val="3"/>
            <w:vAlign w:val="center"/>
          </w:tcPr>
          <w:p>
            <w:pPr>
              <w:spacing w:line="400" w:lineRule="exact"/>
              <w:jc w:val="left"/>
              <w:rPr>
                <w:b/>
                <w:color w:val="auto"/>
                <w:szCs w:val="21"/>
                <w:highlight w:val="none"/>
              </w:rPr>
            </w:pPr>
            <w:r>
              <w:rPr>
                <w:b/>
                <w:color w:val="auto"/>
                <w:szCs w:val="21"/>
                <w:highlight w:val="none"/>
              </w:rPr>
              <w:t>评审因素</w:t>
            </w:r>
            <w:r>
              <w:rPr>
                <w:color w:val="auto"/>
                <w:szCs w:val="21"/>
                <w:highlight w:val="none"/>
              </w:rPr>
              <w:tab/>
            </w:r>
            <w:r>
              <w:rPr>
                <w:color w:val="auto"/>
                <w:szCs w:val="21"/>
                <w:highlight w:val="none"/>
              </w:rPr>
              <w:t xml:space="preserve">                               </w:t>
            </w:r>
            <w:r>
              <w:rPr>
                <w:b/>
                <w:color w:val="auto"/>
                <w:szCs w:val="21"/>
                <w:highlight w:val="none"/>
              </w:rPr>
              <w:t>评</w:t>
            </w:r>
            <w:r>
              <w:rPr>
                <w:rFonts w:hint="eastAsia"/>
                <w:b/>
                <w:color w:val="auto"/>
                <w:szCs w:val="21"/>
                <w:highlight w:val="none"/>
              </w:rPr>
              <w:t>分</w:t>
            </w:r>
            <w:r>
              <w:rPr>
                <w:b/>
                <w:color w:val="auto"/>
                <w:szCs w:val="21"/>
                <w:highlight w:val="none"/>
              </w:rPr>
              <w:t>值</w:t>
            </w:r>
          </w:p>
          <w:p>
            <w:pPr>
              <w:spacing w:line="400" w:lineRule="exact"/>
              <w:jc w:val="left"/>
              <w:rPr>
                <w:color w:val="auto"/>
                <w:highlight w:val="none"/>
              </w:rPr>
            </w:pPr>
            <w:r>
              <w:rPr>
                <w:color w:val="auto"/>
                <w:highlight w:val="none"/>
              </w:rPr>
              <w:t>（</w:t>
            </w:r>
            <w:r>
              <w:rPr>
                <w:rFonts w:hint="eastAsia"/>
                <w:color w:val="auto"/>
                <w:highlight w:val="none"/>
              </w:rPr>
              <w:t>一</w:t>
            </w:r>
            <w:r>
              <w:rPr>
                <w:color w:val="auto"/>
                <w:highlight w:val="none"/>
              </w:rPr>
              <w:t>）技术</w:t>
            </w:r>
            <w:r>
              <w:rPr>
                <w:rFonts w:hint="eastAsia"/>
                <w:color w:val="auto"/>
                <w:highlight w:val="none"/>
              </w:rPr>
              <w:t>部分</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lang w:val="en-US" w:eastAsia="zh-CN"/>
              </w:rPr>
              <w:t>20</w:t>
            </w:r>
            <w:r>
              <w:rPr>
                <w:color w:val="auto"/>
                <w:highlight w:val="none"/>
                <w:u w:val="single"/>
              </w:rPr>
              <w:t>分</w:t>
            </w:r>
          </w:p>
          <w:p>
            <w:pPr>
              <w:spacing w:line="400" w:lineRule="exact"/>
              <w:rPr>
                <w:color w:val="auto"/>
                <w:szCs w:val="21"/>
                <w:highlight w:val="none"/>
              </w:rPr>
            </w:pPr>
            <w:r>
              <w:rPr>
                <w:color w:val="auto"/>
                <w:szCs w:val="21"/>
                <w:highlight w:val="none"/>
              </w:rPr>
              <w:t>a.</w:t>
            </w:r>
            <w:r>
              <w:rPr>
                <w:rFonts w:hint="eastAsia"/>
                <w:color w:val="auto"/>
                <w:szCs w:val="21"/>
                <w:highlight w:val="none"/>
              </w:rPr>
              <w:t>施工组织设计</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u w:val="single"/>
                <w:lang w:val="en-US" w:eastAsia="zh-CN"/>
              </w:rPr>
              <w:t>10</w:t>
            </w:r>
            <w:r>
              <w:rPr>
                <w:color w:val="auto"/>
                <w:szCs w:val="21"/>
                <w:highlight w:val="none"/>
              </w:rPr>
              <w:t xml:space="preserve">分     </w:t>
            </w:r>
          </w:p>
          <w:p>
            <w:pPr>
              <w:spacing w:line="400" w:lineRule="exact"/>
              <w:rPr>
                <w:rFonts w:hint="default" w:eastAsia="宋体"/>
                <w:color w:val="auto"/>
                <w:highlight w:val="none"/>
                <w:lang w:val="en-US" w:eastAsia="zh-CN"/>
              </w:rPr>
            </w:pPr>
            <w:r>
              <w:rPr>
                <w:rFonts w:hint="eastAsia"/>
                <w:color w:val="auto"/>
                <w:szCs w:val="21"/>
                <w:highlight w:val="none"/>
              </w:rPr>
              <w:t>b</w:t>
            </w:r>
            <w:r>
              <w:rPr>
                <w:color w:val="auto"/>
                <w:szCs w:val="21"/>
                <w:highlight w:val="none"/>
              </w:rPr>
              <w:t>.</w:t>
            </w:r>
            <w:r>
              <w:rPr>
                <w:rFonts w:hint="eastAsia"/>
                <w:color w:val="auto"/>
                <w:szCs w:val="21"/>
                <w:highlight w:val="none"/>
              </w:rPr>
              <w:t>交通组织方案</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u w:val="single"/>
              </w:rPr>
              <w:t>10</w:t>
            </w:r>
            <w:r>
              <w:rPr>
                <w:color w:val="auto"/>
                <w:szCs w:val="21"/>
                <w:highlight w:val="none"/>
              </w:rPr>
              <w:t>分</w:t>
            </w:r>
          </w:p>
          <w:p>
            <w:pPr>
              <w:spacing w:line="400" w:lineRule="exact"/>
              <w:rPr>
                <w:rFonts w:hint="default"/>
                <w:color w:val="auto"/>
                <w:highlight w:val="none"/>
                <w:lang w:val="en-US" w:eastAsia="zh-CN"/>
              </w:rPr>
            </w:pPr>
            <w:r>
              <w:rPr>
                <w:color w:val="auto"/>
                <w:szCs w:val="21"/>
                <w:highlight w:val="none"/>
              </w:rPr>
              <w:t>（</w:t>
            </w:r>
            <w:r>
              <w:rPr>
                <w:rFonts w:hint="eastAsia"/>
                <w:color w:val="auto"/>
                <w:szCs w:val="21"/>
                <w:highlight w:val="none"/>
              </w:rPr>
              <w:t>二</w:t>
            </w:r>
            <w:r>
              <w:rPr>
                <w:color w:val="auto"/>
                <w:szCs w:val="21"/>
                <w:highlight w:val="none"/>
              </w:rPr>
              <w:t>）</w:t>
            </w:r>
            <w:r>
              <w:rPr>
                <w:rFonts w:hint="eastAsia"/>
                <w:color w:val="auto"/>
                <w:szCs w:val="21"/>
                <w:highlight w:val="none"/>
                <w:lang w:val="en-US" w:eastAsia="zh-CN"/>
              </w:rPr>
              <w:t>商务部分                              10分</w:t>
            </w:r>
          </w:p>
          <w:p>
            <w:pPr>
              <w:spacing w:line="400" w:lineRule="exact"/>
              <w:rPr>
                <w:color w:val="auto"/>
                <w:szCs w:val="21"/>
                <w:highlight w:val="none"/>
                <w:u w:val="single"/>
              </w:rPr>
            </w:pPr>
            <w:r>
              <w:rPr>
                <w:rFonts w:hint="eastAsia"/>
                <w:color w:val="auto"/>
                <w:szCs w:val="21"/>
                <w:highlight w:val="none"/>
                <w:lang w:val="en-US" w:eastAsia="zh-CN"/>
              </w:rPr>
              <w:t>（三）竞</w:t>
            </w:r>
            <w:r>
              <w:rPr>
                <w:rFonts w:hint="eastAsia"/>
                <w:color w:val="auto"/>
                <w:szCs w:val="21"/>
                <w:highlight w:val="none"/>
              </w:rPr>
              <w:t>标总报价</w:t>
            </w:r>
            <w:r>
              <w:rPr>
                <w:color w:val="auto"/>
                <w:szCs w:val="21"/>
                <w:highlight w:val="none"/>
              </w:rPr>
              <w:t>：</w:t>
            </w:r>
            <w:r>
              <w:rPr>
                <w:color w:val="auto"/>
                <w:szCs w:val="21"/>
                <w:highlight w:val="none"/>
              </w:rPr>
              <w:tab/>
            </w:r>
            <w:r>
              <w:rPr>
                <w:color w:val="auto"/>
                <w:szCs w:val="21"/>
                <w:highlight w:val="none"/>
              </w:rPr>
              <w:t xml:space="preserve">                       </w:t>
            </w:r>
            <w:r>
              <w:rPr>
                <w:color w:val="auto"/>
                <w:szCs w:val="22"/>
                <w:highlight w:val="none"/>
              </w:rPr>
              <w:t xml:space="preserve"> </w:t>
            </w:r>
            <w:r>
              <w:rPr>
                <w:color w:val="auto"/>
                <w:szCs w:val="22"/>
                <w:highlight w:val="none"/>
                <w:u w:val="single"/>
              </w:rPr>
              <w:t xml:space="preserve"> </w:t>
            </w:r>
            <w:r>
              <w:rPr>
                <w:rFonts w:hint="eastAsia"/>
                <w:color w:val="auto"/>
                <w:szCs w:val="22"/>
                <w:highlight w:val="none"/>
                <w:u w:val="single"/>
                <w:lang w:val="en-US" w:eastAsia="zh-CN"/>
              </w:rPr>
              <w:t>70</w:t>
            </w:r>
            <w:r>
              <w:rPr>
                <w:color w:val="auto"/>
                <w:szCs w:val="22"/>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澄清</w:t>
            </w:r>
          </w:p>
        </w:tc>
        <w:tc>
          <w:tcPr>
            <w:tcW w:w="8221" w:type="dxa"/>
            <w:gridSpan w:val="3"/>
            <w:vAlign w:val="center"/>
          </w:tcPr>
          <w:p>
            <w:pPr>
              <w:spacing w:line="400" w:lineRule="exact"/>
              <w:rPr>
                <w:color w:val="auto"/>
                <w:szCs w:val="21"/>
                <w:highlight w:val="none"/>
              </w:rPr>
            </w:pPr>
            <w:r>
              <w:rPr>
                <w:color w:val="auto"/>
                <w:szCs w:val="21"/>
                <w:highlight w:val="none"/>
              </w:rPr>
              <w:t>发生以下任</w:t>
            </w:r>
            <w:r>
              <w:rPr>
                <w:rFonts w:hint="eastAsia"/>
                <w:color w:val="auto"/>
                <w:szCs w:val="21"/>
                <w:highlight w:val="none"/>
              </w:rPr>
              <w:t>意</w:t>
            </w:r>
            <w:r>
              <w:rPr>
                <w:color w:val="auto"/>
                <w:szCs w:val="21"/>
                <w:highlight w:val="none"/>
              </w:rPr>
              <w:t>一情形的，作否决</w:t>
            </w:r>
            <w:r>
              <w:rPr>
                <w:rFonts w:hint="eastAsia"/>
                <w:color w:val="auto"/>
                <w:szCs w:val="21"/>
                <w:highlight w:val="none"/>
              </w:rPr>
              <w:t>竞标</w:t>
            </w:r>
            <w:r>
              <w:rPr>
                <w:color w:val="auto"/>
                <w:szCs w:val="21"/>
                <w:highlight w:val="none"/>
              </w:rPr>
              <w:t>处理：</w:t>
            </w:r>
          </w:p>
          <w:p>
            <w:pPr>
              <w:spacing w:line="400" w:lineRule="exact"/>
              <w:rPr>
                <w:color w:val="auto"/>
                <w:szCs w:val="21"/>
                <w:highlight w:val="none"/>
              </w:rPr>
            </w:pPr>
            <w:r>
              <w:rPr>
                <w:color w:val="auto"/>
                <w:szCs w:val="21"/>
                <w:highlight w:val="none"/>
              </w:rPr>
              <w:t>（1）</w:t>
            </w:r>
            <w:r>
              <w:rPr>
                <w:rFonts w:hint="eastAsia"/>
                <w:color w:val="auto"/>
                <w:szCs w:val="21"/>
                <w:highlight w:val="none"/>
              </w:rPr>
              <w:t>竞标人</w:t>
            </w:r>
            <w:r>
              <w:rPr>
                <w:color w:val="auto"/>
                <w:szCs w:val="21"/>
                <w:highlight w:val="none"/>
              </w:rPr>
              <w:t>拒绝确认算术性修正后的报价；</w:t>
            </w:r>
          </w:p>
          <w:p>
            <w:pPr>
              <w:spacing w:line="400" w:lineRule="exact"/>
              <w:rPr>
                <w:color w:val="auto"/>
                <w:szCs w:val="21"/>
                <w:highlight w:val="none"/>
              </w:rPr>
            </w:pPr>
            <w:r>
              <w:rPr>
                <w:color w:val="auto"/>
                <w:szCs w:val="21"/>
                <w:highlight w:val="none"/>
              </w:rPr>
              <w:t>（2）修正后的最终</w:t>
            </w:r>
            <w:r>
              <w:rPr>
                <w:rFonts w:hint="eastAsia"/>
                <w:color w:val="auto"/>
                <w:szCs w:val="21"/>
                <w:highlight w:val="none"/>
              </w:rPr>
              <w:t>竞标报价</w:t>
            </w:r>
            <w:r>
              <w:rPr>
                <w:color w:val="auto"/>
                <w:szCs w:val="21"/>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竞标人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8221" w:type="dxa"/>
            <w:gridSpan w:val="3"/>
            <w:vAlign w:val="center"/>
          </w:tcPr>
          <w:p>
            <w:pPr>
              <w:spacing w:line="400" w:lineRule="exact"/>
              <w:rPr>
                <w:color w:val="auto"/>
                <w:highlight w:val="none"/>
              </w:rPr>
            </w:pPr>
            <w:r>
              <w:rPr>
                <w:color w:val="auto"/>
                <w:highlight w:val="none"/>
              </w:rPr>
              <w:t>有下列情况之一的，视为</w:t>
            </w:r>
            <w:r>
              <w:rPr>
                <w:rFonts w:hint="eastAsia"/>
                <w:color w:val="auto"/>
                <w:highlight w:val="none"/>
              </w:rPr>
              <w:t>竞标人</w:t>
            </w:r>
            <w:r>
              <w:rPr>
                <w:color w:val="auto"/>
                <w:highlight w:val="none"/>
              </w:rPr>
              <w:t>相互串通</w:t>
            </w:r>
            <w:r>
              <w:rPr>
                <w:rFonts w:hint="eastAsia"/>
                <w:color w:val="auto"/>
                <w:highlight w:val="none"/>
              </w:rPr>
              <w:t>竞标</w:t>
            </w:r>
            <w:r>
              <w:rPr>
                <w:color w:val="auto"/>
                <w:highlight w:val="none"/>
              </w:rPr>
              <w:t>，做否决</w:t>
            </w:r>
            <w:r>
              <w:rPr>
                <w:rFonts w:hint="eastAsia"/>
                <w:color w:val="auto"/>
                <w:highlight w:val="none"/>
              </w:rPr>
              <w:t>竞标</w:t>
            </w:r>
            <w:r>
              <w:rPr>
                <w:color w:val="auto"/>
                <w:highlight w:val="none"/>
              </w:rPr>
              <w:t>处理。</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highlight w:val="none"/>
              </w:rPr>
              <w:t>竞争性比选申请文件</w:t>
            </w:r>
            <w:r>
              <w:rPr>
                <w:color w:val="auto"/>
                <w:highlight w:val="none"/>
              </w:rPr>
              <w:t>由同一单位或者个人编制；</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委托同一单位或者个人办理</w:t>
            </w:r>
            <w:r>
              <w:rPr>
                <w:rFonts w:hint="eastAsia"/>
                <w:color w:val="auto"/>
                <w:highlight w:val="none"/>
              </w:rPr>
              <w:t>竞标</w:t>
            </w:r>
            <w:r>
              <w:rPr>
                <w:color w:val="auto"/>
                <w:highlight w:val="none"/>
              </w:rPr>
              <w:t>事宜；</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载明的项目管理成员为同一人；</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异常一致或者</w:t>
            </w:r>
            <w:r>
              <w:rPr>
                <w:rFonts w:hint="eastAsia"/>
                <w:color w:val="auto"/>
                <w:highlight w:val="none"/>
              </w:rPr>
              <w:t>竞标报价</w:t>
            </w:r>
            <w:r>
              <w:rPr>
                <w:color w:val="auto"/>
                <w:highlight w:val="none"/>
              </w:rPr>
              <w:t>呈规律性差异；</w:t>
            </w:r>
          </w:p>
          <w:p>
            <w:pPr>
              <w:numPr>
                <w:ilvl w:val="0"/>
                <w:numId w:val="3"/>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color w:val="auto"/>
                <w:szCs w:val="21"/>
                <w:highlight w:val="none"/>
              </w:rPr>
            </w:pPr>
            <w:r>
              <w:rPr>
                <w:b/>
                <w:color w:val="auto"/>
                <w:szCs w:val="21"/>
                <w:highlight w:val="none"/>
              </w:rPr>
              <w:t>评审因素与评分值</w:t>
            </w:r>
          </w:p>
        </w:tc>
        <w:tc>
          <w:tcPr>
            <w:tcW w:w="5528" w:type="dxa"/>
            <w:vMerge w:val="restart"/>
            <w:vAlign w:val="center"/>
          </w:tcPr>
          <w:p>
            <w:pPr>
              <w:spacing w:line="400" w:lineRule="exact"/>
              <w:jc w:val="center"/>
              <w:rPr>
                <w:b/>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color w:val="auto"/>
                <w:szCs w:val="21"/>
                <w:highlight w:val="none"/>
              </w:rPr>
            </w:pPr>
            <w:r>
              <w:rPr>
                <w:b/>
                <w:color w:val="auto"/>
                <w:szCs w:val="21"/>
                <w:highlight w:val="none"/>
              </w:rPr>
              <w:t>序号</w:t>
            </w:r>
          </w:p>
        </w:tc>
        <w:tc>
          <w:tcPr>
            <w:tcW w:w="1270" w:type="dxa"/>
            <w:gridSpan w:val="2"/>
            <w:vAlign w:val="center"/>
          </w:tcPr>
          <w:p>
            <w:pPr>
              <w:spacing w:line="400" w:lineRule="exact"/>
              <w:jc w:val="center"/>
              <w:rPr>
                <w:b/>
                <w:color w:val="auto"/>
                <w:szCs w:val="21"/>
                <w:highlight w:val="none"/>
              </w:rPr>
            </w:pPr>
            <w:r>
              <w:rPr>
                <w:b/>
                <w:color w:val="auto"/>
                <w:szCs w:val="21"/>
                <w:highlight w:val="none"/>
              </w:rPr>
              <w:t>评审</w:t>
            </w:r>
          </w:p>
          <w:p>
            <w:pPr>
              <w:spacing w:line="400" w:lineRule="exact"/>
              <w:jc w:val="center"/>
              <w:rPr>
                <w:b/>
                <w:color w:val="auto"/>
                <w:szCs w:val="21"/>
                <w:highlight w:val="none"/>
              </w:rPr>
            </w:pPr>
            <w:r>
              <w:rPr>
                <w:b/>
                <w:color w:val="auto"/>
                <w:szCs w:val="21"/>
                <w:highlight w:val="none"/>
              </w:rPr>
              <w:t>因素</w:t>
            </w:r>
          </w:p>
        </w:tc>
        <w:tc>
          <w:tcPr>
            <w:tcW w:w="1990" w:type="dxa"/>
            <w:vAlign w:val="center"/>
          </w:tcPr>
          <w:p>
            <w:pPr>
              <w:spacing w:line="400" w:lineRule="exact"/>
              <w:jc w:val="center"/>
              <w:rPr>
                <w:b/>
                <w:color w:val="auto"/>
                <w:szCs w:val="21"/>
                <w:highlight w:val="none"/>
              </w:rPr>
            </w:pPr>
            <w:r>
              <w:rPr>
                <w:b/>
                <w:color w:val="auto"/>
                <w:szCs w:val="21"/>
                <w:highlight w:val="none"/>
              </w:rPr>
              <w:t>评审因素评分值</w:t>
            </w:r>
          </w:p>
        </w:tc>
        <w:tc>
          <w:tcPr>
            <w:tcW w:w="5528" w:type="dxa"/>
            <w:vMerge w:val="continue"/>
            <w:vAlign w:val="center"/>
          </w:tcPr>
          <w:p>
            <w:pPr>
              <w:spacing w:line="400" w:lineRule="exact"/>
              <w:ind w:firstLine="300" w:firstLineChars="1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rFonts w:hint="eastAsia"/>
                <w:b/>
                <w:color w:val="auto"/>
                <w:szCs w:val="21"/>
                <w:highlight w:val="none"/>
              </w:rPr>
              <w:t>（一）</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技术部分</w:t>
            </w:r>
          </w:p>
        </w:tc>
        <w:tc>
          <w:tcPr>
            <w:tcW w:w="1990" w:type="dxa"/>
            <w:vAlign w:val="center"/>
          </w:tcPr>
          <w:p>
            <w:pPr>
              <w:spacing w:line="400" w:lineRule="exact"/>
              <w:jc w:val="center"/>
              <w:rPr>
                <w:color w:val="auto"/>
                <w:kern w:val="0"/>
                <w:szCs w:val="21"/>
                <w:highlight w:val="none"/>
              </w:rPr>
            </w:pPr>
            <w:r>
              <w:rPr>
                <w:rFonts w:hint="eastAsia"/>
                <w:color w:val="auto"/>
                <w:szCs w:val="21"/>
                <w:highlight w:val="none"/>
              </w:rPr>
              <w:t>a.施工组织设计（</w:t>
            </w:r>
            <w:r>
              <w:rPr>
                <w:rFonts w:hint="eastAsia"/>
                <w:color w:val="auto"/>
                <w:kern w:val="0"/>
                <w:szCs w:val="21"/>
                <w:highlight w:val="none"/>
                <w:lang w:val="en-US" w:eastAsia="zh-CN"/>
              </w:rPr>
              <w:t>10</w:t>
            </w:r>
            <w:r>
              <w:rPr>
                <w:color w:val="auto"/>
                <w:kern w:val="0"/>
                <w:szCs w:val="21"/>
                <w:highlight w:val="none"/>
              </w:rPr>
              <w:t>分）</w:t>
            </w:r>
          </w:p>
        </w:tc>
        <w:tc>
          <w:tcPr>
            <w:tcW w:w="5528" w:type="dxa"/>
            <w:vAlign w:val="center"/>
          </w:tcPr>
          <w:p>
            <w:pPr>
              <w:spacing w:line="400" w:lineRule="exact"/>
              <w:rPr>
                <w:color w:val="auto"/>
                <w:szCs w:val="21"/>
                <w:highlight w:val="none"/>
              </w:rPr>
            </w:pPr>
            <w:r>
              <w:rPr>
                <w:rFonts w:hint="eastAsia"/>
                <w:color w:val="auto"/>
                <w:szCs w:val="21"/>
                <w:highlight w:val="none"/>
              </w:rPr>
              <w:t>维护方案</w:t>
            </w:r>
            <w:r>
              <w:rPr>
                <w:color w:val="auto"/>
                <w:szCs w:val="21"/>
                <w:highlight w:val="none"/>
              </w:rPr>
              <w:t>内容齐全、表述清晰、符合国家有关的方针、政策</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color w:val="auto"/>
                <w:szCs w:val="21"/>
                <w:highlight w:val="none"/>
              </w:rPr>
            </w:pPr>
          </w:p>
        </w:tc>
        <w:tc>
          <w:tcPr>
            <w:tcW w:w="1270" w:type="dxa"/>
            <w:gridSpan w:val="2"/>
            <w:vMerge w:val="continue"/>
            <w:vAlign w:val="center"/>
          </w:tcPr>
          <w:p>
            <w:pPr>
              <w:spacing w:line="400" w:lineRule="exact"/>
              <w:jc w:val="center"/>
              <w:rPr>
                <w:rFonts w:hint="eastAsia"/>
                <w:b/>
                <w:color w:val="auto"/>
                <w:szCs w:val="21"/>
                <w:highlight w:val="none"/>
              </w:rPr>
            </w:pPr>
          </w:p>
        </w:tc>
        <w:tc>
          <w:tcPr>
            <w:tcW w:w="1990" w:type="dxa"/>
            <w:vAlign w:val="center"/>
          </w:tcPr>
          <w:p>
            <w:pPr>
              <w:spacing w:line="400" w:lineRule="exact"/>
              <w:jc w:val="center"/>
              <w:rPr>
                <w:color w:val="auto"/>
                <w:szCs w:val="21"/>
                <w:highlight w:val="none"/>
              </w:rPr>
            </w:pPr>
            <w:r>
              <w:rPr>
                <w:rFonts w:hint="eastAsia"/>
                <w:color w:val="auto"/>
                <w:szCs w:val="21"/>
                <w:highlight w:val="none"/>
              </w:rPr>
              <w:t>b.交通组织方案</w:t>
            </w:r>
            <w:r>
              <w:rPr>
                <w:color w:val="auto"/>
                <w:szCs w:val="21"/>
                <w:highlight w:val="none"/>
              </w:rPr>
              <w:t>（</w:t>
            </w:r>
            <w:r>
              <w:rPr>
                <w:rFonts w:hint="eastAsia"/>
                <w:color w:val="auto"/>
                <w:szCs w:val="21"/>
                <w:highlight w:val="none"/>
              </w:rPr>
              <w:t>10</w:t>
            </w:r>
            <w:r>
              <w:rPr>
                <w:color w:val="auto"/>
                <w:szCs w:val="21"/>
                <w:highlight w:val="none"/>
              </w:rPr>
              <w:t>分）</w:t>
            </w:r>
          </w:p>
        </w:tc>
        <w:tc>
          <w:tcPr>
            <w:tcW w:w="5528" w:type="dxa"/>
            <w:vAlign w:val="center"/>
          </w:tcPr>
          <w:p>
            <w:pPr>
              <w:spacing w:line="400" w:lineRule="exact"/>
              <w:rPr>
                <w:color w:val="auto"/>
                <w:szCs w:val="21"/>
                <w:highlight w:val="none"/>
              </w:rPr>
            </w:pPr>
            <w:r>
              <w:rPr>
                <w:rFonts w:hint="eastAsia"/>
                <w:color w:val="auto"/>
                <w:szCs w:val="21"/>
                <w:highlight w:val="none"/>
              </w:rPr>
              <w:t>交通组织以及安全应急措施全面</w:t>
            </w:r>
            <w:r>
              <w:rPr>
                <w:color w:val="auto"/>
                <w:szCs w:val="21"/>
                <w:highlight w:val="none"/>
              </w:rPr>
              <w:t>合理</w:t>
            </w:r>
            <w:r>
              <w:rPr>
                <w:rFonts w:hint="eastAsia"/>
                <w:color w:val="auto"/>
                <w:szCs w:val="21"/>
                <w:highlight w:val="none"/>
              </w:rPr>
              <w:t>、具有可操作性1</w:t>
            </w:r>
            <w:r>
              <w:rPr>
                <w:color w:val="auto"/>
                <w:szCs w:val="21"/>
                <w:highlight w:val="none"/>
              </w:rPr>
              <w:t>-</w:t>
            </w:r>
            <w:r>
              <w:rPr>
                <w:rFonts w:hint="eastAsia"/>
                <w:color w:val="auto"/>
                <w:szCs w:val="21"/>
                <w:highlight w:val="none"/>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eastAsia="宋体"/>
                <w:b/>
                <w:color w:val="auto"/>
                <w:szCs w:val="21"/>
                <w:highlight w:val="none"/>
                <w:lang w:val="en-US" w:eastAsia="zh-CN"/>
              </w:rPr>
            </w:pPr>
            <w:r>
              <w:rPr>
                <w:rFonts w:hint="eastAsia"/>
                <w:b/>
                <w:color w:val="auto"/>
                <w:szCs w:val="21"/>
                <w:highlight w:val="none"/>
                <w:lang w:val="en-US" w:eastAsia="zh-CN"/>
              </w:rPr>
              <w:t>（二）</w:t>
            </w:r>
          </w:p>
        </w:tc>
        <w:tc>
          <w:tcPr>
            <w:tcW w:w="1270" w:type="dxa"/>
            <w:gridSpan w:val="2"/>
            <w:vAlign w:val="center"/>
          </w:tcPr>
          <w:p>
            <w:pPr>
              <w:spacing w:line="40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商务部分</w:t>
            </w:r>
          </w:p>
        </w:tc>
        <w:tc>
          <w:tcPr>
            <w:tcW w:w="1990" w:type="dxa"/>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10分</w:t>
            </w:r>
          </w:p>
        </w:tc>
        <w:tc>
          <w:tcPr>
            <w:tcW w:w="5528" w:type="dxa"/>
            <w:vAlign w:val="center"/>
          </w:tcPr>
          <w:p>
            <w:pPr>
              <w:spacing w:line="400" w:lineRule="exact"/>
              <w:rPr>
                <w:rFonts w:hint="eastAsia"/>
                <w:color w:val="auto"/>
                <w:szCs w:val="21"/>
                <w:highlight w:val="none"/>
              </w:rPr>
            </w:pPr>
            <w:r>
              <w:rPr>
                <w:rFonts w:hint="eastAsia"/>
                <w:color w:val="auto"/>
                <w:szCs w:val="21"/>
                <w:highlight w:val="none"/>
              </w:rPr>
              <w:t>满足业绩最低要求：</w:t>
            </w:r>
            <w:r>
              <w:rPr>
                <w:rFonts w:hint="eastAsia"/>
                <w:color w:val="auto"/>
                <w:szCs w:val="21"/>
                <w:highlight w:val="none"/>
                <w:lang w:val="en-US" w:eastAsia="zh-CN"/>
              </w:rPr>
              <w:t>签订合同日或交工日在三年内（2018年10月18至2021年10月18日）独立完成过至少一个加油站维修、整改、检测或抢修等项目</w:t>
            </w:r>
            <w:r>
              <w:rPr>
                <w:rFonts w:hint="eastAsia"/>
                <w:color w:val="auto"/>
                <w:szCs w:val="21"/>
                <w:highlight w:val="none"/>
              </w:rPr>
              <w:t>。得基本分5分（以上业绩满足其一即可）</w:t>
            </w:r>
          </w:p>
          <w:p>
            <w:pPr>
              <w:spacing w:line="400" w:lineRule="exact"/>
              <w:rPr>
                <w:rFonts w:hint="eastAsia"/>
                <w:color w:val="auto"/>
                <w:szCs w:val="21"/>
                <w:highlight w:val="none"/>
              </w:rPr>
            </w:pPr>
            <w:r>
              <w:rPr>
                <w:rFonts w:hint="eastAsia"/>
                <w:color w:val="auto"/>
                <w:szCs w:val="21"/>
                <w:highlight w:val="none"/>
              </w:rPr>
              <w:t>在满足业绩最低要求的基础</w:t>
            </w:r>
            <w:bookmarkStart w:id="23" w:name="_GoBack"/>
            <w:bookmarkEnd w:id="23"/>
            <w:r>
              <w:rPr>
                <w:rFonts w:hint="eastAsia"/>
                <w:color w:val="auto"/>
                <w:szCs w:val="21"/>
                <w:highlight w:val="none"/>
              </w:rPr>
              <w:t>上，每增加一个加油站维修、检测或抢修项目（2018年1月1日至投标截止日）得1分，本项最多得5分。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b/>
                <w:color w:val="auto"/>
                <w:szCs w:val="21"/>
                <w:highlight w:val="none"/>
              </w:rPr>
              <w:t>（</w:t>
            </w:r>
            <w:r>
              <w:rPr>
                <w:rFonts w:hint="eastAsia"/>
                <w:b/>
                <w:color w:val="auto"/>
                <w:szCs w:val="21"/>
                <w:highlight w:val="none"/>
                <w:lang w:val="en-US" w:eastAsia="zh-CN"/>
              </w:rPr>
              <w:t>三</w:t>
            </w:r>
            <w:r>
              <w:rPr>
                <w:b/>
                <w:color w:val="auto"/>
                <w:szCs w:val="21"/>
                <w:highlight w:val="none"/>
              </w:rPr>
              <w:t>）</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竞标总报价</w:t>
            </w:r>
          </w:p>
        </w:tc>
        <w:tc>
          <w:tcPr>
            <w:tcW w:w="1990" w:type="dxa"/>
            <w:vMerge w:val="restart"/>
            <w:vAlign w:val="center"/>
          </w:tcPr>
          <w:p>
            <w:pPr>
              <w:spacing w:line="400" w:lineRule="exact"/>
              <w:jc w:val="center"/>
              <w:rPr>
                <w:color w:val="auto"/>
                <w:szCs w:val="21"/>
                <w:highlight w:val="none"/>
              </w:rPr>
            </w:pPr>
            <w:r>
              <w:rPr>
                <w:rFonts w:hint="eastAsia"/>
                <w:color w:val="auto"/>
                <w:szCs w:val="21"/>
                <w:highlight w:val="none"/>
                <w:lang w:val="en-US" w:eastAsia="zh-CN"/>
              </w:rPr>
              <w:t>70</w:t>
            </w:r>
            <w:r>
              <w:rPr>
                <w:color w:val="auto"/>
                <w:szCs w:val="21"/>
                <w:highlight w:val="none"/>
              </w:rPr>
              <w:t>分</w:t>
            </w:r>
          </w:p>
        </w:tc>
        <w:tc>
          <w:tcPr>
            <w:tcW w:w="5528" w:type="dxa"/>
          </w:tcPr>
          <w:p>
            <w:pPr>
              <w:spacing w:line="400" w:lineRule="exact"/>
              <w:rPr>
                <w:color w:val="auto"/>
                <w:kern w:val="0"/>
                <w:szCs w:val="21"/>
                <w:highlight w:val="none"/>
              </w:rPr>
            </w:pPr>
            <w:r>
              <w:rPr>
                <w:rFonts w:hint="eastAsia"/>
                <w:color w:val="auto"/>
                <w:szCs w:val="21"/>
                <w:highlight w:val="none"/>
              </w:rPr>
              <w:t>竞</w:t>
            </w:r>
            <w:r>
              <w:rPr>
                <w:color w:val="auto"/>
                <w:szCs w:val="21"/>
                <w:highlight w:val="none"/>
              </w:rPr>
              <w:t>标价的确定：</w:t>
            </w:r>
            <w:r>
              <w:rPr>
                <w:rFonts w:hint="eastAsia"/>
                <w:color w:val="auto"/>
                <w:szCs w:val="21"/>
                <w:highlight w:val="none"/>
              </w:rPr>
              <w:t>竞</w:t>
            </w:r>
            <w:r>
              <w:rPr>
                <w:color w:val="auto"/>
                <w:szCs w:val="21"/>
                <w:highlight w:val="none"/>
              </w:rPr>
              <w:t>标价＝报价</w:t>
            </w:r>
            <w:r>
              <w:rPr>
                <w:rFonts w:hint="eastAsia"/>
                <w:color w:val="auto"/>
                <w:szCs w:val="21"/>
                <w:highlight w:val="none"/>
              </w:rPr>
              <w:t>书</w:t>
            </w:r>
            <w:r>
              <w:rPr>
                <w:color w:val="auto"/>
                <w:szCs w:val="21"/>
                <w:highlight w:val="none"/>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color w:val="auto"/>
                <w:kern w:val="0"/>
                <w:szCs w:val="21"/>
                <w:highlight w:val="none"/>
              </w:rPr>
            </w:pPr>
          </w:p>
        </w:tc>
        <w:tc>
          <w:tcPr>
            <w:tcW w:w="1270" w:type="dxa"/>
            <w:gridSpan w:val="2"/>
            <w:vMerge w:val="continue"/>
            <w:vAlign w:val="center"/>
          </w:tcPr>
          <w:p>
            <w:pPr>
              <w:spacing w:line="400" w:lineRule="exact"/>
              <w:rPr>
                <w:color w:val="auto"/>
                <w:kern w:val="0"/>
                <w:szCs w:val="21"/>
                <w:highlight w:val="none"/>
              </w:rPr>
            </w:pPr>
          </w:p>
        </w:tc>
        <w:tc>
          <w:tcPr>
            <w:tcW w:w="1990" w:type="dxa"/>
            <w:vMerge w:val="continue"/>
            <w:vAlign w:val="center"/>
          </w:tcPr>
          <w:p>
            <w:pPr>
              <w:spacing w:line="400" w:lineRule="exact"/>
              <w:rPr>
                <w:color w:val="auto"/>
                <w:kern w:val="0"/>
                <w:szCs w:val="21"/>
                <w:highlight w:val="none"/>
              </w:rPr>
            </w:pPr>
          </w:p>
        </w:tc>
        <w:tc>
          <w:tcPr>
            <w:tcW w:w="5528" w:type="dxa"/>
          </w:tcPr>
          <w:p>
            <w:pPr>
              <w:pStyle w:val="7"/>
              <w:spacing w:line="400" w:lineRule="exact"/>
              <w:rPr>
                <w:rFonts w:hAnsi="宋体"/>
                <w:color w:val="auto"/>
                <w:sz w:val="30"/>
                <w:szCs w:val="21"/>
                <w:highlight w:val="none"/>
              </w:rPr>
            </w:pPr>
            <w:r>
              <w:rPr>
                <w:rFonts w:hint="eastAsia" w:hAnsi="宋体"/>
                <w:color w:val="auto"/>
                <w:sz w:val="30"/>
                <w:szCs w:val="21"/>
                <w:highlight w:val="none"/>
              </w:rPr>
              <w:t>报价</w:t>
            </w:r>
            <w:r>
              <w:rPr>
                <w:rFonts w:hAnsi="宋体"/>
                <w:color w:val="auto"/>
                <w:sz w:val="30"/>
                <w:szCs w:val="21"/>
                <w:highlight w:val="none"/>
              </w:rPr>
              <w:t>得分的计算程序：</w:t>
            </w:r>
          </w:p>
          <w:p>
            <w:pPr>
              <w:pStyle w:val="7"/>
              <w:spacing w:line="400" w:lineRule="exact"/>
              <w:rPr>
                <w:rFonts w:hAnsi="宋体"/>
                <w:color w:val="auto"/>
                <w:sz w:val="30"/>
                <w:szCs w:val="21"/>
                <w:highlight w:val="none"/>
              </w:rPr>
            </w:pPr>
            <w:r>
              <w:rPr>
                <w:rFonts w:hAnsi="宋体"/>
                <w:color w:val="auto"/>
                <w:sz w:val="30"/>
                <w:szCs w:val="21"/>
                <w:highlight w:val="none"/>
              </w:rPr>
              <w:t>（1）有效</w:t>
            </w:r>
            <w:r>
              <w:rPr>
                <w:rFonts w:hint="eastAsia" w:hAnsi="宋体"/>
                <w:color w:val="auto"/>
                <w:sz w:val="30"/>
                <w:szCs w:val="21"/>
                <w:highlight w:val="none"/>
              </w:rPr>
              <w:t>报价</w:t>
            </w:r>
            <w:r>
              <w:rPr>
                <w:rFonts w:hAnsi="宋体"/>
                <w:color w:val="auto"/>
                <w:sz w:val="30"/>
                <w:szCs w:val="21"/>
                <w:highlight w:val="none"/>
              </w:rPr>
              <w:t>的确定：未通过初步评审的</w:t>
            </w:r>
            <w:r>
              <w:rPr>
                <w:rFonts w:hint="eastAsia" w:hAnsi="宋体"/>
                <w:color w:val="auto"/>
                <w:sz w:val="30"/>
                <w:szCs w:val="21"/>
                <w:highlight w:val="none"/>
              </w:rPr>
              <w:t>报价</w:t>
            </w:r>
            <w:r>
              <w:rPr>
                <w:rFonts w:hAnsi="宋体"/>
                <w:color w:val="auto"/>
                <w:sz w:val="30"/>
                <w:szCs w:val="21"/>
                <w:highlight w:val="none"/>
              </w:rPr>
              <w:t>按否决</w:t>
            </w:r>
            <w:r>
              <w:rPr>
                <w:rFonts w:hint="eastAsia" w:hAnsi="宋体"/>
                <w:color w:val="auto"/>
                <w:sz w:val="30"/>
                <w:szCs w:val="21"/>
                <w:highlight w:val="none"/>
              </w:rPr>
              <w:t>竞标</w:t>
            </w:r>
            <w:r>
              <w:rPr>
                <w:rFonts w:hAnsi="宋体"/>
                <w:color w:val="auto"/>
                <w:sz w:val="30"/>
                <w:szCs w:val="21"/>
                <w:highlight w:val="none"/>
              </w:rPr>
              <w:t>处理，不进行后续评审，并且不参与本项目评标基准价的计算。</w:t>
            </w:r>
          </w:p>
          <w:p>
            <w:pPr>
              <w:spacing w:line="4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4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4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400" w:lineRule="exact"/>
              <w:rPr>
                <w:color w:val="auto"/>
                <w:szCs w:val="21"/>
                <w:highlight w:val="none"/>
              </w:rPr>
            </w:pPr>
            <w:r>
              <w:rPr>
                <w:color w:val="auto"/>
                <w:szCs w:val="21"/>
                <w:highlight w:val="none"/>
              </w:rPr>
              <w:t>（3）当</w:t>
            </w:r>
            <w:r>
              <w:rPr>
                <w:rFonts w:hint="eastAsia"/>
                <w:color w:val="auto"/>
                <w:szCs w:val="21"/>
                <w:highlight w:val="none"/>
              </w:rPr>
              <w:t>竞标人报价</w:t>
            </w:r>
            <w:r>
              <w:rPr>
                <w:color w:val="auto"/>
                <w:szCs w:val="21"/>
                <w:highlight w:val="none"/>
              </w:rPr>
              <w:t>等于D时得满分（</w:t>
            </w:r>
            <w:r>
              <w:rPr>
                <w:rFonts w:hint="eastAsia"/>
                <w:color w:val="auto"/>
                <w:szCs w:val="21"/>
                <w:highlight w:val="none"/>
              </w:rPr>
              <w:t>7</w:t>
            </w:r>
            <w:r>
              <w:rPr>
                <w:color w:val="auto"/>
                <w:szCs w:val="21"/>
                <w:highlight w:val="none"/>
              </w:rPr>
              <w:t>0分），每高于D一个百分点扣1</w:t>
            </w:r>
            <w:r>
              <w:rPr>
                <w:rFonts w:hint="eastAsia"/>
                <w:color w:val="auto"/>
                <w:szCs w:val="21"/>
                <w:highlight w:val="none"/>
              </w:rPr>
              <w:t>.5</w:t>
            </w:r>
            <w:r>
              <w:rPr>
                <w:color w:val="auto"/>
                <w:szCs w:val="21"/>
                <w:highlight w:val="none"/>
              </w:rPr>
              <w:t>分，每低于D一个百分点扣</w:t>
            </w:r>
            <w:r>
              <w:rPr>
                <w:rFonts w:hint="eastAsia"/>
                <w:color w:val="auto"/>
                <w:szCs w:val="21"/>
                <w:highlight w:val="none"/>
              </w:rPr>
              <w:t>1</w:t>
            </w:r>
            <w:r>
              <w:rPr>
                <w:color w:val="auto"/>
                <w:szCs w:val="21"/>
                <w:highlight w:val="none"/>
              </w:rPr>
              <w:t>分，中间值按比例内插。</w:t>
            </w:r>
          </w:p>
          <w:p>
            <w:pPr>
              <w:spacing w:line="4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drawing>
                <wp:anchor distT="0" distB="0" distL="114300" distR="114300" simplePos="0" relativeHeight="251662336"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color w:val="auto"/>
                <w:szCs w:val="21"/>
                <w:highlight w:val="none"/>
              </w:rPr>
            </w:pPr>
          </w:p>
          <w:p>
            <w:pPr>
              <w:pStyle w:val="13"/>
              <w:rPr>
                <w:color w:val="auto"/>
                <w:highlight w:val="none"/>
              </w:rPr>
            </w:pPr>
          </w:p>
          <w:p>
            <w:pPr>
              <w:spacing w:line="400" w:lineRule="exact"/>
              <w:ind w:firstLine="480"/>
              <w:rPr>
                <w:color w:val="auto"/>
                <w:szCs w:val="21"/>
                <w:highlight w:val="none"/>
              </w:rPr>
            </w:pP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w:t>
            </w:r>
            <w:r>
              <w:rPr>
                <w:rFonts w:hint="eastAsia"/>
                <w:color w:val="auto"/>
                <w:szCs w:val="21"/>
                <w:highlight w:val="none"/>
              </w:rPr>
              <w:t>7</w:t>
            </w:r>
            <w:r>
              <w:rPr>
                <w:color w:val="auto"/>
                <w:szCs w:val="21"/>
                <w:highlight w:val="none"/>
              </w:rPr>
              <w:t>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竞标人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D，则E=1</w:t>
            </w:r>
            <w:r>
              <w:rPr>
                <w:rFonts w:hint="eastAsia"/>
                <w:b/>
                <w:bCs/>
                <w:color w:val="auto"/>
                <w:szCs w:val="21"/>
                <w:highlight w:val="none"/>
              </w:rPr>
              <w:t>.5</w:t>
            </w:r>
            <w:r>
              <w:rPr>
                <w:b/>
                <w:bCs/>
                <w:color w:val="auto"/>
                <w:szCs w:val="21"/>
                <w:highlight w:val="none"/>
              </w:rPr>
              <w:t>；若D</w:t>
            </w:r>
            <w:r>
              <w:rPr>
                <w:b/>
                <w:bCs/>
                <w:color w:val="auto"/>
                <w:szCs w:val="21"/>
                <w:highlight w:val="none"/>
                <w:vertAlign w:val="subscript"/>
              </w:rPr>
              <w:t>1</w:t>
            </w:r>
            <w:r>
              <w:rPr>
                <w:b/>
                <w:bCs/>
                <w:color w:val="auto"/>
                <w:szCs w:val="21"/>
                <w:highlight w:val="none"/>
              </w:rPr>
              <w:t>&lt;D，则E=</w:t>
            </w:r>
            <w:r>
              <w:rPr>
                <w:rFonts w:hint="eastAsia"/>
                <w:b/>
                <w:bCs/>
                <w:color w:val="auto"/>
                <w:szCs w:val="21"/>
                <w:highlight w:val="none"/>
              </w:rPr>
              <w:t>1</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color w:val="auto"/>
                <w:highlight w:val="none"/>
              </w:rPr>
            </w:pPr>
            <w:r>
              <w:rPr>
                <w:rFonts w:hint="eastAsia" w:cs="宋体"/>
                <w:color w:val="auto"/>
                <w:highlight w:val="none"/>
              </w:rPr>
              <w:t>评标结果</w:t>
            </w:r>
          </w:p>
        </w:tc>
        <w:tc>
          <w:tcPr>
            <w:tcW w:w="8788" w:type="dxa"/>
            <w:gridSpan w:val="4"/>
            <w:vAlign w:val="center"/>
          </w:tcPr>
          <w:p>
            <w:pPr>
              <w:spacing w:line="400" w:lineRule="exact"/>
              <w:rPr>
                <w:rFonts w:ascii="Times New Roman" w:hAnsi="Times New Roman"/>
                <w:color w:val="auto"/>
                <w:highlight w:val="none"/>
              </w:rPr>
            </w:pPr>
            <w:r>
              <w:rPr>
                <w:rFonts w:hint="eastAsia"/>
                <w:color w:val="auto"/>
                <w:szCs w:val="21"/>
                <w:highlight w:val="none"/>
              </w:rPr>
              <w:t>本项目评标采用综合评估法，对通过初步评审、详细评审的比选申请人按照</w:t>
            </w:r>
            <w:r>
              <w:rPr>
                <w:color w:val="auto"/>
                <w:szCs w:val="21"/>
                <w:highlight w:val="none"/>
              </w:rPr>
              <w:t>综合得分（技术得分+</w:t>
            </w:r>
            <w:r>
              <w:rPr>
                <w:rFonts w:hint="eastAsia"/>
                <w:color w:val="auto"/>
                <w:szCs w:val="21"/>
                <w:highlight w:val="none"/>
              </w:rPr>
              <w:t>报价</w:t>
            </w:r>
            <w:r>
              <w:rPr>
                <w:color w:val="auto"/>
                <w:szCs w:val="21"/>
                <w:highlight w:val="none"/>
              </w:rPr>
              <w:t>得分）</w:t>
            </w:r>
            <w:r>
              <w:rPr>
                <w:rFonts w:hint="eastAsia"/>
                <w:color w:val="auto"/>
                <w:szCs w:val="21"/>
                <w:highlight w:val="none"/>
              </w:rPr>
              <w:t>由高到底的先后顺序，推荐3名成交候选人，不足3名则按相应家数推荐成交候选人。</w:t>
            </w:r>
          </w:p>
        </w:tc>
      </w:tr>
    </w:tbl>
    <w:p>
      <w:pPr>
        <w:pStyle w:val="2"/>
        <w:rPr>
          <w:rFonts w:hint="eastAsia" w:ascii="方正仿宋_GBK" w:hAnsi="方正仿宋_GBK" w:eastAsia="方正仿宋_GBK" w:cs="方正仿宋_GBK"/>
          <w:color w:val="auto"/>
          <w:sz w:val="32"/>
          <w:szCs w:val="32"/>
          <w:highlight w:val="none"/>
        </w:rPr>
      </w:pPr>
    </w:p>
    <w:p>
      <w:pPr>
        <w:rPr>
          <w:rFonts w:hint="eastAsia"/>
          <w:color w:val="auto"/>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2、有下列情况之一者投标无效：</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A、投标人法定代表人或法人授权代表未按时参加开标会；</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B、投标人无法定代表人的授权委托书；</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C、投标人不具备合格供应商资质的；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D、未按《招标文件》要求提供必要有效证明文件或提供了虚假文件的；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E、投标人在投标时，出现违规的情况。</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3、如有下列情况之一为废标：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A、唱标报告没有按照要求由投标人加盖公章；</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B、唱标报告没有按照要求由投标法人代表或授权代表签字；</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D、投标文件未按要求装订的；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E、投标附有招标人不能接受的条件；</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F、投标人报价均超过使用单位预算，采购人不能支付的。</w:t>
      </w:r>
    </w:p>
    <w:p>
      <w:pPr>
        <w:numPr>
          <w:ilvl w:val="0"/>
          <w:numId w:val="4"/>
        </w:numPr>
        <w:spacing w:line="560" w:lineRule="exact"/>
        <w:ind w:left="600" w:left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本次投标的限价为：</w:t>
      </w:r>
      <w:r>
        <w:rPr>
          <w:rFonts w:hint="eastAsia" w:ascii="方正仿宋_GBK" w:hAnsi="方正仿宋_GBK" w:eastAsia="方正仿宋_GBK" w:cs="方正仿宋_GBK"/>
          <w:b/>
          <w:bCs/>
          <w:color w:val="auto"/>
          <w:sz w:val="32"/>
          <w:szCs w:val="32"/>
          <w:highlight w:val="none"/>
          <w:lang w:val="en-US" w:eastAsia="zh-CN"/>
        </w:rPr>
        <w:t>247818.1</w:t>
      </w:r>
      <w:r>
        <w:rPr>
          <w:rFonts w:hint="eastAsia" w:ascii="方正仿宋_GBK" w:hAnsi="方正仿宋_GBK" w:eastAsia="方正仿宋_GBK" w:cs="方正仿宋_GBK"/>
          <w:b/>
          <w:bCs/>
          <w:color w:val="auto"/>
          <w:sz w:val="32"/>
          <w:szCs w:val="32"/>
          <w:highlight w:val="none"/>
        </w:rPr>
        <w:t>元。</w:t>
      </w:r>
    </w:p>
    <w:p>
      <w:pPr>
        <w:widowControl w:val="0"/>
        <w:numPr>
          <w:ilvl w:val="0"/>
          <w:numId w:val="0"/>
        </w:numPr>
        <w:spacing w:line="560" w:lineRule="exact"/>
        <w:jc w:val="both"/>
        <w:rPr>
          <w:rFonts w:hint="eastAsia" w:ascii="方正仿宋_GBK" w:hAnsi="方正仿宋_GBK" w:eastAsia="方正仿宋_GBK" w:cs="方正仿宋_GBK"/>
          <w:color w:val="auto"/>
          <w:sz w:val="32"/>
          <w:szCs w:val="32"/>
          <w:highlight w:val="none"/>
        </w:rPr>
      </w:pPr>
    </w:p>
    <w:p>
      <w:pPr>
        <w:pStyle w:val="6"/>
        <w:wordWrap w:val="0"/>
        <w:spacing w:line="560" w:lineRule="exact"/>
        <w:ind w:right="320" w:firstLine="729" w:firstLineChars="228"/>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w:t>
      </w:r>
      <w:r>
        <w:rPr>
          <w:rFonts w:hint="eastAsia" w:ascii="方正仿宋_GBK" w:hAnsi="方正仿宋_GBK" w:eastAsia="方正仿宋_GBK" w:cs="方正仿宋_GBK"/>
          <w:color w:val="auto"/>
          <w:sz w:val="32"/>
          <w:szCs w:val="32"/>
          <w:highlight w:val="none"/>
          <w:lang w:val="en-US" w:eastAsia="zh-CN"/>
        </w:rPr>
        <w:t>国储能源投资</w:t>
      </w:r>
      <w:r>
        <w:rPr>
          <w:rFonts w:hint="eastAsia" w:ascii="方正仿宋_GBK" w:hAnsi="方正仿宋_GBK" w:eastAsia="方正仿宋_GBK" w:cs="方正仿宋_GBK"/>
          <w:color w:val="auto"/>
          <w:sz w:val="32"/>
          <w:szCs w:val="32"/>
          <w:highlight w:val="none"/>
          <w:lang w:eastAsia="zh-CN"/>
        </w:rPr>
        <w:t>有限公司</w:t>
      </w: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val="en-US" w:eastAsia="zh-CN"/>
        </w:rPr>
        <w:t>二一</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十九</w:t>
      </w:r>
      <w:r>
        <w:rPr>
          <w:rFonts w:hint="eastAsia" w:ascii="方正仿宋_GBK" w:hAnsi="方正仿宋_GBK" w:eastAsia="方正仿宋_GBK" w:cs="方正仿宋_GBK"/>
          <w:color w:val="auto"/>
          <w:sz w:val="32"/>
          <w:szCs w:val="32"/>
          <w:highlight w:val="none"/>
        </w:rPr>
        <w:t>日</w:t>
      </w: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firstLine="4640" w:firstLineChars="1450"/>
        <w:rPr>
          <w:rFonts w:hint="eastAsia" w:ascii="方正仿宋_GBK" w:hAnsi="方正仿宋_GBK" w:eastAsia="方正仿宋_GBK" w:cs="方正仿宋_GBK"/>
          <w:color w:val="auto"/>
          <w:sz w:val="32"/>
          <w:szCs w:val="32"/>
          <w:highlight w:val="none"/>
        </w:rPr>
      </w:pPr>
    </w:p>
    <w:p>
      <w:pPr>
        <w:pStyle w:val="6"/>
        <w:spacing w:line="560" w:lineRule="exact"/>
        <w:ind w:left="0" w:leftChars="0" w:firstLine="0" w:firstLineChars="0"/>
        <w:rPr>
          <w:rFonts w:hint="eastAsia" w:ascii="方正仿宋_GBK" w:hAnsi="方正仿宋_GBK" w:eastAsia="方正仿宋_GBK" w:cs="方正仿宋_GBK"/>
          <w:color w:val="auto"/>
          <w:sz w:val="32"/>
          <w:szCs w:val="32"/>
          <w:highlight w:val="none"/>
        </w:rPr>
      </w:pPr>
    </w:p>
    <w:p>
      <w:pPr>
        <w:widowControl/>
        <w:jc w:val="center"/>
        <w:rPr>
          <w:rStyle w:val="11"/>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val="0"/>
          <w:color w:val="auto"/>
          <w:sz w:val="44"/>
          <w:highlight w:val="none"/>
          <w:lang w:eastAsia="zh-CN"/>
        </w:rPr>
        <w:t>第二章</w:t>
      </w:r>
      <w:r>
        <w:rPr>
          <w:rFonts w:hint="eastAsia" w:ascii="方正仿宋_GBK" w:hAnsi="方正仿宋_GBK" w:eastAsia="方正仿宋_GBK" w:cs="方正仿宋_GBK"/>
          <w:b/>
          <w:bCs w:val="0"/>
          <w:color w:val="auto"/>
          <w:sz w:val="44"/>
          <w:highlight w:val="none"/>
        </w:rPr>
        <w:t xml:space="preserve"> </w:t>
      </w:r>
      <w:r>
        <w:rPr>
          <w:rFonts w:hint="eastAsia" w:ascii="方正仿宋_GBK" w:hAnsi="方正仿宋_GBK" w:eastAsia="方正仿宋_GBK" w:cs="方正仿宋_GBK"/>
          <w:b/>
          <w:bCs w:val="0"/>
          <w:color w:val="auto"/>
          <w:sz w:val="44"/>
          <w:highlight w:val="none"/>
          <w:lang w:eastAsia="zh-CN"/>
        </w:rPr>
        <w:t>主要清单限价</w:t>
      </w:r>
    </w:p>
    <w:p>
      <w:pPr>
        <w:widowControl/>
        <w:jc w:val="cente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ascii="方正仿宋_GBK" w:hAnsi="方正仿宋_GBK" w:eastAsia="方正仿宋_GBK" w:cs="方正仿宋_GBK"/>
          <w:b/>
          <w:bCs w:val="0"/>
          <w:color w:val="auto"/>
          <w:sz w:val="44"/>
          <w:highlight w:val="none"/>
        </w:rPr>
      </w:pPr>
    </w:p>
    <w:p>
      <w:pPr>
        <w:pStyle w:val="2"/>
        <w:rPr>
          <w:rFonts w:hint="eastAsia" w:ascii="方正仿宋_GBK" w:hAnsi="方正仿宋_GBK" w:eastAsia="方正仿宋_GBK" w:cs="方正仿宋_GBK"/>
          <w:b/>
          <w:bCs w:val="0"/>
          <w:color w:val="auto"/>
          <w:sz w:val="44"/>
          <w:highlight w:val="none"/>
        </w:rPr>
      </w:pPr>
    </w:p>
    <w:p>
      <w:pPr>
        <w:rPr>
          <w:rFonts w:hint="eastAsia"/>
          <w:color w:val="auto"/>
          <w:highlight w:val="none"/>
        </w:rPr>
      </w:pPr>
    </w:p>
    <w:p>
      <w:pPr>
        <w:widowControl/>
        <w:jc w:val="both"/>
        <w:rPr>
          <w:rFonts w:hint="default" w:ascii="方正仿宋_GBK" w:hAnsi="方正仿宋_GBK" w:eastAsia="方正仿宋_GBK" w:cs="方正仿宋_GBK"/>
          <w:b/>
          <w:bCs w:val="0"/>
          <w:color w:val="auto"/>
          <w:sz w:val="44"/>
          <w:highlight w:val="none"/>
          <w:lang w:val="en-US" w:eastAsia="zh-CN"/>
        </w:rPr>
      </w:pPr>
      <w:r>
        <w:rPr>
          <w:rFonts w:hint="eastAsia" w:ascii="方正仿宋_GBK" w:hAnsi="方正仿宋_GBK" w:eastAsia="方正仿宋_GBK" w:cs="方正仿宋_GBK"/>
          <w:b/>
          <w:bCs w:val="0"/>
          <w:color w:val="auto"/>
          <w:sz w:val="44"/>
          <w:highlight w:val="none"/>
          <w:lang w:val="en-US" w:eastAsia="zh-CN"/>
        </w:rPr>
        <w:t xml:space="preserve">         第三章 工程量清单</w:t>
      </w:r>
    </w:p>
    <w:p>
      <w:pPr>
        <w:spacing w:line="360" w:lineRule="auto"/>
        <w:ind w:firstLine="48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详见附件：</w:t>
      </w:r>
    </w:p>
    <w:p>
      <w:pPr>
        <w:widowControl/>
        <w:jc w:val="center"/>
        <w:rPr>
          <w:rFonts w:hint="eastAsia" w:ascii="方正仿宋_GBK" w:hAnsi="方正仿宋_GBK" w:eastAsia="方正仿宋_GBK" w:cs="方正仿宋_GBK"/>
          <w:b/>
          <w:bCs w:val="0"/>
          <w:color w:val="auto"/>
          <w:sz w:val="44"/>
          <w:highlight w:val="none"/>
        </w:rPr>
      </w:pPr>
    </w:p>
    <w:p>
      <w:pPr>
        <w:widowControl/>
        <w:jc w:val="left"/>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rFonts w:asciiTheme="minorEastAsia" w:hAnsiTheme="minorEastAsia" w:eastAsiaTheme="minorEastAsia"/>
          <w:bCs/>
          <w:color w:val="auto"/>
          <w:sz w:val="44"/>
          <w:highlight w:val="none"/>
        </w:rPr>
      </w:pPr>
    </w:p>
    <w:p>
      <w:pPr>
        <w:pStyle w:val="2"/>
        <w:rPr>
          <w:rFonts w:asciiTheme="minorEastAsia" w:hAnsiTheme="minorEastAsia" w:eastAsiaTheme="minorEastAsia"/>
          <w:bCs/>
          <w:color w:val="auto"/>
          <w:sz w:val="44"/>
          <w:highlight w:val="none"/>
        </w:rPr>
      </w:pPr>
    </w:p>
    <w:p>
      <w:pPr>
        <w:rPr>
          <w:color w:val="auto"/>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Cs/>
          <w:color w:val="auto"/>
          <w:sz w:val="24"/>
          <w:highlight w:val="none"/>
        </w:rPr>
      </w:pPr>
    </w:p>
    <w:p>
      <w:pPr>
        <w:pStyle w:val="3"/>
        <w:numPr>
          <w:ilvl w:val="0"/>
          <w:numId w:val="0"/>
        </w:numPr>
        <w:spacing w:line="240" w:lineRule="auto"/>
        <w:rPr>
          <w:rFonts w:hint="eastAsia" w:ascii="方正仿宋_GBK" w:hAnsi="方正仿宋_GBK" w:eastAsia="方正仿宋_GBK" w:cs="方正仿宋_GBK"/>
          <w:b/>
          <w:color w:val="auto"/>
          <w:kern w:val="0"/>
          <w:highlight w:val="none"/>
        </w:rPr>
      </w:pPr>
      <w:bookmarkStart w:id="1" w:name="_Toc248058293"/>
      <w:bookmarkStart w:id="2" w:name="_Toc479101365"/>
      <w:bookmarkStart w:id="3" w:name="_Toc248058292"/>
    </w:p>
    <w:p>
      <w:pPr>
        <w:pStyle w:val="3"/>
        <w:numPr>
          <w:ilvl w:val="0"/>
          <w:numId w:val="0"/>
        </w:numPr>
        <w:spacing w:line="240" w:lineRule="auto"/>
        <w:rPr>
          <w:rFonts w:hint="eastAsia" w:ascii="方正仿宋_GBK" w:hAnsi="方正仿宋_GBK" w:eastAsia="方正仿宋_GBK" w:cs="方正仿宋_GBK"/>
          <w:b/>
          <w:color w:val="auto"/>
          <w:kern w:val="0"/>
          <w:highlight w:val="none"/>
        </w:rPr>
      </w:pPr>
      <w:r>
        <w:rPr>
          <w:rFonts w:hint="eastAsia" w:ascii="方正仿宋_GBK" w:hAnsi="方正仿宋_GBK" w:eastAsia="方正仿宋_GBK" w:cs="方正仿宋_GBK"/>
          <w:b/>
          <w:color w:val="auto"/>
          <w:kern w:val="0"/>
          <w:highlight w:val="none"/>
          <w:lang w:eastAsia="zh-CN"/>
        </w:rPr>
        <w:t>第</w:t>
      </w:r>
      <w:r>
        <w:rPr>
          <w:rFonts w:hint="eastAsia" w:ascii="方正仿宋_GBK" w:hAnsi="方正仿宋_GBK" w:eastAsia="方正仿宋_GBK" w:cs="方正仿宋_GBK"/>
          <w:b/>
          <w:color w:val="auto"/>
          <w:kern w:val="0"/>
          <w:highlight w:val="none"/>
          <w:lang w:val="en-US" w:eastAsia="zh-CN"/>
        </w:rPr>
        <w:t>四</w:t>
      </w:r>
      <w:r>
        <w:rPr>
          <w:rFonts w:hint="eastAsia" w:ascii="方正仿宋_GBK" w:hAnsi="方正仿宋_GBK" w:eastAsia="方正仿宋_GBK" w:cs="方正仿宋_GBK"/>
          <w:b/>
          <w:color w:val="auto"/>
          <w:kern w:val="0"/>
          <w:highlight w:val="none"/>
          <w:lang w:eastAsia="zh-CN"/>
        </w:rPr>
        <w:t>章</w:t>
      </w:r>
      <w:r>
        <w:rPr>
          <w:rFonts w:hint="eastAsia" w:ascii="方正仿宋_GBK" w:hAnsi="方正仿宋_GBK" w:eastAsia="方正仿宋_GBK" w:cs="方正仿宋_GBK"/>
          <w:b/>
          <w:color w:val="auto"/>
          <w:kern w:val="0"/>
          <w:highlight w:val="none"/>
        </w:rPr>
        <w:t xml:space="preserve">  技术标准和要求</w:t>
      </w:r>
      <w:bookmarkEnd w:id="1"/>
      <w:bookmarkEnd w:id="2"/>
      <w:bookmarkEnd w:id="3"/>
    </w:p>
    <w:p>
      <w:pPr>
        <w:tabs>
          <w:tab w:val="left" w:pos="1320"/>
        </w:tabs>
        <w:spacing w:line="360" w:lineRule="auto"/>
        <w:ind w:firstLine="480"/>
        <w:rPr>
          <w:rFonts w:hint="eastAsia" w:ascii="方正仿宋_GBK" w:hAnsi="方正仿宋_GBK" w:eastAsia="方正仿宋_GBK" w:cs="方正仿宋_GBK"/>
          <w:b/>
          <w:color w:val="auto"/>
          <w:sz w:val="24"/>
          <w:highlight w:val="none"/>
          <w:lang w:val="zh-CN"/>
        </w:rPr>
      </w:pPr>
    </w:p>
    <w:p>
      <w:pPr>
        <w:tabs>
          <w:tab w:val="left" w:pos="1320"/>
        </w:tabs>
        <w:spacing w:line="360" w:lineRule="auto"/>
        <w:ind w:firstLine="480"/>
        <w:rPr>
          <w:rFonts w:hint="eastAsia" w:ascii="方正仿宋_GBK" w:hAnsi="方正仿宋_GBK" w:eastAsia="方正仿宋_GBK" w:cs="方正仿宋_GBK"/>
          <w:b/>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1、工程概况</w:t>
      </w:r>
    </w:p>
    <w:p>
      <w:pPr>
        <w:pStyle w:val="6"/>
        <w:numPr>
          <w:ilvl w:val="0"/>
          <w:numId w:val="0"/>
        </w:numPr>
        <w:spacing w:line="560" w:lineRule="exact"/>
        <w:ind w:left="640" w:leftChars="0"/>
        <w:rPr>
          <w:rFonts w:hint="eastAsia" w:ascii="方正仿宋_GBK" w:hAnsi="方正仿宋_GBK" w:eastAsia="方正仿宋_GBK" w:cs="方正仿宋_GBK"/>
          <w:color w:val="auto"/>
          <w:sz w:val="32"/>
          <w:highlight w:val="none"/>
          <w:lang w:eastAsia="zh-CN"/>
        </w:rPr>
      </w:pPr>
      <w:r>
        <w:rPr>
          <w:rFonts w:hint="default" w:ascii="方正仿宋_GBK" w:hAnsi="方正仿宋_GBK" w:eastAsia="方正仿宋_GBK" w:cs="方正仿宋_GBK"/>
          <w:color w:val="auto"/>
          <w:kern w:val="2"/>
          <w:sz w:val="30"/>
          <w:szCs w:val="30"/>
          <w:highlight w:val="none"/>
          <w:lang w:val="en-US" w:eastAsia="zh-CN" w:bidi="ar-SA"/>
        </w:rPr>
        <w:t>本次施工区域为</w:t>
      </w:r>
      <w:r>
        <w:rPr>
          <w:rFonts w:hint="eastAsia" w:ascii="方正仿宋_GBK" w:hAnsi="方正仿宋_GBK" w:eastAsia="方正仿宋_GBK" w:cs="方正仿宋_GBK"/>
          <w:color w:val="auto"/>
          <w:kern w:val="2"/>
          <w:sz w:val="30"/>
          <w:szCs w:val="30"/>
          <w:highlight w:val="none"/>
          <w:lang w:val="en-US" w:eastAsia="zh-CN" w:bidi="ar-SA"/>
        </w:rPr>
        <w:t>高速国储巴南服务区加油站人孔井的相关</w:t>
      </w:r>
      <w:r>
        <w:rPr>
          <w:rFonts w:hint="eastAsia" w:ascii="方正仿宋_GBK" w:hAnsi="方正仿宋_GBK" w:eastAsia="方正仿宋_GBK" w:cs="方正仿宋_GBK"/>
          <w:color w:val="auto"/>
          <w:sz w:val="32"/>
          <w:highlight w:val="none"/>
          <w:lang w:val="en-US" w:eastAsia="zh-CN"/>
        </w:rPr>
        <w:t>事宜进行改造</w:t>
      </w:r>
      <w:r>
        <w:rPr>
          <w:rFonts w:hint="eastAsia" w:ascii="方正仿宋_GBK" w:hAnsi="方正仿宋_GBK" w:eastAsia="方正仿宋_GBK" w:cs="方正仿宋_GBK"/>
          <w:color w:val="auto"/>
          <w:sz w:val="32"/>
          <w:highlight w:val="none"/>
          <w:lang w:eastAsia="zh-CN"/>
        </w:rPr>
        <w:t>。</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auto"/>
          <w:kern w:val="2"/>
          <w:sz w:val="30"/>
          <w:szCs w:val="30"/>
          <w:highlight w:val="none"/>
          <w:lang w:val="zh-CN" w:eastAsia="zh-CN" w:bidi="ar-SA"/>
        </w:rPr>
      </w:pPr>
    </w:p>
    <w:p>
      <w:pPr>
        <w:tabs>
          <w:tab w:val="left" w:pos="0"/>
        </w:tabs>
        <w:spacing w:line="360" w:lineRule="auto"/>
        <w:ind w:firstLine="480"/>
        <w:rPr>
          <w:rFonts w:hint="eastAsia" w:ascii="方正仿宋_GBK" w:hAnsi="方正仿宋_GBK" w:eastAsia="方正仿宋_GBK" w:cs="方正仿宋_GBK"/>
          <w:b/>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2、工程技术要求</w:t>
      </w:r>
    </w:p>
    <w:p>
      <w:pPr>
        <w:spacing w:line="360" w:lineRule="auto"/>
        <w:ind w:firstLine="480"/>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本工程技术</w:t>
      </w:r>
      <w:r>
        <w:rPr>
          <w:rFonts w:hint="eastAsia" w:ascii="方正仿宋_GBK" w:hAnsi="方正仿宋_GBK" w:eastAsia="方正仿宋_GBK" w:cs="方正仿宋_GBK"/>
          <w:color w:val="auto"/>
          <w:sz w:val="30"/>
          <w:szCs w:val="30"/>
          <w:highlight w:val="none"/>
          <w:lang w:val="en-US" w:eastAsia="zh-CN"/>
        </w:rPr>
        <w:t>按照</w:t>
      </w:r>
      <w:r>
        <w:rPr>
          <w:rFonts w:hint="eastAsia" w:ascii="方正仿宋_GBK" w:hAnsi="方正仿宋_GBK" w:eastAsia="方正仿宋_GBK" w:cs="方正仿宋_GBK"/>
          <w:color w:val="auto"/>
          <w:sz w:val="30"/>
          <w:szCs w:val="30"/>
          <w:highlight w:val="none"/>
          <w:lang w:val="zh-CN"/>
        </w:rPr>
        <w:t>现行规范（标准）的规定及合同条款</w:t>
      </w:r>
      <w:r>
        <w:rPr>
          <w:rFonts w:hint="eastAsia" w:ascii="方正仿宋_GBK" w:hAnsi="方正仿宋_GBK" w:eastAsia="方正仿宋_GBK" w:cs="方正仿宋_GBK"/>
          <w:color w:val="auto"/>
          <w:sz w:val="30"/>
          <w:szCs w:val="30"/>
          <w:highlight w:val="none"/>
          <w:lang w:val="en-US" w:eastAsia="zh-CN"/>
        </w:rPr>
        <w:t>等</w:t>
      </w:r>
      <w:r>
        <w:rPr>
          <w:rFonts w:hint="eastAsia" w:ascii="方正仿宋_GBK" w:hAnsi="方正仿宋_GBK" w:eastAsia="方正仿宋_GBK" w:cs="方正仿宋_GBK"/>
          <w:color w:val="auto"/>
          <w:sz w:val="30"/>
          <w:szCs w:val="30"/>
          <w:highlight w:val="none"/>
          <w:lang w:val="zh-CN"/>
        </w:rPr>
        <w:t>相关要求。</w:t>
      </w:r>
    </w:p>
    <w:p>
      <w:pPr>
        <w:spacing w:line="360" w:lineRule="auto"/>
        <w:ind w:firstLine="480"/>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b/>
          <w:color w:val="auto"/>
          <w:sz w:val="30"/>
          <w:szCs w:val="30"/>
          <w:highlight w:val="none"/>
          <w:lang w:val="zh-CN"/>
        </w:rPr>
        <w:t>3、</w:t>
      </w:r>
      <w:r>
        <w:rPr>
          <w:rFonts w:hint="eastAsia" w:ascii="方正仿宋_GBK" w:hAnsi="方正仿宋_GBK" w:eastAsia="方正仿宋_GBK" w:cs="方正仿宋_GBK"/>
          <w:color w:val="auto"/>
          <w:sz w:val="30"/>
          <w:szCs w:val="30"/>
          <w:highlight w:val="none"/>
          <w:lang w:val="zh-CN"/>
        </w:rPr>
        <w:t>本工程项目的材料、设备、施工必须达到现行规范及标准规定的要求。</w:t>
      </w:r>
    </w:p>
    <w:p>
      <w:pPr>
        <w:widowControl/>
        <w:jc w:val="left"/>
        <w:rPr>
          <w:rFonts w:hint="eastAsia" w:ascii="方正仿宋_GBK" w:hAnsi="方正仿宋_GBK" w:eastAsia="方正仿宋_GBK" w:cs="方正仿宋_GBK"/>
          <w:bCs/>
          <w:color w:val="auto"/>
          <w:sz w:val="44"/>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 xml:space="preserve">   4、</w:t>
      </w:r>
      <w:r>
        <w:rPr>
          <w:rFonts w:hint="eastAsia" w:ascii="方正仿宋_GBK" w:hAnsi="方正仿宋_GBK" w:eastAsia="方正仿宋_GBK" w:cs="方正仿宋_GBK"/>
          <w:color w:val="auto"/>
          <w:sz w:val="32"/>
          <w:highlight w:val="none"/>
          <w:lang w:eastAsia="zh-CN"/>
        </w:rPr>
        <w:t>施工手续由中标单位自行前往当地消防应急管理局、环保局、路管中心、交通执法部门办理，并取得相关施工手续后方可施工。</w:t>
      </w:r>
    </w:p>
    <w:p>
      <w:pPr>
        <w:widowControl/>
        <w:jc w:val="left"/>
        <w:rPr>
          <w:rFonts w:hint="eastAsia" w:ascii="方正仿宋_GBK" w:hAnsi="方正仿宋_GBK" w:eastAsia="方正仿宋_GBK" w:cs="方正仿宋_GBK"/>
          <w:bCs/>
          <w:color w:val="auto"/>
          <w:sz w:val="44"/>
          <w:highlight w:val="none"/>
        </w:rPr>
      </w:pPr>
    </w:p>
    <w:p>
      <w:pPr>
        <w:widowControl/>
        <w:jc w:val="left"/>
        <w:rPr>
          <w:rFonts w:hint="eastAsia" w:ascii="方正仿宋_GBK" w:hAnsi="方正仿宋_GBK" w:eastAsia="方正仿宋_GBK" w:cs="方正仿宋_GBK"/>
          <w:bCs/>
          <w:color w:val="auto"/>
          <w:sz w:val="44"/>
          <w:highlight w:val="none"/>
        </w:rPr>
      </w:pPr>
    </w:p>
    <w:p>
      <w:pPr>
        <w:widowControl/>
        <w:jc w:val="left"/>
        <w:rPr>
          <w:rFonts w:hint="eastAsia" w:ascii="方正仿宋_GBK" w:hAnsi="方正仿宋_GBK" w:eastAsia="方正仿宋_GBK" w:cs="方正仿宋_GBK"/>
          <w:bCs/>
          <w:color w:val="auto"/>
          <w:sz w:val="44"/>
          <w:highlight w:val="none"/>
        </w:rPr>
      </w:pPr>
    </w:p>
    <w:p>
      <w:pPr>
        <w:widowControl/>
        <w:jc w:val="center"/>
        <w:rPr>
          <w:rFonts w:hint="eastAsia" w:ascii="方正仿宋_GBK" w:hAnsi="方正仿宋_GBK" w:eastAsia="方正仿宋_GBK" w:cs="方正仿宋_GBK"/>
          <w:bCs/>
          <w:color w:val="auto"/>
          <w:sz w:val="44"/>
          <w:highlight w:val="none"/>
        </w:rPr>
      </w:pPr>
    </w:p>
    <w:p>
      <w:pPr>
        <w:pStyle w:val="2"/>
        <w:rPr>
          <w:rFonts w:hint="eastAsia" w:ascii="方正仿宋_GBK" w:hAnsi="方正仿宋_GBK" w:eastAsia="方正仿宋_GBK" w:cs="方正仿宋_GBK"/>
          <w:bCs/>
          <w:color w:val="auto"/>
          <w:sz w:val="44"/>
          <w:highlight w:val="none"/>
        </w:rPr>
      </w:pPr>
    </w:p>
    <w:p>
      <w:pPr>
        <w:rPr>
          <w:rFonts w:hint="eastAsia"/>
          <w:color w:val="auto"/>
          <w:highlight w:val="none"/>
        </w:rPr>
      </w:pPr>
    </w:p>
    <w:p>
      <w:pPr>
        <w:numPr>
          <w:ilvl w:val="0"/>
          <w:numId w:val="0"/>
        </w:numPr>
        <w:tabs>
          <w:tab w:val="left" w:pos="1440"/>
        </w:tabs>
        <w:spacing w:line="560" w:lineRule="exact"/>
        <w:jc w:val="center"/>
        <w:rPr>
          <w:rFonts w:hint="eastAsia" w:ascii="方正仿宋_GBK" w:hAnsi="方正仿宋_GBK" w:eastAsia="方正仿宋_GBK" w:cs="方正仿宋_GBK"/>
          <w:b/>
          <w:bCs w:val="0"/>
          <w:color w:val="auto"/>
          <w:sz w:val="44"/>
          <w:highlight w:val="none"/>
        </w:rPr>
      </w:pPr>
      <w:r>
        <w:rPr>
          <w:rFonts w:hint="eastAsia" w:ascii="方正仿宋_GBK" w:hAnsi="方正仿宋_GBK" w:eastAsia="方正仿宋_GBK" w:cs="方正仿宋_GBK"/>
          <w:b/>
          <w:bCs w:val="0"/>
          <w:color w:val="auto"/>
          <w:sz w:val="44"/>
          <w:highlight w:val="none"/>
          <w:lang w:val="en-US" w:eastAsia="zh-CN"/>
        </w:rPr>
        <w:t>第五章 投</w:t>
      </w:r>
      <w:r>
        <w:rPr>
          <w:rFonts w:hint="eastAsia" w:ascii="方正仿宋_GBK" w:hAnsi="方正仿宋_GBK" w:eastAsia="方正仿宋_GBK" w:cs="方正仿宋_GBK"/>
          <w:b/>
          <w:bCs w:val="0"/>
          <w:color w:val="auto"/>
          <w:sz w:val="44"/>
          <w:highlight w:val="none"/>
        </w:rPr>
        <w:t>标文件</w:t>
      </w:r>
    </w:p>
    <w:p>
      <w:pPr>
        <w:numPr>
          <w:ilvl w:val="0"/>
          <w:numId w:val="0"/>
        </w:numPr>
        <w:tabs>
          <w:tab w:val="left" w:pos="1440"/>
        </w:tabs>
        <w:spacing w:line="560" w:lineRule="exact"/>
        <w:jc w:val="both"/>
        <w:rPr>
          <w:rFonts w:hint="eastAsia" w:ascii="方正仿宋_GBK" w:hAnsi="方正仿宋_GBK" w:eastAsia="方正仿宋_GBK" w:cs="方正仿宋_GBK"/>
          <w:b/>
          <w:bCs w:val="0"/>
          <w:color w:val="auto"/>
          <w:sz w:val="44"/>
          <w:highlight w:val="none"/>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b/>
          <w:color w:val="auto"/>
          <w:w w:val="99"/>
          <w:kern w:val="0"/>
          <w:sz w:val="28"/>
          <w:szCs w:val="28"/>
          <w:highlight w:val="none"/>
          <w:u w:val="single"/>
          <w:lang w:eastAsia="zh-CN"/>
        </w:rPr>
      </w:pPr>
      <w:r>
        <w:rPr>
          <w:rFonts w:hint="eastAsia" w:ascii="方正仿宋_GBK" w:hAnsi="方正仿宋_GBK" w:eastAsia="方正仿宋_GBK" w:cs="方正仿宋_GBK"/>
          <w:b/>
          <w:color w:val="auto"/>
          <w:w w:val="99"/>
          <w:kern w:val="0"/>
          <w:sz w:val="28"/>
          <w:szCs w:val="28"/>
          <w:highlight w:val="none"/>
          <w:u w:val="single"/>
          <w:lang w:eastAsia="zh-CN"/>
        </w:rPr>
        <w:br w:type="page"/>
      </w: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u w:val="single"/>
          <w:lang w:val="en-US" w:eastAsia="zh-CN"/>
        </w:rPr>
        <w:t>高速国储巴南服务区加油站人孔井改造</w:t>
      </w:r>
      <w:r>
        <w:rPr>
          <w:rFonts w:hint="eastAsia" w:ascii="方正仿宋_GBK" w:hAnsi="方正仿宋_GBK" w:eastAsia="方正仿宋_GBK" w:cs="方正仿宋_GBK"/>
          <w:b/>
          <w:color w:val="auto"/>
          <w:w w:val="99"/>
          <w:kern w:val="0"/>
          <w:sz w:val="28"/>
          <w:szCs w:val="28"/>
          <w:highlight w:val="none"/>
          <w:u w:val="single"/>
          <w:lang w:eastAsia="zh-CN"/>
        </w:rPr>
        <w:t>工程</w:t>
      </w:r>
      <w:r>
        <w:rPr>
          <w:rFonts w:hint="eastAsia" w:ascii="方正仿宋_GBK" w:hAnsi="方正仿宋_GBK" w:eastAsia="方正仿宋_GBK" w:cs="方正仿宋_GBK"/>
          <w:b/>
          <w:color w:val="auto"/>
          <w:w w:val="99"/>
          <w:kern w:val="0"/>
          <w:sz w:val="28"/>
          <w:szCs w:val="28"/>
          <w:highlight w:val="none"/>
        </w:rPr>
        <w:t>（项目名称</w:t>
      </w:r>
      <w:r>
        <w:rPr>
          <w:rFonts w:hint="eastAsia" w:ascii="方正仿宋_GBK" w:hAnsi="方正仿宋_GBK" w:eastAsia="方正仿宋_GBK" w:cs="方正仿宋_GBK"/>
          <w:b/>
          <w:color w:val="auto"/>
          <w:spacing w:val="1"/>
          <w:w w:val="99"/>
          <w:kern w:val="0"/>
          <w:sz w:val="28"/>
          <w:szCs w:val="28"/>
          <w:highlight w:val="none"/>
        </w:rPr>
        <w:t>）邀</w:t>
      </w:r>
      <w:r>
        <w:rPr>
          <w:rFonts w:hint="eastAsia" w:ascii="方正仿宋_GBK" w:hAnsi="方正仿宋_GBK" w:eastAsia="方正仿宋_GBK" w:cs="方正仿宋_GBK"/>
          <w:b/>
          <w:color w:val="auto"/>
          <w:w w:val="99"/>
          <w:kern w:val="0"/>
          <w:sz w:val="28"/>
          <w:szCs w:val="28"/>
          <w:highlight w:val="none"/>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84"/>
          <w:szCs w:val="84"/>
          <w:highlight w:val="none"/>
        </w:rPr>
      </w:pPr>
      <w:r>
        <w:rPr>
          <w:rFonts w:hint="eastAsia" w:ascii="方正仿宋_GBK" w:hAnsi="方正仿宋_GBK" w:eastAsia="方正仿宋_GBK" w:cs="方正仿宋_GBK"/>
          <w:b/>
          <w:color w:val="auto"/>
          <w:kern w:val="0"/>
          <w:sz w:val="84"/>
          <w:szCs w:val="84"/>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line="360" w:lineRule="auto"/>
        <w:ind w:firstLine="681" w:firstLineChars="245"/>
        <w:rPr>
          <w:rFonts w:hint="eastAsia" w:ascii="方正仿宋_GBK" w:hAnsi="方正仿宋_GBK" w:eastAsia="方正仿宋_GBK" w:cs="方正仿宋_GBK"/>
          <w:b/>
          <w:color w:val="auto"/>
          <w:w w:val="99"/>
          <w:kern w:val="0"/>
          <w:sz w:val="28"/>
          <w:szCs w:val="28"/>
          <w:highlight w:val="none"/>
        </w:rPr>
      </w:pPr>
      <w:r>
        <w:rPr>
          <w:rFonts w:hint="eastAsia" w:ascii="方正仿宋_GBK" w:hAnsi="方正仿宋_GBK" w:eastAsia="方正仿宋_GBK" w:cs="方正仿宋_GBK"/>
          <w:b/>
          <w:color w:val="auto"/>
          <w:w w:val="99"/>
          <w:kern w:val="0"/>
          <w:sz w:val="28"/>
          <w:szCs w:val="28"/>
          <w:highlight w:val="none"/>
        </w:rPr>
        <w:t>投标人</w:t>
      </w:r>
      <w:r>
        <w:rPr>
          <w:rFonts w:hint="eastAsia" w:ascii="方正仿宋_GBK" w:hAnsi="方正仿宋_GBK" w:eastAsia="方正仿宋_GBK" w:cs="方正仿宋_GBK"/>
          <w:b/>
          <w:color w:val="auto"/>
          <w:spacing w:val="1"/>
          <w:w w:val="99"/>
          <w:kern w:val="0"/>
          <w:sz w:val="28"/>
          <w:szCs w:val="28"/>
          <w:highlight w:val="none"/>
        </w:rPr>
        <w:t>：</w:t>
      </w:r>
      <w:r>
        <w:rPr>
          <w:rFonts w:hint="eastAsia" w:ascii="方正仿宋_GBK" w:hAnsi="方正仿宋_GBK" w:eastAsia="方正仿宋_GBK" w:cs="方正仿宋_GBK"/>
          <w:b/>
          <w:color w:val="auto"/>
          <w:w w:val="198"/>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rPr>
        <w:t>法定代表人或其委托代理人：</w:t>
      </w:r>
      <w:r>
        <w:rPr>
          <w:rFonts w:hint="eastAsia" w:ascii="方正仿宋_GBK" w:hAnsi="方正仿宋_GBK" w:eastAsia="方正仿宋_GBK" w:cs="方正仿宋_GBK"/>
          <w:b/>
          <w:color w:val="auto"/>
          <w:w w:val="198"/>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w w:val="99"/>
          <w:kern w:val="0"/>
          <w:sz w:val="28"/>
          <w:szCs w:val="28"/>
          <w:highlight w:val="none"/>
          <w:u w:val="single"/>
        </w:rPr>
        <w:t xml:space="preserve">     　</w:t>
      </w:r>
      <w:r>
        <w:rPr>
          <w:rFonts w:hint="eastAsia" w:ascii="方正仿宋_GBK" w:hAnsi="方正仿宋_GBK" w:eastAsia="方正仿宋_GBK" w:cs="方正仿宋_GBK"/>
          <w:b/>
          <w:color w:val="auto"/>
          <w:w w:val="99"/>
          <w:kern w:val="0"/>
          <w:sz w:val="28"/>
          <w:szCs w:val="28"/>
          <w:highlight w:val="none"/>
        </w:rPr>
        <w:t>年月日</w:t>
      </w:r>
    </w:p>
    <w:p>
      <w:pPr>
        <w:jc w:val="center"/>
        <w:rPr>
          <w:rFonts w:hint="eastAsia" w:ascii="方正仿宋_GBK" w:hAnsi="方正仿宋_GBK" w:eastAsia="方正仿宋_GBK" w:cs="方正仿宋_GBK"/>
          <w:color w:val="auto"/>
          <w:kern w:val="0"/>
          <w:sz w:val="24"/>
          <w:szCs w:val="21"/>
          <w:highlight w:val="none"/>
        </w:rPr>
      </w:pPr>
    </w:p>
    <w:p>
      <w:pPr>
        <w:jc w:val="center"/>
        <w:rPr>
          <w:rFonts w:hint="eastAsia" w:ascii="方正仿宋_GBK" w:hAnsi="方正仿宋_GBK" w:eastAsia="方正仿宋_GBK" w:cs="方正仿宋_GBK"/>
          <w:color w:val="auto"/>
          <w:kern w:val="0"/>
          <w:sz w:val="24"/>
          <w:szCs w:val="21"/>
          <w:highlight w:val="none"/>
        </w:rPr>
      </w:pPr>
    </w:p>
    <w:p>
      <w:pPr>
        <w:jc w:val="center"/>
        <w:rPr>
          <w:rFonts w:hint="eastAsia" w:ascii="方正仿宋_GBK" w:hAnsi="方正仿宋_GBK" w:eastAsia="方正仿宋_GBK" w:cs="方正仿宋_GBK"/>
          <w:color w:val="auto"/>
          <w:kern w:val="0"/>
          <w:sz w:val="24"/>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目     录</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（一）投标函</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（六）近年完成的类似项目情况表</w:t>
      </w:r>
    </w:p>
    <w:p>
      <w:pPr>
        <w:autoSpaceDE w:val="0"/>
        <w:autoSpaceDN w:val="0"/>
        <w:adjustRightInd w:val="0"/>
        <w:spacing w:line="360" w:lineRule="auto"/>
        <w:ind w:right="-2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（七）其他资料</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pStyle w:val="2"/>
        <w:rPr>
          <w:rFonts w:hint="eastAsia" w:ascii="方正仿宋_GBK" w:hAnsi="方正仿宋_GBK" w:eastAsia="方正仿宋_GBK" w:cs="方正仿宋_GBK"/>
          <w:color w:val="auto"/>
          <w:kern w:val="0"/>
          <w:szCs w:val="21"/>
          <w:highlight w:val="none"/>
        </w:rPr>
      </w:pPr>
    </w:p>
    <w:p>
      <w:pPr>
        <w:rPr>
          <w:rFonts w:hint="eastAsia" w:ascii="方正仿宋_GBK" w:hAnsi="方正仿宋_GBK" w:eastAsia="方正仿宋_GBK" w:cs="方正仿宋_GBK"/>
          <w:color w:val="auto"/>
          <w:kern w:val="0"/>
          <w:szCs w:val="21"/>
          <w:highlight w:val="none"/>
        </w:rPr>
      </w:pPr>
    </w:p>
    <w:p>
      <w:pPr>
        <w:pStyle w:val="2"/>
        <w:rPr>
          <w:rFonts w:hint="eastAsia" w:ascii="方正仿宋_GBK" w:hAnsi="方正仿宋_GBK" w:eastAsia="方正仿宋_GBK" w:cs="方正仿宋_GBK"/>
          <w:color w:val="auto"/>
          <w:kern w:val="0"/>
          <w:szCs w:val="21"/>
          <w:highlight w:val="none"/>
        </w:rPr>
      </w:pPr>
    </w:p>
    <w:p>
      <w:pPr>
        <w:rPr>
          <w:rFonts w:hint="eastAsia" w:ascii="方正仿宋_GBK" w:hAnsi="方正仿宋_GBK" w:eastAsia="方正仿宋_GBK" w:cs="方正仿宋_GBK"/>
          <w:color w:val="auto"/>
          <w:kern w:val="0"/>
          <w:szCs w:val="21"/>
          <w:highlight w:val="none"/>
        </w:rPr>
      </w:pPr>
    </w:p>
    <w:p>
      <w:pPr>
        <w:pStyle w:val="2"/>
        <w:rPr>
          <w:rFonts w:hint="eastAsia"/>
          <w:color w:val="auto"/>
          <w:highlight w:val="none"/>
        </w:rPr>
      </w:pPr>
    </w:p>
    <w:p>
      <w:pPr>
        <w:pStyle w:val="4"/>
        <w:jc w:val="center"/>
        <w:rPr>
          <w:rFonts w:hint="eastAsia" w:ascii="方正仿宋_GBK" w:hAnsi="方正仿宋_GBK" w:eastAsia="方正仿宋_GBK" w:cs="方正仿宋_GBK"/>
          <w:color w:val="auto"/>
          <w:highlight w:val="none"/>
        </w:rPr>
      </w:pPr>
      <w:bookmarkStart w:id="4" w:name="_Toc435536475"/>
      <w:bookmarkStart w:id="5" w:name="_Toc277082643"/>
      <w:bookmarkStart w:id="6" w:name="_Toc224103495"/>
      <w:bookmarkStart w:id="7" w:name="_Toc287607867"/>
      <w:r>
        <w:rPr>
          <w:rFonts w:hint="eastAsia" w:ascii="方正仿宋_GBK" w:hAnsi="方正仿宋_GBK" w:eastAsia="方正仿宋_GBK" w:cs="方正仿宋_GBK"/>
          <w:color w:val="auto"/>
          <w:highlight w:val="none"/>
        </w:rPr>
        <w:t>（一） 投标函</w:t>
      </w:r>
      <w:bookmarkEnd w:id="4"/>
      <w:bookmarkEnd w:id="5"/>
      <w:bookmarkEnd w:id="6"/>
      <w:bookmarkEnd w:id="7"/>
    </w:p>
    <w:p>
      <w:pPr>
        <w:autoSpaceDE w:val="0"/>
        <w:autoSpaceDN w:val="0"/>
        <w:adjustRightInd w:val="0"/>
        <w:spacing w:line="200" w:lineRule="exact"/>
        <w:jc w:val="left"/>
        <w:rPr>
          <w:rFonts w:hint="eastAsia" w:ascii="方正仿宋_GBK" w:hAnsi="方正仿宋_GBK" w:eastAsia="方正仿宋_GBK" w:cs="方正仿宋_GBK"/>
          <w:color w:val="auto"/>
          <w:kern w:val="0"/>
          <w:sz w:val="24"/>
          <w:highlight w:val="none"/>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color w:val="auto"/>
          <w:kern w:val="0"/>
          <w:sz w:val="24"/>
          <w:highlight w:val="none"/>
        </w:rPr>
      </w:pPr>
      <w:bookmarkStart w:id="8" w:name="_Toc224103496"/>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1．我方已仔细研究了</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（项目名称）招标文件的全部内容，愿意以人民币（大写）（¥）的投标总价。工期</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日历天，按合同约定实施和完成承包项目，质量达到</w:t>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u w:val="single"/>
        </w:rPr>
        <w:tab/>
      </w:r>
      <w:r>
        <w:rPr>
          <w:rFonts w:hint="eastAsia" w:ascii="方正仿宋_GBK" w:hAnsi="方正仿宋_GBK" w:eastAsia="方正仿宋_GBK" w:cs="方正仿宋_GBK"/>
          <w:snapToGrid w:val="0"/>
          <w:color w:val="auto"/>
          <w:kern w:val="0"/>
          <w:sz w:val="24"/>
          <w:highlight w:val="none"/>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color w:val="auto"/>
          <w:kern w:val="0"/>
          <w:sz w:val="24"/>
          <w:highlight w:val="none"/>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投标人：</w:t>
      </w:r>
      <w:r>
        <w:rPr>
          <w:rFonts w:hint="eastAsia" w:ascii="方正仿宋_GBK" w:hAnsi="方正仿宋_GBK" w:eastAsia="方正仿宋_GBK" w:cs="方正仿宋_GBK"/>
          <w:snapToGrid w:val="0"/>
          <w:color w:val="auto"/>
          <w:kern w:val="0"/>
          <w:sz w:val="24"/>
          <w:highlight w:val="none"/>
          <w:u w:val="single"/>
        </w:rPr>
        <w:t xml:space="preserve">                　　　　　   </w:t>
      </w:r>
      <w:r>
        <w:rPr>
          <w:rFonts w:hint="eastAsia" w:ascii="方正仿宋_GBK" w:hAnsi="方正仿宋_GBK" w:eastAsia="方正仿宋_GBK" w:cs="方正仿宋_GBK"/>
          <w:snapToGrid w:val="0"/>
          <w:color w:val="auto"/>
          <w:kern w:val="0"/>
          <w:sz w:val="24"/>
          <w:highlight w:val="none"/>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地址：</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网址：</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电话：</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kern w:val="0"/>
          <w:sz w:val="24"/>
          <w:highlight w:val="none"/>
        </w:rPr>
      </w:pPr>
      <w:r>
        <w:rPr>
          <w:rFonts w:hint="eastAsia" w:ascii="方正仿宋_GBK" w:hAnsi="方正仿宋_GBK" w:eastAsia="方正仿宋_GBK" w:cs="方正仿宋_GBK"/>
          <w:snapToGrid w:val="0"/>
          <w:color w:val="auto"/>
          <w:kern w:val="0"/>
          <w:sz w:val="24"/>
          <w:highlight w:val="none"/>
        </w:rPr>
        <w:t>传真：</w:t>
      </w:r>
      <w:r>
        <w:rPr>
          <w:rFonts w:hint="eastAsia" w:ascii="方正仿宋_GBK" w:hAnsi="方正仿宋_GBK" w:eastAsia="方正仿宋_GBK" w:cs="方正仿宋_GBK"/>
          <w:snapToGrid w:val="0"/>
          <w:color w:val="auto"/>
          <w:kern w:val="0"/>
          <w:sz w:val="24"/>
          <w:highlight w:val="none"/>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color w:val="auto"/>
          <w:w w:val="200"/>
          <w:kern w:val="0"/>
          <w:sz w:val="24"/>
          <w:highlight w:val="none"/>
          <w:u w:val="single"/>
        </w:rPr>
      </w:pPr>
      <w:r>
        <w:rPr>
          <w:rFonts w:hint="eastAsia" w:ascii="方正仿宋_GBK" w:hAnsi="方正仿宋_GBK" w:eastAsia="方正仿宋_GBK" w:cs="方正仿宋_GBK"/>
          <w:snapToGrid w:val="0"/>
          <w:color w:val="auto"/>
          <w:kern w:val="0"/>
          <w:sz w:val="24"/>
          <w:highlight w:val="none"/>
        </w:rPr>
        <w:t>邮政编码：</w:t>
      </w:r>
      <w:r>
        <w:rPr>
          <w:rFonts w:hint="eastAsia" w:ascii="方正仿宋_GBK" w:hAnsi="方正仿宋_GBK" w:eastAsia="方正仿宋_GBK" w:cs="方正仿宋_GBK"/>
          <w:snapToGrid w:val="0"/>
          <w:color w:val="auto"/>
          <w:w w:val="200"/>
          <w:kern w:val="0"/>
          <w:sz w:val="24"/>
          <w:highlight w:val="none"/>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0"/>
          <w:sz w:val="24"/>
          <w:highlight w:val="none"/>
        </w:rPr>
        <w:t>年      月     日</w:t>
      </w:r>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snapToGrid w:val="0"/>
          <w:color w:val="auto"/>
          <w:w w:val="99"/>
          <w:sz w:val="24"/>
          <w:highlight w:val="none"/>
        </w:rPr>
        <w:br w:type="page"/>
      </w:r>
      <w:bookmarkEnd w:id="8"/>
      <w:bookmarkStart w:id="9" w:name="_Toc287607869"/>
      <w:bookmarkStart w:id="10" w:name="_Toc435536477"/>
      <w:bookmarkStart w:id="11" w:name="_Toc277082645"/>
      <w:bookmarkStart w:id="12" w:name="_Toc224103497"/>
      <w:r>
        <w:rPr>
          <w:rFonts w:hint="eastAsia" w:ascii="方正仿宋_GBK" w:hAnsi="方正仿宋_GBK" w:eastAsia="方正仿宋_GBK" w:cs="方正仿宋_GBK"/>
          <w:color w:val="auto"/>
          <w:highlight w:val="none"/>
        </w:rPr>
        <w:t>（二）法定代表人身份证明及授权委托书</w:t>
      </w:r>
      <w:bookmarkEnd w:id="9"/>
      <w:bookmarkEnd w:id="10"/>
      <w:bookmarkEnd w:id="11"/>
      <w:bookmarkEnd w:id="12"/>
    </w:p>
    <w:p>
      <w:pPr>
        <w:jc w:val="center"/>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sz w:val="28"/>
          <w:highlight w:val="none"/>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地址：</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月</w:t>
      </w:r>
      <w:r>
        <w:rPr>
          <w:rFonts w:hint="eastAsia" w:ascii="方正仿宋_GBK" w:hAnsi="方正仿宋_GBK" w:eastAsia="方正仿宋_GBK" w:cs="方正仿宋_GBK"/>
          <w:color w:val="auto"/>
          <w:kern w:val="0"/>
          <w:szCs w:val="21"/>
          <w:highlight w:val="none"/>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color w:val="auto"/>
          <w:kern w:val="0"/>
          <w:sz w:val="10"/>
          <w:szCs w:val="10"/>
          <w:highlight w:val="none"/>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color w:val="auto"/>
          <w:kern w:val="0"/>
          <w:sz w:val="20"/>
          <w:szCs w:val="20"/>
          <w:highlight w:val="none"/>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color w:val="auto"/>
          <w:kern w:val="0"/>
          <w:sz w:val="10"/>
          <w:szCs w:val="10"/>
          <w:highlight w:val="none"/>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color w:val="auto"/>
          <w:kern w:val="0"/>
          <w:sz w:val="18"/>
          <w:szCs w:val="18"/>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盖单位章）</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月日</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5pt;height:0pt;width:225.75pt;z-index:251659264;mso-width-relative:page;mso-height-relative:page;" filled="f" stroked="t" coordsize="21600,21600" o:gfxdata="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Ftr99cAAAAGAQAADwAAAAAA&#10;AAABACAAAAAiAAAAZHJzL2Rvd25yZXYueG1sUEsBAhQAFAAAAAgAh07iQO2EJnbbAQAAlgMAAA4A&#10;AAAAAAAAAQAgAAAAJgEAAGRycy9lMm9Eb2MueG1sUEsFBgAAAAAGAAYAWQEAAHM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Cs w:val="30"/>
          <w:highlight w:val="none"/>
        </w:rPr>
      </w:pPr>
      <w:r>
        <w:rPr>
          <w:rFonts w:hint="eastAsia" w:ascii="方正仿宋_GBK" w:hAnsi="方正仿宋_GBK" w:eastAsia="方正仿宋_GBK" w:cs="方正仿宋_GBK"/>
          <w:b/>
          <w:color w:val="auto"/>
          <w:kern w:val="0"/>
          <w:szCs w:val="30"/>
          <w:highlight w:val="none"/>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本人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（姓名）系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rPr>
        <w:t>投</w:t>
      </w:r>
      <w:r>
        <w:rPr>
          <w:rFonts w:hint="eastAsia" w:ascii="方正仿宋_GBK" w:hAnsi="方正仿宋_GBK" w:eastAsia="方正仿宋_GBK" w:cs="方正仿宋_GBK"/>
          <w:color w:val="auto"/>
          <w:kern w:val="0"/>
          <w:sz w:val="28"/>
          <w:szCs w:val="28"/>
          <w:highlight w:val="none"/>
        </w:rPr>
        <w:t>标人名称</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rPr>
        <w:t>的法定代</w:t>
      </w:r>
      <w:r>
        <w:rPr>
          <w:rFonts w:hint="eastAsia" w:ascii="方正仿宋_GBK" w:hAnsi="方正仿宋_GBK" w:eastAsia="方正仿宋_GBK" w:cs="方正仿宋_GBK"/>
          <w:color w:val="auto"/>
          <w:spacing w:val="1"/>
          <w:kern w:val="0"/>
          <w:sz w:val="28"/>
          <w:szCs w:val="28"/>
          <w:highlight w:val="none"/>
        </w:rPr>
        <w:t>表</w:t>
      </w:r>
      <w:r>
        <w:rPr>
          <w:rFonts w:hint="eastAsia" w:ascii="方正仿宋_GBK" w:hAnsi="方正仿宋_GBK" w:eastAsia="方正仿宋_GBK" w:cs="方正仿宋_GBK"/>
          <w:color w:val="auto"/>
          <w:kern w:val="0"/>
          <w:sz w:val="28"/>
          <w:szCs w:val="28"/>
          <w:highlight w:val="none"/>
        </w:rPr>
        <w:t>人，现委托</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（项</w:t>
      </w:r>
      <w:r>
        <w:rPr>
          <w:rFonts w:hint="eastAsia" w:ascii="方正仿宋_GBK" w:hAnsi="方正仿宋_GBK" w:eastAsia="方正仿宋_GBK" w:cs="方正仿宋_GBK"/>
          <w:color w:val="auto"/>
          <w:spacing w:val="-1"/>
          <w:kern w:val="0"/>
          <w:sz w:val="28"/>
          <w:szCs w:val="28"/>
          <w:highlight w:val="none"/>
        </w:rPr>
        <w:t>目</w:t>
      </w:r>
      <w:r>
        <w:rPr>
          <w:rFonts w:hint="eastAsia" w:ascii="方正仿宋_GBK" w:hAnsi="方正仿宋_GBK" w:eastAsia="方正仿宋_GBK" w:cs="方正仿宋_GBK"/>
          <w:color w:val="auto"/>
          <w:kern w:val="0"/>
          <w:sz w:val="28"/>
          <w:szCs w:val="28"/>
          <w:highlight w:val="none"/>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w:t>
      </w:r>
      <w:r>
        <w:rPr>
          <w:rFonts w:hint="eastAsia" w:ascii="方正仿宋_GBK" w:hAnsi="方正仿宋_GBK" w:eastAsia="方正仿宋_GBK" w:cs="方正仿宋_GBK"/>
          <w:color w:val="auto"/>
          <w:spacing w:val="-1"/>
          <w:kern w:val="0"/>
          <w:sz w:val="28"/>
          <w:szCs w:val="28"/>
          <w:highlight w:val="none"/>
        </w:rPr>
        <w:t>期</w:t>
      </w:r>
      <w:r>
        <w:rPr>
          <w:rFonts w:hint="eastAsia" w:ascii="方正仿宋_GBK" w:hAnsi="方正仿宋_GBK" w:eastAsia="方正仿宋_GBK" w:cs="方正仿宋_GBK"/>
          <w:color w:val="auto"/>
          <w:kern w:val="0"/>
          <w:sz w:val="28"/>
          <w:szCs w:val="28"/>
          <w:highlight w:val="none"/>
        </w:rPr>
        <w:t>限：</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投  标  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rPr>
        <w:t>盖</w:t>
      </w:r>
      <w:r>
        <w:rPr>
          <w:rFonts w:hint="eastAsia" w:ascii="方正仿宋_GBK" w:hAnsi="方正仿宋_GBK" w:eastAsia="方正仿宋_GBK" w:cs="方正仿宋_GBK"/>
          <w:color w:val="auto"/>
          <w:kern w:val="0"/>
          <w:sz w:val="28"/>
          <w:szCs w:val="28"/>
          <w:highlight w:val="none"/>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r>
        <w:rPr>
          <w:rFonts w:hint="eastAsia" w:ascii="方正仿宋_GBK" w:hAnsi="方正仿宋_GBK" w:eastAsia="方正仿宋_GBK" w:cs="方正仿宋_GBK"/>
          <w:color w:val="auto"/>
          <w:kern w:val="0"/>
          <w:sz w:val="28"/>
          <w:szCs w:val="28"/>
          <w:highlight w:val="none"/>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委托代理人：</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（签</w:t>
      </w:r>
      <w:r>
        <w:rPr>
          <w:rFonts w:hint="eastAsia" w:ascii="方正仿宋_GBK" w:hAnsi="方正仿宋_GBK" w:eastAsia="方正仿宋_GBK" w:cs="方正仿宋_GBK"/>
          <w:color w:val="auto"/>
          <w:spacing w:val="-1"/>
          <w:kern w:val="0"/>
          <w:sz w:val="28"/>
          <w:szCs w:val="28"/>
          <w:highlight w:val="none"/>
        </w:rPr>
        <w:t>字</w:t>
      </w:r>
      <w:r>
        <w:rPr>
          <w:rFonts w:hint="eastAsia" w:ascii="方正仿宋_GBK" w:hAnsi="方正仿宋_GBK" w:eastAsia="方正仿宋_GBK" w:cs="方正仿宋_GBK"/>
          <w:color w:val="auto"/>
          <w:kern w:val="0"/>
          <w:sz w:val="28"/>
          <w:szCs w:val="28"/>
          <w:highlight w:val="none"/>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r>
        <w:rPr>
          <w:rFonts w:hint="eastAsia" w:ascii="方正仿宋_GBK" w:hAnsi="方正仿宋_GBK" w:eastAsia="方正仿宋_GBK" w:cs="方正仿宋_GBK"/>
          <w:color w:val="auto"/>
          <w:kern w:val="0"/>
          <w:sz w:val="28"/>
          <w:szCs w:val="28"/>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5"/>
        </w:num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法定代表人身份证明及授权委托书原件装入投标文件一并递交。另外须准备一份在开标现场出具。</w:t>
      </w:r>
    </w:p>
    <w:p>
      <w:pPr>
        <w:pStyle w:val="2"/>
        <w:numPr>
          <w:ilvl w:val="0"/>
          <w:numId w:val="5"/>
        </w:numPr>
        <w:rPr>
          <w:rFonts w:hint="eastAsia"/>
          <w:color w:val="auto"/>
          <w:highlight w:val="none"/>
        </w:rPr>
      </w:pPr>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（三）已标价工程量清单</w:t>
      </w: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ascii="方正仿宋_GBK" w:hAnsi="方正仿宋_GBK" w:eastAsia="方正仿宋_GBK" w:cs="方正仿宋_GBK"/>
          <w:color w:val="auto"/>
          <w:highlight w:val="none"/>
          <w:lang w:eastAsia="zh-CN"/>
        </w:rPr>
      </w:pPr>
    </w:p>
    <w:p>
      <w:pPr>
        <w:rPr>
          <w:rFonts w:hint="eastAsia" w:ascii="方正仿宋_GBK" w:hAnsi="方正仿宋_GBK" w:eastAsia="方正仿宋_GBK" w:cs="方正仿宋_GBK"/>
          <w:color w:val="auto"/>
          <w:highlight w:val="none"/>
          <w:lang w:eastAsia="zh-CN"/>
        </w:rPr>
      </w:pPr>
    </w:p>
    <w:p>
      <w:pPr>
        <w:pStyle w:val="2"/>
        <w:rPr>
          <w:rFonts w:hint="eastAsia"/>
          <w:color w:val="auto"/>
          <w:highlight w:val="none"/>
          <w:lang w:eastAsia="zh-CN"/>
        </w:rPr>
      </w:pPr>
    </w:p>
    <w:p>
      <w:pPr>
        <w:pStyle w:val="4"/>
        <w:jc w:val="center"/>
        <w:rPr>
          <w:rFonts w:hint="eastAsia" w:ascii="方正仿宋_GBK" w:hAnsi="方正仿宋_GBK" w:eastAsia="方正仿宋_GBK" w:cs="方正仿宋_GBK"/>
          <w:color w:val="auto"/>
          <w:highlight w:val="none"/>
        </w:rPr>
      </w:pPr>
      <w:bookmarkStart w:id="13" w:name="_Toc224103513"/>
      <w:bookmarkStart w:id="14" w:name="_Toc435536480"/>
      <w:bookmarkStart w:id="15" w:name="_Toc287607885"/>
      <w:r>
        <w:rPr>
          <w:rFonts w:hint="eastAsia" w:ascii="方正仿宋_GBK" w:hAnsi="方正仿宋_GBK" w:eastAsia="方正仿宋_GBK" w:cs="方正仿宋_GBK"/>
          <w:color w:val="auto"/>
          <w:highlight w:val="none"/>
        </w:rPr>
        <w:t>（四）投标人基本情况表</w:t>
      </w:r>
      <w:bookmarkEnd w:id="13"/>
      <w:bookmarkEnd w:id="14"/>
      <w:bookmarkEnd w:id="15"/>
    </w:p>
    <w:p>
      <w:pPr>
        <w:ind w:firstLine="600" w:firstLineChars="200"/>
        <w:rPr>
          <w:rFonts w:hint="eastAsia" w:ascii="方正仿宋_GBK" w:hAnsi="方正仿宋_GBK" w:eastAsia="方正仿宋_GBK" w:cs="方正仿宋_GBK"/>
          <w:color w:val="auto"/>
          <w:kern w:val="0"/>
          <w:highlight w:val="none"/>
        </w:rPr>
      </w:pPr>
    </w:p>
    <w:tbl>
      <w:tblPr>
        <w:tblStyle w:val="12"/>
        <w:tblW w:w="8640" w:type="dxa"/>
        <w:tblInd w:w="36" w:type="dxa"/>
        <w:tblLayout w:type="fixed"/>
        <w:tblCellMar>
          <w:top w:w="0" w:type="dxa"/>
          <w:left w:w="108" w:type="dxa"/>
          <w:bottom w:w="0" w:type="dxa"/>
          <w:right w:w="108" w:type="dxa"/>
        </w:tblCellMar>
      </w:tblPr>
      <w:tblGrid>
        <w:gridCol w:w="2155"/>
        <w:gridCol w:w="2155"/>
        <w:gridCol w:w="1810"/>
        <w:gridCol w:w="2520"/>
      </w:tblGrid>
      <w:tr>
        <w:tblPrEx>
          <w:tblLayout w:type="fixed"/>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单位名称</w:t>
            </w:r>
          </w:p>
        </w:tc>
      </w:tr>
      <w:tr>
        <w:tblPrEx>
          <w:tblLayout w:type="fixed"/>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电子邮件</w:t>
            </w:r>
          </w:p>
        </w:tc>
      </w:tr>
      <w:tr>
        <w:tblPrEx>
          <w:tblLayout w:type="fixed"/>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Cs w:val="21"/>
                <w:highlight w:val="none"/>
                <w:lang w:val="zh-CN"/>
              </w:rPr>
              <w:t>邮政编码</w:t>
            </w:r>
          </w:p>
        </w:tc>
      </w:tr>
      <w:tr>
        <w:tblPrEx>
          <w:tblLayout w:type="fixed"/>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p>
        </w:tc>
      </w:tr>
      <w:tr>
        <w:tblPrEx>
          <w:tblLayout w:type="fixed"/>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b/>
                <w:bCs/>
                <w:color w:val="auto"/>
                <w:kern w:val="0"/>
                <w:szCs w:val="21"/>
                <w:highlight w:val="none"/>
                <w:lang w:val="zh-CN"/>
              </w:rPr>
              <w:t>单位简介及有关资质说明</w:t>
            </w:r>
          </w:p>
        </w:tc>
      </w:tr>
      <w:tr>
        <w:tblPrEx>
          <w:tblLayout w:type="fixed"/>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auto"/>
                <w:kern w:val="0"/>
                <w:sz w:val="22"/>
                <w:szCs w:val="22"/>
                <w:highlight w:val="none"/>
                <w:lang w:val="zh-CN"/>
              </w:rPr>
            </w:pPr>
          </w:p>
        </w:tc>
      </w:tr>
    </w:tbl>
    <w:p>
      <w:pPr>
        <w:pStyle w:val="4"/>
        <w:rPr>
          <w:rFonts w:hint="eastAsia" w:ascii="方正仿宋_GBK" w:hAnsi="方正仿宋_GBK" w:eastAsia="方正仿宋_GBK" w:cs="方正仿宋_GBK"/>
          <w:b w:val="0"/>
          <w:bCs w:val="0"/>
          <w:color w:val="auto"/>
          <w:highlight w:val="none"/>
        </w:rPr>
      </w:pPr>
      <w:bookmarkStart w:id="16" w:name="_Toc435536481"/>
    </w:p>
    <w:p>
      <w:pPr>
        <w:pStyle w:val="4"/>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（五）主要人员简历表</w:t>
      </w:r>
      <w:bookmarkEnd w:id="16"/>
    </w:p>
    <w:tbl>
      <w:tblPr>
        <w:tblStyle w:val="12"/>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姓</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职</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spacing w:val="-1"/>
                <w:kern w:val="0"/>
                <w:szCs w:val="21"/>
                <w:highlight w:val="none"/>
              </w:rPr>
              <w:t>毕</w:t>
            </w:r>
            <w:r>
              <w:rPr>
                <w:rFonts w:hint="eastAsia" w:ascii="方正仿宋_GBK" w:hAnsi="方正仿宋_GBK" w:eastAsia="方正仿宋_GBK" w:cs="方正仿宋_GBK"/>
                <w:color w:val="auto"/>
                <w:kern w:val="0"/>
                <w:szCs w:val="21"/>
                <w:highlight w:val="none"/>
              </w:rPr>
              <w:t>业于</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学校</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时</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Cs w:val="21"/>
                <w:highlight w:val="none"/>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color w:val="auto"/>
                <w:kern w:val="0"/>
                <w:sz w:val="24"/>
                <w:highlight w:val="none"/>
              </w:rPr>
            </w:pPr>
          </w:p>
        </w:tc>
      </w:tr>
    </w:tbl>
    <w:p>
      <w:pPr>
        <w:rPr>
          <w:rFonts w:hint="eastAsia" w:ascii="方正仿宋_GBK" w:hAnsi="方正仿宋_GBK" w:eastAsia="方正仿宋_GBK" w:cs="方正仿宋_GBK"/>
          <w:color w:val="auto"/>
          <w:highlight w:val="none"/>
        </w:rPr>
      </w:pPr>
    </w:p>
    <w:p>
      <w:pPr>
        <w:pStyle w:val="4"/>
        <w:jc w:val="center"/>
        <w:rPr>
          <w:rFonts w:hint="eastAsia" w:ascii="方正仿宋_GBK" w:hAnsi="方正仿宋_GBK" w:eastAsia="方正仿宋_GBK" w:cs="方正仿宋_GBK"/>
          <w:color w:val="auto"/>
          <w:sz w:val="28"/>
          <w:highlight w:val="none"/>
        </w:rPr>
      </w:pPr>
      <w:bookmarkStart w:id="17" w:name="_Toc435536482"/>
      <w:r>
        <w:rPr>
          <w:rFonts w:hint="eastAsia" w:ascii="方正仿宋_GBK" w:hAnsi="方正仿宋_GBK" w:eastAsia="方正仿宋_GBK" w:cs="方正仿宋_GBK"/>
          <w:color w:val="auto"/>
          <w:highlight w:val="none"/>
        </w:rPr>
        <w:t>（六）近年完成的类似项目情况表</w:t>
      </w:r>
      <w:bookmarkEnd w:id="17"/>
    </w:p>
    <w:p>
      <w:pPr>
        <w:rPr>
          <w:rFonts w:hint="eastAsia" w:ascii="方正仿宋_GBK" w:hAnsi="方正仿宋_GBK" w:eastAsia="方正仿宋_GBK" w:cs="方正仿宋_GBK"/>
          <w:color w:val="auto"/>
          <w:szCs w:val="20"/>
          <w:highlight w:val="none"/>
        </w:rPr>
      </w:pPr>
      <w:r>
        <w:rPr>
          <w:rFonts w:hint="eastAsia" w:ascii="方正黑体_GBK" w:hAnsi="方正黑体_GBK" w:eastAsia="方正黑体_GBK" w:cs="方正黑体_GBK"/>
          <w:color w:val="auto"/>
          <w:sz w:val="32"/>
          <w:szCs w:val="32"/>
          <w:highlight w:val="none"/>
        </w:rPr>
        <w:t>提供中标通知书或施工合同或竣工验收证明文件任一资料</w:t>
      </w:r>
    </w:p>
    <w:p>
      <w:pPr>
        <w:rPr>
          <w:rFonts w:hint="eastAsia" w:ascii="方正仿宋_GBK" w:hAnsi="方正仿宋_GBK" w:eastAsia="方正仿宋_GBK" w:cs="方正仿宋_GBK"/>
          <w:color w:val="auto"/>
          <w:szCs w:val="20"/>
          <w:highlight w:val="none"/>
        </w:rPr>
      </w:pPr>
    </w:p>
    <w:p>
      <w:pPr>
        <w:pStyle w:val="2"/>
        <w:rPr>
          <w:rFonts w:hint="eastAsia"/>
          <w:color w:val="auto"/>
          <w:highlight w:val="none"/>
        </w:rPr>
      </w:pPr>
    </w:p>
    <w:p>
      <w:pPr>
        <w:pStyle w:val="4"/>
        <w:numPr>
          <w:ilvl w:val="0"/>
          <w:numId w:val="6"/>
        </w:numPr>
        <w:jc w:val="center"/>
        <w:rPr>
          <w:rFonts w:hint="eastAsia" w:ascii="方正仿宋_GBK" w:hAnsi="方正仿宋_GBK" w:eastAsia="方正仿宋_GBK" w:cs="方正仿宋_GBK"/>
          <w:color w:val="auto"/>
          <w:highlight w:val="none"/>
        </w:rPr>
      </w:pPr>
      <w:bookmarkStart w:id="18" w:name="_Toc435536484"/>
      <w:r>
        <w:rPr>
          <w:rFonts w:hint="eastAsia" w:ascii="方正仿宋_GBK" w:hAnsi="方正仿宋_GBK" w:eastAsia="方正仿宋_GBK" w:cs="方正仿宋_GBK"/>
          <w:color w:val="auto"/>
          <w:highlight w:val="none"/>
        </w:rPr>
        <w:t>其他资料</w:t>
      </w:r>
      <w:bookmarkEnd w:id="18"/>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numPr>
          <w:ilvl w:val="0"/>
          <w:numId w:val="0"/>
        </w:numPr>
        <w:rPr>
          <w:rFonts w:hint="eastAsia"/>
          <w:color w:val="auto"/>
          <w:highlight w:val="none"/>
        </w:rPr>
      </w:pPr>
    </w:p>
    <w:p>
      <w:pPr>
        <w:numPr>
          <w:ilvl w:val="0"/>
          <w:numId w:val="0"/>
        </w:numPr>
        <w:rPr>
          <w:rFonts w:hint="eastAsia"/>
          <w:color w:val="auto"/>
          <w:highlight w:val="none"/>
        </w:rPr>
      </w:pPr>
    </w:p>
    <w:p>
      <w:pPr>
        <w:keepNext w:val="0"/>
        <w:keepLines w:val="0"/>
        <w:widowControl w:val="0"/>
        <w:suppressLineNumbers w:val="0"/>
        <w:spacing w:before="0" w:beforeAutospacing="0" w:after="0" w:afterAutospacing="0" w:line="900" w:lineRule="exact"/>
        <w:ind w:left="0" w:right="0"/>
        <w:jc w:val="center"/>
        <w:rPr>
          <w:rFonts w:hint="eastAsia" w:cs="宋体"/>
          <w:b/>
          <w:color w:val="auto"/>
          <w:kern w:val="2"/>
          <w:sz w:val="48"/>
          <w:szCs w:val="48"/>
          <w:highlight w:val="none"/>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color w:val="auto"/>
          <w:kern w:val="2"/>
          <w:sz w:val="48"/>
          <w:szCs w:val="48"/>
          <w:highlight w:val="none"/>
          <w:lang w:eastAsia="zh-CN"/>
        </w:rPr>
      </w:pP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第七章</w:t>
      </w: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施工合同</w:t>
      </w:r>
    </w:p>
    <w:p>
      <w:pPr>
        <w:widowControl/>
        <w:spacing w:line="360" w:lineRule="atLeast"/>
        <w:ind w:right="-732" w:rightChars="-244"/>
        <w:jc w:val="center"/>
        <w:rPr>
          <w:rFonts w:hint="eastAsia" w:ascii="新宋体" w:hAnsi="新宋体" w:eastAsia="新宋体" w:cs="宋体"/>
          <w:b/>
          <w:color w:val="auto"/>
          <w:kern w:val="0"/>
          <w:sz w:val="44"/>
          <w:szCs w:val="44"/>
          <w:highlight w:val="none"/>
        </w:rPr>
      </w:pPr>
    </w:p>
    <w:p>
      <w:pPr>
        <w:widowControl/>
        <w:spacing w:line="360" w:lineRule="atLeast"/>
        <w:ind w:right="-732" w:rightChars="-244"/>
        <w:jc w:val="center"/>
        <w:rPr>
          <w:rFonts w:ascii="新宋体" w:hAnsi="新宋体" w:eastAsia="新宋体" w:cs="宋体"/>
          <w:color w:val="auto"/>
          <w:kern w:val="0"/>
          <w:sz w:val="44"/>
          <w:szCs w:val="44"/>
          <w:highlight w:val="none"/>
        </w:rPr>
      </w:pPr>
      <w:r>
        <w:rPr>
          <w:rFonts w:hint="eastAsia" w:ascii="新宋体" w:hAnsi="新宋体" w:eastAsia="新宋体" w:cs="宋体"/>
          <w:b/>
          <w:color w:val="auto"/>
          <w:kern w:val="0"/>
          <w:sz w:val="44"/>
          <w:szCs w:val="44"/>
          <w:highlight w:val="none"/>
        </w:rPr>
        <w:t>建设工程施工合同</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甲方：</w:t>
      </w:r>
      <w:r>
        <w:rPr>
          <w:rFonts w:hint="eastAsia" w:ascii="新宋体" w:hAnsi="新宋体" w:eastAsia="新宋体" w:cs="宋体"/>
          <w:color w:val="auto"/>
          <w:kern w:val="0"/>
          <w:sz w:val="30"/>
          <w:szCs w:val="30"/>
          <w:highlight w:val="none"/>
        </w:rPr>
        <w:t>重庆高速国储能源投资有限公司</w:t>
      </w:r>
    </w:p>
    <w:p>
      <w:pPr>
        <w:widowControl/>
        <w:spacing w:line="360" w:lineRule="atLeast"/>
        <w:ind w:left="-360" w:right="-73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乙方：</w:t>
      </w:r>
    </w:p>
    <w:p>
      <w:pPr>
        <w:widowControl/>
        <w:tabs>
          <w:tab w:val="left" w:pos="540"/>
          <w:tab w:val="left" w:pos="6480"/>
          <w:tab w:val="left" w:pos="7740"/>
          <w:tab w:val="left" w:pos="7920"/>
          <w:tab w:val="left" w:pos="8100"/>
        </w:tabs>
        <w:spacing w:line="360" w:lineRule="atLeast"/>
        <w:ind w:left="-360" w:right="-732" w:rightChars="-244" w:firstLine="600" w:firstLineChars="250"/>
        <w:jc w:val="left"/>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依照《中华人民共和国民法典》及其它有关法律、法规的规定，为确保工程优质、按期完工</w:t>
      </w:r>
      <w:r>
        <w:rPr>
          <w:rFonts w:hint="eastAsia" w:ascii="新宋体" w:hAnsi="新宋体" w:eastAsia="新宋体" w:cs="宋体"/>
          <w:color w:val="auto"/>
          <w:spacing w:val="-4"/>
          <w:kern w:val="0"/>
          <w:sz w:val="24"/>
          <w:highlight w:val="none"/>
        </w:rPr>
        <w:t>，甲乙双方本着诚实信用原则，经自愿、平等协商就</w:t>
      </w:r>
      <w:r>
        <w:rPr>
          <w:rFonts w:hint="eastAsia" w:ascii="新宋体" w:hAnsi="新宋体" w:eastAsia="新宋体" w:cs="宋体"/>
          <w:color w:val="auto"/>
          <w:kern w:val="0"/>
          <w:sz w:val="24"/>
          <w:highlight w:val="none"/>
          <w:lang w:val="en-US" w:eastAsia="zh-CN"/>
        </w:rPr>
        <w:t>高速国储巴南服务区加油站人孔井改造</w:t>
      </w:r>
      <w:r>
        <w:rPr>
          <w:rFonts w:hint="eastAsia" w:ascii="新宋体" w:hAnsi="新宋体" w:eastAsia="新宋体" w:cs="宋体"/>
          <w:color w:val="auto"/>
          <w:kern w:val="0"/>
          <w:sz w:val="24"/>
          <w:highlight w:val="none"/>
          <w:lang w:eastAsia="zh-CN"/>
        </w:rPr>
        <w:t>工程</w:t>
      </w:r>
      <w:r>
        <w:rPr>
          <w:rFonts w:hint="eastAsia" w:ascii="新宋体" w:hAnsi="新宋体" w:eastAsia="新宋体" w:cs="宋体"/>
          <w:color w:val="auto"/>
          <w:spacing w:val="-4"/>
          <w:kern w:val="0"/>
          <w:sz w:val="24"/>
          <w:highlight w:val="none"/>
        </w:rPr>
        <w:t>施工事项达成一致，且乙方已充分注意、理解本合同各条款的约定，并自愿履行由此产生的全部义务，特订立本合同。</w:t>
      </w:r>
      <w:r>
        <w:rPr>
          <w:rFonts w:hint="eastAsia" w:ascii="新宋体" w:hAnsi="新宋体" w:eastAsia="新宋体" w:cs="宋体"/>
          <w:color w:val="auto"/>
          <w:kern w:val="0"/>
          <w:sz w:val="24"/>
          <w:highlight w:val="none"/>
        </w:rPr>
        <w:t>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1、项目概况　　</w:t>
      </w:r>
    </w:p>
    <w:p>
      <w:pPr>
        <w:widowControl/>
        <w:spacing w:line="360" w:lineRule="atLeast"/>
        <w:ind w:left="-360" w:right="-732" w:rightChars="-244"/>
        <w:jc w:val="left"/>
        <w:rPr>
          <w:rFonts w:hint="eastAsia" w:ascii="新宋体" w:hAnsi="新宋体" w:eastAsia="新宋体" w:cs="宋体"/>
          <w:color w:val="auto"/>
          <w:spacing w:val="-4"/>
          <w:kern w:val="0"/>
          <w:sz w:val="24"/>
          <w:highlight w:val="none"/>
          <w:lang w:val="en-US" w:eastAsia="zh-CN"/>
        </w:rPr>
      </w:pPr>
      <w:r>
        <w:rPr>
          <w:rFonts w:hint="eastAsia" w:ascii="新宋体" w:hAnsi="新宋体" w:eastAsia="新宋体" w:cs="宋体"/>
          <w:color w:val="auto"/>
          <w:kern w:val="0"/>
          <w:szCs w:val="21"/>
          <w:highlight w:val="none"/>
        </w:rPr>
        <w:t>1.1  项目名称：</w:t>
      </w:r>
      <w:r>
        <w:rPr>
          <w:rFonts w:hint="eastAsia" w:ascii="新宋体" w:hAnsi="新宋体" w:eastAsia="新宋体" w:cs="宋体"/>
          <w:color w:val="auto"/>
          <w:spacing w:val="-4"/>
          <w:kern w:val="0"/>
          <w:sz w:val="24"/>
          <w:highlight w:val="none"/>
          <w:lang w:val="en-US" w:eastAsia="zh-CN"/>
        </w:rPr>
        <w:t>高速国储巴南服务区加油站人孔井改造工程</w:t>
      </w:r>
    </w:p>
    <w:p>
      <w:pPr>
        <w:pStyle w:val="6"/>
        <w:numPr>
          <w:ilvl w:val="0"/>
          <w:numId w:val="0"/>
        </w:numPr>
        <w:spacing w:line="560" w:lineRule="exact"/>
        <w:ind w:left="640" w:leftChars="0"/>
        <w:rPr>
          <w:rFonts w:hint="eastAsia" w:ascii="新宋体" w:hAnsi="新宋体" w:eastAsia="新宋体" w:cs="宋体"/>
          <w:color w:val="auto"/>
          <w:spacing w:val="-4"/>
          <w:kern w:val="0"/>
          <w:sz w:val="24"/>
          <w:szCs w:val="24"/>
          <w:highlight w:val="none"/>
          <w:lang w:val="en-US" w:eastAsia="zh-CN" w:bidi="ar-SA"/>
        </w:rPr>
      </w:pPr>
      <w:r>
        <w:rPr>
          <w:rFonts w:hint="eastAsia" w:ascii="新宋体" w:hAnsi="新宋体" w:eastAsia="新宋体" w:cs="宋体"/>
          <w:color w:val="auto"/>
          <w:kern w:val="0"/>
          <w:szCs w:val="21"/>
          <w:highlight w:val="none"/>
        </w:rPr>
        <w:t>1.2  项目地点：</w:t>
      </w:r>
      <w:r>
        <w:rPr>
          <w:rFonts w:hint="default" w:ascii="新宋体" w:hAnsi="新宋体" w:eastAsia="新宋体" w:cs="宋体"/>
          <w:color w:val="auto"/>
          <w:spacing w:val="-4"/>
          <w:kern w:val="0"/>
          <w:sz w:val="24"/>
          <w:szCs w:val="24"/>
          <w:highlight w:val="none"/>
          <w:lang w:val="en-US" w:eastAsia="zh-CN" w:bidi="ar-SA"/>
        </w:rPr>
        <w:t>本次施工区域为</w:t>
      </w:r>
      <w:r>
        <w:rPr>
          <w:rFonts w:hint="eastAsia" w:ascii="新宋体" w:hAnsi="新宋体" w:eastAsia="新宋体" w:cs="宋体"/>
          <w:color w:val="auto"/>
          <w:spacing w:val="-4"/>
          <w:kern w:val="0"/>
          <w:sz w:val="24"/>
          <w:szCs w:val="24"/>
          <w:highlight w:val="none"/>
          <w:lang w:val="en-US" w:eastAsia="zh-CN" w:bidi="ar-SA"/>
        </w:rPr>
        <w:t>高速国储巴南服务区加油站。</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2、合同范围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  主要合同内容　　</w:t>
      </w:r>
    </w:p>
    <w:p>
      <w:pPr>
        <w:widowControl/>
        <w:spacing w:line="360" w:lineRule="atLeast"/>
        <w:ind w:left="-360" w:right="-732" w:rightChars="-244" w:firstLine="750"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具体以报价施工清单（含甲方同意变更的部分）为准。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  主要施工工序　　</w:t>
      </w:r>
    </w:p>
    <w:p>
      <w:pPr>
        <w:widowControl/>
        <w:spacing w:line="360" w:lineRule="atLeast"/>
        <w:ind w:left="-360" w:right="-732" w:rightChars="-244" w:firstLine="750"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为完成本合同工程所做的其它一切准备工作。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2.3  主要工程量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详见附件：《</w:t>
      </w:r>
      <w:r>
        <w:rPr>
          <w:rFonts w:hint="eastAsia" w:ascii="新宋体" w:hAnsi="新宋体" w:eastAsia="新宋体" w:cs="宋体"/>
          <w:color w:val="auto"/>
          <w:spacing w:val="-4"/>
          <w:kern w:val="0"/>
          <w:szCs w:val="21"/>
          <w:highlight w:val="none"/>
          <w:u w:val="single"/>
        </w:rPr>
        <w:t xml:space="preserve">                            </w:t>
      </w:r>
      <w:r>
        <w:rPr>
          <w:rFonts w:hint="eastAsia" w:ascii="新宋体" w:hAnsi="新宋体" w:eastAsia="新宋体" w:cs="宋体"/>
          <w:b/>
          <w:color w:val="auto"/>
          <w:kern w:val="0"/>
          <w:szCs w:val="21"/>
          <w:highlight w:val="none"/>
        </w:rPr>
        <w:t>综合单价计价清单》</w:t>
      </w:r>
    </w:p>
    <w:p>
      <w:pPr>
        <w:widowControl/>
        <w:spacing w:line="360" w:lineRule="atLeast"/>
        <w:ind w:left="-360" w:right="-732" w:rightChars="-244"/>
        <w:jc w:val="left"/>
        <w:outlineLvl w:val="0"/>
        <w:rPr>
          <w:rFonts w:hint="eastAsia"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 xml:space="preserve">2.4  合同工期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本项目工作期限</w:t>
      </w:r>
    </w:p>
    <w:p>
      <w:pPr>
        <w:widowControl/>
        <w:tabs>
          <w:tab w:val="left" w:pos="315"/>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工期延误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如果关键线路的节点工期在发生以下情形之一而造成工期延误，经甲方确认后，工期顺延：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a.重大设计变更；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b.不可抗力；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c.由于甲方原因要求停工；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d.甲方书面同意工期顺延的其它情况。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因乙方原因导致工期延误，工期不予顺延，且由乙方承担由此造成的一切经济损失和赶工费用。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2.4.5</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甲方及甲方需提前完成工期时，有关事宜由双方协商解决另行约定。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3、承包方式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若在合同签订</w:t>
      </w:r>
      <w:r>
        <w:rPr>
          <w:rFonts w:hint="eastAsia" w:ascii="新宋体" w:hAnsi="新宋体" w:eastAsia="新宋体" w:cs="宋体"/>
          <w:color w:val="auto"/>
          <w:kern w:val="0"/>
          <w:szCs w:val="21"/>
          <w:highlight w:val="none"/>
          <w:u w:val="single"/>
        </w:rPr>
        <w:t>10</w:t>
      </w:r>
      <w:r>
        <w:rPr>
          <w:rFonts w:hint="eastAsia" w:ascii="新宋体" w:hAnsi="新宋体" w:eastAsia="新宋体" w:cs="宋体"/>
          <w:color w:val="auto"/>
          <w:kern w:val="0"/>
          <w:szCs w:val="21"/>
          <w:highlight w:val="none"/>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4、合同价格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4.1  合同总价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合同暂定总价：（人民币）大写：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整</w:t>
      </w:r>
      <w:r>
        <w:rPr>
          <w:rFonts w:hint="eastAsia" w:ascii="新宋体" w:hAnsi="新宋体" w:eastAsia="新宋体" w:cs="宋体"/>
          <w:color w:val="auto"/>
          <w:kern w:val="0"/>
          <w:szCs w:val="21"/>
          <w:highlight w:val="none"/>
        </w:rPr>
        <w:t>，小写：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元</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4.2  合同分项工程综合单价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5、双方权利与义务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5.1  甲方权利与义务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甲方负责工程施工期间工程总进度计划安排、组织、协调工作及工程质量、进度、安全、环保、文明施工的管理、监督、检查。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甲负责提供前期有关施工手续，地方协调，并提供施工场所。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甲方负责组织相关施工图纸的技术、质量、安全、环保等交底工作。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甲方负责组织现场调度会，协调现场施工。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5.1.6</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甲方向乙方下达承包工程总体进度计划、月工程进度计划及周进度计划。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5.1.7</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甲方有派专业技术人员对乙方进行指导和监督的权利。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5.1.8</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5.1.9</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甲方负责按照合同约定支付工程款。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5.1.10</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甲方负责对乙方完成的工程量进行审核、计价结算，并按甲方资金到位情况进行工程款的支付。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甲方有权要求乙方撤换不能胜任本职工作的管理及施工人员。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甲方有权对乙方的工程质量等级、隐蔽工程和中间验收、维护、初验、检查和返工、终验进行检查和监督。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甲方有权对乙方施工工作面存在的安全隐患进行监督、检查，并督促乙方采取整改措施。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5.2  乙方权利与义务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  在本合同签订后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日内，乙方应组织人员与甲方进行技术、质量、安全等交底如果有。</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5.2.2  乙方负责组织人员熟悉环境和工作面、按照施工总布置要求、做好各项施工准备工作。</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3</w:t>
      </w:r>
      <w:r>
        <w:rPr>
          <w:rFonts w:hint="eastAsia" w:ascii="新宋体" w:hAnsi="新宋体" w:eastAsia="新宋体" w:cs="宋体"/>
          <w:color w:val="auto"/>
          <w:kern w:val="0"/>
          <w:szCs w:val="21"/>
          <w:highlight w:val="none"/>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7　</w:t>
      </w:r>
      <w:r>
        <w:rPr>
          <w:rFonts w:hint="eastAsia" w:ascii="新宋体" w:hAnsi="新宋体" w:eastAsia="新宋体" w:cs="宋体"/>
          <w:color w:val="auto"/>
          <w:kern w:val="0"/>
          <w:szCs w:val="21"/>
          <w:highlight w:val="none"/>
        </w:rPr>
        <w:t>为确保合同履行，乙方必须于合同签订5个工作日内安排人员进场；并向甲方书面报告，便于甲方组织现场检查。</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8　</w:t>
      </w:r>
      <w:r>
        <w:rPr>
          <w:rFonts w:hint="eastAsia" w:ascii="新宋体" w:hAnsi="新宋体" w:eastAsia="新宋体" w:cs="宋体"/>
          <w:color w:val="auto"/>
          <w:kern w:val="0"/>
          <w:szCs w:val="21"/>
          <w:highlight w:val="none"/>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9　</w:t>
      </w:r>
      <w:r>
        <w:rPr>
          <w:rFonts w:hint="eastAsia" w:ascii="新宋体" w:hAnsi="新宋体" w:eastAsia="新宋体" w:cs="宋体"/>
          <w:color w:val="auto"/>
          <w:kern w:val="0"/>
          <w:szCs w:val="21"/>
          <w:highlight w:val="none"/>
        </w:rPr>
        <w:t>乙方负责施工现场的看护、保卫及未完工程的安全工作，按时向甲方移交工程。保护期内发生损坏的，由乙方自费修复。</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0　</w:t>
      </w:r>
      <w:r>
        <w:rPr>
          <w:rFonts w:hint="eastAsia" w:ascii="新宋体" w:hAnsi="新宋体" w:eastAsia="新宋体" w:cs="宋体"/>
          <w:color w:val="auto"/>
          <w:kern w:val="0"/>
          <w:szCs w:val="21"/>
          <w:highlight w:val="none"/>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1　</w:t>
      </w:r>
      <w:r>
        <w:rPr>
          <w:rFonts w:hint="eastAsia" w:ascii="新宋体" w:hAnsi="新宋体" w:eastAsia="新宋体" w:cs="宋体"/>
          <w:color w:val="auto"/>
          <w:kern w:val="0"/>
          <w:szCs w:val="21"/>
          <w:highlight w:val="none"/>
        </w:rPr>
        <w:t>如承包合同工程跨年度，乙方应在其营业执照、资质证书、安全生产许可证、税务登记证等相应证书送交甲方备案。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乙方应该及时提完工清算资料，以备甲方审核。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乙方不得以甲方的名义从事其它任何活动。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15　</w:t>
      </w:r>
      <w:r>
        <w:rPr>
          <w:rFonts w:hint="eastAsia" w:ascii="新宋体" w:hAnsi="新宋体" w:eastAsia="新宋体" w:cs="宋体"/>
          <w:color w:val="auto"/>
          <w:kern w:val="0"/>
          <w:szCs w:val="21"/>
          <w:highlight w:val="none"/>
        </w:rPr>
        <w:t>乙方在签订本协议时，已经充分了解到施工现场条件及自然地理环境的风险，并承担由该风险所带来的损失和责任。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16　</w:t>
      </w:r>
      <w:r>
        <w:rPr>
          <w:rFonts w:hint="eastAsia" w:ascii="新宋体" w:hAnsi="新宋体" w:eastAsia="新宋体" w:cs="宋体"/>
          <w:color w:val="auto"/>
          <w:kern w:val="0"/>
          <w:szCs w:val="21"/>
          <w:highlight w:val="none"/>
        </w:rPr>
        <w:t>乙方依据本合同发出的请求及通知，必须由分包项目经理或授权代表签字，否则视为无效。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17　</w:t>
      </w:r>
      <w:r>
        <w:rPr>
          <w:rFonts w:hint="eastAsia" w:ascii="新宋体" w:hAnsi="新宋体" w:eastAsia="新宋体" w:cs="宋体"/>
          <w:color w:val="auto"/>
          <w:kern w:val="0"/>
          <w:szCs w:val="21"/>
          <w:highlight w:val="none"/>
        </w:rPr>
        <w:t>乙方已全面了解并遵守甲方各项管理制度，服从甲方对施工现场管理的各项管理规定及指令。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18　</w:t>
      </w:r>
      <w:r>
        <w:rPr>
          <w:rFonts w:hint="eastAsia" w:ascii="新宋体" w:hAnsi="新宋体" w:eastAsia="新宋体" w:cs="宋体"/>
          <w:color w:val="auto"/>
          <w:kern w:val="0"/>
          <w:szCs w:val="21"/>
          <w:highlight w:val="none"/>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73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6.1质量要求</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xml:space="preserve"> </w:t>
      </w:r>
      <w:r>
        <w:rPr>
          <w:rFonts w:hint="eastAsia" w:ascii="新宋体" w:hAnsi="新宋体" w:eastAsia="新宋体" w:cs="宋体"/>
          <w:color w:val="auto"/>
          <w:kern w:val="0"/>
          <w:szCs w:val="21"/>
          <w:highlight w:val="none"/>
        </w:rPr>
        <w:t xml:space="preserve"> 6.1.1必须符合相应建筑质量规范要求</w:t>
      </w: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6.2  质量检查与验收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负责（包括按规定填报资料），费用由</w:t>
      </w:r>
      <w:r>
        <w:rPr>
          <w:rFonts w:hint="eastAsia" w:ascii="新宋体" w:hAnsi="新宋体" w:eastAsia="新宋体" w:cs="宋体"/>
          <w:color w:val="auto"/>
          <w:kern w:val="0"/>
          <w:szCs w:val="21"/>
          <w:highlight w:val="none"/>
          <w:u w:val="single"/>
        </w:rPr>
        <w:t>乙</w:t>
      </w:r>
      <w:r>
        <w:rPr>
          <w:rFonts w:hint="eastAsia" w:ascii="新宋体" w:hAnsi="新宋体" w:eastAsia="新宋体" w:cs="宋体"/>
          <w:color w:val="auto"/>
          <w:kern w:val="0"/>
          <w:szCs w:val="21"/>
          <w:highlight w:val="none"/>
        </w:rPr>
        <w:t>方承担（视工程项目具体情况约定）。合同工程所约定的工程范围内施工检验、试验由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工程经甲方验收后，仍需甲方、国家或地方质检部门验收合格后方视为正式验收。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乙方必须服从甲方对本工程质量管理的规章制度。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本合同提前解除的，不免除乙方应承担的工程质量责任。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7、安全生产与文明施工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7.1乙方应严格遵守国家安全生产的法律法规、规程规范、标准，遵守甲方的安全规章制度和现场防护要求，确保施工安全。</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7.2乙方负责管理本合同工程的施工作业安全以及消防、防汛和抗灾等工作。乙方必须配备安全管理人员</w:t>
      </w:r>
      <w:r>
        <w:rPr>
          <w:rFonts w:hint="eastAsia" w:ascii="新宋体" w:hAnsi="新宋体" w:eastAsia="新宋体" w:cs="宋体"/>
          <w:color w:val="auto"/>
          <w:kern w:val="0"/>
          <w:szCs w:val="21"/>
          <w:highlight w:val="none"/>
          <w:u w:val="single"/>
        </w:rPr>
        <w:t>1</w:t>
      </w:r>
      <w:r>
        <w:rPr>
          <w:rFonts w:hint="eastAsia" w:ascii="新宋体" w:hAnsi="新宋体" w:eastAsia="新宋体" w:cs="宋体"/>
          <w:color w:val="auto"/>
          <w:kern w:val="0"/>
          <w:szCs w:val="21"/>
          <w:highlight w:val="none"/>
        </w:rPr>
        <w:t>名，加强施工作业的安全管理。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非甲方原因，乙方遭受到财产和人员（包括乙方雇员、乙方施工范围内其他人员）生命、健康损失由乙方自行承担。</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8、责任划分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9、技术条款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对于非临时工程以甲方与甲方主合同有关本合同项目的技术要求为准，对本合同同样有效；对于临时工程以甲方对本合同项目的技术要求为准。</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10、施工协作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10.2乙方按约定完成施工作业，必须由甲方或施工场地内的第三方进行配合时，甲方应配合乙方工作或确保乙方获得第三方的配合。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10.3乙方必须服从甲方现场有关的管理制度。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11、计量原则及工程量确认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11.1  计量原则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11.2  工程量确认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乙方的结算工程量以甲方确定为准。乙方上报已完工程量报表，经甲方</w:t>
      </w:r>
      <w:r>
        <w:rPr>
          <w:rFonts w:hint="eastAsia" w:ascii="新宋体" w:hAnsi="新宋体" w:eastAsia="新宋体" w:cs="宋体"/>
          <w:color w:val="auto"/>
          <w:kern w:val="0"/>
          <w:szCs w:val="21"/>
          <w:highlight w:val="none"/>
          <w:u w:val="single"/>
        </w:rPr>
        <w:t>现场甲方代表</w:t>
      </w:r>
      <w:r>
        <w:rPr>
          <w:rFonts w:hint="eastAsia" w:ascii="新宋体" w:hAnsi="新宋体" w:eastAsia="新宋体" w:cs="宋体"/>
          <w:color w:val="auto"/>
          <w:kern w:val="0"/>
          <w:szCs w:val="21"/>
          <w:highlight w:val="none"/>
        </w:rPr>
        <w:t>校核，经</w:t>
      </w:r>
      <w:r>
        <w:rPr>
          <w:rFonts w:hint="eastAsia" w:ascii="新宋体" w:hAnsi="新宋体" w:eastAsia="新宋体" w:cs="宋体"/>
          <w:color w:val="auto"/>
          <w:kern w:val="0"/>
          <w:szCs w:val="21"/>
          <w:highlight w:val="none"/>
          <w:u w:val="single"/>
        </w:rPr>
        <w:t>甲方项目主办</w:t>
      </w:r>
      <w:r>
        <w:rPr>
          <w:rFonts w:hint="eastAsia" w:ascii="新宋体" w:hAnsi="新宋体" w:eastAsia="新宋体" w:cs="宋体"/>
          <w:color w:val="auto"/>
          <w:kern w:val="0"/>
          <w:szCs w:val="21"/>
          <w:highlight w:val="none"/>
        </w:rPr>
        <w:t>审核，经项目经理批准方作为结算依据。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12、结算与支付　　</w:t>
      </w:r>
    </w:p>
    <w:p>
      <w:pPr>
        <w:widowControl/>
        <w:spacing w:line="360" w:lineRule="atLeast"/>
        <w:ind w:left="-360" w:right="-73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12.1  结算方式　</w:t>
      </w:r>
    </w:p>
    <w:p>
      <w:pPr>
        <w:widowControl/>
        <w:spacing w:line="360" w:lineRule="atLeast"/>
        <w:ind w:left="-513" w:leftChars="-171" w:right="-732" w:rightChars="-244" w:firstLine="294" w:firstLineChars="98"/>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.1.1本合同执行按</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rPr>
        <w:t>结算。</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12.2  支付方式　</w:t>
      </w:r>
    </w:p>
    <w:p>
      <w:pPr>
        <w:widowControl/>
        <w:spacing w:line="360" w:lineRule="atLeast"/>
        <w:ind w:left="-513" w:leftChars="-171" w:right="-732" w:rightChars="-244" w:firstLine="30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.2  本合同签订后，施工过程中甲方不向乙方支付项目任何进度款项，待乙方施工完成后经业主单位现场</w:t>
      </w:r>
      <w:r>
        <w:rPr>
          <w:rFonts w:hint="eastAsia" w:ascii="新宋体" w:hAnsi="新宋体" w:eastAsia="新宋体" w:cs="宋体"/>
          <w:color w:val="auto"/>
          <w:kern w:val="0"/>
          <w:szCs w:val="21"/>
          <w:highlight w:val="none"/>
          <w:u w:val="single"/>
        </w:rPr>
        <w:t>代表签字确认</w:t>
      </w:r>
      <w:r>
        <w:rPr>
          <w:rFonts w:hint="eastAsia" w:ascii="新宋体" w:hAnsi="新宋体" w:eastAsia="新宋体" w:cs="宋体"/>
          <w:color w:val="auto"/>
          <w:kern w:val="0"/>
          <w:szCs w:val="21"/>
          <w:highlight w:val="none"/>
        </w:rPr>
        <w:t>，该项目按时按量完成本合同施工清单内容无误,甲方应在7个工作日内向乙方一次性支付合同总金额97%工程款项，质保金3%质保期一年后无息支付，甲方支付款项前，乙方应提供合法有效等额的增值税</w:t>
      </w:r>
      <w:r>
        <w:rPr>
          <w:rFonts w:hint="eastAsia" w:ascii="新宋体" w:hAnsi="新宋体" w:eastAsia="新宋体" w:cs="宋体"/>
          <w:color w:val="auto"/>
          <w:kern w:val="0"/>
          <w:szCs w:val="21"/>
          <w:highlight w:val="none"/>
          <w:lang w:val="en-US" w:eastAsia="zh-CN"/>
        </w:rPr>
        <w:t>专用</w:t>
      </w:r>
      <w:r>
        <w:rPr>
          <w:rFonts w:hint="eastAsia" w:ascii="新宋体" w:hAnsi="新宋体" w:eastAsia="新宋体" w:cs="宋体"/>
          <w:color w:val="auto"/>
          <w:kern w:val="0"/>
          <w:szCs w:val="21"/>
          <w:highlight w:val="none"/>
        </w:rPr>
        <w:t>发票，否则甲方有权暂缓付款，且不承担任何责任。</w:t>
      </w:r>
    </w:p>
    <w:p>
      <w:pPr>
        <w:widowControl/>
        <w:spacing w:line="360" w:lineRule="atLeast"/>
        <w:ind w:left="-513" w:leftChars="-171" w:right="-732" w:rightChars="-244" w:firstLine="30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13、变更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13.1 施工中如需对原工作内容进行变更，甲方应提前</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天以书面形式向乙方发出变更通知，并提供变更的相应图纸和说明。乙方按照甲方发出的变更通知及有关要求进行施工。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13.2 在紧急（防洪、抢险、救灾等）情况下，乙方应立即执行甲方的变更指令。　　</w:t>
      </w:r>
    </w:p>
    <w:p>
      <w:pPr>
        <w:widowControl/>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13.3 施工中乙方不得擅自对原工程设计进行变更。否则，由此发生的费用和导致甲方的损失，由乙方承担。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 变更处置原则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13.4.1若变更需要调整合同价格较大时（调整超过合同金额30%以上时），则由双方协商确定新的单价或合价，并签订补充协议。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14、竣工验收与完工结算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14.1  竣工验收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乙方施工完毕，应向甲方提出验收申请，由甲方在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日内组织验收。若由于甲方原因不能及时验收，乙方应予充分理解，不能以此要求增加任何费用，但甲方应尽快组织验收。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乙方应注意成品的防护工作，不以中间交工验收免除乙方成品的保护责任。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14.2  完工结算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甲方收到乙方递交的相关文件，在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工作日内审查完毕，无误后再进行完工结算，乙方递交的工程量统计表经乙方签字、甲方审核后生效，方可作为结算依据。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15、质保期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本合同质保一年，如为质量问题提供同等的设备并进行运送安装，时间从完工验收之日算起。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16、担保及保险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16.1乙方应保障甲方免于承受在本项目实施全过程中引起的下列损失、索赔及与此有关的索赔、诉讼、损害赔偿：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a．人员的伤亡；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b．承包工程以外的任何财产的损失或损害。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21.3 工程（包括材料和工程设备）发生以下各种风险造成的损失和损坏，均应由乙方承担风险责任。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a.由于乙方对工程（包括材料和工程设备）照管不周造成的损失和损坏。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b.由于乙方的施工组织措施失误造成的损失和损坏。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c.由于乙方其他原因造成的损失和损坏。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17、暂停施工与补偿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由于施工工序、施工工艺及进度安排的暂停施工引起的误工已包含在合同价格中，甲方不再另外承担暂停施工的施工人员、设备停工补偿。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本工程对甲方原因、甲方原因引起的暂停施工，均不予补偿。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18、违约责任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18.1  甲方违约责任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若由于甲方原因造成甲方不能按期支付，甲方不承担任何责任，乙方应予充分理解。　　</w:t>
      </w:r>
    </w:p>
    <w:p>
      <w:pPr>
        <w:widowControl/>
        <w:tabs>
          <w:tab w:val="left" w:pos="720"/>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由于甲方原因造成乙方损失的，甲方应承担乙方直接经济损失的赔偿责任。</w:t>
      </w:r>
    </w:p>
    <w:p>
      <w:pPr>
        <w:widowControl/>
        <w:tabs>
          <w:tab w:val="left" w:pos="720"/>
        </w:tabs>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18.2  乙方违约责任　　</w:t>
      </w:r>
    </w:p>
    <w:p>
      <w:pPr>
        <w:widowControl/>
        <w:tabs>
          <w:tab w:val="left" w:pos="720"/>
        </w:tabs>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auto"/>
          <w:kern w:val="0"/>
          <w:szCs w:val="21"/>
          <w:highlight w:val="none"/>
          <w:u w:val="single"/>
        </w:rPr>
        <w:t>1000</w:t>
      </w:r>
      <w:r>
        <w:rPr>
          <w:rFonts w:hint="eastAsia" w:ascii="新宋体" w:hAnsi="新宋体" w:eastAsia="新宋体" w:cs="宋体"/>
          <w:color w:val="auto"/>
          <w:kern w:val="0"/>
          <w:szCs w:val="21"/>
          <w:highlight w:val="none"/>
        </w:rPr>
        <w:t>元至人民币</w:t>
      </w:r>
      <w:r>
        <w:rPr>
          <w:rFonts w:hint="eastAsia" w:ascii="新宋体" w:hAnsi="新宋体" w:eastAsia="新宋体" w:cs="宋体"/>
          <w:color w:val="auto"/>
          <w:kern w:val="0"/>
          <w:szCs w:val="21"/>
          <w:highlight w:val="none"/>
          <w:u w:val="single"/>
        </w:rPr>
        <w:t>5000</w:t>
      </w:r>
      <w:r>
        <w:rPr>
          <w:rFonts w:hint="eastAsia" w:ascii="新宋体" w:hAnsi="新宋体" w:eastAsia="新宋体" w:cs="宋体"/>
          <w:color w:val="auto"/>
          <w:kern w:val="0"/>
          <w:szCs w:val="21"/>
          <w:highlight w:val="none"/>
        </w:rPr>
        <w:t>元，甲方有权在应支付的款项内直接抵扣。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乙方不得转包本合同范围内工程或施工工序。否则，甲方有权单方解除合同，同时乙方还应支付合同总金额3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的违约金及由此造成甲方的全部损失（包括但不限于诉讼费、鉴定费、保全费、公告费、执行费、律师费等费用）。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由于乙方原因造成工期逾期的，乙方应按逾期天数以</w:t>
      </w:r>
      <w:r>
        <w:rPr>
          <w:rFonts w:hint="eastAsia" w:ascii="新宋体" w:hAnsi="新宋体" w:eastAsia="新宋体" w:cs="宋体"/>
          <w:color w:val="auto"/>
          <w:kern w:val="0"/>
          <w:szCs w:val="21"/>
          <w:highlight w:val="none"/>
          <w:u w:val="single"/>
        </w:rPr>
        <w:t>500</w:t>
      </w:r>
      <w:r>
        <w:rPr>
          <w:rFonts w:hint="eastAsia" w:ascii="新宋体" w:hAnsi="新宋体" w:eastAsia="新宋体" w:cs="宋体"/>
          <w:color w:val="auto"/>
          <w:kern w:val="0"/>
          <w:szCs w:val="21"/>
          <w:highlight w:val="none"/>
        </w:rPr>
        <w:t>元/天向甲方计付违约金，并承担由此造成的甲方经济损失。若逾期超过</w:t>
      </w:r>
      <w:r>
        <w:rPr>
          <w:rFonts w:ascii="新宋体" w:hAnsi="新宋体" w:eastAsia="新宋体" w:cs="宋体"/>
          <w:color w:val="auto"/>
          <w:kern w:val="0"/>
          <w:szCs w:val="21"/>
          <w:highlight w:val="none"/>
        </w:rPr>
        <w:t>20</w:t>
      </w:r>
      <w:r>
        <w:rPr>
          <w:rFonts w:hint="eastAsia" w:ascii="新宋体" w:hAnsi="新宋体" w:eastAsia="新宋体" w:cs="宋体"/>
          <w:color w:val="auto"/>
          <w:kern w:val="0"/>
          <w:szCs w:val="21"/>
          <w:highlight w:val="none"/>
        </w:rPr>
        <w:t>天，甲方有权单方解除本合同，乙方需按合同总金额3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%支付违约金，并赔偿由此给甲方造成的全部损失（包括但不限于诉讼费、鉴定费、保全费、公告费、执行费、律师费等费用）。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auto"/>
          <w:kern w:val="0"/>
          <w:szCs w:val="21"/>
          <w:highlight w:val="none"/>
        </w:rPr>
      </w:pP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乙方在施工中发生并被甲方认为有重大偷工减料行为时，甲方有权单方面解除合同，乙方应支付合同总金额3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如发生乙方拖欠雇员工资，乙方同意甲方从工程款中扣除直接支付给乙方雇员。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19、不可抗力及免责条款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19.1不可抗力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天内，乙方应向甲方提交损失情况和费用的正式报告和有关资料。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19.2免责条款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若甲方未能按时支付工程款，乙方应充分理解，不能视甲方违约。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20、争议与仲裁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20.1凡因本合同引起的或与本合同有关的任何争议，由双方协商解决；协商不果时：双方应向甲方法人所在地的人民法院提起诉讼。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21、合同解除与终止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21.1.1因不可抗力或因甲方原因造成工程停建、缓建，致使本合同无法履行的，甲乙双方可以解除合同。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21.1.2自合同双方当事人履行完毕合同全部义务，包括乙方向甲方交付符合约定的竣工工程，甲方支付完毕竣工结算价款后，本合同即告终止。　　</w:t>
      </w:r>
    </w:p>
    <w:p>
      <w:pPr>
        <w:widowControl/>
        <w:spacing w:line="360" w:lineRule="atLeast"/>
        <w:ind w:left="-360" w:right="-73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22、特别约定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22.1甲乙双方的本工程项目负责人必须是各自单位的法定代表人或委托代理人，负责履行本合同的权利和义务，其他人员未经书面授权签字无效。　　</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513" w:leftChars="-171" w:right="-732" w:rightChars="-244" w:firstLine="300" w:firstLineChars="100"/>
        <w:jc w:val="left"/>
        <w:rPr>
          <w:rFonts w:ascii="新宋体" w:hAnsi="新宋体" w:eastAsia="新宋体" w:cs="宋体"/>
          <w:color w:val="auto"/>
          <w:kern w:val="0"/>
          <w:szCs w:val="21"/>
          <w:highlight w:val="none"/>
        </w:rPr>
      </w:pP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w:t>
      </w:r>
      <w:r>
        <w:rPr>
          <w:rFonts w:ascii="新宋体" w:hAnsi="新宋体" w:eastAsia="新宋体" w:cs="宋体"/>
          <w:b/>
          <w:color w:val="auto"/>
          <w:kern w:val="0"/>
          <w:szCs w:val="21"/>
          <w:highlight w:val="none"/>
        </w:rPr>
        <w:t>3</w:t>
      </w:r>
      <w:r>
        <w:rPr>
          <w:rFonts w:hint="eastAsia" w:ascii="新宋体" w:hAnsi="新宋体" w:eastAsia="新宋体" w:cs="宋体"/>
          <w:b/>
          <w:color w:val="auto"/>
          <w:kern w:val="0"/>
          <w:szCs w:val="21"/>
          <w:highlight w:val="none"/>
        </w:rPr>
        <w:t>、其他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1、本合同一式6份甲方4份，乙方2份。 </w:t>
      </w:r>
    </w:p>
    <w:p>
      <w:pPr>
        <w:widowControl/>
        <w:spacing w:line="360" w:lineRule="atLeast"/>
        <w:ind w:left="0" w:right="-732" w:rightChars="-244" w:firstLine="0" w:firstLineChars="0"/>
        <w:jc w:val="left"/>
        <w:rPr>
          <w:rFonts w:hint="eastAsia" w:ascii="新宋体" w:hAnsi="新宋体" w:eastAsia="新宋体" w:cs="宋体"/>
          <w:color w:val="auto"/>
          <w:kern w:val="0"/>
          <w:szCs w:val="21"/>
          <w:highlight w:val="none"/>
        </w:rPr>
      </w:pP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 xml:space="preserve">、乙方应提供合法经营的证照和资质复印件并加盖公章作为本合同的附件。  </w:t>
      </w:r>
    </w:p>
    <w:p>
      <w:pPr>
        <w:widowControl/>
        <w:spacing w:line="360" w:lineRule="atLeast"/>
        <w:ind w:left="-360" w:right="-732" w:rightChars="-244" w:firstLine="60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hint="eastAsia" w:ascii="新宋体" w:hAnsi="新宋体" w:eastAsia="新宋体" w:cs="宋体"/>
          <w:color w:val="auto"/>
          <w:kern w:val="0"/>
          <w:szCs w:val="21"/>
          <w:highlight w:val="none"/>
          <w:lang w:val="en-US" w:eastAsia="zh-CN"/>
        </w:rPr>
      </w:pPr>
      <w:r>
        <w:rPr>
          <w:rFonts w:hint="eastAsia"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lang w:val="en-US" w:eastAsia="zh-CN"/>
        </w:rPr>
        <w:t>附件：《</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u w:val="single"/>
          <w:lang w:eastAsia="zh-CN"/>
        </w:rPr>
        <w:t>》</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甲方：                                   乙方：　　</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法定代表人：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法定代表人：</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地址：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地址</w:t>
      </w:r>
    </w:p>
    <w:p>
      <w:pPr>
        <w:widowControl/>
        <w:spacing w:line="360" w:lineRule="atLeast"/>
        <w:ind w:left="-360" w:right="-73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电话：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电话：</w:t>
      </w:r>
    </w:p>
    <w:p>
      <w:pPr>
        <w:widowControl/>
        <w:spacing w:line="360" w:lineRule="atLeast"/>
        <w:ind w:left="-360" w:right="-732" w:rightChars="-244"/>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签订时间：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r>
        <w:rPr>
          <w:rFonts w:hint="eastAsia" w:cs="宋体"/>
          <w:b/>
          <w:color w:val="auto"/>
          <w:kern w:val="0"/>
          <w:sz w:val="32"/>
          <w:szCs w:val="32"/>
          <w:highlight w:val="none"/>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发包人和承包人根据《中华人民共和国建筑法》和《建设工程质量管理条例》，经协商一致就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w:t>
      </w:r>
      <w:r>
        <w:rPr>
          <w:rFonts w:hint="eastAsia" w:ascii="宋体" w:hAnsi="宋体" w:eastAsia="宋体" w:cs="宋体"/>
          <w:b/>
          <w:bCs/>
          <w:color w:val="auto"/>
          <w:kern w:val="2"/>
          <w:sz w:val="21"/>
          <w:szCs w:val="21"/>
          <w:highlight w:val="none"/>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1、整体工程质保期为两年。</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六、双方约定的其他工程质量保修事项：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甲方：</w:t>
      </w:r>
      <w:r>
        <w:rPr>
          <w:rFonts w:hint="eastAsia" w:cs="宋体"/>
          <w:color w:val="auto"/>
          <w:kern w:val="2"/>
          <w:sz w:val="21"/>
          <w:szCs w:val="21"/>
          <w:highlight w:val="none"/>
          <w:lang w:val="en-US" w:eastAsia="zh-CN" w:bidi="ar"/>
        </w:rPr>
        <w:t>重庆高速国储能源投资有限公司</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eastAsia" w:cs="宋体"/>
          <w:b/>
          <w:color w:val="auto"/>
          <w:kern w:val="2"/>
          <w:sz w:val="32"/>
          <w:szCs w:val="32"/>
          <w:highlight w:val="none"/>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为在</w:t>
      </w:r>
      <w:r>
        <w:rPr>
          <w:rFonts w:hint="eastAsia"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auto"/>
          <w:kern w:val="2"/>
          <w:sz w:val="21"/>
          <w:szCs w:val="21"/>
          <w:highlight w:val="none"/>
        </w:rPr>
      </w:pPr>
      <w:r>
        <w:rPr>
          <w:rFonts w:hint="eastAsia" w:ascii="宋体" w:hAnsi="宋体" w:eastAsia="宋体" w:cs="宋体"/>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实施过程中创造安全、高效的施工环境，切实搞好本项目的安全管理工作，本项目发包人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（以下简称“甲方”）与承包人</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一、</w:t>
      </w:r>
      <w:r>
        <w:rPr>
          <w:rFonts w:hint="eastAsia" w:ascii="宋体" w:hAnsi="宋体" w:eastAsia="宋体" w:cs="宋体"/>
          <w:b/>
          <w:color w:val="auto"/>
          <w:kern w:val="2"/>
          <w:sz w:val="21"/>
          <w:szCs w:val="21"/>
          <w:highlight w:val="none"/>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二、</w:t>
      </w:r>
      <w:r>
        <w:rPr>
          <w:rFonts w:hint="eastAsia" w:ascii="宋体" w:hAnsi="宋体" w:eastAsia="宋体" w:cs="宋体"/>
          <w:b/>
          <w:color w:val="auto"/>
          <w:kern w:val="2"/>
          <w:sz w:val="21"/>
          <w:szCs w:val="21"/>
          <w:highlight w:val="none"/>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严格遵守国家有关安全生产的法律法规、交通部颁发的《公路工程施工安全技术规程》（</w:t>
      </w:r>
      <w:r>
        <w:rPr>
          <w:rFonts w:hint="default" w:ascii="Times New Roman" w:hAnsi="Times New Roman" w:eastAsia="宋体" w:cs="Times New Roman"/>
          <w:color w:val="auto"/>
          <w:kern w:val="2"/>
          <w:sz w:val="21"/>
          <w:szCs w:val="21"/>
          <w:highlight w:val="none"/>
          <w:lang w:val="en-US" w:eastAsia="zh-CN" w:bidi="ar"/>
        </w:rPr>
        <w:t>JTJ 076—95</w:t>
      </w:r>
      <w:r>
        <w:rPr>
          <w:rFonts w:hint="eastAsia" w:ascii="宋体" w:hAnsi="宋体" w:eastAsia="宋体" w:cs="宋体"/>
          <w:color w:val="auto"/>
          <w:kern w:val="2"/>
          <w:sz w:val="21"/>
          <w:szCs w:val="21"/>
          <w:highlight w:val="none"/>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三、</w:t>
      </w:r>
      <w:r>
        <w:rPr>
          <w:rFonts w:hint="eastAsia" w:ascii="宋体" w:hAnsi="宋体" w:eastAsia="宋体" w:cs="宋体"/>
          <w:b/>
          <w:color w:val="auto"/>
          <w:kern w:val="2"/>
          <w:sz w:val="21"/>
          <w:szCs w:val="21"/>
          <w:highlight w:val="none"/>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Times New Roman" w:cs="Times New Roman"/>
          <w:color w:val="auto"/>
          <w:kern w:val="2"/>
          <w:sz w:val="18"/>
          <w:szCs w:val="18"/>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日 期: 2017年     月    日                           日 期：2017年     月    日 </w:t>
      </w: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default" w:ascii="Times New Roman" w:hAnsi="宋体" w:cs="Times New Roman"/>
          <w:color w:val="auto"/>
          <w:kern w:val="0"/>
          <w:sz w:val="32"/>
          <w:szCs w:val="32"/>
          <w:highlight w:val="none"/>
        </w:rPr>
        <w:br w:type="page"/>
      </w:r>
      <w:r>
        <w:rPr>
          <w:rFonts w:hint="eastAsia" w:cs="宋体"/>
          <w:b/>
          <w:color w:val="auto"/>
          <w:kern w:val="2"/>
          <w:sz w:val="32"/>
          <w:szCs w:val="32"/>
          <w:highlight w:val="none"/>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（以下简称“甲方”）与施工单位</w:t>
      </w:r>
      <w:r>
        <w:rPr>
          <w:rFonts w:hint="eastAsia" w:ascii="宋体" w:hAnsi="宋体" w:eastAsia="宋体" w:cs="宋体"/>
          <w:b/>
          <w:color w:val="auto"/>
          <w:kern w:val="2"/>
          <w:sz w:val="21"/>
          <w:szCs w:val="21"/>
          <w:highlight w:val="none"/>
          <w:u w:val="single"/>
          <w:lang w:val="en-US" w:eastAsia="zh-CN" w:bidi="ar"/>
        </w:rPr>
        <w:t xml:space="preserve">  </w:t>
      </w:r>
      <w:r>
        <w:rPr>
          <w:rFonts w:hint="eastAsia" w:cs="宋体"/>
          <w:b/>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（1）严格遵守党的政策规定和国家有关法律法规及交通部的有关规定。严格执行</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5、双方约定</w:t>
      </w:r>
      <w:r>
        <w:rPr>
          <w:rFonts w:hint="eastAsia" w:ascii="宋体" w:hAnsi="宋体" w:eastAsia="宋体" w:cs="宋体"/>
          <w:color w:val="auto"/>
          <w:kern w:val="2"/>
          <w:sz w:val="21"/>
          <w:szCs w:val="21"/>
          <w:highlight w:val="none"/>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eastAsia" w:cs="宋体"/>
          <w:color w:val="auto"/>
          <w:kern w:val="2"/>
          <w:sz w:val="21"/>
          <w:szCs w:val="21"/>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 2017年     月    日                           日 期：2017年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 xml:space="preserve">  </w:t>
      </w:r>
    </w:p>
    <w:p>
      <w:pPr>
        <w:numPr>
          <w:ilvl w:val="0"/>
          <w:numId w:val="0"/>
        </w:numPr>
        <w:rPr>
          <w:rFonts w:hint="eastAsia" w:ascii="宋体" w:hAnsi="宋体" w:eastAsia="宋体" w:cs="宋体"/>
          <w:color w:val="auto"/>
          <w:kern w:val="2"/>
          <w:sz w:val="32"/>
          <w:szCs w:val="32"/>
          <w:highlight w:val="none"/>
          <w:lang w:val="en-US" w:eastAsia="zh-CN" w:bidi="ar"/>
        </w:rPr>
      </w:pPr>
    </w:p>
    <w:p>
      <w:pPr>
        <w:pStyle w:val="2"/>
        <w:rPr>
          <w:rFonts w:hint="eastAsia" w:ascii="宋体" w:hAnsi="宋体" w:eastAsia="宋体" w:cs="宋体"/>
          <w:color w:val="auto"/>
          <w:kern w:val="2"/>
          <w:sz w:val="32"/>
          <w:szCs w:val="32"/>
          <w:highlight w:val="none"/>
          <w:lang w:val="en-US" w:eastAsia="zh-CN" w:bidi="ar"/>
        </w:rPr>
      </w:pPr>
    </w:p>
    <w:p>
      <w:pPr>
        <w:rPr>
          <w:rFonts w:hint="eastAsia" w:ascii="宋体" w:hAnsi="宋体" w:eastAsia="宋体" w:cs="宋体"/>
          <w:color w:val="auto"/>
          <w:kern w:val="2"/>
          <w:sz w:val="32"/>
          <w:szCs w:val="32"/>
          <w:highlight w:val="none"/>
          <w:lang w:val="en-US" w:eastAsia="zh-CN" w:bidi="ar"/>
        </w:rPr>
      </w:pPr>
    </w:p>
    <w:p>
      <w:pPr>
        <w:pStyle w:val="2"/>
        <w:rPr>
          <w:rFonts w:hint="eastAsia"/>
          <w:color w:val="auto"/>
          <w:highlight w:val="none"/>
          <w:lang w:val="en-US" w:eastAsia="zh-CN"/>
        </w:rPr>
      </w:pPr>
    </w:p>
    <w:p>
      <w:pPr>
        <w:keepNext w:val="0"/>
        <w:keepLines w:val="0"/>
        <w:widowControl/>
        <w:suppressLineNumbers w:val="0"/>
        <w:ind w:firstLine="2811" w:firstLineChars="1000"/>
        <w:jc w:val="left"/>
        <w:rPr>
          <w:color w:val="auto"/>
          <w:highlight w:val="none"/>
        </w:rPr>
      </w:pPr>
      <w:r>
        <w:rPr>
          <w:rFonts w:ascii="仿宋" w:hAnsi="仿宋" w:eastAsia="仿宋" w:cs="仿宋"/>
          <w:b/>
          <w:i w:val="0"/>
          <w:caps w:val="0"/>
          <w:color w:val="auto"/>
          <w:spacing w:val="0"/>
          <w:kern w:val="0"/>
          <w:sz w:val="28"/>
          <w:szCs w:val="28"/>
          <w:highlight w:val="none"/>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1.3 在施工前组织</w:t>
      </w:r>
      <w:bookmarkStart w:id="19" w:name="_Hlt175469631"/>
      <w:bookmarkEnd w:id="19"/>
      <w:bookmarkStart w:id="20" w:name="_Hlt175469633"/>
      <w:bookmarkEnd w:id="20"/>
      <w:bookmarkStart w:id="21" w:name="_Hlt175469632"/>
      <w:bookmarkEnd w:id="21"/>
      <w:r>
        <w:rPr>
          <w:rFonts w:hint="eastAsia" w:ascii="仿宋" w:hAnsi="仿宋" w:eastAsia="仿宋" w:cs="仿宋"/>
          <w:b w:val="0"/>
          <w:i w:val="0"/>
          <w:caps w:val="0"/>
          <w:color w:val="auto"/>
          <w:spacing w:val="0"/>
          <w:kern w:val="0"/>
          <w:sz w:val="21"/>
          <w:szCs w:val="21"/>
          <w:highlight w:val="none"/>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1.5 不得要求乙方违反环保规</w:t>
      </w:r>
      <w:bookmarkStart w:id="22" w:name="_Hlt176164906"/>
      <w:bookmarkEnd w:id="22"/>
      <w:r>
        <w:rPr>
          <w:rFonts w:hint="eastAsia" w:ascii="仿宋" w:hAnsi="仿宋" w:eastAsia="仿宋" w:cs="仿宋"/>
          <w:b w:val="0"/>
          <w:i w:val="0"/>
          <w:caps w:val="0"/>
          <w:color w:val="auto"/>
          <w:spacing w:val="0"/>
          <w:kern w:val="0"/>
          <w:sz w:val="21"/>
          <w:szCs w:val="21"/>
          <w:highlight w:val="none"/>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rPr>
          <w:color w:val="auto"/>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auto"/>
          <w:spacing w:val="0"/>
          <w:kern w:val="0"/>
          <w:sz w:val="21"/>
          <w:szCs w:val="21"/>
          <w:highlight w:val="none"/>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 本合同作为重庆高速国储巴南服务区加油站人孔井整改项目施工合同的附件，与工程施工合同具有同等的法律效力，经合同双方签署后即生效。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委托代理人：                   委托代理人：</w:t>
      </w: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0833E57E"/>
    <w:multiLevelType w:val="singleLevel"/>
    <w:tmpl w:val="0833E57E"/>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EC3675"/>
    <w:multiLevelType w:val="singleLevel"/>
    <w:tmpl w:val="58EC3675"/>
    <w:lvl w:ilvl="0" w:tentative="0">
      <w:start w:val="7"/>
      <w:numFmt w:val="chineseCounting"/>
      <w:suff w:val="nothing"/>
      <w:lvlText w:val="（%1）"/>
      <w:lvlJc w:val="left"/>
    </w:lvl>
  </w:abstractNum>
  <w:abstractNum w:abstractNumId="5">
    <w:nsid w:val="58EDB26D"/>
    <w:multiLevelType w:val="singleLevel"/>
    <w:tmpl w:val="58EDB26D"/>
    <w:lvl w:ilvl="0" w:tentative="0">
      <w:start w:val="9"/>
      <w:numFmt w:val="chineseCounting"/>
      <w:suff w:val="nothing"/>
      <w:lvlText w:val="%1、"/>
      <w:lvlJc w:val="left"/>
    </w:lvl>
  </w:abstractNum>
  <w:num w:numId="1">
    <w:abstractNumId w:val="0"/>
  </w:num>
  <w:num w:numId="2">
    <w:abstractNumId w:val="3"/>
    <w:lvlOverride w:ilvl="0">
      <w:startOverride w:val="1"/>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5548"/>
    <w:rsid w:val="03EE11E8"/>
    <w:rsid w:val="0EAD096C"/>
    <w:rsid w:val="11A732C3"/>
    <w:rsid w:val="15D62239"/>
    <w:rsid w:val="19804B59"/>
    <w:rsid w:val="1B585548"/>
    <w:rsid w:val="1CFC17AF"/>
    <w:rsid w:val="1F016AEC"/>
    <w:rsid w:val="1FBE054F"/>
    <w:rsid w:val="25E03563"/>
    <w:rsid w:val="27875793"/>
    <w:rsid w:val="288C5376"/>
    <w:rsid w:val="298C43E3"/>
    <w:rsid w:val="3091358D"/>
    <w:rsid w:val="333D4EBA"/>
    <w:rsid w:val="33DD0ADE"/>
    <w:rsid w:val="3B397B46"/>
    <w:rsid w:val="3BBB3FA5"/>
    <w:rsid w:val="3E56238A"/>
    <w:rsid w:val="44243CF0"/>
    <w:rsid w:val="45BE02BB"/>
    <w:rsid w:val="46B262B6"/>
    <w:rsid w:val="483D3ECA"/>
    <w:rsid w:val="4C9F7CB7"/>
    <w:rsid w:val="4CA318A8"/>
    <w:rsid w:val="4FBC29A2"/>
    <w:rsid w:val="515843C1"/>
    <w:rsid w:val="51FB597F"/>
    <w:rsid w:val="547F7F55"/>
    <w:rsid w:val="57BF116D"/>
    <w:rsid w:val="57EE04C0"/>
    <w:rsid w:val="59D429D5"/>
    <w:rsid w:val="59EF29A1"/>
    <w:rsid w:val="5A715D2D"/>
    <w:rsid w:val="5DCA49E8"/>
    <w:rsid w:val="63CC7516"/>
    <w:rsid w:val="65CF37C3"/>
    <w:rsid w:val="6A3E6C72"/>
    <w:rsid w:val="6CB73CE9"/>
    <w:rsid w:val="6F072BC9"/>
    <w:rsid w:val="71F92C67"/>
    <w:rsid w:val="779331FA"/>
    <w:rsid w:val="7D1F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cs="宋体"/>
      <w:color w:val="000000"/>
      <w:kern w:val="0"/>
      <w:sz w:val="24"/>
    </w:rPr>
  </w:style>
  <w:style w:type="character" w:styleId="11">
    <w:name w:val="HTML Sample"/>
    <w:basedOn w:val="10"/>
    <w:unhideWhenUsed/>
    <w:qFormat/>
    <w:uiPriority w:val="0"/>
    <w:rPr>
      <w:rFonts w:hint="default" w:ascii="Courier New" w:hAnsi="Courier New" w:eastAsia="Times New Roman" w:cs="Courier New"/>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蔡鎏旭</cp:lastModifiedBy>
  <dcterms:modified xsi:type="dcterms:W3CDTF">2021-10-18T06:28:03Z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SaveFontToCloudKey">
    <vt:lpwstr>26286387_cloud</vt:lpwstr>
  </property>
</Properties>
</file>