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szCs w:val="32"/>
        </w:rPr>
      </w:pPr>
    </w:p>
    <w:p>
      <w:pPr>
        <w:spacing w:line="400" w:lineRule="exact"/>
        <w:jc w:val="center"/>
        <w:rPr>
          <w:rFonts w:hint="eastAsia" w:ascii="宋体" w:hAnsi="宋体" w:eastAsia="宋体" w:cs="宋体"/>
          <w:b/>
          <w:sz w:val="32"/>
          <w:szCs w:val="32"/>
          <w:lang w:eastAsia="zh-CN"/>
        </w:rPr>
      </w:pPr>
      <w:r>
        <w:rPr>
          <w:rFonts w:hint="eastAsia" w:ascii="宋体" w:hAnsi="宋体" w:cs="宋体"/>
          <w:b/>
          <w:sz w:val="32"/>
          <w:szCs w:val="32"/>
        </w:rPr>
        <w:t>项目名称：</w:t>
      </w:r>
      <w:r>
        <w:rPr>
          <w:rFonts w:hint="eastAsia" w:ascii="宋体" w:hAnsi="宋体" w:cs="宋体"/>
          <w:b/>
          <w:sz w:val="32"/>
          <w:szCs w:val="32"/>
          <w:lang w:eastAsia="zh-CN"/>
        </w:rPr>
        <w:t>G65重庆至武隆段智慧高速（一期）云控平台组件采购及系统集成项目</w:t>
      </w:r>
    </w:p>
    <w:p>
      <w:pPr>
        <w:rPr>
          <w:rFonts w:ascii="宋体" w:hAnsi="宋体" w:cs="宋体"/>
          <w:sz w:val="28"/>
          <w:szCs w:val="28"/>
        </w:rPr>
      </w:pPr>
    </w:p>
    <w:p>
      <w:pPr>
        <w:jc w:val="center"/>
        <w:rPr>
          <w:rFonts w:ascii="宋体" w:hAnsi="宋体" w:cs="宋体"/>
          <w:b/>
          <w:sz w:val="48"/>
          <w:szCs w:val="48"/>
        </w:rPr>
      </w:pPr>
      <w:r>
        <w:rPr>
          <w:rFonts w:hint="eastAsia" w:ascii="宋体" w:hAnsi="宋体" w:cs="宋体"/>
          <w:b/>
          <w:sz w:val="48"/>
          <w:szCs w:val="48"/>
        </w:rPr>
        <w:t>竞</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性</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比</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文</w:t>
      </w:r>
    </w:p>
    <w:p>
      <w:pPr>
        <w:jc w:val="center"/>
        <w:rPr>
          <w:rFonts w:ascii="宋体" w:hAnsi="宋体" w:cs="宋体"/>
          <w:b/>
          <w:sz w:val="48"/>
          <w:szCs w:val="48"/>
        </w:rPr>
      </w:pPr>
    </w:p>
    <w:p>
      <w:pPr>
        <w:jc w:val="center"/>
        <w:rPr>
          <w:rFonts w:ascii="宋体" w:hAnsi="宋体" w:cs="宋体"/>
          <w:b/>
          <w:sz w:val="96"/>
          <w:szCs w:val="72"/>
        </w:rPr>
      </w:pPr>
      <w:r>
        <w:rPr>
          <w:rFonts w:hint="eastAsia" w:ascii="宋体" w:hAnsi="宋体" w:cs="宋体"/>
          <w:b/>
          <w:sz w:val="48"/>
          <w:szCs w:val="48"/>
        </w:rPr>
        <w:t>件</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
    <w:p>
      <w:pPr>
        <w:jc w:val="center"/>
        <w:rPr>
          <w:rFonts w:ascii="宋体" w:hAnsi="宋体" w:cs="宋体"/>
          <w:b/>
          <w:sz w:val="28"/>
          <w:szCs w:val="28"/>
        </w:rPr>
      </w:pPr>
      <w:r>
        <w:rPr>
          <w:rFonts w:hint="eastAsia" w:ascii="宋体" w:hAnsi="宋体" w:cs="宋体"/>
          <w:b/>
          <w:sz w:val="28"/>
          <w:szCs w:val="28"/>
        </w:rPr>
        <w:t>采购人：重庆首讯科技股份有限公司</w:t>
      </w:r>
    </w:p>
    <w:p>
      <w:pPr>
        <w:jc w:val="center"/>
        <w:rPr>
          <w:rFonts w:ascii="宋体" w:hAnsi="宋体" w:cs="宋体"/>
          <w:b/>
          <w:sz w:val="28"/>
          <w:szCs w:val="28"/>
        </w:rPr>
      </w:pPr>
      <w:r>
        <w:rPr>
          <w:rFonts w:hint="eastAsia" w:ascii="宋体" w:hAnsi="宋体" w:cs="宋体"/>
          <w:b/>
          <w:sz w:val="28"/>
          <w:szCs w:val="28"/>
          <w:u w:val="single"/>
        </w:rPr>
        <w:t>2022</w:t>
      </w:r>
      <w:r>
        <w:rPr>
          <w:rFonts w:hint="eastAsia" w:ascii="宋体" w:hAnsi="宋体" w:cs="宋体"/>
          <w:b/>
          <w:sz w:val="28"/>
          <w:szCs w:val="28"/>
        </w:rPr>
        <w:t>年</w:t>
      </w:r>
      <w:r>
        <w:rPr>
          <w:rFonts w:hint="eastAsia" w:ascii="宋体" w:hAnsi="宋体" w:cs="宋体"/>
          <w:b/>
          <w:sz w:val="28"/>
          <w:szCs w:val="28"/>
          <w:u w:val="single"/>
        </w:rPr>
        <w:t xml:space="preserve"> 11 </w:t>
      </w:r>
      <w:r>
        <w:rPr>
          <w:rFonts w:hint="eastAsia" w:ascii="宋体" w:hAnsi="宋体" w:cs="宋体"/>
          <w:b/>
          <w:sz w:val="28"/>
          <w:szCs w:val="28"/>
        </w:rPr>
        <w:t>月</w:t>
      </w:r>
    </w:p>
    <w:p>
      <w:pPr>
        <w:pStyle w:val="2"/>
        <w:jc w:val="center"/>
        <w:rPr>
          <w:rFonts w:ascii="宋体" w:hAnsi="宋体" w:cs="宋体"/>
          <w:szCs w:val="21"/>
        </w:rPr>
      </w:pPr>
      <w:r>
        <w:br w:type="page"/>
      </w:r>
      <w:bookmarkStart w:id="0" w:name="_Toc247085669"/>
      <w:bookmarkStart w:id="1" w:name="_Toc246996898"/>
      <w:bookmarkStart w:id="2" w:name="_Toc507319889"/>
      <w:bookmarkStart w:id="3" w:name="_Toc507428442"/>
      <w:bookmarkStart w:id="4" w:name="_Toc296602400"/>
      <w:r>
        <w:rPr>
          <w:rFonts w:hint="eastAsia" w:ascii="宋体" w:hAnsi="宋体" w:cs="宋体"/>
          <w:b w:val="0"/>
          <w:sz w:val="32"/>
        </w:rPr>
        <w:t>目   录</w:t>
      </w:r>
      <w:bookmarkEnd w:id="0"/>
      <w:bookmarkEnd w:id="1"/>
      <w:bookmarkEnd w:id="2"/>
      <w:bookmarkEnd w:id="3"/>
      <w:bookmarkEnd w:id="4"/>
    </w:p>
    <w:p>
      <w:pPr>
        <w:pStyle w:val="2"/>
        <w:tabs>
          <w:tab w:val="right" w:leader="dot" w:pos="9638"/>
        </w:tabs>
      </w:pPr>
      <w:r>
        <w:rPr>
          <w:rFonts w:hint="eastAsia" w:ascii="宋体" w:hAnsi="宋体" w:cs="宋体"/>
        </w:rPr>
        <w:fldChar w:fldCharType="begin"/>
      </w:r>
      <w:r>
        <w:rPr>
          <w:rFonts w:hint="eastAsia" w:ascii="宋体" w:hAnsi="宋体" w:cs="宋体"/>
        </w:rPr>
        <w:instrText xml:space="preserve"> TOC \o "1-2" \h \z \u </w:instrText>
      </w:r>
      <w:r>
        <w:rPr>
          <w:rFonts w:hint="eastAsia" w:ascii="宋体" w:hAnsi="宋体" w:cs="宋体"/>
        </w:rPr>
        <w:fldChar w:fldCharType="separate"/>
      </w:r>
      <w:r>
        <w:fldChar w:fldCharType="begin"/>
      </w:r>
      <w:r>
        <w:instrText xml:space="preserve"> HYPERLINK \l "_Toc14955" </w:instrText>
      </w:r>
      <w:r>
        <w:fldChar w:fldCharType="separate"/>
      </w:r>
      <w:r>
        <w:rPr>
          <w:rFonts w:hint="eastAsia"/>
        </w:rPr>
        <w:t xml:space="preserve">第一章 </w:t>
      </w:r>
      <w:r>
        <w:rPr>
          <w:rFonts w:hint="eastAsia" w:ascii="宋体" w:hAnsi="宋体" w:cs="宋体"/>
        </w:rPr>
        <w:t>比选公告</w:t>
      </w:r>
      <w:r>
        <w:tab/>
      </w:r>
      <w:r>
        <w:fldChar w:fldCharType="begin"/>
      </w:r>
      <w:r>
        <w:instrText xml:space="preserve"> PAGEREF _Toc14955 \h </w:instrText>
      </w:r>
      <w:r>
        <w:fldChar w:fldCharType="separate"/>
      </w:r>
      <w:r>
        <w:t>1</w:t>
      </w:r>
      <w:r>
        <w:fldChar w:fldCharType="end"/>
      </w:r>
      <w:r>
        <w:fldChar w:fldCharType="end"/>
      </w:r>
    </w:p>
    <w:p>
      <w:pPr>
        <w:pStyle w:val="2"/>
        <w:tabs>
          <w:tab w:val="right" w:leader="dot" w:pos="9638"/>
        </w:tabs>
      </w:pPr>
      <w:r>
        <w:fldChar w:fldCharType="begin"/>
      </w:r>
      <w:r>
        <w:instrText xml:space="preserve"> HYPERLINK \l "_Toc14958" </w:instrText>
      </w:r>
      <w:r>
        <w:fldChar w:fldCharType="separate"/>
      </w:r>
      <w:r>
        <w:rPr>
          <w:rFonts w:hint="eastAsia" w:ascii="宋体" w:hAnsi="宋体" w:cs="宋体"/>
        </w:rPr>
        <w:t>第二章 报价人须知</w:t>
      </w:r>
      <w:r>
        <w:tab/>
      </w:r>
      <w:r>
        <w:fldChar w:fldCharType="begin"/>
      </w:r>
      <w:r>
        <w:instrText xml:space="preserve"> PAGEREF _Toc14958 \h </w:instrText>
      </w:r>
      <w:r>
        <w:fldChar w:fldCharType="separate"/>
      </w:r>
      <w:r>
        <w:t>4</w:t>
      </w:r>
      <w:r>
        <w:fldChar w:fldCharType="end"/>
      </w:r>
      <w:r>
        <w:fldChar w:fldCharType="end"/>
      </w:r>
    </w:p>
    <w:p>
      <w:pPr>
        <w:pStyle w:val="2"/>
        <w:tabs>
          <w:tab w:val="right" w:leader="dot" w:pos="9638"/>
        </w:tabs>
      </w:pPr>
      <w:r>
        <w:fldChar w:fldCharType="begin"/>
      </w:r>
      <w:r>
        <w:instrText xml:space="preserve"> HYPERLINK \l "_Toc9135" </w:instrText>
      </w:r>
      <w:r>
        <w:fldChar w:fldCharType="separate"/>
      </w:r>
      <w:r>
        <w:rPr>
          <w:rFonts w:hint="eastAsia" w:ascii="宋体" w:hAnsi="宋体" w:cs="宋体"/>
        </w:rPr>
        <w:t>第三章 评标办法（综合评估法）</w:t>
      </w:r>
      <w:r>
        <w:tab/>
      </w:r>
      <w:r>
        <w:fldChar w:fldCharType="begin"/>
      </w:r>
      <w:r>
        <w:instrText xml:space="preserve"> PAGEREF _Toc9135 \h </w:instrText>
      </w:r>
      <w:r>
        <w:fldChar w:fldCharType="separate"/>
      </w:r>
      <w:r>
        <w:t>9</w:t>
      </w:r>
      <w:r>
        <w:fldChar w:fldCharType="end"/>
      </w:r>
      <w:r>
        <w:fldChar w:fldCharType="end"/>
      </w:r>
    </w:p>
    <w:p>
      <w:pPr>
        <w:pStyle w:val="2"/>
        <w:tabs>
          <w:tab w:val="right" w:leader="dot" w:pos="9638"/>
        </w:tabs>
      </w:pPr>
      <w:r>
        <w:fldChar w:fldCharType="begin"/>
      </w:r>
      <w:r>
        <w:instrText xml:space="preserve"> HYPERLINK \l "_Toc363" </w:instrText>
      </w:r>
      <w:r>
        <w:fldChar w:fldCharType="separate"/>
      </w:r>
      <w:r>
        <w:rPr>
          <w:rFonts w:hint="eastAsia"/>
        </w:rPr>
        <w:t>第四章 报价说明</w:t>
      </w:r>
      <w:r>
        <w:tab/>
      </w:r>
      <w:r>
        <w:fldChar w:fldCharType="begin"/>
      </w:r>
      <w:r>
        <w:instrText xml:space="preserve"> PAGEREF _Toc363 \h </w:instrText>
      </w:r>
      <w:r>
        <w:fldChar w:fldCharType="separate"/>
      </w:r>
      <w:r>
        <w:t>13</w:t>
      </w:r>
      <w:r>
        <w:fldChar w:fldCharType="end"/>
      </w:r>
      <w:r>
        <w:fldChar w:fldCharType="end"/>
      </w:r>
    </w:p>
    <w:p>
      <w:pPr>
        <w:pStyle w:val="2"/>
        <w:tabs>
          <w:tab w:val="right" w:leader="dot" w:pos="9638"/>
        </w:tabs>
      </w:pPr>
      <w:r>
        <w:fldChar w:fldCharType="begin"/>
      </w:r>
      <w:r>
        <w:instrText xml:space="preserve"> HYPERLINK \l "_Toc1532" </w:instrText>
      </w:r>
      <w:r>
        <w:fldChar w:fldCharType="separate"/>
      </w:r>
      <w:r>
        <w:rPr>
          <w:rFonts w:hint="eastAsia" w:ascii="宋体" w:hAnsi="宋体" w:cs="宋体"/>
        </w:rPr>
        <w:t>第五章  工程量清单</w:t>
      </w:r>
      <w:r>
        <w:tab/>
      </w:r>
      <w:r>
        <w:fldChar w:fldCharType="begin"/>
      </w:r>
      <w:r>
        <w:instrText xml:space="preserve"> PAGEREF _Toc1532 \h </w:instrText>
      </w:r>
      <w:r>
        <w:fldChar w:fldCharType="separate"/>
      </w:r>
      <w:r>
        <w:t>14</w:t>
      </w:r>
      <w:r>
        <w:fldChar w:fldCharType="end"/>
      </w:r>
      <w:r>
        <w:fldChar w:fldCharType="end"/>
      </w:r>
    </w:p>
    <w:p>
      <w:pPr>
        <w:pStyle w:val="2"/>
        <w:tabs>
          <w:tab w:val="right" w:leader="dot" w:pos="9638"/>
        </w:tabs>
      </w:pPr>
      <w:r>
        <w:fldChar w:fldCharType="begin"/>
      </w:r>
      <w:r>
        <w:instrText xml:space="preserve"> HYPERLINK \l "_Toc18088" </w:instrText>
      </w:r>
      <w:r>
        <w:fldChar w:fldCharType="separate"/>
      </w:r>
      <w:r>
        <w:rPr>
          <w:rFonts w:hint="eastAsia" w:ascii="宋体" w:hAnsi="宋体" w:cs="宋体"/>
        </w:rPr>
        <w:t>第六章  图  纸</w:t>
      </w:r>
      <w:r>
        <w:tab/>
      </w:r>
      <w:r>
        <w:fldChar w:fldCharType="begin"/>
      </w:r>
      <w:r>
        <w:instrText xml:space="preserve"> PAGEREF _Toc18088 \h </w:instrText>
      </w:r>
      <w:r>
        <w:fldChar w:fldCharType="separate"/>
      </w:r>
      <w:r>
        <w:t>15</w:t>
      </w:r>
      <w:r>
        <w:fldChar w:fldCharType="end"/>
      </w:r>
      <w:r>
        <w:fldChar w:fldCharType="end"/>
      </w:r>
    </w:p>
    <w:p>
      <w:pPr>
        <w:pStyle w:val="2"/>
        <w:tabs>
          <w:tab w:val="right" w:leader="dot" w:pos="9638"/>
        </w:tabs>
      </w:pPr>
      <w:r>
        <w:fldChar w:fldCharType="begin"/>
      </w:r>
      <w:r>
        <w:instrText xml:space="preserve"> HYPERLINK \l "_Toc25212" </w:instrText>
      </w:r>
      <w:r>
        <w:fldChar w:fldCharType="separate"/>
      </w:r>
      <w:r>
        <w:rPr>
          <w:rFonts w:hint="eastAsia" w:ascii="宋体" w:hAnsi="宋体" w:cs="宋体"/>
        </w:rPr>
        <w:t>第七章 技术标准和工作要求</w:t>
      </w:r>
      <w:r>
        <w:tab/>
      </w:r>
      <w:r>
        <w:fldChar w:fldCharType="begin"/>
      </w:r>
      <w:r>
        <w:instrText xml:space="preserve"> PAGEREF _Toc25212 \h </w:instrText>
      </w:r>
      <w:r>
        <w:fldChar w:fldCharType="separate"/>
      </w:r>
      <w:r>
        <w:t>16</w:t>
      </w:r>
      <w:r>
        <w:fldChar w:fldCharType="end"/>
      </w:r>
      <w:r>
        <w:fldChar w:fldCharType="end"/>
      </w:r>
    </w:p>
    <w:p>
      <w:pPr>
        <w:pStyle w:val="2"/>
        <w:tabs>
          <w:tab w:val="right" w:leader="dot" w:pos="9638"/>
        </w:tabs>
      </w:pPr>
      <w:r>
        <w:fldChar w:fldCharType="begin"/>
      </w:r>
      <w:r>
        <w:instrText xml:space="preserve"> HYPERLINK \l "_Toc23208" </w:instrText>
      </w:r>
      <w:r>
        <w:fldChar w:fldCharType="separate"/>
      </w:r>
      <w:r>
        <w:rPr>
          <w:rFonts w:hint="eastAsia" w:ascii="宋体" w:hAnsi="宋体" w:cs="宋体"/>
        </w:rPr>
        <w:t>第八章  工程量清单计量规则</w:t>
      </w:r>
      <w:r>
        <w:tab/>
      </w:r>
      <w:r>
        <w:fldChar w:fldCharType="begin"/>
      </w:r>
      <w:r>
        <w:instrText xml:space="preserve"> PAGEREF _Toc23208 \h </w:instrText>
      </w:r>
      <w:r>
        <w:fldChar w:fldCharType="separate"/>
      </w:r>
      <w:r>
        <w:t>19</w:t>
      </w:r>
      <w:r>
        <w:fldChar w:fldCharType="end"/>
      </w:r>
      <w:r>
        <w:fldChar w:fldCharType="end"/>
      </w:r>
    </w:p>
    <w:p>
      <w:pPr>
        <w:pStyle w:val="2"/>
        <w:tabs>
          <w:tab w:val="right" w:leader="dot" w:pos="9638"/>
        </w:tabs>
      </w:pPr>
      <w:r>
        <w:fldChar w:fldCharType="begin"/>
      </w:r>
      <w:r>
        <w:instrText xml:space="preserve"> HYPERLINK \l "_Toc22294" </w:instrText>
      </w:r>
      <w:r>
        <w:fldChar w:fldCharType="separate"/>
      </w:r>
      <w:r>
        <w:rPr>
          <w:rFonts w:hint="eastAsia" w:ascii="宋体" w:hAnsi="宋体" w:cs="宋体"/>
        </w:rPr>
        <w:t>第九章  竞争性比选响应文件格式</w:t>
      </w:r>
      <w:r>
        <w:tab/>
      </w:r>
      <w:r>
        <w:fldChar w:fldCharType="begin"/>
      </w:r>
      <w:r>
        <w:instrText xml:space="preserve"> PAGEREF _Toc22294 \h </w:instrText>
      </w:r>
      <w:r>
        <w:fldChar w:fldCharType="separate"/>
      </w:r>
      <w:r>
        <w:t>20</w:t>
      </w:r>
      <w:r>
        <w:fldChar w:fldCharType="end"/>
      </w:r>
      <w:r>
        <w:fldChar w:fldCharType="end"/>
      </w:r>
    </w:p>
    <w:p>
      <w:pPr>
        <w:pStyle w:val="33"/>
        <w:tabs>
          <w:tab w:val="right" w:leader="dot" w:pos="9628"/>
        </w:tabs>
        <w:rPr>
          <w:rFonts w:ascii="宋体" w:hAnsi="宋体" w:cs="宋体"/>
          <w:b/>
          <w:bCs/>
          <w:caps/>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rPr>
        <w:fldChar w:fldCharType="end"/>
      </w:r>
    </w:p>
    <w:p>
      <w:pPr>
        <w:pStyle w:val="3"/>
        <w:numPr>
          <w:ilvl w:val="0"/>
          <w:numId w:val="2"/>
        </w:numPr>
        <w:spacing w:before="0" w:after="0" w:line="360" w:lineRule="auto"/>
        <w:jc w:val="center"/>
      </w:pPr>
      <w:bookmarkStart w:id="5" w:name="_Toc10533"/>
      <w:bookmarkStart w:id="6" w:name="_Toc14955"/>
      <w:r>
        <w:rPr>
          <w:rFonts w:hint="eastAsia" w:ascii="宋体" w:hAnsi="宋体" w:cs="宋体"/>
        </w:rPr>
        <w:t>比选公告</w:t>
      </w:r>
      <w:bookmarkEnd w:id="5"/>
      <w:bookmarkEnd w:id="6"/>
    </w:p>
    <w:p>
      <w:pPr>
        <w:spacing w:line="440" w:lineRule="exact"/>
        <w:rPr>
          <w:rFonts w:ascii="宋体" w:hAnsi="宋体" w:cs="宋体"/>
          <w:b/>
          <w:sz w:val="28"/>
          <w:szCs w:val="28"/>
        </w:rPr>
      </w:pPr>
      <w:bookmarkStart w:id="7" w:name="OLE_LINK3"/>
      <w:bookmarkStart w:id="8" w:name="OLE_LINK2"/>
    </w:p>
    <w:p>
      <w:pPr>
        <w:pStyle w:val="4"/>
        <w:spacing w:before="0" w:after="0" w:line="360" w:lineRule="auto"/>
        <w:rPr>
          <w:rFonts w:ascii="宋体" w:hAnsi="宋体" w:eastAsia="宋体" w:cs="宋体"/>
        </w:rPr>
      </w:pPr>
      <w:bookmarkStart w:id="9" w:name="_Toc152042288"/>
      <w:bookmarkStart w:id="10" w:name="_Toc507319891"/>
      <w:bookmarkStart w:id="11" w:name="_Toc246996158"/>
      <w:bookmarkStart w:id="12" w:name="_Toc152045512"/>
      <w:bookmarkStart w:id="13" w:name="_Toc11329213"/>
      <w:bookmarkStart w:id="14" w:name="_Toc179632528"/>
      <w:bookmarkStart w:id="15" w:name="_Toc15945"/>
      <w:bookmarkStart w:id="16" w:name="_Toc10076"/>
      <w:bookmarkStart w:id="17" w:name="_Toc19148"/>
      <w:bookmarkStart w:id="18" w:name="_Toc247085672"/>
      <w:bookmarkStart w:id="19" w:name="_Toc24874"/>
      <w:bookmarkStart w:id="20" w:name="_Toc6549"/>
      <w:bookmarkStart w:id="21" w:name="_Toc246996901"/>
      <w:bookmarkStart w:id="22" w:name="_Toc144974480"/>
      <w:r>
        <w:rPr>
          <w:rFonts w:hint="eastAsia" w:ascii="宋体" w:hAnsi="宋体" w:eastAsia="宋体" w:cs="宋体"/>
        </w:rPr>
        <w:t>1. 比选条件</w:t>
      </w:r>
      <w:bookmarkEnd w:id="9"/>
      <w:bookmarkEnd w:id="10"/>
      <w:bookmarkEnd w:id="11"/>
      <w:bookmarkEnd w:id="12"/>
      <w:bookmarkEnd w:id="13"/>
      <w:bookmarkEnd w:id="14"/>
      <w:bookmarkEnd w:id="15"/>
      <w:bookmarkEnd w:id="16"/>
      <w:bookmarkEnd w:id="17"/>
      <w:bookmarkEnd w:id="18"/>
      <w:bookmarkEnd w:id="19"/>
      <w:bookmarkEnd w:id="20"/>
      <w:bookmarkEnd w:id="21"/>
      <w:bookmarkEnd w:id="22"/>
    </w:p>
    <w:p>
      <w:pPr>
        <w:spacing w:line="400" w:lineRule="exact"/>
        <w:jc w:val="left"/>
        <w:rPr>
          <w:rFonts w:ascii="宋体" w:hAnsi="宋体" w:cs="宋体"/>
          <w:szCs w:val="21"/>
        </w:rPr>
      </w:pPr>
      <w:r>
        <w:rPr>
          <w:rFonts w:hint="eastAsia" w:ascii="宋体" w:hAnsi="宋体" w:cs="宋体"/>
          <w:szCs w:val="21"/>
        </w:rPr>
        <w:t>　　本竞争性比选项目为</w:t>
      </w:r>
      <w:r>
        <w:rPr>
          <w:rFonts w:hint="eastAsia" w:ascii="宋体" w:hAnsi="宋体" w:cs="宋体"/>
          <w:szCs w:val="21"/>
          <w:u w:val="single"/>
          <w:lang w:eastAsia="zh-CN"/>
        </w:rPr>
        <w:t>G65重庆至武隆段智慧高速（一期）云控平台组件采购及系统集成项目</w:t>
      </w:r>
      <w:r>
        <w:rPr>
          <w:rFonts w:hint="eastAsia" w:ascii="宋体" w:hAnsi="宋体" w:cs="宋体"/>
          <w:szCs w:val="21"/>
        </w:rPr>
        <w:t>的采购，采购人为</w:t>
      </w:r>
      <w:r>
        <w:rPr>
          <w:rFonts w:hint="eastAsia" w:ascii="宋体" w:hAnsi="宋体" w:cs="宋体"/>
          <w:szCs w:val="21"/>
          <w:u w:val="single"/>
        </w:rPr>
        <w:t xml:space="preserve"> 重庆首讯科技股份有限公司 </w:t>
      </w:r>
      <w:r>
        <w:rPr>
          <w:rFonts w:hint="eastAsia" w:ascii="宋体" w:hAnsi="宋体" w:cs="宋体"/>
          <w:szCs w:val="21"/>
        </w:rPr>
        <w:t>，该项目已具备比选条件，现对该项目进行竞争性比选。</w:t>
      </w:r>
    </w:p>
    <w:p>
      <w:pPr>
        <w:pStyle w:val="4"/>
        <w:spacing w:before="120" w:after="0" w:line="360" w:lineRule="auto"/>
        <w:rPr>
          <w:rFonts w:ascii="宋体" w:hAnsi="宋体" w:eastAsia="宋体" w:cs="宋体"/>
        </w:rPr>
      </w:pPr>
      <w:bookmarkStart w:id="23" w:name="_Toc10321"/>
      <w:bookmarkStart w:id="24" w:name="_Toc247085673"/>
      <w:bookmarkStart w:id="25" w:name="_Toc246996902"/>
      <w:bookmarkStart w:id="26" w:name="_Toc10952"/>
      <w:bookmarkStart w:id="27" w:name="_Toc246996159"/>
      <w:bookmarkStart w:id="28" w:name="_Toc179632529"/>
      <w:bookmarkStart w:id="29" w:name="_Toc11329214"/>
      <w:bookmarkStart w:id="30" w:name="_Toc21343"/>
      <w:bookmarkStart w:id="31" w:name="_Toc507319892"/>
      <w:bookmarkStart w:id="32" w:name="_Toc152045513"/>
      <w:bookmarkStart w:id="33" w:name="_Toc9168"/>
      <w:bookmarkStart w:id="34" w:name="_Toc144974481"/>
      <w:bookmarkStart w:id="35" w:name="_Toc18109"/>
      <w:bookmarkStart w:id="36" w:name="_Toc152042289"/>
      <w:r>
        <w:rPr>
          <w:rFonts w:hint="eastAsia" w:ascii="宋体" w:hAnsi="宋体" w:eastAsia="宋体" w:cs="宋体"/>
        </w:rPr>
        <w:t>2. 项目概况与比选范围</w:t>
      </w:r>
      <w:bookmarkEnd w:id="23"/>
      <w:bookmarkEnd w:id="24"/>
      <w:bookmarkEnd w:id="25"/>
      <w:bookmarkEnd w:id="26"/>
      <w:bookmarkEnd w:id="27"/>
      <w:bookmarkEnd w:id="28"/>
      <w:bookmarkEnd w:id="29"/>
      <w:bookmarkEnd w:id="30"/>
      <w:bookmarkEnd w:id="31"/>
      <w:bookmarkEnd w:id="32"/>
      <w:bookmarkEnd w:id="33"/>
      <w:bookmarkEnd w:id="34"/>
      <w:bookmarkEnd w:id="35"/>
      <w:bookmarkEnd w:id="36"/>
    </w:p>
    <w:p>
      <w:pPr>
        <w:spacing w:line="360" w:lineRule="auto"/>
        <w:ind w:firstLine="420" w:firstLineChars="200"/>
        <w:rPr>
          <w:rFonts w:hint="eastAsia" w:ascii="宋体" w:hAnsi="宋体" w:cs="宋体"/>
        </w:rPr>
      </w:pPr>
      <w:bookmarkStart w:id="37" w:name="_Toc446247226"/>
      <w:r>
        <w:rPr>
          <w:rFonts w:hint="eastAsia" w:ascii="宋体" w:hAnsi="宋体" w:cs="宋体"/>
        </w:rPr>
        <w:t>2.1 项目地点：</w:t>
      </w:r>
      <w:bookmarkEnd w:id="37"/>
      <w:r>
        <w:rPr>
          <w:rFonts w:hint="eastAsia" w:ascii="宋体" w:hAnsi="宋体" w:cs="宋体"/>
        </w:rPr>
        <w:t>重庆首讯科技股份有限公司。</w:t>
      </w:r>
    </w:p>
    <w:p>
      <w:pPr>
        <w:spacing w:line="360" w:lineRule="auto"/>
        <w:ind w:firstLine="420" w:firstLineChars="200"/>
        <w:rPr>
          <w:rFonts w:hint="default" w:ascii="宋体" w:hAnsi="宋体" w:eastAsia="宋体" w:cs="宋体"/>
          <w:lang w:val="en-US"/>
        </w:rPr>
      </w:pPr>
      <w:r>
        <w:rPr>
          <w:rFonts w:hint="default" w:ascii="宋体" w:hAnsi="宋体" w:eastAsia="宋体" w:cs="宋体"/>
          <w:lang w:eastAsia="zh-CN"/>
        </w:rPr>
        <w:t>2.2</w:t>
      </w:r>
      <w:r>
        <w:rPr>
          <w:rFonts w:hint="eastAsia" w:ascii="宋体" w:hAnsi="宋体" w:eastAsia="宋体" w:cs="宋体"/>
          <w:lang w:val="en-US" w:eastAsia="zh-CN"/>
        </w:rPr>
        <w:t>项目概况：为推动智慧高速建设、充分运用大数据、云计算等前沿技术、建设覆盖“人、车、路、环境”的智慧高速公路网，</w:t>
      </w:r>
      <w:r>
        <w:rPr>
          <w:rFonts w:hint="default" w:ascii="宋体" w:hAnsi="宋体" w:eastAsia="宋体" w:cs="宋体"/>
          <w:lang w:eastAsia="zh-CN"/>
        </w:rPr>
        <w:t>本项目为</w:t>
      </w:r>
      <w:r>
        <w:rPr>
          <w:rFonts w:hint="eastAsia" w:ascii="宋体" w:hAnsi="宋体" w:eastAsia="宋体" w:cs="宋体"/>
          <w:lang w:val="en-US" w:eastAsia="zh-CN"/>
        </w:rPr>
        <w:t>对G65重庆至武隆段进行智慧高速建设</w:t>
      </w:r>
      <w:r>
        <w:rPr>
          <w:rFonts w:hint="eastAsia" w:ascii="宋体" w:hAnsi="宋体" w:cs="宋体"/>
          <w:lang w:val="en-US" w:eastAsia="zh-CN"/>
        </w:rPr>
        <w:t>中的云控平台部分组件采购和集成。</w:t>
      </w:r>
    </w:p>
    <w:p>
      <w:pPr>
        <w:pStyle w:val="12"/>
        <w:adjustRightInd w:val="0"/>
        <w:spacing w:line="400" w:lineRule="exact"/>
        <w:rPr>
          <w:rFonts w:ascii="宋体" w:hAnsi="宋体" w:cs="宋体"/>
          <w:szCs w:val="21"/>
          <w:highlight w:val="yellow"/>
        </w:rPr>
      </w:pPr>
      <w:r>
        <w:rPr>
          <w:rFonts w:hint="eastAsia" w:ascii="宋体" w:hAnsi="宋体" w:cs="宋体"/>
          <w:szCs w:val="21"/>
          <w:highlight w:val="none"/>
        </w:rPr>
        <w:t>2.</w:t>
      </w:r>
      <w:r>
        <w:rPr>
          <w:rFonts w:hint="default" w:ascii="宋体" w:hAnsi="宋体" w:cs="宋体"/>
          <w:szCs w:val="21"/>
          <w:highlight w:val="none"/>
        </w:rPr>
        <w:t>3比选范围</w:t>
      </w:r>
      <w:r>
        <w:rPr>
          <w:rFonts w:hint="eastAsia" w:ascii="宋体" w:hAnsi="宋体" w:cs="宋体"/>
          <w:szCs w:val="21"/>
          <w:highlight w:val="none"/>
        </w:rPr>
        <w:t>：G65重庆至武隆段智慧高速（一期）云控平台组件采购及系统集成</w:t>
      </w:r>
      <w:r>
        <w:rPr>
          <w:rFonts w:hint="eastAsia" w:ascii="宋体" w:hAnsi="宋体" w:cs="宋体"/>
          <w:szCs w:val="21"/>
          <w:highlight w:val="none"/>
          <w:lang w:eastAsia="zh-CN"/>
        </w:rPr>
        <w:t>。</w:t>
      </w:r>
      <w:r>
        <w:rPr>
          <w:rFonts w:hint="eastAsia" w:ascii="宋体" w:hAnsi="宋体" w:cs="宋体"/>
          <w:szCs w:val="21"/>
          <w:highlight w:val="none"/>
        </w:rPr>
        <w:t>主要包括：</w:t>
      </w:r>
      <w:r>
        <w:rPr>
          <w:rFonts w:hint="eastAsia" w:ascii="宋体" w:hAnsi="宋体" w:cs="宋体"/>
          <w:szCs w:val="21"/>
          <w:highlight w:val="none"/>
          <w:lang w:val="en-US" w:eastAsia="zh-CN"/>
        </w:rPr>
        <w:t>云控平台所需要的数据中台、</w:t>
      </w:r>
      <w:r>
        <w:rPr>
          <w:rFonts w:hint="eastAsia" w:ascii="宋体" w:hAnsi="宋体" w:cs="宋体"/>
          <w:szCs w:val="21"/>
          <w:highlight w:val="none"/>
        </w:rPr>
        <w:t>地图引擎</w:t>
      </w:r>
      <w:r>
        <w:rPr>
          <w:rFonts w:hint="eastAsia" w:ascii="宋体" w:hAnsi="宋体" w:cs="宋体"/>
          <w:szCs w:val="21"/>
          <w:highlight w:val="none"/>
          <w:lang w:val="en-US" w:eastAsia="zh-CN"/>
        </w:rPr>
        <w:t>等软件组件，以及针对</w:t>
      </w:r>
      <w:r>
        <w:rPr>
          <w:rFonts w:hint="eastAsia" w:ascii="宋体" w:hAnsi="宋体" w:cs="宋体"/>
          <w:szCs w:val="21"/>
          <w:highlight w:val="none"/>
        </w:rPr>
        <w:t>外场孪生场景集成、全域数字孪生应用开发</w:t>
      </w:r>
      <w:r>
        <w:rPr>
          <w:rFonts w:hint="eastAsia" w:ascii="宋体" w:hAnsi="宋体" w:cs="宋体"/>
          <w:szCs w:val="21"/>
          <w:highlight w:val="none"/>
          <w:lang w:eastAsia="zh-CN"/>
        </w:rPr>
        <w:t>、</w:t>
      </w:r>
      <w:r>
        <w:rPr>
          <w:rFonts w:hint="eastAsia" w:ascii="宋体" w:hAnsi="宋体" w:cs="华文中宋"/>
        </w:rPr>
        <w:t>系统调试与测试、</w:t>
      </w:r>
      <w:r>
        <w:rPr>
          <w:rFonts w:hint="eastAsia" w:ascii="宋体" w:hAnsi="宋体" w:cs="华文中宋"/>
          <w:lang w:val="en-US" w:eastAsia="zh-CN"/>
        </w:rPr>
        <w:t>数据</w:t>
      </w:r>
      <w:r>
        <w:rPr>
          <w:rFonts w:hint="eastAsia" w:ascii="宋体" w:hAnsi="宋体" w:cs="华文中宋"/>
        </w:rPr>
        <w:t>检测</w:t>
      </w:r>
      <w:r>
        <w:rPr>
          <w:rFonts w:hint="eastAsia" w:ascii="宋体" w:hAnsi="宋体" w:cs="华文中宋"/>
          <w:lang w:val="en-US" w:eastAsia="zh-CN"/>
        </w:rPr>
        <w:t>校验</w:t>
      </w:r>
      <w:r>
        <w:rPr>
          <w:rFonts w:hint="eastAsia" w:ascii="宋体" w:hAnsi="宋体" w:cs="华文中宋"/>
        </w:rPr>
        <w:t>、验收及相关资料、关键节点审查、项目缺陷责任期、</w:t>
      </w:r>
      <w:r>
        <w:rPr>
          <w:rFonts w:hint="eastAsia" w:ascii="宋体" w:hAnsi="宋体" w:cs="华文中宋"/>
          <w:lang w:val="en-US" w:eastAsia="zh-CN"/>
        </w:rPr>
        <w:t>二次开发文档编写与技术培训等工作内容</w:t>
      </w:r>
      <w:r>
        <w:rPr>
          <w:rFonts w:hint="eastAsia" w:ascii="宋体" w:hAnsi="宋体" w:cs="华文中宋"/>
        </w:rPr>
        <w:t>。</w:t>
      </w:r>
    </w:p>
    <w:p>
      <w:pPr>
        <w:pStyle w:val="12"/>
        <w:adjustRightInd w:val="0"/>
        <w:spacing w:line="400" w:lineRule="exact"/>
        <w:rPr>
          <w:rFonts w:ascii="宋体" w:hAnsi="宋体" w:cs="宋体"/>
          <w:szCs w:val="21"/>
        </w:rPr>
      </w:pPr>
      <w:r>
        <w:rPr>
          <w:rFonts w:hint="eastAsia" w:ascii="宋体" w:hAnsi="宋体" w:cs="宋体"/>
          <w:szCs w:val="21"/>
        </w:rPr>
        <w:t>具体开发内容详见本竞争性比选函“第七章  技术标准和工作要求”。</w:t>
      </w:r>
    </w:p>
    <w:p>
      <w:pPr>
        <w:keepNext w:val="0"/>
        <w:keepLines w:val="0"/>
        <w:widowControl w:val="0"/>
        <w:suppressLineNumbers w:val="0"/>
        <w:spacing w:before="0" w:beforeAutospacing="0" w:after="0" w:afterAutospacing="0" w:line="400" w:lineRule="exact"/>
        <w:ind w:left="0" w:right="0" w:firstLine="420" w:firstLineChars="200"/>
        <w:jc w:val="both"/>
        <w:rPr>
          <w:rFonts w:hint="default" w:ascii="宋体" w:hAnsi="宋体" w:eastAsia="宋体" w:cs="宋体"/>
          <w:b w:val="0"/>
          <w:kern w:val="2"/>
          <w:sz w:val="21"/>
          <w:szCs w:val="21"/>
          <w:lang w:eastAsia="zh-CN" w:bidi="ar"/>
        </w:rPr>
      </w:pPr>
      <w:r>
        <w:rPr>
          <w:rFonts w:hint="eastAsia" w:ascii="宋体" w:hAnsi="宋体" w:eastAsia="宋体" w:cs="宋体"/>
          <w:szCs w:val="21"/>
        </w:rPr>
        <w:t>2.</w:t>
      </w:r>
      <w:r>
        <w:rPr>
          <w:rFonts w:hint="default" w:ascii="宋体" w:hAnsi="宋体" w:eastAsia="宋体" w:cs="宋体"/>
          <w:szCs w:val="21"/>
        </w:rPr>
        <w:t>4</w:t>
      </w:r>
      <w:r>
        <w:rPr>
          <w:rFonts w:hint="eastAsia" w:ascii="宋体" w:hAnsi="宋体" w:eastAsia="宋体" w:cs="宋体"/>
          <w:szCs w:val="21"/>
        </w:rPr>
        <w:t xml:space="preserve"> </w:t>
      </w:r>
      <w:r>
        <w:rPr>
          <w:rFonts w:hint="default" w:ascii="宋体" w:hAnsi="宋体" w:eastAsia="宋体" w:cs="宋体"/>
          <w:szCs w:val="21"/>
        </w:rPr>
        <w:t>工期</w:t>
      </w:r>
      <w:r>
        <w:rPr>
          <w:rFonts w:hint="eastAsia" w:ascii="宋体" w:hAnsi="宋体" w:eastAsia="宋体" w:cs="宋体"/>
          <w:szCs w:val="21"/>
        </w:rPr>
        <w:t>：</w:t>
      </w:r>
      <w:r>
        <w:rPr>
          <w:rFonts w:hint="eastAsia" w:ascii="宋体" w:hAnsi="宋体" w:eastAsia="宋体" w:cs="宋体"/>
          <w:b w:val="0"/>
          <w:kern w:val="2"/>
          <w:sz w:val="21"/>
          <w:szCs w:val="21"/>
          <w:lang w:val="en-US" w:eastAsia="zh-CN" w:bidi="ar"/>
        </w:rPr>
        <w:t>开工日期</w:t>
      </w:r>
      <w:r>
        <w:rPr>
          <w:rFonts w:hint="default" w:ascii="宋体" w:hAnsi="宋体" w:eastAsia="宋体" w:cs="宋体"/>
          <w:b w:val="0"/>
          <w:kern w:val="2"/>
          <w:sz w:val="21"/>
          <w:szCs w:val="21"/>
          <w:lang w:eastAsia="zh-CN" w:bidi="ar"/>
        </w:rPr>
        <w:t>，</w:t>
      </w:r>
      <w:r>
        <w:rPr>
          <w:rFonts w:hint="eastAsia" w:ascii="宋体" w:hAnsi="宋体" w:eastAsia="宋体" w:cs="宋体"/>
          <w:b w:val="0"/>
          <w:kern w:val="2"/>
          <w:sz w:val="21"/>
          <w:szCs w:val="21"/>
          <w:lang w:val="en-US" w:eastAsia="zh-CN" w:bidi="ar"/>
        </w:rPr>
        <w:t>收到中标通知书之日起2天内组织人员进场；</w:t>
      </w:r>
      <w:r>
        <w:rPr>
          <w:rFonts w:hint="default" w:ascii="宋体" w:hAnsi="宋体" w:eastAsia="宋体" w:cs="宋体"/>
          <w:b w:val="0"/>
          <w:kern w:val="2"/>
          <w:sz w:val="21"/>
          <w:szCs w:val="21"/>
          <w:lang w:eastAsia="zh-CN" w:bidi="ar"/>
        </w:rPr>
        <w:t>完工日期，2022年12月31日前。</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b w:val="0"/>
          <w:kern w:val="2"/>
          <w:sz w:val="21"/>
          <w:szCs w:val="21"/>
        </w:rPr>
      </w:pPr>
      <w:r>
        <w:rPr>
          <w:rFonts w:hint="eastAsia" w:ascii="宋体" w:hAnsi="宋体" w:eastAsia="宋体" w:cs="宋体"/>
          <w:b w:val="0"/>
          <w:kern w:val="2"/>
          <w:sz w:val="21"/>
          <w:szCs w:val="21"/>
          <w:lang w:val="en-US" w:eastAsia="zh-CN" w:bidi="ar"/>
        </w:rPr>
        <w:t>2.5 标段划分：本项目划分为一个标段。</w:t>
      </w:r>
    </w:p>
    <w:p>
      <w:pPr>
        <w:pStyle w:val="4"/>
        <w:spacing w:before="120" w:after="0" w:line="360" w:lineRule="auto"/>
        <w:rPr>
          <w:rFonts w:ascii="宋体" w:hAnsi="宋体" w:eastAsia="宋体" w:cs="宋体"/>
        </w:rPr>
      </w:pPr>
      <w:bookmarkStart w:id="38" w:name="_Toc507319893"/>
      <w:bookmarkStart w:id="39" w:name="_Toc246996903"/>
      <w:bookmarkStart w:id="40" w:name="_Toc10171"/>
      <w:bookmarkStart w:id="41" w:name="_Toc30356"/>
      <w:bookmarkStart w:id="42" w:name="_Toc144974482"/>
      <w:bookmarkStart w:id="43" w:name="_Toc26889"/>
      <w:bookmarkStart w:id="44" w:name="_Toc247085674"/>
      <w:bookmarkStart w:id="45" w:name="_Toc7065"/>
      <w:bookmarkStart w:id="46" w:name="_Toc8744"/>
      <w:bookmarkStart w:id="47" w:name="_Toc152045514"/>
      <w:bookmarkStart w:id="48" w:name="_Toc11329215"/>
      <w:bookmarkStart w:id="49" w:name="_Toc246996160"/>
      <w:bookmarkStart w:id="50" w:name="_Toc179632530"/>
      <w:bookmarkStart w:id="51" w:name="_Toc152042290"/>
      <w:r>
        <w:rPr>
          <w:rFonts w:hint="eastAsia" w:ascii="宋体" w:hAnsi="宋体" w:eastAsia="宋体" w:cs="宋体"/>
        </w:rPr>
        <w:t>3. 报价人资格要求</w:t>
      </w:r>
      <w:bookmarkEnd w:id="38"/>
      <w:bookmarkEnd w:id="39"/>
      <w:bookmarkEnd w:id="40"/>
      <w:bookmarkEnd w:id="41"/>
      <w:bookmarkEnd w:id="42"/>
      <w:bookmarkEnd w:id="43"/>
      <w:bookmarkEnd w:id="44"/>
      <w:bookmarkEnd w:id="45"/>
      <w:bookmarkEnd w:id="46"/>
      <w:bookmarkEnd w:id="47"/>
      <w:bookmarkEnd w:id="48"/>
      <w:bookmarkEnd w:id="49"/>
      <w:bookmarkEnd w:id="50"/>
      <w:bookmarkEnd w:id="51"/>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2"/>
          <w:sz w:val="21"/>
          <w:szCs w:val="21"/>
          <w:shd w:val="clear" w:fill="FFFFFF"/>
        </w:rPr>
      </w:pPr>
      <w:bookmarkStart w:id="52" w:name="_Toc144974483"/>
      <w:bookmarkStart w:id="53" w:name="_Toc246996904"/>
      <w:bookmarkStart w:id="54" w:name="_Toc246996161"/>
      <w:bookmarkStart w:id="55" w:name="_Toc152042291"/>
      <w:bookmarkStart w:id="56" w:name="_Toc152045515"/>
      <w:bookmarkStart w:id="57" w:name="_Toc247085675"/>
      <w:bookmarkStart w:id="58" w:name="_Toc179632531"/>
      <w:r>
        <w:rPr>
          <w:rFonts w:hint="eastAsia" w:ascii="宋体" w:hAnsi="宋体" w:eastAsia="宋体" w:cs="宋体"/>
          <w:kern w:val="2"/>
          <w:sz w:val="21"/>
          <w:szCs w:val="21"/>
          <w:shd w:val="clear" w:fill="FFFFFF"/>
          <w:lang w:val="en-US" w:eastAsia="zh-CN" w:bidi="ar"/>
        </w:rPr>
        <w:t>3.1 资质要求（以下资质文件若因疫情影响过期无法办理延续手续，需附相关行政部门下发的延期办理文件）：</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2"/>
          <w:sz w:val="21"/>
          <w:szCs w:val="21"/>
          <w:shd w:val="clear" w:fill="FFFFFF"/>
        </w:rPr>
      </w:pPr>
      <w:r>
        <w:rPr>
          <w:rFonts w:hint="eastAsia" w:ascii="宋体" w:hAnsi="宋体" w:eastAsia="宋体" w:cs="宋体"/>
          <w:kern w:val="2"/>
          <w:sz w:val="21"/>
          <w:szCs w:val="21"/>
          <w:shd w:val="clear" w:fill="FFFFFF"/>
          <w:lang w:val="en-US" w:eastAsia="zh-CN" w:bidi="ar"/>
        </w:rPr>
        <w:t>（1）具有独立法人资格，有效的营业执照</w:t>
      </w:r>
      <w:r>
        <w:rPr>
          <w:rFonts w:hint="eastAsia" w:ascii="宋体" w:hAnsi="宋体" w:cs="宋体"/>
          <w:szCs w:val="21"/>
          <w:highlight w:val="none"/>
          <w:shd w:val="clear" w:color="auto" w:fill="FFFFFF"/>
        </w:rPr>
        <w:t>（</w:t>
      </w:r>
      <w:r>
        <w:rPr>
          <w:rFonts w:hint="default" w:ascii="宋体" w:hAnsi="宋体" w:cs="宋体"/>
          <w:szCs w:val="21"/>
          <w:highlight w:val="none"/>
          <w:shd w:val="clear" w:color="auto" w:fill="FFFFFF"/>
        </w:rPr>
        <w:t>经营范围需含</w:t>
      </w:r>
      <w:r>
        <w:rPr>
          <w:rFonts w:hint="eastAsia" w:ascii="宋体" w:hAnsi="宋体" w:cs="宋体"/>
          <w:szCs w:val="21"/>
          <w:highlight w:val="none"/>
          <w:shd w:val="clear" w:color="auto" w:fill="FFFFFF"/>
        </w:rPr>
        <w:t>网络技术服务、软件开发、计算机网络集成系统、计算机软硬件开发、计算机信息技术服务、信息技术咨询业务、计算机信息系统集成、互联网技术咨询服务、经营移动通信业务、互联网业务相关的系统集成等相关内容</w:t>
      </w:r>
      <w:r>
        <w:rPr>
          <w:rFonts w:hint="default" w:ascii="宋体" w:hAnsi="宋体" w:cs="宋体"/>
          <w:szCs w:val="21"/>
          <w:highlight w:val="none"/>
          <w:shd w:val="clear" w:color="auto" w:fill="FFFFFF"/>
        </w:rPr>
        <w:t>中的至少一项</w:t>
      </w:r>
      <w:r>
        <w:rPr>
          <w:rFonts w:hint="eastAsia" w:ascii="宋体" w:hAnsi="宋体" w:cs="宋体"/>
          <w:szCs w:val="21"/>
          <w:highlight w:val="none"/>
          <w:shd w:val="clear" w:color="auto" w:fill="FFFFFF"/>
        </w:rPr>
        <w:t>）</w:t>
      </w:r>
      <w:r>
        <w:rPr>
          <w:rFonts w:hint="eastAsia" w:ascii="宋体" w:hAnsi="宋体" w:eastAsia="宋体" w:cs="宋体"/>
          <w:kern w:val="2"/>
          <w:sz w:val="21"/>
          <w:szCs w:val="21"/>
          <w:shd w:val="clear" w:fill="FFFFFF"/>
          <w:lang w:val="en-US" w:eastAsia="zh-CN" w:bidi="ar"/>
        </w:rPr>
        <w:t>；</w:t>
      </w:r>
    </w:p>
    <w:p>
      <w:pPr>
        <w:spacing w:line="400" w:lineRule="exact"/>
        <w:ind w:firstLine="420" w:firstLineChars="200"/>
        <w:rPr>
          <w:rFonts w:ascii="宋体" w:hAnsi="宋体" w:cs="宋体"/>
          <w:szCs w:val="21"/>
          <w:highlight w:val="none"/>
          <w:shd w:val="clear" w:color="auto" w:fill="FFFFFF"/>
        </w:rPr>
      </w:pPr>
      <w:r>
        <w:rPr>
          <w:rFonts w:hint="eastAsia" w:ascii="宋体" w:hAnsi="宋体" w:eastAsia="宋体" w:cs="宋体"/>
          <w:kern w:val="2"/>
          <w:sz w:val="21"/>
          <w:szCs w:val="21"/>
          <w:shd w:val="clear" w:fill="FFFFFF"/>
          <w:lang w:val="en-US" w:eastAsia="zh-CN" w:bidi="ar"/>
        </w:rPr>
        <w:t>（2）</w:t>
      </w:r>
      <w:r>
        <w:rPr>
          <w:rFonts w:hint="eastAsia" w:ascii="宋体" w:hAnsi="宋体" w:cs="宋体"/>
          <w:szCs w:val="21"/>
          <w:highlight w:val="none"/>
          <w:shd w:val="clear" w:color="auto" w:fill="FFFFFF"/>
        </w:rPr>
        <w:t>具有有效期的ISO9001质量管理体系认证证书；</w:t>
      </w:r>
    </w:p>
    <w:p>
      <w:pPr>
        <w:spacing w:line="400" w:lineRule="exact"/>
        <w:ind w:firstLine="420" w:firstLineChars="200"/>
        <w:rPr>
          <w:rFonts w:hint="default"/>
          <w:highlight w:val="none"/>
        </w:rPr>
      </w:pPr>
      <w:r>
        <w:rPr>
          <w:rFonts w:hint="eastAsia" w:ascii="宋体" w:hAnsi="宋体" w:cs="宋体"/>
          <w:szCs w:val="21"/>
          <w:highlight w:val="none"/>
          <w:shd w:val="clear" w:color="auto" w:fill="FFFFFF"/>
        </w:rPr>
        <w:t>（3）至少具有有效期的ISO20000信息技术服务管理体系认证证书、ISO22301业务连续性管理体系认证证书、ISO27001信息安全管理体系认证证书中的一项</w:t>
      </w:r>
      <w:r>
        <w:rPr>
          <w:rFonts w:hint="default" w:ascii="宋体" w:hAnsi="宋体" w:cs="宋体"/>
          <w:szCs w:val="21"/>
          <w:highlight w:val="none"/>
          <w:shd w:val="clear" w:color="auto" w:fill="FFFFFF"/>
        </w:rPr>
        <w:t>。</w:t>
      </w:r>
    </w:p>
    <w:p>
      <w:pPr>
        <w:keepNext w:val="0"/>
        <w:keepLines w:val="0"/>
        <w:widowControl w:val="0"/>
        <w:suppressLineNumbers w:val="0"/>
        <w:spacing w:before="0" w:beforeAutospacing="0" w:after="0" w:afterAutospacing="0" w:line="400" w:lineRule="exact"/>
        <w:ind w:left="0" w:right="0" w:firstLine="420" w:firstLineChars="200"/>
        <w:jc w:val="both"/>
        <w:rPr>
          <w:rFonts w:hint="default" w:ascii="宋体" w:hAnsi="宋体" w:eastAsia="宋体" w:cs="宋体"/>
          <w:kern w:val="2"/>
          <w:sz w:val="21"/>
          <w:szCs w:val="21"/>
          <w:shd w:val="clear" w:fill="FFFFFF"/>
        </w:rPr>
      </w:pPr>
      <w:r>
        <w:rPr>
          <w:rFonts w:hint="eastAsia" w:ascii="宋体" w:hAnsi="宋体" w:eastAsia="宋体" w:cs="宋体"/>
          <w:kern w:val="2"/>
          <w:sz w:val="21"/>
          <w:szCs w:val="21"/>
          <w:highlight w:val="none"/>
          <w:shd w:val="clear" w:fill="FFFFFF"/>
          <w:lang w:val="en-US" w:eastAsia="zh-CN" w:bidi="ar"/>
        </w:rPr>
        <w:t>3.2 业绩要求：</w:t>
      </w:r>
      <w:r>
        <w:rPr>
          <w:rFonts w:hint="default" w:ascii="宋体" w:hAnsi="宋体" w:cs="宋体"/>
          <w:szCs w:val="21"/>
          <w:highlight w:val="none"/>
          <w:shd w:val="clear" w:color="auto" w:fill="FFFFFF"/>
        </w:rPr>
        <w:t>需具有</w:t>
      </w:r>
      <w:r>
        <w:rPr>
          <w:rFonts w:hint="eastAsia" w:ascii="宋体" w:hAnsi="宋体" w:cs="宋体"/>
          <w:szCs w:val="21"/>
          <w:highlight w:val="none"/>
          <w:shd w:val="clear" w:color="auto" w:fill="FFFFFF"/>
        </w:rPr>
        <w:t>至少1个2020年1月1日至本竞争性比选函发出之日期间</w:t>
      </w:r>
      <w:r>
        <w:rPr>
          <w:rFonts w:hint="default" w:ascii="宋体" w:hAnsi="宋体" w:cs="宋体"/>
          <w:szCs w:val="21"/>
          <w:highlight w:val="none"/>
          <w:shd w:val="clear" w:color="auto" w:fill="FFFFFF"/>
        </w:rPr>
        <w:t>150</w:t>
      </w:r>
      <w:r>
        <w:rPr>
          <w:rFonts w:hint="eastAsia" w:ascii="宋体" w:hAnsi="宋体" w:cs="宋体"/>
          <w:szCs w:val="21"/>
          <w:highlight w:val="none"/>
          <w:shd w:val="clear" w:color="auto" w:fill="FFFFFF"/>
        </w:rPr>
        <w:t>万元以上的系统集成类项目相关业绩（以合同签订时间为准）</w:t>
      </w:r>
      <w:r>
        <w:rPr>
          <w:rFonts w:hint="default" w:ascii="宋体" w:hAnsi="宋体" w:cs="宋体"/>
          <w:szCs w:val="21"/>
          <w:highlight w:val="none"/>
          <w:shd w:val="clear" w:color="auto" w:fill="FFFFFF"/>
        </w:rPr>
        <w:t>。</w:t>
      </w:r>
    </w:p>
    <w:p>
      <w:pPr>
        <w:spacing w:line="400" w:lineRule="exact"/>
        <w:ind w:firstLine="420" w:firstLineChars="200"/>
        <w:rPr>
          <w:rFonts w:hint="default" w:ascii="宋体" w:hAnsi="宋体" w:eastAsia="宋体" w:cs="宋体"/>
          <w:kern w:val="2"/>
          <w:sz w:val="21"/>
          <w:szCs w:val="21"/>
          <w:shd w:val="clear" w:fill="FFFFFF"/>
          <w:lang w:eastAsia="zh-CN" w:bidi="ar"/>
        </w:rPr>
      </w:pPr>
      <w:r>
        <w:rPr>
          <w:rFonts w:hint="eastAsia" w:ascii="宋体" w:hAnsi="宋体" w:eastAsia="宋体" w:cs="宋体"/>
          <w:kern w:val="2"/>
          <w:sz w:val="21"/>
          <w:szCs w:val="21"/>
          <w:shd w:val="clear" w:fill="FFFFFF"/>
          <w:lang w:val="en-US" w:eastAsia="zh-CN" w:bidi="ar"/>
        </w:rPr>
        <w:t xml:space="preserve">3.3 </w:t>
      </w:r>
      <w:r>
        <w:rPr>
          <w:rFonts w:hint="default" w:ascii="宋体" w:hAnsi="宋体" w:eastAsia="宋体" w:cs="宋体"/>
          <w:kern w:val="2"/>
          <w:sz w:val="21"/>
          <w:szCs w:val="21"/>
          <w:shd w:val="clear" w:fill="FFFFFF"/>
          <w:lang w:eastAsia="zh-CN" w:bidi="ar"/>
        </w:rPr>
        <w:t>主要管理人员要求：</w:t>
      </w:r>
      <w:r>
        <w:rPr>
          <w:rFonts w:hint="eastAsia" w:ascii="宋体" w:hAnsi="宋体" w:eastAsia="宋体" w:cs="宋体"/>
          <w:szCs w:val="21"/>
          <w:highlight w:val="none"/>
          <w:shd w:val="clear" w:color="auto" w:fill="FFFFFF"/>
        </w:rPr>
        <w:t>项目负责人</w:t>
      </w:r>
      <w:r>
        <w:rPr>
          <w:rFonts w:hint="default" w:ascii="宋体" w:hAnsi="宋体" w:eastAsia="宋体" w:cs="宋体"/>
          <w:szCs w:val="21"/>
          <w:highlight w:val="none"/>
          <w:shd w:val="clear" w:color="auto" w:fill="FFFFFF"/>
        </w:rPr>
        <w:t>1名，</w:t>
      </w:r>
      <w:r>
        <w:rPr>
          <w:rFonts w:hint="eastAsia" w:ascii="宋体" w:hAnsi="宋体" w:eastAsia="宋体" w:cs="宋体"/>
          <w:szCs w:val="21"/>
          <w:highlight w:val="none"/>
          <w:shd w:val="clear" w:color="auto" w:fill="FFFFFF"/>
        </w:rPr>
        <w:t>具有高级信息系统项目管理师或PMP证书</w:t>
      </w:r>
      <w:r>
        <w:rPr>
          <w:rFonts w:hint="default" w:ascii="宋体" w:hAnsi="宋体" w:eastAsia="宋体" w:cs="宋体"/>
          <w:szCs w:val="21"/>
          <w:highlight w:val="none"/>
          <w:shd w:val="clear" w:color="auto" w:fill="FFFFFF"/>
        </w:rPr>
        <w:t>。</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2"/>
          <w:sz w:val="21"/>
          <w:szCs w:val="21"/>
          <w:shd w:val="clear" w:fill="FFFFFF"/>
        </w:rPr>
      </w:pPr>
      <w:r>
        <w:rPr>
          <w:rFonts w:hint="default" w:ascii="宋体" w:hAnsi="宋体" w:eastAsia="宋体" w:cs="宋体"/>
          <w:kern w:val="2"/>
          <w:sz w:val="21"/>
          <w:szCs w:val="21"/>
          <w:shd w:val="clear" w:fill="FFFFFF"/>
          <w:lang w:eastAsia="zh-CN" w:bidi="ar"/>
        </w:rPr>
        <w:t>3.4</w:t>
      </w:r>
      <w:r>
        <w:rPr>
          <w:rFonts w:hint="eastAsia" w:ascii="宋体" w:hAnsi="宋体" w:eastAsia="宋体" w:cs="宋体"/>
          <w:kern w:val="2"/>
          <w:sz w:val="21"/>
          <w:szCs w:val="21"/>
          <w:shd w:val="clear" w:fill="FFFFFF"/>
          <w:lang w:val="en-US" w:eastAsia="zh-CN" w:bidi="ar"/>
        </w:rPr>
        <w:t>信誉要求：在国家企业信用信息公示系统（http://www.gsxt.gov.cn/）中未被列入严重违法失信企业名单（黑名单）信息；在“信用中国”网站（http://www.creditchina.gov.cn/）中未被列入失信惩戒执行人名单。</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2"/>
          <w:sz w:val="21"/>
          <w:szCs w:val="21"/>
          <w:shd w:val="clear" w:fill="FFFFFF"/>
        </w:rPr>
      </w:pPr>
      <w:r>
        <w:rPr>
          <w:rFonts w:hint="eastAsia" w:ascii="宋体" w:hAnsi="宋体" w:eastAsia="宋体" w:cs="宋体"/>
          <w:kern w:val="2"/>
          <w:sz w:val="21"/>
          <w:szCs w:val="21"/>
          <w:shd w:val="clear" w:fill="FFFFFF"/>
          <w:lang w:val="en-US" w:eastAsia="zh-CN" w:bidi="ar"/>
        </w:rPr>
        <w:t>3.</w:t>
      </w:r>
      <w:r>
        <w:rPr>
          <w:rFonts w:hint="default" w:ascii="宋体" w:hAnsi="宋体" w:eastAsia="宋体" w:cs="宋体"/>
          <w:kern w:val="2"/>
          <w:sz w:val="21"/>
          <w:szCs w:val="21"/>
          <w:shd w:val="clear" w:fill="FFFFFF"/>
          <w:lang w:eastAsia="zh-CN" w:bidi="ar"/>
        </w:rPr>
        <w:t>5</w:t>
      </w:r>
      <w:r>
        <w:rPr>
          <w:rFonts w:hint="eastAsia" w:ascii="宋体" w:hAnsi="宋体" w:eastAsia="宋体" w:cs="宋体"/>
          <w:kern w:val="2"/>
          <w:sz w:val="21"/>
          <w:szCs w:val="21"/>
          <w:shd w:val="clear" w:fill="FFFFFF"/>
          <w:lang w:val="en-US" w:eastAsia="zh-CN" w:bidi="ar"/>
        </w:rPr>
        <w:t xml:space="preserve"> 报价人须提供采购人要求的所有资质要求、业绩要求、信誉要求的复印件并加盖单位鲜公章。</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2"/>
          <w:sz w:val="21"/>
          <w:szCs w:val="21"/>
          <w:shd w:val="clear" w:fill="FFFFFF"/>
        </w:rPr>
      </w:pPr>
      <w:r>
        <w:rPr>
          <w:rFonts w:hint="eastAsia" w:ascii="宋体" w:hAnsi="宋体" w:eastAsia="宋体" w:cs="宋体"/>
          <w:kern w:val="2"/>
          <w:sz w:val="21"/>
          <w:szCs w:val="21"/>
          <w:shd w:val="clear" w:fill="FFFFFF"/>
          <w:lang w:val="en-US" w:eastAsia="zh-CN" w:bidi="ar"/>
        </w:rPr>
        <w:t>3.</w:t>
      </w:r>
      <w:r>
        <w:rPr>
          <w:rFonts w:hint="default" w:ascii="宋体" w:hAnsi="宋体" w:eastAsia="宋体" w:cs="宋体"/>
          <w:kern w:val="2"/>
          <w:sz w:val="21"/>
          <w:szCs w:val="21"/>
          <w:shd w:val="clear" w:fill="FFFFFF"/>
          <w:lang w:eastAsia="zh-CN" w:bidi="ar"/>
        </w:rPr>
        <w:t>6</w:t>
      </w:r>
      <w:r>
        <w:rPr>
          <w:rFonts w:hint="eastAsia" w:ascii="宋体" w:hAnsi="宋体" w:eastAsia="宋体" w:cs="宋体"/>
          <w:kern w:val="2"/>
          <w:sz w:val="21"/>
          <w:szCs w:val="21"/>
          <w:shd w:val="clear" w:fill="FFFFFF"/>
          <w:lang w:val="en-US" w:eastAsia="zh-CN" w:bidi="ar"/>
        </w:rPr>
        <w:t xml:space="preserve"> 本次比选不接受联合体报价。</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2"/>
          <w:sz w:val="21"/>
          <w:szCs w:val="21"/>
          <w:shd w:val="clear" w:fill="FFFFFF"/>
        </w:rPr>
      </w:pPr>
      <w:r>
        <w:rPr>
          <w:rFonts w:hint="eastAsia" w:ascii="宋体" w:hAnsi="宋体" w:eastAsia="宋体" w:cs="宋体"/>
          <w:kern w:val="2"/>
          <w:sz w:val="21"/>
          <w:szCs w:val="21"/>
          <w:shd w:val="clear" w:fill="FFFFFF"/>
          <w:lang w:val="en-US" w:eastAsia="zh-CN" w:bidi="ar"/>
        </w:rPr>
        <w:t>3.</w:t>
      </w:r>
      <w:r>
        <w:rPr>
          <w:rFonts w:hint="default" w:ascii="宋体" w:hAnsi="宋体" w:eastAsia="宋体" w:cs="宋体"/>
          <w:kern w:val="2"/>
          <w:sz w:val="21"/>
          <w:szCs w:val="21"/>
          <w:shd w:val="clear" w:fill="FFFFFF"/>
          <w:lang w:eastAsia="zh-CN" w:bidi="ar"/>
        </w:rPr>
        <w:t>7</w:t>
      </w:r>
      <w:r>
        <w:rPr>
          <w:rFonts w:hint="eastAsia" w:ascii="宋体" w:hAnsi="宋体" w:eastAsia="宋体" w:cs="宋体"/>
          <w:kern w:val="2"/>
          <w:sz w:val="21"/>
          <w:szCs w:val="21"/>
          <w:shd w:val="clear" w:fill="FFFFFF"/>
          <w:lang w:val="en-US" w:eastAsia="zh-CN" w:bidi="ar"/>
        </w:rPr>
        <w:t xml:space="preserve"> 单位负责人为同一人或者存在控股、管理关系的不同单位，不得同时参加本项目报价，否则均按无效报价处理。</w:t>
      </w:r>
    </w:p>
    <w:p>
      <w:pPr>
        <w:pStyle w:val="4"/>
        <w:spacing w:before="120" w:after="0" w:line="400" w:lineRule="exact"/>
        <w:rPr>
          <w:rFonts w:ascii="宋体" w:hAnsi="宋体" w:eastAsia="宋体" w:cs="宋体"/>
        </w:rPr>
      </w:pPr>
      <w:bookmarkStart w:id="59" w:name="_Toc20193"/>
      <w:bookmarkStart w:id="60" w:name="_Toc11329216"/>
      <w:bookmarkStart w:id="61" w:name="_Toc25619"/>
      <w:bookmarkStart w:id="62" w:name="_Toc12460"/>
      <w:bookmarkStart w:id="63" w:name="_Toc7266"/>
      <w:bookmarkStart w:id="64" w:name="_Toc507319894"/>
      <w:bookmarkStart w:id="65" w:name="_Toc14361"/>
      <w:r>
        <w:rPr>
          <w:rFonts w:hint="eastAsia" w:ascii="宋体" w:hAnsi="宋体" w:eastAsia="宋体" w:cs="宋体"/>
        </w:rPr>
        <w:t>4. 比选文件的获取</w:t>
      </w:r>
      <w:bookmarkEnd w:id="52"/>
      <w:bookmarkEnd w:id="53"/>
      <w:bookmarkEnd w:id="54"/>
      <w:bookmarkEnd w:id="55"/>
      <w:bookmarkEnd w:id="56"/>
      <w:bookmarkEnd w:id="57"/>
      <w:bookmarkEnd w:id="58"/>
      <w:bookmarkEnd w:id="59"/>
      <w:bookmarkEnd w:id="60"/>
      <w:bookmarkEnd w:id="61"/>
      <w:bookmarkEnd w:id="62"/>
      <w:bookmarkEnd w:id="63"/>
      <w:bookmarkEnd w:id="64"/>
      <w:bookmarkEnd w:id="65"/>
    </w:p>
    <w:p>
      <w:pPr>
        <w:keepNext w:val="0"/>
        <w:keepLines w:val="0"/>
        <w:widowControl w:val="0"/>
        <w:suppressLineNumbers w:val="0"/>
        <w:spacing w:before="0" w:beforeAutospacing="0" w:after="0" w:afterAutospacing="0" w:line="360" w:lineRule="auto"/>
        <w:ind w:left="0" w:right="0" w:firstLine="420" w:firstLineChars="200"/>
        <w:jc w:val="both"/>
        <w:rPr>
          <w:rFonts w:ascii="宋体" w:hAnsi="宋体"/>
          <w:szCs w:val="21"/>
        </w:rPr>
      </w:pPr>
      <w:bookmarkStart w:id="66" w:name="_Toc507319895"/>
      <w:bookmarkStart w:id="67" w:name="_Toc246996905"/>
      <w:bookmarkStart w:id="68" w:name="_Toc246996162"/>
      <w:bookmarkStart w:id="69" w:name="_Toc179632532"/>
      <w:bookmarkStart w:id="70" w:name="_Toc152042292"/>
      <w:bookmarkStart w:id="71" w:name="_Toc144974484"/>
      <w:bookmarkStart w:id="72" w:name="_Toc247085676"/>
      <w:bookmarkStart w:id="73" w:name="_Toc152045516"/>
      <w:bookmarkStart w:id="74" w:name="_Toc11329217"/>
      <w:r>
        <w:rPr>
          <w:rFonts w:ascii="宋体" w:hAnsi="宋体"/>
          <w:szCs w:val="21"/>
        </w:rPr>
        <w:t>凡愿意参加的潜在</w:t>
      </w:r>
      <w:r>
        <w:rPr>
          <w:rFonts w:hint="eastAsia" w:ascii="宋体" w:hAnsi="宋体"/>
          <w:szCs w:val="21"/>
        </w:rPr>
        <w:t>报价</w:t>
      </w:r>
      <w:r>
        <w:rPr>
          <w:rFonts w:ascii="宋体" w:hAnsi="宋体"/>
          <w:szCs w:val="21"/>
        </w:rPr>
        <w:t>人，</w:t>
      </w:r>
      <w:r>
        <w:rPr>
          <w:rFonts w:hint="eastAsia" w:ascii="宋体" w:hAnsi="宋体"/>
          <w:szCs w:val="21"/>
          <w:highlight w:val="none"/>
        </w:rPr>
        <w:t>在</w:t>
      </w:r>
      <w:r>
        <w:rPr>
          <w:rFonts w:hint="eastAsia" w:ascii="宋体" w:hAnsi="宋体"/>
          <w:szCs w:val="21"/>
          <w:highlight w:val="none"/>
          <w:u w:val="single"/>
        </w:rPr>
        <w:t>2022</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u w:val="single"/>
          <w:lang w:val="en-US" w:eastAsia="zh-CN"/>
        </w:rPr>
        <w:t>11</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u w:val="single"/>
          <w:lang w:val="en-US" w:eastAsia="zh-CN"/>
        </w:rPr>
        <w:t>30</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日上午</w:t>
      </w:r>
      <w:r>
        <w:rPr>
          <w:rFonts w:hint="eastAsia" w:ascii="宋体" w:hAnsi="宋体"/>
          <w:szCs w:val="21"/>
          <w:highlight w:val="none"/>
          <w:u w:val="single"/>
        </w:rPr>
        <w:t>1</w:t>
      </w:r>
      <w:r>
        <w:rPr>
          <w:rFonts w:hint="eastAsia" w:ascii="宋体" w:hAnsi="宋体"/>
          <w:szCs w:val="21"/>
          <w:highlight w:val="none"/>
          <w:u w:val="single"/>
          <w:lang w:val="en-US" w:eastAsia="zh-CN"/>
        </w:rPr>
        <w:t>0</w:t>
      </w:r>
      <w:r>
        <w:rPr>
          <w:rFonts w:hint="eastAsia" w:ascii="宋体" w:hAnsi="宋体"/>
          <w:szCs w:val="21"/>
          <w:highlight w:val="none"/>
          <w:u w:val="single"/>
        </w:rPr>
        <w:t>:00</w:t>
      </w:r>
      <w:r>
        <w:rPr>
          <w:rFonts w:hint="eastAsia" w:ascii="宋体" w:hAnsi="宋体"/>
          <w:szCs w:val="21"/>
          <w:highlight w:val="none"/>
        </w:rPr>
        <w:t>前在重</w:t>
      </w:r>
      <w:r>
        <w:rPr>
          <w:rFonts w:hint="eastAsia" w:ascii="宋体" w:hAnsi="宋体"/>
          <w:szCs w:val="21"/>
        </w:rPr>
        <w:t>庆高速集团官网</w:t>
      </w:r>
      <w:r>
        <w:rPr>
          <w:rFonts w:hint="eastAsia" w:ascii="宋体" w:hAnsi="宋体" w:eastAsia="宋体" w:cs="宋体"/>
          <w:kern w:val="2"/>
          <w:sz w:val="21"/>
          <w:szCs w:val="21"/>
          <w:lang w:val="en-US" w:eastAsia="zh-CN" w:bidi="ar"/>
        </w:rPr>
        <w:t>（</w:t>
      </w:r>
      <w:r>
        <w:rPr>
          <w:rFonts w:hint="eastAsia" w:ascii="宋体" w:hAnsi="宋体" w:eastAsia="宋体" w:cs="Times New Roman"/>
          <w:kern w:val="2"/>
          <w:sz w:val="21"/>
          <w:szCs w:val="21"/>
          <w:lang w:val="en-US" w:eastAsia="zh-CN" w:bidi="ar"/>
        </w:rPr>
        <w:t>http://www.cegc.com.cn/gw/newsInfoMenu.html?id=42&amp;key=2）</w:t>
      </w:r>
      <w:r>
        <w:rPr>
          <w:rFonts w:hint="eastAsia" w:ascii="宋体" w:hAnsi="宋体"/>
          <w:szCs w:val="21"/>
        </w:rPr>
        <w:t>上获取报价文件，各报价人应随时关注网上发布的竞争性比选文件答疑、补遗、澄清等文件内容，不管报价人是否下载，均视为已知晓竞争性比选文件的全部内容和有关事宜。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rPr>
      </w:pPr>
      <w:bookmarkStart w:id="75" w:name="_Toc9131"/>
      <w:bookmarkStart w:id="76" w:name="_Toc16686"/>
      <w:bookmarkStart w:id="77" w:name="_Toc31493"/>
      <w:bookmarkStart w:id="78" w:name="_Toc17832"/>
      <w:bookmarkStart w:id="79" w:name="_Toc3064"/>
      <w:r>
        <w:rPr>
          <w:rFonts w:hint="eastAsia" w:ascii="宋体" w:hAnsi="宋体" w:eastAsia="宋体" w:cs="宋体"/>
        </w:rPr>
        <w:t>5. 竞争性比选响应文件的递交</w:t>
      </w:r>
      <w:bookmarkEnd w:id="66"/>
      <w:bookmarkEnd w:id="67"/>
      <w:bookmarkEnd w:id="68"/>
      <w:bookmarkEnd w:id="69"/>
      <w:bookmarkEnd w:id="70"/>
      <w:bookmarkEnd w:id="71"/>
      <w:bookmarkEnd w:id="72"/>
      <w:bookmarkEnd w:id="73"/>
      <w:bookmarkEnd w:id="74"/>
      <w:r>
        <w:rPr>
          <w:rFonts w:hint="eastAsia" w:ascii="宋体" w:hAnsi="宋体" w:eastAsia="宋体" w:cs="宋体"/>
        </w:rPr>
        <w:t>及相关事宜</w:t>
      </w:r>
      <w:bookmarkEnd w:id="75"/>
      <w:bookmarkEnd w:id="76"/>
      <w:bookmarkEnd w:id="77"/>
      <w:bookmarkEnd w:id="78"/>
      <w:bookmarkEnd w:id="79"/>
    </w:p>
    <w:p>
      <w:pPr>
        <w:tabs>
          <w:tab w:val="left" w:pos="360"/>
        </w:tabs>
        <w:spacing w:line="400" w:lineRule="exact"/>
        <w:ind w:firstLine="420" w:firstLineChars="200"/>
        <w:rPr>
          <w:rFonts w:ascii="宋体" w:hAnsi="宋体" w:cs="宋体"/>
          <w:szCs w:val="21"/>
          <w:highlight w:val="none"/>
        </w:rPr>
      </w:pPr>
      <w:bookmarkStart w:id="80" w:name="_Toc18402"/>
      <w:bookmarkStart w:id="81" w:name="_Toc246996907"/>
      <w:bookmarkStart w:id="82" w:name="_Toc247085678"/>
      <w:bookmarkStart w:id="83" w:name="_Toc144974485"/>
      <w:bookmarkStart w:id="84" w:name="_Toc179632534"/>
      <w:bookmarkStart w:id="85" w:name="_Toc246996164"/>
      <w:bookmarkStart w:id="86" w:name="_Toc18284"/>
      <w:bookmarkStart w:id="87" w:name="_Toc507319897"/>
      <w:bookmarkStart w:id="88" w:name="_Toc10307"/>
      <w:bookmarkStart w:id="89" w:name="_Toc393"/>
      <w:bookmarkStart w:id="90" w:name="_Toc152042293"/>
      <w:bookmarkStart w:id="91" w:name="_Toc21615"/>
      <w:bookmarkStart w:id="92" w:name="_Toc152045517"/>
      <w:bookmarkStart w:id="93" w:name="_Toc11329219"/>
      <w:r>
        <w:rPr>
          <w:rFonts w:hint="eastAsia" w:ascii="宋体" w:hAnsi="宋体" w:cs="宋体"/>
          <w:szCs w:val="21"/>
        </w:rPr>
        <w:t>5.1报价截止时间和开标时间</w:t>
      </w:r>
      <w:r>
        <w:rPr>
          <w:rFonts w:hint="eastAsia" w:ascii="宋体" w:hAnsi="宋体" w:cs="宋体"/>
          <w:szCs w:val="21"/>
          <w:highlight w:val="none"/>
        </w:rPr>
        <w:t>：</w:t>
      </w:r>
      <w:r>
        <w:rPr>
          <w:rFonts w:hint="eastAsia" w:ascii="宋体" w:hAnsi="宋体"/>
          <w:szCs w:val="21"/>
          <w:highlight w:val="none"/>
          <w:u w:val="single"/>
        </w:rPr>
        <w:t>2022</w:t>
      </w:r>
      <w:r>
        <w:rPr>
          <w:rFonts w:hint="eastAsia" w:ascii="宋体" w:hAnsi="宋体"/>
          <w:szCs w:val="21"/>
          <w:highlight w:val="none"/>
        </w:rPr>
        <w:t>年</w:t>
      </w:r>
      <w:r>
        <w:rPr>
          <w:rFonts w:hint="eastAsia" w:ascii="宋体" w:hAnsi="宋体"/>
          <w:szCs w:val="21"/>
          <w:highlight w:val="none"/>
          <w:u w:val="single"/>
        </w:rPr>
        <w:t xml:space="preserve"> </w:t>
      </w:r>
      <w:r>
        <w:rPr>
          <w:rFonts w:ascii="宋体" w:hAnsi="宋体"/>
          <w:szCs w:val="21"/>
          <w:highlight w:val="none"/>
          <w:u w:val="single"/>
        </w:rPr>
        <w:t>11</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u w:val="single"/>
          <w:lang w:val="en-US" w:eastAsia="zh-CN"/>
        </w:rPr>
        <w:t>30</w:t>
      </w:r>
      <w:r>
        <w:rPr>
          <w:rFonts w:hint="eastAsia" w:ascii="宋体" w:hAnsi="宋体"/>
          <w:szCs w:val="21"/>
          <w:highlight w:val="none"/>
          <w:u w:val="single"/>
        </w:rPr>
        <w:t xml:space="preserve"> </w:t>
      </w:r>
      <w:r>
        <w:rPr>
          <w:rFonts w:hint="eastAsia" w:ascii="宋体" w:hAnsi="宋体"/>
          <w:szCs w:val="21"/>
          <w:highlight w:val="none"/>
        </w:rPr>
        <w:t>日上午</w:t>
      </w:r>
      <w:r>
        <w:rPr>
          <w:rFonts w:hint="eastAsia" w:ascii="宋体" w:hAnsi="宋体"/>
          <w:szCs w:val="21"/>
          <w:highlight w:val="none"/>
          <w:u w:val="single"/>
        </w:rPr>
        <w:t>1</w:t>
      </w:r>
      <w:r>
        <w:rPr>
          <w:rFonts w:hint="eastAsia" w:ascii="宋体" w:hAnsi="宋体"/>
          <w:szCs w:val="21"/>
          <w:highlight w:val="none"/>
          <w:u w:val="single"/>
          <w:lang w:val="en-US" w:eastAsia="zh-CN"/>
        </w:rPr>
        <w:t>0</w:t>
      </w:r>
      <w:r>
        <w:rPr>
          <w:rFonts w:hint="eastAsia" w:ascii="宋体" w:hAnsi="宋体" w:cs="宋体"/>
          <w:szCs w:val="21"/>
          <w:highlight w:val="none"/>
        </w:rPr>
        <w:t>时</w:t>
      </w:r>
      <w:r>
        <w:rPr>
          <w:rFonts w:hint="eastAsia" w:ascii="宋体" w:hAnsi="宋体" w:cs="宋体"/>
          <w:szCs w:val="21"/>
          <w:highlight w:val="none"/>
          <w:u w:val="single"/>
        </w:rPr>
        <w:t xml:space="preserve"> 00 </w:t>
      </w:r>
      <w:r>
        <w:rPr>
          <w:rFonts w:hint="eastAsia" w:ascii="宋体" w:hAnsi="宋体" w:cs="宋体"/>
          <w:szCs w:val="21"/>
          <w:highlight w:val="none"/>
        </w:rPr>
        <w:t>分（北京时间）。</w:t>
      </w:r>
    </w:p>
    <w:p>
      <w:pPr>
        <w:tabs>
          <w:tab w:val="left" w:pos="360"/>
        </w:tabs>
        <w:spacing w:line="400" w:lineRule="exact"/>
        <w:ind w:firstLine="420" w:firstLineChars="200"/>
        <w:rPr>
          <w:rFonts w:hint="default" w:hAnsi="宋体"/>
          <w:szCs w:val="21"/>
        </w:rPr>
      </w:pPr>
      <w:r>
        <w:rPr>
          <w:rFonts w:hint="eastAsia" w:ascii="宋体" w:hAnsi="宋体" w:cs="宋体"/>
          <w:szCs w:val="21"/>
        </w:rPr>
        <w:t>5.2报价的递交：</w:t>
      </w:r>
      <w:r>
        <w:rPr>
          <w:rFonts w:hint="default" w:ascii="宋体" w:hAnsi="宋体" w:cs="宋体"/>
          <w:color w:val="FF0000"/>
          <w:szCs w:val="21"/>
        </w:rPr>
        <w:t>因疫情原因，所有报价文件</w:t>
      </w:r>
      <w:r>
        <w:rPr>
          <w:rFonts w:hint="eastAsia" w:ascii="宋体" w:hAnsi="宋体" w:cs="宋体"/>
          <w:color w:val="FF0000"/>
          <w:szCs w:val="21"/>
          <w:lang w:val="en-US" w:eastAsia="zh-CN"/>
        </w:rPr>
        <w:t>均采用电子投递方式，将响应性文件扫描件通过授权邮箱采用加密电子邮件方式递交。</w:t>
      </w:r>
    </w:p>
    <w:p>
      <w:pPr>
        <w:pStyle w:val="2"/>
        <w:ind w:firstLine="420" w:firstLineChars="200"/>
        <w:rPr>
          <w:rFonts w:hint="default" w:ascii="宋体" w:hAnsi="宋体" w:eastAsia="宋体" w:cs="宋体"/>
          <w:b w:val="0"/>
          <w:bCs w:val="0"/>
          <w:caps w:val="0"/>
          <w:color w:val="FF0000"/>
          <w:kern w:val="2"/>
          <w:sz w:val="21"/>
          <w:szCs w:val="21"/>
          <w:lang w:val="en-US" w:eastAsia="zh-CN" w:bidi="ar-SA"/>
        </w:rPr>
      </w:pPr>
      <w:r>
        <w:rPr>
          <w:rFonts w:hint="eastAsia" w:ascii="宋体" w:hAnsi="宋体" w:eastAsia="宋体" w:cs="宋体"/>
          <w:b w:val="0"/>
          <w:bCs w:val="0"/>
          <w:caps w:val="0"/>
          <w:color w:val="FF0000"/>
          <w:kern w:val="2"/>
          <w:sz w:val="21"/>
          <w:szCs w:val="21"/>
          <w:lang w:val="en-US" w:eastAsia="zh-CN" w:bidi="ar-SA"/>
        </w:rPr>
        <w:t>5.3</w:t>
      </w:r>
      <w:r>
        <w:rPr>
          <w:rFonts w:hint="eastAsia" w:ascii="宋体" w:hAnsi="宋体" w:cs="宋体"/>
          <w:b w:val="0"/>
          <w:bCs w:val="0"/>
          <w:caps w:val="0"/>
          <w:color w:val="FF0000"/>
          <w:kern w:val="2"/>
          <w:sz w:val="21"/>
          <w:szCs w:val="21"/>
          <w:lang w:val="en-US" w:eastAsia="zh-CN" w:bidi="ar-SA"/>
        </w:rPr>
        <w:t>电子邮件递交要求：须在2022年11月30日9时30分至10时00分将响应文件通过已授权邮箱发送加密电子邮件至蒋淇jq610831078@163.com邮箱，同时在该时间段内将密码发送至陈晶58484414@qq.com邮箱。</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w:t>
      </w:r>
      <w:r>
        <w:rPr>
          <w:rFonts w:hint="eastAsia" w:ascii="宋体" w:hAnsi="宋体" w:cs="宋体"/>
          <w:szCs w:val="21"/>
          <w:lang w:val="en-US" w:eastAsia="zh-CN"/>
        </w:rPr>
        <w:t>4</w:t>
      </w:r>
      <w:r>
        <w:rPr>
          <w:rFonts w:ascii="宋体" w:hAnsi="宋体" w:cs="宋体"/>
          <w:szCs w:val="21"/>
        </w:rPr>
        <w:t>采购</w:t>
      </w:r>
      <w:r>
        <w:rPr>
          <w:rFonts w:hint="eastAsia" w:ascii="宋体" w:hAnsi="宋体" w:cs="宋体"/>
          <w:szCs w:val="21"/>
        </w:rPr>
        <w:tab/>
      </w:r>
      <w:r>
        <w:rPr>
          <w:rFonts w:ascii="宋体" w:hAnsi="宋体" w:cs="宋体"/>
          <w:szCs w:val="21"/>
        </w:rPr>
        <w:t>人不召开报价预备会。</w:t>
      </w:r>
    </w:p>
    <w:p>
      <w:pPr>
        <w:pStyle w:val="4"/>
        <w:spacing w:before="120" w:after="0" w:line="400" w:lineRule="exact"/>
        <w:rPr>
          <w:rFonts w:ascii="宋体" w:hAnsi="宋体" w:eastAsia="宋体" w:cs="宋体"/>
        </w:rPr>
      </w:pPr>
      <w:r>
        <w:rPr>
          <w:rFonts w:hint="eastAsia" w:ascii="宋体" w:hAnsi="宋体" w:eastAsia="宋体" w:cs="宋体"/>
        </w:rPr>
        <w:t>6. 联系方式</w:t>
      </w:r>
      <w:bookmarkEnd w:id="80"/>
      <w:bookmarkEnd w:id="81"/>
      <w:bookmarkEnd w:id="82"/>
      <w:bookmarkEnd w:id="83"/>
      <w:bookmarkEnd w:id="84"/>
      <w:bookmarkEnd w:id="85"/>
      <w:bookmarkEnd w:id="86"/>
      <w:bookmarkEnd w:id="87"/>
      <w:bookmarkEnd w:id="88"/>
      <w:bookmarkEnd w:id="89"/>
      <w:bookmarkEnd w:id="90"/>
      <w:bookmarkEnd w:id="91"/>
      <w:bookmarkEnd w:id="92"/>
      <w:bookmarkEnd w:id="93"/>
    </w:p>
    <w:tbl>
      <w:tblPr>
        <w:tblStyle w:val="42"/>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2"/>
              <w:keepNext w:val="0"/>
              <w:keepLines w:val="0"/>
              <w:suppressLineNumbers w:val="0"/>
              <w:spacing w:before="0" w:beforeAutospacing="0" w:after="0" w:afterAutospacing="0" w:line="400" w:lineRule="exact"/>
              <w:ind w:left="0" w:right="0" w:firstLine="420" w:firstLineChars="200"/>
              <w:jc w:val="both"/>
              <w:rPr>
                <w:rFonts w:hint="default" w:ascii="宋体" w:hAnsi="宋体" w:cs="宋体"/>
                <w:kern w:val="2"/>
                <w:sz w:val="21"/>
                <w:szCs w:val="21"/>
              </w:rPr>
            </w:pPr>
            <w:r>
              <w:rPr>
                <w:rFonts w:hint="eastAsia" w:ascii="宋体" w:hAnsi="宋体" w:cs="宋体"/>
                <w:kern w:val="2"/>
                <w:sz w:val="21"/>
                <w:szCs w:val="21"/>
              </w:rPr>
              <w:t>采购人：重庆首讯科技股份有限公司</w:t>
            </w:r>
          </w:p>
        </w:tc>
        <w:tc>
          <w:tcPr>
            <w:tcW w:w="1415" w:type="dxa"/>
            <w:vAlign w:val="center"/>
          </w:tcPr>
          <w:p>
            <w:pPr>
              <w:pStyle w:val="102"/>
              <w:keepNext w:val="0"/>
              <w:keepLines w:val="0"/>
              <w:suppressLineNumbers w:val="0"/>
              <w:spacing w:before="0" w:beforeAutospacing="0" w:after="0" w:afterAutospacing="0" w:line="400" w:lineRule="exact"/>
              <w:ind w:left="0" w:right="0" w:firstLine="420" w:firstLineChars="200"/>
              <w:jc w:val="both"/>
              <w:rPr>
                <w:rFonts w:hint="default" w:ascii="宋体" w:hAnsi="宋体" w:cs="宋体"/>
                <w:kern w:val="2"/>
                <w:sz w:val="21"/>
                <w:szCs w:val="21"/>
              </w:rPr>
            </w:pPr>
          </w:p>
        </w:tc>
      </w:tr>
      <w:tr>
        <w:tblPrEx>
          <w:tblCellMar>
            <w:top w:w="0" w:type="dxa"/>
            <w:left w:w="108" w:type="dxa"/>
            <w:bottom w:w="0" w:type="dxa"/>
            <w:right w:w="108" w:type="dxa"/>
          </w:tblCellMar>
        </w:tblPrEx>
        <w:trPr>
          <w:trHeight w:val="461" w:hRule="atLeast"/>
        </w:trPr>
        <w:tc>
          <w:tcPr>
            <w:tcW w:w="8213" w:type="dxa"/>
            <w:vAlign w:val="center"/>
          </w:tcPr>
          <w:p>
            <w:pPr>
              <w:keepNext w:val="0"/>
              <w:keepLines w:val="0"/>
              <w:suppressLineNumbers w:val="0"/>
              <w:topLinePunct/>
              <w:spacing w:before="0" w:beforeAutospacing="0" w:after="0" w:afterAutospacing="0" w:line="400" w:lineRule="exact"/>
              <w:ind w:left="1050" w:leftChars="200" w:right="0" w:hanging="630" w:hangingChars="300"/>
              <w:rPr>
                <w:rFonts w:hint="default" w:ascii="宋体" w:hAnsi="宋体" w:cs="宋体"/>
                <w:szCs w:val="21"/>
              </w:rPr>
            </w:pPr>
            <w:r>
              <w:rPr>
                <w:rFonts w:hint="eastAsia" w:ascii="宋体" w:hAnsi="宋体" w:cs="宋体"/>
                <w:szCs w:val="21"/>
              </w:rPr>
              <w:t>地址：重庆市渝北区新南路52号东界龙湖三楼</w:t>
            </w:r>
          </w:p>
        </w:tc>
        <w:tc>
          <w:tcPr>
            <w:tcW w:w="1415"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rPr>
            </w:pPr>
          </w:p>
        </w:tc>
      </w:tr>
      <w:tr>
        <w:tblPrEx>
          <w:tblCellMar>
            <w:top w:w="0" w:type="dxa"/>
            <w:left w:w="108" w:type="dxa"/>
            <w:bottom w:w="0" w:type="dxa"/>
            <w:right w:w="108" w:type="dxa"/>
          </w:tblCellMar>
        </w:tblPrEx>
        <w:trPr>
          <w:trHeight w:val="470" w:hRule="atLeast"/>
        </w:trPr>
        <w:tc>
          <w:tcPr>
            <w:tcW w:w="8213" w:type="dxa"/>
            <w:vAlign w:val="center"/>
          </w:tcPr>
          <w:p>
            <w:pPr>
              <w:keepNext w:val="0"/>
              <w:keepLines w:val="0"/>
              <w:suppressLineNumbers w:val="0"/>
              <w:topLinePunct/>
              <w:spacing w:before="0" w:beforeAutospacing="0" w:after="0" w:afterAutospacing="0" w:line="400" w:lineRule="exact"/>
              <w:ind w:left="0" w:right="0" w:firstLine="420" w:firstLineChars="200"/>
              <w:rPr>
                <w:rFonts w:hint="default" w:ascii="宋体" w:hAnsi="宋体" w:eastAsia="宋体" w:cs="宋体"/>
                <w:szCs w:val="21"/>
                <w:lang w:val="en-US" w:eastAsia="zh-CN"/>
              </w:rPr>
            </w:pPr>
            <w:r>
              <w:rPr>
                <w:rFonts w:hint="eastAsia" w:ascii="宋体" w:hAnsi="宋体" w:cs="宋体"/>
                <w:szCs w:val="21"/>
              </w:rPr>
              <w:t>联系人：</w:t>
            </w:r>
            <w:r>
              <w:rPr>
                <w:rFonts w:hint="default" w:hAnsi="宋体"/>
                <w:szCs w:val="21"/>
              </w:rPr>
              <w:t>蒋老师</w:t>
            </w:r>
            <w:r>
              <w:rPr>
                <w:rFonts w:hint="eastAsia" w:hAnsi="宋体"/>
                <w:szCs w:val="21"/>
                <w:lang w:eastAsia="zh-CN"/>
              </w:rPr>
              <w:t>，</w:t>
            </w:r>
            <w:r>
              <w:rPr>
                <w:rFonts w:hint="eastAsia" w:hAnsi="宋体"/>
                <w:szCs w:val="21"/>
                <w:lang w:val="en-US" w:eastAsia="zh-CN"/>
              </w:rPr>
              <w:t>代老师</w:t>
            </w:r>
          </w:p>
        </w:tc>
        <w:tc>
          <w:tcPr>
            <w:tcW w:w="1415"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rPr>
            </w:pPr>
          </w:p>
        </w:tc>
      </w:tr>
      <w:tr>
        <w:tblPrEx>
          <w:tblCellMar>
            <w:top w:w="0" w:type="dxa"/>
            <w:left w:w="108" w:type="dxa"/>
            <w:bottom w:w="0" w:type="dxa"/>
            <w:right w:w="108" w:type="dxa"/>
          </w:tblCellMar>
        </w:tblPrEx>
        <w:trPr>
          <w:trHeight w:val="80" w:hRule="atLeast"/>
        </w:trPr>
        <w:tc>
          <w:tcPr>
            <w:tcW w:w="8213" w:type="dxa"/>
            <w:vAlign w:val="center"/>
          </w:tcPr>
          <w:p>
            <w:pPr>
              <w:keepNext w:val="0"/>
              <w:keepLines w:val="0"/>
              <w:suppressLineNumbers w:val="0"/>
              <w:topLinePunct/>
              <w:spacing w:before="0" w:beforeAutospacing="0" w:after="0" w:afterAutospacing="0" w:line="420" w:lineRule="exact"/>
              <w:ind w:left="0" w:right="0" w:firstLine="420" w:firstLineChars="200"/>
              <w:rPr>
                <w:rFonts w:hint="eastAsia" w:eastAsia="宋体"/>
                <w:lang w:eastAsia="zh-CN"/>
              </w:rPr>
            </w:pPr>
            <w:r>
              <w:rPr>
                <w:rFonts w:hint="eastAsia" w:ascii="宋体" w:hAnsi="宋体" w:cs="宋体"/>
                <w:szCs w:val="21"/>
              </w:rPr>
              <w:t>电 话：</w:t>
            </w:r>
            <w:r>
              <w:rPr>
                <w:rFonts w:hint="default" w:hAnsi="宋体"/>
                <w:szCs w:val="21"/>
              </w:rPr>
              <w:t>17783017837</w:t>
            </w:r>
            <w:r>
              <w:rPr>
                <w:rFonts w:hint="eastAsia" w:hAnsi="宋体"/>
                <w:szCs w:val="21"/>
                <w:lang w:eastAsia="zh-CN"/>
              </w:rPr>
              <w:t>，18502360486</w:t>
            </w:r>
          </w:p>
        </w:tc>
        <w:tc>
          <w:tcPr>
            <w:tcW w:w="1415"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rPr>
            </w:pPr>
          </w:p>
        </w:tc>
      </w:tr>
    </w:tbl>
    <w:p/>
    <w:p>
      <w:pPr>
        <w:pStyle w:val="2"/>
      </w:pPr>
    </w:p>
    <w:p/>
    <w:p>
      <w:pPr>
        <w:pStyle w:val="2"/>
      </w:pPr>
    </w:p>
    <w:p/>
    <w:p>
      <w:pPr>
        <w:pStyle w:val="2"/>
      </w:pPr>
    </w:p>
    <w:p/>
    <w:p>
      <w:pPr>
        <w:pStyle w:val="2"/>
      </w:pPr>
    </w:p>
    <w:p/>
    <w:bookmarkEnd w:id="7"/>
    <w:bookmarkEnd w:id="8"/>
    <w:p>
      <w:pPr>
        <w:pStyle w:val="3"/>
        <w:spacing w:before="0" w:after="0" w:line="360" w:lineRule="auto"/>
        <w:jc w:val="center"/>
        <w:rPr>
          <w:rFonts w:ascii="宋体" w:hAnsi="宋体" w:cs="宋体"/>
        </w:rPr>
      </w:pPr>
      <w:bookmarkStart w:id="94" w:name="_Toc507319898"/>
      <w:bookmarkStart w:id="95" w:name="_Toc21719"/>
      <w:bookmarkStart w:id="96" w:name="_Toc2000405"/>
      <w:bookmarkStart w:id="97" w:name="_Toc152045527"/>
      <w:bookmarkStart w:id="98" w:name="_Toc246996916"/>
      <w:bookmarkStart w:id="99" w:name="_Toc152042303"/>
      <w:bookmarkStart w:id="100" w:name="_Toc144974495"/>
      <w:bookmarkStart w:id="101" w:name="_Toc179632544"/>
      <w:bookmarkStart w:id="102" w:name="_Toc246996173"/>
      <w:bookmarkStart w:id="103" w:name="_Toc247085687"/>
      <w:r>
        <w:rPr>
          <w:rFonts w:hint="eastAsia" w:ascii="宋体" w:hAnsi="宋体" w:cs="宋体"/>
        </w:rPr>
        <w:br w:type="page"/>
      </w:r>
      <w:bookmarkStart w:id="104" w:name="_Toc14958"/>
      <w:r>
        <w:rPr>
          <w:rFonts w:hint="eastAsia" w:ascii="宋体" w:hAnsi="宋体" w:cs="宋体"/>
        </w:rPr>
        <w:t>第二章 报价人须知</w:t>
      </w:r>
      <w:bookmarkEnd w:id="94"/>
      <w:bookmarkEnd w:id="95"/>
      <w:bookmarkEnd w:id="96"/>
      <w:bookmarkEnd w:id="97"/>
      <w:bookmarkEnd w:id="98"/>
      <w:bookmarkEnd w:id="99"/>
      <w:bookmarkEnd w:id="100"/>
      <w:bookmarkEnd w:id="101"/>
      <w:bookmarkEnd w:id="102"/>
      <w:bookmarkEnd w:id="103"/>
      <w:bookmarkEnd w:id="104"/>
    </w:p>
    <w:p/>
    <w:tbl>
      <w:tblPr>
        <w:tblStyle w:val="42"/>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b/>
                <w:kern w:val="0"/>
                <w:szCs w:val="21"/>
              </w:rPr>
            </w:pPr>
            <w:bookmarkStart w:id="105" w:name="_Toc326760840"/>
            <w:r>
              <w:rPr>
                <w:rFonts w:hint="eastAsia" w:ascii="宋体" w:hAnsi="宋体" w:cs="宋体"/>
                <w:b/>
                <w:kern w:val="0"/>
                <w:szCs w:val="21"/>
              </w:rPr>
              <w:t>序号</w:t>
            </w:r>
          </w:p>
        </w:tc>
        <w:tc>
          <w:tcPr>
            <w:tcW w:w="210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b/>
                <w:kern w:val="0"/>
                <w:szCs w:val="21"/>
              </w:rPr>
            </w:pPr>
            <w:r>
              <w:rPr>
                <w:rFonts w:hint="eastAsia" w:ascii="宋体" w:hAnsi="宋体" w:cs="宋体"/>
                <w:b/>
                <w:kern w:val="0"/>
                <w:szCs w:val="21"/>
              </w:rPr>
              <w:t>条款名称</w:t>
            </w:r>
          </w:p>
        </w:tc>
        <w:tc>
          <w:tcPr>
            <w:tcW w:w="7104" w:type="dxa"/>
            <w:vAlign w:val="center"/>
          </w:tcPr>
          <w:p>
            <w:pPr>
              <w:keepNext w:val="0"/>
              <w:keepLines w:val="0"/>
              <w:suppressLineNumbers w:val="0"/>
              <w:spacing w:before="0" w:beforeAutospacing="0" w:after="0" w:afterAutospacing="0" w:line="400" w:lineRule="exact"/>
              <w:ind w:left="0" w:right="0" w:firstLine="422" w:firstLineChars="200"/>
              <w:jc w:val="center"/>
              <w:rPr>
                <w:rFonts w:hint="default" w:ascii="宋体" w:hAnsi="宋体" w:cs="宋体"/>
                <w:b/>
                <w:kern w:val="0"/>
                <w:szCs w:val="21"/>
              </w:rPr>
            </w:pPr>
            <w:r>
              <w:rPr>
                <w:rFonts w:hint="eastAsia" w:ascii="宋体" w:hAnsi="宋体" w:cs="宋体"/>
                <w:b/>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1</w:t>
            </w:r>
          </w:p>
        </w:tc>
        <w:tc>
          <w:tcPr>
            <w:tcW w:w="210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采购人</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采购人：重庆首讯科技股份有限公司</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地  址：重庆市渝北区新南路52号东界龙湖三楼</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联系人：</w:t>
            </w:r>
            <w:r>
              <w:rPr>
                <w:rFonts w:hint="default" w:ascii="宋体" w:hAnsi="宋体" w:cs="宋体"/>
                <w:szCs w:val="21"/>
              </w:rPr>
              <w:t>蒋老师</w:t>
            </w:r>
          </w:p>
          <w:p>
            <w:pPr>
              <w:keepNext w:val="0"/>
              <w:keepLines w:val="0"/>
              <w:suppressLineNumbers w:val="0"/>
              <w:topLinePunct/>
              <w:spacing w:before="0" w:beforeAutospacing="0" w:after="0" w:afterAutospacing="0" w:line="420" w:lineRule="exact"/>
              <w:ind w:left="0" w:right="0" w:firstLine="420" w:firstLineChars="200"/>
              <w:rPr>
                <w:rFonts w:hint="default"/>
              </w:rPr>
            </w:pPr>
            <w:r>
              <w:rPr>
                <w:rFonts w:hint="eastAsia" w:ascii="宋体" w:hAnsi="宋体" w:cs="宋体"/>
                <w:szCs w:val="21"/>
              </w:rPr>
              <w:t>电  话：</w:t>
            </w:r>
            <w:r>
              <w:rPr>
                <w:rFonts w:hint="default" w:ascii="宋体" w:hAnsi="宋体" w:cs="宋体"/>
                <w:szCs w:val="21"/>
              </w:rPr>
              <w:t>17783017837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2</w:t>
            </w:r>
          </w:p>
        </w:tc>
        <w:tc>
          <w:tcPr>
            <w:tcW w:w="210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项目名称</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szCs w:val="21"/>
                <w:lang w:eastAsia="zh-CN"/>
              </w:rPr>
            </w:pPr>
            <w:r>
              <w:rPr>
                <w:rFonts w:hint="eastAsia" w:ascii="宋体" w:hAnsi="宋体" w:cs="宋体"/>
                <w:szCs w:val="21"/>
                <w:lang w:eastAsia="zh-CN"/>
              </w:rPr>
              <w:t>G65重庆至武隆段智慧高速（一期）云控平台组件采购及系统集成项目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3</w:t>
            </w:r>
          </w:p>
        </w:tc>
        <w:tc>
          <w:tcPr>
            <w:tcW w:w="210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项目地点</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4</w:t>
            </w:r>
          </w:p>
        </w:tc>
        <w:tc>
          <w:tcPr>
            <w:tcW w:w="210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资金来源</w:t>
            </w:r>
          </w:p>
        </w:tc>
        <w:tc>
          <w:tcPr>
            <w:tcW w:w="7104" w:type="dxa"/>
            <w:vAlign w:val="center"/>
          </w:tcPr>
          <w:p>
            <w:pPr>
              <w:keepNext w:val="0"/>
              <w:keepLines w:val="0"/>
              <w:suppressLineNumbers w:val="0"/>
              <w:autoSpaceDE w:val="0"/>
              <w:autoSpaceDN w:val="0"/>
              <w:adjustRightInd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重庆首讯科技股份有限公司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5</w:t>
            </w:r>
          </w:p>
        </w:tc>
        <w:tc>
          <w:tcPr>
            <w:tcW w:w="210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出资比例</w:t>
            </w:r>
          </w:p>
        </w:tc>
        <w:tc>
          <w:tcPr>
            <w:tcW w:w="7104" w:type="dxa"/>
            <w:vAlign w:val="center"/>
          </w:tcPr>
          <w:p>
            <w:pPr>
              <w:keepNext w:val="0"/>
              <w:keepLines w:val="0"/>
              <w:suppressLineNumbers w:val="0"/>
              <w:autoSpaceDE w:val="0"/>
              <w:autoSpaceDN w:val="0"/>
              <w:adjustRightInd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业主100%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6</w:t>
            </w:r>
          </w:p>
        </w:tc>
        <w:tc>
          <w:tcPr>
            <w:tcW w:w="210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资金落实情况</w:t>
            </w:r>
          </w:p>
        </w:tc>
        <w:tc>
          <w:tcPr>
            <w:tcW w:w="7104" w:type="dxa"/>
            <w:vAlign w:val="center"/>
          </w:tcPr>
          <w:p>
            <w:pPr>
              <w:keepNext w:val="0"/>
              <w:keepLines w:val="0"/>
              <w:suppressLineNumbers w:val="0"/>
              <w:autoSpaceDE w:val="0"/>
              <w:autoSpaceDN w:val="0"/>
              <w:adjustRightInd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7</w:t>
            </w:r>
          </w:p>
        </w:tc>
        <w:tc>
          <w:tcPr>
            <w:tcW w:w="210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比选范围</w:t>
            </w:r>
          </w:p>
        </w:tc>
        <w:tc>
          <w:tcPr>
            <w:tcW w:w="7104" w:type="dxa"/>
            <w:vAlign w:val="center"/>
          </w:tcPr>
          <w:p>
            <w:pPr>
              <w:keepNext w:val="0"/>
              <w:keepLines w:val="0"/>
              <w:suppressLineNumbers w:val="0"/>
              <w:autoSpaceDE w:val="0"/>
              <w:autoSpaceDN w:val="0"/>
              <w:adjustRightInd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8</w:t>
            </w:r>
          </w:p>
        </w:tc>
        <w:tc>
          <w:tcPr>
            <w:tcW w:w="210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kern w:val="0"/>
                <w:szCs w:val="21"/>
              </w:rPr>
              <w:t>计划工期</w:t>
            </w:r>
          </w:p>
        </w:tc>
        <w:tc>
          <w:tcPr>
            <w:tcW w:w="7104" w:type="dxa"/>
            <w:vAlign w:val="center"/>
          </w:tcPr>
          <w:p>
            <w:pPr>
              <w:keepNext w:val="0"/>
              <w:keepLines w:val="0"/>
              <w:suppressLineNumbers w:val="0"/>
              <w:autoSpaceDE w:val="0"/>
              <w:autoSpaceDN w:val="0"/>
              <w:adjustRightInd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9</w:t>
            </w:r>
          </w:p>
        </w:tc>
        <w:tc>
          <w:tcPr>
            <w:tcW w:w="210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质量要求</w:t>
            </w:r>
          </w:p>
        </w:tc>
        <w:tc>
          <w:tcPr>
            <w:tcW w:w="7104" w:type="dxa"/>
          </w:tcPr>
          <w:p>
            <w:pPr>
              <w:keepNext w:val="0"/>
              <w:keepLines w:val="0"/>
              <w:suppressLineNumbers w:val="0"/>
              <w:spacing w:before="0" w:beforeAutospacing="0" w:after="0" w:afterAutospacing="0" w:line="400" w:lineRule="exact"/>
              <w:ind w:left="0" w:right="0" w:firstLine="420" w:firstLineChars="200"/>
              <w:rPr>
                <w:rFonts w:hint="default" w:ascii="宋体" w:hAnsi="宋体" w:cs="宋体"/>
                <w:kern w:val="0"/>
                <w:szCs w:val="21"/>
              </w:rPr>
            </w:pPr>
            <w:r>
              <w:rPr>
                <w:rFonts w:hint="eastAsia" w:ascii="宋体" w:hAnsi="宋体" w:cs="宋体"/>
                <w:szCs w:val="21"/>
              </w:rPr>
              <w:t>达到国家和地方现行有关质量标准和比选文件第七章技术标准和工作要求，并且一次性验收合格。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10</w:t>
            </w:r>
          </w:p>
        </w:tc>
        <w:tc>
          <w:tcPr>
            <w:tcW w:w="210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安全目标</w:t>
            </w:r>
          </w:p>
        </w:tc>
        <w:tc>
          <w:tcPr>
            <w:tcW w:w="7104" w:type="dxa"/>
          </w:tcPr>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11</w:t>
            </w:r>
          </w:p>
        </w:tc>
        <w:tc>
          <w:tcPr>
            <w:tcW w:w="210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szCs w:val="21"/>
              </w:rPr>
              <w:t>报价人资质条件、能力与信誉</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（1）资质条件：见附录1</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（2）财务要求：见附录2</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（3）业绩要求：见附录3</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（4）项目主要人员要求：见附录4</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（5）</w:t>
            </w:r>
            <w:r>
              <w:rPr>
                <w:rFonts w:hint="default" w:ascii="宋体" w:hAnsi="宋体" w:cs="宋体"/>
                <w:szCs w:val="21"/>
              </w:rPr>
              <w:t>信誉要求</w:t>
            </w:r>
            <w:r>
              <w:rPr>
                <w:rFonts w:hint="eastAsia" w:ascii="宋体" w:hAnsi="宋体" w:cs="宋体"/>
                <w:szCs w:val="21"/>
              </w:rPr>
              <w:t>：见附录5</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（6）其他要求：见附录6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12</w:t>
            </w:r>
          </w:p>
        </w:tc>
        <w:tc>
          <w:tcPr>
            <w:tcW w:w="210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是否接受</w:t>
            </w:r>
          </w:p>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联合体报价</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s="宋体"/>
                <w:kern w:val="0"/>
                <w:szCs w:val="21"/>
              </w:rPr>
            </w:pPr>
            <w:r>
              <w:rPr>
                <w:rFonts w:hint="eastAsia" w:ascii="宋体" w:hAnsi="宋体" w:cs="宋体"/>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13</w:t>
            </w:r>
          </w:p>
        </w:tc>
        <w:tc>
          <w:tcPr>
            <w:tcW w:w="210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踏勘现场</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s="宋体"/>
                <w:kern w:val="0"/>
                <w:szCs w:val="21"/>
              </w:rPr>
            </w:pPr>
            <w:r>
              <w:rPr>
                <w:rFonts w:hint="eastAsia" w:ascii="宋体" w:hAnsi="宋体" w:cs="宋体"/>
                <w:kern w:val="0"/>
                <w:szCs w:val="21"/>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14</w:t>
            </w:r>
          </w:p>
        </w:tc>
        <w:tc>
          <w:tcPr>
            <w:tcW w:w="210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分包</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s="宋体"/>
                <w:kern w:val="0"/>
                <w:szCs w:val="21"/>
              </w:rPr>
            </w:pPr>
            <w:r>
              <w:rPr>
                <w:rFonts w:hint="eastAsia" w:ascii="宋体" w:hAnsi="宋体" w:cs="宋体"/>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15</w:t>
            </w:r>
          </w:p>
        </w:tc>
        <w:tc>
          <w:tcPr>
            <w:tcW w:w="210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偏差</w:t>
            </w:r>
          </w:p>
        </w:tc>
        <w:tc>
          <w:tcPr>
            <w:tcW w:w="7104" w:type="dxa"/>
            <w:vAlign w:val="center"/>
          </w:tcPr>
          <w:p>
            <w:pPr>
              <w:keepNext w:val="0"/>
              <w:keepLines w:val="0"/>
              <w:suppressLineNumbers w:val="0"/>
              <w:spacing w:before="0" w:beforeAutospacing="0" w:after="0" w:afterAutospacing="0" w:line="400" w:lineRule="exact"/>
              <w:ind w:left="0" w:right="0" w:firstLine="422" w:firstLineChars="200"/>
              <w:rPr>
                <w:rFonts w:hint="default" w:ascii="宋体" w:hAnsi="宋体" w:cs="宋体"/>
                <w:kern w:val="0"/>
                <w:szCs w:val="21"/>
              </w:rPr>
            </w:pPr>
            <w:r>
              <w:rPr>
                <w:rFonts w:hint="eastAsia" w:ascii="宋体" w:hAnsi="宋体" w:cs="宋体"/>
                <w:b/>
                <w:kern w:val="0"/>
                <w:szCs w:val="21"/>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16</w:t>
            </w:r>
          </w:p>
        </w:tc>
        <w:tc>
          <w:tcPr>
            <w:tcW w:w="2106"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kern w:val="0"/>
                <w:szCs w:val="21"/>
              </w:rPr>
            </w:pPr>
            <w:r>
              <w:rPr>
                <w:rFonts w:hint="eastAsia" w:ascii="宋体" w:hAnsi="宋体" w:cs="宋体"/>
                <w:bCs/>
                <w:szCs w:val="21"/>
              </w:rPr>
              <w:t>构成比选文件的其他材料</w:t>
            </w:r>
          </w:p>
        </w:tc>
        <w:tc>
          <w:tcPr>
            <w:tcW w:w="7104" w:type="dxa"/>
            <w:vAlign w:val="center"/>
          </w:tcPr>
          <w:p>
            <w:pPr>
              <w:keepNext w:val="0"/>
              <w:keepLines w:val="0"/>
              <w:suppressLineNumbers w:val="0"/>
              <w:spacing w:before="0" w:beforeAutospacing="0" w:after="0" w:afterAutospacing="0" w:line="440" w:lineRule="exact"/>
              <w:ind w:left="0" w:right="0" w:firstLine="420" w:firstLineChars="200"/>
              <w:rPr>
                <w:rFonts w:hint="default" w:ascii="宋体" w:hAnsi="宋体" w:cs="宋体"/>
                <w:szCs w:val="21"/>
              </w:rPr>
            </w:pPr>
            <w:r>
              <w:rPr>
                <w:rFonts w:hint="eastAsia" w:ascii="宋体" w:hAnsi="宋体" w:cs="宋体"/>
                <w:szCs w:val="21"/>
              </w:rPr>
              <w:t>采购人发布的工程量清单、补遗书、答疑、澄清、最高限价通知等附件。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bookmarkStart w:id="106" w:name="_Hlt227984024"/>
            <w:bookmarkEnd w:id="106"/>
            <w:r>
              <w:rPr>
                <w:rFonts w:hint="eastAsia" w:ascii="宋体" w:hAnsi="宋体" w:cs="宋体"/>
                <w:kern w:val="0"/>
                <w:szCs w:val="21"/>
              </w:rPr>
              <w:t>17</w:t>
            </w:r>
          </w:p>
        </w:tc>
        <w:tc>
          <w:tcPr>
            <w:tcW w:w="210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构成竞争性比选响应文件的其他材料</w:t>
            </w:r>
          </w:p>
        </w:tc>
        <w:tc>
          <w:tcPr>
            <w:tcW w:w="7104" w:type="dxa"/>
            <w:vAlign w:val="center"/>
          </w:tcPr>
          <w:p>
            <w:pPr>
              <w:pStyle w:val="51"/>
              <w:keepNext w:val="0"/>
              <w:keepLines w:val="0"/>
              <w:suppressLineNumbers w:val="0"/>
              <w:spacing w:before="72" w:beforeAutospacing="0" w:after="0" w:afterAutospacing="0" w:line="400" w:lineRule="exact"/>
              <w:ind w:left="0" w:right="0" w:firstLine="420" w:firstLineChars="200"/>
              <w:jc w:val="both"/>
              <w:rPr>
                <w:rFonts w:hint="default" w:hAnsi="宋体"/>
                <w:color w:val="auto"/>
                <w:sz w:val="21"/>
                <w:szCs w:val="21"/>
              </w:rPr>
            </w:pPr>
            <w:r>
              <w:rPr>
                <w:rFonts w:hint="eastAsia" w:hAnsi="宋体"/>
                <w:color w:val="auto"/>
                <w:sz w:val="21"/>
                <w:szCs w:val="21"/>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18</w:t>
            </w:r>
          </w:p>
        </w:tc>
        <w:tc>
          <w:tcPr>
            <w:tcW w:w="2106"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工程量清单的填写方式</w:t>
            </w:r>
          </w:p>
        </w:tc>
        <w:tc>
          <w:tcPr>
            <w:tcW w:w="7104" w:type="dxa"/>
            <w:tcBorders>
              <w:bottom w:val="single" w:color="auto" w:sz="4" w:space="0"/>
            </w:tcBorders>
          </w:tcPr>
          <w:p>
            <w:pPr>
              <w:keepNext w:val="0"/>
              <w:keepLines w:val="0"/>
              <w:suppressLineNumbers w:val="0"/>
              <w:spacing w:before="0" w:beforeAutospacing="0" w:after="0" w:afterAutospacing="0" w:line="400" w:lineRule="exact"/>
              <w:ind w:left="0" w:right="0" w:firstLine="420" w:firstLineChars="200"/>
              <w:jc w:val="left"/>
              <w:rPr>
                <w:rFonts w:hint="default" w:ascii="宋体" w:hAnsi="宋体" w:cs="宋体"/>
                <w:szCs w:val="21"/>
              </w:rPr>
            </w:pPr>
            <w:r>
              <w:rPr>
                <w:rFonts w:hint="eastAsia" w:ascii="宋体" w:hAnsi="宋体" w:cs="宋体"/>
              </w:rPr>
              <w:t>报价人按照采购人提供的工程量清单填写工程量清单</w:t>
            </w:r>
          </w:p>
          <w:p>
            <w:pPr>
              <w:keepNext w:val="0"/>
              <w:keepLines w:val="0"/>
              <w:suppressLineNumbers w:val="0"/>
              <w:spacing w:before="0" w:beforeAutospacing="0" w:after="0" w:afterAutospacing="0" w:line="400" w:lineRule="exact"/>
              <w:ind w:left="0" w:right="0" w:firstLine="422" w:firstLineChars="200"/>
              <w:rPr>
                <w:rFonts w:hint="default" w:ascii="宋体" w:hAnsi="宋体" w:cs="宋体"/>
                <w:b/>
                <w:szCs w:val="21"/>
              </w:rPr>
            </w:pPr>
            <w:r>
              <w:rPr>
                <w:rFonts w:hint="eastAsia" w:ascii="宋体" w:hAnsi="宋体" w:cs="宋体"/>
                <w:b/>
                <w:szCs w:val="21"/>
              </w:rPr>
              <w:t>综合单价取小数点后两位，小数点后第三位四舍五入。</w:t>
            </w:r>
          </w:p>
          <w:p>
            <w:pPr>
              <w:keepNext w:val="0"/>
              <w:keepLines w:val="0"/>
              <w:suppressLineNumbers w:val="0"/>
              <w:spacing w:before="0" w:beforeAutospacing="0" w:after="0" w:afterAutospacing="0" w:line="400" w:lineRule="exact"/>
              <w:ind w:left="0" w:right="0" w:firstLine="422" w:firstLineChars="200"/>
              <w:rPr>
                <w:rFonts w:hint="default" w:ascii="宋体" w:hAnsi="宋体" w:cs="宋体"/>
                <w:szCs w:val="21"/>
              </w:rPr>
            </w:pPr>
            <w:r>
              <w:rPr>
                <w:rFonts w:hint="eastAsia" w:ascii="宋体" w:hAnsi="宋体" w:cs="宋体"/>
                <w:b/>
                <w:bCs/>
                <w:szCs w:val="21"/>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19</w:t>
            </w:r>
          </w:p>
        </w:tc>
        <w:tc>
          <w:tcPr>
            <w:tcW w:w="2106"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最高投标限价</w:t>
            </w:r>
          </w:p>
        </w:tc>
        <w:tc>
          <w:tcPr>
            <w:tcW w:w="7104" w:type="dxa"/>
            <w:tcBorders>
              <w:bottom w:val="single" w:color="auto" w:sz="4" w:space="0"/>
            </w:tcBorders>
          </w:tcPr>
          <w:p>
            <w:pPr>
              <w:keepNext w:val="0"/>
              <w:keepLines w:val="0"/>
              <w:suppressLineNumbers w:val="0"/>
              <w:spacing w:before="0" w:beforeAutospacing="0" w:after="0" w:afterAutospacing="0" w:line="400" w:lineRule="exact"/>
              <w:ind w:left="0" w:right="0" w:firstLine="422" w:firstLineChars="200"/>
              <w:rPr>
                <w:rFonts w:hint="default" w:ascii="宋体" w:hAnsi="宋体"/>
                <w:szCs w:val="21"/>
              </w:rPr>
            </w:pPr>
            <w:r>
              <w:rPr>
                <w:rFonts w:hint="eastAsia" w:ascii="宋体" w:hAnsi="宋体"/>
                <w:b/>
                <w:bCs/>
                <w:szCs w:val="21"/>
              </w:rPr>
              <w:t>本项目最高限价</w:t>
            </w:r>
            <w:r>
              <w:rPr>
                <w:rFonts w:hint="eastAsia" w:ascii="宋体" w:hAnsi="宋体"/>
                <w:b/>
                <w:bCs/>
                <w:szCs w:val="21"/>
                <w:u w:val="single"/>
                <w:lang w:val="en-US" w:eastAsia="zh-CN"/>
              </w:rPr>
              <w:t>2601520</w:t>
            </w:r>
            <w:r>
              <w:rPr>
                <w:rFonts w:hint="default" w:ascii="宋体" w:hAnsi="宋体"/>
                <w:b/>
                <w:bCs/>
                <w:szCs w:val="21"/>
                <w:u w:val="single"/>
              </w:rPr>
              <w:t>.00</w:t>
            </w:r>
            <w:r>
              <w:rPr>
                <w:rFonts w:hint="eastAsia" w:ascii="宋体" w:hAnsi="宋体"/>
                <w:b/>
                <w:bCs/>
                <w:szCs w:val="21"/>
              </w:rPr>
              <w:t>元。</w:t>
            </w:r>
          </w:p>
          <w:p>
            <w:pPr>
              <w:keepNext w:val="0"/>
              <w:keepLines w:val="0"/>
              <w:suppressLineNumbers w:val="0"/>
              <w:spacing w:before="0" w:beforeAutospacing="0" w:after="0" w:afterAutospacing="0" w:line="400" w:lineRule="exact"/>
              <w:ind w:left="0" w:right="0" w:firstLine="422" w:firstLineChars="200"/>
              <w:rPr>
                <w:rFonts w:hint="default" w:ascii="宋体" w:hAnsi="宋体" w:cs="宋体"/>
                <w:b/>
                <w:bCs/>
                <w:kern w:val="0"/>
                <w:szCs w:val="21"/>
              </w:rPr>
            </w:pPr>
            <w:r>
              <w:rPr>
                <w:rFonts w:hint="eastAsia" w:ascii="宋体" w:hAnsi="宋体" w:cs="宋体"/>
                <w:b/>
                <w:szCs w:val="21"/>
              </w:rPr>
              <w:t>报价人总报价不得高于采购人发布的最高限价，否则其竞争性比选响应文件视为重大偏差，竞争性比选响应文件将按否决报价处理</w:t>
            </w:r>
            <w:r>
              <w:rPr>
                <w:rFonts w:hint="eastAsia" w:ascii="宋体" w:hAnsi="宋体" w:cs="宋体"/>
                <w:b/>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20</w:t>
            </w:r>
          </w:p>
        </w:tc>
        <w:tc>
          <w:tcPr>
            <w:tcW w:w="2106"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合同支付办法</w:t>
            </w:r>
          </w:p>
        </w:tc>
        <w:tc>
          <w:tcPr>
            <w:tcW w:w="7104" w:type="dxa"/>
            <w:tcBorders>
              <w:bottom w:val="single" w:color="auto" w:sz="4" w:space="0"/>
            </w:tcBorders>
          </w:tcPr>
          <w:p>
            <w:pPr>
              <w:pStyle w:val="2"/>
              <w:keepNext w:val="0"/>
              <w:keepLines w:val="0"/>
              <w:suppressLineNumbers w:val="0"/>
              <w:spacing w:beforeAutospacing="0" w:afterAutospacing="0"/>
              <w:ind w:left="0" w:right="0" w:firstLine="420" w:firstLineChars="200"/>
              <w:rPr>
                <w:rFonts w:hint="default" w:ascii="Times New Roman" w:hAnsi="Times New Roman"/>
                <w:b w:val="0"/>
                <w:bCs w:val="0"/>
                <w:caps w:val="0"/>
                <w:sz w:val="21"/>
                <w:szCs w:val="24"/>
                <w:highlight w:val="none"/>
              </w:rPr>
            </w:pPr>
            <w:r>
              <w:rPr>
                <w:rFonts w:hint="eastAsia" w:ascii="Times New Roman" w:hAnsi="Times New Roman"/>
                <w:b w:val="0"/>
                <w:bCs w:val="0"/>
                <w:caps w:val="0"/>
                <w:sz w:val="21"/>
                <w:szCs w:val="24"/>
                <w:highlight w:val="none"/>
              </w:rPr>
              <w:t>1、本合同签订后，中标人完成本项目设计审评后，采购人向中标人支付合同总金额的30%进度款。</w:t>
            </w:r>
          </w:p>
          <w:p>
            <w:pPr>
              <w:pStyle w:val="2"/>
              <w:keepNext w:val="0"/>
              <w:keepLines w:val="0"/>
              <w:suppressLineNumbers w:val="0"/>
              <w:spacing w:beforeAutospacing="0" w:afterAutospacing="0"/>
              <w:ind w:left="0" w:right="0" w:firstLine="420" w:firstLineChars="200"/>
              <w:rPr>
                <w:rFonts w:hint="default" w:ascii="Times New Roman" w:hAnsi="Times New Roman"/>
                <w:b w:val="0"/>
                <w:bCs w:val="0"/>
                <w:caps w:val="0"/>
                <w:sz w:val="21"/>
                <w:szCs w:val="24"/>
                <w:highlight w:val="none"/>
              </w:rPr>
            </w:pPr>
            <w:r>
              <w:rPr>
                <w:rFonts w:hint="eastAsia" w:ascii="Times New Roman" w:hAnsi="Times New Roman"/>
                <w:b w:val="0"/>
                <w:bCs w:val="0"/>
                <w:caps w:val="0"/>
                <w:sz w:val="21"/>
                <w:szCs w:val="24"/>
                <w:highlight w:val="none"/>
              </w:rPr>
              <w:t>2、中标人按要求完成本项目的服务内容并验收通过后，采购人向中标人支付合同总金额的65%进度款。</w:t>
            </w:r>
          </w:p>
          <w:p>
            <w:pPr>
              <w:keepNext w:val="0"/>
              <w:keepLines w:val="0"/>
              <w:suppressLineNumbers w:val="0"/>
              <w:spacing w:before="0" w:beforeAutospacing="0" w:after="0" w:afterAutospacing="0" w:line="400" w:lineRule="exact"/>
              <w:ind w:left="0" w:right="0" w:firstLine="420" w:firstLineChars="200"/>
              <w:rPr>
                <w:rFonts w:hint="eastAsia"/>
              </w:rPr>
            </w:pPr>
            <w:r>
              <w:rPr>
                <w:rFonts w:hint="eastAsia"/>
              </w:rPr>
              <w:t>3、项目完成验收1年后，采购人向中标人支付合同总金额的5%的质保金。由中标人主动提出书面申请，经采购人业务部门确认后，30个工作日内全额退还（质量保证金不计任何利息），若中标人未提出书面申请，则相应的延迟责任由中标人自行承担。</w:t>
            </w:r>
          </w:p>
          <w:p>
            <w:pPr>
              <w:keepNext w:val="0"/>
              <w:keepLines w:val="0"/>
              <w:suppressLineNumbers w:val="0"/>
              <w:spacing w:before="0" w:beforeAutospacing="0" w:after="0" w:afterAutospacing="0" w:line="400" w:lineRule="exact"/>
              <w:ind w:left="0" w:right="0" w:firstLine="420" w:firstLineChars="200"/>
              <w:rPr>
                <w:rFonts w:hint="default"/>
              </w:rPr>
            </w:pPr>
            <w:r>
              <w:rPr>
                <w:rFonts w:hint="eastAsia"/>
              </w:rPr>
              <w:t>注：乙方每次办理支付前须开具等额的增值税专用发票给甲方，否则甲方不予支付。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21</w:t>
            </w:r>
          </w:p>
        </w:tc>
        <w:tc>
          <w:tcPr>
            <w:tcW w:w="2106" w:type="dxa"/>
            <w:tcBorders>
              <w:bottom w:val="single" w:color="auto" w:sz="4" w:space="0"/>
            </w:tcBorders>
            <w:vAlign w:val="top"/>
          </w:tcPr>
          <w:p>
            <w:pPr>
              <w:keepNext w:val="0"/>
              <w:keepLines w:val="0"/>
              <w:suppressLineNumbers w:val="0"/>
              <w:spacing w:before="0" w:beforeAutospacing="0" w:after="0" w:afterAutospacing="0" w:line="400" w:lineRule="exact"/>
              <w:ind w:left="0" w:leftChars="0" w:right="0" w:rightChars="0"/>
              <w:jc w:val="center"/>
              <w:rPr>
                <w:rFonts w:hint="default" w:ascii="宋体" w:hAnsi="宋体" w:cs="宋体"/>
                <w:kern w:val="0"/>
                <w:szCs w:val="21"/>
              </w:rPr>
            </w:pPr>
            <w:r>
              <w:rPr>
                <w:rFonts w:hint="eastAsia" w:ascii="宋体" w:hAnsi="宋体" w:cs="宋体"/>
                <w:szCs w:val="21"/>
              </w:rPr>
              <w:t>中标候选人的人数</w:t>
            </w:r>
          </w:p>
        </w:tc>
        <w:tc>
          <w:tcPr>
            <w:tcW w:w="7104" w:type="dxa"/>
            <w:tcBorders>
              <w:bottom w:val="single" w:color="auto" w:sz="4" w:space="0"/>
            </w:tcBorders>
            <w:vAlign w:val="center"/>
          </w:tcPr>
          <w:p>
            <w:pPr>
              <w:keepNext w:val="0"/>
              <w:keepLines w:val="0"/>
              <w:suppressLineNumbers w:val="0"/>
              <w:spacing w:before="0" w:beforeAutospacing="0" w:after="0" w:afterAutospacing="0" w:line="400" w:lineRule="exact"/>
              <w:ind w:left="0" w:leftChars="0" w:right="0" w:rightChars="0" w:firstLine="420" w:firstLineChars="200"/>
              <w:rPr>
                <w:rFonts w:hint="default"/>
              </w:rPr>
            </w:pPr>
            <w:r>
              <w:rPr>
                <w:rFonts w:hint="eastAsia" w:ascii="宋体" w:hAnsi="宋体" w:cs="宋体"/>
              </w:rPr>
              <w:t>推荐的中标候选人数：2名。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22</w:t>
            </w:r>
          </w:p>
        </w:tc>
        <w:tc>
          <w:tcPr>
            <w:tcW w:w="2106"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eastAsia="宋体" w:cs="宋体"/>
                <w:kern w:val="2"/>
                <w:sz w:val="21"/>
                <w:szCs w:val="21"/>
                <w:lang w:val="en-US" w:eastAsia="zh-CN" w:bidi="ar"/>
              </w:rPr>
              <w:t>保证金</w:t>
            </w:r>
          </w:p>
        </w:tc>
        <w:tc>
          <w:tcPr>
            <w:tcW w:w="7104" w:type="dxa"/>
            <w:tcBorders>
              <w:bottom w:val="single" w:color="auto" w:sz="4" w:space="0"/>
            </w:tcBorders>
          </w:tcPr>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一、投标保证金</w:t>
            </w:r>
          </w:p>
          <w:p>
            <w:pPr>
              <w:pStyle w:val="36"/>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1、报价人须缴纳</w:t>
            </w:r>
            <w:r>
              <w:rPr>
                <w:rFonts w:hint="eastAsia" w:cs="宋体"/>
                <w:color w:val="FF0000"/>
                <w:kern w:val="2"/>
                <w:sz w:val="21"/>
                <w:szCs w:val="21"/>
                <w:lang w:val="en-US" w:eastAsia="zh-CN" w:bidi="ar"/>
              </w:rPr>
              <w:t>3</w:t>
            </w:r>
            <w:r>
              <w:rPr>
                <w:rFonts w:hint="eastAsia" w:ascii="宋体" w:hAnsi="宋体" w:eastAsia="宋体" w:cs="宋体"/>
                <w:color w:val="FF0000"/>
                <w:kern w:val="2"/>
                <w:sz w:val="21"/>
                <w:szCs w:val="21"/>
                <w:lang w:val="en-US" w:eastAsia="zh-CN" w:bidi="ar"/>
              </w:rPr>
              <w:t>万元</w:t>
            </w:r>
            <w:r>
              <w:rPr>
                <w:rFonts w:hint="eastAsia" w:ascii="宋体" w:hAnsi="宋体" w:eastAsia="宋体" w:cs="宋体"/>
                <w:color w:val="000000"/>
                <w:kern w:val="2"/>
                <w:sz w:val="21"/>
                <w:szCs w:val="21"/>
                <w:lang w:val="en-US" w:eastAsia="zh-CN" w:bidi="ar"/>
              </w:rPr>
              <w:t>投标保证金，由报价人从公司基本账户将投标保证金汇至以下指定账户。</w:t>
            </w:r>
          </w:p>
          <w:p>
            <w:pPr>
              <w:pStyle w:val="36"/>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保证金到账截止时间：2022年</w:t>
            </w:r>
            <w:r>
              <w:rPr>
                <w:rFonts w:hint="eastAsia" w:cs="宋体"/>
                <w:color w:val="000000"/>
                <w:kern w:val="2"/>
                <w:sz w:val="21"/>
                <w:szCs w:val="21"/>
                <w:lang w:val="en-US" w:eastAsia="zh-CN" w:bidi="ar"/>
              </w:rPr>
              <w:t>11</w:t>
            </w:r>
            <w:r>
              <w:rPr>
                <w:rFonts w:hint="eastAsia" w:ascii="宋体" w:hAnsi="宋体" w:eastAsia="宋体" w:cs="宋体"/>
                <w:color w:val="000000"/>
                <w:kern w:val="2"/>
                <w:sz w:val="21"/>
                <w:szCs w:val="21"/>
                <w:lang w:val="en-US" w:eastAsia="zh-CN" w:bidi="ar"/>
              </w:rPr>
              <w:t>月</w:t>
            </w:r>
            <w:r>
              <w:rPr>
                <w:rFonts w:hint="eastAsia" w:cs="宋体"/>
                <w:color w:val="000000"/>
                <w:kern w:val="2"/>
                <w:sz w:val="21"/>
                <w:szCs w:val="21"/>
                <w:lang w:val="en-US" w:eastAsia="zh-CN" w:bidi="ar"/>
              </w:rPr>
              <w:t>30</w:t>
            </w:r>
            <w:r>
              <w:rPr>
                <w:rFonts w:hint="eastAsia" w:ascii="宋体" w:hAnsi="宋体" w:eastAsia="宋体" w:cs="宋体"/>
                <w:color w:val="000000"/>
                <w:kern w:val="2"/>
                <w:sz w:val="21"/>
                <w:szCs w:val="21"/>
                <w:lang w:val="en-US" w:eastAsia="zh-CN" w:bidi="ar"/>
              </w:rPr>
              <w:t>日1</w:t>
            </w:r>
            <w:r>
              <w:rPr>
                <w:rFonts w:hint="eastAsia" w:cs="宋体"/>
                <w:color w:val="000000"/>
                <w:kern w:val="2"/>
                <w:sz w:val="21"/>
                <w:szCs w:val="21"/>
                <w:lang w:val="en-US" w:eastAsia="zh-CN" w:bidi="ar"/>
              </w:rPr>
              <w:t>0</w:t>
            </w:r>
            <w:r>
              <w:rPr>
                <w:rFonts w:hint="eastAsia" w:ascii="宋体" w:hAnsi="宋体" w:eastAsia="宋体" w:cs="宋体"/>
                <w:color w:val="000000"/>
                <w:kern w:val="2"/>
                <w:sz w:val="21"/>
                <w:szCs w:val="21"/>
                <w:lang w:val="en-US" w:eastAsia="zh-CN" w:bidi="ar"/>
              </w:rPr>
              <w:t>时00分前；</w:t>
            </w:r>
          </w:p>
          <w:p>
            <w:pPr>
              <w:pStyle w:val="36"/>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color w:val="FF0000"/>
                <w:kern w:val="2"/>
                <w:sz w:val="21"/>
                <w:szCs w:val="21"/>
              </w:rPr>
            </w:pPr>
            <w:r>
              <w:rPr>
                <w:rFonts w:hint="eastAsia" w:ascii="宋体" w:hAnsi="宋体" w:eastAsia="宋体" w:cs="宋体"/>
                <w:color w:val="FF0000"/>
                <w:kern w:val="2"/>
                <w:sz w:val="21"/>
                <w:szCs w:val="21"/>
                <w:lang w:val="en-US" w:eastAsia="zh-CN" w:bidi="ar"/>
              </w:rPr>
              <w:t>若竞争性比选响应文件附件5内无投标保证金缴纳凭证，采购人有权作废标处理，若投标保证金存在虚假不实情况，采购人有权作废标处理。</w:t>
            </w:r>
          </w:p>
          <w:p>
            <w:pPr>
              <w:pStyle w:val="36"/>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2、投标保证金退还方式</w:t>
            </w:r>
          </w:p>
          <w:p>
            <w:pPr>
              <w:pStyle w:val="36"/>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未中标报价人的投标保证金，于该项目结果公示期结束后15个工作日内无息退还至报价人基本账户。</w:t>
            </w:r>
          </w:p>
          <w:p>
            <w:pPr>
              <w:pStyle w:val="36"/>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中标人的投标保证金，自合同签订后15个工作日内无息退还至中标人基本账户。</w:t>
            </w:r>
          </w:p>
          <w:p>
            <w:pPr>
              <w:pStyle w:val="36"/>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二、履约保证金</w:t>
            </w:r>
          </w:p>
          <w:p>
            <w:pPr>
              <w:pStyle w:val="36"/>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1、履约担保作为本项目合同附件。</w:t>
            </w:r>
          </w:p>
          <w:p>
            <w:pPr>
              <w:pStyle w:val="36"/>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default" w:ascii="宋体" w:hAnsi="宋体" w:eastAsia="宋体" w:cs="宋体"/>
                <w:kern w:val="2"/>
                <w:sz w:val="21"/>
                <w:szCs w:val="21"/>
                <w:lang w:val="en-US"/>
              </w:rPr>
            </w:pPr>
            <w:r>
              <w:rPr>
                <w:rFonts w:hint="eastAsia" w:ascii="宋体" w:hAnsi="宋体" w:eastAsia="宋体" w:cs="宋体"/>
                <w:color w:val="000000"/>
                <w:kern w:val="2"/>
                <w:sz w:val="21"/>
                <w:szCs w:val="21"/>
                <w:lang w:val="en-US" w:eastAsia="zh-CN" w:bidi="ar"/>
              </w:rPr>
              <w:t>2、履约保证金的金额：</w:t>
            </w:r>
            <w:r>
              <w:rPr>
                <w:rFonts w:hint="eastAsia" w:cs="宋体"/>
                <w:color w:val="000000"/>
                <w:kern w:val="2"/>
                <w:sz w:val="21"/>
                <w:szCs w:val="21"/>
                <w:lang w:val="en-US" w:eastAsia="zh-CN" w:bidi="ar"/>
              </w:rPr>
              <w:t>合同金额的10%。</w:t>
            </w:r>
          </w:p>
          <w:p>
            <w:pPr>
              <w:pStyle w:val="36"/>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3、履约保证金有效期：自双方签订的合同文件生效之日起，至合同约定的工程验收完成止。</w:t>
            </w:r>
          </w:p>
          <w:p>
            <w:pPr>
              <w:pStyle w:val="36"/>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4、履约保证金的提交及退还：在甲方发出中标通知书后5个工作日内，中标人向采购人提供履约保证金缴纳凭证。履约保证金在完成合同约定的全部工作内容后28天后无息退还剩余部分。</w:t>
            </w:r>
          </w:p>
          <w:p>
            <w:pPr>
              <w:pStyle w:val="36"/>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三、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转款备注：XX项目XX保证金。</w:t>
            </w:r>
          </w:p>
          <w:p>
            <w:pPr>
              <w:pStyle w:val="36"/>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四、采购人指定的开户银行及账号如下：</w:t>
            </w:r>
          </w:p>
          <w:p>
            <w:pPr>
              <w:pStyle w:val="36"/>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账户名称：重庆首讯科技股份有限公司</w:t>
            </w:r>
          </w:p>
          <w:p>
            <w:pPr>
              <w:pStyle w:val="36"/>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开户银行：兴业银行重庆分行营业部</w:t>
            </w:r>
          </w:p>
          <w:p>
            <w:pPr>
              <w:keepNext w:val="0"/>
              <w:keepLines w:val="0"/>
              <w:suppressLineNumbers w:val="0"/>
              <w:spacing w:before="0" w:beforeAutospacing="0" w:after="0" w:afterAutospacing="0" w:line="400" w:lineRule="exact"/>
              <w:ind w:left="0" w:right="0" w:firstLine="420" w:firstLineChars="200"/>
              <w:rPr>
                <w:rFonts w:hint="default"/>
              </w:rPr>
            </w:pPr>
            <w:r>
              <w:rPr>
                <w:rFonts w:hint="eastAsia" w:ascii="宋体" w:hAnsi="宋体" w:eastAsia="宋体" w:cs="宋体"/>
                <w:kern w:val="2"/>
                <w:sz w:val="21"/>
                <w:szCs w:val="21"/>
                <w:lang w:val="en-US" w:eastAsia="zh-CN" w:bidi="ar"/>
              </w:rPr>
              <w:t>帐</w:t>
            </w:r>
            <w:r>
              <w:rPr>
                <w:rFonts w:hint="eastAsia" w:ascii="Times New Roman"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号：</w:t>
            </w:r>
            <w:r>
              <w:rPr>
                <w:rFonts w:hint="eastAsia" w:ascii="Times New Roman" w:hAnsi="宋体" w:eastAsia="宋体" w:cs="Times New Roman"/>
                <w:kern w:val="2"/>
                <w:sz w:val="21"/>
                <w:szCs w:val="21"/>
                <w:lang w:val="en-US" w:eastAsia="zh-CN" w:bidi="ar"/>
              </w:rPr>
              <w:t>3460 1010 0100 4791 14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22</w:t>
            </w:r>
          </w:p>
        </w:tc>
        <w:tc>
          <w:tcPr>
            <w:tcW w:w="2106" w:type="dxa"/>
            <w:vAlign w:val="center"/>
          </w:tcPr>
          <w:p>
            <w:pPr>
              <w:keepNext w:val="0"/>
              <w:keepLines w:val="0"/>
              <w:suppressLineNumbers w:val="0"/>
              <w:spacing w:before="0" w:beforeAutospacing="0" w:after="0" w:afterAutospacing="0" w:line="400" w:lineRule="exact"/>
              <w:ind w:left="0" w:leftChars="0" w:right="0" w:rightChars="0"/>
              <w:jc w:val="center"/>
              <w:rPr>
                <w:rFonts w:hint="default" w:ascii="宋体" w:hAnsi="宋体" w:cs="宋体"/>
                <w:szCs w:val="21"/>
              </w:rPr>
            </w:pPr>
            <w:r>
              <w:rPr>
                <w:rFonts w:hint="eastAsia" w:ascii="宋体" w:hAnsi="宋体" w:cs="宋体"/>
                <w:szCs w:val="21"/>
              </w:rPr>
              <w:t>乙方人员违约的处理</w:t>
            </w:r>
          </w:p>
        </w:tc>
        <w:tc>
          <w:tcPr>
            <w:tcW w:w="7104" w:type="dxa"/>
            <w:vAlign w:val="top"/>
          </w:tcPr>
          <w:p>
            <w:pPr>
              <w:keepNext w:val="0"/>
              <w:keepLines w:val="0"/>
              <w:suppressLineNumbers w:val="0"/>
              <w:spacing w:before="0" w:beforeAutospacing="0" w:after="0" w:afterAutospacing="0" w:line="400" w:lineRule="exact"/>
              <w:ind w:left="0" w:leftChars="0" w:right="0" w:rightChars="0" w:firstLine="420" w:firstLineChars="200"/>
              <w:rPr>
                <w:rFonts w:hint="default" w:ascii="宋体" w:hAnsi="宋体" w:cs="宋体"/>
              </w:rPr>
            </w:pPr>
            <w:r>
              <w:rPr>
                <w:rFonts w:hint="eastAsia"/>
              </w:rPr>
              <w:t>1.乙方未能按合同进度计划及时完成合同约定的工作，已造成或预期造成工期延误，甲方有权终止乙方不能按合同约定或预期不能按时完成的剩余工程，并由甲方另行选择单位实施，且因此产生的费用由乙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697" w:type="dxa"/>
            <w:vAlign w:val="center"/>
          </w:tcPr>
          <w:p>
            <w:pPr>
              <w:pStyle w:val="51"/>
              <w:keepNext w:val="0"/>
              <w:keepLines w:val="0"/>
              <w:suppressLineNumbers w:val="0"/>
              <w:spacing w:before="0" w:beforeAutospacing="0" w:after="0" w:afterAutospacing="0" w:line="400" w:lineRule="exact"/>
              <w:ind w:left="0" w:right="0"/>
              <w:jc w:val="center"/>
              <w:rPr>
                <w:rFonts w:hint="default" w:hAnsi="宋体"/>
                <w:color w:val="auto"/>
                <w:sz w:val="21"/>
                <w:szCs w:val="21"/>
              </w:rPr>
            </w:pPr>
            <w:r>
              <w:rPr>
                <w:rFonts w:hint="eastAsia" w:hAnsi="宋体"/>
                <w:color w:val="auto"/>
                <w:kern w:val="2"/>
                <w:sz w:val="21"/>
                <w:szCs w:val="21"/>
              </w:rPr>
              <w:t>23</w:t>
            </w:r>
          </w:p>
        </w:tc>
        <w:tc>
          <w:tcPr>
            <w:tcW w:w="2106" w:type="dxa"/>
            <w:vAlign w:val="center"/>
          </w:tcPr>
          <w:p>
            <w:pPr>
              <w:pStyle w:val="51"/>
              <w:keepNext w:val="0"/>
              <w:keepLines w:val="0"/>
              <w:suppressLineNumbers w:val="0"/>
              <w:spacing w:before="0" w:beforeAutospacing="0" w:after="0" w:afterAutospacing="0" w:line="400" w:lineRule="exact"/>
              <w:ind w:left="0" w:right="0"/>
              <w:jc w:val="center"/>
              <w:rPr>
                <w:rFonts w:hint="default" w:hAnsi="宋体"/>
                <w:color w:val="auto"/>
                <w:sz w:val="21"/>
                <w:szCs w:val="21"/>
              </w:rPr>
            </w:pPr>
            <w:r>
              <w:rPr>
                <w:rFonts w:hint="eastAsia" w:hAnsi="宋体"/>
                <w:color w:val="auto"/>
                <w:kern w:val="2"/>
                <w:sz w:val="21"/>
                <w:szCs w:val="21"/>
              </w:rPr>
              <w:t>监督部门</w:t>
            </w:r>
          </w:p>
        </w:tc>
        <w:tc>
          <w:tcPr>
            <w:tcW w:w="7104" w:type="dxa"/>
            <w:vAlign w:val="center"/>
          </w:tcPr>
          <w:p>
            <w:pPr>
              <w:pStyle w:val="36"/>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监督部门：重庆首讯科技股份有限公司合规监管部</w:t>
            </w:r>
          </w:p>
          <w:p>
            <w:pPr>
              <w:pStyle w:val="36"/>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地    址：重庆市渝北区新南路52号东界龙湖三楼</w:t>
            </w:r>
          </w:p>
          <w:p>
            <w:pPr>
              <w:keepNext w:val="0"/>
              <w:keepLines w:val="0"/>
              <w:widowControl w:val="0"/>
              <w:suppressLineNumbers w:val="0"/>
              <w:spacing w:before="0" w:beforeAutospacing="0" w:after="0" w:afterAutospacing="0"/>
              <w:ind w:left="0" w:right="0"/>
              <w:jc w:val="both"/>
              <w:rPr>
                <w:rFonts w:hint="default" w:hAnsi="宋体"/>
                <w:color w:val="auto"/>
                <w:sz w:val="21"/>
                <w:szCs w:val="21"/>
              </w:rPr>
            </w:pPr>
            <w:r>
              <w:rPr>
                <w:rFonts w:hint="default" w:ascii="宋体" w:hAnsi="宋体" w:eastAsia="宋体" w:cs="宋体"/>
                <w:kern w:val="2"/>
                <w:sz w:val="21"/>
                <w:szCs w:val="21"/>
                <w:lang w:eastAsia="zh-CN" w:bidi="ar"/>
              </w:rPr>
              <w:t xml:space="preserve">    </w:t>
            </w:r>
            <w:r>
              <w:rPr>
                <w:rFonts w:hint="eastAsia" w:ascii="宋体" w:hAnsi="宋体" w:eastAsia="宋体" w:cs="宋体"/>
                <w:kern w:val="2"/>
                <w:sz w:val="21"/>
                <w:szCs w:val="21"/>
                <w:lang w:val="en-US" w:eastAsia="zh-CN" w:bidi="ar"/>
              </w:rPr>
              <w:t>电</w:t>
            </w:r>
            <w:r>
              <w:rPr>
                <w:rFonts w:hint="eastAsia" w:ascii="Times New Roman"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话：</w:t>
            </w:r>
            <w:r>
              <w:rPr>
                <w:rFonts w:hint="eastAsia" w:ascii="Times New Roman" w:hAnsi="宋体" w:eastAsia="宋体" w:cs="Times New Roman"/>
                <w:kern w:val="2"/>
                <w:sz w:val="21"/>
                <w:szCs w:val="21"/>
                <w:lang w:val="en-US" w:eastAsia="zh-CN" w:bidi="ar"/>
              </w:rPr>
              <w:t>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51"/>
              <w:keepNext w:val="0"/>
              <w:keepLines w:val="0"/>
              <w:suppressLineNumbers w:val="0"/>
              <w:spacing w:before="0" w:beforeAutospacing="0" w:after="0" w:afterAutospacing="0" w:line="400" w:lineRule="exact"/>
              <w:ind w:left="0" w:right="0"/>
              <w:jc w:val="center"/>
              <w:rPr>
                <w:rFonts w:hint="default" w:hAnsi="宋体"/>
                <w:color w:val="auto"/>
                <w:kern w:val="2"/>
                <w:sz w:val="21"/>
                <w:szCs w:val="21"/>
              </w:rPr>
            </w:pPr>
            <w:r>
              <w:rPr>
                <w:rFonts w:hint="eastAsia" w:hAnsi="宋体"/>
                <w:color w:val="auto"/>
                <w:kern w:val="2"/>
                <w:sz w:val="21"/>
                <w:szCs w:val="21"/>
              </w:rPr>
              <w:t>24</w:t>
            </w:r>
          </w:p>
        </w:tc>
        <w:tc>
          <w:tcPr>
            <w:tcW w:w="2106" w:type="dxa"/>
            <w:vAlign w:val="center"/>
          </w:tcPr>
          <w:p>
            <w:pPr>
              <w:pStyle w:val="51"/>
              <w:keepNext w:val="0"/>
              <w:keepLines w:val="0"/>
              <w:suppressLineNumbers w:val="0"/>
              <w:spacing w:before="0" w:beforeAutospacing="0" w:after="0" w:afterAutospacing="0" w:line="400" w:lineRule="exact"/>
              <w:ind w:left="0" w:right="0"/>
              <w:jc w:val="center"/>
              <w:rPr>
                <w:rFonts w:hint="default" w:hAnsi="宋体"/>
                <w:color w:val="auto"/>
                <w:kern w:val="2"/>
                <w:sz w:val="21"/>
                <w:szCs w:val="21"/>
              </w:rPr>
            </w:pPr>
            <w:r>
              <w:rPr>
                <w:rFonts w:hint="eastAsia" w:hAnsi="宋体"/>
                <w:color w:val="auto"/>
                <w:kern w:val="2"/>
                <w:sz w:val="21"/>
                <w:szCs w:val="21"/>
              </w:rPr>
              <w:t>竞争性比选响应文件的递交</w:t>
            </w:r>
          </w:p>
        </w:tc>
        <w:tc>
          <w:tcPr>
            <w:tcW w:w="7104" w:type="dxa"/>
            <w:vAlign w:val="center"/>
          </w:tcPr>
          <w:p>
            <w:pPr>
              <w:pStyle w:val="51"/>
              <w:keepNext w:val="0"/>
              <w:keepLines w:val="0"/>
              <w:suppressLineNumbers w:val="0"/>
              <w:spacing w:before="0" w:beforeAutospacing="0" w:after="0" w:afterAutospacing="0" w:line="400" w:lineRule="exact"/>
              <w:ind w:left="0" w:right="0" w:firstLine="420" w:firstLineChars="200"/>
              <w:rPr>
                <w:rFonts w:hint="default" w:hAnsi="宋体"/>
                <w:color w:val="auto"/>
                <w:kern w:val="2"/>
                <w:sz w:val="21"/>
                <w:szCs w:val="21"/>
                <w:shd w:val="clear"/>
              </w:rPr>
            </w:pPr>
            <w:r>
              <w:rPr>
                <w:rFonts w:hint="eastAsia" w:hAnsi="宋体"/>
                <w:color w:val="auto"/>
                <w:kern w:val="2"/>
                <w:sz w:val="21"/>
                <w:szCs w:val="21"/>
              </w:rPr>
              <w:t>1.报价截止时间和开标</w:t>
            </w:r>
            <w:r>
              <w:rPr>
                <w:rFonts w:hint="eastAsia" w:hAnsi="宋体"/>
                <w:color w:val="auto"/>
                <w:kern w:val="2"/>
                <w:sz w:val="21"/>
                <w:szCs w:val="21"/>
                <w:shd w:val="clear"/>
              </w:rPr>
              <w:t>时</w:t>
            </w:r>
            <w:r>
              <w:rPr>
                <w:rFonts w:hint="eastAsia" w:hAnsi="宋体"/>
                <w:color w:val="auto"/>
                <w:kern w:val="2"/>
                <w:sz w:val="21"/>
                <w:szCs w:val="21"/>
                <w:highlight w:val="none"/>
                <w:shd w:val="clear"/>
              </w:rPr>
              <w:t>间：</w:t>
            </w:r>
            <w:r>
              <w:rPr>
                <w:rFonts w:hint="eastAsia" w:hAnsi="宋体"/>
                <w:sz w:val="21"/>
                <w:szCs w:val="18"/>
                <w:highlight w:val="none"/>
                <w:u w:val="single"/>
                <w:shd w:val="clear"/>
              </w:rPr>
              <w:t xml:space="preserve">2022 </w:t>
            </w:r>
            <w:r>
              <w:rPr>
                <w:rFonts w:hint="eastAsia" w:hAnsi="宋体"/>
                <w:sz w:val="21"/>
                <w:szCs w:val="18"/>
                <w:highlight w:val="none"/>
                <w:shd w:val="clear"/>
              </w:rPr>
              <w:t>年</w:t>
            </w:r>
            <w:r>
              <w:rPr>
                <w:rFonts w:hint="eastAsia" w:hAnsi="宋体"/>
                <w:sz w:val="21"/>
                <w:szCs w:val="18"/>
                <w:highlight w:val="none"/>
                <w:u w:val="single"/>
                <w:shd w:val="clear"/>
              </w:rPr>
              <w:t xml:space="preserve"> </w:t>
            </w:r>
            <w:r>
              <w:rPr>
                <w:rFonts w:hint="eastAsia" w:hAnsi="宋体"/>
                <w:sz w:val="21"/>
                <w:szCs w:val="18"/>
                <w:highlight w:val="none"/>
                <w:u w:val="single"/>
                <w:shd w:val="clear"/>
                <w:lang w:val="en-US" w:eastAsia="zh-CN"/>
              </w:rPr>
              <w:t>11</w:t>
            </w:r>
            <w:r>
              <w:rPr>
                <w:rFonts w:hint="eastAsia" w:hAnsi="宋体"/>
                <w:sz w:val="21"/>
                <w:szCs w:val="18"/>
                <w:highlight w:val="none"/>
                <w:u w:val="single"/>
                <w:shd w:val="clear"/>
              </w:rPr>
              <w:t xml:space="preserve"> </w:t>
            </w:r>
            <w:r>
              <w:rPr>
                <w:rFonts w:hint="eastAsia" w:hAnsi="宋体"/>
                <w:sz w:val="21"/>
                <w:szCs w:val="18"/>
                <w:highlight w:val="none"/>
                <w:shd w:val="clear"/>
              </w:rPr>
              <w:t>月</w:t>
            </w:r>
            <w:r>
              <w:rPr>
                <w:rFonts w:hint="eastAsia" w:hAnsi="宋体"/>
                <w:sz w:val="21"/>
                <w:szCs w:val="18"/>
                <w:highlight w:val="none"/>
                <w:u w:val="single"/>
                <w:shd w:val="clear"/>
              </w:rPr>
              <w:t xml:space="preserve"> </w:t>
            </w:r>
            <w:r>
              <w:rPr>
                <w:rFonts w:hint="eastAsia" w:hAnsi="宋体"/>
                <w:sz w:val="21"/>
                <w:szCs w:val="18"/>
                <w:highlight w:val="none"/>
                <w:u w:val="single"/>
                <w:shd w:val="clear"/>
                <w:lang w:val="en-US" w:eastAsia="zh-CN"/>
              </w:rPr>
              <w:t>30</w:t>
            </w:r>
            <w:r>
              <w:rPr>
                <w:rFonts w:hint="eastAsia" w:hAnsi="宋体"/>
                <w:sz w:val="21"/>
                <w:szCs w:val="18"/>
                <w:highlight w:val="none"/>
                <w:shd w:val="clear"/>
              </w:rPr>
              <w:t>日</w:t>
            </w:r>
            <w:r>
              <w:rPr>
                <w:rFonts w:hint="eastAsia" w:hAnsi="宋体"/>
                <w:sz w:val="21"/>
                <w:szCs w:val="18"/>
                <w:shd w:val="clear"/>
              </w:rPr>
              <w:t>上</w:t>
            </w:r>
            <w:r>
              <w:rPr>
                <w:rFonts w:hint="eastAsia" w:hAnsi="宋体"/>
                <w:color w:val="auto"/>
                <w:kern w:val="2"/>
                <w:sz w:val="21"/>
                <w:szCs w:val="21"/>
                <w:shd w:val="clear"/>
              </w:rPr>
              <w:t>午1</w:t>
            </w:r>
            <w:r>
              <w:rPr>
                <w:rFonts w:hint="eastAsia" w:hAnsi="宋体"/>
                <w:color w:val="auto"/>
                <w:kern w:val="2"/>
                <w:sz w:val="21"/>
                <w:szCs w:val="21"/>
                <w:shd w:val="clear"/>
                <w:lang w:val="en-US" w:eastAsia="zh-CN"/>
              </w:rPr>
              <w:t>0</w:t>
            </w:r>
            <w:r>
              <w:rPr>
                <w:rFonts w:hint="eastAsia" w:hAnsi="宋体"/>
                <w:color w:val="auto"/>
                <w:kern w:val="2"/>
                <w:sz w:val="21"/>
                <w:szCs w:val="21"/>
                <w:shd w:val="clear"/>
              </w:rPr>
              <w:t>时 00分（北京时间）。</w:t>
            </w:r>
          </w:p>
          <w:p>
            <w:pPr>
              <w:pStyle w:val="51"/>
              <w:keepNext w:val="0"/>
              <w:keepLines w:val="0"/>
              <w:suppressLineNumbers w:val="0"/>
              <w:spacing w:before="0" w:beforeAutospacing="0" w:after="0" w:afterAutospacing="0" w:line="400" w:lineRule="exact"/>
              <w:ind w:left="0" w:right="0" w:firstLine="420" w:firstLineChars="200"/>
              <w:rPr>
                <w:rFonts w:hint="eastAsia" w:hAnsi="宋体"/>
                <w:color w:val="auto"/>
                <w:kern w:val="2"/>
                <w:sz w:val="21"/>
                <w:szCs w:val="21"/>
              </w:rPr>
            </w:pPr>
            <w:r>
              <w:rPr>
                <w:rFonts w:hint="eastAsia" w:hAnsi="宋体"/>
                <w:color w:val="auto"/>
                <w:kern w:val="2"/>
                <w:sz w:val="21"/>
                <w:szCs w:val="21"/>
              </w:rPr>
              <w:t>2.报价的递交：因疫情原因，所有报价文件均采用电子投递方式，将响应性文件扫描件通过授权邮箱采用加密电子邮件方式递交。</w:t>
            </w:r>
          </w:p>
          <w:p>
            <w:pPr>
              <w:pStyle w:val="51"/>
              <w:keepNext w:val="0"/>
              <w:keepLines w:val="0"/>
              <w:suppressLineNumbers w:val="0"/>
              <w:spacing w:before="0" w:beforeAutospacing="0" w:after="0" w:afterAutospacing="0" w:line="400" w:lineRule="exact"/>
              <w:ind w:left="0" w:right="0" w:firstLine="420" w:firstLineChars="200"/>
              <w:rPr>
                <w:rFonts w:hint="default" w:hAnsi="宋体"/>
                <w:color w:val="auto"/>
                <w:kern w:val="2"/>
                <w:sz w:val="21"/>
                <w:szCs w:val="21"/>
              </w:rPr>
            </w:pPr>
            <w:r>
              <w:rPr>
                <w:rFonts w:hint="eastAsia" w:hAnsi="宋体"/>
                <w:color w:val="auto"/>
                <w:kern w:val="2"/>
                <w:sz w:val="21"/>
                <w:szCs w:val="21"/>
              </w:rPr>
              <w:t>3</w:t>
            </w:r>
            <w:r>
              <w:rPr>
                <w:rFonts w:hint="eastAsia" w:hAnsi="宋体"/>
                <w:color w:val="auto"/>
                <w:kern w:val="2"/>
                <w:sz w:val="21"/>
                <w:szCs w:val="21"/>
                <w:lang w:val="en-US" w:eastAsia="zh-CN"/>
              </w:rPr>
              <w:t>.</w:t>
            </w:r>
            <w:r>
              <w:rPr>
                <w:rFonts w:hint="eastAsia" w:hAnsi="宋体"/>
                <w:color w:val="auto"/>
                <w:kern w:val="2"/>
                <w:sz w:val="21"/>
                <w:szCs w:val="21"/>
              </w:rPr>
              <w:t>电子邮件递交要求：</w:t>
            </w:r>
            <w:r>
              <w:rPr>
                <w:rFonts w:hint="eastAsia" w:hAnsi="宋体"/>
                <w:color w:val="FF0000"/>
                <w:kern w:val="2"/>
                <w:sz w:val="21"/>
                <w:szCs w:val="21"/>
              </w:rPr>
              <w:t>须在2022年11月</w:t>
            </w:r>
            <w:r>
              <w:rPr>
                <w:rFonts w:hint="eastAsia" w:hAnsi="宋体"/>
                <w:color w:val="FF0000"/>
                <w:kern w:val="2"/>
                <w:sz w:val="21"/>
                <w:szCs w:val="21"/>
                <w:lang w:val="en-US" w:eastAsia="zh-CN"/>
              </w:rPr>
              <w:t>30</w:t>
            </w:r>
            <w:r>
              <w:rPr>
                <w:rFonts w:hint="eastAsia" w:hAnsi="宋体"/>
                <w:color w:val="FF0000"/>
                <w:kern w:val="2"/>
                <w:sz w:val="21"/>
                <w:szCs w:val="21"/>
              </w:rPr>
              <w:t>日9时30分至10时00分将响应文件通过已授权邮箱发送加密电子邮件至蒋淇jq610831078@163.com邮箱，同时在该时间段内将密码发送至陈晶58484414@qq.com邮箱。</w:t>
            </w:r>
          </w:p>
          <w:p>
            <w:pPr>
              <w:pStyle w:val="51"/>
              <w:keepNext w:val="0"/>
              <w:keepLines w:val="0"/>
              <w:suppressLineNumbers w:val="0"/>
              <w:spacing w:before="0" w:beforeAutospacing="0" w:after="0" w:afterAutospacing="0" w:line="400" w:lineRule="exact"/>
              <w:ind w:left="0" w:right="0" w:firstLine="420" w:firstLineChars="200"/>
              <w:rPr>
                <w:rFonts w:hint="default" w:hAnsi="宋体"/>
                <w:color w:val="auto"/>
                <w:kern w:val="2"/>
                <w:sz w:val="21"/>
                <w:szCs w:val="21"/>
              </w:rPr>
            </w:pPr>
            <w:r>
              <w:rPr>
                <w:rFonts w:hint="eastAsia" w:hAnsi="宋体"/>
                <w:color w:val="auto"/>
                <w:kern w:val="2"/>
                <w:sz w:val="21"/>
                <w:szCs w:val="21"/>
                <w:lang w:val="en-US" w:eastAsia="zh-CN"/>
              </w:rPr>
              <w:t>4</w:t>
            </w:r>
            <w:r>
              <w:rPr>
                <w:rFonts w:hint="eastAsia" w:hAnsi="宋体"/>
                <w:color w:val="auto"/>
                <w:kern w:val="2"/>
                <w:sz w:val="21"/>
                <w:szCs w:val="21"/>
              </w:rPr>
              <w:t>.</w:t>
            </w:r>
            <w:r>
              <w:rPr>
                <w:rFonts w:hint="eastAsia" w:hAnsi="宋体"/>
                <w:color w:val="FF0000"/>
                <w:kern w:val="2"/>
                <w:sz w:val="21"/>
                <w:szCs w:val="21"/>
              </w:rPr>
              <w:t>逾期</w:t>
            </w:r>
            <w:r>
              <w:rPr>
                <w:rFonts w:hint="eastAsia" w:hAnsi="宋体"/>
                <w:color w:val="FF0000"/>
                <w:kern w:val="2"/>
                <w:sz w:val="21"/>
                <w:szCs w:val="21"/>
                <w:lang w:val="en-US" w:eastAsia="zh-CN"/>
              </w:rPr>
              <w:t>发送</w:t>
            </w:r>
            <w:r>
              <w:rPr>
                <w:rFonts w:hint="eastAsia" w:hAnsi="宋体"/>
                <w:color w:val="FF0000"/>
                <w:kern w:val="2"/>
                <w:sz w:val="21"/>
                <w:szCs w:val="21"/>
              </w:rPr>
              <w:t>，或</w:t>
            </w:r>
            <w:r>
              <w:rPr>
                <w:rFonts w:hint="eastAsia" w:hAnsi="宋体"/>
                <w:color w:val="FF0000"/>
                <w:kern w:val="2"/>
                <w:sz w:val="21"/>
                <w:szCs w:val="21"/>
                <w:lang w:val="en-US" w:eastAsia="zh-CN"/>
              </w:rPr>
              <w:t>未按要求加密发送或未发送密码的</w:t>
            </w:r>
            <w:r>
              <w:rPr>
                <w:rFonts w:hint="eastAsia" w:hAnsi="宋体"/>
                <w:color w:val="FF0000"/>
                <w:kern w:val="2"/>
                <w:sz w:val="21"/>
                <w:szCs w:val="21"/>
              </w:rPr>
              <w:t>，采购人不予受理</w:t>
            </w:r>
            <w:r>
              <w:rPr>
                <w:rFonts w:hint="eastAsia" w:hAnsi="宋体"/>
                <w:color w:val="auto"/>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51"/>
              <w:keepNext w:val="0"/>
              <w:keepLines w:val="0"/>
              <w:suppressLineNumbers w:val="0"/>
              <w:spacing w:before="0" w:beforeAutospacing="0" w:after="0" w:afterAutospacing="0" w:line="400" w:lineRule="exact"/>
              <w:ind w:left="0" w:right="0"/>
              <w:jc w:val="center"/>
              <w:rPr>
                <w:rFonts w:hint="default" w:hAnsi="宋体"/>
                <w:color w:val="auto"/>
                <w:kern w:val="2"/>
                <w:sz w:val="21"/>
                <w:szCs w:val="21"/>
              </w:rPr>
            </w:pPr>
            <w:r>
              <w:rPr>
                <w:rFonts w:hint="eastAsia" w:hAnsi="宋体"/>
                <w:color w:val="auto"/>
                <w:kern w:val="2"/>
                <w:sz w:val="21"/>
                <w:szCs w:val="21"/>
              </w:rPr>
              <w:t>25</w:t>
            </w:r>
          </w:p>
        </w:tc>
        <w:tc>
          <w:tcPr>
            <w:tcW w:w="2106" w:type="dxa"/>
            <w:vAlign w:val="center"/>
          </w:tcPr>
          <w:p>
            <w:pPr>
              <w:pStyle w:val="51"/>
              <w:keepNext w:val="0"/>
              <w:keepLines w:val="0"/>
              <w:suppressLineNumbers w:val="0"/>
              <w:spacing w:before="0" w:beforeAutospacing="0" w:after="0" w:afterAutospacing="0" w:line="400" w:lineRule="exact"/>
              <w:ind w:left="0" w:right="0"/>
              <w:jc w:val="center"/>
              <w:rPr>
                <w:rFonts w:hint="default" w:hAnsi="宋体"/>
                <w:color w:val="auto"/>
                <w:kern w:val="2"/>
                <w:sz w:val="21"/>
                <w:szCs w:val="21"/>
              </w:rPr>
            </w:pPr>
            <w:r>
              <w:rPr>
                <w:rFonts w:hint="eastAsia" w:hAnsi="宋体"/>
                <w:color w:val="auto"/>
                <w:kern w:val="2"/>
                <w:sz w:val="21"/>
                <w:szCs w:val="21"/>
              </w:rPr>
              <w:t>本次竞争性比选响应文件的组成</w:t>
            </w:r>
          </w:p>
        </w:tc>
        <w:tc>
          <w:tcPr>
            <w:tcW w:w="7104" w:type="dxa"/>
            <w:vAlign w:val="center"/>
          </w:tcPr>
          <w:p>
            <w:pPr>
              <w:pStyle w:val="51"/>
              <w:keepNext w:val="0"/>
              <w:keepLines w:val="0"/>
              <w:numPr>
                <w:ilvl w:val="0"/>
                <w:numId w:val="3"/>
              </w:numPr>
              <w:suppressLineNumbers w:val="0"/>
              <w:spacing w:before="0" w:beforeAutospacing="0" w:after="0" w:afterAutospacing="0" w:line="400" w:lineRule="exact"/>
              <w:ind w:left="0" w:right="0" w:firstLine="422" w:firstLineChars="200"/>
              <w:rPr>
                <w:rFonts w:hint="default" w:hAnsi="宋体"/>
                <w:color w:val="FF0000"/>
                <w:kern w:val="2"/>
                <w:sz w:val="21"/>
                <w:szCs w:val="21"/>
              </w:rPr>
            </w:pPr>
            <w:r>
              <w:rPr>
                <w:rFonts w:hint="eastAsia" w:hAnsi="宋体"/>
                <w:b/>
                <w:bCs/>
                <w:color w:val="FF0000"/>
                <w:sz w:val="21"/>
                <w:szCs w:val="21"/>
              </w:rPr>
              <w:t>竞争性比选文件需逐页加盖报价人的公章</w:t>
            </w:r>
            <w:r>
              <w:rPr>
                <w:rFonts w:hint="eastAsia" w:hAnsi="宋体"/>
                <w:color w:val="FF0000"/>
                <w:sz w:val="21"/>
                <w:szCs w:val="21"/>
              </w:rPr>
              <w:t>，</w:t>
            </w:r>
            <w:r>
              <w:rPr>
                <w:rFonts w:hint="eastAsia" w:hAnsi="宋体"/>
                <w:color w:val="FF0000"/>
                <w:sz w:val="21"/>
                <w:szCs w:val="21"/>
                <w:lang w:val="en-US" w:eastAsia="zh-CN"/>
              </w:rPr>
              <w:t>并扫描成PDF版本，将扫描件按要求发送</w:t>
            </w:r>
            <w:r>
              <w:rPr>
                <w:rFonts w:hint="eastAsia" w:hAnsi="宋体"/>
                <w:color w:val="FF0000"/>
                <w:kern w:val="2"/>
                <w:sz w:val="21"/>
                <w:szCs w:val="21"/>
              </w:rPr>
              <w:t>。</w:t>
            </w:r>
          </w:p>
          <w:p>
            <w:pPr>
              <w:pStyle w:val="51"/>
              <w:keepNext w:val="0"/>
              <w:keepLines w:val="0"/>
              <w:suppressLineNumbers w:val="0"/>
              <w:spacing w:before="0" w:beforeAutospacing="0" w:after="0" w:afterAutospacing="0" w:line="400" w:lineRule="exact"/>
              <w:ind w:left="0" w:right="0" w:firstLine="420" w:firstLineChars="200"/>
              <w:rPr>
                <w:rFonts w:hint="default" w:hAnsi="宋体"/>
                <w:color w:val="auto"/>
                <w:kern w:val="2"/>
                <w:sz w:val="21"/>
                <w:szCs w:val="21"/>
              </w:rPr>
            </w:pPr>
            <w:r>
              <w:rPr>
                <w:rFonts w:hint="eastAsia" w:hAnsi="宋体"/>
                <w:color w:val="auto"/>
                <w:kern w:val="2"/>
                <w:sz w:val="21"/>
                <w:szCs w:val="21"/>
              </w:rPr>
              <w:t>2.</w:t>
            </w:r>
            <w:r>
              <w:rPr>
                <w:rFonts w:hint="eastAsia" w:hAnsi="宋体"/>
                <w:color w:val="FF0000"/>
                <w:kern w:val="2"/>
                <w:sz w:val="21"/>
                <w:szCs w:val="21"/>
              </w:rPr>
              <w:t>竞争性比选响应声明书、报价函、资格要求材料、报价人认为需要提供的其他相关文件（注：以上所有文件均须逐页加盖报价人的公章）。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51"/>
              <w:keepNext w:val="0"/>
              <w:keepLines w:val="0"/>
              <w:suppressLineNumbers w:val="0"/>
              <w:spacing w:before="0" w:beforeAutospacing="0" w:after="0" w:afterAutospacing="0" w:line="400" w:lineRule="exact"/>
              <w:ind w:left="0" w:right="0"/>
              <w:jc w:val="center"/>
              <w:rPr>
                <w:rFonts w:hint="default" w:hAnsi="宋体" w:eastAsia="宋体"/>
                <w:color w:val="auto"/>
                <w:kern w:val="2"/>
                <w:sz w:val="21"/>
                <w:szCs w:val="21"/>
                <w:lang w:val="en-US" w:eastAsia="zh-CN"/>
              </w:rPr>
            </w:pPr>
            <w:r>
              <w:rPr>
                <w:rFonts w:hint="eastAsia" w:hAnsi="宋体"/>
                <w:color w:val="auto"/>
                <w:kern w:val="2"/>
                <w:sz w:val="21"/>
                <w:szCs w:val="21"/>
                <w:lang w:val="en-US" w:eastAsia="zh-CN"/>
              </w:rPr>
              <w:t>26</w:t>
            </w:r>
          </w:p>
        </w:tc>
        <w:tc>
          <w:tcPr>
            <w:tcW w:w="9210" w:type="dxa"/>
            <w:gridSpan w:val="2"/>
            <w:vAlign w:val="center"/>
          </w:tcPr>
          <w:p>
            <w:pPr>
              <w:pStyle w:val="51"/>
              <w:keepNext w:val="0"/>
              <w:keepLines w:val="0"/>
              <w:suppressLineNumbers w:val="0"/>
              <w:spacing w:before="0" w:beforeAutospacing="0" w:after="0" w:afterAutospacing="0" w:line="400" w:lineRule="exact"/>
              <w:ind w:left="0" w:right="0" w:firstLine="482" w:firstLineChars="200"/>
              <w:jc w:val="center"/>
              <w:rPr>
                <w:rFonts w:hint="default" w:hAnsi="宋体"/>
                <w:color w:val="auto"/>
                <w:kern w:val="2"/>
                <w:sz w:val="21"/>
                <w:szCs w:val="21"/>
              </w:rPr>
            </w:pPr>
            <w:r>
              <w:rPr>
                <w:rFonts w:hint="default" w:hAnsi="宋体"/>
                <w:b/>
                <w:bCs/>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51"/>
              <w:keepNext w:val="0"/>
              <w:keepLines w:val="0"/>
              <w:suppressLineNumbers w:val="0"/>
              <w:spacing w:before="0" w:beforeAutospacing="0" w:after="0" w:afterAutospacing="0" w:line="400" w:lineRule="exact"/>
              <w:ind w:left="0" w:right="0"/>
              <w:jc w:val="center"/>
              <w:rPr>
                <w:rFonts w:hint="default" w:hAnsi="宋体"/>
                <w:color w:val="auto"/>
                <w:kern w:val="2"/>
                <w:sz w:val="21"/>
                <w:szCs w:val="21"/>
              </w:rPr>
            </w:pPr>
            <w:r>
              <w:rPr>
                <w:rFonts w:hint="eastAsia" w:hAnsi="宋体"/>
                <w:color w:val="auto"/>
                <w:kern w:val="2"/>
                <w:sz w:val="21"/>
                <w:szCs w:val="21"/>
              </w:rPr>
              <w:t>2</w:t>
            </w:r>
            <w:r>
              <w:rPr>
                <w:rFonts w:hint="eastAsia" w:hAnsi="宋体"/>
                <w:color w:val="auto"/>
                <w:kern w:val="2"/>
                <w:sz w:val="21"/>
                <w:szCs w:val="21"/>
                <w:lang w:val="en-US" w:eastAsia="zh-CN"/>
              </w:rPr>
              <w:t>6</w:t>
            </w:r>
            <w:r>
              <w:rPr>
                <w:rFonts w:hint="eastAsia" w:hAnsi="宋体"/>
                <w:color w:val="auto"/>
                <w:kern w:val="2"/>
                <w:sz w:val="21"/>
                <w:szCs w:val="21"/>
              </w:rPr>
              <w:t>.1</w:t>
            </w:r>
          </w:p>
        </w:tc>
        <w:tc>
          <w:tcPr>
            <w:tcW w:w="9210" w:type="dxa"/>
            <w:gridSpan w:val="2"/>
            <w:vAlign w:val="center"/>
          </w:tcPr>
          <w:p>
            <w:pPr>
              <w:pStyle w:val="51"/>
              <w:keepNext w:val="0"/>
              <w:keepLines w:val="0"/>
              <w:suppressLineNumbers w:val="0"/>
              <w:spacing w:before="0" w:beforeAutospacing="0" w:after="0" w:afterAutospacing="0" w:line="400" w:lineRule="exact"/>
              <w:ind w:left="0" w:right="0" w:firstLine="420" w:firstLineChars="200"/>
              <w:rPr>
                <w:rFonts w:hint="default" w:hAnsi="宋体"/>
                <w:b/>
                <w:bCs/>
                <w:szCs w:val="21"/>
              </w:rPr>
            </w:pPr>
            <w:r>
              <w:rPr>
                <w:rFonts w:hint="eastAsia" w:hAnsi="宋体"/>
                <w:sz w:val="21"/>
                <w:szCs w:val="21"/>
              </w:rPr>
              <w:t>截止竞争性比选响应文件递交时间，递交竞争性比选响应文件不足3家的不得开启竞争性比选文件。</w:t>
            </w:r>
          </w:p>
        </w:tc>
      </w:tr>
      <w:bookmarkEnd w:id="105"/>
    </w:tbl>
    <w:p>
      <w:pPr>
        <w:pStyle w:val="4"/>
        <w:widowControl/>
        <w:spacing w:before="0" w:beforeAutospacing="0" w:after="0" w:afterAutospacing="0" w:line="300" w:lineRule="exact"/>
        <w:rPr>
          <w:rFonts w:hint="eastAsia" w:ascii="黑体" w:hAnsi="宋体" w:eastAsia="黑体" w:cs="黑体"/>
          <w:b/>
          <w:kern w:val="0"/>
          <w:sz w:val="21"/>
          <w:szCs w:val="21"/>
        </w:rPr>
      </w:pPr>
      <w:bookmarkStart w:id="107" w:name="_Toc200513126"/>
      <w:bookmarkEnd w:id="107"/>
      <w:bookmarkStart w:id="108" w:name="_Toc23816"/>
      <w:bookmarkEnd w:id="108"/>
      <w:bookmarkStart w:id="109" w:name="_Toc9501"/>
      <w:bookmarkEnd w:id="109"/>
      <w:bookmarkStart w:id="110" w:name="_Toc277082552"/>
      <w:bookmarkEnd w:id="110"/>
      <w:bookmarkStart w:id="111" w:name="_Toc4661670"/>
      <w:bookmarkEnd w:id="111"/>
      <w:bookmarkStart w:id="112" w:name="_Toc8935"/>
      <w:bookmarkEnd w:id="112"/>
      <w:bookmarkStart w:id="113" w:name="_Toc26518"/>
      <w:bookmarkEnd w:id="113"/>
      <w:bookmarkStart w:id="114" w:name="_Toc287607746"/>
      <w:bookmarkEnd w:id="114"/>
      <w:bookmarkStart w:id="115" w:name="_Toc40455645"/>
      <w:bookmarkEnd w:id="115"/>
      <w:bookmarkStart w:id="116" w:name="_Toc40455272"/>
      <w:bookmarkEnd w:id="116"/>
      <w:bookmarkStart w:id="117" w:name="_Toc19551"/>
      <w:bookmarkEnd w:id="117"/>
      <w:bookmarkStart w:id="118" w:name="_Toc4661906"/>
      <w:bookmarkEnd w:id="118"/>
      <w:bookmarkStart w:id="119" w:name="_Toc4661428"/>
      <w:bookmarkEnd w:id="119"/>
      <w:bookmarkStart w:id="120" w:name="_Toc4662142"/>
      <w:bookmarkEnd w:id="120"/>
      <w:bookmarkStart w:id="121" w:name="_Toc31293"/>
      <w:bookmarkEnd w:id="121"/>
      <w:bookmarkStart w:id="122" w:name="_Toc224103317"/>
      <w:r>
        <w:rPr>
          <w:rFonts w:hint="eastAsia" w:ascii="黑体" w:hAnsi="宋体" w:cs="黑体"/>
          <w:b/>
          <w:kern w:val="0"/>
          <w:sz w:val="21"/>
          <w:szCs w:val="21"/>
          <w:lang w:eastAsia="zh-CN"/>
        </w:rPr>
        <w:t>报价人须知</w:t>
      </w:r>
      <w:r>
        <w:rPr>
          <w:rFonts w:hint="eastAsia" w:ascii="黑体" w:hAnsi="宋体" w:eastAsia="黑体" w:cs="黑体"/>
          <w:b/>
          <w:kern w:val="0"/>
          <w:sz w:val="21"/>
          <w:szCs w:val="21"/>
        </w:rPr>
        <w:t>正文部分：</w:t>
      </w:r>
      <w:bookmarkEnd w:id="122"/>
    </w:p>
    <w:p>
      <w:pPr>
        <w:pStyle w:val="4"/>
        <w:widowControl/>
        <w:spacing w:before="0" w:beforeAutospacing="0" w:after="0" w:afterAutospacing="0" w:line="300" w:lineRule="exact"/>
        <w:rPr>
          <w:rFonts w:hint="eastAsia" w:ascii="宋体" w:hAnsi="宋体" w:eastAsia="黑体" w:cs="Times New Roman"/>
          <w:b/>
          <w:kern w:val="0"/>
          <w:sz w:val="21"/>
          <w:szCs w:val="21"/>
        </w:rPr>
      </w:pPr>
      <w:bookmarkStart w:id="123" w:name="_Toc5673"/>
      <w:bookmarkEnd w:id="123"/>
      <w:bookmarkStart w:id="124" w:name="_Toc9035"/>
      <w:bookmarkEnd w:id="124"/>
      <w:bookmarkStart w:id="125" w:name="_Toc17808"/>
      <w:bookmarkEnd w:id="125"/>
      <w:bookmarkStart w:id="126" w:name="_Toc28401"/>
      <w:r>
        <w:rPr>
          <w:rFonts w:hint="eastAsia" w:ascii="黑体" w:hAnsi="宋体" w:eastAsia="黑体" w:cs="黑体"/>
          <w:b/>
          <w:kern w:val="0"/>
          <w:sz w:val="21"/>
          <w:szCs w:val="21"/>
        </w:rPr>
        <w:t xml:space="preserve">1.  </w:t>
      </w:r>
      <w:bookmarkEnd w:id="126"/>
      <w:r>
        <w:rPr>
          <w:rFonts w:hint="eastAsia" w:ascii="黑体" w:hAnsi="宋体" w:eastAsia="黑体" w:cs="黑体"/>
          <w:b/>
          <w:kern w:val="0"/>
          <w:sz w:val="21"/>
          <w:szCs w:val="21"/>
        </w:rPr>
        <w:t>总则</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127" w:name="_Toc4661907"/>
      <w:bookmarkEnd w:id="127"/>
      <w:bookmarkStart w:id="128" w:name="_Toc40455646"/>
      <w:bookmarkEnd w:id="128"/>
      <w:bookmarkStart w:id="129" w:name="_Toc277082553"/>
      <w:bookmarkEnd w:id="129"/>
      <w:bookmarkStart w:id="130" w:name="_Toc200513127"/>
      <w:bookmarkEnd w:id="130"/>
      <w:bookmarkStart w:id="131" w:name="_Toc4661429"/>
      <w:bookmarkEnd w:id="131"/>
      <w:bookmarkStart w:id="132" w:name="_Toc4661671"/>
      <w:bookmarkEnd w:id="132"/>
      <w:bookmarkStart w:id="133" w:name="_Toc11657"/>
      <w:bookmarkEnd w:id="133"/>
      <w:bookmarkStart w:id="134" w:name="_Toc40455273"/>
      <w:bookmarkEnd w:id="134"/>
      <w:bookmarkStart w:id="135" w:name="_Toc224103318"/>
      <w:bookmarkEnd w:id="135"/>
      <w:bookmarkStart w:id="136" w:name="_Toc287607747"/>
      <w:bookmarkEnd w:id="136"/>
      <w:bookmarkStart w:id="137" w:name="_Toc4662143"/>
      <w:bookmarkEnd w:id="137"/>
      <w:bookmarkStart w:id="138" w:name="_Toc40780255"/>
      <w:r>
        <w:rPr>
          <w:rFonts w:hint="eastAsia" w:ascii="宋体" w:hAnsi="宋体" w:eastAsia="宋体" w:cs="Times New Roman"/>
          <w:b/>
          <w:kern w:val="2"/>
          <w:sz w:val="21"/>
          <w:szCs w:val="21"/>
        </w:rPr>
        <w:t xml:space="preserve">1.1  </w:t>
      </w:r>
      <w:bookmarkEnd w:id="138"/>
      <w:r>
        <w:rPr>
          <w:rFonts w:hint="eastAsia" w:ascii="宋体" w:hAnsi="宋体" w:eastAsia="宋体" w:cs="宋体"/>
          <w:b/>
          <w:kern w:val="2"/>
          <w:sz w:val="21"/>
          <w:szCs w:val="21"/>
        </w:rPr>
        <w:t>项目概况</w:t>
      </w:r>
    </w:p>
    <w:p>
      <w:pPr>
        <w:keepNext w:val="0"/>
        <w:keepLines w:val="0"/>
        <w:widowControl w:val="0"/>
        <w:suppressLineNumbers w:val="0"/>
        <w:autoSpaceDE w:val="0"/>
        <w:autoSpaceDN w:val="0"/>
        <w:adjustRightInd w:val="0"/>
        <w:spacing w:before="0" w:beforeAutospacing="0" w:after="0" w:afterAutospacing="0" w:line="300" w:lineRule="exact"/>
        <w:ind w:left="0" w:right="0" w:firstLine="354" w:firstLineChars="169"/>
        <w:jc w:val="left"/>
        <w:rPr>
          <w:rFonts w:hint="eastAsia" w:ascii="宋体" w:hAnsi="宋体" w:eastAsia="宋体" w:cs="Calibri"/>
          <w:kern w:val="0"/>
          <w:sz w:val="21"/>
          <w:szCs w:val="21"/>
        </w:rPr>
      </w:pPr>
      <w:r>
        <w:rPr>
          <w:rFonts w:hint="eastAsia" w:ascii="宋体" w:hAnsi="宋体" w:eastAsia="宋体" w:cs="Calibri"/>
          <w:kern w:val="0"/>
          <w:sz w:val="21"/>
          <w:szCs w:val="21"/>
          <w:lang w:val="en-US" w:eastAsia="zh-CN" w:bidi="ar"/>
        </w:rPr>
        <w:t xml:space="preserve">1.1.1  </w:t>
      </w:r>
      <w:r>
        <w:rPr>
          <w:rFonts w:hint="eastAsia" w:ascii="宋体" w:hAnsi="宋体" w:eastAsia="宋体" w:cs="宋体"/>
          <w:kern w:val="0"/>
          <w:sz w:val="21"/>
          <w:szCs w:val="21"/>
          <w:lang w:val="en-US" w:eastAsia="zh-CN" w:bidi="ar"/>
        </w:rPr>
        <w:t>根据</w:t>
      </w:r>
      <w:r>
        <w:rPr>
          <w:rFonts w:hint="eastAsia" w:ascii="宋体" w:hAnsi="宋体" w:cs="宋体"/>
          <w:kern w:val="0"/>
          <w:sz w:val="21"/>
          <w:szCs w:val="21"/>
          <w:lang w:val="en-US" w:eastAsia="zh-CN" w:bidi="ar"/>
        </w:rPr>
        <w:t>国家</w:t>
      </w:r>
      <w:r>
        <w:rPr>
          <w:rFonts w:hint="eastAsia" w:ascii="宋体" w:hAnsi="宋体" w:eastAsia="宋体" w:cs="宋体"/>
          <w:kern w:val="0"/>
          <w:sz w:val="21"/>
          <w:szCs w:val="21"/>
          <w:lang w:val="en-US" w:eastAsia="zh-CN" w:bidi="ar"/>
        </w:rPr>
        <w:t>有关法律、法规和规章的规定，本</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项目已具备</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条件，现对本项目进行</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0" w:right="0" w:firstLine="354" w:firstLineChars="169"/>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1.1.2  </w:t>
      </w:r>
      <w:r>
        <w:rPr>
          <w:rFonts w:hint="eastAsia" w:ascii="宋体" w:hAnsi="宋体" w:eastAsia="宋体" w:cs="宋体"/>
          <w:kern w:val="0"/>
          <w:sz w:val="21"/>
          <w:szCs w:val="21"/>
          <w:lang w:val="en-US" w:eastAsia="zh-CN" w:bidi="ar"/>
        </w:rPr>
        <w:t>本</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项目</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1.1.</w:t>
      </w:r>
      <w:r>
        <w:rPr>
          <w:rFonts w:hint="eastAsia" w:ascii="宋体" w:hAnsi="宋体" w:cs="Calibri"/>
          <w:kern w:val="0"/>
          <w:sz w:val="21"/>
          <w:szCs w:val="21"/>
          <w:lang w:val="en-US" w:eastAsia="zh-CN" w:bidi="ar"/>
        </w:rPr>
        <w:t>3</w:t>
      </w:r>
      <w:r>
        <w:rPr>
          <w:rFonts w:hint="eastAsia" w:ascii="宋体" w:hAnsi="宋体"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本</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项目名称：见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1.1.</w:t>
      </w:r>
      <w:r>
        <w:rPr>
          <w:rFonts w:hint="eastAsia" w:ascii="宋体" w:hAnsi="宋体" w:cs="Calibri"/>
          <w:kern w:val="0"/>
          <w:sz w:val="21"/>
          <w:szCs w:val="21"/>
          <w:lang w:val="en-US" w:eastAsia="zh-CN" w:bidi="ar"/>
        </w:rPr>
        <w:t>4</w:t>
      </w:r>
      <w:r>
        <w:rPr>
          <w:rFonts w:hint="eastAsia" w:ascii="宋体" w:hAnsi="宋体"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本项目建设地点：见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139" w:name="_Toc21776"/>
      <w:bookmarkEnd w:id="139"/>
      <w:bookmarkStart w:id="140" w:name="_Toc287607748"/>
      <w:bookmarkEnd w:id="140"/>
      <w:bookmarkStart w:id="141" w:name="_Toc224103319"/>
      <w:bookmarkEnd w:id="141"/>
      <w:bookmarkStart w:id="142" w:name="_Toc4662144"/>
      <w:bookmarkEnd w:id="142"/>
      <w:bookmarkStart w:id="143" w:name="_Toc4661672"/>
      <w:bookmarkEnd w:id="143"/>
      <w:bookmarkStart w:id="144" w:name="_Toc4661430"/>
      <w:bookmarkEnd w:id="144"/>
      <w:bookmarkStart w:id="145" w:name="_Toc40780256"/>
      <w:bookmarkEnd w:id="145"/>
      <w:bookmarkStart w:id="146" w:name="_Toc4661908"/>
      <w:bookmarkEnd w:id="146"/>
      <w:bookmarkStart w:id="147" w:name="_Toc200513128"/>
      <w:bookmarkEnd w:id="147"/>
      <w:bookmarkStart w:id="148" w:name="_Toc40455274"/>
      <w:bookmarkEnd w:id="148"/>
      <w:bookmarkStart w:id="149" w:name="_Toc40455647"/>
      <w:bookmarkEnd w:id="149"/>
      <w:bookmarkStart w:id="150" w:name="_Toc277082554"/>
      <w:r>
        <w:rPr>
          <w:rFonts w:hint="eastAsia" w:ascii="宋体" w:hAnsi="宋体" w:eastAsia="宋体" w:cs="Times New Roman"/>
          <w:b/>
          <w:kern w:val="2"/>
          <w:sz w:val="21"/>
          <w:szCs w:val="21"/>
        </w:rPr>
        <w:t xml:space="preserve">1.2  </w:t>
      </w:r>
      <w:bookmarkEnd w:id="150"/>
      <w:r>
        <w:rPr>
          <w:rFonts w:hint="eastAsia" w:ascii="宋体" w:hAnsi="宋体" w:eastAsia="宋体" w:cs="宋体"/>
          <w:b/>
          <w:kern w:val="2"/>
          <w:sz w:val="21"/>
          <w:szCs w:val="21"/>
        </w:rPr>
        <w:t>资金来源和落实情况</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1.2.1  </w:t>
      </w:r>
      <w:r>
        <w:rPr>
          <w:rFonts w:hint="eastAsia" w:ascii="宋体" w:hAnsi="宋体" w:eastAsia="宋体" w:cs="宋体"/>
          <w:kern w:val="0"/>
          <w:sz w:val="21"/>
          <w:szCs w:val="21"/>
          <w:lang w:val="en-US" w:eastAsia="zh-CN" w:bidi="ar"/>
        </w:rPr>
        <w:t>本</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项目的资金来源：见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1.2.2  </w:t>
      </w:r>
      <w:r>
        <w:rPr>
          <w:rFonts w:hint="eastAsia" w:ascii="宋体" w:hAnsi="宋体" w:eastAsia="宋体" w:cs="宋体"/>
          <w:kern w:val="0"/>
          <w:sz w:val="21"/>
          <w:szCs w:val="21"/>
          <w:lang w:val="en-US" w:eastAsia="zh-CN" w:bidi="ar"/>
        </w:rPr>
        <w:t>本</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项目的出资比例：见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1.2.3  </w:t>
      </w:r>
      <w:r>
        <w:rPr>
          <w:rFonts w:hint="eastAsia" w:ascii="宋体" w:hAnsi="宋体" w:eastAsia="宋体" w:cs="宋体"/>
          <w:kern w:val="0"/>
          <w:sz w:val="21"/>
          <w:szCs w:val="21"/>
          <w:lang w:val="en-US" w:eastAsia="zh-CN" w:bidi="ar"/>
        </w:rPr>
        <w:t>本</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项目的资金落实情况：见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151" w:name="_Toc4662145"/>
      <w:bookmarkEnd w:id="151"/>
      <w:bookmarkStart w:id="152" w:name="_Toc40780257"/>
      <w:bookmarkEnd w:id="152"/>
      <w:bookmarkStart w:id="153" w:name="_Toc40455275"/>
      <w:bookmarkEnd w:id="153"/>
      <w:bookmarkStart w:id="154" w:name="_Toc287607749"/>
      <w:bookmarkEnd w:id="154"/>
      <w:bookmarkStart w:id="155" w:name="_Toc40455648"/>
      <w:bookmarkEnd w:id="155"/>
      <w:bookmarkStart w:id="156" w:name="_Toc4661673"/>
      <w:bookmarkEnd w:id="156"/>
      <w:bookmarkStart w:id="157" w:name="_Toc200513129"/>
      <w:bookmarkEnd w:id="157"/>
      <w:bookmarkStart w:id="158" w:name="_Toc277082555"/>
      <w:bookmarkEnd w:id="158"/>
      <w:bookmarkStart w:id="159" w:name="_Toc224103320"/>
      <w:bookmarkEnd w:id="159"/>
      <w:bookmarkStart w:id="160" w:name="_Toc4661431"/>
      <w:bookmarkEnd w:id="160"/>
      <w:bookmarkStart w:id="161" w:name="_Toc4661909"/>
      <w:bookmarkEnd w:id="161"/>
      <w:bookmarkStart w:id="162" w:name="_Toc11911"/>
      <w:r>
        <w:rPr>
          <w:rFonts w:hint="eastAsia" w:ascii="宋体" w:hAnsi="宋体" w:eastAsia="宋体" w:cs="Times New Roman"/>
          <w:b/>
          <w:kern w:val="2"/>
          <w:sz w:val="21"/>
          <w:szCs w:val="21"/>
        </w:rPr>
        <w:t xml:space="preserve">1.3  </w:t>
      </w:r>
      <w:bookmarkEnd w:id="162"/>
      <w:r>
        <w:rPr>
          <w:rFonts w:hint="eastAsia" w:ascii="宋体" w:hAnsi="宋体" w:cs="宋体"/>
          <w:b/>
          <w:kern w:val="2"/>
          <w:sz w:val="21"/>
          <w:szCs w:val="21"/>
          <w:lang w:eastAsia="zh-CN"/>
        </w:rPr>
        <w:t>竞争性比选</w:t>
      </w:r>
      <w:r>
        <w:rPr>
          <w:rFonts w:hint="eastAsia" w:ascii="宋体" w:hAnsi="宋体" w:eastAsia="宋体" w:cs="宋体"/>
          <w:b/>
          <w:kern w:val="2"/>
          <w:sz w:val="21"/>
          <w:szCs w:val="21"/>
        </w:rPr>
        <w:t>范围、</w:t>
      </w:r>
      <w:r>
        <w:rPr>
          <w:rFonts w:hint="eastAsia" w:ascii="宋体" w:hAnsi="宋体" w:cs="宋体"/>
          <w:b/>
          <w:kern w:val="2"/>
          <w:sz w:val="21"/>
          <w:szCs w:val="21"/>
          <w:lang w:val="en-US" w:eastAsia="zh-CN"/>
        </w:rPr>
        <w:t>工期</w:t>
      </w:r>
      <w:r>
        <w:rPr>
          <w:rFonts w:hint="eastAsia" w:ascii="宋体" w:hAnsi="宋体" w:eastAsia="宋体" w:cs="宋体"/>
          <w:b/>
          <w:kern w:val="2"/>
          <w:sz w:val="21"/>
          <w:szCs w:val="21"/>
        </w:rPr>
        <w:t>和质量要求</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1.3.1  </w:t>
      </w:r>
      <w:r>
        <w:rPr>
          <w:rFonts w:hint="eastAsia" w:ascii="宋体" w:hAnsi="宋体" w:eastAsia="宋体" w:cs="宋体"/>
          <w:kern w:val="0"/>
          <w:sz w:val="21"/>
          <w:szCs w:val="21"/>
          <w:lang w:val="en-US" w:eastAsia="zh-CN" w:bidi="ar"/>
        </w:rPr>
        <w:t>本次</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范围：见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1.3.2  </w:t>
      </w:r>
      <w:r>
        <w:rPr>
          <w:rFonts w:hint="eastAsia" w:ascii="宋体" w:hAnsi="宋体" w:eastAsia="宋体" w:cs="宋体"/>
          <w:kern w:val="0"/>
          <w:sz w:val="21"/>
          <w:szCs w:val="21"/>
          <w:lang w:val="en-US" w:eastAsia="zh-CN" w:bidi="ar"/>
        </w:rPr>
        <w:t>本项目的</w:t>
      </w:r>
      <w:r>
        <w:rPr>
          <w:rFonts w:hint="eastAsia" w:ascii="宋体" w:hAnsi="宋体" w:cs="宋体"/>
          <w:kern w:val="0"/>
          <w:sz w:val="21"/>
          <w:szCs w:val="21"/>
          <w:lang w:val="en-US" w:eastAsia="zh-CN" w:bidi="ar"/>
        </w:rPr>
        <w:t>计划工期</w:t>
      </w:r>
      <w:r>
        <w:rPr>
          <w:rFonts w:hint="eastAsia" w:ascii="宋体" w:hAnsi="宋体" w:eastAsia="宋体" w:cs="宋体"/>
          <w:kern w:val="0"/>
          <w:sz w:val="21"/>
          <w:szCs w:val="21"/>
          <w:lang w:val="en-US" w:eastAsia="zh-CN" w:bidi="ar"/>
        </w:rPr>
        <w:t>：见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宋体"/>
          <w:kern w:val="0"/>
          <w:sz w:val="21"/>
          <w:szCs w:val="21"/>
          <w:lang w:val="en-US" w:eastAsia="zh-CN" w:bidi="ar"/>
        </w:rPr>
      </w:pPr>
      <w:r>
        <w:rPr>
          <w:rFonts w:hint="eastAsia" w:ascii="宋体" w:hAnsi="宋体" w:eastAsia="宋体" w:cs="Calibri"/>
          <w:kern w:val="0"/>
          <w:sz w:val="21"/>
          <w:szCs w:val="21"/>
          <w:lang w:val="en-US" w:eastAsia="zh-CN" w:bidi="ar"/>
        </w:rPr>
        <w:t xml:space="preserve">1.3.3  </w:t>
      </w:r>
      <w:r>
        <w:rPr>
          <w:rFonts w:hint="eastAsia" w:ascii="宋体" w:hAnsi="宋体" w:eastAsia="宋体" w:cs="宋体"/>
          <w:kern w:val="0"/>
          <w:sz w:val="21"/>
          <w:szCs w:val="21"/>
          <w:lang w:val="en-US" w:eastAsia="zh-CN" w:bidi="ar"/>
        </w:rPr>
        <w:t>本项目的质量要求：见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default"/>
          <w:lang w:val="en-US"/>
        </w:rPr>
      </w:pPr>
      <w:r>
        <w:rPr>
          <w:rFonts w:hint="eastAsia" w:ascii="宋体" w:hAnsi="宋体" w:eastAsia="宋体" w:cs="Calibri"/>
          <w:kern w:val="0"/>
          <w:sz w:val="21"/>
          <w:szCs w:val="21"/>
          <w:lang w:val="en-US" w:eastAsia="zh-CN" w:bidi="ar"/>
        </w:rPr>
        <w:t>1.3.</w:t>
      </w:r>
      <w:r>
        <w:rPr>
          <w:rFonts w:hint="eastAsia" w:ascii="宋体" w:hAnsi="宋体" w:cs="Calibri"/>
          <w:kern w:val="0"/>
          <w:sz w:val="21"/>
          <w:szCs w:val="21"/>
          <w:lang w:val="en-US" w:eastAsia="zh-CN" w:bidi="ar"/>
        </w:rPr>
        <w:t>4</w:t>
      </w:r>
      <w:r>
        <w:rPr>
          <w:rFonts w:hint="eastAsia" w:ascii="宋体" w:hAnsi="宋体"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本项目的</w:t>
      </w:r>
      <w:r>
        <w:rPr>
          <w:rFonts w:hint="eastAsia" w:ascii="宋体" w:hAnsi="宋体" w:cs="宋体"/>
          <w:kern w:val="0"/>
          <w:sz w:val="21"/>
          <w:szCs w:val="21"/>
          <w:lang w:val="en-US" w:eastAsia="zh-CN" w:bidi="ar"/>
        </w:rPr>
        <w:t>安全目标</w:t>
      </w:r>
      <w:r>
        <w:rPr>
          <w:rFonts w:hint="eastAsia" w:ascii="宋体" w:hAnsi="宋体" w:eastAsia="宋体" w:cs="宋体"/>
          <w:kern w:val="0"/>
          <w:sz w:val="21"/>
          <w:szCs w:val="21"/>
          <w:lang w:val="en-US" w:eastAsia="zh-CN" w:bidi="ar"/>
        </w:rPr>
        <w:t>：见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163" w:name="_Toc287607751"/>
      <w:bookmarkEnd w:id="163"/>
      <w:bookmarkStart w:id="164" w:name="_Toc15725"/>
      <w:bookmarkEnd w:id="164"/>
      <w:bookmarkStart w:id="165" w:name="_Toc40780258"/>
      <w:bookmarkEnd w:id="165"/>
      <w:bookmarkStart w:id="166" w:name="_Toc4662146"/>
      <w:bookmarkEnd w:id="166"/>
      <w:bookmarkStart w:id="167" w:name="_Toc4661432"/>
      <w:bookmarkEnd w:id="167"/>
      <w:bookmarkStart w:id="168" w:name="_Toc4661910"/>
      <w:bookmarkEnd w:id="168"/>
      <w:bookmarkStart w:id="169" w:name="_Toc200513131"/>
      <w:bookmarkEnd w:id="169"/>
      <w:bookmarkStart w:id="170" w:name="_Toc40455649"/>
      <w:bookmarkEnd w:id="170"/>
      <w:bookmarkStart w:id="171" w:name="_Toc224103322"/>
      <w:bookmarkEnd w:id="171"/>
      <w:bookmarkStart w:id="172" w:name="_Toc4661674"/>
      <w:bookmarkEnd w:id="172"/>
      <w:bookmarkStart w:id="173" w:name="_Toc40455276"/>
      <w:bookmarkEnd w:id="173"/>
      <w:bookmarkStart w:id="174" w:name="_Toc277082557"/>
      <w:r>
        <w:rPr>
          <w:rFonts w:hint="eastAsia" w:ascii="宋体" w:hAnsi="宋体" w:eastAsia="宋体" w:cs="Times New Roman"/>
          <w:b/>
          <w:kern w:val="2"/>
          <w:sz w:val="21"/>
          <w:szCs w:val="21"/>
        </w:rPr>
        <w:t xml:space="preserve">1.4  </w:t>
      </w:r>
      <w:bookmarkEnd w:id="174"/>
      <w:r>
        <w:rPr>
          <w:rFonts w:hint="eastAsia" w:ascii="宋体" w:hAnsi="宋体" w:cs="宋体"/>
          <w:b/>
          <w:kern w:val="2"/>
          <w:sz w:val="21"/>
          <w:szCs w:val="21"/>
          <w:lang w:eastAsia="zh-CN"/>
        </w:rPr>
        <w:t>报价人</w:t>
      </w:r>
      <w:r>
        <w:rPr>
          <w:rFonts w:hint="eastAsia" w:ascii="宋体" w:hAnsi="宋体" w:eastAsia="宋体" w:cs="宋体"/>
          <w:b/>
          <w:kern w:val="2"/>
          <w:sz w:val="21"/>
          <w:szCs w:val="21"/>
        </w:rPr>
        <w:t>资格要求</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1.4.1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应具备承担本项目的资质条件、能力和信誉。</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1</w:t>
      </w:r>
      <w:r>
        <w:rPr>
          <w:rFonts w:hint="eastAsia" w:ascii="宋体" w:hAnsi="宋体" w:eastAsia="宋体" w:cs="宋体"/>
          <w:kern w:val="0"/>
          <w:sz w:val="21"/>
          <w:szCs w:val="21"/>
          <w:lang w:val="en-US" w:eastAsia="zh-CN" w:bidi="ar"/>
        </w:rPr>
        <w:t>）</w:t>
      </w:r>
      <w:r>
        <w:rPr>
          <w:rFonts w:hint="eastAsia" w:ascii="宋体" w:hAnsi="宋体" w:eastAsia="宋体" w:cs="宋体"/>
          <w:kern w:val="2"/>
          <w:sz w:val="21"/>
          <w:szCs w:val="21"/>
          <w:lang w:val="en-US" w:eastAsia="zh-CN" w:bidi="ar"/>
        </w:rPr>
        <w:t>营业执照、资质要求</w:t>
      </w:r>
      <w:r>
        <w:rPr>
          <w:rFonts w:hint="eastAsia" w:ascii="宋体" w:hAnsi="宋体" w:eastAsia="宋体" w:cs="宋体"/>
          <w:kern w:val="0"/>
          <w:sz w:val="21"/>
          <w:szCs w:val="21"/>
          <w:lang w:val="en-US" w:eastAsia="zh-CN" w:bidi="ar"/>
        </w:rPr>
        <w:t>：见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2</w:t>
      </w:r>
      <w:r>
        <w:rPr>
          <w:rFonts w:hint="eastAsia" w:ascii="宋体" w:hAnsi="宋体" w:eastAsia="宋体" w:cs="宋体"/>
          <w:kern w:val="0"/>
          <w:sz w:val="21"/>
          <w:szCs w:val="21"/>
          <w:lang w:val="en-US" w:eastAsia="zh-CN" w:bidi="ar"/>
        </w:rPr>
        <w:t>）业绩要求：见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3</w:t>
      </w:r>
      <w:r>
        <w:rPr>
          <w:rFonts w:hint="eastAsia" w:ascii="宋体" w:hAnsi="宋体" w:eastAsia="宋体" w:cs="宋体"/>
          <w:kern w:val="0"/>
          <w:sz w:val="21"/>
          <w:szCs w:val="21"/>
          <w:lang w:val="en-US" w:eastAsia="zh-CN" w:bidi="ar"/>
        </w:rPr>
        <w:t>）财务要求：见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Calibri"/>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4</w:t>
      </w:r>
      <w:r>
        <w:rPr>
          <w:rFonts w:hint="eastAsia" w:ascii="宋体" w:hAnsi="宋体" w:eastAsia="宋体" w:cs="宋体"/>
          <w:kern w:val="0"/>
          <w:sz w:val="21"/>
          <w:szCs w:val="21"/>
          <w:lang w:val="en-US" w:eastAsia="zh-CN" w:bidi="ar"/>
        </w:rPr>
        <w:t>）项目主要人员要求：见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5</w:t>
      </w:r>
      <w:r>
        <w:rPr>
          <w:rFonts w:hint="eastAsia" w:ascii="宋体" w:hAnsi="宋体" w:eastAsia="宋体" w:cs="宋体"/>
          <w:kern w:val="0"/>
          <w:sz w:val="21"/>
          <w:szCs w:val="21"/>
          <w:lang w:val="en-US" w:eastAsia="zh-CN" w:bidi="ar"/>
        </w:rPr>
        <w:t>）</w:t>
      </w:r>
      <w:r>
        <w:rPr>
          <w:rFonts w:hint="eastAsia" w:ascii="宋体" w:hAnsi="宋体" w:cs="宋体"/>
          <w:kern w:val="0"/>
          <w:sz w:val="21"/>
          <w:szCs w:val="21"/>
          <w:lang w:val="en-US" w:eastAsia="zh-CN" w:bidi="ar"/>
        </w:rPr>
        <w:t>信誉</w:t>
      </w:r>
      <w:r>
        <w:rPr>
          <w:rFonts w:hint="eastAsia" w:ascii="宋体" w:hAnsi="宋体" w:eastAsia="宋体" w:cs="宋体"/>
          <w:kern w:val="0"/>
          <w:sz w:val="21"/>
          <w:szCs w:val="21"/>
          <w:lang w:val="en-US" w:eastAsia="zh-CN" w:bidi="ar"/>
        </w:rPr>
        <w:t>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rPr>
      </w:pPr>
      <w:r>
        <w:rPr>
          <w:rFonts w:hint="eastAsia" w:ascii="宋体" w:hAnsi="宋体" w:eastAsia="宋体" w:cs="宋体"/>
          <w:kern w:val="0"/>
          <w:sz w:val="21"/>
          <w:szCs w:val="21"/>
          <w:lang w:val="en-US" w:eastAsia="zh-CN" w:bidi="ar"/>
        </w:rPr>
        <w:t>（</w:t>
      </w:r>
      <w:r>
        <w:rPr>
          <w:rFonts w:hint="eastAsia" w:ascii="宋体" w:hAnsi="宋体" w:cs="Calibri"/>
          <w:kern w:val="0"/>
          <w:sz w:val="21"/>
          <w:szCs w:val="21"/>
          <w:lang w:val="en-US" w:eastAsia="zh-CN" w:bidi="ar"/>
        </w:rPr>
        <w:t>6</w:t>
      </w:r>
      <w:r>
        <w:rPr>
          <w:rFonts w:hint="eastAsia" w:ascii="宋体" w:hAnsi="宋体" w:eastAsia="宋体" w:cs="宋体"/>
          <w:kern w:val="0"/>
          <w:sz w:val="21"/>
          <w:szCs w:val="21"/>
          <w:lang w:val="en-US" w:eastAsia="zh-CN" w:bidi="ar"/>
        </w:rPr>
        <w:t>）其他要求：见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1.4.2  </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前附表规定接受联合体投标的，除应符合本章第</w:t>
      </w:r>
      <w:r>
        <w:rPr>
          <w:rFonts w:hint="eastAsia" w:ascii="宋体" w:hAnsi="宋体" w:eastAsia="宋体" w:cs="Calibri"/>
          <w:kern w:val="0"/>
          <w:sz w:val="21"/>
          <w:szCs w:val="21"/>
          <w:lang w:val="en-US" w:eastAsia="zh-CN" w:bidi="ar"/>
        </w:rPr>
        <w:t>1.4.1</w:t>
      </w:r>
      <w:r>
        <w:rPr>
          <w:rFonts w:hint="eastAsia" w:ascii="宋体" w:hAnsi="宋体" w:eastAsia="宋体" w:cs="宋体"/>
          <w:kern w:val="0"/>
          <w:sz w:val="21"/>
          <w:szCs w:val="21"/>
          <w:lang w:val="en-US" w:eastAsia="zh-CN" w:bidi="ar"/>
        </w:rPr>
        <w:t>项和</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前附表的要求外，还应遵守以下规定：</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1</w:t>
      </w:r>
      <w:r>
        <w:rPr>
          <w:rFonts w:hint="eastAsia" w:ascii="宋体" w:hAnsi="宋体" w:eastAsia="宋体" w:cs="宋体"/>
          <w:kern w:val="0"/>
          <w:sz w:val="21"/>
          <w:szCs w:val="21"/>
          <w:lang w:val="en-US" w:eastAsia="zh-CN" w:bidi="ar"/>
        </w:rPr>
        <w:t>）联合体各方应按</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文件提供的格式签订联合体协议书，明确联合体牵头人和各方权利义务；</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2</w:t>
      </w:r>
      <w:r>
        <w:rPr>
          <w:rFonts w:hint="eastAsia" w:ascii="宋体" w:hAnsi="宋体" w:eastAsia="宋体" w:cs="宋体"/>
          <w:kern w:val="0"/>
          <w:sz w:val="21"/>
          <w:szCs w:val="21"/>
          <w:lang w:val="en-US" w:eastAsia="zh-CN" w:bidi="ar"/>
        </w:rPr>
        <w:t>）由同一专业的单位组成的联合体，按照资质等级较低的单位确定资质等级；</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3</w:t>
      </w:r>
      <w:r>
        <w:rPr>
          <w:rFonts w:hint="eastAsia" w:ascii="宋体" w:hAnsi="宋体" w:eastAsia="宋体" w:cs="宋体"/>
          <w:kern w:val="0"/>
          <w:sz w:val="21"/>
          <w:szCs w:val="21"/>
          <w:lang w:val="en-US" w:eastAsia="zh-CN" w:bidi="ar"/>
        </w:rPr>
        <w:t>）联合体各方不得再以自己名义单独或参加其他联合体在同一项目中投标。</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1.4.3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不得存在下列情形之一：</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bookmarkStart w:id="175" w:name="_Toc4661433"/>
      <w:bookmarkEnd w:id="175"/>
      <w:bookmarkStart w:id="176" w:name="_Toc40455277"/>
      <w:bookmarkEnd w:id="176"/>
      <w:bookmarkStart w:id="177" w:name="_Toc4661675"/>
      <w:bookmarkEnd w:id="177"/>
      <w:bookmarkStart w:id="178" w:name="_Toc287607752"/>
      <w:bookmarkEnd w:id="178"/>
      <w:bookmarkStart w:id="179" w:name="_Toc40780259"/>
      <w:bookmarkEnd w:id="179"/>
      <w:bookmarkStart w:id="180" w:name="_Toc4661911"/>
      <w:bookmarkEnd w:id="180"/>
      <w:bookmarkStart w:id="181" w:name="_Toc224103323"/>
      <w:bookmarkEnd w:id="181"/>
      <w:bookmarkStart w:id="182" w:name="_Toc277082558"/>
      <w:bookmarkEnd w:id="182"/>
      <w:bookmarkStart w:id="183" w:name="_Toc40455650"/>
      <w:bookmarkEnd w:id="183"/>
      <w:bookmarkStart w:id="184" w:name="_Toc4662147"/>
      <w:bookmarkEnd w:id="184"/>
      <w:bookmarkStart w:id="185" w:name="_Toc200513132"/>
      <w:bookmarkEnd w:id="185"/>
      <w:bookmarkStart w:id="186" w:name="_Toc23688"/>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1）与</w:t>
      </w:r>
      <w:r>
        <w:rPr>
          <w:rFonts w:hint="eastAsia" w:ascii="宋体" w:hAnsi="宋体" w:cs="MingLiU"/>
          <w:kern w:val="0"/>
          <w:sz w:val="21"/>
          <w:szCs w:val="21"/>
          <w:lang w:val="en-US" w:eastAsia="zh-CN" w:bidi="ar"/>
        </w:rPr>
        <w:t>采购人</w:t>
      </w:r>
      <w:r>
        <w:rPr>
          <w:rFonts w:hint="eastAsia" w:ascii="宋体" w:hAnsi="宋体" w:eastAsia="宋体" w:cs="MingLiU"/>
          <w:kern w:val="0"/>
          <w:sz w:val="21"/>
          <w:szCs w:val="21"/>
          <w:lang w:val="en-US" w:eastAsia="zh-CN" w:bidi="ar"/>
        </w:rPr>
        <w:t>存在利害关系且可能影响</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公正性；</w:t>
      </w:r>
      <w:bookmarkEnd w:id="186"/>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2）与本</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项目的其他</w:t>
      </w:r>
      <w:r>
        <w:rPr>
          <w:rFonts w:hint="eastAsia" w:ascii="宋体" w:hAnsi="宋体" w:cs="MingLiU"/>
          <w:kern w:val="0"/>
          <w:sz w:val="21"/>
          <w:szCs w:val="21"/>
          <w:lang w:val="en-US" w:eastAsia="zh-CN" w:bidi="ar"/>
        </w:rPr>
        <w:t>报价人</w:t>
      </w:r>
      <w:r>
        <w:rPr>
          <w:rFonts w:hint="eastAsia" w:ascii="宋体" w:hAnsi="宋体" w:eastAsia="宋体" w:cs="MingLiU"/>
          <w:kern w:val="0"/>
          <w:sz w:val="21"/>
          <w:szCs w:val="21"/>
          <w:lang w:val="en-US" w:eastAsia="zh-CN" w:bidi="ar"/>
        </w:rPr>
        <w:t>为同一个单位负责人；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3）与本</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项目的其他</w:t>
      </w:r>
      <w:r>
        <w:rPr>
          <w:rFonts w:hint="eastAsia" w:ascii="宋体" w:hAnsi="宋体" w:cs="MingLiU"/>
          <w:kern w:val="0"/>
          <w:sz w:val="21"/>
          <w:szCs w:val="21"/>
          <w:lang w:val="en-US" w:eastAsia="zh-CN" w:bidi="ar"/>
        </w:rPr>
        <w:t>报价人</w:t>
      </w:r>
      <w:r>
        <w:rPr>
          <w:rFonts w:hint="eastAsia" w:ascii="宋体" w:hAnsi="宋体" w:eastAsia="宋体" w:cs="MingLiU"/>
          <w:kern w:val="0"/>
          <w:sz w:val="21"/>
          <w:szCs w:val="21"/>
          <w:lang w:val="en-US" w:eastAsia="zh-CN" w:bidi="ar"/>
        </w:rPr>
        <w:t>存在控股、管理关系；</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4）被依法暂停或者取消投标资格；</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5）被责令停产停业、暂扣或者吊销许可证、暂扣或者吊销执照；</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6）进入清算程序，或被宣告破产，或其他丧失履约能力的情形；</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7）在最近三年内发生重大产品质量问题；</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8）被工商行政管理机关在全国企业信用信息公示系统中列入严重违法失信企业名单；</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9）在“信用中国”网站（www.creditchina.gov.cn）中被列入失信惩戒对象名单；</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10）在国家企业信用信息公示系统（http://www.gsxt.gov.cn/）中被列入严重违法失信企业名单；</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11）2018年1月1日至投标截止日止</w:t>
      </w:r>
      <w:r>
        <w:rPr>
          <w:rFonts w:hint="eastAsia" w:ascii="宋体" w:hAnsi="宋体" w:cs="MingLiU"/>
          <w:kern w:val="0"/>
          <w:sz w:val="21"/>
          <w:szCs w:val="21"/>
          <w:lang w:val="en-US" w:eastAsia="zh-CN" w:bidi="ar"/>
        </w:rPr>
        <w:t>报价人</w:t>
      </w:r>
      <w:r>
        <w:rPr>
          <w:rFonts w:hint="eastAsia" w:ascii="宋体" w:hAnsi="宋体" w:eastAsia="宋体" w:cs="MingLiU"/>
          <w:kern w:val="0"/>
          <w:sz w:val="21"/>
          <w:szCs w:val="21"/>
          <w:lang w:val="en-US" w:eastAsia="zh-CN" w:bidi="ar"/>
        </w:rPr>
        <w:t>或其法定代表人有行贿犯罪行为的；</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12）有过以他人名义投标或以其他方式弄虚作假，骗取中标行为；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13）财产被重组、接管、查封、扣押或冻结的；</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14）被国家、重庆市（含市或任意区县）有关行政部门处以暂停投标资格行政处罚，且在处罚期限内；</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15）法律法规或</w:t>
      </w:r>
      <w:r>
        <w:rPr>
          <w:rFonts w:hint="eastAsia" w:ascii="宋体" w:hAnsi="宋体" w:cs="MingLiU"/>
          <w:kern w:val="0"/>
          <w:sz w:val="21"/>
          <w:szCs w:val="21"/>
          <w:lang w:val="en-US" w:eastAsia="zh-CN" w:bidi="ar"/>
        </w:rPr>
        <w:t>报价人须知</w:t>
      </w:r>
      <w:r>
        <w:rPr>
          <w:rFonts w:hint="eastAsia" w:ascii="宋体" w:hAnsi="宋体" w:eastAsia="宋体" w:cs="MingLiU"/>
          <w:kern w:val="0"/>
          <w:sz w:val="21"/>
          <w:szCs w:val="21"/>
          <w:lang w:val="en-US" w:eastAsia="zh-CN" w:bidi="ar"/>
        </w:rPr>
        <w:t>前附表规定的其他情形。</w:t>
      </w:r>
    </w:p>
    <w:p>
      <w:pPr>
        <w:pStyle w:val="5"/>
        <w:widowControl/>
        <w:spacing w:before="0" w:beforeAutospacing="0" w:after="0" w:afterAutospacing="0" w:line="300" w:lineRule="exact"/>
        <w:rPr>
          <w:rFonts w:hint="eastAsia" w:ascii="宋体" w:hAnsi="宋体" w:eastAsia="宋体" w:cs="Times New Roman"/>
          <w:b/>
          <w:kern w:val="2"/>
          <w:sz w:val="21"/>
          <w:szCs w:val="21"/>
        </w:rPr>
      </w:pPr>
      <w:r>
        <w:rPr>
          <w:rFonts w:hint="eastAsia" w:ascii="宋体" w:hAnsi="宋体" w:eastAsia="宋体" w:cs="Times New Roman"/>
          <w:b/>
          <w:kern w:val="2"/>
          <w:sz w:val="21"/>
          <w:szCs w:val="21"/>
        </w:rPr>
        <w:t>1.5  费用承担</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准备和参加</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活动发生的费用自理。</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187" w:name="_Toc4661434"/>
      <w:bookmarkEnd w:id="187"/>
      <w:bookmarkStart w:id="188" w:name="_Toc4661676"/>
      <w:bookmarkEnd w:id="188"/>
      <w:bookmarkStart w:id="189" w:name="_Toc277082559"/>
      <w:bookmarkEnd w:id="189"/>
      <w:bookmarkStart w:id="190" w:name="_Toc287607753"/>
      <w:bookmarkEnd w:id="190"/>
      <w:bookmarkStart w:id="191" w:name="_Toc706"/>
      <w:bookmarkEnd w:id="191"/>
      <w:bookmarkStart w:id="192" w:name="_Toc200513133"/>
      <w:bookmarkEnd w:id="192"/>
      <w:bookmarkStart w:id="193" w:name="_Toc40455278"/>
      <w:bookmarkEnd w:id="193"/>
      <w:bookmarkStart w:id="194" w:name="_Toc40455651"/>
      <w:bookmarkEnd w:id="194"/>
      <w:bookmarkStart w:id="195" w:name="_Toc4662148"/>
      <w:bookmarkEnd w:id="195"/>
      <w:bookmarkStart w:id="196" w:name="_Toc224103324"/>
      <w:bookmarkEnd w:id="196"/>
      <w:bookmarkStart w:id="197" w:name="_Toc4661912"/>
      <w:bookmarkEnd w:id="197"/>
      <w:bookmarkStart w:id="198" w:name="_Toc40780260"/>
      <w:r>
        <w:rPr>
          <w:rFonts w:hint="eastAsia" w:ascii="宋体" w:hAnsi="宋体" w:eastAsia="宋体" w:cs="Times New Roman"/>
          <w:b/>
          <w:kern w:val="2"/>
          <w:sz w:val="21"/>
          <w:szCs w:val="21"/>
        </w:rPr>
        <w:t xml:space="preserve">1.6  </w:t>
      </w:r>
      <w:bookmarkEnd w:id="198"/>
      <w:r>
        <w:rPr>
          <w:rFonts w:hint="eastAsia" w:ascii="宋体" w:hAnsi="宋体" w:eastAsia="宋体" w:cs="宋体"/>
          <w:b/>
          <w:kern w:val="2"/>
          <w:sz w:val="21"/>
          <w:szCs w:val="21"/>
        </w:rPr>
        <w:t>保密</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参与</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投标活动的各方应对</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文件和</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中的商业和技术等秘密保密，违者应对由此造成的后果承担法律责任。</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199" w:name="_Toc287607754"/>
      <w:bookmarkEnd w:id="199"/>
      <w:bookmarkStart w:id="200" w:name="_Toc4661435"/>
      <w:bookmarkEnd w:id="200"/>
      <w:bookmarkStart w:id="201" w:name="_Toc40455652"/>
      <w:bookmarkEnd w:id="201"/>
      <w:bookmarkStart w:id="202" w:name="_Toc40455279"/>
      <w:bookmarkEnd w:id="202"/>
      <w:bookmarkStart w:id="203" w:name="_Toc4264"/>
      <w:bookmarkEnd w:id="203"/>
      <w:bookmarkStart w:id="204" w:name="_Toc224103325"/>
      <w:bookmarkEnd w:id="204"/>
      <w:bookmarkStart w:id="205" w:name="_Toc40780261"/>
      <w:bookmarkEnd w:id="205"/>
      <w:bookmarkStart w:id="206" w:name="_Toc277082560"/>
      <w:bookmarkEnd w:id="206"/>
      <w:bookmarkStart w:id="207" w:name="_Toc4661913"/>
      <w:bookmarkEnd w:id="207"/>
      <w:bookmarkStart w:id="208" w:name="_Toc4661677"/>
      <w:bookmarkEnd w:id="208"/>
      <w:bookmarkStart w:id="209" w:name="_Toc200513134"/>
      <w:bookmarkEnd w:id="209"/>
      <w:bookmarkStart w:id="210" w:name="_Toc4662149"/>
      <w:r>
        <w:rPr>
          <w:rFonts w:hint="eastAsia" w:ascii="宋体" w:hAnsi="宋体" w:eastAsia="宋体" w:cs="Times New Roman"/>
          <w:b/>
          <w:kern w:val="2"/>
          <w:sz w:val="21"/>
          <w:szCs w:val="21"/>
        </w:rPr>
        <w:t xml:space="preserve">1.7  </w:t>
      </w:r>
      <w:bookmarkEnd w:id="210"/>
      <w:r>
        <w:rPr>
          <w:rFonts w:hint="eastAsia" w:ascii="宋体" w:hAnsi="宋体" w:eastAsia="宋体" w:cs="宋体"/>
          <w:b/>
          <w:kern w:val="2"/>
          <w:sz w:val="21"/>
          <w:szCs w:val="21"/>
        </w:rPr>
        <w:t>语言文字</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除专用术语外，与</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投标有关的语言均使用中文。必要时专用术语应附有中文注释。</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211" w:name="_Toc4662150"/>
      <w:bookmarkEnd w:id="211"/>
      <w:bookmarkStart w:id="212" w:name="_Toc4661436"/>
      <w:bookmarkEnd w:id="212"/>
      <w:bookmarkStart w:id="213" w:name="_Toc224103326"/>
      <w:bookmarkEnd w:id="213"/>
      <w:bookmarkStart w:id="214" w:name="_Toc4661678"/>
      <w:bookmarkEnd w:id="214"/>
      <w:bookmarkStart w:id="215" w:name="_Toc277082561"/>
      <w:bookmarkEnd w:id="215"/>
      <w:bookmarkStart w:id="216" w:name="_Toc934"/>
      <w:bookmarkEnd w:id="216"/>
      <w:bookmarkStart w:id="217" w:name="_Toc40455280"/>
      <w:bookmarkEnd w:id="217"/>
      <w:bookmarkStart w:id="218" w:name="_Toc40455653"/>
      <w:bookmarkEnd w:id="218"/>
      <w:bookmarkStart w:id="219" w:name="_Toc200513135"/>
      <w:bookmarkEnd w:id="219"/>
      <w:bookmarkStart w:id="220" w:name="_Toc287607755"/>
      <w:bookmarkEnd w:id="220"/>
      <w:bookmarkStart w:id="221" w:name="_Toc40780262"/>
      <w:bookmarkEnd w:id="221"/>
      <w:bookmarkStart w:id="222" w:name="_Toc4661914"/>
      <w:r>
        <w:rPr>
          <w:rFonts w:hint="eastAsia" w:ascii="宋体" w:hAnsi="宋体" w:eastAsia="宋体" w:cs="Times New Roman"/>
          <w:b/>
          <w:kern w:val="2"/>
          <w:sz w:val="21"/>
          <w:szCs w:val="21"/>
        </w:rPr>
        <w:t xml:space="preserve">1.8  </w:t>
      </w:r>
      <w:bookmarkEnd w:id="222"/>
      <w:r>
        <w:rPr>
          <w:rFonts w:hint="eastAsia" w:ascii="宋体" w:hAnsi="宋体" w:eastAsia="宋体" w:cs="宋体"/>
          <w:b/>
          <w:kern w:val="2"/>
          <w:sz w:val="21"/>
          <w:szCs w:val="21"/>
        </w:rPr>
        <w:t>计量单位</w:t>
      </w:r>
    </w:p>
    <w:p>
      <w:pPr>
        <w:keepNext w:val="0"/>
        <w:keepLines w:val="0"/>
        <w:widowControl w:val="0"/>
        <w:suppressLineNumbers w:val="0"/>
        <w:autoSpaceDE w:val="0"/>
        <w:autoSpaceDN w:val="0"/>
        <w:adjustRightInd w:val="0"/>
        <w:spacing w:before="0" w:beforeAutospacing="0" w:after="0" w:afterAutospacing="0" w:line="300" w:lineRule="exact"/>
        <w:ind w:left="0" w:right="0" w:firstLine="424" w:firstLineChars="202"/>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所有计量均采用中华人民共和国法定计量单位。</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223" w:name="_Toc40455654"/>
      <w:bookmarkEnd w:id="223"/>
      <w:bookmarkStart w:id="224" w:name="_Toc4661679"/>
      <w:bookmarkEnd w:id="224"/>
      <w:bookmarkStart w:id="225" w:name="_Toc200513136"/>
      <w:bookmarkEnd w:id="225"/>
      <w:bookmarkStart w:id="226" w:name="_Toc277082562"/>
      <w:bookmarkEnd w:id="226"/>
      <w:bookmarkStart w:id="227" w:name="_Toc4662151"/>
      <w:bookmarkEnd w:id="227"/>
      <w:bookmarkStart w:id="228" w:name="_Toc4661437"/>
      <w:bookmarkEnd w:id="228"/>
      <w:bookmarkStart w:id="229" w:name="_Toc40455281"/>
      <w:bookmarkEnd w:id="229"/>
      <w:bookmarkStart w:id="230" w:name="_Toc224103327"/>
      <w:bookmarkEnd w:id="230"/>
      <w:bookmarkStart w:id="231" w:name="_Toc4661915"/>
      <w:bookmarkEnd w:id="231"/>
      <w:bookmarkStart w:id="232" w:name="_Toc287607756"/>
      <w:bookmarkEnd w:id="232"/>
      <w:bookmarkStart w:id="233" w:name="_Toc14666"/>
      <w:bookmarkEnd w:id="233"/>
      <w:bookmarkStart w:id="234" w:name="_Toc40780263"/>
      <w:r>
        <w:rPr>
          <w:rFonts w:hint="eastAsia" w:ascii="宋体" w:hAnsi="宋体" w:eastAsia="宋体" w:cs="Times New Roman"/>
          <w:b/>
          <w:kern w:val="2"/>
          <w:sz w:val="21"/>
          <w:szCs w:val="21"/>
        </w:rPr>
        <w:t xml:space="preserve">1.9  </w:t>
      </w:r>
      <w:bookmarkEnd w:id="234"/>
      <w:r>
        <w:rPr>
          <w:rFonts w:hint="eastAsia" w:ascii="宋体" w:hAnsi="宋体" w:eastAsia="宋体" w:cs="宋体"/>
          <w:b/>
          <w:kern w:val="2"/>
          <w:sz w:val="21"/>
          <w:szCs w:val="21"/>
        </w:rPr>
        <w:t>踏勘现场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 xml:space="preserve">1.9.1  </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前附表规定组织踏勘现场的，</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按</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前附表规定的时间、</w:t>
      </w:r>
      <w:r>
        <w:rPr>
          <w:rFonts w:hint="eastAsia" w:ascii="宋体" w:hAnsi="宋体" w:eastAsia="宋体" w:cs="MingLiU"/>
          <w:kern w:val="0"/>
          <w:sz w:val="21"/>
          <w:szCs w:val="21"/>
          <w:lang w:val="en-US" w:eastAsia="zh-CN" w:bidi="ar"/>
        </w:rPr>
        <w:t xml:space="preserve"> </w:t>
      </w:r>
      <w:r>
        <w:rPr>
          <w:rFonts w:hint="eastAsia" w:ascii="宋体" w:hAnsi="宋体" w:eastAsia="宋体" w:cs="宋体"/>
          <w:kern w:val="0"/>
          <w:sz w:val="21"/>
          <w:szCs w:val="21"/>
          <w:lang w:val="en-US" w:eastAsia="zh-CN" w:bidi="ar"/>
        </w:rPr>
        <w:t>地点组织</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踏勘项目现场。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 xml:space="preserve">1.9.2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踏勘现场发生的费用自理。</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 xml:space="preserve">1.9.3  </w:t>
      </w:r>
      <w:r>
        <w:rPr>
          <w:rFonts w:hint="eastAsia" w:ascii="宋体" w:hAnsi="宋体" w:eastAsia="宋体" w:cs="宋体"/>
          <w:kern w:val="0"/>
          <w:sz w:val="21"/>
          <w:szCs w:val="21"/>
          <w:lang w:val="en-US" w:eastAsia="zh-CN" w:bidi="ar"/>
        </w:rPr>
        <w:t>除</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的原因外，</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自行负责在踏勘现场中所发生的人员伤亡和财产损失。</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1.9.4  </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在踏勘现场中介绍的工程场地和相关的周边环境情况，供</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在编制投</w:t>
      </w:r>
      <w:r>
        <w:rPr>
          <w:rFonts w:hint="eastAsia" w:ascii="宋体" w:hAnsi="宋体"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标文件时参考，</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不对</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据此做出的判断和决策负责。</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235" w:name="_Toc4661438"/>
      <w:bookmarkEnd w:id="235"/>
      <w:bookmarkStart w:id="236" w:name="_Toc200513137"/>
      <w:bookmarkEnd w:id="236"/>
      <w:bookmarkStart w:id="237" w:name="_Toc4661680"/>
      <w:bookmarkEnd w:id="237"/>
      <w:bookmarkStart w:id="238" w:name="_Toc40780264"/>
      <w:bookmarkEnd w:id="238"/>
      <w:bookmarkStart w:id="239" w:name="_Toc224103328"/>
      <w:bookmarkEnd w:id="239"/>
      <w:bookmarkStart w:id="240" w:name="_Toc40455282"/>
      <w:bookmarkEnd w:id="240"/>
      <w:bookmarkStart w:id="241" w:name="_Toc32378"/>
      <w:bookmarkEnd w:id="241"/>
      <w:bookmarkStart w:id="242" w:name="_Toc4662152"/>
      <w:bookmarkEnd w:id="242"/>
      <w:bookmarkStart w:id="243" w:name="_Toc287607757"/>
      <w:bookmarkEnd w:id="243"/>
      <w:bookmarkStart w:id="244" w:name="_Toc277082563"/>
      <w:bookmarkEnd w:id="244"/>
      <w:bookmarkStart w:id="245" w:name="_Toc4661916"/>
      <w:bookmarkEnd w:id="245"/>
      <w:bookmarkStart w:id="246" w:name="_Toc40455655"/>
      <w:r>
        <w:rPr>
          <w:rFonts w:hint="eastAsia" w:ascii="宋体" w:hAnsi="宋体" w:eastAsia="宋体" w:cs="Times New Roman"/>
          <w:b/>
          <w:kern w:val="2"/>
          <w:sz w:val="21"/>
          <w:szCs w:val="21"/>
        </w:rPr>
        <w:t xml:space="preserve">1.10  </w:t>
      </w:r>
      <w:bookmarkEnd w:id="246"/>
      <w:r>
        <w:rPr>
          <w:rFonts w:hint="eastAsia" w:ascii="宋体" w:hAnsi="宋体" w:eastAsia="宋体" w:cs="宋体"/>
          <w:b/>
          <w:kern w:val="2"/>
          <w:sz w:val="21"/>
          <w:szCs w:val="21"/>
        </w:rPr>
        <w:t>投标预备会</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1.10.1  </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前附表规定召开投标预备会的，</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按</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前附表规定的时间和地点召开投标预备会，澄清</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提出的问题。</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1.10.2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应在</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前附表规定的时间前，以书面形式将提出的问题送达</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，以便</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在会议期间澄清。</w:t>
      </w:r>
    </w:p>
    <w:p>
      <w:pPr>
        <w:keepNext w:val="0"/>
        <w:keepLines w:val="0"/>
        <w:widowControl w:val="0"/>
        <w:suppressLineNumbers w:val="0"/>
        <w:autoSpaceDE w:val="0"/>
        <w:autoSpaceDN w:val="0"/>
        <w:adjustRightInd w:val="0"/>
        <w:spacing w:before="0" w:beforeAutospacing="0" w:after="0" w:afterAutospacing="0" w:line="300" w:lineRule="exact"/>
        <w:ind w:left="0" w:right="0" w:firstLine="424" w:firstLineChars="202"/>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1.10.3  </w:t>
      </w:r>
      <w:r>
        <w:rPr>
          <w:rFonts w:hint="eastAsia" w:ascii="宋体" w:hAnsi="宋体" w:eastAsia="宋体" w:cs="宋体"/>
          <w:kern w:val="0"/>
          <w:sz w:val="21"/>
          <w:szCs w:val="21"/>
          <w:lang w:val="en-US" w:eastAsia="zh-CN" w:bidi="ar"/>
        </w:rPr>
        <w:t>投标预备会后，</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在</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前附表规定的时间内，将对</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所提问题</w:t>
      </w:r>
      <w:r>
        <w:rPr>
          <w:rFonts w:hint="eastAsia" w:ascii="宋体" w:hAnsi="宋体" w:eastAsia="宋体" w:cs="宋体"/>
          <w:kern w:val="0"/>
          <w:position w:val="-2"/>
          <w:sz w:val="21"/>
          <w:szCs w:val="21"/>
          <w:lang w:val="en-US" w:eastAsia="zh-CN" w:bidi="ar"/>
        </w:rPr>
        <w:t>的澄清，以书面方式通知所有购买</w:t>
      </w:r>
      <w:r>
        <w:rPr>
          <w:rFonts w:hint="eastAsia" w:ascii="宋体" w:hAnsi="宋体" w:cs="宋体"/>
          <w:kern w:val="0"/>
          <w:position w:val="-2"/>
          <w:sz w:val="21"/>
          <w:szCs w:val="21"/>
          <w:lang w:val="en-US" w:eastAsia="zh-CN" w:bidi="ar"/>
        </w:rPr>
        <w:t>竞争性比选</w:t>
      </w:r>
      <w:r>
        <w:rPr>
          <w:rFonts w:hint="eastAsia" w:ascii="宋体" w:hAnsi="宋体" w:eastAsia="宋体" w:cs="宋体"/>
          <w:kern w:val="0"/>
          <w:position w:val="-2"/>
          <w:sz w:val="21"/>
          <w:szCs w:val="21"/>
          <w:lang w:val="en-US" w:eastAsia="zh-CN" w:bidi="ar"/>
        </w:rPr>
        <w:t>文件的</w:t>
      </w:r>
      <w:r>
        <w:rPr>
          <w:rFonts w:hint="eastAsia" w:ascii="宋体" w:hAnsi="宋体" w:cs="宋体"/>
          <w:kern w:val="0"/>
          <w:position w:val="-2"/>
          <w:sz w:val="21"/>
          <w:szCs w:val="21"/>
          <w:lang w:val="en-US" w:eastAsia="zh-CN" w:bidi="ar"/>
        </w:rPr>
        <w:t>报价人</w:t>
      </w:r>
      <w:r>
        <w:rPr>
          <w:rFonts w:hint="eastAsia" w:ascii="宋体" w:hAnsi="宋体" w:eastAsia="宋体" w:cs="宋体"/>
          <w:kern w:val="0"/>
          <w:position w:val="-2"/>
          <w:sz w:val="21"/>
          <w:szCs w:val="21"/>
          <w:lang w:val="en-US" w:eastAsia="zh-CN" w:bidi="ar"/>
        </w:rPr>
        <w:t>。该澄清内容为</w:t>
      </w:r>
      <w:r>
        <w:rPr>
          <w:rFonts w:hint="eastAsia" w:ascii="宋体" w:hAnsi="宋体" w:cs="宋体"/>
          <w:kern w:val="0"/>
          <w:position w:val="-2"/>
          <w:sz w:val="21"/>
          <w:szCs w:val="21"/>
          <w:lang w:val="en-US" w:eastAsia="zh-CN" w:bidi="ar"/>
        </w:rPr>
        <w:t>竞争性比选</w:t>
      </w:r>
      <w:r>
        <w:rPr>
          <w:rFonts w:hint="eastAsia" w:ascii="宋体" w:hAnsi="宋体" w:eastAsia="宋体" w:cs="宋体"/>
          <w:kern w:val="0"/>
          <w:position w:val="-2"/>
          <w:sz w:val="21"/>
          <w:szCs w:val="21"/>
          <w:lang w:val="en-US" w:eastAsia="zh-CN" w:bidi="ar"/>
        </w:rPr>
        <w:t>文件的组成部分。</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247" w:name="_Toc4661917"/>
      <w:bookmarkEnd w:id="247"/>
      <w:bookmarkStart w:id="248" w:name="_Toc1732"/>
      <w:bookmarkEnd w:id="248"/>
      <w:bookmarkStart w:id="249" w:name="_Toc4662153"/>
      <w:bookmarkEnd w:id="249"/>
      <w:bookmarkStart w:id="250" w:name="_Toc40455283"/>
      <w:bookmarkEnd w:id="250"/>
      <w:bookmarkStart w:id="251" w:name="_Toc277082564"/>
      <w:bookmarkEnd w:id="251"/>
      <w:bookmarkStart w:id="252" w:name="_Toc40780265"/>
      <w:bookmarkEnd w:id="252"/>
      <w:bookmarkStart w:id="253" w:name="_Toc224103329"/>
      <w:bookmarkEnd w:id="253"/>
      <w:bookmarkStart w:id="254" w:name="_Toc40455656"/>
      <w:bookmarkEnd w:id="254"/>
      <w:bookmarkStart w:id="255" w:name="_Toc287607758"/>
      <w:bookmarkEnd w:id="255"/>
      <w:bookmarkStart w:id="256" w:name="_Toc4661439"/>
      <w:bookmarkEnd w:id="256"/>
      <w:bookmarkStart w:id="257" w:name="_Toc4661681"/>
      <w:bookmarkEnd w:id="257"/>
      <w:bookmarkStart w:id="258" w:name="_Toc200513138"/>
      <w:r>
        <w:rPr>
          <w:rFonts w:hint="eastAsia" w:ascii="宋体" w:hAnsi="宋体" w:eastAsia="宋体" w:cs="Times New Roman"/>
          <w:b/>
          <w:kern w:val="2"/>
          <w:sz w:val="21"/>
          <w:szCs w:val="21"/>
        </w:rPr>
        <w:t xml:space="preserve">1.11  </w:t>
      </w:r>
      <w:bookmarkEnd w:id="258"/>
      <w:r>
        <w:rPr>
          <w:rFonts w:hint="eastAsia" w:ascii="宋体" w:hAnsi="宋体" w:eastAsia="宋体" w:cs="宋体"/>
          <w:b/>
          <w:kern w:val="2"/>
          <w:sz w:val="21"/>
          <w:szCs w:val="21"/>
        </w:rPr>
        <w:t>分包</w:t>
      </w:r>
    </w:p>
    <w:p>
      <w:pPr>
        <w:pStyle w:val="5"/>
        <w:widowControl/>
        <w:spacing w:before="0" w:beforeAutospacing="0" w:after="0" w:afterAutospacing="0" w:line="300" w:lineRule="exact"/>
        <w:rPr>
          <w:rFonts w:hint="eastAsia" w:ascii="宋体" w:hAnsi="宋体" w:eastAsia="宋体" w:cs="MingLiU"/>
          <w:b w:val="0"/>
          <w:kern w:val="0"/>
          <w:sz w:val="21"/>
          <w:szCs w:val="21"/>
        </w:rPr>
      </w:pPr>
      <w:bookmarkStart w:id="259" w:name="_Toc287607759"/>
      <w:bookmarkEnd w:id="259"/>
      <w:bookmarkStart w:id="260" w:name="_Toc4661682"/>
      <w:bookmarkEnd w:id="260"/>
      <w:bookmarkStart w:id="261" w:name="_Toc40455657"/>
      <w:bookmarkEnd w:id="261"/>
      <w:bookmarkStart w:id="262" w:name="_Toc40780266"/>
      <w:bookmarkEnd w:id="262"/>
      <w:bookmarkStart w:id="263" w:name="_Toc4661918"/>
      <w:bookmarkEnd w:id="263"/>
      <w:bookmarkStart w:id="264" w:name="_Toc4661440"/>
      <w:bookmarkEnd w:id="264"/>
      <w:bookmarkStart w:id="265" w:name="_Toc4662154"/>
      <w:bookmarkEnd w:id="265"/>
      <w:bookmarkStart w:id="266" w:name="_Toc1991"/>
      <w:bookmarkEnd w:id="266"/>
      <w:bookmarkStart w:id="267" w:name="_Toc200513139"/>
      <w:bookmarkEnd w:id="267"/>
      <w:bookmarkStart w:id="268" w:name="_Toc277082565"/>
      <w:bookmarkEnd w:id="268"/>
      <w:bookmarkStart w:id="269" w:name="_Toc40455284"/>
      <w:bookmarkEnd w:id="269"/>
      <w:bookmarkStart w:id="270" w:name="_Toc224103330"/>
      <w:r>
        <w:rPr>
          <w:rFonts w:hint="eastAsia" w:ascii="宋体" w:hAnsi="宋体" w:eastAsia="宋体" w:cs="MingLiU"/>
          <w:b w:val="0"/>
          <w:kern w:val="0"/>
          <w:sz w:val="21"/>
          <w:szCs w:val="21"/>
        </w:rPr>
        <w:t>1.11.1本项目</w:t>
      </w:r>
      <w:r>
        <w:rPr>
          <w:rFonts w:hint="eastAsia" w:ascii="宋体" w:hAnsi="宋体" w:cs="MingLiU"/>
          <w:b w:val="0"/>
          <w:kern w:val="0"/>
          <w:sz w:val="21"/>
          <w:szCs w:val="21"/>
          <w:lang w:eastAsia="zh-CN"/>
        </w:rPr>
        <w:t>竞争性比选</w:t>
      </w:r>
      <w:r>
        <w:rPr>
          <w:rFonts w:hint="eastAsia" w:ascii="宋体" w:hAnsi="宋体" w:eastAsia="宋体" w:cs="MingLiU"/>
          <w:b w:val="0"/>
          <w:kern w:val="0"/>
          <w:sz w:val="21"/>
          <w:szCs w:val="21"/>
        </w:rPr>
        <w:t>范围内的内容如需分包，分包单位的确定须</w:t>
      </w:r>
      <w:r>
        <w:rPr>
          <w:rFonts w:hint="eastAsia" w:ascii="宋体" w:hAnsi="宋体" w:cs="MingLiU"/>
          <w:b w:val="0"/>
          <w:kern w:val="0"/>
          <w:sz w:val="21"/>
          <w:szCs w:val="21"/>
          <w:lang w:eastAsia="zh-CN"/>
        </w:rPr>
        <w:t>采购人</w:t>
      </w:r>
      <w:r>
        <w:rPr>
          <w:rFonts w:hint="eastAsia" w:ascii="宋体" w:hAnsi="宋体" w:eastAsia="宋体" w:cs="MingLiU"/>
          <w:b w:val="0"/>
          <w:kern w:val="0"/>
          <w:sz w:val="21"/>
          <w:szCs w:val="21"/>
        </w:rPr>
        <w:t>书面批准同意。否则</w:t>
      </w:r>
      <w:r>
        <w:rPr>
          <w:rFonts w:hint="eastAsia" w:ascii="宋体" w:hAnsi="宋体" w:cs="MingLiU"/>
          <w:b w:val="0"/>
          <w:kern w:val="0"/>
          <w:sz w:val="21"/>
          <w:szCs w:val="21"/>
          <w:lang w:eastAsia="zh-CN"/>
        </w:rPr>
        <w:t>采购人</w:t>
      </w:r>
      <w:r>
        <w:rPr>
          <w:rFonts w:hint="eastAsia" w:ascii="宋体" w:hAnsi="宋体" w:eastAsia="宋体" w:cs="MingLiU"/>
          <w:b w:val="0"/>
          <w:kern w:val="0"/>
          <w:sz w:val="21"/>
          <w:szCs w:val="21"/>
        </w:rPr>
        <w:t>均有权取消中标人资格。</w:t>
      </w:r>
      <w:bookmarkEnd w:id="270"/>
    </w:p>
    <w:p>
      <w:pPr>
        <w:pStyle w:val="5"/>
        <w:widowControl/>
        <w:spacing w:before="0" w:beforeAutospacing="0" w:after="0" w:afterAutospacing="0" w:line="300" w:lineRule="exact"/>
        <w:rPr>
          <w:rFonts w:hint="eastAsia" w:ascii="宋体" w:hAnsi="宋体" w:eastAsia="宋体" w:cs="MingLiU"/>
          <w:b w:val="0"/>
          <w:kern w:val="0"/>
          <w:sz w:val="21"/>
          <w:szCs w:val="21"/>
        </w:rPr>
      </w:pPr>
      <w:r>
        <w:rPr>
          <w:rFonts w:hint="eastAsia" w:ascii="宋体" w:hAnsi="宋体" w:eastAsia="宋体" w:cs="MingLiU"/>
          <w:b w:val="0"/>
          <w:kern w:val="0"/>
          <w:sz w:val="21"/>
          <w:szCs w:val="21"/>
        </w:rPr>
        <w:t>1.12  偏离</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前附表允许</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偏离</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文件某些要求的，偏离应当符合</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文件规定</w:t>
      </w:r>
      <w:r>
        <w:rPr>
          <w:rFonts w:hint="eastAsia" w:ascii="宋体" w:hAnsi="宋体"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的偏离范围和幅度。</w:t>
      </w:r>
    </w:p>
    <w:p>
      <w:pPr>
        <w:pStyle w:val="4"/>
        <w:widowControl/>
        <w:spacing w:before="0" w:beforeAutospacing="0" w:after="0" w:afterAutospacing="0" w:line="300" w:lineRule="exact"/>
        <w:rPr>
          <w:rFonts w:hint="eastAsia" w:ascii="宋体" w:hAnsi="宋体" w:eastAsia="黑体" w:cs="Times New Roman"/>
          <w:b/>
          <w:kern w:val="0"/>
          <w:sz w:val="21"/>
          <w:szCs w:val="21"/>
        </w:rPr>
      </w:pPr>
      <w:bookmarkStart w:id="271" w:name="_Toc25763"/>
      <w:bookmarkEnd w:id="271"/>
      <w:bookmarkStart w:id="272" w:name="_Toc30989"/>
      <w:bookmarkEnd w:id="272"/>
      <w:bookmarkStart w:id="273" w:name="_Toc40455658"/>
      <w:bookmarkEnd w:id="273"/>
      <w:bookmarkStart w:id="274" w:name="_Toc4661683"/>
      <w:bookmarkEnd w:id="274"/>
      <w:bookmarkStart w:id="275" w:name="_Toc4661919"/>
      <w:bookmarkEnd w:id="275"/>
      <w:bookmarkStart w:id="276" w:name="_Toc4661441"/>
      <w:bookmarkEnd w:id="276"/>
      <w:bookmarkStart w:id="277" w:name="_Toc224103331"/>
      <w:bookmarkEnd w:id="277"/>
      <w:bookmarkStart w:id="278" w:name="_Toc200513140"/>
      <w:bookmarkEnd w:id="278"/>
      <w:bookmarkStart w:id="279" w:name="_Toc40455285"/>
      <w:bookmarkEnd w:id="279"/>
      <w:bookmarkStart w:id="280" w:name="_Toc287607760"/>
      <w:bookmarkEnd w:id="280"/>
      <w:bookmarkStart w:id="281" w:name="_Toc277082566"/>
      <w:bookmarkEnd w:id="281"/>
      <w:bookmarkStart w:id="282" w:name="_Toc4662155"/>
      <w:bookmarkEnd w:id="282"/>
      <w:bookmarkStart w:id="283" w:name="_Toc143"/>
      <w:bookmarkEnd w:id="283"/>
      <w:bookmarkStart w:id="284" w:name="_Toc4806"/>
      <w:bookmarkEnd w:id="284"/>
      <w:bookmarkStart w:id="285" w:name="_Toc27390"/>
      <w:bookmarkEnd w:id="285"/>
      <w:bookmarkStart w:id="286" w:name="_Toc24734"/>
      <w:r>
        <w:rPr>
          <w:rFonts w:hint="eastAsia" w:ascii="宋体" w:hAnsi="宋体" w:eastAsia="黑体" w:cs="Times New Roman"/>
          <w:b/>
          <w:kern w:val="0"/>
          <w:sz w:val="21"/>
          <w:szCs w:val="21"/>
        </w:rPr>
        <w:t xml:space="preserve">2.  </w:t>
      </w:r>
      <w:bookmarkEnd w:id="286"/>
      <w:r>
        <w:rPr>
          <w:rFonts w:hint="eastAsia" w:ascii="黑体" w:hAnsi="宋体" w:cs="黑体"/>
          <w:b/>
          <w:kern w:val="0"/>
          <w:sz w:val="21"/>
          <w:szCs w:val="21"/>
          <w:lang w:eastAsia="zh-CN"/>
        </w:rPr>
        <w:t>竞争性比选</w:t>
      </w:r>
      <w:r>
        <w:rPr>
          <w:rFonts w:hint="eastAsia" w:ascii="黑体" w:hAnsi="宋体" w:eastAsia="黑体" w:cs="黑体"/>
          <w:b/>
          <w:kern w:val="0"/>
          <w:sz w:val="21"/>
          <w:szCs w:val="21"/>
        </w:rPr>
        <w:t>文件</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287" w:name="_Toc287607761"/>
      <w:bookmarkEnd w:id="287"/>
      <w:bookmarkStart w:id="288" w:name="_Toc40780268"/>
      <w:bookmarkEnd w:id="288"/>
      <w:bookmarkStart w:id="289" w:name="_Toc40455286"/>
      <w:bookmarkEnd w:id="289"/>
      <w:bookmarkStart w:id="290" w:name="_Toc29861"/>
      <w:bookmarkEnd w:id="290"/>
      <w:bookmarkStart w:id="291" w:name="_Toc40455659"/>
      <w:bookmarkEnd w:id="291"/>
      <w:bookmarkStart w:id="292" w:name="_Toc4661684"/>
      <w:bookmarkEnd w:id="292"/>
      <w:bookmarkStart w:id="293" w:name="_Toc224103332"/>
      <w:bookmarkEnd w:id="293"/>
      <w:bookmarkStart w:id="294" w:name="_Toc200513141"/>
      <w:bookmarkEnd w:id="294"/>
      <w:bookmarkStart w:id="295" w:name="_Toc4661920"/>
      <w:bookmarkEnd w:id="295"/>
      <w:bookmarkStart w:id="296" w:name="_Toc4662156"/>
      <w:bookmarkEnd w:id="296"/>
      <w:bookmarkStart w:id="297" w:name="_Toc277082567"/>
      <w:bookmarkEnd w:id="297"/>
      <w:bookmarkStart w:id="298" w:name="_Toc4661442"/>
      <w:r>
        <w:rPr>
          <w:rFonts w:hint="eastAsia" w:ascii="宋体" w:hAnsi="宋体" w:eastAsia="宋体" w:cs="Times New Roman"/>
          <w:b/>
          <w:kern w:val="2"/>
          <w:sz w:val="21"/>
          <w:szCs w:val="21"/>
        </w:rPr>
        <w:t xml:space="preserve">2.1  </w:t>
      </w:r>
      <w:bookmarkEnd w:id="298"/>
      <w:r>
        <w:rPr>
          <w:rFonts w:hint="eastAsia" w:ascii="宋体" w:hAnsi="宋体" w:cs="宋体"/>
          <w:b/>
          <w:kern w:val="2"/>
          <w:sz w:val="21"/>
          <w:szCs w:val="21"/>
          <w:lang w:eastAsia="zh-CN"/>
        </w:rPr>
        <w:t>竞争性比选</w:t>
      </w:r>
      <w:r>
        <w:rPr>
          <w:rFonts w:hint="eastAsia" w:ascii="宋体" w:hAnsi="宋体" w:eastAsia="宋体" w:cs="宋体"/>
          <w:b/>
          <w:kern w:val="2"/>
          <w:sz w:val="21"/>
          <w:szCs w:val="21"/>
        </w:rPr>
        <w:t>文件的组成</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本</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文件包括：</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1</w:t>
      </w:r>
      <w:r>
        <w:rPr>
          <w:rFonts w:hint="eastAsia" w:ascii="宋体" w:hAnsi="宋体" w:eastAsia="宋体" w:cs="宋体"/>
          <w:kern w:val="0"/>
          <w:sz w:val="21"/>
          <w:szCs w:val="21"/>
          <w:lang w:val="en-US" w:eastAsia="zh-CN" w:bidi="ar"/>
        </w:rPr>
        <w:t>）</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公告；</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2</w:t>
      </w:r>
      <w:r>
        <w:rPr>
          <w:rFonts w:hint="eastAsia" w:ascii="宋体" w:hAnsi="宋体" w:eastAsia="宋体" w:cs="宋体"/>
          <w:kern w:val="0"/>
          <w:sz w:val="21"/>
          <w:szCs w:val="21"/>
          <w:lang w:val="en-US" w:eastAsia="zh-CN" w:bidi="ar"/>
        </w:rPr>
        <w:t>）</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3</w:t>
      </w:r>
      <w:r>
        <w:rPr>
          <w:rFonts w:hint="eastAsia" w:ascii="宋体" w:hAnsi="宋体" w:eastAsia="宋体" w:cs="宋体"/>
          <w:kern w:val="0"/>
          <w:sz w:val="21"/>
          <w:szCs w:val="21"/>
          <w:lang w:val="en-US" w:eastAsia="zh-CN" w:bidi="ar"/>
        </w:rPr>
        <w:t>）评标办法；</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4</w:t>
      </w:r>
      <w:r>
        <w:rPr>
          <w:rFonts w:hint="eastAsia" w:ascii="宋体" w:hAnsi="宋体" w:eastAsia="宋体" w:cs="宋体"/>
          <w:kern w:val="0"/>
          <w:sz w:val="21"/>
          <w:szCs w:val="21"/>
          <w:lang w:val="en-US" w:eastAsia="zh-CN" w:bidi="ar"/>
        </w:rPr>
        <w:t>）合同条款及格式；</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5</w:t>
      </w:r>
      <w:r>
        <w:rPr>
          <w:rFonts w:hint="eastAsia" w:ascii="宋体" w:hAnsi="宋体" w:eastAsia="宋体" w:cs="宋体"/>
          <w:kern w:val="0"/>
          <w:sz w:val="21"/>
          <w:szCs w:val="21"/>
          <w:lang w:val="en-US" w:eastAsia="zh-CN" w:bidi="ar"/>
        </w:rPr>
        <w:t>）技术标准和要求；</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6</w:t>
      </w:r>
      <w:r>
        <w:rPr>
          <w:rFonts w:hint="eastAsia" w:ascii="宋体" w:hAnsi="宋体" w:eastAsia="宋体" w:cs="宋体"/>
          <w:kern w:val="0"/>
          <w:sz w:val="21"/>
          <w:szCs w:val="21"/>
          <w:lang w:val="en-US" w:eastAsia="zh-CN" w:bidi="ar"/>
        </w:rPr>
        <w:t>）</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格式；</w:t>
      </w:r>
    </w:p>
    <w:p>
      <w:pPr>
        <w:pStyle w:val="175"/>
        <w:widowControl/>
        <w:spacing w:line="300" w:lineRule="exact"/>
        <w:ind w:left="0" w:firstLine="420"/>
        <w:rPr>
          <w:rFonts w:hint="eastAsia" w:ascii="宋体" w:hAnsi="宋体" w:eastAsia="宋体" w:cs="Calibri"/>
          <w:spacing w:val="11"/>
          <w:kern w:val="0"/>
          <w:sz w:val="24"/>
          <w:szCs w:val="24"/>
        </w:rPr>
      </w:pPr>
      <w:r>
        <w:rPr>
          <w:rFonts w:hint="eastAsia" w:ascii="宋体" w:hAnsi="宋体" w:eastAsia="宋体" w:cs="宋体"/>
          <w:spacing w:val="0"/>
          <w:kern w:val="0"/>
          <w:sz w:val="21"/>
          <w:szCs w:val="21"/>
        </w:rPr>
        <w:t>（</w:t>
      </w:r>
      <w:r>
        <w:rPr>
          <w:rFonts w:hint="eastAsia" w:ascii="宋体" w:hAnsi="宋体" w:eastAsia="宋体" w:cs="MingLiU"/>
          <w:spacing w:val="0"/>
          <w:kern w:val="0"/>
          <w:sz w:val="21"/>
          <w:szCs w:val="21"/>
        </w:rPr>
        <w:t>7）</w:t>
      </w:r>
      <w:r>
        <w:rPr>
          <w:rFonts w:hint="eastAsia" w:cs="MingLiU"/>
          <w:spacing w:val="0"/>
          <w:kern w:val="0"/>
          <w:sz w:val="21"/>
          <w:szCs w:val="21"/>
          <w:lang w:eastAsia="zh-CN"/>
        </w:rPr>
        <w:t>报价人须知</w:t>
      </w:r>
      <w:r>
        <w:rPr>
          <w:rFonts w:hint="eastAsia" w:ascii="宋体" w:hAnsi="宋体" w:eastAsia="宋体" w:cs="MingLiU"/>
          <w:spacing w:val="0"/>
          <w:kern w:val="0"/>
          <w:sz w:val="21"/>
          <w:szCs w:val="21"/>
        </w:rPr>
        <w:t>前附表规定的其他材料。</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根据本章第</w:t>
      </w:r>
      <w:r>
        <w:rPr>
          <w:rFonts w:hint="eastAsia" w:ascii="宋体" w:hAnsi="宋体" w:eastAsia="宋体" w:cs="Calibri"/>
          <w:kern w:val="0"/>
          <w:sz w:val="21"/>
          <w:szCs w:val="21"/>
          <w:lang w:val="en-US" w:eastAsia="zh-CN" w:bidi="ar"/>
        </w:rPr>
        <w:t>1.10</w:t>
      </w:r>
      <w:r>
        <w:rPr>
          <w:rFonts w:hint="eastAsia" w:ascii="宋体" w:hAnsi="宋体" w:eastAsia="宋体" w:cs="宋体"/>
          <w:kern w:val="0"/>
          <w:sz w:val="21"/>
          <w:szCs w:val="21"/>
          <w:lang w:val="en-US" w:eastAsia="zh-CN" w:bidi="ar"/>
        </w:rPr>
        <w:t>款、第</w:t>
      </w:r>
      <w:r>
        <w:rPr>
          <w:rFonts w:hint="eastAsia" w:ascii="宋体" w:hAnsi="宋体" w:eastAsia="宋体" w:cs="Calibri"/>
          <w:kern w:val="0"/>
          <w:sz w:val="21"/>
          <w:szCs w:val="21"/>
          <w:lang w:val="en-US" w:eastAsia="zh-CN" w:bidi="ar"/>
        </w:rPr>
        <w:t>2.2</w:t>
      </w:r>
      <w:r>
        <w:rPr>
          <w:rFonts w:hint="eastAsia" w:ascii="宋体" w:hAnsi="宋体" w:eastAsia="宋体" w:cs="宋体"/>
          <w:kern w:val="0"/>
          <w:sz w:val="21"/>
          <w:szCs w:val="21"/>
          <w:lang w:val="en-US" w:eastAsia="zh-CN" w:bidi="ar"/>
        </w:rPr>
        <w:t>款和第</w:t>
      </w:r>
      <w:r>
        <w:rPr>
          <w:rFonts w:hint="eastAsia" w:ascii="宋体" w:hAnsi="宋体" w:eastAsia="宋体" w:cs="Calibri"/>
          <w:kern w:val="0"/>
          <w:sz w:val="21"/>
          <w:szCs w:val="21"/>
          <w:lang w:val="en-US" w:eastAsia="zh-CN" w:bidi="ar"/>
        </w:rPr>
        <w:t>2.3</w:t>
      </w:r>
      <w:r>
        <w:rPr>
          <w:rFonts w:hint="eastAsia" w:ascii="宋体" w:hAnsi="宋体" w:eastAsia="宋体" w:cs="宋体"/>
          <w:kern w:val="0"/>
          <w:sz w:val="21"/>
          <w:szCs w:val="21"/>
          <w:lang w:val="en-US" w:eastAsia="zh-CN" w:bidi="ar"/>
        </w:rPr>
        <w:t>款对</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文件所作的澄清、修改，构成</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文件的组成部分。</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299" w:name="_Toc224103333"/>
      <w:bookmarkEnd w:id="299"/>
      <w:bookmarkStart w:id="300" w:name="_Toc40780269"/>
      <w:bookmarkEnd w:id="300"/>
      <w:bookmarkStart w:id="301" w:name="_Toc277082568"/>
      <w:bookmarkEnd w:id="301"/>
      <w:bookmarkStart w:id="302" w:name="_Toc32674"/>
      <w:bookmarkEnd w:id="302"/>
      <w:bookmarkStart w:id="303" w:name="_Toc200513142"/>
      <w:bookmarkEnd w:id="303"/>
      <w:bookmarkStart w:id="304" w:name="_Toc4661921"/>
      <w:bookmarkEnd w:id="304"/>
      <w:bookmarkStart w:id="305" w:name="_Toc4662157"/>
      <w:bookmarkEnd w:id="305"/>
      <w:bookmarkStart w:id="306" w:name="_Toc40455287"/>
      <w:bookmarkEnd w:id="306"/>
      <w:bookmarkStart w:id="307" w:name="_Toc4661443"/>
      <w:bookmarkEnd w:id="307"/>
      <w:bookmarkStart w:id="308" w:name="_Toc287607762"/>
      <w:bookmarkEnd w:id="308"/>
      <w:bookmarkStart w:id="309" w:name="_Toc40455660"/>
      <w:bookmarkEnd w:id="309"/>
      <w:bookmarkStart w:id="310" w:name="_Toc4661685"/>
      <w:r>
        <w:rPr>
          <w:rFonts w:hint="eastAsia" w:ascii="宋体" w:hAnsi="宋体" w:eastAsia="宋体" w:cs="Times New Roman"/>
          <w:b/>
          <w:kern w:val="2"/>
          <w:sz w:val="21"/>
          <w:szCs w:val="21"/>
        </w:rPr>
        <w:t xml:space="preserve">2.2  </w:t>
      </w:r>
      <w:bookmarkEnd w:id="310"/>
      <w:r>
        <w:rPr>
          <w:rFonts w:hint="eastAsia" w:ascii="宋体" w:hAnsi="宋体" w:cs="宋体"/>
          <w:b/>
          <w:kern w:val="2"/>
          <w:sz w:val="21"/>
          <w:szCs w:val="21"/>
          <w:lang w:eastAsia="zh-CN"/>
        </w:rPr>
        <w:t>竞争性比选</w:t>
      </w:r>
      <w:r>
        <w:rPr>
          <w:rFonts w:hint="eastAsia" w:ascii="宋体" w:hAnsi="宋体" w:eastAsia="宋体" w:cs="宋体"/>
          <w:b/>
          <w:kern w:val="2"/>
          <w:sz w:val="21"/>
          <w:szCs w:val="21"/>
        </w:rPr>
        <w:t>文件的澄清</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2.2.1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应仔细阅读和检查</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文件的全部内容。如发现缺页或附件不全，应及时向</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提出，以便补齐。如有疑问，应在</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前附表规定的时间前在重庆市公共资源交易网</w:t>
      </w:r>
      <w:r>
        <w:rPr>
          <w:rFonts w:hint="default" w:ascii="Times New Roman" w:hAnsi="Times New Roman" w:eastAsia="宋体" w:cs="Calibri"/>
          <w:kern w:val="2"/>
          <w:sz w:val="21"/>
          <w:szCs w:val="21"/>
          <w:lang w:val="en-US" w:eastAsia="zh-CN" w:bidi="ar"/>
        </w:rPr>
        <w:fldChar w:fldCharType="begin"/>
      </w:r>
      <w:r>
        <w:rPr>
          <w:rFonts w:hint="default" w:ascii="Times New Roman" w:hAnsi="Times New Roman" w:eastAsia="宋体" w:cs="Calibri"/>
          <w:kern w:val="2"/>
          <w:sz w:val="21"/>
          <w:szCs w:val="21"/>
          <w:lang w:val="en-US" w:eastAsia="zh-CN" w:bidi="ar"/>
        </w:rPr>
        <w:instrText xml:space="preserve"> HYPERLINK "http://www.cpcb.com.cn/Front.aspx/Zydy" </w:instrText>
      </w:r>
      <w:r>
        <w:rPr>
          <w:rFonts w:hint="default" w:ascii="Times New Roman" w:hAnsi="Times New Roman" w:eastAsia="宋体" w:cs="Calibri"/>
          <w:kern w:val="2"/>
          <w:sz w:val="21"/>
          <w:szCs w:val="21"/>
          <w:lang w:val="en-US" w:eastAsia="zh-CN" w:bidi="ar"/>
        </w:rPr>
        <w:fldChar w:fldCharType="separate"/>
      </w:r>
      <w:r>
        <w:rPr>
          <w:rStyle w:val="48"/>
          <w:rFonts w:hint="eastAsia" w:ascii="宋体" w:hAnsi="宋体" w:cs="宋体"/>
          <w:kern w:val="0"/>
          <w:sz w:val="21"/>
          <w:szCs w:val="21"/>
          <w:lang w:eastAsia="zh-CN"/>
        </w:rPr>
        <w:t>报价人</w:t>
      </w:r>
      <w:r>
        <w:rPr>
          <w:rStyle w:val="48"/>
          <w:rFonts w:hint="eastAsia" w:ascii="宋体" w:hAnsi="宋体" w:eastAsia="宋体" w:cs="宋体"/>
          <w:kern w:val="0"/>
          <w:sz w:val="21"/>
          <w:szCs w:val="21"/>
        </w:rPr>
        <w:t>质疑区</w:t>
      </w:r>
      <w:r>
        <w:rPr>
          <w:rFonts w:hint="default" w:ascii="Times New Roman" w:hAnsi="Times New Roman" w:eastAsia="宋体" w:cs="Calibri"/>
          <w:kern w:val="2"/>
          <w:sz w:val="21"/>
          <w:szCs w:val="21"/>
          <w:lang w:val="en-US" w:eastAsia="zh-CN" w:bidi="ar"/>
        </w:rPr>
        <w:fldChar w:fldCharType="end"/>
      </w:r>
      <w:r>
        <w:rPr>
          <w:rFonts w:hint="eastAsia" w:ascii="宋体" w:hAnsi="宋体" w:eastAsia="宋体" w:cs="宋体"/>
          <w:kern w:val="0"/>
          <w:sz w:val="21"/>
          <w:szCs w:val="21"/>
          <w:lang w:val="en-US" w:eastAsia="zh-CN" w:bidi="ar"/>
        </w:rPr>
        <w:t>提交质疑，要求</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对</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文件予以澄清。</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2.2.2  </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文件的澄清将在</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前附表规定的投标截止时间</w:t>
      </w:r>
      <w:r>
        <w:rPr>
          <w:rFonts w:hint="eastAsia" w:ascii="宋体" w:hAnsi="宋体" w:eastAsia="宋体" w:cs="Calibri"/>
          <w:kern w:val="0"/>
          <w:sz w:val="21"/>
          <w:szCs w:val="21"/>
          <w:lang w:val="en-US" w:eastAsia="zh-CN" w:bidi="ar"/>
        </w:rPr>
        <w:t>15</w:t>
      </w:r>
      <w:r>
        <w:rPr>
          <w:rFonts w:hint="eastAsia" w:ascii="宋体" w:hAnsi="宋体" w:eastAsia="宋体" w:cs="宋体"/>
          <w:kern w:val="0"/>
          <w:sz w:val="21"/>
          <w:szCs w:val="21"/>
          <w:lang w:val="en-US" w:eastAsia="zh-CN" w:bidi="ar"/>
        </w:rPr>
        <w:t>天前在重庆市公共资源交易网答疑区发布答疑，但不指明澄清问题的来源。如果澄清发出的时间距投标截止时间不足</w:t>
      </w:r>
      <w:r>
        <w:rPr>
          <w:rFonts w:hint="eastAsia" w:ascii="宋体" w:hAnsi="宋体" w:eastAsia="宋体" w:cs="Calibri"/>
          <w:kern w:val="0"/>
          <w:sz w:val="21"/>
          <w:szCs w:val="21"/>
          <w:lang w:val="en-US" w:eastAsia="zh-CN" w:bidi="ar"/>
        </w:rPr>
        <w:t>15</w:t>
      </w:r>
      <w:r>
        <w:rPr>
          <w:rFonts w:hint="eastAsia" w:ascii="宋体" w:hAnsi="宋体" w:eastAsia="宋体" w:cs="宋体"/>
          <w:kern w:val="0"/>
          <w:sz w:val="21"/>
          <w:szCs w:val="21"/>
          <w:lang w:val="en-US" w:eastAsia="zh-CN" w:bidi="ar"/>
        </w:rPr>
        <w:t>天，相应延长投标截止时间。</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Calibri"/>
          <w:kern w:val="0"/>
          <w:position w:val="-2"/>
          <w:sz w:val="21"/>
          <w:szCs w:val="21"/>
          <w:lang w:val="en-US" w:eastAsia="zh-CN" w:bidi="ar"/>
        </w:rPr>
        <w:t xml:space="preserve">2.2.3  </w:t>
      </w:r>
      <w:r>
        <w:rPr>
          <w:rFonts w:hint="eastAsia" w:ascii="宋体" w:hAnsi="宋体" w:eastAsia="宋体" w:cs="宋体"/>
          <w:kern w:val="0"/>
          <w:sz w:val="21"/>
          <w:szCs w:val="21"/>
          <w:lang w:val="en-US" w:eastAsia="zh-CN" w:bidi="ar"/>
        </w:rPr>
        <w:t>补遗内容可能影响</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编制的，须在投标截止时间</w:t>
      </w:r>
      <w:r>
        <w:rPr>
          <w:rFonts w:hint="eastAsia" w:ascii="宋体" w:hAnsi="宋体" w:eastAsia="宋体" w:cs="MingLiU"/>
          <w:kern w:val="0"/>
          <w:sz w:val="21"/>
          <w:szCs w:val="21"/>
          <w:lang w:val="en-US" w:eastAsia="zh-CN" w:bidi="ar"/>
        </w:rPr>
        <w:t>15日前发布，发布时间至投标截止时间不足15日的，须相应延后投标截止时间。</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 xml:space="preserve">2.2.4  </w:t>
      </w:r>
      <w:r>
        <w:rPr>
          <w:rFonts w:hint="eastAsia" w:ascii="宋体" w:hAnsi="宋体" w:cs="宋体"/>
          <w:kern w:val="0"/>
          <w:position w:val="-2"/>
          <w:sz w:val="21"/>
          <w:szCs w:val="21"/>
          <w:lang w:val="en-US" w:eastAsia="zh-CN" w:bidi="ar"/>
        </w:rPr>
        <w:t>报价人</w:t>
      </w:r>
      <w:r>
        <w:rPr>
          <w:rFonts w:hint="eastAsia" w:ascii="宋体" w:hAnsi="宋体" w:eastAsia="宋体" w:cs="宋体"/>
          <w:kern w:val="0"/>
          <w:position w:val="-2"/>
          <w:sz w:val="21"/>
          <w:szCs w:val="21"/>
          <w:lang w:val="en-US" w:eastAsia="zh-CN" w:bidi="ar"/>
        </w:rPr>
        <w:t>对</w:t>
      </w:r>
      <w:r>
        <w:rPr>
          <w:rFonts w:hint="eastAsia" w:ascii="宋体" w:hAnsi="宋体" w:cs="宋体"/>
          <w:kern w:val="0"/>
          <w:position w:val="-2"/>
          <w:sz w:val="21"/>
          <w:szCs w:val="21"/>
          <w:lang w:val="en-US" w:eastAsia="zh-CN" w:bidi="ar"/>
        </w:rPr>
        <w:t>竞争性比选</w:t>
      </w:r>
      <w:r>
        <w:rPr>
          <w:rFonts w:hint="eastAsia" w:ascii="宋体" w:hAnsi="宋体" w:eastAsia="宋体" w:cs="宋体"/>
          <w:kern w:val="0"/>
          <w:position w:val="-2"/>
          <w:sz w:val="21"/>
          <w:szCs w:val="21"/>
          <w:lang w:val="en-US" w:eastAsia="zh-CN" w:bidi="ar"/>
        </w:rPr>
        <w:t>文件和答疑补遗有异议的，应当在投标截止时间</w:t>
      </w:r>
      <w:r>
        <w:rPr>
          <w:rFonts w:hint="eastAsia" w:ascii="宋体" w:hAnsi="宋体" w:eastAsia="宋体" w:cs="Calibri"/>
          <w:kern w:val="0"/>
          <w:position w:val="-2"/>
          <w:sz w:val="21"/>
          <w:szCs w:val="21"/>
          <w:lang w:val="en-US" w:eastAsia="zh-CN" w:bidi="ar"/>
        </w:rPr>
        <w:t>10日前，</w:t>
      </w:r>
      <w:r>
        <w:rPr>
          <w:rFonts w:hint="eastAsia" w:ascii="宋体" w:hAnsi="宋体" w:eastAsia="宋体" w:cs="宋体"/>
          <w:kern w:val="0"/>
          <w:position w:val="-2"/>
          <w:sz w:val="21"/>
          <w:szCs w:val="21"/>
          <w:lang w:val="en-US" w:eastAsia="zh-CN" w:bidi="ar"/>
        </w:rPr>
        <w:t>以书面形式通知</w:t>
      </w:r>
      <w:r>
        <w:rPr>
          <w:rFonts w:hint="eastAsia" w:ascii="宋体" w:hAnsi="宋体" w:cs="宋体"/>
          <w:kern w:val="0"/>
          <w:position w:val="-2"/>
          <w:sz w:val="21"/>
          <w:szCs w:val="21"/>
          <w:lang w:val="en-US" w:eastAsia="zh-CN" w:bidi="ar"/>
        </w:rPr>
        <w:t>采购人</w:t>
      </w:r>
      <w:r>
        <w:rPr>
          <w:rFonts w:hint="eastAsia" w:ascii="宋体" w:hAnsi="宋体" w:eastAsia="宋体" w:cs="宋体"/>
          <w:kern w:val="0"/>
          <w:sz w:val="21"/>
          <w:szCs w:val="21"/>
          <w:lang w:val="en-US" w:eastAsia="zh-CN" w:bidi="ar"/>
        </w:rPr>
        <w:t>或</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代理机构。</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应当自收到异议之日起</w:t>
      </w:r>
      <w:r>
        <w:rPr>
          <w:rFonts w:hint="eastAsia" w:ascii="宋体" w:hAnsi="宋体" w:eastAsia="宋体" w:cs="MingLiU"/>
          <w:kern w:val="0"/>
          <w:sz w:val="21"/>
          <w:szCs w:val="21"/>
          <w:lang w:val="en-US" w:eastAsia="zh-CN" w:bidi="ar"/>
        </w:rPr>
        <w:t>3日内做出答复，并将答复内容以补遗的形式在</w:t>
      </w:r>
      <w:r>
        <w:rPr>
          <w:rFonts w:hint="eastAsia" w:ascii="宋体" w:hAnsi="宋体" w:eastAsia="宋体" w:cs="宋体"/>
          <w:kern w:val="0"/>
          <w:sz w:val="21"/>
          <w:szCs w:val="21"/>
          <w:lang w:val="en-US" w:eastAsia="zh-CN" w:bidi="ar"/>
        </w:rPr>
        <w:t>重庆市公共资源交易网</w:t>
      </w:r>
      <w:r>
        <w:rPr>
          <w:rFonts w:hint="default" w:ascii="Times New Roman" w:hAnsi="Times New Roman" w:eastAsia="宋体" w:cs="Calibri"/>
          <w:kern w:val="2"/>
          <w:sz w:val="21"/>
          <w:szCs w:val="21"/>
          <w:lang w:val="en-US" w:eastAsia="zh-CN" w:bidi="ar"/>
        </w:rPr>
        <w:fldChar w:fldCharType="begin"/>
      </w:r>
      <w:r>
        <w:rPr>
          <w:rFonts w:hint="default" w:ascii="Times New Roman" w:hAnsi="Times New Roman" w:eastAsia="宋体" w:cs="Calibri"/>
          <w:kern w:val="2"/>
          <w:sz w:val="21"/>
          <w:szCs w:val="21"/>
          <w:lang w:val="en-US" w:eastAsia="zh-CN" w:bidi="ar"/>
        </w:rPr>
        <w:instrText xml:space="preserve"> HYPERLINK "http://www.cpcb.com.cn/Front.aspx/Zydy" </w:instrText>
      </w:r>
      <w:r>
        <w:rPr>
          <w:rFonts w:hint="default" w:ascii="Times New Roman" w:hAnsi="Times New Roman" w:eastAsia="宋体" w:cs="Calibri"/>
          <w:kern w:val="2"/>
          <w:sz w:val="21"/>
          <w:szCs w:val="21"/>
          <w:lang w:val="en-US" w:eastAsia="zh-CN" w:bidi="ar"/>
        </w:rPr>
        <w:fldChar w:fldCharType="separate"/>
      </w:r>
      <w:r>
        <w:rPr>
          <w:rStyle w:val="48"/>
          <w:rFonts w:hint="eastAsia" w:ascii="宋体" w:hAnsi="宋体" w:eastAsia="宋体" w:cs="宋体"/>
          <w:kern w:val="0"/>
          <w:sz w:val="21"/>
          <w:szCs w:val="21"/>
        </w:rPr>
        <w:t>答疑补遗区</w:t>
      </w:r>
      <w:r>
        <w:rPr>
          <w:rFonts w:hint="default" w:ascii="Times New Roman" w:hAnsi="Times New Roman" w:eastAsia="宋体" w:cs="Calibri"/>
          <w:kern w:val="2"/>
          <w:sz w:val="21"/>
          <w:szCs w:val="21"/>
          <w:lang w:val="en-US" w:eastAsia="zh-CN" w:bidi="ar"/>
        </w:rPr>
        <w:fldChar w:fldCharType="end"/>
      </w:r>
      <w:r>
        <w:rPr>
          <w:rFonts w:hint="eastAsia" w:ascii="宋体" w:hAnsi="宋体" w:eastAsia="宋体" w:cs="宋体"/>
          <w:kern w:val="0"/>
          <w:sz w:val="21"/>
          <w:szCs w:val="21"/>
          <w:lang w:val="en-US" w:eastAsia="zh-CN" w:bidi="ar"/>
        </w:rPr>
        <w:t>发布。补遗内容可能影响</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编制的，须在投标截止时间</w:t>
      </w:r>
      <w:r>
        <w:rPr>
          <w:rFonts w:hint="eastAsia" w:ascii="宋体" w:hAnsi="宋体" w:eastAsia="宋体" w:cs="MingLiU"/>
          <w:kern w:val="0"/>
          <w:sz w:val="21"/>
          <w:szCs w:val="21"/>
          <w:lang w:val="en-US" w:eastAsia="zh-CN" w:bidi="ar"/>
        </w:rPr>
        <w:t>15日前发布，发布时间至投标截止时间不足15日的，须相应延后投标截止时间。</w:t>
      </w:r>
    </w:p>
    <w:p>
      <w:pPr>
        <w:pStyle w:val="5"/>
        <w:widowControl/>
        <w:spacing w:before="0" w:beforeAutospacing="0" w:after="0" w:afterAutospacing="0" w:line="300" w:lineRule="exact"/>
        <w:rPr>
          <w:rFonts w:hint="eastAsia" w:ascii="宋体" w:hAnsi="宋体" w:eastAsia="宋体" w:cs="MingLiU"/>
          <w:b w:val="0"/>
          <w:kern w:val="0"/>
          <w:sz w:val="21"/>
          <w:szCs w:val="21"/>
        </w:rPr>
      </w:pPr>
      <w:bookmarkStart w:id="311" w:name="_Toc4661922"/>
      <w:bookmarkEnd w:id="311"/>
      <w:bookmarkStart w:id="312" w:name="_Toc4661686"/>
      <w:bookmarkEnd w:id="312"/>
      <w:bookmarkStart w:id="313" w:name="_Toc4661444"/>
      <w:bookmarkEnd w:id="313"/>
      <w:bookmarkStart w:id="314" w:name="_Toc200513143"/>
      <w:bookmarkEnd w:id="314"/>
      <w:bookmarkStart w:id="315" w:name="_Toc287607763"/>
      <w:bookmarkEnd w:id="315"/>
      <w:bookmarkStart w:id="316" w:name="_Toc24909"/>
      <w:bookmarkEnd w:id="316"/>
      <w:bookmarkStart w:id="317" w:name="_Toc4662158"/>
      <w:bookmarkEnd w:id="317"/>
      <w:bookmarkStart w:id="318" w:name="_Toc40455288"/>
      <w:bookmarkEnd w:id="318"/>
      <w:bookmarkStart w:id="319" w:name="_Toc224103334"/>
      <w:bookmarkEnd w:id="319"/>
      <w:bookmarkStart w:id="320" w:name="_Toc40780270"/>
      <w:bookmarkEnd w:id="320"/>
      <w:bookmarkStart w:id="321" w:name="_Toc277082569"/>
      <w:bookmarkEnd w:id="321"/>
      <w:bookmarkStart w:id="322" w:name="_Toc40455661"/>
      <w:r>
        <w:rPr>
          <w:rFonts w:hint="eastAsia" w:ascii="宋体" w:hAnsi="宋体" w:eastAsia="宋体" w:cs="MingLiU"/>
          <w:b w:val="0"/>
          <w:kern w:val="0"/>
          <w:sz w:val="21"/>
          <w:szCs w:val="21"/>
        </w:rPr>
        <w:t>1.11.2.严禁转包、转让中标项目，也不得将中标项目肢解后分别转包、转让，否则</w:t>
      </w:r>
      <w:r>
        <w:rPr>
          <w:rFonts w:hint="eastAsia" w:ascii="宋体" w:hAnsi="宋体" w:cs="MingLiU"/>
          <w:b w:val="0"/>
          <w:kern w:val="0"/>
          <w:sz w:val="21"/>
          <w:szCs w:val="21"/>
          <w:lang w:eastAsia="zh-CN"/>
        </w:rPr>
        <w:t>采购人</w:t>
      </w:r>
      <w:r>
        <w:rPr>
          <w:rFonts w:hint="eastAsia" w:ascii="宋体" w:hAnsi="宋体" w:eastAsia="宋体" w:cs="MingLiU"/>
          <w:b w:val="0"/>
          <w:kern w:val="0"/>
          <w:sz w:val="21"/>
          <w:szCs w:val="21"/>
        </w:rPr>
        <w:t>有权取消中标人资格。</w:t>
      </w:r>
    </w:p>
    <w:p>
      <w:pPr>
        <w:pStyle w:val="5"/>
        <w:widowControl/>
        <w:spacing w:before="0" w:beforeAutospacing="0" w:after="0" w:afterAutospacing="0" w:line="300" w:lineRule="exact"/>
        <w:rPr>
          <w:rFonts w:hint="eastAsia" w:ascii="宋体" w:hAnsi="宋体" w:eastAsia="宋体" w:cs="Times New Roman"/>
          <w:b/>
          <w:kern w:val="2"/>
          <w:sz w:val="21"/>
          <w:szCs w:val="21"/>
        </w:rPr>
      </w:pPr>
      <w:r>
        <w:rPr>
          <w:rFonts w:hint="eastAsia" w:ascii="宋体" w:hAnsi="宋体" w:eastAsia="宋体" w:cs="Times New Roman"/>
          <w:b/>
          <w:kern w:val="2"/>
          <w:sz w:val="21"/>
          <w:szCs w:val="21"/>
        </w:rPr>
        <w:t xml:space="preserve">2.3  </w:t>
      </w:r>
      <w:bookmarkEnd w:id="322"/>
      <w:r>
        <w:rPr>
          <w:rFonts w:hint="eastAsia" w:ascii="宋体" w:hAnsi="宋体" w:eastAsia="宋体" w:cs="宋体"/>
          <w:b/>
          <w:kern w:val="2"/>
          <w:sz w:val="21"/>
          <w:szCs w:val="21"/>
        </w:rPr>
        <w:t>投标截止时间</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详见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4"/>
        <w:widowControl/>
        <w:spacing w:before="0" w:beforeAutospacing="0" w:after="0" w:afterAutospacing="0" w:line="300" w:lineRule="exact"/>
        <w:rPr>
          <w:rFonts w:hint="eastAsia" w:ascii="宋体" w:hAnsi="宋体" w:eastAsia="黑体" w:cs="Times New Roman"/>
          <w:b/>
          <w:kern w:val="0"/>
          <w:sz w:val="21"/>
          <w:szCs w:val="21"/>
          <w:lang w:eastAsia="zh-CN"/>
        </w:rPr>
      </w:pPr>
      <w:bookmarkStart w:id="323" w:name="_Toc40455289"/>
      <w:bookmarkEnd w:id="323"/>
      <w:bookmarkStart w:id="324" w:name="_Toc200513144"/>
      <w:bookmarkEnd w:id="324"/>
      <w:bookmarkStart w:id="325" w:name="_Toc40455662"/>
      <w:bookmarkEnd w:id="325"/>
      <w:bookmarkStart w:id="326" w:name="_Toc4661445"/>
      <w:bookmarkEnd w:id="326"/>
      <w:bookmarkStart w:id="327" w:name="_Toc14104"/>
      <w:bookmarkEnd w:id="327"/>
      <w:bookmarkStart w:id="328" w:name="_Toc277082570"/>
      <w:bookmarkEnd w:id="328"/>
      <w:bookmarkStart w:id="329" w:name="_Toc6118"/>
      <w:bookmarkEnd w:id="329"/>
      <w:bookmarkStart w:id="330" w:name="_Toc4661687"/>
      <w:bookmarkEnd w:id="330"/>
      <w:bookmarkStart w:id="331" w:name="_Toc22553"/>
      <w:bookmarkEnd w:id="331"/>
      <w:bookmarkStart w:id="332" w:name="_Toc6279"/>
      <w:bookmarkEnd w:id="332"/>
      <w:bookmarkStart w:id="333" w:name="_Toc4662159"/>
      <w:bookmarkEnd w:id="333"/>
      <w:bookmarkStart w:id="334" w:name="_Toc4661923"/>
      <w:bookmarkEnd w:id="334"/>
      <w:bookmarkStart w:id="335" w:name="_Toc224103335"/>
      <w:bookmarkEnd w:id="335"/>
      <w:bookmarkStart w:id="336" w:name="_Toc287607764"/>
      <w:bookmarkEnd w:id="336"/>
      <w:bookmarkStart w:id="337" w:name="_Toc9348"/>
      <w:bookmarkEnd w:id="337"/>
      <w:bookmarkStart w:id="338" w:name="_Toc26853"/>
      <w:r>
        <w:rPr>
          <w:rFonts w:hint="eastAsia" w:ascii="宋体" w:hAnsi="宋体" w:eastAsia="黑体" w:cs="Times New Roman"/>
          <w:b/>
          <w:kern w:val="0"/>
          <w:sz w:val="21"/>
          <w:szCs w:val="21"/>
        </w:rPr>
        <w:t xml:space="preserve">3.  </w:t>
      </w:r>
      <w:bookmarkEnd w:id="338"/>
      <w:r>
        <w:rPr>
          <w:rFonts w:hint="eastAsia" w:ascii="黑体" w:hAnsi="宋体" w:cs="黑体"/>
          <w:b/>
          <w:kern w:val="0"/>
          <w:sz w:val="21"/>
          <w:szCs w:val="21"/>
          <w:lang w:eastAsia="zh-CN"/>
        </w:rPr>
        <w:t>比选响应文件</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339" w:name="_Toc200513145"/>
      <w:bookmarkEnd w:id="339"/>
      <w:bookmarkStart w:id="340" w:name="_Toc4661688"/>
      <w:bookmarkEnd w:id="340"/>
      <w:bookmarkStart w:id="341" w:name="_Toc287607765"/>
      <w:bookmarkEnd w:id="341"/>
      <w:bookmarkStart w:id="342" w:name="_Toc32064"/>
      <w:bookmarkEnd w:id="342"/>
      <w:bookmarkStart w:id="343" w:name="_Toc224103336"/>
      <w:bookmarkEnd w:id="343"/>
      <w:bookmarkStart w:id="344" w:name="_Toc40455663"/>
      <w:bookmarkEnd w:id="344"/>
      <w:bookmarkStart w:id="345" w:name="_Toc4662160"/>
      <w:bookmarkEnd w:id="345"/>
      <w:bookmarkStart w:id="346" w:name="_Toc40780272"/>
      <w:bookmarkEnd w:id="346"/>
      <w:bookmarkStart w:id="347" w:name="_Toc4661446"/>
      <w:bookmarkEnd w:id="347"/>
      <w:bookmarkStart w:id="348" w:name="_Toc277082571"/>
      <w:bookmarkEnd w:id="348"/>
      <w:bookmarkStart w:id="349" w:name="_Toc40455290"/>
      <w:bookmarkEnd w:id="349"/>
      <w:bookmarkStart w:id="350" w:name="_Toc4661924"/>
      <w:r>
        <w:rPr>
          <w:rFonts w:hint="eastAsia" w:ascii="宋体" w:hAnsi="宋体" w:eastAsia="宋体" w:cs="Times New Roman"/>
          <w:b/>
          <w:kern w:val="2"/>
          <w:sz w:val="21"/>
          <w:szCs w:val="21"/>
        </w:rPr>
        <w:t xml:space="preserve">3.1  </w:t>
      </w:r>
      <w:bookmarkEnd w:id="350"/>
      <w:r>
        <w:rPr>
          <w:rFonts w:hint="eastAsia" w:ascii="宋体" w:hAnsi="宋体" w:cs="宋体"/>
          <w:b/>
          <w:kern w:val="2"/>
          <w:sz w:val="21"/>
          <w:szCs w:val="21"/>
          <w:lang w:eastAsia="zh-CN"/>
        </w:rPr>
        <w:t>比选响应文件</w:t>
      </w:r>
      <w:r>
        <w:rPr>
          <w:rFonts w:hint="eastAsia" w:ascii="宋体" w:hAnsi="宋体" w:eastAsia="宋体" w:cs="宋体"/>
          <w:b/>
          <w:kern w:val="2"/>
          <w:sz w:val="21"/>
          <w:szCs w:val="21"/>
        </w:rPr>
        <w:t>的组成</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3.1.1 </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应包括下列内容：</w:t>
      </w:r>
    </w:p>
    <w:p>
      <w:pPr>
        <w:keepNext w:val="0"/>
        <w:keepLines w:val="0"/>
        <w:widowControl w:val="0"/>
        <w:suppressLineNumbers w:val="0"/>
        <w:spacing w:before="0" w:beforeAutospacing="0" w:after="0" w:afterAutospacing="0" w:line="300" w:lineRule="exact"/>
        <w:ind w:left="0" w:right="0" w:firstLine="420" w:firstLineChars="200"/>
        <w:jc w:val="both"/>
        <w:rPr>
          <w:rFonts w:hint="eastAsia" w:ascii="宋体" w:hAnsi="宋体" w:eastAsia="宋体" w:cs="Calibri"/>
          <w:kern w:val="2"/>
          <w:sz w:val="21"/>
          <w:szCs w:val="21"/>
        </w:rPr>
      </w:pPr>
      <w:r>
        <w:rPr>
          <w:rFonts w:hint="eastAsia" w:ascii="宋体" w:hAnsi="宋体" w:eastAsia="宋体" w:cs="Calibri"/>
          <w:kern w:val="2"/>
          <w:sz w:val="21"/>
          <w:szCs w:val="21"/>
          <w:lang w:val="en-US" w:eastAsia="zh-CN" w:bidi="ar"/>
        </w:rPr>
        <w:t xml:space="preserve">3.1.1.1 </w:t>
      </w:r>
      <w:r>
        <w:rPr>
          <w:rFonts w:hint="eastAsia" w:ascii="宋体" w:hAnsi="宋体" w:cs="宋体"/>
          <w:kern w:val="2"/>
          <w:sz w:val="21"/>
          <w:szCs w:val="21"/>
          <w:lang w:val="en-US" w:eastAsia="zh-CN" w:bidi="ar"/>
        </w:rPr>
        <w:t>比选响应文件</w:t>
      </w:r>
      <w:r>
        <w:rPr>
          <w:rFonts w:hint="eastAsia" w:ascii="宋体" w:hAnsi="宋体" w:eastAsia="宋体" w:cs="宋体"/>
          <w:kern w:val="2"/>
          <w:sz w:val="21"/>
          <w:szCs w:val="21"/>
          <w:lang w:val="en-US" w:eastAsia="zh-CN" w:bidi="ar"/>
        </w:rPr>
        <w:t>及</w:t>
      </w:r>
      <w:r>
        <w:rPr>
          <w:rFonts w:hint="eastAsia" w:ascii="宋体" w:hAnsi="宋体" w:cs="宋体"/>
          <w:kern w:val="2"/>
          <w:sz w:val="21"/>
          <w:szCs w:val="21"/>
          <w:lang w:val="en-US" w:eastAsia="zh-CN" w:bidi="ar"/>
        </w:rPr>
        <w:t>报价人</w:t>
      </w:r>
      <w:r>
        <w:rPr>
          <w:rFonts w:hint="eastAsia" w:ascii="宋体" w:hAnsi="宋体" w:eastAsia="宋体" w:cs="宋体"/>
          <w:kern w:val="2"/>
          <w:sz w:val="21"/>
          <w:szCs w:val="21"/>
          <w:lang w:val="en-US" w:eastAsia="zh-CN" w:bidi="ar"/>
        </w:rPr>
        <w:t>与</w:t>
      </w:r>
      <w:r>
        <w:rPr>
          <w:rFonts w:hint="eastAsia" w:ascii="宋体" w:hAnsi="宋体" w:cs="宋体"/>
          <w:kern w:val="2"/>
          <w:sz w:val="21"/>
          <w:szCs w:val="21"/>
          <w:lang w:val="en-US" w:eastAsia="zh-CN" w:bidi="ar"/>
        </w:rPr>
        <w:t>采购人</w:t>
      </w:r>
      <w:r>
        <w:rPr>
          <w:rFonts w:hint="eastAsia" w:ascii="宋体" w:hAnsi="宋体" w:eastAsia="宋体" w:cs="宋体"/>
          <w:kern w:val="2"/>
          <w:sz w:val="21"/>
          <w:szCs w:val="21"/>
          <w:lang w:val="en-US" w:eastAsia="zh-CN" w:bidi="ar"/>
        </w:rPr>
        <w:t>之间与投标有关的来往通知、函件和文件均应使用中文。</w:t>
      </w:r>
    </w:p>
    <w:p>
      <w:pPr>
        <w:keepNext w:val="0"/>
        <w:keepLines w:val="0"/>
        <w:widowControl w:val="0"/>
        <w:suppressLineNumbers w:val="0"/>
        <w:spacing w:before="0" w:beforeAutospacing="0" w:after="0" w:afterAutospacing="0" w:line="300" w:lineRule="exact"/>
        <w:ind w:left="0" w:right="0" w:firstLine="420" w:firstLineChars="200"/>
        <w:jc w:val="both"/>
        <w:rPr>
          <w:rFonts w:hint="eastAsia" w:ascii="宋体" w:hAnsi="宋体" w:eastAsia="宋体" w:cs="Calibri"/>
          <w:kern w:val="2"/>
          <w:sz w:val="21"/>
          <w:szCs w:val="21"/>
        </w:rPr>
      </w:pPr>
      <w:r>
        <w:rPr>
          <w:rFonts w:hint="eastAsia" w:ascii="宋体" w:hAnsi="宋体" w:eastAsia="宋体" w:cs="Calibri"/>
          <w:kern w:val="2"/>
          <w:sz w:val="21"/>
          <w:szCs w:val="21"/>
          <w:lang w:val="en-US" w:eastAsia="zh-CN" w:bidi="ar"/>
        </w:rPr>
        <w:t>3.1.1.2</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由以下内容组成：</w:t>
      </w:r>
    </w:p>
    <w:p>
      <w:pPr>
        <w:keepNext w:val="0"/>
        <w:keepLines w:val="0"/>
        <w:widowControl w:val="0"/>
        <w:suppressLineNumbers w:val="0"/>
        <w:spacing w:before="0" w:beforeAutospacing="0" w:after="0" w:afterAutospacing="0" w:line="300" w:lineRule="exact"/>
        <w:ind w:left="0" w:right="0" w:firstLine="420" w:firstLineChars="20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详见第</w:t>
      </w:r>
      <w:r>
        <w:rPr>
          <w:rFonts w:hint="eastAsia" w:ascii="宋体" w:hAnsi="宋体" w:cs="宋体"/>
          <w:kern w:val="2"/>
          <w:sz w:val="21"/>
          <w:szCs w:val="21"/>
          <w:lang w:val="en-US" w:eastAsia="zh-CN" w:bidi="ar"/>
        </w:rPr>
        <w:t>九</w:t>
      </w:r>
      <w:r>
        <w:rPr>
          <w:rFonts w:hint="eastAsia" w:ascii="宋体" w:hAnsi="宋体" w:eastAsia="宋体" w:cs="宋体"/>
          <w:kern w:val="2"/>
          <w:sz w:val="21"/>
          <w:szCs w:val="21"/>
          <w:lang w:val="en-US" w:eastAsia="zh-CN" w:bidi="ar"/>
        </w:rPr>
        <w:t>章</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351" w:name="_Toc287607766"/>
      <w:bookmarkEnd w:id="351"/>
      <w:bookmarkStart w:id="352" w:name="_Toc40780273"/>
      <w:bookmarkEnd w:id="352"/>
      <w:bookmarkStart w:id="353" w:name="_Toc200513146"/>
      <w:bookmarkEnd w:id="353"/>
      <w:bookmarkStart w:id="354" w:name="_Toc27743"/>
      <w:bookmarkEnd w:id="354"/>
      <w:bookmarkStart w:id="355" w:name="_Toc4661447"/>
      <w:bookmarkEnd w:id="355"/>
      <w:bookmarkStart w:id="356" w:name="_Toc224103337"/>
      <w:bookmarkEnd w:id="356"/>
      <w:bookmarkStart w:id="357" w:name="_Toc4661689"/>
      <w:bookmarkEnd w:id="357"/>
      <w:bookmarkStart w:id="358" w:name="_Toc4661925"/>
      <w:bookmarkEnd w:id="358"/>
      <w:bookmarkStart w:id="359" w:name="_Toc40455291"/>
      <w:bookmarkEnd w:id="359"/>
      <w:bookmarkStart w:id="360" w:name="_Toc40455664"/>
      <w:bookmarkEnd w:id="360"/>
      <w:bookmarkStart w:id="361" w:name="_Toc277082572"/>
      <w:bookmarkEnd w:id="361"/>
      <w:bookmarkStart w:id="362" w:name="_Toc4662161"/>
      <w:r>
        <w:rPr>
          <w:rFonts w:hint="eastAsia" w:ascii="宋体" w:hAnsi="宋体" w:eastAsia="宋体" w:cs="Times New Roman"/>
          <w:b/>
          <w:kern w:val="2"/>
          <w:sz w:val="21"/>
          <w:szCs w:val="21"/>
        </w:rPr>
        <w:t xml:space="preserve">3.2  </w:t>
      </w:r>
      <w:bookmarkEnd w:id="362"/>
      <w:r>
        <w:rPr>
          <w:rFonts w:hint="eastAsia" w:ascii="宋体" w:hAnsi="宋体" w:eastAsia="宋体" w:cs="宋体"/>
          <w:b/>
          <w:kern w:val="2"/>
          <w:sz w:val="21"/>
          <w:szCs w:val="21"/>
        </w:rPr>
        <w:t>投标报价</w:t>
      </w:r>
    </w:p>
    <w:p>
      <w:pPr>
        <w:keepNext w:val="0"/>
        <w:keepLines w:val="0"/>
        <w:widowControl w:val="0"/>
        <w:suppressLineNumbers w:val="0"/>
        <w:spacing w:before="0" w:beforeAutospacing="0" w:after="0" w:afterAutospacing="0" w:line="300" w:lineRule="exact"/>
        <w:ind w:left="0" w:right="0" w:firstLine="420" w:firstLineChars="200"/>
        <w:jc w:val="both"/>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见本章</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bookmarkStart w:id="363" w:name="_Toc4661690"/>
      <w:bookmarkEnd w:id="363"/>
      <w:bookmarkStart w:id="364" w:name="_Toc20908"/>
      <w:bookmarkEnd w:id="364"/>
      <w:bookmarkStart w:id="365" w:name="_Toc277082573"/>
      <w:bookmarkEnd w:id="365"/>
      <w:bookmarkStart w:id="366" w:name="_Toc224103338"/>
      <w:bookmarkEnd w:id="366"/>
      <w:bookmarkStart w:id="367" w:name="_Toc4662162"/>
      <w:bookmarkEnd w:id="367"/>
      <w:bookmarkStart w:id="368" w:name="_Toc287607767"/>
      <w:bookmarkEnd w:id="368"/>
      <w:bookmarkStart w:id="369" w:name="_Toc4661926"/>
      <w:bookmarkEnd w:id="369"/>
      <w:bookmarkStart w:id="370" w:name="_Toc200513147"/>
      <w:bookmarkEnd w:id="370"/>
      <w:bookmarkStart w:id="371" w:name="_Toc40780274"/>
      <w:bookmarkEnd w:id="371"/>
      <w:bookmarkStart w:id="372" w:name="_Toc4661448"/>
      <w:bookmarkEnd w:id="372"/>
      <w:bookmarkStart w:id="373" w:name="_Toc40455665"/>
      <w:bookmarkEnd w:id="373"/>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374" w:name="_Toc224103339"/>
      <w:bookmarkEnd w:id="374"/>
      <w:bookmarkStart w:id="375" w:name="_Toc40455666"/>
      <w:bookmarkEnd w:id="375"/>
      <w:bookmarkStart w:id="376" w:name="_Toc40780275"/>
      <w:bookmarkEnd w:id="376"/>
      <w:bookmarkStart w:id="377" w:name="_Toc4661449"/>
      <w:bookmarkEnd w:id="377"/>
      <w:bookmarkStart w:id="378" w:name="_Toc277082574"/>
      <w:bookmarkEnd w:id="378"/>
      <w:bookmarkStart w:id="379" w:name="_Toc40455293"/>
      <w:bookmarkEnd w:id="379"/>
      <w:bookmarkStart w:id="380" w:name="_Toc4661927"/>
      <w:bookmarkEnd w:id="380"/>
      <w:bookmarkStart w:id="381" w:name="_Toc4661691"/>
      <w:bookmarkEnd w:id="381"/>
      <w:bookmarkStart w:id="382" w:name="_Toc4662163"/>
      <w:bookmarkEnd w:id="382"/>
      <w:bookmarkStart w:id="383" w:name="_Toc287607768"/>
      <w:bookmarkEnd w:id="383"/>
      <w:bookmarkStart w:id="384" w:name="_Toc200513148"/>
      <w:bookmarkEnd w:id="384"/>
      <w:bookmarkStart w:id="385" w:name="_Toc25463"/>
      <w:r>
        <w:rPr>
          <w:rFonts w:hint="eastAsia" w:ascii="宋体" w:hAnsi="宋体" w:eastAsia="宋体" w:cs="Times New Roman"/>
          <w:b/>
          <w:kern w:val="2"/>
          <w:sz w:val="21"/>
          <w:szCs w:val="21"/>
        </w:rPr>
        <w:t>3.</w:t>
      </w:r>
      <w:r>
        <w:rPr>
          <w:rFonts w:hint="eastAsia" w:ascii="宋体" w:hAnsi="宋体" w:cs="Times New Roman"/>
          <w:b/>
          <w:kern w:val="2"/>
          <w:sz w:val="21"/>
          <w:szCs w:val="21"/>
          <w:lang w:val="en-US" w:eastAsia="zh-CN"/>
        </w:rPr>
        <w:t>3</w:t>
      </w:r>
      <w:r>
        <w:rPr>
          <w:rFonts w:hint="eastAsia" w:ascii="宋体" w:hAnsi="宋体" w:eastAsia="宋体" w:cs="Times New Roman"/>
          <w:b/>
          <w:kern w:val="2"/>
          <w:sz w:val="21"/>
          <w:szCs w:val="21"/>
        </w:rPr>
        <w:t xml:space="preserve">  </w:t>
      </w:r>
      <w:bookmarkEnd w:id="385"/>
      <w:r>
        <w:rPr>
          <w:rFonts w:hint="eastAsia" w:ascii="宋体" w:hAnsi="宋体" w:eastAsia="宋体" w:cs="宋体"/>
          <w:b/>
          <w:kern w:val="2"/>
          <w:sz w:val="21"/>
          <w:szCs w:val="21"/>
        </w:rPr>
        <w:t>保证金</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both"/>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3</w:t>
      </w:r>
      <w:r>
        <w:rPr>
          <w:rFonts w:hint="eastAsia" w:ascii="宋体" w:hAnsi="宋体" w:eastAsia="宋体" w:cs="Calibri"/>
          <w:kern w:val="0"/>
          <w:sz w:val="21"/>
          <w:szCs w:val="21"/>
          <w:lang w:val="en-US" w:eastAsia="zh-CN" w:bidi="ar"/>
        </w:rPr>
        <w:t xml:space="preserve">.1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在递交</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的同时，应按</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前附表规定的金额、担保形式递交投标保证金，并作为其</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的组成部分。联合体投标的，其投标保证金由牵头人递交，并应符合</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前附表的规定。</w:t>
      </w:r>
    </w:p>
    <w:p>
      <w:pPr>
        <w:keepNext w:val="0"/>
        <w:keepLines w:val="0"/>
        <w:widowControl w:val="0"/>
        <w:suppressLineNumbers w:val="0"/>
        <w:autoSpaceDE w:val="0"/>
        <w:autoSpaceDN w:val="0"/>
        <w:adjustRightInd w:val="0"/>
        <w:spacing w:before="0" w:beforeAutospacing="0" w:after="0" w:afterAutospacing="0" w:line="300" w:lineRule="exact"/>
        <w:ind w:left="13" w:leftChars="6" w:right="0" w:firstLine="403" w:firstLineChars="192"/>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3</w:t>
      </w:r>
      <w:r>
        <w:rPr>
          <w:rFonts w:hint="eastAsia" w:ascii="宋体" w:hAnsi="宋体" w:eastAsia="宋体" w:cs="Calibri"/>
          <w:kern w:val="0"/>
          <w:sz w:val="21"/>
          <w:szCs w:val="21"/>
          <w:lang w:val="en-US" w:eastAsia="zh-CN" w:bidi="ar"/>
        </w:rPr>
        <w:t xml:space="preserve">.2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不按本章第</w:t>
      </w:r>
      <w:r>
        <w:rPr>
          <w:rFonts w:hint="eastAsia" w:ascii="宋体" w:hAnsi="宋体" w:eastAsia="宋体" w:cs="Calibri"/>
          <w:kern w:val="0"/>
          <w:sz w:val="21"/>
          <w:szCs w:val="21"/>
          <w:lang w:val="en-US" w:eastAsia="zh-CN" w:bidi="ar"/>
        </w:rPr>
        <w:t xml:space="preserve"> 3.4.1 </w:t>
      </w:r>
      <w:r>
        <w:rPr>
          <w:rFonts w:hint="eastAsia" w:ascii="宋体" w:hAnsi="宋体" w:eastAsia="宋体" w:cs="宋体"/>
          <w:kern w:val="0"/>
          <w:sz w:val="21"/>
          <w:szCs w:val="21"/>
          <w:lang w:val="en-US" w:eastAsia="zh-CN" w:bidi="ar"/>
        </w:rPr>
        <w:t>项要求提交投标保证金的，其</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作否决投标处理。</w:t>
      </w:r>
    </w:p>
    <w:p>
      <w:pPr>
        <w:keepNext w:val="0"/>
        <w:keepLines w:val="0"/>
        <w:widowControl w:val="0"/>
        <w:suppressLineNumbers w:val="0"/>
        <w:autoSpaceDE w:val="0"/>
        <w:autoSpaceDN w:val="0"/>
        <w:adjustRightInd w:val="0"/>
        <w:spacing w:before="0" w:beforeAutospacing="0" w:after="0" w:afterAutospacing="0" w:line="300" w:lineRule="exact"/>
        <w:ind w:left="13" w:leftChars="6" w:right="0" w:firstLine="403" w:firstLineChars="192"/>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3</w:t>
      </w:r>
      <w:r>
        <w:rPr>
          <w:rFonts w:hint="eastAsia" w:ascii="宋体" w:hAnsi="宋体" w:eastAsia="宋体" w:cs="Calibri"/>
          <w:kern w:val="0"/>
          <w:sz w:val="21"/>
          <w:szCs w:val="21"/>
          <w:lang w:val="en-US" w:eastAsia="zh-CN" w:bidi="ar"/>
        </w:rPr>
        <w:t xml:space="preserve">.3  </w:t>
      </w:r>
      <w:r>
        <w:rPr>
          <w:rFonts w:hint="eastAsia" w:ascii="宋体" w:hAnsi="宋体" w:eastAsia="宋体" w:cs="宋体"/>
          <w:kern w:val="0"/>
          <w:sz w:val="21"/>
          <w:szCs w:val="21"/>
          <w:lang w:val="en-US" w:eastAsia="zh-CN" w:bidi="ar"/>
        </w:rPr>
        <w:t>投标</w:t>
      </w:r>
      <w:r>
        <w:rPr>
          <w:rFonts w:hint="eastAsia" w:ascii="宋体" w:hAnsi="宋体" w:eastAsia="宋体" w:cs="宋体"/>
          <w:kern w:val="0"/>
          <w:position w:val="-2"/>
          <w:sz w:val="21"/>
          <w:szCs w:val="21"/>
          <w:lang w:val="en-US" w:eastAsia="zh-CN" w:bidi="ar"/>
        </w:rPr>
        <w:t>保证金</w:t>
      </w:r>
      <w:r>
        <w:rPr>
          <w:rFonts w:hint="eastAsia" w:ascii="宋体" w:hAnsi="宋体" w:eastAsia="宋体" w:cs="宋体"/>
          <w:kern w:val="0"/>
          <w:sz w:val="21"/>
          <w:szCs w:val="21"/>
          <w:lang w:val="en-US" w:eastAsia="zh-CN" w:bidi="ar"/>
        </w:rPr>
        <w:t>退还：见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r>
        <w:rPr>
          <w:rFonts w:hint="eastAsia" w:ascii="宋体" w:hAnsi="宋体" w:eastAsia="宋体" w:cs="宋体"/>
          <w:kern w:val="0"/>
          <w:position w:val="-2"/>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3</w:t>
      </w:r>
      <w:r>
        <w:rPr>
          <w:rFonts w:hint="eastAsia" w:ascii="宋体" w:hAnsi="宋体" w:eastAsia="宋体" w:cs="Calibri"/>
          <w:kern w:val="0"/>
          <w:sz w:val="21"/>
          <w:szCs w:val="21"/>
          <w:lang w:val="en-US" w:eastAsia="zh-CN" w:bidi="ar"/>
        </w:rPr>
        <w:t xml:space="preserve">.4  </w:t>
      </w:r>
      <w:r>
        <w:rPr>
          <w:rFonts w:hint="eastAsia" w:ascii="宋体" w:hAnsi="宋体" w:eastAsia="宋体" w:cs="宋体"/>
          <w:kern w:val="0"/>
          <w:sz w:val="21"/>
          <w:szCs w:val="21"/>
          <w:lang w:val="en-US" w:eastAsia="zh-CN" w:bidi="ar"/>
        </w:rPr>
        <w:t>有下列情形之一的，投标保证金将不予退还：</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1</w:t>
      </w:r>
      <w:r>
        <w:rPr>
          <w:rFonts w:hint="eastAsia" w:ascii="宋体" w:hAnsi="宋体" w:eastAsia="宋体" w:cs="宋体"/>
          <w:kern w:val="0"/>
          <w:sz w:val="21"/>
          <w:szCs w:val="21"/>
          <w:lang w:val="en-US" w:eastAsia="zh-CN" w:bidi="ar"/>
        </w:rPr>
        <w:t>）</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在规定的投标有效期内撤销或修改其</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2</w:t>
      </w:r>
      <w:r>
        <w:rPr>
          <w:rFonts w:hint="eastAsia" w:ascii="宋体" w:hAnsi="宋体" w:eastAsia="宋体" w:cs="宋体"/>
          <w:kern w:val="0"/>
          <w:sz w:val="21"/>
          <w:szCs w:val="21"/>
          <w:lang w:val="en-US" w:eastAsia="zh-CN" w:bidi="ar"/>
        </w:rPr>
        <w:t>）中标人在收到中标通知书后，无正当理由拒签合同协议书或未按</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文件规定提交履约担保；</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3）法律法规和本</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文件规定的其他情形。</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386" w:name="_Toc287607770"/>
      <w:bookmarkEnd w:id="386"/>
      <w:bookmarkStart w:id="387" w:name="_Toc40455294"/>
      <w:bookmarkEnd w:id="387"/>
      <w:bookmarkStart w:id="388" w:name="_Toc40780276"/>
      <w:bookmarkEnd w:id="388"/>
      <w:bookmarkStart w:id="389" w:name="_Toc7158"/>
      <w:bookmarkEnd w:id="389"/>
      <w:bookmarkStart w:id="390" w:name="_Toc200513150"/>
      <w:bookmarkEnd w:id="390"/>
      <w:bookmarkStart w:id="391" w:name="_Toc4661928"/>
      <w:bookmarkEnd w:id="391"/>
      <w:bookmarkStart w:id="392" w:name="_Toc224103341"/>
      <w:bookmarkEnd w:id="392"/>
      <w:bookmarkStart w:id="393" w:name="_Toc4662164"/>
      <w:bookmarkEnd w:id="393"/>
      <w:bookmarkStart w:id="394" w:name="_Toc4661692"/>
      <w:bookmarkEnd w:id="394"/>
      <w:bookmarkStart w:id="395" w:name="_Toc277082576"/>
      <w:bookmarkEnd w:id="395"/>
      <w:bookmarkStart w:id="396" w:name="_Toc40455667"/>
      <w:bookmarkEnd w:id="396"/>
      <w:bookmarkStart w:id="397" w:name="_Toc4661450"/>
      <w:r>
        <w:rPr>
          <w:rFonts w:hint="eastAsia" w:ascii="宋体" w:hAnsi="宋体" w:eastAsia="宋体" w:cs="Times New Roman"/>
          <w:b/>
          <w:kern w:val="2"/>
          <w:sz w:val="21"/>
          <w:szCs w:val="21"/>
        </w:rPr>
        <w:t>3.</w:t>
      </w:r>
      <w:r>
        <w:rPr>
          <w:rFonts w:hint="eastAsia" w:ascii="宋体" w:hAnsi="宋体" w:cs="Times New Roman"/>
          <w:b/>
          <w:kern w:val="2"/>
          <w:sz w:val="21"/>
          <w:szCs w:val="21"/>
          <w:lang w:val="en-US" w:eastAsia="zh-CN"/>
        </w:rPr>
        <w:t>4</w:t>
      </w:r>
      <w:r>
        <w:rPr>
          <w:rFonts w:hint="eastAsia" w:ascii="宋体" w:hAnsi="宋体" w:eastAsia="宋体" w:cs="Times New Roman"/>
          <w:b/>
          <w:kern w:val="2"/>
          <w:sz w:val="21"/>
          <w:szCs w:val="21"/>
        </w:rPr>
        <w:t xml:space="preserve">  </w:t>
      </w:r>
      <w:bookmarkEnd w:id="397"/>
      <w:r>
        <w:rPr>
          <w:rFonts w:hint="eastAsia" w:ascii="宋体" w:hAnsi="宋体" w:eastAsia="宋体" w:cs="宋体"/>
          <w:b/>
          <w:kern w:val="2"/>
          <w:sz w:val="21"/>
          <w:szCs w:val="21"/>
        </w:rPr>
        <w:t>资格审查资料</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详见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398" w:name="_Toc4662165"/>
      <w:bookmarkEnd w:id="398"/>
      <w:bookmarkStart w:id="399" w:name="_Toc40780277"/>
      <w:bookmarkEnd w:id="399"/>
      <w:bookmarkStart w:id="400" w:name="_Toc4661693"/>
      <w:bookmarkEnd w:id="400"/>
      <w:bookmarkStart w:id="401" w:name="_Toc40455668"/>
      <w:bookmarkEnd w:id="401"/>
      <w:bookmarkStart w:id="402" w:name="_Toc20488"/>
      <w:bookmarkEnd w:id="402"/>
      <w:bookmarkStart w:id="403" w:name="_Toc287607771"/>
      <w:bookmarkEnd w:id="403"/>
      <w:bookmarkStart w:id="404" w:name="_Toc4661451"/>
      <w:bookmarkEnd w:id="404"/>
      <w:bookmarkStart w:id="405" w:name="_Toc200513151"/>
      <w:bookmarkEnd w:id="405"/>
      <w:bookmarkStart w:id="406" w:name="_Toc40455295"/>
      <w:bookmarkEnd w:id="406"/>
      <w:bookmarkStart w:id="407" w:name="_Toc224103342"/>
      <w:bookmarkEnd w:id="407"/>
      <w:bookmarkStart w:id="408" w:name="_Toc277082577"/>
      <w:bookmarkEnd w:id="408"/>
      <w:bookmarkStart w:id="409" w:name="_Toc4661929"/>
      <w:r>
        <w:rPr>
          <w:rFonts w:hint="eastAsia" w:ascii="宋体" w:hAnsi="宋体" w:eastAsia="宋体" w:cs="Times New Roman"/>
          <w:b/>
          <w:kern w:val="2"/>
          <w:sz w:val="21"/>
          <w:szCs w:val="21"/>
        </w:rPr>
        <w:t>3.</w:t>
      </w:r>
      <w:r>
        <w:rPr>
          <w:rFonts w:hint="eastAsia" w:ascii="宋体" w:hAnsi="宋体" w:cs="Times New Roman"/>
          <w:b/>
          <w:kern w:val="2"/>
          <w:sz w:val="21"/>
          <w:szCs w:val="21"/>
          <w:lang w:val="en-US" w:eastAsia="zh-CN"/>
        </w:rPr>
        <w:t>5</w:t>
      </w:r>
      <w:r>
        <w:rPr>
          <w:rFonts w:hint="eastAsia" w:ascii="宋体" w:hAnsi="宋体" w:eastAsia="宋体" w:cs="Times New Roman"/>
          <w:b/>
          <w:kern w:val="2"/>
          <w:sz w:val="21"/>
          <w:szCs w:val="21"/>
        </w:rPr>
        <w:t xml:space="preserve"> </w:t>
      </w:r>
      <w:bookmarkEnd w:id="409"/>
      <w:r>
        <w:rPr>
          <w:rFonts w:hint="eastAsia" w:ascii="宋体" w:hAnsi="宋体" w:eastAsia="宋体" w:cs="宋体"/>
          <w:b/>
          <w:kern w:val="2"/>
          <w:sz w:val="21"/>
          <w:szCs w:val="21"/>
        </w:rPr>
        <w:t>备选投标方案</w:t>
      </w:r>
    </w:p>
    <w:p>
      <w:pPr>
        <w:keepNext w:val="0"/>
        <w:keepLines w:val="0"/>
        <w:widowControl w:val="0"/>
        <w:suppressLineNumbers w:val="0"/>
        <w:autoSpaceDE w:val="0"/>
        <w:autoSpaceDN w:val="0"/>
        <w:adjustRightInd w:val="0"/>
        <w:spacing w:before="0" w:beforeAutospacing="0" w:after="0" w:afterAutospacing="0" w:line="300" w:lineRule="exact"/>
        <w:ind w:left="120" w:right="-109" w:firstLine="420"/>
        <w:jc w:val="left"/>
        <w:rPr>
          <w:rFonts w:hint="eastAsia" w:ascii="宋体" w:hAnsi="宋体" w:eastAsia="宋体" w:cs="黑体"/>
          <w:kern w:val="0"/>
          <w:sz w:val="21"/>
          <w:szCs w:val="21"/>
        </w:rPr>
      </w:pPr>
      <w:bookmarkStart w:id="410" w:name="_Toc4661694"/>
      <w:bookmarkEnd w:id="410"/>
      <w:bookmarkStart w:id="411" w:name="_Toc224103343"/>
      <w:bookmarkEnd w:id="411"/>
      <w:bookmarkStart w:id="412" w:name="_Toc200513152"/>
      <w:bookmarkEnd w:id="412"/>
      <w:bookmarkStart w:id="413" w:name="_Toc4661452"/>
      <w:bookmarkEnd w:id="413"/>
      <w:bookmarkStart w:id="414" w:name="_Toc4661930"/>
      <w:bookmarkEnd w:id="414"/>
      <w:bookmarkStart w:id="415" w:name="_Toc287607772"/>
      <w:bookmarkEnd w:id="415"/>
      <w:bookmarkStart w:id="416" w:name="_Toc277082578"/>
      <w:bookmarkEnd w:id="416"/>
      <w:bookmarkStart w:id="417" w:name="_Toc4662166"/>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不接受</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的备选投标方案。</w:t>
      </w:r>
      <w:bookmarkEnd w:id="417"/>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418" w:name="_Toc40455669"/>
      <w:bookmarkEnd w:id="418"/>
      <w:bookmarkStart w:id="419" w:name="_Toc40780278"/>
      <w:bookmarkEnd w:id="419"/>
      <w:bookmarkStart w:id="420" w:name="_Toc26001"/>
      <w:bookmarkEnd w:id="420"/>
      <w:bookmarkStart w:id="421" w:name="_Toc40455296"/>
      <w:r>
        <w:rPr>
          <w:rFonts w:hint="eastAsia" w:ascii="宋体" w:hAnsi="宋体" w:eastAsia="宋体" w:cs="Times New Roman"/>
          <w:b/>
          <w:kern w:val="2"/>
          <w:sz w:val="21"/>
          <w:szCs w:val="21"/>
        </w:rPr>
        <w:t>3</w:t>
      </w:r>
      <w:bookmarkEnd w:id="421"/>
      <w:r>
        <w:rPr>
          <w:rFonts w:hint="eastAsia" w:ascii="宋体" w:hAnsi="宋体" w:eastAsia="宋体" w:cs="Times New Roman"/>
          <w:b/>
          <w:kern w:val="2"/>
          <w:sz w:val="21"/>
          <w:szCs w:val="21"/>
        </w:rPr>
        <w:t>.</w:t>
      </w:r>
      <w:r>
        <w:rPr>
          <w:rFonts w:hint="eastAsia" w:ascii="宋体" w:hAnsi="宋体" w:cs="Times New Roman"/>
          <w:b/>
          <w:kern w:val="2"/>
          <w:sz w:val="21"/>
          <w:szCs w:val="21"/>
          <w:lang w:val="en-US" w:eastAsia="zh-CN"/>
        </w:rPr>
        <w:t>6</w:t>
      </w:r>
      <w:r>
        <w:rPr>
          <w:rFonts w:hint="eastAsia" w:ascii="宋体" w:hAnsi="宋体" w:eastAsia="宋体" w:cs="Times New Roman"/>
          <w:b/>
          <w:kern w:val="2"/>
          <w:sz w:val="21"/>
          <w:szCs w:val="21"/>
        </w:rPr>
        <w:t xml:space="preserve">  </w:t>
      </w:r>
      <w:r>
        <w:rPr>
          <w:rFonts w:hint="eastAsia" w:ascii="宋体" w:hAnsi="宋体" w:cs="宋体"/>
          <w:b/>
          <w:kern w:val="2"/>
          <w:sz w:val="21"/>
          <w:szCs w:val="21"/>
          <w:lang w:eastAsia="zh-CN"/>
        </w:rPr>
        <w:t>比选响应文件</w:t>
      </w:r>
      <w:r>
        <w:rPr>
          <w:rFonts w:hint="eastAsia" w:ascii="宋体" w:hAnsi="宋体" w:eastAsia="宋体" w:cs="宋体"/>
          <w:b/>
          <w:kern w:val="2"/>
          <w:sz w:val="21"/>
          <w:szCs w:val="21"/>
        </w:rPr>
        <w:t>的编制</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6</w:t>
      </w:r>
      <w:r>
        <w:rPr>
          <w:rFonts w:hint="eastAsia" w:ascii="宋体" w:hAnsi="宋体" w:eastAsia="宋体" w:cs="Calibri"/>
          <w:kern w:val="0"/>
          <w:sz w:val="21"/>
          <w:szCs w:val="21"/>
          <w:lang w:val="en-US" w:eastAsia="zh-CN" w:bidi="ar"/>
        </w:rPr>
        <w:t xml:space="preserve">.1  </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应按第</w:t>
      </w:r>
      <w:r>
        <w:rPr>
          <w:rFonts w:hint="eastAsia" w:ascii="宋体" w:hAnsi="宋体" w:cs="宋体"/>
          <w:kern w:val="0"/>
          <w:sz w:val="21"/>
          <w:szCs w:val="21"/>
          <w:lang w:val="en-US" w:eastAsia="zh-CN" w:bidi="ar"/>
        </w:rPr>
        <w:t>九</w:t>
      </w:r>
      <w:r>
        <w:rPr>
          <w:rFonts w:hint="eastAsia" w:ascii="宋体" w:hAnsi="宋体" w:eastAsia="宋体" w:cs="宋体"/>
          <w:kern w:val="0"/>
          <w:sz w:val="21"/>
          <w:szCs w:val="21"/>
          <w:lang w:val="en-US" w:eastAsia="zh-CN" w:bidi="ar"/>
        </w:rPr>
        <w:t>章</w:t>
      </w:r>
      <w:r>
        <w:rPr>
          <w:rFonts w:hint="eastAsia" w:ascii="宋体" w:hAnsi="宋体" w:eastAsia="宋体" w:cs="MingLiU"/>
          <w:kern w:val="0"/>
          <w:sz w:val="21"/>
          <w:szCs w:val="21"/>
          <w:lang w:val="en-US" w:eastAsia="zh-CN" w:bidi="ar"/>
        </w:rPr>
        <w:t>“</w:t>
      </w:r>
      <w:r>
        <w:rPr>
          <w:rFonts w:hint="eastAsia" w:ascii="宋体" w:hAnsi="宋体" w:cs="MingLiU"/>
          <w:kern w:val="0"/>
          <w:sz w:val="21"/>
          <w:szCs w:val="21"/>
          <w:lang w:val="en-US" w:eastAsia="zh-CN" w:bidi="ar"/>
        </w:rPr>
        <w:t>比选响应文件</w:t>
      </w:r>
      <w:r>
        <w:rPr>
          <w:rFonts w:hint="eastAsia" w:ascii="宋体" w:hAnsi="宋体" w:eastAsia="宋体" w:cs="MingLiU"/>
          <w:kern w:val="0"/>
          <w:sz w:val="21"/>
          <w:szCs w:val="21"/>
          <w:lang w:val="en-US" w:eastAsia="zh-CN" w:bidi="ar"/>
        </w:rPr>
        <w:t>格式”进行编写，如有必要，可以增加附页，作为</w:t>
      </w:r>
      <w:r>
        <w:rPr>
          <w:rFonts w:hint="eastAsia" w:ascii="宋体" w:hAnsi="宋体" w:cs="MingLiU"/>
          <w:kern w:val="0"/>
          <w:sz w:val="21"/>
          <w:szCs w:val="21"/>
          <w:lang w:val="en-US" w:eastAsia="zh-CN" w:bidi="ar"/>
        </w:rPr>
        <w:t>比选响应文件</w:t>
      </w:r>
      <w:r>
        <w:rPr>
          <w:rFonts w:hint="eastAsia" w:ascii="宋体" w:hAnsi="宋体" w:eastAsia="宋体" w:cs="MingLiU"/>
          <w:kern w:val="0"/>
          <w:sz w:val="21"/>
          <w:szCs w:val="21"/>
          <w:lang w:val="en-US" w:eastAsia="zh-CN" w:bidi="ar"/>
        </w:rPr>
        <w:t>的组成部分。其中，投标函附录在满足</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文件实质性要求的基础上，可以提出比</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文件要求更有利于</w:t>
      </w:r>
      <w:r>
        <w:rPr>
          <w:rFonts w:hint="eastAsia" w:ascii="宋体" w:hAnsi="宋体" w:cs="MingLiU"/>
          <w:kern w:val="0"/>
          <w:sz w:val="21"/>
          <w:szCs w:val="21"/>
          <w:lang w:val="en-US" w:eastAsia="zh-CN" w:bidi="ar"/>
        </w:rPr>
        <w:t>采购人</w:t>
      </w:r>
      <w:r>
        <w:rPr>
          <w:rFonts w:hint="eastAsia" w:ascii="宋体" w:hAnsi="宋体" w:eastAsia="宋体" w:cs="MingLiU"/>
          <w:kern w:val="0"/>
          <w:sz w:val="21"/>
          <w:szCs w:val="21"/>
          <w:lang w:val="en-US" w:eastAsia="zh-CN" w:bidi="ar"/>
        </w:rPr>
        <w:t>的承诺。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6</w:t>
      </w:r>
      <w:r>
        <w:rPr>
          <w:rFonts w:hint="eastAsia" w:ascii="宋体" w:hAnsi="宋体" w:eastAsia="宋体" w:cs="Calibri"/>
          <w:kern w:val="0"/>
          <w:sz w:val="21"/>
          <w:szCs w:val="21"/>
          <w:lang w:val="en-US" w:eastAsia="zh-CN" w:bidi="ar"/>
        </w:rPr>
        <w:t xml:space="preserve">.2  </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应当对</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文件有关工期、投标有效期、质量要求、技术标准和要求、服务要求、</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范围等实质性内容做出响应。</w:t>
      </w:r>
    </w:p>
    <w:p>
      <w:pPr>
        <w:keepNext w:val="0"/>
        <w:keepLines w:val="0"/>
        <w:widowControl w:val="0"/>
        <w:suppressLineNumbers w:val="0"/>
        <w:autoSpaceDE w:val="0"/>
        <w:autoSpaceDN w:val="0"/>
        <w:adjustRightInd w:val="0"/>
        <w:spacing w:before="0" w:beforeAutospacing="0" w:after="0" w:afterAutospacing="0" w:line="300" w:lineRule="exact"/>
        <w:ind w:left="0" w:right="0" w:firstLine="424" w:firstLineChars="202"/>
        <w:jc w:val="left"/>
        <w:rPr>
          <w:rFonts w:hint="eastAsia" w:ascii="宋体" w:hAnsi="宋体" w:eastAsia="宋体" w:cs="MingLiU"/>
          <w:kern w:val="0"/>
          <w:sz w:val="21"/>
          <w:szCs w:val="21"/>
        </w:rPr>
      </w:pPr>
      <w:r>
        <w:rPr>
          <w:rFonts w:hint="eastAsia" w:ascii="宋体" w:hAnsi="宋体" w:eastAsia="宋体" w:cs="Calibri"/>
          <w:kern w:val="0"/>
          <w:position w:val="-2"/>
          <w:sz w:val="21"/>
          <w:szCs w:val="21"/>
          <w:lang w:val="en-US" w:eastAsia="zh-CN" w:bidi="ar"/>
        </w:rPr>
        <w:t>3.</w:t>
      </w:r>
      <w:r>
        <w:rPr>
          <w:rFonts w:hint="eastAsia" w:ascii="宋体" w:hAnsi="宋体" w:cs="Calibri"/>
          <w:kern w:val="0"/>
          <w:position w:val="-2"/>
          <w:sz w:val="21"/>
          <w:szCs w:val="21"/>
          <w:lang w:val="en-US" w:eastAsia="zh-CN" w:bidi="ar"/>
        </w:rPr>
        <w:t>6</w:t>
      </w:r>
      <w:r>
        <w:rPr>
          <w:rFonts w:hint="eastAsia" w:ascii="宋体" w:hAnsi="宋体" w:eastAsia="宋体" w:cs="Calibri"/>
          <w:kern w:val="0"/>
          <w:position w:val="-2"/>
          <w:sz w:val="21"/>
          <w:szCs w:val="21"/>
          <w:lang w:val="en-US" w:eastAsia="zh-CN" w:bidi="ar"/>
        </w:rPr>
        <w:t xml:space="preserve">.3  </w:t>
      </w:r>
      <w:r>
        <w:rPr>
          <w:rFonts w:hint="eastAsia" w:ascii="宋体" w:hAnsi="宋体" w:cs="宋体"/>
          <w:kern w:val="0"/>
          <w:position w:val="-2"/>
          <w:sz w:val="21"/>
          <w:szCs w:val="21"/>
          <w:lang w:val="en-US" w:eastAsia="zh-CN" w:bidi="ar"/>
        </w:rPr>
        <w:t>比选响应文件</w:t>
      </w:r>
      <w:r>
        <w:rPr>
          <w:rFonts w:hint="eastAsia" w:ascii="宋体" w:hAnsi="宋体" w:eastAsia="宋体" w:cs="宋体"/>
          <w:kern w:val="0"/>
          <w:position w:val="-2"/>
          <w:sz w:val="21"/>
          <w:szCs w:val="21"/>
          <w:lang w:val="en-US" w:eastAsia="zh-CN" w:bidi="ar"/>
        </w:rPr>
        <w:t>应用不褪色的材料书写或打印，并由</w:t>
      </w:r>
      <w:r>
        <w:rPr>
          <w:rFonts w:hint="eastAsia" w:ascii="宋体" w:hAnsi="宋体" w:cs="宋体"/>
          <w:kern w:val="0"/>
          <w:position w:val="-2"/>
          <w:sz w:val="21"/>
          <w:szCs w:val="21"/>
          <w:lang w:val="en-US" w:eastAsia="zh-CN" w:bidi="ar"/>
        </w:rPr>
        <w:t>报价人</w:t>
      </w:r>
      <w:r>
        <w:rPr>
          <w:rFonts w:hint="eastAsia" w:ascii="宋体" w:hAnsi="宋体" w:eastAsia="宋体" w:cs="宋体"/>
          <w:kern w:val="0"/>
          <w:position w:val="-2"/>
          <w:sz w:val="21"/>
          <w:szCs w:val="21"/>
          <w:lang w:val="en-US" w:eastAsia="zh-CN" w:bidi="ar"/>
        </w:rPr>
        <w:t>的法定代表人或其委托代理</w:t>
      </w:r>
      <w:r>
        <w:rPr>
          <w:rFonts w:hint="eastAsia" w:ascii="宋体" w:hAnsi="宋体" w:eastAsia="宋体" w:cs="宋体"/>
          <w:kern w:val="0"/>
          <w:sz w:val="21"/>
          <w:szCs w:val="21"/>
          <w:lang w:val="en-US" w:eastAsia="zh-CN" w:bidi="ar"/>
        </w:rPr>
        <w:t>人签字、盖单位公章。委托代理人签字的，</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应附法定代表人签署的授权委托书。</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应尽量避免涂改、行间插字或删除。如果出现上述情况，改动之处应加盖单位公章或由</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的法定代表人或其授权的代理人签字确认。签字或盖章的具体要求见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164" w:firstLine="426"/>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6</w:t>
      </w:r>
      <w:r>
        <w:rPr>
          <w:rFonts w:hint="eastAsia" w:ascii="宋体" w:hAnsi="宋体" w:eastAsia="宋体" w:cs="Calibri"/>
          <w:kern w:val="0"/>
          <w:sz w:val="21"/>
          <w:szCs w:val="21"/>
          <w:lang w:val="en-US" w:eastAsia="zh-CN" w:bidi="ar"/>
        </w:rPr>
        <w:t xml:space="preserve">.4  </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正本一份，副本份数见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前附表。正本和副本的封面上应清楚地标记</w:t>
      </w:r>
      <w:r>
        <w:rPr>
          <w:rFonts w:hint="eastAsia" w:ascii="宋体" w:hAnsi="宋体" w:eastAsia="宋体" w:cs="MingLiU"/>
          <w:kern w:val="0"/>
          <w:sz w:val="21"/>
          <w:szCs w:val="21"/>
          <w:lang w:val="en-US" w:eastAsia="zh-CN" w:bidi="ar"/>
        </w:rPr>
        <w:t>“正本”或“副本”的字样，正本和副本封面均须加盖单位公章（鲜章）。当副本和正本不一致时，以正本为准。</w:t>
      </w:r>
    </w:p>
    <w:p>
      <w:pPr>
        <w:keepNext w:val="0"/>
        <w:keepLines w:val="0"/>
        <w:widowControl w:val="0"/>
        <w:suppressLineNumbers w:val="0"/>
        <w:autoSpaceDE w:val="0"/>
        <w:autoSpaceDN w:val="0"/>
        <w:adjustRightInd w:val="0"/>
        <w:spacing w:before="0" w:beforeAutospacing="0" w:after="0" w:afterAutospacing="0" w:line="300" w:lineRule="exact"/>
        <w:ind w:left="0" w:right="-109" w:firstLine="426"/>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6</w:t>
      </w:r>
      <w:r>
        <w:rPr>
          <w:rFonts w:hint="eastAsia" w:ascii="宋体" w:hAnsi="宋体" w:eastAsia="宋体" w:cs="Calibri"/>
          <w:kern w:val="0"/>
          <w:sz w:val="21"/>
          <w:szCs w:val="21"/>
          <w:lang w:val="en-US" w:eastAsia="zh-CN" w:bidi="ar"/>
        </w:rPr>
        <w:t xml:space="preserve">.5  </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的正本与副本应分别装订成册，并编制目录，具体装订要求见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w:t>
      </w:r>
    </w:p>
    <w:p>
      <w:pPr>
        <w:pStyle w:val="4"/>
        <w:widowControl/>
        <w:spacing w:before="0" w:beforeAutospacing="0" w:after="0" w:afterAutospacing="0" w:line="300" w:lineRule="exact"/>
        <w:rPr>
          <w:rFonts w:hint="eastAsia" w:ascii="宋体" w:hAnsi="宋体" w:eastAsia="黑体" w:cs="Times New Roman"/>
          <w:b/>
          <w:kern w:val="0"/>
          <w:sz w:val="21"/>
          <w:szCs w:val="21"/>
        </w:rPr>
      </w:pPr>
      <w:bookmarkStart w:id="422" w:name="_Toc778"/>
      <w:bookmarkEnd w:id="422"/>
      <w:bookmarkStart w:id="423" w:name="_Toc28775"/>
      <w:bookmarkEnd w:id="423"/>
      <w:bookmarkStart w:id="424" w:name="_Toc7095"/>
      <w:bookmarkEnd w:id="424"/>
      <w:bookmarkStart w:id="425" w:name="_Toc200513153"/>
      <w:bookmarkEnd w:id="425"/>
      <w:bookmarkStart w:id="426" w:name="_Toc224103344"/>
      <w:bookmarkEnd w:id="426"/>
      <w:bookmarkStart w:id="427" w:name="_Toc4662167"/>
      <w:bookmarkEnd w:id="427"/>
      <w:bookmarkStart w:id="428" w:name="_Toc287607773"/>
      <w:bookmarkEnd w:id="428"/>
      <w:bookmarkStart w:id="429" w:name="_Toc4661695"/>
      <w:bookmarkEnd w:id="429"/>
      <w:bookmarkStart w:id="430" w:name="_Toc30351"/>
      <w:bookmarkEnd w:id="430"/>
      <w:bookmarkStart w:id="431" w:name="_Toc4661453"/>
      <w:bookmarkEnd w:id="431"/>
      <w:bookmarkStart w:id="432" w:name="_Toc4661931"/>
      <w:bookmarkEnd w:id="432"/>
      <w:bookmarkStart w:id="433" w:name="_Toc277082579"/>
      <w:bookmarkEnd w:id="433"/>
      <w:bookmarkStart w:id="434" w:name="_Toc40455670"/>
      <w:bookmarkEnd w:id="434"/>
      <w:bookmarkStart w:id="435" w:name="_Toc16777"/>
      <w:bookmarkEnd w:id="435"/>
      <w:bookmarkStart w:id="436" w:name="_Toc40455297"/>
      <w:bookmarkEnd w:id="436"/>
      <w:bookmarkStart w:id="437" w:name="_Toc4633"/>
      <w:r>
        <w:rPr>
          <w:rFonts w:hint="eastAsia" w:ascii="宋体" w:hAnsi="宋体" w:eastAsia="黑体" w:cs="Times New Roman"/>
          <w:b/>
          <w:kern w:val="0"/>
          <w:sz w:val="21"/>
          <w:szCs w:val="21"/>
        </w:rPr>
        <w:t xml:space="preserve">4.  </w:t>
      </w:r>
      <w:bookmarkEnd w:id="437"/>
      <w:r>
        <w:rPr>
          <w:rFonts w:hint="eastAsia" w:ascii="黑体" w:hAnsi="宋体" w:eastAsia="黑体" w:cs="黑体"/>
          <w:b/>
          <w:kern w:val="0"/>
          <w:sz w:val="21"/>
          <w:szCs w:val="21"/>
        </w:rPr>
        <w:t>投标</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438" w:name="_Toc287607774"/>
      <w:bookmarkEnd w:id="438"/>
      <w:bookmarkStart w:id="439" w:name="_Toc40455298"/>
      <w:bookmarkEnd w:id="439"/>
      <w:bookmarkStart w:id="440" w:name="_Toc40455671"/>
      <w:bookmarkEnd w:id="440"/>
      <w:bookmarkStart w:id="441" w:name="_Toc4661454"/>
      <w:bookmarkEnd w:id="441"/>
      <w:bookmarkStart w:id="442" w:name="_Toc2952"/>
      <w:bookmarkEnd w:id="442"/>
      <w:bookmarkStart w:id="443" w:name="_Toc4661696"/>
      <w:bookmarkEnd w:id="443"/>
      <w:bookmarkStart w:id="444" w:name="_Toc200513154"/>
      <w:bookmarkEnd w:id="444"/>
      <w:bookmarkStart w:id="445" w:name="_Toc4662168"/>
      <w:bookmarkEnd w:id="445"/>
      <w:bookmarkStart w:id="446" w:name="_Toc40780280"/>
      <w:bookmarkEnd w:id="446"/>
      <w:bookmarkStart w:id="447" w:name="_Toc4661932"/>
      <w:bookmarkEnd w:id="447"/>
      <w:bookmarkStart w:id="448" w:name="_Toc277082580"/>
      <w:bookmarkEnd w:id="448"/>
      <w:bookmarkStart w:id="449" w:name="_Toc224103345"/>
      <w:r>
        <w:rPr>
          <w:rFonts w:hint="eastAsia" w:ascii="宋体" w:hAnsi="宋体" w:eastAsia="宋体" w:cs="Times New Roman"/>
          <w:b/>
          <w:kern w:val="2"/>
          <w:sz w:val="21"/>
          <w:szCs w:val="21"/>
        </w:rPr>
        <w:t xml:space="preserve">4.1  </w:t>
      </w:r>
      <w:bookmarkEnd w:id="449"/>
      <w:r>
        <w:rPr>
          <w:rFonts w:hint="eastAsia" w:ascii="宋体" w:hAnsi="宋体" w:cs="宋体"/>
          <w:b/>
          <w:kern w:val="2"/>
          <w:sz w:val="21"/>
          <w:szCs w:val="21"/>
          <w:lang w:eastAsia="zh-CN"/>
        </w:rPr>
        <w:t>比选响应文件</w:t>
      </w:r>
      <w:r>
        <w:rPr>
          <w:rFonts w:hint="eastAsia" w:ascii="宋体" w:hAnsi="宋体" w:eastAsia="宋体" w:cs="宋体"/>
          <w:b/>
          <w:kern w:val="2"/>
          <w:sz w:val="21"/>
          <w:szCs w:val="21"/>
        </w:rPr>
        <w:t>的密封和标记</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bookmarkStart w:id="450" w:name="_Toc200513155"/>
      <w:bookmarkEnd w:id="450"/>
      <w:r>
        <w:rPr>
          <w:rFonts w:hint="eastAsia" w:ascii="宋体" w:hAnsi="宋体" w:eastAsia="宋体" w:cs="MingLiU"/>
          <w:kern w:val="0"/>
          <w:sz w:val="21"/>
          <w:szCs w:val="21"/>
          <w:lang w:val="en-US" w:eastAsia="zh-CN" w:bidi="ar"/>
        </w:rPr>
        <w:t xml:space="preserve">4.1.1  </w:t>
      </w:r>
      <w:r>
        <w:rPr>
          <w:rFonts w:hint="eastAsia" w:ascii="宋体" w:hAnsi="宋体" w:cs="MingLiU"/>
          <w:kern w:val="0"/>
          <w:sz w:val="21"/>
          <w:szCs w:val="21"/>
          <w:lang w:val="en-US" w:eastAsia="zh-CN" w:bidi="ar"/>
        </w:rPr>
        <w:t>比选响应文件</w:t>
      </w:r>
      <w:r>
        <w:rPr>
          <w:rFonts w:hint="eastAsia" w:ascii="宋体" w:hAnsi="宋体" w:eastAsia="宋体" w:cs="MingLiU"/>
          <w:kern w:val="0"/>
          <w:sz w:val="21"/>
          <w:szCs w:val="21"/>
          <w:lang w:val="en-US" w:eastAsia="zh-CN" w:bidi="ar"/>
        </w:rPr>
        <w:t>的正本与副本密封见</w:t>
      </w:r>
      <w:r>
        <w:rPr>
          <w:rFonts w:hint="eastAsia" w:ascii="宋体" w:hAnsi="宋体" w:cs="MingLiU"/>
          <w:kern w:val="0"/>
          <w:sz w:val="21"/>
          <w:szCs w:val="21"/>
          <w:lang w:val="en-US" w:eastAsia="zh-CN" w:bidi="ar"/>
        </w:rPr>
        <w:t>报价人须知</w:t>
      </w:r>
      <w:r>
        <w:rPr>
          <w:rFonts w:hint="eastAsia" w:ascii="宋体" w:hAnsi="宋体" w:eastAsia="宋体" w:cs="MingLiU"/>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 xml:space="preserve">4.1.2  </w:t>
      </w:r>
      <w:r>
        <w:rPr>
          <w:rFonts w:hint="eastAsia" w:ascii="宋体" w:hAnsi="宋体" w:cs="MingLiU"/>
          <w:kern w:val="0"/>
          <w:sz w:val="21"/>
          <w:szCs w:val="21"/>
          <w:lang w:val="en-US" w:eastAsia="zh-CN" w:bidi="ar"/>
        </w:rPr>
        <w:t>比选响应文件</w:t>
      </w:r>
      <w:r>
        <w:rPr>
          <w:rFonts w:hint="eastAsia" w:ascii="宋体" w:hAnsi="宋体" w:eastAsia="宋体" w:cs="MingLiU"/>
          <w:kern w:val="0"/>
          <w:sz w:val="21"/>
          <w:szCs w:val="21"/>
          <w:lang w:val="en-US" w:eastAsia="zh-CN" w:bidi="ar"/>
        </w:rPr>
        <w:t>的封套上应写明的内容见</w:t>
      </w:r>
      <w:r>
        <w:rPr>
          <w:rFonts w:hint="eastAsia" w:ascii="宋体" w:hAnsi="宋体" w:cs="MingLiU"/>
          <w:kern w:val="0"/>
          <w:sz w:val="21"/>
          <w:szCs w:val="21"/>
          <w:lang w:val="en-US" w:eastAsia="zh-CN" w:bidi="ar"/>
        </w:rPr>
        <w:t>报价人须知</w:t>
      </w:r>
      <w:r>
        <w:rPr>
          <w:rFonts w:hint="eastAsia" w:ascii="宋体" w:hAnsi="宋体" w:eastAsia="宋体" w:cs="MingLiU"/>
          <w:kern w:val="0"/>
          <w:sz w:val="21"/>
          <w:szCs w:val="21"/>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451" w:name="_Toc4662169"/>
      <w:bookmarkEnd w:id="451"/>
      <w:bookmarkStart w:id="452" w:name="_Toc40455299"/>
      <w:bookmarkEnd w:id="452"/>
      <w:bookmarkStart w:id="453" w:name="_Toc4661455"/>
      <w:bookmarkEnd w:id="453"/>
      <w:bookmarkStart w:id="454" w:name="_Toc4661697"/>
      <w:bookmarkEnd w:id="454"/>
      <w:bookmarkStart w:id="455" w:name="_Toc277082581"/>
      <w:bookmarkEnd w:id="455"/>
      <w:bookmarkStart w:id="456" w:name="_Toc40455672"/>
      <w:bookmarkEnd w:id="456"/>
      <w:bookmarkStart w:id="457" w:name="_Toc4661933"/>
      <w:bookmarkEnd w:id="457"/>
      <w:bookmarkStart w:id="458" w:name="_Toc224103346"/>
      <w:bookmarkEnd w:id="458"/>
      <w:bookmarkStart w:id="459" w:name="_Toc28009"/>
      <w:bookmarkEnd w:id="459"/>
      <w:bookmarkStart w:id="460" w:name="_Toc40780281"/>
      <w:bookmarkEnd w:id="460"/>
      <w:bookmarkStart w:id="461" w:name="_Toc287607775"/>
      <w:r>
        <w:rPr>
          <w:rFonts w:hint="eastAsia" w:ascii="宋体" w:hAnsi="宋体" w:eastAsia="宋体" w:cs="Times New Roman"/>
          <w:b/>
          <w:kern w:val="2"/>
          <w:sz w:val="21"/>
          <w:szCs w:val="21"/>
        </w:rPr>
        <w:t xml:space="preserve">4.2  </w:t>
      </w:r>
      <w:bookmarkEnd w:id="461"/>
      <w:r>
        <w:rPr>
          <w:rFonts w:hint="eastAsia" w:ascii="宋体" w:hAnsi="宋体" w:cs="宋体"/>
          <w:b/>
          <w:kern w:val="2"/>
          <w:sz w:val="21"/>
          <w:szCs w:val="21"/>
          <w:lang w:eastAsia="zh-CN"/>
        </w:rPr>
        <w:t>比选响应文件</w:t>
      </w:r>
      <w:r>
        <w:rPr>
          <w:rFonts w:hint="eastAsia" w:ascii="宋体" w:hAnsi="宋体" w:eastAsia="宋体" w:cs="宋体"/>
          <w:b/>
          <w:kern w:val="2"/>
          <w:sz w:val="21"/>
          <w:szCs w:val="21"/>
        </w:rPr>
        <w:t>的递交</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4.2.1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应在本章第</w:t>
      </w:r>
      <w:r>
        <w:rPr>
          <w:rFonts w:hint="eastAsia" w:ascii="宋体" w:hAnsi="宋体" w:eastAsia="宋体" w:cs="Calibri"/>
          <w:kern w:val="0"/>
          <w:sz w:val="21"/>
          <w:szCs w:val="21"/>
          <w:lang w:val="en-US" w:eastAsia="zh-CN" w:bidi="ar"/>
        </w:rPr>
        <w:t xml:space="preserve"> 2.2.2 </w:t>
      </w:r>
      <w:r>
        <w:rPr>
          <w:rFonts w:hint="eastAsia" w:ascii="宋体" w:hAnsi="宋体" w:eastAsia="宋体" w:cs="宋体"/>
          <w:kern w:val="0"/>
          <w:sz w:val="21"/>
          <w:szCs w:val="21"/>
          <w:lang w:val="en-US" w:eastAsia="zh-CN" w:bidi="ar"/>
        </w:rPr>
        <w:t>项规定的投标截止时间前递交</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4.2.2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递交</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的地点：见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4.2.3  </w:t>
      </w:r>
      <w:r>
        <w:rPr>
          <w:rFonts w:hint="eastAsia" w:ascii="宋体" w:hAnsi="宋体" w:eastAsia="宋体" w:cs="宋体"/>
          <w:kern w:val="0"/>
          <w:sz w:val="21"/>
          <w:szCs w:val="21"/>
          <w:lang w:val="en-US" w:eastAsia="zh-CN" w:bidi="ar"/>
        </w:rPr>
        <w:t>除</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前附表另有规定外，</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所递交的</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不予退还。</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4.2.4  </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收到</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后，向</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出具签收凭证。</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4.2.5  </w:t>
      </w:r>
      <w:r>
        <w:rPr>
          <w:rFonts w:hint="eastAsia" w:ascii="宋体" w:hAnsi="宋体" w:eastAsia="宋体" w:cs="宋体"/>
          <w:kern w:val="0"/>
          <w:sz w:val="21"/>
          <w:szCs w:val="21"/>
          <w:lang w:val="en-US" w:eastAsia="zh-CN" w:bidi="ar"/>
        </w:rPr>
        <w:t>逾期送达的或者未送达指定地点的</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不予受理。</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462" w:name="_Toc277082582"/>
      <w:bookmarkEnd w:id="462"/>
      <w:bookmarkStart w:id="463" w:name="_Toc40455300"/>
      <w:bookmarkEnd w:id="463"/>
      <w:bookmarkStart w:id="464" w:name="_Toc40780282"/>
      <w:bookmarkEnd w:id="464"/>
      <w:bookmarkStart w:id="465" w:name="_Toc287607776"/>
      <w:bookmarkEnd w:id="465"/>
      <w:bookmarkStart w:id="466" w:name="_Toc224103347"/>
      <w:bookmarkEnd w:id="466"/>
      <w:bookmarkStart w:id="467" w:name="_Toc15210"/>
      <w:bookmarkEnd w:id="467"/>
      <w:bookmarkStart w:id="468" w:name="_Toc40455673"/>
      <w:bookmarkEnd w:id="468"/>
      <w:bookmarkStart w:id="469" w:name="_Toc4661456"/>
      <w:bookmarkEnd w:id="469"/>
      <w:bookmarkStart w:id="470" w:name="_Toc200513156"/>
      <w:bookmarkEnd w:id="470"/>
      <w:bookmarkStart w:id="471" w:name="_Toc4661934"/>
      <w:bookmarkEnd w:id="471"/>
      <w:bookmarkStart w:id="472" w:name="_Toc4661698"/>
      <w:bookmarkEnd w:id="472"/>
      <w:bookmarkStart w:id="473" w:name="_Toc4662170"/>
      <w:r>
        <w:rPr>
          <w:rFonts w:hint="eastAsia" w:ascii="宋体" w:hAnsi="宋体" w:eastAsia="宋体" w:cs="Times New Roman"/>
          <w:b/>
          <w:kern w:val="2"/>
          <w:sz w:val="21"/>
          <w:szCs w:val="21"/>
        </w:rPr>
        <w:t xml:space="preserve">4.3  </w:t>
      </w:r>
      <w:bookmarkEnd w:id="473"/>
      <w:r>
        <w:rPr>
          <w:rFonts w:hint="eastAsia" w:ascii="宋体" w:hAnsi="宋体" w:cs="宋体"/>
          <w:b/>
          <w:kern w:val="2"/>
          <w:sz w:val="21"/>
          <w:szCs w:val="21"/>
          <w:lang w:eastAsia="zh-CN"/>
        </w:rPr>
        <w:t>比选响应文件</w:t>
      </w:r>
      <w:r>
        <w:rPr>
          <w:rFonts w:hint="eastAsia" w:ascii="宋体" w:hAnsi="宋体" w:eastAsia="宋体" w:cs="宋体"/>
          <w:b/>
          <w:kern w:val="2"/>
          <w:sz w:val="21"/>
          <w:szCs w:val="21"/>
        </w:rPr>
        <w:t>的修改与撤回</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4.3.1  </w:t>
      </w:r>
      <w:r>
        <w:rPr>
          <w:rFonts w:hint="eastAsia" w:ascii="宋体" w:hAnsi="宋体" w:eastAsia="宋体" w:cs="宋体"/>
          <w:kern w:val="0"/>
          <w:sz w:val="21"/>
          <w:szCs w:val="21"/>
          <w:lang w:val="en-US" w:eastAsia="zh-CN" w:bidi="ar"/>
        </w:rPr>
        <w:t>在本章第</w:t>
      </w:r>
      <w:r>
        <w:rPr>
          <w:rFonts w:hint="eastAsia" w:ascii="宋体" w:hAnsi="宋体" w:eastAsia="宋体" w:cs="Calibri"/>
          <w:kern w:val="0"/>
          <w:sz w:val="21"/>
          <w:szCs w:val="21"/>
          <w:lang w:val="en-US" w:eastAsia="zh-CN" w:bidi="ar"/>
        </w:rPr>
        <w:t>2.2.2</w:t>
      </w:r>
      <w:r>
        <w:rPr>
          <w:rFonts w:hint="eastAsia" w:ascii="宋体" w:hAnsi="宋体" w:eastAsia="宋体" w:cs="宋体"/>
          <w:kern w:val="0"/>
          <w:sz w:val="21"/>
          <w:szCs w:val="21"/>
          <w:lang w:val="en-US" w:eastAsia="zh-CN" w:bidi="ar"/>
        </w:rPr>
        <w:t>项规定的投标截止时间前，</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可以修改或撤回已递交的</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，但应以书面形式通知</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4.3.2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修改或撤回已递交</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的书面通知应按照本章第</w:t>
      </w:r>
      <w:r>
        <w:rPr>
          <w:rFonts w:hint="eastAsia" w:ascii="宋体" w:hAnsi="宋体" w:eastAsia="宋体" w:cs="Calibri"/>
          <w:kern w:val="0"/>
          <w:sz w:val="21"/>
          <w:szCs w:val="21"/>
          <w:lang w:val="en-US" w:eastAsia="zh-CN" w:bidi="ar"/>
        </w:rPr>
        <w:t>3.7.3</w:t>
      </w:r>
      <w:r>
        <w:rPr>
          <w:rFonts w:hint="eastAsia" w:ascii="宋体" w:hAnsi="宋体" w:eastAsia="宋体" w:cs="宋体"/>
          <w:kern w:val="0"/>
          <w:sz w:val="21"/>
          <w:szCs w:val="21"/>
          <w:lang w:val="en-US" w:eastAsia="zh-CN" w:bidi="ar"/>
        </w:rPr>
        <w:t>项的要求签字或盖章。</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收到书面通知后，向</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出具签收凭证。</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4.3.3  </w:t>
      </w:r>
      <w:r>
        <w:rPr>
          <w:rFonts w:hint="eastAsia" w:ascii="宋体" w:hAnsi="宋体" w:eastAsia="宋体" w:cs="宋体"/>
          <w:kern w:val="0"/>
          <w:sz w:val="21"/>
          <w:szCs w:val="21"/>
          <w:lang w:val="en-US" w:eastAsia="zh-CN" w:bidi="ar"/>
        </w:rPr>
        <w:t>修改的内容为</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的组成部分。修改的</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应按照本章第</w:t>
      </w:r>
      <w:r>
        <w:rPr>
          <w:rFonts w:hint="eastAsia" w:ascii="宋体" w:hAnsi="宋体" w:eastAsia="宋体" w:cs="Calibri"/>
          <w:kern w:val="0"/>
          <w:sz w:val="21"/>
          <w:szCs w:val="21"/>
          <w:lang w:val="en-US" w:eastAsia="zh-CN" w:bidi="ar"/>
        </w:rPr>
        <w:t>3</w:t>
      </w:r>
      <w:r>
        <w:rPr>
          <w:rFonts w:hint="eastAsia" w:ascii="宋体" w:hAnsi="宋体" w:eastAsia="宋体" w:cs="宋体"/>
          <w:kern w:val="0"/>
          <w:sz w:val="21"/>
          <w:szCs w:val="21"/>
          <w:lang w:val="en-US" w:eastAsia="zh-CN" w:bidi="ar"/>
        </w:rPr>
        <w:t>条、第</w:t>
      </w:r>
      <w:r>
        <w:rPr>
          <w:rFonts w:hint="eastAsia" w:ascii="宋体" w:hAnsi="宋体" w:eastAsia="宋体" w:cs="Calibri"/>
          <w:kern w:val="0"/>
          <w:sz w:val="21"/>
          <w:szCs w:val="21"/>
          <w:lang w:val="en-US" w:eastAsia="zh-CN" w:bidi="ar"/>
        </w:rPr>
        <w:t>4</w:t>
      </w:r>
      <w:r>
        <w:rPr>
          <w:rFonts w:hint="eastAsia" w:ascii="宋体" w:hAnsi="宋体" w:eastAsia="宋体" w:cs="宋体"/>
          <w:kern w:val="0"/>
          <w:sz w:val="21"/>
          <w:szCs w:val="21"/>
          <w:lang w:val="en-US" w:eastAsia="zh-CN" w:bidi="ar"/>
        </w:rPr>
        <w:t>条规定进行编制、密封、标记和递交，并标明</w:t>
      </w:r>
      <w:r>
        <w:rPr>
          <w:rFonts w:hint="eastAsia" w:ascii="宋体" w:hAnsi="宋体" w:eastAsia="宋体" w:cs="MingLiU"/>
          <w:kern w:val="0"/>
          <w:sz w:val="21"/>
          <w:szCs w:val="21"/>
          <w:lang w:val="en-US" w:eastAsia="zh-CN" w:bidi="ar"/>
        </w:rPr>
        <w:t>“修改”字样。</w:t>
      </w:r>
    </w:p>
    <w:p>
      <w:pPr>
        <w:pStyle w:val="4"/>
        <w:widowControl/>
        <w:spacing w:before="0" w:beforeAutospacing="0" w:after="0" w:afterAutospacing="0" w:line="300" w:lineRule="exact"/>
        <w:rPr>
          <w:rFonts w:hint="eastAsia" w:ascii="宋体" w:hAnsi="宋体" w:eastAsia="黑体" w:cs="Times New Roman"/>
          <w:b/>
          <w:kern w:val="0"/>
          <w:sz w:val="21"/>
          <w:szCs w:val="21"/>
        </w:rPr>
      </w:pPr>
      <w:bookmarkStart w:id="474" w:name="_Toc13110"/>
      <w:bookmarkEnd w:id="474"/>
      <w:bookmarkStart w:id="475" w:name="_Toc40455674"/>
      <w:bookmarkEnd w:id="475"/>
      <w:bookmarkStart w:id="476" w:name="_Toc26569"/>
      <w:bookmarkEnd w:id="476"/>
      <w:bookmarkStart w:id="477" w:name="_Toc224103348"/>
      <w:bookmarkEnd w:id="477"/>
      <w:bookmarkStart w:id="478" w:name="_Toc4662171"/>
      <w:bookmarkEnd w:id="478"/>
      <w:bookmarkStart w:id="479" w:name="_Toc3631"/>
      <w:bookmarkEnd w:id="479"/>
      <w:bookmarkStart w:id="480" w:name="_Toc4661457"/>
      <w:bookmarkEnd w:id="480"/>
      <w:bookmarkStart w:id="481" w:name="_Toc2667"/>
      <w:bookmarkEnd w:id="481"/>
      <w:bookmarkStart w:id="482" w:name="_Toc200513157"/>
      <w:bookmarkEnd w:id="482"/>
      <w:bookmarkStart w:id="483" w:name="_Toc40455301"/>
      <w:bookmarkEnd w:id="483"/>
      <w:bookmarkStart w:id="484" w:name="_Toc287607777"/>
      <w:bookmarkEnd w:id="484"/>
      <w:bookmarkStart w:id="485" w:name="_Toc27819"/>
      <w:bookmarkEnd w:id="485"/>
      <w:bookmarkStart w:id="486" w:name="_Toc4661935"/>
      <w:bookmarkEnd w:id="486"/>
      <w:bookmarkStart w:id="487" w:name="_Toc4661699"/>
      <w:bookmarkEnd w:id="487"/>
      <w:bookmarkStart w:id="488" w:name="_Toc277082583"/>
      <w:bookmarkEnd w:id="488"/>
      <w:bookmarkStart w:id="489" w:name="_Toc665"/>
      <w:r>
        <w:rPr>
          <w:rFonts w:hint="eastAsia" w:ascii="宋体" w:hAnsi="宋体" w:eastAsia="黑体" w:cs="Times New Roman"/>
          <w:b/>
          <w:kern w:val="0"/>
          <w:sz w:val="21"/>
          <w:szCs w:val="21"/>
        </w:rPr>
        <w:t xml:space="preserve">5.  </w:t>
      </w:r>
      <w:bookmarkEnd w:id="489"/>
      <w:r>
        <w:rPr>
          <w:rFonts w:hint="eastAsia" w:ascii="黑体" w:hAnsi="宋体" w:eastAsia="黑体" w:cs="黑体"/>
          <w:b/>
          <w:kern w:val="0"/>
          <w:sz w:val="21"/>
          <w:szCs w:val="21"/>
        </w:rPr>
        <w:t>开标</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490" w:name="_Toc4661700"/>
      <w:bookmarkEnd w:id="490"/>
      <w:bookmarkStart w:id="491" w:name="_Toc4661458"/>
      <w:bookmarkEnd w:id="491"/>
      <w:bookmarkStart w:id="492" w:name="_Toc287607778"/>
      <w:bookmarkEnd w:id="492"/>
      <w:bookmarkStart w:id="493" w:name="_Toc277082584"/>
      <w:bookmarkEnd w:id="493"/>
      <w:bookmarkStart w:id="494" w:name="_Toc200513158"/>
      <w:bookmarkEnd w:id="494"/>
      <w:bookmarkStart w:id="495" w:name="_Toc40455302"/>
      <w:bookmarkEnd w:id="495"/>
      <w:bookmarkStart w:id="496" w:name="_Toc4662172"/>
      <w:bookmarkEnd w:id="496"/>
      <w:bookmarkStart w:id="497" w:name="_Toc224103349"/>
      <w:bookmarkEnd w:id="497"/>
      <w:bookmarkStart w:id="498" w:name="_Toc40455675"/>
      <w:bookmarkEnd w:id="498"/>
      <w:bookmarkStart w:id="499" w:name="_Toc40780284"/>
      <w:bookmarkEnd w:id="499"/>
      <w:bookmarkStart w:id="500" w:name="_Toc22642"/>
      <w:bookmarkEnd w:id="500"/>
      <w:bookmarkStart w:id="501" w:name="_Toc4661936"/>
      <w:r>
        <w:rPr>
          <w:rFonts w:hint="eastAsia" w:ascii="宋体" w:hAnsi="宋体" w:eastAsia="宋体" w:cs="Times New Roman"/>
          <w:b/>
          <w:kern w:val="2"/>
          <w:sz w:val="21"/>
          <w:szCs w:val="21"/>
        </w:rPr>
        <w:t>5.1  开标时间和地点</w:t>
      </w:r>
      <w:bookmarkEnd w:id="501"/>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在本章第</w:t>
      </w:r>
      <w:r>
        <w:rPr>
          <w:rFonts w:hint="eastAsia" w:ascii="宋体" w:hAnsi="宋体" w:eastAsia="宋体" w:cs="Calibri"/>
          <w:kern w:val="0"/>
          <w:sz w:val="21"/>
          <w:szCs w:val="21"/>
          <w:lang w:val="en-US" w:eastAsia="zh-CN" w:bidi="ar"/>
        </w:rPr>
        <w:t xml:space="preserve"> 2.2.2 </w:t>
      </w:r>
      <w:r>
        <w:rPr>
          <w:rFonts w:hint="eastAsia" w:ascii="宋体" w:hAnsi="宋体" w:eastAsia="宋体" w:cs="宋体"/>
          <w:kern w:val="0"/>
          <w:sz w:val="21"/>
          <w:szCs w:val="21"/>
          <w:lang w:val="en-US" w:eastAsia="zh-CN" w:bidi="ar"/>
        </w:rPr>
        <w:t>项规定的投标截止时间（开标时间）和</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w:t>
      </w:r>
      <w:r>
        <w:rPr>
          <w:rFonts w:hint="eastAsia" w:ascii="宋体" w:hAnsi="宋体" w:cs="宋体"/>
          <w:kern w:val="0"/>
          <w:sz w:val="21"/>
          <w:szCs w:val="21"/>
          <w:lang w:val="en-US" w:eastAsia="zh-CN" w:bidi="ar"/>
        </w:rPr>
        <w:t>情况进行开标</w:t>
      </w:r>
      <w:r>
        <w:rPr>
          <w:rFonts w:hint="eastAsia" w:ascii="宋体" w:hAnsi="宋体" w:eastAsia="宋体" w:cs="宋体"/>
          <w:kern w:val="0"/>
          <w:sz w:val="21"/>
          <w:szCs w:val="21"/>
          <w:lang w:val="en-US" w:eastAsia="zh-CN" w:bidi="ar"/>
        </w:rPr>
        <w:t>。</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502" w:name="_Toc40455303"/>
      <w:bookmarkEnd w:id="502"/>
      <w:bookmarkStart w:id="503" w:name="_Toc4661459"/>
      <w:bookmarkEnd w:id="503"/>
      <w:bookmarkStart w:id="504" w:name="_Toc277082585"/>
      <w:bookmarkEnd w:id="504"/>
      <w:bookmarkStart w:id="505" w:name="_Toc224103350"/>
      <w:bookmarkEnd w:id="505"/>
      <w:bookmarkStart w:id="506" w:name="_Toc1823"/>
      <w:bookmarkEnd w:id="506"/>
      <w:bookmarkStart w:id="507" w:name="_Toc4662173"/>
      <w:bookmarkEnd w:id="507"/>
      <w:bookmarkStart w:id="508" w:name="_Toc40780285"/>
      <w:bookmarkEnd w:id="508"/>
      <w:bookmarkStart w:id="509" w:name="_Toc4661701"/>
      <w:bookmarkEnd w:id="509"/>
      <w:bookmarkStart w:id="510" w:name="_Toc40455676"/>
      <w:bookmarkEnd w:id="510"/>
      <w:bookmarkStart w:id="511" w:name="_Toc4661937"/>
      <w:bookmarkEnd w:id="511"/>
      <w:bookmarkStart w:id="512" w:name="_Toc287607779"/>
      <w:bookmarkEnd w:id="512"/>
      <w:bookmarkStart w:id="513" w:name="_Toc200513159"/>
      <w:r>
        <w:rPr>
          <w:rFonts w:hint="eastAsia" w:ascii="宋体" w:hAnsi="宋体" w:eastAsia="宋体" w:cs="Times New Roman"/>
          <w:b/>
          <w:kern w:val="2"/>
          <w:sz w:val="21"/>
          <w:szCs w:val="21"/>
        </w:rPr>
        <w:t xml:space="preserve">5.2  </w:t>
      </w:r>
      <w:bookmarkEnd w:id="513"/>
      <w:r>
        <w:rPr>
          <w:rFonts w:hint="eastAsia" w:ascii="宋体" w:hAnsi="宋体" w:eastAsia="宋体" w:cs="宋体"/>
          <w:b/>
          <w:kern w:val="2"/>
          <w:sz w:val="21"/>
          <w:szCs w:val="21"/>
        </w:rPr>
        <w:t>开标程序</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bookmarkStart w:id="514" w:name="_Toc287607780"/>
      <w:bookmarkEnd w:id="514"/>
      <w:bookmarkStart w:id="515" w:name="_Toc277082586"/>
      <w:bookmarkEnd w:id="515"/>
      <w:bookmarkStart w:id="516" w:name="_Toc200513160"/>
      <w:bookmarkEnd w:id="516"/>
      <w:bookmarkStart w:id="517" w:name="_Toc224103351"/>
      <w:r>
        <w:rPr>
          <w:rFonts w:hint="eastAsia" w:ascii="宋体" w:hAnsi="宋体" w:eastAsia="宋体" w:cs="宋体"/>
          <w:kern w:val="0"/>
          <w:sz w:val="21"/>
          <w:szCs w:val="21"/>
          <w:lang w:val="en-US" w:eastAsia="zh-CN" w:bidi="ar"/>
        </w:rPr>
        <w:t>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bookmarkEnd w:id="517"/>
    </w:p>
    <w:p>
      <w:pPr>
        <w:pStyle w:val="4"/>
        <w:widowControl/>
        <w:spacing w:before="0" w:beforeAutospacing="0" w:after="0" w:afterAutospacing="0" w:line="300" w:lineRule="exact"/>
        <w:rPr>
          <w:rFonts w:hint="eastAsia" w:ascii="宋体" w:hAnsi="宋体" w:eastAsia="黑体" w:cs="Times New Roman"/>
          <w:b/>
          <w:kern w:val="0"/>
          <w:sz w:val="21"/>
          <w:szCs w:val="21"/>
        </w:rPr>
      </w:pPr>
      <w:bookmarkStart w:id="518" w:name="_Toc29816"/>
      <w:bookmarkEnd w:id="518"/>
      <w:bookmarkStart w:id="519" w:name="_Toc6592"/>
      <w:bookmarkEnd w:id="519"/>
      <w:bookmarkStart w:id="520" w:name="_Toc40455304"/>
      <w:bookmarkEnd w:id="520"/>
      <w:bookmarkStart w:id="521" w:name="_Toc4661460"/>
      <w:bookmarkEnd w:id="521"/>
      <w:bookmarkStart w:id="522" w:name="_Toc4661702"/>
      <w:bookmarkEnd w:id="522"/>
      <w:bookmarkStart w:id="523" w:name="_Toc40455677"/>
      <w:bookmarkEnd w:id="523"/>
      <w:bookmarkStart w:id="524" w:name="_Toc4904"/>
      <w:bookmarkEnd w:id="524"/>
      <w:bookmarkStart w:id="525" w:name="_Toc26714"/>
      <w:bookmarkEnd w:id="525"/>
      <w:bookmarkStart w:id="526" w:name="_Toc4662174"/>
      <w:bookmarkEnd w:id="526"/>
      <w:bookmarkStart w:id="527" w:name="_Toc4661938"/>
      <w:bookmarkEnd w:id="527"/>
      <w:bookmarkStart w:id="528" w:name="_Toc5895"/>
      <w:bookmarkEnd w:id="528"/>
      <w:bookmarkStart w:id="529" w:name="_Toc5685"/>
      <w:r>
        <w:rPr>
          <w:rFonts w:hint="eastAsia" w:ascii="宋体" w:hAnsi="宋体" w:eastAsia="黑体" w:cs="Times New Roman"/>
          <w:b/>
          <w:kern w:val="0"/>
          <w:sz w:val="21"/>
          <w:szCs w:val="21"/>
        </w:rPr>
        <w:t xml:space="preserve">6.  </w:t>
      </w:r>
      <w:bookmarkEnd w:id="529"/>
      <w:r>
        <w:rPr>
          <w:rFonts w:hint="eastAsia" w:ascii="黑体" w:hAnsi="宋体" w:eastAsia="黑体" w:cs="黑体"/>
          <w:b/>
          <w:kern w:val="0"/>
          <w:sz w:val="21"/>
          <w:szCs w:val="21"/>
        </w:rPr>
        <w:t>评标</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530" w:name="_Toc9614"/>
      <w:bookmarkEnd w:id="530"/>
      <w:bookmarkStart w:id="531" w:name="_Toc4661461"/>
      <w:bookmarkEnd w:id="531"/>
      <w:bookmarkStart w:id="532" w:name="_Toc224103352"/>
      <w:bookmarkEnd w:id="532"/>
      <w:bookmarkStart w:id="533" w:name="_Toc4661703"/>
      <w:bookmarkEnd w:id="533"/>
      <w:bookmarkStart w:id="534" w:name="_Toc277082587"/>
      <w:bookmarkEnd w:id="534"/>
      <w:bookmarkStart w:id="535" w:name="_Toc40780287"/>
      <w:bookmarkEnd w:id="535"/>
      <w:bookmarkStart w:id="536" w:name="_Toc40455678"/>
      <w:bookmarkEnd w:id="536"/>
      <w:bookmarkStart w:id="537" w:name="_Toc287607781"/>
      <w:bookmarkEnd w:id="537"/>
      <w:bookmarkStart w:id="538" w:name="_Toc40455305"/>
      <w:bookmarkEnd w:id="538"/>
      <w:bookmarkStart w:id="539" w:name="_Toc4662175"/>
      <w:bookmarkEnd w:id="539"/>
      <w:bookmarkStart w:id="540" w:name="_Toc200513161"/>
      <w:bookmarkEnd w:id="540"/>
      <w:bookmarkStart w:id="541" w:name="_Toc4661939"/>
      <w:r>
        <w:rPr>
          <w:rFonts w:hint="eastAsia" w:ascii="宋体" w:hAnsi="宋体" w:eastAsia="宋体" w:cs="Times New Roman"/>
          <w:b/>
          <w:kern w:val="2"/>
          <w:sz w:val="21"/>
          <w:szCs w:val="21"/>
        </w:rPr>
        <w:t xml:space="preserve">6.1  </w:t>
      </w:r>
      <w:bookmarkEnd w:id="541"/>
      <w:r>
        <w:rPr>
          <w:rFonts w:hint="eastAsia" w:ascii="宋体" w:hAnsi="宋体" w:eastAsia="宋体" w:cs="宋体"/>
          <w:b/>
          <w:kern w:val="2"/>
          <w:sz w:val="21"/>
          <w:szCs w:val="21"/>
        </w:rPr>
        <w:t>评标委员会</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6.1.1  </w:t>
      </w:r>
      <w:r>
        <w:rPr>
          <w:rFonts w:hint="eastAsia" w:ascii="宋体" w:hAnsi="宋体" w:eastAsia="宋体" w:cs="宋体"/>
          <w:kern w:val="0"/>
          <w:sz w:val="21"/>
          <w:szCs w:val="21"/>
          <w:lang w:val="en-US" w:eastAsia="zh-CN" w:bidi="ar"/>
        </w:rPr>
        <w:t>评标由</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依法组建的评标委员会负责。评标委员会由</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或其委托的</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代理机构熟悉相关业务的代表，以及有关技术、经济等方面的专家组成。评标委员会成员人数以及技术、经济等方面专家的确定方式见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6.1.2  </w:t>
      </w:r>
      <w:r>
        <w:rPr>
          <w:rFonts w:hint="eastAsia" w:ascii="宋体" w:hAnsi="宋体" w:eastAsia="宋体" w:cs="宋体"/>
          <w:kern w:val="0"/>
          <w:sz w:val="21"/>
          <w:szCs w:val="21"/>
          <w:lang w:val="en-US" w:eastAsia="zh-CN" w:bidi="ar"/>
        </w:rPr>
        <w:t>评标委员会成员有下列情形之一的，应当回避：</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cs="MingLiU"/>
          <w:kern w:val="0"/>
          <w:sz w:val="21"/>
          <w:szCs w:val="21"/>
          <w:lang w:val="en-US" w:eastAsia="zh-CN" w:bidi="ar"/>
        </w:rPr>
        <w:t>1</w:t>
      </w:r>
      <w:r>
        <w:rPr>
          <w:rFonts w:hint="eastAsia" w:ascii="宋体" w:hAnsi="宋体" w:eastAsia="宋体" w:cs="MingLiU"/>
          <w:kern w:val="0"/>
          <w:sz w:val="21"/>
          <w:szCs w:val="21"/>
          <w:lang w:val="en-US" w:eastAsia="zh-CN" w:bidi="ar"/>
        </w:rPr>
        <w:t>）</w:t>
      </w:r>
      <w:r>
        <w:rPr>
          <w:rFonts w:hint="eastAsia" w:ascii="宋体" w:hAnsi="宋体" w:cs="MingLiU"/>
          <w:kern w:val="0"/>
          <w:sz w:val="21"/>
          <w:szCs w:val="21"/>
          <w:lang w:val="en-US" w:eastAsia="zh-CN" w:bidi="ar"/>
        </w:rPr>
        <w:t>采购人</w:t>
      </w:r>
      <w:r>
        <w:rPr>
          <w:rFonts w:hint="eastAsia" w:ascii="宋体" w:hAnsi="宋体" w:eastAsia="宋体" w:cs="MingLiU"/>
          <w:kern w:val="0"/>
          <w:sz w:val="21"/>
          <w:szCs w:val="21"/>
          <w:lang w:val="en-US" w:eastAsia="zh-CN" w:bidi="ar"/>
        </w:rPr>
        <w:t>或</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代理机构主要负责人的近亲属，或与</w:t>
      </w:r>
      <w:r>
        <w:rPr>
          <w:rFonts w:hint="eastAsia" w:ascii="宋体" w:hAnsi="宋体" w:cs="MingLiU"/>
          <w:kern w:val="0"/>
          <w:sz w:val="21"/>
          <w:szCs w:val="21"/>
          <w:lang w:val="en-US" w:eastAsia="zh-CN" w:bidi="ar"/>
        </w:rPr>
        <w:t>报价人</w:t>
      </w:r>
      <w:r>
        <w:rPr>
          <w:rFonts w:hint="eastAsia" w:ascii="宋体" w:hAnsi="宋体" w:eastAsia="宋体" w:cs="MingLiU"/>
          <w:kern w:val="0"/>
          <w:sz w:val="21"/>
          <w:szCs w:val="21"/>
          <w:lang w:val="en-US" w:eastAsia="zh-CN" w:bidi="ar"/>
        </w:rPr>
        <w:t>法定代表人或其委托代理人有近亲属关系；</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cs="MingLiU"/>
          <w:kern w:val="0"/>
          <w:sz w:val="21"/>
          <w:szCs w:val="21"/>
          <w:lang w:val="en-US" w:eastAsia="zh-CN" w:bidi="ar"/>
        </w:rPr>
        <w:t>2</w:t>
      </w:r>
      <w:r>
        <w:rPr>
          <w:rFonts w:hint="eastAsia" w:ascii="宋体" w:hAnsi="宋体" w:eastAsia="宋体" w:cs="宋体"/>
          <w:kern w:val="0"/>
          <w:sz w:val="21"/>
          <w:szCs w:val="21"/>
          <w:lang w:val="en-US" w:eastAsia="zh-CN" w:bidi="ar"/>
        </w:rPr>
        <w:t>）为</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的工作人员或退休人员；</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cs="MingLiU"/>
          <w:kern w:val="0"/>
          <w:sz w:val="21"/>
          <w:szCs w:val="21"/>
          <w:lang w:val="en-US" w:eastAsia="zh-CN" w:bidi="ar"/>
        </w:rPr>
        <w:t>3</w:t>
      </w:r>
      <w:r>
        <w:rPr>
          <w:rFonts w:hint="eastAsia" w:ascii="宋体" w:hAnsi="宋体" w:eastAsia="宋体" w:cs="宋体"/>
          <w:kern w:val="0"/>
          <w:sz w:val="21"/>
          <w:szCs w:val="21"/>
          <w:lang w:val="en-US" w:eastAsia="zh-CN" w:bidi="ar"/>
        </w:rPr>
        <w:t>）与</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有其他利害关系，可能影响评标活动公正性；</w:t>
      </w:r>
    </w:p>
    <w:p>
      <w:pPr>
        <w:keepNext w:val="0"/>
        <w:keepLines w:val="0"/>
        <w:widowControl w:val="0"/>
        <w:suppressLineNumbers w:val="0"/>
        <w:autoSpaceDE w:val="0"/>
        <w:autoSpaceDN w:val="0"/>
        <w:adjustRightInd w:val="0"/>
        <w:spacing w:before="0" w:beforeAutospacing="0" w:after="0" w:afterAutospacing="0" w:line="300" w:lineRule="exact"/>
        <w:ind w:left="0" w:right="0" w:firstLine="361" w:firstLineChars="172"/>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cs="MingLiU"/>
          <w:kern w:val="0"/>
          <w:sz w:val="21"/>
          <w:szCs w:val="21"/>
          <w:lang w:val="en-US" w:eastAsia="zh-CN" w:bidi="ar"/>
        </w:rPr>
        <w:t>4</w:t>
      </w:r>
      <w:r>
        <w:rPr>
          <w:rFonts w:hint="eastAsia" w:ascii="宋体" w:hAnsi="宋体" w:eastAsia="宋体" w:cs="MingLiU"/>
          <w:kern w:val="0"/>
          <w:sz w:val="21"/>
          <w:szCs w:val="21"/>
          <w:lang w:val="en-US" w:eastAsia="zh-CN" w:bidi="ar"/>
        </w:rPr>
        <w:t>）在与</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投标有关的活动中有过违法违规行为、曾受过行政处罚或刑事处罚；</w:t>
      </w:r>
    </w:p>
    <w:p>
      <w:pPr>
        <w:keepNext w:val="0"/>
        <w:keepLines w:val="0"/>
        <w:widowControl w:val="0"/>
        <w:suppressLineNumbers w:val="0"/>
        <w:autoSpaceDE w:val="0"/>
        <w:autoSpaceDN w:val="0"/>
        <w:adjustRightInd w:val="0"/>
        <w:spacing w:before="0" w:beforeAutospacing="0" w:after="0" w:afterAutospacing="0" w:line="300" w:lineRule="exact"/>
        <w:ind w:left="0" w:right="0" w:firstLine="361" w:firstLineChars="172"/>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cs="MingLiU"/>
          <w:kern w:val="0"/>
          <w:sz w:val="21"/>
          <w:szCs w:val="21"/>
          <w:lang w:val="en-US" w:eastAsia="zh-CN" w:bidi="ar"/>
        </w:rPr>
        <w:t>5</w:t>
      </w:r>
      <w:r>
        <w:rPr>
          <w:rFonts w:hint="eastAsia" w:ascii="宋体" w:hAnsi="宋体" w:eastAsia="宋体" w:cs="MingLiU"/>
          <w:kern w:val="0"/>
          <w:sz w:val="21"/>
          <w:szCs w:val="21"/>
          <w:lang w:val="en-US" w:eastAsia="zh-CN" w:bidi="ar"/>
        </w:rPr>
        <w:t>）</w:t>
      </w:r>
      <w:r>
        <w:rPr>
          <w:rFonts w:hint="eastAsia" w:ascii="宋体" w:hAnsi="宋体" w:cs="MingLiU"/>
          <w:kern w:val="0"/>
          <w:sz w:val="21"/>
          <w:szCs w:val="21"/>
          <w:lang w:val="en-US" w:eastAsia="zh-CN" w:bidi="ar"/>
        </w:rPr>
        <w:t>采购人</w:t>
      </w:r>
      <w:r>
        <w:rPr>
          <w:rFonts w:hint="eastAsia" w:ascii="宋体" w:hAnsi="宋体" w:eastAsia="宋体" w:cs="MingLiU"/>
          <w:kern w:val="0"/>
          <w:sz w:val="21"/>
          <w:szCs w:val="21"/>
          <w:lang w:val="en-US" w:eastAsia="zh-CN" w:bidi="ar"/>
        </w:rPr>
        <w:t>及其子公司、</w:t>
      </w:r>
      <w:r>
        <w:rPr>
          <w:rFonts w:hint="eastAsia" w:ascii="宋体" w:hAnsi="宋体" w:cs="MingLiU"/>
          <w:kern w:val="0"/>
          <w:sz w:val="21"/>
          <w:szCs w:val="21"/>
          <w:lang w:val="en-US" w:eastAsia="zh-CN" w:bidi="ar"/>
        </w:rPr>
        <w:t>采购人</w:t>
      </w:r>
      <w:r>
        <w:rPr>
          <w:rFonts w:hint="eastAsia" w:ascii="宋体" w:hAnsi="宋体" w:eastAsia="宋体" w:cs="MingLiU"/>
          <w:kern w:val="0"/>
          <w:sz w:val="21"/>
          <w:szCs w:val="21"/>
          <w:lang w:val="en-US" w:eastAsia="zh-CN" w:bidi="ar"/>
        </w:rPr>
        <w:t>的上级主管部门或者控股公司、</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代理机构的工作人员或者退休人员；</w:t>
      </w:r>
    </w:p>
    <w:p>
      <w:pPr>
        <w:keepNext w:val="0"/>
        <w:keepLines w:val="0"/>
        <w:widowControl w:val="0"/>
        <w:suppressLineNumbers w:val="0"/>
        <w:autoSpaceDE w:val="0"/>
        <w:autoSpaceDN w:val="0"/>
        <w:adjustRightInd w:val="0"/>
        <w:spacing w:before="0" w:beforeAutospacing="0" w:after="0" w:afterAutospacing="0" w:line="300" w:lineRule="exact"/>
        <w:ind w:left="0" w:right="0" w:firstLine="361" w:firstLineChars="172"/>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cs="MingLiU"/>
          <w:kern w:val="0"/>
          <w:sz w:val="21"/>
          <w:szCs w:val="21"/>
          <w:lang w:val="en-US" w:eastAsia="zh-CN" w:bidi="ar"/>
        </w:rPr>
        <w:t>6</w:t>
      </w:r>
      <w:r>
        <w:rPr>
          <w:rFonts w:hint="eastAsia" w:ascii="宋体" w:hAnsi="宋体" w:eastAsia="宋体" w:cs="MingLiU"/>
          <w:kern w:val="0"/>
          <w:sz w:val="21"/>
          <w:szCs w:val="21"/>
          <w:lang w:val="en-US" w:eastAsia="zh-CN" w:bidi="ar"/>
        </w:rPr>
        <w:t>）近3年在</w:t>
      </w:r>
      <w:r>
        <w:rPr>
          <w:rFonts w:hint="eastAsia" w:ascii="宋体" w:hAnsi="宋体" w:cs="MingLiU"/>
          <w:kern w:val="0"/>
          <w:sz w:val="21"/>
          <w:szCs w:val="21"/>
          <w:lang w:val="en-US" w:eastAsia="zh-CN" w:bidi="ar"/>
        </w:rPr>
        <w:t>采购人</w:t>
      </w:r>
      <w:r>
        <w:rPr>
          <w:rFonts w:hint="eastAsia" w:ascii="宋体" w:hAnsi="宋体" w:eastAsia="宋体" w:cs="MingLiU"/>
          <w:kern w:val="0"/>
          <w:sz w:val="21"/>
          <w:szCs w:val="21"/>
          <w:lang w:val="en-US" w:eastAsia="zh-CN" w:bidi="ar"/>
        </w:rPr>
        <w:t>、</w:t>
      </w:r>
      <w:r>
        <w:rPr>
          <w:rFonts w:hint="eastAsia" w:ascii="宋体" w:hAnsi="宋体" w:cs="MingLiU"/>
          <w:kern w:val="0"/>
          <w:sz w:val="21"/>
          <w:szCs w:val="21"/>
          <w:lang w:val="en-US" w:eastAsia="zh-CN" w:bidi="ar"/>
        </w:rPr>
        <w:t>报价人</w:t>
      </w:r>
      <w:r>
        <w:rPr>
          <w:rFonts w:hint="eastAsia" w:ascii="宋体" w:hAnsi="宋体" w:eastAsia="宋体" w:cs="MingLiU"/>
          <w:kern w:val="0"/>
          <w:sz w:val="21"/>
          <w:szCs w:val="21"/>
          <w:lang w:val="en-US" w:eastAsia="zh-CN" w:bidi="ar"/>
        </w:rPr>
        <w:t>或</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代理机构工作过的人员。</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542" w:name="_Toc200513162"/>
      <w:bookmarkEnd w:id="542"/>
      <w:bookmarkStart w:id="543" w:name="_Toc40455679"/>
      <w:bookmarkEnd w:id="543"/>
      <w:bookmarkStart w:id="544" w:name="_Toc224103353"/>
      <w:bookmarkEnd w:id="544"/>
      <w:bookmarkStart w:id="545" w:name="_Toc287607782"/>
      <w:bookmarkEnd w:id="545"/>
      <w:bookmarkStart w:id="546" w:name="_Toc40780288"/>
      <w:bookmarkEnd w:id="546"/>
      <w:bookmarkStart w:id="547" w:name="_Toc4661940"/>
      <w:bookmarkEnd w:id="547"/>
      <w:bookmarkStart w:id="548" w:name="_Toc277082588"/>
      <w:bookmarkEnd w:id="548"/>
      <w:bookmarkStart w:id="549" w:name="_Toc4662176"/>
      <w:bookmarkEnd w:id="549"/>
      <w:bookmarkStart w:id="550" w:name="_Toc4661462"/>
      <w:bookmarkEnd w:id="550"/>
      <w:bookmarkStart w:id="551" w:name="_Toc4661704"/>
      <w:bookmarkEnd w:id="551"/>
      <w:bookmarkStart w:id="552" w:name="_Toc40455306"/>
      <w:bookmarkEnd w:id="552"/>
      <w:bookmarkStart w:id="553" w:name="_Toc3788"/>
      <w:r>
        <w:rPr>
          <w:rFonts w:hint="eastAsia" w:ascii="宋体" w:hAnsi="宋体" w:eastAsia="宋体" w:cs="Times New Roman"/>
          <w:b/>
          <w:kern w:val="2"/>
          <w:sz w:val="21"/>
          <w:szCs w:val="21"/>
        </w:rPr>
        <w:t xml:space="preserve">6.2  </w:t>
      </w:r>
      <w:bookmarkEnd w:id="553"/>
      <w:r>
        <w:rPr>
          <w:rFonts w:hint="eastAsia" w:ascii="宋体" w:hAnsi="宋体" w:eastAsia="宋体" w:cs="宋体"/>
          <w:b/>
          <w:kern w:val="2"/>
          <w:sz w:val="21"/>
          <w:szCs w:val="21"/>
        </w:rPr>
        <w:t>评标原则</w:t>
      </w:r>
    </w:p>
    <w:p>
      <w:pPr>
        <w:keepNext w:val="0"/>
        <w:keepLines w:val="0"/>
        <w:widowControl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 xml:space="preserve">    </w:t>
      </w:r>
      <w:r>
        <w:rPr>
          <w:rFonts w:hint="eastAsia" w:ascii="宋体" w:hAnsi="宋体" w:eastAsia="宋体" w:cs="宋体"/>
          <w:kern w:val="0"/>
          <w:sz w:val="21"/>
          <w:szCs w:val="21"/>
          <w:lang w:val="en-US" w:eastAsia="zh-CN" w:bidi="ar"/>
        </w:rPr>
        <w:t>评标活动遵循公平、公正、科学和择优的原则。</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554" w:name="_Toc4661463"/>
      <w:bookmarkEnd w:id="554"/>
      <w:bookmarkStart w:id="555" w:name="_Toc40455307"/>
      <w:bookmarkEnd w:id="555"/>
      <w:bookmarkStart w:id="556" w:name="_Toc200513163"/>
      <w:bookmarkEnd w:id="556"/>
      <w:bookmarkStart w:id="557" w:name="_Toc40455680"/>
      <w:bookmarkEnd w:id="557"/>
      <w:bookmarkStart w:id="558" w:name="_Toc26101"/>
      <w:bookmarkEnd w:id="558"/>
      <w:bookmarkStart w:id="559" w:name="_Toc4661705"/>
      <w:bookmarkEnd w:id="559"/>
      <w:bookmarkStart w:id="560" w:name="_Toc4661941"/>
      <w:bookmarkEnd w:id="560"/>
      <w:bookmarkStart w:id="561" w:name="_Toc224103354"/>
      <w:bookmarkEnd w:id="561"/>
      <w:bookmarkStart w:id="562" w:name="_Toc40780289"/>
      <w:bookmarkEnd w:id="562"/>
      <w:bookmarkStart w:id="563" w:name="_Toc277082589"/>
      <w:bookmarkEnd w:id="563"/>
      <w:bookmarkStart w:id="564" w:name="_Toc287607783"/>
      <w:bookmarkEnd w:id="564"/>
      <w:bookmarkStart w:id="565" w:name="_Toc4662177"/>
      <w:r>
        <w:rPr>
          <w:rFonts w:hint="eastAsia" w:ascii="宋体" w:hAnsi="宋体" w:eastAsia="宋体" w:cs="Times New Roman"/>
          <w:b/>
          <w:kern w:val="2"/>
          <w:sz w:val="21"/>
          <w:szCs w:val="21"/>
        </w:rPr>
        <w:t xml:space="preserve">6.3  </w:t>
      </w:r>
      <w:bookmarkEnd w:id="565"/>
      <w:r>
        <w:rPr>
          <w:rFonts w:hint="eastAsia" w:ascii="宋体" w:hAnsi="宋体" w:eastAsia="宋体" w:cs="宋体"/>
          <w:b/>
          <w:kern w:val="2"/>
          <w:sz w:val="21"/>
          <w:szCs w:val="21"/>
        </w:rPr>
        <w:t>评标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6.3.1评标委员会按照第三章“评标办法”规定的方法、评审因素、标准和程序对</w:t>
      </w:r>
      <w:r>
        <w:rPr>
          <w:rFonts w:hint="eastAsia" w:ascii="宋体" w:hAnsi="宋体" w:cs="MingLiU"/>
          <w:kern w:val="0"/>
          <w:sz w:val="21"/>
          <w:szCs w:val="21"/>
          <w:lang w:val="en-US" w:eastAsia="zh-CN" w:bidi="ar"/>
        </w:rPr>
        <w:t>比选响应文件</w:t>
      </w:r>
      <w:r>
        <w:rPr>
          <w:rFonts w:hint="eastAsia" w:ascii="宋体" w:hAnsi="宋体" w:eastAsia="宋体" w:cs="MingLiU"/>
          <w:kern w:val="0"/>
          <w:sz w:val="21"/>
          <w:szCs w:val="21"/>
          <w:lang w:val="en-US" w:eastAsia="zh-CN" w:bidi="ar"/>
        </w:rPr>
        <w:t>进行评审。第三章“评标办法”没有规定的方法、评审因素和标准，不得作为评标依据。</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6.3.2评标完成后，评标委员会应向</w:t>
      </w:r>
      <w:r>
        <w:rPr>
          <w:rFonts w:hint="eastAsia" w:ascii="宋体" w:hAnsi="宋体" w:cs="MingLiU"/>
          <w:kern w:val="0"/>
          <w:sz w:val="21"/>
          <w:szCs w:val="21"/>
          <w:lang w:val="en-US" w:eastAsia="zh-CN" w:bidi="ar"/>
        </w:rPr>
        <w:t>采购人</w:t>
      </w:r>
      <w:r>
        <w:rPr>
          <w:rFonts w:hint="eastAsia" w:ascii="宋体" w:hAnsi="宋体" w:eastAsia="宋体" w:cs="MingLiU"/>
          <w:kern w:val="0"/>
          <w:sz w:val="21"/>
          <w:szCs w:val="21"/>
          <w:lang w:val="en-US" w:eastAsia="zh-CN" w:bidi="ar"/>
        </w:rPr>
        <w:t>提交书面评标报告和中标候选人名单。评标委员会推荐中标候选人的人数见</w:t>
      </w:r>
      <w:r>
        <w:rPr>
          <w:rFonts w:hint="eastAsia" w:ascii="宋体" w:hAnsi="宋体" w:cs="MingLiU"/>
          <w:kern w:val="0"/>
          <w:sz w:val="21"/>
          <w:szCs w:val="21"/>
          <w:lang w:val="en-US" w:eastAsia="zh-CN" w:bidi="ar"/>
        </w:rPr>
        <w:t>报价人须知</w:t>
      </w:r>
      <w:r>
        <w:rPr>
          <w:rFonts w:hint="eastAsia" w:ascii="宋体" w:hAnsi="宋体" w:eastAsia="宋体" w:cs="MingLiU"/>
          <w:kern w:val="0"/>
          <w:sz w:val="21"/>
          <w:szCs w:val="21"/>
          <w:lang w:val="en-US" w:eastAsia="zh-CN" w:bidi="ar"/>
        </w:rPr>
        <w:t>前附表。</w:t>
      </w:r>
    </w:p>
    <w:p>
      <w:pPr>
        <w:pStyle w:val="4"/>
        <w:widowControl/>
        <w:spacing w:before="0" w:beforeAutospacing="0" w:after="0" w:afterAutospacing="0" w:line="300" w:lineRule="exact"/>
        <w:rPr>
          <w:rFonts w:hint="eastAsia" w:ascii="宋体" w:hAnsi="宋体" w:eastAsia="黑体" w:cs="Times New Roman"/>
          <w:b/>
          <w:kern w:val="0"/>
          <w:sz w:val="21"/>
          <w:szCs w:val="21"/>
        </w:rPr>
      </w:pPr>
      <w:bookmarkStart w:id="566" w:name="_Toc4661706"/>
      <w:bookmarkEnd w:id="566"/>
      <w:bookmarkStart w:id="567" w:name="_Toc6853"/>
      <w:bookmarkEnd w:id="567"/>
      <w:bookmarkStart w:id="568" w:name="_Toc28253"/>
      <w:bookmarkEnd w:id="568"/>
      <w:bookmarkStart w:id="569" w:name="_Toc40455681"/>
      <w:bookmarkEnd w:id="569"/>
      <w:bookmarkStart w:id="570" w:name="_Toc13060"/>
      <w:bookmarkEnd w:id="570"/>
      <w:bookmarkStart w:id="571" w:name="_Toc4661464"/>
      <w:bookmarkEnd w:id="571"/>
      <w:bookmarkStart w:id="572" w:name="_Toc224103355"/>
      <w:bookmarkEnd w:id="572"/>
      <w:bookmarkStart w:id="573" w:name="_Toc4662178"/>
      <w:bookmarkEnd w:id="573"/>
      <w:bookmarkStart w:id="574" w:name="_Toc40455308"/>
      <w:bookmarkEnd w:id="574"/>
      <w:bookmarkStart w:id="575" w:name="_Toc4661942"/>
      <w:bookmarkEnd w:id="575"/>
      <w:bookmarkStart w:id="576" w:name="_Toc20858"/>
      <w:bookmarkEnd w:id="576"/>
      <w:bookmarkStart w:id="577" w:name="_Toc277082590"/>
      <w:bookmarkEnd w:id="577"/>
      <w:bookmarkStart w:id="578" w:name="_Toc200513164"/>
      <w:bookmarkEnd w:id="578"/>
      <w:bookmarkStart w:id="579" w:name="_Toc2883"/>
      <w:bookmarkEnd w:id="579"/>
      <w:bookmarkStart w:id="580" w:name="_Toc287607784"/>
      <w:bookmarkEnd w:id="580"/>
      <w:bookmarkStart w:id="581" w:name="_Toc28602"/>
      <w:r>
        <w:rPr>
          <w:rFonts w:hint="eastAsia" w:ascii="宋体" w:hAnsi="宋体" w:eastAsia="黑体" w:cs="Times New Roman"/>
          <w:b/>
          <w:kern w:val="0"/>
          <w:sz w:val="21"/>
          <w:szCs w:val="21"/>
        </w:rPr>
        <w:t xml:space="preserve">7.  </w:t>
      </w:r>
      <w:bookmarkEnd w:id="581"/>
      <w:r>
        <w:rPr>
          <w:rFonts w:hint="eastAsia" w:ascii="宋体" w:hAnsi="宋体" w:eastAsia="宋体" w:cs="宋体"/>
          <w:b/>
          <w:kern w:val="2"/>
          <w:sz w:val="21"/>
          <w:szCs w:val="21"/>
        </w:rPr>
        <w:t>合同授予</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582" w:name="_Toc12458"/>
      <w:bookmarkEnd w:id="582"/>
      <w:bookmarkStart w:id="583" w:name="_Toc40455682"/>
      <w:bookmarkEnd w:id="583"/>
      <w:bookmarkStart w:id="584" w:name="_Toc200513165"/>
      <w:bookmarkEnd w:id="584"/>
      <w:bookmarkStart w:id="585" w:name="_Toc40455309"/>
      <w:bookmarkEnd w:id="585"/>
      <w:bookmarkStart w:id="586" w:name="_Toc277082591"/>
      <w:bookmarkEnd w:id="586"/>
      <w:bookmarkStart w:id="587" w:name="_Toc224103356"/>
      <w:bookmarkEnd w:id="587"/>
      <w:bookmarkStart w:id="588" w:name="_Toc4661943"/>
      <w:bookmarkEnd w:id="588"/>
      <w:bookmarkStart w:id="589" w:name="_Toc287607785"/>
      <w:bookmarkEnd w:id="589"/>
      <w:bookmarkStart w:id="590" w:name="_Toc4661707"/>
      <w:bookmarkEnd w:id="590"/>
      <w:bookmarkStart w:id="591" w:name="_Toc4662179"/>
      <w:bookmarkEnd w:id="591"/>
      <w:bookmarkStart w:id="592" w:name="_Toc4661465"/>
      <w:bookmarkEnd w:id="592"/>
      <w:bookmarkStart w:id="593" w:name="_Toc40780291"/>
      <w:r>
        <w:rPr>
          <w:rFonts w:hint="eastAsia" w:ascii="宋体" w:hAnsi="宋体" w:eastAsia="宋体" w:cs="Times New Roman"/>
          <w:b/>
          <w:kern w:val="2"/>
          <w:sz w:val="21"/>
          <w:szCs w:val="21"/>
        </w:rPr>
        <w:t xml:space="preserve">7.1  </w:t>
      </w:r>
      <w:bookmarkEnd w:id="593"/>
      <w:r>
        <w:rPr>
          <w:rFonts w:hint="eastAsia" w:ascii="宋体" w:hAnsi="宋体" w:eastAsia="宋体" w:cs="宋体"/>
          <w:b/>
          <w:kern w:val="2"/>
          <w:sz w:val="21"/>
          <w:szCs w:val="21"/>
        </w:rPr>
        <w:t>定标方式</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除</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前附表规定评标委员会直接确定中标人外，</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依据评标委员会推荐的中标候选人中的第一名综合得分者为中标人，评标委员会推荐中标候选人的人数见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594" w:name="_Toc277082592"/>
      <w:bookmarkEnd w:id="594"/>
      <w:bookmarkStart w:id="595" w:name="_Toc4661944"/>
      <w:bookmarkEnd w:id="595"/>
      <w:bookmarkStart w:id="596" w:name="_Toc40780292"/>
      <w:bookmarkEnd w:id="596"/>
      <w:bookmarkStart w:id="597" w:name="_Toc4661466"/>
      <w:bookmarkEnd w:id="597"/>
      <w:bookmarkStart w:id="598" w:name="_Toc40455310"/>
      <w:bookmarkEnd w:id="598"/>
      <w:bookmarkStart w:id="599" w:name="_Toc4662180"/>
      <w:bookmarkEnd w:id="599"/>
      <w:bookmarkStart w:id="600" w:name="_Toc32622"/>
      <w:bookmarkEnd w:id="600"/>
      <w:bookmarkStart w:id="601" w:name="_Toc4661708"/>
      <w:bookmarkEnd w:id="601"/>
      <w:bookmarkStart w:id="602" w:name="_Toc200513166"/>
      <w:bookmarkEnd w:id="602"/>
      <w:bookmarkStart w:id="603" w:name="_Toc287607786"/>
      <w:bookmarkEnd w:id="603"/>
      <w:bookmarkStart w:id="604" w:name="_Toc40455683"/>
      <w:bookmarkEnd w:id="604"/>
      <w:bookmarkStart w:id="605" w:name="_Toc224103357"/>
      <w:r>
        <w:rPr>
          <w:rFonts w:hint="eastAsia" w:ascii="宋体" w:hAnsi="宋体" w:eastAsia="宋体" w:cs="Times New Roman"/>
          <w:b/>
          <w:kern w:val="2"/>
          <w:sz w:val="21"/>
          <w:szCs w:val="21"/>
        </w:rPr>
        <w:t xml:space="preserve">7.2  </w:t>
      </w:r>
      <w:bookmarkEnd w:id="605"/>
      <w:r>
        <w:rPr>
          <w:rFonts w:hint="eastAsia" w:ascii="宋体" w:hAnsi="宋体" w:eastAsia="宋体" w:cs="宋体"/>
          <w:b/>
          <w:kern w:val="2"/>
          <w:sz w:val="21"/>
          <w:szCs w:val="21"/>
        </w:rPr>
        <w:t>中标通知</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在本章第</w:t>
      </w:r>
      <w:r>
        <w:rPr>
          <w:rFonts w:hint="eastAsia" w:ascii="宋体" w:hAnsi="宋体" w:eastAsia="宋体" w:cs="Calibri"/>
          <w:kern w:val="0"/>
          <w:sz w:val="21"/>
          <w:szCs w:val="21"/>
          <w:lang w:val="en-US" w:eastAsia="zh-CN" w:bidi="ar"/>
        </w:rPr>
        <w:t xml:space="preserve"> 3.3 </w:t>
      </w:r>
      <w:r>
        <w:rPr>
          <w:rFonts w:hint="eastAsia" w:ascii="宋体" w:hAnsi="宋体" w:eastAsia="宋体" w:cs="宋体"/>
          <w:kern w:val="0"/>
          <w:sz w:val="21"/>
          <w:szCs w:val="21"/>
          <w:lang w:val="en-US" w:eastAsia="zh-CN" w:bidi="ar"/>
        </w:rPr>
        <w:t>款规定的投标有效期内，</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以书面形式向中标人发出中标通知书，同时将中标结果通知未中标的</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606" w:name="_Toc200513167"/>
      <w:bookmarkEnd w:id="606"/>
      <w:bookmarkStart w:id="607" w:name="_Toc4661467"/>
      <w:bookmarkEnd w:id="607"/>
      <w:bookmarkStart w:id="608" w:name="_Toc6509"/>
      <w:bookmarkEnd w:id="608"/>
      <w:bookmarkStart w:id="609" w:name="_Toc40780293"/>
      <w:bookmarkEnd w:id="609"/>
      <w:bookmarkStart w:id="610" w:name="_Toc287607787"/>
      <w:bookmarkEnd w:id="610"/>
      <w:bookmarkStart w:id="611" w:name="_Toc40455684"/>
      <w:bookmarkEnd w:id="611"/>
      <w:bookmarkStart w:id="612" w:name="_Toc4661709"/>
      <w:bookmarkEnd w:id="612"/>
      <w:bookmarkStart w:id="613" w:name="_Toc224103358"/>
      <w:bookmarkEnd w:id="613"/>
      <w:bookmarkStart w:id="614" w:name="_Toc4661945"/>
      <w:bookmarkEnd w:id="614"/>
      <w:bookmarkStart w:id="615" w:name="_Toc277082593"/>
      <w:bookmarkEnd w:id="615"/>
      <w:bookmarkStart w:id="616" w:name="_Toc40455311"/>
      <w:bookmarkEnd w:id="616"/>
      <w:bookmarkStart w:id="617" w:name="_Toc4662181"/>
      <w:r>
        <w:rPr>
          <w:rFonts w:hint="eastAsia" w:ascii="宋体" w:hAnsi="宋体" w:eastAsia="宋体" w:cs="Times New Roman"/>
          <w:b/>
          <w:kern w:val="2"/>
          <w:sz w:val="21"/>
          <w:szCs w:val="21"/>
        </w:rPr>
        <w:t xml:space="preserve">7.3  </w:t>
      </w:r>
      <w:bookmarkEnd w:id="617"/>
      <w:r>
        <w:rPr>
          <w:rFonts w:hint="eastAsia" w:ascii="宋体" w:hAnsi="宋体" w:eastAsia="宋体" w:cs="宋体"/>
          <w:b/>
          <w:kern w:val="2"/>
          <w:sz w:val="21"/>
          <w:szCs w:val="21"/>
        </w:rPr>
        <w:t>履约担保</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7.3.1  </w:t>
      </w:r>
      <w:r>
        <w:rPr>
          <w:rFonts w:hint="eastAsia" w:ascii="宋体" w:hAnsi="宋体" w:eastAsia="宋体" w:cs="宋体"/>
          <w:kern w:val="0"/>
          <w:sz w:val="21"/>
          <w:szCs w:val="21"/>
          <w:lang w:val="en-US" w:eastAsia="zh-CN" w:bidi="ar"/>
        </w:rPr>
        <w:t>在签订合同前，中标人应按</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前附表规定的金额、担保形式和</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w:t>
      </w:r>
      <w:r>
        <w:rPr>
          <w:rFonts w:hint="eastAsia" w:ascii="宋体" w:hAnsi="宋体"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第四章</w:t>
      </w:r>
      <w:r>
        <w:rPr>
          <w:rFonts w:hint="eastAsia" w:ascii="宋体" w:hAnsi="宋体" w:eastAsia="宋体" w:cs="MingLiU"/>
          <w:kern w:val="0"/>
          <w:sz w:val="21"/>
          <w:szCs w:val="21"/>
          <w:lang w:val="en-US" w:eastAsia="zh-CN" w:bidi="ar"/>
        </w:rPr>
        <w:t>“合同条款及格式”规定的履约担保格式向</w:t>
      </w:r>
      <w:r>
        <w:rPr>
          <w:rFonts w:hint="eastAsia" w:ascii="宋体" w:hAnsi="宋体" w:cs="MingLiU"/>
          <w:kern w:val="0"/>
          <w:sz w:val="21"/>
          <w:szCs w:val="21"/>
          <w:lang w:val="en-US" w:eastAsia="zh-CN" w:bidi="ar"/>
        </w:rPr>
        <w:t>采购人</w:t>
      </w:r>
      <w:r>
        <w:rPr>
          <w:rFonts w:hint="eastAsia" w:ascii="宋体" w:hAnsi="宋体" w:eastAsia="宋体" w:cs="MingLiU"/>
          <w:kern w:val="0"/>
          <w:sz w:val="21"/>
          <w:szCs w:val="21"/>
          <w:lang w:val="en-US" w:eastAsia="zh-CN" w:bidi="ar"/>
        </w:rPr>
        <w:t>提交履约担保。联合体中标的，其履约担保由牵头人递交，并应符合</w:t>
      </w:r>
      <w:r>
        <w:rPr>
          <w:rFonts w:hint="eastAsia" w:ascii="宋体" w:hAnsi="宋体" w:cs="MingLiU"/>
          <w:kern w:val="0"/>
          <w:sz w:val="21"/>
          <w:szCs w:val="21"/>
          <w:lang w:val="en-US" w:eastAsia="zh-CN" w:bidi="ar"/>
        </w:rPr>
        <w:t>报价人须知</w:t>
      </w:r>
      <w:r>
        <w:rPr>
          <w:rFonts w:hint="eastAsia" w:ascii="宋体" w:hAnsi="宋体" w:eastAsia="宋体" w:cs="MingLiU"/>
          <w:kern w:val="0"/>
          <w:sz w:val="21"/>
          <w:szCs w:val="21"/>
          <w:lang w:val="en-US" w:eastAsia="zh-CN" w:bidi="ar"/>
        </w:rPr>
        <w:t>前附表规定的金额、担保形式</w:t>
      </w:r>
      <w:r>
        <w:rPr>
          <w:rFonts w:hint="eastAsia" w:ascii="宋体" w:hAnsi="宋体" w:cs="MingLiU"/>
          <w:kern w:val="0"/>
          <w:sz w:val="21"/>
          <w:szCs w:val="21"/>
          <w:lang w:val="en-US" w:eastAsia="zh-CN" w:bidi="ar"/>
        </w:rPr>
        <w:t>等缴纳履约保证金</w:t>
      </w:r>
      <w:r>
        <w:rPr>
          <w:rFonts w:hint="eastAsia" w:ascii="宋体" w:hAnsi="宋体" w:eastAsia="宋体" w:cs="MingLiU"/>
          <w:kern w:val="0"/>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7.3.2  </w:t>
      </w:r>
      <w:r>
        <w:rPr>
          <w:rFonts w:hint="eastAsia" w:ascii="宋体" w:hAnsi="宋体" w:eastAsia="宋体" w:cs="宋体"/>
          <w:kern w:val="0"/>
          <w:sz w:val="21"/>
          <w:szCs w:val="21"/>
          <w:lang w:val="en-US" w:eastAsia="zh-CN" w:bidi="ar"/>
        </w:rPr>
        <w:t>中标人不能按本章第</w:t>
      </w:r>
      <w:r>
        <w:rPr>
          <w:rFonts w:hint="eastAsia" w:ascii="宋体" w:hAnsi="宋体" w:eastAsia="宋体" w:cs="Calibri"/>
          <w:kern w:val="0"/>
          <w:sz w:val="21"/>
          <w:szCs w:val="21"/>
          <w:lang w:val="en-US" w:eastAsia="zh-CN" w:bidi="ar"/>
        </w:rPr>
        <w:t xml:space="preserve"> 7.3.1 </w:t>
      </w:r>
      <w:r>
        <w:rPr>
          <w:rFonts w:hint="eastAsia" w:ascii="宋体" w:hAnsi="宋体" w:eastAsia="宋体" w:cs="宋体"/>
          <w:kern w:val="0"/>
          <w:sz w:val="21"/>
          <w:szCs w:val="21"/>
          <w:lang w:val="en-US" w:eastAsia="zh-CN" w:bidi="ar"/>
        </w:rPr>
        <w:t>项要求提交履约担保的，视为放弃中标，其投标保证金不予退还，给</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造成的损失超过投标保证金数额的，中标人还应当对超过部分予以赔偿。</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618" w:name="_Toc40780294"/>
      <w:bookmarkEnd w:id="618"/>
      <w:bookmarkStart w:id="619" w:name="_Toc40455312"/>
      <w:bookmarkEnd w:id="619"/>
      <w:bookmarkStart w:id="620" w:name="_Toc40455685"/>
      <w:bookmarkEnd w:id="620"/>
      <w:bookmarkStart w:id="621" w:name="_Toc4661468"/>
      <w:bookmarkEnd w:id="621"/>
      <w:bookmarkStart w:id="622" w:name="_Toc224103359"/>
      <w:bookmarkEnd w:id="622"/>
      <w:bookmarkStart w:id="623" w:name="_Toc12031"/>
      <w:bookmarkEnd w:id="623"/>
      <w:bookmarkStart w:id="624" w:name="_Toc4661946"/>
      <w:bookmarkEnd w:id="624"/>
      <w:bookmarkStart w:id="625" w:name="_Toc4662182"/>
      <w:bookmarkEnd w:id="625"/>
      <w:bookmarkStart w:id="626" w:name="_Toc4661710"/>
      <w:bookmarkEnd w:id="626"/>
      <w:bookmarkStart w:id="627" w:name="_Toc277082594"/>
      <w:bookmarkEnd w:id="627"/>
      <w:bookmarkStart w:id="628" w:name="_Toc200513168"/>
      <w:bookmarkEnd w:id="628"/>
      <w:bookmarkStart w:id="629" w:name="_Toc287607788"/>
      <w:r>
        <w:rPr>
          <w:rFonts w:hint="eastAsia" w:ascii="宋体" w:hAnsi="宋体" w:eastAsia="宋体" w:cs="Times New Roman"/>
          <w:b/>
          <w:kern w:val="2"/>
          <w:sz w:val="21"/>
          <w:szCs w:val="21"/>
        </w:rPr>
        <w:t xml:space="preserve">7.4  </w:t>
      </w:r>
      <w:bookmarkEnd w:id="629"/>
      <w:r>
        <w:rPr>
          <w:rFonts w:hint="eastAsia" w:ascii="宋体" w:hAnsi="宋体" w:eastAsia="宋体" w:cs="宋体"/>
          <w:b/>
          <w:kern w:val="2"/>
          <w:sz w:val="21"/>
          <w:szCs w:val="21"/>
        </w:rPr>
        <w:t>签订合同</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7.4.1 </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和中标人应当自中标通知书发出之日起</w:t>
      </w:r>
      <w:r>
        <w:rPr>
          <w:rFonts w:hint="eastAsia" w:ascii="宋体" w:hAnsi="宋体" w:eastAsia="宋体" w:cs="Calibri"/>
          <w:kern w:val="0"/>
          <w:sz w:val="21"/>
          <w:szCs w:val="21"/>
          <w:lang w:val="en-US" w:eastAsia="zh-CN" w:bidi="ar"/>
        </w:rPr>
        <w:t xml:space="preserve"> 30 </w:t>
      </w:r>
      <w:r>
        <w:rPr>
          <w:rFonts w:hint="eastAsia" w:ascii="宋体" w:hAnsi="宋体" w:eastAsia="宋体" w:cs="宋体"/>
          <w:kern w:val="0"/>
          <w:sz w:val="21"/>
          <w:szCs w:val="21"/>
          <w:lang w:val="en-US" w:eastAsia="zh-CN" w:bidi="ar"/>
        </w:rPr>
        <w:t>天内，根据</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文件和中标人的</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订立书面合同。中标人无正当理由拒签合同的，</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取消其中标资格，其投标保证金不予退还；给</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造成的损失超过投标保证金数额的，中标人还应当对超过部分予以赔偿。</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7.4.2  </w:t>
      </w:r>
      <w:r>
        <w:rPr>
          <w:rFonts w:hint="eastAsia" w:ascii="宋体" w:hAnsi="宋体" w:eastAsia="宋体" w:cs="宋体"/>
          <w:kern w:val="0"/>
          <w:sz w:val="21"/>
          <w:szCs w:val="21"/>
          <w:lang w:val="en-US" w:eastAsia="zh-CN" w:bidi="ar"/>
        </w:rPr>
        <w:t>发出中标通知书后，</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无正当理由拒签合同的，</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向中标人退还投标保证金；给中标人造成损失的，还应当赔偿损失。</w:t>
      </w:r>
    </w:p>
    <w:p>
      <w:pPr>
        <w:keepNext w:val="0"/>
        <w:keepLines w:val="0"/>
        <w:widowControl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Times New Roman"/>
          <w:b/>
          <w:kern w:val="2"/>
          <w:sz w:val="21"/>
          <w:szCs w:val="21"/>
        </w:rPr>
      </w:pPr>
      <w:bookmarkStart w:id="630" w:name="_Toc40455686"/>
      <w:bookmarkEnd w:id="630"/>
      <w:bookmarkStart w:id="631" w:name="_Toc4661947"/>
      <w:bookmarkEnd w:id="631"/>
      <w:bookmarkStart w:id="632" w:name="_Toc4662183"/>
      <w:bookmarkEnd w:id="632"/>
      <w:bookmarkStart w:id="633" w:name="_Toc287607789"/>
      <w:bookmarkEnd w:id="633"/>
      <w:bookmarkStart w:id="634" w:name="_Toc277082595"/>
      <w:bookmarkEnd w:id="634"/>
      <w:bookmarkStart w:id="635" w:name="_Toc4661711"/>
      <w:bookmarkEnd w:id="635"/>
      <w:bookmarkStart w:id="636" w:name="_Toc8265"/>
      <w:bookmarkEnd w:id="636"/>
      <w:bookmarkStart w:id="637" w:name="_Toc4661469"/>
      <w:bookmarkEnd w:id="637"/>
      <w:bookmarkStart w:id="638" w:name="_Toc200513169"/>
      <w:bookmarkEnd w:id="638"/>
      <w:bookmarkStart w:id="639" w:name="_Toc224103360"/>
      <w:bookmarkEnd w:id="639"/>
      <w:bookmarkStart w:id="640" w:name="_Toc40455313"/>
      <w:bookmarkEnd w:id="640"/>
      <w:bookmarkStart w:id="641" w:name="_Toc14976"/>
      <w:r>
        <w:rPr>
          <w:rFonts w:hint="eastAsia" w:ascii="宋体" w:hAnsi="宋体" w:eastAsia="宋体" w:cs="Times New Roman"/>
          <w:b/>
          <w:kern w:val="2"/>
          <w:sz w:val="21"/>
          <w:szCs w:val="21"/>
          <w:lang w:val="en-US" w:eastAsia="zh-CN" w:bidi="ar"/>
        </w:rPr>
        <w:t xml:space="preserve">8.  </w:t>
      </w:r>
      <w:bookmarkEnd w:id="641"/>
      <w:bookmarkStart w:id="642" w:name="_Toc277082598"/>
      <w:bookmarkEnd w:id="642"/>
      <w:bookmarkStart w:id="643" w:name="_Toc40455689"/>
      <w:bookmarkEnd w:id="643"/>
      <w:bookmarkStart w:id="644" w:name="_Toc287607792"/>
      <w:bookmarkEnd w:id="644"/>
      <w:bookmarkStart w:id="645" w:name="_Toc224103363"/>
      <w:bookmarkEnd w:id="645"/>
      <w:bookmarkStart w:id="646" w:name="_Toc14831"/>
      <w:bookmarkEnd w:id="646"/>
      <w:bookmarkStart w:id="647" w:name="_Toc4661714"/>
      <w:bookmarkEnd w:id="647"/>
      <w:bookmarkStart w:id="648" w:name="_Toc31835"/>
      <w:bookmarkEnd w:id="648"/>
      <w:bookmarkStart w:id="649" w:name="_Toc4661950"/>
      <w:bookmarkEnd w:id="649"/>
      <w:bookmarkStart w:id="650" w:name="_Toc200513172"/>
      <w:bookmarkEnd w:id="650"/>
      <w:bookmarkStart w:id="651" w:name="_Toc4661472"/>
      <w:bookmarkEnd w:id="651"/>
      <w:bookmarkStart w:id="652" w:name="_Toc40455316"/>
      <w:bookmarkEnd w:id="652"/>
      <w:bookmarkStart w:id="653" w:name="_Toc4662186"/>
      <w:bookmarkEnd w:id="653"/>
      <w:r>
        <w:rPr>
          <w:rFonts w:hint="eastAsia" w:ascii="宋体" w:hAnsi="宋体" w:eastAsia="宋体" w:cs="Times New Roman"/>
          <w:b/>
          <w:kern w:val="2"/>
          <w:sz w:val="21"/>
          <w:szCs w:val="21"/>
          <w:lang w:val="en-US" w:eastAsia="zh-CN" w:bidi="ar"/>
        </w:rPr>
        <w:t xml:space="preserve"> </w:t>
      </w:r>
      <w:r>
        <w:rPr>
          <w:rFonts w:hint="eastAsia" w:ascii="宋体" w:hAnsi="宋体" w:eastAsia="宋体" w:cs="宋体"/>
          <w:b/>
          <w:kern w:val="2"/>
          <w:sz w:val="21"/>
          <w:szCs w:val="21"/>
          <w:lang w:val="en-US" w:eastAsia="zh-CN" w:bidi="ar"/>
        </w:rPr>
        <w:t>纪律和监督</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654" w:name="_Toc4661473"/>
      <w:bookmarkEnd w:id="654"/>
      <w:bookmarkStart w:id="655" w:name="_Toc40780299"/>
      <w:bookmarkEnd w:id="655"/>
      <w:bookmarkStart w:id="656" w:name="_Toc40455317"/>
      <w:bookmarkEnd w:id="656"/>
      <w:bookmarkStart w:id="657" w:name="_Toc4662187"/>
      <w:bookmarkEnd w:id="657"/>
      <w:bookmarkStart w:id="658" w:name="_Toc40455690"/>
      <w:bookmarkEnd w:id="658"/>
      <w:bookmarkStart w:id="659" w:name="_Toc224103364"/>
      <w:bookmarkEnd w:id="659"/>
      <w:bookmarkStart w:id="660" w:name="_Toc8515"/>
      <w:bookmarkEnd w:id="660"/>
      <w:bookmarkStart w:id="661" w:name="_Toc200513173"/>
      <w:bookmarkEnd w:id="661"/>
      <w:bookmarkStart w:id="662" w:name="_Toc277082599"/>
      <w:bookmarkEnd w:id="662"/>
      <w:bookmarkStart w:id="663" w:name="_Toc4661715"/>
      <w:bookmarkEnd w:id="663"/>
      <w:bookmarkStart w:id="664" w:name="_Toc287607793"/>
      <w:bookmarkEnd w:id="664"/>
      <w:bookmarkStart w:id="665" w:name="_Toc4661951"/>
      <w:r>
        <w:rPr>
          <w:rFonts w:hint="eastAsia" w:ascii="宋体" w:hAnsi="宋体" w:eastAsia="宋体" w:cs="Times New Roman"/>
          <w:b/>
          <w:kern w:val="2"/>
          <w:sz w:val="21"/>
          <w:szCs w:val="21"/>
        </w:rPr>
        <w:t>8</w:t>
      </w:r>
      <w:bookmarkEnd w:id="665"/>
      <w:r>
        <w:rPr>
          <w:rFonts w:hint="eastAsia" w:ascii="宋体" w:hAnsi="宋体" w:eastAsia="宋体" w:cs="Times New Roman"/>
          <w:b/>
          <w:kern w:val="2"/>
          <w:sz w:val="21"/>
          <w:szCs w:val="21"/>
        </w:rPr>
        <w:t xml:space="preserve">.1  </w:t>
      </w:r>
      <w:r>
        <w:rPr>
          <w:rFonts w:hint="eastAsia" w:ascii="宋体" w:hAnsi="宋体" w:eastAsia="宋体" w:cs="宋体"/>
          <w:b/>
          <w:kern w:val="2"/>
          <w:sz w:val="21"/>
          <w:szCs w:val="21"/>
        </w:rPr>
        <w:t>对</w:t>
      </w:r>
      <w:r>
        <w:rPr>
          <w:rFonts w:hint="eastAsia" w:ascii="宋体" w:hAnsi="宋体" w:cs="宋体"/>
          <w:b/>
          <w:kern w:val="2"/>
          <w:sz w:val="21"/>
          <w:szCs w:val="21"/>
          <w:lang w:eastAsia="zh-CN"/>
        </w:rPr>
        <w:t>采购人</w:t>
      </w:r>
      <w:r>
        <w:rPr>
          <w:rFonts w:hint="eastAsia" w:ascii="宋体" w:hAnsi="宋体" w:eastAsia="宋体" w:cs="宋体"/>
          <w:b/>
          <w:kern w:val="2"/>
          <w:sz w:val="21"/>
          <w:szCs w:val="21"/>
        </w:rPr>
        <w:t>的纪律要求</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不得泄漏</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投标活动中应当保密的情况和资料，不得与</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串通损害国家利益、社会公共利益或者他人合法权益，</w:t>
      </w:r>
      <w:r>
        <w:rPr>
          <w:rFonts w:hint="eastAsia" w:ascii="宋体" w:hAnsi="宋体" w:eastAsia="宋体" w:cs="宋体"/>
          <w:kern w:val="2"/>
          <w:sz w:val="21"/>
          <w:szCs w:val="21"/>
          <w:lang w:val="en-US" w:eastAsia="zh-CN" w:bidi="ar"/>
        </w:rPr>
        <w:t>禁止</w:t>
      </w:r>
      <w:r>
        <w:rPr>
          <w:rFonts w:hint="eastAsia" w:ascii="宋体" w:hAnsi="宋体" w:cs="宋体"/>
          <w:kern w:val="2"/>
          <w:sz w:val="21"/>
          <w:szCs w:val="21"/>
          <w:lang w:val="en-US" w:eastAsia="zh-CN" w:bidi="ar"/>
        </w:rPr>
        <w:t>采购人</w:t>
      </w:r>
      <w:r>
        <w:rPr>
          <w:rFonts w:hint="eastAsia" w:ascii="宋体" w:hAnsi="宋体" w:eastAsia="宋体" w:cs="宋体"/>
          <w:kern w:val="2"/>
          <w:sz w:val="21"/>
          <w:szCs w:val="21"/>
          <w:lang w:val="en-US" w:eastAsia="zh-CN" w:bidi="ar"/>
        </w:rPr>
        <w:t>与</w:t>
      </w:r>
      <w:r>
        <w:rPr>
          <w:rFonts w:hint="eastAsia" w:ascii="宋体" w:hAnsi="宋体" w:cs="宋体"/>
          <w:kern w:val="2"/>
          <w:sz w:val="21"/>
          <w:szCs w:val="21"/>
          <w:lang w:val="en-US" w:eastAsia="zh-CN" w:bidi="ar"/>
        </w:rPr>
        <w:t>报价人</w:t>
      </w:r>
      <w:r>
        <w:rPr>
          <w:rFonts w:hint="eastAsia" w:ascii="宋体" w:hAnsi="宋体" w:eastAsia="宋体" w:cs="宋体"/>
          <w:kern w:val="2"/>
          <w:sz w:val="21"/>
          <w:szCs w:val="21"/>
          <w:lang w:val="en-US" w:eastAsia="zh-CN" w:bidi="ar"/>
        </w:rPr>
        <w:t>串通投标。</w:t>
      </w:r>
      <w:r>
        <w:rPr>
          <w:rFonts w:hint="eastAsia" w:ascii="宋体" w:hAnsi="宋体" w:eastAsia="宋体" w:cs="Calibri"/>
          <w:kern w:val="2"/>
          <w:sz w:val="21"/>
          <w:szCs w:val="21"/>
          <w:lang w:val="en-US" w:eastAsia="zh-CN" w:bidi="ar"/>
        </w:rPr>
        <w:br w:type="textWrapping"/>
      </w:r>
      <w:r>
        <w:rPr>
          <w:rFonts w:hint="eastAsia" w:ascii="宋体" w:hAnsi="宋体" w:eastAsia="宋体" w:cs="Calibri"/>
          <w:kern w:val="2"/>
          <w:sz w:val="21"/>
          <w:szCs w:val="21"/>
          <w:lang w:val="en-US" w:eastAsia="zh-CN" w:bidi="ar"/>
        </w:rPr>
        <w:t xml:space="preserve">   有下列情形之一的，属于</w:t>
      </w:r>
      <w:r>
        <w:rPr>
          <w:rFonts w:hint="eastAsia" w:ascii="宋体" w:hAnsi="宋体" w:cs="Calibri"/>
          <w:kern w:val="2"/>
          <w:sz w:val="21"/>
          <w:szCs w:val="21"/>
          <w:lang w:val="en-US" w:eastAsia="zh-CN" w:bidi="ar"/>
        </w:rPr>
        <w:t>采购人</w:t>
      </w:r>
      <w:r>
        <w:rPr>
          <w:rFonts w:hint="eastAsia" w:ascii="宋体" w:hAnsi="宋体" w:eastAsia="宋体" w:cs="Calibri"/>
          <w:kern w:val="2"/>
          <w:sz w:val="21"/>
          <w:szCs w:val="21"/>
          <w:lang w:val="en-US" w:eastAsia="zh-CN" w:bidi="ar"/>
        </w:rPr>
        <w:t>与</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串通投标：</w:t>
      </w:r>
      <w:r>
        <w:rPr>
          <w:rFonts w:hint="eastAsia" w:ascii="宋体" w:hAnsi="宋体" w:eastAsia="宋体" w:cs="Calibri"/>
          <w:kern w:val="2"/>
          <w:sz w:val="21"/>
          <w:szCs w:val="21"/>
          <w:lang w:val="en-US" w:eastAsia="zh-CN" w:bidi="ar"/>
        </w:rPr>
        <w:br w:type="textWrapping"/>
      </w:r>
      <w:r>
        <w:rPr>
          <w:rFonts w:hint="eastAsia" w:ascii="宋体" w:hAnsi="宋体" w:eastAsia="宋体" w:cs="Calibri"/>
          <w:kern w:val="2"/>
          <w:sz w:val="21"/>
          <w:szCs w:val="21"/>
          <w:lang w:val="en-US" w:eastAsia="zh-CN" w:bidi="ar"/>
        </w:rPr>
        <w:t xml:space="preserve">  （1）</w:t>
      </w:r>
      <w:r>
        <w:rPr>
          <w:rFonts w:hint="eastAsia" w:ascii="宋体" w:hAnsi="宋体" w:cs="Calibri"/>
          <w:kern w:val="2"/>
          <w:sz w:val="21"/>
          <w:szCs w:val="21"/>
          <w:lang w:val="en-US" w:eastAsia="zh-CN" w:bidi="ar"/>
        </w:rPr>
        <w:t>采购人</w:t>
      </w:r>
      <w:r>
        <w:rPr>
          <w:rFonts w:hint="eastAsia" w:ascii="宋体" w:hAnsi="宋体" w:eastAsia="宋体" w:cs="Calibri"/>
          <w:kern w:val="2"/>
          <w:sz w:val="21"/>
          <w:szCs w:val="21"/>
          <w:lang w:val="en-US" w:eastAsia="zh-CN" w:bidi="ar"/>
        </w:rPr>
        <w:t>在开标前开启</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并将有关信息泄露给其他</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w:t>
      </w:r>
      <w:r>
        <w:rPr>
          <w:rFonts w:hint="eastAsia" w:ascii="宋体" w:hAnsi="宋体" w:eastAsia="宋体" w:cs="Calibri"/>
          <w:kern w:val="2"/>
          <w:sz w:val="21"/>
          <w:szCs w:val="21"/>
          <w:lang w:val="en-US" w:eastAsia="zh-CN" w:bidi="ar"/>
        </w:rPr>
        <w:br w:type="textWrapping"/>
      </w:r>
      <w:r>
        <w:rPr>
          <w:rFonts w:hint="eastAsia" w:ascii="宋体" w:hAnsi="宋体" w:eastAsia="宋体" w:cs="Calibri"/>
          <w:kern w:val="2"/>
          <w:sz w:val="21"/>
          <w:szCs w:val="21"/>
          <w:lang w:val="en-US" w:eastAsia="zh-CN" w:bidi="ar"/>
        </w:rPr>
        <w:t xml:space="preserve">  （2）</w:t>
      </w:r>
      <w:r>
        <w:rPr>
          <w:rFonts w:hint="eastAsia" w:ascii="宋体" w:hAnsi="宋体" w:cs="Calibri"/>
          <w:kern w:val="2"/>
          <w:sz w:val="21"/>
          <w:szCs w:val="21"/>
          <w:lang w:val="en-US" w:eastAsia="zh-CN" w:bidi="ar"/>
        </w:rPr>
        <w:t>采购人</w:t>
      </w:r>
      <w:r>
        <w:rPr>
          <w:rFonts w:hint="eastAsia" w:ascii="宋体" w:hAnsi="宋体" w:eastAsia="宋体" w:cs="Calibri"/>
          <w:kern w:val="2"/>
          <w:sz w:val="21"/>
          <w:szCs w:val="21"/>
          <w:lang w:val="en-US" w:eastAsia="zh-CN" w:bidi="ar"/>
        </w:rPr>
        <w:t>直接或者间接向</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泄露标底、评标委员会成员等信息；</w:t>
      </w:r>
      <w:r>
        <w:rPr>
          <w:rFonts w:hint="eastAsia" w:ascii="宋体" w:hAnsi="宋体" w:eastAsia="宋体" w:cs="Calibri"/>
          <w:kern w:val="2"/>
          <w:sz w:val="21"/>
          <w:szCs w:val="21"/>
          <w:lang w:val="en-US" w:eastAsia="zh-CN" w:bidi="ar"/>
        </w:rPr>
        <w:br w:type="textWrapping"/>
      </w:r>
      <w:r>
        <w:rPr>
          <w:rFonts w:hint="eastAsia" w:ascii="宋体" w:hAnsi="宋体" w:eastAsia="宋体" w:cs="Calibri"/>
          <w:kern w:val="2"/>
          <w:sz w:val="21"/>
          <w:szCs w:val="21"/>
          <w:lang w:val="en-US" w:eastAsia="zh-CN" w:bidi="ar"/>
        </w:rPr>
        <w:t xml:space="preserve">  （3）</w:t>
      </w:r>
      <w:r>
        <w:rPr>
          <w:rFonts w:hint="eastAsia" w:ascii="宋体" w:hAnsi="宋体" w:cs="Calibri"/>
          <w:kern w:val="2"/>
          <w:sz w:val="21"/>
          <w:szCs w:val="21"/>
          <w:lang w:val="en-US" w:eastAsia="zh-CN" w:bidi="ar"/>
        </w:rPr>
        <w:t>采购人</w:t>
      </w:r>
      <w:r>
        <w:rPr>
          <w:rFonts w:hint="eastAsia" w:ascii="宋体" w:hAnsi="宋体" w:eastAsia="宋体" w:cs="Calibri"/>
          <w:kern w:val="2"/>
          <w:sz w:val="21"/>
          <w:szCs w:val="21"/>
          <w:lang w:val="en-US" w:eastAsia="zh-CN" w:bidi="ar"/>
        </w:rPr>
        <w:t>明示或者暗示</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压低或者抬高投标报价；</w:t>
      </w:r>
      <w:r>
        <w:rPr>
          <w:rFonts w:hint="eastAsia" w:ascii="宋体" w:hAnsi="宋体" w:eastAsia="宋体" w:cs="Calibri"/>
          <w:kern w:val="2"/>
          <w:sz w:val="21"/>
          <w:szCs w:val="21"/>
          <w:lang w:val="en-US" w:eastAsia="zh-CN" w:bidi="ar"/>
        </w:rPr>
        <w:br w:type="textWrapping"/>
      </w:r>
      <w:r>
        <w:rPr>
          <w:rFonts w:hint="eastAsia" w:ascii="宋体" w:hAnsi="宋体" w:eastAsia="宋体" w:cs="Calibri"/>
          <w:kern w:val="2"/>
          <w:sz w:val="21"/>
          <w:szCs w:val="21"/>
          <w:lang w:val="en-US" w:eastAsia="zh-CN" w:bidi="ar"/>
        </w:rPr>
        <w:t xml:space="preserve">  （4）</w:t>
      </w:r>
      <w:r>
        <w:rPr>
          <w:rFonts w:hint="eastAsia" w:ascii="宋体" w:hAnsi="宋体" w:cs="Calibri"/>
          <w:kern w:val="2"/>
          <w:sz w:val="21"/>
          <w:szCs w:val="21"/>
          <w:lang w:val="en-US" w:eastAsia="zh-CN" w:bidi="ar"/>
        </w:rPr>
        <w:t>采购人</w:t>
      </w:r>
      <w:r>
        <w:rPr>
          <w:rFonts w:hint="eastAsia" w:ascii="宋体" w:hAnsi="宋体" w:eastAsia="宋体" w:cs="Calibri"/>
          <w:kern w:val="2"/>
          <w:sz w:val="21"/>
          <w:szCs w:val="21"/>
          <w:lang w:val="en-US" w:eastAsia="zh-CN" w:bidi="ar"/>
        </w:rPr>
        <w:t>授意</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撤换、修改</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w:t>
      </w:r>
      <w:r>
        <w:rPr>
          <w:rFonts w:hint="eastAsia" w:ascii="宋体" w:hAnsi="宋体" w:eastAsia="宋体" w:cs="Calibri"/>
          <w:kern w:val="2"/>
          <w:sz w:val="21"/>
          <w:szCs w:val="21"/>
          <w:lang w:val="en-US" w:eastAsia="zh-CN" w:bidi="ar"/>
        </w:rPr>
        <w:br w:type="textWrapping"/>
      </w:r>
      <w:r>
        <w:rPr>
          <w:rFonts w:hint="eastAsia" w:ascii="宋体" w:hAnsi="宋体" w:eastAsia="宋体" w:cs="Calibri"/>
          <w:kern w:val="2"/>
          <w:sz w:val="21"/>
          <w:szCs w:val="21"/>
          <w:lang w:val="en-US" w:eastAsia="zh-CN" w:bidi="ar"/>
        </w:rPr>
        <w:t xml:space="preserve">  （5）</w:t>
      </w:r>
      <w:r>
        <w:rPr>
          <w:rFonts w:hint="eastAsia" w:ascii="宋体" w:hAnsi="宋体" w:cs="Calibri"/>
          <w:kern w:val="2"/>
          <w:sz w:val="21"/>
          <w:szCs w:val="21"/>
          <w:lang w:val="en-US" w:eastAsia="zh-CN" w:bidi="ar"/>
        </w:rPr>
        <w:t>采购人</w:t>
      </w:r>
      <w:r>
        <w:rPr>
          <w:rFonts w:hint="eastAsia" w:ascii="宋体" w:hAnsi="宋体" w:eastAsia="宋体" w:cs="Calibri"/>
          <w:kern w:val="2"/>
          <w:sz w:val="21"/>
          <w:szCs w:val="21"/>
          <w:lang w:val="en-US" w:eastAsia="zh-CN" w:bidi="ar"/>
        </w:rPr>
        <w:t>明示或者暗示</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为特定</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中标提供方便；</w:t>
      </w:r>
      <w:r>
        <w:rPr>
          <w:rFonts w:hint="eastAsia" w:ascii="宋体" w:hAnsi="宋体" w:eastAsia="宋体" w:cs="Calibri"/>
          <w:kern w:val="2"/>
          <w:sz w:val="21"/>
          <w:szCs w:val="21"/>
          <w:lang w:val="en-US" w:eastAsia="zh-CN" w:bidi="ar"/>
        </w:rPr>
        <w:br w:type="textWrapping"/>
      </w:r>
      <w:r>
        <w:rPr>
          <w:rFonts w:hint="eastAsia" w:ascii="宋体" w:hAnsi="宋体" w:eastAsia="宋体" w:cs="Calibri"/>
          <w:kern w:val="2"/>
          <w:sz w:val="21"/>
          <w:szCs w:val="21"/>
          <w:lang w:val="en-US" w:eastAsia="zh-CN" w:bidi="ar"/>
        </w:rPr>
        <w:t xml:space="preserve">  （6）</w:t>
      </w:r>
      <w:r>
        <w:rPr>
          <w:rFonts w:hint="eastAsia" w:ascii="宋体" w:hAnsi="宋体" w:cs="Calibri"/>
          <w:kern w:val="2"/>
          <w:sz w:val="21"/>
          <w:szCs w:val="21"/>
          <w:lang w:val="en-US" w:eastAsia="zh-CN" w:bidi="ar"/>
        </w:rPr>
        <w:t>采购人</w:t>
      </w:r>
      <w:r>
        <w:rPr>
          <w:rFonts w:hint="eastAsia" w:ascii="宋体" w:hAnsi="宋体" w:eastAsia="宋体" w:cs="Calibri"/>
          <w:kern w:val="2"/>
          <w:sz w:val="21"/>
          <w:szCs w:val="21"/>
          <w:lang w:val="en-US" w:eastAsia="zh-CN" w:bidi="ar"/>
        </w:rPr>
        <w:t>与</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为谋求特定</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中标而采取的其他串通行为。</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666" w:name="_Toc19536"/>
      <w:bookmarkEnd w:id="666"/>
      <w:bookmarkStart w:id="667" w:name="_Toc4661952"/>
      <w:bookmarkEnd w:id="667"/>
      <w:bookmarkStart w:id="668" w:name="_Toc40455318"/>
      <w:bookmarkEnd w:id="668"/>
      <w:bookmarkStart w:id="669" w:name="_Toc287607794"/>
      <w:bookmarkEnd w:id="669"/>
      <w:bookmarkStart w:id="670" w:name="_Toc224103365"/>
      <w:bookmarkEnd w:id="670"/>
      <w:bookmarkStart w:id="671" w:name="_Toc4662188"/>
      <w:bookmarkEnd w:id="671"/>
      <w:bookmarkStart w:id="672" w:name="_Toc40780300"/>
      <w:bookmarkEnd w:id="672"/>
      <w:bookmarkStart w:id="673" w:name="_Toc200513174"/>
      <w:bookmarkEnd w:id="673"/>
      <w:bookmarkStart w:id="674" w:name="_Toc4661474"/>
      <w:bookmarkEnd w:id="674"/>
      <w:bookmarkStart w:id="675" w:name="_Toc40455691"/>
      <w:bookmarkEnd w:id="675"/>
      <w:bookmarkStart w:id="676" w:name="_Toc4661716"/>
      <w:bookmarkEnd w:id="676"/>
      <w:bookmarkStart w:id="677" w:name="_Toc277082600"/>
      <w:r>
        <w:rPr>
          <w:rFonts w:hint="eastAsia" w:ascii="宋体" w:hAnsi="宋体" w:eastAsia="宋体" w:cs="Times New Roman"/>
          <w:b/>
          <w:kern w:val="2"/>
          <w:sz w:val="21"/>
          <w:szCs w:val="21"/>
        </w:rPr>
        <w:t>8</w:t>
      </w:r>
      <w:bookmarkEnd w:id="677"/>
      <w:r>
        <w:rPr>
          <w:rFonts w:hint="eastAsia" w:ascii="宋体" w:hAnsi="宋体" w:eastAsia="宋体" w:cs="Times New Roman"/>
          <w:b/>
          <w:kern w:val="2"/>
          <w:sz w:val="21"/>
          <w:szCs w:val="21"/>
        </w:rPr>
        <w:t xml:space="preserve">.2  </w:t>
      </w:r>
      <w:r>
        <w:rPr>
          <w:rFonts w:hint="eastAsia" w:ascii="宋体" w:hAnsi="宋体" w:eastAsia="宋体" w:cs="宋体"/>
          <w:b/>
          <w:kern w:val="2"/>
          <w:sz w:val="21"/>
          <w:szCs w:val="21"/>
        </w:rPr>
        <w:t>对</w:t>
      </w:r>
      <w:r>
        <w:rPr>
          <w:rFonts w:hint="eastAsia" w:ascii="宋体" w:hAnsi="宋体" w:cs="宋体"/>
          <w:b/>
          <w:kern w:val="2"/>
          <w:sz w:val="21"/>
          <w:szCs w:val="21"/>
          <w:lang w:eastAsia="zh-CN"/>
        </w:rPr>
        <w:t>报价人</w:t>
      </w:r>
      <w:r>
        <w:rPr>
          <w:rFonts w:hint="eastAsia" w:ascii="宋体" w:hAnsi="宋体" w:eastAsia="宋体" w:cs="宋体"/>
          <w:b/>
          <w:kern w:val="2"/>
          <w:sz w:val="21"/>
          <w:szCs w:val="21"/>
        </w:rPr>
        <w:t>的纪律要求</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不得相互串通投标或者与</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串通投标，不得向</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或者评标委员会成员行贿谋取中标，不得以他人名义投标或者以其他方式弄虚作假骗取中标；</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不得以任何方式干扰、影响评标工作。</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Calibri"/>
          <w:kern w:val="2"/>
          <w:sz w:val="21"/>
          <w:szCs w:val="21"/>
          <w:lang w:val="en-US" w:eastAsia="zh-CN" w:bidi="ar"/>
        </w:rPr>
        <w:t>8.2.1有下列情形之一的，属于</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相互串通投标：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1）</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之间协商投标报价等</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的实质性内容；</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2）</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之间约定中标人；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3）</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之间约定部分</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放弃投标或者中标；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4）属于同一集团、协会、商会等组织成员的</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按照该组织要求协同投标；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5）</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之间为谋取中标或者排斥特定</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而采取的其他联合行动。</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Calibri"/>
          <w:kern w:val="2"/>
          <w:sz w:val="21"/>
          <w:szCs w:val="21"/>
          <w:lang w:val="en-US" w:eastAsia="zh-CN" w:bidi="ar"/>
        </w:rPr>
        <w:t>8.2.2有下列情形之一的，视为</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相互串通投标：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1）不同</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的</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由同一单位或者个人编制；</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2）不同</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委托同一单位或者个人办理投标事宜；</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3）不同</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的</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载明的项目管理成员为同一人；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4）不同</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的</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异常一致或者投标报价呈规律性差异；</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5）不同</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的</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相互混装；</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6）不同</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的投标保证金从同一单位或者个人的账户转出。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Calibri"/>
          <w:kern w:val="2"/>
          <w:sz w:val="21"/>
          <w:szCs w:val="21"/>
          <w:lang w:val="en-US" w:eastAsia="zh-CN" w:bidi="ar"/>
        </w:rPr>
        <w:t>8.2.3使用通过受让或者租借等方式获取的资格、资质证书投标的，属于以他人名义投标。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Calibri"/>
          <w:kern w:val="2"/>
          <w:sz w:val="21"/>
          <w:szCs w:val="21"/>
          <w:lang w:val="en-US" w:eastAsia="zh-CN" w:bidi="ar"/>
        </w:rPr>
        <w:t>8.2.4</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有下列情形之一的，属于以其他方式弄虚作假的行为：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1）使用伪造、变造的许可证件；</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2）提供虚假的财务状况或者业绩；</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3）提供虚假的项目负责人或者主要技术人员简历、劳动关系证明；</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4）提供虚假的信用状况；</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5）其他弄虚作假的行为。</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678" w:name="_Toc4662189"/>
      <w:bookmarkEnd w:id="678"/>
      <w:bookmarkStart w:id="679" w:name="_Toc200513175"/>
      <w:bookmarkEnd w:id="679"/>
      <w:bookmarkStart w:id="680" w:name="_Toc277082601"/>
      <w:bookmarkEnd w:id="680"/>
      <w:bookmarkStart w:id="681" w:name="_Toc40780301"/>
      <w:bookmarkEnd w:id="681"/>
      <w:bookmarkStart w:id="682" w:name="_Toc287607795"/>
      <w:bookmarkEnd w:id="682"/>
      <w:bookmarkStart w:id="683" w:name="_Toc4661717"/>
      <w:bookmarkEnd w:id="683"/>
      <w:bookmarkStart w:id="684" w:name="_Toc40455319"/>
      <w:bookmarkEnd w:id="684"/>
      <w:bookmarkStart w:id="685" w:name="_Toc6459"/>
      <w:bookmarkEnd w:id="685"/>
      <w:bookmarkStart w:id="686" w:name="_Toc40455692"/>
      <w:bookmarkEnd w:id="686"/>
      <w:bookmarkStart w:id="687" w:name="_Toc224103366"/>
      <w:bookmarkEnd w:id="687"/>
      <w:bookmarkStart w:id="688" w:name="_Toc4661475"/>
      <w:bookmarkEnd w:id="688"/>
      <w:bookmarkStart w:id="689" w:name="_Toc4661953"/>
      <w:r>
        <w:rPr>
          <w:rFonts w:hint="eastAsia" w:ascii="宋体" w:hAnsi="宋体" w:eastAsia="宋体" w:cs="Times New Roman"/>
          <w:b/>
          <w:kern w:val="2"/>
          <w:sz w:val="21"/>
          <w:szCs w:val="21"/>
        </w:rPr>
        <w:t>8</w:t>
      </w:r>
      <w:bookmarkEnd w:id="689"/>
      <w:r>
        <w:rPr>
          <w:rFonts w:hint="eastAsia" w:ascii="宋体" w:hAnsi="宋体" w:eastAsia="宋体" w:cs="Times New Roman"/>
          <w:b/>
          <w:kern w:val="2"/>
          <w:sz w:val="21"/>
          <w:szCs w:val="21"/>
        </w:rPr>
        <w:t xml:space="preserve">.3  </w:t>
      </w:r>
      <w:r>
        <w:rPr>
          <w:rFonts w:hint="eastAsia" w:ascii="宋体" w:hAnsi="宋体" w:eastAsia="宋体" w:cs="宋体"/>
          <w:b/>
          <w:kern w:val="2"/>
          <w:sz w:val="21"/>
          <w:szCs w:val="21"/>
        </w:rPr>
        <w:t>对评标委员会成员的纪律要求</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评标委员会成员不得收受他人的财物或者其他好处，不得向他人透漏对</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的评审和比较、中标候选人的推荐情况以及评标有关的其他情况。在评标活动中，评标委员会成员不得擅离职守，影响评标程序正常进行，不得使用第三章</w:t>
      </w:r>
      <w:r>
        <w:rPr>
          <w:rFonts w:hint="eastAsia" w:ascii="宋体" w:hAnsi="宋体" w:eastAsia="宋体" w:cs="MingLiU"/>
          <w:kern w:val="0"/>
          <w:sz w:val="21"/>
          <w:szCs w:val="21"/>
          <w:lang w:val="en-US" w:eastAsia="zh-CN" w:bidi="ar"/>
        </w:rPr>
        <w:t>“评标办法”没有规定的评审因素和标准进行评标。</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690" w:name="_Toc277082602"/>
      <w:bookmarkEnd w:id="690"/>
      <w:bookmarkStart w:id="691" w:name="_Toc4661954"/>
      <w:bookmarkEnd w:id="691"/>
      <w:bookmarkStart w:id="692" w:name="_Toc40780302"/>
      <w:bookmarkEnd w:id="692"/>
      <w:bookmarkStart w:id="693" w:name="_Toc4661476"/>
      <w:bookmarkEnd w:id="693"/>
      <w:bookmarkStart w:id="694" w:name="_Toc40455693"/>
      <w:bookmarkEnd w:id="694"/>
      <w:bookmarkStart w:id="695" w:name="_Toc40455320"/>
      <w:bookmarkEnd w:id="695"/>
      <w:bookmarkStart w:id="696" w:name="_Toc287607796"/>
      <w:bookmarkEnd w:id="696"/>
      <w:bookmarkStart w:id="697" w:name="_Toc4662190"/>
      <w:bookmarkEnd w:id="697"/>
      <w:bookmarkStart w:id="698" w:name="_Toc200513176"/>
      <w:bookmarkEnd w:id="698"/>
      <w:bookmarkStart w:id="699" w:name="_Toc224103367"/>
      <w:bookmarkEnd w:id="699"/>
      <w:bookmarkStart w:id="700" w:name="_Toc13495"/>
      <w:bookmarkEnd w:id="700"/>
      <w:bookmarkStart w:id="701" w:name="_Toc4661718"/>
      <w:r>
        <w:rPr>
          <w:rFonts w:hint="eastAsia" w:ascii="宋体" w:hAnsi="宋体" w:eastAsia="宋体" w:cs="Times New Roman"/>
          <w:b/>
          <w:kern w:val="2"/>
          <w:sz w:val="21"/>
          <w:szCs w:val="21"/>
        </w:rPr>
        <w:t>8</w:t>
      </w:r>
      <w:bookmarkEnd w:id="701"/>
      <w:r>
        <w:rPr>
          <w:rFonts w:hint="eastAsia" w:ascii="宋体" w:hAnsi="宋体" w:eastAsia="宋体" w:cs="Times New Roman"/>
          <w:b/>
          <w:kern w:val="2"/>
          <w:sz w:val="21"/>
          <w:szCs w:val="21"/>
        </w:rPr>
        <w:t xml:space="preserve">.4  </w:t>
      </w:r>
      <w:r>
        <w:rPr>
          <w:rFonts w:hint="eastAsia" w:ascii="宋体" w:hAnsi="宋体" w:eastAsia="宋体" w:cs="宋体"/>
          <w:b/>
          <w:kern w:val="2"/>
          <w:sz w:val="21"/>
          <w:szCs w:val="21"/>
        </w:rPr>
        <w:t>对与评标活动有关的工作人员的纪律要求</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与评标活动有关的工作人员不得收受他人的财物或者其他好处，不得向他人透漏对</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的评审和比较、中标候选人的推荐情况以及与评标有关的其他情况。在评标活动中，与评标活动有关的工作人员不得擅离职守，影响评标程序正常进行。</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702" w:name="_Toc287607797"/>
      <w:bookmarkEnd w:id="702"/>
      <w:bookmarkStart w:id="703" w:name="_Toc40780303"/>
      <w:bookmarkEnd w:id="703"/>
      <w:bookmarkStart w:id="704" w:name="_Toc4661719"/>
      <w:bookmarkEnd w:id="704"/>
      <w:bookmarkStart w:id="705" w:name="_Toc200513177"/>
      <w:bookmarkEnd w:id="705"/>
      <w:bookmarkStart w:id="706" w:name="_Toc22072"/>
      <w:bookmarkEnd w:id="706"/>
      <w:bookmarkStart w:id="707" w:name="_Toc4661477"/>
      <w:bookmarkEnd w:id="707"/>
      <w:bookmarkStart w:id="708" w:name="_Toc40455694"/>
      <w:bookmarkEnd w:id="708"/>
      <w:bookmarkStart w:id="709" w:name="_Toc277082603"/>
      <w:bookmarkEnd w:id="709"/>
      <w:bookmarkStart w:id="710" w:name="_Toc4662191"/>
      <w:bookmarkEnd w:id="710"/>
      <w:bookmarkStart w:id="711" w:name="_Toc40455321"/>
      <w:bookmarkEnd w:id="711"/>
      <w:bookmarkStart w:id="712" w:name="_Toc224103368"/>
      <w:bookmarkEnd w:id="712"/>
      <w:bookmarkStart w:id="713" w:name="_Toc4661955"/>
      <w:r>
        <w:rPr>
          <w:rFonts w:hint="eastAsia" w:ascii="宋体" w:hAnsi="宋体" w:eastAsia="宋体" w:cs="Times New Roman"/>
          <w:b/>
          <w:kern w:val="2"/>
          <w:sz w:val="21"/>
          <w:szCs w:val="21"/>
        </w:rPr>
        <w:t>8</w:t>
      </w:r>
      <w:bookmarkEnd w:id="713"/>
      <w:r>
        <w:rPr>
          <w:rFonts w:hint="eastAsia" w:ascii="宋体" w:hAnsi="宋体" w:eastAsia="宋体" w:cs="Times New Roman"/>
          <w:b/>
          <w:kern w:val="2"/>
          <w:sz w:val="21"/>
          <w:szCs w:val="21"/>
        </w:rPr>
        <w:t xml:space="preserve">.5  </w:t>
      </w:r>
      <w:r>
        <w:rPr>
          <w:rFonts w:hint="eastAsia" w:ascii="宋体" w:hAnsi="宋体" w:eastAsia="宋体" w:cs="宋体"/>
          <w:b/>
          <w:kern w:val="2"/>
          <w:sz w:val="21"/>
          <w:szCs w:val="21"/>
        </w:rPr>
        <w:t>投诉</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和其他利害关系人认为本次</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活动违反法律、法规和规章规定的，有权向有关监督部门投诉。具体见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714" w:name="_Toc224103369"/>
      <w:bookmarkEnd w:id="714"/>
      <w:bookmarkStart w:id="715" w:name="_Toc4661478"/>
      <w:bookmarkEnd w:id="715"/>
      <w:bookmarkStart w:id="716" w:name="_Toc277082604"/>
      <w:bookmarkEnd w:id="716"/>
      <w:bookmarkStart w:id="717" w:name="_Toc287607798"/>
      <w:bookmarkEnd w:id="717"/>
      <w:bookmarkStart w:id="718" w:name="_Toc40455322"/>
      <w:bookmarkEnd w:id="718"/>
      <w:bookmarkStart w:id="719" w:name="_Toc40455695"/>
      <w:bookmarkEnd w:id="719"/>
      <w:bookmarkStart w:id="720" w:name="_Toc4662192"/>
      <w:bookmarkEnd w:id="720"/>
      <w:bookmarkStart w:id="721" w:name="_Toc4661956"/>
      <w:bookmarkEnd w:id="721"/>
      <w:bookmarkStart w:id="722" w:name="_Toc287620737"/>
      <w:bookmarkEnd w:id="722"/>
      <w:bookmarkStart w:id="723" w:name="_Toc26060"/>
      <w:bookmarkEnd w:id="723"/>
      <w:bookmarkStart w:id="724" w:name="_Toc4661720"/>
      <w:bookmarkEnd w:id="724"/>
      <w:bookmarkStart w:id="725" w:name="_Toc200513178"/>
      <w:r>
        <w:rPr>
          <w:rFonts w:hint="eastAsia" w:ascii="宋体" w:hAnsi="宋体" w:eastAsia="宋体" w:cs="Times New Roman"/>
          <w:b/>
          <w:kern w:val="2"/>
          <w:sz w:val="21"/>
          <w:szCs w:val="21"/>
        </w:rPr>
        <w:t>9</w:t>
      </w:r>
      <w:bookmarkEnd w:id="725"/>
      <w:r>
        <w:rPr>
          <w:rFonts w:hint="eastAsia" w:ascii="宋体" w:hAnsi="宋体" w:eastAsia="宋体" w:cs="Times New Roman"/>
          <w:b/>
          <w:kern w:val="2"/>
          <w:sz w:val="21"/>
          <w:szCs w:val="21"/>
        </w:rPr>
        <w:t>.</w:t>
      </w:r>
      <w:r>
        <w:rPr>
          <w:rFonts w:hint="eastAsia" w:ascii="宋体" w:hAnsi="宋体" w:eastAsia="宋体" w:cs="宋体"/>
          <w:b/>
          <w:kern w:val="2"/>
          <w:sz w:val="21"/>
          <w:szCs w:val="21"/>
        </w:rPr>
        <w:t>是否采用电子</w:t>
      </w:r>
      <w:r>
        <w:rPr>
          <w:rFonts w:hint="eastAsia" w:ascii="宋体" w:hAnsi="宋体" w:cs="宋体"/>
          <w:b/>
          <w:kern w:val="2"/>
          <w:sz w:val="21"/>
          <w:szCs w:val="21"/>
          <w:lang w:eastAsia="zh-CN"/>
        </w:rPr>
        <w:t>竞争性比选</w:t>
      </w:r>
      <w:r>
        <w:rPr>
          <w:rFonts w:hint="eastAsia" w:ascii="宋体" w:hAnsi="宋体" w:eastAsia="宋体" w:cs="宋体"/>
          <w:b/>
          <w:kern w:val="2"/>
          <w:sz w:val="21"/>
          <w:szCs w:val="21"/>
        </w:rPr>
        <w:t>投标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本</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项目是否采用电子</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投标方式：见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kern w:val="2"/>
          <w:sz w:val="21"/>
          <w:szCs w:val="21"/>
        </w:rPr>
      </w:pPr>
      <w:r>
        <w:rPr>
          <w:rFonts w:hint="eastAsia" w:ascii="宋体" w:hAnsi="宋体" w:eastAsia="宋体" w:cs="Times New Roman"/>
          <w:b/>
          <w:kern w:val="2"/>
          <w:sz w:val="21"/>
          <w:szCs w:val="21"/>
        </w:rPr>
        <w:t>10.需要补充的其他内容</w:t>
      </w:r>
    </w:p>
    <w:p>
      <w:pPr>
        <w:spacing w:line="360" w:lineRule="auto"/>
        <w:jc w:val="center"/>
        <w:rPr>
          <w:rFonts w:ascii="宋体" w:hAnsi="宋体" w:cs="宋体"/>
          <w:b/>
          <w:sz w:val="28"/>
          <w:szCs w:val="28"/>
        </w:rPr>
        <w:sectPr>
          <w:footerReference r:id="rId7" w:type="default"/>
          <w:pgSz w:w="11906" w:h="16838"/>
          <w:pgMar w:top="1418" w:right="1134" w:bottom="1418" w:left="1134" w:header="851" w:footer="992" w:gutter="0"/>
          <w:pgNumType w:start="1"/>
          <w:cols w:space="720" w:num="1"/>
          <w:docGrid w:type="lines" w:linePitch="312" w:charSpace="0"/>
        </w:sectPr>
      </w:pPr>
    </w:p>
    <w:p>
      <w:pPr>
        <w:pStyle w:val="4"/>
        <w:jc w:val="center"/>
        <w:rPr>
          <w:rFonts w:ascii="宋体" w:hAnsi="宋体" w:eastAsia="宋体" w:cs="宋体"/>
          <w:sz w:val="30"/>
          <w:szCs w:val="30"/>
        </w:rPr>
      </w:pPr>
      <w:bookmarkStart w:id="726" w:name="_Toc17532"/>
      <w:bookmarkStart w:id="727" w:name="_Toc11284"/>
      <w:bookmarkStart w:id="728" w:name="_Toc5691"/>
      <w:bookmarkStart w:id="729" w:name="_Toc11329222"/>
      <w:bookmarkStart w:id="730" w:name="_Toc30198"/>
      <w:bookmarkStart w:id="731" w:name="_Toc17399"/>
      <w:r>
        <w:rPr>
          <w:rFonts w:hint="eastAsia" w:ascii="宋体" w:hAnsi="宋体" w:eastAsia="宋体" w:cs="宋体"/>
          <w:sz w:val="28"/>
          <w:szCs w:val="28"/>
        </w:rPr>
        <w:t>附录1  资格审查条件（资质最低要求）</w:t>
      </w:r>
      <w:bookmarkEnd w:id="726"/>
      <w:bookmarkEnd w:id="727"/>
      <w:bookmarkEnd w:id="728"/>
      <w:bookmarkEnd w:id="729"/>
      <w:bookmarkEnd w:id="730"/>
      <w:bookmarkEnd w:id="731"/>
    </w:p>
    <w:tbl>
      <w:tblPr>
        <w:tblStyle w:val="42"/>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9108"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企业资质要求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108" w:type="dxa"/>
          </w:tcPr>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2"/>
                <w:sz w:val="21"/>
                <w:szCs w:val="21"/>
                <w:highlight w:val="none"/>
                <w:shd w:val="clear" w:fill="FFFFFF"/>
              </w:rPr>
            </w:pPr>
            <w:r>
              <w:rPr>
                <w:rFonts w:hint="eastAsia" w:ascii="宋体" w:hAnsi="宋体" w:cs="宋体"/>
                <w:szCs w:val="21"/>
                <w:highlight w:val="none"/>
                <w:shd w:val="clear" w:color="auto" w:fill="FFFFFF"/>
              </w:rPr>
              <w:t>（1）</w:t>
            </w:r>
            <w:r>
              <w:rPr>
                <w:rFonts w:hint="eastAsia" w:ascii="宋体" w:hAnsi="宋体" w:eastAsia="宋体" w:cs="宋体"/>
                <w:kern w:val="2"/>
                <w:sz w:val="21"/>
                <w:szCs w:val="21"/>
                <w:highlight w:val="none"/>
                <w:shd w:val="clear" w:fill="FFFFFF"/>
                <w:lang w:val="en-US" w:eastAsia="zh-CN" w:bidi="ar"/>
              </w:rPr>
              <w:t>具有独立法人资格，有效的营业执照</w:t>
            </w:r>
            <w:r>
              <w:rPr>
                <w:rFonts w:hint="eastAsia" w:ascii="宋体" w:hAnsi="宋体" w:cs="宋体"/>
                <w:szCs w:val="21"/>
                <w:highlight w:val="none"/>
                <w:shd w:val="clear" w:color="auto" w:fill="FFFFFF"/>
              </w:rPr>
              <w:t>（</w:t>
            </w:r>
            <w:r>
              <w:rPr>
                <w:rFonts w:hint="default" w:ascii="宋体" w:hAnsi="宋体" w:cs="宋体"/>
                <w:szCs w:val="21"/>
                <w:highlight w:val="none"/>
                <w:shd w:val="clear" w:color="auto" w:fill="FFFFFF"/>
              </w:rPr>
              <w:t>经营范围需含</w:t>
            </w:r>
            <w:r>
              <w:rPr>
                <w:rFonts w:hint="eastAsia" w:ascii="宋体" w:hAnsi="宋体" w:cs="宋体"/>
                <w:szCs w:val="21"/>
                <w:highlight w:val="none"/>
                <w:shd w:val="clear" w:color="auto" w:fill="FFFFFF"/>
              </w:rPr>
              <w:t>网络技术服务、软件开发、计算机网络集成系统、计算机软硬件开发、计算机信息技术服务、信息技术咨询业务、计算机信息系统集成、互联网技术咨询服务、经营移动通信业务、互联网业务相关的系统集成等相关内容</w:t>
            </w:r>
            <w:r>
              <w:rPr>
                <w:rFonts w:hint="default" w:ascii="宋体" w:hAnsi="宋体" w:cs="宋体"/>
                <w:szCs w:val="21"/>
                <w:highlight w:val="none"/>
                <w:shd w:val="clear" w:color="auto" w:fill="FFFFFF"/>
              </w:rPr>
              <w:t>中的至少一项</w:t>
            </w:r>
            <w:r>
              <w:rPr>
                <w:rFonts w:hint="eastAsia" w:ascii="宋体" w:hAnsi="宋体" w:cs="宋体"/>
                <w:szCs w:val="21"/>
                <w:highlight w:val="none"/>
                <w:shd w:val="clear" w:color="auto" w:fill="FFFFFF"/>
              </w:rPr>
              <w:t>）</w:t>
            </w:r>
            <w:r>
              <w:rPr>
                <w:rFonts w:hint="eastAsia" w:ascii="宋体" w:hAnsi="宋体" w:eastAsia="宋体" w:cs="宋体"/>
                <w:kern w:val="2"/>
                <w:sz w:val="21"/>
                <w:szCs w:val="21"/>
                <w:highlight w:val="none"/>
                <w:shd w:val="clear" w:fill="FFFFFF"/>
                <w:lang w:val="en-US" w:eastAsia="zh-CN" w:bidi="ar"/>
              </w:rPr>
              <w:t>；</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highlight w:val="none"/>
                <w:shd w:val="clear" w:color="auto" w:fill="FFFFFF"/>
              </w:rPr>
            </w:pPr>
            <w:r>
              <w:rPr>
                <w:rFonts w:hint="eastAsia" w:ascii="宋体" w:hAnsi="宋体" w:cs="宋体"/>
                <w:szCs w:val="21"/>
                <w:highlight w:val="none"/>
                <w:shd w:val="clear" w:color="auto" w:fill="FFFFFF"/>
              </w:rPr>
              <w:t>（</w:t>
            </w:r>
            <w:r>
              <w:rPr>
                <w:rFonts w:hint="default" w:ascii="宋体" w:hAnsi="宋体" w:cs="宋体"/>
                <w:szCs w:val="21"/>
                <w:highlight w:val="none"/>
                <w:shd w:val="clear" w:color="auto" w:fill="FFFFFF"/>
              </w:rPr>
              <w:t>2</w:t>
            </w:r>
            <w:r>
              <w:rPr>
                <w:rFonts w:hint="eastAsia" w:ascii="宋体" w:hAnsi="宋体" w:cs="宋体"/>
                <w:szCs w:val="21"/>
                <w:highlight w:val="none"/>
                <w:shd w:val="clear" w:color="auto" w:fill="FFFFFF"/>
              </w:rPr>
              <w:t>）具有有效期内的ISO9001质量管理体系认证证书；</w:t>
            </w:r>
          </w:p>
          <w:p>
            <w:pPr>
              <w:keepNext w:val="0"/>
              <w:keepLines w:val="0"/>
              <w:suppressLineNumbers w:val="0"/>
              <w:spacing w:before="0" w:beforeAutospacing="0" w:after="0" w:afterAutospacing="0" w:line="400" w:lineRule="exact"/>
              <w:ind w:left="0" w:right="0" w:firstLine="420" w:firstLineChars="200"/>
              <w:rPr>
                <w:rFonts w:hint="eastAsia"/>
              </w:rPr>
            </w:pPr>
            <w:r>
              <w:rPr>
                <w:rFonts w:hint="eastAsia" w:ascii="宋体" w:hAnsi="宋体" w:cs="宋体"/>
                <w:szCs w:val="21"/>
                <w:highlight w:val="none"/>
                <w:shd w:val="clear" w:color="auto" w:fill="FFFFFF"/>
              </w:rPr>
              <w:t>（3）至少具有有效期内的ISO20000信息技术服务管理体系认证证书、ISO22301业务连续性管理体系认证证书、ISO27001信息安全管理体系认证证书中的一项；</w:t>
            </w:r>
          </w:p>
        </w:tc>
      </w:tr>
    </w:tbl>
    <w:p>
      <w:pPr>
        <w:spacing w:line="440" w:lineRule="exact"/>
        <w:ind w:firstLine="420" w:firstLineChars="200"/>
        <w:rPr>
          <w:rFonts w:ascii="宋体" w:hAnsi="宋体" w:cs="宋体"/>
        </w:rPr>
      </w:pPr>
      <w:r>
        <w:rPr>
          <w:rFonts w:hint="eastAsia" w:ascii="宋体" w:hAnsi="宋体" w:cs="宋体"/>
        </w:rPr>
        <w:t>注：须提供报价人</w:t>
      </w:r>
      <w:r>
        <w:rPr>
          <w:rFonts w:hint="default" w:ascii="宋体" w:hAnsi="宋体" w:cs="宋体"/>
        </w:rPr>
        <w:t>营业执照、认证</w:t>
      </w:r>
      <w:r>
        <w:rPr>
          <w:rFonts w:hint="eastAsia" w:ascii="宋体" w:hAnsi="宋体" w:cs="宋体"/>
        </w:rPr>
        <w:t>证书等复印件,并加盖单位鲜公章。</w:t>
      </w:r>
    </w:p>
    <w:p>
      <w:pPr>
        <w:spacing w:line="440" w:lineRule="exact"/>
        <w:ind w:firstLine="413" w:firstLineChars="147"/>
        <w:jc w:val="center"/>
        <w:rPr>
          <w:rFonts w:ascii="宋体" w:hAnsi="宋体" w:cs="宋体"/>
          <w:b/>
          <w:sz w:val="28"/>
          <w:szCs w:val="28"/>
        </w:rPr>
      </w:pPr>
    </w:p>
    <w:p>
      <w:pPr>
        <w:pStyle w:val="4"/>
        <w:jc w:val="center"/>
        <w:rPr>
          <w:rFonts w:ascii="宋体" w:hAnsi="宋体" w:eastAsia="宋体" w:cs="宋体"/>
          <w:bCs w:val="0"/>
        </w:rPr>
      </w:pPr>
      <w:bookmarkStart w:id="732" w:name="_Toc30363"/>
      <w:bookmarkStart w:id="733" w:name="_Toc13719"/>
      <w:bookmarkStart w:id="734" w:name="_Toc30995"/>
      <w:bookmarkStart w:id="735" w:name="_Toc11329223"/>
      <w:bookmarkStart w:id="736" w:name="_Toc1778"/>
      <w:bookmarkStart w:id="737" w:name="_Toc17235"/>
      <w:r>
        <w:rPr>
          <w:rFonts w:hint="eastAsia" w:ascii="宋体" w:hAnsi="宋体" w:eastAsia="宋体" w:cs="宋体"/>
          <w:bCs w:val="0"/>
          <w:sz w:val="28"/>
          <w:szCs w:val="28"/>
        </w:rPr>
        <w:t>附录2  资格审查条件（财务最低要求）</w:t>
      </w:r>
      <w:bookmarkEnd w:id="732"/>
      <w:bookmarkEnd w:id="733"/>
      <w:bookmarkEnd w:id="734"/>
      <w:bookmarkEnd w:id="735"/>
      <w:bookmarkEnd w:id="736"/>
      <w:bookmarkEnd w:id="737"/>
    </w:p>
    <w:tbl>
      <w:tblPr>
        <w:tblStyle w:val="42"/>
        <w:tblW w:w="9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913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130" w:type="dxa"/>
          </w:tcPr>
          <w:p>
            <w:pPr>
              <w:keepNext w:val="0"/>
              <w:keepLines w:val="0"/>
              <w:suppressLineNumbers w:val="0"/>
              <w:spacing w:before="0" w:beforeAutospacing="0" w:after="0" w:afterAutospacing="0" w:line="400" w:lineRule="exact"/>
              <w:ind w:left="0" w:right="0" w:firstLine="420" w:firstLineChars="200"/>
              <w:rPr>
                <w:rFonts w:hint="default"/>
              </w:rPr>
            </w:pPr>
            <w:r>
              <w:rPr>
                <w:rFonts w:hint="eastAsia"/>
              </w:rPr>
              <w:t>无要求</w:t>
            </w:r>
          </w:p>
        </w:tc>
      </w:tr>
    </w:tbl>
    <w:p>
      <w:pPr>
        <w:pStyle w:val="4"/>
        <w:jc w:val="center"/>
        <w:rPr>
          <w:rFonts w:ascii="宋体" w:hAnsi="宋体" w:eastAsia="宋体" w:cs="宋体"/>
          <w:bCs w:val="0"/>
          <w:sz w:val="28"/>
          <w:szCs w:val="28"/>
        </w:rPr>
      </w:pPr>
      <w:bookmarkStart w:id="738" w:name="_Toc19507"/>
      <w:bookmarkStart w:id="739" w:name="_Toc16937"/>
      <w:bookmarkStart w:id="740" w:name="_Toc16638"/>
      <w:bookmarkStart w:id="741" w:name="_Toc11329224"/>
      <w:bookmarkStart w:id="742" w:name="_Toc28315"/>
      <w:bookmarkStart w:id="743" w:name="_Toc6263"/>
      <w:r>
        <w:rPr>
          <w:rFonts w:hint="eastAsia" w:ascii="宋体" w:hAnsi="宋体" w:eastAsia="宋体" w:cs="宋体"/>
          <w:bCs w:val="0"/>
          <w:sz w:val="28"/>
          <w:szCs w:val="28"/>
        </w:rPr>
        <w:t>附录3  资格审查条件（业绩最低要求）</w:t>
      </w:r>
      <w:bookmarkEnd w:id="738"/>
      <w:bookmarkEnd w:id="739"/>
      <w:bookmarkEnd w:id="740"/>
      <w:bookmarkEnd w:id="741"/>
      <w:bookmarkEnd w:id="742"/>
      <w:bookmarkEnd w:id="743"/>
    </w:p>
    <w:tbl>
      <w:tblPr>
        <w:tblStyle w:val="42"/>
        <w:tblW w:w="9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14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142" w:type="dxa"/>
          </w:tcPr>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highlight w:val="yellow"/>
                <w:shd w:val="clear" w:color="auto" w:fill="FFFFFF"/>
              </w:rPr>
            </w:pPr>
            <w:r>
              <w:rPr>
                <w:rFonts w:hint="eastAsia" w:ascii="宋体" w:hAnsi="宋体" w:cs="宋体"/>
                <w:szCs w:val="21"/>
                <w:highlight w:val="none"/>
                <w:shd w:val="clear" w:color="auto" w:fill="FFFFFF"/>
              </w:rPr>
              <w:t>需提供</w:t>
            </w:r>
            <w:r>
              <w:rPr>
                <w:rFonts w:hint="default" w:ascii="宋体" w:hAnsi="宋体" w:cs="宋体"/>
                <w:szCs w:val="21"/>
                <w:highlight w:val="none"/>
                <w:shd w:val="clear" w:color="auto" w:fill="FFFFFF"/>
              </w:rPr>
              <w:t>至少1个</w:t>
            </w:r>
            <w:r>
              <w:rPr>
                <w:rFonts w:hint="eastAsia" w:ascii="宋体" w:hAnsi="宋体" w:cs="宋体"/>
                <w:szCs w:val="21"/>
                <w:highlight w:val="none"/>
                <w:shd w:val="clear" w:color="auto" w:fill="FFFFFF"/>
              </w:rPr>
              <w:t>2020年1月1日至本竞争性比选函发出之日期间</w:t>
            </w:r>
            <w:r>
              <w:rPr>
                <w:rFonts w:hint="default" w:ascii="宋体" w:hAnsi="宋体" w:cs="宋体"/>
                <w:szCs w:val="21"/>
                <w:highlight w:val="none"/>
                <w:shd w:val="clear" w:color="auto" w:fill="FFFFFF"/>
              </w:rPr>
              <w:t>150</w:t>
            </w:r>
            <w:r>
              <w:rPr>
                <w:rFonts w:hint="eastAsia" w:ascii="宋体" w:hAnsi="宋体" w:cs="宋体"/>
                <w:szCs w:val="21"/>
                <w:highlight w:val="none"/>
                <w:shd w:val="clear" w:color="auto" w:fill="FFFFFF"/>
              </w:rPr>
              <w:t>万元以上的系统集成类项目相关业绩（以合同签订时间为准）。</w:t>
            </w:r>
          </w:p>
        </w:tc>
      </w:tr>
    </w:tbl>
    <w:p>
      <w:pPr>
        <w:spacing w:line="440" w:lineRule="exact"/>
        <w:ind w:firstLine="420" w:firstLineChars="200"/>
        <w:rPr>
          <w:rFonts w:hint="eastAsia" w:ascii="宋体" w:hAnsi="宋体" w:eastAsia="宋体" w:cs="宋体"/>
        </w:rPr>
      </w:pPr>
      <w:bookmarkStart w:id="744" w:name="_Toc11329225"/>
      <w:r>
        <w:rPr>
          <w:rFonts w:hint="eastAsia" w:ascii="宋体" w:hAnsi="宋体" w:eastAsia="宋体" w:cs="宋体"/>
        </w:rPr>
        <w:t>注：须提供报价人</w:t>
      </w:r>
      <w:r>
        <w:rPr>
          <w:rFonts w:hint="eastAsia" w:ascii="宋体" w:hAnsi="宋体" w:eastAsia="宋体" w:cs="宋体"/>
          <w:lang w:val="en-US" w:eastAsia="zh-CN"/>
        </w:rPr>
        <w:t>业绩合同复印件，并加盖鲜章；合同同复印件需体现合同额、清单、合同签订时间。</w:t>
      </w:r>
    </w:p>
    <w:p>
      <w:pPr>
        <w:pStyle w:val="4"/>
        <w:jc w:val="center"/>
        <w:rPr>
          <w:rFonts w:hint="eastAsia" w:ascii="宋体" w:hAnsi="宋体" w:eastAsia="宋体" w:cs="宋体"/>
          <w:bCs w:val="0"/>
          <w:sz w:val="28"/>
          <w:szCs w:val="28"/>
          <w:highlight w:val="none"/>
        </w:rPr>
      </w:pPr>
      <w:bookmarkStart w:id="745" w:name="_Toc10083"/>
      <w:bookmarkStart w:id="746" w:name="_Toc2830"/>
      <w:bookmarkStart w:id="747" w:name="_Toc26749"/>
      <w:bookmarkStart w:id="748" w:name="_Toc12296"/>
      <w:bookmarkStart w:id="749" w:name="_Toc5047"/>
      <w:r>
        <w:rPr>
          <w:rFonts w:hint="eastAsia" w:ascii="宋体" w:hAnsi="宋体" w:eastAsia="宋体" w:cs="宋体"/>
          <w:bCs w:val="0"/>
          <w:sz w:val="28"/>
          <w:szCs w:val="28"/>
          <w:highlight w:val="none"/>
        </w:rPr>
        <w:t>附录4 资格审查文件（项目主要管理人员最低要求）</w:t>
      </w:r>
    </w:p>
    <w:tbl>
      <w:tblPr>
        <w:tblStyle w:val="42"/>
        <w:tblW w:w="8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733"/>
        <w:gridCol w:w="5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7"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rPr>
            </w:pPr>
            <w:r>
              <w:rPr>
                <w:rFonts w:hint="eastAsia" w:ascii="宋体" w:hAnsi="宋体" w:cs="宋体"/>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rPr>
            </w:pPr>
            <w:r>
              <w:rPr>
                <w:rFonts w:hint="eastAsia" w:ascii="宋体" w:hAnsi="宋体" w:cs="宋体"/>
                <w:szCs w:val="21"/>
                <w:highlight w:val="none"/>
              </w:rPr>
              <w:t>人  员</w:t>
            </w:r>
          </w:p>
        </w:tc>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rPr>
            </w:pPr>
            <w:r>
              <w:rPr>
                <w:rFonts w:hint="eastAsia" w:ascii="宋体" w:hAnsi="宋体" w:cs="宋体"/>
                <w:szCs w:val="21"/>
                <w:highlight w:val="none"/>
              </w:rPr>
              <w:t>数量</w:t>
            </w:r>
          </w:p>
        </w:tc>
        <w:tc>
          <w:tcPr>
            <w:tcW w:w="57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rPr>
            </w:pPr>
            <w:r>
              <w:rPr>
                <w:rFonts w:hint="eastAsia" w:ascii="宋体" w:hAnsi="宋体" w:cs="宋体"/>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rPr>
            </w:pPr>
            <w:r>
              <w:rPr>
                <w:rFonts w:hint="eastAsia" w:ascii="宋体" w:hAnsi="宋体" w:cs="宋体"/>
                <w:szCs w:val="21"/>
                <w:highlight w:val="none"/>
              </w:rPr>
              <w:t>1</w:t>
            </w:r>
          </w:p>
        </w:tc>
        <w:tc>
          <w:tcPr>
            <w:tcW w:w="14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rPr>
            </w:pPr>
            <w:r>
              <w:rPr>
                <w:rFonts w:hint="eastAsia" w:ascii="宋体" w:hAnsi="宋体" w:cs="宋体"/>
                <w:szCs w:val="21"/>
                <w:highlight w:val="none"/>
              </w:rPr>
              <w:t>项目负责人</w:t>
            </w:r>
          </w:p>
        </w:tc>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rPr>
            </w:pPr>
            <w:r>
              <w:rPr>
                <w:rFonts w:hint="eastAsia" w:ascii="宋体" w:hAnsi="宋体" w:cs="宋体"/>
                <w:szCs w:val="21"/>
                <w:highlight w:val="none"/>
              </w:rPr>
              <w:t>1</w:t>
            </w:r>
          </w:p>
        </w:tc>
        <w:tc>
          <w:tcPr>
            <w:tcW w:w="57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highlight w:val="none"/>
              </w:rPr>
            </w:pPr>
            <w:r>
              <w:rPr>
                <w:rFonts w:hint="eastAsia" w:ascii="宋体" w:hAnsi="宋体" w:cs="宋体"/>
                <w:szCs w:val="21"/>
                <w:highlight w:val="none"/>
                <w:shd w:val="clear" w:color="auto" w:fill="FFFFFF"/>
              </w:rPr>
              <w:t>具有高级信息系统项目管理师或PMP证书。</w:t>
            </w:r>
          </w:p>
        </w:tc>
      </w:tr>
    </w:tbl>
    <w:p>
      <w:pPr>
        <w:spacing w:line="400" w:lineRule="exact"/>
        <w:jc w:val="center"/>
        <w:rPr>
          <w:rFonts w:ascii="宋体" w:hAnsi="宋体" w:cs="宋体"/>
          <w:szCs w:val="21"/>
        </w:rPr>
      </w:pPr>
      <w:r>
        <w:rPr>
          <w:rFonts w:hint="eastAsia" w:ascii="宋体" w:hAnsi="宋体" w:cs="宋体"/>
          <w:szCs w:val="21"/>
          <w:highlight w:val="none"/>
        </w:rPr>
        <w:t xml:space="preserve"> </w:t>
      </w:r>
      <w:r>
        <w:rPr>
          <w:rFonts w:hint="eastAsia" w:ascii="宋体" w:hAnsi="宋体" w:eastAsia="宋体" w:cs="宋体"/>
          <w:highlight w:val="none"/>
        </w:rPr>
        <w:t xml:space="preserve">  注：以上</w:t>
      </w:r>
      <w:r>
        <w:rPr>
          <w:rFonts w:hint="eastAsia" w:ascii="宋体" w:hAnsi="宋体" w:eastAsia="宋体" w:cs="宋体"/>
        </w:rPr>
        <w:t>人员不得重复任职。报价人需提供证书复印件、社保证明等相关证明材料，并加盖单位鲜公章。</w:t>
      </w:r>
    </w:p>
    <w:p>
      <w:pPr>
        <w:rPr>
          <w:rFonts w:hint="eastAsia"/>
        </w:rPr>
      </w:pPr>
    </w:p>
    <w:p>
      <w:pPr>
        <w:pStyle w:val="4"/>
        <w:jc w:val="center"/>
        <w:rPr>
          <w:rFonts w:ascii="宋体" w:hAnsi="宋体" w:cs="宋体"/>
          <w:b w:val="0"/>
          <w:sz w:val="28"/>
          <w:szCs w:val="28"/>
        </w:rPr>
      </w:pPr>
      <w:bookmarkStart w:id="750" w:name="_Toc12773"/>
      <w:bookmarkStart w:id="751" w:name="_Toc27096"/>
      <w:bookmarkStart w:id="752" w:name="_Toc25591"/>
      <w:bookmarkStart w:id="753" w:name="_Toc11329226"/>
      <w:bookmarkStart w:id="754" w:name="_Toc21425"/>
      <w:bookmarkStart w:id="755" w:name="_Toc14083"/>
      <w:r>
        <w:rPr>
          <w:rFonts w:hint="eastAsia" w:ascii="宋体" w:hAnsi="宋体" w:eastAsia="宋体" w:cs="宋体"/>
          <w:bCs w:val="0"/>
          <w:sz w:val="28"/>
          <w:szCs w:val="28"/>
        </w:rPr>
        <w:t xml:space="preserve">附录5 </w:t>
      </w:r>
      <w:bookmarkEnd w:id="750"/>
      <w:bookmarkEnd w:id="751"/>
      <w:bookmarkEnd w:id="752"/>
      <w:bookmarkEnd w:id="753"/>
      <w:bookmarkEnd w:id="754"/>
      <w:bookmarkEnd w:id="755"/>
      <w:r>
        <w:rPr>
          <w:rFonts w:hint="eastAsia" w:ascii="宋体" w:hAnsi="宋体" w:eastAsia="宋体" w:cs="宋体"/>
          <w:bCs w:val="0"/>
          <w:sz w:val="28"/>
          <w:szCs w:val="28"/>
        </w:rPr>
        <w:t>资格审查条件（信誉最低要求）</w:t>
      </w:r>
      <w:bookmarkEnd w:id="744"/>
      <w:bookmarkEnd w:id="745"/>
      <w:bookmarkEnd w:id="746"/>
      <w:bookmarkEnd w:id="747"/>
      <w:bookmarkEnd w:id="748"/>
      <w:bookmarkEnd w:id="749"/>
    </w:p>
    <w:tbl>
      <w:tblPr>
        <w:tblStyle w:val="42"/>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9138" w:type="dxa"/>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9138" w:type="dxa"/>
          </w:tcPr>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shd w:val="clear" w:color="auto" w:fill="FFFFFF"/>
              </w:rPr>
            </w:pPr>
            <w:r>
              <w:rPr>
                <w:rFonts w:hint="eastAsia" w:ascii="宋体" w:hAnsi="宋体" w:cs="宋体"/>
                <w:szCs w:val="21"/>
              </w:rPr>
              <w:t>信誉良好：在国家企业信用信息公示系统（http://www.gsxt.gov.cn/）中未被列入严重违法失信企业名单（黑名单）信息；在“信用中国”网站（http://www.creditchina.gov.cn/）中未被列入失信惩戒执行人名单。</w:t>
            </w:r>
          </w:p>
        </w:tc>
      </w:tr>
    </w:tbl>
    <w:p>
      <w:pPr>
        <w:pStyle w:val="2"/>
        <w:ind w:firstLine="402" w:firstLineChars="200"/>
        <w:rPr>
          <w:rFonts w:ascii="Times New Roman" w:hAnsi="宋体"/>
          <w:sz w:val="21"/>
          <w:szCs w:val="21"/>
        </w:rPr>
      </w:pPr>
      <w:r>
        <w:rPr>
          <w:rFonts w:hint="eastAsia"/>
        </w:rPr>
        <w:t>注：</w:t>
      </w:r>
      <w:r>
        <w:rPr>
          <w:rFonts w:hint="eastAsia" w:ascii="Times New Roman" w:hAnsi="宋体"/>
          <w:sz w:val="21"/>
          <w:szCs w:val="21"/>
        </w:rPr>
        <w:t>须提供信誉网站查询结果截图,并加盖单位鲜公章。</w:t>
      </w:r>
    </w:p>
    <w:p>
      <w:pPr>
        <w:pStyle w:val="2"/>
      </w:pPr>
      <w:bookmarkStart w:id="756" w:name="_Toc387234996"/>
      <w:bookmarkStart w:id="757" w:name="_Toc388534043"/>
    </w:p>
    <w:p>
      <w:pPr>
        <w:pStyle w:val="4"/>
        <w:jc w:val="center"/>
        <w:rPr>
          <w:rFonts w:ascii="宋体" w:hAnsi="宋体" w:eastAsia="宋体" w:cs="宋体"/>
          <w:bCs w:val="0"/>
          <w:sz w:val="28"/>
          <w:szCs w:val="28"/>
        </w:rPr>
      </w:pPr>
      <w:bookmarkStart w:id="758" w:name="_Toc4169"/>
      <w:bookmarkStart w:id="759" w:name="_Toc6096"/>
      <w:bookmarkStart w:id="760" w:name="_Toc26246"/>
      <w:bookmarkStart w:id="761" w:name="_Toc17216"/>
      <w:bookmarkStart w:id="762" w:name="_Toc17384"/>
      <w:r>
        <w:rPr>
          <w:rFonts w:hint="eastAsia" w:ascii="宋体" w:hAnsi="宋体" w:eastAsia="宋体" w:cs="宋体"/>
          <w:bCs w:val="0"/>
          <w:sz w:val="28"/>
          <w:szCs w:val="28"/>
        </w:rPr>
        <w:t>附录6 资格审查文件（</w:t>
      </w:r>
      <w:r>
        <w:rPr>
          <w:rFonts w:hint="default" w:ascii="宋体" w:hAnsi="宋体" w:eastAsia="宋体" w:cs="宋体"/>
          <w:bCs w:val="0"/>
          <w:sz w:val="28"/>
          <w:szCs w:val="28"/>
        </w:rPr>
        <w:t>其他</w:t>
      </w:r>
      <w:r>
        <w:rPr>
          <w:rFonts w:hint="eastAsia" w:ascii="宋体" w:hAnsi="宋体" w:eastAsia="宋体" w:cs="宋体"/>
          <w:bCs w:val="0"/>
          <w:sz w:val="28"/>
          <w:szCs w:val="28"/>
        </w:rPr>
        <w:t>）</w:t>
      </w:r>
      <w:bookmarkEnd w:id="758"/>
      <w:bookmarkEnd w:id="759"/>
      <w:bookmarkEnd w:id="760"/>
      <w:bookmarkEnd w:id="761"/>
      <w:bookmarkEnd w:id="762"/>
    </w:p>
    <w:tbl>
      <w:tblPr>
        <w:tblStyle w:val="42"/>
        <w:tblW w:w="8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62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default" w:ascii="宋体" w:hAnsi="宋体" w:cs="宋体"/>
                <w:szCs w:val="21"/>
              </w:rPr>
              <w:t>其他</w:t>
            </w:r>
            <w:r>
              <w:rPr>
                <w:rFonts w:hint="eastAsia" w:ascii="宋体" w:hAnsi="宋体" w:cs="宋体"/>
                <w:szCs w:val="21"/>
              </w:rPr>
              <w:t>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8625" w:type="dxa"/>
          </w:tcPr>
          <w:p>
            <w:pPr>
              <w:keepNext w:val="0"/>
              <w:keepLines w:val="0"/>
              <w:suppressLineNumbers w:val="0"/>
              <w:spacing w:before="0" w:beforeAutospacing="0" w:after="0" w:afterAutospacing="0"/>
              <w:ind w:left="0" w:right="0" w:firstLine="420" w:firstLineChars="200"/>
              <w:rPr>
                <w:rFonts w:hint="default"/>
              </w:rPr>
            </w:pPr>
            <w:r>
              <w:rPr>
                <w:rFonts w:hint="eastAsia" w:ascii="宋体" w:hAnsi="宋体" w:cs="宋体"/>
                <w:caps/>
                <w:szCs w:val="21"/>
              </w:rPr>
              <w:t xml:space="preserve">无。 </w:t>
            </w:r>
          </w:p>
        </w:tc>
      </w:tr>
    </w:tbl>
    <w:p>
      <w:pPr>
        <w:pStyle w:val="51"/>
        <w:adjustRightInd/>
        <w:spacing w:line="400" w:lineRule="exact"/>
        <w:ind w:firstLine="422" w:firstLineChars="200"/>
        <w:jc w:val="both"/>
        <w:rPr>
          <w:rFonts w:hint="eastAsia" w:hAnsi="宋体"/>
          <w:b/>
          <w:bCs/>
          <w:color w:val="auto"/>
          <w:sz w:val="21"/>
          <w:szCs w:val="21"/>
        </w:rPr>
      </w:pPr>
    </w:p>
    <w:p>
      <w:pPr>
        <w:pStyle w:val="51"/>
        <w:adjustRightInd/>
        <w:spacing w:line="400" w:lineRule="exact"/>
        <w:ind w:firstLine="422" w:firstLineChars="200"/>
        <w:jc w:val="both"/>
        <w:rPr>
          <w:rFonts w:hAnsi="宋体"/>
          <w:bCs/>
          <w:color w:val="auto"/>
          <w:sz w:val="21"/>
          <w:szCs w:val="21"/>
        </w:rPr>
      </w:pPr>
      <w:r>
        <w:rPr>
          <w:rFonts w:hint="eastAsia" w:hAnsi="宋体"/>
          <w:b/>
          <w:bCs/>
          <w:color w:val="auto"/>
          <w:sz w:val="21"/>
          <w:szCs w:val="21"/>
        </w:rPr>
        <w:t>以上（附录1-附录6中的资格审查）的要求均为强制性条件，其中任何一条不满足要求，则按否决报价处理。</w:t>
      </w:r>
    </w:p>
    <w:p>
      <w:pPr>
        <w:pStyle w:val="51"/>
        <w:adjustRightInd/>
        <w:spacing w:line="360" w:lineRule="auto"/>
        <w:jc w:val="both"/>
        <w:rPr>
          <w:rFonts w:hAnsi="宋体"/>
          <w:bCs/>
          <w:color w:val="auto"/>
          <w:sz w:val="21"/>
          <w:szCs w:val="21"/>
        </w:rPr>
      </w:pPr>
    </w:p>
    <w:bookmarkEnd w:id="756"/>
    <w:bookmarkEnd w:id="757"/>
    <w:p>
      <w:pPr>
        <w:spacing w:line="440" w:lineRule="exact"/>
        <w:rPr>
          <w:rFonts w:ascii="宋体" w:hAnsi="宋体" w:cs="宋体"/>
          <w:szCs w:val="21"/>
        </w:rPr>
        <w:sectPr>
          <w:footerReference r:id="rId8" w:type="default"/>
          <w:pgSz w:w="11906" w:h="16838"/>
          <w:pgMar w:top="1440" w:right="1800" w:bottom="1440" w:left="1800" w:header="851" w:footer="992" w:gutter="0"/>
          <w:cols w:space="720" w:num="1"/>
          <w:titlePg/>
          <w:docGrid w:type="lines" w:linePitch="312" w:charSpace="0"/>
        </w:sectPr>
      </w:pPr>
    </w:p>
    <w:p>
      <w:pPr>
        <w:pStyle w:val="3"/>
        <w:numPr>
          <w:ilvl w:val="0"/>
          <w:numId w:val="4"/>
        </w:numPr>
        <w:spacing w:before="0" w:after="0" w:line="360" w:lineRule="auto"/>
        <w:jc w:val="center"/>
        <w:rPr>
          <w:rFonts w:ascii="宋体" w:hAnsi="宋体" w:cs="宋体"/>
        </w:rPr>
      </w:pPr>
      <w:bookmarkStart w:id="763" w:name="_Toc7682"/>
      <w:bookmarkStart w:id="764" w:name="_Toc152045587"/>
      <w:bookmarkStart w:id="765" w:name="_Toc247085745"/>
      <w:bookmarkStart w:id="766" w:name="_Toc507319957"/>
      <w:bookmarkStart w:id="767" w:name="_Toc246996230"/>
      <w:bookmarkStart w:id="768" w:name="_Toc179632605"/>
      <w:bookmarkStart w:id="769" w:name="_Toc152042364"/>
      <w:bookmarkStart w:id="770" w:name="_Toc2000406"/>
      <w:bookmarkStart w:id="771" w:name="_Toc246996973"/>
      <w:bookmarkStart w:id="772" w:name="_Toc144974554"/>
      <w:bookmarkStart w:id="773" w:name="_Toc9135"/>
      <w:r>
        <w:rPr>
          <w:rFonts w:hint="eastAsia" w:ascii="宋体" w:hAnsi="宋体" w:cs="宋体"/>
        </w:rPr>
        <w:t>评标办法（综合评估法）</w:t>
      </w:r>
      <w:bookmarkEnd w:id="763"/>
      <w:bookmarkEnd w:id="764"/>
      <w:bookmarkEnd w:id="765"/>
      <w:bookmarkEnd w:id="766"/>
      <w:bookmarkEnd w:id="767"/>
      <w:bookmarkEnd w:id="768"/>
      <w:bookmarkEnd w:id="769"/>
      <w:bookmarkEnd w:id="770"/>
      <w:bookmarkEnd w:id="771"/>
      <w:bookmarkEnd w:id="772"/>
      <w:bookmarkEnd w:id="773"/>
    </w:p>
    <w:tbl>
      <w:tblPr>
        <w:tblStyle w:val="42"/>
        <w:tblpPr w:leftFromText="180" w:rightFromText="180" w:vertAnchor="text" w:horzAnchor="page" w:tblpX="1139" w:tblpY="296"/>
        <w:tblOverlap w:val="never"/>
        <w:tblW w:w="980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6"/>
        <w:gridCol w:w="1075"/>
        <w:gridCol w:w="1011"/>
        <w:gridCol w:w="1496"/>
        <w:gridCol w:w="4665"/>
        <w:gridCol w:w="7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2852" w:type="dxa"/>
            <w:gridSpan w:val="3"/>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条款号</w:t>
            </w: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评审因素</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766" w:type="dxa"/>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086" w:type="dxa"/>
            <w:gridSpan w:val="2"/>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评标方法</w:t>
            </w: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中标候选人排序方法</w:t>
            </w:r>
          </w:p>
        </w:tc>
        <w:tc>
          <w:tcPr>
            <w:tcW w:w="5457" w:type="dxa"/>
            <w:gridSpan w:val="2"/>
            <w:tcBorders>
              <w:top w:val="single" w:color="auto" w:sz="4" w:space="0"/>
              <w:left w:val="single" w:color="auto" w:sz="4" w:space="0"/>
              <w:bottom w:val="single" w:color="auto" w:sz="4" w:space="0"/>
            </w:tcBorders>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报价人得分=A+B+C，对通过初步评审的报价人按照投标总得分（商务+技术+报价）由从高到低的先后顺序。如出现得分(精确到小数点后两位)相等时，按以下原则确定第一中标候选人：</w:t>
            </w:r>
          </w:p>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（1）以评标价低的报价人优先；</w:t>
            </w:r>
          </w:p>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（2）如评标价也相同时，以技术得分较高的报价人优先；</w:t>
            </w:r>
          </w:p>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（3）如技术得分也相同时，以商务得分高的优先；</w:t>
            </w:r>
          </w:p>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（4）如商务得分也相同时，由评标委员会投票决定。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66" w:type="dxa"/>
            <w:vMerge w:val="restart"/>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086" w:type="dxa"/>
            <w:gridSpan w:val="2"/>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形式评审标准</w:t>
            </w: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报价人名称</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66"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086" w:type="dxa"/>
            <w:gridSpan w:val="2"/>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报价函签字盖章</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66"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086" w:type="dxa"/>
            <w:gridSpan w:val="2"/>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竞争性比选响应文件格式</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符合第九章“竞争性比选响应文件格式”的要求，字迹清晰可辨。</w:t>
            </w:r>
          </w:p>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1.报价函的所有数据均符合比选文件的规定；</w:t>
            </w:r>
          </w:p>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2.竞争性比选响应文件附表齐全完整，内容均按规定填写；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66"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086" w:type="dxa"/>
            <w:gridSpan w:val="2"/>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已标价工程量清单</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符合第五章“工程量清单”给出的范围及数量。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66"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086" w:type="dxa"/>
            <w:gridSpan w:val="2"/>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报价其它要求</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竞争性比选响应文件报价表中的报价与报价书文字报价应保持一致。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66"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086" w:type="dxa"/>
            <w:gridSpan w:val="2"/>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496"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竞争性比选响应文件正本中法定代表人或其授权代理人签署</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竞争性比选响应文件正本中法定代表人或授权代理人签署姓名齐全，符合比选文件规定；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0" w:hRule="atLeast"/>
        </w:trPr>
        <w:tc>
          <w:tcPr>
            <w:tcW w:w="766"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086" w:type="dxa"/>
            <w:gridSpan w:val="2"/>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496"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其它材料</w:t>
            </w:r>
          </w:p>
        </w:tc>
        <w:tc>
          <w:tcPr>
            <w:tcW w:w="5457" w:type="dxa"/>
            <w:gridSpan w:val="2"/>
            <w:tcBorders>
              <w:top w:val="single" w:color="auto" w:sz="4" w:space="0"/>
              <w:lef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与采购人存在利害关系可能影响比选公正性的法人、其他组织或者个人，不得参加报价；单位负责人为同一人或者存在控股、管理关系的不同单位，不得同时参加报价，否则相关报价均无效。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66" w:type="dxa"/>
            <w:vMerge w:val="restart"/>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086"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资格评审标准</w:t>
            </w: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营业执照</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符合第二章“报价人须知”第11项规定，具备有效的营业执照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766"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08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资质要求</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符合第二章“报价人须知”前附表附录1的规定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4" w:hRule="atLeast"/>
        </w:trPr>
        <w:tc>
          <w:tcPr>
            <w:tcW w:w="766"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08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财务要求</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符合第二章“报价人须知”前附表附录2的规定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3" w:hRule="atLeast"/>
        </w:trPr>
        <w:tc>
          <w:tcPr>
            <w:tcW w:w="766"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08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业绩要求</w:t>
            </w:r>
          </w:p>
        </w:tc>
        <w:tc>
          <w:tcPr>
            <w:tcW w:w="5457" w:type="dxa"/>
            <w:gridSpan w:val="2"/>
            <w:tcBorders>
              <w:top w:val="single" w:color="auto" w:sz="4" w:space="0"/>
              <w:left w:val="single" w:color="auto" w:sz="4" w:space="0"/>
              <w:bottom w:val="single" w:color="auto" w:sz="4" w:space="0"/>
            </w:tcBorders>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符合第二章“报价人须知”前附表附录3的规定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trPr>
        <w:tc>
          <w:tcPr>
            <w:tcW w:w="766"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08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项目主要管理人员最低要求</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符合第二章“报价人须知”前附表附录4的规定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9" w:hRule="atLeast"/>
        </w:trPr>
        <w:tc>
          <w:tcPr>
            <w:tcW w:w="766"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08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信誉要求</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符合第二章“报价人须知”前附表附录5的规定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atLeast"/>
        </w:trPr>
        <w:tc>
          <w:tcPr>
            <w:tcW w:w="766"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08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符合第二章“报价人须知”前附表附录6的规定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2" w:hRule="atLeast"/>
        </w:trPr>
        <w:tc>
          <w:tcPr>
            <w:tcW w:w="766" w:type="dxa"/>
            <w:vMerge w:val="restart"/>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086"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响应性评审标准</w:t>
            </w: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投标内容</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符合第二章“报价人须知”第7项规定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66"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086" w:type="dxa"/>
            <w:gridSpan w:val="2"/>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符合比选文件给出的范围及数量，且报价不得超过采购人公布的最高限价。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1" w:hRule="atLeast"/>
        </w:trPr>
        <w:tc>
          <w:tcPr>
            <w:tcW w:w="766"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08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工期</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符合第二章“报价人须知”第8项规定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2" w:hRule="atLeast"/>
        </w:trPr>
        <w:tc>
          <w:tcPr>
            <w:tcW w:w="766"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08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质量标准</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符合第二章“报价人须知”第9项规定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7" w:hRule="atLeast"/>
        </w:trPr>
        <w:tc>
          <w:tcPr>
            <w:tcW w:w="766"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08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4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安全目标</w:t>
            </w:r>
          </w:p>
        </w:tc>
        <w:tc>
          <w:tcPr>
            <w:tcW w:w="5457"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符合第二章“报价人须知”第10项规定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9" w:hRule="atLeast"/>
        </w:trPr>
        <w:tc>
          <w:tcPr>
            <w:tcW w:w="766"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w:t>
            </w:r>
          </w:p>
        </w:tc>
        <w:tc>
          <w:tcPr>
            <w:tcW w:w="208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875"/>
              </w:tabs>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分值构成</w:t>
            </w:r>
          </w:p>
          <w:p>
            <w:pPr>
              <w:keepNext w:val="0"/>
              <w:keepLines w:val="0"/>
              <w:suppressLineNumbers w:val="0"/>
              <w:tabs>
                <w:tab w:val="left" w:pos="1875"/>
              </w:tabs>
              <w:spacing w:before="0" w:beforeAutospacing="0" w:after="0" w:afterAutospacing="0" w:line="400" w:lineRule="exact"/>
              <w:ind w:left="0" w:right="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(总分1O0分)</w:t>
            </w:r>
          </w:p>
        </w:tc>
        <w:tc>
          <w:tcPr>
            <w:tcW w:w="6953" w:type="dxa"/>
            <w:gridSpan w:val="3"/>
            <w:tcBorders>
              <w:top w:val="single" w:color="auto" w:sz="4" w:space="0"/>
              <w:left w:val="single" w:color="auto" w:sz="4" w:space="0"/>
              <w:bottom w:val="single" w:color="auto" w:sz="4" w:space="0"/>
            </w:tcBorders>
          </w:tcPr>
          <w:p>
            <w:pPr>
              <w:keepNext w:val="0"/>
              <w:keepLines w:val="0"/>
              <w:suppressLineNumbers w:val="0"/>
              <w:spacing w:before="0" w:beforeAutospacing="0" w:after="0" w:afterAutospacing="0" w:line="400" w:lineRule="exact"/>
              <w:ind w:left="0" w:right="0"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A：投标报价50分；</w:t>
            </w:r>
          </w:p>
          <w:p>
            <w:pPr>
              <w:keepNext w:val="0"/>
              <w:keepLines w:val="0"/>
              <w:suppressLineNumbers w:val="0"/>
              <w:spacing w:before="0" w:beforeAutospacing="0" w:after="0" w:afterAutospacing="0" w:line="400" w:lineRule="exact"/>
              <w:ind w:left="0" w:right="0"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B：商务部分20分；</w:t>
            </w:r>
          </w:p>
          <w:p>
            <w:pPr>
              <w:keepNext w:val="0"/>
              <w:keepLines w:val="0"/>
              <w:suppressLineNumbers w:val="0"/>
              <w:spacing w:before="0" w:beforeAutospacing="0" w:after="0" w:afterAutospacing="0" w:line="400" w:lineRule="exact"/>
              <w:ind w:left="0" w:right="0"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C：技术部分30分。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25" w:hRule="atLeast"/>
        </w:trPr>
        <w:tc>
          <w:tcPr>
            <w:tcW w:w="766"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6</w:t>
            </w:r>
          </w:p>
        </w:tc>
        <w:tc>
          <w:tcPr>
            <w:tcW w:w="208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bidi="ar"/>
              </w:rPr>
              <w:t>评标基准价计算方法</w:t>
            </w:r>
          </w:p>
        </w:tc>
        <w:tc>
          <w:tcPr>
            <w:tcW w:w="6953" w:type="dxa"/>
            <w:gridSpan w:val="3"/>
            <w:tcBorders>
              <w:top w:val="single" w:color="auto" w:sz="4" w:space="0"/>
              <w:left w:val="single" w:color="auto" w:sz="4" w:space="0"/>
              <w:bottom w:val="single" w:color="auto" w:sz="4" w:space="0"/>
            </w:tcBorders>
            <w:vAlign w:val="top"/>
          </w:tcPr>
          <w:p>
            <w:pPr>
              <w:keepNext w:val="0"/>
              <w:keepLines w:val="0"/>
              <w:widowControl w:val="0"/>
              <w:suppressLineNumbers w:val="0"/>
              <w:spacing w:before="0" w:beforeAutospacing="0" w:after="0" w:afterAutospacing="0" w:line="320" w:lineRule="exact"/>
              <w:ind w:left="0" w:right="0"/>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bidi="ar"/>
              </w:rPr>
              <w:t>由评标委员会计算评标基准价：</w:t>
            </w:r>
          </w:p>
          <w:p>
            <w:pPr>
              <w:keepNext w:val="0"/>
              <w:keepLines w:val="0"/>
              <w:widowControl w:val="0"/>
              <w:suppressLineNumbers w:val="0"/>
              <w:spacing w:before="0" w:beforeAutospacing="0" w:after="0" w:afterAutospacing="0" w:line="320" w:lineRule="exact"/>
              <w:ind w:left="0" w:right="0"/>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bidi="ar"/>
              </w:rPr>
              <w:t>（1）评标价的确</w:t>
            </w:r>
            <w:bookmarkStart w:id="891" w:name="_GoBack"/>
            <w:bookmarkEnd w:id="891"/>
            <w:r>
              <w:rPr>
                <w:rFonts w:hint="eastAsia" w:asciiTheme="minorEastAsia" w:hAnsiTheme="minorEastAsia" w:eastAsiaTheme="minorEastAsia" w:cstheme="minorEastAsia"/>
                <w:kern w:val="2"/>
                <w:sz w:val="21"/>
                <w:szCs w:val="21"/>
                <w:lang w:val="en-US" w:eastAsia="zh-CN" w:bidi="ar"/>
              </w:rPr>
              <w:t>定：评标价＝投标函文字报价</w:t>
            </w:r>
          </w:p>
          <w:p>
            <w:pPr>
              <w:keepNext w:val="0"/>
              <w:keepLines w:val="0"/>
              <w:widowControl w:val="0"/>
              <w:suppressLineNumbers w:val="0"/>
              <w:spacing w:before="0" w:beforeAutospacing="0" w:after="0" w:afterAutospacing="0" w:line="320" w:lineRule="exact"/>
              <w:ind w:left="0" w:right="0"/>
              <w:jc w:val="both"/>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bidi="ar"/>
              </w:rPr>
              <w:t>（2）评标基准价的确定：</w:t>
            </w:r>
          </w:p>
          <w:p>
            <w:pPr>
              <w:keepNext w:val="0"/>
              <w:keepLines w:val="0"/>
              <w:widowControl/>
              <w:suppressLineNumbers w:val="0"/>
              <w:spacing w:before="0" w:beforeAutospacing="0" w:after="0" w:afterAutospacing="0" w:line="320" w:lineRule="exact"/>
              <w:ind w:left="0" w:right="0"/>
              <w:jc w:val="left"/>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在通过初步评审后且不高于最高限价的投标报价中去掉六分之一（不能整除的按小数前整数取整，不足六家报价则不去掉）的最低价和相同家数的最高价后的算术平均值K1为评标基准价。</w:t>
            </w:r>
          </w:p>
          <w:p>
            <w:pPr>
              <w:keepNext w:val="0"/>
              <w:keepLines w:val="0"/>
              <w:widowControl/>
              <w:suppressLineNumbers w:val="0"/>
              <w:spacing w:before="0" w:beforeAutospacing="0" w:after="0" w:afterAutospacing="0" w:line="320" w:lineRule="exact"/>
              <w:ind w:left="0" w:right="0"/>
              <w:jc w:val="left"/>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bidi="ar"/>
              </w:rPr>
              <w:t>评标基准价=K1</w:t>
            </w:r>
          </w:p>
          <w:p>
            <w:pPr>
              <w:pStyle w:val="36"/>
              <w:keepNext w:val="0"/>
              <w:keepLines w:val="0"/>
              <w:widowControl w:val="0"/>
              <w:suppressLineNumbers w:val="0"/>
              <w:spacing w:before="0" w:beforeAutospacing="0" w:after="0" w:afterAutospacing="0" w:line="320" w:lineRule="exact"/>
              <w:ind w:left="0" w:leftChars="0" w:right="0" w:rightChars="0"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
              </w:rPr>
              <w:t>以上计算取小数点后两位，第三位四舍五入。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97" w:hRule="atLeast"/>
        </w:trPr>
        <w:tc>
          <w:tcPr>
            <w:tcW w:w="766"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7</w:t>
            </w:r>
          </w:p>
        </w:tc>
        <w:tc>
          <w:tcPr>
            <w:tcW w:w="208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2"/>
                <w:sz w:val="21"/>
                <w:szCs w:val="21"/>
                <w:lang w:val="en-US" w:eastAsia="zh-CN" w:bidi="ar"/>
              </w:rPr>
              <w:t>评标价的偏差率计算公式</w:t>
            </w:r>
          </w:p>
        </w:tc>
        <w:tc>
          <w:tcPr>
            <w:tcW w:w="6953" w:type="dxa"/>
            <w:gridSpan w:val="3"/>
            <w:tcBorders>
              <w:top w:val="single" w:color="auto" w:sz="4" w:space="0"/>
              <w:left w:val="single" w:color="auto" w:sz="4" w:space="0"/>
              <w:bottom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kern w:val="2"/>
                <w:sz w:val="21"/>
                <w:szCs w:val="21"/>
                <w:lang w:val="en-US" w:eastAsia="zh-CN" w:bidi="ar"/>
              </w:rPr>
              <w:t>偏差率＝100%×（投标价-评标基准价）/评标基准价，偏差率为百分率（示例：xx.xx%)，偏差率计算保留小数点后两位，小数点后第三位“四舍五入”。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trPr>
        <w:tc>
          <w:tcPr>
            <w:tcW w:w="766" w:type="dxa"/>
            <w:tcBorders>
              <w:top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kern w:val="2"/>
                <w:sz w:val="21"/>
                <w:szCs w:val="21"/>
                <w:lang w:val="en-US" w:eastAsia="zh-CN" w:bidi="ar"/>
              </w:rPr>
              <w:t>条款号</w:t>
            </w:r>
          </w:p>
        </w:tc>
        <w:tc>
          <w:tcPr>
            <w:tcW w:w="208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b/>
                <w:kern w:val="2"/>
                <w:sz w:val="21"/>
                <w:szCs w:val="21"/>
                <w:lang w:val="en-US" w:eastAsia="zh-CN" w:bidi="ar"/>
              </w:rPr>
              <w:t>评分因素权重分值</w:t>
            </w:r>
          </w:p>
        </w:tc>
        <w:tc>
          <w:tcPr>
            <w:tcW w:w="6161" w:type="dxa"/>
            <w:gridSpan w:val="2"/>
            <w:tcBorders>
              <w:top w:val="single" w:color="auto" w:sz="4" w:space="0"/>
              <w:left w:val="single" w:color="auto" w:sz="4" w:space="0"/>
              <w:bottom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lang w:val="en-US" w:eastAsia="zh-CN" w:bidi="ar"/>
              </w:rPr>
            </w:pPr>
            <w:r>
              <w:rPr>
                <w:rFonts w:hint="eastAsia" w:asciiTheme="minorEastAsia" w:hAnsiTheme="minorEastAsia" w:eastAsiaTheme="minorEastAsia" w:cstheme="minorEastAsia"/>
                <w:b/>
                <w:kern w:val="2"/>
                <w:sz w:val="21"/>
                <w:szCs w:val="21"/>
                <w:lang w:val="en-US" w:eastAsia="zh-CN" w:bidi="ar"/>
              </w:rPr>
              <w:t>各评分因素细分项</w:t>
            </w:r>
          </w:p>
        </w:tc>
        <w:tc>
          <w:tcPr>
            <w:tcW w:w="792" w:type="dxa"/>
            <w:tcBorders>
              <w:top w:val="single" w:color="auto" w:sz="4" w:space="0"/>
              <w:left w:val="single" w:color="auto" w:sz="4" w:space="0"/>
              <w:bottom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lang w:val="en-US" w:eastAsia="zh-CN" w:bidi="ar"/>
              </w:rPr>
            </w:pPr>
            <w:r>
              <w:rPr>
                <w:rFonts w:hint="eastAsia" w:asciiTheme="minorEastAsia" w:hAnsiTheme="minorEastAsia" w:eastAsiaTheme="minorEastAsia" w:cstheme="minorEastAsia"/>
                <w:b/>
                <w:kern w:val="2"/>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98" w:hRule="atLeast"/>
        </w:trPr>
        <w:tc>
          <w:tcPr>
            <w:tcW w:w="766" w:type="dxa"/>
            <w:vMerge w:val="restart"/>
            <w:tcBorders>
              <w:top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default" w:asciiTheme="minorEastAsia" w:hAnsiTheme="minorEastAsia" w:eastAsiaTheme="minorEastAsia" w:cstheme="minorEastAsia"/>
                <w:b w:val="0"/>
                <w:bCs/>
                <w:kern w:val="2"/>
                <w:sz w:val="21"/>
                <w:szCs w:val="21"/>
                <w:lang w:val="en-US" w:eastAsia="zh-CN" w:bidi="ar"/>
              </w:rPr>
            </w:pPr>
            <w:r>
              <w:rPr>
                <w:rFonts w:hint="eastAsia" w:asciiTheme="minorEastAsia" w:hAnsiTheme="minorEastAsia" w:eastAsiaTheme="minorEastAsia" w:cstheme="minorEastAsia"/>
                <w:b w:val="0"/>
                <w:bCs/>
                <w:kern w:val="2"/>
                <w:sz w:val="21"/>
                <w:szCs w:val="21"/>
                <w:lang w:val="en-US" w:eastAsia="zh-CN" w:bidi="ar"/>
              </w:rPr>
              <w:t>8</w:t>
            </w:r>
          </w:p>
        </w:tc>
        <w:tc>
          <w:tcPr>
            <w:tcW w:w="1075" w:type="dxa"/>
            <w:vMerge w:val="restart"/>
            <w:tcBorders>
              <w:top w:val="single" w:color="auto" w:sz="4" w:space="0"/>
              <w:left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val="0"/>
                <w:bCs/>
                <w:kern w:val="2"/>
                <w:sz w:val="21"/>
                <w:szCs w:val="21"/>
                <w:highlight w:val="none"/>
                <w:lang w:val="en-US" w:eastAsia="zh-CN" w:bidi="ar"/>
              </w:rPr>
            </w:pPr>
            <w:r>
              <w:rPr>
                <w:rFonts w:hint="eastAsia" w:asciiTheme="minorEastAsia" w:hAnsiTheme="minorEastAsia" w:eastAsiaTheme="minorEastAsia" w:cstheme="minorEastAsia"/>
                <w:b w:val="0"/>
                <w:bCs/>
                <w:kern w:val="2"/>
                <w:sz w:val="21"/>
                <w:szCs w:val="21"/>
                <w:highlight w:val="none"/>
                <w:lang w:val="en-US" w:eastAsia="zh-CN" w:bidi="ar"/>
              </w:rPr>
              <w:t>商务评分标准（20分）</w:t>
            </w:r>
          </w:p>
        </w:tc>
        <w:tc>
          <w:tcPr>
            <w:tcW w:w="10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val="0"/>
                <w:bCs/>
                <w:kern w:val="2"/>
                <w:sz w:val="21"/>
                <w:szCs w:val="21"/>
                <w:highlight w:val="none"/>
                <w:lang w:val="en-US" w:eastAsia="zh-CN" w:bidi="ar"/>
              </w:rPr>
            </w:pPr>
            <w:r>
              <w:rPr>
                <w:rFonts w:hint="eastAsia" w:asciiTheme="minorEastAsia" w:hAnsiTheme="minorEastAsia" w:eastAsiaTheme="minorEastAsia" w:cstheme="minorEastAsia"/>
                <w:b w:val="0"/>
                <w:bCs/>
                <w:kern w:val="2"/>
                <w:sz w:val="21"/>
                <w:szCs w:val="21"/>
                <w:highlight w:val="none"/>
                <w:lang w:val="en-US" w:eastAsia="zh-CN" w:bidi="ar"/>
              </w:rPr>
              <w:t>报价人资质（10分）</w:t>
            </w:r>
          </w:p>
        </w:tc>
        <w:tc>
          <w:tcPr>
            <w:tcW w:w="6161" w:type="dxa"/>
            <w:gridSpan w:val="2"/>
            <w:tcBorders>
              <w:top w:val="single" w:color="auto" w:sz="4" w:space="0"/>
              <w:left w:val="single" w:color="auto" w:sz="4" w:space="0"/>
              <w:bottom w:val="single" w:color="auto" w:sz="4" w:space="0"/>
            </w:tcBorders>
            <w:vAlign w:val="center"/>
          </w:tcPr>
          <w:p>
            <w:pPr>
              <w:pStyle w:val="168"/>
              <w:keepNext w:val="0"/>
              <w:keepLines w:val="0"/>
              <w:numPr>
                <w:ilvl w:val="0"/>
                <w:numId w:val="5"/>
              </w:numPr>
              <w:suppressLineNumbers w:val="0"/>
              <w:spacing w:before="0" w:beforeAutospacing="0" w:after="0" w:afterAutospacing="0" w:line="320" w:lineRule="exact"/>
              <w:ind w:left="-20" w:leftChars="0" w:right="0" w:firstLine="44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报价人资质</w:t>
            </w:r>
            <w:r>
              <w:rPr>
                <w:rFonts w:hint="eastAsia" w:asciiTheme="minorEastAsia" w:hAnsiTheme="minorEastAsia" w:eastAsiaTheme="minorEastAsia" w:cstheme="minorEastAsia"/>
                <w:sz w:val="21"/>
                <w:szCs w:val="21"/>
                <w:highlight w:val="none"/>
              </w:rPr>
              <w:t>满足</w:t>
            </w:r>
            <w:r>
              <w:rPr>
                <w:rFonts w:hint="eastAsia" w:asciiTheme="minorEastAsia" w:hAnsiTheme="minorEastAsia" w:eastAsiaTheme="minorEastAsia" w:cstheme="minorEastAsia"/>
                <w:sz w:val="21"/>
                <w:szCs w:val="21"/>
                <w:highlight w:val="none"/>
                <w:lang w:eastAsia="zh-CN"/>
              </w:rPr>
              <w:t>报价人</w:t>
            </w:r>
            <w:r>
              <w:rPr>
                <w:rFonts w:hint="eastAsia" w:asciiTheme="minorEastAsia" w:hAnsiTheme="minorEastAsia" w:eastAsiaTheme="minorEastAsia" w:cstheme="minorEastAsia"/>
                <w:sz w:val="21"/>
                <w:szCs w:val="21"/>
                <w:highlight w:val="none"/>
              </w:rPr>
              <w:t>须知前附表1.4.1规定的资质条件得</w:t>
            </w: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分；</w:t>
            </w:r>
          </w:p>
          <w:p>
            <w:pPr>
              <w:pStyle w:val="168"/>
              <w:keepNext w:val="0"/>
              <w:keepLines w:val="0"/>
              <w:numPr>
                <w:ilvl w:val="0"/>
                <w:numId w:val="5"/>
              </w:numPr>
              <w:suppressLineNumbers w:val="0"/>
              <w:spacing w:before="0" w:beforeAutospacing="0" w:after="0" w:afterAutospacing="0" w:line="320" w:lineRule="exact"/>
              <w:ind w:left="-20" w:leftChars="0" w:right="0" w:firstLine="44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报价人</w:t>
            </w:r>
            <w:r>
              <w:rPr>
                <w:rFonts w:hint="eastAsia" w:asciiTheme="minorEastAsia" w:hAnsiTheme="minorEastAsia" w:eastAsiaTheme="minorEastAsia" w:cstheme="minorEastAsia"/>
                <w:sz w:val="21"/>
                <w:szCs w:val="21"/>
                <w:highlight w:val="none"/>
              </w:rPr>
              <w:t>具有有效期内的ITSS信息技术服务标准运行维护等级认证证书得1分；</w:t>
            </w:r>
            <w:r>
              <w:rPr>
                <w:rFonts w:hint="eastAsia" w:asciiTheme="minorEastAsia" w:hAnsiTheme="minorEastAsia" w:eastAsiaTheme="minorEastAsia" w:cstheme="minorEastAsia"/>
                <w:sz w:val="21"/>
                <w:szCs w:val="21"/>
                <w:highlight w:val="none"/>
                <w:lang w:val="en-US" w:eastAsia="zh-CN"/>
              </w:rPr>
              <w:t>满分1分；</w:t>
            </w:r>
          </w:p>
          <w:p>
            <w:pPr>
              <w:pStyle w:val="168"/>
              <w:keepNext w:val="0"/>
              <w:keepLines w:val="0"/>
              <w:numPr>
                <w:ilvl w:val="0"/>
                <w:numId w:val="5"/>
              </w:numPr>
              <w:suppressLineNumbers w:val="0"/>
              <w:spacing w:before="0" w:beforeAutospacing="0" w:after="0" w:afterAutospacing="0" w:line="320" w:lineRule="exact"/>
              <w:ind w:left="-20" w:leftChars="0" w:right="0" w:firstLine="440" w:firstLineChars="0"/>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eastAsia="zh-CN"/>
              </w:rPr>
              <w:t>报价如每</w:t>
            </w:r>
            <w:r>
              <w:rPr>
                <w:rFonts w:hint="eastAsia" w:asciiTheme="minorEastAsia" w:hAnsiTheme="minorEastAsia" w:eastAsiaTheme="minorEastAsia" w:cstheme="minorEastAsia"/>
                <w:sz w:val="21"/>
                <w:szCs w:val="21"/>
                <w:highlight w:val="none"/>
              </w:rPr>
              <w:t>具有</w:t>
            </w:r>
            <w:r>
              <w:rPr>
                <w:rFonts w:hint="eastAsia" w:asciiTheme="minorEastAsia" w:hAnsiTheme="minorEastAsia" w:eastAsiaTheme="minorEastAsia" w:cstheme="minorEastAsia"/>
                <w:sz w:val="21"/>
                <w:szCs w:val="21"/>
                <w:highlight w:val="none"/>
                <w:lang w:val="en-US" w:eastAsia="zh-CN"/>
              </w:rPr>
              <w:t>1个</w:t>
            </w:r>
            <w:r>
              <w:rPr>
                <w:rFonts w:hint="eastAsia" w:asciiTheme="minorEastAsia" w:hAnsiTheme="minorEastAsia" w:eastAsiaTheme="minorEastAsia" w:cstheme="minorEastAsia"/>
                <w:sz w:val="21"/>
                <w:szCs w:val="21"/>
                <w:highlight w:val="none"/>
              </w:rPr>
              <w:t>有效期的DSMM数据安全能力成熟度等级认证证书</w:t>
            </w:r>
            <w:r>
              <w:rPr>
                <w:rFonts w:hint="eastAsia" w:asciiTheme="minorEastAsia" w:hAnsiTheme="minorEastAsia" w:eastAsiaTheme="minorEastAsia" w:cstheme="minorEastAsia"/>
                <w:sz w:val="21"/>
                <w:szCs w:val="21"/>
                <w:highlight w:val="none"/>
                <w:lang w:val="en-US" w:eastAsia="zh-CN"/>
              </w:rPr>
              <w:t>或</w:t>
            </w:r>
            <w:r>
              <w:rPr>
                <w:rFonts w:hint="eastAsia" w:asciiTheme="minorEastAsia" w:hAnsiTheme="minorEastAsia" w:eastAsiaTheme="minorEastAsia" w:cstheme="minorEastAsia"/>
                <w:sz w:val="21"/>
                <w:szCs w:val="21"/>
                <w:highlight w:val="none"/>
              </w:rPr>
              <w:t>ISO27017云服务信息安全管理体系认证证书</w:t>
            </w:r>
            <w:r>
              <w:rPr>
                <w:rFonts w:hint="eastAsia" w:asciiTheme="minorEastAsia" w:hAnsiTheme="minorEastAsia" w:eastAsiaTheme="minorEastAsia" w:cstheme="minorEastAsia"/>
                <w:sz w:val="21"/>
                <w:szCs w:val="21"/>
                <w:highlight w:val="none"/>
                <w:lang w:val="en-US" w:eastAsia="zh-CN"/>
              </w:rPr>
              <w:t>或</w:t>
            </w:r>
            <w:r>
              <w:rPr>
                <w:rFonts w:hint="eastAsia" w:asciiTheme="minorEastAsia" w:hAnsiTheme="minorEastAsia" w:eastAsiaTheme="minorEastAsia" w:cstheme="minorEastAsia"/>
                <w:sz w:val="21"/>
                <w:szCs w:val="21"/>
                <w:highlight w:val="none"/>
              </w:rPr>
              <w:t>ISO27701隐私信息管理体系认证证书</w:t>
            </w:r>
            <w:r>
              <w:rPr>
                <w:rFonts w:hint="eastAsia" w:asciiTheme="minorEastAsia" w:hAnsiTheme="minorEastAsia" w:eastAsiaTheme="minorEastAsia" w:cstheme="minorEastAsia"/>
                <w:sz w:val="21"/>
                <w:szCs w:val="21"/>
                <w:highlight w:val="none"/>
                <w:lang w:val="en-US" w:eastAsia="zh-CN"/>
              </w:rPr>
              <w:t>得1分，满分3分。</w:t>
            </w:r>
          </w:p>
          <w:p>
            <w:pPr>
              <w:pStyle w:val="168"/>
              <w:keepNext w:val="0"/>
              <w:keepLines w:val="0"/>
              <w:numPr>
                <w:ilvl w:val="0"/>
                <w:numId w:val="0"/>
              </w:numPr>
              <w:suppressLineNumbers w:val="0"/>
              <w:spacing w:before="0" w:beforeAutospacing="0" w:after="0" w:afterAutospacing="0" w:line="320" w:lineRule="exact"/>
              <w:ind w:left="0" w:right="0"/>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eastAsia="zh-CN"/>
              </w:rPr>
              <w:t>注：提供对应认证证书复印件并加盖鲜章</w:t>
            </w:r>
          </w:p>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highlight w:val="none"/>
                <w:lang w:val="en-US" w:eastAsia="zh-CN" w:bidi="ar"/>
              </w:rPr>
            </w:pPr>
          </w:p>
        </w:tc>
        <w:tc>
          <w:tcPr>
            <w:tcW w:w="792" w:type="dxa"/>
            <w:tcBorders>
              <w:top w:val="single" w:color="auto" w:sz="4" w:space="0"/>
              <w:left w:val="single" w:color="auto" w:sz="4" w:space="0"/>
              <w:bottom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66" w:type="dxa"/>
            <w:vMerge w:val="continue"/>
            <w:tcBorders>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lang w:val="en-US" w:eastAsia="zh-CN" w:bidi="ar"/>
              </w:rPr>
            </w:pPr>
          </w:p>
        </w:tc>
        <w:tc>
          <w:tcPr>
            <w:tcW w:w="1075" w:type="dxa"/>
            <w:vMerge w:val="continue"/>
            <w:tcBorders>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val="0"/>
                <w:bCs/>
                <w:kern w:val="2"/>
                <w:sz w:val="21"/>
                <w:szCs w:val="21"/>
                <w:highlight w:val="none"/>
                <w:lang w:val="en-US" w:eastAsia="zh-CN" w:bidi="ar"/>
              </w:rPr>
            </w:pPr>
          </w:p>
        </w:tc>
        <w:tc>
          <w:tcPr>
            <w:tcW w:w="10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val="0"/>
                <w:bCs/>
                <w:kern w:val="2"/>
                <w:sz w:val="21"/>
                <w:szCs w:val="21"/>
                <w:highlight w:val="none"/>
                <w:lang w:val="en-US" w:eastAsia="zh-CN" w:bidi="ar"/>
              </w:rPr>
            </w:pPr>
            <w:r>
              <w:rPr>
                <w:rFonts w:hint="eastAsia" w:asciiTheme="minorEastAsia" w:hAnsiTheme="minorEastAsia" w:eastAsiaTheme="minorEastAsia" w:cstheme="minorEastAsia"/>
                <w:b w:val="0"/>
                <w:bCs/>
                <w:kern w:val="2"/>
                <w:sz w:val="21"/>
                <w:szCs w:val="21"/>
                <w:highlight w:val="none"/>
                <w:lang w:val="en-US" w:eastAsia="zh-CN" w:bidi="ar"/>
              </w:rPr>
              <w:t>报价人业绩（10分）</w:t>
            </w:r>
          </w:p>
        </w:tc>
        <w:tc>
          <w:tcPr>
            <w:tcW w:w="6161" w:type="dxa"/>
            <w:gridSpan w:val="2"/>
            <w:tcBorders>
              <w:top w:val="single" w:color="auto" w:sz="4" w:space="0"/>
              <w:left w:val="single" w:color="auto" w:sz="4" w:space="0"/>
              <w:bottom w:val="single" w:color="auto" w:sz="4" w:space="0"/>
            </w:tcBorders>
            <w:vAlign w:val="center"/>
          </w:tcPr>
          <w:p>
            <w:pPr>
              <w:pStyle w:val="168"/>
              <w:keepNext w:val="0"/>
              <w:keepLines w:val="0"/>
              <w:numPr>
                <w:ilvl w:val="0"/>
                <w:numId w:val="6"/>
              </w:numPr>
              <w:suppressLineNumbers w:val="0"/>
              <w:spacing w:before="0" w:beforeAutospacing="0" w:after="0" w:afterAutospacing="0" w:line="320" w:lineRule="exact"/>
              <w:ind w:left="-20" w:leftChars="0" w:right="0" w:firstLine="44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报价人业绩</w:t>
            </w:r>
            <w:r>
              <w:rPr>
                <w:rFonts w:hint="eastAsia" w:asciiTheme="minorEastAsia" w:hAnsiTheme="minorEastAsia" w:eastAsiaTheme="minorEastAsia" w:cstheme="minorEastAsia"/>
                <w:sz w:val="21"/>
                <w:szCs w:val="21"/>
                <w:highlight w:val="none"/>
              </w:rPr>
              <w:t>满足</w:t>
            </w:r>
            <w:r>
              <w:rPr>
                <w:rFonts w:hint="eastAsia" w:asciiTheme="minorEastAsia" w:hAnsiTheme="minorEastAsia" w:eastAsiaTheme="minorEastAsia" w:cstheme="minorEastAsia"/>
                <w:sz w:val="21"/>
                <w:szCs w:val="21"/>
                <w:highlight w:val="none"/>
                <w:lang w:eastAsia="zh-CN"/>
              </w:rPr>
              <w:t>报价人</w:t>
            </w:r>
            <w:r>
              <w:rPr>
                <w:rFonts w:hint="eastAsia" w:asciiTheme="minorEastAsia" w:hAnsiTheme="minorEastAsia" w:eastAsiaTheme="minorEastAsia" w:cstheme="minorEastAsia"/>
                <w:sz w:val="21"/>
                <w:szCs w:val="21"/>
                <w:highlight w:val="none"/>
              </w:rPr>
              <w:t>须知前附表1.4.1规定的资质条件得</w:t>
            </w: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分；</w:t>
            </w:r>
          </w:p>
          <w:p>
            <w:pPr>
              <w:pStyle w:val="168"/>
              <w:keepNext w:val="0"/>
              <w:keepLines w:val="0"/>
              <w:numPr>
                <w:ilvl w:val="0"/>
                <w:numId w:val="6"/>
              </w:numPr>
              <w:suppressLineNumbers w:val="0"/>
              <w:spacing w:before="0" w:beforeAutospacing="0" w:after="0" w:afterAutospacing="0" w:line="320" w:lineRule="exact"/>
              <w:ind w:left="-20" w:leftChars="0" w:right="0" w:firstLine="440" w:firstLineChars="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报价人每增加一个2020年1月1日至竞争性比选函发出之日（以合同签订时间为准）的数字孪生类项目业绩得2分，满分2分。</w:t>
            </w:r>
          </w:p>
          <w:p>
            <w:pPr>
              <w:pStyle w:val="168"/>
              <w:keepNext w:val="0"/>
              <w:keepLines w:val="0"/>
              <w:numPr>
                <w:ilvl w:val="0"/>
                <w:numId w:val="6"/>
              </w:numPr>
              <w:suppressLineNumbers w:val="0"/>
              <w:spacing w:before="0" w:beforeAutospacing="0" w:after="0" w:afterAutospacing="0" w:line="320" w:lineRule="exact"/>
              <w:ind w:left="-20" w:leftChars="0" w:right="0" w:firstLine="440" w:firstLine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报价人每增加一个</w:t>
            </w:r>
            <w:r>
              <w:rPr>
                <w:rFonts w:hint="eastAsia" w:asciiTheme="minorEastAsia" w:hAnsiTheme="minorEastAsia" w:eastAsiaTheme="minorEastAsia" w:cstheme="minorEastAsia"/>
                <w:sz w:val="21"/>
                <w:szCs w:val="21"/>
                <w:highlight w:val="none"/>
              </w:rPr>
              <w:t>2020年1月1日</w:t>
            </w:r>
            <w:r>
              <w:rPr>
                <w:rFonts w:hint="eastAsia" w:asciiTheme="minorEastAsia" w:hAnsiTheme="minorEastAsia" w:eastAsiaTheme="minorEastAsia" w:cstheme="minorEastAsia"/>
                <w:sz w:val="21"/>
                <w:szCs w:val="21"/>
                <w:highlight w:val="none"/>
                <w:lang w:val="en-US" w:eastAsia="zh-CN"/>
              </w:rPr>
              <w:t>至竞争性比选函发出之日（以合同签订时间为准）的合同额不低于150万元的</w:t>
            </w:r>
            <w:r>
              <w:rPr>
                <w:rFonts w:hint="eastAsia" w:asciiTheme="minorEastAsia" w:hAnsiTheme="minorEastAsia" w:eastAsiaTheme="minorEastAsia" w:cstheme="minorEastAsia"/>
                <w:sz w:val="21"/>
                <w:szCs w:val="21"/>
                <w:highlight w:val="none"/>
              </w:rPr>
              <w:t>系统集成类项目</w:t>
            </w:r>
            <w:r>
              <w:rPr>
                <w:rFonts w:hint="eastAsia" w:asciiTheme="minorEastAsia" w:hAnsiTheme="minorEastAsia" w:eastAsiaTheme="minorEastAsia" w:cstheme="minorEastAsia"/>
                <w:sz w:val="21"/>
                <w:szCs w:val="21"/>
                <w:highlight w:val="none"/>
                <w:lang w:val="en-US" w:eastAsia="zh-CN"/>
              </w:rPr>
              <w:t>业绩</w:t>
            </w:r>
            <w:r>
              <w:rPr>
                <w:rFonts w:hint="eastAsia" w:asciiTheme="minorEastAsia" w:hAnsiTheme="minorEastAsia" w:eastAsiaTheme="minorEastAsia" w:cstheme="minorEastAsia"/>
                <w:sz w:val="21"/>
                <w:szCs w:val="21"/>
                <w:highlight w:val="none"/>
              </w:rPr>
              <w:t>的得1分，</w:t>
            </w:r>
            <w:r>
              <w:rPr>
                <w:rFonts w:hint="eastAsia" w:asciiTheme="minorEastAsia" w:hAnsiTheme="minorEastAsia" w:eastAsiaTheme="minorEastAsia" w:cstheme="minorEastAsia"/>
                <w:sz w:val="21"/>
                <w:szCs w:val="21"/>
                <w:highlight w:val="none"/>
                <w:lang w:val="en-US" w:eastAsia="zh-CN"/>
              </w:rPr>
              <w:t>满分2分</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 xml:space="preserve"> </w:t>
            </w:r>
          </w:p>
          <w:p>
            <w:pPr>
              <w:pStyle w:val="168"/>
              <w:keepNext w:val="0"/>
              <w:keepLines w:val="0"/>
              <w:numPr>
                <w:ilvl w:val="0"/>
                <w:numId w:val="0"/>
              </w:numPr>
              <w:suppressLineNumbers w:val="0"/>
              <w:spacing w:before="0" w:beforeAutospacing="0" w:after="0" w:afterAutospacing="0" w:line="320" w:lineRule="exact"/>
              <w:ind w:left="0" w:right="0" w:firstLine="420" w:firstLineChars="200"/>
              <w:rPr>
                <w:rFonts w:hint="eastAsia" w:asciiTheme="minorEastAsia" w:hAnsiTheme="minorEastAsia" w:eastAsiaTheme="minorEastAsia" w:cstheme="minorEastAsia"/>
                <w:b/>
                <w:kern w:val="2"/>
                <w:sz w:val="21"/>
                <w:szCs w:val="21"/>
                <w:highlight w:val="none"/>
                <w:lang w:val="en-US" w:eastAsia="zh-CN" w:bidi="ar"/>
              </w:rPr>
            </w:pPr>
            <w:r>
              <w:rPr>
                <w:rFonts w:hint="eastAsia" w:asciiTheme="minorEastAsia" w:hAnsiTheme="minorEastAsia" w:eastAsiaTheme="minorEastAsia" w:cstheme="minorEastAsia"/>
                <w:sz w:val="21"/>
                <w:szCs w:val="21"/>
                <w:highlight w:val="none"/>
                <w:lang w:val="en-US" w:eastAsia="zh-CN"/>
              </w:rPr>
              <w:t>注：提供合同（合同需清晰反映上述业绩要求的主要内容，包括但不限于合同签订时间、合同金额及工作内容）复印件或扫描件。若合同中无法体现上述内容的，则还需提供业主出具的业绩证明材料（加盖业主单位鲜公章）。</w:t>
            </w:r>
          </w:p>
        </w:tc>
        <w:tc>
          <w:tcPr>
            <w:tcW w:w="792" w:type="dxa"/>
            <w:tcBorders>
              <w:top w:val="single" w:color="auto" w:sz="4" w:space="0"/>
              <w:left w:val="single" w:color="auto" w:sz="4" w:space="0"/>
              <w:bottom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1" w:hRule="atLeast"/>
        </w:trPr>
        <w:tc>
          <w:tcPr>
            <w:tcW w:w="766" w:type="dxa"/>
            <w:vMerge w:val="restart"/>
            <w:tcBorders>
              <w:top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default" w:asciiTheme="minorEastAsia" w:hAnsiTheme="minorEastAsia" w:eastAsiaTheme="minorEastAsia" w:cstheme="minorEastAsia"/>
                <w:b/>
                <w:kern w:val="2"/>
                <w:sz w:val="21"/>
                <w:szCs w:val="21"/>
                <w:lang w:val="en-US" w:eastAsia="zh-CN" w:bidi="ar"/>
              </w:rPr>
            </w:pPr>
            <w:r>
              <w:rPr>
                <w:rFonts w:hint="eastAsia" w:asciiTheme="minorEastAsia" w:hAnsiTheme="minorEastAsia" w:eastAsiaTheme="minorEastAsia" w:cstheme="minorEastAsia"/>
                <w:b w:val="0"/>
                <w:bCs/>
                <w:kern w:val="2"/>
                <w:sz w:val="21"/>
                <w:szCs w:val="21"/>
                <w:lang w:val="en-US" w:eastAsia="zh-CN" w:bidi="ar"/>
              </w:rPr>
              <w:t>9</w:t>
            </w:r>
          </w:p>
        </w:tc>
        <w:tc>
          <w:tcPr>
            <w:tcW w:w="1075" w:type="dxa"/>
            <w:vMerge w:val="restart"/>
            <w:tcBorders>
              <w:top w:val="single" w:color="auto" w:sz="4" w:space="0"/>
              <w:left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val="0"/>
                <w:bCs/>
                <w:kern w:val="2"/>
                <w:sz w:val="21"/>
                <w:szCs w:val="21"/>
                <w:lang w:val="en-US" w:eastAsia="zh-CN" w:bidi="ar"/>
              </w:rPr>
            </w:pPr>
            <w:r>
              <w:rPr>
                <w:rFonts w:hint="eastAsia" w:asciiTheme="minorEastAsia" w:hAnsiTheme="minorEastAsia" w:eastAsiaTheme="minorEastAsia" w:cstheme="minorEastAsia"/>
                <w:b w:val="0"/>
                <w:bCs/>
                <w:kern w:val="2"/>
                <w:sz w:val="21"/>
                <w:szCs w:val="21"/>
                <w:lang w:val="en-US" w:eastAsia="zh-CN" w:bidi="ar"/>
              </w:rPr>
              <w:t>技术评分标准（20分）</w:t>
            </w:r>
          </w:p>
        </w:tc>
        <w:tc>
          <w:tcPr>
            <w:tcW w:w="10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156" w:beforeAutospacing="0" w:after="0" w:afterAutospacing="0" w:line="400" w:lineRule="exact"/>
              <w:ind w:left="0" w:leftChars="0" w:right="0" w:rightChars="0"/>
              <w:jc w:val="center"/>
              <w:rPr>
                <w:rFonts w:hint="eastAsia" w:asciiTheme="minorEastAsia" w:hAnsiTheme="minorEastAsia" w:eastAsiaTheme="minorEastAsia" w:cstheme="minorEastAsia"/>
                <w:b w:val="0"/>
                <w:bCs/>
                <w:kern w:val="2"/>
                <w:sz w:val="21"/>
                <w:szCs w:val="21"/>
                <w:lang w:val="en-US" w:eastAsia="zh-CN" w:bidi="ar"/>
              </w:rPr>
            </w:pPr>
            <w:r>
              <w:rPr>
                <w:rFonts w:hint="eastAsia" w:asciiTheme="minorEastAsia" w:hAnsiTheme="minorEastAsia" w:eastAsiaTheme="minorEastAsia" w:cstheme="minorEastAsia"/>
                <w:b w:val="0"/>
                <w:bCs/>
                <w:sz w:val="21"/>
                <w:szCs w:val="21"/>
              </w:rPr>
              <w:t>实施方案（20分）</w:t>
            </w:r>
          </w:p>
        </w:tc>
        <w:tc>
          <w:tcPr>
            <w:tcW w:w="6161" w:type="dxa"/>
            <w:gridSpan w:val="2"/>
            <w:tcBorders>
              <w:top w:val="single" w:color="auto" w:sz="4" w:space="0"/>
              <w:left w:val="single" w:color="auto" w:sz="4" w:space="0"/>
              <w:bottom w:val="single" w:color="auto" w:sz="4" w:space="0"/>
            </w:tcBorders>
            <w:vAlign w:val="center"/>
          </w:tcPr>
          <w:p>
            <w:pPr>
              <w:pStyle w:val="40"/>
              <w:keepNext w:val="0"/>
              <w:keepLines w:val="0"/>
              <w:numPr>
                <w:ilvl w:val="0"/>
                <w:numId w:val="7"/>
              </w:numPr>
              <w:suppressLineNumbers w:val="0"/>
              <w:spacing w:before="0" w:beforeAutospacing="0" w:afterAutospacing="0" w:line="240" w:lineRule="auto"/>
              <w:ind w:left="0" w:right="0" w:firstLineChars="200"/>
              <w:rPr>
                <w:rFonts w:hint="eastAsia" w:hAnsi="宋体" w:eastAsia="宋体" w:cs="宋体"/>
                <w:sz w:val="21"/>
                <w:szCs w:val="21"/>
                <w:highlight w:val="none"/>
                <w:lang w:val="en-US" w:eastAsia="zh-CN"/>
              </w:rPr>
            </w:pPr>
            <w:r>
              <w:rPr>
                <w:rFonts w:hint="eastAsia" w:hAnsi="宋体" w:eastAsia="宋体" w:cs="宋体"/>
                <w:sz w:val="21"/>
                <w:szCs w:val="21"/>
                <w:highlight w:val="none"/>
                <w:lang w:val="en-US" w:eastAsia="zh-CN"/>
              </w:rPr>
              <w:t>对基于数据中台的数据接入、数据治理、数据分析、数据共享集成开发表述</w:t>
            </w:r>
            <w:r>
              <w:rPr>
                <w:rFonts w:hint="eastAsia" w:hAnsi="宋体" w:eastAsia="宋体" w:cs="宋体"/>
                <w:sz w:val="21"/>
                <w:szCs w:val="21"/>
                <w:highlight w:val="none"/>
              </w:rPr>
              <w:t>清晰、完整，可操作性强得</w:t>
            </w:r>
            <w:r>
              <w:rPr>
                <w:rFonts w:hint="eastAsia" w:hAnsi="宋体" w:eastAsia="宋体" w:cs="宋体"/>
                <w:sz w:val="21"/>
                <w:szCs w:val="21"/>
                <w:highlight w:val="none"/>
                <w:lang w:val="en-US" w:eastAsia="zh-CN"/>
              </w:rPr>
              <w:t>5</w:t>
            </w:r>
            <w:r>
              <w:rPr>
                <w:rFonts w:hint="default" w:hAnsi="宋体" w:eastAsia="宋体" w:cs="宋体"/>
                <w:sz w:val="21"/>
                <w:szCs w:val="21"/>
                <w:highlight w:val="none"/>
              </w:rPr>
              <w:t>-</w:t>
            </w:r>
            <w:r>
              <w:rPr>
                <w:rFonts w:hint="eastAsia" w:hAnsi="宋体" w:eastAsia="宋体" w:cs="宋体"/>
                <w:sz w:val="21"/>
                <w:szCs w:val="21"/>
                <w:highlight w:val="none"/>
                <w:lang w:val="en-US" w:eastAsia="zh-CN"/>
              </w:rPr>
              <w:t>4</w:t>
            </w:r>
            <w:r>
              <w:rPr>
                <w:rFonts w:hint="eastAsia" w:hAnsi="宋体" w:eastAsia="宋体" w:cs="宋体"/>
                <w:sz w:val="21"/>
                <w:szCs w:val="21"/>
                <w:highlight w:val="none"/>
              </w:rPr>
              <w:t>分，方案描述较清晰、较完整，可操作性较强得</w:t>
            </w:r>
            <w:r>
              <w:rPr>
                <w:rFonts w:hint="eastAsia" w:hAnsi="宋体" w:eastAsia="宋体" w:cs="宋体"/>
                <w:sz w:val="21"/>
                <w:szCs w:val="21"/>
                <w:highlight w:val="none"/>
                <w:lang w:val="en-US" w:eastAsia="zh-CN"/>
              </w:rPr>
              <w:t>4</w:t>
            </w:r>
            <w:r>
              <w:rPr>
                <w:rFonts w:hint="eastAsia" w:hAnsi="宋体" w:eastAsia="宋体" w:cs="宋体"/>
                <w:sz w:val="21"/>
                <w:szCs w:val="21"/>
                <w:highlight w:val="none"/>
              </w:rPr>
              <w:t>-</w:t>
            </w:r>
            <w:r>
              <w:rPr>
                <w:rFonts w:hint="eastAsia" w:hAnsi="宋体" w:eastAsia="宋体" w:cs="宋体"/>
                <w:sz w:val="21"/>
                <w:szCs w:val="21"/>
                <w:highlight w:val="none"/>
                <w:lang w:val="en-US" w:eastAsia="zh-CN"/>
              </w:rPr>
              <w:t>3</w:t>
            </w:r>
            <w:r>
              <w:rPr>
                <w:rFonts w:hint="eastAsia" w:hAnsi="宋体" w:eastAsia="宋体" w:cs="宋体"/>
                <w:sz w:val="21"/>
                <w:szCs w:val="21"/>
                <w:highlight w:val="none"/>
              </w:rPr>
              <w:t>分；方案描述不够清晰，不够完整得</w:t>
            </w:r>
            <w:r>
              <w:rPr>
                <w:rFonts w:hint="eastAsia" w:hAnsi="宋体" w:eastAsia="宋体" w:cs="宋体"/>
                <w:sz w:val="21"/>
                <w:szCs w:val="21"/>
                <w:highlight w:val="none"/>
                <w:lang w:val="en-US" w:eastAsia="zh-CN"/>
              </w:rPr>
              <w:t>3</w:t>
            </w:r>
            <w:r>
              <w:rPr>
                <w:rFonts w:hint="eastAsia" w:hAnsi="宋体" w:eastAsia="宋体" w:cs="宋体"/>
                <w:sz w:val="21"/>
                <w:szCs w:val="21"/>
                <w:highlight w:val="none"/>
              </w:rPr>
              <w:t>-0分</w:t>
            </w:r>
            <w:r>
              <w:rPr>
                <w:rFonts w:hint="eastAsia" w:hAnsi="宋体" w:eastAsia="宋体" w:cs="宋体"/>
                <w:sz w:val="21"/>
                <w:szCs w:val="21"/>
                <w:highlight w:val="none"/>
                <w:lang w:val="en-US" w:eastAsia="zh-CN"/>
              </w:rPr>
              <w:t>。</w:t>
            </w:r>
          </w:p>
          <w:p>
            <w:pPr>
              <w:pStyle w:val="40"/>
              <w:keepNext w:val="0"/>
              <w:keepLines w:val="0"/>
              <w:numPr>
                <w:ilvl w:val="0"/>
                <w:numId w:val="7"/>
              </w:numPr>
              <w:suppressLineNumbers w:val="0"/>
              <w:spacing w:before="0" w:beforeAutospacing="0" w:afterAutospacing="0" w:line="240" w:lineRule="auto"/>
              <w:ind w:left="0" w:right="0" w:firstLineChars="200"/>
              <w:rPr>
                <w:rFonts w:hint="eastAsia" w:asciiTheme="minorEastAsia" w:hAnsiTheme="minorEastAsia" w:eastAsiaTheme="minorEastAsia" w:cstheme="minorEastAsia"/>
                <w:sz w:val="21"/>
                <w:szCs w:val="21"/>
                <w:highlight w:val="none"/>
                <w:lang w:val="en-US" w:eastAsia="zh-CN"/>
              </w:rPr>
            </w:pPr>
            <w:r>
              <w:rPr>
                <w:rFonts w:hint="eastAsia" w:hAnsi="宋体" w:eastAsia="宋体" w:cs="宋体"/>
                <w:sz w:val="21"/>
                <w:szCs w:val="21"/>
                <w:highlight w:val="none"/>
                <w:lang w:val="en-US" w:eastAsia="zh-CN"/>
              </w:rPr>
              <w:t>对高精</w:t>
            </w:r>
            <w:r>
              <w:rPr>
                <w:rFonts w:hint="eastAsia" w:asciiTheme="minorEastAsia" w:hAnsiTheme="minorEastAsia" w:eastAsiaTheme="minorEastAsia" w:cstheme="minorEastAsia"/>
                <w:sz w:val="21"/>
                <w:szCs w:val="21"/>
                <w:highlight w:val="none"/>
                <w:lang w:val="en-US" w:eastAsia="zh-CN"/>
              </w:rPr>
              <w:t>度地图、倾斜摄影、三维建模、应用开发整体方案表述清晰、完整，可操作性强得</w:t>
            </w:r>
            <w:r>
              <w:rPr>
                <w:rFonts w:hint="eastAsia" w:hAnsi="宋体" w:eastAsia="宋体" w:cs="宋体"/>
                <w:sz w:val="21"/>
                <w:szCs w:val="21"/>
                <w:highlight w:val="none"/>
                <w:lang w:val="en-US" w:eastAsia="zh-CN"/>
              </w:rPr>
              <w:t>5</w:t>
            </w:r>
            <w:r>
              <w:rPr>
                <w:rFonts w:hint="default" w:hAnsi="宋体" w:eastAsia="宋体" w:cs="宋体"/>
                <w:sz w:val="21"/>
                <w:szCs w:val="21"/>
                <w:highlight w:val="none"/>
              </w:rPr>
              <w:t>-</w:t>
            </w:r>
            <w:r>
              <w:rPr>
                <w:rFonts w:hint="eastAsia" w:hAnsi="宋体" w:eastAsia="宋体" w:cs="宋体"/>
                <w:sz w:val="21"/>
                <w:szCs w:val="21"/>
                <w:highlight w:val="none"/>
                <w:lang w:val="en-US" w:eastAsia="zh-CN"/>
              </w:rPr>
              <w:t>4</w:t>
            </w:r>
            <w:r>
              <w:rPr>
                <w:rFonts w:hint="eastAsia" w:asciiTheme="minorEastAsia" w:hAnsiTheme="minorEastAsia" w:eastAsiaTheme="minorEastAsia" w:cstheme="minorEastAsia"/>
                <w:sz w:val="21"/>
                <w:szCs w:val="21"/>
                <w:highlight w:val="none"/>
                <w:lang w:val="en-US" w:eastAsia="zh-CN"/>
              </w:rPr>
              <w:t>分，方案描述较清晰、较完整，可操作性较强得</w:t>
            </w:r>
            <w:r>
              <w:rPr>
                <w:rFonts w:hint="eastAsia" w:hAnsi="宋体" w:eastAsia="宋体" w:cs="宋体"/>
                <w:sz w:val="21"/>
                <w:szCs w:val="21"/>
                <w:highlight w:val="none"/>
                <w:lang w:val="en-US" w:eastAsia="zh-CN"/>
              </w:rPr>
              <w:t>4</w:t>
            </w:r>
            <w:r>
              <w:rPr>
                <w:rFonts w:hint="eastAsia" w:hAnsi="宋体" w:eastAsia="宋体" w:cs="宋体"/>
                <w:sz w:val="21"/>
                <w:szCs w:val="21"/>
                <w:highlight w:val="none"/>
              </w:rPr>
              <w:t>-</w:t>
            </w:r>
            <w:r>
              <w:rPr>
                <w:rFonts w:hint="eastAsia" w:hAnsi="宋体" w:eastAsia="宋体" w:cs="宋体"/>
                <w:sz w:val="21"/>
                <w:szCs w:val="21"/>
                <w:highlight w:val="none"/>
                <w:lang w:val="en-US" w:eastAsia="zh-CN"/>
              </w:rPr>
              <w:t>3</w:t>
            </w:r>
            <w:r>
              <w:rPr>
                <w:rFonts w:hint="eastAsia" w:asciiTheme="minorEastAsia" w:hAnsiTheme="minorEastAsia" w:eastAsiaTheme="minorEastAsia" w:cstheme="minorEastAsia"/>
                <w:sz w:val="21"/>
                <w:szCs w:val="21"/>
                <w:highlight w:val="none"/>
                <w:lang w:val="en-US" w:eastAsia="zh-CN"/>
              </w:rPr>
              <w:t>分；方案描述不够清晰，不够完整得3-0分。</w:t>
            </w:r>
          </w:p>
          <w:p>
            <w:pPr>
              <w:pStyle w:val="40"/>
              <w:keepNext w:val="0"/>
              <w:keepLines w:val="0"/>
              <w:numPr>
                <w:ilvl w:val="0"/>
                <w:numId w:val="7"/>
              </w:numPr>
              <w:suppressLineNumbers w:val="0"/>
              <w:spacing w:before="0" w:beforeAutospacing="0" w:afterAutospacing="0" w:line="240" w:lineRule="auto"/>
              <w:ind w:left="0" w:right="0" w:firstLineChars="200"/>
              <w:rPr>
                <w:rFonts w:hint="eastAsia" w:asciiTheme="minorEastAsia" w:hAnsiTheme="minorEastAsia" w:eastAsiaTheme="minorEastAsia" w:cstheme="minorEastAsia"/>
                <w:b/>
                <w:kern w:val="2"/>
                <w:sz w:val="21"/>
                <w:szCs w:val="21"/>
                <w:lang w:val="en-US" w:eastAsia="zh-CN" w:bidi="ar"/>
              </w:rPr>
            </w:pPr>
            <w:r>
              <w:rPr>
                <w:rFonts w:hint="eastAsia" w:ascii="宋体" w:hAnsi="宋体" w:eastAsia="宋体" w:cs="宋体"/>
                <w:kern w:val="0"/>
                <w:sz w:val="21"/>
                <w:szCs w:val="21"/>
                <w:highlight w:val="none"/>
                <w:lang w:val="en-US" w:eastAsia="zh-CN" w:bidi="ar-SA"/>
              </w:rPr>
              <w:t>对外场数字孪生场景（包括开放路段数字孪生、收费站数字孪生、隧道数字孪生）集成方案</w:t>
            </w:r>
            <w:r>
              <w:rPr>
                <w:rFonts w:hint="eastAsia" w:asciiTheme="minorEastAsia" w:hAnsiTheme="minorEastAsia" w:eastAsiaTheme="minorEastAsia" w:cstheme="minorEastAsia"/>
                <w:sz w:val="21"/>
                <w:szCs w:val="21"/>
                <w:highlight w:val="none"/>
                <w:lang w:val="en-US" w:eastAsia="zh-CN"/>
              </w:rPr>
              <w:t>表述清晰、完整，可操作性强得</w:t>
            </w:r>
            <w:r>
              <w:rPr>
                <w:rFonts w:hint="eastAsia" w:hAnsi="宋体" w:eastAsia="宋体" w:cs="宋体"/>
                <w:sz w:val="21"/>
                <w:szCs w:val="21"/>
                <w:highlight w:val="none"/>
                <w:lang w:val="en-US" w:eastAsia="zh-CN"/>
              </w:rPr>
              <w:t>5</w:t>
            </w:r>
            <w:r>
              <w:rPr>
                <w:rFonts w:hint="default" w:hAnsi="宋体" w:eastAsia="宋体" w:cs="宋体"/>
                <w:sz w:val="21"/>
                <w:szCs w:val="21"/>
                <w:highlight w:val="none"/>
              </w:rPr>
              <w:t>-</w:t>
            </w:r>
            <w:r>
              <w:rPr>
                <w:rFonts w:hint="eastAsia" w:hAnsi="宋体" w:eastAsia="宋体" w:cs="宋体"/>
                <w:sz w:val="21"/>
                <w:szCs w:val="21"/>
                <w:highlight w:val="none"/>
                <w:lang w:val="en-US" w:eastAsia="zh-CN"/>
              </w:rPr>
              <w:t>4</w:t>
            </w:r>
            <w:r>
              <w:rPr>
                <w:rFonts w:hint="eastAsia" w:asciiTheme="minorEastAsia" w:hAnsiTheme="minorEastAsia" w:eastAsiaTheme="minorEastAsia" w:cstheme="minorEastAsia"/>
                <w:sz w:val="21"/>
                <w:szCs w:val="21"/>
                <w:highlight w:val="none"/>
                <w:lang w:val="en-US" w:eastAsia="zh-CN"/>
              </w:rPr>
              <w:t>分，方案描述较清晰、较完整，可操作性较强得</w:t>
            </w:r>
            <w:r>
              <w:rPr>
                <w:rFonts w:hint="eastAsia" w:hAnsi="宋体" w:eastAsia="宋体" w:cs="宋体"/>
                <w:sz w:val="21"/>
                <w:szCs w:val="21"/>
                <w:highlight w:val="none"/>
                <w:lang w:val="en-US" w:eastAsia="zh-CN"/>
              </w:rPr>
              <w:t>4</w:t>
            </w:r>
            <w:r>
              <w:rPr>
                <w:rFonts w:hint="eastAsia" w:hAnsi="宋体" w:eastAsia="宋体" w:cs="宋体"/>
                <w:sz w:val="21"/>
                <w:szCs w:val="21"/>
                <w:highlight w:val="none"/>
              </w:rPr>
              <w:t>-</w:t>
            </w:r>
            <w:r>
              <w:rPr>
                <w:rFonts w:hint="eastAsia" w:hAnsi="宋体" w:eastAsia="宋体" w:cs="宋体"/>
                <w:sz w:val="21"/>
                <w:szCs w:val="21"/>
                <w:highlight w:val="none"/>
                <w:lang w:val="en-US" w:eastAsia="zh-CN"/>
              </w:rPr>
              <w:t>3</w:t>
            </w:r>
            <w:r>
              <w:rPr>
                <w:rFonts w:hint="eastAsia" w:asciiTheme="minorEastAsia" w:hAnsiTheme="minorEastAsia" w:eastAsiaTheme="minorEastAsia" w:cstheme="minorEastAsia"/>
                <w:sz w:val="21"/>
                <w:szCs w:val="21"/>
                <w:highlight w:val="none"/>
                <w:lang w:val="en-US" w:eastAsia="zh-CN"/>
              </w:rPr>
              <w:t>分；方案描述不够清晰，不够完整得3-0分。</w:t>
            </w:r>
          </w:p>
          <w:p>
            <w:pPr>
              <w:pStyle w:val="40"/>
              <w:keepNext w:val="0"/>
              <w:keepLines w:val="0"/>
              <w:numPr>
                <w:ilvl w:val="0"/>
                <w:numId w:val="7"/>
              </w:numPr>
              <w:suppressLineNumbers w:val="0"/>
              <w:spacing w:before="0" w:beforeAutospacing="0" w:afterAutospacing="0" w:line="240" w:lineRule="auto"/>
              <w:ind w:left="0" w:right="0" w:firstLineChars="200"/>
              <w:rPr>
                <w:rFonts w:hint="eastAsia" w:asciiTheme="minorEastAsia" w:hAnsiTheme="minorEastAsia" w:eastAsiaTheme="minorEastAsia" w:cstheme="minorEastAsia"/>
                <w:b/>
                <w:kern w:val="2"/>
                <w:sz w:val="21"/>
                <w:szCs w:val="21"/>
                <w:lang w:val="en-US" w:eastAsia="zh-CN" w:bidi="ar"/>
              </w:rPr>
            </w:pPr>
            <w:r>
              <w:rPr>
                <w:rFonts w:hint="eastAsia" w:asciiTheme="minorEastAsia" w:hAnsiTheme="minorEastAsia" w:eastAsiaTheme="minorEastAsia" w:cstheme="minorEastAsia"/>
                <w:sz w:val="21"/>
                <w:szCs w:val="21"/>
                <w:highlight w:val="none"/>
                <w:lang w:val="en-US" w:eastAsia="zh-CN"/>
              </w:rPr>
              <w:t>对重庆高速公路数字孪生场景理解深刻、实施案例丰富、孪生效果科技感强得</w:t>
            </w:r>
            <w:r>
              <w:rPr>
                <w:rFonts w:hint="eastAsia" w:hAnsi="宋体" w:eastAsia="宋体" w:cs="宋体"/>
                <w:sz w:val="21"/>
                <w:szCs w:val="21"/>
                <w:highlight w:val="none"/>
                <w:lang w:val="en-US" w:eastAsia="zh-CN"/>
              </w:rPr>
              <w:t>5</w:t>
            </w:r>
            <w:r>
              <w:rPr>
                <w:rFonts w:hint="default" w:hAnsi="宋体" w:eastAsia="宋体" w:cs="宋体"/>
                <w:sz w:val="21"/>
                <w:szCs w:val="21"/>
                <w:highlight w:val="none"/>
              </w:rPr>
              <w:t>-</w:t>
            </w:r>
            <w:r>
              <w:rPr>
                <w:rFonts w:hint="eastAsia" w:hAnsi="宋体" w:eastAsia="宋体" w:cs="宋体"/>
                <w:sz w:val="21"/>
                <w:szCs w:val="21"/>
                <w:highlight w:val="none"/>
                <w:lang w:val="en-US" w:eastAsia="zh-CN"/>
              </w:rPr>
              <w:t>4</w:t>
            </w:r>
            <w:r>
              <w:rPr>
                <w:rFonts w:hint="eastAsia" w:asciiTheme="minorEastAsia" w:hAnsiTheme="minorEastAsia" w:eastAsiaTheme="minorEastAsia" w:cstheme="minorEastAsia"/>
                <w:sz w:val="21"/>
                <w:szCs w:val="21"/>
                <w:highlight w:val="none"/>
                <w:lang w:val="en-US" w:eastAsia="zh-CN"/>
              </w:rPr>
              <w:t>分，孪生场景理解较深刻、实施案例较丰富、孪生效果科技感较强得</w:t>
            </w:r>
            <w:r>
              <w:rPr>
                <w:rFonts w:hint="eastAsia" w:hAnsi="宋体" w:eastAsia="宋体" w:cs="宋体"/>
                <w:sz w:val="21"/>
                <w:szCs w:val="21"/>
                <w:highlight w:val="none"/>
                <w:lang w:val="en-US" w:eastAsia="zh-CN"/>
              </w:rPr>
              <w:t>4</w:t>
            </w:r>
            <w:r>
              <w:rPr>
                <w:rFonts w:hint="eastAsia" w:hAnsi="宋体" w:eastAsia="宋体" w:cs="宋体"/>
                <w:sz w:val="21"/>
                <w:szCs w:val="21"/>
                <w:highlight w:val="none"/>
              </w:rPr>
              <w:t>-</w:t>
            </w:r>
            <w:r>
              <w:rPr>
                <w:rFonts w:hint="eastAsia" w:hAnsi="宋体" w:eastAsia="宋体" w:cs="宋体"/>
                <w:sz w:val="21"/>
                <w:szCs w:val="21"/>
                <w:highlight w:val="none"/>
                <w:lang w:val="en-US" w:eastAsia="zh-CN"/>
              </w:rPr>
              <w:t>3</w:t>
            </w:r>
            <w:r>
              <w:rPr>
                <w:rFonts w:hint="eastAsia" w:asciiTheme="minorEastAsia" w:hAnsiTheme="minorEastAsia" w:eastAsiaTheme="minorEastAsia" w:cstheme="minorEastAsia"/>
                <w:sz w:val="21"/>
                <w:szCs w:val="21"/>
                <w:highlight w:val="none"/>
                <w:lang w:val="en-US" w:eastAsia="zh-CN"/>
              </w:rPr>
              <w:t>分；孪生场景理解不深刻、缺少实施案例、孪生效果欠佳得3-0分。</w:t>
            </w:r>
          </w:p>
        </w:tc>
        <w:tc>
          <w:tcPr>
            <w:tcW w:w="792" w:type="dxa"/>
            <w:vMerge w:val="restart"/>
            <w:tcBorders>
              <w:top w:val="single" w:color="auto" w:sz="4" w:space="0"/>
              <w:left w:val="single" w:color="auto" w:sz="4" w:space="0"/>
            </w:tcBorders>
            <w:vAlign w:val="center"/>
          </w:tcPr>
          <w:p>
            <w:pPr>
              <w:keepNext w:val="0"/>
              <w:keepLines w:val="0"/>
              <w:widowControl w:val="0"/>
              <w:suppressLineNumbers w:val="0"/>
              <w:spacing w:before="0" w:beforeAutospacing="0" w:after="0" w:afterAutospacing="0"/>
              <w:ind w:left="0" w:right="0"/>
              <w:jc w:val="both"/>
              <w:rPr>
                <w:rFonts w:hint="default"/>
                <w:sz w:val="18"/>
                <w:szCs w:val="18"/>
              </w:rPr>
            </w:pPr>
            <w:r>
              <w:rPr>
                <w:rFonts w:hint="eastAsia" w:ascii="宋体" w:hAnsi="宋体" w:eastAsia="宋体" w:cs="宋体"/>
                <w:kern w:val="2"/>
                <w:sz w:val="18"/>
                <w:szCs w:val="18"/>
                <w:lang w:val="en-US" w:eastAsia="zh-CN" w:bidi="ar"/>
              </w:rPr>
              <w:t>技术得分由评标委员会各成员打分后的算术平均值作为</w:t>
            </w:r>
            <w:r>
              <w:rPr>
                <w:rFonts w:hint="eastAsia" w:ascii="宋体" w:hAnsi="宋体" w:cs="宋体"/>
                <w:kern w:val="2"/>
                <w:sz w:val="18"/>
                <w:szCs w:val="18"/>
                <w:lang w:val="en-US" w:eastAsia="zh-CN" w:bidi="ar"/>
              </w:rPr>
              <w:t>报价人</w:t>
            </w:r>
            <w:r>
              <w:rPr>
                <w:rFonts w:hint="eastAsia" w:ascii="宋体" w:hAnsi="宋体" w:eastAsia="宋体" w:cs="宋体"/>
                <w:kern w:val="2"/>
                <w:sz w:val="18"/>
                <w:szCs w:val="18"/>
                <w:lang w:val="en-US" w:eastAsia="zh-CN" w:bidi="ar"/>
              </w:rPr>
              <w:t>的技术得分。评标委员打分时保留两位小数。</w:t>
            </w:r>
          </w:p>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1" w:hRule="atLeast"/>
        </w:trPr>
        <w:tc>
          <w:tcPr>
            <w:tcW w:w="766" w:type="dxa"/>
            <w:vMerge w:val="continue"/>
            <w:tcBorders>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lang w:val="en-US" w:eastAsia="zh-CN" w:bidi="ar"/>
              </w:rPr>
            </w:pPr>
          </w:p>
        </w:tc>
        <w:tc>
          <w:tcPr>
            <w:tcW w:w="1075" w:type="dxa"/>
            <w:vMerge w:val="continue"/>
            <w:tcBorders>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lang w:val="en-US" w:eastAsia="zh-CN" w:bidi="ar"/>
              </w:rPr>
            </w:pPr>
          </w:p>
        </w:tc>
        <w:tc>
          <w:tcPr>
            <w:tcW w:w="10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156"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计划目标、实施路径和措施保障</w:t>
            </w:r>
          </w:p>
          <w:p>
            <w:pPr>
              <w:keepNext w:val="0"/>
              <w:keepLines w:val="0"/>
              <w:widowControl/>
              <w:suppressLineNumbers w:val="0"/>
              <w:spacing w:before="156" w:beforeAutospacing="0" w:after="0" w:afterAutospacing="0" w:line="400" w:lineRule="exact"/>
              <w:ind w:left="0" w:leftChars="0" w:right="0" w:rightChars="0"/>
              <w:jc w:val="center"/>
              <w:rPr>
                <w:rFonts w:hint="eastAsia" w:asciiTheme="minorEastAsia" w:hAnsiTheme="minorEastAsia" w:eastAsiaTheme="minorEastAsia" w:cstheme="minorEastAsia"/>
                <w:b/>
                <w:kern w:val="2"/>
                <w:sz w:val="21"/>
                <w:szCs w:val="21"/>
                <w:lang w:val="en-US" w:eastAsia="zh-CN" w:bidi="ar"/>
              </w:rPr>
            </w:pPr>
            <w:r>
              <w:rPr>
                <w:rFonts w:hint="eastAsia" w:asciiTheme="minorEastAsia" w:hAnsiTheme="minorEastAsia" w:eastAsiaTheme="minorEastAsia" w:cstheme="minorEastAsia"/>
                <w:sz w:val="21"/>
                <w:szCs w:val="21"/>
              </w:rPr>
              <w:t>（10分）</w:t>
            </w:r>
          </w:p>
        </w:tc>
        <w:tc>
          <w:tcPr>
            <w:tcW w:w="6161" w:type="dxa"/>
            <w:gridSpan w:val="2"/>
            <w:tcBorders>
              <w:top w:val="single" w:color="auto" w:sz="4" w:space="0"/>
              <w:left w:val="single" w:color="auto" w:sz="4" w:space="0"/>
              <w:bottom w:val="single" w:color="auto" w:sz="4" w:space="0"/>
            </w:tcBorders>
            <w:vAlign w:val="center"/>
          </w:tcPr>
          <w:p>
            <w:pPr>
              <w:pStyle w:val="40"/>
              <w:keepNext w:val="0"/>
              <w:keepLines w:val="0"/>
              <w:suppressLineNumbers w:val="0"/>
              <w:spacing w:before="0" w:beforeAutospacing="0" w:afterAutospacing="0" w:line="240" w:lineRule="auto"/>
              <w:ind w:left="0" w:leftChars="0" w:right="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实施路径和措施保障：</w:t>
            </w:r>
          </w:p>
          <w:p>
            <w:pPr>
              <w:pStyle w:val="168"/>
              <w:keepNext w:val="0"/>
              <w:keepLines w:val="0"/>
              <w:numPr>
                <w:ilvl w:val="0"/>
                <w:numId w:val="8"/>
              </w:numPr>
              <w:suppressLineNumbers w:val="0"/>
              <w:spacing w:before="0" w:beforeAutospacing="0" w:after="0" w:afterAutospacing="0" w:line="320" w:lineRule="exact"/>
              <w:ind w:left="-20" w:leftChars="0" w:right="0" w:firstLine="440" w:firstLineChars="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根据投标单位对本次建设目标的计划目标、实施路径和措施保障工作的理解程度评分，理解程度高、保障性强得6-4.6；理解程度较高、保障性较强得4.6-3.6分;理解程度低、保障性弱得3.6-0分。</w:t>
            </w:r>
          </w:p>
          <w:p>
            <w:pPr>
              <w:pStyle w:val="168"/>
              <w:keepNext w:val="0"/>
              <w:keepLines w:val="0"/>
              <w:numPr>
                <w:ilvl w:val="0"/>
                <w:numId w:val="8"/>
              </w:numPr>
              <w:suppressLineNumbers w:val="0"/>
              <w:spacing w:before="0" w:beforeAutospacing="0" w:after="0" w:afterAutospacing="0" w:line="320" w:lineRule="exact"/>
              <w:ind w:left="-20" w:leftChars="0" w:right="0" w:firstLine="440" w:firstLineChars="0"/>
              <w:rPr>
                <w:rFonts w:hint="eastAsia" w:asciiTheme="minorEastAsia" w:hAnsiTheme="minorEastAsia" w:eastAsiaTheme="minorEastAsia" w:cstheme="minorEastAsia"/>
                <w:b/>
                <w:kern w:val="2"/>
                <w:sz w:val="21"/>
                <w:szCs w:val="21"/>
                <w:lang w:val="en-US" w:eastAsia="zh-CN" w:bidi="ar"/>
              </w:rPr>
            </w:pPr>
            <w:r>
              <w:rPr>
                <w:rFonts w:hint="eastAsia" w:asciiTheme="minorEastAsia" w:hAnsiTheme="minorEastAsia" w:eastAsiaTheme="minorEastAsia" w:cstheme="minorEastAsia"/>
                <w:sz w:val="21"/>
                <w:szCs w:val="21"/>
                <w:highlight w:val="none"/>
                <w:lang w:val="en-US" w:eastAsia="zh-CN"/>
              </w:rPr>
              <w:t>对维护保障方案等进行评审，维护保障方案好得4-3.2，维护保障方案较好得3.2-2.4，维护保障方案差2.4-0分。</w:t>
            </w:r>
          </w:p>
        </w:tc>
        <w:tc>
          <w:tcPr>
            <w:tcW w:w="792" w:type="dxa"/>
            <w:vMerge w:val="continue"/>
            <w:tcBorders>
              <w:left w:val="single" w:color="auto" w:sz="4" w:space="0"/>
              <w:bottom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66" w:type="dxa"/>
            <w:tcBorders>
              <w:top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default" w:asciiTheme="minorEastAsia" w:hAnsiTheme="minorEastAsia" w:eastAsiaTheme="minorEastAsia" w:cstheme="minorEastAsia"/>
                <w:b w:val="0"/>
                <w:bCs/>
                <w:kern w:val="2"/>
                <w:sz w:val="21"/>
                <w:szCs w:val="21"/>
                <w:lang w:val="en-US" w:eastAsia="zh-CN" w:bidi="ar"/>
              </w:rPr>
            </w:pPr>
            <w:r>
              <w:rPr>
                <w:rFonts w:hint="eastAsia" w:asciiTheme="minorEastAsia" w:hAnsiTheme="minorEastAsia" w:eastAsiaTheme="minorEastAsia" w:cstheme="minorEastAsia"/>
                <w:b w:val="0"/>
                <w:bCs/>
                <w:kern w:val="2"/>
                <w:sz w:val="21"/>
                <w:szCs w:val="21"/>
                <w:lang w:val="en-US" w:eastAsia="zh-CN" w:bidi="ar"/>
              </w:rPr>
              <w:t>10</w:t>
            </w:r>
          </w:p>
        </w:tc>
        <w:tc>
          <w:tcPr>
            <w:tcW w:w="2086" w:type="dxa"/>
            <w:gridSpan w:val="2"/>
            <w:tcBorders>
              <w:top w:val="single" w:color="auto" w:sz="4" w:space="0"/>
              <w:left w:val="single" w:color="auto" w:sz="4" w:space="0"/>
              <w:bottom w:val="single" w:color="auto" w:sz="4" w:space="0"/>
              <w:right w:val="single" w:color="auto" w:sz="4" w:space="0"/>
            </w:tcBorders>
            <w:vAlign w:val="center"/>
          </w:tcPr>
          <w:p>
            <w:pPr>
              <w:pStyle w:val="36"/>
              <w:keepNext w:val="0"/>
              <w:keepLines w:val="0"/>
              <w:widowControl w:val="0"/>
              <w:suppressLineNumbers w:val="0"/>
              <w:adjustRightInd w:val="0"/>
              <w:spacing w:before="0" w:beforeAutospacing="1" w:after="0" w:afterLines="0" w:afterAutospacing="0" w:line="320" w:lineRule="exact"/>
              <w:ind w:left="0" w:leftChars="0" w:right="0" w:rightChars="0" w:firstLine="0" w:firstLineChars="0"/>
              <w:jc w:val="center"/>
              <w:textAlignment w:val="baseline"/>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kern w:val="2"/>
                <w:sz w:val="21"/>
                <w:szCs w:val="21"/>
                <w:lang w:val="en-US" w:eastAsia="zh-CN" w:bidi="ar"/>
              </w:rPr>
              <w:t>评标价（50分）</w:t>
            </w:r>
          </w:p>
        </w:tc>
        <w:tc>
          <w:tcPr>
            <w:tcW w:w="6161" w:type="dxa"/>
            <w:gridSpan w:val="2"/>
            <w:tcBorders>
              <w:top w:val="single" w:color="auto" w:sz="4" w:space="0"/>
              <w:left w:val="single" w:color="auto" w:sz="4" w:space="0"/>
              <w:bottom w:val="single" w:color="auto" w:sz="4" w:space="0"/>
              <w:right w:val="single" w:color="auto" w:sz="4" w:space="0"/>
            </w:tcBorders>
            <w:vAlign w:val="center"/>
          </w:tcPr>
          <w:p>
            <w:pPr>
              <w:pStyle w:val="36"/>
              <w:keepNext w:val="0"/>
              <w:keepLines w:val="0"/>
              <w:widowControl w:val="0"/>
              <w:suppressLineNumbers w:val="0"/>
              <w:adjustRightInd w:val="0"/>
              <w:spacing w:before="0" w:beforeAutospacing="1" w:after="0" w:afterLines="0" w:afterAutospacing="0" w:line="320" w:lineRule="exact"/>
              <w:ind w:left="0" w:right="0" w:firstLine="0"/>
              <w:jc w:val="both"/>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2"/>
                <w:sz w:val="21"/>
                <w:szCs w:val="21"/>
                <w:lang w:val="en-US" w:eastAsia="zh-CN" w:bidi="ar"/>
              </w:rPr>
              <w:t>所有有效投标报价分别与评标基准价相比较，等于基准价得50分，每增加1%扣0.5分；每减少1%扣0.2分，最多扣10分。按插入法计算得分。以上计算取小数点后两位，第三位四舍五入。</w:t>
            </w:r>
          </w:p>
        </w:tc>
        <w:tc>
          <w:tcPr>
            <w:tcW w:w="792" w:type="dxa"/>
            <w:tcBorders>
              <w:top w:val="single" w:color="auto" w:sz="4" w:space="0"/>
              <w:left w:val="single" w:color="auto" w:sz="4" w:space="0"/>
              <w:bottom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77" w:hRule="atLeast"/>
        </w:trPr>
        <w:tc>
          <w:tcPr>
            <w:tcW w:w="766" w:type="dxa"/>
            <w:tcBorders>
              <w:top w:val="single" w:color="auto" w:sz="4" w:space="0"/>
              <w:bottom w:val="single" w:color="auto" w:sz="4" w:space="0"/>
              <w:right w:val="single" w:color="auto" w:sz="4" w:space="0"/>
            </w:tcBorders>
            <w:vAlign w:val="center"/>
          </w:tcPr>
          <w:p>
            <w:pPr>
              <w:pStyle w:val="36"/>
              <w:keepNext w:val="0"/>
              <w:keepLines w:val="0"/>
              <w:widowControl w:val="0"/>
              <w:suppressLineNumbers w:val="0"/>
              <w:adjustRightInd w:val="0"/>
              <w:spacing w:before="0" w:beforeAutospacing="1" w:after="0" w:afterLines="0" w:afterAutospacing="0" w:line="320" w:lineRule="exact"/>
              <w:ind w:left="0" w:leftChars="0" w:right="0" w:rightChars="0" w:firstLine="0" w:firstLineChars="0"/>
              <w:jc w:val="center"/>
              <w:textAlignment w:val="baseline"/>
              <w:rPr>
                <w:rFonts w:hint="default" w:asciiTheme="minorEastAsia" w:hAnsiTheme="minorEastAsia" w:eastAsiaTheme="minorEastAsia" w:cstheme="minorEastAsia"/>
                <w:b/>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11</w:t>
            </w:r>
          </w:p>
        </w:tc>
        <w:tc>
          <w:tcPr>
            <w:tcW w:w="9039" w:type="dxa"/>
            <w:gridSpan w:val="5"/>
            <w:tcBorders>
              <w:top w:val="single" w:color="auto" w:sz="4" w:space="0"/>
              <w:left w:val="single" w:color="auto" w:sz="4" w:space="0"/>
              <w:bottom w:val="single" w:color="auto" w:sz="4" w:space="0"/>
            </w:tcBorders>
            <w:vAlign w:val="bottom"/>
          </w:tcPr>
          <w:p>
            <w:pPr>
              <w:pStyle w:val="36"/>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jc w:val="both"/>
              <w:textAlignment w:val="baseline"/>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补充正文：</w:t>
            </w:r>
          </w:p>
          <w:p>
            <w:pPr>
              <w:pStyle w:val="36"/>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jc w:val="both"/>
              <w:textAlignment w:val="baseline"/>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bidi="ar"/>
              </w:rPr>
              <w:t>中标候选人推荐办法：</w:t>
            </w:r>
          </w:p>
          <w:p>
            <w:pPr>
              <w:pStyle w:val="36"/>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jc w:val="both"/>
              <w:textAlignment w:val="baseline"/>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bidi="ar"/>
              </w:rPr>
              <w:t>1.对通过评审的报价人按照综合得分（商务得分+技术得分+报价得分）由高到低排序。</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240" w:lineRule="auto"/>
              <w:ind w:left="0" w:leftChars="0" w:right="0" w:rightChars="0"/>
              <w:jc w:val="both"/>
              <w:rPr>
                <w:rFonts w:hint="eastAsia" w:asciiTheme="minorEastAsia" w:hAnsiTheme="minorEastAsia" w:eastAsiaTheme="minorEastAsia" w:cstheme="minorEastAsia"/>
                <w:b/>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2.按评标综合得分由高到低排序推荐2名中标候选人。</w:t>
            </w:r>
          </w:p>
        </w:tc>
      </w:tr>
    </w:tbl>
    <w:p>
      <w:pPr>
        <w:rPr>
          <w:rFonts w:hint="eastAsia" w:asciiTheme="minorEastAsia" w:hAnsiTheme="minorEastAsia" w:eastAsiaTheme="minorEastAsia" w:cstheme="minorEastAsia"/>
        </w:rPr>
      </w:pP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一、</w:t>
      </w:r>
      <w:r>
        <w:rPr>
          <w:rFonts w:hint="eastAsia" w:asciiTheme="minorEastAsia" w:hAnsiTheme="minorEastAsia" w:eastAsiaTheme="minorEastAsia" w:cstheme="minorEastAsia"/>
          <w:szCs w:val="21"/>
        </w:rPr>
        <w:t>综合评</w:t>
      </w:r>
      <w:r>
        <w:rPr>
          <w:rFonts w:hint="eastAsia" w:asciiTheme="minorEastAsia" w:hAnsiTheme="minorEastAsia" w:eastAsiaTheme="minorEastAsia" w:cstheme="minorEastAsia"/>
          <w:szCs w:val="21"/>
          <w:lang w:val="en-US" w:eastAsia="zh-CN"/>
        </w:rPr>
        <w:t>估</w:t>
      </w:r>
      <w:r>
        <w:rPr>
          <w:rFonts w:hint="eastAsia" w:asciiTheme="minorEastAsia" w:hAnsiTheme="minorEastAsia" w:eastAsiaTheme="minorEastAsia" w:cstheme="minorEastAsia"/>
          <w:szCs w:val="21"/>
        </w:rPr>
        <w:t>法，是指</w:t>
      </w:r>
      <w:r>
        <w:rPr>
          <w:rFonts w:hint="eastAsia" w:asciiTheme="minorEastAsia" w:hAnsiTheme="minorEastAsia" w:eastAsiaTheme="minorEastAsia" w:cstheme="minorEastAsia"/>
          <w:szCs w:val="21"/>
          <w:lang w:eastAsia="zh-CN"/>
        </w:rPr>
        <w:t>比选响应文件</w:t>
      </w:r>
      <w:r>
        <w:rPr>
          <w:rFonts w:hint="eastAsia" w:asciiTheme="minorEastAsia" w:hAnsiTheme="minorEastAsia" w:eastAsiaTheme="minorEastAsia" w:cstheme="minorEastAsia"/>
          <w:szCs w:val="21"/>
        </w:rPr>
        <w:t>满足</w:t>
      </w:r>
      <w:r>
        <w:rPr>
          <w:rFonts w:hint="eastAsia" w:asciiTheme="minorEastAsia" w:hAnsiTheme="minorEastAsia" w:eastAsiaTheme="minorEastAsia" w:cstheme="minorEastAsia"/>
          <w:szCs w:val="21"/>
          <w:lang w:eastAsia="zh-CN"/>
        </w:rPr>
        <w:t>竞争性比选函</w:t>
      </w:r>
      <w:r>
        <w:rPr>
          <w:rFonts w:hint="eastAsia" w:asciiTheme="minorEastAsia" w:hAnsiTheme="minorEastAsia" w:eastAsiaTheme="minorEastAsia" w:cstheme="minorEastAsia"/>
          <w:szCs w:val="21"/>
        </w:rPr>
        <w:t>全部实质性要求且按照评审因素的量化指标评审得分最高的报价人为中标候选人的评标方法。报价人总得分为价格、商务、技术等评定因素分别按照相应权重值计算分项得分后相加，满分为100分。</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（一）符合性审查</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评标委员会应当对符合资格的报价人的</w:t>
      </w:r>
      <w:r>
        <w:rPr>
          <w:rFonts w:hint="eastAsia" w:asciiTheme="minorEastAsia" w:hAnsiTheme="minorEastAsia" w:eastAsiaTheme="minorEastAsia" w:cstheme="minorEastAsia"/>
          <w:szCs w:val="21"/>
          <w:lang w:eastAsia="zh-CN"/>
        </w:rPr>
        <w:t>比选响应文件</w:t>
      </w:r>
      <w:r>
        <w:rPr>
          <w:rFonts w:hint="eastAsia" w:asciiTheme="minorEastAsia" w:hAnsiTheme="minorEastAsia" w:eastAsiaTheme="minorEastAsia" w:cstheme="minorEastAsia"/>
          <w:szCs w:val="21"/>
        </w:rPr>
        <w:t>进行符合性审查，以确定其是否满足</w:t>
      </w:r>
      <w:r>
        <w:rPr>
          <w:rFonts w:hint="eastAsia" w:asciiTheme="minorEastAsia" w:hAnsiTheme="minorEastAsia" w:eastAsiaTheme="minorEastAsia" w:cstheme="minorEastAsia"/>
          <w:szCs w:val="21"/>
          <w:lang w:eastAsia="zh-CN"/>
        </w:rPr>
        <w:t>竞争性比选函</w:t>
      </w:r>
      <w:r>
        <w:rPr>
          <w:rFonts w:hint="eastAsia" w:asciiTheme="minorEastAsia" w:hAnsiTheme="minorEastAsia" w:eastAsiaTheme="minorEastAsia" w:cstheme="minorEastAsia"/>
          <w:szCs w:val="21"/>
        </w:rPr>
        <w:t>的实质性要求。</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（二）澄清有关问题。对</w:t>
      </w:r>
      <w:r>
        <w:rPr>
          <w:rFonts w:hint="eastAsia" w:asciiTheme="minorEastAsia" w:hAnsiTheme="minorEastAsia" w:eastAsiaTheme="minorEastAsia" w:cstheme="minorEastAsia"/>
          <w:szCs w:val="21"/>
          <w:lang w:eastAsia="zh-CN"/>
        </w:rPr>
        <w:t>比选响应文件</w:t>
      </w:r>
      <w:r>
        <w:rPr>
          <w:rFonts w:hint="eastAsia" w:asciiTheme="minorEastAsia" w:hAnsiTheme="minorEastAsia" w:eastAsiaTheme="minorEastAsia" w:cstheme="minorEastAsia"/>
          <w:szCs w:val="21"/>
        </w:rPr>
        <w:t>中含义不明确、同类问题表述不一致或者有明显文字和计算错误的内容，评标委员会可以书面形式（应当由评标委员会成员签字）要求报价人作出必要澄清、说明或者纠正。报价人的澄清、说明或者补正应当采用书面形式，由其法定代表人授权代表签字，其澄清的内容不得超出</w:t>
      </w:r>
      <w:r>
        <w:rPr>
          <w:rFonts w:hint="eastAsia" w:asciiTheme="minorEastAsia" w:hAnsiTheme="minorEastAsia" w:eastAsiaTheme="minorEastAsia" w:cstheme="minorEastAsia"/>
          <w:szCs w:val="21"/>
          <w:lang w:eastAsia="zh-CN"/>
        </w:rPr>
        <w:t>比选响应文件</w:t>
      </w:r>
      <w:r>
        <w:rPr>
          <w:rFonts w:hint="eastAsia" w:asciiTheme="minorEastAsia" w:hAnsiTheme="minorEastAsia" w:eastAsiaTheme="minorEastAsia" w:cstheme="minorEastAsia"/>
          <w:szCs w:val="21"/>
        </w:rPr>
        <w:t>的范围或者改变</w:t>
      </w:r>
      <w:r>
        <w:rPr>
          <w:rFonts w:hint="eastAsia" w:asciiTheme="minorEastAsia" w:hAnsiTheme="minorEastAsia" w:eastAsiaTheme="minorEastAsia" w:cstheme="minorEastAsia"/>
          <w:szCs w:val="21"/>
          <w:lang w:eastAsia="zh-CN"/>
        </w:rPr>
        <w:t>比选响应文件</w:t>
      </w:r>
      <w:r>
        <w:rPr>
          <w:rFonts w:hint="eastAsia" w:asciiTheme="minorEastAsia" w:hAnsiTheme="minorEastAsia" w:eastAsiaTheme="minorEastAsia" w:cstheme="minorEastAsia"/>
          <w:szCs w:val="21"/>
        </w:rPr>
        <w:t>的实质性内容。</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（三）比较与评价。按</w:t>
      </w:r>
      <w:r>
        <w:rPr>
          <w:rFonts w:hint="eastAsia" w:asciiTheme="minorEastAsia" w:hAnsiTheme="minorEastAsia" w:eastAsiaTheme="minorEastAsia" w:cstheme="minorEastAsia"/>
          <w:szCs w:val="21"/>
          <w:lang w:eastAsia="zh-CN"/>
        </w:rPr>
        <w:t>竞争性比选函</w:t>
      </w:r>
      <w:r>
        <w:rPr>
          <w:rFonts w:hint="eastAsia" w:asciiTheme="minorEastAsia" w:hAnsiTheme="minorEastAsia" w:eastAsiaTheme="minorEastAsia" w:cstheme="minorEastAsia"/>
          <w:szCs w:val="21"/>
        </w:rPr>
        <w:t>中规定的评标方法和标准，对资格审查和符合性审查合格的</w:t>
      </w:r>
      <w:r>
        <w:rPr>
          <w:rFonts w:hint="eastAsia" w:asciiTheme="minorEastAsia" w:hAnsiTheme="minorEastAsia" w:eastAsiaTheme="minorEastAsia" w:cstheme="minorEastAsia"/>
          <w:szCs w:val="21"/>
          <w:lang w:eastAsia="zh-CN"/>
        </w:rPr>
        <w:t>比选响应文件</w:t>
      </w:r>
      <w:r>
        <w:rPr>
          <w:rFonts w:hint="eastAsia" w:asciiTheme="minorEastAsia" w:hAnsiTheme="minorEastAsia" w:eastAsiaTheme="minorEastAsia" w:cstheme="minorEastAsia"/>
          <w:szCs w:val="21"/>
        </w:rPr>
        <w:t>进行商务和技术评估。</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评标委员会各成员独立对每个有效报价人（通过资格审查、符合性审查的报价人）的</w:t>
      </w:r>
      <w:r>
        <w:rPr>
          <w:rFonts w:hint="eastAsia" w:asciiTheme="minorEastAsia" w:hAnsiTheme="minorEastAsia" w:eastAsiaTheme="minorEastAsia" w:cstheme="minorEastAsia"/>
          <w:szCs w:val="21"/>
          <w:lang w:eastAsia="zh-CN"/>
        </w:rPr>
        <w:t>比选响应文件</w:t>
      </w:r>
      <w:r>
        <w:rPr>
          <w:rFonts w:hint="eastAsia" w:asciiTheme="minorEastAsia" w:hAnsiTheme="minorEastAsia" w:eastAsiaTheme="minorEastAsia" w:cstheme="minorEastAsia"/>
          <w:szCs w:val="21"/>
        </w:rPr>
        <w:t>进行评价、打分，然后由评标委员会对各成员打分情况进行核查及复核，个别成员对同一报价人同一评分项的打分偏离较大的，应对报价人的</w:t>
      </w:r>
      <w:r>
        <w:rPr>
          <w:rFonts w:hint="eastAsia" w:asciiTheme="minorEastAsia" w:hAnsiTheme="minorEastAsia" w:eastAsiaTheme="minorEastAsia" w:cstheme="minorEastAsia"/>
          <w:szCs w:val="21"/>
          <w:lang w:eastAsia="zh-CN"/>
        </w:rPr>
        <w:t>比选响应文件</w:t>
      </w:r>
      <w:r>
        <w:rPr>
          <w:rFonts w:hint="eastAsia" w:asciiTheme="minorEastAsia" w:hAnsiTheme="minorEastAsia" w:eastAsiaTheme="minorEastAsia" w:cstheme="minorEastAsia"/>
          <w:szCs w:val="21"/>
        </w:rPr>
        <w:t>进行再次核对，确属打分有误的，应及时进行修正。</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复核后，评标委员会汇总每个报价人每项评分因素的得分。</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（四）推荐中标候选人名单。</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按评审后得分由高到低的排列顺序推荐综合得分前</w:t>
      </w:r>
      <w:r>
        <w:rPr>
          <w:rFonts w:hint="eastAsia" w:asciiTheme="minorEastAsia" w:hAnsiTheme="minorEastAsia" w:eastAsiaTheme="minorEastAsia" w:cstheme="minorEastAsia"/>
        </w:rPr>
        <w:t>2名中标候选人</w:t>
      </w:r>
      <w:r>
        <w:rPr>
          <w:rFonts w:hint="eastAsia" w:asciiTheme="minorEastAsia" w:hAnsiTheme="minorEastAsia" w:eastAsiaTheme="minorEastAsia" w:cstheme="minorEastAsia"/>
          <w:szCs w:val="21"/>
        </w:rPr>
        <w:t>为本项目中标候选人。</w:t>
      </w:r>
    </w:p>
    <w:p>
      <w:pPr>
        <w:tabs>
          <w:tab w:val="left" w:pos="360"/>
        </w:tabs>
        <w:spacing w:line="400" w:lineRule="exact"/>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说明：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二</w:t>
      </w:r>
      <w:r>
        <w:rPr>
          <w:rFonts w:hint="eastAsia" w:asciiTheme="minorEastAsia" w:hAnsiTheme="minorEastAsia" w:eastAsiaTheme="minorEastAsia" w:cstheme="minorEastAsia"/>
          <w:szCs w:val="21"/>
        </w:rPr>
        <w:t>、无效投标条款</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报价人或其</w:t>
      </w:r>
      <w:r>
        <w:rPr>
          <w:rFonts w:hint="eastAsia" w:asciiTheme="minorEastAsia" w:hAnsiTheme="minorEastAsia" w:eastAsiaTheme="minorEastAsia" w:cstheme="minorEastAsia"/>
          <w:szCs w:val="21"/>
          <w:lang w:eastAsia="zh-CN"/>
        </w:rPr>
        <w:t>比选响应文件</w:t>
      </w:r>
      <w:r>
        <w:rPr>
          <w:rFonts w:hint="eastAsia" w:asciiTheme="minorEastAsia" w:hAnsiTheme="minorEastAsia" w:eastAsiaTheme="minorEastAsia" w:cstheme="minorEastAsia"/>
          <w:szCs w:val="21"/>
        </w:rPr>
        <w:t>出现下列情况之一者，应为无效投标：</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eastAsia="zh-CN"/>
        </w:rPr>
        <w:t>比选响应文件</w:t>
      </w:r>
      <w:r>
        <w:rPr>
          <w:rFonts w:hint="eastAsia" w:asciiTheme="minorEastAsia" w:hAnsiTheme="minorEastAsia" w:eastAsiaTheme="minorEastAsia" w:cstheme="minorEastAsia"/>
          <w:szCs w:val="21"/>
        </w:rPr>
        <w:t>未按</w:t>
      </w:r>
      <w:r>
        <w:rPr>
          <w:rFonts w:hint="eastAsia" w:asciiTheme="minorEastAsia" w:hAnsiTheme="minorEastAsia" w:eastAsiaTheme="minorEastAsia" w:cstheme="minorEastAsia"/>
          <w:szCs w:val="21"/>
          <w:lang w:eastAsia="zh-CN"/>
        </w:rPr>
        <w:t>竞争性比选函</w:t>
      </w:r>
      <w:r>
        <w:rPr>
          <w:rFonts w:hint="eastAsia" w:asciiTheme="minorEastAsia" w:hAnsiTheme="minorEastAsia" w:eastAsiaTheme="minorEastAsia" w:cstheme="minorEastAsia"/>
          <w:szCs w:val="21"/>
        </w:rPr>
        <w:t>要求签署、盖章的；</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（2）不具备</w:t>
      </w:r>
      <w:r>
        <w:rPr>
          <w:rFonts w:hint="eastAsia" w:asciiTheme="minorEastAsia" w:hAnsiTheme="minorEastAsia" w:eastAsiaTheme="minorEastAsia" w:cstheme="minorEastAsia"/>
          <w:szCs w:val="21"/>
          <w:lang w:eastAsia="zh-CN"/>
        </w:rPr>
        <w:t>竞争性比选函</w:t>
      </w:r>
      <w:r>
        <w:rPr>
          <w:rFonts w:hint="eastAsia" w:asciiTheme="minorEastAsia" w:hAnsiTheme="minorEastAsia" w:eastAsiaTheme="minorEastAsia" w:cstheme="minorEastAsia"/>
          <w:szCs w:val="21"/>
        </w:rPr>
        <w:t>中规定的资格要求的；</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（3）报价超过</w:t>
      </w:r>
      <w:r>
        <w:rPr>
          <w:rFonts w:hint="eastAsia" w:asciiTheme="minorEastAsia" w:hAnsiTheme="minorEastAsia" w:eastAsiaTheme="minorEastAsia" w:cstheme="minorEastAsia"/>
          <w:szCs w:val="21"/>
          <w:lang w:eastAsia="zh-CN"/>
        </w:rPr>
        <w:t>竞争性比选函</w:t>
      </w:r>
      <w:r>
        <w:rPr>
          <w:rFonts w:hint="eastAsia" w:asciiTheme="minorEastAsia" w:hAnsiTheme="minorEastAsia" w:eastAsiaTheme="minorEastAsia" w:cstheme="minorEastAsia"/>
          <w:szCs w:val="21"/>
        </w:rPr>
        <w:t>中规定的预算金额或者最高限价的；</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szCs w:val="21"/>
          <w:lang w:eastAsia="zh-CN"/>
        </w:rPr>
        <w:t>比选响应文件</w:t>
      </w:r>
      <w:r>
        <w:rPr>
          <w:rFonts w:hint="eastAsia" w:asciiTheme="minorEastAsia" w:hAnsiTheme="minorEastAsia" w:eastAsiaTheme="minorEastAsia" w:cstheme="minorEastAsia"/>
          <w:szCs w:val="21"/>
        </w:rPr>
        <w:t>含有采购人不能接受的附加条件的；</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（5）报价人串通投标的；</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（6）报价人组成联合体投标的；</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（7）法律、法规和</w:t>
      </w:r>
      <w:r>
        <w:rPr>
          <w:rFonts w:hint="eastAsia" w:asciiTheme="minorEastAsia" w:hAnsiTheme="minorEastAsia" w:eastAsiaTheme="minorEastAsia" w:cstheme="minorEastAsia"/>
          <w:szCs w:val="21"/>
          <w:lang w:eastAsia="zh-CN"/>
        </w:rPr>
        <w:t>竞争性比选函</w:t>
      </w:r>
      <w:r>
        <w:rPr>
          <w:rFonts w:hint="eastAsia" w:asciiTheme="minorEastAsia" w:hAnsiTheme="minorEastAsia" w:eastAsiaTheme="minorEastAsia" w:cstheme="minorEastAsia"/>
          <w:szCs w:val="21"/>
        </w:rPr>
        <w:t>规定的其他无效情形。</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三</w:t>
      </w:r>
      <w:r>
        <w:rPr>
          <w:rFonts w:hint="eastAsia" w:asciiTheme="minorEastAsia" w:hAnsiTheme="minorEastAsia" w:eastAsiaTheme="minorEastAsia" w:cstheme="minorEastAsia"/>
          <w:szCs w:val="21"/>
        </w:rPr>
        <w:t>、废标条款</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评标委员会评审时出现以下情况之一的，应予废标：</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（1）符合专业条件的报价人或者对</w:t>
      </w:r>
      <w:r>
        <w:rPr>
          <w:rFonts w:hint="eastAsia" w:asciiTheme="minorEastAsia" w:hAnsiTheme="minorEastAsia" w:eastAsiaTheme="minorEastAsia" w:cstheme="minorEastAsia"/>
          <w:szCs w:val="21"/>
          <w:lang w:eastAsia="zh-CN"/>
        </w:rPr>
        <w:t>竞争性比选函</w:t>
      </w:r>
      <w:r>
        <w:rPr>
          <w:rFonts w:hint="eastAsia" w:asciiTheme="minorEastAsia" w:hAnsiTheme="minorEastAsia" w:eastAsiaTheme="minorEastAsia" w:cstheme="minorEastAsia"/>
          <w:szCs w:val="21"/>
        </w:rPr>
        <w:t>作实质响应的报价人不足三家的；</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（2）报价人的报价均超过了采购预算，采购人不能支付的；</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（3）出现影响采购公正的违法、违规行为的；</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（4）因重大变故，采购任务取消的。</w:t>
      </w:r>
    </w:p>
    <w:p>
      <w:pPr>
        <w:pStyle w:val="2"/>
        <w:jc w:val="center"/>
      </w:pPr>
      <w:r>
        <w:rPr>
          <w:rFonts w:hint="eastAsia" w:asciiTheme="minorEastAsia" w:hAnsiTheme="minorEastAsia" w:eastAsiaTheme="minorEastAsia" w:cstheme="minorEastAsia"/>
        </w:rPr>
        <w:br w:type="page"/>
      </w:r>
      <w:bookmarkStart w:id="774" w:name="_Toc13787"/>
      <w:bookmarkStart w:id="775" w:name="_Toc363"/>
      <w:r>
        <w:rPr>
          <w:rStyle w:val="82"/>
          <w:rFonts w:hint="eastAsia"/>
          <w:b/>
          <w:bCs/>
        </w:rPr>
        <w:t>第四章 报价说明</w:t>
      </w:r>
      <w:bookmarkEnd w:id="774"/>
      <w:bookmarkEnd w:id="775"/>
    </w:p>
    <w:p>
      <w:pPr>
        <w:tabs>
          <w:tab w:val="left" w:pos="360"/>
        </w:tabs>
        <w:spacing w:line="400" w:lineRule="exact"/>
        <w:ind w:firstLine="420" w:firstLineChars="200"/>
        <w:rPr>
          <w:rFonts w:ascii="宋体" w:hAnsi="宋体" w:cs="宋体"/>
          <w:szCs w:val="21"/>
        </w:rPr>
      </w:pPr>
      <w:r>
        <w:rPr>
          <w:rFonts w:hint="eastAsia" w:ascii="宋体" w:hAnsi="宋体" w:cs="宋体"/>
          <w:szCs w:val="21"/>
        </w:rPr>
        <w:t>（1）本次报价须为人民币报价，包含但不限于完成本项目所需的员工工资、社会保险（五险）、劳保福利、税费、加班费、配送费、交通费、节假日慰问费等所有服务产生的一切费用（报价人若有漏项，则被认为此项费用已包含在总报价中）。因中标人自身原因造成漏报、少报皆由其自行承担责任，</w:t>
      </w:r>
      <w:r>
        <w:rPr>
          <w:rFonts w:hint="eastAsia" w:ascii="宋体" w:hAnsi="宋体" w:cs="宋体"/>
          <w:szCs w:val="21"/>
          <w:lang w:eastAsia="zh-CN"/>
        </w:rPr>
        <w:t>采购人</w:t>
      </w:r>
      <w:r>
        <w:rPr>
          <w:rFonts w:hint="eastAsia" w:ascii="宋体" w:hAnsi="宋体" w:cs="宋体"/>
          <w:szCs w:val="21"/>
        </w:rPr>
        <w:t>不再补偿。</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（2）报价人在分项报价表中填报的综合单价承包到现场所产生的路费、差旅费等。</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（3）报价有算术错误的，评审小组按以下原则对报价进行修正，修正的价格经报价人书面确认后具有约束力。报价人不接受修正价格的，其报价应当予以否决。</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①竞争性比选响应文件中的大写金额与小写金额不一致的，以大写金额为准。</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②总价金额与依据单价计算出的结果不一致的，以单价金额为准修正总价，但单价金额小数点有明显错误的除外。</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（4）实际采购数量以采购人最终需求数量为准，报价清单中单价在合同执行过程中保持固定不变，报价人不得以实际采购数量的变化提出调整合同单价。</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（5）报价清单中各项金额均以人民币（元）结算。</w:t>
      </w:r>
    </w:p>
    <w:p>
      <w:pPr>
        <w:tabs>
          <w:tab w:val="left" w:pos="360"/>
        </w:tabs>
        <w:spacing w:line="400" w:lineRule="exact"/>
        <w:ind w:firstLine="420" w:firstLineChars="200"/>
        <w:rPr>
          <w:rFonts w:ascii="宋体" w:hAnsi="宋体" w:cs="宋体"/>
          <w:szCs w:val="21"/>
        </w:rPr>
        <w:sectPr>
          <w:footerReference r:id="rId9" w:type="default"/>
          <w:pgSz w:w="11906" w:h="16838"/>
          <w:pgMar w:top="1440" w:right="1800" w:bottom="1440" w:left="1800" w:header="851" w:footer="992" w:gutter="0"/>
          <w:cols w:space="720" w:num="1"/>
          <w:titlePg/>
          <w:docGrid w:type="lines" w:linePitch="312" w:charSpace="0"/>
        </w:sectPr>
      </w:pPr>
      <w:r>
        <w:rPr>
          <w:rFonts w:hint="eastAsia" w:ascii="宋体" w:hAnsi="宋体" w:cs="宋体"/>
          <w:szCs w:val="21"/>
        </w:rPr>
        <w:t>（6）需缴纳的一切税费均由报价单位承担，所有税费均由服务单位自行缴纳。</w:t>
      </w:r>
    </w:p>
    <w:p>
      <w:pPr>
        <w:pStyle w:val="3"/>
        <w:spacing w:before="0" w:after="0" w:line="360" w:lineRule="auto"/>
        <w:jc w:val="center"/>
        <w:rPr>
          <w:rFonts w:ascii="宋体" w:hAnsi="宋体" w:cs="宋体"/>
        </w:rPr>
      </w:pPr>
      <w:bookmarkStart w:id="776" w:name="_Toc246997083"/>
      <w:bookmarkStart w:id="777" w:name="_Toc514858705"/>
      <w:bookmarkStart w:id="778" w:name="_Toc152042554"/>
      <w:bookmarkStart w:id="779" w:name="_Toc179632789"/>
      <w:bookmarkStart w:id="780" w:name="_Toc246996340"/>
      <w:bookmarkStart w:id="781" w:name="_Toc152045772"/>
      <w:bookmarkStart w:id="782" w:name="_Toc24503"/>
      <w:bookmarkStart w:id="783" w:name="_Toc1532"/>
      <w:bookmarkStart w:id="784" w:name="_Toc2000409"/>
      <w:bookmarkStart w:id="785" w:name="_Toc247085855"/>
      <w:bookmarkStart w:id="786" w:name="_Toc144974834"/>
      <w:bookmarkStart w:id="787" w:name="_Toc179632806"/>
      <w:bookmarkStart w:id="788" w:name="_Toc144974855"/>
      <w:bookmarkStart w:id="789" w:name="_Toc152042575"/>
      <w:bookmarkStart w:id="790" w:name="_Toc247085872"/>
      <w:bookmarkStart w:id="791" w:name="_Toc152045786"/>
      <w:bookmarkStart w:id="792" w:name="_Toc246996354"/>
      <w:bookmarkStart w:id="793" w:name="_Toc246997097"/>
      <w:r>
        <w:rPr>
          <w:rFonts w:hint="eastAsia" w:ascii="宋体" w:hAnsi="宋体" w:cs="宋体"/>
        </w:rPr>
        <w:t>第五章  工程量清单</w:t>
      </w:r>
      <w:bookmarkEnd w:id="776"/>
      <w:bookmarkEnd w:id="777"/>
      <w:bookmarkEnd w:id="778"/>
      <w:bookmarkEnd w:id="779"/>
      <w:bookmarkEnd w:id="780"/>
      <w:bookmarkEnd w:id="781"/>
      <w:bookmarkEnd w:id="782"/>
      <w:bookmarkEnd w:id="783"/>
      <w:bookmarkEnd w:id="784"/>
      <w:bookmarkEnd w:id="785"/>
      <w:bookmarkEnd w:id="786"/>
    </w:p>
    <w:tbl>
      <w:tblPr>
        <w:tblStyle w:val="42"/>
        <w:tblpPr w:leftFromText="180" w:rightFromText="180" w:vertAnchor="text" w:horzAnchor="page" w:tblpX="834" w:tblpY="48"/>
        <w:tblOverlap w:val="never"/>
        <w:tblW w:w="10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911"/>
        <w:gridCol w:w="1275"/>
        <w:gridCol w:w="843"/>
        <w:gridCol w:w="843"/>
        <w:gridCol w:w="1263"/>
        <w:gridCol w:w="1381"/>
        <w:gridCol w:w="961"/>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22" w:type="dxa"/>
            <w:vAlign w:val="center"/>
          </w:tcPr>
          <w:p>
            <w:pPr>
              <w:keepNext w:val="0"/>
              <w:keepLines w:val="0"/>
              <w:suppressLineNumbers w:val="0"/>
              <w:spacing w:before="0" w:beforeAutospacing="0" w:after="0" w:afterAutospacing="0"/>
              <w:ind w:left="0" w:right="0"/>
              <w:jc w:val="center"/>
              <w:rPr>
                <w:rFonts w:hint="default" w:ascii="宋体" w:hAnsi="宋体" w:cs="宋体"/>
                <w:b/>
                <w:bCs w:val="0"/>
                <w:szCs w:val="21"/>
              </w:rPr>
            </w:pPr>
            <w:bookmarkStart w:id="794" w:name="_Toc179632800"/>
            <w:bookmarkStart w:id="795" w:name="_Toc144974851"/>
            <w:bookmarkStart w:id="796" w:name="_Toc246996350"/>
            <w:bookmarkStart w:id="797" w:name="_Toc152042571"/>
            <w:bookmarkStart w:id="798" w:name="_Toc246997093"/>
            <w:bookmarkStart w:id="799" w:name="_Toc247096438"/>
            <w:bookmarkStart w:id="800" w:name="_Toc152045782"/>
            <w:bookmarkStart w:id="801" w:name="_Toc247085866"/>
            <w:r>
              <w:rPr>
                <w:rFonts w:hint="eastAsia" w:ascii="宋体" w:hAnsi="宋体" w:cs="宋体"/>
                <w:b/>
                <w:bCs w:val="0"/>
                <w:szCs w:val="21"/>
              </w:rPr>
              <w:t>序号</w:t>
            </w:r>
          </w:p>
        </w:tc>
        <w:tc>
          <w:tcPr>
            <w:tcW w:w="1911" w:type="dxa"/>
            <w:vAlign w:val="center"/>
          </w:tcPr>
          <w:p>
            <w:pPr>
              <w:keepNext w:val="0"/>
              <w:keepLines w:val="0"/>
              <w:suppressLineNumbers w:val="0"/>
              <w:spacing w:before="0" w:beforeAutospacing="0" w:after="0" w:afterAutospacing="0"/>
              <w:ind w:left="0" w:right="0"/>
              <w:jc w:val="center"/>
              <w:rPr>
                <w:rFonts w:hint="default" w:ascii="宋体" w:hAnsi="宋体" w:cs="宋体"/>
                <w:b/>
                <w:bCs w:val="0"/>
                <w:szCs w:val="21"/>
              </w:rPr>
            </w:pPr>
            <w:r>
              <w:rPr>
                <w:rFonts w:hint="eastAsia" w:ascii="宋体" w:hAnsi="宋体" w:cs="宋体"/>
                <w:b/>
                <w:bCs w:val="0"/>
                <w:szCs w:val="21"/>
              </w:rPr>
              <w:t>项目名称</w:t>
            </w:r>
          </w:p>
        </w:tc>
        <w:tc>
          <w:tcPr>
            <w:tcW w:w="127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val="0"/>
                <w:szCs w:val="21"/>
                <w:lang w:val="en-US" w:eastAsia="zh-CN"/>
              </w:rPr>
            </w:pPr>
            <w:r>
              <w:rPr>
                <w:rFonts w:hint="eastAsia" w:ascii="宋体" w:hAnsi="宋体" w:cs="宋体"/>
                <w:b/>
                <w:bCs w:val="0"/>
                <w:szCs w:val="21"/>
                <w:lang w:val="en-US" w:eastAsia="zh-CN"/>
              </w:rPr>
              <w:t>工作内容</w:t>
            </w:r>
          </w:p>
        </w:tc>
        <w:tc>
          <w:tcPr>
            <w:tcW w:w="843"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b/>
                <w:bCs w:val="0"/>
                <w:szCs w:val="21"/>
              </w:rPr>
            </w:pPr>
            <w:r>
              <w:rPr>
                <w:rFonts w:hint="eastAsia" w:ascii="宋体" w:hAnsi="宋体" w:cs="宋体"/>
                <w:b/>
                <w:bCs w:val="0"/>
                <w:szCs w:val="21"/>
              </w:rPr>
              <w:t>数量</w:t>
            </w:r>
          </w:p>
        </w:tc>
        <w:tc>
          <w:tcPr>
            <w:tcW w:w="843" w:type="dxa"/>
            <w:vAlign w:val="center"/>
          </w:tcPr>
          <w:p>
            <w:pPr>
              <w:keepNext w:val="0"/>
              <w:keepLines w:val="0"/>
              <w:suppressLineNumbers w:val="0"/>
              <w:spacing w:before="0" w:beforeAutospacing="0" w:after="0" w:afterAutospacing="0"/>
              <w:ind w:left="0" w:right="0"/>
              <w:jc w:val="center"/>
              <w:rPr>
                <w:rFonts w:hint="eastAsia" w:ascii="宋体" w:hAnsi="宋体" w:cs="宋体"/>
                <w:b/>
                <w:bCs w:val="0"/>
                <w:szCs w:val="21"/>
              </w:rPr>
            </w:pPr>
            <w:r>
              <w:rPr>
                <w:rFonts w:hint="eastAsia" w:ascii="宋体" w:hAnsi="宋体" w:cs="宋体"/>
                <w:b/>
                <w:bCs w:val="0"/>
                <w:szCs w:val="21"/>
              </w:rPr>
              <w:t>单位</w:t>
            </w:r>
          </w:p>
        </w:tc>
        <w:tc>
          <w:tcPr>
            <w:tcW w:w="126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val="0"/>
                <w:szCs w:val="21"/>
                <w:lang w:eastAsia="zh-CN"/>
              </w:rPr>
            </w:pPr>
            <w:r>
              <w:rPr>
                <w:rFonts w:hint="eastAsia" w:ascii="宋体" w:hAnsi="宋体" w:cs="宋体"/>
                <w:b/>
                <w:bCs w:val="0"/>
                <w:szCs w:val="21"/>
                <w:lang w:val="en-US" w:eastAsia="zh-CN"/>
              </w:rPr>
              <w:t>单价（元）</w:t>
            </w:r>
          </w:p>
        </w:tc>
        <w:tc>
          <w:tcPr>
            <w:tcW w:w="138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val="0"/>
                <w:szCs w:val="21"/>
                <w:lang w:eastAsia="zh-CN"/>
              </w:rPr>
            </w:pPr>
            <w:r>
              <w:rPr>
                <w:rFonts w:hint="eastAsia" w:ascii="宋体" w:hAnsi="宋体" w:cs="宋体"/>
                <w:b/>
                <w:bCs w:val="0"/>
                <w:szCs w:val="21"/>
                <w:lang w:val="en-US" w:eastAsia="zh-CN"/>
              </w:rPr>
              <w:t>总价（元）</w:t>
            </w:r>
          </w:p>
        </w:tc>
        <w:tc>
          <w:tcPr>
            <w:tcW w:w="961"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val="0"/>
                <w:szCs w:val="21"/>
                <w:lang w:val="en-US" w:eastAsia="zh-CN"/>
              </w:rPr>
            </w:pPr>
            <w:r>
              <w:rPr>
                <w:rFonts w:hint="eastAsia" w:ascii="宋体" w:hAnsi="宋体" w:cs="宋体"/>
                <w:b/>
                <w:bCs w:val="0"/>
                <w:szCs w:val="21"/>
                <w:lang w:val="en-US" w:eastAsia="zh-CN"/>
              </w:rPr>
              <w:t>税率（%)</w:t>
            </w:r>
          </w:p>
        </w:tc>
        <w:tc>
          <w:tcPr>
            <w:tcW w:w="961"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val="0"/>
                <w:szCs w:val="21"/>
                <w:lang w:val="en-US" w:eastAsia="zh-CN"/>
              </w:rPr>
            </w:pPr>
            <w:r>
              <w:rPr>
                <w:rFonts w:hint="eastAsia" w:ascii="宋体" w:hAnsi="宋体" w:cs="宋体"/>
                <w:b/>
                <w:bCs w:val="0"/>
                <w:szCs w:val="21"/>
                <w:lang w:val="en-US" w:eastAsia="zh-CN"/>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22"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911"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数据中台</w:t>
            </w:r>
          </w:p>
        </w:tc>
        <w:tc>
          <w:tcPr>
            <w:tcW w:w="1275"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详见技术要求</w:t>
            </w:r>
          </w:p>
        </w:tc>
        <w:tc>
          <w:tcPr>
            <w:tcW w:w="843" w:type="dxa"/>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1</w:t>
            </w:r>
          </w:p>
        </w:tc>
        <w:tc>
          <w:tcPr>
            <w:tcW w:w="843"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套</w:t>
            </w:r>
          </w:p>
        </w:tc>
        <w:tc>
          <w:tcPr>
            <w:tcW w:w="1263"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stheme="minorEastAsia"/>
                <w:kern w:val="2"/>
                <w:sz w:val="21"/>
                <w:szCs w:val="21"/>
                <w:lang w:val="zh-CN" w:eastAsia="zh-CN" w:bidi="ar-SA"/>
              </w:rPr>
            </w:pPr>
          </w:p>
        </w:tc>
        <w:tc>
          <w:tcPr>
            <w:tcW w:w="1381"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stheme="minorEastAsia"/>
                <w:kern w:val="2"/>
                <w:sz w:val="21"/>
                <w:szCs w:val="21"/>
                <w:lang w:val="zh-CN" w:eastAsia="zh-CN" w:bidi="ar-SA"/>
              </w:rPr>
            </w:pPr>
          </w:p>
        </w:tc>
        <w:tc>
          <w:tcPr>
            <w:tcW w:w="961"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stheme="minorEastAsia"/>
                <w:kern w:val="2"/>
                <w:sz w:val="21"/>
                <w:szCs w:val="21"/>
                <w:lang w:val="zh-CN" w:eastAsia="zh-CN" w:bidi="ar-SA"/>
              </w:rPr>
            </w:pPr>
          </w:p>
        </w:tc>
        <w:tc>
          <w:tcPr>
            <w:tcW w:w="961"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stheme="minorEastAsia"/>
                <w:kern w:val="2"/>
                <w:sz w:val="21"/>
                <w:szCs w:val="21"/>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22" w:type="dxa"/>
            <w:vAlign w:val="center"/>
          </w:tcPr>
          <w:p>
            <w:pPr>
              <w:keepNext w:val="0"/>
              <w:keepLines w:val="0"/>
              <w:suppressLineNumbers w:val="0"/>
              <w:spacing w:before="0" w:beforeAutospacing="0" w:after="0" w:afterAutospacing="0" w:line="360" w:lineRule="auto"/>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2</w:t>
            </w:r>
          </w:p>
        </w:tc>
        <w:tc>
          <w:tcPr>
            <w:tcW w:w="1911"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kern w:val="2"/>
                <w:sz w:val="21"/>
                <w:szCs w:val="21"/>
                <w:lang w:val="en-US" w:eastAsia="zh-CN" w:bidi="ar-SA"/>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地图引擎</w:t>
            </w:r>
          </w:p>
        </w:tc>
        <w:tc>
          <w:tcPr>
            <w:tcW w:w="1275"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详见技术要求</w:t>
            </w:r>
          </w:p>
        </w:tc>
        <w:tc>
          <w:tcPr>
            <w:tcW w:w="843"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1</w:t>
            </w:r>
          </w:p>
        </w:tc>
        <w:tc>
          <w:tcPr>
            <w:tcW w:w="843"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套</w:t>
            </w:r>
          </w:p>
        </w:tc>
        <w:tc>
          <w:tcPr>
            <w:tcW w:w="1263" w:type="dxa"/>
            <w:vAlign w:val="center"/>
          </w:tcPr>
          <w:p>
            <w:pPr>
              <w:keepNext w:val="0"/>
              <w:keepLines w:val="0"/>
              <w:suppressLineNumbers w:val="0"/>
              <w:spacing w:before="0" w:beforeAutospacing="0" w:after="0" w:afterAutospacing="0" w:line="360" w:lineRule="auto"/>
              <w:ind w:left="0" w:leftChars="0" w:right="0" w:rightChars="0"/>
              <w:jc w:val="center"/>
              <w:rPr>
                <w:rFonts w:hint="default" w:ascii="宋体" w:hAnsi="宋体" w:eastAsia="宋体" w:cs="宋体"/>
                <w:kern w:val="2"/>
                <w:sz w:val="21"/>
                <w:szCs w:val="21"/>
                <w:lang w:val="en-US" w:eastAsia="zh-CN" w:bidi="ar-SA"/>
              </w:rPr>
            </w:pPr>
          </w:p>
        </w:tc>
        <w:tc>
          <w:tcPr>
            <w:tcW w:w="1381" w:type="dxa"/>
            <w:vAlign w:val="top"/>
          </w:tcPr>
          <w:p>
            <w:pPr>
              <w:keepNext w:val="0"/>
              <w:keepLines w:val="0"/>
              <w:suppressLineNumbers w:val="0"/>
              <w:spacing w:before="0" w:beforeAutospacing="0" w:after="0" w:afterAutospacing="0" w:line="400" w:lineRule="exact"/>
              <w:ind w:left="0" w:leftChars="0" w:right="0" w:rightChars="0"/>
              <w:jc w:val="left"/>
              <w:rPr>
                <w:rFonts w:hint="default" w:ascii="宋体" w:hAnsi="宋体" w:eastAsia="宋体" w:cs="宋体"/>
                <w:kern w:val="2"/>
                <w:sz w:val="21"/>
                <w:szCs w:val="21"/>
                <w:lang w:val="zh-CN" w:eastAsia="zh-CN" w:bidi="ar-SA"/>
              </w:rPr>
            </w:pPr>
          </w:p>
        </w:tc>
        <w:tc>
          <w:tcPr>
            <w:tcW w:w="961" w:type="dxa"/>
            <w:vAlign w:val="top"/>
          </w:tcPr>
          <w:p>
            <w:pPr>
              <w:keepNext w:val="0"/>
              <w:keepLines w:val="0"/>
              <w:suppressLineNumbers w:val="0"/>
              <w:spacing w:before="0" w:beforeAutospacing="0" w:after="0" w:afterAutospacing="0" w:line="400" w:lineRule="exact"/>
              <w:ind w:left="0" w:leftChars="0" w:right="0" w:rightChars="0"/>
              <w:jc w:val="left"/>
              <w:rPr>
                <w:rFonts w:hint="default" w:ascii="宋体" w:hAnsi="宋体" w:eastAsia="宋体" w:cs="宋体"/>
                <w:kern w:val="2"/>
                <w:sz w:val="21"/>
                <w:szCs w:val="21"/>
                <w:lang w:val="zh-CN" w:eastAsia="zh-CN" w:bidi="ar-SA"/>
              </w:rPr>
            </w:pPr>
          </w:p>
        </w:tc>
        <w:tc>
          <w:tcPr>
            <w:tcW w:w="961" w:type="dxa"/>
            <w:vAlign w:val="top"/>
          </w:tcPr>
          <w:p>
            <w:pPr>
              <w:keepNext w:val="0"/>
              <w:keepLines w:val="0"/>
              <w:suppressLineNumbers w:val="0"/>
              <w:spacing w:before="0" w:beforeAutospacing="0" w:after="0" w:afterAutospacing="0" w:line="400" w:lineRule="exact"/>
              <w:ind w:left="0" w:leftChars="0" w:right="0" w:rightChars="0"/>
              <w:jc w:val="left"/>
              <w:rPr>
                <w:rFonts w:hint="default" w:ascii="宋体" w:hAnsi="宋体" w:eastAsia="宋体" w:cs="宋体"/>
                <w:kern w:val="2"/>
                <w:sz w:val="21"/>
                <w:szCs w:val="21"/>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2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191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外场孪生场景集成</w:t>
            </w:r>
          </w:p>
        </w:tc>
        <w:tc>
          <w:tcPr>
            <w:tcW w:w="127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详见技术要求</w:t>
            </w:r>
          </w:p>
        </w:tc>
        <w:tc>
          <w:tcPr>
            <w:tcW w:w="843"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cs="宋体"/>
                <w:szCs w:val="21"/>
                <w:lang w:val="en-US" w:eastAsia="zh-CN"/>
              </w:rPr>
            </w:pPr>
            <w:r>
              <w:rPr>
                <w:rFonts w:hint="eastAsia" w:ascii="宋体" w:hAnsi="宋体" w:cs="宋体"/>
                <w:szCs w:val="21"/>
                <w:lang w:val="en-US" w:eastAsia="zh-CN"/>
              </w:rPr>
              <w:t>1</w:t>
            </w:r>
          </w:p>
        </w:tc>
        <w:tc>
          <w:tcPr>
            <w:tcW w:w="843"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项</w:t>
            </w:r>
          </w:p>
        </w:tc>
        <w:tc>
          <w:tcPr>
            <w:tcW w:w="126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Cs w:val="21"/>
              </w:rPr>
            </w:pPr>
          </w:p>
        </w:tc>
        <w:tc>
          <w:tcPr>
            <w:tcW w:w="1381" w:type="dxa"/>
          </w:tcPr>
          <w:p>
            <w:pPr>
              <w:keepNext w:val="0"/>
              <w:keepLines w:val="0"/>
              <w:suppressLineNumbers w:val="0"/>
              <w:spacing w:before="0" w:beforeAutospacing="0" w:after="0" w:afterAutospacing="0" w:line="400" w:lineRule="exact"/>
              <w:ind w:left="0" w:right="0"/>
              <w:jc w:val="left"/>
              <w:rPr>
                <w:rFonts w:hint="default" w:ascii="宋体" w:hAnsi="宋体" w:cs="宋体"/>
                <w:szCs w:val="21"/>
              </w:rPr>
            </w:pPr>
          </w:p>
        </w:tc>
        <w:tc>
          <w:tcPr>
            <w:tcW w:w="961" w:type="dxa"/>
          </w:tcPr>
          <w:p>
            <w:pPr>
              <w:keepNext w:val="0"/>
              <w:keepLines w:val="0"/>
              <w:suppressLineNumbers w:val="0"/>
              <w:spacing w:before="0" w:beforeAutospacing="0" w:after="0" w:afterAutospacing="0" w:line="400" w:lineRule="exact"/>
              <w:ind w:left="0" w:right="0"/>
              <w:jc w:val="left"/>
              <w:rPr>
                <w:rFonts w:hint="default" w:ascii="宋体" w:hAnsi="宋体" w:cs="宋体"/>
                <w:szCs w:val="21"/>
              </w:rPr>
            </w:pPr>
          </w:p>
        </w:tc>
        <w:tc>
          <w:tcPr>
            <w:tcW w:w="961" w:type="dxa"/>
          </w:tcPr>
          <w:p>
            <w:pPr>
              <w:keepNext w:val="0"/>
              <w:keepLines w:val="0"/>
              <w:suppressLineNumbers w:val="0"/>
              <w:spacing w:before="0" w:beforeAutospacing="0" w:after="0" w:afterAutospacing="0" w:line="400" w:lineRule="exact"/>
              <w:ind w:left="0" w:right="0"/>
              <w:jc w:val="left"/>
              <w:rPr>
                <w:rFonts w:hint="default"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72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lang w:eastAsia="zh-CN"/>
              </w:rPr>
            </w:pPr>
            <w:r>
              <w:rPr>
                <w:rFonts w:hint="eastAsia" w:ascii="宋体" w:hAnsi="宋体" w:cs="宋体"/>
                <w:szCs w:val="21"/>
                <w:lang w:val="en-US" w:eastAsia="zh-CN"/>
              </w:rPr>
              <w:t>4</w:t>
            </w:r>
          </w:p>
        </w:tc>
        <w:tc>
          <w:tcPr>
            <w:tcW w:w="191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全域数字孪生应用开发</w:t>
            </w:r>
          </w:p>
        </w:tc>
        <w:tc>
          <w:tcPr>
            <w:tcW w:w="127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详见技术要求</w:t>
            </w:r>
          </w:p>
        </w:tc>
        <w:tc>
          <w:tcPr>
            <w:tcW w:w="843"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cs="宋体"/>
                <w:szCs w:val="21"/>
                <w:lang w:val="en-US" w:eastAsia="zh-CN"/>
              </w:rPr>
            </w:pPr>
            <w:r>
              <w:rPr>
                <w:rFonts w:hint="eastAsia" w:ascii="宋体" w:hAnsi="宋体" w:cs="宋体"/>
                <w:szCs w:val="21"/>
                <w:lang w:val="en-US" w:eastAsia="zh-CN"/>
              </w:rPr>
              <w:t>1</w:t>
            </w:r>
          </w:p>
        </w:tc>
        <w:tc>
          <w:tcPr>
            <w:tcW w:w="843"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lang w:val="en-US" w:eastAsia="zh-CN"/>
              </w:rPr>
              <w:t>项</w:t>
            </w:r>
          </w:p>
        </w:tc>
        <w:tc>
          <w:tcPr>
            <w:tcW w:w="126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Cs w:val="21"/>
              </w:rPr>
            </w:pPr>
          </w:p>
        </w:tc>
        <w:tc>
          <w:tcPr>
            <w:tcW w:w="1381" w:type="dxa"/>
          </w:tcPr>
          <w:p>
            <w:pPr>
              <w:keepNext w:val="0"/>
              <w:keepLines w:val="0"/>
              <w:suppressLineNumbers w:val="0"/>
              <w:spacing w:before="0" w:beforeAutospacing="0" w:after="0" w:afterAutospacing="0" w:line="400" w:lineRule="exact"/>
              <w:ind w:left="0" w:right="0"/>
              <w:jc w:val="left"/>
              <w:rPr>
                <w:rFonts w:hint="default" w:ascii="宋体" w:hAnsi="宋体" w:cs="宋体"/>
                <w:szCs w:val="21"/>
              </w:rPr>
            </w:pPr>
          </w:p>
        </w:tc>
        <w:tc>
          <w:tcPr>
            <w:tcW w:w="961" w:type="dxa"/>
          </w:tcPr>
          <w:p>
            <w:pPr>
              <w:keepNext w:val="0"/>
              <w:keepLines w:val="0"/>
              <w:suppressLineNumbers w:val="0"/>
              <w:spacing w:before="0" w:beforeAutospacing="0" w:after="0" w:afterAutospacing="0" w:line="400" w:lineRule="exact"/>
              <w:ind w:left="0" w:right="0"/>
              <w:jc w:val="left"/>
              <w:rPr>
                <w:rFonts w:hint="default" w:ascii="宋体" w:hAnsi="宋体" w:cs="宋体"/>
                <w:szCs w:val="21"/>
              </w:rPr>
            </w:pPr>
          </w:p>
        </w:tc>
        <w:tc>
          <w:tcPr>
            <w:tcW w:w="961" w:type="dxa"/>
          </w:tcPr>
          <w:p>
            <w:pPr>
              <w:keepNext w:val="0"/>
              <w:keepLines w:val="0"/>
              <w:suppressLineNumbers w:val="0"/>
              <w:spacing w:before="0" w:beforeAutospacing="0" w:after="0" w:afterAutospacing="0" w:line="400" w:lineRule="exact"/>
              <w:ind w:left="0" w:right="0"/>
              <w:jc w:val="left"/>
              <w:rPr>
                <w:rFonts w:hint="default"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857" w:type="dxa"/>
            <w:gridSpan w:val="6"/>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szCs w:val="21"/>
                <w:lang w:val="en-US" w:eastAsia="zh-CN"/>
              </w:rPr>
            </w:pPr>
            <w:r>
              <w:rPr>
                <w:rFonts w:hint="eastAsia" w:ascii="宋体" w:hAnsi="宋体" w:cs="宋体"/>
                <w:b/>
                <w:bCs/>
                <w:szCs w:val="21"/>
                <w:lang w:val="en-US" w:eastAsia="zh-CN"/>
              </w:rPr>
              <w:t>合计（元）</w:t>
            </w:r>
          </w:p>
        </w:tc>
        <w:tc>
          <w:tcPr>
            <w:tcW w:w="1381" w:type="dxa"/>
          </w:tcPr>
          <w:p>
            <w:pPr>
              <w:keepNext w:val="0"/>
              <w:keepLines w:val="0"/>
              <w:suppressLineNumbers w:val="0"/>
              <w:spacing w:before="0" w:beforeAutospacing="0" w:after="0" w:afterAutospacing="0" w:line="400" w:lineRule="exact"/>
              <w:ind w:left="0" w:right="0"/>
              <w:jc w:val="left"/>
              <w:rPr>
                <w:rFonts w:hint="default" w:ascii="宋体" w:hAnsi="宋体" w:cs="宋体"/>
                <w:b/>
                <w:bCs/>
                <w:szCs w:val="21"/>
              </w:rPr>
            </w:pPr>
          </w:p>
        </w:tc>
        <w:tc>
          <w:tcPr>
            <w:tcW w:w="961" w:type="dxa"/>
          </w:tcPr>
          <w:p>
            <w:pPr>
              <w:keepNext w:val="0"/>
              <w:keepLines w:val="0"/>
              <w:suppressLineNumbers w:val="0"/>
              <w:spacing w:before="0" w:beforeAutospacing="0" w:after="0" w:afterAutospacing="0" w:line="400" w:lineRule="exact"/>
              <w:ind w:left="0" w:right="0"/>
              <w:jc w:val="left"/>
              <w:rPr>
                <w:rFonts w:hint="default" w:ascii="宋体" w:hAnsi="宋体" w:cs="宋体"/>
                <w:b/>
                <w:bCs/>
                <w:szCs w:val="21"/>
              </w:rPr>
            </w:pPr>
          </w:p>
        </w:tc>
        <w:tc>
          <w:tcPr>
            <w:tcW w:w="961" w:type="dxa"/>
          </w:tcPr>
          <w:p>
            <w:pPr>
              <w:keepNext w:val="0"/>
              <w:keepLines w:val="0"/>
              <w:suppressLineNumbers w:val="0"/>
              <w:spacing w:before="0" w:beforeAutospacing="0" w:after="0" w:afterAutospacing="0" w:line="400" w:lineRule="exact"/>
              <w:ind w:left="0" w:right="0"/>
              <w:jc w:val="left"/>
              <w:rPr>
                <w:rFonts w:hint="default" w:ascii="宋体" w:hAnsi="宋体" w:cs="宋体"/>
                <w:b/>
                <w:bCs/>
                <w:szCs w:val="21"/>
              </w:rPr>
            </w:pPr>
          </w:p>
        </w:tc>
      </w:tr>
    </w:tbl>
    <w:p>
      <w:pPr>
        <w:pStyle w:val="2"/>
        <w:jc w:val="center"/>
        <w:rPr>
          <w:rFonts w:hint="eastAsia" w:ascii="宋体" w:hAnsi="宋体" w:cs="宋体"/>
          <w:b/>
          <w:bCs/>
        </w:rPr>
      </w:pPr>
    </w:p>
    <w:p>
      <w:pPr>
        <w:rPr>
          <w:rFonts w:hint="eastAsia"/>
        </w:rPr>
      </w:pPr>
    </w:p>
    <w:p>
      <w:pPr>
        <w:rPr>
          <w:rFonts w:hint="eastAsia" w:ascii="宋体" w:hAnsi="宋体" w:cs="宋体"/>
          <w:b/>
          <w:bCs/>
        </w:rPr>
      </w:pPr>
    </w:p>
    <w:p>
      <w:pPr>
        <w:pStyle w:val="16"/>
        <w:rPr>
          <w:rFonts w:hint="eastAsia" w:ascii="宋体" w:hAnsi="宋体" w:cs="宋体"/>
          <w:b/>
          <w:bCs/>
        </w:rPr>
      </w:pPr>
    </w:p>
    <w:p>
      <w:pPr>
        <w:jc w:val="both"/>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both"/>
        <w:rPr>
          <w:rFonts w:ascii="宋体" w:hAnsi="宋体" w:cs="宋体"/>
          <w:b/>
        </w:rPr>
        <w:sectPr>
          <w:pgSz w:w="11906" w:h="16838"/>
          <w:pgMar w:top="1440" w:right="1800" w:bottom="1440" w:left="1800" w:header="851" w:footer="992" w:gutter="0"/>
          <w:cols w:space="720" w:num="1"/>
          <w:titlePg/>
          <w:docGrid w:type="lines" w:linePitch="312" w:charSpace="0"/>
        </w:sectPr>
      </w:pPr>
    </w:p>
    <w:p>
      <w:pPr>
        <w:pStyle w:val="3"/>
        <w:spacing w:before="0" w:after="0" w:line="360" w:lineRule="auto"/>
        <w:jc w:val="center"/>
        <w:rPr>
          <w:rFonts w:ascii="宋体" w:hAnsi="宋体" w:cs="宋体"/>
        </w:rPr>
      </w:pPr>
      <w:bookmarkStart w:id="802" w:name="_Toc12440"/>
      <w:bookmarkStart w:id="803" w:name="_Toc503951042"/>
      <w:bookmarkStart w:id="804" w:name="_Toc513633963"/>
      <w:bookmarkStart w:id="805" w:name="_Toc18088"/>
      <w:bookmarkStart w:id="806" w:name="_Toc2000410"/>
      <w:bookmarkStart w:id="807" w:name="_Toc447827048"/>
      <w:bookmarkStart w:id="808" w:name="_Toc514858706"/>
      <w:r>
        <w:rPr>
          <w:rFonts w:hint="eastAsia" w:ascii="宋体" w:hAnsi="宋体" w:cs="宋体"/>
        </w:rPr>
        <w:t>第六章  图  纸</w:t>
      </w:r>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p>
    <w:p>
      <w:pPr>
        <w:jc w:val="center"/>
        <w:rPr>
          <w:rFonts w:ascii="宋体" w:hAnsi="宋体" w:cs="宋体"/>
          <w:b/>
        </w:rPr>
      </w:pPr>
      <w:r>
        <w:rPr>
          <w:rFonts w:hint="eastAsia" w:ascii="宋体" w:hAnsi="宋体" w:cs="宋体"/>
          <w:b/>
          <w:kern w:val="0"/>
          <w:sz w:val="24"/>
        </w:rPr>
        <w:t>无。</w:t>
      </w:r>
    </w:p>
    <w:p>
      <w:pPr>
        <w:spacing w:line="400" w:lineRule="exact"/>
        <w:rPr>
          <w:rFonts w:ascii="宋体" w:hAnsi="宋体" w:cs="宋体"/>
        </w:rPr>
      </w:pPr>
      <w:r>
        <w:rPr>
          <w:rFonts w:hint="eastAsia" w:ascii="宋体" w:hAnsi="宋体" w:cs="宋体"/>
        </w:rPr>
        <w:br w:type="page"/>
      </w:r>
      <w:bookmarkStart w:id="809" w:name="_Toc152042574"/>
      <w:bookmarkStart w:id="810" w:name="_Toc152045785"/>
      <w:bookmarkStart w:id="811" w:name="_Toc144974854"/>
    </w:p>
    <w:p>
      <w:pPr>
        <w:pStyle w:val="3"/>
        <w:numPr>
          <w:ilvl w:val="0"/>
          <w:numId w:val="9"/>
        </w:numPr>
        <w:spacing w:before="0" w:after="0" w:line="360" w:lineRule="auto"/>
        <w:jc w:val="center"/>
        <w:rPr>
          <w:rFonts w:ascii="宋体" w:hAnsi="宋体" w:cs="宋体"/>
          <w:szCs w:val="21"/>
        </w:rPr>
      </w:pPr>
      <w:bookmarkStart w:id="812" w:name="_Toc2000411"/>
      <w:bookmarkStart w:id="813" w:name="_Toc503951043"/>
      <w:bookmarkStart w:id="814" w:name="_Toc447827049"/>
      <w:bookmarkStart w:id="815" w:name="_Toc513633964"/>
      <w:bookmarkStart w:id="816" w:name="_Toc246997096"/>
      <w:bookmarkStart w:id="817" w:name="_Toc179632804"/>
      <w:bookmarkStart w:id="818" w:name="_Toc514858707"/>
      <w:bookmarkStart w:id="819" w:name="_Toc10887"/>
      <w:bookmarkStart w:id="820" w:name="_Toc247085870"/>
      <w:bookmarkStart w:id="821" w:name="_Toc246996353"/>
      <w:r>
        <w:rPr>
          <w:rFonts w:hint="eastAsia" w:ascii="宋体" w:hAnsi="宋体" w:cs="宋体"/>
        </w:rPr>
        <w:t xml:space="preserve"> </w:t>
      </w:r>
      <w:bookmarkStart w:id="822" w:name="_Toc25212"/>
      <w:r>
        <w:rPr>
          <w:rFonts w:hint="eastAsia" w:ascii="宋体" w:hAnsi="宋体" w:cs="宋体"/>
        </w:rPr>
        <w:t>技术标准和工作要求</w:t>
      </w:r>
      <w:bookmarkEnd w:id="787"/>
      <w:bookmarkEnd w:id="788"/>
      <w:bookmarkEnd w:id="789"/>
      <w:bookmarkEnd w:id="790"/>
      <w:bookmarkEnd w:id="791"/>
      <w:bookmarkEnd w:id="792"/>
      <w:bookmarkEnd w:id="793"/>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Start w:id="823" w:name="_Toc514430114"/>
      <w:bookmarkStart w:id="824" w:name="_Toc2000412"/>
      <w:bookmarkStart w:id="825" w:name="_Toc12089"/>
      <w:bookmarkStart w:id="826" w:name="_Toc514858708"/>
      <w:bookmarkStart w:id="827" w:name="_Toc13280"/>
      <w:bookmarkStart w:id="828" w:name="_Toc144974856"/>
      <w:bookmarkStart w:id="829" w:name="_Toc246997098"/>
      <w:bookmarkStart w:id="830" w:name="_Toc152045787"/>
      <w:bookmarkStart w:id="831" w:name="_Toc179632807"/>
      <w:bookmarkStart w:id="832" w:name="_Toc246996355"/>
      <w:bookmarkStart w:id="833" w:name="_Toc247085873"/>
      <w:bookmarkStart w:id="834" w:name="_Toc507320039"/>
      <w:bookmarkStart w:id="835" w:name="_Toc152042576"/>
    </w:p>
    <w:p>
      <w:pPr>
        <w:pStyle w:val="171"/>
        <w:ind w:firstLine="480"/>
      </w:pPr>
      <w:bookmarkStart w:id="836" w:name="_Toc273351616"/>
      <w:bookmarkStart w:id="837" w:name="_Toc23208"/>
    </w:p>
    <w:bookmarkEnd w:id="836"/>
    <w:p>
      <w:pPr>
        <w:spacing w:line="360" w:lineRule="auto"/>
        <w:jc w:val="left"/>
        <w:outlineLvl w:val="9"/>
        <w:rPr>
          <w:rFonts w:hint="eastAsia" w:ascii="宋体" w:hAnsi="宋体" w:cs="宋体"/>
          <w:b/>
          <w:bCs/>
          <w:color w:val="000000" w:themeColor="text1"/>
          <w:sz w:val="24"/>
          <w14:textFill>
            <w14:solidFill>
              <w14:schemeClr w14:val="tx1"/>
            </w14:solidFill>
          </w14:textFill>
        </w:rPr>
      </w:pPr>
    </w:p>
    <w:p>
      <w:pPr>
        <w:numPr>
          <w:ilvl w:val="0"/>
          <w:numId w:val="10"/>
        </w:numPr>
        <w:spacing w:line="360" w:lineRule="auto"/>
        <w:ind w:left="425" w:leftChars="0" w:hanging="425" w:firstLineChars="0"/>
        <w:jc w:val="left"/>
        <w:outlineLvl w:val="1"/>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数据中台</w:t>
      </w:r>
      <w:r>
        <w:rPr>
          <w:rFonts w:hint="eastAsia" w:ascii="宋体" w:hAnsi="宋体" w:cs="宋体"/>
          <w:b/>
          <w:bCs/>
          <w:color w:val="000000" w:themeColor="text1"/>
          <w:sz w:val="24"/>
          <w:lang w:val="en-US" w:eastAsia="zh-CN"/>
          <w14:textFill>
            <w14:solidFill>
              <w14:schemeClr w14:val="tx1"/>
            </w14:solidFill>
          </w14:textFill>
        </w:rPr>
        <w:t>技术</w:t>
      </w:r>
      <w:r>
        <w:rPr>
          <w:rFonts w:hint="eastAsia" w:ascii="宋体" w:hAnsi="宋体" w:cs="宋体"/>
          <w:b/>
          <w:bCs/>
          <w:color w:val="000000" w:themeColor="text1"/>
          <w:sz w:val="24"/>
          <w14:textFill>
            <w14:solidFill>
              <w14:schemeClr w14:val="tx1"/>
            </w14:solidFill>
          </w14:textFill>
        </w:rPr>
        <w:t>要求</w:t>
      </w:r>
    </w:p>
    <w:p>
      <w:pPr>
        <w:pStyle w:val="16"/>
        <w:ind w:firstLine="400" w:firstLineChars="200"/>
        <w:rPr>
          <w:rFonts w:hint="eastAsia"/>
        </w:rPr>
      </w:pPr>
      <w:r>
        <w:rPr>
          <w:rFonts w:hint="eastAsia" w:asciiTheme="minorEastAsia" w:hAnsiTheme="minorEastAsia" w:eastAsiaTheme="minorEastAsia" w:cstheme="minorEastAsia"/>
          <w:color w:val="000000" w:themeColor="text1"/>
          <w14:textFill>
            <w14:solidFill>
              <w14:schemeClr w14:val="tx1"/>
            </w14:solidFill>
          </w14:textFill>
        </w:rPr>
        <w:t>通过</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数据中台</w:t>
      </w:r>
      <w:r>
        <w:rPr>
          <w:rFonts w:hint="eastAsia" w:asciiTheme="minorEastAsia" w:hAnsiTheme="minorEastAsia" w:eastAsiaTheme="minorEastAsia" w:cstheme="minorEastAsia"/>
          <w:color w:val="000000" w:themeColor="text1"/>
          <w14:textFill>
            <w14:solidFill>
              <w14:schemeClr w14:val="tx1"/>
            </w14:solidFill>
          </w14:textFill>
        </w:rPr>
        <w:t>建</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交通</w:t>
      </w:r>
      <w:r>
        <w:rPr>
          <w:rFonts w:hint="eastAsia" w:asciiTheme="minorEastAsia" w:hAnsiTheme="minorEastAsia" w:eastAsiaTheme="minorEastAsia" w:cstheme="minorEastAsia"/>
          <w:color w:val="000000" w:themeColor="text1"/>
          <w14:textFill>
            <w14:solidFill>
              <w14:schemeClr w14:val="tx1"/>
            </w14:solidFill>
          </w14:textFill>
        </w:rPr>
        <w:t>数据的归集、管控、治理、融合、交换及应用环境，支撑元数据及数据统一管理、数据</w:t>
      </w:r>
      <w:r>
        <w:rPr>
          <w:rFonts w:asciiTheme="minorEastAsia" w:hAnsiTheme="minorEastAsia" w:eastAsiaTheme="minorEastAsia" w:cstheme="minorEastAsia"/>
          <w:color w:val="000000" w:themeColor="text1"/>
          <w14:textFill>
            <w14:solidFill>
              <w14:schemeClr w14:val="tx1"/>
            </w14:solidFill>
          </w14:textFill>
        </w:rPr>
        <w:t>问题</w:t>
      </w:r>
      <w:r>
        <w:rPr>
          <w:rFonts w:hint="eastAsia" w:asciiTheme="minorEastAsia" w:hAnsiTheme="minorEastAsia" w:eastAsiaTheme="minorEastAsia" w:cstheme="minorEastAsia"/>
          <w:color w:val="000000" w:themeColor="text1"/>
          <w14:textFill>
            <w14:solidFill>
              <w14:schemeClr w14:val="tx1"/>
            </w14:solidFill>
          </w14:textFill>
        </w:rPr>
        <w:t>发现治理、数据指标加工融合、数据资产交换共享，让数据资产可见、可管、可用、可靠，为企业</w:t>
      </w:r>
      <w:r>
        <w:rPr>
          <w:rFonts w:hint="eastAsia"/>
          <w:color w:val="000000" w:themeColor="text1"/>
          <w14:textFill>
            <w14:solidFill>
              <w14:schemeClr w14:val="tx1"/>
            </w14:solidFill>
          </w14:textFill>
        </w:rPr>
        <w:t>利用数据优化现有业务、降本增效、促进业务和产品创新升级提供强有力的数据保障。</w:t>
      </w:r>
    </w:p>
    <w:p>
      <w:pPr>
        <w:pStyle w:val="16"/>
        <w:numPr>
          <w:ilvl w:val="1"/>
          <w:numId w:val="10"/>
        </w:numPr>
        <w:ind w:left="420" w:leftChars="0" w:hanging="420" w:firstLineChars="0"/>
        <w:outlineLvl w:val="2"/>
      </w:pPr>
      <w:r>
        <w:rPr>
          <w:rFonts w:hint="eastAsia"/>
          <w:lang w:val="en-US" w:eastAsia="zh-CN"/>
        </w:rPr>
        <w:t xml:space="preserve"> </w:t>
      </w:r>
      <w:r>
        <w:rPr>
          <w:rFonts w:hint="eastAsia" w:asciiTheme="minorEastAsia" w:hAnsiTheme="minorEastAsia" w:eastAsiaTheme="minorEastAsia" w:cstheme="minorEastAsia"/>
          <w:kern w:val="0"/>
          <w:szCs w:val="21"/>
        </w:rPr>
        <w:t>数据仓库</w:t>
      </w:r>
      <w:r>
        <w:rPr>
          <w:rFonts w:hint="eastAsia"/>
          <w:lang w:val="en-US" w:eastAsia="zh-CN"/>
        </w:rPr>
        <w:t>管理</w:t>
      </w:r>
    </w:p>
    <w:p>
      <w:pPr>
        <w:pStyle w:val="16"/>
        <w:numPr>
          <w:ilvl w:val="0"/>
          <w:numId w:val="11"/>
        </w:numPr>
        <w:ind w:left="420" w:leftChars="0" w:hanging="420"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具备数据仓库数据元数据编制、分类、查询等功能，提供数据元的名称、数据类型、格式等属性编制。提供数据库建立、相关管理信息系统、数据交换系统等设计与开发应用、信息采集、共享和交换能力。具备点击某张表，查询数据元详细信息等能力。</w:t>
      </w:r>
    </w:p>
    <w:p>
      <w:pPr>
        <w:pStyle w:val="16"/>
        <w:numPr>
          <w:ilvl w:val="0"/>
          <w:numId w:val="11"/>
        </w:numPr>
        <w:ind w:left="420" w:leftChars="0" w:hanging="420"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具备支持可视化界面操作，支持通过新增按钮创建数据元，并提供用户自定义数据元基本信息并发布的能力。</w:t>
      </w:r>
    </w:p>
    <w:p>
      <w:pPr>
        <w:pStyle w:val="16"/>
        <w:numPr>
          <w:ilvl w:val="0"/>
          <w:numId w:val="11"/>
        </w:numPr>
        <w:ind w:left="420" w:leftChars="0" w:hanging="420"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具备建立数据库、数据表、存储过程、触发器等功能。提供数据的查询，自定义函数的执行，并支持通过脚本语句对于数据元进行管理。</w:t>
      </w:r>
    </w:p>
    <w:p>
      <w:pPr>
        <w:pStyle w:val="16"/>
        <w:numPr>
          <w:ilvl w:val="0"/>
          <w:numId w:val="11"/>
        </w:numPr>
        <w:ind w:left="420" w:leftChars="0" w:hanging="420" w:firstLineChars="0"/>
      </w:pPr>
      <w:r>
        <w:rPr>
          <w:rFonts w:hint="eastAsia" w:ascii="宋体" w:hAnsi="宋体" w:cs="宋体"/>
          <w:color w:val="000000" w:themeColor="text1"/>
          <w14:textFill>
            <w14:solidFill>
              <w14:schemeClr w14:val="tx1"/>
            </w14:solidFill>
          </w14:textFill>
        </w:rPr>
        <w:t>具备项目模型初始化工作，提供多种主题模型、知识库模型等。并支持数据模型按需发布至制定数据库，包括结构化数据库、hive、es等。</w:t>
      </w:r>
    </w:p>
    <w:p>
      <w:pPr>
        <w:pStyle w:val="16"/>
        <w:numPr>
          <w:ilvl w:val="1"/>
          <w:numId w:val="10"/>
        </w:numPr>
        <w:ind w:left="420" w:leftChars="0" w:hanging="420" w:firstLineChars="0"/>
        <w:outlineLvl w:val="2"/>
        <w:rPr>
          <w:rFonts w:hint="eastAsia"/>
          <w:lang w:val="en-US" w:eastAsia="zh-CN"/>
        </w:rPr>
      </w:pPr>
      <w:r>
        <w:rPr>
          <w:rFonts w:hint="eastAsia"/>
          <w:lang w:val="en-US" w:eastAsia="zh-CN"/>
        </w:rPr>
        <w:t xml:space="preserve"> </w:t>
      </w:r>
      <w:r>
        <w:rPr>
          <w:rFonts w:hint="eastAsia" w:asciiTheme="minorEastAsia" w:hAnsiTheme="minorEastAsia" w:eastAsiaTheme="minorEastAsia" w:cstheme="minorEastAsia"/>
          <w:kern w:val="0"/>
          <w:szCs w:val="21"/>
        </w:rPr>
        <w:t>资源监控</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420" w:leftChars="0" w:hanging="420" w:firstLineChars="0"/>
        <w:textAlignment w:val="auto"/>
        <w:rPr>
          <w:rFonts w:hint="eastAsia" w:asciiTheme="minorEastAsia" w:hAnsiTheme="minorEastAsia" w:eastAsiaTheme="minorEastAsia" w:cstheme="minorEastAsia"/>
          <w:color w:val="000000" w:themeColor="text1"/>
          <w:kern w:val="2"/>
          <w14:textFill>
            <w14:solidFill>
              <w14:schemeClr w14:val="tx1"/>
            </w14:solidFill>
          </w14:textFill>
        </w:rPr>
      </w:pPr>
      <w:r>
        <w:rPr>
          <w:rFonts w:hint="eastAsia" w:asciiTheme="minorEastAsia" w:hAnsiTheme="minorEastAsia" w:eastAsiaTheme="minorEastAsia" w:cstheme="minorEastAsia"/>
          <w:color w:val="000000" w:themeColor="text1"/>
          <w:kern w:val="2"/>
          <w14:textFill>
            <w14:solidFill>
              <w14:schemeClr w14:val="tx1"/>
            </w14:solidFill>
          </w14:textFill>
        </w:rPr>
        <w:t>具备对使用的资源情况进行监控的功能。具备包括资源数量，资源的使用率等能力，能够更好的掌握平台的资源使用情况。</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420" w:leftChars="0" w:hanging="420" w:firstLineChars="0"/>
        <w:textAlignment w:val="auto"/>
        <w:rPr>
          <w:rFonts w:hint="eastAsia" w:asciiTheme="minorEastAsia" w:hAnsiTheme="minorEastAsia" w:eastAsiaTheme="minorEastAsia" w:cstheme="minorEastAsia"/>
          <w:color w:val="000000" w:themeColor="text1"/>
          <w:kern w:val="2"/>
          <w14:textFill>
            <w14:solidFill>
              <w14:schemeClr w14:val="tx1"/>
            </w14:solidFill>
          </w14:textFill>
        </w:rPr>
      </w:pPr>
      <w:r>
        <w:rPr>
          <w:rFonts w:hint="eastAsia" w:asciiTheme="minorEastAsia" w:hAnsiTheme="minorEastAsia" w:eastAsiaTheme="minorEastAsia" w:cstheme="minorEastAsia"/>
          <w:color w:val="000000" w:themeColor="text1"/>
          <w:kern w:val="2"/>
          <w14:textFill>
            <w14:solidFill>
              <w14:schemeClr w14:val="tx1"/>
            </w14:solidFill>
          </w14:textFill>
        </w:rPr>
        <w:t>具备服务状态监控，及时发现问题等服务功能。</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420" w:leftChars="0" w:hanging="420" w:firstLineChars="0"/>
        <w:textAlignment w:val="auto"/>
        <w:rPr>
          <w:rFonts w:hint="eastAsia" w:asciiTheme="minorEastAsia" w:hAnsiTheme="minorEastAsia" w:eastAsiaTheme="minorEastAsia" w:cstheme="minorEastAsia"/>
          <w:color w:val="000000" w:themeColor="text1"/>
          <w:kern w:val="2"/>
          <w14:textFill>
            <w14:solidFill>
              <w14:schemeClr w14:val="tx1"/>
            </w14:solidFill>
          </w14:textFill>
        </w:rPr>
      </w:pPr>
      <w:r>
        <w:rPr>
          <w:rFonts w:hint="eastAsia" w:asciiTheme="minorEastAsia" w:hAnsiTheme="minorEastAsia" w:eastAsiaTheme="minorEastAsia" w:cstheme="minorEastAsia"/>
          <w:color w:val="000000" w:themeColor="text1"/>
          <w:kern w:val="2"/>
          <w14:textFill>
            <w14:solidFill>
              <w14:schemeClr w14:val="tx1"/>
            </w14:solidFill>
          </w14:textFill>
        </w:rPr>
        <w:t>具备状态监控、状态查询功能，提供cpu、mem、硬盘利用率，I/O负载、网络流量情况等状态查询，支持通过曲线查看每个节点的工作状态。</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420" w:leftChars="0" w:hanging="420" w:firstLineChars="0"/>
        <w:textAlignment w:val="auto"/>
        <w:rPr>
          <w:rFonts w:hint="eastAsia" w:asciiTheme="minorEastAsia" w:hAnsiTheme="minorEastAsia" w:eastAsiaTheme="minorEastAsia" w:cstheme="minorEastAsia"/>
          <w:color w:val="000000" w:themeColor="text1"/>
          <w:kern w:val="2"/>
          <w14:textFill>
            <w14:solidFill>
              <w14:schemeClr w14:val="tx1"/>
            </w14:solidFill>
          </w14:textFill>
        </w:rPr>
      </w:pPr>
      <w:r>
        <w:rPr>
          <w:rFonts w:hint="eastAsia" w:asciiTheme="minorEastAsia" w:hAnsiTheme="minorEastAsia" w:eastAsiaTheme="minorEastAsia" w:cstheme="minorEastAsia"/>
          <w:color w:val="000000" w:themeColor="text1"/>
          <w:kern w:val="2"/>
          <w14:textFill>
            <w14:solidFill>
              <w14:schemeClr w14:val="tx1"/>
            </w14:solidFill>
          </w14:textFill>
        </w:rPr>
        <w:t>具备服务重启功能，提供任务失败可手动启动单个服务或者涉及到的全部组件一键启动。</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420" w:leftChars="0" w:hanging="420" w:firstLineChars="0"/>
        <w:textAlignment w:val="auto"/>
        <w:rPr>
          <w:rFonts w:hint="eastAsia" w:asciiTheme="minorEastAsia" w:hAnsiTheme="minorEastAsia" w:eastAsiaTheme="minorEastAsia" w:cstheme="minorEastAsia"/>
          <w:color w:val="000000" w:themeColor="text1"/>
          <w:kern w:val="2"/>
          <w14:textFill>
            <w14:solidFill>
              <w14:schemeClr w14:val="tx1"/>
            </w14:solidFill>
          </w14:textFill>
        </w:rPr>
      </w:pPr>
      <w:r>
        <w:rPr>
          <w:rFonts w:hint="eastAsia" w:asciiTheme="minorEastAsia" w:hAnsiTheme="minorEastAsia" w:eastAsiaTheme="minorEastAsia" w:cstheme="minorEastAsia"/>
          <w:color w:val="000000" w:themeColor="text1"/>
          <w:kern w:val="2"/>
          <w14:textFill>
            <w14:solidFill>
              <w14:schemeClr w14:val="tx1"/>
            </w14:solidFill>
          </w14:textFill>
        </w:rPr>
        <w:t>具备快速添加部署更多大数据服务至集群的功能。</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420" w:leftChars="0" w:hanging="420" w:firstLineChars="0"/>
        <w:textAlignment w:val="auto"/>
        <w:rPr>
          <w:rFonts w:hint="eastAsia" w:asciiTheme="minorEastAsia" w:hAnsiTheme="minorEastAsia" w:eastAsiaTheme="minorEastAsia" w:cstheme="minorEastAsia"/>
          <w:color w:val="000000" w:themeColor="text1"/>
          <w:kern w:val="2"/>
          <w14:textFill>
            <w14:solidFill>
              <w14:schemeClr w14:val="tx1"/>
            </w14:solidFill>
          </w14:textFill>
        </w:rPr>
      </w:pPr>
      <w:r>
        <w:rPr>
          <w:rFonts w:hint="eastAsia" w:asciiTheme="minorEastAsia" w:hAnsiTheme="minorEastAsia" w:eastAsiaTheme="minorEastAsia" w:cstheme="minorEastAsia"/>
          <w:color w:val="000000" w:themeColor="text1"/>
          <w:kern w:val="2"/>
          <w14:textFill>
            <w14:solidFill>
              <w14:schemeClr w14:val="tx1"/>
            </w14:solidFill>
          </w14:textFill>
        </w:rPr>
        <w:t>具备大数据服务配置更新功能，提供可视化界面对参数进行优化、调节并更新配置。</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420" w:leftChars="0" w:hanging="420" w:firstLineChars="0"/>
        <w:textAlignment w:val="auto"/>
        <w:rPr>
          <w:rFonts w:hint="eastAsia" w:asciiTheme="minorEastAsia" w:hAnsiTheme="minorEastAsia" w:eastAsiaTheme="minorEastAsia" w:cstheme="minorEastAsia"/>
          <w:color w:val="000000" w:themeColor="text1"/>
          <w:kern w:val="2"/>
          <w14:textFill>
            <w14:solidFill>
              <w14:schemeClr w14:val="tx1"/>
            </w14:solidFill>
          </w14:textFill>
        </w:rPr>
      </w:pPr>
      <w:r>
        <w:rPr>
          <w:rFonts w:hint="eastAsia" w:asciiTheme="minorEastAsia" w:hAnsiTheme="minorEastAsia" w:eastAsiaTheme="minorEastAsia" w:cstheme="minorEastAsia"/>
          <w:color w:val="000000" w:themeColor="text1"/>
          <w:kern w:val="2"/>
          <w14:textFill>
            <w14:solidFill>
              <w14:schemeClr w14:val="tx1"/>
            </w14:solidFill>
          </w14:textFill>
        </w:rPr>
        <w:t>具备主机集群扩容、查看主机配置功能。</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420" w:leftChars="0" w:hanging="420" w:firstLineChars="0"/>
        <w:textAlignment w:val="auto"/>
        <w:rPr>
          <w:rFonts w:hint="eastAsia" w:asciiTheme="minorEastAsia" w:hAnsiTheme="minorEastAsia" w:eastAsiaTheme="minorEastAsia" w:cstheme="minorEastAsia"/>
          <w:color w:val="000000" w:themeColor="text1"/>
          <w:kern w:val="2"/>
          <w14:textFill>
            <w14:solidFill>
              <w14:schemeClr w14:val="tx1"/>
            </w14:solidFill>
          </w14:textFill>
        </w:rPr>
      </w:pPr>
      <w:r>
        <w:rPr>
          <w:rFonts w:hint="eastAsia" w:asciiTheme="minorEastAsia" w:hAnsiTheme="minorEastAsia" w:eastAsiaTheme="minorEastAsia" w:cstheme="minorEastAsia"/>
          <w:color w:val="000000" w:themeColor="text1"/>
          <w:kern w:val="2"/>
          <w14:textFill>
            <w14:solidFill>
              <w14:schemeClr w14:val="tx1"/>
            </w14:solidFill>
          </w14:textFill>
        </w:rPr>
        <w:t>具备选择开启关闭多种集群状态及组件报警功能。</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420" w:leftChars="0" w:hanging="420" w:firstLineChars="0"/>
        <w:textAlignment w:val="auto"/>
        <w:rPr>
          <w:rFonts w:hint="eastAsia" w:asciiTheme="minorEastAsia" w:hAnsiTheme="minorEastAsia" w:eastAsiaTheme="minorEastAsia" w:cstheme="minorEastAsia"/>
          <w:color w:val="000000" w:themeColor="text1"/>
          <w:kern w:val="2"/>
          <w14:textFill>
            <w14:solidFill>
              <w14:schemeClr w14:val="tx1"/>
            </w14:solidFill>
          </w14:textFill>
        </w:rPr>
      </w:pPr>
      <w:r>
        <w:rPr>
          <w:rFonts w:hint="eastAsia" w:asciiTheme="minorEastAsia" w:hAnsiTheme="minorEastAsia" w:eastAsiaTheme="minorEastAsia" w:cstheme="minorEastAsia"/>
          <w:color w:val="000000" w:themeColor="text1"/>
          <w:kern w:val="2"/>
          <w14:textFill>
            <w14:solidFill>
              <w14:schemeClr w14:val="tx1"/>
            </w14:solidFill>
          </w14:textFill>
        </w:rPr>
        <w:t>具备用户统一管理数据源连接功能，支持但不限于：MYSQL、ORACLE、SQLSERVER、GREENPLUM、PALO、HIVE等主流数据库。</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420" w:leftChars="0" w:hanging="420" w:firstLineChars="0"/>
        <w:textAlignment w:val="auto"/>
      </w:pPr>
      <w:r>
        <w:rPr>
          <w:rFonts w:hint="eastAsia" w:asciiTheme="minorEastAsia" w:hAnsiTheme="minorEastAsia" w:eastAsiaTheme="minorEastAsia" w:cstheme="minorEastAsia"/>
          <w:color w:val="000000" w:themeColor="text1"/>
          <w:kern w:val="2"/>
          <w14:textFill>
            <w14:solidFill>
              <w14:schemeClr w14:val="tx1"/>
            </w14:solidFill>
          </w14:textFill>
        </w:rPr>
        <w:t>具备管理平台开启、关闭、自动重启等服务功能。</w:t>
      </w:r>
    </w:p>
    <w:p/>
    <w:p>
      <w:pPr>
        <w:pStyle w:val="16"/>
        <w:numPr>
          <w:ilvl w:val="1"/>
          <w:numId w:val="10"/>
        </w:numPr>
        <w:ind w:left="420" w:leftChars="0" w:hanging="420" w:firstLineChars="0"/>
        <w:outlineLvl w:val="2"/>
        <w:rPr>
          <w:rFonts w:hint="eastAsia"/>
          <w:lang w:val="en-US" w:eastAsia="zh-CN"/>
        </w:rPr>
      </w:pPr>
      <w:r>
        <w:rPr>
          <w:rFonts w:hint="eastAsia" w:asciiTheme="minorEastAsia" w:hAnsiTheme="minorEastAsia" w:eastAsiaTheme="minorEastAsia" w:cstheme="minorEastAsia"/>
          <w:kern w:val="0"/>
          <w:szCs w:val="21"/>
        </w:rPr>
        <w:t>任务监控</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420" w:leftChars="0" w:hanging="420" w:firstLine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具备任务状态监控统计功能</w:t>
      </w:r>
      <w:r>
        <w:rPr>
          <w:rFonts w:hint="eastAsia"/>
          <w:color w:val="000000" w:themeColor="text1"/>
          <w:lang w:val="en-US" w:eastAsia="zh-CN"/>
          <w14:textFill>
            <w14:solidFill>
              <w14:schemeClr w14:val="tx1"/>
            </w14:solidFill>
          </w14:textFill>
        </w:rPr>
        <w:t>和</w:t>
      </w:r>
      <w:r>
        <w:rPr>
          <w:rFonts w:hint="eastAsia"/>
          <w:color w:val="000000" w:themeColor="text1"/>
          <w14:textFill>
            <w14:solidFill>
              <w14:schemeClr w14:val="tx1"/>
            </w14:solidFill>
          </w14:textFill>
        </w:rPr>
        <w:t>流程状态监控统计功能。</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420" w:leftChars="0" w:hanging="420" w:firstLine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具备项目管理功能，提供项目隔离管理，不同项目在不同的任务资源下提供测试、线上一套服务等多种脚本隔离开发。</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420" w:leftChars="0" w:hanging="420" w:firstLine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具备项目内各个任务流的依赖关系，并可视化展示工作流关系。</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420" w:leftChars="0" w:hanging="420" w:firstLine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具备工作流自定义功能，提供创建工作流、一键导入工作流、工作流复制、调度、数据运维和展示工作流树形图的能力。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10" w:firstLineChars="1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创建工作流：具备数据采集、数据同步、数据转换组件选择灵活组装完成多种任务。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10" w:firstLineChars="1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具备一键导入工作流：工作流生成后一键导入，有效节省多项目重复配置。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10" w:firstLineChars="1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工作流复制：具备一键复制生成任务的配置。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10" w:firstLineChars="1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调度：作为大数据平台的基础组件，具备强大的数据处理、服务调度机制，全力保障数据处理稳定、高效进行。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10" w:firstLineChars="1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数据运维：具备补历史数据功能，支持区间并行和串行两种补数方式。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10" w:firstLineChars="1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工作流树形图：具备展示单个任务流中任务血缘、版本控制、版本选择、历史版本切换能力。</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420" w:leftChars="0" w:hanging="420" w:firstLine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具备提供统一的udf、文件脚本管理功能，支持多处复用的脚本统一管理起来直接引用。</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420" w:leftChars="0" w:hanging="420" w:firstLineChars="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具备mysql、hive、clickhouse等数据源的链接管理。</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420" w:leftChars="0" w:hanging="420" w:firstLineChars="0"/>
        <w:textAlignment w:val="auto"/>
        <w:rPr>
          <w:rFonts w:hint="eastAsia"/>
          <w:lang w:val="en-US" w:eastAsia="zh-CN"/>
        </w:rPr>
      </w:pPr>
      <w:r>
        <w:rPr>
          <w:rFonts w:hint="eastAsia"/>
          <w:color w:val="000000" w:themeColor="text1"/>
          <w14:textFill>
            <w14:solidFill>
              <w14:schemeClr w14:val="tx1"/>
            </w14:solidFill>
          </w14:textFill>
        </w:rPr>
        <w:t>具备任务监控服务中各个主从节点、元数据库的健康监控功能。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14:textFill>
            <w14:solidFill>
              <w14:schemeClr w14:val="tx1"/>
            </w14:solidFill>
          </w14:textFill>
        </w:rPr>
      </w:pPr>
    </w:p>
    <w:p>
      <w:pPr>
        <w:pStyle w:val="16"/>
        <w:keepNext w:val="0"/>
        <w:keepLines w:val="0"/>
        <w:pageBreakBefore w:val="0"/>
        <w:widowControl w:val="0"/>
        <w:numPr>
          <w:ilvl w:val="1"/>
          <w:numId w:val="10"/>
        </w:numPr>
        <w:kinsoku/>
        <w:wordWrap/>
        <w:overflowPunct/>
        <w:topLinePunct w:val="0"/>
        <w:autoSpaceDE/>
        <w:autoSpaceDN/>
        <w:bidi w:val="0"/>
        <w:adjustRightInd/>
        <w:snapToGrid/>
        <w:spacing w:line="360" w:lineRule="auto"/>
        <w:ind w:left="420" w:leftChars="0" w:hanging="420" w:firstLineChars="0"/>
        <w:textAlignment w:val="auto"/>
        <w:outlineLvl w:val="2"/>
        <w:rPr>
          <w:rFonts w:hint="eastAsia"/>
          <w:lang w:val="en-US" w:eastAsia="zh-CN"/>
        </w:rPr>
      </w:pPr>
      <w:r>
        <w:rPr>
          <w:rFonts w:hint="eastAsia" w:asciiTheme="minorEastAsia" w:hAnsiTheme="minorEastAsia" w:eastAsiaTheme="minorEastAsia" w:cstheme="minorEastAsia"/>
          <w:kern w:val="0"/>
          <w:szCs w:val="21"/>
        </w:rPr>
        <w:t>数据治理开发服务</w:t>
      </w:r>
    </w:p>
    <w:p>
      <w:pPr>
        <w:pStyle w:val="16"/>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0" w:leftChars="0" w:hanging="420" w:firstLineChars="0"/>
        <w:textAlignment w:val="auto"/>
        <w:rPr>
          <w:rFonts w:hint="eastAsia"/>
          <w:lang w:val="en-US" w:eastAsia="zh-CN"/>
        </w:rPr>
      </w:pPr>
      <w:r>
        <w:rPr>
          <w:rFonts w:hint="eastAsia"/>
          <w:lang w:val="en-US" w:eastAsia="zh-CN"/>
        </w:rPr>
        <w:t xml:space="preserve"> 具备面向管理体系内用户，通过用户界面集成服务，实现对交通数据资源目录的注册、查询、发布、维护以及数据共享管理等功能。</w:t>
      </w:r>
    </w:p>
    <w:p>
      <w:pPr>
        <w:pStyle w:val="16"/>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0" w:leftChars="0" w:hanging="420" w:firstLineChars="0"/>
        <w:textAlignment w:val="auto"/>
        <w:rPr>
          <w:rFonts w:hint="eastAsia"/>
          <w:lang w:val="en-US" w:eastAsia="zh-CN"/>
        </w:rPr>
      </w:pPr>
      <w:r>
        <w:rPr>
          <w:rFonts w:hint="eastAsia"/>
          <w:lang w:val="en-US" w:eastAsia="zh-CN"/>
        </w:rPr>
        <w:t xml:space="preserve"> 具备面向高速体系内用户开放数据资源目录树的目录注册功能，提供各业务单位整理要向体系内部用户共享的数据资源目录及注册。具备资源提供者将编目形成的资源通过系统向目录中心的管理机构注册功能。</w:t>
      </w:r>
    </w:p>
    <w:p>
      <w:pPr>
        <w:pStyle w:val="16"/>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0" w:leftChars="0" w:hanging="420" w:firstLineChars="0"/>
        <w:textAlignment w:val="auto"/>
        <w:rPr>
          <w:rFonts w:hint="eastAsia"/>
          <w:lang w:val="en-US" w:eastAsia="zh-CN"/>
        </w:rPr>
      </w:pPr>
      <w:r>
        <w:rPr>
          <w:rFonts w:hint="eastAsia"/>
          <w:lang w:val="en-US" w:eastAsia="zh-CN"/>
        </w:rPr>
        <w:t xml:space="preserve"> 具备由业务科室用户注册的目录信息，经平台管理员审核无误后，对内部进行目录发布。共享数据资源的目录树对外更新信息。具备管理者把目录内容对外发布，目录即可供业务部门和开发者使用。</w:t>
      </w:r>
    </w:p>
    <w:p>
      <w:pPr>
        <w:pStyle w:val="16"/>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0" w:leftChars="0" w:hanging="420" w:firstLineChars="0"/>
        <w:textAlignment w:val="auto"/>
        <w:rPr>
          <w:rFonts w:hint="eastAsia"/>
          <w:lang w:val="en-US" w:eastAsia="zh-CN"/>
        </w:rPr>
      </w:pPr>
      <w:r>
        <w:rPr>
          <w:rFonts w:hint="eastAsia"/>
          <w:lang w:val="en-US" w:eastAsia="zh-CN"/>
        </w:rPr>
        <w:t xml:space="preserve"> 具备目录树维护功能，支持新增、删除、合并、移动目录树节点等能力。</w:t>
      </w:r>
    </w:p>
    <w:p>
      <w:pPr>
        <w:pStyle w:val="16"/>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0" w:leftChars="0" w:hanging="420" w:firstLineChars="0"/>
        <w:textAlignment w:val="auto"/>
        <w:rPr>
          <w:rFonts w:hint="eastAsia"/>
          <w:lang w:val="en-US" w:eastAsia="zh-CN"/>
        </w:rPr>
      </w:pPr>
      <w:r>
        <w:rPr>
          <w:rFonts w:hint="eastAsia"/>
          <w:lang w:val="en-US" w:eastAsia="zh-CN"/>
        </w:rPr>
        <w:t xml:space="preserve"> 具备通过数据资源目录树对目录进行浏览查询，快速查找自己感兴趣的数据资源。具备使用者向一站式服务系统发送目录查询请求，一站式服务系统根据查询条件和用户权限将查询结果返回给使用者。并提供多种查询功能，支持按主题分类、部门分类等多种方式查询，并支持按照单条件或组合条件查询。</w:t>
      </w:r>
    </w:p>
    <w:p>
      <w:pPr>
        <w:pStyle w:val="16"/>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0" w:leftChars="0" w:hanging="420" w:firstLineChars="0"/>
        <w:textAlignment w:val="auto"/>
        <w:rPr>
          <w:rFonts w:hint="eastAsia"/>
          <w:lang w:val="en-US" w:eastAsia="zh-CN"/>
        </w:rPr>
      </w:pPr>
      <w:r>
        <w:rPr>
          <w:rFonts w:hint="eastAsia"/>
          <w:lang w:val="en-US" w:eastAsia="zh-CN"/>
        </w:rPr>
        <w:t xml:space="preserve"> 具备数据共享上传功能。支持各业务用户向内部用户共享的有价值数据，选定数据所属的资源目录，然后上传数据文件。</w:t>
      </w:r>
    </w:p>
    <w:p>
      <w:pPr>
        <w:pStyle w:val="16"/>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0" w:leftChars="0" w:hanging="420" w:firstLineChars="0"/>
        <w:textAlignment w:val="auto"/>
        <w:rPr>
          <w:rFonts w:hint="eastAsia"/>
          <w:lang w:val="en-US" w:eastAsia="zh-CN"/>
        </w:rPr>
      </w:pPr>
      <w:r>
        <w:rPr>
          <w:rFonts w:hint="eastAsia"/>
          <w:lang w:val="en-US" w:eastAsia="zh-CN"/>
        </w:rPr>
        <w:t xml:space="preserve"> 具备由各业务用户共享上传的数据文件，经平台管理员审核无误后，正式向体系内各用户进行数据发布的功能。</w:t>
      </w:r>
    </w:p>
    <w:p>
      <w:pPr>
        <w:pStyle w:val="16"/>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0" w:leftChars="0" w:hanging="420" w:firstLineChars="0"/>
        <w:textAlignment w:val="auto"/>
        <w:rPr>
          <w:rFonts w:hint="eastAsia"/>
          <w:lang w:val="en-US" w:eastAsia="zh-CN"/>
        </w:rPr>
      </w:pPr>
      <w:r>
        <w:rPr>
          <w:rFonts w:hint="eastAsia"/>
          <w:lang w:val="en-US" w:eastAsia="zh-CN"/>
        </w:rPr>
        <w:t xml:space="preserve"> 具备平台管理员在必要的时候对体系内用户自主共享的数据文件进行维护，包括添加、修改、删除等功能。</w:t>
      </w:r>
    </w:p>
    <w:p>
      <w:pPr>
        <w:pStyle w:val="16"/>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0" w:leftChars="0" w:hanging="420" w:firstLineChars="0"/>
        <w:textAlignment w:val="auto"/>
        <w:rPr>
          <w:rFonts w:hint="eastAsia"/>
          <w:lang w:val="en-US" w:eastAsia="zh-CN"/>
        </w:rPr>
      </w:pPr>
      <w:r>
        <w:rPr>
          <w:rFonts w:hint="eastAsia"/>
          <w:lang w:val="en-US" w:eastAsia="zh-CN"/>
        </w:rPr>
        <w:t xml:space="preserve"> 具备数据血缘分析功能，支持在数据产生、加工融合、流转流通到最终消亡等过程中形成的继承关系集合。支持通过对接接入数据、原始库、资源库、主题库、知识库、业务库等各类数据资源间和数据项间的继承关系进行描述和管理。</w:t>
      </w:r>
    </w:p>
    <w:p>
      <w:pPr>
        <w:pStyle w:val="16"/>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0" w:leftChars="0" w:hanging="420" w:firstLineChars="0"/>
        <w:textAlignment w:val="auto"/>
        <w:rPr>
          <w:rFonts w:hint="eastAsia"/>
          <w:lang w:val="en-US" w:eastAsia="zh-CN"/>
        </w:rPr>
      </w:pPr>
      <w:r>
        <w:rPr>
          <w:rFonts w:hint="eastAsia"/>
          <w:lang w:val="en-US" w:eastAsia="zh-CN"/>
        </w:rPr>
        <w:t xml:space="preserve"> 具备血缘关系管理功能，支持记录上下游数据资源编码、数据项目和数据资源转化规则等数据血缘信息，并实现动态更新。</w:t>
      </w:r>
    </w:p>
    <w:p>
      <w:pPr>
        <w:pStyle w:val="16"/>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0" w:leftChars="0" w:hanging="420" w:firstLineChars="0"/>
        <w:textAlignment w:val="auto"/>
        <w:rPr>
          <w:rFonts w:hint="eastAsia"/>
          <w:lang w:val="en-US" w:eastAsia="zh-CN"/>
        </w:rPr>
      </w:pPr>
      <w:r>
        <w:rPr>
          <w:rFonts w:hint="eastAsia"/>
          <w:lang w:val="en-US" w:eastAsia="zh-CN"/>
        </w:rPr>
        <w:t xml:space="preserve"> 具备对数据资源进行数据流向分析、溯源和变更影响分析，并提供数据血缘关系的图形化展现。</w:t>
      </w:r>
    </w:p>
    <w:p>
      <w:pPr>
        <w:pStyle w:val="16"/>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0" w:leftChars="0" w:hanging="420" w:firstLineChars="0"/>
        <w:textAlignment w:val="auto"/>
        <w:rPr>
          <w:rFonts w:hint="eastAsia"/>
          <w:lang w:val="en-US" w:eastAsia="zh-CN"/>
        </w:rPr>
      </w:pPr>
      <w:r>
        <w:rPr>
          <w:rFonts w:hint="eastAsia"/>
          <w:lang w:val="en-US" w:eastAsia="zh-CN"/>
        </w:rPr>
        <w:t xml:space="preserve"> 具备按照数据类别、数据项和转化规则进行数据血缘查询，并向数据资源目录提供服务接口。</w:t>
      </w:r>
    </w:p>
    <w:p>
      <w:pPr>
        <w:pStyle w:val="16"/>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0" w:leftChars="0" w:hanging="420" w:firstLineChars="0"/>
        <w:textAlignment w:val="auto"/>
        <w:rPr>
          <w:rFonts w:hint="eastAsia"/>
          <w:lang w:val="en-US" w:eastAsia="zh-CN"/>
        </w:rPr>
      </w:pPr>
      <w:r>
        <w:rPr>
          <w:rFonts w:hint="eastAsia"/>
          <w:lang w:val="en-US" w:eastAsia="zh-CN"/>
        </w:rPr>
        <w:t xml:space="preserve"> 具备数据质量规则自定义功能。支持包括规则ID、规则名称、规则算法、规则阈值和被监控对象等要素，通过规则校验来得到数据质量。</w:t>
      </w:r>
    </w:p>
    <w:p>
      <w:pPr>
        <w:pStyle w:val="16"/>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0" w:leftChars="0" w:hanging="420" w:firstLineChars="0"/>
        <w:textAlignment w:val="auto"/>
        <w:rPr>
          <w:rFonts w:hint="eastAsia"/>
          <w:lang w:val="en-US" w:eastAsia="zh-CN"/>
        </w:rPr>
      </w:pPr>
      <w:r>
        <w:rPr>
          <w:rFonts w:hint="eastAsia"/>
          <w:lang w:val="en-US" w:eastAsia="zh-CN"/>
        </w:rPr>
        <w:t xml:space="preserve"> 具备数据质量审计功能，支持实现数据质量的管理过程。支持通过事前预防、事中监控与控制、事后评估和改进的设计思路，通过技术加管理的手段，覆盖重点的数据实体和数据处理过程，基于数据标准进行数据质量的监控、评估和优化。</w:t>
      </w:r>
    </w:p>
    <w:p>
      <w:pPr>
        <w:pStyle w:val="16"/>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0" w:leftChars="0" w:hanging="420" w:firstLineChars="0"/>
        <w:textAlignment w:val="auto"/>
        <w:rPr>
          <w:rFonts w:hint="eastAsia"/>
          <w:lang w:val="en-US" w:eastAsia="zh-CN"/>
        </w:rPr>
      </w:pPr>
      <w:r>
        <w:rPr>
          <w:rFonts w:hint="eastAsia"/>
          <w:lang w:val="en-US" w:eastAsia="zh-CN"/>
        </w:rPr>
        <w:t xml:space="preserve"> 具备通过建立数据质量评估标准和管理规范,及时发现、监测定位、跟踪解决各类数据质量问题,形成数据质量问题的闭环处理,以保证数据质量的稳定可靠，实现数据质量日常监控。</w:t>
      </w:r>
    </w:p>
    <w:p>
      <w:pPr>
        <w:rPr>
          <w:rFonts w:hint="eastAsia" w:asciiTheme="minorEastAsia" w:hAnsiTheme="minorEastAsia" w:eastAsiaTheme="minorEastAsia" w:cstheme="minorEastAsia"/>
          <w:color w:val="000000" w:themeColor="text1"/>
          <w:kern w:val="2"/>
          <w14:textFill>
            <w14:solidFill>
              <w14:schemeClr w14:val="tx1"/>
            </w14:solidFill>
          </w14:textFill>
        </w:rPr>
      </w:pPr>
    </w:p>
    <w:p>
      <w:pPr>
        <w:pStyle w:val="16"/>
        <w:numPr>
          <w:ilvl w:val="1"/>
          <w:numId w:val="10"/>
        </w:numPr>
        <w:ind w:left="420" w:leftChars="0" w:hanging="420" w:firstLineChars="0"/>
        <w:outlineLvl w:val="2"/>
        <w:rPr>
          <w:rFonts w:hint="eastAsia"/>
          <w:lang w:val="en-US" w:eastAsia="zh-CN"/>
        </w:rPr>
      </w:pPr>
      <w:r>
        <w:rPr>
          <w:rFonts w:hint="eastAsia" w:asciiTheme="minorEastAsia" w:hAnsiTheme="minorEastAsia" w:eastAsiaTheme="minorEastAsia" w:cstheme="minorEastAsia"/>
          <w:kern w:val="0"/>
          <w:szCs w:val="21"/>
        </w:rPr>
        <w:t>数据共享</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420" w:leftChars="0" w:hanging="420" w:firstLineChars="0"/>
        <w:textAlignment w:val="auto"/>
        <w:rPr>
          <w:rFonts w:hint="eastAsia" w:asciiTheme="minorEastAsia" w:hAnsiTheme="minorEastAsia" w:eastAsiaTheme="minorEastAsia" w:cstheme="minorEastAsia"/>
          <w:color w:val="000000" w:themeColor="text1"/>
          <w:kern w:val="2"/>
          <w14:textFill>
            <w14:solidFill>
              <w14:schemeClr w14:val="tx1"/>
            </w14:solidFill>
          </w14:textFill>
        </w:rPr>
      </w:pPr>
      <w:r>
        <w:rPr>
          <w:rFonts w:hint="eastAsia" w:asciiTheme="minorEastAsia" w:hAnsiTheme="minorEastAsia" w:eastAsiaTheme="minorEastAsia" w:cstheme="minorEastAsia"/>
          <w:color w:val="000000" w:themeColor="text1"/>
          <w:kern w:val="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14:textFill>
            <w14:solidFill>
              <w14:schemeClr w14:val="tx1"/>
            </w14:solidFill>
          </w14:textFill>
        </w:rPr>
        <w:t>具备数据共享下载功能，支持业务用户在允许的权限范围内，浏览数据资源目录，发现感兴趣的数据，可以点击数据共享下载，下载数据资源文件到本地磁盘。</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420" w:leftChars="0" w:hanging="420" w:firstLineChars="0"/>
        <w:textAlignment w:val="auto"/>
        <w:rPr>
          <w:rFonts w:hint="eastAsia" w:asciiTheme="minorEastAsia" w:hAnsiTheme="minorEastAsia" w:eastAsiaTheme="minorEastAsia" w:cstheme="minorEastAsia"/>
          <w:color w:val="000000" w:themeColor="text1"/>
          <w:kern w:val="2"/>
          <w14:textFill>
            <w14:solidFill>
              <w14:schemeClr w14:val="tx1"/>
            </w14:solidFill>
          </w14:textFill>
        </w:rPr>
      </w:pPr>
      <w:r>
        <w:rPr>
          <w:rFonts w:hint="eastAsia" w:asciiTheme="minorEastAsia" w:hAnsiTheme="minorEastAsia" w:eastAsiaTheme="minorEastAsia" w:cstheme="minorEastAsia"/>
          <w:color w:val="000000" w:themeColor="text1"/>
          <w:kern w:val="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14:textFill>
            <w14:solidFill>
              <w14:schemeClr w14:val="tx1"/>
            </w14:solidFill>
          </w14:textFill>
        </w:rPr>
        <w:t>具备数据权限申请功能，支持业务用户浏览发现感兴趣的数据目录，但其不具有默认的数据下载权限，可以提出数据使用权限申请，经平台管理员审核同意后，可自动开放相应的数据权下载限。对服务申请提供授权功能，可以进行同意授权、拒绝授权、填写拒绝原因、关闭授权等操作。</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420" w:leftChars="0" w:hanging="420" w:firstLineChars="0"/>
        <w:textAlignment w:val="auto"/>
        <w:rPr>
          <w:rFonts w:hint="eastAsia" w:asciiTheme="minorEastAsia" w:hAnsiTheme="minorEastAsia" w:eastAsiaTheme="minorEastAsia" w:cstheme="minorEastAsia"/>
          <w:color w:val="000000" w:themeColor="text1"/>
          <w:kern w:val="2"/>
          <w14:textFill>
            <w14:solidFill>
              <w14:schemeClr w14:val="tx1"/>
            </w14:solidFill>
          </w14:textFill>
        </w:rPr>
      </w:pPr>
      <w:r>
        <w:rPr>
          <w:rFonts w:hint="eastAsia" w:asciiTheme="minorEastAsia" w:hAnsiTheme="minorEastAsia" w:eastAsiaTheme="minorEastAsia" w:cstheme="minorEastAsia"/>
          <w:color w:val="000000" w:themeColor="text1"/>
          <w:kern w:val="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14:textFill>
            <w14:solidFill>
              <w14:schemeClr w14:val="tx1"/>
            </w14:solidFill>
          </w14:textFill>
        </w:rPr>
        <w:t>具备数据共享概览功能，支持通过不同的数据指标反映出目前数据共享门户的数据概览情况，包括数据资源目录数量、各目录下的数据记录体量、数据共享上传情况、数据下载情况等、数据共享贡献度分布情况等。</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420" w:leftChars="0" w:hanging="420" w:firstLineChars="0"/>
        <w:textAlignment w:val="auto"/>
        <w:rPr>
          <w:rFonts w:hint="eastAsia" w:asciiTheme="minorEastAsia" w:hAnsiTheme="minorEastAsia" w:eastAsiaTheme="minorEastAsia" w:cstheme="minorEastAsia"/>
          <w:color w:val="000000" w:themeColor="text1"/>
          <w:kern w:val="2"/>
          <w14:textFill>
            <w14:solidFill>
              <w14:schemeClr w14:val="tx1"/>
            </w14:solidFill>
          </w14:textFill>
        </w:rPr>
      </w:pPr>
      <w:r>
        <w:rPr>
          <w:rFonts w:hint="eastAsia" w:asciiTheme="minorEastAsia" w:hAnsiTheme="minorEastAsia" w:eastAsiaTheme="minorEastAsia" w:cstheme="minorEastAsia"/>
          <w:color w:val="000000" w:themeColor="text1"/>
          <w:kern w:val="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14:textFill>
            <w14:solidFill>
              <w14:schemeClr w14:val="tx1"/>
            </w14:solidFill>
          </w14:textFill>
        </w:rPr>
        <w:t>具备数据目录浏览功能，支持信息资源目录查询、数据开放服务请求等功能。</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420" w:leftChars="0" w:hanging="420" w:firstLineChars="0"/>
        <w:textAlignment w:val="auto"/>
        <w:rPr>
          <w:rFonts w:hint="eastAsia" w:asciiTheme="minorEastAsia" w:hAnsiTheme="minorEastAsia" w:eastAsiaTheme="minorEastAsia" w:cstheme="minorEastAsia"/>
          <w:color w:val="000000" w:themeColor="text1"/>
          <w:kern w:val="2"/>
          <w14:textFill>
            <w14:solidFill>
              <w14:schemeClr w14:val="tx1"/>
            </w14:solidFill>
          </w14:textFill>
        </w:rPr>
      </w:pPr>
      <w:r>
        <w:rPr>
          <w:rFonts w:hint="eastAsia" w:asciiTheme="minorEastAsia" w:hAnsiTheme="minorEastAsia" w:eastAsiaTheme="minorEastAsia" w:cstheme="minorEastAsia"/>
          <w:color w:val="000000" w:themeColor="text1"/>
          <w:kern w:val="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14:textFill>
            <w14:solidFill>
              <w14:schemeClr w14:val="tx1"/>
            </w14:solidFill>
          </w14:textFill>
        </w:rPr>
        <w:t>具备数据定制查询功能，用户通过定制查询条件，在某一数据记录集中进行查询目标数据。</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420" w:leftChars="0" w:hanging="420" w:firstLineChars="0"/>
        <w:textAlignment w:val="auto"/>
        <w:rPr>
          <w:rFonts w:hint="eastAsia" w:asciiTheme="minorEastAsia" w:hAnsiTheme="minorEastAsia" w:eastAsiaTheme="minorEastAsia" w:cstheme="minorEastAsia"/>
          <w:color w:val="000000" w:themeColor="text1"/>
          <w:kern w:val="2"/>
          <w14:textFill>
            <w14:solidFill>
              <w14:schemeClr w14:val="tx1"/>
            </w14:solidFill>
          </w14:textFill>
        </w:rPr>
      </w:pPr>
      <w:r>
        <w:rPr>
          <w:rFonts w:hint="eastAsia" w:asciiTheme="minorEastAsia" w:hAnsiTheme="minorEastAsia" w:eastAsiaTheme="minorEastAsia" w:cstheme="minorEastAsia"/>
          <w:color w:val="000000" w:themeColor="text1"/>
          <w:kern w:val="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14:textFill>
            <w14:solidFill>
              <w14:schemeClr w14:val="tx1"/>
            </w14:solidFill>
          </w14:textFill>
        </w:rPr>
        <w:t>具备对查询到的目标数据进行数据下载的功能。</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420" w:leftChars="0" w:hanging="420" w:firstLineChars="0"/>
        <w:textAlignment w:val="auto"/>
        <w:rPr>
          <w:rFonts w:hint="eastAsia" w:asciiTheme="minorEastAsia" w:hAnsiTheme="minorEastAsia" w:eastAsiaTheme="minorEastAsia" w:cstheme="minorEastAsia"/>
          <w:color w:val="000000" w:themeColor="text1"/>
          <w:kern w:val="2"/>
          <w14:textFill>
            <w14:solidFill>
              <w14:schemeClr w14:val="tx1"/>
            </w14:solidFill>
          </w14:textFill>
        </w:rPr>
      </w:pPr>
      <w:r>
        <w:rPr>
          <w:rFonts w:hint="eastAsia" w:asciiTheme="minorEastAsia" w:hAnsiTheme="minorEastAsia" w:eastAsiaTheme="minorEastAsia" w:cstheme="minorEastAsia"/>
          <w:color w:val="000000" w:themeColor="text1"/>
          <w:kern w:val="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14:textFill>
            <w14:solidFill>
              <w14:schemeClr w14:val="tx1"/>
            </w14:solidFill>
          </w14:textFill>
        </w:rPr>
        <w:t>具备普通用户未能在数据目录中发现自己的目标数据，支持通过数据开放申请功能，申请特定的数据开放，经相关业务处室和平台管理员审核后，通过邮件等方式发送开放数据。支持进入信息资源目录的交换管理页面，填写交换申请，配置目的数据源等功能。</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420" w:leftChars="0" w:hanging="420" w:firstLineChars="0"/>
        <w:textAlignment w:val="auto"/>
        <w:rPr>
          <w:rFonts w:hint="eastAsia" w:asciiTheme="minorEastAsia" w:hAnsiTheme="minorEastAsia" w:eastAsiaTheme="minorEastAsia" w:cstheme="minorEastAsia"/>
          <w:color w:val="000000" w:themeColor="text1"/>
          <w:kern w:val="2"/>
          <w14:textFill>
            <w14:solidFill>
              <w14:schemeClr w14:val="tx1"/>
            </w14:solidFill>
          </w14:textFill>
        </w:rPr>
      </w:pPr>
      <w:r>
        <w:rPr>
          <w:rFonts w:hint="eastAsia" w:asciiTheme="minorEastAsia" w:hAnsiTheme="minorEastAsia" w:eastAsiaTheme="minorEastAsia" w:cstheme="minorEastAsia"/>
          <w:color w:val="000000" w:themeColor="text1"/>
          <w:kern w:val="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14:textFill>
            <w14:solidFill>
              <w14:schemeClr w14:val="tx1"/>
            </w14:solidFill>
          </w14:textFill>
        </w:rPr>
        <w:t>具备通过不同的数据指标反映目前数据开放门户的数据概览情况，支持数据资源目录数量、各目录下的数据记录体量、数据开放情况、数据下载情况、数据热度分布情况等概览。支持对数据开放的基础静态信息的分类统计，以饼图或柱状图的方式呈现统计结果。包括：资源目录数量、各目录下的数据记录体量、数据开放情况、数据下载情况、数据热度分布情况等呈现统计。</w:t>
      </w:r>
    </w:p>
    <w:p>
      <w:pPr>
        <w:pStyle w:val="16"/>
        <w:keepNext w:val="0"/>
        <w:keepLines w:val="0"/>
        <w:pageBreakBefore w:val="0"/>
        <w:widowControl w:val="0"/>
        <w:numPr>
          <w:ilvl w:val="0"/>
          <w:numId w:val="15"/>
        </w:numPr>
        <w:kinsoku/>
        <w:wordWrap/>
        <w:overflowPunct/>
        <w:topLinePunct w:val="0"/>
        <w:autoSpaceDE/>
        <w:autoSpaceDN/>
        <w:bidi w:val="0"/>
        <w:adjustRightInd/>
        <w:snapToGrid/>
        <w:spacing w:line="360" w:lineRule="auto"/>
        <w:ind w:left="420" w:leftChars="0" w:hanging="420" w:firstLineChars="0"/>
        <w:textAlignment w:val="auto"/>
        <w:rPr>
          <w:rFonts w:hint="eastAsia"/>
        </w:rPr>
      </w:pPr>
      <w:r>
        <w:rPr>
          <w:rFonts w:hint="eastAsia"/>
          <w:lang w:val="en-US" w:eastAsia="zh-CN"/>
        </w:rPr>
        <w:t xml:space="preserve"> </w:t>
      </w:r>
      <w:r>
        <w:rPr>
          <w:rFonts w:hint="eastAsia"/>
        </w:rPr>
        <w:t>具备通过数据交换子平台提供基于文件的数据交换服务，实现各类业务信息系统互联互通，提供数据交换传输通道，严格做到不干涉业务、与数据结构、数据类型无关；基于数字证书，实现高效、可靠、安全的文件传输，支持平台无关、自主路由、专用通道、多点投放等功能特性；实现对交换传输通道的管控，支持交换节点注册机制、文件自动投放与专用通道、业务编码及授权机制等。支持数据交换通过各自的前置机进行，前置机之间通过传输服务（传输中间件）实现数据文件的传输和数据搬运。前置机与各自平台之间通过数据转换模块进行桥接，数据转换模块可以直接访问数据库，负责对平台需要参与交换的数据进行预处理，实现数据库结构与文件结构之间的相互转换和管理，生成数据文件支持和符合数据交换统一要求的XML格式。整个交换传输过程有交换监管模块和过程日志监记录和监管管理。交换平台可以管理和查看数据转换过程、数据交换传输过程的日志。</w:t>
      </w:r>
    </w:p>
    <w:p>
      <w:pPr>
        <w:pStyle w:val="16"/>
        <w:keepNext w:val="0"/>
        <w:keepLines w:val="0"/>
        <w:pageBreakBefore w:val="0"/>
        <w:widowControl w:val="0"/>
        <w:numPr>
          <w:ilvl w:val="0"/>
          <w:numId w:val="15"/>
        </w:numPr>
        <w:kinsoku/>
        <w:wordWrap/>
        <w:overflowPunct/>
        <w:topLinePunct w:val="0"/>
        <w:autoSpaceDE/>
        <w:autoSpaceDN/>
        <w:bidi w:val="0"/>
        <w:adjustRightInd/>
        <w:snapToGrid/>
        <w:spacing w:line="360" w:lineRule="auto"/>
        <w:ind w:left="420" w:leftChars="0" w:hanging="420" w:firstLineChars="0"/>
        <w:textAlignment w:val="auto"/>
        <w:rPr>
          <w:rFonts w:hint="eastAsia"/>
        </w:rPr>
      </w:pPr>
      <w:r>
        <w:rPr>
          <w:rFonts w:hint="eastAsia"/>
        </w:rPr>
        <w:t>具备数据加密传输，支持国密算法确保传输的安全性；具备数据压缩传输；具备传输的断点续传；具备超大文件传输，通过断点续传功能，避免由于网络环境因素导致大文件的交换失败；具备传输优先级的设置，可针对交换业务，进行交换优先级设置，避免非关键业务数据占用大量系统资源，导致关键业务数据交换不及时；具备消息队列功能，可建立点对点消息传输通道；具备传输路由转发功能，两交换节点间无法直接交换时，通过管理中心中转交换；具备传输数据的有序性，确保业务数据的准确性；</w:t>
      </w:r>
    </w:p>
    <w:p>
      <w:pPr>
        <w:pStyle w:val="16"/>
        <w:keepNext w:val="0"/>
        <w:keepLines w:val="0"/>
        <w:pageBreakBefore w:val="0"/>
        <w:widowControl w:val="0"/>
        <w:numPr>
          <w:ilvl w:val="0"/>
          <w:numId w:val="15"/>
        </w:numPr>
        <w:kinsoku/>
        <w:wordWrap/>
        <w:overflowPunct/>
        <w:topLinePunct w:val="0"/>
        <w:autoSpaceDE/>
        <w:autoSpaceDN/>
        <w:bidi w:val="0"/>
        <w:adjustRightInd/>
        <w:snapToGrid/>
        <w:spacing w:line="360" w:lineRule="auto"/>
        <w:ind w:left="420" w:leftChars="0" w:hanging="420" w:firstLineChars="0"/>
        <w:textAlignment w:val="auto"/>
        <w:rPr>
          <w:rFonts w:hint="eastAsia"/>
        </w:rPr>
      </w:pPr>
      <w:r>
        <w:rPr>
          <w:rFonts w:hint="eastAsia"/>
          <w:lang w:val="en-US" w:eastAsia="zh-CN"/>
        </w:rPr>
        <w:t xml:space="preserve"> </w:t>
      </w:r>
      <w:r>
        <w:rPr>
          <w:rFonts w:hint="eastAsia"/>
        </w:rPr>
        <w:t>具备数据提供方将提供满足数据需求方的多种数据配送服务，数据共享平台的共享服务将提供以下三种数据推送方式：数据库推送、WebService 推送、FTP 推送。</w:t>
      </w:r>
    </w:p>
    <w:p>
      <w:pPr>
        <w:pStyle w:val="16"/>
        <w:keepNext w:val="0"/>
        <w:keepLines w:val="0"/>
        <w:pageBreakBefore w:val="0"/>
        <w:widowControl w:val="0"/>
        <w:numPr>
          <w:ilvl w:val="0"/>
          <w:numId w:val="15"/>
        </w:numPr>
        <w:kinsoku/>
        <w:wordWrap/>
        <w:overflowPunct/>
        <w:topLinePunct w:val="0"/>
        <w:autoSpaceDE/>
        <w:autoSpaceDN/>
        <w:bidi w:val="0"/>
        <w:adjustRightInd/>
        <w:snapToGrid/>
        <w:spacing w:line="360" w:lineRule="auto"/>
        <w:ind w:left="420" w:leftChars="0" w:hanging="420" w:firstLineChars="0"/>
        <w:textAlignment w:val="auto"/>
        <w:rPr>
          <w:rFonts w:hint="eastAsia"/>
        </w:rPr>
      </w:pPr>
      <w:r>
        <w:rPr>
          <w:rFonts w:hint="eastAsia"/>
          <w:lang w:val="en-US" w:eastAsia="zh-CN"/>
        </w:rPr>
        <w:t xml:space="preserve"> </w:t>
      </w:r>
      <w:r>
        <w:rPr>
          <w:rFonts w:hint="eastAsia"/>
        </w:rPr>
        <w:t>具备基于WebService服务提供数据共享调用的API接口，当业务的信息系统需要实时获取数据时，调用相应的API接口，传入数据筛选的参数，接口回传数据记录集合。</w:t>
      </w:r>
    </w:p>
    <w:p>
      <w:pPr>
        <w:pStyle w:val="16"/>
        <w:keepNext w:val="0"/>
        <w:keepLines w:val="0"/>
        <w:pageBreakBefore w:val="0"/>
        <w:widowControl w:val="0"/>
        <w:numPr>
          <w:ilvl w:val="0"/>
          <w:numId w:val="15"/>
        </w:numPr>
        <w:kinsoku/>
        <w:wordWrap/>
        <w:overflowPunct/>
        <w:topLinePunct w:val="0"/>
        <w:autoSpaceDE/>
        <w:autoSpaceDN/>
        <w:bidi w:val="0"/>
        <w:adjustRightInd/>
        <w:snapToGrid/>
        <w:spacing w:line="360" w:lineRule="auto"/>
        <w:ind w:left="420" w:leftChars="0" w:hanging="420" w:firstLineChars="0"/>
        <w:textAlignment w:val="auto"/>
        <w:rPr>
          <w:rFonts w:hint="eastAsia"/>
        </w:rPr>
      </w:pPr>
      <w:r>
        <w:rPr>
          <w:rFonts w:hint="eastAsia"/>
          <w:lang w:val="en-US" w:eastAsia="zh-CN"/>
        </w:rPr>
        <w:t xml:space="preserve"> </w:t>
      </w:r>
      <w:r>
        <w:rPr>
          <w:rFonts w:hint="eastAsia"/>
        </w:rPr>
        <w:t>具备平台把用户需要的数据推送到直接共享数据库数据表中，同时向业务部门开放前置机共享数据库读取的权限，用户只需要用分配的账号连接数据库，即可以只读方式获取共享数据库中的目标数据。</w:t>
      </w:r>
    </w:p>
    <w:p>
      <w:pPr>
        <w:pStyle w:val="16"/>
        <w:keepNext w:val="0"/>
        <w:keepLines w:val="0"/>
        <w:pageBreakBefore w:val="0"/>
        <w:widowControl w:val="0"/>
        <w:numPr>
          <w:ilvl w:val="0"/>
          <w:numId w:val="15"/>
        </w:numPr>
        <w:kinsoku/>
        <w:wordWrap/>
        <w:overflowPunct/>
        <w:topLinePunct w:val="0"/>
        <w:autoSpaceDE/>
        <w:autoSpaceDN/>
        <w:bidi w:val="0"/>
        <w:adjustRightInd/>
        <w:snapToGrid/>
        <w:spacing w:line="360" w:lineRule="auto"/>
        <w:ind w:left="420" w:leftChars="0" w:hanging="420" w:firstLineChars="0"/>
        <w:textAlignment w:val="auto"/>
        <w:rPr>
          <w:rFonts w:hint="eastAsia"/>
        </w:rPr>
      </w:pPr>
      <w:r>
        <w:rPr>
          <w:rFonts w:hint="eastAsia"/>
          <w:lang w:val="en-US" w:eastAsia="zh-CN"/>
        </w:rPr>
        <w:t xml:space="preserve"> </w:t>
      </w:r>
      <w:r>
        <w:rPr>
          <w:rFonts w:hint="eastAsia"/>
        </w:rPr>
        <w:t>具备开发制度、流程和开发规范的创建功能，支持数据服务接口采用技术标准体系SOA—SCA和SDO的标准来构建数据服务接口规范。支持通过网路传输连接认证，传输过程数据加密处理等方式实现数据服务安全。</w:t>
      </w:r>
    </w:p>
    <w:p>
      <w:pPr>
        <w:pStyle w:val="16"/>
        <w:keepNext w:val="0"/>
        <w:keepLines w:val="0"/>
        <w:pageBreakBefore w:val="0"/>
        <w:widowControl w:val="0"/>
        <w:numPr>
          <w:ilvl w:val="0"/>
          <w:numId w:val="15"/>
        </w:numPr>
        <w:kinsoku/>
        <w:wordWrap/>
        <w:overflowPunct/>
        <w:topLinePunct w:val="0"/>
        <w:autoSpaceDE/>
        <w:autoSpaceDN/>
        <w:bidi w:val="0"/>
        <w:adjustRightInd/>
        <w:snapToGrid/>
        <w:spacing w:line="360" w:lineRule="auto"/>
        <w:ind w:left="420" w:leftChars="0" w:hanging="420" w:firstLineChars="0"/>
        <w:textAlignment w:val="auto"/>
        <w:rPr>
          <w:rFonts w:hint="eastAsia"/>
        </w:rPr>
      </w:pPr>
      <w:r>
        <w:rPr>
          <w:rFonts w:hint="eastAsia"/>
          <w:lang w:val="en-US" w:eastAsia="zh-CN"/>
        </w:rPr>
        <w:t xml:space="preserve"> </w:t>
      </w:r>
      <w:r>
        <w:rPr>
          <w:rFonts w:hint="eastAsia"/>
        </w:rPr>
        <w:t>具备数据开放平台各数据接口的开放接口说明功能，支持阐述接口权限、频率、传入参数、回传结果等使用信息，即时更新，方便使用与系统维护；提供根据现有信息资源、数据元素定义标准、信息表示标准和信息分类规则，按照国际标准、国家标准、行业标准进行平台运行管理技术规范编制。对于无标准的信息系统间的数据交换，支持遵循数据元素设计原则，确定信息交换所需的数据内容和相互关系，遵循数据表示的内容和代码的细化分层取值规则，建立数据模型和元数据目录；支持对数据资源实行动态管理，应明确共享交换信息资源的采集、注册、存储、更新、注销管理办法，保障信息资源的时效性。</w:t>
      </w:r>
    </w:p>
    <w:p>
      <w:pPr>
        <w:pStyle w:val="16"/>
        <w:keepNext w:val="0"/>
        <w:keepLines w:val="0"/>
        <w:pageBreakBefore w:val="0"/>
        <w:widowControl w:val="0"/>
        <w:numPr>
          <w:ilvl w:val="0"/>
          <w:numId w:val="15"/>
        </w:numPr>
        <w:kinsoku/>
        <w:wordWrap/>
        <w:overflowPunct/>
        <w:topLinePunct w:val="0"/>
        <w:autoSpaceDE/>
        <w:autoSpaceDN/>
        <w:bidi w:val="0"/>
        <w:adjustRightInd/>
        <w:snapToGrid/>
        <w:spacing w:line="360" w:lineRule="auto"/>
        <w:ind w:left="420" w:leftChars="0" w:hanging="420" w:firstLineChars="0"/>
        <w:textAlignment w:val="auto"/>
        <w:rPr>
          <w:rFonts w:hint="eastAsia"/>
        </w:rPr>
      </w:pPr>
      <w:r>
        <w:rPr>
          <w:rFonts w:hint="eastAsia"/>
          <w:lang w:val="en-US" w:eastAsia="zh-CN"/>
        </w:rPr>
        <w:t xml:space="preserve"> </w:t>
      </w:r>
      <w:r>
        <w:rPr>
          <w:rFonts w:hint="eastAsia"/>
        </w:rPr>
        <w:t>具备接口调用帐号权限的安全管理，提供接口用户的申请，帐号注销与变更，用户权限重新分配等。</w:t>
      </w:r>
    </w:p>
    <w:p>
      <w:pPr>
        <w:pStyle w:val="16"/>
        <w:keepNext w:val="0"/>
        <w:keepLines w:val="0"/>
        <w:pageBreakBefore w:val="0"/>
        <w:widowControl w:val="0"/>
        <w:numPr>
          <w:ilvl w:val="0"/>
          <w:numId w:val="15"/>
        </w:numPr>
        <w:kinsoku/>
        <w:wordWrap/>
        <w:overflowPunct/>
        <w:topLinePunct w:val="0"/>
        <w:autoSpaceDE/>
        <w:autoSpaceDN/>
        <w:bidi w:val="0"/>
        <w:adjustRightInd/>
        <w:snapToGrid/>
        <w:spacing w:line="360" w:lineRule="auto"/>
        <w:ind w:left="420" w:leftChars="0" w:hanging="420" w:firstLineChars="0"/>
        <w:textAlignment w:val="auto"/>
        <w:rPr>
          <w:rFonts w:hint="eastAsia"/>
        </w:rPr>
      </w:pPr>
      <w:r>
        <w:rPr>
          <w:rFonts w:hint="eastAsia"/>
          <w:lang w:val="en-US" w:eastAsia="zh-CN"/>
        </w:rPr>
        <w:t xml:space="preserve"> </w:t>
      </w:r>
      <w:r>
        <w:rPr>
          <w:rFonts w:hint="eastAsia"/>
        </w:rPr>
        <w:t>具备基于WebService提供数据开放接口API的调用功能。</w:t>
      </w:r>
    </w:p>
    <w:p>
      <w:pPr>
        <w:pStyle w:val="16"/>
        <w:keepNext w:val="0"/>
        <w:keepLines w:val="0"/>
        <w:pageBreakBefore w:val="0"/>
        <w:widowControl w:val="0"/>
        <w:numPr>
          <w:ilvl w:val="0"/>
          <w:numId w:val="15"/>
        </w:numPr>
        <w:kinsoku/>
        <w:wordWrap/>
        <w:overflowPunct/>
        <w:topLinePunct w:val="0"/>
        <w:autoSpaceDE/>
        <w:autoSpaceDN/>
        <w:bidi w:val="0"/>
        <w:adjustRightInd/>
        <w:snapToGrid/>
        <w:spacing w:line="360" w:lineRule="auto"/>
        <w:ind w:left="420" w:leftChars="0" w:hanging="420" w:firstLineChars="0"/>
        <w:textAlignment w:val="auto"/>
        <w:rPr>
          <w:rFonts w:hint="eastAsia"/>
        </w:rPr>
      </w:pPr>
      <w:r>
        <w:rPr>
          <w:rFonts w:hint="eastAsia"/>
          <w:lang w:val="en-US" w:eastAsia="zh-CN"/>
        </w:rPr>
        <w:t xml:space="preserve"> </w:t>
      </w:r>
      <w:r>
        <w:rPr>
          <w:rFonts w:hint="eastAsia"/>
        </w:rPr>
        <w:t>具备基于WEB页面的开放接口的调用测试功能，验证开放接口的可用性；信息资源所属单位支持对本单位需要交换数据的业务活动和过程进行梳理和需求分析，并使用业务建模工具和技术，对需要交换共享数据的业务需求、业务流程及业务信息进行抽象分析，建立有效地、完整的业务数据模型；对信息交换的文件格式、文件命名、数据元代码、文件路径、回执文件等进行定义。支持根据数据建模阶段产生的数据模型，并根据数据规范化阶段产生的标准数据元目录，依据相关的XML格式设计规范设计交换数据格式，生成数据交换和共享的XML格式数据。支持对参与数据交换的各单位前置交换环境所需的网络、服务费数据库等提出配置需求，规范前置交换机器的IP地址、交换节点服务器的命名规则、各方配置要求，以便于快速搭建共享交换前置环境。</w:t>
      </w:r>
    </w:p>
    <w:p>
      <w:pPr>
        <w:pStyle w:val="16"/>
        <w:numPr>
          <w:ilvl w:val="1"/>
          <w:numId w:val="10"/>
        </w:numPr>
        <w:ind w:left="420" w:leftChars="0" w:hanging="420" w:firstLineChars="0"/>
        <w:outlineLvl w:val="2"/>
        <w:rPr>
          <w:rFonts w:hint="eastAsia"/>
          <w:lang w:val="en-US" w:eastAsia="zh-CN"/>
        </w:rPr>
      </w:pPr>
      <w:r>
        <w:rPr>
          <w:rFonts w:hint="eastAsia"/>
          <w:lang w:val="en-US" w:eastAsia="zh-CN"/>
        </w:rPr>
        <w:t>其他要求</w:t>
      </w:r>
    </w:p>
    <w:p>
      <w:pPr>
        <w:pStyle w:val="167"/>
        <w:keepNext w:val="0"/>
        <w:keepLines w:val="0"/>
        <w:pageBreakBefore w:val="0"/>
        <w:widowControl/>
        <w:numPr>
          <w:ilvl w:val="0"/>
          <w:numId w:val="16"/>
        </w:numPr>
        <w:kinsoku/>
        <w:wordWrap/>
        <w:overflowPunct/>
        <w:topLinePunct w:val="0"/>
        <w:autoSpaceDE/>
        <w:autoSpaceDN/>
        <w:bidi w:val="0"/>
        <w:adjustRightInd/>
        <w:snapToGrid/>
        <w:spacing w:line="360" w:lineRule="auto"/>
        <w:ind w:left="420" w:leftChars="0" w:hanging="420" w:firstLineChars="0"/>
        <w:textAlignment w:val="auto"/>
        <w:rPr>
          <w:rFonts w:asciiTheme="minorEastAsia" w:hAnsiTheme="minorEastAsia" w:eastAsiaTheme="minorEastAsia" w:cstheme="minorEastAsia"/>
          <w:color w:val="000000" w:themeColor="text1"/>
          <w:kern w:val="2"/>
          <w14:textFill>
            <w14:solidFill>
              <w14:schemeClr w14:val="tx1"/>
            </w14:solidFill>
          </w14:textFill>
        </w:rPr>
      </w:pPr>
      <w:r>
        <w:rPr>
          <w:rFonts w:hint="eastAsia" w:asciiTheme="minorEastAsia" w:hAnsiTheme="minorEastAsia" w:eastAsiaTheme="minorEastAsia" w:cstheme="minorEastAsia"/>
          <w:color w:val="000000" w:themeColor="text1"/>
          <w:kern w:val="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14:textFill>
            <w14:solidFill>
              <w14:schemeClr w14:val="tx1"/>
            </w14:solidFill>
          </w14:textFill>
        </w:rPr>
        <w:t>应采用开放的技术架构，应能够兼容主流的服务器。</w:t>
      </w:r>
    </w:p>
    <w:p>
      <w:pPr>
        <w:pStyle w:val="167"/>
        <w:keepNext w:val="0"/>
        <w:keepLines w:val="0"/>
        <w:pageBreakBefore w:val="0"/>
        <w:widowControl/>
        <w:numPr>
          <w:ilvl w:val="0"/>
          <w:numId w:val="16"/>
        </w:numPr>
        <w:kinsoku/>
        <w:wordWrap/>
        <w:overflowPunct/>
        <w:topLinePunct w:val="0"/>
        <w:autoSpaceDE/>
        <w:autoSpaceDN/>
        <w:bidi w:val="0"/>
        <w:adjustRightInd/>
        <w:snapToGrid/>
        <w:spacing w:line="360" w:lineRule="auto"/>
        <w:ind w:left="420" w:leftChars="0" w:hanging="420" w:firstLineChars="0"/>
        <w:textAlignment w:val="auto"/>
        <w:rPr>
          <w:rFonts w:asciiTheme="minorEastAsia" w:hAnsiTheme="minorEastAsia" w:eastAsiaTheme="minorEastAsia" w:cstheme="minorEastAsia"/>
          <w:color w:val="000000" w:themeColor="text1"/>
          <w:kern w:val="2"/>
          <w14:textFill>
            <w14:solidFill>
              <w14:schemeClr w14:val="tx1"/>
            </w14:solidFill>
          </w14:textFill>
        </w:rPr>
      </w:pPr>
      <w:r>
        <w:rPr>
          <w:rFonts w:hint="eastAsia" w:asciiTheme="minorEastAsia" w:hAnsiTheme="minorEastAsia" w:eastAsiaTheme="minorEastAsia" w:cstheme="minorEastAsia"/>
          <w:color w:val="000000" w:themeColor="text1"/>
          <w:kern w:val="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14:textFill>
            <w14:solidFill>
              <w14:schemeClr w14:val="tx1"/>
            </w14:solidFill>
          </w14:textFill>
        </w:rPr>
        <w:t>应支持本地化部署访问，应支持单机部署和分布式部署。</w:t>
      </w:r>
    </w:p>
    <w:p>
      <w:pPr>
        <w:keepNext w:val="0"/>
        <w:keepLines w:val="0"/>
        <w:pageBreakBefore w:val="0"/>
        <w:numPr>
          <w:ilvl w:val="0"/>
          <w:numId w:val="16"/>
        </w:numPr>
        <w:kinsoku/>
        <w:wordWrap/>
        <w:overflowPunct/>
        <w:topLinePunct w:val="0"/>
        <w:autoSpaceDE/>
        <w:autoSpaceDN/>
        <w:bidi w:val="0"/>
        <w:adjustRightInd/>
        <w:snapToGrid/>
        <w:spacing w:line="360" w:lineRule="auto"/>
        <w:ind w:left="420" w:leftChars="0" w:hanging="420" w:firstLineChars="0"/>
        <w:textAlignment w:val="auto"/>
        <w:rPr>
          <w:rFonts w:hint="eastAsia"/>
          <w:lang w:val="en-US" w:eastAsia="zh-CN"/>
        </w:rPr>
      </w:pPr>
      <w:r>
        <w:rPr>
          <w:rFonts w:hint="eastAsia" w:asciiTheme="minorEastAsia" w:hAnsiTheme="minorEastAsia" w:eastAsiaTheme="minorEastAsia" w:cstheme="minorEastAsia"/>
          <w:color w:val="000000" w:themeColor="text1"/>
          <w:kern w:val="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14:textFill>
            <w14:solidFill>
              <w14:schemeClr w14:val="tx1"/>
            </w14:solidFill>
          </w14:textFill>
        </w:rPr>
        <w:t>应基于完全的B/S 的架构开发，支持主流浏览器访问。</w:t>
      </w:r>
    </w:p>
    <w:p>
      <w:pPr>
        <w:keepNext w:val="0"/>
        <w:keepLines w:val="0"/>
        <w:pageBreakBefore w:val="0"/>
        <w:numPr>
          <w:ilvl w:val="0"/>
          <w:numId w:val="16"/>
        </w:numPr>
        <w:kinsoku/>
        <w:wordWrap/>
        <w:overflowPunct/>
        <w:topLinePunct w:val="0"/>
        <w:autoSpaceDE/>
        <w:autoSpaceDN/>
        <w:bidi w:val="0"/>
        <w:adjustRightInd/>
        <w:snapToGrid/>
        <w:spacing w:line="360" w:lineRule="auto"/>
        <w:ind w:left="420" w:leftChars="0" w:hanging="420" w:firstLineChars="0"/>
        <w:textAlignment w:val="auto"/>
        <w:rPr>
          <w:rFonts w:hint="eastAsia"/>
          <w:lang w:val="en-US" w:eastAsia="zh-CN"/>
        </w:rPr>
      </w:pPr>
      <w:r>
        <w:rPr>
          <w:rFonts w:hint="eastAsia"/>
          <w:lang w:val="en-US" w:eastAsia="zh-CN"/>
        </w:rPr>
        <w:t xml:space="preserve"> 根据云控平台需求，制定数据接入、存储、分析方案，提供智慧高速典型的数据指标和计算算法。</w:t>
      </w:r>
    </w:p>
    <w:p>
      <w:pPr>
        <w:keepNext w:val="0"/>
        <w:keepLines w:val="0"/>
        <w:pageBreakBefore w:val="0"/>
        <w:numPr>
          <w:ilvl w:val="0"/>
          <w:numId w:val="16"/>
        </w:numPr>
        <w:kinsoku/>
        <w:wordWrap/>
        <w:overflowPunct/>
        <w:topLinePunct w:val="0"/>
        <w:autoSpaceDE/>
        <w:autoSpaceDN/>
        <w:bidi w:val="0"/>
        <w:adjustRightInd/>
        <w:snapToGrid/>
        <w:spacing w:line="360" w:lineRule="auto"/>
        <w:ind w:left="420" w:leftChars="0" w:hanging="420" w:firstLineChars="0"/>
        <w:textAlignment w:val="auto"/>
        <w:rPr>
          <w:rFonts w:hint="eastAsia"/>
          <w:lang w:val="en-US" w:eastAsia="zh-CN"/>
        </w:rPr>
      </w:pPr>
      <w:r>
        <w:rPr>
          <w:rFonts w:hint="eastAsia" w:asciiTheme="minorEastAsia" w:hAnsiTheme="minorEastAsia" w:eastAsiaTheme="minorEastAsia" w:cstheme="minorEastAsia"/>
          <w:color w:val="000000" w:themeColor="text1"/>
          <w:kern w:val="2"/>
          <w:lang w:val="en-US" w:eastAsia="zh-CN"/>
          <w14:textFill>
            <w14:solidFill>
              <w14:schemeClr w14:val="tx1"/>
            </w14:solidFill>
          </w14:textFill>
        </w:rPr>
        <w:t xml:space="preserve"> 提供平台二次开发手册并提供二次开发技术培训。</w:t>
      </w:r>
    </w:p>
    <w:p>
      <w:pPr>
        <w:keepNext w:val="0"/>
        <w:keepLines w:val="0"/>
        <w:pageBreakBefore w:val="0"/>
        <w:numPr>
          <w:ilvl w:val="0"/>
          <w:numId w:val="16"/>
        </w:numPr>
        <w:kinsoku/>
        <w:wordWrap/>
        <w:overflowPunct/>
        <w:topLinePunct w:val="0"/>
        <w:autoSpaceDE/>
        <w:autoSpaceDN/>
        <w:bidi w:val="0"/>
        <w:adjustRightInd/>
        <w:snapToGrid/>
        <w:spacing w:line="360" w:lineRule="auto"/>
        <w:ind w:left="420" w:leftChars="0" w:hanging="420" w:firstLineChars="0"/>
        <w:textAlignment w:val="auto"/>
        <w:rPr>
          <w:rFonts w:hint="eastAsia"/>
          <w:lang w:val="en-US" w:eastAsia="zh-CN"/>
        </w:rPr>
      </w:pPr>
      <w:r>
        <w:rPr>
          <w:rFonts w:hint="eastAsia" w:asciiTheme="minorEastAsia" w:hAnsiTheme="minorEastAsia" w:eastAsiaTheme="minorEastAsia" w:cstheme="minorEastAsia"/>
          <w:color w:val="000000" w:themeColor="text1"/>
          <w:kern w:val="2"/>
          <w:lang w:val="en-US" w:eastAsia="zh-CN"/>
          <w14:textFill>
            <w14:solidFill>
              <w14:schemeClr w14:val="tx1"/>
            </w14:solidFill>
          </w14:textFill>
        </w:rPr>
        <w:t>应提供1年的免费缺陷责任期维保</w:t>
      </w:r>
      <w:r>
        <w:rPr>
          <w:rFonts w:hint="eastAsia" w:asciiTheme="minorEastAsia" w:hAnsiTheme="minorEastAsia" w:eastAsiaTheme="minorEastAsia" w:cstheme="minorEastAsia"/>
          <w:color w:val="000000" w:themeColor="text1"/>
          <w:kern w:val="2"/>
          <w14:textFill>
            <w14:solidFill>
              <w14:schemeClr w14:val="tx1"/>
            </w14:solidFill>
          </w14:textFill>
        </w:rPr>
        <w:t>。</w:t>
      </w:r>
    </w:p>
    <w:p>
      <w:pPr>
        <w:pStyle w:val="16"/>
        <w:rPr>
          <w:rFonts w:hint="eastAsia"/>
        </w:rPr>
      </w:pPr>
    </w:p>
    <w:p>
      <w:pPr>
        <w:pStyle w:val="16"/>
        <w:rPr>
          <w:rFonts w:hint="eastAsia"/>
          <w:lang w:val="en-US" w:eastAsia="zh-CN"/>
        </w:rPr>
      </w:pPr>
    </w:p>
    <w:p>
      <w:pPr>
        <w:numPr>
          <w:ilvl w:val="0"/>
          <w:numId w:val="10"/>
        </w:numPr>
        <w:spacing w:line="360" w:lineRule="auto"/>
        <w:ind w:left="425" w:leftChars="0" w:hanging="425" w:firstLineChars="0"/>
        <w:jc w:val="left"/>
        <w:outlineLvl w:val="1"/>
        <w:rPr>
          <w:rFonts w:hint="eastAsia" w:ascii="宋体" w:hAnsi="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地图引擎技术要求</w:t>
      </w:r>
    </w:p>
    <w:p>
      <w:pPr>
        <w:pStyle w:val="16"/>
        <w:numPr>
          <w:ilvl w:val="1"/>
          <w:numId w:val="10"/>
        </w:numPr>
        <w:ind w:left="420" w:leftChars="0" w:hanging="420" w:firstLineChars="0"/>
        <w:outlineLvl w:val="2"/>
        <w:rPr>
          <w:rFonts w:hint="eastAsia"/>
          <w:lang w:val="en-US" w:eastAsia="zh-CN"/>
        </w:rPr>
      </w:pPr>
      <w:r>
        <w:rPr>
          <w:rFonts w:hint="eastAsia" w:asciiTheme="minorEastAsia" w:hAnsiTheme="minorEastAsia" w:eastAsiaTheme="minorEastAsia" w:cstheme="minorEastAsia"/>
          <w:kern w:val="0"/>
          <w:sz w:val="21"/>
          <w:szCs w:val="21"/>
          <w:lang w:val="en-US" w:eastAsia="zh-CN"/>
        </w:rPr>
        <w:t>地图引擎</w:t>
      </w:r>
      <w:r>
        <w:rPr>
          <w:rFonts w:hint="eastAsia" w:asciiTheme="minorEastAsia" w:hAnsiTheme="minorEastAsia" w:eastAsiaTheme="minorEastAsia" w:cstheme="minorEastAsia"/>
          <w:kern w:val="0"/>
          <w:sz w:val="21"/>
          <w:szCs w:val="21"/>
        </w:rPr>
        <w:t>服务器软件</w:t>
      </w:r>
      <w:r>
        <w:rPr>
          <w:rFonts w:hint="eastAsia" w:asciiTheme="minorEastAsia" w:hAnsiTheme="minorEastAsia" w:eastAsiaTheme="minorEastAsia" w:cstheme="minorEastAsia"/>
          <w:kern w:val="0"/>
          <w:sz w:val="21"/>
          <w:szCs w:val="21"/>
          <w:lang w:val="en-US" w:eastAsia="zh-CN"/>
        </w:rPr>
        <w:t>技术要求</w:t>
      </w:r>
    </w:p>
    <w:p>
      <w:pPr>
        <w:keepNext w:val="0"/>
        <w:keepLines w:val="0"/>
        <w:pageBreakBefore w:val="0"/>
        <w:widowControl/>
        <w:numPr>
          <w:ilvl w:val="0"/>
          <w:numId w:val="17"/>
        </w:numPr>
        <w:suppressLineNumbers w:val="0"/>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支持基于增量的分布式异构空间数据库复制功能，支持多级树状结构的复制，支持签入/签出、单向、双向三种复制方式。</w:t>
      </w:r>
    </w:p>
    <w:p>
      <w:pPr>
        <w:keepNext w:val="0"/>
        <w:keepLines w:val="0"/>
        <w:pageBreakBefore w:val="0"/>
        <w:widowControl/>
        <w:numPr>
          <w:ilvl w:val="0"/>
          <w:numId w:val="17"/>
        </w:numPr>
        <w:suppressLineNumbers w:val="0"/>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支持多种类型GIS 服务的发布：如二维地图、三维场景、地理编码、空间数据、OGC 标准服务（如 WMS、KML、WFS、WCS、WPS）。</w:t>
      </w:r>
    </w:p>
    <w:p>
      <w:pPr>
        <w:keepNext w:val="0"/>
        <w:keepLines w:val="0"/>
        <w:pageBreakBefore w:val="0"/>
        <w:widowControl/>
        <w:numPr>
          <w:ilvl w:val="0"/>
          <w:numId w:val="17"/>
        </w:numPr>
        <w:suppressLineNumbers w:val="0"/>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要求提供可配置的服务器门户，通过该门户可以轻松发现和使用服务器资源，包括浏览、查看服务的详细信息，分享资源给其它人，快速在地图窗口中浏览数据，创建要素、切片服务，更改资源的所有者，对服务器资源进行角色和访问权限控制，并且门户支持根据企业特色进行定制。</w:t>
      </w:r>
    </w:p>
    <w:p>
      <w:pPr>
        <w:keepNext w:val="0"/>
        <w:keepLines w:val="0"/>
        <w:pageBreakBefore w:val="0"/>
        <w:widowControl/>
        <w:numPr>
          <w:ilvl w:val="0"/>
          <w:numId w:val="17"/>
        </w:numPr>
        <w:suppressLineNumbers w:val="0"/>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要求可创建、浏览二维地图；可创建、浏览二维地图，并能支持点线面要素符号渲染；支持智能制图；支持使用 Arcade 表达式自定义弹窗内容。</w:t>
      </w:r>
    </w:p>
    <w:p>
      <w:pPr>
        <w:keepNext w:val="0"/>
        <w:keepLines w:val="0"/>
        <w:pageBreakBefore w:val="0"/>
        <w:widowControl/>
        <w:numPr>
          <w:ilvl w:val="0"/>
          <w:numId w:val="17"/>
        </w:numPr>
        <w:suppressLineNumbers w:val="0"/>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要求可在多个门户之间进行便捷的资源共享，包括本地门户与公有云平台之间的资源共享。并可以随时灵活管理共享状态，比如暂停、恢复多个门户之间的资源共享。</w:t>
      </w:r>
    </w:p>
    <w:p>
      <w:pPr>
        <w:keepNext w:val="0"/>
        <w:keepLines w:val="0"/>
        <w:pageBreakBefore w:val="0"/>
        <w:numPr>
          <w:ilvl w:val="0"/>
          <w:numId w:val="17"/>
        </w:numPr>
        <w:kinsoku/>
        <w:wordWrap/>
        <w:overflowPunct/>
        <w:topLinePunct w:val="0"/>
        <w:autoSpaceDE/>
        <w:autoSpaceDN/>
        <w:bidi w:val="0"/>
        <w:adjustRightInd/>
        <w:snapToGrid/>
        <w:spacing w:line="360" w:lineRule="auto"/>
        <w:ind w:left="420" w:leftChars="0" w:hanging="420" w:firstLineChars="0"/>
        <w:textAlignment w:val="auto"/>
        <w:rPr>
          <w:rFonts w:hint="eastAsia"/>
          <w:lang w:val="en-US" w:eastAsia="zh-CN"/>
        </w:rPr>
      </w:pP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能提供三维场景的发布、浏览功能，提供在三维场景内的查询功能，支持安全设置；提供三维空间分析；三维发布和浏览的数据包括地形数据、影像数据、KML 数据、模型数据等，三维空间分析包括通视分析、可视域分析、天际线分析、阴影率统计分析、剖面线分析、阴影率分析等。</w:t>
      </w:r>
    </w:p>
    <w:p>
      <w:pPr>
        <w:pStyle w:val="16"/>
        <w:numPr>
          <w:ilvl w:val="1"/>
          <w:numId w:val="10"/>
        </w:numPr>
        <w:ind w:left="420" w:leftChars="0" w:hanging="420" w:firstLineChars="0"/>
        <w:outlineLvl w:val="2"/>
        <w:rPr>
          <w:rFonts w:hint="eastAsia"/>
          <w:lang w:val="en-US" w:eastAsia="zh-CN"/>
        </w:rPr>
      </w:pPr>
      <w:r>
        <w:rPr>
          <w:rFonts w:hint="eastAsia" w:asciiTheme="minorEastAsia" w:hAnsiTheme="minorEastAsia" w:eastAsiaTheme="minorEastAsia" w:cstheme="minorEastAsia"/>
          <w:kern w:val="0"/>
          <w:sz w:val="21"/>
          <w:szCs w:val="21"/>
          <w:lang w:val="en-US" w:eastAsia="zh-CN"/>
        </w:rPr>
        <w:t>地图引擎桌面</w:t>
      </w:r>
      <w:r>
        <w:rPr>
          <w:rFonts w:hint="eastAsia" w:asciiTheme="minorEastAsia" w:hAnsiTheme="minorEastAsia" w:eastAsiaTheme="minorEastAsia" w:cstheme="minorEastAsia"/>
          <w:kern w:val="0"/>
          <w:sz w:val="21"/>
          <w:szCs w:val="21"/>
        </w:rPr>
        <w:t>软件</w:t>
      </w:r>
      <w:r>
        <w:rPr>
          <w:rFonts w:hint="eastAsia" w:asciiTheme="minorEastAsia" w:hAnsiTheme="minorEastAsia" w:eastAsiaTheme="minorEastAsia" w:cstheme="minorEastAsia"/>
          <w:kern w:val="0"/>
          <w:sz w:val="21"/>
          <w:szCs w:val="21"/>
          <w:lang w:val="en-US" w:eastAsia="zh-CN"/>
        </w:rPr>
        <w:t>技术要求</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可直接访问数据库进行地理数据的可视化、分析和导出， 支持的数据库类型包括达梦、人大金仓、南大通用GBase、HighGo、DB2、Oracle、PostgreSQL、SQL Server、SQLite、Netezza、Teradata、SAP HANA 。支持以下数据库原生空间字段类型： SQL Server Geometry 和Geography、Oracle Spatial、PostGIS。</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支持GeoTIFF、JPEG2000、Erdas Image、中国资源卫星、中国高分卫星、Envi，DMCii、Geoeye、IKONOS、WorldView、SPOT、AIRSAR Polarimetric、CEOS SAR Image、TerraSAR-X 等影像格式， 无需要转换均能加载并无损访问。</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提供对地理数据库、主流空间数据格式直接支持能力，无需任何转换均能直接加载、直接打开并无损直接调用，打开后可直接进行数据浏览、数据加载、数据编辑等，其中可直接展开查看和读取地理数据库数据格式中的关联关系、属性域、子类型、条件值、模型工具，并且这些信息均能无损保存，能够直接将地理数据库的数据模式通过拖拽方式快速加载到地图面板中，数据修改后能够无损的保存为原来的地理数据库格式。</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支持多种投影方式，允许自定义投影；支持动态投影，对多个已知坐标系的数据不需要转换投影，能够直接叠加在一起显示； 除常规投影算法，还提供额外的投影算法，包括亚当斯方形 II 、托布勒圆柱 I、托布勒圆柱 II 、平等地球等。</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支持加载和创建 OGC I3S 规范的三维场景数据包。原生支持 Revit 格式，支持将 Revit 数据在非转换情况下直接生成 I3S 建筑场景图层包。</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支持 Shapefile、Geodatabase、AutoCAD DWG 数据格式，无需转换均能加载并无损访问，可直接编辑 Shapefile、Geodatabase 数据格式。</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支持动态影像函数如波段组合、坡度、坡向、晕渲地貌、 灰度转换、全色锐化裁切、NDVI 等 20 种以上的动态影像处理函数，不产生新的影像数据情况下快速生成新的影像，减少数据冗余和磁盘 存储，支持通过图形化建模方式定义自定义影像添加动态处理函数链，自定义影像添加动态处理函数链能直接应用到影像大数据分析平台 软件。</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支持编制多种类型的专题地图，包括字典符号专题图、唯一值专题图、分级色彩专题图、分级符号专题图、未归类渐变色专题图、统计专题图、比例符号专题图、点密度专题图、栅格单值专题图、栅格分段专题图。</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支持直接利用 netCDF 数据创建体素图层，在 3D 体积可视化中表示多维空间和时间信息，支持等值面，剖面、切片和动画制作。</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支持高级地图标注功能，标注时可以进行自动去除重复标注、可在沿线重复标注、可以实现标注与要素的自动避让、多标注的自动换行等操作；在无法放置标注的时候，提供索引型标注，并在地图空白处显示索引描述。</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支持拓扑关系模型，提供 30 种以上常规拓扑规则定义； 通过拓扑关系维护数据库中空间数据一致性和完整性，包括拓扑关系定义，校验，拓扑错误改正及编辑工具，可以自定义拓扑规则的应用范围，允许将拓扑错误设为异常而不再参与拓扑的下次检查；拓扑规则应包括点需和已有点重合、线必须要在面内部、线必须为单部分。</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支持集成遥感软件功能，实现遥感和地理信息系统软件一体化。</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提供遥感影像的基础处理工具，包括：对比度、亮度、DRA、拉伸、gamma、透明度以及比较两个重叠数据图层的“卷帘”。</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提供可视化模型构建器构建自定义分析模型，自定义模型可以作为工具在新的模型中进行使用，自定义模型支持导出为可独立运行的 Python 脚本，并支持在连接服务器平台软件的情况下，把自定义分析模型发布为地理分析服务。</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rPr>
      </w:pP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支持基于本地Spark 运行环境的空间大数据分析工具集， 包括密度计算、查找热点、查找点聚类、基于森林的分类与回归、广义线性回归、检测事件、查找相似位置、查找停留位置、裁剪图层、复制图层、计算字段、融合边界、范围内汇总、汇总属性、聚合点、连接要素、描述数据集、重新构建轨迹、创建缓冲工具。</w:t>
      </w:r>
    </w:p>
    <w:p>
      <w:pPr>
        <w:pStyle w:val="16"/>
        <w:keepNext w:val="0"/>
        <w:keepLines w:val="0"/>
        <w:pageBreakBefore w:val="0"/>
        <w:widowControl w:val="0"/>
        <w:numPr>
          <w:ilvl w:val="1"/>
          <w:numId w:val="10"/>
        </w:numPr>
        <w:kinsoku/>
        <w:wordWrap/>
        <w:overflowPunct/>
        <w:topLinePunct w:val="0"/>
        <w:autoSpaceDE/>
        <w:autoSpaceDN/>
        <w:bidi w:val="0"/>
        <w:adjustRightInd/>
        <w:snapToGrid/>
        <w:spacing w:line="360" w:lineRule="auto"/>
        <w:ind w:left="420" w:leftChars="0" w:hanging="420" w:firstLineChars="0"/>
        <w:textAlignment w:val="auto"/>
        <w:outlineLvl w:val="2"/>
        <w:rPr>
          <w:rFonts w:hint="eastAsia"/>
          <w:lang w:val="en-US" w:eastAsia="zh-CN"/>
        </w:rPr>
      </w:pPr>
      <w:r>
        <w:rPr>
          <w:rFonts w:hint="eastAsia" w:asciiTheme="minorEastAsia" w:hAnsiTheme="minorEastAsia" w:eastAsiaTheme="minorEastAsia" w:cstheme="minorEastAsia"/>
          <w:kern w:val="0"/>
          <w:sz w:val="21"/>
          <w:szCs w:val="21"/>
          <w:lang w:val="en-US" w:eastAsia="zh-CN"/>
        </w:rPr>
        <w:t>其他技术要求</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420" w:leftChars="0" w:hanging="420" w:firstLineChars="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提供一套针对该地图引擎的倾斜摄影、3D建模、BIM模型的轻量化加载的技术方案。</w:t>
      </w:r>
    </w:p>
    <w:p>
      <w:pPr>
        <w:pStyle w:val="16"/>
        <w:keepNext w:val="0"/>
        <w:keepLines w:val="0"/>
        <w:pageBreakBefore w:val="0"/>
        <w:widowControl w:val="0"/>
        <w:numPr>
          <w:ilvl w:val="0"/>
          <w:numId w:val="19"/>
        </w:numPr>
        <w:kinsoku/>
        <w:wordWrap/>
        <w:overflowPunct/>
        <w:topLinePunct w:val="0"/>
        <w:autoSpaceDE/>
        <w:autoSpaceDN/>
        <w:bidi w:val="0"/>
        <w:adjustRightInd/>
        <w:snapToGrid/>
        <w:spacing w:line="360" w:lineRule="auto"/>
        <w:ind w:left="420" w:leftChars="0" w:hanging="420" w:firstLineChars="0"/>
        <w:textAlignment w:val="auto"/>
        <w:rPr>
          <w:rFonts w:hint="eastAsia"/>
          <w:lang w:val="en-US" w:eastAsia="zh-CN"/>
        </w:rPr>
      </w:pPr>
      <w:r>
        <w:rPr>
          <w:rFonts w:hint="eastAsia"/>
          <w:lang w:val="en-US" w:eastAsia="zh-CN"/>
        </w:rPr>
        <w:t>为地图二次开发提供完备的技术资料和技术培训。</w:t>
      </w:r>
    </w:p>
    <w:p>
      <w:pPr>
        <w:pStyle w:val="16"/>
        <w:keepNext w:val="0"/>
        <w:keepLines w:val="0"/>
        <w:pageBreakBefore w:val="0"/>
        <w:widowControl w:val="0"/>
        <w:numPr>
          <w:ilvl w:val="0"/>
          <w:numId w:val="19"/>
        </w:numPr>
        <w:kinsoku/>
        <w:wordWrap/>
        <w:overflowPunct/>
        <w:topLinePunct w:val="0"/>
        <w:autoSpaceDE/>
        <w:autoSpaceDN/>
        <w:bidi w:val="0"/>
        <w:adjustRightInd/>
        <w:snapToGrid/>
        <w:spacing w:line="360" w:lineRule="auto"/>
        <w:ind w:left="420" w:leftChars="0" w:hanging="420" w:firstLineChars="0"/>
        <w:textAlignment w:val="auto"/>
        <w:rPr>
          <w:rFonts w:hint="default"/>
          <w:lang w:val="en-US" w:eastAsia="zh-CN"/>
        </w:rPr>
      </w:pPr>
      <w:r>
        <w:rPr>
          <w:rFonts w:hint="eastAsia"/>
          <w:lang w:val="en-US" w:eastAsia="zh-CN"/>
        </w:rPr>
        <w:t xml:space="preserve"> 提供一年免费的软件缺陷责任期维保。</w:t>
      </w:r>
    </w:p>
    <w:p>
      <w:pPr>
        <w:numPr>
          <w:ilvl w:val="0"/>
          <w:numId w:val="10"/>
        </w:numPr>
        <w:spacing w:line="360" w:lineRule="auto"/>
        <w:ind w:left="425" w:leftChars="0" w:hanging="425" w:firstLineChars="0"/>
        <w:jc w:val="left"/>
        <w:outlineLvl w:val="1"/>
        <w:rPr>
          <w:rFonts w:hint="eastAsia" w:ascii="宋体" w:hAnsi="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数字孪生场景集成技术要求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360" w:firstLineChars="200"/>
        <w:jc w:val="left"/>
        <w:textAlignment w:val="auto"/>
        <w:rPr>
          <w:rFonts w:hint="default" w:eastAsia="宋体"/>
          <w:lang w:val="en-US" w:eastAsia="zh-CN"/>
        </w:rPr>
      </w:pPr>
      <w:r>
        <w:rPr>
          <w:rFonts w:hint="eastAsia" w:hAnsi="宋体" w:eastAsia="宋体" w:cs="宋体"/>
          <w:bCs/>
          <w:sz w:val="18"/>
          <w:szCs w:val="18"/>
        </w:rPr>
        <w:t>投标人针对数字孪生场景集成提供合理可行的项目实施方案</w:t>
      </w:r>
      <w:r>
        <w:rPr>
          <w:rFonts w:hint="eastAsia" w:hAnsi="宋体" w:cs="宋体"/>
          <w:bCs/>
          <w:sz w:val="18"/>
          <w:szCs w:val="18"/>
          <w:lang w:eastAsia="zh-CN"/>
        </w:rPr>
        <w:t>，</w:t>
      </w:r>
      <w:r>
        <w:rPr>
          <w:rFonts w:hint="eastAsia" w:hAnsi="宋体" w:cs="宋体"/>
          <w:bCs/>
          <w:sz w:val="18"/>
          <w:szCs w:val="18"/>
          <w:lang w:val="en-US" w:eastAsia="zh-CN"/>
        </w:rPr>
        <w:t>包含针对隧道孪生、收费站孪生和开放路段的孪生场景的数据对接方案、孪生效果优化方案、数据服务接口标准等。</w:t>
      </w:r>
    </w:p>
    <w:p>
      <w:pPr>
        <w:keepNext w:val="0"/>
        <w:keepLines w:val="0"/>
        <w:pageBreakBefore w:val="0"/>
        <w:widowControl/>
        <w:numPr>
          <w:ilvl w:val="0"/>
          <w:numId w:val="2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rPr>
      </w:pPr>
      <w:r>
        <w:rPr>
          <w:rFonts w:hint="eastAsia"/>
          <w:lang w:val="en-US" w:eastAsia="zh-CN"/>
        </w:rPr>
        <w:t xml:space="preserve"> 实现</w:t>
      </w:r>
      <w:r>
        <w:rPr>
          <w:rFonts w:hint="eastAsia"/>
        </w:rPr>
        <w:t>与</w:t>
      </w:r>
      <w:r>
        <w:rPr>
          <w:rFonts w:hint="eastAsia"/>
          <w:lang w:val="en-US" w:eastAsia="zh-CN"/>
        </w:rPr>
        <w:t>外场</w:t>
      </w:r>
      <w:r>
        <w:rPr>
          <w:rFonts w:hint="eastAsia"/>
        </w:rPr>
        <w:t>感知数据集成</w:t>
      </w:r>
      <w:r>
        <w:rPr>
          <w:rFonts w:hint="eastAsia"/>
          <w:lang w:val="en-US" w:eastAsia="zh-CN"/>
        </w:rPr>
        <w:t>集成，实现对边缘计算设备感知数据的传输、存储、处理、统计分析等。</w:t>
      </w:r>
      <w:r>
        <w:rPr>
          <w:rFonts w:hint="eastAsia"/>
        </w:rPr>
        <w:t>感知数据包括：边缘计算交通参与者数据、交通事件数据、交通统计数据。</w:t>
      </w:r>
      <w:r>
        <w:rPr>
          <w:rFonts w:hint="eastAsia"/>
        </w:rPr>
        <w:tab/>
      </w:r>
      <w:r>
        <w:rPr>
          <w:rFonts w:hint="eastAsia"/>
        </w:rPr>
        <w:t>消息引擎可</w:t>
      </w:r>
      <w:r>
        <w:rPr>
          <w:rFonts w:hint="eastAsia"/>
          <w:lang w:val="en-US" w:eastAsia="zh-CN"/>
        </w:rPr>
        <w:t>有</w:t>
      </w:r>
      <w:r>
        <w:rPr>
          <w:rFonts w:hint="eastAsia"/>
        </w:rPr>
        <w:t>Kafka、Mqtt，用于消息队列的存储。</w:t>
      </w:r>
    </w:p>
    <w:p>
      <w:pPr>
        <w:keepNext w:val="0"/>
        <w:keepLines w:val="0"/>
        <w:pageBreakBefore w:val="0"/>
        <w:widowControl/>
        <w:numPr>
          <w:ilvl w:val="0"/>
          <w:numId w:val="21"/>
        </w:numPr>
        <w:suppressLineNumbers w:val="0"/>
        <w:kinsoku/>
        <w:wordWrap/>
        <w:overflowPunct/>
        <w:topLinePunct w:val="0"/>
        <w:autoSpaceDE/>
        <w:autoSpaceDN/>
        <w:bidi w:val="0"/>
        <w:adjustRightInd/>
        <w:snapToGrid/>
        <w:spacing w:before="0" w:beforeAutospacing="0" w:after="0" w:afterAutospacing="0" w:line="360" w:lineRule="auto"/>
        <w:ind w:left="420" w:leftChars="0" w:right="0" w:rightChars="0" w:hanging="420" w:firstLineChars="0"/>
        <w:jc w:val="left"/>
        <w:textAlignment w:val="auto"/>
        <w:rPr>
          <w:rFonts w:hint="eastAsia"/>
        </w:rPr>
      </w:pPr>
      <w:r>
        <w:rPr>
          <w:rFonts w:hint="eastAsia"/>
        </w:rPr>
        <w:t>交通参与者数据字段包括：目标类型、经度、纬度、航向角、颜色等信息。</w:t>
      </w:r>
    </w:p>
    <w:p>
      <w:pPr>
        <w:keepNext w:val="0"/>
        <w:keepLines w:val="0"/>
        <w:pageBreakBefore w:val="0"/>
        <w:widowControl/>
        <w:numPr>
          <w:ilvl w:val="0"/>
          <w:numId w:val="21"/>
        </w:numPr>
        <w:suppressLineNumbers w:val="0"/>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rPr>
      </w:pPr>
      <w:r>
        <w:rPr>
          <w:rFonts w:hint="eastAsia"/>
        </w:rPr>
        <w:t></w:t>
      </w:r>
      <w:r>
        <w:rPr>
          <w:rFonts w:hint="eastAsia"/>
        </w:rPr>
        <w:tab/>
      </w:r>
      <w:r>
        <w:rPr>
          <w:rFonts w:hint="eastAsia"/>
        </w:rPr>
        <w:t>交通事件数据字段包括：事件类型、事件经度、事件纬度、参与者等信息。</w:t>
      </w:r>
    </w:p>
    <w:p>
      <w:pPr>
        <w:keepNext w:val="0"/>
        <w:keepLines w:val="0"/>
        <w:pageBreakBefore w:val="0"/>
        <w:numPr>
          <w:ilvl w:val="0"/>
          <w:numId w:val="21"/>
        </w:numPr>
        <w:suppressLineNumbers w:val="0"/>
        <w:kinsoku/>
        <w:wordWrap/>
        <w:overflowPunct/>
        <w:topLinePunct w:val="0"/>
        <w:autoSpaceDE/>
        <w:autoSpaceDN/>
        <w:bidi w:val="0"/>
        <w:adjustRightInd/>
        <w:snapToGrid/>
        <w:spacing w:before="0" w:beforeAutospacing="0" w:after="0" w:afterAutospacing="0" w:line="360" w:lineRule="auto"/>
        <w:ind w:left="420" w:leftChars="0" w:right="0" w:hanging="420" w:firstLineChars="0"/>
        <w:textAlignment w:val="auto"/>
        <w:rPr>
          <w:rFonts w:hint="eastAsia"/>
        </w:rPr>
      </w:pPr>
      <w:r>
        <w:rPr>
          <w:rFonts w:hint="eastAsia"/>
        </w:rPr>
        <w:t></w:t>
      </w:r>
      <w:r>
        <w:rPr>
          <w:rFonts w:hint="eastAsia"/>
        </w:rPr>
        <w:tab/>
      </w:r>
      <w:r>
        <w:rPr>
          <w:rFonts w:hint="eastAsia"/>
        </w:rPr>
        <w:t>交通统计数据包括：车流量、平均速度、排队长度、等待时长等；</w:t>
      </w:r>
    </w:p>
    <w:p>
      <w:pPr>
        <w:pStyle w:val="16"/>
        <w:keepNext w:val="0"/>
        <w:keepLines w:val="0"/>
        <w:pageBreakBefore w:val="0"/>
        <w:numPr>
          <w:ilvl w:val="0"/>
          <w:numId w:val="21"/>
        </w:numPr>
        <w:suppressLineNumbers w:val="0"/>
        <w:kinsoku/>
        <w:wordWrap/>
        <w:overflowPunct/>
        <w:topLinePunct w:val="0"/>
        <w:autoSpaceDE/>
        <w:autoSpaceDN/>
        <w:bidi w:val="0"/>
        <w:adjustRightInd/>
        <w:snapToGrid/>
        <w:spacing w:before="0" w:beforeAutospacing="0" w:afterAutospacing="0" w:line="360" w:lineRule="auto"/>
        <w:ind w:left="420" w:leftChars="0" w:right="0" w:hanging="420" w:firstLineChars="0"/>
        <w:textAlignment w:val="auto"/>
        <w:rPr>
          <w:rFonts w:hint="default"/>
          <w:lang w:val="en-US"/>
        </w:rPr>
      </w:pPr>
      <w:r>
        <w:rPr>
          <w:rFonts w:hint="eastAsia" w:ascii="宋体" w:hAnsi="宋体" w:cs="宋体"/>
          <w:kern w:val="0"/>
          <w:sz w:val="21"/>
          <w:szCs w:val="21"/>
          <w:highlight w:val="none"/>
          <w:lang w:val="en-US" w:eastAsia="zh-CN" w:bidi="ar-SA"/>
        </w:rPr>
        <w:t>外场数字孪生场景</w:t>
      </w:r>
      <w:r>
        <w:rPr>
          <w:rFonts w:hint="eastAsia" w:ascii="宋体" w:hAnsi="宋体" w:eastAsia="宋体" w:cs="宋体"/>
          <w:kern w:val="0"/>
          <w:sz w:val="21"/>
          <w:szCs w:val="21"/>
          <w:highlight w:val="none"/>
          <w:lang w:val="en-US" w:eastAsia="zh-CN" w:bidi="ar-SA"/>
        </w:rPr>
        <w:t>包括开放路段数字孪生、收费站数字孪生、隧道数字孪生</w:t>
      </w:r>
      <w:r>
        <w:rPr>
          <w:rFonts w:hint="eastAsia" w:ascii="宋体" w:hAnsi="宋体" w:cs="宋体"/>
          <w:kern w:val="0"/>
          <w:sz w:val="21"/>
          <w:szCs w:val="21"/>
          <w:highlight w:val="none"/>
          <w:lang w:val="en-US" w:eastAsia="zh-CN" w:bidi="ar-SA"/>
        </w:rPr>
        <w:t>场景。</w:t>
      </w:r>
    </w:p>
    <w:p>
      <w:pPr>
        <w:keepNext w:val="0"/>
        <w:keepLines w:val="0"/>
        <w:pageBreakBefore w:val="0"/>
        <w:widowControl/>
        <w:numPr>
          <w:ilvl w:val="0"/>
          <w:numId w:val="2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rPr>
      </w:pPr>
      <w:r>
        <w:rPr>
          <w:rFonts w:hint="eastAsia"/>
          <w:lang w:val="en-US" w:eastAsia="zh-CN"/>
        </w:rPr>
        <w:t xml:space="preserve"> 实现与物联网设备数据的集成，实现通过一个平台实现流式处理、批处理 </w:t>
      </w:r>
      <w:r>
        <w:rPr>
          <w:rFonts w:hint="eastAsia"/>
        </w:rPr>
        <w:t>支持的</w:t>
      </w:r>
      <w:r>
        <w:rPr>
          <w:rFonts w:hint="eastAsia"/>
          <w:lang w:val="en-US" w:eastAsia="zh-CN"/>
        </w:rPr>
        <w:t>数据</w:t>
      </w:r>
      <w:r>
        <w:rPr>
          <w:rFonts w:hint="eastAsia"/>
        </w:rPr>
        <w:t>包括：天气信息、信控信息、称重信息、收费信息等。通过消息引擎方式，或Http接口方式，</w:t>
      </w:r>
      <w:r>
        <w:rPr>
          <w:rFonts w:hint="eastAsia"/>
        </w:rPr>
        <w:tab/>
      </w:r>
      <w:r>
        <w:rPr>
          <w:rFonts w:hint="eastAsia"/>
        </w:rPr>
        <w:t>消息引擎</w:t>
      </w:r>
      <w:r>
        <w:rPr>
          <w:rFonts w:hint="eastAsia"/>
          <w:lang w:val="en-US" w:eastAsia="zh-CN"/>
        </w:rPr>
        <w:t>应支持</w:t>
      </w:r>
      <w:r>
        <w:rPr>
          <w:rFonts w:hint="eastAsia"/>
        </w:rPr>
        <w:t>Kafka、Mqtt，用于消息队列的存储。</w:t>
      </w:r>
    </w:p>
    <w:p>
      <w:pPr>
        <w:keepNext w:val="0"/>
        <w:keepLines w:val="0"/>
        <w:pageBreakBefore w:val="0"/>
        <w:widowControl/>
        <w:numPr>
          <w:ilvl w:val="0"/>
          <w:numId w:val="2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lang w:val="en-US" w:eastAsia="zh-CN"/>
        </w:rPr>
      </w:pPr>
      <w:r>
        <w:rPr>
          <w:rFonts w:hint="eastAsia"/>
          <w:lang w:val="en-US" w:eastAsia="zh-CN"/>
        </w:rPr>
        <w:t xml:space="preserve"> 实现对车辆数据身份绑定、数据平滑、插值补帧等数字孪生数据优化功能</w:t>
      </w:r>
      <w:r>
        <w:rPr>
          <w:rFonts w:hint="default"/>
          <w:lang w:val="en-US" w:eastAsia="zh-CN"/>
        </w:rPr>
        <w:t>；</w:t>
      </w:r>
    </w:p>
    <w:p>
      <w:pPr>
        <w:pStyle w:val="16"/>
        <w:rPr>
          <w:rFonts w:hint="eastAsia"/>
          <w:lang w:val="en-US" w:eastAsia="zh-CN"/>
        </w:rPr>
      </w:pPr>
    </w:p>
    <w:p>
      <w:pPr>
        <w:numPr>
          <w:ilvl w:val="0"/>
          <w:numId w:val="10"/>
        </w:numPr>
        <w:spacing w:line="360" w:lineRule="auto"/>
        <w:ind w:left="425" w:leftChars="0" w:hanging="425" w:firstLineChars="0"/>
        <w:jc w:val="left"/>
        <w:outlineLvl w:val="1"/>
        <w:rPr>
          <w:rFonts w:hint="eastAsia" w:ascii="宋体" w:hAnsi="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全域数字孪生应用开发技术要求</w:t>
      </w:r>
    </w:p>
    <w:p>
      <w:pPr>
        <w:keepNext w:val="0"/>
        <w:keepLines w:val="0"/>
        <w:pageBreakBefore w:val="0"/>
        <w:widowControl/>
        <w:numPr>
          <w:ilvl w:val="0"/>
          <w:numId w:val="22"/>
        </w:numPr>
        <w:suppressLineNumbers w:val="0"/>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持通过三维可视化数字孪生平台，将监测区域通过三维方式呈现，交通设施、建筑、路面标记等要素与现场一一对应，并将路侧感知信息，将信息中的车辆，按不同类型、颜色、车牌，以三维模型的方式，按位置、角度、速度、状态等方式实时连续的动态孪生。</w:t>
      </w:r>
    </w:p>
    <w:p>
      <w:pPr>
        <w:keepNext w:val="0"/>
        <w:keepLines w:val="0"/>
        <w:pageBreakBefore w:val="0"/>
        <w:widowControl/>
        <w:numPr>
          <w:ilvl w:val="0"/>
          <w:numId w:val="22"/>
        </w:numPr>
        <w:suppressLineNumbers w:val="0"/>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支持显示项目道路时空底座，采用高精地图为底图，增加丰富的路侧建筑物、道路附属物、周围绿化环境；采用三维引擎提供三维场景渲染，支持地图的放大缩小、拖动操作；支持三维漫游；支持天气孪生功能，提供雨、雪、雾天效果孪生，提供时间日工随动。</w:t>
      </w:r>
    </w:p>
    <w:p>
      <w:pPr>
        <w:keepNext w:val="0"/>
        <w:keepLines w:val="0"/>
        <w:pageBreakBefore w:val="0"/>
        <w:widowControl/>
        <w:numPr>
          <w:ilvl w:val="0"/>
          <w:numId w:val="22"/>
        </w:numPr>
        <w:suppressLineNumbers w:val="0"/>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支持展示单点位数字孪生效果，包括感知结果、视频相机、激光雷达点云、交通指标数据；</w:t>
      </w:r>
    </w:p>
    <w:p>
      <w:pPr>
        <w:keepNext w:val="0"/>
        <w:keepLines w:val="0"/>
        <w:pageBreakBefore w:val="0"/>
        <w:widowControl/>
        <w:numPr>
          <w:ilvl w:val="0"/>
          <w:numId w:val="22"/>
        </w:numPr>
        <w:suppressLineNumbers w:val="0"/>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支持对于入口站点，展示车辆进入隧道前通过隧道入口处的车牌识别系统获取车辆的身份信息和区域位置信息。车辆身份信息与基站感知结果的绑定，包括车牌号、车型、车身颜色、所在车道等信息</w:t>
      </w:r>
    </w:p>
    <w:p>
      <w:pPr>
        <w:pStyle w:val="16"/>
        <w:keepNext w:val="0"/>
        <w:keepLines w:val="0"/>
        <w:pageBreakBefore w:val="0"/>
        <w:numPr>
          <w:ilvl w:val="0"/>
          <w:numId w:val="22"/>
        </w:numPr>
        <w:kinsoku/>
        <w:wordWrap/>
        <w:overflowPunct/>
        <w:topLinePunct w:val="0"/>
        <w:autoSpaceDE/>
        <w:autoSpaceDN/>
        <w:bidi w:val="0"/>
        <w:adjustRightInd/>
        <w:snapToGrid/>
        <w:spacing w:line="360" w:lineRule="auto"/>
        <w:ind w:left="420" w:leftChars="0" w:hanging="420" w:firstLineChars="0"/>
        <w:textAlignment w:val="auto"/>
        <w:rPr>
          <w:rFonts w:hint="eastAsia"/>
          <w:lang w:val="en-US" w:eastAsia="zh-CN"/>
        </w:rPr>
      </w:pP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支持实现进出隧道的每一辆车的信息管理，为后续车辆事件检测、事件自动化处理和事件取证提供数据基础。</w:t>
      </w:r>
    </w:p>
    <w:p>
      <w:pPr>
        <w:keepNext w:val="0"/>
        <w:keepLines w:val="0"/>
        <w:pageBreakBefore w:val="0"/>
        <w:widowControl/>
        <w:numPr>
          <w:ilvl w:val="0"/>
          <w:numId w:val="22"/>
        </w:numPr>
        <w:suppressLineNumbers w:val="0"/>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支持针对特种车辆，系统可以标记出特种车辆的模型，并高亮显示。可以查看特种车辆的车牌、车辆类型、进入时间、车辆图片等信息。</w:t>
      </w:r>
    </w:p>
    <w:p>
      <w:pPr>
        <w:keepNext w:val="0"/>
        <w:keepLines w:val="0"/>
        <w:pageBreakBefore w:val="0"/>
        <w:widowControl/>
        <w:numPr>
          <w:ilvl w:val="0"/>
          <w:numId w:val="22"/>
        </w:numPr>
        <w:suppressLineNumbers w:val="0"/>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支持特种车辆的查询功能，检索历史特种车辆信息。</w:t>
      </w:r>
    </w:p>
    <w:p>
      <w:pPr>
        <w:keepNext w:val="0"/>
        <w:keepLines w:val="0"/>
        <w:pageBreakBefore w:val="0"/>
        <w:numPr>
          <w:ilvl w:val="0"/>
          <w:numId w:val="22"/>
        </w:numPr>
        <w:kinsoku/>
        <w:wordWrap/>
        <w:overflowPunct/>
        <w:topLinePunct w:val="0"/>
        <w:autoSpaceDE/>
        <w:autoSpaceDN/>
        <w:bidi w:val="0"/>
        <w:adjustRightInd/>
        <w:snapToGrid/>
        <w:spacing w:line="360" w:lineRule="auto"/>
        <w:ind w:left="420" w:leftChars="0" w:hanging="420" w:firstLineChars="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支持特种车辆的各种事件查看方式，包括车后跟随视角、车辆内部视角等。</w:t>
      </w:r>
    </w:p>
    <w:p>
      <w:pPr>
        <w:keepNext w:val="0"/>
        <w:keepLines w:val="0"/>
        <w:pageBreakBefore w:val="0"/>
        <w:widowControl/>
        <w:numPr>
          <w:ilvl w:val="0"/>
          <w:numId w:val="22"/>
        </w:numPr>
        <w:suppressLineNumbers w:val="0"/>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支持展示设备详细信息，包括厂家、型号、安装位置、安装时间、包含部件等</w:t>
      </w:r>
    </w:p>
    <w:p>
      <w:pPr>
        <w:keepNext w:val="0"/>
        <w:keepLines w:val="0"/>
        <w:pageBreakBefore w:val="0"/>
        <w:widowControl/>
        <w:numPr>
          <w:ilvl w:val="0"/>
          <w:numId w:val="22"/>
        </w:numPr>
        <w:suppressLineNumbers w:val="0"/>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支持路侧感知设备、车道控制灯、信息发布屏等设备的状态信息，在数字孪生系统可视化展示设备的健康、故障、异常等状态信息孪生；</w:t>
      </w:r>
    </w:p>
    <w:p>
      <w:pPr>
        <w:keepNext w:val="0"/>
        <w:keepLines w:val="0"/>
        <w:pageBreakBefore w:val="0"/>
        <w:numPr>
          <w:ilvl w:val="0"/>
          <w:numId w:val="22"/>
        </w:numPr>
        <w:kinsoku/>
        <w:wordWrap/>
        <w:overflowPunct/>
        <w:topLinePunct w:val="0"/>
        <w:autoSpaceDE/>
        <w:autoSpaceDN/>
        <w:bidi w:val="0"/>
        <w:adjustRightInd/>
        <w:snapToGrid/>
        <w:spacing w:line="360" w:lineRule="auto"/>
        <w:ind w:left="420" w:leftChars="0" w:hanging="420" w:firstLineChars="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支持信息情报板显示内容、定向音播报内容、车道指示标显示内容在设备的三维模型上进行孪生展示，与现实保持一致。</w:t>
      </w:r>
    </w:p>
    <w:p>
      <w:pPr>
        <w:keepNext w:val="0"/>
        <w:keepLines w:val="0"/>
        <w:pageBreakBefore w:val="0"/>
        <w:numPr>
          <w:ilvl w:val="0"/>
          <w:numId w:val="22"/>
        </w:numPr>
        <w:kinsoku/>
        <w:wordWrap/>
        <w:overflowPunct/>
        <w:topLinePunct w:val="0"/>
        <w:autoSpaceDE/>
        <w:autoSpaceDN/>
        <w:bidi w:val="0"/>
        <w:adjustRightInd/>
        <w:snapToGrid/>
        <w:spacing w:line="360" w:lineRule="auto"/>
        <w:ind w:left="420" w:leftChars="0" w:hanging="420" w:firstLineChars="0"/>
        <w:textAlignment w:val="auto"/>
        <w:rPr>
          <w:rFonts w:hint="eastAsia"/>
          <w:lang w:val="en-US" w:eastAsia="zh-CN"/>
        </w:rPr>
      </w:pPr>
      <w:r>
        <w:rPr>
          <w:rFonts w:hint="eastAsia"/>
          <w:lang w:val="en-US" w:eastAsia="zh-CN"/>
        </w:rPr>
        <w:t></w:t>
      </w:r>
      <w:r>
        <w:rPr>
          <w:rFonts w:hint="eastAsia"/>
          <w:lang w:val="en-US" w:eastAsia="zh-CN"/>
        </w:rPr>
        <w:tab/>
      </w:r>
      <w:r>
        <w:rPr>
          <w:rFonts w:hint="eastAsia"/>
          <w:lang w:val="en-US" w:eastAsia="zh-CN"/>
        </w:rPr>
        <w:t>支持实时动态孪生交通事件，包括车辆慢行、违规变道、逆行、车辆超速等事件。能够提示事件位置、事件类型、事件详细信息，并提供事件前、中、后的抓拍图片，事件过程的短视频，参与事件的目标身份。</w:t>
      </w:r>
    </w:p>
    <w:p>
      <w:pPr>
        <w:keepNext w:val="0"/>
        <w:keepLines w:val="0"/>
        <w:pageBreakBefore w:val="0"/>
        <w:numPr>
          <w:ilvl w:val="0"/>
          <w:numId w:val="22"/>
        </w:numPr>
        <w:kinsoku/>
        <w:wordWrap/>
        <w:overflowPunct/>
        <w:topLinePunct w:val="0"/>
        <w:autoSpaceDE/>
        <w:autoSpaceDN/>
        <w:bidi w:val="0"/>
        <w:adjustRightInd/>
        <w:snapToGrid/>
        <w:spacing w:line="360" w:lineRule="auto"/>
        <w:ind w:left="420" w:leftChars="0" w:hanging="420" w:firstLineChars="0"/>
        <w:textAlignment w:val="auto"/>
        <w:rPr>
          <w:rFonts w:hint="eastAsia"/>
          <w:lang w:val="en-US" w:eastAsia="zh-CN"/>
        </w:rPr>
      </w:pPr>
      <w:r>
        <w:rPr>
          <w:rFonts w:hint="eastAsia"/>
          <w:lang w:val="en-US" w:eastAsia="zh-CN"/>
        </w:rPr>
        <w:t></w:t>
      </w:r>
      <w:r>
        <w:rPr>
          <w:rFonts w:hint="eastAsia"/>
          <w:lang w:val="en-US" w:eastAsia="zh-CN"/>
        </w:rPr>
        <w:tab/>
      </w:r>
      <w:r>
        <w:rPr>
          <w:rFonts w:hint="eastAsia"/>
          <w:lang w:val="en-US" w:eastAsia="zh-CN"/>
        </w:rPr>
        <w:t>支持实时动态孪生交通事件，包括：车辆碰撞、车辆慢行、违规变道、逆行、车辆超速、行人闯入、遗撒物等事件。能够提示事件位置、事件类型、事件详细信息，并提供事件前、中、后的抓拍图片，事件过程的短视频，参与事件的目标身份。</w:t>
      </w:r>
    </w:p>
    <w:p>
      <w:pPr>
        <w:keepNext w:val="0"/>
        <w:keepLines w:val="0"/>
        <w:pageBreakBefore w:val="0"/>
        <w:numPr>
          <w:ilvl w:val="0"/>
          <w:numId w:val="22"/>
        </w:numPr>
        <w:kinsoku/>
        <w:wordWrap/>
        <w:overflowPunct/>
        <w:topLinePunct w:val="0"/>
        <w:autoSpaceDE/>
        <w:autoSpaceDN/>
        <w:bidi w:val="0"/>
        <w:adjustRightInd/>
        <w:snapToGrid/>
        <w:spacing w:line="360" w:lineRule="auto"/>
        <w:ind w:left="420" w:leftChars="0" w:hanging="420" w:firstLineChars="0"/>
        <w:textAlignment w:val="auto"/>
        <w:rPr>
          <w:rFonts w:hint="eastAsia"/>
          <w:lang w:val="en-US" w:eastAsia="zh-CN"/>
        </w:rPr>
      </w:pPr>
      <w:r>
        <w:rPr>
          <w:rFonts w:hint="eastAsia"/>
          <w:lang w:val="en-US" w:eastAsia="zh-CN"/>
        </w:rPr>
        <w:t>支持交通事件孪生的过程中，事件目标发送移动的，提示信息相应跟随移动。</w:t>
      </w:r>
    </w:p>
    <w:p>
      <w:pPr>
        <w:keepNext w:val="0"/>
        <w:keepLines w:val="0"/>
        <w:pageBreakBefore w:val="0"/>
        <w:numPr>
          <w:ilvl w:val="0"/>
          <w:numId w:val="22"/>
        </w:numPr>
        <w:kinsoku/>
        <w:wordWrap/>
        <w:overflowPunct/>
        <w:topLinePunct w:val="0"/>
        <w:autoSpaceDE/>
        <w:autoSpaceDN/>
        <w:bidi w:val="0"/>
        <w:adjustRightInd/>
        <w:snapToGrid/>
        <w:spacing w:line="360" w:lineRule="auto"/>
        <w:ind w:left="420" w:leftChars="0" w:hanging="420" w:firstLineChars="0"/>
        <w:textAlignment w:val="auto"/>
        <w:rPr>
          <w:rFonts w:hint="eastAsia"/>
          <w:lang w:val="en-US" w:eastAsia="zh-CN"/>
        </w:rPr>
      </w:pPr>
      <w:r>
        <w:rPr>
          <w:rFonts w:hint="eastAsia"/>
          <w:lang w:val="en-US" w:eastAsia="zh-CN"/>
        </w:rPr>
        <w:t xml:space="preserve"> 支持对道路所过车辆的历史运动状态进行全场景回溯。通过对车辆相关信息进行多维条件检索（包括车辆ID、车牌号码、回溯时间等），可通过三维场景进行历史车辆运行状态、历史车辆轨迹、历史监控视频等信息进行全过程同步还原，支持还原过程中视角的灵活移动和切换。</w:t>
      </w:r>
    </w:p>
    <w:p>
      <w:pPr>
        <w:pStyle w:val="16"/>
        <w:keepNext w:val="0"/>
        <w:keepLines w:val="0"/>
        <w:pageBreakBefore w:val="0"/>
        <w:numPr>
          <w:ilvl w:val="0"/>
          <w:numId w:val="22"/>
        </w:numPr>
        <w:kinsoku/>
        <w:wordWrap/>
        <w:overflowPunct/>
        <w:topLinePunct w:val="0"/>
        <w:autoSpaceDE/>
        <w:autoSpaceDN/>
        <w:bidi w:val="0"/>
        <w:adjustRightInd/>
        <w:snapToGrid/>
        <w:spacing w:line="360" w:lineRule="auto"/>
        <w:ind w:left="420" w:leftChars="0" w:hanging="420" w:firstLineChars="0"/>
        <w:textAlignment w:val="auto"/>
        <w:rPr>
          <w:rFonts w:hint="eastAsia"/>
          <w:lang w:val="en-US" w:eastAsia="zh-CN"/>
        </w:rPr>
      </w:pPr>
      <w:r>
        <w:rPr>
          <w:rFonts w:hint="eastAsia"/>
          <w:lang w:val="en-US" w:eastAsia="zh-CN"/>
        </w:rPr>
        <w:t xml:space="preserve"> 支持车辆行为分析、实时运行状态、运行趋势分析、运行数据统计、服务水平分析、占有率图谱、通行速度图谱、交通事件图谱。</w:t>
      </w:r>
    </w:p>
    <w:p>
      <w:pPr>
        <w:pStyle w:val="16"/>
        <w:keepNext w:val="0"/>
        <w:keepLines w:val="0"/>
        <w:pageBreakBefore w:val="0"/>
        <w:numPr>
          <w:ilvl w:val="0"/>
          <w:numId w:val="22"/>
        </w:numPr>
        <w:kinsoku/>
        <w:wordWrap/>
        <w:overflowPunct/>
        <w:topLinePunct w:val="0"/>
        <w:autoSpaceDE/>
        <w:autoSpaceDN/>
        <w:bidi w:val="0"/>
        <w:adjustRightInd/>
        <w:snapToGrid/>
        <w:spacing w:line="360" w:lineRule="auto"/>
        <w:ind w:left="420" w:leftChars="0" w:hanging="420" w:firstLineChars="0"/>
        <w:textAlignment w:val="auto"/>
        <w:rPr>
          <w:rFonts w:hint="eastAsia"/>
          <w:lang w:val="en-US" w:eastAsia="zh-CN"/>
        </w:rPr>
      </w:pPr>
      <w:r>
        <w:rPr>
          <w:rFonts w:hint="eastAsia"/>
          <w:lang w:val="en-US" w:eastAsia="zh-CN"/>
        </w:rPr>
        <w:t xml:space="preserve"> 支持机电设施信息展示、监控设备状态展示、车道流量统计、车道异常情况统计。</w:t>
      </w:r>
    </w:p>
    <w:p>
      <w:pPr>
        <w:pStyle w:val="16"/>
        <w:keepNext w:val="0"/>
        <w:keepLines w:val="0"/>
        <w:pageBreakBefore w:val="0"/>
        <w:numPr>
          <w:ilvl w:val="0"/>
          <w:numId w:val="22"/>
        </w:numPr>
        <w:kinsoku/>
        <w:wordWrap/>
        <w:overflowPunct/>
        <w:topLinePunct w:val="0"/>
        <w:autoSpaceDE/>
        <w:autoSpaceDN/>
        <w:bidi w:val="0"/>
        <w:adjustRightInd/>
        <w:snapToGrid/>
        <w:spacing w:line="360" w:lineRule="auto"/>
        <w:ind w:left="420" w:leftChars="0" w:hanging="420" w:firstLineChars="0"/>
        <w:textAlignment w:val="auto"/>
        <w:rPr>
          <w:rFonts w:hint="eastAsia"/>
          <w:lang w:val="en-US" w:eastAsia="zh-CN"/>
        </w:rPr>
      </w:pPr>
      <w:r>
        <w:rPr>
          <w:rFonts w:hint="eastAsia"/>
          <w:lang w:val="en-US" w:eastAsia="zh-CN"/>
        </w:rPr>
        <w:t xml:space="preserve"> 支持异常信息报送、异常信息核验、车辆诱导信息制定与发布、系统联动。</w:t>
      </w:r>
    </w:p>
    <w:p>
      <w:pPr>
        <w:keepNext w:val="0"/>
        <w:keepLines w:val="0"/>
        <w:pageBreakBefore w:val="0"/>
        <w:widowControl/>
        <w:numPr>
          <w:ilvl w:val="0"/>
          <w:numId w:val="22"/>
        </w:numPr>
        <w:suppressLineNumbers w:val="0"/>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支持通过三维可视化数字孪生平台，将监测区域通过三维方式呈现，交通设施、建筑、路面标记等要素与现场一一对应，并将路侧感知信息，将信息中的车辆，按不同类型、颜色、车牌，以三维模型的方式，按位置、角度、速度、状态等方式实时连续的动态孪生。</w:t>
      </w:r>
    </w:p>
    <w:p>
      <w:pPr>
        <w:keepNext w:val="0"/>
        <w:keepLines w:val="0"/>
        <w:pageBreakBefore w:val="0"/>
        <w:widowControl/>
        <w:numPr>
          <w:ilvl w:val="0"/>
          <w:numId w:val="22"/>
        </w:numPr>
        <w:suppressLineNumbers w:val="0"/>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支持显示项目道路时空底座，采用高精地图为底图，增加丰富的路侧建筑物、道路附属物、周围绿化环境；采用三维引擎提供三维场景渲染，支持地图的放大缩小、拖动操作；支持三维漫游；支持天气孪生功能，提供雨、雪、雾天效果孪生，提供时间日工随动。</w:t>
      </w:r>
    </w:p>
    <w:p>
      <w:pPr>
        <w:keepNext w:val="0"/>
        <w:keepLines w:val="0"/>
        <w:pageBreakBefore w:val="0"/>
        <w:widowControl/>
        <w:numPr>
          <w:ilvl w:val="0"/>
          <w:numId w:val="22"/>
        </w:numPr>
        <w:suppressLineNumbers w:val="0"/>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支持V2X车路协同场景的展示，系统接收车载V2X和路侧RSU的数据，基于真实的空间与时间进行V2X预警场景的孪生展示。</w:t>
      </w:r>
    </w:p>
    <w:p>
      <w:pPr>
        <w:keepNext w:val="0"/>
        <w:keepLines w:val="0"/>
        <w:pageBreakBefore w:val="0"/>
        <w:widowControl/>
        <w:numPr>
          <w:ilvl w:val="0"/>
          <w:numId w:val="22"/>
        </w:numPr>
        <w:suppressLineNumbers w:val="0"/>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支持多视角切换，包括局部视角、车内视角、车外视角的变化。孪生智慧高速车辆数据，路侧基站数据，实时展示车辆模型、车辆轨迹、车辆触发场景、其他交通参与者等。</w:t>
      </w:r>
    </w:p>
    <w:p>
      <w:pPr>
        <w:keepNext w:val="0"/>
        <w:keepLines w:val="0"/>
        <w:pageBreakBefore w:val="0"/>
        <w:widowControl/>
        <w:numPr>
          <w:ilvl w:val="0"/>
          <w:numId w:val="22"/>
        </w:numPr>
        <w:suppressLineNumbers w:val="0"/>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支持V2X车辆详细信息展示；</w:t>
      </w:r>
    </w:p>
    <w:p>
      <w:pPr>
        <w:keepNext w:val="0"/>
        <w:keepLines w:val="0"/>
        <w:pageBreakBefore w:val="0"/>
        <w:numPr>
          <w:ilvl w:val="0"/>
          <w:numId w:val="22"/>
        </w:numPr>
        <w:kinsoku/>
        <w:wordWrap/>
        <w:overflowPunct/>
        <w:topLinePunct w:val="0"/>
        <w:autoSpaceDE/>
        <w:autoSpaceDN/>
        <w:bidi w:val="0"/>
        <w:adjustRightInd/>
        <w:snapToGrid/>
        <w:spacing w:line="360" w:lineRule="auto"/>
        <w:ind w:left="420" w:leftChars="0" w:hanging="420" w:firstLineChars="0"/>
        <w:textAlignment w:val="auto"/>
        <w:rPr>
          <w:rFonts w:hint="eastAsia"/>
        </w:rPr>
      </w:pPr>
      <w:r>
        <w:rPr>
          <w:rFonts w:hint="eastAsia" w:asciiTheme="minorEastAsia" w:hAnsiTheme="minorEastAsia" w:eastAsiaTheme="minorEastAsia" w:cstheme="minorEastAsia"/>
          <w:kern w:val="0"/>
          <w:sz w:val="21"/>
          <w:szCs w:val="21"/>
        </w:rPr>
        <w:t>支持按时间回放孪生场景，可以将历史事件和历史V2X按照时间段进行回放。可以根据事件发生的时间、事件类型进行查阅</w:t>
      </w:r>
    </w:p>
    <w:p>
      <w:pPr>
        <w:keepNext w:val="0"/>
        <w:keepLines w:val="0"/>
        <w:pageBreakBefore w:val="0"/>
        <w:widowControl/>
        <w:numPr>
          <w:ilvl w:val="0"/>
          <w:numId w:val="22"/>
        </w:numPr>
        <w:suppressLineNumbers w:val="0"/>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pP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孪生目标位置精度误差≤20cm</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孪生延时小于30ms的百分比≥99%</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孪生同时渲染车辆数大于10000</w:t>
      </w:r>
    </w:p>
    <w:p>
      <w:pPr>
        <w:rPr>
          <w:rFonts w:ascii="宋体" w:hAnsi="宋体" w:cs="宋体"/>
          <w:b/>
          <w:bCs/>
          <w:szCs w:val="21"/>
          <w:highlight w:val="yellow"/>
        </w:rPr>
      </w:pPr>
    </w:p>
    <w:p>
      <w:pPr>
        <w:pStyle w:val="4"/>
        <w:snapToGrid w:val="0"/>
        <w:spacing w:before="156" w:beforeLines="50" w:after="156" w:afterLines="50" w:line="360" w:lineRule="exact"/>
        <w:outlineLvl w:val="1"/>
        <w:rPr>
          <w:rFonts w:ascii="宋体" w:hAnsi="宋体" w:cs="宋体"/>
          <w:sz w:val="21"/>
          <w:szCs w:val="21"/>
        </w:rPr>
      </w:pPr>
      <w:r>
        <w:rPr>
          <w:rFonts w:hint="eastAsia" w:ascii="宋体" w:hAnsi="宋体" w:cs="宋体"/>
          <w:sz w:val="21"/>
          <w:szCs w:val="21"/>
          <w:lang w:val="en-US" w:eastAsia="zh-CN"/>
        </w:rPr>
        <w:t>5</w:t>
      </w:r>
      <w:r>
        <w:rPr>
          <w:rFonts w:hint="eastAsia" w:ascii="宋体" w:hAnsi="宋体" w:cs="宋体"/>
          <w:sz w:val="21"/>
          <w:szCs w:val="21"/>
        </w:rPr>
        <w:t>.</w:t>
      </w:r>
      <w:r>
        <w:rPr>
          <w:rFonts w:hint="eastAsia" w:asciiTheme="minorEastAsia" w:hAnsiTheme="minorEastAsia" w:eastAsiaTheme="minorEastAsia" w:cstheme="minorEastAsia"/>
          <w:kern w:val="0"/>
          <w:sz w:val="21"/>
          <w:szCs w:val="21"/>
          <w:lang w:val="en-US" w:eastAsia="zh-CN"/>
        </w:rPr>
        <w:t>云控平台</w:t>
      </w:r>
      <w:r>
        <w:rPr>
          <w:rFonts w:hint="eastAsia" w:ascii="宋体" w:hAnsi="宋体" w:cs="宋体"/>
          <w:sz w:val="21"/>
          <w:szCs w:val="21"/>
        </w:rPr>
        <w:t>集成实施要求</w:t>
      </w:r>
    </w:p>
    <w:p>
      <w:pPr>
        <w:pStyle w:val="5"/>
        <w:snapToGrid w:val="0"/>
        <w:spacing w:before="156" w:beforeLines="50" w:after="156" w:afterLines="50" w:line="360" w:lineRule="exact"/>
        <w:rPr>
          <w:rFonts w:ascii="宋体" w:hAnsi="宋体" w:cs="宋体"/>
          <w:sz w:val="21"/>
          <w:szCs w:val="21"/>
        </w:rPr>
      </w:pPr>
      <w:r>
        <w:rPr>
          <w:rFonts w:hint="eastAsia" w:ascii="宋体" w:hAnsi="宋体" w:cs="宋体"/>
          <w:sz w:val="21"/>
          <w:szCs w:val="21"/>
          <w:lang w:val="en-US" w:eastAsia="zh-CN"/>
        </w:rPr>
        <w:t>5</w:t>
      </w:r>
      <w:r>
        <w:rPr>
          <w:rFonts w:hint="eastAsia" w:ascii="宋体" w:hAnsi="宋体" w:cs="宋体"/>
          <w:sz w:val="21"/>
          <w:szCs w:val="21"/>
        </w:rPr>
        <w:t>.</w:t>
      </w:r>
      <w:r>
        <w:rPr>
          <w:rFonts w:hint="eastAsia" w:ascii="宋体" w:hAnsi="宋体" w:cs="宋体"/>
          <w:sz w:val="21"/>
          <w:szCs w:val="21"/>
          <w:lang w:val="en-US" w:eastAsia="zh-CN"/>
        </w:rPr>
        <w:t>1</w:t>
      </w:r>
      <w:r>
        <w:rPr>
          <w:rFonts w:hint="eastAsia" w:ascii="宋体" w:hAnsi="宋体" w:cs="宋体"/>
          <w:sz w:val="21"/>
          <w:szCs w:val="21"/>
        </w:rPr>
        <w:t>平台软件交付实施</w:t>
      </w:r>
    </w:p>
    <w:p>
      <w:pPr>
        <w:keepNext w:val="0"/>
        <w:keepLines w:val="0"/>
        <w:pageBreakBefore w:val="0"/>
        <w:widowControl/>
        <w:numPr>
          <w:ilvl w:val="0"/>
          <w:numId w:val="22"/>
        </w:numPr>
        <w:suppressLineNumbers w:val="0"/>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按照智慧高速设计文件要求完成所有软件的部署工作。</w:t>
      </w:r>
    </w:p>
    <w:p>
      <w:pPr>
        <w:keepNext w:val="0"/>
        <w:keepLines w:val="0"/>
        <w:pageBreakBefore w:val="0"/>
        <w:widowControl/>
        <w:numPr>
          <w:ilvl w:val="0"/>
          <w:numId w:val="22"/>
        </w:numPr>
        <w:suppressLineNumbers w:val="0"/>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完成</w:t>
      </w:r>
      <w:r>
        <w:rPr>
          <w:rFonts w:hint="eastAsia" w:asciiTheme="minorEastAsia" w:hAnsiTheme="minorEastAsia" w:eastAsiaTheme="minorEastAsia" w:cstheme="minorEastAsia"/>
          <w:kern w:val="0"/>
          <w:sz w:val="21"/>
          <w:szCs w:val="21"/>
          <w:lang w:val="en-US" w:eastAsia="zh-CN"/>
        </w:rPr>
        <w:t>云控平台</w:t>
      </w:r>
      <w:r>
        <w:rPr>
          <w:rFonts w:hint="eastAsia" w:asciiTheme="minorEastAsia" w:hAnsiTheme="minorEastAsia" w:eastAsiaTheme="minorEastAsia" w:cstheme="minorEastAsia"/>
          <w:kern w:val="0"/>
          <w:sz w:val="21"/>
          <w:szCs w:val="21"/>
        </w:rPr>
        <w:t>系统各软件模块的单机调试和联调工作。</w:t>
      </w:r>
    </w:p>
    <w:p>
      <w:pPr>
        <w:keepNext w:val="0"/>
        <w:keepLines w:val="0"/>
        <w:pageBreakBefore w:val="0"/>
        <w:widowControl/>
        <w:numPr>
          <w:ilvl w:val="0"/>
          <w:numId w:val="22"/>
        </w:numPr>
        <w:suppressLineNumbers w:val="0"/>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完成</w:t>
      </w:r>
      <w:r>
        <w:rPr>
          <w:rFonts w:hint="eastAsia" w:asciiTheme="minorEastAsia" w:hAnsiTheme="minorEastAsia" w:eastAsiaTheme="minorEastAsia" w:cstheme="minorEastAsia"/>
          <w:kern w:val="0"/>
          <w:sz w:val="21"/>
          <w:szCs w:val="21"/>
          <w:lang w:val="en-US" w:eastAsia="zh-CN"/>
        </w:rPr>
        <w:t>云控平台</w:t>
      </w:r>
      <w:r>
        <w:rPr>
          <w:rFonts w:hint="eastAsia" w:asciiTheme="minorEastAsia" w:hAnsiTheme="minorEastAsia" w:eastAsiaTheme="minorEastAsia" w:cstheme="minorEastAsia"/>
          <w:kern w:val="0"/>
          <w:sz w:val="21"/>
          <w:szCs w:val="21"/>
        </w:rPr>
        <w:t>系统之间和上级云控平台适配以及数据对接工作。</w:t>
      </w:r>
    </w:p>
    <w:p>
      <w:pPr>
        <w:keepNext w:val="0"/>
        <w:keepLines w:val="0"/>
        <w:pageBreakBefore w:val="0"/>
        <w:widowControl/>
        <w:numPr>
          <w:ilvl w:val="0"/>
          <w:numId w:val="22"/>
        </w:numPr>
        <w:suppressLineNumbers w:val="0"/>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根据业务需求完成</w:t>
      </w:r>
      <w:r>
        <w:rPr>
          <w:rFonts w:hint="eastAsia" w:asciiTheme="minorEastAsia" w:hAnsiTheme="minorEastAsia" w:eastAsiaTheme="minorEastAsia" w:cstheme="minorEastAsia"/>
          <w:kern w:val="0"/>
          <w:sz w:val="21"/>
          <w:szCs w:val="21"/>
          <w:lang w:val="en-US" w:eastAsia="zh-CN"/>
        </w:rPr>
        <w:t>云控平台</w:t>
      </w:r>
      <w:r>
        <w:rPr>
          <w:rFonts w:hint="eastAsia" w:asciiTheme="minorEastAsia" w:hAnsiTheme="minorEastAsia" w:eastAsiaTheme="minorEastAsia" w:cstheme="minorEastAsia"/>
          <w:kern w:val="0"/>
          <w:sz w:val="21"/>
          <w:szCs w:val="21"/>
        </w:rPr>
        <w:t>系统功能的定制开发，包括前端功能、后台管理功能等。</w:t>
      </w:r>
    </w:p>
    <w:p>
      <w:pPr>
        <w:pStyle w:val="5"/>
        <w:snapToGrid w:val="0"/>
        <w:spacing w:before="156" w:beforeLines="50" w:after="156" w:afterLines="50" w:line="360" w:lineRule="exact"/>
        <w:rPr>
          <w:rFonts w:ascii="宋体" w:hAnsi="宋体" w:cs="宋体"/>
          <w:sz w:val="21"/>
          <w:szCs w:val="21"/>
        </w:rPr>
      </w:pPr>
      <w:r>
        <w:rPr>
          <w:rFonts w:hint="eastAsia" w:ascii="宋体" w:hAnsi="宋体" w:cs="宋体"/>
          <w:sz w:val="21"/>
          <w:szCs w:val="21"/>
          <w:lang w:val="en-US" w:eastAsia="zh-CN"/>
        </w:rPr>
        <w:t>5</w:t>
      </w:r>
      <w:r>
        <w:rPr>
          <w:rFonts w:hint="eastAsia" w:ascii="宋体" w:hAnsi="宋体" w:cs="宋体"/>
          <w:sz w:val="21"/>
          <w:szCs w:val="21"/>
        </w:rPr>
        <w:t>.</w:t>
      </w:r>
      <w:r>
        <w:rPr>
          <w:rFonts w:hint="eastAsia" w:ascii="宋体" w:hAnsi="宋体" w:cs="宋体"/>
          <w:sz w:val="21"/>
          <w:szCs w:val="21"/>
          <w:lang w:val="en-US" w:eastAsia="zh-CN"/>
        </w:rPr>
        <w:t>2</w:t>
      </w:r>
      <w:r>
        <w:rPr>
          <w:rFonts w:hint="eastAsia" w:ascii="宋体" w:hAnsi="宋体" w:cs="宋体"/>
          <w:sz w:val="21"/>
          <w:szCs w:val="21"/>
        </w:rPr>
        <w:t>交付实施完成标志</w:t>
      </w:r>
    </w:p>
    <w:p>
      <w:pPr>
        <w:keepNext w:val="0"/>
        <w:keepLines w:val="0"/>
        <w:pageBreakBefore w:val="0"/>
        <w:widowControl/>
        <w:numPr>
          <w:ilvl w:val="0"/>
          <w:numId w:val="22"/>
        </w:numPr>
        <w:suppressLineNumbers w:val="0"/>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按照设计文件里面的规范要求完成竣工文件编制，内容齐全，数据准确，符合归档要求。</w:t>
      </w:r>
    </w:p>
    <w:p>
      <w:pPr>
        <w:keepNext w:val="0"/>
        <w:keepLines w:val="0"/>
        <w:pageBreakBefore w:val="0"/>
        <w:widowControl/>
        <w:numPr>
          <w:ilvl w:val="0"/>
          <w:numId w:val="22"/>
        </w:numPr>
        <w:suppressLineNumbers w:val="0"/>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云控平台</w:t>
      </w:r>
      <w:r>
        <w:rPr>
          <w:rFonts w:hint="eastAsia" w:asciiTheme="minorEastAsia" w:hAnsiTheme="minorEastAsia" w:eastAsiaTheme="minorEastAsia" w:cstheme="minorEastAsia"/>
          <w:kern w:val="0"/>
          <w:sz w:val="21"/>
          <w:szCs w:val="21"/>
        </w:rPr>
        <w:t>系统软件各功能使用和软件之间的适配都正常，使用手册和调试报告等文档完整，符合归档要求。</w:t>
      </w:r>
    </w:p>
    <w:p>
      <w:pPr>
        <w:keepNext w:val="0"/>
        <w:keepLines w:val="0"/>
        <w:pageBreakBefore w:val="0"/>
        <w:widowControl/>
        <w:numPr>
          <w:ilvl w:val="0"/>
          <w:numId w:val="22"/>
        </w:numPr>
        <w:suppressLineNumbers w:val="0"/>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通过甲方组织的相关测试。</w:t>
      </w:r>
    </w:p>
    <w:p>
      <w:pPr>
        <w:pStyle w:val="5"/>
        <w:snapToGrid w:val="0"/>
        <w:spacing w:before="156" w:beforeLines="50" w:after="156" w:afterLines="50" w:line="360" w:lineRule="exact"/>
        <w:rPr>
          <w:rFonts w:ascii="宋体" w:hAnsi="宋体" w:cs="宋体"/>
          <w:sz w:val="21"/>
          <w:szCs w:val="21"/>
        </w:rPr>
      </w:pPr>
      <w:r>
        <w:rPr>
          <w:rFonts w:hint="eastAsia" w:ascii="宋体" w:hAnsi="宋体" w:cs="宋体"/>
          <w:sz w:val="21"/>
          <w:szCs w:val="21"/>
          <w:lang w:val="en-US" w:eastAsia="zh-CN"/>
        </w:rPr>
        <w:t>6</w:t>
      </w:r>
      <w:r>
        <w:rPr>
          <w:rFonts w:hint="eastAsia" w:ascii="宋体" w:hAnsi="宋体" w:cs="宋体"/>
          <w:sz w:val="21"/>
          <w:szCs w:val="21"/>
        </w:rPr>
        <w:t>. 云控平台系统运维要求</w:t>
      </w:r>
    </w:p>
    <w:p>
      <w:pPr>
        <w:pStyle w:val="5"/>
        <w:snapToGrid w:val="0"/>
        <w:spacing w:before="156" w:beforeLines="50" w:after="156" w:afterLines="50" w:line="360" w:lineRule="exact"/>
        <w:rPr>
          <w:rFonts w:ascii="宋体" w:hAnsi="宋体" w:cs="宋体"/>
          <w:sz w:val="21"/>
          <w:szCs w:val="21"/>
        </w:rPr>
      </w:pPr>
      <w:r>
        <w:rPr>
          <w:rFonts w:hint="eastAsia" w:ascii="宋体" w:hAnsi="宋体" w:cs="宋体"/>
          <w:sz w:val="21"/>
          <w:szCs w:val="21"/>
          <w:lang w:val="en-US" w:eastAsia="zh-CN"/>
        </w:rPr>
        <w:t>6</w:t>
      </w:r>
      <w:r>
        <w:rPr>
          <w:rFonts w:hint="eastAsia" w:ascii="宋体" w:hAnsi="宋体" w:cs="宋体"/>
          <w:sz w:val="21"/>
          <w:szCs w:val="21"/>
        </w:rPr>
        <w:t>.1运维要求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中标方需按招标文件要求安排符合本项目专业技术的工程师对</w:t>
      </w:r>
      <w:r>
        <w:rPr>
          <w:rFonts w:hint="eastAsia" w:asciiTheme="minorEastAsia" w:hAnsiTheme="minorEastAsia" w:eastAsiaTheme="minorEastAsia" w:cstheme="minorEastAsia"/>
          <w:kern w:val="0"/>
          <w:sz w:val="21"/>
          <w:szCs w:val="21"/>
          <w:lang w:val="en-US" w:eastAsia="zh-CN"/>
        </w:rPr>
        <w:t>云控平台</w:t>
      </w:r>
      <w:r>
        <w:rPr>
          <w:rFonts w:hint="eastAsia" w:asciiTheme="minorEastAsia" w:hAnsiTheme="minorEastAsia" w:eastAsiaTheme="minorEastAsia" w:cstheme="minorEastAsia"/>
          <w:kern w:val="0"/>
          <w:sz w:val="21"/>
          <w:szCs w:val="21"/>
        </w:rPr>
        <w:t>系统提供的运维工作，保障缺陷责任期内系统的稳定和安全运行。</w:t>
      </w:r>
    </w:p>
    <w:p>
      <w:pPr>
        <w:pStyle w:val="5"/>
        <w:spacing w:before="0" w:after="0" w:line="360" w:lineRule="exact"/>
        <w:rPr>
          <w:rFonts w:ascii="宋体" w:hAnsi="宋体" w:cs="宋体"/>
          <w:sz w:val="21"/>
          <w:szCs w:val="21"/>
        </w:rPr>
      </w:pPr>
      <w:r>
        <w:rPr>
          <w:rFonts w:hint="eastAsia" w:ascii="宋体" w:hAnsi="宋体" w:cs="宋体"/>
          <w:sz w:val="21"/>
          <w:szCs w:val="21"/>
          <w:lang w:val="en-US" w:eastAsia="zh-CN"/>
        </w:rPr>
        <w:t>6</w:t>
      </w:r>
      <w:r>
        <w:rPr>
          <w:rFonts w:hint="eastAsia" w:ascii="宋体" w:hAnsi="宋体" w:cs="宋体"/>
          <w:sz w:val="21"/>
          <w:szCs w:val="21"/>
        </w:rPr>
        <w:t>.2工作范围</w:t>
      </w:r>
    </w:p>
    <w:p>
      <w:pPr>
        <w:keepNext w:val="0"/>
        <w:keepLines w:val="0"/>
        <w:pageBreakBefore w:val="0"/>
        <w:widowControl/>
        <w:numPr>
          <w:ilvl w:val="0"/>
          <w:numId w:val="22"/>
        </w:numPr>
        <w:suppressLineNumbers w:val="0"/>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云控平台系统运维：包括但不限于云控平台系统外场设备与后台应用涉及的基础运行环境（runtime）、网络环境、应用功能以及业务数据质量。</w:t>
      </w:r>
    </w:p>
    <w:p>
      <w:pPr>
        <w:keepNext w:val="0"/>
        <w:keepLines w:val="0"/>
        <w:pageBreakBefore w:val="0"/>
        <w:widowControl/>
        <w:numPr>
          <w:ilvl w:val="0"/>
          <w:numId w:val="22"/>
        </w:numPr>
        <w:suppressLineNumbers w:val="0"/>
        <w:kinsoku/>
        <w:wordWrap/>
        <w:overflowPunct/>
        <w:topLinePunct w:val="0"/>
        <w:autoSpaceDE/>
        <w:autoSpaceDN/>
        <w:bidi w:val="0"/>
        <w:adjustRightInd/>
        <w:snapToGrid/>
        <w:spacing w:before="0" w:beforeAutospacing="0" w:after="0" w:afterAutospacing="0" w:line="360" w:lineRule="auto"/>
        <w:ind w:left="420" w:leftChars="0" w:right="0" w:hanging="420" w:firstLineChars="0"/>
        <w:jc w:val="left"/>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云控平台系统建设项目范围内的其它工作。</w:t>
      </w:r>
    </w:p>
    <w:p>
      <w:pPr>
        <w:pStyle w:val="5"/>
        <w:snapToGrid w:val="0"/>
        <w:spacing w:before="156" w:beforeLines="50" w:after="156" w:afterLines="50" w:line="360" w:lineRule="exact"/>
        <w:rPr>
          <w:rFonts w:ascii="宋体" w:hAnsi="宋体" w:cs="宋体"/>
          <w:sz w:val="21"/>
          <w:szCs w:val="21"/>
        </w:rPr>
      </w:pPr>
      <w:r>
        <w:rPr>
          <w:rFonts w:hint="eastAsia" w:ascii="宋体" w:hAnsi="宋体" w:cs="宋体"/>
          <w:sz w:val="21"/>
          <w:szCs w:val="21"/>
          <w:lang w:val="en-US" w:eastAsia="zh-CN"/>
        </w:rPr>
        <w:t>6</w:t>
      </w:r>
      <w:r>
        <w:rPr>
          <w:rFonts w:hint="eastAsia" w:ascii="宋体" w:hAnsi="宋体" w:cs="宋体"/>
          <w:sz w:val="21"/>
          <w:szCs w:val="21"/>
        </w:rPr>
        <w:t>.3</w:t>
      </w:r>
      <w:r>
        <w:rPr>
          <w:rFonts w:hint="eastAsia" w:ascii="宋体" w:hAnsi="宋体" w:cs="宋体"/>
          <w:sz w:val="21"/>
          <w:szCs w:val="21"/>
          <w:lang w:eastAsia="zh-CN"/>
        </w:rPr>
        <w:t>云控平台</w:t>
      </w:r>
      <w:r>
        <w:rPr>
          <w:rFonts w:hint="eastAsia" w:ascii="宋体" w:hAnsi="宋体" w:cs="宋体"/>
          <w:sz w:val="21"/>
          <w:szCs w:val="21"/>
        </w:rPr>
        <w:t>系统运维服务清单</w:t>
      </w:r>
    </w:p>
    <w:p>
      <w:pPr>
        <w:pStyle w:val="5"/>
        <w:snapToGrid w:val="0"/>
        <w:spacing w:before="156" w:beforeLines="50" w:after="156" w:afterLines="50" w:line="360" w:lineRule="exact"/>
        <w:rPr>
          <w:rFonts w:ascii="宋体" w:hAnsi="宋体" w:cs="宋体"/>
          <w:sz w:val="21"/>
          <w:szCs w:val="21"/>
        </w:rPr>
      </w:pPr>
      <w:r>
        <w:rPr>
          <w:rFonts w:hint="eastAsia" w:ascii="宋体" w:hAnsi="宋体" w:cs="宋体"/>
          <w:sz w:val="21"/>
          <w:szCs w:val="21"/>
          <w:lang w:val="en-US" w:eastAsia="zh-CN"/>
        </w:rPr>
        <w:t>6</w:t>
      </w:r>
      <w:r>
        <w:rPr>
          <w:rFonts w:hint="eastAsia" w:ascii="宋体" w:hAnsi="宋体" w:cs="宋体"/>
          <w:sz w:val="21"/>
          <w:szCs w:val="21"/>
        </w:rPr>
        <w:t>.3.1日常巡检和监控</w:t>
      </w:r>
    </w:p>
    <w:p>
      <w:pPr>
        <w:spacing w:line="360" w:lineRule="exact"/>
        <w:ind w:firstLine="420" w:firstLineChars="200"/>
        <w:rPr>
          <w:rFonts w:ascii="宋体" w:hAnsi="宋体" w:cs="宋体"/>
          <w:color w:val="000000"/>
        </w:rPr>
      </w:pPr>
      <w:r>
        <w:rPr>
          <w:rFonts w:hint="eastAsia" w:ascii="宋体" w:hAnsi="宋体" w:cs="宋体"/>
          <w:color w:val="000000"/>
        </w:rPr>
        <w:t>缺陷责任期内提供整个</w:t>
      </w:r>
      <w:r>
        <w:rPr>
          <w:rFonts w:hint="eastAsia" w:ascii="宋体" w:hAnsi="宋体" w:cs="宋体"/>
          <w:color w:val="000000"/>
          <w:lang w:val="en-US" w:eastAsia="zh-CN"/>
        </w:rPr>
        <w:t>云控平台</w:t>
      </w:r>
      <w:r>
        <w:rPr>
          <w:rFonts w:hint="eastAsia" w:ascii="宋体" w:hAnsi="宋体" w:cs="宋体"/>
          <w:szCs w:val="21"/>
        </w:rPr>
        <w:t>系统</w:t>
      </w:r>
      <w:r>
        <w:rPr>
          <w:rFonts w:hint="eastAsia" w:ascii="宋体" w:hAnsi="宋体" w:cs="宋体"/>
          <w:color w:val="000000"/>
        </w:rPr>
        <w:t>的日常巡检和监控服务，定期开展对</w:t>
      </w:r>
      <w:r>
        <w:rPr>
          <w:rFonts w:hint="eastAsia" w:ascii="宋体" w:hAnsi="宋体" w:cs="宋体"/>
          <w:szCs w:val="21"/>
          <w:lang w:eastAsia="zh-CN"/>
        </w:rPr>
        <w:t>云控平台</w:t>
      </w:r>
      <w:r>
        <w:rPr>
          <w:rFonts w:hint="eastAsia" w:ascii="宋体" w:hAnsi="宋体" w:cs="宋体"/>
          <w:szCs w:val="21"/>
        </w:rPr>
        <w:t>系统外场设施</w:t>
      </w:r>
      <w:r>
        <w:rPr>
          <w:rFonts w:hint="eastAsia" w:ascii="宋体" w:hAnsi="宋体" w:cs="宋体"/>
          <w:color w:val="000000"/>
        </w:rPr>
        <w:t>设备及软件的健康状态的巡检，并形成巡检记录；</w:t>
      </w:r>
      <w:r>
        <w:rPr>
          <w:rFonts w:ascii="宋体" w:hAnsi="宋体" w:cs="宋体"/>
          <w:color w:val="000000"/>
        </w:rPr>
        <w:t xml:space="preserve"> </w:t>
      </w:r>
    </w:p>
    <w:p>
      <w:pPr>
        <w:pStyle w:val="5"/>
        <w:snapToGrid w:val="0"/>
        <w:spacing w:before="156" w:beforeLines="50" w:after="156" w:afterLines="50" w:line="360" w:lineRule="exact"/>
        <w:rPr>
          <w:rFonts w:ascii="宋体" w:hAnsi="宋体" w:cs="宋体"/>
          <w:sz w:val="21"/>
          <w:szCs w:val="21"/>
        </w:rPr>
      </w:pPr>
      <w:r>
        <w:rPr>
          <w:rFonts w:hint="eastAsia" w:ascii="宋体" w:hAnsi="宋体" w:cs="宋体"/>
          <w:sz w:val="21"/>
          <w:szCs w:val="21"/>
          <w:lang w:val="en-US" w:eastAsia="zh-CN"/>
        </w:rPr>
        <w:t>6</w:t>
      </w:r>
      <w:r>
        <w:rPr>
          <w:rFonts w:hint="eastAsia" w:ascii="宋体" w:hAnsi="宋体" w:cs="宋体"/>
          <w:sz w:val="21"/>
          <w:szCs w:val="21"/>
        </w:rPr>
        <w:t>.3.</w:t>
      </w:r>
      <w:r>
        <w:rPr>
          <w:rFonts w:ascii="宋体" w:hAnsi="宋体" w:cs="宋体"/>
          <w:sz w:val="21"/>
          <w:szCs w:val="21"/>
        </w:rPr>
        <w:t>2</w:t>
      </w:r>
      <w:r>
        <w:rPr>
          <w:rFonts w:hint="eastAsia" w:ascii="宋体" w:hAnsi="宋体" w:cs="宋体"/>
          <w:sz w:val="21"/>
          <w:szCs w:val="21"/>
        </w:rPr>
        <w:t>专项巡检</w:t>
      </w:r>
    </w:p>
    <w:p>
      <w:pPr>
        <w:spacing w:line="360" w:lineRule="exact"/>
        <w:ind w:firstLine="420" w:firstLineChars="200"/>
        <w:rPr>
          <w:rFonts w:ascii="宋体" w:hAnsi="宋体" w:cs="宋体"/>
          <w:color w:val="000000"/>
        </w:rPr>
      </w:pPr>
      <w:r>
        <w:rPr>
          <w:rFonts w:hint="eastAsia" w:ascii="宋体" w:hAnsi="宋体" w:cs="宋体"/>
          <w:color w:val="000000"/>
        </w:rPr>
        <w:t>缺陷责任期内定期开展专项巡检工作，并形成巡检报告；在特殊情况下，根据业主的要求，安排值守工作。</w:t>
      </w:r>
    </w:p>
    <w:p>
      <w:pPr>
        <w:pStyle w:val="5"/>
        <w:snapToGrid w:val="0"/>
        <w:spacing w:before="156" w:beforeLines="50" w:after="156" w:afterLines="50" w:line="360" w:lineRule="exact"/>
        <w:rPr>
          <w:rFonts w:ascii="宋体" w:hAnsi="宋体" w:cs="宋体"/>
          <w:sz w:val="21"/>
          <w:szCs w:val="21"/>
        </w:rPr>
      </w:pPr>
      <w:r>
        <w:rPr>
          <w:rFonts w:hint="eastAsia" w:ascii="宋体" w:hAnsi="宋体" w:cs="宋体"/>
          <w:sz w:val="21"/>
          <w:szCs w:val="21"/>
          <w:lang w:val="en-US" w:eastAsia="zh-CN"/>
        </w:rPr>
        <w:t>6</w:t>
      </w:r>
      <w:r>
        <w:rPr>
          <w:rFonts w:hint="eastAsia" w:ascii="宋体" w:hAnsi="宋体" w:cs="宋体"/>
          <w:sz w:val="21"/>
          <w:szCs w:val="21"/>
        </w:rPr>
        <w:t>.3.4故障处理服务</w:t>
      </w:r>
    </w:p>
    <w:p>
      <w:pPr>
        <w:spacing w:line="360" w:lineRule="exact"/>
        <w:ind w:firstLine="420" w:firstLineChars="200"/>
        <w:rPr>
          <w:rFonts w:ascii="宋体" w:hAnsi="宋体" w:cs="宋体"/>
          <w:color w:val="000000"/>
        </w:rPr>
      </w:pPr>
      <w:r>
        <w:rPr>
          <w:rFonts w:hint="eastAsia" w:ascii="宋体" w:hAnsi="宋体" w:cs="宋体"/>
          <w:color w:val="000000"/>
        </w:rPr>
        <w:t>提供</w:t>
      </w:r>
      <w:r>
        <w:rPr>
          <w:rFonts w:hint="eastAsia" w:ascii="宋体" w:hAnsi="宋体" w:cs="宋体"/>
          <w:color w:val="000000"/>
          <w:lang w:val="en-US" w:eastAsia="zh-CN"/>
        </w:rPr>
        <w:t>云控平台</w:t>
      </w:r>
      <w:r>
        <w:rPr>
          <w:rFonts w:hint="eastAsia" w:ascii="宋体" w:hAnsi="宋体" w:cs="宋体"/>
          <w:szCs w:val="21"/>
        </w:rPr>
        <w:t>系统</w:t>
      </w:r>
      <w:r>
        <w:rPr>
          <w:rFonts w:hint="eastAsia" w:ascii="宋体" w:hAnsi="宋体" w:cs="宋体"/>
          <w:color w:val="000000"/>
        </w:rPr>
        <w:t>软硬件产生的故障处理服务，对于业主反映的紧急情况，应该在半小时内响应，包括但不限于</w:t>
      </w:r>
      <w:r>
        <w:rPr>
          <w:rFonts w:hint="eastAsia" w:ascii="宋体" w:hAnsi="宋体" w:cs="宋体"/>
          <w:color w:val="000000"/>
          <w:lang w:val="en-US" w:eastAsia="zh-CN"/>
        </w:rPr>
        <w:t>云控平台</w:t>
      </w:r>
      <w:r>
        <w:rPr>
          <w:rFonts w:hint="eastAsia" w:ascii="宋体" w:hAnsi="宋体" w:cs="宋体"/>
          <w:szCs w:val="21"/>
        </w:rPr>
        <w:t>系统</w:t>
      </w:r>
      <w:r>
        <w:rPr>
          <w:rFonts w:hint="eastAsia" w:ascii="宋体" w:hAnsi="宋体" w:cs="宋体"/>
          <w:color w:val="000000"/>
        </w:rPr>
        <w:t>产生的重大告警、影响业务运行的重大事件、重大故障和紧急安全事件等。协助业主做好故障处理和问题解决，完善处理记录和报告。</w:t>
      </w:r>
    </w:p>
    <w:p>
      <w:pPr>
        <w:pStyle w:val="5"/>
        <w:snapToGrid w:val="0"/>
        <w:spacing w:before="156" w:beforeLines="50" w:after="156" w:afterLines="50" w:line="360" w:lineRule="exact"/>
        <w:rPr>
          <w:rFonts w:ascii="宋体" w:hAnsi="宋体" w:cs="宋体"/>
          <w:sz w:val="21"/>
          <w:szCs w:val="21"/>
        </w:rPr>
      </w:pPr>
      <w:r>
        <w:rPr>
          <w:rFonts w:hint="eastAsia" w:ascii="宋体" w:hAnsi="宋体" w:cs="宋体"/>
          <w:sz w:val="21"/>
          <w:szCs w:val="21"/>
          <w:lang w:val="en-US" w:eastAsia="zh-CN"/>
        </w:rPr>
        <w:t>6</w:t>
      </w:r>
      <w:r>
        <w:rPr>
          <w:rFonts w:hint="eastAsia" w:ascii="宋体" w:hAnsi="宋体" w:cs="宋体"/>
          <w:sz w:val="21"/>
          <w:szCs w:val="21"/>
        </w:rPr>
        <w:t>.3.</w:t>
      </w:r>
      <w:r>
        <w:rPr>
          <w:rFonts w:ascii="宋体" w:hAnsi="宋体" w:cs="宋体"/>
          <w:sz w:val="21"/>
          <w:szCs w:val="21"/>
        </w:rPr>
        <w:t>5</w:t>
      </w:r>
      <w:r>
        <w:rPr>
          <w:rFonts w:hint="eastAsia" w:ascii="宋体" w:hAnsi="宋体" w:cs="宋体"/>
          <w:sz w:val="21"/>
          <w:szCs w:val="21"/>
        </w:rPr>
        <w:t>应急响应服务</w:t>
      </w:r>
    </w:p>
    <w:p>
      <w:pPr>
        <w:spacing w:line="360" w:lineRule="exact"/>
        <w:ind w:firstLine="420" w:firstLineChars="200"/>
        <w:rPr>
          <w:rFonts w:ascii="宋体" w:hAnsi="宋体" w:cs="宋体"/>
          <w:color w:val="000000"/>
        </w:rPr>
      </w:pPr>
      <w:r>
        <w:rPr>
          <w:rFonts w:hint="eastAsia" w:ascii="宋体" w:hAnsi="宋体" w:cs="宋体"/>
          <w:color w:val="000000"/>
        </w:rPr>
        <w:t>当业主单位发生应急事件预警时，需要立即响应，并根据情况派出专家团队协助业主开展事件处理工作，制订应急处置方案，现场排查处理事件，保障</w:t>
      </w:r>
      <w:r>
        <w:rPr>
          <w:rFonts w:hint="eastAsia" w:ascii="宋体" w:hAnsi="宋体" w:cs="宋体"/>
          <w:color w:val="000000"/>
          <w:lang w:val="en-US" w:eastAsia="zh-CN"/>
        </w:rPr>
        <w:t>云控平台</w:t>
      </w:r>
      <w:r>
        <w:rPr>
          <w:rFonts w:hint="eastAsia" w:ascii="宋体" w:hAnsi="宋体" w:cs="宋体"/>
          <w:szCs w:val="21"/>
        </w:rPr>
        <w:t>系统</w:t>
      </w:r>
      <w:r>
        <w:rPr>
          <w:rFonts w:hint="eastAsia" w:ascii="宋体" w:hAnsi="宋体" w:cs="宋体"/>
          <w:color w:val="000000"/>
        </w:rPr>
        <w:t>运行的连续性。</w:t>
      </w:r>
    </w:p>
    <w:p>
      <w:pPr>
        <w:pStyle w:val="5"/>
        <w:snapToGrid w:val="0"/>
        <w:spacing w:before="156" w:beforeLines="50" w:after="156" w:afterLines="50" w:line="360" w:lineRule="exact"/>
        <w:rPr>
          <w:rFonts w:ascii="宋体" w:hAnsi="宋体" w:cs="宋体"/>
          <w:sz w:val="21"/>
          <w:szCs w:val="21"/>
        </w:rPr>
      </w:pPr>
      <w:r>
        <w:rPr>
          <w:rFonts w:hint="eastAsia" w:ascii="宋体" w:hAnsi="宋体" w:cs="宋体"/>
          <w:sz w:val="21"/>
          <w:szCs w:val="21"/>
          <w:lang w:val="en-US" w:eastAsia="zh-CN"/>
        </w:rPr>
        <w:t>6</w:t>
      </w:r>
      <w:r>
        <w:rPr>
          <w:rFonts w:hint="eastAsia" w:ascii="宋体" w:hAnsi="宋体" w:cs="宋体"/>
          <w:sz w:val="21"/>
          <w:szCs w:val="21"/>
        </w:rPr>
        <w:t>.3.</w:t>
      </w:r>
      <w:r>
        <w:rPr>
          <w:rFonts w:ascii="宋体" w:hAnsi="宋体" w:cs="宋体"/>
          <w:sz w:val="21"/>
          <w:szCs w:val="21"/>
        </w:rPr>
        <w:t>6</w:t>
      </w:r>
      <w:r>
        <w:rPr>
          <w:rFonts w:hint="eastAsia" w:ascii="宋体" w:hAnsi="宋体" w:cs="宋体"/>
          <w:sz w:val="21"/>
          <w:szCs w:val="21"/>
        </w:rPr>
        <w:t>运维文档</w:t>
      </w:r>
    </w:p>
    <w:p>
      <w:pPr>
        <w:spacing w:line="360" w:lineRule="exact"/>
        <w:ind w:firstLine="420" w:firstLineChars="200"/>
        <w:rPr>
          <w:rFonts w:ascii="宋体" w:hAnsi="宋体" w:cs="宋体"/>
          <w:color w:val="000000"/>
        </w:rPr>
      </w:pPr>
      <w:r>
        <w:rPr>
          <w:rFonts w:hint="eastAsia" w:ascii="宋体" w:hAnsi="宋体" w:cs="宋体"/>
          <w:color w:val="000000"/>
        </w:rPr>
        <w:t>按业主单位的规范和制度要求，将日常工作文档化，包括但不限于故障处理、应急响应、资源管理、性能报告、监控报告和SOP文档等，按季度提交。</w:t>
      </w:r>
    </w:p>
    <w:p>
      <w:pPr>
        <w:pStyle w:val="16"/>
      </w:pPr>
    </w:p>
    <w:p>
      <w:pPr>
        <w:numPr>
          <w:ilvl w:val="0"/>
          <w:numId w:val="10"/>
        </w:numPr>
        <w:spacing w:line="360" w:lineRule="auto"/>
        <w:ind w:left="425" w:leftChars="0" w:hanging="425" w:firstLineChars="0"/>
        <w:jc w:val="left"/>
        <w:outlineLvl w:val="1"/>
        <w:rPr>
          <w:rFonts w:hint="eastAsia" w:ascii="宋体" w:hAnsi="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人员要求</w:t>
      </w:r>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eastAsia="zh-CN"/>
        </w:rPr>
        <w:t>中选人</w:t>
      </w:r>
      <w:r>
        <w:rPr>
          <w:rFonts w:hint="eastAsia" w:ascii="宋体" w:hAnsi="宋体" w:cs="宋体"/>
          <w:szCs w:val="21"/>
          <w:highlight w:val="none"/>
        </w:rPr>
        <w:t>成立针对本项目的项目团队，并派驻至少一名项目经理及一名实施人员到采购人指定地点进行驻场开发，项目团队其它成员可远程提供支持。</w:t>
      </w:r>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highlight w:val="none"/>
        </w:rPr>
        <w:t>采购人根据</w:t>
      </w:r>
      <w:r>
        <w:rPr>
          <w:rFonts w:hint="eastAsia" w:ascii="宋体" w:hAnsi="宋体" w:cs="宋体"/>
          <w:szCs w:val="21"/>
          <w:highlight w:val="none"/>
          <w:lang w:eastAsia="zh-CN"/>
        </w:rPr>
        <w:t>中选人</w:t>
      </w:r>
      <w:r>
        <w:rPr>
          <w:rFonts w:hint="eastAsia" w:ascii="宋体" w:hAnsi="宋体" w:cs="宋体"/>
          <w:szCs w:val="21"/>
          <w:highlight w:val="none"/>
        </w:rPr>
        <w:t>驻场人员的技术水平、工作效率、沟通能力和服务态度等综合评价人员是否胜任项目工作且达到采购人要求。对不能胜任的项目人员，采购人提出更换要求的</w:t>
      </w:r>
      <w:r>
        <w:rPr>
          <w:rFonts w:hint="eastAsia" w:ascii="宋体" w:hAnsi="宋体" w:cs="宋体"/>
          <w:szCs w:val="21"/>
          <w:highlight w:val="none"/>
          <w:lang w:eastAsia="zh-CN"/>
        </w:rPr>
        <w:t>中选人</w:t>
      </w:r>
      <w:r>
        <w:rPr>
          <w:rFonts w:hint="eastAsia" w:ascii="宋体" w:hAnsi="宋体" w:cs="宋体"/>
          <w:szCs w:val="21"/>
          <w:highlight w:val="none"/>
        </w:rPr>
        <w:t>应及时更换。</w:t>
      </w:r>
    </w:p>
    <w:p>
      <w:pPr>
        <w:numPr>
          <w:ilvl w:val="0"/>
          <w:numId w:val="10"/>
        </w:numPr>
        <w:spacing w:line="360" w:lineRule="auto"/>
        <w:ind w:left="425" w:leftChars="0" w:hanging="425" w:firstLineChars="0"/>
        <w:jc w:val="left"/>
        <w:outlineLvl w:val="1"/>
        <w:rPr>
          <w:rFonts w:hint="eastAsia" w:ascii="宋体" w:hAnsi="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保密要求</w:t>
      </w:r>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eastAsia="zh-CN"/>
        </w:rPr>
        <w:t>中选人</w:t>
      </w:r>
      <w:r>
        <w:rPr>
          <w:rFonts w:hint="eastAsia" w:ascii="宋体" w:hAnsi="宋体" w:cs="宋体"/>
          <w:szCs w:val="21"/>
          <w:highlight w:val="none"/>
        </w:rPr>
        <w:t>应保证其实施人员在采购人服务期间所接触的采购人各种文件、数据，系统资料、系统操作等严格遵守采购人保密制度，不得向第三方透露。</w:t>
      </w:r>
    </w:p>
    <w:p>
      <w:r>
        <w:br w:type="page"/>
      </w:r>
    </w:p>
    <w:p/>
    <w:p>
      <w:pPr>
        <w:pStyle w:val="3"/>
        <w:spacing w:before="0" w:after="0" w:line="360" w:lineRule="auto"/>
        <w:jc w:val="center"/>
        <w:rPr>
          <w:rFonts w:ascii="宋体" w:hAnsi="宋体" w:cs="宋体"/>
        </w:rPr>
      </w:pPr>
      <w:r>
        <w:rPr>
          <w:rFonts w:hint="eastAsia" w:ascii="宋体" w:hAnsi="宋体" w:cs="宋体"/>
        </w:rPr>
        <w:t>第八章  工程量清单计量规则</w:t>
      </w:r>
      <w:bookmarkEnd w:id="823"/>
      <w:bookmarkEnd w:id="824"/>
      <w:bookmarkEnd w:id="825"/>
      <w:bookmarkEnd w:id="826"/>
      <w:bookmarkEnd w:id="827"/>
      <w:bookmarkEnd w:id="837"/>
    </w:p>
    <w:p>
      <w:pPr>
        <w:spacing w:line="360" w:lineRule="auto"/>
        <w:ind w:firstLine="420" w:firstLineChars="200"/>
        <w:rPr>
          <w:rFonts w:ascii="宋体" w:hAnsi="宋体" w:cs="宋体"/>
          <w:szCs w:val="21"/>
        </w:rPr>
      </w:pPr>
    </w:p>
    <w:p>
      <w:pPr>
        <w:jc w:val="center"/>
        <w:rPr>
          <w:rFonts w:hint="default" w:ascii="宋体" w:hAnsi="宋体" w:eastAsia="宋体" w:cs="宋体"/>
          <w:lang w:val="en-US" w:eastAsia="zh-CN"/>
        </w:rPr>
      </w:pPr>
      <w:r>
        <w:rPr>
          <w:rFonts w:hint="eastAsia" w:ascii="宋体" w:hAnsi="宋体" w:cs="宋体"/>
          <w:lang w:val="en-US" w:eastAsia="zh-CN"/>
        </w:rPr>
        <w:t>均按工程量清单中标明的计量单位计量。</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sectPr>
          <w:pgSz w:w="11906" w:h="16838"/>
          <w:pgMar w:top="1440" w:right="1803" w:bottom="1440" w:left="1803" w:header="851" w:footer="992" w:gutter="0"/>
          <w:cols w:space="720" w:num="1"/>
          <w:titlePg/>
          <w:docGrid w:type="lines" w:linePitch="319" w:charSpace="0"/>
        </w:sectPr>
      </w:pPr>
      <w:bookmarkStart w:id="838" w:name="_Toc513633965"/>
    </w:p>
    <w:p>
      <w:pPr>
        <w:rPr>
          <w:rFonts w:ascii="宋体" w:hAnsi="宋体" w:cs="宋体"/>
        </w:rPr>
      </w:pPr>
    </w:p>
    <w:p>
      <w:pPr>
        <w:pStyle w:val="3"/>
        <w:spacing w:before="0" w:after="0" w:line="360" w:lineRule="auto"/>
        <w:jc w:val="center"/>
        <w:rPr>
          <w:rFonts w:ascii="宋体" w:hAnsi="宋体" w:cs="宋体"/>
        </w:rPr>
      </w:pPr>
      <w:bookmarkStart w:id="839" w:name="_Toc22294"/>
      <w:bookmarkStart w:id="840" w:name="_Toc514858709"/>
      <w:bookmarkStart w:id="841" w:name="_Toc2000413"/>
      <w:bookmarkStart w:id="842" w:name="_Toc24853"/>
      <w:r>
        <w:rPr>
          <w:rFonts w:hint="eastAsia" w:ascii="宋体" w:hAnsi="宋体" w:cs="宋体"/>
        </w:rPr>
        <w:t>第九章  竞争性比选响应文件格式</w:t>
      </w:r>
      <w:bookmarkEnd w:id="838"/>
      <w:bookmarkEnd w:id="839"/>
      <w:bookmarkEnd w:id="840"/>
      <w:bookmarkEnd w:id="841"/>
      <w:bookmarkEnd w:id="842"/>
    </w:p>
    <w:p>
      <w:pPr>
        <w:rPr>
          <w:rFonts w:ascii="宋体" w:hAnsi="宋体" w:cs="宋体"/>
        </w:rPr>
      </w:pPr>
    </w:p>
    <w:p>
      <w:pPr>
        <w:rPr>
          <w:rFonts w:ascii="宋体" w:hAnsi="宋体" w:cs="宋体"/>
        </w:rPr>
        <w:sectPr>
          <w:pgSz w:w="11906" w:h="16838"/>
          <w:pgMar w:top="1440" w:right="1803" w:bottom="1440" w:left="1803" w:header="851" w:footer="992" w:gutter="0"/>
          <w:cols w:space="720" w:num="1"/>
          <w:titlePg/>
          <w:docGrid w:type="lines" w:linePitch="319" w:charSpace="0"/>
        </w:sectPr>
      </w:pPr>
    </w:p>
    <w:p>
      <w:pPr>
        <w:rPr>
          <w:rFonts w:ascii="宋体" w:hAnsi="宋体" w:cs="宋体"/>
        </w:rPr>
      </w:pPr>
    </w:p>
    <w:p>
      <w:pPr>
        <w:jc w:val="center"/>
        <w:rPr>
          <w:rFonts w:hint="eastAsia" w:ascii="宋体" w:hAnsi="宋体" w:eastAsia="宋体" w:cs="宋体"/>
          <w:sz w:val="20"/>
          <w:szCs w:val="20"/>
          <w:lang w:eastAsia="zh-CN"/>
        </w:rPr>
      </w:pPr>
      <w:r>
        <w:rPr>
          <w:rFonts w:hint="eastAsia" w:ascii="宋体" w:hAnsi="宋体" w:cs="宋体"/>
          <w:b/>
          <w:bCs/>
          <w:sz w:val="48"/>
          <w:szCs w:val="56"/>
          <w:u w:val="single"/>
          <w:lang w:eastAsia="zh-CN"/>
        </w:rPr>
        <w:t>G65重庆至武隆段智慧高速（一期）云控平台组件采购及系统集成项目</w:t>
      </w:r>
    </w:p>
    <w:p>
      <w:pPr>
        <w:jc w:val="center"/>
        <w:rPr>
          <w:rFonts w:ascii="宋体" w:hAnsi="宋体" w:cs="宋体"/>
          <w:sz w:val="44"/>
          <w:szCs w:val="44"/>
        </w:rPr>
      </w:pPr>
      <w:r>
        <w:rPr>
          <w:rFonts w:hint="eastAsia" w:ascii="宋体" w:hAnsi="宋体" w:cs="宋体"/>
          <w:sz w:val="44"/>
          <w:szCs w:val="44"/>
        </w:rPr>
        <w:t xml:space="preserve"> </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jc w:val="center"/>
        <w:rPr>
          <w:rFonts w:ascii="宋体" w:hAnsi="宋体" w:cs="宋体"/>
          <w:b/>
          <w:sz w:val="72"/>
          <w:szCs w:val="44"/>
        </w:rPr>
      </w:pPr>
      <w:r>
        <w:rPr>
          <w:rFonts w:hint="eastAsia" w:ascii="宋体" w:hAnsi="宋体" w:cs="宋体"/>
          <w:b/>
          <w:sz w:val="72"/>
          <w:szCs w:val="44"/>
        </w:rPr>
        <w:t>竞争性比选响应文件</w:t>
      </w:r>
    </w:p>
    <w:p>
      <w:pPr>
        <w:jc w:val="center"/>
        <w:rPr>
          <w:rFonts w:ascii="宋体" w:hAnsi="宋体" w:cs="宋体"/>
          <w:b/>
          <w:sz w:val="32"/>
          <w:szCs w:val="32"/>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pStyle w:val="2"/>
      </w:pPr>
    </w:p>
    <w:p/>
    <w:p>
      <w:pPr>
        <w:pStyle w:val="2"/>
      </w:pPr>
    </w:p>
    <w:p/>
    <w:p>
      <w:pPr>
        <w:pStyle w:val="2"/>
      </w:pPr>
    </w:p>
    <w:p>
      <w:pPr>
        <w:jc w:val="center"/>
        <w:rPr>
          <w:rFonts w:ascii="宋体" w:hAnsi="宋体" w:cs="宋体"/>
          <w:sz w:val="28"/>
          <w:szCs w:val="28"/>
          <w:u w:val="single"/>
        </w:rPr>
      </w:pPr>
      <w:r>
        <w:rPr>
          <w:rFonts w:hint="eastAsia" w:ascii="宋体" w:hAnsi="宋体" w:cs="宋体"/>
          <w:sz w:val="28"/>
          <w:szCs w:val="28"/>
        </w:rPr>
        <w:t>报价人：</w:t>
      </w:r>
      <w:r>
        <w:rPr>
          <w:rFonts w:hint="eastAsia" w:ascii="宋体" w:hAnsi="宋体" w:cs="宋体"/>
          <w:sz w:val="28"/>
          <w:szCs w:val="28"/>
          <w:u w:val="single"/>
        </w:rPr>
        <w:t xml:space="preserve">                              </w:t>
      </w:r>
      <w:r>
        <w:rPr>
          <w:rFonts w:hint="eastAsia" w:ascii="宋体" w:hAnsi="宋体" w:cs="宋体"/>
          <w:sz w:val="28"/>
          <w:szCs w:val="28"/>
        </w:rPr>
        <w:t>（盖单位鲜公章）</w:t>
      </w:r>
    </w:p>
    <w:p>
      <w:pPr>
        <w:jc w:val="center"/>
        <w:rPr>
          <w:rFonts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w:t>
      </w:r>
    </w:p>
    <w:p>
      <w:pPr>
        <w:jc w:val="center"/>
        <w:rPr>
          <w:rFonts w:ascii="宋体" w:hAnsi="宋体" w:cs="宋体"/>
          <w:sz w:val="20"/>
          <w:szCs w:val="20"/>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pStyle w:val="4"/>
        <w:jc w:val="center"/>
        <w:rPr>
          <w:rFonts w:ascii="宋体" w:hAnsi="宋体" w:eastAsia="宋体" w:cs="宋体"/>
        </w:rPr>
      </w:pPr>
      <w:bookmarkStart w:id="843" w:name="_Toc5459"/>
      <w:bookmarkStart w:id="844" w:name="_Toc11329273"/>
      <w:bookmarkStart w:id="845" w:name="_Toc1368"/>
      <w:bookmarkStart w:id="846" w:name="_Toc28780"/>
      <w:bookmarkStart w:id="847" w:name="_Toc11078"/>
      <w:bookmarkStart w:id="848" w:name="_Toc12693"/>
      <w:r>
        <w:rPr>
          <w:rFonts w:hint="eastAsia" w:ascii="宋体" w:hAnsi="宋体" w:eastAsia="宋体" w:cs="宋体"/>
        </w:rPr>
        <w:t>目    录</w:t>
      </w:r>
      <w:bookmarkEnd w:id="828"/>
      <w:bookmarkEnd w:id="829"/>
      <w:bookmarkEnd w:id="830"/>
      <w:bookmarkEnd w:id="831"/>
      <w:bookmarkEnd w:id="832"/>
      <w:bookmarkEnd w:id="833"/>
      <w:bookmarkEnd w:id="834"/>
      <w:bookmarkEnd w:id="835"/>
      <w:bookmarkEnd w:id="843"/>
      <w:bookmarkEnd w:id="844"/>
      <w:bookmarkEnd w:id="845"/>
      <w:bookmarkEnd w:id="846"/>
      <w:bookmarkEnd w:id="847"/>
      <w:bookmarkEnd w:id="848"/>
    </w:p>
    <w:p>
      <w:pPr>
        <w:spacing w:line="400" w:lineRule="exact"/>
        <w:rPr>
          <w:rFonts w:ascii="宋体" w:hAnsi="宋体" w:cs="宋体"/>
        </w:rPr>
      </w:pPr>
      <w:r>
        <w:rPr>
          <w:rFonts w:hint="eastAsia" w:ascii="宋体" w:hAnsi="宋体" w:cs="宋体"/>
        </w:rPr>
        <w:t>一、竞争性响应声明书</w:t>
      </w:r>
    </w:p>
    <w:p>
      <w:pPr>
        <w:spacing w:line="400" w:lineRule="exact"/>
        <w:rPr>
          <w:rFonts w:ascii="宋体" w:hAnsi="宋体" w:cs="宋体"/>
        </w:rPr>
      </w:pPr>
      <w:r>
        <w:rPr>
          <w:rFonts w:hint="eastAsia" w:ascii="宋体" w:hAnsi="宋体" w:cs="宋体"/>
        </w:rPr>
        <w:t>二、报价一览表</w:t>
      </w:r>
    </w:p>
    <w:p>
      <w:pPr>
        <w:spacing w:line="400" w:lineRule="exact"/>
        <w:rPr>
          <w:rFonts w:ascii="宋体" w:hAnsi="宋体" w:cs="宋体"/>
        </w:rPr>
      </w:pPr>
      <w:r>
        <w:rPr>
          <w:rFonts w:hint="eastAsia" w:ascii="宋体" w:hAnsi="宋体" w:cs="宋体"/>
        </w:rPr>
        <w:t>三、资格审查资料</w:t>
      </w:r>
    </w:p>
    <w:p>
      <w:pPr>
        <w:spacing w:line="400" w:lineRule="exact"/>
        <w:rPr>
          <w:rFonts w:ascii="宋体" w:hAnsi="宋体" w:cs="宋体"/>
        </w:rPr>
      </w:pPr>
      <w:r>
        <w:rPr>
          <w:rFonts w:hint="eastAsia" w:ascii="宋体" w:hAnsi="宋体" w:cs="宋体"/>
        </w:rPr>
        <w:t>四、</w:t>
      </w:r>
      <w:r>
        <w:rPr>
          <w:rFonts w:hint="eastAsia" w:ascii="宋体" w:hAnsi="宋体" w:cs="宋体"/>
          <w:szCs w:val="21"/>
        </w:rPr>
        <w:t>报价人须知前附表规定的其他材料</w:t>
      </w:r>
      <w:r>
        <w:rPr>
          <w:rFonts w:hint="eastAsia" w:ascii="宋体" w:hAnsi="宋体" w:cs="宋体"/>
        </w:rPr>
        <w:t xml:space="preserve"> </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r>
        <w:rPr>
          <w:rFonts w:ascii="宋体" w:hAnsi="宋体" w:cs="宋体"/>
        </w:rPr>
        <w:br w:type="page"/>
      </w:r>
    </w:p>
    <w:p>
      <w:pPr>
        <w:pStyle w:val="4"/>
        <w:spacing w:before="0" w:after="0" w:line="360" w:lineRule="auto"/>
        <w:jc w:val="center"/>
        <w:rPr>
          <w:rFonts w:ascii="宋体" w:hAnsi="宋体" w:eastAsia="宋体" w:cs="宋体"/>
          <w:sz w:val="28"/>
        </w:rPr>
      </w:pPr>
      <w:bookmarkStart w:id="849" w:name="_Toc11329274"/>
      <w:bookmarkStart w:id="850" w:name="_Toc8870"/>
      <w:bookmarkStart w:id="851" w:name="_Toc4828"/>
      <w:bookmarkStart w:id="852" w:name="_Toc9071"/>
      <w:bookmarkStart w:id="853" w:name="_Toc29547"/>
      <w:bookmarkStart w:id="854" w:name="_Toc25874"/>
      <w:bookmarkStart w:id="855" w:name="_Toc15863"/>
      <w:bookmarkStart w:id="856" w:name="_Toc447827053"/>
      <w:bookmarkStart w:id="857" w:name="_Toc513633969"/>
      <w:bookmarkStart w:id="858" w:name="_Toc503951048"/>
      <w:r>
        <w:rPr>
          <w:rFonts w:hint="eastAsia" w:ascii="宋体" w:hAnsi="宋体" w:eastAsia="宋体" w:cs="宋体"/>
          <w:sz w:val="28"/>
        </w:rPr>
        <w:t>一、</w:t>
      </w:r>
      <w:bookmarkEnd w:id="849"/>
      <w:bookmarkEnd w:id="850"/>
      <w:r>
        <w:rPr>
          <w:rFonts w:hint="eastAsia" w:ascii="宋体" w:hAnsi="宋体" w:eastAsia="宋体" w:cs="宋体"/>
          <w:sz w:val="28"/>
        </w:rPr>
        <w:t>竞争比选响应声明书</w:t>
      </w:r>
      <w:bookmarkEnd w:id="851"/>
      <w:bookmarkEnd w:id="852"/>
      <w:bookmarkEnd w:id="853"/>
      <w:bookmarkEnd w:id="854"/>
      <w:bookmarkEnd w:id="855"/>
    </w:p>
    <w:p>
      <w:pPr>
        <w:tabs>
          <w:tab w:val="left" w:pos="900"/>
        </w:tabs>
        <w:spacing w:line="300" w:lineRule="auto"/>
        <w:rPr>
          <w:rFonts w:ascii="Arial" w:hAnsi="Arial" w:cs="Arial"/>
          <w:color w:val="000000"/>
          <w:sz w:val="24"/>
        </w:rPr>
      </w:pPr>
      <w:r>
        <w:rPr>
          <w:rFonts w:ascii="Arial" w:hAnsi="Arial" w:cs="Arial"/>
          <w:color w:val="000000"/>
          <w:sz w:val="24"/>
        </w:rPr>
        <w:t xml:space="preserve"> </w:t>
      </w:r>
      <w:r>
        <w:rPr>
          <w:rFonts w:hint="eastAsia" w:ascii="Arial" w:hAnsi="Arial" w:cs="Arial"/>
          <w:b/>
          <w:color w:val="000000"/>
          <w:sz w:val="24"/>
        </w:rPr>
        <w:t>致：</w:t>
      </w:r>
      <w:r>
        <w:rPr>
          <w:rFonts w:hint="eastAsia" w:ascii="Arial" w:hAnsi="Arial" w:cs="Arial"/>
          <w:b/>
          <w:bCs/>
          <w:color w:val="000000"/>
          <w:sz w:val="24"/>
          <w:u w:val="single"/>
        </w:rPr>
        <w:t>重庆首讯科技股份有限公司</w:t>
      </w:r>
    </w:p>
    <w:p>
      <w:pPr>
        <w:spacing w:line="700" w:lineRule="atLeast"/>
        <w:ind w:firstLine="480" w:firstLineChars="200"/>
        <w:rPr>
          <w:rFonts w:ascii="Arial" w:hAnsi="Arial" w:cs="Arial"/>
          <w:color w:val="000000"/>
          <w:sz w:val="24"/>
        </w:rPr>
      </w:pPr>
      <w:r>
        <w:rPr>
          <w:rFonts w:hint="eastAsia" w:ascii="Arial" w:hAnsi="Arial" w:cs="Arial"/>
          <w:color w:val="000000"/>
          <w:sz w:val="24"/>
        </w:rPr>
        <w:t>根据贵</w:t>
      </w:r>
      <w:r>
        <w:rPr>
          <w:rFonts w:hint="eastAsia" w:ascii="Arial" w:hAnsi="Arial" w:cs="Arial"/>
          <w:sz w:val="24"/>
        </w:rPr>
        <w:t>方为</w:t>
      </w:r>
      <w:r>
        <w:rPr>
          <w:rFonts w:hint="eastAsia" w:ascii="Arial" w:hAnsi="Arial" w:cs="Arial"/>
          <w:sz w:val="24"/>
          <w:u w:val="single"/>
        </w:rPr>
        <w:t xml:space="preserve"> </w:t>
      </w:r>
      <w:r>
        <w:rPr>
          <w:rFonts w:hint="eastAsia" w:ascii="Arial" w:hAnsi="Arial" w:cs="Arial"/>
          <w:sz w:val="24"/>
          <w:u w:val="single"/>
          <w:lang w:eastAsia="zh-CN"/>
        </w:rPr>
        <w:t>G65重庆至武隆段智慧高速（一期）云控平台组件采购及系统集成项目</w:t>
      </w:r>
      <w:r>
        <w:rPr>
          <w:rFonts w:hint="eastAsia" w:ascii="Arial" w:hAnsi="Arial" w:cs="Arial"/>
          <w:color w:val="000000"/>
          <w:sz w:val="24"/>
          <w:u w:val="single"/>
        </w:rPr>
        <w:t xml:space="preserve"> </w:t>
      </w:r>
      <w:r>
        <w:rPr>
          <w:rFonts w:hint="eastAsia" w:ascii="Arial" w:hAnsi="Arial" w:cs="Arial"/>
          <w:sz w:val="24"/>
        </w:rPr>
        <w:t>竞争比选项目及服</w:t>
      </w:r>
      <w:r>
        <w:rPr>
          <w:rFonts w:hint="eastAsia" w:ascii="Arial" w:hAnsi="Arial" w:cs="Arial"/>
          <w:color w:val="000000"/>
          <w:sz w:val="24"/>
        </w:rPr>
        <w:t>务的竞争比选邀请，签字代表</w:t>
      </w:r>
      <w:r>
        <w:rPr>
          <w:rFonts w:ascii="Arial" w:hAnsi="Arial" w:cs="Arial"/>
          <w:color w:val="000000"/>
          <w:sz w:val="24"/>
          <w:u w:val="single"/>
        </w:rPr>
        <w:t xml:space="preserve">          </w:t>
      </w:r>
      <w:r>
        <w:rPr>
          <w:rFonts w:hint="eastAsia" w:ascii="Arial" w:hAnsi="Arial" w:cs="Arial"/>
          <w:color w:val="000000"/>
          <w:sz w:val="24"/>
          <w:u w:val="single"/>
        </w:rPr>
        <w:t>（全名、职务）</w:t>
      </w:r>
      <w:r>
        <w:rPr>
          <w:rFonts w:hint="eastAsia" w:ascii="Arial" w:hAnsi="Arial" w:cs="Arial"/>
          <w:color w:val="000000"/>
          <w:sz w:val="24"/>
        </w:rPr>
        <w:t>经正式授权并代表竞争比选响应单位</w:t>
      </w:r>
      <w:r>
        <w:rPr>
          <w:rFonts w:ascii="Arial" w:hAnsi="Arial" w:cs="Arial"/>
          <w:color w:val="000000"/>
          <w:sz w:val="24"/>
          <w:u w:val="single"/>
        </w:rPr>
        <w:t xml:space="preserve"> </w:t>
      </w:r>
      <w:r>
        <w:rPr>
          <w:rFonts w:hint="eastAsia" w:ascii="Arial" w:hAnsi="Arial" w:cs="Arial"/>
          <w:color w:val="000000"/>
          <w:sz w:val="24"/>
          <w:u w:val="single"/>
        </w:rPr>
        <w:t>（竞争比选响应单位名称）</w:t>
      </w:r>
      <w:r>
        <w:rPr>
          <w:rFonts w:ascii="Arial" w:hAnsi="Arial" w:cs="Arial"/>
          <w:color w:val="000000"/>
          <w:sz w:val="24"/>
          <w:u w:val="single"/>
        </w:rPr>
        <w:t xml:space="preserve"> </w:t>
      </w:r>
      <w:r>
        <w:rPr>
          <w:rFonts w:hint="eastAsia" w:ascii="Arial" w:hAnsi="Arial" w:cs="Arial"/>
          <w:color w:val="000000"/>
          <w:sz w:val="24"/>
        </w:rPr>
        <w:t>提交报价文件。</w:t>
      </w:r>
    </w:p>
    <w:p>
      <w:pPr>
        <w:spacing w:line="700" w:lineRule="atLeast"/>
        <w:ind w:firstLine="480" w:firstLineChars="200"/>
        <w:rPr>
          <w:rFonts w:ascii="Arial" w:hAnsi="Arial" w:cs="Arial"/>
          <w:color w:val="000000"/>
          <w:sz w:val="24"/>
          <w:u w:val="single"/>
        </w:rPr>
      </w:pPr>
      <w:r>
        <w:rPr>
          <w:rFonts w:hint="eastAsia" w:ascii="Arial" w:hAnsi="Arial" w:cs="Arial"/>
          <w:color w:val="000000"/>
          <w:sz w:val="24"/>
          <w:u w:val="single"/>
        </w:rPr>
        <w:t>我方愿以人民币：              元（大写              元）的报价总价，按照竞争比选文件的要求，承担本次竞争比选文件要求的供货任务。</w:t>
      </w:r>
    </w:p>
    <w:p>
      <w:pPr>
        <w:tabs>
          <w:tab w:val="left" w:pos="540"/>
          <w:tab w:val="left" w:pos="900"/>
        </w:tabs>
        <w:spacing w:line="300" w:lineRule="auto"/>
        <w:rPr>
          <w:rFonts w:ascii="Arial" w:hAnsi="Arial" w:cs="Arial"/>
          <w:color w:val="000000"/>
          <w:sz w:val="24"/>
        </w:rPr>
      </w:pPr>
      <w:r>
        <w:rPr>
          <w:rFonts w:ascii="Arial" w:hAnsi="Arial" w:cs="Arial"/>
          <w:color w:val="000000"/>
          <w:sz w:val="24"/>
        </w:rPr>
        <w:t xml:space="preserve">    </w:t>
      </w:r>
    </w:p>
    <w:p>
      <w:pPr>
        <w:tabs>
          <w:tab w:val="left" w:pos="540"/>
          <w:tab w:val="left" w:pos="900"/>
        </w:tabs>
        <w:spacing w:line="300" w:lineRule="auto"/>
        <w:rPr>
          <w:rFonts w:ascii="Arial" w:hAnsi="Arial" w:cs="Arial"/>
          <w:color w:val="000000"/>
          <w:sz w:val="24"/>
        </w:rPr>
      </w:pPr>
      <w:r>
        <w:rPr>
          <w:rFonts w:hint="eastAsia" w:ascii="Arial" w:hAnsi="Arial" w:cs="Arial"/>
          <w:color w:val="000000"/>
          <w:sz w:val="24"/>
        </w:rPr>
        <w:t>据此函，签字代表宣布同意如下：</w:t>
      </w:r>
    </w:p>
    <w:p>
      <w:pPr>
        <w:tabs>
          <w:tab w:val="left" w:pos="540"/>
          <w:tab w:val="left" w:pos="900"/>
        </w:tabs>
        <w:spacing w:line="300" w:lineRule="auto"/>
        <w:rPr>
          <w:rFonts w:ascii="Arial" w:hAnsi="Arial" w:cs="Arial"/>
          <w:color w:val="000000"/>
          <w:sz w:val="24"/>
        </w:rPr>
      </w:pPr>
      <w:r>
        <w:rPr>
          <w:rFonts w:ascii="Arial" w:hAnsi="Arial" w:cs="Arial"/>
          <w:color w:val="000000"/>
          <w:sz w:val="24"/>
        </w:rPr>
        <w:t>1</w:t>
      </w:r>
      <w:r>
        <w:rPr>
          <w:rFonts w:hint="eastAsia" w:ascii="Arial" w:hAnsi="Arial" w:cs="Arial"/>
          <w:color w:val="000000"/>
          <w:sz w:val="24"/>
        </w:rPr>
        <w:t>、竞争比选响应单位将按竞争比选文件规定履行合同责任和义务。</w:t>
      </w:r>
    </w:p>
    <w:p>
      <w:pPr>
        <w:tabs>
          <w:tab w:val="left" w:pos="900"/>
        </w:tabs>
        <w:spacing w:line="300" w:lineRule="auto"/>
        <w:rPr>
          <w:rFonts w:ascii="Arial" w:hAnsi="Arial" w:cs="Arial"/>
          <w:b/>
          <w:color w:val="000000"/>
          <w:sz w:val="24"/>
        </w:rPr>
      </w:pPr>
      <w:r>
        <w:rPr>
          <w:rFonts w:ascii="Arial" w:hAnsi="Arial" w:cs="Arial"/>
          <w:color w:val="000000"/>
          <w:sz w:val="24"/>
        </w:rPr>
        <w:t>2</w:t>
      </w:r>
      <w:r>
        <w:rPr>
          <w:rFonts w:hint="eastAsia" w:ascii="Arial" w:hAnsi="Arial" w:cs="Arial"/>
          <w:color w:val="000000"/>
          <w:sz w:val="24"/>
        </w:rPr>
        <w:t>、竞争比选响应单位已详细审查全部竞争比选文件，包括修改文件（如有的话）以及全部参考资料和相关附件。我们完全理解并同意放弃对这方面有不明及误解的权利。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sz w:val="24"/>
        </w:rPr>
      </w:pPr>
      <w:r>
        <w:rPr>
          <w:rFonts w:hint="eastAsia" w:ascii="Arial" w:hAnsi="Arial" w:cs="Arial"/>
          <w:color w:val="000000"/>
          <w:sz w:val="24"/>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300" w:lineRule="auto"/>
        <w:rPr>
          <w:rFonts w:ascii="Arial" w:hAnsi="Arial" w:cs="Arial"/>
          <w:b/>
          <w:color w:val="000000"/>
          <w:sz w:val="24"/>
        </w:rPr>
      </w:pPr>
      <w:r>
        <w:rPr>
          <w:rFonts w:hint="eastAsia" w:ascii="Arial" w:hAnsi="Arial" w:cs="Arial"/>
          <w:color w:val="000000"/>
          <w:sz w:val="24"/>
        </w:rPr>
        <w:t>4、与本竞争比选响应有关的一切正式往来通讯请寄：</w:t>
      </w:r>
    </w:p>
    <w:p>
      <w:pPr>
        <w:tabs>
          <w:tab w:val="left" w:pos="900"/>
        </w:tabs>
        <w:spacing w:line="300" w:lineRule="auto"/>
        <w:rPr>
          <w:rFonts w:ascii="Arial" w:hAnsi="Arial" w:cs="Arial"/>
          <w:b/>
          <w:color w:val="000000"/>
          <w:sz w:val="24"/>
        </w:rPr>
      </w:pPr>
      <w:r>
        <w:rPr>
          <w:rFonts w:hint="eastAsia" w:ascii="Arial" w:hAnsi="Arial" w:cs="Arial"/>
          <w:color w:val="000000"/>
          <w:sz w:val="24"/>
        </w:rPr>
        <w:t>地址：</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邮编：</w:t>
      </w:r>
      <w:r>
        <w:rPr>
          <w:rFonts w:ascii="Arial" w:hAnsi="Arial" w:cs="Arial"/>
          <w:color w:val="000000"/>
          <w:sz w:val="24"/>
          <w:u w:val="single"/>
        </w:rPr>
        <w:t xml:space="preserve">            </w:t>
      </w:r>
      <w:r>
        <w:rPr>
          <w:rFonts w:ascii="Arial" w:hAnsi="Arial" w:cs="Arial"/>
          <w:b/>
          <w:color w:val="000000"/>
          <w:sz w:val="24"/>
        </w:rPr>
        <w:t xml:space="preserve">  </w:t>
      </w:r>
    </w:p>
    <w:p>
      <w:pPr>
        <w:tabs>
          <w:tab w:val="left" w:pos="900"/>
        </w:tabs>
        <w:spacing w:line="300" w:lineRule="auto"/>
        <w:rPr>
          <w:rFonts w:ascii="Arial" w:hAnsi="Arial" w:cs="Arial"/>
          <w:color w:val="000000"/>
          <w:sz w:val="24"/>
          <w:u w:val="single"/>
        </w:rPr>
      </w:pPr>
      <w:r>
        <w:rPr>
          <w:rFonts w:hint="eastAsia" w:ascii="Arial" w:hAnsi="Arial" w:cs="Arial"/>
          <w:color w:val="000000"/>
          <w:sz w:val="24"/>
        </w:rPr>
        <w:t>电话：</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传真：</w:t>
      </w:r>
      <w:r>
        <w:rPr>
          <w:rFonts w:ascii="Arial" w:hAnsi="Arial" w:cs="Arial"/>
          <w:color w:val="000000"/>
          <w:sz w:val="24"/>
          <w:u w:val="single"/>
        </w:rPr>
        <w:t xml:space="preserve">            </w:t>
      </w:r>
    </w:p>
    <w:p>
      <w:pPr>
        <w:tabs>
          <w:tab w:val="left" w:pos="900"/>
        </w:tabs>
        <w:spacing w:line="300" w:lineRule="auto"/>
        <w:rPr>
          <w:rFonts w:ascii="Arial" w:hAnsi="Arial" w:cs="Arial"/>
          <w:sz w:val="24"/>
        </w:rPr>
      </w:pPr>
      <w:r>
        <w:rPr>
          <w:rFonts w:hint="eastAsia" w:ascii="Arial" w:hAnsi="Arial" w:cs="Arial"/>
          <w:sz w:val="24"/>
        </w:rPr>
        <w:t>竞争比选响应单位法定代表人或授权代表人（签字）：</w:t>
      </w:r>
      <w:r>
        <w:rPr>
          <w:rFonts w:ascii="Arial" w:hAnsi="Arial" w:cs="Arial"/>
          <w:sz w:val="24"/>
          <w:u w:val="single"/>
        </w:rPr>
        <w:t xml:space="preserve">             </w:t>
      </w:r>
      <w:r>
        <w:rPr>
          <w:rFonts w:ascii="Arial" w:hAnsi="Arial" w:cs="Arial"/>
          <w:sz w:val="24"/>
        </w:rPr>
        <w:t xml:space="preserve">  </w:t>
      </w:r>
    </w:p>
    <w:p>
      <w:pPr>
        <w:tabs>
          <w:tab w:val="left" w:pos="900"/>
        </w:tabs>
        <w:spacing w:line="300" w:lineRule="auto"/>
        <w:rPr>
          <w:rFonts w:ascii="Arial" w:hAnsi="Arial" w:cs="Arial"/>
          <w:sz w:val="24"/>
        </w:rPr>
      </w:pPr>
      <w:r>
        <w:rPr>
          <w:rFonts w:hint="eastAsia" w:ascii="Arial" w:hAnsi="Arial" w:cs="Arial"/>
          <w:sz w:val="24"/>
        </w:rPr>
        <w:t>竞争比选响应单位法定代表人或授权代表人职务：</w:t>
      </w:r>
      <w:r>
        <w:rPr>
          <w:rFonts w:ascii="Arial" w:hAnsi="Arial" w:cs="Arial"/>
          <w:sz w:val="24"/>
          <w:u w:val="single"/>
        </w:rPr>
        <w:t xml:space="preserve">             </w:t>
      </w:r>
      <w:r>
        <w:rPr>
          <w:rFonts w:ascii="Arial" w:hAnsi="Arial" w:cs="Arial"/>
          <w:sz w:val="24"/>
        </w:rPr>
        <w:t xml:space="preserve">               </w:t>
      </w:r>
    </w:p>
    <w:p>
      <w:pPr>
        <w:tabs>
          <w:tab w:val="left" w:pos="900"/>
        </w:tabs>
        <w:spacing w:line="300" w:lineRule="auto"/>
        <w:rPr>
          <w:rFonts w:ascii="Arial" w:hAnsi="Arial" w:cs="Arial"/>
          <w:color w:val="000000"/>
          <w:sz w:val="24"/>
        </w:rPr>
      </w:pPr>
      <w:r>
        <w:rPr>
          <w:rFonts w:hint="eastAsia" w:ascii="Arial" w:hAnsi="Arial" w:cs="Arial"/>
          <w:sz w:val="24"/>
        </w:rPr>
        <w:t>竞争比选响应单位名称（加盖公章）：</w:t>
      </w:r>
      <w:r>
        <w:rPr>
          <w:rFonts w:ascii="Arial" w:hAnsi="Arial" w:cs="Arial"/>
          <w:sz w:val="24"/>
          <w:u w:val="single"/>
        </w:rPr>
        <w:t xml:space="preserve">               </w:t>
      </w:r>
      <w:r>
        <w:rPr>
          <w:rFonts w:ascii="Arial" w:hAnsi="Arial" w:cs="Arial"/>
          <w:color w:val="000000"/>
          <w:sz w:val="24"/>
          <w:u w:val="single"/>
        </w:rPr>
        <w:t xml:space="preserve">                  </w:t>
      </w:r>
    </w:p>
    <w:p>
      <w:pPr>
        <w:tabs>
          <w:tab w:val="left" w:pos="900"/>
        </w:tabs>
        <w:spacing w:line="300" w:lineRule="auto"/>
        <w:rPr>
          <w:rFonts w:ascii="Arial" w:hAnsi="Arial" w:cs="Arial"/>
          <w:color w:val="000000"/>
          <w:sz w:val="24"/>
        </w:rPr>
      </w:pPr>
      <w:r>
        <w:rPr>
          <w:rFonts w:hint="eastAsia" w:ascii="Arial" w:hAnsi="Arial" w:cs="Arial"/>
          <w:color w:val="000000"/>
          <w:sz w:val="24"/>
        </w:rPr>
        <w:t>日期：</w:t>
      </w:r>
      <w:r>
        <w:rPr>
          <w:rFonts w:hint="eastAsia" w:ascii="Arial" w:hAnsi="Arial" w:cs="Arial"/>
          <w:color w:val="000000"/>
          <w:sz w:val="24"/>
          <w:u w:val="single"/>
        </w:rPr>
        <w:t xml:space="preserve">     </w:t>
      </w:r>
      <w:r>
        <w:rPr>
          <w:rFonts w:hint="eastAsia" w:ascii="Arial" w:hAnsi="Arial" w:cs="Arial"/>
          <w:color w:val="000000"/>
          <w:sz w:val="24"/>
        </w:rPr>
        <w:t>年</w:t>
      </w:r>
      <w:r>
        <w:rPr>
          <w:rFonts w:ascii="Arial" w:hAnsi="Arial" w:cs="Arial"/>
          <w:color w:val="000000"/>
          <w:sz w:val="24"/>
          <w:u w:val="single"/>
        </w:rPr>
        <w:t xml:space="preserve">      </w:t>
      </w:r>
      <w:r>
        <w:rPr>
          <w:rFonts w:hint="eastAsia" w:ascii="Arial" w:hAnsi="Arial" w:cs="Arial"/>
          <w:color w:val="000000"/>
          <w:sz w:val="24"/>
        </w:rPr>
        <w:t>月</w:t>
      </w:r>
      <w:r>
        <w:rPr>
          <w:rFonts w:ascii="Arial" w:hAnsi="Arial" w:cs="Arial"/>
          <w:color w:val="000000"/>
          <w:sz w:val="24"/>
          <w:u w:val="single"/>
        </w:rPr>
        <w:t xml:space="preserve">    </w:t>
      </w:r>
      <w:r>
        <w:rPr>
          <w:rFonts w:hint="eastAsia" w:ascii="Arial" w:hAnsi="Arial" w:cs="Arial"/>
          <w:color w:val="000000"/>
          <w:sz w:val="24"/>
          <w:u w:val="single"/>
        </w:rPr>
        <w:t xml:space="preserve">  </w:t>
      </w:r>
      <w:r>
        <w:rPr>
          <w:rFonts w:hint="eastAsia" w:ascii="Arial" w:hAnsi="Arial" w:cs="Arial"/>
          <w:color w:val="000000"/>
          <w:sz w:val="24"/>
        </w:rPr>
        <w:t>日</w:t>
      </w:r>
      <w:r>
        <w:rPr>
          <w:rFonts w:ascii="Arial" w:hAnsi="Arial" w:cs="Arial"/>
          <w:color w:val="000000"/>
          <w:sz w:val="24"/>
        </w:rPr>
        <w:t xml:space="preserve"> </w:t>
      </w:r>
    </w:p>
    <w:p>
      <w:pPr>
        <w:pStyle w:val="171"/>
        <w:ind w:firstLine="480"/>
      </w:pPr>
    </w:p>
    <w:p>
      <w:pPr>
        <w:pStyle w:val="171"/>
        <w:ind w:firstLine="480"/>
      </w:pPr>
    </w:p>
    <w:p>
      <w:pPr>
        <w:pStyle w:val="171"/>
        <w:ind w:firstLine="480"/>
      </w:pPr>
    </w:p>
    <w:p>
      <w:pPr>
        <w:pStyle w:val="171"/>
        <w:ind w:firstLine="480"/>
      </w:pPr>
    </w:p>
    <w:p>
      <w:pPr>
        <w:pStyle w:val="4"/>
        <w:widowControl/>
        <w:jc w:val="center"/>
        <w:rPr>
          <w:rFonts w:hint="eastAsia" w:ascii="宋体" w:hAnsi="宋体" w:eastAsia="宋体" w:cs="宋体"/>
          <w:b/>
          <w:kern w:val="0"/>
          <w:sz w:val="28"/>
          <w:szCs w:val="28"/>
        </w:rPr>
      </w:pPr>
      <w:r>
        <w:rPr>
          <w:rFonts w:hint="eastAsia" w:ascii="宋体" w:hAnsi="宋体" w:eastAsia="宋体" w:cs="宋体"/>
          <w:b/>
          <w:kern w:val="0"/>
          <w:sz w:val="28"/>
          <w:szCs w:val="28"/>
        </w:rPr>
        <w:t>二、法定代表人身份证明或法定代表人授权委托书</w:t>
      </w:r>
    </w:p>
    <w:p>
      <w:pPr>
        <w:pStyle w:val="4"/>
        <w:keepNext w:val="0"/>
        <w:keepLines w:val="0"/>
        <w:widowControl w:val="0"/>
        <w:suppressLineNumbers w:val="0"/>
        <w:autoSpaceDE w:val="0"/>
        <w:autoSpaceDN/>
        <w:spacing w:line="48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（一）法定代表人身份证明</w:t>
      </w:r>
    </w:p>
    <w:p>
      <w:pPr>
        <w:keepNext w:val="0"/>
        <w:keepLines w:val="0"/>
        <w:widowControl w:val="0"/>
        <w:suppressLineNumbers w:val="0"/>
        <w:autoSpaceDE w:val="0"/>
        <w:autoSpaceDN/>
        <w:spacing w:before="0" w:beforeAutospacing="0" w:after="0" w:afterAutospacing="0" w:line="480" w:lineRule="auto"/>
        <w:ind w:left="0" w:right="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报价人名称：</w:t>
      </w:r>
      <w:r>
        <w:rPr>
          <w:rFonts w:hint="eastAsia" w:ascii="宋体" w:hAnsi="宋体" w:eastAsia="宋体" w:cs="Times New Roman"/>
          <w:kern w:val="2"/>
          <w:sz w:val="21"/>
          <w:szCs w:val="21"/>
          <w:u w:val="single"/>
          <w:lang w:val="en-US" w:eastAsia="zh-CN" w:bidi="ar"/>
        </w:rPr>
        <w:t xml:space="preserve">                        </w:t>
      </w:r>
    </w:p>
    <w:p>
      <w:pPr>
        <w:keepNext w:val="0"/>
        <w:keepLines w:val="0"/>
        <w:widowControl w:val="0"/>
        <w:suppressLineNumbers w:val="0"/>
        <w:autoSpaceDE w:val="0"/>
        <w:autoSpaceDN/>
        <w:spacing w:before="0" w:beforeAutospacing="0" w:after="0" w:afterAutospacing="0" w:line="480" w:lineRule="auto"/>
        <w:ind w:left="0" w:right="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姓名：</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性别：</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年龄：</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职务：</w:t>
      </w:r>
      <w:r>
        <w:rPr>
          <w:rFonts w:hint="eastAsia" w:ascii="宋体" w:hAnsi="宋体" w:eastAsia="宋体" w:cs="Times New Roman"/>
          <w:kern w:val="2"/>
          <w:sz w:val="21"/>
          <w:szCs w:val="21"/>
          <w:u w:val="single"/>
          <w:lang w:val="en-US" w:eastAsia="zh-CN" w:bidi="ar"/>
        </w:rPr>
        <w:t xml:space="preserve">        </w:t>
      </w:r>
    </w:p>
    <w:p>
      <w:pPr>
        <w:keepNext w:val="0"/>
        <w:keepLines w:val="0"/>
        <w:widowControl w:val="0"/>
        <w:suppressLineNumbers w:val="0"/>
        <w:autoSpaceDE w:val="0"/>
        <w:autoSpaceDN/>
        <w:spacing w:before="0" w:beforeAutospacing="0" w:after="0" w:afterAutospacing="0" w:line="480" w:lineRule="auto"/>
        <w:ind w:left="0" w:right="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系</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（报价人名称）的法定代表人。</w:t>
      </w:r>
    </w:p>
    <w:p>
      <w:pPr>
        <w:keepNext w:val="0"/>
        <w:keepLines w:val="0"/>
        <w:widowControl w:val="0"/>
        <w:suppressLineNumbers w:val="0"/>
        <w:autoSpaceDE w:val="0"/>
        <w:autoSpaceDN/>
        <w:spacing w:before="0" w:beforeAutospacing="0" w:after="0" w:afterAutospacing="0" w:line="480" w:lineRule="auto"/>
        <w:ind w:left="0" w:right="0" w:firstLine="420" w:firstLineChars="20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特此证明。</w:t>
      </w:r>
    </w:p>
    <w:p>
      <w:pPr>
        <w:keepNext w:val="0"/>
        <w:keepLines w:val="0"/>
        <w:widowControl w:val="0"/>
        <w:suppressLineNumbers w:val="0"/>
        <w:autoSpaceDE w:val="0"/>
        <w:autoSpaceDN/>
        <w:spacing w:before="0" w:beforeAutospacing="0" w:after="0" w:afterAutospacing="0" w:line="480" w:lineRule="auto"/>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autoSpaceDE w:val="0"/>
        <w:autoSpaceDN/>
        <w:spacing w:before="0" w:beforeAutospacing="0" w:after="0" w:afterAutospacing="0" w:line="480" w:lineRule="auto"/>
        <w:ind w:left="0" w:right="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附：法定代表人身份证复印件（正、反面）。</w:t>
      </w:r>
    </w:p>
    <w:p>
      <w:pPr>
        <w:keepNext w:val="0"/>
        <w:keepLines w:val="0"/>
        <w:widowControl w:val="0"/>
        <w:suppressLineNumbers w:val="0"/>
        <w:autoSpaceDE w:val="0"/>
        <w:autoSpaceDN/>
        <w:spacing w:before="0" w:beforeAutospacing="0" w:after="0" w:afterAutospacing="0" w:line="480" w:lineRule="auto"/>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报价人：</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Times New Roman"/>
          <w:kern w:val="2"/>
          <w:sz w:val="21"/>
          <w:szCs w:val="21"/>
          <w:u w:val="single"/>
          <w:lang w:val="en-US" w:eastAsia="zh-CN" w:bidi="ar"/>
        </w:rPr>
        <w:tab/>
      </w:r>
      <w:r>
        <w:rPr>
          <w:rFonts w:hint="eastAsia" w:ascii="宋体" w:hAnsi="宋体" w:eastAsia="宋体" w:cs="宋体"/>
          <w:kern w:val="2"/>
          <w:sz w:val="21"/>
          <w:szCs w:val="21"/>
          <w:lang w:val="en-US" w:eastAsia="zh-CN" w:bidi="ar"/>
        </w:rPr>
        <w:t>（盖单位公章）</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firstLine="4620" w:firstLineChars="2200"/>
        <w:jc w:val="both"/>
        <w:rPr>
          <w:rFonts w:hint="eastAsia" w:ascii="宋体" w:hAnsi="宋体" w:eastAsia="宋体" w:cs="Times New Roman"/>
          <w:kern w:val="2"/>
          <w:sz w:val="21"/>
          <w:szCs w:val="21"/>
        </w:rPr>
      </w:pP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年</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月</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日</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注：本身份证明需由报价人加盖单位公章。</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20"/>
          <w:szCs w:val="20"/>
        </w:rPr>
      </w:pPr>
      <w:r>
        <w:rPr>
          <w:rFonts w:hint="eastAsia" w:ascii="宋体" w:hAnsi="宋体" w:eastAsia="宋体" w:cs="Times New Roman"/>
          <w:kern w:val="2"/>
          <w:sz w:val="20"/>
          <w:szCs w:val="20"/>
          <w:lang w:val="en-US" w:eastAsia="zh-CN" w:bidi="ar"/>
        </w:rPr>
        <w:t xml:space="preserve"> </w:t>
      </w:r>
    </w:p>
    <w:p>
      <w:pPr>
        <w:keepNext w:val="0"/>
        <w:keepLines w:val="0"/>
        <w:widowControl w:val="0"/>
        <w:suppressLineNumbers w:val="0"/>
        <w:spacing w:before="0" w:beforeAutospacing="0" w:after="0" w:afterAutospacing="0" w:line="20" w:lineRule="exact"/>
        <w:ind w:left="0" w:right="0"/>
        <w:jc w:val="center"/>
        <w:rPr>
          <w:rFonts w:hint="eastAsia" w:ascii="宋体" w:hAnsi="宋体" w:eastAsia="宋体" w:cs="Times New Roman"/>
          <w:kern w:val="2"/>
          <w:sz w:val="20"/>
          <w:szCs w:val="20"/>
        </w:rPr>
      </w:pPr>
      <w:r>
        <w:rPr>
          <w:rFonts w:hint="eastAsia" w:ascii="宋体" w:hAnsi="宋体" w:eastAsia="宋体" w:cs="Times New Roman"/>
          <w:kern w:val="2"/>
          <w:sz w:val="20"/>
          <w:szCs w:val="20"/>
          <w:lang w:val="en-US" w:eastAsia="zh-CN" w:bidi="ar"/>
        </w:rPr>
        <w:br w:type="page"/>
      </w:r>
    </w:p>
    <w:p>
      <w:pPr>
        <w:pStyle w:val="4"/>
        <w:keepNext w:val="0"/>
        <w:keepLines w:val="0"/>
        <w:widowControl w:val="0"/>
        <w:suppressLineNumbers w:val="0"/>
        <w:autoSpaceDE w:val="0"/>
        <w:autoSpaceDN/>
        <w:spacing w:line="480" w:lineRule="auto"/>
        <w:jc w:val="center"/>
        <w:rPr>
          <w:rFonts w:hint="eastAsia" w:ascii="宋体" w:hAnsi="宋体" w:eastAsia="黑体" w:cs="Times New Roman"/>
          <w:b/>
          <w:kern w:val="0"/>
          <w:sz w:val="28"/>
          <w:szCs w:val="28"/>
        </w:rPr>
      </w:pPr>
      <w:r>
        <w:rPr>
          <w:rFonts w:hint="eastAsia" w:ascii="宋体" w:hAnsi="宋体" w:eastAsia="宋体" w:cs="宋体"/>
          <w:b/>
          <w:kern w:val="0"/>
          <w:sz w:val="24"/>
          <w:szCs w:val="24"/>
        </w:rPr>
        <w:t>（二）法定代表人授权委托书</w:t>
      </w:r>
    </w:p>
    <w:p>
      <w:pPr>
        <w:keepNext w:val="0"/>
        <w:keepLines w:val="0"/>
        <w:widowControl w:val="0"/>
        <w:suppressLineNumbers w:val="0"/>
        <w:topLinePunct/>
        <w:autoSpaceDE w:val="0"/>
        <w:autoSpaceDN/>
        <w:spacing w:before="0" w:beforeAutospacing="0" w:after="0" w:afterAutospacing="0" w:line="480" w:lineRule="auto"/>
        <w:ind w:left="0" w:right="0" w:firstLine="420" w:firstLineChars="200"/>
        <w:jc w:val="both"/>
        <w:rPr>
          <w:rFonts w:hint="default" w:ascii="宋体" w:hAnsi="宋体" w:cs="宋体"/>
          <w:kern w:val="2"/>
          <w:sz w:val="21"/>
          <w:szCs w:val="21"/>
          <w:u w:val="single"/>
          <w:lang w:val="en-US" w:eastAsia="zh-CN" w:bidi="ar"/>
        </w:rPr>
      </w:pPr>
      <w:r>
        <w:rPr>
          <w:rFonts w:hint="eastAsia" w:ascii="宋体" w:hAnsi="宋体" w:eastAsia="宋体" w:cs="宋体"/>
          <w:kern w:val="2"/>
          <w:sz w:val="21"/>
          <w:szCs w:val="21"/>
          <w:lang w:val="en-US" w:eastAsia="zh-CN" w:bidi="ar"/>
        </w:rPr>
        <w:t>本人</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（姓名）系</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（报价人名称）的法定代表人，现委托</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（姓名）为我方代理人。代理人根据授权，以我方名义签署、澄清确认、递交、撤回、修改</w:t>
      </w:r>
      <w:r>
        <w:rPr>
          <w:rFonts w:hint="eastAsia" w:ascii="宋体" w:hAnsi="宋体" w:cs="宋体"/>
          <w:kern w:val="2"/>
          <w:sz w:val="21"/>
          <w:szCs w:val="21"/>
          <w:lang w:val="en-US" w:eastAsia="zh-CN" w:bidi="ar"/>
        </w:rPr>
        <w:t>竞争性比选</w:t>
      </w:r>
      <w:r>
        <w:rPr>
          <w:rFonts w:hint="eastAsia" w:ascii="宋体" w:hAnsi="宋体" w:eastAsia="宋体" w:cs="宋体"/>
          <w:kern w:val="2"/>
          <w:sz w:val="21"/>
          <w:szCs w:val="21"/>
          <w:lang w:val="en-US" w:eastAsia="zh-CN" w:bidi="ar"/>
        </w:rPr>
        <w:t>项目比选文件、签订合同和处理有关事宜，其法律后果由我方承担。</w:t>
      </w:r>
      <w:r>
        <w:rPr>
          <w:rFonts w:hint="eastAsia" w:ascii="宋体" w:hAnsi="宋体" w:cs="宋体"/>
          <w:kern w:val="2"/>
          <w:sz w:val="21"/>
          <w:szCs w:val="21"/>
          <w:lang w:val="en-US" w:eastAsia="zh-CN" w:bidi="ar"/>
        </w:rPr>
        <w:t>授权</w:t>
      </w:r>
      <w:r>
        <w:rPr>
          <w:rFonts w:hint="eastAsia" w:ascii="宋体" w:hAnsi="宋体" w:cs="宋体"/>
          <w:kern w:val="2"/>
          <w:sz w:val="21"/>
          <w:szCs w:val="21"/>
          <w:u w:val="single"/>
          <w:lang w:val="en-US" w:eastAsia="zh-CN" w:bidi="ar"/>
        </w:rPr>
        <w:t xml:space="preserve">           XXX@.COM    </w:t>
      </w:r>
      <w:r>
        <w:rPr>
          <w:rFonts w:hint="eastAsia" w:ascii="宋体" w:hAnsi="宋体" w:cs="宋体"/>
          <w:kern w:val="2"/>
          <w:sz w:val="21"/>
          <w:szCs w:val="21"/>
          <w:u w:val="none"/>
          <w:lang w:val="en-US" w:eastAsia="zh-CN" w:bidi="ar"/>
        </w:rPr>
        <w:t>此邮箱为本次竞争性比选响应文件投递邮箱。</w:t>
      </w:r>
    </w:p>
    <w:p>
      <w:pPr>
        <w:keepNext w:val="0"/>
        <w:keepLines w:val="0"/>
        <w:widowControl w:val="0"/>
        <w:suppressLineNumbers w:val="0"/>
        <w:topLinePunct/>
        <w:autoSpaceDE w:val="0"/>
        <w:autoSpaceDN/>
        <w:spacing w:before="0" w:beforeAutospacing="0" w:after="0" w:afterAutospacing="0" w:line="480" w:lineRule="auto"/>
        <w:ind w:left="0" w:right="0" w:firstLine="420" w:firstLineChars="200"/>
        <w:jc w:val="both"/>
        <w:rPr>
          <w:rFonts w:hint="eastAsia" w:ascii="宋体" w:hAnsi="宋体" w:eastAsia="宋体" w:cs="Times New Roman"/>
          <w:kern w:val="2"/>
          <w:sz w:val="21"/>
          <w:szCs w:val="21"/>
        </w:rPr>
      </w:pPr>
    </w:p>
    <w:p>
      <w:pPr>
        <w:keepNext w:val="0"/>
        <w:keepLines w:val="0"/>
        <w:widowControl w:val="0"/>
        <w:suppressLineNumbers w:val="0"/>
        <w:autoSpaceDE w:val="0"/>
        <w:autoSpaceDN/>
        <w:spacing w:before="0" w:beforeAutospacing="0" w:after="0" w:afterAutospacing="0" w:line="480" w:lineRule="auto"/>
        <w:ind w:left="0" w:right="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委托期限：</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pPr>
        <w:keepNext w:val="0"/>
        <w:keepLines w:val="0"/>
        <w:widowControl w:val="0"/>
        <w:suppressLineNumbers w:val="0"/>
        <w:autoSpaceDE w:val="0"/>
        <w:autoSpaceDN/>
        <w:spacing w:before="0" w:beforeAutospacing="0" w:after="0" w:afterAutospacing="0" w:line="480" w:lineRule="auto"/>
        <w:ind w:left="0" w:right="0" w:firstLine="420" w:firstLineChars="20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代理人无转委托权。</w:t>
      </w:r>
    </w:p>
    <w:p>
      <w:pPr>
        <w:keepNext w:val="0"/>
        <w:keepLines w:val="0"/>
        <w:widowControl w:val="0"/>
        <w:suppressLineNumbers w:val="0"/>
        <w:autoSpaceDE w:val="0"/>
        <w:autoSpaceDN/>
        <w:spacing w:before="0" w:beforeAutospacing="0" w:after="0" w:afterAutospacing="0" w:line="480" w:lineRule="auto"/>
        <w:ind w:left="0" w:right="0" w:firstLine="420" w:firstLineChars="20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autoSpaceDE w:val="0"/>
        <w:autoSpaceDN/>
        <w:spacing w:before="0" w:beforeAutospacing="0" w:after="0" w:afterAutospacing="0" w:line="480" w:lineRule="auto"/>
        <w:ind w:left="0" w:right="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附：法定代表人身份证复印件及委托代理人身份证复印件（正、反面）</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firstLine="2692" w:firstLineChars="1282"/>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报</w:t>
      </w: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价</w:t>
      </w: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人：</w:t>
      </w:r>
      <w:r>
        <w:rPr>
          <w:rFonts w:hint="eastAsia" w:ascii="宋体" w:hAnsi="宋体" w:eastAsia="宋体" w:cs="Times New Roman"/>
          <w:kern w:val="2"/>
          <w:sz w:val="21"/>
          <w:szCs w:val="21"/>
          <w:u w:val="single"/>
          <w:lang w:val="en-US" w:eastAsia="zh-CN" w:bidi="ar"/>
        </w:rPr>
        <w:tab/>
      </w:r>
      <w:r>
        <w:rPr>
          <w:rFonts w:hint="eastAsia" w:ascii="宋体" w:hAnsi="宋体" w:eastAsia="宋体" w:cs="Times New Roman"/>
          <w:kern w:val="2"/>
          <w:sz w:val="21"/>
          <w:szCs w:val="21"/>
          <w:u w:val="single"/>
          <w:lang w:val="en-US" w:eastAsia="zh-CN" w:bidi="ar"/>
        </w:rPr>
        <w:tab/>
      </w:r>
      <w:r>
        <w:rPr>
          <w:rFonts w:hint="eastAsia" w:ascii="宋体" w:hAnsi="宋体" w:eastAsia="宋体" w:cs="Times New Roman"/>
          <w:kern w:val="2"/>
          <w:sz w:val="21"/>
          <w:szCs w:val="21"/>
          <w:u w:val="single"/>
          <w:lang w:val="en-US" w:eastAsia="zh-CN" w:bidi="ar"/>
        </w:rPr>
        <w:tab/>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Times New Roman"/>
          <w:kern w:val="2"/>
          <w:sz w:val="21"/>
          <w:szCs w:val="21"/>
          <w:u w:val="single"/>
          <w:lang w:val="en-US" w:eastAsia="zh-CN" w:bidi="ar"/>
        </w:rPr>
        <w:tab/>
      </w:r>
      <w:r>
        <w:rPr>
          <w:rFonts w:hint="eastAsia" w:ascii="宋体" w:hAnsi="宋体" w:eastAsia="宋体" w:cs="宋体"/>
          <w:kern w:val="2"/>
          <w:sz w:val="21"/>
          <w:szCs w:val="21"/>
          <w:lang w:val="en-US" w:eastAsia="zh-CN" w:bidi="ar"/>
        </w:rPr>
        <w:t>（盖单位公章）</w:t>
      </w:r>
    </w:p>
    <w:p>
      <w:pPr>
        <w:keepNext w:val="0"/>
        <w:keepLines w:val="0"/>
        <w:widowControl w:val="0"/>
        <w:suppressLineNumbers w:val="0"/>
        <w:spacing w:before="0" w:beforeAutospacing="0" w:after="0" w:afterAutospacing="0" w:line="440" w:lineRule="exact"/>
        <w:ind w:left="0" w:right="0" w:firstLine="2690" w:firstLineChars="1281"/>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法定代表人：</w:t>
      </w:r>
      <w:r>
        <w:rPr>
          <w:rFonts w:hint="eastAsia" w:ascii="宋体" w:hAnsi="宋体" w:eastAsia="宋体" w:cs="Times New Roman"/>
          <w:kern w:val="2"/>
          <w:sz w:val="21"/>
          <w:szCs w:val="21"/>
          <w:u w:val="single"/>
          <w:lang w:val="en-US" w:eastAsia="zh-CN" w:bidi="ar"/>
        </w:rPr>
        <w:tab/>
      </w:r>
      <w:r>
        <w:rPr>
          <w:rFonts w:hint="eastAsia" w:ascii="宋体" w:hAnsi="宋体" w:eastAsia="宋体" w:cs="Times New Roman"/>
          <w:kern w:val="2"/>
          <w:sz w:val="21"/>
          <w:szCs w:val="21"/>
          <w:u w:val="single"/>
          <w:lang w:val="en-US" w:eastAsia="zh-CN" w:bidi="ar"/>
        </w:rPr>
        <w:tab/>
      </w:r>
      <w:r>
        <w:rPr>
          <w:rFonts w:hint="eastAsia" w:ascii="宋体" w:hAnsi="宋体" w:eastAsia="宋体" w:cs="Times New Roman"/>
          <w:kern w:val="2"/>
          <w:sz w:val="21"/>
          <w:szCs w:val="21"/>
          <w:u w:val="single"/>
          <w:lang w:val="en-US" w:eastAsia="zh-CN" w:bidi="ar"/>
        </w:rPr>
        <w:tab/>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Times New Roman"/>
          <w:kern w:val="2"/>
          <w:sz w:val="21"/>
          <w:szCs w:val="21"/>
          <w:u w:val="single"/>
          <w:lang w:val="en-US" w:eastAsia="zh-CN" w:bidi="ar"/>
        </w:rPr>
        <w:tab/>
      </w:r>
      <w:r>
        <w:rPr>
          <w:rFonts w:hint="eastAsia" w:ascii="宋体" w:hAnsi="宋体" w:eastAsia="宋体" w:cs="宋体"/>
          <w:kern w:val="2"/>
          <w:sz w:val="21"/>
          <w:szCs w:val="21"/>
          <w:lang w:val="en-US" w:eastAsia="zh-CN" w:bidi="ar"/>
        </w:rPr>
        <w:t>（签字</w:t>
      </w: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0" w:beforeAutospacing="0" w:after="0" w:afterAutospacing="0" w:line="440" w:lineRule="exact"/>
        <w:ind w:left="0" w:right="0" w:firstLine="2692" w:firstLineChars="1282"/>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身份证号码：</w:t>
      </w:r>
      <w:r>
        <w:rPr>
          <w:rFonts w:hint="eastAsia" w:ascii="宋体" w:hAnsi="宋体" w:eastAsia="宋体" w:cs="Times New Roman"/>
          <w:kern w:val="2"/>
          <w:sz w:val="21"/>
          <w:szCs w:val="21"/>
          <w:u w:val="single"/>
          <w:lang w:val="en-US" w:eastAsia="zh-CN" w:bidi="ar"/>
        </w:rPr>
        <w:tab/>
      </w:r>
      <w:r>
        <w:rPr>
          <w:rFonts w:hint="eastAsia" w:ascii="宋体" w:hAnsi="宋体" w:eastAsia="宋体" w:cs="Times New Roman"/>
          <w:kern w:val="2"/>
          <w:sz w:val="21"/>
          <w:szCs w:val="21"/>
          <w:u w:val="single"/>
          <w:lang w:val="en-US" w:eastAsia="zh-CN" w:bidi="ar"/>
        </w:rPr>
        <w:tab/>
      </w:r>
      <w:r>
        <w:rPr>
          <w:rFonts w:hint="eastAsia" w:ascii="宋体" w:hAnsi="宋体" w:eastAsia="宋体" w:cs="Times New Roman"/>
          <w:kern w:val="2"/>
          <w:sz w:val="21"/>
          <w:szCs w:val="21"/>
          <w:u w:val="single"/>
          <w:lang w:val="en-US" w:eastAsia="zh-CN" w:bidi="ar"/>
        </w:rPr>
        <w:tab/>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Times New Roman"/>
          <w:kern w:val="2"/>
          <w:sz w:val="21"/>
          <w:szCs w:val="21"/>
          <w:u w:val="single"/>
          <w:lang w:val="en-US" w:eastAsia="zh-CN" w:bidi="ar"/>
        </w:rPr>
        <w:tab/>
      </w:r>
    </w:p>
    <w:p>
      <w:pPr>
        <w:keepNext w:val="0"/>
        <w:keepLines w:val="0"/>
        <w:widowControl w:val="0"/>
        <w:suppressLineNumbers w:val="0"/>
        <w:spacing w:before="0" w:beforeAutospacing="0" w:after="0" w:afterAutospacing="0" w:line="440" w:lineRule="exact"/>
        <w:ind w:left="0" w:right="0" w:firstLine="2692" w:firstLineChars="1282"/>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委托代理人：</w:t>
      </w:r>
      <w:r>
        <w:rPr>
          <w:rFonts w:hint="eastAsia" w:ascii="宋体" w:hAnsi="宋体" w:eastAsia="宋体" w:cs="Times New Roman"/>
          <w:kern w:val="2"/>
          <w:sz w:val="21"/>
          <w:szCs w:val="21"/>
          <w:u w:val="single"/>
          <w:lang w:val="en-US" w:eastAsia="zh-CN" w:bidi="ar"/>
        </w:rPr>
        <w:tab/>
      </w:r>
      <w:r>
        <w:rPr>
          <w:rFonts w:hint="eastAsia" w:ascii="宋体" w:hAnsi="宋体" w:eastAsia="宋体" w:cs="Times New Roman"/>
          <w:kern w:val="2"/>
          <w:sz w:val="21"/>
          <w:szCs w:val="21"/>
          <w:u w:val="single"/>
          <w:lang w:val="en-US" w:eastAsia="zh-CN" w:bidi="ar"/>
        </w:rPr>
        <w:tab/>
      </w:r>
      <w:r>
        <w:rPr>
          <w:rFonts w:hint="eastAsia" w:ascii="宋体" w:hAnsi="宋体" w:eastAsia="宋体" w:cs="Times New Roman"/>
          <w:kern w:val="2"/>
          <w:sz w:val="21"/>
          <w:szCs w:val="21"/>
          <w:u w:val="single"/>
          <w:lang w:val="en-US" w:eastAsia="zh-CN" w:bidi="ar"/>
        </w:rPr>
        <w:tab/>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Times New Roman"/>
          <w:kern w:val="2"/>
          <w:sz w:val="21"/>
          <w:szCs w:val="21"/>
          <w:u w:val="single"/>
          <w:lang w:val="en-US" w:eastAsia="zh-CN" w:bidi="ar"/>
        </w:rPr>
        <w:tab/>
      </w:r>
      <w:r>
        <w:rPr>
          <w:rFonts w:hint="eastAsia" w:ascii="宋体" w:hAnsi="宋体" w:eastAsia="宋体" w:cs="宋体"/>
          <w:kern w:val="2"/>
          <w:sz w:val="21"/>
          <w:szCs w:val="21"/>
          <w:lang w:val="en-US" w:eastAsia="zh-CN" w:bidi="ar"/>
        </w:rPr>
        <w:t>（签字）</w:t>
      </w:r>
    </w:p>
    <w:p>
      <w:pPr>
        <w:keepNext w:val="0"/>
        <w:keepLines w:val="0"/>
        <w:widowControl w:val="0"/>
        <w:suppressLineNumbers w:val="0"/>
        <w:spacing w:before="0" w:beforeAutospacing="0" w:after="0" w:afterAutospacing="0" w:line="440" w:lineRule="exact"/>
        <w:ind w:left="0" w:right="0" w:firstLine="2692" w:firstLineChars="1282"/>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身份证号码：</w:t>
      </w:r>
      <w:r>
        <w:rPr>
          <w:rFonts w:hint="eastAsia" w:ascii="宋体" w:hAnsi="宋体" w:eastAsia="宋体" w:cs="Times New Roman"/>
          <w:kern w:val="2"/>
          <w:sz w:val="21"/>
          <w:szCs w:val="21"/>
          <w:u w:val="single"/>
          <w:lang w:val="en-US" w:eastAsia="zh-CN" w:bidi="ar"/>
        </w:rPr>
        <w:tab/>
      </w:r>
      <w:r>
        <w:rPr>
          <w:rFonts w:hint="eastAsia" w:ascii="宋体" w:hAnsi="宋体" w:eastAsia="宋体" w:cs="Times New Roman"/>
          <w:kern w:val="2"/>
          <w:sz w:val="21"/>
          <w:szCs w:val="21"/>
          <w:u w:val="single"/>
          <w:lang w:val="en-US" w:eastAsia="zh-CN" w:bidi="ar"/>
        </w:rPr>
        <w:tab/>
      </w:r>
      <w:r>
        <w:rPr>
          <w:rFonts w:hint="eastAsia" w:ascii="宋体" w:hAnsi="宋体" w:eastAsia="宋体" w:cs="Times New Roman"/>
          <w:kern w:val="2"/>
          <w:sz w:val="21"/>
          <w:szCs w:val="21"/>
          <w:u w:val="single"/>
          <w:lang w:val="en-US" w:eastAsia="zh-CN" w:bidi="ar"/>
        </w:rPr>
        <w:tab/>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Times New Roman"/>
          <w:kern w:val="2"/>
          <w:sz w:val="21"/>
          <w:szCs w:val="21"/>
          <w:u w:val="single"/>
          <w:lang w:val="en-US" w:eastAsia="zh-CN" w:bidi="ar"/>
        </w:rPr>
        <w:tab/>
      </w:r>
    </w:p>
    <w:p>
      <w:pPr>
        <w:keepNext w:val="0"/>
        <w:keepLines w:val="0"/>
        <w:widowControl w:val="0"/>
        <w:suppressLineNumbers w:val="0"/>
        <w:spacing w:before="0" w:beforeAutospacing="0" w:after="0" w:afterAutospacing="0" w:line="440" w:lineRule="exact"/>
        <w:ind w:left="0" w:right="0" w:firstLine="2692" w:firstLineChars="1282"/>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firstLine="4057" w:firstLineChars="1932"/>
        <w:jc w:val="right"/>
        <w:rPr>
          <w:rFonts w:hint="eastAsia" w:ascii="宋体" w:hAnsi="宋体" w:eastAsia="宋体" w:cs="Times New Roman"/>
          <w:kern w:val="2"/>
          <w:sz w:val="21"/>
          <w:szCs w:val="21"/>
        </w:rPr>
      </w:pP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年</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月</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日</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ascii="宋体" w:hAnsi="宋体" w:cs="宋体"/>
        </w:rPr>
        <w:sectPr>
          <w:footerReference r:id="rId11" w:type="first"/>
          <w:footerReference r:id="rId10" w:type="default"/>
          <w:pgSz w:w="11906" w:h="16838"/>
          <w:pgMar w:top="1440" w:right="1803" w:bottom="1440" w:left="1803" w:header="851" w:footer="992" w:gutter="0"/>
          <w:cols w:space="720" w:num="1"/>
          <w:titlePg/>
          <w:docGrid w:type="lines" w:linePitch="319" w:charSpace="0"/>
        </w:sectPr>
      </w:pPr>
      <w:r>
        <w:rPr>
          <w:rFonts w:hint="eastAsia" w:ascii="宋体" w:hAnsi="宋体" w:eastAsia="宋体" w:cs="宋体"/>
          <w:kern w:val="2"/>
          <w:sz w:val="21"/>
          <w:szCs w:val="21"/>
          <w:lang w:val="en-US" w:eastAsia="zh-CN" w:bidi="ar"/>
        </w:rPr>
        <w:t>注：本授权委托书需由报价人加盖单位公章并由其法定代表人和委托代理人签字</w:t>
      </w:r>
    </w:p>
    <w:p>
      <w:pPr>
        <w:pStyle w:val="4"/>
        <w:spacing w:before="0" w:after="0" w:line="360" w:lineRule="auto"/>
        <w:jc w:val="center"/>
        <w:rPr>
          <w:rFonts w:ascii="宋体" w:hAnsi="宋体" w:eastAsia="宋体" w:cs="宋体"/>
          <w:sz w:val="28"/>
        </w:rPr>
      </w:pPr>
      <w:bookmarkStart w:id="859" w:name="_Toc11329275"/>
      <w:r>
        <w:rPr>
          <w:rFonts w:hint="eastAsia" w:ascii="宋体" w:hAnsi="宋体" w:eastAsia="宋体" w:cs="宋体"/>
          <w:sz w:val="28"/>
          <w:lang w:val="en-US" w:eastAsia="zh-CN"/>
        </w:rPr>
        <w:t>三</w:t>
      </w:r>
      <w:r>
        <w:rPr>
          <w:rFonts w:hint="eastAsia" w:ascii="宋体" w:hAnsi="宋体" w:eastAsia="宋体" w:cs="宋体"/>
          <w:sz w:val="28"/>
        </w:rPr>
        <w:t>、</w:t>
      </w:r>
      <w:bookmarkEnd w:id="856"/>
      <w:bookmarkEnd w:id="857"/>
      <w:bookmarkEnd w:id="858"/>
      <w:bookmarkEnd w:id="859"/>
      <w:r>
        <w:rPr>
          <w:rFonts w:hint="eastAsia" w:ascii="宋体" w:hAnsi="宋体" w:eastAsia="宋体" w:cs="宋体"/>
          <w:sz w:val="28"/>
        </w:rPr>
        <w:t>报价一览表</w:t>
      </w:r>
    </w:p>
    <w:p>
      <w:pPr>
        <w:ind w:left="765"/>
        <w:jc w:val="center"/>
        <w:rPr>
          <w:rFonts w:ascii="宋体" w:hAnsi="宋体" w:cs="宋体"/>
          <w:szCs w:val="21"/>
        </w:rPr>
      </w:pPr>
    </w:p>
    <w:p>
      <w:pPr>
        <w:pStyle w:val="37"/>
        <w:jc w:val="both"/>
        <w:rPr>
          <w:rFonts w:hAnsi="宋体"/>
        </w:rPr>
      </w:pPr>
      <w:r>
        <w:rPr>
          <w:rFonts w:hint="eastAsia" w:hAnsi="宋体"/>
        </w:rPr>
        <w:t>重庆首讯科技股份有限公司：</w:t>
      </w:r>
    </w:p>
    <w:p>
      <w:pPr>
        <w:spacing w:line="360" w:lineRule="auto"/>
        <w:ind w:firstLine="480" w:firstLineChars="200"/>
        <w:jc w:val="left"/>
        <w:rPr>
          <w:rFonts w:hint="eastAsia" w:ascii="宋体" w:hAnsi="宋体"/>
          <w:b/>
          <w:color w:val="000000"/>
          <w:sz w:val="24"/>
        </w:rPr>
      </w:pPr>
      <w:r>
        <w:rPr>
          <w:rFonts w:hint="eastAsia" w:ascii="宋体" w:hAnsi="宋体"/>
          <w:color w:val="000000"/>
          <w:sz w:val="24"/>
        </w:rPr>
        <w:t>在研究了竞争比选文件中所有文件后，我司对</w:t>
      </w:r>
      <w:r>
        <w:rPr>
          <w:rFonts w:hint="eastAsia" w:ascii="宋体" w:hAnsi="宋体"/>
          <w:color w:val="000000"/>
          <w:sz w:val="24"/>
          <w:u w:val="single"/>
        </w:rPr>
        <w:t xml:space="preserve"> </w:t>
      </w:r>
      <w:r>
        <w:rPr>
          <w:rFonts w:hint="eastAsia" w:ascii="宋体" w:hAnsi="宋体"/>
          <w:color w:val="000000"/>
          <w:sz w:val="24"/>
          <w:u w:val="single"/>
          <w:lang w:eastAsia="zh-CN"/>
        </w:rPr>
        <w:t>G65重庆至武隆段智慧高速（一期）云控平台组件采购及系统集成项目</w:t>
      </w:r>
      <w:r>
        <w:rPr>
          <w:rFonts w:hint="eastAsia" w:ascii="宋体" w:hAnsi="宋体"/>
          <w:color w:val="000000"/>
          <w:sz w:val="24"/>
          <w:u w:val="single"/>
        </w:rPr>
        <w:t xml:space="preserve">  </w:t>
      </w:r>
      <w:r>
        <w:rPr>
          <w:rFonts w:hint="eastAsia" w:ascii="宋体" w:hAnsi="宋体"/>
          <w:color w:val="000000"/>
          <w:sz w:val="24"/>
        </w:rPr>
        <w:t>竞</w:t>
      </w:r>
      <w:r>
        <w:rPr>
          <w:rFonts w:hint="eastAsia" w:ascii="Arial" w:hAnsi="Arial" w:cs="Arial"/>
          <w:color w:val="000000"/>
          <w:sz w:val="24"/>
        </w:rPr>
        <w:t>争比选响应</w:t>
      </w:r>
      <w:r>
        <w:rPr>
          <w:rFonts w:hint="eastAsia" w:ascii="宋体" w:hAnsi="宋体"/>
          <w:color w:val="000000"/>
          <w:sz w:val="24"/>
        </w:rPr>
        <w:t>报价如下：</w:t>
      </w:r>
      <w:r>
        <w:rPr>
          <w:rFonts w:hint="eastAsia" w:ascii="宋体" w:hAnsi="宋体"/>
          <w:b/>
          <w:color w:val="000000"/>
          <w:sz w:val="24"/>
        </w:rPr>
        <w:t xml:space="preserve"> </w:t>
      </w:r>
      <w:bookmarkStart w:id="860" w:name="_Hlk47603113"/>
    </w:p>
    <w:p>
      <w:pPr>
        <w:pStyle w:val="16"/>
        <w:rPr>
          <w:rFonts w:hint="eastAsia"/>
        </w:rPr>
      </w:pPr>
    </w:p>
    <w:tbl>
      <w:tblPr>
        <w:tblStyle w:val="42"/>
        <w:tblpPr w:leftFromText="180" w:rightFromText="180" w:vertAnchor="text" w:horzAnchor="page" w:tblpX="834" w:tblpY="48"/>
        <w:tblOverlap w:val="never"/>
        <w:tblW w:w="10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911"/>
        <w:gridCol w:w="1275"/>
        <w:gridCol w:w="843"/>
        <w:gridCol w:w="843"/>
        <w:gridCol w:w="1263"/>
        <w:gridCol w:w="1381"/>
        <w:gridCol w:w="961"/>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22" w:type="dxa"/>
            <w:vAlign w:val="center"/>
          </w:tcPr>
          <w:p>
            <w:pPr>
              <w:keepNext w:val="0"/>
              <w:keepLines w:val="0"/>
              <w:suppressLineNumbers w:val="0"/>
              <w:spacing w:before="0" w:beforeAutospacing="0" w:after="0" w:afterAutospacing="0"/>
              <w:ind w:left="0" w:right="0"/>
              <w:jc w:val="center"/>
              <w:rPr>
                <w:rFonts w:hint="default" w:ascii="宋体" w:hAnsi="宋体" w:cs="宋体"/>
                <w:b/>
                <w:bCs w:val="0"/>
                <w:szCs w:val="21"/>
              </w:rPr>
            </w:pPr>
            <w:r>
              <w:rPr>
                <w:rFonts w:hint="eastAsia" w:ascii="宋体" w:hAnsi="宋体" w:cs="宋体"/>
                <w:b/>
                <w:bCs w:val="0"/>
                <w:szCs w:val="21"/>
              </w:rPr>
              <w:t>序号</w:t>
            </w:r>
          </w:p>
        </w:tc>
        <w:tc>
          <w:tcPr>
            <w:tcW w:w="1911" w:type="dxa"/>
            <w:vAlign w:val="center"/>
          </w:tcPr>
          <w:p>
            <w:pPr>
              <w:keepNext w:val="0"/>
              <w:keepLines w:val="0"/>
              <w:suppressLineNumbers w:val="0"/>
              <w:spacing w:before="0" w:beforeAutospacing="0" w:after="0" w:afterAutospacing="0"/>
              <w:ind w:left="0" w:right="0"/>
              <w:jc w:val="center"/>
              <w:rPr>
                <w:rFonts w:hint="default" w:ascii="宋体" w:hAnsi="宋体" w:cs="宋体"/>
                <w:b/>
                <w:bCs w:val="0"/>
                <w:szCs w:val="21"/>
              </w:rPr>
            </w:pPr>
            <w:r>
              <w:rPr>
                <w:rFonts w:hint="eastAsia" w:ascii="宋体" w:hAnsi="宋体" w:cs="宋体"/>
                <w:b/>
                <w:bCs w:val="0"/>
                <w:szCs w:val="21"/>
              </w:rPr>
              <w:t>项目名称</w:t>
            </w:r>
          </w:p>
        </w:tc>
        <w:tc>
          <w:tcPr>
            <w:tcW w:w="127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val="0"/>
                <w:szCs w:val="21"/>
                <w:lang w:val="en-US" w:eastAsia="zh-CN"/>
              </w:rPr>
            </w:pPr>
            <w:r>
              <w:rPr>
                <w:rFonts w:hint="eastAsia" w:ascii="宋体" w:hAnsi="宋体" w:cs="宋体"/>
                <w:b/>
                <w:bCs w:val="0"/>
                <w:szCs w:val="21"/>
                <w:lang w:val="en-US" w:eastAsia="zh-CN"/>
              </w:rPr>
              <w:t>工作内容</w:t>
            </w:r>
          </w:p>
        </w:tc>
        <w:tc>
          <w:tcPr>
            <w:tcW w:w="843"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b/>
                <w:bCs w:val="0"/>
                <w:szCs w:val="21"/>
              </w:rPr>
            </w:pPr>
            <w:r>
              <w:rPr>
                <w:rFonts w:hint="eastAsia" w:ascii="宋体" w:hAnsi="宋体" w:cs="宋体"/>
                <w:b/>
                <w:bCs w:val="0"/>
                <w:szCs w:val="21"/>
              </w:rPr>
              <w:t>数量</w:t>
            </w:r>
          </w:p>
        </w:tc>
        <w:tc>
          <w:tcPr>
            <w:tcW w:w="843" w:type="dxa"/>
            <w:vAlign w:val="center"/>
          </w:tcPr>
          <w:p>
            <w:pPr>
              <w:keepNext w:val="0"/>
              <w:keepLines w:val="0"/>
              <w:suppressLineNumbers w:val="0"/>
              <w:spacing w:before="0" w:beforeAutospacing="0" w:after="0" w:afterAutospacing="0"/>
              <w:ind w:left="0" w:right="0"/>
              <w:jc w:val="center"/>
              <w:rPr>
                <w:rFonts w:hint="eastAsia" w:ascii="宋体" w:hAnsi="宋体" w:cs="宋体"/>
                <w:b/>
                <w:bCs w:val="0"/>
                <w:szCs w:val="21"/>
              </w:rPr>
            </w:pPr>
            <w:r>
              <w:rPr>
                <w:rFonts w:hint="eastAsia" w:ascii="宋体" w:hAnsi="宋体" w:cs="宋体"/>
                <w:b/>
                <w:bCs w:val="0"/>
                <w:szCs w:val="21"/>
              </w:rPr>
              <w:t>单位</w:t>
            </w:r>
          </w:p>
        </w:tc>
        <w:tc>
          <w:tcPr>
            <w:tcW w:w="126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val="0"/>
                <w:szCs w:val="21"/>
                <w:lang w:eastAsia="zh-CN"/>
              </w:rPr>
            </w:pPr>
            <w:r>
              <w:rPr>
                <w:rFonts w:hint="eastAsia" w:ascii="宋体" w:hAnsi="宋体" w:cs="宋体"/>
                <w:b/>
                <w:bCs w:val="0"/>
                <w:szCs w:val="21"/>
                <w:lang w:val="en-US" w:eastAsia="zh-CN"/>
              </w:rPr>
              <w:t>单价（元）</w:t>
            </w:r>
          </w:p>
        </w:tc>
        <w:tc>
          <w:tcPr>
            <w:tcW w:w="138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val="0"/>
                <w:szCs w:val="21"/>
                <w:lang w:eastAsia="zh-CN"/>
              </w:rPr>
            </w:pPr>
            <w:r>
              <w:rPr>
                <w:rFonts w:hint="eastAsia" w:ascii="宋体" w:hAnsi="宋体" w:cs="宋体"/>
                <w:b/>
                <w:bCs w:val="0"/>
                <w:szCs w:val="21"/>
                <w:lang w:val="en-US" w:eastAsia="zh-CN"/>
              </w:rPr>
              <w:t>总价（元）</w:t>
            </w:r>
          </w:p>
        </w:tc>
        <w:tc>
          <w:tcPr>
            <w:tcW w:w="961"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val="0"/>
                <w:szCs w:val="21"/>
                <w:lang w:val="en-US" w:eastAsia="zh-CN"/>
              </w:rPr>
            </w:pPr>
            <w:r>
              <w:rPr>
                <w:rFonts w:hint="eastAsia" w:ascii="宋体" w:hAnsi="宋体" w:cs="宋体"/>
                <w:b/>
                <w:bCs w:val="0"/>
                <w:szCs w:val="21"/>
                <w:lang w:val="en-US" w:eastAsia="zh-CN"/>
              </w:rPr>
              <w:t>税率（%)</w:t>
            </w:r>
          </w:p>
        </w:tc>
        <w:tc>
          <w:tcPr>
            <w:tcW w:w="961"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val="0"/>
                <w:szCs w:val="21"/>
                <w:lang w:val="en-US" w:eastAsia="zh-CN"/>
              </w:rPr>
            </w:pPr>
            <w:r>
              <w:rPr>
                <w:rFonts w:hint="eastAsia" w:ascii="宋体" w:hAnsi="宋体" w:cs="宋体"/>
                <w:b/>
                <w:bCs w:val="0"/>
                <w:szCs w:val="21"/>
                <w:lang w:val="en-US" w:eastAsia="zh-CN"/>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22"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911"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数据中台</w:t>
            </w:r>
          </w:p>
        </w:tc>
        <w:tc>
          <w:tcPr>
            <w:tcW w:w="1275"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详见技术要求</w:t>
            </w:r>
          </w:p>
        </w:tc>
        <w:tc>
          <w:tcPr>
            <w:tcW w:w="843" w:type="dxa"/>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1</w:t>
            </w:r>
          </w:p>
        </w:tc>
        <w:tc>
          <w:tcPr>
            <w:tcW w:w="843"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套</w:t>
            </w:r>
          </w:p>
        </w:tc>
        <w:tc>
          <w:tcPr>
            <w:tcW w:w="126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Cs w:val="21"/>
              </w:rPr>
            </w:pPr>
          </w:p>
        </w:tc>
        <w:tc>
          <w:tcPr>
            <w:tcW w:w="1381" w:type="dxa"/>
          </w:tcPr>
          <w:p>
            <w:pPr>
              <w:keepNext w:val="0"/>
              <w:keepLines w:val="0"/>
              <w:suppressLineNumbers w:val="0"/>
              <w:spacing w:before="0" w:beforeAutospacing="0" w:after="0" w:afterAutospacing="0" w:line="400" w:lineRule="exact"/>
              <w:ind w:left="0" w:right="0"/>
              <w:jc w:val="left"/>
              <w:rPr>
                <w:rFonts w:hint="default" w:ascii="宋体" w:hAnsi="宋体" w:cs="宋体"/>
                <w:szCs w:val="21"/>
                <w:lang w:val="zh-CN"/>
              </w:rPr>
            </w:pPr>
          </w:p>
        </w:tc>
        <w:tc>
          <w:tcPr>
            <w:tcW w:w="961" w:type="dxa"/>
          </w:tcPr>
          <w:p>
            <w:pPr>
              <w:keepNext w:val="0"/>
              <w:keepLines w:val="0"/>
              <w:suppressLineNumbers w:val="0"/>
              <w:spacing w:before="0" w:beforeAutospacing="0" w:after="0" w:afterAutospacing="0" w:line="400" w:lineRule="exact"/>
              <w:ind w:left="0" w:right="0"/>
              <w:jc w:val="left"/>
              <w:rPr>
                <w:rFonts w:hint="default" w:ascii="宋体" w:hAnsi="宋体" w:cs="宋体"/>
                <w:szCs w:val="21"/>
                <w:lang w:val="zh-CN"/>
              </w:rPr>
            </w:pPr>
          </w:p>
        </w:tc>
        <w:tc>
          <w:tcPr>
            <w:tcW w:w="961" w:type="dxa"/>
          </w:tcPr>
          <w:p>
            <w:pPr>
              <w:keepNext w:val="0"/>
              <w:keepLines w:val="0"/>
              <w:suppressLineNumbers w:val="0"/>
              <w:spacing w:before="0" w:beforeAutospacing="0" w:after="0" w:afterAutospacing="0" w:line="400" w:lineRule="exact"/>
              <w:ind w:left="0" w:right="0"/>
              <w:jc w:val="left"/>
              <w:rPr>
                <w:rFonts w:hint="default" w:ascii="宋体" w:hAnsi="宋体" w:cs="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22" w:type="dxa"/>
            <w:vAlign w:val="center"/>
          </w:tcPr>
          <w:p>
            <w:pPr>
              <w:keepNext w:val="0"/>
              <w:keepLines w:val="0"/>
              <w:suppressLineNumbers w:val="0"/>
              <w:spacing w:before="0" w:beforeAutospacing="0" w:after="0" w:afterAutospacing="0" w:line="360" w:lineRule="auto"/>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2</w:t>
            </w:r>
          </w:p>
        </w:tc>
        <w:tc>
          <w:tcPr>
            <w:tcW w:w="1911"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kern w:val="2"/>
                <w:sz w:val="21"/>
                <w:szCs w:val="21"/>
                <w:lang w:val="en-US" w:eastAsia="zh-CN" w:bidi="ar-SA"/>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地图引擎</w:t>
            </w:r>
          </w:p>
        </w:tc>
        <w:tc>
          <w:tcPr>
            <w:tcW w:w="1275"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详见技术要求</w:t>
            </w:r>
          </w:p>
        </w:tc>
        <w:tc>
          <w:tcPr>
            <w:tcW w:w="843"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1</w:t>
            </w:r>
          </w:p>
        </w:tc>
        <w:tc>
          <w:tcPr>
            <w:tcW w:w="843"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套</w:t>
            </w:r>
          </w:p>
        </w:tc>
        <w:tc>
          <w:tcPr>
            <w:tcW w:w="1263" w:type="dxa"/>
            <w:vAlign w:val="center"/>
          </w:tcPr>
          <w:p>
            <w:pPr>
              <w:keepNext w:val="0"/>
              <w:keepLines w:val="0"/>
              <w:suppressLineNumbers w:val="0"/>
              <w:spacing w:before="0" w:beforeAutospacing="0" w:after="0" w:afterAutospacing="0" w:line="360" w:lineRule="auto"/>
              <w:ind w:left="0" w:leftChars="0" w:right="0" w:rightChars="0"/>
              <w:jc w:val="center"/>
              <w:rPr>
                <w:rFonts w:hint="default" w:ascii="宋体" w:hAnsi="宋体" w:eastAsia="宋体" w:cs="宋体"/>
                <w:kern w:val="2"/>
                <w:sz w:val="21"/>
                <w:szCs w:val="21"/>
                <w:lang w:val="en-US" w:eastAsia="zh-CN" w:bidi="ar-SA"/>
              </w:rPr>
            </w:pPr>
          </w:p>
        </w:tc>
        <w:tc>
          <w:tcPr>
            <w:tcW w:w="1381" w:type="dxa"/>
            <w:vAlign w:val="top"/>
          </w:tcPr>
          <w:p>
            <w:pPr>
              <w:keepNext w:val="0"/>
              <w:keepLines w:val="0"/>
              <w:suppressLineNumbers w:val="0"/>
              <w:spacing w:before="0" w:beforeAutospacing="0" w:after="0" w:afterAutospacing="0" w:line="400" w:lineRule="exact"/>
              <w:ind w:left="0" w:leftChars="0" w:right="0" w:rightChars="0"/>
              <w:jc w:val="left"/>
              <w:rPr>
                <w:rFonts w:hint="default" w:ascii="宋体" w:hAnsi="宋体" w:eastAsia="宋体" w:cs="宋体"/>
                <w:kern w:val="2"/>
                <w:sz w:val="21"/>
                <w:szCs w:val="21"/>
                <w:lang w:val="zh-CN" w:eastAsia="zh-CN" w:bidi="ar-SA"/>
              </w:rPr>
            </w:pPr>
          </w:p>
        </w:tc>
        <w:tc>
          <w:tcPr>
            <w:tcW w:w="961" w:type="dxa"/>
            <w:vAlign w:val="top"/>
          </w:tcPr>
          <w:p>
            <w:pPr>
              <w:keepNext w:val="0"/>
              <w:keepLines w:val="0"/>
              <w:suppressLineNumbers w:val="0"/>
              <w:spacing w:before="0" w:beforeAutospacing="0" w:after="0" w:afterAutospacing="0" w:line="400" w:lineRule="exact"/>
              <w:ind w:left="0" w:leftChars="0" w:right="0" w:rightChars="0"/>
              <w:jc w:val="left"/>
              <w:rPr>
                <w:rFonts w:hint="default" w:ascii="宋体" w:hAnsi="宋体" w:eastAsia="宋体" w:cs="宋体"/>
                <w:kern w:val="2"/>
                <w:sz w:val="21"/>
                <w:szCs w:val="21"/>
                <w:lang w:val="zh-CN" w:eastAsia="zh-CN" w:bidi="ar-SA"/>
              </w:rPr>
            </w:pPr>
          </w:p>
        </w:tc>
        <w:tc>
          <w:tcPr>
            <w:tcW w:w="961" w:type="dxa"/>
            <w:vAlign w:val="top"/>
          </w:tcPr>
          <w:p>
            <w:pPr>
              <w:keepNext w:val="0"/>
              <w:keepLines w:val="0"/>
              <w:suppressLineNumbers w:val="0"/>
              <w:spacing w:before="0" w:beforeAutospacing="0" w:after="0" w:afterAutospacing="0" w:line="400" w:lineRule="exact"/>
              <w:ind w:left="0" w:leftChars="0" w:right="0" w:rightChars="0"/>
              <w:jc w:val="left"/>
              <w:rPr>
                <w:rFonts w:hint="default" w:ascii="宋体" w:hAnsi="宋体" w:eastAsia="宋体" w:cs="宋体"/>
                <w:kern w:val="2"/>
                <w:sz w:val="21"/>
                <w:szCs w:val="21"/>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2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191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外场孪生场景集成</w:t>
            </w:r>
          </w:p>
        </w:tc>
        <w:tc>
          <w:tcPr>
            <w:tcW w:w="127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详见技术要求</w:t>
            </w:r>
          </w:p>
        </w:tc>
        <w:tc>
          <w:tcPr>
            <w:tcW w:w="843"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cs="宋体"/>
                <w:szCs w:val="21"/>
                <w:lang w:val="en-US" w:eastAsia="zh-CN"/>
              </w:rPr>
            </w:pPr>
            <w:r>
              <w:rPr>
                <w:rFonts w:hint="eastAsia" w:ascii="宋体" w:hAnsi="宋体" w:cs="宋体"/>
                <w:szCs w:val="21"/>
                <w:lang w:val="en-US" w:eastAsia="zh-CN"/>
              </w:rPr>
              <w:t>1</w:t>
            </w:r>
          </w:p>
        </w:tc>
        <w:tc>
          <w:tcPr>
            <w:tcW w:w="843"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项</w:t>
            </w:r>
          </w:p>
        </w:tc>
        <w:tc>
          <w:tcPr>
            <w:tcW w:w="126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Cs w:val="21"/>
              </w:rPr>
            </w:pPr>
          </w:p>
        </w:tc>
        <w:tc>
          <w:tcPr>
            <w:tcW w:w="1381" w:type="dxa"/>
          </w:tcPr>
          <w:p>
            <w:pPr>
              <w:keepNext w:val="0"/>
              <w:keepLines w:val="0"/>
              <w:suppressLineNumbers w:val="0"/>
              <w:spacing w:before="0" w:beforeAutospacing="0" w:after="0" w:afterAutospacing="0" w:line="400" w:lineRule="exact"/>
              <w:ind w:left="0" w:right="0"/>
              <w:jc w:val="left"/>
              <w:rPr>
                <w:rFonts w:hint="default" w:ascii="宋体" w:hAnsi="宋体" w:cs="宋体"/>
                <w:szCs w:val="21"/>
              </w:rPr>
            </w:pPr>
          </w:p>
        </w:tc>
        <w:tc>
          <w:tcPr>
            <w:tcW w:w="961" w:type="dxa"/>
          </w:tcPr>
          <w:p>
            <w:pPr>
              <w:keepNext w:val="0"/>
              <w:keepLines w:val="0"/>
              <w:suppressLineNumbers w:val="0"/>
              <w:spacing w:before="0" w:beforeAutospacing="0" w:after="0" w:afterAutospacing="0" w:line="400" w:lineRule="exact"/>
              <w:ind w:left="0" w:right="0"/>
              <w:jc w:val="left"/>
              <w:rPr>
                <w:rFonts w:hint="default" w:ascii="宋体" w:hAnsi="宋体" w:cs="宋体"/>
                <w:szCs w:val="21"/>
              </w:rPr>
            </w:pPr>
          </w:p>
        </w:tc>
        <w:tc>
          <w:tcPr>
            <w:tcW w:w="961" w:type="dxa"/>
          </w:tcPr>
          <w:p>
            <w:pPr>
              <w:keepNext w:val="0"/>
              <w:keepLines w:val="0"/>
              <w:suppressLineNumbers w:val="0"/>
              <w:spacing w:before="0" w:beforeAutospacing="0" w:after="0" w:afterAutospacing="0" w:line="400" w:lineRule="exact"/>
              <w:ind w:left="0" w:right="0"/>
              <w:jc w:val="left"/>
              <w:rPr>
                <w:rFonts w:hint="default"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722"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191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全域数字孪生应用开发</w:t>
            </w:r>
          </w:p>
        </w:tc>
        <w:tc>
          <w:tcPr>
            <w:tcW w:w="127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lang w:val="en-US" w:eastAsia="zh-CN"/>
              </w:rPr>
            </w:pPr>
            <w:r>
              <w:rPr>
                <w:rFonts w:hint="eastAsia" w:ascii="宋体" w:hAnsi="宋体" w:cs="宋体"/>
                <w:szCs w:val="21"/>
                <w:lang w:val="en-US" w:eastAsia="zh-CN"/>
              </w:rPr>
              <w:t>详见技术要求</w:t>
            </w:r>
          </w:p>
        </w:tc>
        <w:tc>
          <w:tcPr>
            <w:tcW w:w="843" w:type="dxa"/>
            <w:vAlign w:val="center"/>
          </w:tcPr>
          <w:p>
            <w:pPr>
              <w:keepNext w:val="0"/>
              <w:keepLines w:val="0"/>
              <w:suppressLineNumbers w:val="0"/>
              <w:spacing w:before="0" w:beforeAutospacing="0" w:after="0" w:afterAutospacing="0" w:line="360" w:lineRule="auto"/>
              <w:ind w:left="0" w:leftChars="0" w:right="0" w:rightChars="0"/>
              <w:jc w:val="center"/>
              <w:rPr>
                <w:rFonts w:hint="eastAsia" w:ascii="宋体" w:hAnsi="宋体" w:cs="宋体"/>
                <w:szCs w:val="21"/>
                <w:lang w:val="en-US" w:eastAsia="zh-CN"/>
              </w:rPr>
            </w:pPr>
            <w:r>
              <w:rPr>
                <w:rFonts w:hint="eastAsia" w:ascii="宋体" w:hAnsi="宋体" w:cs="宋体"/>
                <w:szCs w:val="21"/>
                <w:lang w:val="en-US" w:eastAsia="zh-CN"/>
              </w:rPr>
              <w:t>1</w:t>
            </w:r>
          </w:p>
        </w:tc>
        <w:tc>
          <w:tcPr>
            <w:tcW w:w="843"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lang w:val="en-US" w:eastAsia="zh-CN"/>
              </w:rPr>
              <w:t>项</w:t>
            </w:r>
          </w:p>
        </w:tc>
        <w:tc>
          <w:tcPr>
            <w:tcW w:w="1263"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Cs w:val="21"/>
              </w:rPr>
            </w:pPr>
          </w:p>
        </w:tc>
        <w:tc>
          <w:tcPr>
            <w:tcW w:w="1381" w:type="dxa"/>
          </w:tcPr>
          <w:p>
            <w:pPr>
              <w:keepNext w:val="0"/>
              <w:keepLines w:val="0"/>
              <w:suppressLineNumbers w:val="0"/>
              <w:spacing w:before="0" w:beforeAutospacing="0" w:after="0" w:afterAutospacing="0" w:line="400" w:lineRule="exact"/>
              <w:ind w:left="0" w:right="0"/>
              <w:jc w:val="left"/>
              <w:rPr>
                <w:rFonts w:hint="default" w:ascii="宋体" w:hAnsi="宋体" w:cs="宋体"/>
                <w:szCs w:val="21"/>
              </w:rPr>
            </w:pPr>
          </w:p>
        </w:tc>
        <w:tc>
          <w:tcPr>
            <w:tcW w:w="961" w:type="dxa"/>
          </w:tcPr>
          <w:p>
            <w:pPr>
              <w:keepNext w:val="0"/>
              <w:keepLines w:val="0"/>
              <w:suppressLineNumbers w:val="0"/>
              <w:spacing w:before="0" w:beforeAutospacing="0" w:after="0" w:afterAutospacing="0" w:line="400" w:lineRule="exact"/>
              <w:ind w:left="0" w:right="0"/>
              <w:jc w:val="left"/>
              <w:rPr>
                <w:rFonts w:hint="default" w:ascii="宋体" w:hAnsi="宋体" w:cs="宋体"/>
                <w:szCs w:val="21"/>
              </w:rPr>
            </w:pPr>
          </w:p>
        </w:tc>
        <w:tc>
          <w:tcPr>
            <w:tcW w:w="961" w:type="dxa"/>
          </w:tcPr>
          <w:p>
            <w:pPr>
              <w:keepNext w:val="0"/>
              <w:keepLines w:val="0"/>
              <w:suppressLineNumbers w:val="0"/>
              <w:spacing w:before="0" w:beforeAutospacing="0" w:after="0" w:afterAutospacing="0" w:line="400" w:lineRule="exact"/>
              <w:ind w:left="0" w:right="0"/>
              <w:jc w:val="left"/>
              <w:rPr>
                <w:rFonts w:hint="default"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857" w:type="dxa"/>
            <w:gridSpan w:val="6"/>
            <w:vAlign w:val="center"/>
          </w:tcPr>
          <w:p>
            <w:pPr>
              <w:keepNext w:val="0"/>
              <w:keepLines w:val="0"/>
              <w:suppressLineNumbers w:val="0"/>
              <w:spacing w:before="0" w:beforeAutospacing="0" w:after="0" w:afterAutospacing="0" w:line="360" w:lineRule="auto"/>
              <w:ind w:left="0" w:right="0"/>
              <w:jc w:val="center"/>
              <w:rPr>
                <w:rFonts w:hint="eastAsia" w:ascii="宋体" w:hAnsi="宋体" w:cs="宋体"/>
                <w:b/>
                <w:bCs/>
                <w:szCs w:val="21"/>
                <w:lang w:val="en-US" w:eastAsia="zh-CN"/>
              </w:rPr>
            </w:pPr>
            <w:r>
              <w:rPr>
                <w:rFonts w:hint="eastAsia" w:ascii="宋体" w:hAnsi="宋体" w:cs="宋体"/>
                <w:b/>
                <w:bCs/>
                <w:szCs w:val="21"/>
                <w:lang w:val="en-US" w:eastAsia="zh-CN"/>
              </w:rPr>
              <w:t>合计（元）</w:t>
            </w:r>
          </w:p>
        </w:tc>
        <w:tc>
          <w:tcPr>
            <w:tcW w:w="1381" w:type="dxa"/>
          </w:tcPr>
          <w:p>
            <w:pPr>
              <w:keepNext w:val="0"/>
              <w:keepLines w:val="0"/>
              <w:suppressLineNumbers w:val="0"/>
              <w:spacing w:before="0" w:beforeAutospacing="0" w:after="0" w:afterAutospacing="0" w:line="400" w:lineRule="exact"/>
              <w:ind w:left="0" w:right="0"/>
              <w:jc w:val="left"/>
              <w:rPr>
                <w:rFonts w:hint="default" w:ascii="宋体" w:hAnsi="宋体" w:cs="宋体"/>
                <w:b/>
                <w:bCs/>
                <w:szCs w:val="21"/>
              </w:rPr>
            </w:pPr>
          </w:p>
        </w:tc>
        <w:tc>
          <w:tcPr>
            <w:tcW w:w="961" w:type="dxa"/>
          </w:tcPr>
          <w:p>
            <w:pPr>
              <w:keepNext w:val="0"/>
              <w:keepLines w:val="0"/>
              <w:suppressLineNumbers w:val="0"/>
              <w:spacing w:before="0" w:beforeAutospacing="0" w:after="0" w:afterAutospacing="0" w:line="400" w:lineRule="exact"/>
              <w:ind w:left="0" w:right="0"/>
              <w:jc w:val="left"/>
              <w:rPr>
                <w:rFonts w:hint="default" w:ascii="宋体" w:hAnsi="宋体" w:cs="宋体"/>
                <w:b/>
                <w:bCs/>
                <w:szCs w:val="21"/>
              </w:rPr>
            </w:pPr>
          </w:p>
        </w:tc>
        <w:tc>
          <w:tcPr>
            <w:tcW w:w="961" w:type="dxa"/>
          </w:tcPr>
          <w:p>
            <w:pPr>
              <w:keepNext w:val="0"/>
              <w:keepLines w:val="0"/>
              <w:suppressLineNumbers w:val="0"/>
              <w:spacing w:before="0" w:beforeAutospacing="0" w:after="0" w:afterAutospacing="0" w:line="400" w:lineRule="exact"/>
              <w:ind w:left="0" w:right="0"/>
              <w:jc w:val="left"/>
              <w:rPr>
                <w:rFonts w:hint="default" w:ascii="宋体" w:hAnsi="宋体" w:cs="宋体"/>
                <w:b/>
                <w:bCs/>
                <w:szCs w:val="21"/>
              </w:rPr>
            </w:pPr>
          </w:p>
        </w:tc>
      </w:tr>
    </w:tbl>
    <w:p>
      <w:pPr>
        <w:pStyle w:val="16"/>
      </w:pPr>
    </w:p>
    <w:bookmarkEnd w:id="860"/>
    <w:p>
      <w:pPr>
        <w:snapToGrid w:val="0"/>
        <w:spacing w:line="276" w:lineRule="auto"/>
        <w:ind w:firstLine="420" w:firstLineChars="200"/>
        <w:rPr>
          <w:rFonts w:ascii="宋体" w:hAnsi="宋体" w:cs="宋体"/>
          <w:szCs w:val="21"/>
        </w:rPr>
      </w:pPr>
    </w:p>
    <w:p>
      <w:pPr>
        <w:pStyle w:val="2"/>
      </w:pPr>
    </w:p>
    <w:p>
      <w:pPr>
        <w:snapToGrid w:val="0"/>
        <w:spacing w:line="276" w:lineRule="auto"/>
        <w:ind w:firstLine="420" w:firstLineChars="200"/>
        <w:rPr>
          <w:rFonts w:ascii="宋体" w:hAnsi="宋体" w:cs="宋体"/>
          <w:szCs w:val="21"/>
        </w:rPr>
      </w:pPr>
    </w:p>
    <w:p>
      <w:pPr>
        <w:spacing w:line="360" w:lineRule="auto"/>
        <w:jc w:val="left"/>
        <w:rPr>
          <w:rFonts w:ascii="宋体" w:hAnsi="宋体" w:cs="宋体"/>
          <w:color w:val="000000" w:themeColor="text1"/>
          <w:szCs w:val="21"/>
          <w14:textFill>
            <w14:solidFill>
              <w14:schemeClr w14:val="tx1"/>
            </w14:solidFill>
          </w14:textFill>
        </w:rPr>
      </w:pPr>
    </w:p>
    <w:p>
      <w:pPr>
        <w:tabs>
          <w:tab w:val="left" w:pos="900"/>
        </w:tabs>
        <w:spacing w:line="360" w:lineRule="auto"/>
        <w:ind w:firstLine="482" w:firstLineChars="200"/>
        <w:rPr>
          <w:rFonts w:ascii="Arial" w:hAnsi="Arial" w:cs="Arial"/>
          <w:b/>
          <w:color w:val="000000" w:themeColor="text1"/>
          <w:sz w:val="24"/>
          <w14:textFill>
            <w14:solidFill>
              <w14:schemeClr w14:val="tx1"/>
            </w14:solidFill>
          </w14:textFill>
        </w:rPr>
      </w:pPr>
    </w:p>
    <w:p>
      <w:pPr>
        <w:tabs>
          <w:tab w:val="left" w:pos="900"/>
        </w:tabs>
        <w:spacing w:line="360" w:lineRule="auto"/>
        <w:ind w:firstLine="482" w:firstLineChars="200"/>
        <w:rPr>
          <w:rFonts w:ascii="Arial" w:hAnsi="Arial" w:cs="Arial"/>
          <w:color w:val="000000" w:themeColor="text1"/>
          <w:sz w:val="24"/>
          <w:u w:val="single"/>
          <w14:textFill>
            <w14:solidFill>
              <w14:schemeClr w14:val="tx1"/>
            </w14:solidFill>
          </w14:textFill>
        </w:rPr>
      </w:pPr>
      <w:r>
        <w:rPr>
          <w:rFonts w:hint="eastAsia" w:ascii="Arial" w:hAnsi="Arial" w:cs="Arial"/>
          <w:b/>
          <w:color w:val="000000" w:themeColor="text1"/>
          <w:sz w:val="24"/>
          <w14:textFill>
            <w14:solidFill>
              <w14:schemeClr w14:val="tx1"/>
            </w14:solidFill>
          </w14:textFill>
        </w:rPr>
        <w:t>报价人名称（加盖公章）：</w:t>
      </w:r>
      <w:r>
        <w:rPr>
          <w:rFonts w:ascii="Arial" w:hAnsi="Arial" w:cs="Arial"/>
          <w:b/>
          <w:color w:val="000000" w:themeColor="text1"/>
          <w:sz w:val="24"/>
          <w:u w:val="single"/>
          <w14:textFill>
            <w14:solidFill>
              <w14:schemeClr w14:val="tx1"/>
            </w14:solidFill>
          </w14:textFill>
        </w:rPr>
        <w:t xml:space="preserve"> </w:t>
      </w:r>
      <w:r>
        <w:rPr>
          <w:rFonts w:ascii="Arial" w:hAnsi="Arial" w:cs="Arial"/>
          <w:color w:val="000000" w:themeColor="text1"/>
          <w:sz w:val="24"/>
          <w:u w:val="single"/>
          <w14:textFill>
            <w14:solidFill>
              <w14:schemeClr w14:val="tx1"/>
            </w14:solidFill>
          </w14:textFill>
        </w:rPr>
        <w:t xml:space="preserve">                       </w:t>
      </w:r>
    </w:p>
    <w:p>
      <w:pPr>
        <w:tabs>
          <w:tab w:val="left" w:pos="900"/>
        </w:tabs>
        <w:spacing w:line="360" w:lineRule="auto"/>
        <w:ind w:firstLine="482" w:firstLineChars="200"/>
        <w:rPr>
          <w:rFonts w:ascii="Arial" w:hAnsi="Arial" w:cs="Arial"/>
          <w:b/>
          <w:color w:val="000000" w:themeColor="text1"/>
          <w:sz w:val="24"/>
          <w14:textFill>
            <w14:solidFill>
              <w14:schemeClr w14:val="tx1"/>
            </w14:solidFill>
          </w14:textFill>
        </w:rPr>
      </w:pPr>
      <w:r>
        <w:rPr>
          <w:rFonts w:hint="eastAsia" w:ascii="Arial" w:hAnsi="Arial" w:cs="Arial"/>
          <w:b/>
          <w:color w:val="000000" w:themeColor="text1"/>
          <w:sz w:val="24"/>
          <w14:textFill>
            <w14:solidFill>
              <w14:schemeClr w14:val="tx1"/>
            </w14:solidFill>
          </w14:textFill>
        </w:rPr>
        <w:t>报价人法定代表人或授权代表人（签字）：</w:t>
      </w:r>
      <w:r>
        <w:rPr>
          <w:rFonts w:ascii="Arial" w:hAnsi="Arial" w:cs="Arial"/>
          <w:b/>
          <w:color w:val="000000" w:themeColor="text1"/>
          <w:sz w:val="24"/>
          <w:u w:val="single"/>
          <w14:textFill>
            <w14:solidFill>
              <w14:schemeClr w14:val="tx1"/>
            </w14:solidFill>
          </w14:textFill>
        </w:rPr>
        <w:t xml:space="preserve">               </w:t>
      </w:r>
    </w:p>
    <w:p>
      <w:pPr>
        <w:tabs>
          <w:tab w:val="left" w:pos="900"/>
        </w:tabs>
        <w:spacing w:line="360" w:lineRule="auto"/>
        <w:ind w:firstLine="480" w:firstLineChars="200"/>
        <w:rPr>
          <w:rFonts w:ascii="宋体" w:hAnsi="宋体" w:cs="宋体"/>
          <w:kern w:val="0"/>
          <w:szCs w:val="21"/>
        </w:rPr>
      </w:pPr>
      <w:r>
        <w:rPr>
          <w:rFonts w:hint="eastAsia" w:ascii="Arial" w:hAnsi="Arial" w:cs="Arial"/>
          <w:color w:val="000000" w:themeColor="text1"/>
          <w:sz w:val="24"/>
          <w14:textFill>
            <w14:solidFill>
              <w14:schemeClr w14:val="tx1"/>
            </w14:solidFill>
          </w14:textFill>
        </w:rPr>
        <w:t>日期：</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年</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月</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日</w:t>
      </w:r>
      <w:r>
        <w:rPr>
          <w:rFonts w:ascii="Arial" w:hAnsi="Arial" w:cs="Arial"/>
          <w:color w:val="000000" w:themeColor="text1"/>
          <w:sz w:val="24"/>
          <w14:textFill>
            <w14:solidFill>
              <w14:schemeClr w14:val="tx1"/>
            </w14:solidFill>
          </w14:textFill>
        </w:rPr>
        <w:t xml:space="preserve"> </w:t>
      </w:r>
    </w:p>
    <w:p>
      <w:pPr>
        <w:pStyle w:val="2"/>
        <w:rPr>
          <w:rFonts w:ascii="宋体" w:hAnsi="宋体" w:cs="宋体"/>
          <w:kern w:val="0"/>
          <w:szCs w:val="21"/>
        </w:rPr>
      </w:pPr>
    </w:p>
    <w:p/>
    <w:p>
      <w:pPr>
        <w:widowControl/>
        <w:jc w:val="left"/>
        <w:rPr>
          <w:rFonts w:ascii="Calibri" w:hAnsi="Calibri"/>
          <w:b/>
          <w:bCs/>
          <w:caps/>
          <w:sz w:val="20"/>
          <w:szCs w:val="20"/>
        </w:rPr>
      </w:pPr>
      <w:r>
        <w:br w:type="page"/>
      </w:r>
    </w:p>
    <w:p>
      <w:pPr>
        <w:pStyle w:val="4"/>
        <w:spacing w:before="0" w:after="0" w:line="360" w:lineRule="auto"/>
        <w:jc w:val="center"/>
        <w:rPr>
          <w:rFonts w:ascii="宋体" w:hAnsi="宋体" w:eastAsia="宋体" w:cs="宋体"/>
          <w:sz w:val="28"/>
        </w:rPr>
      </w:pPr>
      <w:bookmarkStart w:id="861" w:name="_Toc12910"/>
      <w:bookmarkStart w:id="862" w:name="_Toc11329278"/>
      <w:bookmarkStart w:id="863" w:name="_Toc19207"/>
      <w:bookmarkStart w:id="864" w:name="_Toc503951050"/>
      <w:bookmarkStart w:id="865" w:name="_Toc513633971"/>
      <w:bookmarkStart w:id="866" w:name="_Toc29310"/>
      <w:bookmarkStart w:id="867" w:name="_Toc11961"/>
      <w:bookmarkStart w:id="868" w:name="_Toc18757"/>
      <w:bookmarkStart w:id="869" w:name="_Toc144974871"/>
      <w:bookmarkStart w:id="870" w:name="_Toc152045803"/>
      <w:bookmarkStart w:id="871" w:name="_Toc246997112"/>
      <w:bookmarkStart w:id="872" w:name="_Toc152042592"/>
      <w:bookmarkStart w:id="873" w:name="_Toc447827058"/>
      <w:bookmarkStart w:id="874" w:name="_Toc247085887"/>
      <w:bookmarkStart w:id="875" w:name="_Toc179632823"/>
      <w:bookmarkStart w:id="876" w:name="_Toc246996369"/>
      <w:r>
        <w:rPr>
          <w:rFonts w:hint="eastAsia" w:ascii="宋体" w:hAnsi="宋体" w:eastAsia="宋体" w:cs="宋体"/>
          <w:sz w:val="28"/>
          <w:lang w:val="en-US" w:eastAsia="zh-CN"/>
        </w:rPr>
        <w:t>四</w:t>
      </w:r>
      <w:r>
        <w:rPr>
          <w:rFonts w:hint="eastAsia" w:ascii="宋体" w:hAnsi="宋体" w:eastAsia="宋体" w:cs="宋体"/>
          <w:sz w:val="28"/>
        </w:rPr>
        <w:t>、审查资料</w:t>
      </w:r>
      <w:bookmarkEnd w:id="861"/>
      <w:bookmarkEnd w:id="862"/>
      <w:bookmarkEnd w:id="863"/>
      <w:bookmarkEnd w:id="864"/>
      <w:bookmarkEnd w:id="865"/>
      <w:bookmarkEnd w:id="866"/>
      <w:bookmarkEnd w:id="867"/>
      <w:bookmarkEnd w:id="868"/>
    </w:p>
    <w:p>
      <w:pPr>
        <w:spacing w:line="360" w:lineRule="auto"/>
        <w:jc w:val="center"/>
        <w:outlineLvl w:val="1"/>
        <w:rPr>
          <w:rFonts w:ascii="宋体" w:hAnsi="宋体" w:cs="宋体"/>
          <w:b/>
          <w:bCs/>
          <w:kern w:val="0"/>
          <w:sz w:val="28"/>
          <w:szCs w:val="32"/>
        </w:rPr>
      </w:pPr>
      <w:bookmarkStart w:id="877" w:name="_Toc26946"/>
      <w:r>
        <w:rPr>
          <w:rFonts w:hint="eastAsia" w:ascii="宋体" w:hAnsi="宋体" w:cs="宋体"/>
          <w:b/>
          <w:bCs/>
          <w:kern w:val="0"/>
          <w:sz w:val="28"/>
          <w:szCs w:val="32"/>
        </w:rPr>
        <w:t>（一）资格</w:t>
      </w:r>
      <w:r>
        <w:rPr>
          <w:rFonts w:hint="eastAsia" w:ascii="宋体" w:hAnsi="宋体" w:cs="宋体"/>
          <w:b/>
          <w:bCs/>
          <w:kern w:val="0"/>
          <w:sz w:val="28"/>
          <w:szCs w:val="32"/>
          <w:lang w:val="en-US" w:eastAsia="zh-CN"/>
        </w:rPr>
        <w:t>审查</w:t>
      </w:r>
      <w:r>
        <w:rPr>
          <w:rFonts w:hint="eastAsia" w:ascii="宋体" w:hAnsi="宋体" w:cs="宋体"/>
          <w:b/>
          <w:bCs/>
          <w:kern w:val="0"/>
          <w:sz w:val="28"/>
          <w:szCs w:val="32"/>
        </w:rPr>
        <w:t>条件</w:t>
      </w:r>
      <w:bookmarkEnd w:id="877"/>
    </w:p>
    <w:p/>
    <w:bookmarkEnd w:id="869"/>
    <w:bookmarkEnd w:id="870"/>
    <w:bookmarkEnd w:id="871"/>
    <w:bookmarkEnd w:id="872"/>
    <w:bookmarkEnd w:id="873"/>
    <w:bookmarkEnd w:id="874"/>
    <w:bookmarkEnd w:id="875"/>
    <w:bookmarkEnd w:id="876"/>
    <w:p>
      <w:bookmarkStart w:id="878" w:name="_Toc503951055"/>
      <w:bookmarkStart w:id="879" w:name="_Toc447827068"/>
      <w:bookmarkStart w:id="880" w:name="_Toc513633973"/>
    </w:p>
    <w:p>
      <w:pPr>
        <w:spacing w:line="360" w:lineRule="auto"/>
        <w:jc w:val="center"/>
        <w:outlineLvl w:val="1"/>
        <w:rPr>
          <w:rFonts w:ascii="宋体" w:hAnsi="宋体" w:cs="宋体"/>
          <w:b/>
          <w:bCs/>
          <w:color w:val="000000" w:themeColor="text1"/>
          <w:sz w:val="24"/>
          <w:szCs w:val="28"/>
          <w14:textFill>
            <w14:solidFill>
              <w14:schemeClr w14:val="tx1"/>
            </w14:solidFill>
          </w14:textFill>
        </w:rPr>
      </w:pPr>
      <w:bookmarkStart w:id="881" w:name="_Toc11672"/>
      <w:bookmarkStart w:id="882" w:name="_Toc11329281"/>
      <w:r>
        <w:rPr>
          <w:rFonts w:hint="eastAsia" w:ascii="宋体" w:hAnsi="宋体" w:cs="宋体"/>
          <w:sz w:val="28"/>
        </w:rPr>
        <w:br w:type="page"/>
      </w:r>
      <w:bookmarkStart w:id="883" w:name="_Toc8299"/>
      <w:bookmarkStart w:id="884" w:name="_Toc29559"/>
      <w:bookmarkStart w:id="885" w:name="_Toc4378"/>
      <w:bookmarkStart w:id="886" w:name="_Toc11243"/>
      <w:r>
        <w:rPr>
          <w:rFonts w:hint="eastAsia" w:ascii="宋体" w:hAnsi="宋体" w:cs="宋体"/>
          <w:b/>
          <w:bCs/>
          <w:kern w:val="0"/>
          <w:sz w:val="28"/>
          <w:szCs w:val="32"/>
        </w:rPr>
        <w:t>（二）商务及技术评分资料</w:t>
      </w:r>
      <w:bookmarkEnd w:id="883"/>
    </w:p>
    <w:p>
      <w:pPr>
        <w:pStyle w:val="171"/>
        <w:ind w:firstLine="480"/>
        <w:jc w:val="center"/>
        <w:rPr>
          <w:b/>
        </w:rPr>
      </w:pPr>
      <w:bookmarkStart w:id="887" w:name="OLE_LINK34"/>
      <w:r>
        <w:rPr>
          <w:rFonts w:hint="eastAsia"/>
        </w:rPr>
        <w:t>商务及技术部分</w:t>
      </w:r>
      <w:bookmarkEnd w:id="887"/>
      <w:r>
        <w:rPr>
          <w:rFonts w:hint="eastAsia"/>
        </w:rPr>
        <w:t>资料目录</w:t>
      </w:r>
    </w:p>
    <w:tbl>
      <w:tblPr>
        <w:tblStyle w:val="42"/>
        <w:tblW w:w="9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435"/>
        <w:gridCol w:w="2492"/>
        <w:gridCol w:w="1736"/>
        <w:gridCol w:w="1395"/>
        <w:gridCol w:w="1052"/>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588" w:type="dxa"/>
            <w:vAlign w:val="center"/>
          </w:tcPr>
          <w:p>
            <w:pPr>
              <w:pStyle w:val="170"/>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序号</w:t>
            </w:r>
          </w:p>
        </w:tc>
        <w:tc>
          <w:tcPr>
            <w:tcW w:w="1435" w:type="dxa"/>
            <w:vAlign w:val="center"/>
          </w:tcPr>
          <w:p>
            <w:pPr>
              <w:pStyle w:val="170"/>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bCs/>
                <w:sz w:val="18"/>
                <w:szCs w:val="18"/>
              </w:rPr>
              <w:t>对应评分标准</w:t>
            </w:r>
          </w:p>
        </w:tc>
        <w:tc>
          <w:tcPr>
            <w:tcW w:w="2492" w:type="dxa"/>
            <w:vAlign w:val="center"/>
          </w:tcPr>
          <w:p>
            <w:pPr>
              <w:pStyle w:val="170"/>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对应评分细则</w:t>
            </w:r>
          </w:p>
        </w:tc>
        <w:tc>
          <w:tcPr>
            <w:tcW w:w="1736" w:type="dxa"/>
            <w:vAlign w:val="center"/>
          </w:tcPr>
          <w:p>
            <w:pPr>
              <w:pStyle w:val="170"/>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证明材料名称</w:t>
            </w:r>
          </w:p>
        </w:tc>
        <w:tc>
          <w:tcPr>
            <w:tcW w:w="1395" w:type="dxa"/>
            <w:vAlign w:val="center"/>
          </w:tcPr>
          <w:p>
            <w:pPr>
              <w:pStyle w:val="170"/>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lang w:val="en-US" w:eastAsia="zh-CN"/>
              </w:rPr>
            </w:pPr>
            <w:r>
              <w:rPr>
                <w:rFonts w:hint="eastAsia" w:asciiTheme="minorEastAsia" w:hAnsiTheme="minorEastAsia" w:eastAsiaTheme="minorEastAsia" w:cstheme="minorEastAsia"/>
                <w:b w:val="0"/>
                <w:kern w:val="0"/>
                <w:sz w:val="18"/>
                <w:szCs w:val="18"/>
                <w:lang w:val="en-US" w:eastAsia="zh-CN"/>
              </w:rPr>
              <w:t>应加分数</w:t>
            </w:r>
          </w:p>
        </w:tc>
        <w:tc>
          <w:tcPr>
            <w:tcW w:w="1052" w:type="dxa"/>
            <w:vAlign w:val="center"/>
          </w:tcPr>
          <w:p>
            <w:pPr>
              <w:pStyle w:val="170"/>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lang w:val="en-US" w:eastAsia="zh-CN"/>
              </w:rPr>
            </w:pPr>
            <w:r>
              <w:rPr>
                <w:rFonts w:hint="eastAsia" w:asciiTheme="minorEastAsia" w:hAnsiTheme="minorEastAsia" w:eastAsiaTheme="minorEastAsia" w:cstheme="minorEastAsia"/>
                <w:b w:val="0"/>
                <w:kern w:val="0"/>
                <w:sz w:val="18"/>
                <w:szCs w:val="18"/>
              </w:rPr>
              <w:t>证明材料对应编号</w:t>
            </w:r>
          </w:p>
        </w:tc>
        <w:tc>
          <w:tcPr>
            <w:tcW w:w="998" w:type="dxa"/>
            <w:vAlign w:val="center"/>
          </w:tcPr>
          <w:p>
            <w:pPr>
              <w:pStyle w:val="170"/>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val="0"/>
                <w:kern w:val="0"/>
                <w:sz w:val="18"/>
                <w:szCs w:val="18"/>
                <w:lang w:val="en-US" w:eastAsia="zh-CN"/>
              </w:rPr>
            </w:pPr>
            <w:r>
              <w:rPr>
                <w:rFonts w:hint="eastAsia" w:asciiTheme="minorEastAsia" w:hAnsiTheme="minorEastAsia" w:eastAsiaTheme="minorEastAsia" w:cstheme="minorEastAsia"/>
                <w:b w:val="0"/>
                <w:kern w:val="0"/>
                <w:sz w:val="18"/>
                <w:szCs w:val="18"/>
                <w:lang w:val="en-US" w:eastAsia="zh-CN"/>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88" w:type="dxa"/>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例</w:t>
            </w:r>
          </w:p>
        </w:tc>
        <w:tc>
          <w:tcPr>
            <w:tcW w:w="1435"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rPr>
            </w:pPr>
          </w:p>
        </w:tc>
        <w:tc>
          <w:tcPr>
            <w:tcW w:w="2492"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rPr>
            </w:pPr>
          </w:p>
        </w:tc>
        <w:tc>
          <w:tcPr>
            <w:tcW w:w="1736"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rPr>
            </w:pPr>
          </w:p>
        </w:tc>
        <w:tc>
          <w:tcPr>
            <w:tcW w:w="1395"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rPr>
            </w:pPr>
          </w:p>
        </w:tc>
        <w:tc>
          <w:tcPr>
            <w:tcW w:w="1052"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rPr>
            </w:pPr>
          </w:p>
        </w:tc>
        <w:tc>
          <w:tcPr>
            <w:tcW w:w="998"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88"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435"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b/>
                <w:sz w:val="18"/>
                <w:szCs w:val="18"/>
              </w:rPr>
            </w:pPr>
            <w:r>
              <w:rPr>
                <w:rFonts w:hint="eastAsia" w:asciiTheme="minorEastAsia" w:hAnsiTheme="minorEastAsia" w:eastAsiaTheme="minorEastAsia" w:cstheme="minorEastAsia"/>
                <w:sz w:val="18"/>
                <w:szCs w:val="18"/>
              </w:rPr>
              <w:t>项目团队</w:t>
            </w:r>
          </w:p>
        </w:tc>
        <w:tc>
          <w:tcPr>
            <w:tcW w:w="2492"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团队成员均为本科及以上学历</w:t>
            </w:r>
          </w:p>
        </w:tc>
        <w:tc>
          <w:tcPr>
            <w:tcW w:w="1736"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证书复印件</w:t>
            </w:r>
          </w:p>
        </w:tc>
        <w:tc>
          <w:tcPr>
            <w:tcW w:w="1395"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1分</w:t>
            </w:r>
          </w:p>
        </w:tc>
        <w:tc>
          <w:tcPr>
            <w:tcW w:w="1052"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证明材料1</w:t>
            </w:r>
          </w:p>
        </w:tc>
        <w:tc>
          <w:tcPr>
            <w:tcW w:w="998" w:type="dxa"/>
            <w:vAlign w:val="center"/>
          </w:tcPr>
          <w:p>
            <w:pPr>
              <w:keepNext w:val="0"/>
              <w:keepLines w:val="0"/>
              <w:suppressLineNumbers w:val="0"/>
              <w:snapToGrid w:val="0"/>
              <w:spacing w:before="0" w:beforeAutospacing="0" w:after="0" w:afterAutospacing="0" w:line="400" w:lineRule="exact"/>
              <w:ind w:left="0" w:right="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bl>
    <w:p/>
    <w:p/>
    <w:p/>
    <w:p>
      <w:pPr>
        <w:widowControl/>
        <w:jc w:val="left"/>
      </w:pPr>
      <w:r>
        <w:br w:type="page"/>
      </w:r>
    </w:p>
    <w:p>
      <w:pPr>
        <w:spacing w:line="360" w:lineRule="auto"/>
        <w:jc w:val="center"/>
        <w:outlineLvl w:val="1"/>
        <w:rPr>
          <w:rFonts w:ascii="宋体" w:hAnsi="宋体" w:cs="宋体"/>
          <w:b/>
          <w:bCs/>
          <w:kern w:val="0"/>
          <w:sz w:val="28"/>
          <w:szCs w:val="32"/>
        </w:rPr>
      </w:pPr>
      <w:r>
        <w:rPr>
          <w:rFonts w:hint="eastAsia" w:ascii="宋体" w:hAnsi="宋体" w:cs="宋体"/>
          <w:b/>
          <w:bCs/>
          <w:kern w:val="0"/>
          <w:sz w:val="28"/>
          <w:szCs w:val="32"/>
        </w:rPr>
        <w:t>（三）技术方案</w:t>
      </w:r>
    </w:p>
    <w:p>
      <w:pPr>
        <w:pStyle w:val="171"/>
        <w:ind w:firstLine="480"/>
      </w:pPr>
    </w:p>
    <w:p>
      <w:pPr>
        <w:rPr>
          <w:rFonts w:ascii="宋体" w:hAnsi="宋体" w:cs="宋体"/>
          <w:sz w:val="28"/>
        </w:rPr>
      </w:pPr>
    </w:p>
    <w:p>
      <w:pPr>
        <w:pStyle w:val="2"/>
        <w:rPr>
          <w:rFonts w:ascii="宋体" w:hAnsi="宋体" w:cs="宋体"/>
          <w:sz w:val="28"/>
        </w:rPr>
      </w:pPr>
    </w:p>
    <w:p>
      <w:pPr>
        <w:rPr>
          <w:rFonts w:ascii="宋体" w:hAnsi="宋体" w:cs="宋体"/>
          <w:sz w:val="28"/>
        </w:rPr>
      </w:pPr>
    </w:p>
    <w:p>
      <w:pPr>
        <w:pStyle w:val="2"/>
        <w:rPr>
          <w:rFonts w:ascii="宋体" w:hAnsi="宋体" w:cs="宋体"/>
          <w:sz w:val="28"/>
        </w:rPr>
      </w:pPr>
    </w:p>
    <w:p>
      <w:pPr>
        <w:rPr>
          <w:rFonts w:ascii="宋体" w:hAnsi="宋体" w:cs="宋体"/>
          <w:sz w:val="28"/>
        </w:rPr>
      </w:pPr>
    </w:p>
    <w:p>
      <w:pPr>
        <w:pStyle w:val="2"/>
        <w:rPr>
          <w:rFonts w:ascii="宋体" w:hAnsi="宋体" w:cs="宋体"/>
          <w:sz w:val="28"/>
        </w:rPr>
      </w:pPr>
    </w:p>
    <w:p>
      <w:pPr>
        <w:rPr>
          <w:rFonts w:ascii="宋体" w:hAnsi="宋体" w:cs="宋体"/>
          <w:sz w:val="28"/>
        </w:rPr>
      </w:pPr>
    </w:p>
    <w:p>
      <w:pPr>
        <w:pStyle w:val="2"/>
        <w:rPr>
          <w:rFonts w:ascii="宋体" w:hAnsi="宋体" w:cs="宋体"/>
          <w:sz w:val="28"/>
        </w:rPr>
      </w:pPr>
    </w:p>
    <w:p>
      <w:pPr>
        <w:rPr>
          <w:rFonts w:ascii="宋体" w:hAnsi="宋体" w:cs="宋体"/>
          <w:sz w:val="28"/>
        </w:rPr>
      </w:pPr>
    </w:p>
    <w:p>
      <w:pPr>
        <w:pStyle w:val="2"/>
        <w:rPr>
          <w:rFonts w:ascii="宋体" w:hAnsi="宋体" w:cs="宋体"/>
          <w:sz w:val="28"/>
        </w:rPr>
      </w:pPr>
    </w:p>
    <w:p>
      <w:pPr>
        <w:rPr>
          <w:rFonts w:ascii="宋体" w:hAnsi="宋体" w:cs="宋体"/>
          <w:sz w:val="28"/>
        </w:rPr>
      </w:pPr>
    </w:p>
    <w:p>
      <w:pPr>
        <w:pStyle w:val="2"/>
        <w:rPr>
          <w:rFonts w:ascii="宋体" w:hAnsi="宋体" w:cs="宋体"/>
          <w:sz w:val="28"/>
        </w:rPr>
      </w:pPr>
    </w:p>
    <w:p>
      <w:pPr>
        <w:widowControl/>
        <w:jc w:val="left"/>
        <w:rPr>
          <w:rFonts w:ascii="宋体" w:hAnsi="宋体" w:cs="宋体"/>
          <w:sz w:val="28"/>
        </w:rPr>
      </w:pPr>
      <w:bookmarkStart w:id="888" w:name="_Toc5446"/>
      <w:r>
        <w:rPr>
          <w:rFonts w:ascii="宋体" w:hAnsi="宋体" w:cs="宋体"/>
          <w:b/>
          <w:bCs/>
          <w:sz w:val="28"/>
        </w:rPr>
        <w:br w:type="page"/>
      </w:r>
    </w:p>
    <w:bookmarkEnd w:id="878"/>
    <w:bookmarkEnd w:id="879"/>
    <w:bookmarkEnd w:id="880"/>
    <w:bookmarkEnd w:id="881"/>
    <w:bookmarkEnd w:id="882"/>
    <w:bookmarkEnd w:id="884"/>
    <w:bookmarkEnd w:id="885"/>
    <w:bookmarkEnd w:id="886"/>
    <w:bookmarkEnd w:id="888"/>
    <w:p>
      <w:pPr>
        <w:pStyle w:val="4"/>
        <w:widowControl/>
        <w:spacing w:before="0" w:beforeAutospacing="0" w:after="0" w:afterAutospacing="0" w:line="360" w:lineRule="auto"/>
        <w:jc w:val="center"/>
        <w:rPr>
          <w:rFonts w:hint="eastAsia" w:ascii="宋体" w:hAnsi="宋体" w:eastAsia="宋体" w:cs="宋体"/>
          <w:b/>
          <w:kern w:val="0"/>
          <w:sz w:val="28"/>
          <w:szCs w:val="28"/>
        </w:rPr>
      </w:pPr>
      <w:bookmarkStart w:id="889" w:name="_Toc513633974"/>
      <w:bookmarkStart w:id="890" w:name="_Toc503951058"/>
      <w:r>
        <w:rPr>
          <w:rFonts w:hint="eastAsia" w:ascii="宋体" w:hAnsi="宋体" w:eastAsia="宋体" w:cs="宋体"/>
          <w:b/>
          <w:kern w:val="0"/>
          <w:sz w:val="28"/>
          <w:szCs w:val="28"/>
        </w:rPr>
        <w:t>五、报价人承诺</w:t>
      </w:r>
    </w:p>
    <w:p>
      <w:pPr>
        <w:pStyle w:val="36"/>
        <w:keepNext w:val="0"/>
        <w:keepLines w:val="0"/>
        <w:widowControl w:val="0"/>
        <w:suppressLineNumbers w:val="0"/>
        <w:spacing w:before="0" w:beforeAutospacing="1" w:after="120" w:afterAutospacing="0"/>
        <w:ind w:left="0" w:right="0"/>
        <w:jc w:val="both"/>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bidi="ar"/>
        </w:rPr>
        <w:t xml:space="preserve"> </w:t>
      </w:r>
    </w:p>
    <w:p>
      <w:pPr>
        <w:pStyle w:val="36"/>
        <w:keepNext w:val="0"/>
        <w:keepLines w:val="0"/>
        <w:widowControl w:val="0"/>
        <w:suppressLineNumbers w:val="0"/>
        <w:spacing w:before="0" w:beforeAutospacing="0" w:after="0" w:afterAutospacing="0" w:line="480" w:lineRule="auto"/>
        <w:ind w:left="0" w:right="0"/>
        <w:jc w:val="both"/>
        <w:rPr>
          <w:rFonts w:hint="eastAsia" w:ascii="宋体" w:hAnsi="宋体" w:eastAsia="宋体" w:cs="Arial"/>
          <w:b/>
          <w:color w:val="000000"/>
          <w:kern w:val="2"/>
          <w:sz w:val="24"/>
          <w:szCs w:val="24"/>
        </w:rPr>
      </w:pPr>
      <w:r>
        <w:rPr>
          <w:rFonts w:hint="eastAsia" w:ascii="宋体" w:hAnsi="宋体" w:eastAsia="宋体" w:cs="宋体"/>
          <w:b/>
          <w:color w:val="000000"/>
          <w:kern w:val="2"/>
          <w:sz w:val="24"/>
          <w:szCs w:val="24"/>
          <w:lang w:val="en-US" w:eastAsia="zh-CN" w:bidi="ar"/>
        </w:rPr>
        <w:t>致：</w:t>
      </w:r>
      <w:r>
        <w:rPr>
          <w:rFonts w:hint="eastAsia" w:ascii="宋体" w:hAnsi="宋体" w:eastAsia="宋体" w:cs="宋体"/>
          <w:b/>
          <w:color w:val="000000"/>
          <w:kern w:val="2"/>
          <w:sz w:val="24"/>
          <w:szCs w:val="24"/>
          <w:u w:val="single"/>
          <w:lang w:val="en-US" w:eastAsia="zh-CN" w:bidi="ar"/>
        </w:rPr>
        <w:t>重庆首讯科技股份有限公司</w:t>
      </w: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 xml:space="preserve"> </w:t>
      </w:r>
    </w:p>
    <w:p>
      <w:pPr>
        <w:keepNext w:val="0"/>
        <w:keepLines w:val="0"/>
        <w:widowControl w:val="0"/>
        <w:suppressLineNumbers w:val="0"/>
        <w:autoSpaceDE w:val="0"/>
        <w:autoSpaceDN w:val="0"/>
        <w:adjustRightInd w:val="0"/>
        <w:snapToGrid w:val="0"/>
        <w:spacing w:before="0" w:beforeAutospacing="0" w:after="0" w:afterAutospacing="0" w:line="480" w:lineRule="auto"/>
        <w:ind w:left="0" w:right="0" w:firstLine="480" w:firstLineChars="200"/>
        <w:jc w:val="both"/>
        <w:rPr>
          <w:rFonts w:hint="eastAsia" w:ascii="宋体" w:hAnsi="宋体" w:eastAsia="宋体" w:cs="Times New Roman"/>
          <w:color w:val="000000"/>
          <w:kern w:val="2"/>
          <w:sz w:val="24"/>
          <w:szCs w:val="24"/>
        </w:rPr>
      </w:pPr>
      <w:r>
        <w:rPr>
          <w:rFonts w:hint="eastAsia" w:ascii="宋体" w:hAnsi="宋体" w:eastAsia="宋体" w:cs="宋体"/>
          <w:color w:val="000000"/>
          <w:kern w:val="2"/>
          <w:sz w:val="24"/>
          <w:szCs w:val="24"/>
          <w:lang w:val="en-US" w:eastAsia="zh-CN" w:bidi="ar"/>
        </w:rPr>
        <w:t>在研究</w:t>
      </w:r>
      <w:r>
        <w:rPr>
          <w:rFonts w:hint="eastAsia" w:ascii="宋体" w:hAnsi="宋体" w:eastAsia="宋体" w:cs="Times New Roman"/>
          <w:color w:val="000000"/>
          <w:kern w:val="2"/>
          <w:sz w:val="24"/>
          <w:szCs w:val="24"/>
          <w:u w:val="single"/>
          <w:lang w:val="en-US" w:eastAsia="zh-CN" w:bidi="ar"/>
        </w:rPr>
        <w:t>XXXX   项目</w:t>
      </w:r>
      <w:r>
        <w:rPr>
          <w:rFonts w:hint="eastAsia" w:ascii="宋体" w:hAnsi="宋体" w:eastAsia="宋体" w:cs="宋体"/>
          <w:color w:val="000000"/>
          <w:kern w:val="2"/>
          <w:sz w:val="24"/>
          <w:szCs w:val="24"/>
          <w:lang w:val="en-US" w:eastAsia="zh-CN" w:bidi="ar"/>
        </w:rPr>
        <w:t>竞争比选文件后，在此郑重承诺我司</w:t>
      </w:r>
      <w:r>
        <w:rPr>
          <w:rFonts w:hint="eastAsia" w:ascii="宋体" w:hAnsi="宋体" w:cs="宋体"/>
          <w:color w:val="000000"/>
          <w:kern w:val="2"/>
          <w:sz w:val="24"/>
          <w:szCs w:val="24"/>
          <w:lang w:val="en-US" w:eastAsia="zh-CN" w:bidi="ar"/>
        </w:rPr>
        <w:t>满足本项目一切工期、质量及安全等相关要求，响应比选函的一切内容</w:t>
      </w:r>
      <w:r>
        <w:rPr>
          <w:rFonts w:hint="eastAsia" w:ascii="宋体" w:hAnsi="宋体" w:eastAsia="宋体" w:cs="宋体"/>
          <w:color w:val="000000"/>
          <w:kern w:val="2"/>
          <w:sz w:val="24"/>
          <w:szCs w:val="24"/>
          <w:lang w:val="en-US" w:eastAsia="zh-CN" w:bidi="ar"/>
        </w:rPr>
        <w:t>，</w:t>
      </w:r>
      <w:r>
        <w:rPr>
          <w:rFonts w:hint="eastAsia" w:ascii="宋体" w:hAnsi="宋体" w:cs="宋体"/>
          <w:color w:val="000000"/>
          <w:kern w:val="2"/>
          <w:sz w:val="24"/>
          <w:szCs w:val="24"/>
          <w:lang w:val="en-US" w:eastAsia="zh-CN" w:bidi="ar"/>
        </w:rPr>
        <w:t>同时申明将按照业主要求组建项目团队。</w:t>
      </w:r>
      <w:r>
        <w:rPr>
          <w:rFonts w:hint="eastAsia" w:ascii="宋体" w:hAnsi="宋体" w:eastAsia="宋体" w:cs="宋体"/>
          <w:color w:val="000000"/>
          <w:kern w:val="2"/>
          <w:sz w:val="24"/>
          <w:szCs w:val="24"/>
          <w:lang w:val="en-US" w:eastAsia="zh-CN" w:bidi="ar"/>
        </w:rPr>
        <w:t>若我司中标本项目且</w:t>
      </w:r>
      <w:r>
        <w:rPr>
          <w:rFonts w:hint="eastAsia" w:ascii="宋体" w:hAnsi="宋体" w:cs="宋体"/>
          <w:color w:val="000000"/>
          <w:kern w:val="2"/>
          <w:sz w:val="24"/>
          <w:szCs w:val="24"/>
          <w:lang w:val="en-US" w:eastAsia="zh-CN" w:bidi="ar"/>
        </w:rPr>
        <w:t>无法满足业主相关需求</w:t>
      </w:r>
      <w:r>
        <w:rPr>
          <w:rFonts w:hint="eastAsia" w:ascii="宋体" w:hAnsi="宋体" w:eastAsia="宋体" w:cs="宋体"/>
          <w:color w:val="000000"/>
          <w:kern w:val="2"/>
          <w:sz w:val="24"/>
          <w:szCs w:val="24"/>
          <w:lang w:val="en-US" w:eastAsia="zh-CN" w:bidi="ar"/>
        </w:rPr>
        <w:t>，我司愿承担由此给采购人造成的一切损失。</w:t>
      </w:r>
    </w:p>
    <w:p>
      <w:pPr>
        <w:pStyle w:val="36"/>
        <w:keepNext w:val="0"/>
        <w:keepLines w:val="0"/>
        <w:widowControl w:val="0"/>
        <w:suppressLineNumbers w:val="0"/>
        <w:spacing w:before="0" w:beforeAutospacing="1" w:after="120" w:afterAutospacing="0" w:line="480" w:lineRule="auto"/>
        <w:ind w:left="0" w:right="0"/>
        <w:jc w:val="both"/>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lang w:val="en-US" w:eastAsia="zh-CN" w:bidi="ar"/>
        </w:rPr>
        <w:t xml:space="preserve"> </w:t>
      </w:r>
    </w:p>
    <w:p>
      <w:pPr>
        <w:keepNext w:val="0"/>
        <w:keepLines w:val="0"/>
        <w:widowControl w:val="0"/>
        <w:suppressLineNumbers w:val="0"/>
        <w:spacing w:before="0" w:beforeAutospacing="0" w:after="0" w:afterAutospacing="0" w:line="480" w:lineRule="auto"/>
        <w:ind w:left="0" w:right="0"/>
        <w:jc w:val="both"/>
        <w:rPr>
          <w:rFonts w:hint="eastAsia" w:ascii="宋体" w:hAnsi="宋体" w:eastAsia="宋体" w:cs="Times New Roman"/>
          <w:color w:val="000000"/>
          <w:kern w:val="2"/>
          <w:sz w:val="24"/>
          <w:szCs w:val="24"/>
        </w:rPr>
      </w:pPr>
      <w:r>
        <w:rPr>
          <w:rFonts w:hint="eastAsia" w:ascii="宋体" w:hAnsi="宋体" w:eastAsia="宋体" w:cs="Times New Roman"/>
          <w:color w:val="000000"/>
          <w:kern w:val="2"/>
          <w:sz w:val="24"/>
          <w:szCs w:val="24"/>
          <w:lang w:val="en-US" w:eastAsia="zh-CN" w:bidi="ar"/>
        </w:rPr>
        <w:t xml:space="preserve"> </w:t>
      </w:r>
    </w:p>
    <w:p>
      <w:pPr>
        <w:pStyle w:val="36"/>
        <w:keepNext w:val="0"/>
        <w:keepLines w:val="0"/>
        <w:widowControl w:val="0"/>
        <w:suppressLineNumbers w:val="0"/>
        <w:spacing w:before="0" w:beforeAutospacing="1" w:after="120" w:afterAutospacing="0" w:line="480" w:lineRule="auto"/>
        <w:ind w:left="0" w:right="0"/>
        <w:jc w:val="both"/>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lang w:val="en-US" w:eastAsia="zh-CN" w:bidi="ar"/>
        </w:rPr>
        <w:t xml:space="preserve"> </w:t>
      </w:r>
    </w:p>
    <w:p>
      <w:pPr>
        <w:keepNext w:val="0"/>
        <w:keepLines w:val="0"/>
        <w:widowControl w:val="0"/>
        <w:suppressLineNumbers w:val="0"/>
        <w:spacing w:before="0" w:beforeAutospacing="0" w:after="0" w:afterAutospacing="0" w:line="480" w:lineRule="auto"/>
        <w:ind w:left="0" w:right="0"/>
        <w:jc w:val="both"/>
        <w:rPr>
          <w:rFonts w:hint="eastAsia" w:ascii="宋体" w:hAnsi="宋体" w:eastAsia="宋体" w:cs="Times New Roman"/>
          <w:color w:val="000000"/>
          <w:kern w:val="2"/>
          <w:sz w:val="24"/>
          <w:szCs w:val="24"/>
        </w:rPr>
      </w:pPr>
      <w:r>
        <w:rPr>
          <w:rFonts w:hint="eastAsia" w:ascii="宋体" w:hAnsi="宋体" w:eastAsia="宋体" w:cs="Times New Roman"/>
          <w:color w:val="000000"/>
          <w:kern w:val="2"/>
          <w:sz w:val="24"/>
          <w:szCs w:val="24"/>
          <w:lang w:val="en-US" w:eastAsia="zh-CN" w:bidi="ar"/>
        </w:rPr>
        <w:t xml:space="preserve">                                        </w:t>
      </w:r>
      <w:r>
        <w:rPr>
          <w:rFonts w:hint="eastAsia" w:ascii="宋体" w:hAnsi="宋体" w:eastAsia="宋体" w:cs="宋体"/>
          <w:color w:val="000000"/>
          <w:kern w:val="2"/>
          <w:sz w:val="24"/>
          <w:szCs w:val="24"/>
          <w:lang w:val="en-US" w:eastAsia="zh-CN" w:bidi="ar"/>
        </w:rPr>
        <w:t>报价人：</w:t>
      </w:r>
      <w:r>
        <w:rPr>
          <w:rFonts w:hint="eastAsia" w:ascii="宋体" w:hAnsi="宋体" w:eastAsia="宋体" w:cs="Times New Roman"/>
          <w:color w:val="000000"/>
          <w:kern w:val="2"/>
          <w:sz w:val="24"/>
          <w:szCs w:val="24"/>
          <w:lang w:val="en-US" w:eastAsia="zh-CN" w:bidi="ar"/>
        </w:rPr>
        <w:t>XX公司</w:t>
      </w:r>
    </w:p>
    <w:p>
      <w:pPr>
        <w:pStyle w:val="36"/>
        <w:keepNext w:val="0"/>
        <w:keepLines w:val="0"/>
        <w:widowControl w:val="0"/>
        <w:suppressLineNumbers w:val="0"/>
        <w:spacing w:before="0" w:beforeAutospacing="1" w:after="120" w:afterAutospacing="0" w:line="480" w:lineRule="auto"/>
        <w:ind w:left="0" w:right="0"/>
        <w:jc w:val="both"/>
        <w:rPr>
          <w:rFonts w:hint="eastAsia" w:ascii="宋体" w:hAnsi="宋体" w:eastAsia="宋体" w:cs="宋体"/>
          <w:color w:val="000000"/>
          <w:kern w:val="0"/>
          <w:sz w:val="24"/>
          <w:szCs w:val="24"/>
          <w:lang w:val="en-US" w:eastAsia="zh-CN" w:bidi="ar"/>
        </w:rPr>
      </w:pPr>
      <w:r>
        <w:rPr>
          <w:rFonts w:hint="eastAsia" w:ascii="宋体" w:hAnsi="宋体" w:eastAsia="宋体" w:cs="Times New Roman"/>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日期：</w:t>
      </w:r>
    </w:p>
    <w:p>
      <w:pPr>
        <w:pStyle w:val="36"/>
        <w:keepNext w:val="0"/>
        <w:keepLines w:val="0"/>
        <w:widowControl w:val="0"/>
        <w:suppressLineNumbers w:val="0"/>
        <w:spacing w:before="0" w:beforeAutospacing="1" w:after="120" w:afterAutospacing="0" w:line="480" w:lineRule="auto"/>
        <w:ind w:left="0" w:right="0"/>
        <w:jc w:val="both"/>
        <w:rPr>
          <w:rFonts w:hint="eastAsia" w:ascii="宋体" w:hAnsi="宋体" w:eastAsia="宋体" w:cs="宋体"/>
          <w:color w:val="000000"/>
          <w:kern w:val="0"/>
          <w:sz w:val="24"/>
          <w:szCs w:val="24"/>
          <w:lang w:val="en-US" w:eastAsia="zh-CN" w:bidi="ar"/>
        </w:rPr>
      </w:pPr>
    </w:p>
    <w:p>
      <w:pPr>
        <w:pStyle w:val="36"/>
        <w:keepNext w:val="0"/>
        <w:keepLines w:val="0"/>
        <w:widowControl w:val="0"/>
        <w:suppressLineNumbers w:val="0"/>
        <w:spacing w:before="0" w:beforeAutospacing="1" w:after="120" w:afterAutospacing="0" w:line="480" w:lineRule="auto"/>
        <w:ind w:left="0" w:right="0"/>
        <w:jc w:val="both"/>
        <w:rPr>
          <w:rFonts w:hint="eastAsia" w:ascii="宋体" w:hAnsi="宋体" w:eastAsia="宋体" w:cs="宋体"/>
          <w:color w:val="000000"/>
          <w:kern w:val="0"/>
          <w:sz w:val="24"/>
          <w:szCs w:val="24"/>
          <w:lang w:val="en-US" w:eastAsia="zh-CN" w:bidi="ar"/>
        </w:rPr>
      </w:pPr>
    </w:p>
    <w:p>
      <w:pPr>
        <w:pStyle w:val="36"/>
        <w:keepNext w:val="0"/>
        <w:keepLines w:val="0"/>
        <w:widowControl w:val="0"/>
        <w:suppressLineNumbers w:val="0"/>
        <w:spacing w:before="0" w:beforeAutospacing="1" w:after="120" w:afterAutospacing="0" w:line="480" w:lineRule="auto"/>
        <w:ind w:left="0" w:right="0"/>
        <w:jc w:val="both"/>
        <w:rPr>
          <w:rFonts w:hint="eastAsia" w:ascii="宋体" w:hAnsi="宋体" w:eastAsia="宋体" w:cs="宋体"/>
          <w:color w:val="000000"/>
          <w:kern w:val="0"/>
          <w:sz w:val="24"/>
          <w:szCs w:val="24"/>
          <w:lang w:val="en-US" w:eastAsia="zh-CN" w:bidi="ar"/>
        </w:rPr>
      </w:pPr>
    </w:p>
    <w:p>
      <w:pPr>
        <w:pStyle w:val="36"/>
        <w:keepNext w:val="0"/>
        <w:keepLines w:val="0"/>
        <w:widowControl w:val="0"/>
        <w:suppressLineNumbers w:val="0"/>
        <w:spacing w:before="0" w:beforeAutospacing="1" w:after="120" w:afterAutospacing="0" w:line="480" w:lineRule="auto"/>
        <w:ind w:left="0" w:right="0"/>
        <w:jc w:val="both"/>
        <w:rPr>
          <w:rFonts w:hint="eastAsia" w:ascii="宋体" w:hAnsi="宋体" w:eastAsia="宋体" w:cs="宋体"/>
          <w:color w:val="000000"/>
          <w:kern w:val="0"/>
          <w:sz w:val="24"/>
          <w:szCs w:val="24"/>
          <w:lang w:val="en-US" w:eastAsia="zh-CN" w:bidi="ar"/>
        </w:rPr>
      </w:pPr>
    </w:p>
    <w:p>
      <w:pPr>
        <w:pStyle w:val="36"/>
        <w:keepNext w:val="0"/>
        <w:keepLines w:val="0"/>
        <w:widowControl w:val="0"/>
        <w:suppressLineNumbers w:val="0"/>
        <w:spacing w:before="0" w:beforeAutospacing="1" w:after="120" w:afterAutospacing="0" w:line="480" w:lineRule="auto"/>
        <w:ind w:left="0" w:right="0"/>
        <w:jc w:val="both"/>
        <w:rPr>
          <w:rFonts w:hint="eastAsia" w:ascii="宋体" w:hAnsi="宋体" w:eastAsia="宋体" w:cs="宋体"/>
          <w:color w:val="000000"/>
          <w:kern w:val="0"/>
          <w:sz w:val="24"/>
          <w:szCs w:val="24"/>
          <w:lang w:val="en-US" w:eastAsia="zh-CN" w:bidi="ar"/>
        </w:rPr>
      </w:pPr>
    </w:p>
    <w:p>
      <w:pPr>
        <w:pStyle w:val="4"/>
        <w:widowControl/>
        <w:spacing w:before="0" w:beforeAutospacing="0" w:after="0" w:afterAutospacing="0" w:line="360" w:lineRule="auto"/>
        <w:jc w:val="center"/>
        <w:rPr>
          <w:rFonts w:hint="default" w:ascii="宋体" w:hAnsi="宋体" w:eastAsia="宋体" w:cs="宋体"/>
          <w:b/>
          <w:kern w:val="0"/>
          <w:sz w:val="28"/>
          <w:szCs w:val="28"/>
          <w:lang w:val="en-US" w:eastAsia="zh-CN"/>
        </w:rPr>
      </w:pPr>
      <w:r>
        <w:rPr>
          <w:rFonts w:hint="eastAsia" w:ascii="宋体" w:hAnsi="宋体" w:eastAsia="宋体" w:cs="宋体"/>
          <w:b/>
          <w:kern w:val="0"/>
          <w:sz w:val="28"/>
          <w:szCs w:val="28"/>
          <w:lang w:val="en-US" w:eastAsia="zh-CN"/>
        </w:rPr>
        <w:t>六、其他</w:t>
      </w:r>
    </w:p>
    <w:p>
      <w:pPr>
        <w:pStyle w:val="36"/>
        <w:keepNext w:val="0"/>
        <w:keepLines w:val="0"/>
        <w:widowControl w:val="0"/>
        <w:suppressLineNumbers w:val="0"/>
        <w:spacing w:before="0" w:beforeAutospacing="1" w:after="120" w:afterAutospacing="0"/>
        <w:ind w:left="0" w:right="0"/>
        <w:jc w:val="both"/>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000000"/>
          <w:kern w:val="2"/>
          <w:sz w:val="24"/>
          <w:szCs w:val="24"/>
        </w:rPr>
      </w:pPr>
      <w:r>
        <w:rPr>
          <w:rFonts w:hint="eastAsia" w:ascii="宋体" w:hAnsi="宋体" w:eastAsia="宋体" w:cs="Times New Roman"/>
          <w:color w:val="000000"/>
          <w:kern w:val="2"/>
          <w:sz w:val="24"/>
          <w:szCs w:val="24"/>
          <w:lang w:val="en-US" w:eastAsia="zh-CN" w:bidi="ar"/>
        </w:rPr>
        <w:t xml:space="preserve"> </w:t>
      </w:r>
    </w:p>
    <w:p>
      <w:pPr>
        <w:pStyle w:val="36"/>
        <w:keepNext w:val="0"/>
        <w:keepLines w:val="0"/>
        <w:widowControl w:val="0"/>
        <w:suppressLineNumbers w:val="0"/>
        <w:spacing w:before="0" w:beforeAutospacing="1" w:after="120" w:afterAutospacing="0"/>
        <w:ind w:left="0" w:right="0"/>
        <w:jc w:val="both"/>
        <w:rPr>
          <w:b/>
          <w:sz w:val="24"/>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bookmarkEnd w:id="889"/>
    <w:bookmarkEnd w:id="890"/>
    <w:p>
      <w:pPr>
        <w:pStyle w:val="2"/>
      </w:pPr>
    </w:p>
    <w:sectPr>
      <w:footerReference r:id="rId13" w:type="first"/>
      <w:footerReference r:id="rId12"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E186114-D546-4464-8A96-ED8E11FEEAEB}"/>
  </w:font>
  <w:font w:name="黑体">
    <w:panose1 w:val="02010609060101010101"/>
    <w:charset w:val="86"/>
    <w:family w:val="auto"/>
    <w:pitch w:val="default"/>
    <w:sig w:usb0="800002BF" w:usb1="38CF7CFA" w:usb2="00000016" w:usb3="00000000" w:csb0="00040001" w:csb1="00000000"/>
    <w:embedRegular r:id="rId2" w:fontKey="{939C2CF8-9F2E-4FA8-83B0-8C0FC3FE95D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E7F77009-9715-4A91-AF5C-EEF1530DC31C}"/>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embedRegular r:id="rId4" w:fontKey="{82B732F2-3CE6-48AA-94C7-19C55BE4D0D9}"/>
  </w:font>
  <w:font w:name="Calibri Light">
    <w:panose1 w:val="020F03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华文中宋">
    <w:panose1 w:val="02010600040101010101"/>
    <w:charset w:val="86"/>
    <w:family w:val="auto"/>
    <w:pitch w:val="default"/>
    <w:sig w:usb0="00000287" w:usb1="080F0000" w:usb2="00000000" w:usb3="00000000" w:csb0="0004009F" w:csb1="DFD70000"/>
    <w:embedRegular r:id="rId5" w:fontKey="{25A625E5-0A38-44C1-87A2-88F707CB4E5C}"/>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6"/>
      </w:rPr>
    </w:pPr>
    <w:r>
      <w:fldChar w:fldCharType="begin"/>
    </w:r>
    <w:r>
      <w:rPr>
        <w:rStyle w:val="46"/>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17</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6</w:t>
    </w:r>
    <w:r>
      <w:fldChar w:fldCharType="end"/>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6"/>
      </w:rPr>
    </w:pPr>
    <w:r>
      <w:fldChar w:fldCharType="begin"/>
    </w:r>
    <w:r>
      <w:rPr>
        <w:rStyle w:val="46"/>
      </w:rPr>
      <w:instrText xml:space="preserve">PAGE  </w:instrText>
    </w:r>
    <w:r>
      <w:fldChar w:fldCharType="separate"/>
    </w:r>
    <w:r>
      <w:rPr>
        <w:rStyle w:val="46"/>
      </w:rPr>
      <w:t>73</w:t>
    </w:r>
    <w:r>
      <w:fldChar w:fldCharType="end"/>
    </w:r>
  </w:p>
  <w:p>
    <w:pPr>
      <w:pStyle w:val="26"/>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6"/>
      </w:rPr>
    </w:pPr>
    <w:r>
      <w:fldChar w:fldCharType="begin"/>
    </w:r>
    <w:r>
      <w:rPr>
        <w:rStyle w:val="46"/>
      </w:rPr>
      <w:instrText xml:space="preserve">PAGE  </w:instrText>
    </w:r>
    <w:r>
      <w:fldChar w:fldCharType="separate"/>
    </w:r>
    <w:r>
      <w:rPr>
        <w:rStyle w:val="46"/>
      </w:rPr>
      <w:t>19</w:t>
    </w:r>
    <w:r>
      <w:fldChar w:fldCharType="end"/>
    </w:r>
  </w:p>
  <w:p>
    <w:pPr>
      <w:pStyle w:val="26"/>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6"/>
                            </w:rPr>
                          </w:pPr>
                          <w:r>
                            <w:fldChar w:fldCharType="begin"/>
                          </w:r>
                          <w:r>
                            <w:rPr>
                              <w:rStyle w:val="46"/>
                            </w:rPr>
                            <w:instrText xml:space="preserve">PAGE  </w:instrText>
                          </w:r>
                          <w:r>
                            <w:fldChar w:fldCharType="separate"/>
                          </w:r>
                          <w:r>
                            <w:rPr>
                              <w:rStyle w:val="46"/>
                            </w:rPr>
                            <w:t>23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07xCq8BAABLAwAADgAAAGRycy9lMm9Eb2MueG1srVPNahsxEL4H8g5C&#10;91prE4pZvA4JISVQmkKSB5C1klegPzSyd/0CzRv01EvvfS4/R0ay10maW+lFO5oZffN9M7OLy8Ea&#10;spURtHcNnU4qSqQTvtVu3dCnx9tPc0ogcddy451s6E4CvVyeny36UMuZ77xpZSQI4qDuQ0O7lELN&#10;GIhOWg4TH6TDoPLR8oTXuGZt5D2iW8NmVfWZ9T62IXohAdB7cwjSZcFXSop0rxTIRExDkVsqZyzn&#10;Kp9sueD1OvLQaXGkwf+BheXaYdET1A1PnGyi/gBltYgevEoT4S3zSmkhiwZUM63+UvPQ8SCLFmwO&#10;hFOb4P/Bim/b75HotqEXlDhucUT7n8/7X3/2v3+Qi9yePkCNWQ8B89Jw7Qcc8+gHdGbVg4o2f1EP&#10;wTg2endqrhwSEfnRfDafVxgSGBsviM9en4cI6Yv0lmSjoRGnV5rKt18hHVLHlFzN+VttTJmgce8c&#10;iJk9LHM/cMxWGlbDUdDKtzvU0+PgG+pwMykxdw77mndkNOJorEZjE6Jed0htWnhBuNo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P07xCq8BAABL&#10;AwAADgAAAAAAAAABACAAAAAeAQAAZHJzL2Uyb0RvYy54bWxQSwUGAAAAAAYABgBZAQAAPwUAAAAA&#10;">
              <v:fill on="f" focussize="0,0"/>
              <v:stroke on="f"/>
              <v:imagedata o:title=""/>
              <o:lock v:ext="edit" aspectratio="f"/>
              <v:textbox inset="0mm,0mm,0mm,0mm" style="mso-fit-shape-to-text:t;">
                <w:txbxContent>
                  <w:p>
                    <w:pPr>
                      <w:pStyle w:val="26"/>
                      <w:rPr>
                        <w:rStyle w:val="46"/>
                      </w:rPr>
                    </w:pPr>
                    <w:r>
                      <w:fldChar w:fldCharType="begin"/>
                    </w:r>
                    <w:r>
                      <w:rPr>
                        <w:rStyle w:val="46"/>
                      </w:rPr>
                      <w:instrText xml:space="preserve">PAGE  </w:instrText>
                    </w:r>
                    <w:r>
                      <w:fldChar w:fldCharType="separate"/>
                    </w:r>
                    <w:r>
                      <w:rPr>
                        <w:rStyle w:val="46"/>
                      </w:rPr>
                      <w:t>23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371jK8BAABLAwAADgAAAGRycy9lMm9Eb2MueG1srVPNahsxEL4H8g5C&#10;91prB4pZvA4JISVQmkKSB5C1klegPzSyd/0CzRv01EvvfS4/R0ay10maW+lFO5oZffN9M7OLy8Ea&#10;spURtHcNnU4qSqQTvtVu3dCnx9tPc0ogcddy451s6E4CvVyeny36UMuZ77xpZSQI4qDuQ0O7lELN&#10;GIhOWg4TH6TDoPLR8oTXuGZt5D2iW8NmVfWZ9T62IXohAdB7cwjSZcFXSop0rxTIRExDkVsqZyzn&#10;Kp9sueD1OvLQaXGkwf+BheXaYdET1A1PnGyi/gBltYgevEoT4S3zSmkhiwZUM63+UvPQ8SCLFmwO&#10;hFOb4P/Bim/b75HotqEXlDhucUT7n8/7X3/2v3+Qi9yePkCNWQ8B89Jw7Qcc8+gHdGbVg4o2f1EP&#10;wTg2endqrhwSEfnRfDafVxgSGBsviM9en4cI6Yv0lmSjoRGnV5rKt18hHVLHlFzN+VttTJmgce8c&#10;iJk9LHM/cMxWGlbDUdDKtzvU0+PgG+pwMykxdw77mndkNOJorEZjE6Jed0htWnhBuNo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7371jK8BAABL&#10;AwAADgAAAAAAAAABACAAAAAeAQAAZHJzL2Uyb0RvYy54bWxQSwUGAAAAAAYABgBZAQAAPwU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6"/>
                            </w:rPr>
                          </w:pPr>
                          <w:r>
                            <w:fldChar w:fldCharType="begin"/>
                          </w:r>
                          <w:r>
                            <w:rPr>
                              <w:rStyle w:val="46"/>
                            </w:rPr>
                            <w:instrText xml:space="preserve">PAGE  </w:instrText>
                          </w:r>
                          <w:r>
                            <w:fldChar w:fldCharType="separate"/>
                          </w:r>
                          <w:r>
                            <w:rPr>
                              <w:rStyle w:val="46"/>
                            </w:rPr>
                            <w:t>23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hCu64BAABLAwAADgAAAGRycy9lMm9Eb2MueG1srVNLbtswEN0HyB0I&#10;7mvKWhSGYDlIEKQoEDQFkhyApkiLAH8Y0pZ8geYGXXXTfc/lc2RIW07a7opuqOHM8M17M6Pl1WgN&#10;2UmI2ruWzmcVJdIJ32m3aenz092HBSUxcddx451s6V5GerW6vFgOoZG1773pJBAEcbEZQkv7lELD&#10;WBS9tDzOfJAOg8qD5QmvsGEd8AHRrWF1VX1kg4cugBcyRvTeHoN0VfCVkiI9KBVlIqalyC2VE8q5&#10;zidbLXmzAR56LU40+D+wsFw7LHqGuuWJky3ov6CsFuCjV2kmvGVeKS1k0YBq5tUfah57HmTRgs2J&#10;4dym+P9gxZfdVyC6a2lNieMWR3T4/nL48evw8xupc3uGEBvMegyYl8YbP+KYJ39EZ1Y9KrD5i3oI&#10;xrHR+3Nz5ZiIyI8W9WJRYUhgbLogPnt7HiCmT9Jbko2WAk6vNJXv7mM6pk4puZrzd9qYMkHjfnMg&#10;ZvawzP3IMVtpXI8nQWvf7VHPgINvqcPNpMR8dtjXvCOTAZOxnoxtAL3pkdq88IrhepuQROGWKxxh&#10;T4VxYkXdabvySry/l6y3f2D1C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fGEK7rgEAAEsD&#10;AAAOAAAAAAAAAAEAIAAAAB4BAABkcnMvZTJvRG9jLnhtbFBLBQYAAAAABgAGAFkBAAA+BQAAAAA=&#10;">
              <v:fill on="f" focussize="0,0"/>
              <v:stroke on="f"/>
              <v:imagedata o:title=""/>
              <o:lock v:ext="edit" aspectratio="f"/>
              <v:textbox inset="0mm,0mm,0mm,0mm" style="mso-fit-shape-to-text:t;">
                <w:txbxContent>
                  <w:p>
                    <w:pPr>
                      <w:pStyle w:val="26"/>
                      <w:rPr>
                        <w:rStyle w:val="46"/>
                      </w:rPr>
                    </w:pPr>
                    <w:r>
                      <w:fldChar w:fldCharType="begin"/>
                    </w:r>
                    <w:r>
                      <w:rPr>
                        <w:rStyle w:val="46"/>
                      </w:rPr>
                      <w:instrText xml:space="preserve">PAGE  </w:instrText>
                    </w:r>
                    <w:r>
                      <w:fldChar w:fldCharType="separate"/>
                    </w:r>
                    <w:r>
                      <w:rPr>
                        <w:rStyle w:val="46"/>
                      </w:rP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23D891"/>
    <w:multiLevelType w:val="singleLevel"/>
    <w:tmpl w:val="8623D891"/>
    <w:lvl w:ilvl="0" w:tentative="0">
      <w:start w:val="1"/>
      <w:numFmt w:val="decimal"/>
      <w:lvlText w:val="%1."/>
      <w:lvlJc w:val="left"/>
      <w:pPr>
        <w:tabs>
          <w:tab w:val="left" w:pos="312"/>
        </w:tabs>
        <w:ind w:left="-20"/>
      </w:pPr>
    </w:lvl>
  </w:abstractNum>
  <w:abstractNum w:abstractNumId="1">
    <w:nsid w:val="97648515"/>
    <w:multiLevelType w:val="multilevel"/>
    <w:tmpl w:val="97648515"/>
    <w:lvl w:ilvl="0" w:tentative="0">
      <w:start w:val="1"/>
      <w:numFmt w:val="decimal"/>
      <w:lvlText w:val="%1."/>
      <w:lvlJc w:val="left"/>
      <w:pPr>
        <w:ind w:left="425" w:hanging="425"/>
      </w:pPr>
      <w:rPr>
        <w:rFonts w:hint="default"/>
      </w:rPr>
    </w:lvl>
    <w:lvl w:ilvl="1" w:tentative="0">
      <w:start w:val="1"/>
      <w:numFmt w:val="decimal"/>
      <w:lvlText w:val="%1.%2."/>
      <w:lvlJc w:val="left"/>
      <w:pPr>
        <w:ind w:left="14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AFD810E9"/>
    <w:multiLevelType w:val="singleLevel"/>
    <w:tmpl w:val="AFD810E9"/>
    <w:lvl w:ilvl="0" w:tentative="0">
      <w:start w:val="1"/>
      <w:numFmt w:val="bullet"/>
      <w:lvlText w:val=""/>
      <w:lvlJc w:val="left"/>
      <w:pPr>
        <w:ind w:left="420" w:hanging="420"/>
      </w:pPr>
      <w:rPr>
        <w:rFonts w:hint="default" w:ascii="Wingdings" w:hAnsi="Wingdings"/>
      </w:rPr>
    </w:lvl>
  </w:abstractNum>
  <w:abstractNum w:abstractNumId="3">
    <w:nsid w:val="BA0BF143"/>
    <w:multiLevelType w:val="singleLevel"/>
    <w:tmpl w:val="BA0BF143"/>
    <w:lvl w:ilvl="0" w:tentative="0">
      <w:start w:val="1"/>
      <w:numFmt w:val="bullet"/>
      <w:lvlText w:val=""/>
      <w:lvlJc w:val="left"/>
      <w:pPr>
        <w:ind w:left="420" w:hanging="420"/>
      </w:pPr>
      <w:rPr>
        <w:rFonts w:hint="default" w:ascii="Wingdings" w:hAnsi="Wingdings"/>
      </w:rPr>
    </w:lvl>
  </w:abstractNum>
  <w:abstractNum w:abstractNumId="4">
    <w:nsid w:val="BCC1655C"/>
    <w:multiLevelType w:val="singleLevel"/>
    <w:tmpl w:val="BCC1655C"/>
    <w:lvl w:ilvl="0" w:tentative="0">
      <w:start w:val="7"/>
      <w:numFmt w:val="chineseCounting"/>
      <w:suff w:val="space"/>
      <w:lvlText w:val="第%1章"/>
      <w:lvlJc w:val="left"/>
      <w:rPr>
        <w:rFonts w:hint="eastAsia"/>
      </w:rPr>
    </w:lvl>
  </w:abstractNum>
  <w:abstractNum w:abstractNumId="5">
    <w:nsid w:val="C78C27CC"/>
    <w:multiLevelType w:val="singleLevel"/>
    <w:tmpl w:val="C78C27CC"/>
    <w:lvl w:ilvl="0" w:tentative="0">
      <w:start w:val="1"/>
      <w:numFmt w:val="bullet"/>
      <w:lvlText w:val=""/>
      <w:lvlJc w:val="left"/>
      <w:pPr>
        <w:ind w:left="420" w:hanging="420"/>
      </w:pPr>
      <w:rPr>
        <w:rFonts w:hint="default" w:ascii="Wingdings" w:hAnsi="Wingdings"/>
      </w:rPr>
    </w:lvl>
  </w:abstractNum>
  <w:abstractNum w:abstractNumId="6">
    <w:nsid w:val="D9BFD359"/>
    <w:multiLevelType w:val="singleLevel"/>
    <w:tmpl w:val="D9BFD359"/>
    <w:lvl w:ilvl="0" w:tentative="0">
      <w:start w:val="1"/>
      <w:numFmt w:val="bullet"/>
      <w:lvlText w:val=""/>
      <w:lvlJc w:val="left"/>
      <w:pPr>
        <w:ind w:left="420" w:hanging="420"/>
      </w:pPr>
      <w:rPr>
        <w:rFonts w:hint="default" w:ascii="Wingdings" w:hAnsi="Wingdings"/>
      </w:rPr>
    </w:lvl>
  </w:abstractNum>
  <w:abstractNum w:abstractNumId="7">
    <w:nsid w:val="DA2CA9AC"/>
    <w:multiLevelType w:val="singleLevel"/>
    <w:tmpl w:val="DA2CA9AC"/>
    <w:lvl w:ilvl="0" w:tentative="0">
      <w:start w:val="1"/>
      <w:numFmt w:val="bullet"/>
      <w:lvlText w:val=""/>
      <w:lvlJc w:val="left"/>
      <w:pPr>
        <w:ind w:left="420" w:hanging="420"/>
      </w:pPr>
      <w:rPr>
        <w:rFonts w:hint="default" w:ascii="Wingdings" w:hAnsi="Wingdings"/>
      </w:rPr>
    </w:lvl>
  </w:abstractNum>
  <w:abstractNum w:abstractNumId="8">
    <w:nsid w:val="DE1CB082"/>
    <w:multiLevelType w:val="singleLevel"/>
    <w:tmpl w:val="DE1CB082"/>
    <w:lvl w:ilvl="0" w:tentative="0">
      <w:start w:val="1"/>
      <w:numFmt w:val="chineseCounting"/>
      <w:suff w:val="space"/>
      <w:lvlText w:val="第%1章"/>
      <w:lvlJc w:val="left"/>
      <w:rPr>
        <w:rFonts w:hint="eastAsia"/>
      </w:rPr>
    </w:lvl>
  </w:abstractNum>
  <w:abstractNum w:abstractNumId="9">
    <w:nsid w:val="E1AC7CCD"/>
    <w:multiLevelType w:val="singleLevel"/>
    <w:tmpl w:val="E1AC7CCD"/>
    <w:lvl w:ilvl="0" w:tentative="0">
      <w:start w:val="1"/>
      <w:numFmt w:val="bullet"/>
      <w:lvlText w:val=""/>
      <w:lvlJc w:val="left"/>
      <w:pPr>
        <w:ind w:left="420" w:hanging="420"/>
      </w:pPr>
      <w:rPr>
        <w:rFonts w:hint="default" w:ascii="Wingdings" w:hAnsi="Wingdings"/>
      </w:rPr>
    </w:lvl>
  </w:abstractNum>
  <w:abstractNum w:abstractNumId="10">
    <w:nsid w:val="FA4AAC08"/>
    <w:multiLevelType w:val="singleLevel"/>
    <w:tmpl w:val="FA4AAC08"/>
    <w:lvl w:ilvl="0" w:tentative="0">
      <w:start w:val="1"/>
      <w:numFmt w:val="bullet"/>
      <w:lvlText w:val=""/>
      <w:lvlJc w:val="left"/>
      <w:pPr>
        <w:ind w:left="420" w:hanging="420"/>
      </w:pPr>
      <w:rPr>
        <w:rFonts w:hint="default" w:ascii="Wingdings" w:hAnsi="Wingdings"/>
      </w:rPr>
    </w:lvl>
  </w:abstractNum>
  <w:abstractNum w:abstractNumId="11">
    <w:nsid w:val="FDC165A5"/>
    <w:multiLevelType w:val="singleLevel"/>
    <w:tmpl w:val="FDC165A5"/>
    <w:lvl w:ilvl="0" w:tentative="0">
      <w:start w:val="1"/>
      <w:numFmt w:val="bullet"/>
      <w:lvlText w:val=""/>
      <w:lvlJc w:val="left"/>
      <w:pPr>
        <w:ind w:left="420" w:hanging="420"/>
      </w:pPr>
      <w:rPr>
        <w:rFonts w:hint="default" w:ascii="Wingdings" w:hAnsi="Wingdings"/>
      </w:rPr>
    </w:lvl>
  </w:abstractNum>
  <w:abstractNum w:abstractNumId="12">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3">
    <w:nsid w:val="1541A0B0"/>
    <w:multiLevelType w:val="singleLevel"/>
    <w:tmpl w:val="1541A0B0"/>
    <w:lvl w:ilvl="0" w:tentative="0">
      <w:start w:val="1"/>
      <w:numFmt w:val="bullet"/>
      <w:lvlText w:val=""/>
      <w:lvlJc w:val="left"/>
      <w:pPr>
        <w:ind w:left="420" w:hanging="420"/>
      </w:pPr>
      <w:rPr>
        <w:rFonts w:hint="default" w:ascii="Wingdings" w:hAnsi="Wingdings"/>
      </w:rPr>
    </w:lvl>
  </w:abstractNum>
  <w:abstractNum w:abstractNumId="14">
    <w:nsid w:val="181463A1"/>
    <w:multiLevelType w:val="singleLevel"/>
    <w:tmpl w:val="181463A1"/>
    <w:lvl w:ilvl="0" w:tentative="0">
      <w:start w:val="1"/>
      <w:numFmt w:val="bullet"/>
      <w:lvlText w:val=""/>
      <w:lvlJc w:val="left"/>
      <w:pPr>
        <w:ind w:left="420" w:hanging="420"/>
      </w:pPr>
      <w:rPr>
        <w:rFonts w:hint="default" w:ascii="Wingdings" w:hAnsi="Wingdings"/>
      </w:rPr>
    </w:lvl>
  </w:abstractNum>
  <w:abstractNum w:abstractNumId="15">
    <w:nsid w:val="1F0B68E9"/>
    <w:multiLevelType w:val="singleLevel"/>
    <w:tmpl w:val="1F0B68E9"/>
    <w:lvl w:ilvl="0" w:tentative="0">
      <w:start w:val="1"/>
      <w:numFmt w:val="bullet"/>
      <w:lvlText w:val=""/>
      <w:lvlJc w:val="left"/>
      <w:pPr>
        <w:ind w:left="420" w:hanging="420"/>
      </w:pPr>
      <w:rPr>
        <w:rFonts w:hint="default" w:ascii="Wingdings" w:hAnsi="Wingdings"/>
      </w:rPr>
    </w:lvl>
  </w:abstractNum>
  <w:abstractNum w:abstractNumId="16">
    <w:nsid w:val="33BAB2C6"/>
    <w:multiLevelType w:val="singleLevel"/>
    <w:tmpl w:val="33BAB2C6"/>
    <w:lvl w:ilvl="0" w:tentative="0">
      <w:start w:val="1"/>
      <w:numFmt w:val="decimal"/>
      <w:suff w:val="space"/>
      <w:lvlText w:val="%1."/>
      <w:lvlJc w:val="left"/>
    </w:lvl>
  </w:abstractNum>
  <w:abstractNum w:abstractNumId="17">
    <w:nsid w:val="462B3598"/>
    <w:multiLevelType w:val="singleLevel"/>
    <w:tmpl w:val="462B3598"/>
    <w:lvl w:ilvl="0" w:tentative="0">
      <w:start w:val="1"/>
      <w:numFmt w:val="bullet"/>
      <w:lvlText w:val=""/>
      <w:lvlJc w:val="left"/>
      <w:pPr>
        <w:ind w:left="420" w:hanging="420"/>
      </w:pPr>
      <w:rPr>
        <w:rFonts w:hint="default" w:ascii="Wingdings" w:hAnsi="Wingdings"/>
      </w:rPr>
    </w:lvl>
  </w:abstractNum>
  <w:abstractNum w:abstractNumId="18">
    <w:nsid w:val="54E1E7D6"/>
    <w:multiLevelType w:val="singleLevel"/>
    <w:tmpl w:val="54E1E7D6"/>
    <w:lvl w:ilvl="0" w:tentative="0">
      <w:start w:val="1"/>
      <w:numFmt w:val="decimal"/>
      <w:lvlText w:val="%1."/>
      <w:lvlJc w:val="left"/>
      <w:pPr>
        <w:tabs>
          <w:tab w:val="left" w:pos="312"/>
        </w:tabs>
        <w:ind w:left="-20"/>
      </w:pPr>
    </w:lvl>
  </w:abstractNum>
  <w:abstractNum w:abstractNumId="19">
    <w:nsid w:val="72B64926"/>
    <w:multiLevelType w:val="singleLevel"/>
    <w:tmpl w:val="72B64926"/>
    <w:lvl w:ilvl="0" w:tentative="0">
      <w:start w:val="3"/>
      <w:numFmt w:val="chineseCounting"/>
      <w:suff w:val="space"/>
      <w:lvlText w:val="第%1章"/>
      <w:lvlJc w:val="left"/>
      <w:rPr>
        <w:rFonts w:hint="eastAsia"/>
      </w:rPr>
    </w:lvl>
  </w:abstractNum>
  <w:abstractNum w:abstractNumId="20">
    <w:nsid w:val="78BA0F68"/>
    <w:multiLevelType w:val="singleLevel"/>
    <w:tmpl w:val="78BA0F68"/>
    <w:lvl w:ilvl="0" w:tentative="0">
      <w:start w:val="1"/>
      <w:numFmt w:val="decimal"/>
      <w:lvlText w:val="%1."/>
      <w:lvlJc w:val="left"/>
      <w:pPr>
        <w:tabs>
          <w:tab w:val="left" w:pos="312"/>
        </w:tabs>
      </w:pPr>
    </w:lvl>
  </w:abstractNum>
  <w:abstractNum w:abstractNumId="21">
    <w:nsid w:val="7CE767E8"/>
    <w:multiLevelType w:val="singleLevel"/>
    <w:tmpl w:val="7CE767E8"/>
    <w:lvl w:ilvl="0" w:tentative="0">
      <w:start w:val="1"/>
      <w:numFmt w:val="decimal"/>
      <w:lvlText w:val="%1."/>
      <w:lvlJc w:val="left"/>
      <w:pPr>
        <w:tabs>
          <w:tab w:val="left" w:pos="312"/>
        </w:tabs>
        <w:ind w:left="-20"/>
      </w:pPr>
    </w:lvl>
  </w:abstractNum>
  <w:num w:numId="1">
    <w:abstractNumId w:val="12"/>
  </w:num>
  <w:num w:numId="2">
    <w:abstractNumId w:val="8"/>
  </w:num>
  <w:num w:numId="3">
    <w:abstractNumId w:val="20"/>
  </w:num>
  <w:num w:numId="4">
    <w:abstractNumId w:val="19"/>
  </w:num>
  <w:num w:numId="5">
    <w:abstractNumId w:val="21"/>
  </w:num>
  <w:num w:numId="6">
    <w:abstractNumId w:val="0"/>
  </w:num>
  <w:num w:numId="7">
    <w:abstractNumId w:val="16"/>
  </w:num>
  <w:num w:numId="8">
    <w:abstractNumId w:val="18"/>
  </w:num>
  <w:num w:numId="9">
    <w:abstractNumId w:val="4"/>
  </w:num>
  <w:num w:numId="10">
    <w:abstractNumId w:val="1"/>
  </w:num>
  <w:num w:numId="11">
    <w:abstractNumId w:val="14"/>
  </w:num>
  <w:num w:numId="12">
    <w:abstractNumId w:val="17"/>
  </w:num>
  <w:num w:numId="13">
    <w:abstractNumId w:val="3"/>
  </w:num>
  <w:num w:numId="14">
    <w:abstractNumId w:val="11"/>
  </w:num>
  <w:num w:numId="15">
    <w:abstractNumId w:val="2"/>
  </w:num>
  <w:num w:numId="16">
    <w:abstractNumId w:val="10"/>
  </w:num>
  <w:num w:numId="17">
    <w:abstractNumId w:val="15"/>
  </w:num>
  <w:num w:numId="18">
    <w:abstractNumId w:val="7"/>
  </w:num>
  <w:num w:numId="19">
    <w:abstractNumId w:val="5"/>
  </w:num>
  <w:num w:numId="20">
    <w:abstractNumId w:val="13"/>
  </w:num>
  <w:num w:numId="21">
    <w:abstractNumId w:val="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TrueTypeFonts/>
  <w:saveSubsetFonts/>
  <w:bordersDoNotSurroundHeader w:val="0"/>
  <w:bordersDoNotSurroundFooter w:val="0"/>
  <w:doNotTrackMoves/>
  <w:documentProtection w:enforcement="0"/>
  <w:defaultTabStop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5YWE5MGFmNjkxNGU0YjRjMzU3MzlhYjM0NmY5MjcifQ=="/>
  </w:docVars>
  <w:rsids>
    <w:rsidRoot w:val="00F1787C"/>
    <w:rsid w:val="00002283"/>
    <w:rsid w:val="0000290C"/>
    <w:rsid w:val="0000322E"/>
    <w:rsid w:val="00003524"/>
    <w:rsid w:val="00006DC2"/>
    <w:rsid w:val="00014F18"/>
    <w:rsid w:val="0002191D"/>
    <w:rsid w:val="00022C81"/>
    <w:rsid w:val="00022D89"/>
    <w:rsid w:val="000247E8"/>
    <w:rsid w:val="00025133"/>
    <w:rsid w:val="000252CD"/>
    <w:rsid w:val="00025B39"/>
    <w:rsid w:val="00031B7B"/>
    <w:rsid w:val="000329B5"/>
    <w:rsid w:val="000338C1"/>
    <w:rsid w:val="00034493"/>
    <w:rsid w:val="000349C1"/>
    <w:rsid w:val="00035D65"/>
    <w:rsid w:val="00035FD9"/>
    <w:rsid w:val="00037178"/>
    <w:rsid w:val="000439F3"/>
    <w:rsid w:val="00046EC8"/>
    <w:rsid w:val="0005109B"/>
    <w:rsid w:val="000540AF"/>
    <w:rsid w:val="00055B95"/>
    <w:rsid w:val="0005626D"/>
    <w:rsid w:val="000563B8"/>
    <w:rsid w:val="000572DF"/>
    <w:rsid w:val="00057B74"/>
    <w:rsid w:val="0006209E"/>
    <w:rsid w:val="000620D8"/>
    <w:rsid w:val="00066BA0"/>
    <w:rsid w:val="00067251"/>
    <w:rsid w:val="00072FF8"/>
    <w:rsid w:val="000757B2"/>
    <w:rsid w:val="0007698A"/>
    <w:rsid w:val="00076B1C"/>
    <w:rsid w:val="00076FDF"/>
    <w:rsid w:val="00082DB6"/>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1E55"/>
    <w:rsid w:val="000A2296"/>
    <w:rsid w:val="000A31DB"/>
    <w:rsid w:val="000A423A"/>
    <w:rsid w:val="000A44E2"/>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54A8"/>
    <w:rsid w:val="000D58ED"/>
    <w:rsid w:val="000D6003"/>
    <w:rsid w:val="000E2A4B"/>
    <w:rsid w:val="000E313E"/>
    <w:rsid w:val="000E3C1D"/>
    <w:rsid w:val="000E59C6"/>
    <w:rsid w:val="000F2842"/>
    <w:rsid w:val="000F6232"/>
    <w:rsid w:val="00100646"/>
    <w:rsid w:val="00100F21"/>
    <w:rsid w:val="0010112E"/>
    <w:rsid w:val="00101194"/>
    <w:rsid w:val="00104DDA"/>
    <w:rsid w:val="00105562"/>
    <w:rsid w:val="001060F0"/>
    <w:rsid w:val="00107D39"/>
    <w:rsid w:val="00107E81"/>
    <w:rsid w:val="00110CAE"/>
    <w:rsid w:val="00112802"/>
    <w:rsid w:val="00114EC7"/>
    <w:rsid w:val="001150C8"/>
    <w:rsid w:val="00115A03"/>
    <w:rsid w:val="00120582"/>
    <w:rsid w:val="00123DF3"/>
    <w:rsid w:val="0012612C"/>
    <w:rsid w:val="0012618D"/>
    <w:rsid w:val="001264BE"/>
    <w:rsid w:val="00131319"/>
    <w:rsid w:val="001326B8"/>
    <w:rsid w:val="00132CCD"/>
    <w:rsid w:val="00133F0F"/>
    <w:rsid w:val="0013640A"/>
    <w:rsid w:val="00137B7C"/>
    <w:rsid w:val="00137FF4"/>
    <w:rsid w:val="00142174"/>
    <w:rsid w:val="00142542"/>
    <w:rsid w:val="00143D4F"/>
    <w:rsid w:val="00147ECF"/>
    <w:rsid w:val="001509A5"/>
    <w:rsid w:val="00151358"/>
    <w:rsid w:val="001528F7"/>
    <w:rsid w:val="0015488C"/>
    <w:rsid w:val="00157E7E"/>
    <w:rsid w:val="00160A9D"/>
    <w:rsid w:val="00161FBA"/>
    <w:rsid w:val="0016324C"/>
    <w:rsid w:val="001637E6"/>
    <w:rsid w:val="001646C7"/>
    <w:rsid w:val="00164D52"/>
    <w:rsid w:val="001661DF"/>
    <w:rsid w:val="00166289"/>
    <w:rsid w:val="00167BC0"/>
    <w:rsid w:val="00170C4F"/>
    <w:rsid w:val="001743B9"/>
    <w:rsid w:val="00177E99"/>
    <w:rsid w:val="00180EFE"/>
    <w:rsid w:val="00183BEA"/>
    <w:rsid w:val="00184A5E"/>
    <w:rsid w:val="0018530D"/>
    <w:rsid w:val="0018579A"/>
    <w:rsid w:val="0019148A"/>
    <w:rsid w:val="00191B60"/>
    <w:rsid w:val="001A0539"/>
    <w:rsid w:val="001A09DE"/>
    <w:rsid w:val="001A5CDC"/>
    <w:rsid w:val="001A7336"/>
    <w:rsid w:val="001B37EE"/>
    <w:rsid w:val="001B455F"/>
    <w:rsid w:val="001B7789"/>
    <w:rsid w:val="001C0BBE"/>
    <w:rsid w:val="001C47B4"/>
    <w:rsid w:val="001C7A81"/>
    <w:rsid w:val="001D0E4A"/>
    <w:rsid w:val="001D1DA4"/>
    <w:rsid w:val="001D4A30"/>
    <w:rsid w:val="001D5992"/>
    <w:rsid w:val="001D620B"/>
    <w:rsid w:val="001D7266"/>
    <w:rsid w:val="001D748A"/>
    <w:rsid w:val="001E2FBC"/>
    <w:rsid w:val="001E32E8"/>
    <w:rsid w:val="001E35E5"/>
    <w:rsid w:val="001E3AE0"/>
    <w:rsid w:val="001E4ED8"/>
    <w:rsid w:val="001F20E8"/>
    <w:rsid w:val="001F5336"/>
    <w:rsid w:val="001F5D0C"/>
    <w:rsid w:val="001F6241"/>
    <w:rsid w:val="00203576"/>
    <w:rsid w:val="002111A4"/>
    <w:rsid w:val="002136F9"/>
    <w:rsid w:val="00213C13"/>
    <w:rsid w:val="00214A65"/>
    <w:rsid w:val="00214E11"/>
    <w:rsid w:val="0021510A"/>
    <w:rsid w:val="00217ABC"/>
    <w:rsid w:val="00217BC8"/>
    <w:rsid w:val="00217CD9"/>
    <w:rsid w:val="00217F8C"/>
    <w:rsid w:val="002202C8"/>
    <w:rsid w:val="00220469"/>
    <w:rsid w:val="00220B1B"/>
    <w:rsid w:val="00220F2D"/>
    <w:rsid w:val="00222DE6"/>
    <w:rsid w:val="002258E9"/>
    <w:rsid w:val="00226226"/>
    <w:rsid w:val="00230813"/>
    <w:rsid w:val="00231314"/>
    <w:rsid w:val="00231845"/>
    <w:rsid w:val="00232FCB"/>
    <w:rsid w:val="002339FF"/>
    <w:rsid w:val="00235CEC"/>
    <w:rsid w:val="002420E1"/>
    <w:rsid w:val="002460EA"/>
    <w:rsid w:val="00246DBB"/>
    <w:rsid w:val="002537F9"/>
    <w:rsid w:val="00253875"/>
    <w:rsid w:val="0025448C"/>
    <w:rsid w:val="00260325"/>
    <w:rsid w:val="002660DD"/>
    <w:rsid w:val="00272FC8"/>
    <w:rsid w:val="00277351"/>
    <w:rsid w:val="00277BB5"/>
    <w:rsid w:val="00280352"/>
    <w:rsid w:val="002826F6"/>
    <w:rsid w:val="00287A1A"/>
    <w:rsid w:val="00291940"/>
    <w:rsid w:val="0029648C"/>
    <w:rsid w:val="002966A3"/>
    <w:rsid w:val="00296F6F"/>
    <w:rsid w:val="00297D35"/>
    <w:rsid w:val="002A0370"/>
    <w:rsid w:val="002A055F"/>
    <w:rsid w:val="002A2803"/>
    <w:rsid w:val="002A4245"/>
    <w:rsid w:val="002A5EF2"/>
    <w:rsid w:val="002A69AF"/>
    <w:rsid w:val="002B19F4"/>
    <w:rsid w:val="002B4E72"/>
    <w:rsid w:val="002B52E8"/>
    <w:rsid w:val="002B6790"/>
    <w:rsid w:val="002B6B13"/>
    <w:rsid w:val="002B6E57"/>
    <w:rsid w:val="002B72CF"/>
    <w:rsid w:val="002B756F"/>
    <w:rsid w:val="002C2E51"/>
    <w:rsid w:val="002C471B"/>
    <w:rsid w:val="002C4857"/>
    <w:rsid w:val="002C5A0E"/>
    <w:rsid w:val="002C7AB6"/>
    <w:rsid w:val="002D17CD"/>
    <w:rsid w:val="002D54DB"/>
    <w:rsid w:val="002E1D11"/>
    <w:rsid w:val="002E456B"/>
    <w:rsid w:val="002E695F"/>
    <w:rsid w:val="002E79C2"/>
    <w:rsid w:val="002F308B"/>
    <w:rsid w:val="002F59DF"/>
    <w:rsid w:val="002F6545"/>
    <w:rsid w:val="002F737A"/>
    <w:rsid w:val="002F73BF"/>
    <w:rsid w:val="002F7968"/>
    <w:rsid w:val="00300BA8"/>
    <w:rsid w:val="0030183E"/>
    <w:rsid w:val="003035FA"/>
    <w:rsid w:val="0030451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3D31"/>
    <w:rsid w:val="0034521F"/>
    <w:rsid w:val="003458EB"/>
    <w:rsid w:val="00345A28"/>
    <w:rsid w:val="003467A2"/>
    <w:rsid w:val="00346C1D"/>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8663E"/>
    <w:rsid w:val="0039099F"/>
    <w:rsid w:val="00397134"/>
    <w:rsid w:val="003A063A"/>
    <w:rsid w:val="003A67CF"/>
    <w:rsid w:val="003B5115"/>
    <w:rsid w:val="003B5AAE"/>
    <w:rsid w:val="003B696A"/>
    <w:rsid w:val="003C18C8"/>
    <w:rsid w:val="003C28DD"/>
    <w:rsid w:val="003C4C34"/>
    <w:rsid w:val="003C5746"/>
    <w:rsid w:val="003C7632"/>
    <w:rsid w:val="003C7809"/>
    <w:rsid w:val="003D0BF2"/>
    <w:rsid w:val="003D267C"/>
    <w:rsid w:val="003D4436"/>
    <w:rsid w:val="003D5153"/>
    <w:rsid w:val="003D5F84"/>
    <w:rsid w:val="003E0D5A"/>
    <w:rsid w:val="003E3829"/>
    <w:rsid w:val="003E38BD"/>
    <w:rsid w:val="003E65DC"/>
    <w:rsid w:val="003E68AB"/>
    <w:rsid w:val="003F098D"/>
    <w:rsid w:val="003F1BD6"/>
    <w:rsid w:val="003F1C45"/>
    <w:rsid w:val="003F1F45"/>
    <w:rsid w:val="003F34F8"/>
    <w:rsid w:val="003F6AEE"/>
    <w:rsid w:val="003F6B5B"/>
    <w:rsid w:val="003F7927"/>
    <w:rsid w:val="003F7A0C"/>
    <w:rsid w:val="00402F66"/>
    <w:rsid w:val="00403314"/>
    <w:rsid w:val="00404848"/>
    <w:rsid w:val="00406BDF"/>
    <w:rsid w:val="00411545"/>
    <w:rsid w:val="00412072"/>
    <w:rsid w:val="00415B93"/>
    <w:rsid w:val="00417AAE"/>
    <w:rsid w:val="00417CCA"/>
    <w:rsid w:val="00420586"/>
    <w:rsid w:val="00420FC3"/>
    <w:rsid w:val="00421DFA"/>
    <w:rsid w:val="00423CEA"/>
    <w:rsid w:val="00426621"/>
    <w:rsid w:val="004273C5"/>
    <w:rsid w:val="0043226B"/>
    <w:rsid w:val="0043326B"/>
    <w:rsid w:val="00434144"/>
    <w:rsid w:val="00435BC6"/>
    <w:rsid w:val="004367B0"/>
    <w:rsid w:val="004409EE"/>
    <w:rsid w:val="0044320E"/>
    <w:rsid w:val="00443CBF"/>
    <w:rsid w:val="00443D8E"/>
    <w:rsid w:val="00444730"/>
    <w:rsid w:val="00446BC1"/>
    <w:rsid w:val="00451759"/>
    <w:rsid w:val="00452F25"/>
    <w:rsid w:val="00453BE6"/>
    <w:rsid w:val="0045460D"/>
    <w:rsid w:val="00454E6B"/>
    <w:rsid w:val="0045502B"/>
    <w:rsid w:val="004566D2"/>
    <w:rsid w:val="0045695D"/>
    <w:rsid w:val="00456C29"/>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1B55"/>
    <w:rsid w:val="004A3E48"/>
    <w:rsid w:val="004A53DC"/>
    <w:rsid w:val="004B13EB"/>
    <w:rsid w:val="004B24DB"/>
    <w:rsid w:val="004B36BA"/>
    <w:rsid w:val="004B6550"/>
    <w:rsid w:val="004C00BE"/>
    <w:rsid w:val="004C023B"/>
    <w:rsid w:val="004C0E82"/>
    <w:rsid w:val="004C1326"/>
    <w:rsid w:val="004C1C0B"/>
    <w:rsid w:val="004C42BC"/>
    <w:rsid w:val="004C4B65"/>
    <w:rsid w:val="004C55C4"/>
    <w:rsid w:val="004C5682"/>
    <w:rsid w:val="004C6795"/>
    <w:rsid w:val="004C71DC"/>
    <w:rsid w:val="004D1ADF"/>
    <w:rsid w:val="004D4A97"/>
    <w:rsid w:val="004D5467"/>
    <w:rsid w:val="004D6EA5"/>
    <w:rsid w:val="004E319B"/>
    <w:rsid w:val="004E6A77"/>
    <w:rsid w:val="004F05BD"/>
    <w:rsid w:val="004F2F76"/>
    <w:rsid w:val="004F5845"/>
    <w:rsid w:val="004F7236"/>
    <w:rsid w:val="005016AD"/>
    <w:rsid w:val="00501C58"/>
    <w:rsid w:val="00502E26"/>
    <w:rsid w:val="00504EDE"/>
    <w:rsid w:val="00510F90"/>
    <w:rsid w:val="005118BF"/>
    <w:rsid w:val="005142E6"/>
    <w:rsid w:val="00514DF5"/>
    <w:rsid w:val="00515B11"/>
    <w:rsid w:val="005216B1"/>
    <w:rsid w:val="005230E8"/>
    <w:rsid w:val="005248B7"/>
    <w:rsid w:val="00524AAD"/>
    <w:rsid w:val="005250D0"/>
    <w:rsid w:val="00527DED"/>
    <w:rsid w:val="00532D01"/>
    <w:rsid w:val="00533CB4"/>
    <w:rsid w:val="0053576A"/>
    <w:rsid w:val="00536232"/>
    <w:rsid w:val="0053749E"/>
    <w:rsid w:val="0053783C"/>
    <w:rsid w:val="00540A63"/>
    <w:rsid w:val="00541EAD"/>
    <w:rsid w:val="00543B84"/>
    <w:rsid w:val="00544527"/>
    <w:rsid w:val="00551444"/>
    <w:rsid w:val="005516BA"/>
    <w:rsid w:val="00554CE3"/>
    <w:rsid w:val="00565E3C"/>
    <w:rsid w:val="0056641F"/>
    <w:rsid w:val="005668C7"/>
    <w:rsid w:val="00571660"/>
    <w:rsid w:val="0057233D"/>
    <w:rsid w:val="00573321"/>
    <w:rsid w:val="005758E3"/>
    <w:rsid w:val="005907B9"/>
    <w:rsid w:val="00590C9B"/>
    <w:rsid w:val="005914DA"/>
    <w:rsid w:val="00591F3F"/>
    <w:rsid w:val="00594228"/>
    <w:rsid w:val="005942DC"/>
    <w:rsid w:val="005946A1"/>
    <w:rsid w:val="00594DBC"/>
    <w:rsid w:val="0059501D"/>
    <w:rsid w:val="005A0E5B"/>
    <w:rsid w:val="005A1707"/>
    <w:rsid w:val="005A390C"/>
    <w:rsid w:val="005A3A26"/>
    <w:rsid w:val="005A6CF0"/>
    <w:rsid w:val="005B0870"/>
    <w:rsid w:val="005B2C7F"/>
    <w:rsid w:val="005B2FEE"/>
    <w:rsid w:val="005B635A"/>
    <w:rsid w:val="005C1367"/>
    <w:rsid w:val="005C137A"/>
    <w:rsid w:val="005C3C93"/>
    <w:rsid w:val="005C7304"/>
    <w:rsid w:val="005C767C"/>
    <w:rsid w:val="005D1938"/>
    <w:rsid w:val="005D1C59"/>
    <w:rsid w:val="005D3202"/>
    <w:rsid w:val="005D48DB"/>
    <w:rsid w:val="005E25FB"/>
    <w:rsid w:val="005E3EBE"/>
    <w:rsid w:val="005E3F38"/>
    <w:rsid w:val="005E782A"/>
    <w:rsid w:val="005F17E2"/>
    <w:rsid w:val="005F2C77"/>
    <w:rsid w:val="00605878"/>
    <w:rsid w:val="00606A11"/>
    <w:rsid w:val="00610C35"/>
    <w:rsid w:val="00611462"/>
    <w:rsid w:val="00612C1F"/>
    <w:rsid w:val="006133CC"/>
    <w:rsid w:val="00614387"/>
    <w:rsid w:val="00614689"/>
    <w:rsid w:val="00616253"/>
    <w:rsid w:val="0061673D"/>
    <w:rsid w:val="00617262"/>
    <w:rsid w:val="006201A2"/>
    <w:rsid w:val="006207CA"/>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18FF"/>
    <w:rsid w:val="00671F0C"/>
    <w:rsid w:val="00672863"/>
    <w:rsid w:val="0067333E"/>
    <w:rsid w:val="00674008"/>
    <w:rsid w:val="006747F2"/>
    <w:rsid w:val="0067739E"/>
    <w:rsid w:val="00677827"/>
    <w:rsid w:val="00680AC1"/>
    <w:rsid w:val="00681547"/>
    <w:rsid w:val="00681630"/>
    <w:rsid w:val="00682C95"/>
    <w:rsid w:val="00685B7E"/>
    <w:rsid w:val="00685D10"/>
    <w:rsid w:val="00694FA7"/>
    <w:rsid w:val="00696E81"/>
    <w:rsid w:val="006A29F5"/>
    <w:rsid w:val="006A2D0D"/>
    <w:rsid w:val="006A4D20"/>
    <w:rsid w:val="006A79F4"/>
    <w:rsid w:val="006B1A0A"/>
    <w:rsid w:val="006B49C1"/>
    <w:rsid w:val="006B60A9"/>
    <w:rsid w:val="006B727C"/>
    <w:rsid w:val="006C41F0"/>
    <w:rsid w:val="006C497C"/>
    <w:rsid w:val="006C75C9"/>
    <w:rsid w:val="006C7F0A"/>
    <w:rsid w:val="006D1032"/>
    <w:rsid w:val="006D48FF"/>
    <w:rsid w:val="006D4950"/>
    <w:rsid w:val="006E2BEB"/>
    <w:rsid w:val="006E2F3D"/>
    <w:rsid w:val="006E30F7"/>
    <w:rsid w:val="006E3F3F"/>
    <w:rsid w:val="006E44D5"/>
    <w:rsid w:val="006F08B7"/>
    <w:rsid w:val="006F3A90"/>
    <w:rsid w:val="007021D5"/>
    <w:rsid w:val="00702554"/>
    <w:rsid w:val="0070267A"/>
    <w:rsid w:val="00703F25"/>
    <w:rsid w:val="00704174"/>
    <w:rsid w:val="00704E87"/>
    <w:rsid w:val="00705640"/>
    <w:rsid w:val="00705864"/>
    <w:rsid w:val="0071015C"/>
    <w:rsid w:val="0071261D"/>
    <w:rsid w:val="007147D1"/>
    <w:rsid w:val="00717095"/>
    <w:rsid w:val="0071777A"/>
    <w:rsid w:val="007210BA"/>
    <w:rsid w:val="00722FD3"/>
    <w:rsid w:val="00724D14"/>
    <w:rsid w:val="00727C12"/>
    <w:rsid w:val="00727D4B"/>
    <w:rsid w:val="00732BA0"/>
    <w:rsid w:val="00736D71"/>
    <w:rsid w:val="007372DF"/>
    <w:rsid w:val="00737EEA"/>
    <w:rsid w:val="00741B7A"/>
    <w:rsid w:val="00747B86"/>
    <w:rsid w:val="007504EC"/>
    <w:rsid w:val="007508E2"/>
    <w:rsid w:val="007534FD"/>
    <w:rsid w:val="007560DB"/>
    <w:rsid w:val="00756FB5"/>
    <w:rsid w:val="00756FFD"/>
    <w:rsid w:val="00761FD8"/>
    <w:rsid w:val="00764217"/>
    <w:rsid w:val="00766052"/>
    <w:rsid w:val="00766328"/>
    <w:rsid w:val="00767E72"/>
    <w:rsid w:val="00770B52"/>
    <w:rsid w:val="00771915"/>
    <w:rsid w:val="00775C9B"/>
    <w:rsid w:val="00776703"/>
    <w:rsid w:val="00781CA3"/>
    <w:rsid w:val="007857ED"/>
    <w:rsid w:val="0079289A"/>
    <w:rsid w:val="00795C0E"/>
    <w:rsid w:val="007961C7"/>
    <w:rsid w:val="0079740B"/>
    <w:rsid w:val="00797B24"/>
    <w:rsid w:val="007A03BB"/>
    <w:rsid w:val="007A0C93"/>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450"/>
    <w:rsid w:val="007C27E7"/>
    <w:rsid w:val="007C2D84"/>
    <w:rsid w:val="007C38AE"/>
    <w:rsid w:val="007C4438"/>
    <w:rsid w:val="007C4BDE"/>
    <w:rsid w:val="007C6B07"/>
    <w:rsid w:val="007D0ED0"/>
    <w:rsid w:val="007D3290"/>
    <w:rsid w:val="007D39FA"/>
    <w:rsid w:val="007D3CE4"/>
    <w:rsid w:val="007D6D40"/>
    <w:rsid w:val="007D719A"/>
    <w:rsid w:val="007E07E5"/>
    <w:rsid w:val="007E090D"/>
    <w:rsid w:val="007E4D6B"/>
    <w:rsid w:val="007E586D"/>
    <w:rsid w:val="007E5AE7"/>
    <w:rsid w:val="007F159B"/>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36DA9"/>
    <w:rsid w:val="0084014A"/>
    <w:rsid w:val="00840D93"/>
    <w:rsid w:val="0084176C"/>
    <w:rsid w:val="008425DA"/>
    <w:rsid w:val="00842D69"/>
    <w:rsid w:val="008450AB"/>
    <w:rsid w:val="0084639D"/>
    <w:rsid w:val="00846910"/>
    <w:rsid w:val="00846D68"/>
    <w:rsid w:val="008539A0"/>
    <w:rsid w:val="00855C88"/>
    <w:rsid w:val="00857785"/>
    <w:rsid w:val="00857AD8"/>
    <w:rsid w:val="008601D6"/>
    <w:rsid w:val="008607DC"/>
    <w:rsid w:val="00860E29"/>
    <w:rsid w:val="00861300"/>
    <w:rsid w:val="00861BC4"/>
    <w:rsid w:val="00863EE0"/>
    <w:rsid w:val="00866111"/>
    <w:rsid w:val="00866651"/>
    <w:rsid w:val="00866AB6"/>
    <w:rsid w:val="008704B2"/>
    <w:rsid w:val="00872187"/>
    <w:rsid w:val="00874906"/>
    <w:rsid w:val="00874BFC"/>
    <w:rsid w:val="00876B15"/>
    <w:rsid w:val="00876B56"/>
    <w:rsid w:val="00877120"/>
    <w:rsid w:val="00880F07"/>
    <w:rsid w:val="0088161E"/>
    <w:rsid w:val="0088193E"/>
    <w:rsid w:val="00882774"/>
    <w:rsid w:val="00882B8D"/>
    <w:rsid w:val="00885AC5"/>
    <w:rsid w:val="00886F6A"/>
    <w:rsid w:val="00887D97"/>
    <w:rsid w:val="00890EBC"/>
    <w:rsid w:val="00891734"/>
    <w:rsid w:val="00895E46"/>
    <w:rsid w:val="0089622F"/>
    <w:rsid w:val="008967CB"/>
    <w:rsid w:val="008977A4"/>
    <w:rsid w:val="008A3AA0"/>
    <w:rsid w:val="008A55D4"/>
    <w:rsid w:val="008B0E1B"/>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5317"/>
    <w:rsid w:val="00916B64"/>
    <w:rsid w:val="00920C99"/>
    <w:rsid w:val="009249C3"/>
    <w:rsid w:val="00925EBF"/>
    <w:rsid w:val="00927097"/>
    <w:rsid w:val="009275AE"/>
    <w:rsid w:val="009279C7"/>
    <w:rsid w:val="00930A10"/>
    <w:rsid w:val="00931886"/>
    <w:rsid w:val="00932A91"/>
    <w:rsid w:val="009332B4"/>
    <w:rsid w:val="0093372E"/>
    <w:rsid w:val="00933E5E"/>
    <w:rsid w:val="00940847"/>
    <w:rsid w:val="00940FA6"/>
    <w:rsid w:val="0094101C"/>
    <w:rsid w:val="00941237"/>
    <w:rsid w:val="009421B0"/>
    <w:rsid w:val="0094715F"/>
    <w:rsid w:val="009514A5"/>
    <w:rsid w:val="00953549"/>
    <w:rsid w:val="00954247"/>
    <w:rsid w:val="009553E1"/>
    <w:rsid w:val="009564C7"/>
    <w:rsid w:val="0095660B"/>
    <w:rsid w:val="00956F8D"/>
    <w:rsid w:val="009572C8"/>
    <w:rsid w:val="00962870"/>
    <w:rsid w:val="00962ACC"/>
    <w:rsid w:val="00964B02"/>
    <w:rsid w:val="009661C5"/>
    <w:rsid w:val="00972900"/>
    <w:rsid w:val="00972BE1"/>
    <w:rsid w:val="00974712"/>
    <w:rsid w:val="00974ED2"/>
    <w:rsid w:val="009756CC"/>
    <w:rsid w:val="00984865"/>
    <w:rsid w:val="00985992"/>
    <w:rsid w:val="0099282F"/>
    <w:rsid w:val="00993114"/>
    <w:rsid w:val="009933AA"/>
    <w:rsid w:val="00993687"/>
    <w:rsid w:val="00994817"/>
    <w:rsid w:val="009967E9"/>
    <w:rsid w:val="00997538"/>
    <w:rsid w:val="009A048A"/>
    <w:rsid w:val="009A2809"/>
    <w:rsid w:val="009A2EF8"/>
    <w:rsid w:val="009A4256"/>
    <w:rsid w:val="009A5498"/>
    <w:rsid w:val="009A64C1"/>
    <w:rsid w:val="009B2BC0"/>
    <w:rsid w:val="009B71D8"/>
    <w:rsid w:val="009C1CE2"/>
    <w:rsid w:val="009C33B6"/>
    <w:rsid w:val="009C5D1A"/>
    <w:rsid w:val="009C64B8"/>
    <w:rsid w:val="009C672B"/>
    <w:rsid w:val="009C6EA7"/>
    <w:rsid w:val="009C79A7"/>
    <w:rsid w:val="009D1627"/>
    <w:rsid w:val="009D412F"/>
    <w:rsid w:val="009D578C"/>
    <w:rsid w:val="009D797B"/>
    <w:rsid w:val="009D7B9F"/>
    <w:rsid w:val="009E0777"/>
    <w:rsid w:val="009E1498"/>
    <w:rsid w:val="009E1C34"/>
    <w:rsid w:val="009E2FCF"/>
    <w:rsid w:val="009E3D1F"/>
    <w:rsid w:val="009E7FE7"/>
    <w:rsid w:val="009F2D22"/>
    <w:rsid w:val="009F5199"/>
    <w:rsid w:val="009F6408"/>
    <w:rsid w:val="00A00E02"/>
    <w:rsid w:val="00A01BAF"/>
    <w:rsid w:val="00A047ED"/>
    <w:rsid w:val="00A05452"/>
    <w:rsid w:val="00A077AC"/>
    <w:rsid w:val="00A07D0B"/>
    <w:rsid w:val="00A123BA"/>
    <w:rsid w:val="00A14408"/>
    <w:rsid w:val="00A14749"/>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2BA"/>
    <w:rsid w:val="00A52E4B"/>
    <w:rsid w:val="00A53075"/>
    <w:rsid w:val="00A543C4"/>
    <w:rsid w:val="00A56AFF"/>
    <w:rsid w:val="00A637BA"/>
    <w:rsid w:val="00A63F81"/>
    <w:rsid w:val="00A66FA8"/>
    <w:rsid w:val="00A70CA2"/>
    <w:rsid w:val="00A71A44"/>
    <w:rsid w:val="00A72490"/>
    <w:rsid w:val="00A7363E"/>
    <w:rsid w:val="00A77EAA"/>
    <w:rsid w:val="00A805C4"/>
    <w:rsid w:val="00A81C0E"/>
    <w:rsid w:val="00A826A4"/>
    <w:rsid w:val="00A828D4"/>
    <w:rsid w:val="00A83919"/>
    <w:rsid w:val="00A84585"/>
    <w:rsid w:val="00A84832"/>
    <w:rsid w:val="00A8542F"/>
    <w:rsid w:val="00A8631D"/>
    <w:rsid w:val="00A92B3B"/>
    <w:rsid w:val="00A92E22"/>
    <w:rsid w:val="00A95AFB"/>
    <w:rsid w:val="00AA1ED7"/>
    <w:rsid w:val="00AA2125"/>
    <w:rsid w:val="00AA7B39"/>
    <w:rsid w:val="00AB291E"/>
    <w:rsid w:val="00AB3079"/>
    <w:rsid w:val="00AB454C"/>
    <w:rsid w:val="00AC0B60"/>
    <w:rsid w:val="00AC3340"/>
    <w:rsid w:val="00AC35C8"/>
    <w:rsid w:val="00AC5579"/>
    <w:rsid w:val="00AC67E7"/>
    <w:rsid w:val="00AC77D9"/>
    <w:rsid w:val="00AD254C"/>
    <w:rsid w:val="00AD3F91"/>
    <w:rsid w:val="00AD5063"/>
    <w:rsid w:val="00AE0656"/>
    <w:rsid w:val="00AE0F5B"/>
    <w:rsid w:val="00AE17FA"/>
    <w:rsid w:val="00AE3319"/>
    <w:rsid w:val="00AE3AEB"/>
    <w:rsid w:val="00AE7FF3"/>
    <w:rsid w:val="00AF5F1C"/>
    <w:rsid w:val="00AF6CF5"/>
    <w:rsid w:val="00B0490C"/>
    <w:rsid w:val="00B05534"/>
    <w:rsid w:val="00B05CAE"/>
    <w:rsid w:val="00B070E2"/>
    <w:rsid w:val="00B12019"/>
    <w:rsid w:val="00B122D8"/>
    <w:rsid w:val="00B13624"/>
    <w:rsid w:val="00B13908"/>
    <w:rsid w:val="00B146C5"/>
    <w:rsid w:val="00B151A8"/>
    <w:rsid w:val="00B17281"/>
    <w:rsid w:val="00B20392"/>
    <w:rsid w:val="00B235BC"/>
    <w:rsid w:val="00B24221"/>
    <w:rsid w:val="00B2626C"/>
    <w:rsid w:val="00B26C7F"/>
    <w:rsid w:val="00B307F7"/>
    <w:rsid w:val="00B32CAE"/>
    <w:rsid w:val="00B3421D"/>
    <w:rsid w:val="00B35641"/>
    <w:rsid w:val="00B36173"/>
    <w:rsid w:val="00B41020"/>
    <w:rsid w:val="00B4227A"/>
    <w:rsid w:val="00B42F9A"/>
    <w:rsid w:val="00B459DA"/>
    <w:rsid w:val="00B4774B"/>
    <w:rsid w:val="00B52622"/>
    <w:rsid w:val="00B529B8"/>
    <w:rsid w:val="00B53EAE"/>
    <w:rsid w:val="00B554E2"/>
    <w:rsid w:val="00B63108"/>
    <w:rsid w:val="00B6333C"/>
    <w:rsid w:val="00B64A4E"/>
    <w:rsid w:val="00B64BC6"/>
    <w:rsid w:val="00B657A0"/>
    <w:rsid w:val="00B66875"/>
    <w:rsid w:val="00B71C05"/>
    <w:rsid w:val="00B73167"/>
    <w:rsid w:val="00B74601"/>
    <w:rsid w:val="00B756D1"/>
    <w:rsid w:val="00B7661F"/>
    <w:rsid w:val="00B76A5D"/>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0215"/>
    <w:rsid w:val="00BB1932"/>
    <w:rsid w:val="00BB3689"/>
    <w:rsid w:val="00BB471C"/>
    <w:rsid w:val="00BB4F74"/>
    <w:rsid w:val="00BB5003"/>
    <w:rsid w:val="00BB5416"/>
    <w:rsid w:val="00BB60E7"/>
    <w:rsid w:val="00BC050E"/>
    <w:rsid w:val="00BC12EE"/>
    <w:rsid w:val="00BC1489"/>
    <w:rsid w:val="00BC16D5"/>
    <w:rsid w:val="00BC203B"/>
    <w:rsid w:val="00BC33A9"/>
    <w:rsid w:val="00BC35A9"/>
    <w:rsid w:val="00BC79C9"/>
    <w:rsid w:val="00BD6DC6"/>
    <w:rsid w:val="00BE0B14"/>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1D23"/>
    <w:rsid w:val="00C22F13"/>
    <w:rsid w:val="00C22FCC"/>
    <w:rsid w:val="00C23B56"/>
    <w:rsid w:val="00C24264"/>
    <w:rsid w:val="00C2444F"/>
    <w:rsid w:val="00C26A63"/>
    <w:rsid w:val="00C30D22"/>
    <w:rsid w:val="00C31744"/>
    <w:rsid w:val="00C33666"/>
    <w:rsid w:val="00C364DD"/>
    <w:rsid w:val="00C37792"/>
    <w:rsid w:val="00C415BC"/>
    <w:rsid w:val="00C43393"/>
    <w:rsid w:val="00C44E2D"/>
    <w:rsid w:val="00C46B60"/>
    <w:rsid w:val="00C474B2"/>
    <w:rsid w:val="00C52E9B"/>
    <w:rsid w:val="00C563B6"/>
    <w:rsid w:val="00C6242D"/>
    <w:rsid w:val="00C624A2"/>
    <w:rsid w:val="00C65656"/>
    <w:rsid w:val="00C65EA2"/>
    <w:rsid w:val="00C66A53"/>
    <w:rsid w:val="00C66FB7"/>
    <w:rsid w:val="00C76490"/>
    <w:rsid w:val="00C84565"/>
    <w:rsid w:val="00C848C9"/>
    <w:rsid w:val="00C8655B"/>
    <w:rsid w:val="00C8674A"/>
    <w:rsid w:val="00C876B7"/>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C15"/>
    <w:rsid w:val="00CE2D7F"/>
    <w:rsid w:val="00CE32CD"/>
    <w:rsid w:val="00CE44DD"/>
    <w:rsid w:val="00CF2931"/>
    <w:rsid w:val="00CF3754"/>
    <w:rsid w:val="00CF3D31"/>
    <w:rsid w:val="00CF3FE8"/>
    <w:rsid w:val="00D01065"/>
    <w:rsid w:val="00D0363A"/>
    <w:rsid w:val="00D065C5"/>
    <w:rsid w:val="00D0782A"/>
    <w:rsid w:val="00D1077A"/>
    <w:rsid w:val="00D13BD7"/>
    <w:rsid w:val="00D13D0F"/>
    <w:rsid w:val="00D1446B"/>
    <w:rsid w:val="00D230C6"/>
    <w:rsid w:val="00D2649C"/>
    <w:rsid w:val="00D273BE"/>
    <w:rsid w:val="00D3252E"/>
    <w:rsid w:val="00D32643"/>
    <w:rsid w:val="00D3367B"/>
    <w:rsid w:val="00D37D3B"/>
    <w:rsid w:val="00D46749"/>
    <w:rsid w:val="00D609BA"/>
    <w:rsid w:val="00D61413"/>
    <w:rsid w:val="00D62541"/>
    <w:rsid w:val="00D64F3A"/>
    <w:rsid w:val="00D66247"/>
    <w:rsid w:val="00D66886"/>
    <w:rsid w:val="00D66F49"/>
    <w:rsid w:val="00D7284C"/>
    <w:rsid w:val="00D728CD"/>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A265B"/>
    <w:rsid w:val="00DA38B3"/>
    <w:rsid w:val="00DB0400"/>
    <w:rsid w:val="00DB0B93"/>
    <w:rsid w:val="00DB0CCC"/>
    <w:rsid w:val="00DB227F"/>
    <w:rsid w:val="00DB2BAB"/>
    <w:rsid w:val="00DB49D5"/>
    <w:rsid w:val="00DB759D"/>
    <w:rsid w:val="00DC0B72"/>
    <w:rsid w:val="00DC4E35"/>
    <w:rsid w:val="00DC578C"/>
    <w:rsid w:val="00DC6859"/>
    <w:rsid w:val="00DC6A1F"/>
    <w:rsid w:val="00DC6F92"/>
    <w:rsid w:val="00DD005B"/>
    <w:rsid w:val="00DD1747"/>
    <w:rsid w:val="00DD2133"/>
    <w:rsid w:val="00DD38F6"/>
    <w:rsid w:val="00DD4A11"/>
    <w:rsid w:val="00DD4FB9"/>
    <w:rsid w:val="00DD6266"/>
    <w:rsid w:val="00DD737B"/>
    <w:rsid w:val="00DE1033"/>
    <w:rsid w:val="00DE288F"/>
    <w:rsid w:val="00DE2BFF"/>
    <w:rsid w:val="00DE3226"/>
    <w:rsid w:val="00DE58F9"/>
    <w:rsid w:val="00DE680C"/>
    <w:rsid w:val="00DE7971"/>
    <w:rsid w:val="00DF1985"/>
    <w:rsid w:val="00DF5B31"/>
    <w:rsid w:val="00E02114"/>
    <w:rsid w:val="00E03783"/>
    <w:rsid w:val="00E0640B"/>
    <w:rsid w:val="00E06502"/>
    <w:rsid w:val="00E0716D"/>
    <w:rsid w:val="00E10E7C"/>
    <w:rsid w:val="00E15007"/>
    <w:rsid w:val="00E17769"/>
    <w:rsid w:val="00E17D72"/>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74117"/>
    <w:rsid w:val="00E75085"/>
    <w:rsid w:val="00E84AD3"/>
    <w:rsid w:val="00E8555A"/>
    <w:rsid w:val="00E907D3"/>
    <w:rsid w:val="00E9117E"/>
    <w:rsid w:val="00E91C2B"/>
    <w:rsid w:val="00E9267B"/>
    <w:rsid w:val="00E9477F"/>
    <w:rsid w:val="00E96FDC"/>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C716B"/>
    <w:rsid w:val="00ED29DF"/>
    <w:rsid w:val="00ED2A3C"/>
    <w:rsid w:val="00EE220D"/>
    <w:rsid w:val="00EE440D"/>
    <w:rsid w:val="00EE4955"/>
    <w:rsid w:val="00EE5143"/>
    <w:rsid w:val="00EE75C1"/>
    <w:rsid w:val="00EF4112"/>
    <w:rsid w:val="00EF71A5"/>
    <w:rsid w:val="00EF7399"/>
    <w:rsid w:val="00F02127"/>
    <w:rsid w:val="00F03096"/>
    <w:rsid w:val="00F04171"/>
    <w:rsid w:val="00F04CFE"/>
    <w:rsid w:val="00F04E3D"/>
    <w:rsid w:val="00F10690"/>
    <w:rsid w:val="00F1420E"/>
    <w:rsid w:val="00F14AAD"/>
    <w:rsid w:val="00F15A03"/>
    <w:rsid w:val="00F1614E"/>
    <w:rsid w:val="00F1787C"/>
    <w:rsid w:val="00F23B12"/>
    <w:rsid w:val="00F30752"/>
    <w:rsid w:val="00F3551B"/>
    <w:rsid w:val="00F43948"/>
    <w:rsid w:val="00F4432F"/>
    <w:rsid w:val="00F47A3D"/>
    <w:rsid w:val="00F47D02"/>
    <w:rsid w:val="00F518DB"/>
    <w:rsid w:val="00F53D6E"/>
    <w:rsid w:val="00F55898"/>
    <w:rsid w:val="00F55EB1"/>
    <w:rsid w:val="00F56076"/>
    <w:rsid w:val="00F620DD"/>
    <w:rsid w:val="00F6265D"/>
    <w:rsid w:val="00F646A2"/>
    <w:rsid w:val="00F65139"/>
    <w:rsid w:val="00F65BF5"/>
    <w:rsid w:val="00F70302"/>
    <w:rsid w:val="00F711BC"/>
    <w:rsid w:val="00F719A4"/>
    <w:rsid w:val="00F72A20"/>
    <w:rsid w:val="00F72AAD"/>
    <w:rsid w:val="00F72FBB"/>
    <w:rsid w:val="00F73BC2"/>
    <w:rsid w:val="00F73F3B"/>
    <w:rsid w:val="00F74775"/>
    <w:rsid w:val="00F75143"/>
    <w:rsid w:val="00F807D7"/>
    <w:rsid w:val="00F8218B"/>
    <w:rsid w:val="00F8241E"/>
    <w:rsid w:val="00F82440"/>
    <w:rsid w:val="00F83C2D"/>
    <w:rsid w:val="00F84595"/>
    <w:rsid w:val="00F848FF"/>
    <w:rsid w:val="00F8662C"/>
    <w:rsid w:val="00F90AD7"/>
    <w:rsid w:val="00F91CCE"/>
    <w:rsid w:val="00F92857"/>
    <w:rsid w:val="00F941F8"/>
    <w:rsid w:val="00F95FA0"/>
    <w:rsid w:val="00F96A93"/>
    <w:rsid w:val="00F97718"/>
    <w:rsid w:val="00F97C4A"/>
    <w:rsid w:val="00FA0066"/>
    <w:rsid w:val="00FA0553"/>
    <w:rsid w:val="00FA1207"/>
    <w:rsid w:val="00FA5EF6"/>
    <w:rsid w:val="00FA6D96"/>
    <w:rsid w:val="00FA7E59"/>
    <w:rsid w:val="00FB23C8"/>
    <w:rsid w:val="00FB438B"/>
    <w:rsid w:val="00FB5BB9"/>
    <w:rsid w:val="00FB5E2B"/>
    <w:rsid w:val="00FB671E"/>
    <w:rsid w:val="00FC070A"/>
    <w:rsid w:val="00FC3792"/>
    <w:rsid w:val="00FC6389"/>
    <w:rsid w:val="00FD2B70"/>
    <w:rsid w:val="00FD480A"/>
    <w:rsid w:val="00FD4E1C"/>
    <w:rsid w:val="00FD5A4F"/>
    <w:rsid w:val="00FE041C"/>
    <w:rsid w:val="00FE1A5B"/>
    <w:rsid w:val="00FE3166"/>
    <w:rsid w:val="00FE3EEF"/>
    <w:rsid w:val="00FE5EBF"/>
    <w:rsid w:val="00FE7AEA"/>
    <w:rsid w:val="00FF3180"/>
    <w:rsid w:val="00FF4C28"/>
    <w:rsid w:val="00FF569F"/>
    <w:rsid w:val="00FF7182"/>
    <w:rsid w:val="015D18DC"/>
    <w:rsid w:val="01852BD3"/>
    <w:rsid w:val="029E0ABC"/>
    <w:rsid w:val="02A800C5"/>
    <w:rsid w:val="02C540E4"/>
    <w:rsid w:val="03265180"/>
    <w:rsid w:val="037D0CD2"/>
    <w:rsid w:val="037E7460"/>
    <w:rsid w:val="038B3366"/>
    <w:rsid w:val="03981B5E"/>
    <w:rsid w:val="03996EAD"/>
    <w:rsid w:val="03F60BFA"/>
    <w:rsid w:val="04023CC8"/>
    <w:rsid w:val="042674F4"/>
    <w:rsid w:val="04C12ED8"/>
    <w:rsid w:val="04DC5749"/>
    <w:rsid w:val="04E26FED"/>
    <w:rsid w:val="04FD6633"/>
    <w:rsid w:val="05327E0D"/>
    <w:rsid w:val="057D5C2F"/>
    <w:rsid w:val="05871A0A"/>
    <w:rsid w:val="05A70EA9"/>
    <w:rsid w:val="05AB6D55"/>
    <w:rsid w:val="05D55D36"/>
    <w:rsid w:val="060C2525"/>
    <w:rsid w:val="06101211"/>
    <w:rsid w:val="062756FD"/>
    <w:rsid w:val="067C53E7"/>
    <w:rsid w:val="06820F5E"/>
    <w:rsid w:val="06AE2ABA"/>
    <w:rsid w:val="06B43211"/>
    <w:rsid w:val="06DD02BB"/>
    <w:rsid w:val="06E71F51"/>
    <w:rsid w:val="07050666"/>
    <w:rsid w:val="07362674"/>
    <w:rsid w:val="073B54B2"/>
    <w:rsid w:val="077B3234"/>
    <w:rsid w:val="07AE0033"/>
    <w:rsid w:val="081748AE"/>
    <w:rsid w:val="08635851"/>
    <w:rsid w:val="08C2359B"/>
    <w:rsid w:val="09041814"/>
    <w:rsid w:val="092D7BDC"/>
    <w:rsid w:val="09332D2B"/>
    <w:rsid w:val="093E2D64"/>
    <w:rsid w:val="0948649A"/>
    <w:rsid w:val="09666FCB"/>
    <w:rsid w:val="098B1DA7"/>
    <w:rsid w:val="09A31A61"/>
    <w:rsid w:val="09DE1094"/>
    <w:rsid w:val="09E2475B"/>
    <w:rsid w:val="0A062E2F"/>
    <w:rsid w:val="0A293AFE"/>
    <w:rsid w:val="0A3F34B7"/>
    <w:rsid w:val="0A4B11BE"/>
    <w:rsid w:val="0A8E5B8D"/>
    <w:rsid w:val="0AA240FA"/>
    <w:rsid w:val="0AAC0CBB"/>
    <w:rsid w:val="0AD84BD3"/>
    <w:rsid w:val="0AED4B6C"/>
    <w:rsid w:val="0B0443BA"/>
    <w:rsid w:val="0B1061C6"/>
    <w:rsid w:val="0B2B08D5"/>
    <w:rsid w:val="0B3E0C3C"/>
    <w:rsid w:val="0B616E15"/>
    <w:rsid w:val="0BB825ED"/>
    <w:rsid w:val="0BC0647C"/>
    <w:rsid w:val="0BD22464"/>
    <w:rsid w:val="0BF26817"/>
    <w:rsid w:val="0BF60EA6"/>
    <w:rsid w:val="0C22464A"/>
    <w:rsid w:val="0C4D7C21"/>
    <w:rsid w:val="0C623EAC"/>
    <w:rsid w:val="0CAD24AF"/>
    <w:rsid w:val="0CB61617"/>
    <w:rsid w:val="0CD9129D"/>
    <w:rsid w:val="0D662EE5"/>
    <w:rsid w:val="0D9339BE"/>
    <w:rsid w:val="0D9F0DC4"/>
    <w:rsid w:val="0DDE695A"/>
    <w:rsid w:val="0E2D072E"/>
    <w:rsid w:val="0E3B295D"/>
    <w:rsid w:val="0E47249B"/>
    <w:rsid w:val="0E551882"/>
    <w:rsid w:val="0E8A0CB9"/>
    <w:rsid w:val="0E9E2292"/>
    <w:rsid w:val="0ECE05C2"/>
    <w:rsid w:val="0F4C19DA"/>
    <w:rsid w:val="0F4C7D05"/>
    <w:rsid w:val="0F5F17BD"/>
    <w:rsid w:val="0F90531D"/>
    <w:rsid w:val="0FAD64B5"/>
    <w:rsid w:val="0FEB1B4B"/>
    <w:rsid w:val="0FFF5930"/>
    <w:rsid w:val="10421816"/>
    <w:rsid w:val="10A265EF"/>
    <w:rsid w:val="10D206F5"/>
    <w:rsid w:val="10D97FB4"/>
    <w:rsid w:val="11485B0D"/>
    <w:rsid w:val="117076B2"/>
    <w:rsid w:val="11D56D08"/>
    <w:rsid w:val="125E1A9C"/>
    <w:rsid w:val="126C604E"/>
    <w:rsid w:val="1276289F"/>
    <w:rsid w:val="127D3F3D"/>
    <w:rsid w:val="1288522D"/>
    <w:rsid w:val="129D6A95"/>
    <w:rsid w:val="12AF4046"/>
    <w:rsid w:val="12CE506D"/>
    <w:rsid w:val="12F65490"/>
    <w:rsid w:val="12F73D2A"/>
    <w:rsid w:val="13084B91"/>
    <w:rsid w:val="13112273"/>
    <w:rsid w:val="132B2FE3"/>
    <w:rsid w:val="1347361C"/>
    <w:rsid w:val="13511DF6"/>
    <w:rsid w:val="138B4634"/>
    <w:rsid w:val="138F1214"/>
    <w:rsid w:val="13D101C7"/>
    <w:rsid w:val="13D65F2A"/>
    <w:rsid w:val="1400440E"/>
    <w:rsid w:val="144729D8"/>
    <w:rsid w:val="14894722"/>
    <w:rsid w:val="14AB614D"/>
    <w:rsid w:val="15507C7E"/>
    <w:rsid w:val="15664AEF"/>
    <w:rsid w:val="158E23E1"/>
    <w:rsid w:val="159D7EA6"/>
    <w:rsid w:val="159F1BF9"/>
    <w:rsid w:val="160B0227"/>
    <w:rsid w:val="16CF02A2"/>
    <w:rsid w:val="16F512D4"/>
    <w:rsid w:val="16F7406D"/>
    <w:rsid w:val="1705300C"/>
    <w:rsid w:val="17081A7A"/>
    <w:rsid w:val="17292C0C"/>
    <w:rsid w:val="176F50FE"/>
    <w:rsid w:val="1777655D"/>
    <w:rsid w:val="17DD0B49"/>
    <w:rsid w:val="181C1400"/>
    <w:rsid w:val="18223BBF"/>
    <w:rsid w:val="18D435BC"/>
    <w:rsid w:val="19BA69A5"/>
    <w:rsid w:val="19DF6D3F"/>
    <w:rsid w:val="19E24459"/>
    <w:rsid w:val="19FB72C6"/>
    <w:rsid w:val="1A3D7EBE"/>
    <w:rsid w:val="1A4353A0"/>
    <w:rsid w:val="1A9C5527"/>
    <w:rsid w:val="1B075A0C"/>
    <w:rsid w:val="1B5D08E8"/>
    <w:rsid w:val="1B67066F"/>
    <w:rsid w:val="1B7229E4"/>
    <w:rsid w:val="1B7A5EC7"/>
    <w:rsid w:val="1BA35EDC"/>
    <w:rsid w:val="1BE70A37"/>
    <w:rsid w:val="1C0E4624"/>
    <w:rsid w:val="1CB30939"/>
    <w:rsid w:val="1CE1678B"/>
    <w:rsid w:val="1CF6260F"/>
    <w:rsid w:val="1CF83AEA"/>
    <w:rsid w:val="1D6914D5"/>
    <w:rsid w:val="1D7E09CF"/>
    <w:rsid w:val="1E647E98"/>
    <w:rsid w:val="1E7F32B0"/>
    <w:rsid w:val="1EBB622E"/>
    <w:rsid w:val="1EEA13A6"/>
    <w:rsid w:val="1EFE64E9"/>
    <w:rsid w:val="1F6207D0"/>
    <w:rsid w:val="1F7237CF"/>
    <w:rsid w:val="1FAF4CBE"/>
    <w:rsid w:val="1FE1627D"/>
    <w:rsid w:val="1FEA603B"/>
    <w:rsid w:val="20293E2F"/>
    <w:rsid w:val="206E3E8E"/>
    <w:rsid w:val="20817D3B"/>
    <w:rsid w:val="208247DE"/>
    <w:rsid w:val="2093114F"/>
    <w:rsid w:val="209B57AA"/>
    <w:rsid w:val="20A87B06"/>
    <w:rsid w:val="20D83D6E"/>
    <w:rsid w:val="20EA6084"/>
    <w:rsid w:val="20F01139"/>
    <w:rsid w:val="20F1461D"/>
    <w:rsid w:val="212B522B"/>
    <w:rsid w:val="21736537"/>
    <w:rsid w:val="21913B1B"/>
    <w:rsid w:val="21977807"/>
    <w:rsid w:val="219D77BC"/>
    <w:rsid w:val="226827C0"/>
    <w:rsid w:val="227C6EFF"/>
    <w:rsid w:val="22942795"/>
    <w:rsid w:val="22A10D06"/>
    <w:rsid w:val="22E46F4A"/>
    <w:rsid w:val="22EE5862"/>
    <w:rsid w:val="22F20159"/>
    <w:rsid w:val="2334417B"/>
    <w:rsid w:val="23486890"/>
    <w:rsid w:val="23580AD3"/>
    <w:rsid w:val="23740A8B"/>
    <w:rsid w:val="23AB4CDF"/>
    <w:rsid w:val="23C37A75"/>
    <w:rsid w:val="23D964C1"/>
    <w:rsid w:val="23EB6BB8"/>
    <w:rsid w:val="240F3CB0"/>
    <w:rsid w:val="24150FE7"/>
    <w:rsid w:val="24436391"/>
    <w:rsid w:val="2456054B"/>
    <w:rsid w:val="24AD6D9A"/>
    <w:rsid w:val="254A5C25"/>
    <w:rsid w:val="25757B41"/>
    <w:rsid w:val="2584633F"/>
    <w:rsid w:val="259E376E"/>
    <w:rsid w:val="25E82995"/>
    <w:rsid w:val="26154215"/>
    <w:rsid w:val="26666FDC"/>
    <w:rsid w:val="26B267E7"/>
    <w:rsid w:val="26C80CCF"/>
    <w:rsid w:val="26F65310"/>
    <w:rsid w:val="27020634"/>
    <w:rsid w:val="27352534"/>
    <w:rsid w:val="27357F9F"/>
    <w:rsid w:val="27AC1848"/>
    <w:rsid w:val="27EF1935"/>
    <w:rsid w:val="280A1B75"/>
    <w:rsid w:val="280A2788"/>
    <w:rsid w:val="28125B4F"/>
    <w:rsid w:val="283124FC"/>
    <w:rsid w:val="283962F8"/>
    <w:rsid w:val="290212C1"/>
    <w:rsid w:val="29403128"/>
    <w:rsid w:val="29656DCE"/>
    <w:rsid w:val="298B4B23"/>
    <w:rsid w:val="29C037B7"/>
    <w:rsid w:val="29D875FE"/>
    <w:rsid w:val="2A0A0411"/>
    <w:rsid w:val="2A0B0B39"/>
    <w:rsid w:val="2A194E5D"/>
    <w:rsid w:val="2A594BC2"/>
    <w:rsid w:val="2A802E9E"/>
    <w:rsid w:val="2AA90FA0"/>
    <w:rsid w:val="2AB53836"/>
    <w:rsid w:val="2AD215C5"/>
    <w:rsid w:val="2B0C402E"/>
    <w:rsid w:val="2B552F60"/>
    <w:rsid w:val="2BB1321F"/>
    <w:rsid w:val="2BB367B9"/>
    <w:rsid w:val="2C184D47"/>
    <w:rsid w:val="2C300C99"/>
    <w:rsid w:val="2C796A89"/>
    <w:rsid w:val="2CBD3A96"/>
    <w:rsid w:val="2CC74339"/>
    <w:rsid w:val="2CCE1414"/>
    <w:rsid w:val="2CF93ABF"/>
    <w:rsid w:val="2D1E27A3"/>
    <w:rsid w:val="2D48F31F"/>
    <w:rsid w:val="2D766528"/>
    <w:rsid w:val="2DC01BA9"/>
    <w:rsid w:val="2DC94DE9"/>
    <w:rsid w:val="2DD5633D"/>
    <w:rsid w:val="2E6A704D"/>
    <w:rsid w:val="2E8A6255"/>
    <w:rsid w:val="2F0B1048"/>
    <w:rsid w:val="2F141AAA"/>
    <w:rsid w:val="2F3D2B31"/>
    <w:rsid w:val="2F707444"/>
    <w:rsid w:val="2F8A7D2E"/>
    <w:rsid w:val="2FF23F99"/>
    <w:rsid w:val="30236367"/>
    <w:rsid w:val="30331BC6"/>
    <w:rsid w:val="303D7D5E"/>
    <w:rsid w:val="303E7E03"/>
    <w:rsid w:val="304732FA"/>
    <w:rsid w:val="304A182B"/>
    <w:rsid w:val="3052069C"/>
    <w:rsid w:val="30757C00"/>
    <w:rsid w:val="307D5D65"/>
    <w:rsid w:val="30B34CE3"/>
    <w:rsid w:val="30CB1C83"/>
    <w:rsid w:val="31341609"/>
    <w:rsid w:val="31832D29"/>
    <w:rsid w:val="31AE3364"/>
    <w:rsid w:val="31D20CDE"/>
    <w:rsid w:val="31F37E23"/>
    <w:rsid w:val="32223DC6"/>
    <w:rsid w:val="32584127"/>
    <w:rsid w:val="329032EF"/>
    <w:rsid w:val="329970EF"/>
    <w:rsid w:val="32A63A63"/>
    <w:rsid w:val="32B35AAA"/>
    <w:rsid w:val="334459AC"/>
    <w:rsid w:val="33705A64"/>
    <w:rsid w:val="33F44ABC"/>
    <w:rsid w:val="342645AD"/>
    <w:rsid w:val="34335C8F"/>
    <w:rsid w:val="345E211C"/>
    <w:rsid w:val="34617CD8"/>
    <w:rsid w:val="34731A2E"/>
    <w:rsid w:val="34A61339"/>
    <w:rsid w:val="34F3793E"/>
    <w:rsid w:val="35185DCE"/>
    <w:rsid w:val="35574E9C"/>
    <w:rsid w:val="35712E34"/>
    <w:rsid w:val="35ED793B"/>
    <w:rsid w:val="35F25212"/>
    <w:rsid w:val="366C082D"/>
    <w:rsid w:val="36C90DD1"/>
    <w:rsid w:val="3703397C"/>
    <w:rsid w:val="37704489"/>
    <w:rsid w:val="37925427"/>
    <w:rsid w:val="37A55DCC"/>
    <w:rsid w:val="37CA04FF"/>
    <w:rsid w:val="37EE7ED1"/>
    <w:rsid w:val="388071B1"/>
    <w:rsid w:val="38AD49B0"/>
    <w:rsid w:val="394C68A5"/>
    <w:rsid w:val="395E479A"/>
    <w:rsid w:val="39A36C2D"/>
    <w:rsid w:val="39AA29B9"/>
    <w:rsid w:val="39C9079C"/>
    <w:rsid w:val="39DA3FF3"/>
    <w:rsid w:val="39E71AEC"/>
    <w:rsid w:val="39F60058"/>
    <w:rsid w:val="3A104089"/>
    <w:rsid w:val="3A11506E"/>
    <w:rsid w:val="3A6B1ECF"/>
    <w:rsid w:val="3AA14ABB"/>
    <w:rsid w:val="3AB8426E"/>
    <w:rsid w:val="3AC00C08"/>
    <w:rsid w:val="3ACF765C"/>
    <w:rsid w:val="3AD278CD"/>
    <w:rsid w:val="3AEC4EB5"/>
    <w:rsid w:val="3AFA4BE5"/>
    <w:rsid w:val="3B144639"/>
    <w:rsid w:val="3B2A44B8"/>
    <w:rsid w:val="3B2B6476"/>
    <w:rsid w:val="3B5C582D"/>
    <w:rsid w:val="3B710987"/>
    <w:rsid w:val="3BBC038E"/>
    <w:rsid w:val="3C852047"/>
    <w:rsid w:val="3CA13116"/>
    <w:rsid w:val="3CA925AE"/>
    <w:rsid w:val="3CD1792F"/>
    <w:rsid w:val="3CF877AB"/>
    <w:rsid w:val="3D306CB2"/>
    <w:rsid w:val="3D667959"/>
    <w:rsid w:val="3D8230F2"/>
    <w:rsid w:val="3D886E2C"/>
    <w:rsid w:val="3DA15114"/>
    <w:rsid w:val="3DD83D60"/>
    <w:rsid w:val="3E044CAE"/>
    <w:rsid w:val="3E7918AA"/>
    <w:rsid w:val="3E7E078C"/>
    <w:rsid w:val="3E8A248B"/>
    <w:rsid w:val="3EAD4174"/>
    <w:rsid w:val="3EAD7F9C"/>
    <w:rsid w:val="3EB32892"/>
    <w:rsid w:val="3EBC3336"/>
    <w:rsid w:val="3F064AE9"/>
    <w:rsid w:val="3F143319"/>
    <w:rsid w:val="3F3B0C43"/>
    <w:rsid w:val="3F4C62B0"/>
    <w:rsid w:val="3F5160C2"/>
    <w:rsid w:val="3FB1022D"/>
    <w:rsid w:val="3FE828DE"/>
    <w:rsid w:val="3FF15736"/>
    <w:rsid w:val="3FF62BD6"/>
    <w:rsid w:val="402A34B8"/>
    <w:rsid w:val="40360CD1"/>
    <w:rsid w:val="40613E30"/>
    <w:rsid w:val="40736573"/>
    <w:rsid w:val="409B4A07"/>
    <w:rsid w:val="40F66678"/>
    <w:rsid w:val="4120577A"/>
    <w:rsid w:val="4167053C"/>
    <w:rsid w:val="416C3831"/>
    <w:rsid w:val="41F35F71"/>
    <w:rsid w:val="41FD121E"/>
    <w:rsid w:val="421A7627"/>
    <w:rsid w:val="4233112B"/>
    <w:rsid w:val="42BE4FDA"/>
    <w:rsid w:val="42F25864"/>
    <w:rsid w:val="432F7565"/>
    <w:rsid w:val="43352B14"/>
    <w:rsid w:val="43702851"/>
    <w:rsid w:val="4424604A"/>
    <w:rsid w:val="445014AB"/>
    <w:rsid w:val="44FE409C"/>
    <w:rsid w:val="454F0B76"/>
    <w:rsid w:val="457E2BBE"/>
    <w:rsid w:val="45D43F84"/>
    <w:rsid w:val="45DB35CC"/>
    <w:rsid w:val="45E076C0"/>
    <w:rsid w:val="4662498C"/>
    <w:rsid w:val="46A022D9"/>
    <w:rsid w:val="46A9554B"/>
    <w:rsid w:val="46AC5AA6"/>
    <w:rsid w:val="46BE1A6C"/>
    <w:rsid w:val="46D7175B"/>
    <w:rsid w:val="471B3499"/>
    <w:rsid w:val="47BF92BA"/>
    <w:rsid w:val="48037A8A"/>
    <w:rsid w:val="48377D23"/>
    <w:rsid w:val="486405C2"/>
    <w:rsid w:val="486634EE"/>
    <w:rsid w:val="48807890"/>
    <w:rsid w:val="48A64B98"/>
    <w:rsid w:val="48BC156D"/>
    <w:rsid w:val="48F765BE"/>
    <w:rsid w:val="491242F8"/>
    <w:rsid w:val="49320F23"/>
    <w:rsid w:val="49DD73AE"/>
    <w:rsid w:val="49F95BD6"/>
    <w:rsid w:val="4A2D058F"/>
    <w:rsid w:val="4AD703A4"/>
    <w:rsid w:val="4AEC1DD8"/>
    <w:rsid w:val="4B6D5DC5"/>
    <w:rsid w:val="4B6F7F5B"/>
    <w:rsid w:val="4B86504E"/>
    <w:rsid w:val="4BD07B58"/>
    <w:rsid w:val="4BF97BFE"/>
    <w:rsid w:val="4C3176AB"/>
    <w:rsid w:val="4C6E278E"/>
    <w:rsid w:val="4C6E5ABC"/>
    <w:rsid w:val="4CF73C3A"/>
    <w:rsid w:val="4D7251FF"/>
    <w:rsid w:val="4E330228"/>
    <w:rsid w:val="4E472C92"/>
    <w:rsid w:val="4E6B6E72"/>
    <w:rsid w:val="4E9D5C2D"/>
    <w:rsid w:val="4EBA57C1"/>
    <w:rsid w:val="4F0E39D4"/>
    <w:rsid w:val="4FA91AAC"/>
    <w:rsid w:val="4FBD0FF5"/>
    <w:rsid w:val="4FC854D7"/>
    <w:rsid w:val="50142DE1"/>
    <w:rsid w:val="5015687B"/>
    <w:rsid w:val="501926CA"/>
    <w:rsid w:val="505E3D68"/>
    <w:rsid w:val="50864577"/>
    <w:rsid w:val="5094143C"/>
    <w:rsid w:val="509C7E88"/>
    <w:rsid w:val="515C507C"/>
    <w:rsid w:val="516A440A"/>
    <w:rsid w:val="51791341"/>
    <w:rsid w:val="51C42E16"/>
    <w:rsid w:val="51D7FD52"/>
    <w:rsid w:val="525351F4"/>
    <w:rsid w:val="525A6FBC"/>
    <w:rsid w:val="526C0997"/>
    <w:rsid w:val="52B77B16"/>
    <w:rsid w:val="533D33D1"/>
    <w:rsid w:val="53426A39"/>
    <w:rsid w:val="53670B33"/>
    <w:rsid w:val="53775B6A"/>
    <w:rsid w:val="53D43855"/>
    <w:rsid w:val="53EE1101"/>
    <w:rsid w:val="53F32F94"/>
    <w:rsid w:val="53FC4E8E"/>
    <w:rsid w:val="541717DC"/>
    <w:rsid w:val="54446DEC"/>
    <w:rsid w:val="55101B29"/>
    <w:rsid w:val="553C46BA"/>
    <w:rsid w:val="55494082"/>
    <w:rsid w:val="557D5B60"/>
    <w:rsid w:val="55834A19"/>
    <w:rsid w:val="55D967A1"/>
    <w:rsid w:val="55F526C6"/>
    <w:rsid w:val="56066DC9"/>
    <w:rsid w:val="564031D9"/>
    <w:rsid w:val="564E1228"/>
    <w:rsid w:val="56A6131D"/>
    <w:rsid w:val="56A82B00"/>
    <w:rsid w:val="56BC5AD0"/>
    <w:rsid w:val="56D00C68"/>
    <w:rsid w:val="57895A45"/>
    <w:rsid w:val="57C5313B"/>
    <w:rsid w:val="57D807D4"/>
    <w:rsid w:val="57EA7969"/>
    <w:rsid w:val="582330AF"/>
    <w:rsid w:val="58750691"/>
    <w:rsid w:val="58AB575D"/>
    <w:rsid w:val="58CB2521"/>
    <w:rsid w:val="590B3D71"/>
    <w:rsid w:val="59201FD4"/>
    <w:rsid w:val="592A07FF"/>
    <w:rsid w:val="59445F91"/>
    <w:rsid w:val="59815208"/>
    <w:rsid w:val="59F001A4"/>
    <w:rsid w:val="5A1E2DE7"/>
    <w:rsid w:val="5A7723FC"/>
    <w:rsid w:val="5B123FA7"/>
    <w:rsid w:val="5B264EAA"/>
    <w:rsid w:val="5B613C0E"/>
    <w:rsid w:val="5B913B2C"/>
    <w:rsid w:val="5BCA6564"/>
    <w:rsid w:val="5C1E3775"/>
    <w:rsid w:val="5C381264"/>
    <w:rsid w:val="5C4C690E"/>
    <w:rsid w:val="5C672644"/>
    <w:rsid w:val="5C8132C7"/>
    <w:rsid w:val="5CA23A25"/>
    <w:rsid w:val="5CC26330"/>
    <w:rsid w:val="5CD67F41"/>
    <w:rsid w:val="5D017C51"/>
    <w:rsid w:val="5D463591"/>
    <w:rsid w:val="5D4F2A78"/>
    <w:rsid w:val="5D792AE4"/>
    <w:rsid w:val="5D86691C"/>
    <w:rsid w:val="5DA82A96"/>
    <w:rsid w:val="5DAC3635"/>
    <w:rsid w:val="5DF91E52"/>
    <w:rsid w:val="5E2F58D3"/>
    <w:rsid w:val="5E4222CF"/>
    <w:rsid w:val="5E5A06FD"/>
    <w:rsid w:val="5E6D3270"/>
    <w:rsid w:val="5E7E2B8A"/>
    <w:rsid w:val="5E9342EC"/>
    <w:rsid w:val="5EDB0D1E"/>
    <w:rsid w:val="5EFC5C52"/>
    <w:rsid w:val="5F1E4EC5"/>
    <w:rsid w:val="5F3815EE"/>
    <w:rsid w:val="5F5C32D6"/>
    <w:rsid w:val="600E788A"/>
    <w:rsid w:val="602C0F1F"/>
    <w:rsid w:val="60375D41"/>
    <w:rsid w:val="604130CF"/>
    <w:rsid w:val="60794FD4"/>
    <w:rsid w:val="60814FEF"/>
    <w:rsid w:val="60D32F5A"/>
    <w:rsid w:val="610E2B4C"/>
    <w:rsid w:val="61DE43D4"/>
    <w:rsid w:val="61E06967"/>
    <w:rsid w:val="624216A0"/>
    <w:rsid w:val="626736F9"/>
    <w:rsid w:val="628E1BE9"/>
    <w:rsid w:val="62D06FF9"/>
    <w:rsid w:val="62D765EB"/>
    <w:rsid w:val="636B22CC"/>
    <w:rsid w:val="637B1D2E"/>
    <w:rsid w:val="637F4381"/>
    <w:rsid w:val="63B65AC7"/>
    <w:rsid w:val="63D7428B"/>
    <w:rsid w:val="640C4C0D"/>
    <w:rsid w:val="645830D7"/>
    <w:rsid w:val="647258C3"/>
    <w:rsid w:val="64AA2E73"/>
    <w:rsid w:val="64BB489D"/>
    <w:rsid w:val="64E8446E"/>
    <w:rsid w:val="64EF332E"/>
    <w:rsid w:val="65376B47"/>
    <w:rsid w:val="654042F5"/>
    <w:rsid w:val="655B1BDC"/>
    <w:rsid w:val="660447CA"/>
    <w:rsid w:val="665622BC"/>
    <w:rsid w:val="665E5759"/>
    <w:rsid w:val="666C4EE6"/>
    <w:rsid w:val="66FB0FDC"/>
    <w:rsid w:val="66FC5AFF"/>
    <w:rsid w:val="67BA7741"/>
    <w:rsid w:val="67F4293F"/>
    <w:rsid w:val="680D0CA5"/>
    <w:rsid w:val="684539A1"/>
    <w:rsid w:val="686D5EAE"/>
    <w:rsid w:val="68A45648"/>
    <w:rsid w:val="68A5668C"/>
    <w:rsid w:val="68C528A6"/>
    <w:rsid w:val="6911241F"/>
    <w:rsid w:val="69145B6D"/>
    <w:rsid w:val="691722BE"/>
    <w:rsid w:val="6918360E"/>
    <w:rsid w:val="69A578CA"/>
    <w:rsid w:val="69B67115"/>
    <w:rsid w:val="69EF53B4"/>
    <w:rsid w:val="6A126DD2"/>
    <w:rsid w:val="6A254DE4"/>
    <w:rsid w:val="6A420E56"/>
    <w:rsid w:val="6A84533B"/>
    <w:rsid w:val="6A924E32"/>
    <w:rsid w:val="6A94008C"/>
    <w:rsid w:val="6AC954A6"/>
    <w:rsid w:val="6AE60947"/>
    <w:rsid w:val="6B0B374F"/>
    <w:rsid w:val="6B1F0CCB"/>
    <w:rsid w:val="6B6234E5"/>
    <w:rsid w:val="6BBD11F5"/>
    <w:rsid w:val="6BCE12DE"/>
    <w:rsid w:val="6BD12800"/>
    <w:rsid w:val="6C5E02FC"/>
    <w:rsid w:val="6C721812"/>
    <w:rsid w:val="6C8B0F52"/>
    <w:rsid w:val="6C967106"/>
    <w:rsid w:val="6CA96F60"/>
    <w:rsid w:val="6CDD0DD0"/>
    <w:rsid w:val="6D0127E4"/>
    <w:rsid w:val="6D19028F"/>
    <w:rsid w:val="6D1C168A"/>
    <w:rsid w:val="6D3668DD"/>
    <w:rsid w:val="6D6A002E"/>
    <w:rsid w:val="6DA3EF94"/>
    <w:rsid w:val="6DB941BD"/>
    <w:rsid w:val="6E0365A1"/>
    <w:rsid w:val="6E5F1098"/>
    <w:rsid w:val="6EA41FA2"/>
    <w:rsid w:val="6EFF71E5"/>
    <w:rsid w:val="6F381CAC"/>
    <w:rsid w:val="6F9C6902"/>
    <w:rsid w:val="6FA0729C"/>
    <w:rsid w:val="70100CA2"/>
    <w:rsid w:val="701769DC"/>
    <w:rsid w:val="70393572"/>
    <w:rsid w:val="70A24D48"/>
    <w:rsid w:val="70BA64EF"/>
    <w:rsid w:val="70C900DF"/>
    <w:rsid w:val="71326D32"/>
    <w:rsid w:val="713623DF"/>
    <w:rsid w:val="715A596A"/>
    <w:rsid w:val="717C247D"/>
    <w:rsid w:val="71816B8E"/>
    <w:rsid w:val="71832D29"/>
    <w:rsid w:val="71907818"/>
    <w:rsid w:val="71971329"/>
    <w:rsid w:val="71E95916"/>
    <w:rsid w:val="72206AAD"/>
    <w:rsid w:val="7250588C"/>
    <w:rsid w:val="726F5278"/>
    <w:rsid w:val="727E786A"/>
    <w:rsid w:val="72AB5D72"/>
    <w:rsid w:val="72BD0544"/>
    <w:rsid w:val="72C0472D"/>
    <w:rsid w:val="72D11D5C"/>
    <w:rsid w:val="72E85DAD"/>
    <w:rsid w:val="73075667"/>
    <w:rsid w:val="730B14BE"/>
    <w:rsid w:val="732303D9"/>
    <w:rsid w:val="733A6A18"/>
    <w:rsid w:val="73412411"/>
    <w:rsid w:val="73532CC9"/>
    <w:rsid w:val="74122000"/>
    <w:rsid w:val="744975DD"/>
    <w:rsid w:val="746920A5"/>
    <w:rsid w:val="748527D2"/>
    <w:rsid w:val="748A4618"/>
    <w:rsid w:val="74C52CCA"/>
    <w:rsid w:val="74DE73F5"/>
    <w:rsid w:val="74F87447"/>
    <w:rsid w:val="752A7E05"/>
    <w:rsid w:val="755169C7"/>
    <w:rsid w:val="75D07F8B"/>
    <w:rsid w:val="75EE5669"/>
    <w:rsid w:val="768F7938"/>
    <w:rsid w:val="76957051"/>
    <w:rsid w:val="76BF34B5"/>
    <w:rsid w:val="773E064E"/>
    <w:rsid w:val="774E1211"/>
    <w:rsid w:val="777B71D8"/>
    <w:rsid w:val="77A54D53"/>
    <w:rsid w:val="77FC6767"/>
    <w:rsid w:val="781734D9"/>
    <w:rsid w:val="781A0BEC"/>
    <w:rsid w:val="78202415"/>
    <w:rsid w:val="78213FC9"/>
    <w:rsid w:val="783B1525"/>
    <w:rsid w:val="78701D9C"/>
    <w:rsid w:val="78801C2E"/>
    <w:rsid w:val="799F9C8C"/>
    <w:rsid w:val="79EB1329"/>
    <w:rsid w:val="7A0C1011"/>
    <w:rsid w:val="7A0E7A81"/>
    <w:rsid w:val="7A321CDB"/>
    <w:rsid w:val="7A6E32C8"/>
    <w:rsid w:val="7A826CCE"/>
    <w:rsid w:val="7AC900CF"/>
    <w:rsid w:val="7B052FBD"/>
    <w:rsid w:val="7B5A5A6C"/>
    <w:rsid w:val="7B5C250E"/>
    <w:rsid w:val="7B5D162F"/>
    <w:rsid w:val="7B6D0F87"/>
    <w:rsid w:val="7B783FD8"/>
    <w:rsid w:val="7B9A3DB8"/>
    <w:rsid w:val="7BEC720D"/>
    <w:rsid w:val="7BF20E1E"/>
    <w:rsid w:val="7C9408F4"/>
    <w:rsid w:val="7CB90CC2"/>
    <w:rsid w:val="7CD20C3B"/>
    <w:rsid w:val="7CFB2CE9"/>
    <w:rsid w:val="7D212CA5"/>
    <w:rsid w:val="7D255EE2"/>
    <w:rsid w:val="7D293184"/>
    <w:rsid w:val="7D69777E"/>
    <w:rsid w:val="7DB34706"/>
    <w:rsid w:val="7E1A0A9F"/>
    <w:rsid w:val="7E3C401A"/>
    <w:rsid w:val="7E641213"/>
    <w:rsid w:val="7E64269E"/>
    <w:rsid w:val="7E8D0C00"/>
    <w:rsid w:val="7E9B4891"/>
    <w:rsid w:val="7EF34773"/>
    <w:rsid w:val="7F0D08DC"/>
    <w:rsid w:val="7F4029E3"/>
    <w:rsid w:val="7F714EE5"/>
    <w:rsid w:val="7F7F2734"/>
    <w:rsid w:val="7FA63F96"/>
    <w:rsid w:val="7FB9287C"/>
    <w:rsid w:val="7FCC47FD"/>
    <w:rsid w:val="7FFB1B6E"/>
    <w:rsid w:val="BDDD50CE"/>
    <w:rsid w:val="D9FF5B81"/>
    <w:rsid w:val="ED79BD4C"/>
    <w:rsid w:val="F3A73DC7"/>
    <w:rsid w:val="FCFFD26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7"/>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6"/>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1"/>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8"/>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8"/>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0"/>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szCs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Normal Indent"/>
    <w:basedOn w:val="1"/>
    <w:link w:val="68"/>
    <w:qFormat/>
    <w:uiPriority w:val="0"/>
    <w:pPr>
      <w:ind w:firstLine="420" w:firstLineChars="200"/>
    </w:pPr>
  </w:style>
  <w:style w:type="paragraph" w:styleId="13">
    <w:name w:val="Document Map"/>
    <w:basedOn w:val="1"/>
    <w:link w:val="75"/>
    <w:qFormat/>
    <w:uiPriority w:val="0"/>
    <w:pPr>
      <w:shd w:val="clear" w:color="auto" w:fill="000080"/>
    </w:pPr>
    <w:rPr>
      <w:kern w:val="0"/>
      <w:sz w:val="20"/>
    </w:rPr>
  </w:style>
  <w:style w:type="paragraph" w:styleId="14">
    <w:name w:val="annotation text"/>
    <w:basedOn w:val="1"/>
    <w:link w:val="57"/>
    <w:unhideWhenUsed/>
    <w:qFormat/>
    <w:uiPriority w:val="99"/>
    <w:pPr>
      <w:jc w:val="left"/>
    </w:pPr>
    <w:rPr>
      <w:kern w:val="0"/>
      <w:sz w:val="20"/>
    </w:rPr>
  </w:style>
  <w:style w:type="paragraph" w:styleId="15">
    <w:name w:val="Body Text 3"/>
    <w:basedOn w:val="1"/>
    <w:link w:val="61"/>
    <w:qFormat/>
    <w:uiPriority w:val="0"/>
    <w:rPr>
      <w:rFonts w:ascii="宋体"/>
      <w:kern w:val="0"/>
      <w:sz w:val="24"/>
      <w:szCs w:val="20"/>
    </w:rPr>
  </w:style>
  <w:style w:type="paragraph" w:styleId="16">
    <w:name w:val="Body Text"/>
    <w:basedOn w:val="1"/>
    <w:next w:val="1"/>
    <w:link w:val="64"/>
    <w:qFormat/>
    <w:uiPriority w:val="0"/>
    <w:pPr>
      <w:spacing w:after="120"/>
    </w:pPr>
    <w:rPr>
      <w:kern w:val="0"/>
      <w:sz w:val="20"/>
    </w:rPr>
  </w:style>
  <w:style w:type="paragraph" w:styleId="17">
    <w:name w:val="Body Text Indent"/>
    <w:basedOn w:val="1"/>
    <w:link w:val="74"/>
    <w:qFormat/>
    <w:uiPriority w:val="0"/>
    <w:pPr>
      <w:spacing w:after="120"/>
      <w:ind w:left="420" w:leftChars="200"/>
    </w:pPr>
    <w:rPr>
      <w:kern w:val="0"/>
      <w:sz w:val="20"/>
    </w:rPr>
  </w:style>
  <w:style w:type="paragraph" w:styleId="1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9">
    <w:name w:val="toc 5"/>
    <w:basedOn w:val="1"/>
    <w:next w:val="1"/>
    <w:qFormat/>
    <w:uiPriority w:val="39"/>
    <w:pPr>
      <w:ind w:left="840"/>
      <w:jc w:val="left"/>
    </w:pPr>
    <w:rPr>
      <w:rFonts w:ascii="Calibri" w:hAnsi="Calibri"/>
      <w:sz w:val="18"/>
      <w:szCs w:val="18"/>
    </w:rPr>
  </w:style>
  <w:style w:type="paragraph" w:styleId="20">
    <w:name w:val="toc 3"/>
    <w:basedOn w:val="1"/>
    <w:next w:val="1"/>
    <w:qFormat/>
    <w:uiPriority w:val="39"/>
    <w:pPr>
      <w:ind w:left="420"/>
      <w:jc w:val="left"/>
    </w:pPr>
    <w:rPr>
      <w:rFonts w:ascii="Calibri" w:hAnsi="Calibri"/>
      <w:i/>
      <w:iCs/>
      <w:sz w:val="20"/>
      <w:szCs w:val="20"/>
    </w:rPr>
  </w:style>
  <w:style w:type="paragraph" w:styleId="21">
    <w:name w:val="Plain Text"/>
    <w:basedOn w:val="1"/>
    <w:link w:val="97"/>
    <w:qFormat/>
    <w:uiPriority w:val="99"/>
    <w:rPr>
      <w:rFonts w:ascii="Courier New" w:hAnsi="Courier New"/>
      <w:kern w:val="0"/>
      <w:sz w:val="20"/>
      <w:szCs w:val="20"/>
    </w:rPr>
  </w:style>
  <w:style w:type="paragraph" w:styleId="22">
    <w:name w:val="toc 8"/>
    <w:basedOn w:val="1"/>
    <w:next w:val="1"/>
    <w:qFormat/>
    <w:uiPriority w:val="39"/>
    <w:pPr>
      <w:ind w:left="1470"/>
      <w:jc w:val="left"/>
    </w:pPr>
    <w:rPr>
      <w:rFonts w:ascii="Calibri" w:hAnsi="Calibri"/>
      <w:sz w:val="18"/>
      <w:szCs w:val="18"/>
    </w:rPr>
  </w:style>
  <w:style w:type="paragraph" w:styleId="23">
    <w:name w:val="Date"/>
    <w:basedOn w:val="1"/>
    <w:next w:val="1"/>
    <w:link w:val="81"/>
    <w:qFormat/>
    <w:uiPriority w:val="0"/>
    <w:rPr>
      <w:kern w:val="0"/>
      <w:sz w:val="24"/>
      <w:szCs w:val="20"/>
    </w:rPr>
  </w:style>
  <w:style w:type="paragraph" w:styleId="24">
    <w:name w:val="Body Text Indent 2"/>
    <w:basedOn w:val="1"/>
    <w:qFormat/>
    <w:uiPriority w:val="0"/>
    <w:pPr>
      <w:spacing w:after="120" w:line="480" w:lineRule="auto"/>
      <w:ind w:left="420" w:leftChars="200"/>
    </w:pPr>
  </w:style>
  <w:style w:type="paragraph" w:styleId="25">
    <w:name w:val="Balloon Text"/>
    <w:basedOn w:val="1"/>
    <w:link w:val="79"/>
    <w:qFormat/>
    <w:uiPriority w:val="0"/>
    <w:rPr>
      <w:kern w:val="0"/>
      <w:sz w:val="18"/>
      <w:szCs w:val="18"/>
    </w:rPr>
  </w:style>
  <w:style w:type="paragraph" w:styleId="26">
    <w:name w:val="footer"/>
    <w:basedOn w:val="1"/>
    <w:link w:val="93"/>
    <w:qFormat/>
    <w:uiPriority w:val="99"/>
    <w:pPr>
      <w:tabs>
        <w:tab w:val="center" w:pos="4153"/>
        <w:tab w:val="right" w:pos="8306"/>
      </w:tabs>
      <w:snapToGrid w:val="0"/>
      <w:jc w:val="left"/>
    </w:pPr>
    <w:rPr>
      <w:kern w:val="0"/>
      <w:sz w:val="18"/>
      <w:szCs w:val="18"/>
    </w:rPr>
  </w:style>
  <w:style w:type="paragraph" w:styleId="27">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4"/>
    <w:basedOn w:val="1"/>
    <w:next w:val="1"/>
    <w:qFormat/>
    <w:uiPriority w:val="39"/>
    <w:pPr>
      <w:ind w:left="630"/>
      <w:jc w:val="left"/>
    </w:pPr>
    <w:rPr>
      <w:rFonts w:ascii="Calibri" w:hAnsi="Calibri"/>
      <w:sz w:val="18"/>
      <w:szCs w:val="18"/>
    </w:rPr>
  </w:style>
  <w:style w:type="paragraph" w:styleId="29">
    <w:name w:val="footnote text"/>
    <w:basedOn w:val="1"/>
    <w:link w:val="65"/>
    <w:qFormat/>
    <w:uiPriority w:val="0"/>
    <w:rPr>
      <w:kern w:val="0"/>
      <w:sz w:val="20"/>
      <w:szCs w:val="20"/>
    </w:rPr>
  </w:style>
  <w:style w:type="paragraph" w:styleId="30">
    <w:name w:val="toc 6"/>
    <w:basedOn w:val="1"/>
    <w:next w:val="1"/>
    <w:qFormat/>
    <w:uiPriority w:val="39"/>
    <w:pPr>
      <w:ind w:left="1050"/>
      <w:jc w:val="left"/>
    </w:pPr>
    <w:rPr>
      <w:rFonts w:ascii="Calibri" w:hAnsi="Calibri"/>
      <w:sz w:val="18"/>
      <w:szCs w:val="18"/>
    </w:rPr>
  </w:style>
  <w:style w:type="paragraph" w:styleId="31">
    <w:name w:val="Body Text Indent 3"/>
    <w:basedOn w:val="1"/>
    <w:link w:val="85"/>
    <w:qFormat/>
    <w:uiPriority w:val="0"/>
    <w:pPr>
      <w:spacing w:after="120"/>
      <w:ind w:left="420" w:leftChars="200"/>
    </w:pPr>
    <w:rPr>
      <w:kern w:val="0"/>
      <w:sz w:val="16"/>
      <w:szCs w:val="16"/>
    </w:rPr>
  </w:style>
  <w:style w:type="paragraph" w:styleId="32">
    <w:name w:val="table of figures"/>
    <w:basedOn w:val="1"/>
    <w:next w:val="1"/>
    <w:qFormat/>
    <w:uiPriority w:val="0"/>
    <w:pPr>
      <w:ind w:left="200" w:leftChars="200" w:hanging="200" w:hangingChars="200"/>
    </w:pPr>
  </w:style>
  <w:style w:type="paragraph" w:styleId="33">
    <w:name w:val="toc 2"/>
    <w:basedOn w:val="1"/>
    <w:next w:val="1"/>
    <w:qFormat/>
    <w:uiPriority w:val="39"/>
    <w:pPr>
      <w:ind w:left="210"/>
      <w:jc w:val="left"/>
    </w:pPr>
    <w:rPr>
      <w:rFonts w:ascii="Calibri" w:hAnsi="Calibri"/>
      <w:smallCaps/>
      <w:sz w:val="20"/>
      <w:szCs w:val="20"/>
    </w:rPr>
  </w:style>
  <w:style w:type="paragraph" w:styleId="34">
    <w:name w:val="toc 9"/>
    <w:basedOn w:val="1"/>
    <w:next w:val="1"/>
    <w:qFormat/>
    <w:uiPriority w:val="39"/>
    <w:pPr>
      <w:ind w:left="1680"/>
      <w:jc w:val="left"/>
    </w:pPr>
    <w:rPr>
      <w:rFonts w:ascii="Calibri" w:hAnsi="Calibri"/>
      <w:sz w:val="18"/>
      <w:szCs w:val="18"/>
    </w:rPr>
  </w:style>
  <w:style w:type="paragraph" w:styleId="35">
    <w:name w:val="HTML Preformatted"/>
    <w:basedOn w:val="1"/>
    <w:link w:val="9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7">
    <w:name w:val="index 1"/>
    <w:basedOn w:val="1"/>
    <w:next w:val="1"/>
    <w:semiHidden/>
    <w:qFormat/>
    <w:uiPriority w:val="0"/>
    <w:pPr>
      <w:spacing w:line="360" w:lineRule="auto"/>
      <w:jc w:val="center"/>
    </w:pPr>
    <w:rPr>
      <w:rFonts w:ascii="宋体" w:hAnsi="Arial" w:cs="Arial"/>
      <w:b/>
      <w:color w:val="000000"/>
      <w:sz w:val="24"/>
    </w:rPr>
  </w:style>
  <w:style w:type="paragraph" w:styleId="38">
    <w:name w:val="Title"/>
    <w:basedOn w:val="1"/>
    <w:link w:val="7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9">
    <w:name w:val="annotation subject"/>
    <w:basedOn w:val="14"/>
    <w:next w:val="14"/>
    <w:link w:val="67"/>
    <w:qFormat/>
    <w:uiPriority w:val="0"/>
    <w:rPr>
      <w:b/>
      <w:bCs/>
    </w:rPr>
  </w:style>
  <w:style w:type="paragraph" w:styleId="40">
    <w:name w:val="Body Text First Indent"/>
    <w:basedOn w:val="16"/>
    <w:qFormat/>
    <w:uiPriority w:val="0"/>
    <w:pPr>
      <w:adjustRightInd w:val="0"/>
      <w:spacing w:line="275" w:lineRule="atLeast"/>
      <w:ind w:firstLine="420"/>
      <w:textAlignment w:val="baseline"/>
    </w:pPr>
    <w:rPr>
      <w:rFonts w:ascii="宋体" w:eastAsia="楷体_GB2312"/>
      <w:sz w:val="24"/>
      <w:szCs w:val="20"/>
    </w:rPr>
  </w:style>
  <w:style w:type="paragraph" w:styleId="41">
    <w:name w:val="Body Text First Indent 2"/>
    <w:basedOn w:val="17"/>
    <w:link w:val="173"/>
    <w:semiHidden/>
    <w:unhideWhenUsed/>
    <w:qFormat/>
    <w:uiPriority w:val="99"/>
    <w:pPr>
      <w:ind w:firstLine="420" w:firstLineChars="200"/>
    </w:pPr>
    <w:rPr>
      <w:kern w:val="2"/>
      <w:sz w:val="21"/>
    </w:rPr>
  </w:style>
  <w:style w:type="table" w:styleId="43">
    <w:name w:val="Table Grid"/>
    <w:basedOn w:val="42"/>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qFormat/>
    <w:uiPriority w:val="0"/>
  </w:style>
  <w:style w:type="character" w:styleId="47">
    <w:name w:val="FollowedHyperlink"/>
    <w:qFormat/>
    <w:uiPriority w:val="0"/>
    <w:rPr>
      <w:rFonts w:hint="default" w:ascii="Arial" w:hAnsi="Arial" w:eastAsia="Arial" w:cs="Arial"/>
      <w:color w:val="333333"/>
      <w:sz w:val="21"/>
      <w:szCs w:val="21"/>
      <w:u w:val="none"/>
    </w:rPr>
  </w:style>
  <w:style w:type="character" w:styleId="48">
    <w:name w:val="Hyperlink"/>
    <w:qFormat/>
    <w:uiPriority w:val="99"/>
    <w:rPr>
      <w:rFonts w:ascii="Arial" w:hAnsi="Arial" w:eastAsia="Arial" w:cs="Arial"/>
      <w:color w:val="333333"/>
      <w:sz w:val="21"/>
      <w:szCs w:val="21"/>
      <w:u w:val="none"/>
    </w:rPr>
  </w:style>
  <w:style w:type="character" w:styleId="49">
    <w:name w:val="annotation reference"/>
    <w:qFormat/>
    <w:uiPriority w:val="0"/>
    <w:rPr>
      <w:sz w:val="21"/>
      <w:szCs w:val="21"/>
    </w:rPr>
  </w:style>
  <w:style w:type="character" w:styleId="50">
    <w:name w:val="footnote reference"/>
    <w:qFormat/>
    <w:uiPriority w:val="0"/>
    <w:rPr>
      <w:vertAlign w:val="superscript"/>
    </w:rPr>
  </w:style>
  <w:style w:type="paragraph" w:customStyle="1" w:styleId="5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2">
    <w:name w:val="apple-style-span"/>
    <w:qFormat/>
    <w:uiPriority w:val="0"/>
    <w:rPr>
      <w:rFonts w:ascii="Verdana" w:hAnsi="Verdana" w:eastAsia="宋体"/>
      <w:sz w:val="21"/>
      <w:lang w:val="en-US" w:eastAsia="en-US" w:bidi="ar-SA"/>
    </w:rPr>
  </w:style>
  <w:style w:type="character" w:customStyle="1" w:styleId="53">
    <w:name w:val="正文文本 3 Char1"/>
    <w:semiHidden/>
    <w:qFormat/>
    <w:uiPriority w:val="99"/>
    <w:rPr>
      <w:rFonts w:ascii="Times New Roman" w:hAnsi="Times New Roman" w:eastAsia="宋体" w:cs="Times New Roman"/>
      <w:sz w:val="16"/>
      <w:szCs w:val="16"/>
    </w:rPr>
  </w:style>
  <w:style w:type="character" w:customStyle="1" w:styleId="54">
    <w:name w:val="样式 宋体"/>
    <w:qFormat/>
    <w:uiPriority w:val="0"/>
    <w:rPr>
      <w:rFonts w:ascii="Times New Roman" w:hAnsi="Times New Roman" w:eastAsia="宋体"/>
      <w:sz w:val="21"/>
    </w:rPr>
  </w:style>
  <w:style w:type="character" w:customStyle="1" w:styleId="55">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6">
    <w:name w:val="标题 3 字符"/>
    <w:link w:val="5"/>
    <w:qFormat/>
    <w:uiPriority w:val="0"/>
    <w:rPr>
      <w:rFonts w:ascii="Times New Roman" w:hAnsi="Times New Roman" w:eastAsia="宋体" w:cs="Times New Roman"/>
      <w:b/>
      <w:bCs/>
      <w:sz w:val="32"/>
      <w:szCs w:val="32"/>
    </w:rPr>
  </w:style>
  <w:style w:type="character" w:customStyle="1" w:styleId="57">
    <w:name w:val="批注文字 字符"/>
    <w:link w:val="14"/>
    <w:semiHidden/>
    <w:qFormat/>
    <w:uiPriority w:val="99"/>
    <w:rPr>
      <w:rFonts w:ascii="Times New Roman" w:hAnsi="Times New Roman" w:eastAsia="宋体" w:cs="Times New Roman"/>
      <w:szCs w:val="24"/>
    </w:rPr>
  </w:style>
  <w:style w:type="character" w:customStyle="1" w:styleId="58">
    <w:name w:val="标题 6 字符"/>
    <w:link w:val="7"/>
    <w:qFormat/>
    <w:uiPriority w:val="0"/>
    <w:rPr>
      <w:rFonts w:ascii="Arial" w:hAnsi="Arial" w:eastAsia="黑体" w:cs="Times New Roman"/>
      <w:b/>
      <w:bCs/>
      <w:kern w:val="0"/>
      <w:sz w:val="24"/>
      <w:szCs w:val="24"/>
    </w:rPr>
  </w:style>
  <w:style w:type="character" w:customStyle="1" w:styleId="59">
    <w:name w:val="Char Char8"/>
    <w:qFormat/>
    <w:uiPriority w:val="0"/>
    <w:rPr>
      <w:rFonts w:ascii="Arial" w:hAnsi="Arial" w:eastAsia="黑体"/>
      <w:b/>
      <w:bCs/>
      <w:kern w:val="2"/>
      <w:sz w:val="32"/>
      <w:szCs w:val="32"/>
      <w:lang w:val="en-US" w:eastAsia="zh-CN" w:bidi="ar-SA"/>
    </w:rPr>
  </w:style>
  <w:style w:type="character" w:customStyle="1" w:styleId="60">
    <w:name w:val="脚注文本 Char1"/>
    <w:semiHidden/>
    <w:qFormat/>
    <w:uiPriority w:val="99"/>
    <w:rPr>
      <w:rFonts w:ascii="Times New Roman" w:hAnsi="Times New Roman" w:eastAsia="宋体" w:cs="Times New Roman"/>
      <w:sz w:val="18"/>
      <w:szCs w:val="18"/>
    </w:rPr>
  </w:style>
  <w:style w:type="character" w:customStyle="1" w:styleId="61">
    <w:name w:val="正文文本 3 字符"/>
    <w:link w:val="15"/>
    <w:qFormat/>
    <w:uiPriority w:val="0"/>
    <w:rPr>
      <w:rFonts w:ascii="宋体"/>
      <w:sz w:val="24"/>
    </w:rPr>
  </w:style>
  <w:style w:type="character" w:customStyle="1" w:styleId="62">
    <w:name w:val="页脚 Char1"/>
    <w:semiHidden/>
    <w:qFormat/>
    <w:uiPriority w:val="99"/>
    <w:rPr>
      <w:rFonts w:ascii="Times New Roman" w:hAnsi="Times New Roman" w:eastAsia="宋体" w:cs="Times New Roman"/>
      <w:sz w:val="18"/>
      <w:szCs w:val="18"/>
    </w:rPr>
  </w:style>
  <w:style w:type="character" w:customStyle="1" w:styleId="63">
    <w:name w:val="标题 Char1"/>
    <w:qFormat/>
    <w:uiPriority w:val="10"/>
    <w:rPr>
      <w:rFonts w:ascii="Calibri Light" w:hAnsi="Calibri Light" w:eastAsia="宋体" w:cs="Times New Roman"/>
      <w:b/>
      <w:bCs/>
      <w:sz w:val="32"/>
      <w:szCs w:val="32"/>
    </w:rPr>
  </w:style>
  <w:style w:type="character" w:customStyle="1" w:styleId="64">
    <w:name w:val="正文文本 字符"/>
    <w:link w:val="16"/>
    <w:qFormat/>
    <w:uiPriority w:val="0"/>
    <w:rPr>
      <w:rFonts w:eastAsia="宋体"/>
      <w:szCs w:val="24"/>
    </w:rPr>
  </w:style>
  <w:style w:type="character" w:customStyle="1" w:styleId="65">
    <w:name w:val="脚注文本 字符"/>
    <w:link w:val="29"/>
    <w:qFormat/>
    <w:uiPriority w:val="0"/>
    <w:rPr>
      <w:rFonts w:eastAsia="宋体"/>
    </w:rPr>
  </w:style>
  <w:style w:type="character" w:customStyle="1" w:styleId="66">
    <w:name w:val="纯文本 Char1"/>
    <w:semiHidden/>
    <w:qFormat/>
    <w:uiPriority w:val="99"/>
    <w:rPr>
      <w:rFonts w:ascii="宋体" w:hAnsi="Courier New" w:eastAsia="宋体" w:cs="Courier New"/>
      <w:szCs w:val="21"/>
    </w:rPr>
  </w:style>
  <w:style w:type="character" w:customStyle="1" w:styleId="67">
    <w:name w:val="批注主题 字符"/>
    <w:link w:val="39"/>
    <w:qFormat/>
    <w:uiPriority w:val="0"/>
    <w:rPr>
      <w:rFonts w:ascii="Times New Roman" w:hAnsi="Times New Roman" w:eastAsia="宋体" w:cs="Times New Roman"/>
      <w:b/>
      <w:bCs/>
      <w:szCs w:val="24"/>
    </w:rPr>
  </w:style>
  <w:style w:type="character" w:customStyle="1" w:styleId="68">
    <w:name w:val="正文缩进 字符"/>
    <w:link w:val="12"/>
    <w:qFormat/>
    <w:locked/>
    <w:uiPriority w:val="0"/>
    <w:rPr>
      <w:kern w:val="2"/>
      <w:sz w:val="21"/>
      <w:szCs w:val="24"/>
    </w:rPr>
  </w:style>
  <w:style w:type="character" w:customStyle="1" w:styleId="69">
    <w:name w:val="font11"/>
    <w:qFormat/>
    <w:uiPriority w:val="0"/>
    <w:rPr>
      <w:rFonts w:hint="default" w:ascii="Times New Roman" w:hAnsi="Times New Roman" w:cs="Times New Roman"/>
      <w:color w:val="000000"/>
      <w:sz w:val="22"/>
      <w:szCs w:val="22"/>
      <w:u w:val="none"/>
    </w:rPr>
  </w:style>
  <w:style w:type="character" w:customStyle="1" w:styleId="70">
    <w:name w:val="font01"/>
    <w:qFormat/>
    <w:uiPriority w:val="0"/>
    <w:rPr>
      <w:rFonts w:hint="eastAsia" w:ascii="宋体" w:hAnsi="宋体" w:eastAsia="宋体" w:cs="宋体"/>
      <w:color w:val="000000"/>
      <w:sz w:val="22"/>
      <w:szCs w:val="22"/>
      <w:u w:val="none"/>
    </w:rPr>
  </w:style>
  <w:style w:type="character" w:customStyle="1" w:styleId="71">
    <w:name w:val="页眉 字符"/>
    <w:link w:val="27"/>
    <w:qFormat/>
    <w:uiPriority w:val="0"/>
    <w:rPr>
      <w:rFonts w:ascii="Times New Roman" w:hAnsi="Times New Roman" w:eastAsia="宋体" w:cs="Times New Roman"/>
      <w:sz w:val="18"/>
      <w:szCs w:val="18"/>
    </w:rPr>
  </w:style>
  <w:style w:type="character" w:customStyle="1" w:styleId="72">
    <w:name w:val="标题 9 字符"/>
    <w:link w:val="10"/>
    <w:qFormat/>
    <w:uiPriority w:val="0"/>
    <w:rPr>
      <w:rFonts w:ascii="Arial" w:hAnsi="Arial" w:eastAsia="黑体" w:cs="Times New Roman"/>
      <w:kern w:val="0"/>
      <w:szCs w:val="21"/>
    </w:rPr>
  </w:style>
  <w:style w:type="character" w:customStyle="1" w:styleId="73">
    <w:name w:val="标题 2 Char1"/>
    <w:qFormat/>
    <w:uiPriority w:val="0"/>
    <w:rPr>
      <w:rFonts w:ascii="Arial" w:hAnsi="Arial" w:eastAsia="黑体" w:cs="Times New Roman"/>
      <w:b/>
      <w:bCs/>
      <w:sz w:val="32"/>
      <w:szCs w:val="32"/>
      <w:lang w:val="en-US" w:eastAsia="en-US" w:bidi="ar-SA"/>
    </w:rPr>
  </w:style>
  <w:style w:type="character" w:customStyle="1" w:styleId="74">
    <w:name w:val="正文文本缩进 字符"/>
    <w:link w:val="17"/>
    <w:qFormat/>
    <w:uiPriority w:val="0"/>
    <w:rPr>
      <w:szCs w:val="24"/>
    </w:rPr>
  </w:style>
  <w:style w:type="character" w:customStyle="1" w:styleId="75">
    <w:name w:val="文档结构图 字符"/>
    <w:link w:val="13"/>
    <w:qFormat/>
    <w:uiPriority w:val="0"/>
    <w:rPr>
      <w:rFonts w:ascii="Times New Roman" w:hAnsi="Times New Roman" w:eastAsia="宋体" w:cs="Times New Roman"/>
      <w:szCs w:val="24"/>
      <w:shd w:val="clear" w:color="auto" w:fill="000080"/>
    </w:rPr>
  </w:style>
  <w:style w:type="character" w:customStyle="1" w:styleId="76">
    <w:name w:val="font161"/>
    <w:qFormat/>
    <w:uiPriority w:val="0"/>
    <w:rPr>
      <w:b/>
      <w:bCs/>
      <w:sz w:val="32"/>
      <w:szCs w:val="32"/>
    </w:rPr>
  </w:style>
  <w:style w:type="character" w:customStyle="1" w:styleId="77">
    <w:name w:val="标题 2 字符"/>
    <w:link w:val="4"/>
    <w:qFormat/>
    <w:uiPriority w:val="0"/>
    <w:rPr>
      <w:rFonts w:ascii="Arial" w:hAnsi="Arial" w:eastAsia="黑体" w:cs="Times New Roman"/>
      <w:b/>
      <w:bCs/>
      <w:sz w:val="32"/>
      <w:szCs w:val="32"/>
    </w:rPr>
  </w:style>
  <w:style w:type="character" w:customStyle="1" w:styleId="78">
    <w:name w:val="标题 字符"/>
    <w:link w:val="38"/>
    <w:qFormat/>
    <w:uiPriority w:val="0"/>
    <w:rPr>
      <w:rFonts w:ascii="Arial" w:hAnsi="Arial"/>
      <w:b/>
      <w:sz w:val="32"/>
    </w:rPr>
  </w:style>
  <w:style w:type="character" w:customStyle="1" w:styleId="79">
    <w:name w:val="批注框文本 字符"/>
    <w:link w:val="25"/>
    <w:qFormat/>
    <w:uiPriority w:val="0"/>
    <w:rPr>
      <w:rFonts w:ascii="Times New Roman" w:hAnsi="Times New Roman" w:eastAsia="宋体" w:cs="Times New Roman"/>
      <w:sz w:val="18"/>
      <w:szCs w:val="18"/>
    </w:rPr>
  </w:style>
  <w:style w:type="character" w:customStyle="1" w:styleId="80">
    <w:name w:val="标题 8 字符"/>
    <w:link w:val="9"/>
    <w:qFormat/>
    <w:uiPriority w:val="0"/>
    <w:rPr>
      <w:rFonts w:ascii="Arial" w:hAnsi="Arial" w:eastAsia="黑体" w:cs="Times New Roman"/>
      <w:kern w:val="0"/>
      <w:sz w:val="24"/>
      <w:szCs w:val="24"/>
    </w:rPr>
  </w:style>
  <w:style w:type="character" w:customStyle="1" w:styleId="81">
    <w:name w:val="日期 字符"/>
    <w:link w:val="23"/>
    <w:qFormat/>
    <w:uiPriority w:val="0"/>
    <w:rPr>
      <w:rFonts w:ascii="Times New Roman" w:hAnsi="Times New Roman" w:eastAsia="宋体" w:cs="Times New Roman"/>
      <w:sz w:val="24"/>
      <w:szCs w:val="20"/>
    </w:rPr>
  </w:style>
  <w:style w:type="character" w:customStyle="1" w:styleId="82">
    <w:name w:val="标题 1 字符"/>
    <w:link w:val="3"/>
    <w:qFormat/>
    <w:uiPriority w:val="0"/>
    <w:rPr>
      <w:rFonts w:ascii="Times New Roman" w:hAnsi="Times New Roman" w:eastAsia="宋体" w:cs="Times New Roman"/>
      <w:b/>
      <w:bCs/>
      <w:kern w:val="44"/>
      <w:sz w:val="44"/>
      <w:szCs w:val="44"/>
    </w:rPr>
  </w:style>
  <w:style w:type="character" w:customStyle="1" w:styleId="83">
    <w:name w:val="招标节 Char"/>
    <w:link w:val="84"/>
    <w:qFormat/>
    <w:locked/>
    <w:uiPriority w:val="0"/>
    <w:rPr>
      <w:b/>
      <w:sz w:val="24"/>
      <w:szCs w:val="24"/>
    </w:rPr>
  </w:style>
  <w:style w:type="paragraph" w:customStyle="1" w:styleId="84">
    <w:name w:val="招标节"/>
    <w:basedOn w:val="1"/>
    <w:next w:val="1"/>
    <w:link w:val="83"/>
    <w:qFormat/>
    <w:uiPriority w:val="0"/>
    <w:pPr>
      <w:spacing w:beforeLines="50" w:afterLines="50"/>
      <w:outlineLvl w:val="1"/>
    </w:pPr>
    <w:rPr>
      <w:b/>
      <w:kern w:val="0"/>
      <w:sz w:val="24"/>
    </w:rPr>
  </w:style>
  <w:style w:type="character" w:customStyle="1" w:styleId="85">
    <w:name w:val="正文文本缩进 3 字符"/>
    <w:link w:val="31"/>
    <w:qFormat/>
    <w:uiPriority w:val="0"/>
    <w:rPr>
      <w:rFonts w:ascii="Times New Roman" w:hAnsi="Times New Roman" w:eastAsia="宋体" w:cs="Times New Roman"/>
      <w:sz w:val="16"/>
      <w:szCs w:val="16"/>
    </w:rPr>
  </w:style>
  <w:style w:type="character" w:customStyle="1" w:styleId="86">
    <w:name w:val="tpc_content1"/>
    <w:qFormat/>
    <w:uiPriority w:val="0"/>
    <w:rPr>
      <w:sz w:val="20"/>
      <w:szCs w:val="20"/>
    </w:rPr>
  </w:style>
  <w:style w:type="character" w:customStyle="1" w:styleId="87">
    <w:name w:val="Char Char"/>
    <w:qFormat/>
    <w:uiPriority w:val="0"/>
    <w:rPr>
      <w:rFonts w:ascii="Arial" w:hAnsi="Arial" w:eastAsia="黑体"/>
      <w:b/>
      <w:bCs/>
      <w:kern w:val="2"/>
      <w:sz w:val="32"/>
      <w:szCs w:val="32"/>
      <w:lang w:val="en-US" w:eastAsia="zh-CN" w:bidi="ar-SA"/>
    </w:rPr>
  </w:style>
  <w:style w:type="character" w:customStyle="1" w:styleId="88">
    <w:name w:val="正文文本 Char1"/>
    <w:semiHidden/>
    <w:qFormat/>
    <w:uiPriority w:val="99"/>
    <w:rPr>
      <w:rFonts w:ascii="Times New Roman" w:hAnsi="Times New Roman" w:eastAsia="宋体" w:cs="Times New Roman"/>
      <w:szCs w:val="24"/>
    </w:rPr>
  </w:style>
  <w:style w:type="character" w:customStyle="1" w:styleId="89">
    <w:name w:val="Char Char2"/>
    <w:qFormat/>
    <w:uiPriority w:val="0"/>
    <w:rPr>
      <w:rFonts w:eastAsia="宋体"/>
      <w:kern w:val="2"/>
      <w:sz w:val="21"/>
      <w:szCs w:val="24"/>
      <w:lang w:val="en-US" w:eastAsia="zh-CN" w:bidi="ar-SA"/>
    </w:rPr>
  </w:style>
  <w:style w:type="character" w:customStyle="1" w:styleId="90">
    <w:name w:val="apple-converted-space"/>
    <w:qFormat/>
    <w:uiPriority w:val="0"/>
  </w:style>
  <w:style w:type="character" w:customStyle="1" w:styleId="91">
    <w:name w:val="标题 4 字符"/>
    <w:link w:val="6"/>
    <w:qFormat/>
    <w:uiPriority w:val="0"/>
    <w:rPr>
      <w:rFonts w:ascii="Arial" w:hAnsi="Arial" w:eastAsia="黑体" w:cs="Times New Roman"/>
      <w:b/>
      <w:bCs/>
      <w:sz w:val="28"/>
      <w:szCs w:val="28"/>
    </w:rPr>
  </w:style>
  <w:style w:type="character" w:customStyle="1" w:styleId="92">
    <w:name w:val="正文文本缩进 Char1"/>
    <w:semiHidden/>
    <w:qFormat/>
    <w:uiPriority w:val="99"/>
    <w:rPr>
      <w:rFonts w:ascii="Times New Roman" w:hAnsi="Times New Roman" w:eastAsia="宋体" w:cs="Times New Roman"/>
      <w:szCs w:val="24"/>
    </w:rPr>
  </w:style>
  <w:style w:type="character" w:customStyle="1" w:styleId="93">
    <w:name w:val="页脚 字符"/>
    <w:link w:val="26"/>
    <w:qFormat/>
    <w:uiPriority w:val="99"/>
    <w:rPr>
      <w:sz w:val="18"/>
      <w:szCs w:val="18"/>
    </w:rPr>
  </w:style>
  <w:style w:type="character" w:customStyle="1" w:styleId="94">
    <w:name w:val="Char Char7"/>
    <w:qFormat/>
    <w:uiPriority w:val="0"/>
    <w:rPr>
      <w:rFonts w:ascii="Arial" w:hAnsi="Arial" w:eastAsia="黑体"/>
      <w:b/>
      <w:bCs/>
      <w:kern w:val="2"/>
      <w:sz w:val="32"/>
      <w:szCs w:val="32"/>
      <w:lang w:val="en-US" w:eastAsia="zh-CN" w:bidi="ar-SA"/>
    </w:rPr>
  </w:style>
  <w:style w:type="character" w:customStyle="1" w:styleId="95">
    <w:name w:val="HTML 预设格式 字符"/>
    <w:link w:val="35"/>
    <w:qFormat/>
    <w:uiPriority w:val="0"/>
    <w:rPr>
      <w:rFonts w:ascii="微软雅黑" w:hAnsi="微软雅黑" w:eastAsia="微软雅黑" w:cs="Times New Roman"/>
      <w:kern w:val="0"/>
      <w:sz w:val="24"/>
      <w:szCs w:val="24"/>
    </w:rPr>
  </w:style>
  <w:style w:type="character" w:customStyle="1" w:styleId="96">
    <w:name w:val="批注文字 Char"/>
    <w:qFormat/>
    <w:uiPriority w:val="0"/>
    <w:rPr>
      <w:rFonts w:eastAsia="宋体"/>
      <w:kern w:val="2"/>
      <w:sz w:val="21"/>
      <w:szCs w:val="24"/>
      <w:lang w:val="en-US" w:eastAsia="zh-CN" w:bidi="ar-SA"/>
    </w:rPr>
  </w:style>
  <w:style w:type="character" w:customStyle="1" w:styleId="97">
    <w:name w:val="纯文本 字符"/>
    <w:link w:val="21"/>
    <w:qFormat/>
    <w:uiPriority w:val="99"/>
    <w:rPr>
      <w:rFonts w:ascii="Courier New" w:hAnsi="Courier New"/>
    </w:rPr>
  </w:style>
  <w:style w:type="character" w:customStyle="1" w:styleId="98">
    <w:name w:val="标题 7 字符"/>
    <w:link w:val="8"/>
    <w:qFormat/>
    <w:uiPriority w:val="0"/>
    <w:rPr>
      <w:rFonts w:ascii="Times New Roman" w:hAnsi="Times New Roman" w:eastAsia="宋体" w:cs="Times New Roman"/>
      <w:b/>
      <w:bCs/>
      <w:kern w:val="0"/>
      <w:sz w:val="24"/>
      <w:szCs w:val="24"/>
    </w:rPr>
  </w:style>
  <w:style w:type="paragraph" w:customStyle="1" w:styleId="99">
    <w:name w:val="样式4"/>
    <w:basedOn w:val="5"/>
    <w:qFormat/>
    <w:uiPriority w:val="0"/>
    <w:rPr>
      <w:rFonts w:eastAsia="Arial"/>
    </w:rPr>
  </w:style>
  <w:style w:type="paragraph" w:customStyle="1" w:styleId="100">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font10"/>
    <w:basedOn w:val="1"/>
    <w:qFormat/>
    <w:uiPriority w:val="0"/>
    <w:pPr>
      <w:widowControl/>
      <w:spacing w:before="100" w:beforeAutospacing="1" w:after="100" w:afterAutospacing="1"/>
      <w:jc w:val="left"/>
    </w:pPr>
    <w:rPr>
      <w:kern w:val="0"/>
      <w:sz w:val="28"/>
      <w:szCs w:val="28"/>
    </w:rPr>
  </w:style>
  <w:style w:type="paragraph" w:customStyle="1" w:styleId="103">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样式1"/>
    <w:basedOn w:val="5"/>
    <w:qFormat/>
    <w:uiPriority w:val="0"/>
    <w:rPr>
      <w:rFonts w:eastAsia="Arial"/>
    </w:rPr>
  </w:style>
  <w:style w:type="paragraph" w:customStyle="1" w:styleId="106">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Char"/>
    <w:basedOn w:val="1"/>
    <w:qFormat/>
    <w:uiPriority w:val="0"/>
    <w:pPr>
      <w:tabs>
        <w:tab w:val="left" w:pos="360"/>
      </w:tabs>
    </w:pPr>
    <w:rPr>
      <w:sz w:val="24"/>
    </w:rPr>
  </w:style>
  <w:style w:type="paragraph" w:customStyle="1" w:styleId="109">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5">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列出段落1"/>
    <w:basedOn w:val="1"/>
    <w:qFormat/>
    <w:uiPriority w:val="34"/>
    <w:pPr>
      <w:ind w:firstLine="420" w:firstLineChars="200"/>
    </w:pPr>
    <w:rPr>
      <w:rFonts w:ascii="Calibri" w:hAnsi="Calibri"/>
      <w:szCs w:val="22"/>
    </w:rPr>
  </w:style>
  <w:style w:type="paragraph" w:customStyle="1" w:styleId="12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2">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5">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6">
    <w:name w:val="1"/>
    <w:basedOn w:val="1"/>
    <w:next w:val="1"/>
    <w:qFormat/>
    <w:uiPriority w:val="0"/>
  </w:style>
  <w:style w:type="paragraph" w:customStyle="1" w:styleId="127">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规范文本"/>
    <w:basedOn w:val="21"/>
    <w:qFormat/>
    <w:uiPriority w:val="0"/>
    <w:pPr>
      <w:adjustRightInd w:val="0"/>
      <w:snapToGrid w:val="0"/>
      <w:spacing w:line="360" w:lineRule="exact"/>
      <w:ind w:firstLine="420"/>
    </w:pPr>
    <w:rPr>
      <w:rFonts w:ascii="宋体"/>
      <w:snapToGrid w:val="0"/>
      <w:szCs w:val="21"/>
    </w:rPr>
  </w:style>
  <w:style w:type="paragraph" w:customStyle="1" w:styleId="130">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1">
    <w:name w:val="节"/>
    <w:basedOn w:val="21"/>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2">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样式3"/>
    <w:basedOn w:val="5"/>
    <w:qFormat/>
    <w:uiPriority w:val="0"/>
    <w:rPr>
      <w:rFonts w:eastAsia="Arial"/>
    </w:rPr>
  </w:style>
  <w:style w:type="paragraph" w:customStyle="1" w:styleId="134">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7">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9">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2">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3">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5">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7">
    <w:name w:val="第二"/>
    <w:basedOn w:val="1"/>
    <w:qFormat/>
    <w:uiPriority w:val="0"/>
    <w:pPr>
      <w:adjustRightInd w:val="0"/>
      <w:snapToGrid w:val="0"/>
      <w:spacing w:line="360" w:lineRule="auto"/>
      <w:ind w:right="-108" w:rightChars="-45" w:firstLine="482"/>
    </w:pPr>
    <w:rPr>
      <w:b/>
    </w:rPr>
  </w:style>
  <w:style w:type="paragraph" w:customStyle="1" w:styleId="14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9">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0">
    <w:name w:val="内容"/>
    <w:basedOn w:val="1"/>
    <w:qFormat/>
    <w:uiPriority w:val="0"/>
    <w:pPr>
      <w:spacing w:line="480" w:lineRule="exact"/>
      <w:ind w:firstLine="200" w:firstLineChars="200"/>
    </w:pPr>
  </w:style>
  <w:style w:type="paragraph" w:customStyle="1" w:styleId="151">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2">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3">
    <w:name w:val="列出段落11"/>
    <w:basedOn w:val="1"/>
    <w:qFormat/>
    <w:uiPriority w:val="99"/>
    <w:pPr>
      <w:ind w:firstLine="420" w:firstLineChars="200"/>
    </w:pPr>
  </w:style>
  <w:style w:type="paragraph" w:customStyle="1" w:styleId="154">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5">
    <w:name w:val="表格文字"/>
    <w:basedOn w:val="1"/>
    <w:qFormat/>
    <w:uiPriority w:val="0"/>
    <w:pPr>
      <w:adjustRightInd w:val="0"/>
      <w:spacing w:line="420" w:lineRule="atLeast"/>
      <w:jc w:val="left"/>
      <w:textAlignment w:val="baseline"/>
    </w:pPr>
    <w:rPr>
      <w:kern w:val="0"/>
      <w:szCs w:val="20"/>
    </w:rPr>
  </w:style>
  <w:style w:type="paragraph" w:customStyle="1" w:styleId="156">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7">
    <w:name w:val="样式2"/>
    <w:basedOn w:val="5"/>
    <w:qFormat/>
    <w:uiPriority w:val="0"/>
  </w:style>
  <w:style w:type="character" w:customStyle="1" w:styleId="158">
    <w:name w:val="after"/>
    <w:qFormat/>
    <w:uiPriority w:val="0"/>
    <w:rPr>
      <w:bdr w:val="dashed" w:color="auto" w:sz="48" w:space="0"/>
    </w:rPr>
  </w:style>
  <w:style w:type="character" w:customStyle="1" w:styleId="159">
    <w:name w:val="before"/>
    <w:qFormat/>
    <w:uiPriority w:val="0"/>
    <w:rPr>
      <w:bdr w:val="single" w:color="auto" w:sz="48" w:space="0"/>
    </w:rPr>
  </w:style>
  <w:style w:type="character" w:customStyle="1" w:styleId="160">
    <w:name w:val="hover48"/>
    <w:qFormat/>
    <w:uiPriority w:val="0"/>
    <w:rPr>
      <w:shd w:val="clear" w:color="auto" w:fill="346AC3"/>
    </w:rPr>
  </w:style>
  <w:style w:type="character" w:customStyle="1" w:styleId="161">
    <w:name w:val="hover49"/>
    <w:basedOn w:val="44"/>
    <w:qFormat/>
    <w:uiPriority w:val="0"/>
  </w:style>
  <w:style w:type="character" w:customStyle="1" w:styleId="162">
    <w:name w:val="hover50"/>
    <w:qFormat/>
    <w:uiPriority w:val="0"/>
    <w:rPr>
      <w:color w:val="4285F4"/>
      <w:u w:val="none"/>
    </w:rPr>
  </w:style>
  <w:style w:type="character" w:customStyle="1" w:styleId="163">
    <w:name w:val="hover51"/>
    <w:qFormat/>
    <w:uiPriority w:val="0"/>
    <w:rPr>
      <w:color w:val="4285F4"/>
    </w:rPr>
  </w:style>
  <w:style w:type="character" w:customStyle="1" w:styleId="164">
    <w:name w:val="hover52"/>
    <w:qFormat/>
    <w:uiPriority w:val="0"/>
    <w:rPr>
      <w:color w:val="1A85D7"/>
    </w:rPr>
  </w:style>
  <w:style w:type="character" w:customStyle="1" w:styleId="165">
    <w:name w:val="credit"/>
    <w:qFormat/>
    <w:uiPriority w:val="0"/>
    <w:rPr>
      <w:sz w:val="18"/>
      <w:szCs w:val="18"/>
    </w:rPr>
  </w:style>
  <w:style w:type="character" w:customStyle="1" w:styleId="166">
    <w:name w:val="first-child"/>
    <w:basedOn w:val="44"/>
    <w:qFormat/>
    <w:uiPriority w:val="0"/>
  </w:style>
  <w:style w:type="paragraph" w:styleId="167">
    <w:name w:val="List Paragraph"/>
    <w:basedOn w:val="1"/>
    <w:qFormat/>
    <w:uiPriority w:val="34"/>
    <w:pPr>
      <w:ind w:firstLine="420" w:firstLineChars="200"/>
    </w:pPr>
  </w:style>
  <w:style w:type="paragraph" w:customStyle="1" w:styleId="168">
    <w:name w:val="表格内正文，无编号"/>
    <w:basedOn w:val="1"/>
    <w:qFormat/>
    <w:uiPriority w:val="0"/>
    <w:pPr>
      <w:spacing w:line="400" w:lineRule="exact"/>
      <w:ind w:firstLine="643" w:firstLineChars="200"/>
    </w:pPr>
  </w:style>
  <w:style w:type="paragraph" w:customStyle="1" w:styleId="169">
    <w:name w:val="符号列表"/>
    <w:basedOn w:val="1"/>
    <w:next w:val="120"/>
    <w:qFormat/>
    <w:uiPriority w:val="34"/>
    <w:pPr>
      <w:spacing w:beforeLines="50"/>
      <w:ind w:firstLine="420" w:firstLineChars="200"/>
    </w:pPr>
    <w:rPr>
      <w:rFonts w:ascii="Calibri" w:hAnsi="Calibri"/>
      <w:sz w:val="24"/>
      <w:szCs w:val="22"/>
      <w:lang w:val="zh-CN"/>
    </w:rPr>
  </w:style>
  <w:style w:type="paragraph" w:customStyle="1" w:styleId="170">
    <w:name w:val="表体"/>
    <w:basedOn w:val="1"/>
    <w:next w:val="1"/>
    <w:qFormat/>
    <w:uiPriority w:val="0"/>
    <w:pPr>
      <w:snapToGrid w:val="0"/>
      <w:spacing w:line="0" w:lineRule="atLeast"/>
    </w:pPr>
    <w:rPr>
      <w:b/>
      <w:szCs w:val="20"/>
    </w:rPr>
  </w:style>
  <w:style w:type="paragraph" w:customStyle="1" w:styleId="171">
    <w:name w:val="*正文"/>
    <w:basedOn w:val="1"/>
    <w:qFormat/>
    <w:uiPriority w:val="0"/>
    <w:pPr>
      <w:widowControl/>
      <w:ind w:firstLine="200" w:firstLineChars="200"/>
    </w:pPr>
    <w:rPr>
      <w:rFonts w:ascii="仿宋_GB2312" w:eastAsia="仿宋_GB2312" w:cstheme="minorBidi"/>
      <w:sz w:val="24"/>
      <w:szCs w:val="28"/>
    </w:rPr>
  </w:style>
  <w:style w:type="paragraph" w:customStyle="1" w:styleId="172">
    <w:name w:val="图例"/>
    <w:basedOn w:val="1"/>
    <w:qFormat/>
    <w:uiPriority w:val="0"/>
    <w:pPr>
      <w:spacing w:before="120" w:after="120" w:line="360" w:lineRule="auto"/>
      <w:jc w:val="center"/>
    </w:pPr>
    <w:rPr>
      <w:rFonts w:eastAsia="仿宋_GB2312"/>
      <w:b/>
      <w:sz w:val="24"/>
    </w:rPr>
  </w:style>
  <w:style w:type="character" w:customStyle="1" w:styleId="173">
    <w:name w:val="正文文本首行缩进 2 字符"/>
    <w:basedOn w:val="74"/>
    <w:link w:val="41"/>
    <w:semiHidden/>
    <w:qFormat/>
    <w:uiPriority w:val="99"/>
    <w:rPr>
      <w:kern w:val="2"/>
      <w:sz w:val="21"/>
      <w:szCs w:val="24"/>
    </w:rPr>
  </w:style>
  <w:style w:type="character" w:customStyle="1" w:styleId="174">
    <w:name w:val="15"/>
    <w:basedOn w:val="44"/>
    <w:qFormat/>
    <w:uiPriority w:val="0"/>
    <w:rPr>
      <w:rFonts w:hint="default" w:ascii="Calibri" w:hAnsi="Calibri" w:cs="Times New Roman"/>
    </w:rPr>
  </w:style>
  <w:style w:type="paragraph" w:customStyle="1" w:styleId="175">
    <w:name w:val="样式 + 首行缩进: 2 字符"/>
    <w:basedOn w:val="1"/>
    <w:qFormat/>
    <w:uiPriority w:val="0"/>
    <w:pPr>
      <w:keepNext w:val="0"/>
      <w:keepLines w:val="0"/>
      <w:widowControl w:val="0"/>
      <w:suppressLineNumbers w:val="0"/>
      <w:adjustRightInd w:val="0"/>
      <w:spacing w:before="0" w:beforeAutospacing="0" w:after="0" w:afterAutospacing="0" w:line="360" w:lineRule="auto"/>
      <w:ind w:left="0" w:right="0" w:firstLine="524" w:firstLineChars="200"/>
      <w:jc w:val="both"/>
    </w:pPr>
    <w:rPr>
      <w:rFonts w:hint="eastAsia" w:ascii="宋体" w:hAnsi="宋体" w:eastAsia="宋体" w:cs="Calibri"/>
      <w:spacing w:val="11"/>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50</Pages>
  <Words>25861</Words>
  <Characters>27381</Characters>
  <Lines>1</Lines>
  <Paragraphs>1</Paragraphs>
  <TotalTime>24</TotalTime>
  <ScaleCrop>false</ScaleCrop>
  <LinksUpToDate>false</LinksUpToDate>
  <CharactersWithSpaces>28813</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2020-05-01T16:16:00Z</dcterms:created>
  <dc:creator>陈桂兰</dc:creator>
  <cp:lastModifiedBy>尹一轮</cp:lastModifiedBy>
  <cp:lastPrinted>2020-05-13T15:11:00Z</cp:lastPrinted>
  <dcterms:modified xsi:type="dcterms:W3CDTF">2022-11-25T03:46:22Z</dcterms:modified>
  <dc:title>项目名称：2019年重庆市取消高速公路省界收费站项目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2A9A7D8B47224DF38B5BD0A2E46B16A0</vt:lpwstr>
  </property>
</Properties>
</file>