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渝湘高速公路复线（巴南至彭水段、彭水至酉阳段、武隆至道真（重庆段））高速公路项目交工验收工程质量检测BPJG</w:t>
      </w:r>
      <w:r>
        <w:rPr>
          <w:rFonts w:hint="eastAsia" w:ascii="宋体" w:hAnsi="Times New Roman" w:cs="宋体"/>
          <w:b/>
          <w:bCs/>
          <w:color w:val="auto"/>
          <w:kern w:val="2"/>
          <w:sz w:val="28"/>
          <w:szCs w:val="28"/>
          <w:highlight w:val="none"/>
          <w:lang w:val="en-US" w:eastAsia="zh-CN"/>
        </w:rPr>
        <w:t>2</w:t>
      </w:r>
      <w:r>
        <w:rPr>
          <w:rFonts w:hint="eastAsia" w:ascii="宋体" w:hAnsi="Times New Roman" w:cs="宋体"/>
          <w:b/>
          <w:bCs/>
          <w:color w:val="auto"/>
          <w:kern w:val="2"/>
          <w:sz w:val="28"/>
          <w:szCs w:val="28"/>
          <w:highlight w:val="none"/>
          <w:lang w:eastAsia="zh-CN"/>
        </w:rPr>
        <w:t>合同段</w:t>
      </w:r>
    </w:p>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20 </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24 </w:t>
      </w:r>
      <w:r>
        <w:rPr>
          <w:rFonts w:hint="eastAsia" w:ascii="方正小标宋_GBK" w:eastAsia="方正小标宋_GBK"/>
          <w:sz w:val="30"/>
          <w:szCs w:val="30"/>
        </w:rPr>
        <w:t>日）</w:t>
      </w:r>
    </w:p>
    <w:tbl>
      <w:tblPr>
        <w:tblStyle w:val="3"/>
        <w:tblpPr w:leftFromText="180" w:rightFromText="180" w:vertAnchor="text" w:horzAnchor="margin" w:tblpXSpec="center" w:tblpY="227"/>
        <w:tblW w:w="10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09"/>
        <w:gridCol w:w="1409"/>
        <w:gridCol w:w="441"/>
        <w:gridCol w:w="330"/>
        <w:gridCol w:w="744"/>
        <w:gridCol w:w="989"/>
        <w:gridCol w:w="700"/>
        <w:gridCol w:w="1042"/>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渝湘高速公路复线（巴南至彭水段、彭水至酉阳段、武隆至道真（重庆段））高速公路项目交工验收工程质量检测BPJG</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合同段</w:t>
            </w:r>
            <w:r>
              <w:rPr>
                <w:rFonts w:hint="eastAsia" w:ascii="宋体" w:hAnsi="宋体" w:eastAsia="宋体" w:cs="宋体"/>
                <w:color w:val="000000"/>
                <w:kern w:val="0"/>
                <w:sz w:val="20"/>
                <w:szCs w:val="20"/>
              </w:rPr>
              <w:t>　</w:t>
            </w:r>
          </w:p>
        </w:tc>
        <w:tc>
          <w:tcPr>
            <w:tcW w:w="1689"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3449" w:type="dxa"/>
            <w:gridSpan w:val="2"/>
            <w:vMerge w:val="restart"/>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宋体" w:hAnsi="宋体" w:eastAsia="宋体" w:cs="宋体"/>
                <w:bCs/>
                <w:color w:val="auto"/>
                <w:sz w:val="20"/>
                <w:szCs w:val="20"/>
                <w:highlight w:val="none"/>
                <w:lang w:eastAsia="zh-CN"/>
              </w:rPr>
              <w:t>10704130</w:t>
            </w:r>
            <w:r>
              <w:rPr>
                <w:rFonts w:hint="eastAsia" w:ascii="宋体" w:hAnsi="宋体" w:eastAsia="宋体" w:cs="宋体"/>
                <w:bCs/>
                <w:color w:val="auto"/>
                <w:sz w:val="20"/>
                <w:szCs w:val="20"/>
                <w:highlight w:val="none"/>
                <w:lang w:val="en-US" w:eastAsia="zh-CN"/>
              </w:rPr>
              <w:t>.00</w:t>
            </w:r>
            <w:bookmarkStart w:id="0" w:name="_GoBack"/>
            <w:bookmarkEnd w:id="0"/>
            <w:r>
              <w:rPr>
                <w:rFonts w:hint="eastAsia" w:ascii="宋体" w:hAnsi="宋体" w:eastAsia="宋体" w:cs="宋体"/>
                <w:bCs/>
                <w:color w:val="auto"/>
                <w:sz w:val="20"/>
                <w:szCs w:val="20"/>
                <w:highlight w:val="none"/>
                <w:lang w:val="en-US" w:eastAsia="zh-CN"/>
              </w:rPr>
              <w:t>元</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FG2200160676A</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44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44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重庆渝湘复线高速公路有限公司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449"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023-89136372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重庆国际投资咨询集团有限公司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449"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得分</w:t>
            </w:r>
            <w:r>
              <w:rPr>
                <w:rFonts w:hint="eastAsia" w:ascii="宋体" w:hAnsi="宋体" w:eastAsia="宋体" w:cs="宋体"/>
                <w:color w:val="000000"/>
                <w:kern w:val="0"/>
                <w:sz w:val="22"/>
              </w:rPr>
              <w:t>排序</w:t>
            </w:r>
          </w:p>
        </w:tc>
        <w:tc>
          <w:tcPr>
            <w:tcW w:w="1209"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09"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771"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服务周期</w:t>
            </w:r>
          </w:p>
        </w:tc>
        <w:tc>
          <w:tcPr>
            <w:tcW w:w="744" w:type="dxa"/>
            <w:vMerge w:val="restart"/>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要求</w:t>
            </w:r>
          </w:p>
        </w:tc>
        <w:tc>
          <w:tcPr>
            <w:tcW w:w="5138"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continue"/>
            <w:vAlign w:val="center"/>
          </w:tcPr>
          <w:p>
            <w:pPr>
              <w:widowControl/>
              <w:jc w:val="left"/>
              <w:rPr>
                <w:rFonts w:ascii="宋体" w:hAnsi="宋体" w:eastAsia="宋体" w:cs="宋体"/>
                <w:color w:val="000000"/>
                <w:kern w:val="0"/>
                <w:sz w:val="22"/>
              </w:rPr>
            </w:pPr>
          </w:p>
        </w:tc>
        <w:tc>
          <w:tcPr>
            <w:tcW w:w="1209" w:type="dxa"/>
            <w:vMerge w:val="continue"/>
            <w:vAlign w:val="center"/>
          </w:tcPr>
          <w:p>
            <w:pPr>
              <w:widowControl/>
              <w:jc w:val="left"/>
              <w:rPr>
                <w:rFonts w:ascii="宋体" w:hAnsi="宋体" w:eastAsia="宋体" w:cs="宋体"/>
                <w:color w:val="000000"/>
                <w:kern w:val="0"/>
                <w:sz w:val="22"/>
              </w:rPr>
            </w:pPr>
          </w:p>
        </w:tc>
        <w:tc>
          <w:tcPr>
            <w:tcW w:w="1409" w:type="dxa"/>
            <w:vMerge w:val="continue"/>
            <w:vAlign w:val="center"/>
          </w:tcPr>
          <w:p>
            <w:pPr>
              <w:widowControl/>
              <w:jc w:val="left"/>
              <w:rPr>
                <w:rFonts w:ascii="宋体" w:hAnsi="宋体" w:eastAsia="宋体" w:cs="宋体"/>
                <w:color w:val="000000"/>
                <w:kern w:val="0"/>
                <w:sz w:val="22"/>
              </w:rPr>
            </w:pPr>
          </w:p>
        </w:tc>
        <w:tc>
          <w:tcPr>
            <w:tcW w:w="771" w:type="dxa"/>
            <w:gridSpan w:val="2"/>
            <w:vMerge w:val="continue"/>
            <w:vAlign w:val="center"/>
          </w:tcPr>
          <w:p>
            <w:pPr>
              <w:widowControl/>
              <w:jc w:val="left"/>
              <w:rPr>
                <w:rFonts w:ascii="宋体" w:hAnsi="宋体" w:eastAsia="宋体" w:cs="宋体"/>
                <w:color w:val="000000"/>
                <w:kern w:val="0"/>
                <w:sz w:val="22"/>
              </w:rPr>
            </w:pPr>
          </w:p>
        </w:tc>
        <w:tc>
          <w:tcPr>
            <w:tcW w:w="744" w:type="dxa"/>
            <w:vMerge w:val="continue"/>
            <w:vAlign w:val="center"/>
          </w:tcPr>
          <w:p>
            <w:pPr>
              <w:widowControl/>
              <w:jc w:val="left"/>
              <w:rPr>
                <w:rFonts w:ascii="宋体" w:hAnsi="宋体" w:eastAsia="宋体" w:cs="宋体"/>
                <w:color w:val="000000"/>
                <w:kern w:val="0"/>
                <w:sz w:val="22"/>
              </w:rPr>
            </w:pPr>
          </w:p>
        </w:tc>
        <w:tc>
          <w:tcPr>
            <w:tcW w:w="989"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42"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407" w:type="dxa"/>
            <w:shd w:val="clear" w:color="auto" w:fill="auto"/>
            <w:vAlign w:val="center"/>
          </w:tcPr>
          <w:p>
            <w:pPr>
              <w:widowControl/>
              <w:jc w:val="center"/>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证书编号</w:t>
            </w:r>
            <w:r>
              <w:rPr>
                <w:rFonts w:hint="eastAsia" w:ascii="Calibri" w:hAnsi="Calibri" w:eastAsia="宋体" w:cs="Calibri"/>
                <w:color w:val="000000"/>
                <w:kern w:val="0"/>
                <w:sz w:val="22"/>
                <w:lang w:val="en-US" w:eastAsia="zh-CN"/>
              </w:rPr>
              <w:t>/管理号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w:t>
            </w:r>
            <w:r>
              <w:rPr>
                <w:rFonts w:hint="eastAsia" w:ascii="Calibri" w:hAnsi="Calibri" w:eastAsia="宋体" w:cs="Calibri"/>
                <w:color w:val="000000"/>
                <w:kern w:val="0"/>
                <w:sz w:val="22"/>
                <w:lang w:val="en-US" w:eastAsia="zh-CN"/>
              </w:rPr>
              <w:t>一</w:t>
            </w:r>
            <w:r>
              <w:rPr>
                <w:rFonts w:ascii="Calibri" w:hAnsi="Calibri" w:eastAsia="宋体" w:cs="Calibri"/>
                <w:color w:val="000000"/>
                <w:kern w:val="0"/>
                <w:sz w:val="22"/>
              </w:rPr>
              <w:t>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四川公路工程咨询监理有限公司</w:t>
            </w:r>
          </w:p>
        </w:tc>
        <w:tc>
          <w:tcPr>
            <w:tcW w:w="1409" w:type="dxa"/>
            <w:shd w:val="clear" w:color="auto" w:fill="auto"/>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 xml:space="preserve">9035295.52  </w:t>
            </w:r>
          </w:p>
        </w:tc>
        <w:tc>
          <w:tcPr>
            <w:tcW w:w="771"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王累</w:t>
            </w:r>
          </w:p>
        </w:tc>
        <w:tc>
          <w:tcPr>
            <w:tcW w:w="1742"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公路水运工程试验检测师。</w:t>
            </w:r>
          </w:p>
        </w:tc>
        <w:tc>
          <w:tcPr>
            <w:tcW w:w="2407" w:type="dxa"/>
            <w:shd w:val="clear" w:color="auto" w:fill="auto"/>
            <w:vAlign w:val="center"/>
          </w:tcPr>
          <w:p>
            <w:pPr>
              <w:widowControl/>
              <w:jc w:val="left"/>
              <w:rPr>
                <w:rFonts w:hint="default" w:ascii="Times New Roman" w:hAnsi="Times New Roman" w:eastAsia="宋体" w:cs="Times New Roman"/>
                <w:b/>
                <w:bCs/>
                <w:color w:val="000000"/>
                <w:kern w:val="0"/>
                <w:sz w:val="22"/>
                <w:lang w:val="en-US" w:eastAsia="zh-CN"/>
              </w:rPr>
            </w:pPr>
            <w:r>
              <w:rPr>
                <w:rFonts w:hint="eastAsia" w:ascii="Calibri" w:hAnsi="Calibri" w:eastAsia="宋体" w:cs="Calibri"/>
                <w:color w:val="000000"/>
                <w:kern w:val="0"/>
                <w:sz w:val="22"/>
                <w:lang w:val="en-US" w:eastAsia="zh-CN"/>
              </w:rPr>
              <w:t>201711005736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w:t>
            </w:r>
            <w:r>
              <w:rPr>
                <w:rFonts w:hint="eastAsia" w:ascii="Calibri" w:hAnsi="Calibri" w:eastAsia="宋体" w:cs="Calibri"/>
                <w:color w:val="000000"/>
                <w:kern w:val="0"/>
                <w:sz w:val="22"/>
                <w:lang w:val="en-US" w:eastAsia="zh-CN"/>
              </w:rPr>
              <w:t>二</w:t>
            </w:r>
            <w:r>
              <w:rPr>
                <w:rFonts w:ascii="Calibri" w:hAnsi="Calibri" w:eastAsia="宋体" w:cs="Calibri"/>
                <w:color w:val="000000"/>
                <w:kern w:val="0"/>
                <w:sz w:val="22"/>
              </w:rPr>
              <w:t>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贵州顺康检测股份有限公司</w:t>
            </w:r>
          </w:p>
        </w:tc>
        <w:tc>
          <w:tcPr>
            <w:tcW w:w="140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8936539</w:t>
            </w:r>
            <w:r>
              <w:rPr>
                <w:rFonts w:hint="eastAsia" w:ascii="Calibri" w:hAnsi="Calibri" w:eastAsia="宋体" w:cs="Calibri"/>
                <w:color w:val="000000"/>
                <w:kern w:val="0"/>
                <w:sz w:val="22"/>
                <w:lang w:val="en-US" w:eastAsia="zh-CN"/>
              </w:rPr>
              <w:t>.00</w:t>
            </w:r>
          </w:p>
        </w:tc>
        <w:tc>
          <w:tcPr>
            <w:tcW w:w="771"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蔡政</w:t>
            </w:r>
          </w:p>
        </w:tc>
        <w:tc>
          <w:tcPr>
            <w:tcW w:w="1742"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公路水运工程试验检测师。</w:t>
            </w:r>
          </w:p>
        </w:tc>
        <w:tc>
          <w:tcPr>
            <w:tcW w:w="2407"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201712006153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甘肃省公路工程质量试验检测中心有限公司</w:t>
            </w:r>
          </w:p>
        </w:tc>
        <w:tc>
          <w:tcPr>
            <w:tcW w:w="1409"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8991820.00</w:t>
            </w:r>
          </w:p>
          <w:p>
            <w:pPr>
              <w:widowControl/>
              <w:jc w:val="left"/>
              <w:rPr>
                <w:rFonts w:hint="default" w:ascii="Calibri" w:hAnsi="Calibri" w:eastAsia="宋体" w:cs="Calibri"/>
                <w:color w:val="000000"/>
                <w:kern w:val="0"/>
                <w:sz w:val="22"/>
                <w:lang w:val="en-US" w:eastAsia="zh-CN"/>
              </w:rPr>
            </w:pPr>
          </w:p>
        </w:tc>
        <w:tc>
          <w:tcPr>
            <w:tcW w:w="771" w:type="dxa"/>
            <w:gridSpan w:val="2"/>
            <w:shd w:val="clear" w:color="auto" w:fill="auto"/>
            <w:vAlign w:val="center"/>
          </w:tcPr>
          <w:p>
            <w:pPr>
              <w:widowControl/>
              <w:jc w:val="left"/>
              <w:rPr>
                <w:rFonts w:ascii="Calibri" w:hAnsi="Calibri" w:eastAsia="宋体" w:cs="Calibri"/>
                <w:color w:val="000000"/>
                <w:kern w:val="0"/>
                <w:sz w:val="22"/>
                <w:szCs w:val="22"/>
                <w:lang w:val="en-US" w:eastAsia="zh-CN" w:bidi="ar-SA"/>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szCs w:val="22"/>
                <w:lang w:val="en-US" w:eastAsia="zh-CN" w:bidi="ar-SA"/>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车俊霖</w:t>
            </w:r>
          </w:p>
          <w:p>
            <w:pPr>
              <w:widowControl/>
              <w:jc w:val="left"/>
              <w:rPr>
                <w:rFonts w:hint="default" w:ascii="Calibri" w:hAnsi="Calibri" w:eastAsia="宋体" w:cs="Calibri"/>
                <w:color w:val="000000"/>
                <w:kern w:val="0"/>
                <w:sz w:val="22"/>
                <w:lang w:val="en-US" w:eastAsia="zh-CN"/>
              </w:rPr>
            </w:pPr>
          </w:p>
        </w:tc>
        <w:tc>
          <w:tcPr>
            <w:tcW w:w="1742" w:type="dxa"/>
            <w:gridSpan w:val="2"/>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公路工程检测工程师。</w:t>
            </w:r>
          </w:p>
        </w:tc>
        <w:tc>
          <w:tcPr>
            <w:tcW w:w="2407"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（公路）检师0600057DQJ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9271" w:type="dxa"/>
            <w:gridSpan w:val="9"/>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val="0"/>
                <w:bCs w:val="0"/>
                <w:color w:val="000000"/>
                <w:kern w:val="0"/>
                <w:sz w:val="22"/>
                <w:lang w:val="en-US"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9271" w:type="dxa"/>
            <w:gridSpan w:val="9"/>
            <w:shd w:val="clear" w:color="auto" w:fill="auto"/>
            <w:vAlign w:val="center"/>
          </w:tcPr>
          <w:p>
            <w:pPr>
              <w:widowControl/>
              <w:numPr>
                <w:ilvl w:val="0"/>
                <w:numId w:val="1"/>
              </w:numPr>
              <w:jc w:val="both"/>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业绩：</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四川公路工程咨询监理有限公司</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四川省仁寿至屏山新市公路井研至新市段及马边支线交工验收检测JC8标段</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国高网莆炎高速公路永泰梧桐至尤溪中仙段公路（福州段）交工验收前质量检测服务</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G4216线宁南至攀枝花段高速公路项目过程质量抽检及交工验收质量检测JGJC3标段</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乐山至西昌高速公路马边至昭觉段交工验收质量检测第JGJC1标段</w:t>
            </w:r>
            <w:r>
              <w:rPr>
                <w:rFonts w:hint="eastAsia" w:ascii="宋体" w:hAnsi="宋体" w:eastAsia="宋体" w:cs="宋体"/>
                <w:color w:val="000000"/>
                <w:kern w:val="0"/>
                <w:sz w:val="22"/>
                <w:lang w:eastAsia="zh-CN"/>
              </w:rPr>
              <w:t>；德昌至会理高速公路交工验收质量检测 JC-JG标段。</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贵州顺康检测股份有限公司</w:t>
            </w:r>
            <w:r>
              <w:rPr>
                <w:rFonts w:hint="eastAsia" w:ascii="宋体" w:hAnsi="宋体" w:eastAsia="宋体" w:cs="宋体"/>
                <w:color w:val="000000"/>
                <w:kern w:val="0"/>
                <w:sz w:val="22"/>
                <w:lang w:eastAsia="zh-CN"/>
              </w:rPr>
              <w:t>：</w:t>
            </w:r>
          </w:p>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贵州省紫云至望谟高速公路交工验收检测、桥梁荷载试验检测（交工）；</w:t>
            </w:r>
            <w:r>
              <w:rPr>
                <w:rFonts w:hint="eastAsia" w:ascii="宋体" w:hAnsi="宋体" w:eastAsia="宋体" w:cs="宋体"/>
                <w:color w:val="000000"/>
                <w:kern w:val="0"/>
                <w:sz w:val="22"/>
                <w:lang w:val="en-US" w:eastAsia="zh-CN"/>
              </w:rPr>
              <w:t xml:space="preserve">仁怀至赤水高速公路竣工验收检测;贵州省沿河经印江（木黄）至松桃高速公路竣工及交工验收检测服务；省道 S11 曲靖至砚山公路曲靖（麒麟区）至师宗段高速公路交工验收质量检测服务；贵州省余庆至安龙高速公路平塘至罗甸段竣工验收试验检测服务；贵州省石阡至玉屏（大龙）高速公路桥梁荷载试验检测、实体检测及外观检查、交（竣）工验收检测服务。 </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甘肃省公路工程质量试验检测中心有限公司</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G1816乌海至玛沁国家高速公路景泰至中川机场段公路建设项目交工质量验收检测及竣工质量鉴定检测；S25静宁至天水高速公路静宁至庄浪段建设项目交工验收质量检测；G0611张掖至汶川国家高速公路张掖至扁都口段公路工程项目交工验收质量检测；G85银川至昆明国家高速公路彭阳（甘宁界）至平凉至大桥村（甘陕界）段试验检测及交工验收质量检测；甘肃省甜水堡（宁甘界）经庆城至永和（甘陕界）公路工程建设项目交工验收质量检测及竣工质量鉴定检测。</w:t>
            </w:r>
          </w:p>
          <w:p>
            <w:pPr>
              <w:widowControl/>
              <w:numPr>
                <w:ilvl w:val="0"/>
                <w:numId w:val="1"/>
              </w:numPr>
              <w:jc w:val="both"/>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9271" w:type="dxa"/>
            <w:gridSpan w:val="9"/>
            <w:shd w:val="clear" w:color="auto" w:fill="auto"/>
            <w:vAlign w:val="center"/>
          </w:tcPr>
          <w:p>
            <w:pPr>
              <w:widowControl/>
              <w:jc w:val="both"/>
              <w:rPr>
                <w:rFonts w:hint="default" w:ascii="宋体" w:hAnsi="宋体" w:eastAsia="宋体" w:cs="宋体"/>
                <w:b/>
                <w:bCs/>
                <w:color w:val="000000"/>
                <w:kern w:val="0"/>
                <w:sz w:val="22"/>
                <w:lang w:val="en-US" w:eastAsia="zh-CN"/>
              </w:rPr>
            </w:pPr>
            <w:r>
              <w:rPr>
                <w:rFonts w:hint="eastAsia" w:ascii="宋体" w:hAnsi="宋体" w:eastAsia="宋体" w:cs="宋体"/>
                <w:b w:val="0"/>
                <w:bCs w:val="0"/>
                <w:color w:val="000000"/>
                <w:kern w:val="0"/>
                <w:sz w:val="22"/>
                <w:lang w:val="en-US" w:eastAsia="zh-CN"/>
              </w:rPr>
              <w:t>资格、形式、响应性评审均合格。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9271"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重庆渝湘复线高速公路有限公司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王老师</w:t>
            </w:r>
            <w:r>
              <w:rPr>
                <w:rFonts w:hint="eastAsia" w:ascii="宋体" w:hAnsi="宋体" w:eastAsia="宋体" w:cs="宋体"/>
                <w:color w:val="000000"/>
                <w:kern w:val="0"/>
                <w:sz w:val="22"/>
              </w:rPr>
              <w:t>，联系电话：</w:t>
            </w:r>
            <w:r>
              <w:rPr>
                <w:rFonts w:hint="eastAsia" w:ascii="宋体" w:hAnsi="宋体" w:eastAsia="宋体" w:cs="宋体"/>
                <w:color w:val="000000"/>
                <w:kern w:val="0"/>
                <w:sz w:val="22"/>
                <w:lang w:val="en-US" w:eastAsia="zh-CN"/>
              </w:rPr>
              <w:t>023-89136372</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280"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2022年10</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 xml:space="preserve"> 20 </w:t>
            </w:r>
            <w:r>
              <w:rPr>
                <w:rFonts w:hint="eastAsia" w:ascii="宋体" w:hAnsi="宋体" w:eastAsia="宋体" w:cs="Calibri"/>
                <w:color w:val="000000"/>
                <w:kern w:val="0"/>
                <w:sz w:val="22"/>
              </w:rPr>
              <w:t xml:space="preserve">日    </w:t>
            </w:r>
          </w:p>
        </w:tc>
        <w:tc>
          <w:tcPr>
            <w:tcW w:w="6212"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 xml:space="preserve"> 20 </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33CD4"/>
    <w:multiLevelType w:val="singleLevel"/>
    <w:tmpl w:val="ADC33C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MmQzOGVlYzA2MmUyOTZlMDVkNzkxZjFiNGNhZGEifQ=="/>
  </w:docVars>
  <w:rsids>
    <w:rsidRoot w:val="005F7769"/>
    <w:rsid w:val="0055752E"/>
    <w:rsid w:val="005F7769"/>
    <w:rsid w:val="0063236D"/>
    <w:rsid w:val="006A71D4"/>
    <w:rsid w:val="007C4F8D"/>
    <w:rsid w:val="00901BDE"/>
    <w:rsid w:val="00943760"/>
    <w:rsid w:val="01887A37"/>
    <w:rsid w:val="019B2FDC"/>
    <w:rsid w:val="020D770A"/>
    <w:rsid w:val="02154E6B"/>
    <w:rsid w:val="04553F6E"/>
    <w:rsid w:val="047F1DAB"/>
    <w:rsid w:val="081253C0"/>
    <w:rsid w:val="08F21A03"/>
    <w:rsid w:val="09834A1F"/>
    <w:rsid w:val="0A0C3409"/>
    <w:rsid w:val="0A0E7791"/>
    <w:rsid w:val="0AFE4225"/>
    <w:rsid w:val="0C774C9E"/>
    <w:rsid w:val="0E090577"/>
    <w:rsid w:val="0E95291F"/>
    <w:rsid w:val="0EA358F0"/>
    <w:rsid w:val="0F7110E9"/>
    <w:rsid w:val="14425B91"/>
    <w:rsid w:val="160805D7"/>
    <w:rsid w:val="166B41F1"/>
    <w:rsid w:val="17C074F9"/>
    <w:rsid w:val="1EBB4EBE"/>
    <w:rsid w:val="1EBE0C60"/>
    <w:rsid w:val="22D42911"/>
    <w:rsid w:val="26BD4A48"/>
    <w:rsid w:val="27762747"/>
    <w:rsid w:val="2CEA4F93"/>
    <w:rsid w:val="2F334741"/>
    <w:rsid w:val="336F02F9"/>
    <w:rsid w:val="34310729"/>
    <w:rsid w:val="38E92A42"/>
    <w:rsid w:val="39BA0B22"/>
    <w:rsid w:val="3A1B6D32"/>
    <w:rsid w:val="3B03685C"/>
    <w:rsid w:val="3D3B0A08"/>
    <w:rsid w:val="3DF92F26"/>
    <w:rsid w:val="3ED05A54"/>
    <w:rsid w:val="3F925873"/>
    <w:rsid w:val="3FE82344"/>
    <w:rsid w:val="3FF575B6"/>
    <w:rsid w:val="41594560"/>
    <w:rsid w:val="47FA230E"/>
    <w:rsid w:val="4812474D"/>
    <w:rsid w:val="4AC9760C"/>
    <w:rsid w:val="4C7B50C0"/>
    <w:rsid w:val="4CA511AB"/>
    <w:rsid w:val="4D300D98"/>
    <w:rsid w:val="4ED32720"/>
    <w:rsid w:val="4EFE2381"/>
    <w:rsid w:val="4FFB3C11"/>
    <w:rsid w:val="53956916"/>
    <w:rsid w:val="55364ED4"/>
    <w:rsid w:val="574B7F6D"/>
    <w:rsid w:val="58D30652"/>
    <w:rsid w:val="59BE6F2B"/>
    <w:rsid w:val="5BEA3317"/>
    <w:rsid w:val="5D6879E4"/>
    <w:rsid w:val="5D694D67"/>
    <w:rsid w:val="5F976C40"/>
    <w:rsid w:val="603824B9"/>
    <w:rsid w:val="61670F69"/>
    <w:rsid w:val="620D6DAC"/>
    <w:rsid w:val="636E37C9"/>
    <w:rsid w:val="63F20A4B"/>
    <w:rsid w:val="63F86CD6"/>
    <w:rsid w:val="657C50E7"/>
    <w:rsid w:val="65AF2D06"/>
    <w:rsid w:val="67147067"/>
    <w:rsid w:val="682B7D2D"/>
    <w:rsid w:val="6E117051"/>
    <w:rsid w:val="7031057E"/>
    <w:rsid w:val="71066FB1"/>
    <w:rsid w:val="76B24303"/>
    <w:rsid w:val="797B6503"/>
    <w:rsid w:val="7B354132"/>
    <w:rsid w:val="7E5565A4"/>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bCs/>
    </w:rPr>
  </w:style>
  <w:style w:type="character" w:styleId="6">
    <w:name w:val="FollowedHyperlink"/>
    <w:basedOn w:val="4"/>
    <w:semiHidden/>
    <w:unhideWhenUsed/>
    <w:qFormat/>
    <w:uiPriority w:val="99"/>
    <w:rPr>
      <w:color w:val="800080"/>
      <w:u w:val="none"/>
    </w:rPr>
  </w:style>
  <w:style w:type="character" w:styleId="7">
    <w:name w:val="Emphasis"/>
    <w:basedOn w:val="4"/>
    <w:qFormat/>
    <w:uiPriority w:val="20"/>
    <w:rPr>
      <w:b/>
      <w:bCs/>
    </w:rPr>
  </w:style>
  <w:style w:type="character" w:styleId="8">
    <w:name w:val="HTML Definition"/>
    <w:basedOn w:val="4"/>
    <w:semiHidden/>
    <w:unhideWhenUsed/>
    <w:qFormat/>
    <w:uiPriority w:val="99"/>
  </w:style>
  <w:style w:type="character" w:styleId="9">
    <w:name w:val="HTML Typewriter"/>
    <w:basedOn w:val="4"/>
    <w:semiHidden/>
    <w:unhideWhenUsed/>
    <w:qFormat/>
    <w:uiPriority w:val="99"/>
    <w:rPr>
      <w:rFonts w:hint="default" w:ascii="monospace" w:hAnsi="monospace" w:eastAsia="monospace" w:cs="monospace"/>
      <w:sz w:val="20"/>
    </w:rPr>
  </w:style>
  <w:style w:type="character" w:styleId="10">
    <w:name w:val="HTML Acronym"/>
    <w:basedOn w:val="4"/>
    <w:semiHidden/>
    <w:unhideWhenUsed/>
    <w:qFormat/>
    <w:uiPriority w:val="99"/>
  </w:style>
  <w:style w:type="character" w:styleId="11">
    <w:name w:val="HTML Variable"/>
    <w:basedOn w:val="4"/>
    <w:semiHidden/>
    <w:unhideWhenUsed/>
    <w:qFormat/>
    <w:uiPriority w:val="99"/>
  </w:style>
  <w:style w:type="character" w:styleId="12">
    <w:name w:val="Hyperlink"/>
    <w:basedOn w:val="4"/>
    <w:semiHidden/>
    <w:unhideWhenUsed/>
    <w:qFormat/>
    <w:uiPriority w:val="99"/>
    <w:rPr>
      <w:color w:val="0000FF"/>
      <w:u w:val="none"/>
    </w:rPr>
  </w:style>
  <w:style w:type="character" w:styleId="13">
    <w:name w:val="HTML Code"/>
    <w:basedOn w:val="4"/>
    <w:semiHidden/>
    <w:unhideWhenUsed/>
    <w:qFormat/>
    <w:uiPriority w:val="99"/>
    <w:rPr>
      <w:rFonts w:hint="default" w:ascii="monospace" w:hAnsi="monospace" w:eastAsia="monospace" w:cs="monospace"/>
      <w:sz w:val="20"/>
    </w:rPr>
  </w:style>
  <w:style w:type="character" w:styleId="14">
    <w:name w:val="HTML Cite"/>
    <w:basedOn w:val="4"/>
    <w:semiHidden/>
    <w:unhideWhenUsed/>
    <w:qFormat/>
    <w:uiPriority w:val="99"/>
    <w:rPr>
      <w:rFonts w:ascii="ActionIcon ! important" w:hAnsi="ActionIcon ! important" w:eastAsia="ActionIcon ! important" w:cs="ActionIcon ! important"/>
      <w:color w:val="3D4B62"/>
      <w:sz w:val="24"/>
      <w:szCs w:val="24"/>
    </w:rPr>
  </w:style>
  <w:style w:type="character" w:styleId="15">
    <w:name w:val="HTML Keyboard"/>
    <w:basedOn w:val="4"/>
    <w:semiHidden/>
    <w:unhideWhenUsed/>
    <w:qFormat/>
    <w:uiPriority w:val="99"/>
    <w:rPr>
      <w:rFonts w:ascii="monospace" w:hAnsi="monospace" w:eastAsia="monospace" w:cs="monospace"/>
      <w:sz w:val="20"/>
    </w:rPr>
  </w:style>
  <w:style w:type="character" w:styleId="16">
    <w:name w:val="HTML Sample"/>
    <w:basedOn w:val="4"/>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1428</Words>
  <Characters>1653</Characters>
  <Lines>5</Lines>
  <Paragraphs>1</Paragraphs>
  <TotalTime>28</TotalTime>
  <ScaleCrop>false</ScaleCrop>
  <LinksUpToDate>false</LinksUpToDate>
  <CharactersWithSpaces>1782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2022-10-19T10:55:46Z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13E531705D504F8F8A19355103B29F77</vt:lpwstr>
  </property>
</Properties>
</file>