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outlineLvl w:val="0"/>
        <w:rPr>
          <w:rFonts w:ascii="宋体" w:hAnsi="宋体"/>
          <w:b/>
          <w:color w:val="000000" w:themeColor="text1"/>
          <w:spacing w:val="20"/>
          <w:sz w:val="72"/>
          <w:szCs w:val="72"/>
          <w:highlight w:val="none"/>
          <w14:textFill>
            <w14:solidFill>
              <w14:schemeClr w14:val="tx1"/>
            </w14:solidFill>
          </w14:textFill>
        </w:rPr>
      </w:pPr>
      <w:bookmarkStart w:id="0" w:name="OLE_LINK4"/>
      <w:r>
        <w:rPr>
          <w:rFonts w:hint="eastAsia" w:ascii="宋体" w:hAnsi="宋体"/>
          <w:b/>
          <w:color w:val="000000" w:themeColor="text1"/>
          <w:spacing w:val="20"/>
          <w:sz w:val="72"/>
          <w:szCs w:val="72"/>
          <w:highlight w:val="none"/>
          <w14:textFill>
            <w14:solidFill>
              <w14:schemeClr w14:val="tx1"/>
            </w14:solidFill>
          </w14:textFill>
        </w:rPr>
        <w:t>重庆首讯科技股份有限公司项目管理云平台服务项目</w:t>
      </w:r>
    </w:p>
    <w:bookmarkEnd w:id="0"/>
    <w:p>
      <w:pPr>
        <w:jc w:val="center"/>
        <w:rPr>
          <w:rFonts w:ascii="宋体" w:hAnsi="宋体"/>
          <w:b/>
          <w:color w:val="000000" w:themeColor="text1"/>
          <w:spacing w:val="20"/>
          <w:sz w:val="72"/>
          <w:szCs w:val="72"/>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jc w:val="center"/>
        <w:outlineLvl w:val="0"/>
        <w:rPr>
          <w:rFonts w:ascii="宋体" w:hAnsi="宋体"/>
          <w:b/>
          <w:color w:val="000000" w:themeColor="text1"/>
          <w:spacing w:val="20"/>
          <w:sz w:val="72"/>
          <w:szCs w:val="72"/>
          <w:highlight w:val="none"/>
          <w14:textFill>
            <w14:solidFill>
              <w14:schemeClr w14:val="tx1"/>
            </w14:solidFill>
          </w14:textFill>
        </w:rPr>
      </w:pPr>
      <w:r>
        <w:rPr>
          <w:rFonts w:hint="eastAsia" w:ascii="宋体" w:hAnsi="宋体"/>
          <w:b/>
          <w:color w:val="000000" w:themeColor="text1"/>
          <w:spacing w:val="20"/>
          <w:sz w:val="72"/>
          <w:szCs w:val="72"/>
          <w:highlight w:val="none"/>
          <w14:textFill>
            <w14:solidFill>
              <w14:schemeClr w14:val="tx1"/>
            </w14:solidFill>
          </w14:textFill>
        </w:rPr>
        <w:t>竞争性比选文件</w:t>
      </w: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pStyle w:val="10"/>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重庆首讯科技股份有限公司</w:t>
      </w:r>
    </w:p>
    <w:p>
      <w:pPr>
        <w:pStyle w:val="10"/>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202</w:t>
      </w:r>
      <w:r>
        <w:rPr>
          <w:rFonts w:ascii="宋体" w:hAnsi="宋体"/>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年6月</w:t>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sz w:val="48"/>
          <w:szCs w:val="48"/>
          <w:highlight w:val="none"/>
        </w:rPr>
      </w:pPr>
      <w:r>
        <w:rPr>
          <w:rFonts w:hint="eastAsia"/>
          <w:color w:val="000000" w:themeColor="text1"/>
          <w:spacing w:val="10"/>
          <w:sz w:val="48"/>
          <w:szCs w:val="48"/>
          <w:highlight w:val="none"/>
          <w14:textFill>
            <w14:solidFill>
              <w14:schemeClr w14:val="tx1"/>
            </w14:solidFill>
          </w14:textFill>
        </w:rPr>
        <w:t>第一章 竞争性比选公告</w:t>
      </w:r>
    </w:p>
    <w:p>
      <w:pPr>
        <w:spacing w:line="360" w:lineRule="auto"/>
        <w:ind w:firstLine="486" w:firstLineChars="200"/>
        <w:rPr>
          <w:color w:val="000000" w:themeColor="text1"/>
          <w:sz w:val="24"/>
          <w:szCs w:val="28"/>
          <w:highlight w:val="none"/>
          <w14:textFill>
            <w14:solidFill>
              <w14:schemeClr w14:val="tx1"/>
            </w14:solidFill>
          </w14:textFill>
        </w:rPr>
      </w:pPr>
    </w:p>
    <w:p>
      <w:pPr>
        <w:pStyle w:val="4"/>
        <w:spacing w:before="0" w:after="0" w:line="360" w:lineRule="auto"/>
        <w:rPr>
          <w:rFonts w:ascii="宋体" w:hAnsi="宋体" w:cs="宋体"/>
          <w:highlight w:val="none"/>
        </w:rPr>
      </w:pPr>
      <w:bookmarkStart w:id="1" w:name="_Toc507319891"/>
      <w:bookmarkStart w:id="2" w:name="_Toc246996158"/>
      <w:bookmarkStart w:id="3" w:name="_Toc12048"/>
      <w:bookmarkStart w:id="4" w:name="_Toc246996901"/>
      <w:bookmarkStart w:id="5" w:name="_Toc11329213"/>
      <w:bookmarkStart w:id="6" w:name="_Toc144974480"/>
      <w:bookmarkStart w:id="7" w:name="_Toc152042288"/>
      <w:bookmarkStart w:id="8" w:name="_Toc6549"/>
      <w:bookmarkStart w:id="9" w:name="_Toc10076"/>
      <w:bookmarkStart w:id="10" w:name="_Toc152045512"/>
      <w:bookmarkStart w:id="11" w:name="_Toc179632528"/>
      <w:bookmarkStart w:id="12" w:name="_Toc24874"/>
      <w:bookmarkStart w:id="13" w:name="_Toc247085672"/>
      <w:r>
        <w:rPr>
          <w:rFonts w:hint="eastAsia" w:ascii="宋体" w:hAnsi="宋体" w:cs="宋体"/>
          <w:highlight w:val="none"/>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本竞争性比选项目</w:t>
      </w:r>
      <w:r>
        <w:rPr>
          <w:rFonts w:hint="eastAsia"/>
          <w:color w:val="000000" w:themeColor="text1"/>
          <w:sz w:val="24"/>
          <w:szCs w:val="28"/>
          <w:highlight w:val="none"/>
          <w:u w:val="single"/>
          <w14:textFill>
            <w14:solidFill>
              <w14:schemeClr w14:val="tx1"/>
            </w14:solidFill>
          </w14:textFill>
        </w:rPr>
        <w:t>重庆首讯科技股份有限公司项目管理云平台服务项目</w:t>
      </w:r>
      <w:r>
        <w:rPr>
          <w:rFonts w:hint="eastAsia"/>
          <w:color w:val="000000" w:themeColor="text1"/>
          <w:sz w:val="24"/>
          <w:szCs w:val="28"/>
          <w:highlight w:val="none"/>
          <w14:textFill>
            <w14:solidFill>
              <w14:schemeClr w14:val="tx1"/>
            </w14:solidFill>
          </w14:textFill>
        </w:rPr>
        <w:t>，采购人为</w:t>
      </w:r>
      <w:r>
        <w:rPr>
          <w:rFonts w:hint="eastAsia"/>
          <w:color w:val="000000" w:themeColor="text1"/>
          <w:sz w:val="24"/>
          <w:szCs w:val="28"/>
          <w:highlight w:val="none"/>
          <w:u w:val="single"/>
          <w14:textFill>
            <w14:solidFill>
              <w14:schemeClr w14:val="tx1"/>
            </w14:solidFill>
          </w14:textFill>
        </w:rPr>
        <w:t>重庆首讯科技股份有限公司</w:t>
      </w:r>
      <w:r>
        <w:rPr>
          <w:rFonts w:hint="eastAsia"/>
          <w:color w:val="000000" w:themeColor="text1"/>
          <w:sz w:val="24"/>
          <w:szCs w:val="28"/>
          <w:highlight w:val="none"/>
          <w14:textFill>
            <w14:solidFill>
              <w14:schemeClr w14:val="tx1"/>
            </w14:solidFill>
          </w14:textFill>
        </w:rPr>
        <w:t>，该项目已具备比选条件，现对该项目进行竞争性比选。</w:t>
      </w:r>
    </w:p>
    <w:p>
      <w:pPr>
        <w:pStyle w:val="4"/>
        <w:spacing w:before="0" w:after="0" w:line="360" w:lineRule="auto"/>
        <w:rPr>
          <w:rFonts w:ascii="宋体" w:hAnsi="宋体" w:cs="宋体"/>
          <w:highlight w:val="none"/>
        </w:rPr>
      </w:pPr>
      <w:r>
        <w:rPr>
          <w:rFonts w:hint="eastAsia" w:ascii="宋体" w:hAnsi="宋体" w:cs="宋体"/>
          <w:highlight w:val="none"/>
        </w:rPr>
        <w:t>2.项目概述</w:t>
      </w:r>
    </w:p>
    <w:p>
      <w:pPr>
        <w:pStyle w:val="4"/>
        <w:spacing w:before="0" w:after="0" w:line="360" w:lineRule="auto"/>
        <w:ind w:firstLine="486" w:firstLineChars="200"/>
        <w:rPr>
          <w:rFonts w:ascii="Times New Roman" w:hAnsi="Times New Roman"/>
          <w:b w:val="0"/>
          <w:bCs w:val="0"/>
          <w:color w:val="000000" w:themeColor="text1"/>
          <w:kern w:val="2"/>
          <w:sz w:val="24"/>
          <w:szCs w:val="28"/>
          <w:highlight w:val="none"/>
          <w14:textFill>
            <w14:solidFill>
              <w14:schemeClr w14:val="tx1"/>
            </w14:solidFill>
          </w14:textFill>
        </w:rPr>
      </w:pPr>
      <w:r>
        <w:rPr>
          <w:rFonts w:hint="eastAsia" w:ascii="Times New Roman" w:hAnsi="Times New Roman"/>
          <w:b w:val="0"/>
          <w:bCs w:val="0"/>
          <w:color w:val="000000" w:themeColor="text1"/>
          <w:kern w:val="2"/>
          <w:sz w:val="24"/>
          <w:szCs w:val="28"/>
          <w:highlight w:val="none"/>
          <w14:textFill>
            <w14:solidFill>
              <w14:schemeClr w14:val="tx1"/>
            </w14:solidFill>
          </w14:textFill>
        </w:rPr>
        <w:t>2.1服务内容：建设一套适应首讯公司项目管理要求的项目管理系统，以云平台服务方式提供产品服务，实现从项目立项、合同签订、合同收款付款、预算及成本控制、合同变更、结算、决算全过程管理，主要功能包括：企业基础资料、项目基础资料、合同管理、物资管理、成本管理、项目资金、产值与收入、计划管理、竣工管理、报表中心。</w:t>
      </w:r>
    </w:p>
    <w:p>
      <w:pPr>
        <w:tabs>
          <w:tab w:val="left" w:pos="3621"/>
        </w:tabs>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2.2实施地点：重庆首讯科技股份有限公司</w:t>
      </w:r>
    </w:p>
    <w:p>
      <w:pPr>
        <w:tabs>
          <w:tab w:val="left" w:pos="3621"/>
        </w:tabs>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2.3实施期：2021年7月31日前完成。</w:t>
      </w:r>
    </w:p>
    <w:p>
      <w:pPr>
        <w:pStyle w:val="4"/>
        <w:spacing w:before="0" w:after="0" w:line="360" w:lineRule="auto"/>
        <w:rPr>
          <w:rFonts w:ascii="宋体" w:hAnsi="宋体" w:cs="宋体"/>
          <w:highlight w:val="none"/>
        </w:rPr>
      </w:pPr>
      <w:r>
        <w:rPr>
          <w:rFonts w:hint="eastAsia" w:ascii="宋体" w:hAnsi="宋体" w:cs="宋体"/>
          <w:highlight w:val="none"/>
        </w:rPr>
        <w:t>3.报价人资格要求</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3.1资质要求：</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（1）投标人应具备有效的营业执照或事业单位法人证书；</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3.2 本次比选不接受联合体报价。</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cs="宋体"/>
          <w:highlight w:val="none"/>
        </w:rPr>
      </w:pPr>
      <w:bookmarkStart w:id="14" w:name="_Toc12460"/>
      <w:bookmarkStart w:id="15" w:name="_Toc17662"/>
      <w:bookmarkStart w:id="16" w:name="_Toc14361"/>
      <w:bookmarkStart w:id="17" w:name="_Toc11329216"/>
      <w:bookmarkStart w:id="18" w:name="_Toc507319894"/>
      <w:bookmarkStart w:id="19" w:name="_Toc25619"/>
      <w:r>
        <w:rPr>
          <w:rFonts w:hint="eastAsia" w:ascii="宋体" w:hAnsi="宋体" w:cs="宋体"/>
          <w:highlight w:val="none"/>
        </w:rPr>
        <w:t>4. 比选文件的获取</w:t>
      </w:r>
      <w:bookmarkEnd w:id="14"/>
      <w:bookmarkEnd w:id="15"/>
      <w:bookmarkEnd w:id="16"/>
      <w:bookmarkEnd w:id="17"/>
      <w:bookmarkEnd w:id="18"/>
      <w:bookmarkEnd w:id="19"/>
    </w:p>
    <w:p>
      <w:pPr>
        <w:spacing w:line="360" w:lineRule="auto"/>
        <w:ind w:firstLine="426" w:firstLineChars="200"/>
        <w:rPr>
          <w:rFonts w:ascii="宋体" w:hAnsi="宋体"/>
          <w:szCs w:val="21"/>
          <w:highlight w:val="none"/>
        </w:rPr>
      </w:pPr>
      <w:bookmarkStart w:id="20" w:name="_Toc152042292"/>
      <w:bookmarkStart w:id="21" w:name="_Toc11329217"/>
      <w:bookmarkStart w:id="22" w:name="_Toc246996162"/>
      <w:bookmarkStart w:id="23" w:name="_Toc247085676"/>
      <w:bookmarkStart w:id="24" w:name="_Toc246996905"/>
      <w:bookmarkStart w:id="25" w:name="_Toc152045516"/>
      <w:bookmarkStart w:id="26" w:name="_Toc179632532"/>
      <w:bookmarkStart w:id="27" w:name="_Toc144974484"/>
      <w:bookmarkStart w:id="28" w:name="_Toc507319895"/>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6</w:t>
      </w:r>
      <w:r>
        <w:rPr>
          <w:rFonts w:hint="eastAsia" w:ascii="宋体" w:hAnsi="宋体"/>
          <w:szCs w:val="21"/>
          <w:highlight w:val="none"/>
        </w:rPr>
        <w:t>月</w:t>
      </w:r>
      <w:r>
        <w:rPr>
          <w:rFonts w:hint="eastAsia" w:ascii="宋体" w:hAnsi="宋体"/>
          <w:szCs w:val="21"/>
          <w:highlight w:val="none"/>
          <w:u w:val="single"/>
        </w:rPr>
        <w:t xml:space="preserve"> 15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:00</w:t>
      </w:r>
      <w:r>
        <w:rPr>
          <w:rFonts w:hint="eastAsia" w:ascii="宋体" w:hAnsi="宋体"/>
          <w:szCs w:val="21"/>
          <w:highlight w:val="none"/>
        </w:rPr>
        <w:t>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highlight w:val="none"/>
        </w:rPr>
      </w:pPr>
      <w:bookmarkStart w:id="29" w:name="_Toc6426"/>
      <w:bookmarkStart w:id="30" w:name="_Toc16686"/>
      <w:bookmarkStart w:id="31" w:name="_Toc9131"/>
      <w:bookmarkStart w:id="32" w:name="_Toc31493"/>
      <w:r>
        <w:rPr>
          <w:rFonts w:hint="eastAsia" w:ascii="宋体" w:hAnsi="宋体" w:cs="宋体"/>
          <w:highlight w:val="none"/>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cs="宋体"/>
          <w:highlight w:val="none"/>
        </w:rPr>
        <w:t>及相关事宜</w:t>
      </w:r>
      <w:bookmarkEnd w:id="29"/>
      <w:bookmarkEnd w:id="30"/>
      <w:bookmarkEnd w:id="31"/>
      <w:bookmarkEnd w:id="32"/>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u w:val="single"/>
        </w:rPr>
        <w:t>2021</w:t>
      </w:r>
      <w:r>
        <w:rPr>
          <w:rFonts w:hint="eastAsia" w:ascii="宋体" w:hAnsi="宋体" w:cs="宋体"/>
          <w:szCs w:val="21"/>
          <w:highlight w:val="none"/>
        </w:rPr>
        <w:t>年</w:t>
      </w:r>
      <w:r>
        <w:rPr>
          <w:rFonts w:hint="eastAsia" w:ascii="宋体" w:hAnsi="宋体" w:cs="宋体"/>
          <w:szCs w:val="21"/>
          <w:highlight w:val="none"/>
          <w:u w:val="single"/>
        </w:rPr>
        <w:t xml:space="preserve"> 6</w:t>
      </w:r>
      <w:r>
        <w:rPr>
          <w:rFonts w:hint="eastAsia" w:ascii="宋体" w:hAnsi="宋体" w:cs="宋体"/>
          <w:szCs w:val="21"/>
          <w:highlight w:val="none"/>
        </w:rPr>
        <w:t>月</w:t>
      </w:r>
      <w:r>
        <w:rPr>
          <w:rFonts w:hint="eastAsia" w:ascii="宋体" w:hAnsi="宋体" w:cs="宋体"/>
          <w:szCs w:val="21"/>
          <w:highlight w:val="none"/>
          <w:u w:val="single"/>
        </w:rPr>
        <w:t xml:space="preserve"> 17</w:t>
      </w:r>
      <w:r>
        <w:rPr>
          <w:rFonts w:hint="eastAsia" w:ascii="宋体" w:hAnsi="宋体" w:cs="宋体"/>
          <w:szCs w:val="21"/>
          <w:highlight w:val="none"/>
        </w:rPr>
        <w:t>日</w:t>
      </w:r>
      <w:r>
        <w:rPr>
          <w:rFonts w:hint="eastAsia" w:ascii="宋体" w:hAnsi="宋体" w:cs="宋体"/>
          <w:szCs w:val="21"/>
          <w:highlight w:val="none"/>
          <w:lang w:val="en-US" w:eastAsia="zh-CN"/>
        </w:rPr>
        <w:t>下</w:t>
      </w:r>
      <w:r>
        <w:rPr>
          <w:rFonts w:hint="eastAsia" w:ascii="宋体" w:hAnsi="宋体" w:cs="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5.2报价的递交：重庆市南岸区四公里内环入口200米处重庆首讯科技大楼</w:t>
      </w:r>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cs="宋体"/>
          <w:highlight w:val="none"/>
        </w:rPr>
      </w:pPr>
      <w:bookmarkStart w:id="33" w:name="_Toc179632534"/>
      <w:bookmarkStart w:id="34" w:name="_Toc152045517"/>
      <w:bookmarkStart w:id="35" w:name="_Toc393"/>
      <w:bookmarkStart w:id="36" w:name="_Toc247085678"/>
      <w:bookmarkStart w:id="37" w:name="_Toc11329219"/>
      <w:bookmarkStart w:id="38" w:name="_Toc144974485"/>
      <w:bookmarkStart w:id="39" w:name="_Toc246996907"/>
      <w:bookmarkStart w:id="40" w:name="_Toc3341"/>
      <w:bookmarkStart w:id="41" w:name="_Toc152042293"/>
      <w:bookmarkStart w:id="42" w:name="_Toc21615"/>
      <w:bookmarkStart w:id="43" w:name="_Toc18402"/>
      <w:bookmarkStart w:id="44" w:name="_Toc507319897"/>
      <w:bookmarkStart w:id="45" w:name="_Toc246996164"/>
      <w:r>
        <w:rPr>
          <w:rFonts w:hint="eastAsia" w:ascii="宋体" w:hAnsi="宋体" w:cs="宋体"/>
          <w:highlight w:val="none"/>
        </w:rPr>
        <w:t>6.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19"/>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29"/>
              <w:spacing w:before="0" w:beforeAutospacing="0" w:after="0" w:afterAutospacing="0" w:line="400" w:lineRule="exact"/>
              <w:ind w:firstLine="426"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29"/>
              <w:spacing w:before="0" w:beforeAutospacing="0" w:after="0" w:afterAutospacing="0" w:line="400" w:lineRule="exact"/>
              <w:ind w:firstLine="426" w:firstLineChars="200"/>
              <w:jc w:val="both"/>
              <w:rPr>
                <w:rFonts w:ascii="宋体" w:hAnsi="宋体" w:cs="宋体"/>
                <w:kern w:val="2"/>
                <w:sz w:val="21"/>
                <w:szCs w:val="21"/>
                <w:highlight w:val="none"/>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65" w:leftChars="200" w:hanging="639"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6"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6" w:firstLineChars="200"/>
              <w:rPr>
                <w:rFonts w:ascii="宋体" w:hAnsi="宋体" w:cs="宋体"/>
                <w:szCs w:val="21"/>
                <w:highlight w:val="none"/>
              </w:rPr>
            </w:pPr>
            <w:r>
              <w:rPr>
                <w:rFonts w:hint="eastAsia" w:ascii="宋体" w:hAnsi="宋体" w:cs="宋体"/>
                <w:szCs w:val="21"/>
                <w:highlight w:val="none"/>
              </w:rPr>
              <w:t>联系人：蒋老师</w:t>
            </w:r>
          </w:p>
        </w:tc>
        <w:tc>
          <w:tcPr>
            <w:tcW w:w="1415" w:type="dxa"/>
            <w:vAlign w:val="center"/>
          </w:tcPr>
          <w:p>
            <w:pPr>
              <w:spacing w:line="400" w:lineRule="exact"/>
              <w:ind w:firstLine="426"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6" w:firstLineChars="200"/>
              <w:rPr>
                <w:highlight w:val="none"/>
              </w:rPr>
            </w:pPr>
            <w:r>
              <w:rPr>
                <w:rFonts w:hint="eastAsia" w:ascii="宋体" w:hAnsi="宋体" w:cs="宋体"/>
                <w:szCs w:val="21"/>
                <w:highlight w:val="none"/>
              </w:rPr>
              <w:t>电 话：</w:t>
            </w:r>
            <w:r>
              <w:rPr>
                <w:rFonts w:hint="eastAsia" w:ascii="宋体" w:hAnsi="宋体"/>
                <w:color w:val="000000" w:themeColor="text1"/>
                <w:sz w:val="24"/>
                <w:highlight w:val="none"/>
                <w14:textFill>
                  <w14:solidFill>
                    <w14:schemeClr w14:val="tx1"/>
                  </w14:solidFill>
                </w14:textFill>
              </w:rPr>
              <w:t xml:space="preserve">18523055172   </w:t>
            </w:r>
          </w:p>
        </w:tc>
        <w:tc>
          <w:tcPr>
            <w:tcW w:w="1415" w:type="dxa"/>
            <w:vAlign w:val="center"/>
          </w:tcPr>
          <w:p>
            <w:pPr>
              <w:spacing w:line="400" w:lineRule="exact"/>
              <w:ind w:firstLine="426" w:firstLineChars="200"/>
              <w:rPr>
                <w:rFonts w:ascii="宋体" w:hAnsi="宋体" w:cs="宋体"/>
                <w:szCs w:val="21"/>
                <w:highlight w:val="none"/>
              </w:rPr>
            </w:pPr>
          </w:p>
        </w:tc>
      </w:tr>
    </w:tbl>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3"/>
        <w:numPr>
          <w:ilvl w:val="0"/>
          <w:numId w:val="1"/>
        </w:numPr>
        <w:spacing w:before="0" w:after="0" w:line="360" w:lineRule="auto"/>
        <w:rPr>
          <w:color w:val="000000" w:themeColor="text1"/>
          <w:spacing w:val="10"/>
          <w:sz w:val="48"/>
          <w:szCs w:val="48"/>
          <w:highlight w:val="none"/>
          <w14:textFill>
            <w14:solidFill>
              <w14:schemeClr w14:val="tx1"/>
            </w14:solidFill>
          </w14:textFill>
        </w:rPr>
      </w:pPr>
      <w:r>
        <w:rPr>
          <w:rFonts w:hint="eastAsia"/>
          <w:color w:val="000000" w:themeColor="text1"/>
          <w:spacing w:val="10"/>
          <w:sz w:val="48"/>
          <w:szCs w:val="48"/>
          <w:highlight w:val="none"/>
          <w14:textFill>
            <w14:solidFill>
              <w14:schemeClr w14:val="tx1"/>
            </w14:solidFill>
          </w14:textFill>
        </w:rPr>
        <w:t>报价人须知</w:t>
      </w:r>
    </w:p>
    <w:p>
      <w:pPr>
        <w:rPr>
          <w:highlight w:val="none"/>
        </w:rPr>
      </w:pPr>
    </w:p>
    <w:p>
      <w:pPr>
        <w:pStyle w:val="4"/>
        <w:spacing w:before="0" w:after="0" w:line="360" w:lineRule="auto"/>
        <w:ind w:firstLine="488" w:firstLineChars="200"/>
        <w:rPr>
          <w:rFonts w:ascii="宋体" w:hAnsi="宋体" w:cs="宋体"/>
          <w:sz w:val="24"/>
          <w:szCs w:val="24"/>
          <w:highlight w:val="none"/>
        </w:rPr>
      </w:pPr>
      <w:r>
        <w:rPr>
          <w:rFonts w:hint="eastAsia" w:ascii="宋体" w:hAnsi="宋体" w:cs="宋体"/>
          <w:sz w:val="24"/>
          <w:szCs w:val="24"/>
          <w:highlight w:val="none"/>
        </w:rPr>
        <w:t>1.服务内容：</w:t>
      </w:r>
      <w:r>
        <w:rPr>
          <w:rFonts w:hint="eastAsia" w:ascii="Times New Roman" w:hAnsi="Times New Roman"/>
          <w:b w:val="0"/>
          <w:bCs w:val="0"/>
          <w:color w:val="000000" w:themeColor="text1"/>
          <w:kern w:val="2"/>
          <w:sz w:val="24"/>
          <w:szCs w:val="28"/>
          <w:highlight w:val="none"/>
          <w14:textFill>
            <w14:solidFill>
              <w14:schemeClr w14:val="tx1"/>
            </w14:solidFill>
          </w14:textFill>
        </w:rPr>
        <w:t>建设一套适应首讯公司项目管理要求的项目管理系统，实现从项目立项、合同签订、合同收款付款、预算及成本控制、合同变更、结算、决算全过程管理，主要功能包括：企业基础资料、项目基础资料、合同管理、物资管理、成本管理、项目资金、产值与收入、计划管理、竣工管理、报表中心。</w:t>
      </w:r>
    </w:p>
    <w:p>
      <w:pPr>
        <w:pStyle w:val="2"/>
        <w:ind w:firstLine="486" w:firstLineChars="200"/>
        <w:rPr>
          <w:rFonts w:ascii="宋体" w:hAnsi="宋体" w:cs="宋体"/>
          <w:sz w:val="24"/>
          <w:highlight w:val="none"/>
        </w:rPr>
      </w:pPr>
      <w:r>
        <w:rPr>
          <w:rFonts w:hint="eastAsia" w:ascii="宋体" w:hAnsi="宋体" w:cs="宋体"/>
          <w:sz w:val="24"/>
          <w:highlight w:val="none"/>
        </w:rPr>
        <w:t>1.1</w:t>
      </w:r>
      <w:r>
        <w:rPr>
          <w:rFonts w:hint="eastAsia"/>
          <w:color w:val="000000" w:themeColor="text1"/>
          <w:sz w:val="24"/>
          <w:szCs w:val="28"/>
          <w:highlight w:val="none"/>
          <w14:textFill>
            <w14:solidFill>
              <w14:schemeClr w14:val="tx1"/>
            </w14:solidFill>
          </w14:textFill>
        </w:rPr>
        <w:t>以云平台服务方式提供产品服务，以首讯公司实际需求调研为实施范围和要求。</w:t>
      </w:r>
    </w:p>
    <w:p>
      <w:pPr>
        <w:pStyle w:val="2"/>
        <w:ind w:firstLine="486" w:firstLineChars="200"/>
        <w:rPr>
          <w:rFonts w:ascii="宋体" w:hAnsi="宋体" w:cs="宋体"/>
          <w:sz w:val="24"/>
          <w:highlight w:val="none"/>
        </w:rPr>
      </w:pPr>
      <w:r>
        <w:rPr>
          <w:rFonts w:hint="eastAsia" w:ascii="宋体" w:hAnsi="宋体" w:cs="宋体"/>
          <w:sz w:val="24"/>
          <w:highlight w:val="none"/>
        </w:rPr>
        <w:t>1.2工期要求：1个月。</w:t>
      </w:r>
    </w:p>
    <w:p>
      <w:pPr>
        <w:pStyle w:val="2"/>
        <w:ind w:firstLine="486" w:firstLineChars="200"/>
        <w:rPr>
          <w:highlight w:val="none"/>
        </w:rPr>
      </w:pPr>
      <w:r>
        <w:rPr>
          <w:rFonts w:hint="eastAsia" w:ascii="宋体" w:hAnsi="宋体" w:cs="宋体"/>
          <w:sz w:val="24"/>
          <w:highlight w:val="none"/>
        </w:rPr>
        <w:t>2.报价人不能拒绝执行竞争性比选文件服务内容范围内的工作。</w:t>
      </w:r>
    </w:p>
    <w:p>
      <w:pPr>
        <w:spacing w:line="360" w:lineRule="auto"/>
        <w:ind w:firstLine="488"/>
        <w:rPr>
          <w:rFonts w:ascii="宋体" w:hAnsi="宋体" w:cs="宋体"/>
          <w:sz w:val="24"/>
          <w:highlight w:val="none"/>
        </w:rPr>
      </w:pPr>
      <w:r>
        <w:rPr>
          <w:rFonts w:hint="eastAsia" w:ascii="宋体" w:hAnsi="宋体" w:cs="宋体"/>
          <w:b/>
          <w:bCs/>
          <w:sz w:val="24"/>
          <w:highlight w:val="none"/>
        </w:rPr>
        <w:t>3.服务费：</w:t>
      </w:r>
      <w:r>
        <w:rPr>
          <w:rFonts w:hint="eastAsia" w:ascii="宋体" w:hAnsi="宋体" w:cs="宋体"/>
          <w:sz w:val="24"/>
          <w:highlight w:val="none"/>
        </w:rPr>
        <w:t>本次项目管理云平台服务费为总价包干费用，包括但不限于为完成我司项目管理云平台</w:t>
      </w:r>
      <w:r>
        <w:rPr>
          <w:rFonts w:ascii="宋体" w:hAnsi="宋体" w:cs="宋体"/>
          <w:sz w:val="24"/>
          <w:highlight w:val="none"/>
        </w:rPr>
        <w:t>设计</w:t>
      </w:r>
      <w:r>
        <w:rPr>
          <w:rFonts w:hint="eastAsia" w:ascii="宋体" w:hAnsi="宋体" w:cs="宋体"/>
          <w:sz w:val="24"/>
          <w:highlight w:val="none"/>
        </w:rPr>
        <w:t>服务所需的劳务费、差旅费、交通费、服务费、办公费、税费等本竞争性比选文件所明示或暗示的一切相关费用。</w:t>
      </w:r>
    </w:p>
    <w:p>
      <w:pPr>
        <w:spacing w:line="360" w:lineRule="auto"/>
        <w:ind w:firstLine="488"/>
        <w:rPr>
          <w:rFonts w:ascii="宋体" w:hAnsi="宋体" w:cs="宋体"/>
          <w:sz w:val="24"/>
          <w:highlight w:val="none"/>
        </w:rPr>
      </w:pPr>
      <w:r>
        <w:rPr>
          <w:rFonts w:hint="eastAsia" w:ascii="宋体" w:hAnsi="宋体" w:cs="宋体"/>
          <w:b/>
          <w:bCs/>
          <w:sz w:val="24"/>
          <w:highlight w:val="none"/>
        </w:rPr>
        <w:t>4.</w:t>
      </w:r>
      <w:r>
        <w:rPr>
          <w:rFonts w:hint="eastAsia" w:ascii="宋体" w:hAnsi="宋体" w:cs="宋体"/>
          <w:sz w:val="24"/>
          <w:highlight w:val="none"/>
        </w:rPr>
        <w:t>若报价人在投标报价时有漏报、缺项的情况发生，采购人视为报价人已充分理解询价文件要求，漏报、漏项部分已计入投标报价之中，一旦中标，费用不予调整。</w:t>
      </w:r>
    </w:p>
    <w:p>
      <w:pPr>
        <w:spacing w:line="360" w:lineRule="auto"/>
        <w:ind w:firstLine="488"/>
        <w:rPr>
          <w:rFonts w:ascii="宋体" w:hAnsi="宋体" w:cs="宋体"/>
          <w:sz w:val="24"/>
          <w:highlight w:val="none"/>
        </w:rPr>
      </w:pPr>
      <w:r>
        <w:rPr>
          <w:rFonts w:hint="eastAsia" w:ascii="宋体" w:hAnsi="宋体" w:cs="宋体"/>
          <w:b/>
          <w:bCs/>
          <w:sz w:val="24"/>
          <w:highlight w:val="none"/>
        </w:rPr>
        <w:t>5.</w:t>
      </w:r>
      <w:r>
        <w:rPr>
          <w:rFonts w:hint="eastAsia" w:ascii="宋体" w:hAnsi="宋体" w:cs="宋体"/>
          <w:sz w:val="24"/>
          <w:highlight w:val="none"/>
        </w:rPr>
        <w:t>报价清单中各项金额均以人民币（元）结算，报价清单分为每年云平台服务费和2</w:t>
      </w:r>
      <w:r>
        <w:rPr>
          <w:rFonts w:ascii="宋体" w:hAnsi="宋体" w:cs="宋体"/>
          <w:sz w:val="24"/>
          <w:highlight w:val="none"/>
        </w:rPr>
        <w:t>021</w:t>
      </w:r>
      <w:r>
        <w:rPr>
          <w:rFonts w:hint="eastAsia" w:ascii="宋体" w:hAnsi="宋体" w:cs="宋体"/>
          <w:sz w:val="24"/>
          <w:highlight w:val="none"/>
        </w:rPr>
        <w:t>年实施费用。</w:t>
      </w:r>
    </w:p>
    <w:p>
      <w:pPr>
        <w:pStyle w:val="4"/>
        <w:spacing w:before="0" w:after="0" w:line="360" w:lineRule="auto"/>
        <w:ind w:firstLine="488" w:firstLineChars="200"/>
        <w:rPr>
          <w:rFonts w:ascii="宋体" w:hAnsi="宋体" w:cs="宋体"/>
          <w:b w:val="0"/>
          <w:bCs w:val="0"/>
          <w:sz w:val="24"/>
          <w:szCs w:val="24"/>
          <w:highlight w:val="none"/>
        </w:rPr>
      </w:pPr>
      <w:r>
        <w:rPr>
          <w:rFonts w:hint="eastAsia" w:ascii="宋体" w:hAnsi="宋体" w:cs="宋体"/>
          <w:sz w:val="24"/>
          <w:szCs w:val="24"/>
          <w:highlight w:val="none"/>
        </w:rPr>
        <w:t>6.支付方式：</w:t>
      </w:r>
      <w:r>
        <w:rPr>
          <w:rFonts w:hint="eastAsia" w:ascii="宋体" w:hAnsi="宋体" w:cs="宋体"/>
          <w:b w:val="0"/>
          <w:bCs w:val="0"/>
          <w:kern w:val="2"/>
          <w:sz w:val="24"/>
          <w:szCs w:val="24"/>
          <w:highlight w:val="none"/>
        </w:rPr>
        <w:t>合同签订完成，报价人完成本项目实施团队的组建及准备工作，支付合云平台服务费作为预付款；报价人按要求完成本项目的服务内容并验收通过后，支付</w:t>
      </w:r>
      <w:r>
        <w:rPr>
          <w:rFonts w:ascii="宋体" w:hAnsi="宋体" w:cs="宋体"/>
          <w:b w:val="0"/>
          <w:bCs w:val="0"/>
          <w:kern w:val="2"/>
          <w:sz w:val="24"/>
          <w:szCs w:val="24"/>
          <w:highlight w:val="none"/>
        </w:rPr>
        <w:t>100%</w:t>
      </w:r>
      <w:r>
        <w:rPr>
          <w:rFonts w:hint="eastAsia" w:ascii="宋体" w:hAnsi="宋体" w:cs="宋体"/>
          <w:b w:val="0"/>
          <w:bCs w:val="0"/>
          <w:kern w:val="2"/>
          <w:sz w:val="24"/>
          <w:szCs w:val="24"/>
          <w:highlight w:val="none"/>
        </w:rPr>
        <w:t>的实施费。</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7.</w:t>
      </w:r>
      <w:r>
        <w:rPr>
          <w:rFonts w:hint="eastAsia" w:ascii="宋体" w:hAnsi="宋体" w:cs="宋体"/>
          <w:b/>
          <w:bCs/>
          <w:sz w:val="24"/>
          <w:highlight w:val="none"/>
          <w:shd w:val="clear" w:color="auto" w:fill="auto"/>
        </w:rPr>
        <w:t>本项目最高限价200</w:t>
      </w:r>
      <w:r>
        <w:rPr>
          <w:rFonts w:hint="eastAsia" w:ascii="宋体" w:hAnsi="宋体" w:cs="宋体"/>
          <w:b/>
          <w:bCs/>
          <w:sz w:val="24"/>
          <w:highlight w:val="none"/>
          <w:shd w:val="clear" w:color="auto" w:fill="auto"/>
          <w:lang w:val="en-US" w:eastAsia="zh-CN"/>
        </w:rPr>
        <w:t>000.00</w:t>
      </w:r>
      <w:r>
        <w:rPr>
          <w:rFonts w:hint="eastAsia" w:ascii="宋体" w:hAnsi="宋体" w:cs="宋体"/>
          <w:b/>
          <w:bCs/>
          <w:sz w:val="24"/>
          <w:highlight w:val="none"/>
          <w:shd w:val="clear" w:color="auto" w:fill="auto"/>
        </w:rPr>
        <w:t>元</w:t>
      </w:r>
      <w:r>
        <w:rPr>
          <w:rFonts w:hint="eastAsia" w:ascii="宋体" w:hAnsi="宋体" w:cs="宋体"/>
          <w:sz w:val="24"/>
          <w:highlight w:val="none"/>
        </w:rPr>
        <w:t>。报价人总价报价均不得高于采购人发布的最高限价，否则其竞争性比选响应文件视为重大偏差，竞争性比选响应文件将按否决报价处理。</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8.保密条款：</w:t>
      </w:r>
      <w:r>
        <w:rPr>
          <w:rFonts w:hint="eastAsia" w:ascii="宋体" w:hAnsi="宋体" w:cs="宋体"/>
          <w:sz w:val="24"/>
          <w:highlight w:val="none"/>
        </w:rPr>
        <w:t>在报价人实施或参与本项目中，对获取到的重庆首讯科技有限公司提供的制度文件及生产资料等有保密义务。未经采购人书面许可，报价人不得对任何第三方透露本项目任何信息。</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9.</w:t>
      </w:r>
      <w:r>
        <w:rPr>
          <w:rFonts w:hint="eastAsia" w:ascii="宋体" w:hAnsi="宋体" w:cs="宋体"/>
          <w:sz w:val="24"/>
          <w:highlight w:val="none"/>
        </w:rPr>
        <w:t>本次询价结果仅作为本项目实施单位选择的依据之一，甲方有权根据实际情况决定最终结果。</w:t>
      </w:r>
    </w:p>
    <w:p>
      <w:pPr>
        <w:rPr>
          <w:highlight w:val="none"/>
        </w:rPr>
      </w:pPr>
    </w:p>
    <w:p>
      <w:pPr>
        <w:pStyle w:val="2"/>
        <w:spacing w:line="360" w:lineRule="auto"/>
        <w:ind w:firstLine="488"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10.资格要求：详见附录</w:t>
      </w:r>
    </w:p>
    <w:p>
      <w:pPr>
        <w:pStyle w:val="4"/>
        <w:jc w:val="center"/>
        <w:rPr>
          <w:rFonts w:ascii="宋体" w:hAnsi="宋体" w:cs="宋体"/>
          <w:sz w:val="24"/>
          <w:szCs w:val="24"/>
          <w:highlight w:val="none"/>
        </w:rPr>
      </w:pPr>
      <w:bookmarkStart w:id="46" w:name="_Toc17532"/>
      <w:bookmarkStart w:id="47" w:name="_Toc31095"/>
      <w:bookmarkStart w:id="48" w:name="_Toc11284"/>
      <w:bookmarkStart w:id="49" w:name="_Toc11329222"/>
      <w:bookmarkStart w:id="50" w:name="_Toc30198"/>
      <w:r>
        <w:rPr>
          <w:rFonts w:hint="eastAsia" w:ascii="宋体" w:hAnsi="宋体" w:cs="宋体"/>
          <w:sz w:val="24"/>
          <w:szCs w:val="24"/>
          <w:highlight w:val="none"/>
        </w:rPr>
        <w:t>附录1  资格审查条件</w:t>
      </w:r>
      <w:bookmarkEnd w:id="46"/>
      <w:bookmarkEnd w:id="47"/>
      <w:bookmarkEnd w:id="48"/>
      <w:bookmarkEnd w:id="49"/>
      <w:bookmarkEnd w:id="50"/>
    </w:p>
    <w:tbl>
      <w:tblPr>
        <w:tblStyle w:val="1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08" w:type="dxa"/>
          </w:tcPr>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（1）投标人应具备有效的营业执照或事业单位法人证书；</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（2）信誉良好：在国家企业信用信息公示系统（http://www.gsxt.gov.cn/）中未被列入严重违法失信企业名单（黑名单）信息；在“信用中国”网站（http://www.creditchina.gov.cn/）中未被列入失信惩戒执行人名单。</w:t>
            </w:r>
          </w:p>
        </w:tc>
      </w:tr>
    </w:tbl>
    <w:p>
      <w:pPr>
        <w:spacing w:line="440" w:lineRule="exact"/>
        <w:ind w:firstLine="448" w:firstLineChars="200"/>
        <w:rPr>
          <w:rFonts w:asciiTheme="minorEastAsia" w:hAnsiTheme="minorEastAsia" w:eastAsiaTheme="minorEastAsia" w:cstheme="minorEastAsia"/>
          <w:b/>
          <w:bCs/>
          <w:caps/>
          <w:sz w:val="22"/>
          <w:szCs w:val="22"/>
          <w:highlight w:val="none"/>
        </w:rPr>
      </w:pPr>
      <w:r>
        <w:rPr>
          <w:rFonts w:hint="eastAsia" w:asciiTheme="minorEastAsia" w:hAnsiTheme="minorEastAsia" w:eastAsiaTheme="minorEastAsia" w:cstheme="minorEastAsia"/>
          <w:b/>
          <w:bCs/>
          <w:caps/>
          <w:sz w:val="22"/>
          <w:szCs w:val="22"/>
          <w:highlight w:val="none"/>
        </w:rPr>
        <w:t>注：须提供营业执照或事业单位法人证书，信誉网站查询结果截图，类似业绩合同扫描件，并加盖单位公章。</w:t>
      </w:r>
      <w:bookmarkStart w:id="51" w:name="_Toc19627"/>
      <w:bookmarkStart w:id="52" w:name="_Toc1778"/>
      <w:bookmarkStart w:id="53" w:name="_Toc17235"/>
      <w:bookmarkStart w:id="54" w:name="_Toc30995"/>
      <w:bookmarkStart w:id="55" w:name="_Toc11329223"/>
    </w:p>
    <w:bookmarkEnd w:id="51"/>
    <w:bookmarkEnd w:id="52"/>
    <w:bookmarkEnd w:id="53"/>
    <w:bookmarkEnd w:id="54"/>
    <w:bookmarkEnd w:id="55"/>
    <w:p>
      <w:pPr>
        <w:pStyle w:val="2"/>
        <w:rPr>
          <w:highlight w:val="none"/>
        </w:rPr>
      </w:pPr>
    </w:p>
    <w:p>
      <w:pPr>
        <w:spacing w:line="360" w:lineRule="auto"/>
        <w:ind w:firstLine="488"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11.竞争性比选文件需加盖报价人的公章</w:t>
      </w:r>
      <w:r>
        <w:rPr>
          <w:rFonts w:hint="eastAsia" w:ascii="宋体" w:hAnsi="宋体"/>
          <w:color w:val="000000" w:themeColor="text1"/>
          <w:sz w:val="24"/>
          <w:highlight w:val="none"/>
          <w14:textFill>
            <w14:solidFill>
              <w14:schemeClr w14:val="tx1"/>
            </w14:solidFill>
          </w14:textFill>
        </w:rPr>
        <w:t>，竞争性比选响应文件提交正本1份，副本</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份，副本可为正本的复印件，竞争性比选响应文件需装订成册；报价人应提供竞争性比选响应文件</w:t>
      </w:r>
      <w:r>
        <w:rPr>
          <w:rFonts w:hint="eastAsia" w:ascii="宋体" w:hAnsi="宋体"/>
          <w:b/>
          <w:bCs/>
          <w:color w:val="000000" w:themeColor="text1"/>
          <w:sz w:val="24"/>
          <w:highlight w:val="none"/>
          <w14:textFill>
            <w14:solidFill>
              <w14:schemeClr w14:val="tx1"/>
            </w14:solidFill>
          </w14:textFill>
        </w:rPr>
        <w:t>电子文件1份</w:t>
      </w:r>
      <w:r>
        <w:rPr>
          <w:rFonts w:hint="eastAsia" w:ascii="宋体" w:hAnsi="宋体"/>
          <w:color w:val="000000" w:themeColor="text1"/>
          <w:sz w:val="24"/>
          <w:highlight w:val="none"/>
          <w14:textFill>
            <w14:solidFill>
              <w14:schemeClr w14:val="tx1"/>
            </w14:solidFill>
          </w14:textFill>
        </w:rPr>
        <w:t>（U盘1份，电子文件内容须包括竞争性比选响应文件全部内容）。当电子文件与纸质版竞争性比选响应文件不一致时，以纸质版竞争性比选响应文件为准，当正本与副本不一致时，以正本为准。</w:t>
      </w:r>
    </w:p>
    <w:p>
      <w:pPr>
        <w:pStyle w:val="16"/>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12、本次竞争性比选响应文件的组成</w:t>
      </w:r>
    </w:p>
    <w:p>
      <w:pPr>
        <w:spacing w:line="360" w:lineRule="auto"/>
        <w:ind w:firstLine="486"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6"/>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13、密封要求</w:t>
      </w:r>
    </w:p>
    <w:p>
      <w:pPr>
        <w:spacing w:line="360" w:lineRule="auto"/>
        <w:ind w:firstLine="486"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竞争性比选响应文件密封到一个封袋中，在封套上写明：</w:t>
      </w:r>
    </w:p>
    <w:p>
      <w:pPr>
        <w:spacing w:line="360" w:lineRule="auto"/>
        <w:ind w:firstLine="486"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重庆首讯科技股份有限公司项目管理云平台服务项目竞争性比选响应文件</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在202</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：00时前不得开启</w:t>
      </w:r>
    </w:p>
    <w:p>
      <w:pPr>
        <w:pStyle w:val="16"/>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14、竞争性</w:t>
      </w:r>
      <w:r>
        <w:rPr>
          <w:rFonts w:ascii="宋体" w:hAnsi="宋体"/>
          <w:color w:val="000000" w:themeColor="text1"/>
          <w:sz w:val="24"/>
          <w:szCs w:val="24"/>
          <w:highlight w:val="none"/>
          <w14:textFill>
            <w14:solidFill>
              <w14:schemeClr w14:val="tx1"/>
            </w14:solidFill>
          </w14:textFill>
        </w:rPr>
        <w:t>比选响应文件的递交</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报价截止时间和开标时间：2021年</w:t>
      </w:r>
      <w:r>
        <w:rPr>
          <w:rFonts w:hint="eastAsia" w:ascii="宋体" w:hAnsi="宋体"/>
          <w:color w:val="000000" w:themeColor="text1"/>
          <w:sz w:val="24"/>
          <w:highlight w:val="none"/>
          <w:u w:val="single"/>
          <w14:textFill>
            <w14:solidFill>
              <w14:schemeClr w14:val="tx1"/>
            </w14:solidFill>
          </w14:textFill>
        </w:rPr>
        <w:t>6</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17</w:t>
      </w:r>
      <w:r>
        <w:rPr>
          <w:rFonts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w:t>
      </w:r>
      <w:r>
        <w:rPr>
          <w:rFonts w:ascii="宋体" w:hAnsi="宋体"/>
          <w:color w:val="000000" w:themeColor="text1"/>
          <w:sz w:val="24"/>
          <w:highlight w:val="none"/>
          <w14:textFill>
            <w14:solidFill>
              <w14:schemeClr w14:val="tx1"/>
            </w14:solidFill>
          </w14:textFill>
        </w:rPr>
        <w:t>分（北京时间）。</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报价地点和开标地点：</w:t>
      </w:r>
      <w:r>
        <w:rPr>
          <w:rFonts w:hint="eastAsia" w:ascii="宋体" w:hAnsi="宋体"/>
          <w:color w:val="000000" w:themeColor="text1"/>
          <w:sz w:val="24"/>
          <w:highlight w:val="none"/>
          <w14:textFill>
            <w14:solidFill>
              <w14:schemeClr w14:val="tx1"/>
            </w14:solidFill>
          </w14:textFill>
        </w:rPr>
        <w:t>重庆市南岸区四公里内环入口200米处重庆首讯科技大楼三楼310会议室</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逾期送达，或未送达指定地点，或未密封的竞争性比选响应文件，采购人不予受理。</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p>
      <w:pPr>
        <w:pStyle w:val="16"/>
        <w:spacing w:before="0" w:after="0" w:line="360" w:lineRule="auto"/>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15、联系方式</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联系人:蒋老师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电话：18523055172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监督电话：02389021335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地址：庆市南岸区四公里内环入口200米处重庆首讯科技大楼</w:t>
      </w:r>
    </w:p>
    <w:p>
      <w:pPr>
        <w:rPr>
          <w:highlight w:val="none"/>
        </w:rPr>
      </w:pPr>
    </w:p>
    <w:p>
      <w:pPr>
        <w:rPr>
          <w:highlight w:val="none"/>
        </w:rPr>
      </w:pPr>
      <w:r>
        <w:rPr>
          <w:rFonts w:hint="eastAsia"/>
          <w:highlight w:val="none"/>
        </w:rPr>
        <w:br w:type="page"/>
      </w:r>
    </w:p>
    <w:p>
      <w:pPr>
        <w:jc w:val="center"/>
        <w:outlineLvl w:val="0"/>
        <w:rPr>
          <w:b/>
          <w:bCs/>
          <w:sz w:val="48"/>
          <w:szCs w:val="48"/>
          <w:highlight w:val="none"/>
        </w:rPr>
      </w:pPr>
      <w:r>
        <w:rPr>
          <w:rFonts w:hint="eastAsia" w:ascii="宋体" w:hAnsi="宋体" w:cs="宋体"/>
          <w:b/>
          <w:bCs/>
          <w:smallCaps/>
          <w:sz w:val="48"/>
          <w:szCs w:val="48"/>
          <w:highlight w:val="none"/>
        </w:rPr>
        <w:t>第三章 评标办法（综合评估法）</w:t>
      </w:r>
    </w:p>
    <w:p>
      <w:pPr>
        <w:spacing w:line="360" w:lineRule="auto"/>
        <w:rPr>
          <w:b/>
          <w:bCs/>
          <w:color w:val="000000" w:themeColor="text1"/>
          <w:sz w:val="24"/>
          <w:szCs w:val="28"/>
          <w:highlight w:val="none"/>
          <w14:textFill>
            <w14:solidFill>
              <w14:schemeClr w14:val="tx1"/>
            </w14:solidFill>
          </w14:textFill>
        </w:rPr>
      </w:pPr>
      <w:r>
        <w:rPr>
          <w:rFonts w:hint="eastAsia"/>
          <w:b/>
          <w:bCs/>
          <w:color w:val="000000" w:themeColor="text1"/>
          <w:sz w:val="24"/>
          <w:szCs w:val="28"/>
          <w:highlight w:val="none"/>
          <w14:textFill>
            <w14:solidFill>
              <w14:schemeClr w14:val="tx1"/>
            </w14:solidFill>
          </w14:textFill>
        </w:rPr>
        <w:t>本项目采用综合评估法进行评标。</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496"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条款名称</w:t>
            </w:r>
          </w:p>
        </w:tc>
        <w:tc>
          <w:tcPr>
            <w:tcW w:w="6004"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1</w:t>
            </w:r>
          </w:p>
        </w:tc>
        <w:tc>
          <w:tcPr>
            <w:tcW w:w="7500" w:type="dxa"/>
            <w:gridSpan w:val="7"/>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如出现得分(精确到小数点后两位)相等时，按以下原则确定第一中标候选人：</w:t>
            </w:r>
          </w:p>
          <w:p>
            <w:pPr>
              <w:snapToGrid w:val="0"/>
              <w:spacing w:line="400" w:lineRule="exact"/>
              <w:rPr>
                <w:rFonts w:ascii="宋体" w:hAnsi="宋体" w:cs="宋体"/>
                <w:b/>
                <w:kern w:val="0"/>
                <w:highlight w:val="none"/>
              </w:rPr>
            </w:pPr>
            <w:r>
              <w:rPr>
                <w:rFonts w:hint="eastAsia" w:ascii="宋体" w:hAnsi="宋体" w:cs="宋体"/>
                <w:b/>
                <w:kern w:val="0"/>
                <w:highlight w:val="none"/>
              </w:rPr>
              <w:t>（1）以评标价低的报价人优先；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（2）如评标价也相同时，以技术得分较高的报价人优先；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（3）如技术得分也相同时，以商务得分高的优先；</w:t>
            </w:r>
          </w:p>
          <w:p>
            <w:pPr>
              <w:pStyle w:val="9"/>
              <w:rPr>
                <w:highlight w:val="none"/>
              </w:rPr>
            </w:pPr>
            <w:r>
              <w:rPr>
                <w:rFonts w:hint="eastAsia"/>
                <w:b/>
                <w:bCs/>
                <w:highlight w:val="none"/>
              </w:rPr>
              <w:t>（4）</w:t>
            </w:r>
            <w:r>
              <w:rPr>
                <w:rFonts w:ascii="宋体" w:hAnsi="宋体" w:cs="宋体"/>
                <w:b/>
                <w:highlight w:val="none"/>
              </w:rPr>
              <w:t>如商务得分也</w:t>
            </w:r>
            <w:r>
              <w:rPr>
                <w:rFonts w:hint="eastAsia" w:ascii="宋体" w:hAnsi="宋体" w:cs="宋体"/>
                <w:b/>
                <w:highlight w:val="none"/>
              </w:rPr>
              <w:t>相</w:t>
            </w:r>
            <w:r>
              <w:rPr>
                <w:rFonts w:ascii="宋体" w:hAnsi="宋体" w:cs="宋体"/>
                <w:b/>
                <w:highlight w:val="none"/>
              </w:rPr>
              <w:t>同时，</w:t>
            </w:r>
            <w:r>
              <w:rPr>
                <w:rFonts w:hint="eastAsia" w:ascii="宋体" w:hAnsi="宋体" w:cs="宋体"/>
                <w:b/>
                <w:highlight w:val="none"/>
              </w:rPr>
              <w:t>由评标委员会投票决定。</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989"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w:t>
            </w:r>
          </w:p>
        </w:tc>
        <w:tc>
          <w:tcPr>
            <w:tcW w:w="5511"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2.1.1</w:t>
            </w:r>
          </w:p>
        </w:tc>
        <w:tc>
          <w:tcPr>
            <w:tcW w:w="377" w:type="dxa"/>
            <w:vMerge w:val="restart"/>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6" w:name="OLE_LINK5"/>
            <w:r>
              <w:rPr>
                <w:rFonts w:hint="eastAsia" w:asciiTheme="minorEastAsia" w:hAnsiTheme="minorEastAsia" w:eastAsiaTheme="minorEastAsia" w:cstheme="minorEastAsia"/>
                <w:kern w:val="0"/>
                <w:szCs w:val="21"/>
                <w:highlight w:val="none"/>
              </w:rPr>
              <w:t>资格评审</w:t>
            </w:r>
            <w:bookmarkEnd w:id="56"/>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7" w:name="OLE_LINK7"/>
            <w:r>
              <w:rPr>
                <w:rFonts w:hint="eastAsia" w:asciiTheme="minorEastAsia" w:hAnsiTheme="minorEastAsia" w:eastAsiaTheme="minorEastAsia" w:cstheme="minorEastAsia"/>
                <w:kern w:val="0"/>
                <w:szCs w:val="21"/>
                <w:highlight w:val="none"/>
              </w:rPr>
              <w:t>报价人名称</w:t>
            </w:r>
            <w:bookmarkEnd w:id="57"/>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8" w:name="OLE_LINK8"/>
            <w:r>
              <w:rPr>
                <w:rFonts w:hint="eastAsia" w:asciiTheme="minorEastAsia" w:hAnsiTheme="minorEastAsia" w:eastAsiaTheme="minorEastAsia" w:cstheme="minorEastAsia"/>
                <w:kern w:val="0"/>
                <w:szCs w:val="21"/>
                <w:highlight w:val="none"/>
              </w:rPr>
              <w:t>报价文件签字盖章</w:t>
            </w:r>
            <w:bookmarkEnd w:id="58"/>
          </w:p>
        </w:tc>
        <w:tc>
          <w:tcPr>
            <w:tcW w:w="5463" w:type="dxa"/>
            <w:gridSpan w:val="2"/>
            <w:vAlign w:val="center"/>
          </w:tcPr>
          <w:p>
            <w:pPr>
              <w:pStyle w:val="31"/>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0"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9" w:name="OLE_LINK10"/>
            <w:r>
              <w:rPr>
                <w:rFonts w:hint="eastAsia" w:asciiTheme="minorEastAsia" w:hAnsiTheme="minorEastAsia" w:eastAsiaTheme="minorEastAsia" w:cstheme="minorEastAsia"/>
                <w:kern w:val="0"/>
                <w:szCs w:val="21"/>
                <w:highlight w:val="none"/>
              </w:rPr>
              <w:t>报价唯一</w:t>
            </w:r>
            <w:bookmarkEnd w:id="59"/>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85"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0" w:name="OLE_LINK11"/>
            <w:r>
              <w:rPr>
                <w:rFonts w:hint="eastAsia" w:asciiTheme="minorEastAsia" w:hAnsiTheme="minorEastAsia" w:eastAsiaTheme="minorEastAsia" w:cstheme="minorEastAsia"/>
                <w:kern w:val="0"/>
                <w:szCs w:val="21"/>
                <w:highlight w:val="none"/>
              </w:rPr>
              <w:t>投标文件的签署</w:t>
            </w:r>
            <w:bookmarkEnd w:id="60"/>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903"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1" w:name="OLE_LINK12"/>
            <w:r>
              <w:rPr>
                <w:rFonts w:hint="eastAsia" w:asciiTheme="minorEastAsia" w:hAnsiTheme="minorEastAsia" w:eastAsiaTheme="minorEastAsia" w:cstheme="minorEastAsia"/>
                <w:kern w:val="0"/>
                <w:szCs w:val="21"/>
                <w:highlight w:val="none"/>
              </w:rPr>
              <w:t>委托代理人</w:t>
            </w:r>
            <w:bookmarkEnd w:id="61"/>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2.1.2</w:t>
            </w: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2" w:name="OLE_LINK6"/>
            <w:r>
              <w:rPr>
                <w:rFonts w:hint="eastAsia" w:asciiTheme="minorEastAsia" w:hAnsiTheme="minorEastAsia" w:eastAsiaTheme="minorEastAsia" w:cstheme="minorEastAsia"/>
                <w:kern w:val="0"/>
                <w:szCs w:val="21"/>
                <w:highlight w:val="none"/>
              </w:rPr>
              <w:t>营业执照</w:t>
            </w:r>
            <w:bookmarkEnd w:id="62"/>
            <w:r>
              <w:rPr>
                <w:rFonts w:hint="eastAsia" w:asciiTheme="minorEastAsia" w:hAnsiTheme="minorEastAsia" w:eastAsiaTheme="minorEastAsia" w:cstheme="minorEastAsia"/>
                <w:kern w:val="0"/>
                <w:szCs w:val="21"/>
                <w:highlight w:val="none"/>
              </w:rPr>
              <w:t>或事业单位法人证书</w:t>
            </w:r>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3" w:name="OLE_LINK13"/>
            <w:r>
              <w:rPr>
                <w:rFonts w:hint="eastAsia" w:asciiTheme="minorEastAsia" w:hAnsiTheme="minorEastAsia" w:eastAsiaTheme="minorEastAsia" w:cstheme="minorEastAsia"/>
                <w:kern w:val="0"/>
                <w:szCs w:val="21"/>
                <w:highlight w:val="none"/>
              </w:rPr>
              <w:t>其他要求</w:t>
            </w:r>
            <w:bookmarkEnd w:id="63"/>
          </w:p>
        </w:tc>
        <w:tc>
          <w:tcPr>
            <w:tcW w:w="5463" w:type="dxa"/>
            <w:gridSpan w:val="2"/>
            <w:vAlign w:val="center"/>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w:t>
            </w:r>
            <w:bookmarkStart w:id="64" w:name="OLE_LINK9"/>
            <w:r>
              <w:rPr>
                <w:rFonts w:hint="eastAsia" w:asciiTheme="minorEastAsia" w:hAnsiTheme="minorEastAsia" w:eastAsiaTheme="minorEastAsia" w:cstheme="minorEastAsia"/>
                <w:szCs w:val="21"/>
                <w:highlight w:val="none"/>
              </w:rPr>
              <w:t>第二章“报价人须知”规定</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258"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2.2.1</w:t>
            </w:r>
          </w:p>
        </w:tc>
        <w:tc>
          <w:tcPr>
            <w:tcW w:w="1989" w:type="dxa"/>
            <w:gridSpan w:val="4"/>
            <w:vAlign w:val="center"/>
          </w:tcPr>
          <w:p>
            <w:pPr>
              <w:tabs>
                <w:tab w:val="left" w:pos="1875"/>
              </w:tabs>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分值构成 (总分1OO分)</w:t>
            </w:r>
          </w:p>
        </w:tc>
        <w:tc>
          <w:tcPr>
            <w:tcW w:w="5463" w:type="dxa"/>
            <w:gridSpan w:val="2"/>
          </w:tcPr>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A：投标报价</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0分；</w:t>
            </w:r>
          </w:p>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B：商务部分</w:t>
            </w:r>
            <w:r>
              <w:rPr>
                <w:rFonts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rPr>
              <w:t>0分；</w:t>
            </w:r>
          </w:p>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C：技术部分</w:t>
            </w:r>
            <w:r>
              <w:rPr>
                <w:rFonts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13"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2.2.2</w:t>
            </w:r>
          </w:p>
        </w:tc>
        <w:tc>
          <w:tcPr>
            <w:tcW w:w="1989" w:type="dxa"/>
            <w:gridSpan w:val="4"/>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报价</w:t>
            </w:r>
          </w:p>
        </w:tc>
        <w:tc>
          <w:tcPr>
            <w:tcW w:w="5463" w:type="dxa"/>
            <w:gridSpan w:val="2"/>
          </w:tcPr>
          <w:p>
            <w:pPr>
              <w:wordWrap w:val="0"/>
              <w:adjustRightInd w:val="0"/>
              <w:snapToGrid w:val="0"/>
              <w:spacing w:line="400" w:lineRule="exact"/>
              <w:ind w:firstLine="426" w:firstLineChars="200"/>
              <w:rPr>
                <w:rFonts w:asciiTheme="minorEastAsia" w:hAnsiTheme="minorEastAsia" w:eastAsiaTheme="minorEastAsia" w:cstheme="minorEastAsia"/>
                <w:szCs w:val="21"/>
                <w:highlight w:val="none"/>
              </w:rPr>
            </w:pPr>
            <w:bookmarkStart w:id="65" w:name="OLE_LINK3"/>
            <w:r>
              <w:rPr>
                <w:rFonts w:hint="eastAsia" w:asciiTheme="minorEastAsia" w:hAnsiTheme="minorEastAsia" w:eastAsiaTheme="minorEastAsia" w:cstheme="minorEastAsia"/>
                <w:szCs w:val="21"/>
                <w:highlight w:val="none"/>
              </w:rPr>
              <w:t>1.满足招标文件要求，有效的投标报价的平均值为评标基准价。</w:t>
            </w:r>
          </w:p>
          <w:p>
            <w:pPr>
              <w:wordWrap w:val="0"/>
              <w:adjustRightInd w:val="0"/>
              <w:snapToGrid w:val="0"/>
              <w:spacing w:line="400" w:lineRule="exact"/>
              <w:ind w:firstLine="426" w:firstLineChars="200"/>
              <w:rPr>
                <w:rFonts w:asciiTheme="minorEastAsia" w:hAnsiTheme="minorEastAsia" w:eastAsiaTheme="minorEastAsia" w:cstheme="minorEastAsia"/>
                <w:szCs w:val="21"/>
                <w:highlight w:val="none"/>
              </w:rPr>
            </w:pPr>
            <w:bookmarkStart w:id="66" w:name="OLE_LINK2"/>
            <w:r>
              <w:rPr>
                <w:rFonts w:hint="eastAsia" w:asciiTheme="minorEastAsia" w:hAnsiTheme="minorEastAsia" w:eastAsiaTheme="minorEastAsia" w:cstheme="minorEastAsia"/>
                <w:szCs w:val="21"/>
                <w:highlight w:val="none"/>
              </w:rPr>
              <w:t>2.偏差率</w:t>
            </w:r>
            <w:bookmarkEnd w:id="66"/>
            <w:r>
              <w:rPr>
                <w:rFonts w:hint="eastAsia" w:asciiTheme="minorEastAsia" w:hAnsiTheme="minorEastAsia" w:eastAsiaTheme="minorEastAsia" w:cstheme="minorEastAsia"/>
                <w:szCs w:val="21"/>
                <w:highlight w:val="none"/>
              </w:rPr>
              <w:t>=100%×（投标人报价－评标基准价）/评标基准价。</w:t>
            </w:r>
          </w:p>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3.经评审的有效投标报价与评标基准价相比，等于基准价的得50分，每增加1%扣0.5分，每减少1%扣0.25分，扣完为止。</w:t>
            </w:r>
            <w:bookmarkEnd w:id="65"/>
          </w:p>
          <w:p>
            <w:pPr>
              <w:pStyle w:val="31"/>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228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2.2.3</w:t>
            </w:r>
          </w:p>
        </w:tc>
        <w:tc>
          <w:tcPr>
            <w:tcW w:w="729" w:type="dxa"/>
            <w:gridSpan w:val="2"/>
            <w:vMerge w:val="restart"/>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商务部分评分标准（</w:t>
            </w:r>
            <w:r>
              <w:rPr>
                <w:rFonts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rPr>
              <w:t>0分）</w:t>
            </w:r>
          </w:p>
        </w:tc>
        <w:tc>
          <w:tcPr>
            <w:tcW w:w="1260" w:type="dxa"/>
            <w:gridSpan w:val="2"/>
            <w:vAlign w:val="center"/>
          </w:tcPr>
          <w:p>
            <w:pPr>
              <w:snapToGrid w:val="0"/>
              <w:spacing w:line="400" w:lineRule="exact"/>
              <w:jc w:val="center"/>
              <w:rPr>
                <w:rFonts w:asciiTheme="minorEastAsia" w:hAnsiTheme="minorEastAsia" w:eastAsiaTheme="minorEastAsia" w:cstheme="minorEastAsia"/>
                <w:szCs w:val="21"/>
                <w:highlight w:val="none"/>
                <w:shd w:val="clear" w:color="FFFFFF" w:fill="auto"/>
              </w:rPr>
            </w:pPr>
            <w:r>
              <w:rPr>
                <w:rFonts w:hint="eastAsia" w:asciiTheme="minorEastAsia" w:hAnsiTheme="minorEastAsia" w:eastAsiaTheme="minorEastAsia" w:cstheme="minorEastAsia"/>
                <w:szCs w:val="21"/>
                <w:highlight w:val="none"/>
                <w:shd w:val="clear" w:color="FFFFFF" w:fill="auto"/>
              </w:rPr>
              <w:t>项目团队（</w:t>
            </w:r>
            <w:r>
              <w:rPr>
                <w:rFonts w:asciiTheme="minorEastAsia" w:hAnsiTheme="minorEastAsia" w:eastAsiaTheme="minorEastAsia" w:cstheme="minorEastAsia"/>
                <w:szCs w:val="21"/>
                <w:highlight w:val="none"/>
                <w:shd w:val="clear" w:color="FFFFFF" w:fill="auto"/>
              </w:rPr>
              <w:t>5</w:t>
            </w:r>
            <w:r>
              <w:rPr>
                <w:rFonts w:hint="eastAsia" w:asciiTheme="minorEastAsia" w:hAnsiTheme="minorEastAsia" w:eastAsiaTheme="minorEastAsia" w:cstheme="minorEastAsia"/>
                <w:szCs w:val="21"/>
                <w:highlight w:val="none"/>
                <w:shd w:val="clear" w:color="FFFFFF" w:fill="auto"/>
              </w:rPr>
              <w:t>分）</w:t>
            </w:r>
          </w:p>
        </w:tc>
        <w:tc>
          <w:tcPr>
            <w:tcW w:w="5463" w:type="dxa"/>
            <w:gridSpan w:val="2"/>
            <w:vAlign w:val="center"/>
          </w:tcPr>
          <w:p>
            <w:pPr>
              <w:pStyle w:val="8"/>
              <w:numPr>
                <w:ilvl w:val="0"/>
                <w:numId w:val="2"/>
              </w:numPr>
              <w:spacing w:line="400" w:lineRule="exact"/>
              <w:ind w:firstLine="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项目团队成员至少</w:t>
            </w:r>
            <w:r>
              <w:rPr>
                <w:rFonts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t>人，满足3人及以上3分，人员不足，该项不得分。</w:t>
            </w:r>
          </w:p>
          <w:p>
            <w:pPr>
              <w:pStyle w:val="8"/>
              <w:numPr>
                <w:ilvl w:val="0"/>
                <w:numId w:val="2"/>
              </w:numPr>
              <w:spacing w:line="400" w:lineRule="exact"/>
              <w:ind w:firstLine="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团队负责人每有一个项目管理类业绩加1分，满分</w:t>
            </w:r>
            <w:r>
              <w:rPr>
                <w:rFonts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分。</w:t>
            </w:r>
          </w:p>
          <w:p>
            <w:pPr>
              <w:pStyle w:val="8"/>
              <w:spacing w:line="400" w:lineRule="exact"/>
              <w:ind w:firstLine="428"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注：需提供相关业绩证明加盖公章。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highlight w:val="none"/>
              </w:rPr>
            </w:pPr>
          </w:p>
        </w:tc>
        <w:tc>
          <w:tcPr>
            <w:tcW w:w="1260" w:type="dxa"/>
            <w:gridSpan w:val="2"/>
            <w:vAlign w:val="center"/>
          </w:tcPr>
          <w:p>
            <w:pPr>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报价人业绩（</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分）</w:t>
            </w:r>
          </w:p>
        </w:tc>
        <w:tc>
          <w:tcPr>
            <w:tcW w:w="5463" w:type="dxa"/>
            <w:gridSpan w:val="2"/>
            <w:vAlign w:val="center"/>
          </w:tcPr>
          <w:p>
            <w:pPr>
              <w:pStyle w:val="8"/>
              <w:spacing w:line="400" w:lineRule="exact"/>
              <w:ind w:firstLine="426"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1.满足资格要求2019年1月1日至投标截止日具有至少1项类似项目管理服务类类项目业绩，得</w:t>
            </w:r>
            <w:r>
              <w:rPr>
                <w:rFonts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t>分。</w:t>
            </w:r>
          </w:p>
          <w:p>
            <w:pPr>
              <w:pStyle w:val="8"/>
              <w:spacing w:line="400" w:lineRule="exact"/>
              <w:ind w:firstLine="426"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2.2019年1月1日至投标截止时间每增加1个项目管理类业绩加1分，满分</w:t>
            </w:r>
            <w:r>
              <w:rPr>
                <w:rFonts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 xml:space="preserve"> 分。</w:t>
            </w:r>
          </w:p>
          <w:p>
            <w:pPr>
              <w:pStyle w:val="5"/>
              <w:spacing w:before="0" w:after="0" w:line="400" w:lineRule="exact"/>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sz w:val="21"/>
                <w:szCs w:val="21"/>
                <w:highlight w:val="none"/>
              </w:rPr>
              <w:t xml:space="preserve">   注：需提供以上业绩合同扫描件并加盖公章。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2.2.4</w:t>
            </w:r>
          </w:p>
        </w:tc>
        <w:tc>
          <w:tcPr>
            <w:tcW w:w="729" w:type="dxa"/>
            <w:gridSpan w:val="2"/>
            <w:vMerge w:val="restart"/>
            <w:textDirection w:val="tbLrV"/>
            <w:vAlign w:val="center"/>
          </w:tcPr>
          <w:p>
            <w:pPr>
              <w:snapToGrid w:val="0"/>
              <w:spacing w:line="400" w:lineRule="exact"/>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技术部分评分标准（</w:t>
            </w:r>
            <w:r>
              <w:rPr>
                <w:rFonts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rPr>
              <w:t>0分）</w:t>
            </w: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highlight w:val="none"/>
              </w:rPr>
            </w:pPr>
            <w:bookmarkStart w:id="67" w:name="OLE_LINK17"/>
            <w:r>
              <w:rPr>
                <w:rFonts w:hint="eastAsia" w:asciiTheme="minorEastAsia" w:hAnsiTheme="minorEastAsia" w:eastAsiaTheme="minorEastAsia" w:cstheme="minorEastAsia"/>
                <w:szCs w:val="21"/>
                <w:highlight w:val="none"/>
              </w:rPr>
              <w:t>项目管理云平台实施方案</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30</w:t>
            </w:r>
            <w:r>
              <w:rPr>
                <w:rFonts w:hint="eastAsia" w:asciiTheme="minorEastAsia" w:hAnsiTheme="minorEastAsia" w:eastAsiaTheme="minorEastAsia" w:cstheme="minorEastAsia"/>
                <w:szCs w:val="21"/>
                <w:highlight w:val="none"/>
              </w:rPr>
              <w:t>分）</w:t>
            </w:r>
            <w:bookmarkEnd w:id="67"/>
          </w:p>
        </w:tc>
        <w:tc>
          <w:tcPr>
            <w:tcW w:w="5463" w:type="dxa"/>
            <w:gridSpan w:val="2"/>
          </w:tcPr>
          <w:p>
            <w:pPr>
              <w:pStyle w:val="27"/>
              <w:adjustRightInd w:val="0"/>
              <w:snapToGrid w:val="0"/>
              <w:spacing w:before="158" w:line="400" w:lineRule="exact"/>
              <w:ind w:firstLine="486"/>
              <w:jc w:val="left"/>
              <w:rPr>
                <w:rFonts w:asciiTheme="minorEastAsia" w:hAnsiTheme="minorEastAsia" w:eastAsiaTheme="minorEastAsia" w:cstheme="minorEastAsia"/>
                <w:kern w:val="0"/>
                <w:sz w:val="21"/>
                <w:szCs w:val="21"/>
                <w:highlight w:val="none"/>
              </w:rPr>
            </w:pPr>
            <w:r>
              <w:rPr>
                <w:rFonts w:hint="eastAsia" w:ascii="宋体" w:hAnsi="宋体" w:cs="宋体"/>
                <w:szCs w:val="24"/>
                <w:highlight w:val="none"/>
              </w:rPr>
              <w:t>项目管理云平台实施</w:t>
            </w:r>
            <w:r>
              <w:rPr>
                <w:rFonts w:hint="eastAsia" w:asciiTheme="minorEastAsia" w:hAnsiTheme="minorEastAsia" w:eastAsiaTheme="minorEastAsia" w:cstheme="minorEastAsia"/>
                <w:kern w:val="0"/>
                <w:sz w:val="21"/>
                <w:szCs w:val="21"/>
                <w:highlight w:val="none"/>
                <w:lang w:val="en-US"/>
              </w:rPr>
              <w:t>方案</w:t>
            </w:r>
            <w:r>
              <w:rPr>
                <w:rFonts w:hint="eastAsia" w:asciiTheme="minorEastAsia" w:hAnsiTheme="minorEastAsia" w:eastAsiaTheme="minorEastAsia" w:cstheme="minorEastAsia"/>
                <w:kern w:val="0"/>
                <w:sz w:val="21"/>
                <w:szCs w:val="21"/>
                <w:highlight w:val="none"/>
              </w:rPr>
              <w:t>：对本项目理解清晰，各项功能描述全面，业务流程明确、可操作性强。</w:t>
            </w:r>
          </w:p>
          <w:p>
            <w:pPr>
              <w:spacing w:before="156" w:line="400" w:lineRule="exact"/>
              <w:ind w:firstLine="48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综合比较打分：方案描述清晰、完整，可操作性强得</w:t>
            </w:r>
            <w:r>
              <w:rPr>
                <w:rFonts w:asciiTheme="minorEastAsia" w:hAnsiTheme="minorEastAsia" w:eastAsiaTheme="minorEastAsia" w:cstheme="minorEastAsia"/>
                <w:szCs w:val="21"/>
                <w:highlight w:val="none"/>
              </w:rPr>
              <w:t>30</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26</w:t>
            </w:r>
            <w:r>
              <w:rPr>
                <w:rFonts w:hint="eastAsia" w:asciiTheme="minorEastAsia" w:hAnsiTheme="minorEastAsia" w:eastAsiaTheme="minorEastAsia" w:cstheme="minorEastAsia"/>
                <w:szCs w:val="21"/>
                <w:highlight w:val="none"/>
              </w:rPr>
              <w:t>分，方案描述较清晰、较完整，可操作性较强得</w:t>
            </w:r>
            <w:r>
              <w:rPr>
                <w:rFonts w:asciiTheme="minorEastAsia" w:hAnsiTheme="minorEastAsia" w:eastAsiaTheme="minorEastAsia" w:cstheme="minorEastAsia"/>
                <w:szCs w:val="21"/>
                <w:highlight w:val="none"/>
              </w:rPr>
              <w:t>25</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20</w:t>
            </w:r>
            <w:r>
              <w:rPr>
                <w:rFonts w:hint="eastAsia" w:asciiTheme="minorEastAsia" w:hAnsiTheme="minorEastAsia" w:eastAsiaTheme="minorEastAsia" w:cstheme="minorEastAsia"/>
                <w:szCs w:val="21"/>
                <w:highlight w:val="none"/>
              </w:rPr>
              <w:t>分；方案描述不够清晰，不够完整得1</w:t>
            </w:r>
            <w:r>
              <w:rPr>
                <w:rFonts w:asciiTheme="minorEastAsia" w:hAnsiTheme="minorEastAsia" w:eastAsiaTheme="minorEastAsia" w:cstheme="minorEastAsia"/>
                <w:szCs w:val="21"/>
                <w:highlight w:val="none"/>
              </w:rPr>
              <w:t>9</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10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highlight w:val="none"/>
              </w:rPr>
            </w:pP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计划目标、实施路径和措施保障（1</w:t>
            </w:r>
            <w:r>
              <w:rPr>
                <w:rFonts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tc>
        <w:tc>
          <w:tcPr>
            <w:tcW w:w="5463" w:type="dxa"/>
            <w:gridSpan w:val="2"/>
            <w:vAlign w:val="center"/>
          </w:tcPr>
          <w:p>
            <w:pPr>
              <w:pStyle w:val="27"/>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实施路径和措施保障：</w:t>
            </w:r>
          </w:p>
          <w:p>
            <w:pPr>
              <w:pStyle w:val="27"/>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（1）根据投标单位对本次建设目标的计划目标、实施路径和措施保障工作的理解程度评分，根据优劣得0-</w:t>
            </w:r>
            <w:r>
              <w:rPr>
                <w:rFonts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lang w:val="en-US"/>
              </w:rPr>
              <w:t>分;</w:t>
            </w:r>
          </w:p>
          <w:p>
            <w:pPr>
              <w:pStyle w:val="27"/>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（2）对维护保障方案等进行评审，根据优劣得0-</w:t>
            </w:r>
            <w:r>
              <w:rPr>
                <w:rFonts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7452" w:type="dxa"/>
            <w:gridSpan w:val="6"/>
            <w:vAlign w:val="center"/>
          </w:tcPr>
          <w:p>
            <w:pPr>
              <w:spacing w:line="400" w:lineRule="exact"/>
              <w:jc w:val="center"/>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b/>
                <w:kern w:val="0"/>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1859"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3.1</w:t>
            </w:r>
          </w:p>
        </w:tc>
        <w:tc>
          <w:tcPr>
            <w:tcW w:w="1496" w:type="dxa"/>
            <w:gridSpan w:val="3"/>
            <w:textDirection w:val="tbRlV"/>
            <w:vAlign w:val="center"/>
          </w:tcPr>
          <w:p>
            <w:pPr>
              <w:spacing w:line="400" w:lineRule="exact"/>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评标程序</w:t>
            </w:r>
          </w:p>
        </w:tc>
        <w:tc>
          <w:tcPr>
            <w:tcW w:w="5956" w:type="dxa"/>
            <w:gridSpan w:val="3"/>
          </w:tcPr>
          <w:p>
            <w:pPr>
              <w:wordWrap w:val="0"/>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2.初步评审合格的才进行详细评审。</w:t>
            </w:r>
          </w:p>
          <w:p>
            <w:pPr>
              <w:wordWrap w:val="0"/>
              <w:adjustRightInd w:val="0"/>
              <w:snapToGrid w:val="0"/>
              <w:spacing w:line="400" w:lineRule="exact"/>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szCs w:val="21"/>
                <w:highlight w:val="none"/>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2518" w:type="dxa"/>
            <w:gridSpan w:val="4"/>
            <w:vAlign w:val="center"/>
          </w:tcPr>
          <w:p>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3.2.3</w:t>
            </w:r>
          </w:p>
        </w:tc>
        <w:tc>
          <w:tcPr>
            <w:tcW w:w="1577" w:type="dxa"/>
            <w:gridSpan w:val="2"/>
            <w:vAlign w:val="center"/>
          </w:tcPr>
          <w:p>
            <w:pPr>
              <w:adjustRightInd w:val="0"/>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报价人得分</w:t>
            </w:r>
          </w:p>
        </w:tc>
        <w:tc>
          <w:tcPr>
            <w:tcW w:w="4427" w:type="dxa"/>
            <w:gridSpan w:val="2"/>
            <w:vAlign w:val="center"/>
          </w:tcPr>
          <w:p>
            <w:pPr>
              <w:pStyle w:val="31"/>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报价人得分=A+B+C，对通过初步评审的报价人按照投标总得分（商务+技术+报价）得分由从高到低的先后顺序推荐1名中标候选人。保留2位小数。</w:t>
            </w:r>
          </w:p>
        </w:tc>
      </w:tr>
    </w:tbl>
    <w:p>
      <w:pPr>
        <w:pStyle w:val="2"/>
        <w:spacing w:line="400" w:lineRule="exact"/>
        <w:rPr>
          <w:rFonts w:asciiTheme="minorEastAsia" w:hAnsiTheme="minorEastAsia" w:eastAsiaTheme="minorEastAsia" w:cstheme="minorEastAsia"/>
          <w:szCs w:val="21"/>
          <w:highlight w:val="none"/>
        </w:rPr>
      </w:pP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6"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（一）符合性审查</w:t>
      </w:r>
    </w:p>
    <w:p>
      <w:pPr>
        <w:snapToGrid w:val="0"/>
        <w:spacing w:line="360" w:lineRule="auto"/>
        <w:ind w:firstLine="486"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评标委员会应当对符合资格的报价人的投标文件进行符合性审查，以确定其是否满足招标文件的实质性要求。</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（三）比较与评价。按招标文件中规定的评标方法和标准，对资格审查和符合性审查合格的投标文件进行商务和技术评估。</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复核后，评标委员会汇总每个报价人每项评分因素的得分。</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（四）推荐中标候选人名单。</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按评审后得分由高到低的排列顺序推荐综合得分排名第一的报价人为本项目中标候选人。</w:t>
      </w:r>
    </w:p>
    <w:p>
      <w:pPr>
        <w:pStyle w:val="2"/>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6" w:firstLineChars="200"/>
        <w:outlineLvl w:val="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六、无效投标条款</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报价人或其投标文件出现下列情况之一者，应为无效投标：</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（一）投标文件未按招标文件要求签署、盖章的；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（二）不具备招标文件中规定的资格要求的；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（三）报价超过招标文件中规定的预算金额或者最高限价的；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（四）投标文件含有采购人不能接受的附加条件的；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（五）报价人串通投标的；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（六）报价人组成联合体投标的；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（七）法律、法规和招标文件规定的其他无效情形。</w:t>
      </w:r>
    </w:p>
    <w:p>
      <w:pPr>
        <w:spacing w:line="360" w:lineRule="auto"/>
        <w:ind w:firstLine="486" w:firstLineChars="200"/>
        <w:outlineLvl w:val="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七、废标条款</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评标委员会评审时出现以下情况之一的，应予废标：</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（一）符合专业条件的报价人或者对招标文件作实质响应的报价人不足三家的；</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（二）报价人的报价均超过了采购预算，采购人不能支付的；</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（三）出现影响采购公正的违法、违规行为的；</w:t>
      </w:r>
    </w:p>
    <w:p>
      <w:pPr>
        <w:spacing w:line="360" w:lineRule="auto"/>
        <w:ind w:firstLine="486" w:firstLineChars="200"/>
        <w:rPr>
          <w:rFonts w:asciiTheme="majorEastAsia" w:hAnsiTheme="majorEastAsia" w:eastAsiaTheme="majorEastAsia" w:cstheme="majorEastAsia"/>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sz w:val="24"/>
          <w:highlight w:val="none"/>
        </w:rPr>
        <w:t>（四）因重大变故，采购任务取消的。</w:t>
      </w: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highlight w:val="none"/>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rFonts w:hint="eastAsia"/>
          <w:highlight w:val="none"/>
        </w:rPr>
      </w:pPr>
    </w:p>
    <w:p>
      <w:pPr>
        <w:spacing w:line="360" w:lineRule="auto"/>
        <w:jc w:val="center"/>
        <w:outlineLvl w:val="0"/>
        <w:rPr>
          <w:rFonts w:hint="eastAsia"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spacing w:line="360" w:lineRule="auto"/>
        <w:jc w:val="center"/>
        <w:outlineLvl w:val="0"/>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14:textFill>
            <w14:solidFill>
              <w14:schemeClr w14:val="tx1"/>
            </w14:solidFill>
          </w14:textFill>
        </w:rPr>
        <w:t>第四章  投标报价</w:t>
      </w:r>
    </w:p>
    <w:p>
      <w:pPr>
        <w:pStyle w:val="5"/>
        <w:rPr>
          <w:highlight w:val="none"/>
        </w:rPr>
      </w:pPr>
      <w:r>
        <w:rPr>
          <w:rFonts w:hint="eastAsia" w:ascii="宋体" w:hAnsi="宋体"/>
          <w:color w:val="000000" w:themeColor="text1"/>
          <w:sz w:val="24"/>
          <w:szCs w:val="24"/>
          <w:highlight w:val="none"/>
          <w14:textFill>
            <w14:solidFill>
              <w14:schemeClr w14:val="tx1"/>
            </w14:solidFill>
          </w14:textFill>
        </w:rPr>
        <w:t>1.报价说明</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（5）报价清单中各项金额均以人民币（元）结算。</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（6）需缴纳的一切税费均由报价单位承担，所有税费均由服务单位自行缴纳；</w:t>
      </w:r>
    </w:p>
    <w:p>
      <w:pPr>
        <w:rPr>
          <w:rFonts w:asciiTheme="minorEastAsia" w:hAnsiTheme="minorEastAsia" w:eastAsiaTheme="minorEastAsia" w:cstheme="minorEastAsia"/>
          <w:color w:val="000000" w:themeColor="text1"/>
          <w:sz w:val="24"/>
          <w:highlight w:val="none"/>
          <w14:textFill>
            <w14:solidFill>
              <w14:schemeClr w14:val="tx1"/>
            </w14:solidFill>
          </w14:textFill>
        </w:rPr>
      </w:pPr>
    </w:p>
    <w:p>
      <w:pPr>
        <w:rPr>
          <w:highlight w:val="none"/>
        </w:rPr>
      </w:pPr>
    </w:p>
    <w:p>
      <w:pPr>
        <w:rPr>
          <w:highlight w:val="none"/>
        </w:rPr>
      </w:pPr>
    </w:p>
    <w:p>
      <w:pPr>
        <w:rPr>
          <w:highlight w:val="none"/>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pStyle w:val="2"/>
        <w:rPr>
          <w:highlight w:val="none"/>
        </w:rPr>
      </w:pPr>
    </w:p>
    <w:p>
      <w:pPr>
        <w:rPr>
          <w:highlight w:val="none"/>
        </w:rPr>
      </w:pPr>
    </w:p>
    <w:p>
      <w:pPr>
        <w:pStyle w:val="2"/>
        <w:rPr>
          <w:highlight w:val="none"/>
        </w:rPr>
      </w:pPr>
    </w:p>
    <w:p>
      <w:pPr>
        <w:rPr>
          <w:rFonts w:hint="eastAsia"/>
          <w:highlight w:val="none"/>
        </w:rPr>
      </w:pPr>
    </w:p>
    <w:p>
      <w:pPr>
        <w:spacing w:line="360" w:lineRule="auto"/>
        <w:jc w:val="left"/>
        <w:outlineLvl w:val="1"/>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宋体" w:hAnsi="宋体" w:eastAsiaTheme="majorEastAsia" w:cstheme="majorBidi"/>
          <w:b/>
          <w:bCs/>
          <w:color w:val="000000" w:themeColor="text1"/>
          <w:sz w:val="24"/>
          <w:highlight w:val="none"/>
          <w14:textFill>
            <w14:solidFill>
              <w14:schemeClr w14:val="tx1"/>
            </w14:solidFill>
          </w14:textFill>
        </w:rPr>
        <w:t>2.报</w:t>
      </w:r>
      <w:bookmarkStart w:id="86" w:name="_GoBack"/>
      <w:bookmarkEnd w:id="86"/>
      <w:r>
        <w:rPr>
          <w:rFonts w:hint="eastAsia" w:ascii="宋体" w:hAnsi="宋体" w:eastAsiaTheme="majorEastAsia" w:cstheme="majorBidi"/>
          <w:b/>
          <w:bCs/>
          <w:color w:val="000000" w:themeColor="text1"/>
          <w:sz w:val="24"/>
          <w:highlight w:val="none"/>
          <w14:textFill>
            <w14:solidFill>
              <w14:schemeClr w14:val="tx1"/>
            </w14:solidFill>
          </w14:textFill>
        </w:rPr>
        <w:t>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重庆首讯科技股份有限公司项目管理云平台服务项目</w:t>
            </w: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rPr>
          <w:highlight w:val="none"/>
        </w:rPr>
      </w:pPr>
    </w:p>
    <w:p>
      <w:pPr>
        <w:rPr>
          <w:highlight w:val="none"/>
        </w:rPr>
      </w:pPr>
      <w:r>
        <w:rPr>
          <w:rFonts w:hint="eastAsia"/>
          <w:highlight w:val="none"/>
        </w:rPr>
        <w:br w:type="page"/>
      </w:r>
    </w:p>
    <w:p>
      <w:pPr>
        <w:pStyle w:val="5"/>
        <w:jc w:val="center"/>
        <w:rPr>
          <w:sz w:val="48"/>
          <w:szCs w:val="48"/>
          <w:highlight w:val="none"/>
        </w:rPr>
      </w:pPr>
      <w:r>
        <w:rPr>
          <w:rFonts w:hint="eastAsia"/>
          <w:sz w:val="48"/>
          <w:szCs w:val="48"/>
          <w:highlight w:val="none"/>
        </w:rPr>
        <w:t>第五章  技术标准和要求</w:t>
      </w:r>
    </w:p>
    <w:p>
      <w:pPr>
        <w:spacing w:line="360" w:lineRule="auto"/>
        <w:outlineLvl w:val="1"/>
        <w:rPr>
          <w:rFonts w:ascii="宋体" w:hAnsi="宋体"/>
          <w:szCs w:val="21"/>
          <w:highlight w:val="none"/>
        </w:rPr>
      </w:pPr>
      <w:bookmarkStart w:id="68" w:name="_Toc20861"/>
      <w:r>
        <w:rPr>
          <w:rFonts w:hint="eastAsia" w:ascii="宋体" w:hAnsi="宋体"/>
          <w:szCs w:val="21"/>
          <w:highlight w:val="none"/>
        </w:rPr>
        <w:t>1.项目管理系统</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.1 </w:t>
      </w:r>
      <w:bookmarkEnd w:id="68"/>
      <w:r>
        <w:rPr>
          <w:rFonts w:ascii="宋体" w:hAnsi="宋体"/>
          <w:szCs w:val="21"/>
          <w:highlight w:val="none"/>
        </w:rPr>
        <w:t xml:space="preserve"> </w:t>
      </w:r>
      <w:r>
        <w:rPr>
          <w:rFonts w:hint="eastAsia" w:ascii="宋体" w:hAnsi="宋体"/>
          <w:szCs w:val="21"/>
          <w:highlight w:val="none"/>
        </w:rPr>
        <w:t>企业基础资料</w:t>
      </w:r>
    </w:p>
    <w:p>
      <w:pPr>
        <w:spacing w:line="360" w:lineRule="auto"/>
        <w:ind w:firstLine="426" w:firstLineChars="200"/>
        <w:rPr>
          <w:rFonts w:ascii="宋体" w:hAnsi="宋体"/>
          <w:bCs/>
          <w:szCs w:val="21"/>
          <w:highlight w:val="none"/>
        </w:rPr>
      </w:pPr>
      <w:r>
        <w:rPr>
          <w:rFonts w:hint="eastAsia" w:ascii="宋体" w:hAnsi="宋体"/>
          <w:bCs/>
          <w:szCs w:val="21"/>
          <w:highlight w:val="none"/>
        </w:rPr>
        <w:t>企业基础资料应包含：专业类型、企业CA、企业CBS、标准工程量清单BOQ、企业资源库。</w:t>
      </w:r>
    </w:p>
    <w:p>
      <w:pPr>
        <w:spacing w:line="360" w:lineRule="auto"/>
        <w:ind w:firstLine="428" w:firstLineChars="200"/>
        <w:rPr>
          <w:rFonts w:ascii="宋体" w:hAnsi="宋体"/>
          <w:b/>
          <w:szCs w:val="21"/>
          <w:highlight w:val="none"/>
        </w:rPr>
      </w:pPr>
      <w:r>
        <w:rPr>
          <w:rFonts w:hint="eastAsia" w:ascii="宋体" w:hAnsi="宋体"/>
          <w:b/>
          <w:szCs w:val="21"/>
          <w:highlight w:val="none"/>
        </w:rPr>
        <w:t>专业类型：</w:t>
      </w:r>
    </w:p>
    <w:p>
      <w:pPr>
        <w:spacing w:line="360" w:lineRule="auto"/>
        <w:ind w:firstLine="426" w:firstLineChars="200"/>
        <w:rPr>
          <w:rFonts w:ascii="宋体" w:hAnsi="宋体"/>
          <w:szCs w:val="21"/>
          <w:highlight w:val="none"/>
        </w:rPr>
      </w:pPr>
      <w:r>
        <w:rPr>
          <w:rFonts w:hint="eastAsia" w:ascii="宋体" w:hAnsi="宋体"/>
          <w:szCs w:val="21"/>
          <w:highlight w:val="none"/>
        </w:rPr>
        <w:t>创建项目时，支持专业类型之定义，如路桥、市政、房建。</w:t>
      </w:r>
    </w:p>
    <w:p>
      <w:pPr>
        <w:spacing w:line="360" w:lineRule="auto"/>
        <w:ind w:firstLine="428" w:firstLineChars="200"/>
        <w:rPr>
          <w:rFonts w:ascii="宋体" w:hAnsi="宋体"/>
          <w:b/>
          <w:szCs w:val="21"/>
          <w:highlight w:val="none"/>
        </w:rPr>
      </w:pPr>
      <w:r>
        <w:rPr>
          <w:rFonts w:hint="eastAsia" w:ascii="宋体" w:hAnsi="宋体"/>
          <w:b/>
          <w:szCs w:val="21"/>
          <w:highlight w:val="none"/>
        </w:rPr>
        <w:t>企业CA：</w:t>
      </w:r>
    </w:p>
    <w:p>
      <w:pPr>
        <w:spacing w:line="360" w:lineRule="auto"/>
        <w:ind w:firstLine="426" w:firstLineChars="200"/>
        <w:rPr>
          <w:rFonts w:ascii="宋体" w:hAnsi="宋体"/>
          <w:szCs w:val="21"/>
          <w:highlight w:val="none"/>
        </w:rPr>
      </w:pPr>
      <w:r>
        <w:rPr>
          <w:rFonts w:hint="eastAsia" w:ascii="宋体" w:hAnsi="宋体"/>
          <w:szCs w:val="21"/>
          <w:highlight w:val="none"/>
        </w:rPr>
        <w:t>即企业级成本科目。成本科目是从工程成本管理的角度对工程中的所发生成本以科目的形式进行分类。成本科目主要应用于资源清单与成本分析，定义好后系统可以按照成本科目的维度对项目发生的成本进行统计分析。该基础资料集团维护，全局共享。</w:t>
      </w:r>
    </w:p>
    <w:p>
      <w:pPr>
        <w:spacing w:line="360" w:lineRule="auto"/>
        <w:ind w:firstLine="428" w:firstLineChars="200"/>
        <w:rPr>
          <w:rFonts w:ascii="宋体" w:hAnsi="宋体"/>
          <w:b/>
          <w:szCs w:val="21"/>
          <w:highlight w:val="none"/>
        </w:rPr>
      </w:pPr>
      <w:r>
        <w:rPr>
          <w:rFonts w:hint="eastAsia" w:ascii="宋体" w:hAnsi="宋体"/>
          <w:b/>
          <w:szCs w:val="21"/>
          <w:highlight w:val="none"/>
        </w:rPr>
        <w:t>企业CBS：</w:t>
      </w:r>
    </w:p>
    <w:p>
      <w:pPr>
        <w:spacing w:line="360" w:lineRule="auto"/>
        <w:ind w:firstLine="426" w:firstLineChars="200"/>
        <w:rPr>
          <w:rFonts w:ascii="宋体" w:hAnsi="宋体"/>
          <w:szCs w:val="21"/>
          <w:highlight w:val="none"/>
        </w:rPr>
      </w:pPr>
      <w:r>
        <w:rPr>
          <w:rFonts w:hint="eastAsia" w:ascii="宋体" w:hAnsi="宋体"/>
          <w:szCs w:val="21"/>
          <w:highlight w:val="none"/>
        </w:rPr>
        <w:t>即企业级成本分解结构，是施工企业将构成工程施工总成本的各项因素，根据施工管理要求、成本管理要求、市场经济及项目施工的客观规律进行科学合理的分解而建立的一套分类体系，在成本模块基础资料中定义，在预算成本分摊、计划成本编制与实际成本分摊中引用，集团维护，全局共享。</w:t>
      </w:r>
    </w:p>
    <w:p>
      <w:pPr>
        <w:spacing w:line="360" w:lineRule="auto"/>
        <w:ind w:firstLine="428" w:firstLineChars="200"/>
        <w:rPr>
          <w:rFonts w:ascii="宋体" w:hAnsi="宋体"/>
          <w:b/>
          <w:szCs w:val="21"/>
          <w:highlight w:val="none"/>
        </w:rPr>
      </w:pPr>
      <w:r>
        <w:rPr>
          <w:rFonts w:hint="eastAsia" w:ascii="宋体" w:hAnsi="宋体"/>
          <w:b/>
          <w:szCs w:val="21"/>
          <w:highlight w:val="none"/>
        </w:rPr>
        <w:t>标准工程量清单BOQ：</w:t>
      </w:r>
    </w:p>
    <w:p>
      <w:pPr>
        <w:spacing w:line="360" w:lineRule="auto"/>
        <w:ind w:firstLine="426" w:firstLineChars="200"/>
        <w:rPr>
          <w:rFonts w:ascii="宋体" w:hAnsi="宋体"/>
          <w:szCs w:val="21"/>
          <w:highlight w:val="none"/>
        </w:rPr>
      </w:pPr>
      <w:r>
        <w:rPr>
          <w:rFonts w:hint="eastAsia" w:ascii="宋体" w:hAnsi="宋体"/>
          <w:szCs w:val="21"/>
          <w:highlight w:val="none"/>
        </w:rPr>
        <w:t>即企业标准工程量清单。是企业根据国家工程量清单计价指南的规定，结合企业内部管理需要，制定的企业内部通用的标准的工程量清单，该清单由集团定义，为项目部引用并与项目的工程量清单作对应，便于后续多项目间的横向对比及企业定额的更新。</w:t>
      </w:r>
    </w:p>
    <w:p>
      <w:pPr>
        <w:spacing w:line="360" w:lineRule="auto"/>
        <w:ind w:firstLine="428" w:firstLineChars="200"/>
        <w:rPr>
          <w:rFonts w:ascii="宋体" w:hAnsi="宋体"/>
          <w:b/>
          <w:szCs w:val="21"/>
          <w:highlight w:val="none"/>
        </w:rPr>
      </w:pPr>
      <w:r>
        <w:rPr>
          <w:rFonts w:hint="eastAsia" w:ascii="宋体" w:hAnsi="宋体"/>
          <w:b/>
          <w:szCs w:val="21"/>
          <w:highlight w:val="none"/>
        </w:rPr>
        <w:t>企业资源库：</w:t>
      </w:r>
    </w:p>
    <w:p>
      <w:pPr>
        <w:spacing w:line="360" w:lineRule="auto"/>
        <w:ind w:firstLine="426" w:firstLineChars="200"/>
        <w:rPr>
          <w:rFonts w:ascii="宋体" w:hAnsi="宋体"/>
          <w:szCs w:val="21"/>
          <w:highlight w:val="none"/>
        </w:rPr>
      </w:pPr>
      <w:r>
        <w:rPr>
          <w:rFonts w:hint="eastAsia" w:ascii="宋体" w:hAnsi="宋体"/>
          <w:szCs w:val="21"/>
          <w:highlight w:val="none"/>
        </w:rPr>
        <w:t>即企业级的各种资源集合，包括企业的物资清单、劳务协作清单、分包协作清单、设备清单、周材清单、其他类清单。</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.2 </w:t>
      </w:r>
      <w:r>
        <w:rPr>
          <w:rFonts w:hint="eastAsia" w:ascii="宋体" w:hAnsi="宋体"/>
          <w:szCs w:val="21"/>
          <w:highlight w:val="none"/>
        </w:rPr>
        <w:t>项目基础资料</w:t>
      </w:r>
    </w:p>
    <w:p>
      <w:pPr>
        <w:spacing w:line="360" w:lineRule="auto"/>
        <w:ind w:firstLine="426" w:firstLineChars="200"/>
        <w:rPr>
          <w:rFonts w:ascii="宋体" w:hAnsi="宋体"/>
          <w:szCs w:val="21"/>
          <w:highlight w:val="none"/>
        </w:rPr>
      </w:pPr>
      <w:r>
        <w:rPr>
          <w:rFonts w:hint="eastAsia" w:ascii="宋体" w:hAnsi="宋体"/>
          <w:szCs w:val="21"/>
          <w:highlight w:val="none"/>
        </w:rPr>
        <w:t>项目基础资料应包含：新增项目、项目列表、项目成本结构（CBS）、项目工程量清单（BOQ）、项目工程量清单变更、预算参数、发票下载设置。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新增项目：</w:t>
      </w:r>
    </w:p>
    <w:p>
      <w:pPr>
        <w:spacing w:line="360" w:lineRule="auto"/>
        <w:ind w:firstLine="426" w:firstLineChars="200"/>
        <w:rPr>
          <w:rFonts w:ascii="宋体" w:hAnsi="宋体"/>
          <w:szCs w:val="21"/>
          <w:highlight w:val="none"/>
        </w:rPr>
      </w:pPr>
      <w:r>
        <w:rPr>
          <w:rFonts w:hint="eastAsia" w:ascii="宋体" w:hAnsi="宋体"/>
          <w:szCs w:val="21"/>
          <w:highlight w:val="none"/>
        </w:rPr>
        <w:t>创建项目，支持甲方项目、乙方项目、房地产项目三种类型，确定项目的基本信息，如开工，竣工时间，面积参数，项目组织等。</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项目列表：</w:t>
      </w:r>
    </w:p>
    <w:p>
      <w:pPr>
        <w:spacing w:line="360" w:lineRule="auto"/>
        <w:ind w:firstLine="426" w:firstLineChars="200"/>
        <w:rPr>
          <w:rFonts w:ascii="宋体" w:hAnsi="宋体"/>
          <w:szCs w:val="21"/>
          <w:highlight w:val="none"/>
        </w:rPr>
      </w:pPr>
      <w:r>
        <w:rPr>
          <w:rFonts w:hint="eastAsia" w:ascii="宋体" w:hAnsi="宋体"/>
          <w:szCs w:val="21"/>
          <w:highlight w:val="none"/>
        </w:rPr>
        <w:t>列表汇总展示所有项目，可在列表上查看项目名称、行业、项目造价、计税方式、项目状态等关键信息，可按组织、项目状态、创建时间等自定义查询条件进行过滤。</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项目成本结构（CBS）：</w:t>
      </w:r>
    </w:p>
    <w:p>
      <w:pPr>
        <w:spacing w:line="360" w:lineRule="auto"/>
        <w:ind w:firstLine="426" w:firstLineChars="200"/>
        <w:rPr>
          <w:rFonts w:ascii="宋体" w:hAnsi="宋体"/>
          <w:szCs w:val="21"/>
          <w:highlight w:val="none"/>
        </w:rPr>
      </w:pPr>
      <w:r>
        <w:rPr>
          <w:rFonts w:hint="eastAsia" w:ascii="宋体" w:hAnsi="宋体"/>
          <w:szCs w:val="21"/>
          <w:highlight w:val="none"/>
        </w:rPr>
        <w:t>即项目级的成本分解结构。每个项目可以依据项目自身的特点，设置项目自己专用的项目CBS。</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项目工程量清单（BOQ）：</w:t>
      </w:r>
    </w:p>
    <w:p>
      <w:pPr>
        <w:spacing w:line="360" w:lineRule="auto"/>
        <w:ind w:firstLine="426" w:firstLineChars="200"/>
        <w:rPr>
          <w:rFonts w:ascii="宋体" w:hAnsi="宋体"/>
          <w:szCs w:val="21"/>
          <w:highlight w:val="none"/>
        </w:rPr>
      </w:pPr>
      <w:r>
        <w:rPr>
          <w:rFonts w:hint="eastAsia" w:ascii="宋体" w:hAnsi="宋体"/>
          <w:szCs w:val="21"/>
          <w:highlight w:val="none"/>
        </w:rPr>
        <w:t>即项目的工程量清单。每个项目都有自己的工程量清单。项目的工程量清单可以自己创建，也可以从企业工程量清单中引入或导入。</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项目工程量清单变更：</w:t>
      </w:r>
    </w:p>
    <w:p>
      <w:pPr>
        <w:spacing w:line="360" w:lineRule="auto"/>
        <w:ind w:firstLine="426" w:firstLineChars="200"/>
        <w:rPr>
          <w:rFonts w:ascii="宋体" w:hAnsi="宋体"/>
          <w:szCs w:val="21"/>
          <w:highlight w:val="none"/>
        </w:rPr>
      </w:pPr>
      <w:r>
        <w:rPr>
          <w:rFonts w:hint="eastAsia" w:ascii="宋体" w:hAnsi="宋体"/>
          <w:szCs w:val="21"/>
          <w:highlight w:val="none"/>
        </w:rPr>
        <w:t>即项目工程量清单变更。项目在施工过程中，如发生工程量变更，可以通过该功能实现变更处理。</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预算参数：</w:t>
      </w:r>
    </w:p>
    <w:p>
      <w:pPr>
        <w:spacing w:line="360" w:lineRule="auto"/>
        <w:ind w:firstLine="426" w:firstLineChars="200"/>
        <w:rPr>
          <w:rFonts w:ascii="宋体" w:hAnsi="宋体"/>
          <w:szCs w:val="21"/>
          <w:highlight w:val="none"/>
        </w:rPr>
      </w:pPr>
      <w:r>
        <w:rPr>
          <w:rFonts w:hint="eastAsia" w:ascii="宋体" w:hAnsi="宋体"/>
          <w:szCs w:val="21"/>
          <w:highlight w:val="none"/>
        </w:rPr>
        <w:t>设置合同预算控制强控或者弱控，及预算控制比例。</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发票下载设置：</w:t>
      </w:r>
    </w:p>
    <w:p>
      <w:pPr>
        <w:spacing w:line="360" w:lineRule="auto"/>
        <w:ind w:firstLine="426" w:firstLineChars="200"/>
        <w:rPr>
          <w:rFonts w:ascii="宋体" w:hAnsi="宋体"/>
          <w:szCs w:val="21"/>
          <w:highlight w:val="none"/>
        </w:rPr>
      </w:pPr>
      <w:r>
        <w:rPr>
          <w:rFonts w:hint="eastAsia" w:ascii="宋体" w:hAnsi="宋体"/>
          <w:szCs w:val="21"/>
          <w:highlight w:val="none"/>
        </w:rPr>
        <w:t>通过平台可以设置下载的连接和条件，下载电子发票。</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.3 </w:t>
      </w:r>
      <w:r>
        <w:rPr>
          <w:rFonts w:hint="eastAsia" w:ascii="宋体" w:hAnsi="宋体"/>
          <w:szCs w:val="21"/>
          <w:highlight w:val="none"/>
        </w:rPr>
        <w:t>合同管理</w:t>
      </w:r>
    </w:p>
    <w:p>
      <w:pPr>
        <w:spacing w:line="360" w:lineRule="auto"/>
        <w:ind w:firstLine="426" w:firstLineChars="200"/>
        <w:rPr>
          <w:rFonts w:ascii="宋体" w:hAnsi="宋体"/>
          <w:szCs w:val="21"/>
          <w:highlight w:val="none"/>
        </w:rPr>
      </w:pPr>
      <w:r>
        <w:rPr>
          <w:rFonts w:hint="eastAsia" w:ascii="宋体" w:hAnsi="宋体"/>
          <w:szCs w:val="21"/>
          <w:highlight w:val="none"/>
        </w:rPr>
        <w:t>合同管理应包含：合同签订管理、收入合同管理、支出合同管理、报表分析、基础设置。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合同签订管理：</w:t>
      </w:r>
    </w:p>
    <w:p>
      <w:pPr>
        <w:numPr>
          <w:ilvl w:val="0"/>
          <w:numId w:val="3"/>
        </w:numPr>
        <w:spacing w:line="360" w:lineRule="auto"/>
        <w:rPr>
          <w:rFonts w:ascii="宋体" w:hAnsi="宋体"/>
          <w:szCs w:val="21"/>
          <w:highlight w:val="none"/>
        </w:rPr>
      </w:pPr>
      <w:r>
        <w:rPr>
          <w:rFonts w:hint="eastAsia" w:ascii="宋体" w:hAnsi="宋体"/>
          <w:szCs w:val="21"/>
          <w:highlight w:val="none"/>
        </w:rPr>
        <w:t>收入合同：该菜单用于录入收入合同，包括合同类型、编号、名称，金额、税率，支持选择多方合同订立，支持多税率的设置，支持基于清单模式的收入合同订立。合同专用信息可以根据所选合同类型的不同，展现不同字段信息。</w:t>
      </w:r>
    </w:p>
    <w:p>
      <w:pPr>
        <w:numPr>
          <w:ilvl w:val="0"/>
          <w:numId w:val="3"/>
        </w:numPr>
        <w:spacing w:line="360" w:lineRule="auto"/>
        <w:rPr>
          <w:rFonts w:ascii="宋体" w:hAnsi="宋体"/>
          <w:szCs w:val="21"/>
          <w:highlight w:val="none"/>
        </w:rPr>
      </w:pPr>
      <w:r>
        <w:rPr>
          <w:rFonts w:hint="eastAsia" w:ascii="宋体" w:hAnsi="宋体"/>
          <w:szCs w:val="21"/>
          <w:highlight w:val="none"/>
        </w:rPr>
        <w:t>支出合同：该菜单用于录入收入合同，包括合同类型、编号、名称，金额、税率，支持选择多方合同订立，支持多税率的设置，支持基于清单模式的收入合同订立，并可关联收入合同。合同专用信息可以根据所选合同类型的不同，展现不同字段信息。建筑行业典型的支出合同包括采购合同、分包合同、租赁合同等。</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收入合同管理：</w:t>
      </w:r>
    </w:p>
    <w:p>
      <w:pPr>
        <w:numPr>
          <w:ilvl w:val="0"/>
          <w:numId w:val="3"/>
        </w:numPr>
        <w:spacing w:line="360" w:lineRule="auto"/>
        <w:rPr>
          <w:rFonts w:ascii="宋体" w:hAnsi="宋体"/>
          <w:szCs w:val="21"/>
          <w:highlight w:val="none"/>
        </w:rPr>
      </w:pPr>
      <w:r>
        <w:rPr>
          <w:rFonts w:hint="eastAsia" w:ascii="宋体" w:hAnsi="宋体"/>
          <w:szCs w:val="21"/>
          <w:highlight w:val="none"/>
        </w:rPr>
        <w:t>合同列表：列表汇总展示所有收入合同，可在列表上查看合同金额、结算、变更、收款等关键信息，可按组织、项目、类型、状态等自定义查询条件进行过滤</w:t>
      </w:r>
    </w:p>
    <w:p>
      <w:pPr>
        <w:numPr>
          <w:ilvl w:val="0"/>
          <w:numId w:val="3"/>
        </w:numPr>
        <w:spacing w:line="360" w:lineRule="auto"/>
        <w:rPr>
          <w:rFonts w:ascii="宋体" w:hAnsi="宋体"/>
          <w:szCs w:val="21"/>
          <w:highlight w:val="none"/>
        </w:rPr>
      </w:pPr>
      <w:r>
        <w:rPr>
          <w:rFonts w:hint="eastAsia" w:ascii="宋体" w:hAnsi="宋体"/>
          <w:szCs w:val="21"/>
          <w:highlight w:val="none"/>
        </w:rPr>
        <w:t>收入合同计量：对收入类合同基于清单进行计量，确认合同执行过程中的计量数据，提供后续结算依据。</w:t>
      </w:r>
    </w:p>
    <w:p>
      <w:pPr>
        <w:numPr>
          <w:ilvl w:val="0"/>
          <w:numId w:val="3"/>
        </w:numPr>
        <w:spacing w:line="360" w:lineRule="auto"/>
        <w:rPr>
          <w:rFonts w:ascii="宋体" w:hAnsi="宋体"/>
          <w:szCs w:val="21"/>
          <w:highlight w:val="none"/>
        </w:rPr>
      </w:pPr>
      <w:r>
        <w:rPr>
          <w:rFonts w:hint="eastAsia" w:ascii="宋体" w:hAnsi="宋体"/>
          <w:szCs w:val="21"/>
          <w:highlight w:val="none"/>
        </w:rPr>
        <w:t>收入合同结算：对收入合同进行结算，至此基于合同计量单结算和无清单结算。签证、索赔、各种自定义的扣款、款项增加等业务，可通过合同支付项，与合同本身的结算一并处理。结算页签包括的关键信息有计量期间，组织、合同、结算条件要求的各类文件附件等。</w:t>
      </w:r>
    </w:p>
    <w:p>
      <w:pPr>
        <w:numPr>
          <w:ilvl w:val="0"/>
          <w:numId w:val="3"/>
        </w:numPr>
        <w:spacing w:line="360" w:lineRule="auto"/>
        <w:rPr>
          <w:rFonts w:ascii="宋体" w:hAnsi="宋体"/>
          <w:szCs w:val="21"/>
          <w:highlight w:val="none"/>
        </w:rPr>
      </w:pPr>
      <w:r>
        <w:rPr>
          <w:rFonts w:hint="eastAsia" w:ascii="宋体" w:hAnsi="宋体"/>
          <w:szCs w:val="21"/>
          <w:highlight w:val="none"/>
        </w:rPr>
        <w:t>合同变更：对收入合同进行变更业务包括设计变更与工程变更，支持有清单变更与无清单变更。支持工程量变更、单价调整、新增工程量三种业务场景，变更数据会自动汇总到合同中</w:t>
      </w:r>
    </w:p>
    <w:p>
      <w:pPr>
        <w:numPr>
          <w:ilvl w:val="0"/>
          <w:numId w:val="3"/>
        </w:numPr>
        <w:spacing w:line="360" w:lineRule="auto"/>
        <w:rPr>
          <w:rFonts w:ascii="宋体" w:hAnsi="宋体"/>
          <w:szCs w:val="21"/>
          <w:highlight w:val="none"/>
        </w:rPr>
      </w:pPr>
      <w:r>
        <w:rPr>
          <w:rFonts w:hint="eastAsia" w:ascii="宋体" w:hAnsi="宋体"/>
          <w:szCs w:val="21"/>
          <w:highlight w:val="none"/>
        </w:rPr>
        <w:t>合同索赔：由于任意一方合同当事人的原因，而导致工程增加的相关费用，通过合同索赔单来处理，支持正索赔（向业主索赔）与反索赔（业主对自己索赔）业务。索赔的数据会汇总到合同结算单中一并处理。</w:t>
      </w:r>
    </w:p>
    <w:p>
      <w:pPr>
        <w:numPr>
          <w:ilvl w:val="0"/>
          <w:numId w:val="3"/>
        </w:numPr>
        <w:spacing w:line="360" w:lineRule="auto"/>
        <w:rPr>
          <w:rFonts w:ascii="宋体" w:hAnsi="宋体"/>
          <w:szCs w:val="21"/>
          <w:highlight w:val="none"/>
        </w:rPr>
      </w:pPr>
      <w:r>
        <w:rPr>
          <w:rFonts w:hint="eastAsia" w:ascii="宋体" w:hAnsi="宋体"/>
          <w:szCs w:val="21"/>
          <w:highlight w:val="none"/>
        </w:rPr>
        <w:t>签证单：对于合同外的额外工作量，通过签证单记录向业主方或甲方批复的签证数据，包括签证内容、金额、签证期间、合同等。每期的签证数据会自动汇总到合同结算单中处理。</w:t>
      </w:r>
    </w:p>
    <w:p>
      <w:pPr>
        <w:numPr>
          <w:ilvl w:val="0"/>
          <w:numId w:val="3"/>
        </w:numPr>
        <w:spacing w:line="360" w:lineRule="auto"/>
        <w:rPr>
          <w:rFonts w:ascii="宋体" w:hAnsi="宋体"/>
          <w:szCs w:val="21"/>
          <w:highlight w:val="none"/>
        </w:rPr>
      </w:pPr>
      <w:r>
        <w:rPr>
          <w:rFonts w:hint="eastAsia" w:ascii="宋体" w:hAnsi="宋体"/>
          <w:szCs w:val="21"/>
          <w:highlight w:val="none"/>
        </w:rPr>
        <w:t>合同交底：合同业务在部门或人员之间进行交接时，移交人员会将合同的相关情况对接收人员进行交底，交底的内容包括付款条件、合同风险、关键事项等</w:t>
      </w:r>
    </w:p>
    <w:p>
      <w:pPr>
        <w:numPr>
          <w:ilvl w:val="0"/>
          <w:numId w:val="3"/>
        </w:numPr>
        <w:spacing w:line="360" w:lineRule="auto"/>
        <w:rPr>
          <w:rFonts w:ascii="宋体" w:hAnsi="宋体"/>
          <w:szCs w:val="21"/>
          <w:highlight w:val="none"/>
        </w:rPr>
      </w:pPr>
      <w:r>
        <w:rPr>
          <w:rFonts w:hint="eastAsia" w:ascii="宋体" w:hAnsi="宋体"/>
          <w:szCs w:val="21"/>
          <w:highlight w:val="none"/>
        </w:rPr>
        <w:t>履约事务：记录收入合同执行过程中发生的相关事务，如业主发函、工期延误、合同纠纷、法律事务等</w:t>
      </w:r>
    </w:p>
    <w:p>
      <w:pPr>
        <w:numPr>
          <w:ilvl w:val="0"/>
          <w:numId w:val="3"/>
        </w:numPr>
        <w:spacing w:line="360" w:lineRule="auto"/>
        <w:rPr>
          <w:rFonts w:ascii="宋体" w:hAnsi="宋体"/>
          <w:szCs w:val="21"/>
          <w:highlight w:val="none"/>
        </w:rPr>
      </w:pPr>
      <w:r>
        <w:rPr>
          <w:rFonts w:hint="eastAsia" w:ascii="宋体" w:hAnsi="宋体"/>
          <w:szCs w:val="21"/>
          <w:highlight w:val="none"/>
        </w:rPr>
        <w:t>合同决算：用于收入合同执行完毕或中止时，对合同的最终价格进行审定。合同决算单对合同之前的签订、结算、变更、索赔、签证等业务不影响，只对合同最终的金额、税额、含税金额进项审核及认定。合同决算单提交审核后，合同的状态自动变为关闭，后续除合同评价业务外，其他业务均不能操作，只能查看。</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支出合同管理：</w:t>
      </w:r>
    </w:p>
    <w:p>
      <w:pPr>
        <w:numPr>
          <w:ilvl w:val="0"/>
          <w:numId w:val="3"/>
        </w:numPr>
        <w:spacing w:line="360" w:lineRule="auto"/>
        <w:rPr>
          <w:rFonts w:ascii="宋体" w:hAnsi="宋体"/>
          <w:szCs w:val="21"/>
          <w:highlight w:val="none"/>
        </w:rPr>
      </w:pPr>
      <w:r>
        <w:rPr>
          <w:rFonts w:hint="eastAsia" w:ascii="宋体" w:hAnsi="宋体"/>
          <w:szCs w:val="21"/>
          <w:highlight w:val="none"/>
        </w:rPr>
        <w:t>支出合同列表：列表汇总展示所有支出合同，可在列表上查看合同金额、结算、变更、收款等关键信息，可按组织、项目、类型、状态等自定义查询条件进行过滤</w:t>
      </w:r>
    </w:p>
    <w:p>
      <w:pPr>
        <w:numPr>
          <w:ilvl w:val="0"/>
          <w:numId w:val="3"/>
        </w:numPr>
        <w:spacing w:line="360" w:lineRule="auto"/>
        <w:rPr>
          <w:rFonts w:ascii="宋体" w:hAnsi="宋体"/>
          <w:szCs w:val="21"/>
          <w:highlight w:val="none"/>
        </w:rPr>
      </w:pPr>
      <w:r>
        <w:rPr>
          <w:rFonts w:hint="eastAsia" w:ascii="宋体" w:hAnsi="宋体"/>
          <w:szCs w:val="21"/>
          <w:highlight w:val="none"/>
        </w:rPr>
        <w:t>支出合同计量：对支出类合同基于清单进行计量，确认合同执行过程中的计量数据，提供后续结算依据。</w:t>
      </w:r>
    </w:p>
    <w:p>
      <w:pPr>
        <w:numPr>
          <w:ilvl w:val="0"/>
          <w:numId w:val="3"/>
        </w:numPr>
        <w:spacing w:line="360" w:lineRule="auto"/>
        <w:rPr>
          <w:rFonts w:ascii="宋体" w:hAnsi="宋体"/>
          <w:szCs w:val="21"/>
          <w:highlight w:val="none"/>
        </w:rPr>
      </w:pPr>
      <w:r>
        <w:rPr>
          <w:rFonts w:hint="eastAsia" w:ascii="宋体" w:hAnsi="宋体"/>
          <w:szCs w:val="21"/>
          <w:highlight w:val="none"/>
        </w:rPr>
        <w:t>支出合同结算：对支出合同进行结算，至此基于合同计量单结算和无清单结算。签证、索赔、各种自定义的扣款、款项增加等业务，可通过合同支付项，与合同本身的结算一并处理。结算页签包括的关键信息有计量期间，组织、合同、结算条件要求的各类文件附件等。</w:t>
      </w:r>
    </w:p>
    <w:p>
      <w:pPr>
        <w:numPr>
          <w:ilvl w:val="0"/>
          <w:numId w:val="3"/>
        </w:numPr>
        <w:spacing w:line="360" w:lineRule="auto"/>
        <w:rPr>
          <w:rFonts w:ascii="宋体" w:hAnsi="宋体"/>
          <w:szCs w:val="21"/>
          <w:highlight w:val="none"/>
        </w:rPr>
      </w:pPr>
      <w:r>
        <w:rPr>
          <w:rFonts w:hint="eastAsia" w:ascii="宋体" w:hAnsi="宋体"/>
          <w:szCs w:val="21"/>
          <w:highlight w:val="none"/>
        </w:rPr>
        <w:t>支出合同变更：对支出合同进行变更业务包括设计变更与工程变更，支持有清单变更与无清单变更。支持工程量变更、单价调整、新增工程量三种业务场景，变更数据会自动汇总到合同中</w:t>
      </w:r>
    </w:p>
    <w:p>
      <w:pPr>
        <w:numPr>
          <w:ilvl w:val="0"/>
          <w:numId w:val="3"/>
        </w:numPr>
        <w:spacing w:line="360" w:lineRule="auto"/>
        <w:rPr>
          <w:rFonts w:ascii="宋体" w:hAnsi="宋体"/>
          <w:szCs w:val="21"/>
          <w:highlight w:val="none"/>
        </w:rPr>
      </w:pPr>
      <w:r>
        <w:rPr>
          <w:rFonts w:hint="eastAsia" w:ascii="宋体" w:hAnsi="宋体"/>
          <w:szCs w:val="21"/>
          <w:highlight w:val="none"/>
        </w:rPr>
        <w:t>支出合同索赔：由于任意一方合同当事人的原因，而导致工程增加的相关费用，通过合同索赔单来处理，支持正索赔（向分包、供应商索赔）与反索赔（分包、供应商对自己索赔）业务。索赔的数据会汇总到合同结算单中一并处理。</w:t>
      </w:r>
    </w:p>
    <w:p>
      <w:pPr>
        <w:numPr>
          <w:ilvl w:val="0"/>
          <w:numId w:val="3"/>
        </w:numPr>
        <w:spacing w:line="360" w:lineRule="auto"/>
        <w:rPr>
          <w:rFonts w:ascii="宋体" w:hAnsi="宋体"/>
          <w:szCs w:val="21"/>
          <w:highlight w:val="none"/>
        </w:rPr>
      </w:pPr>
      <w:r>
        <w:rPr>
          <w:rFonts w:hint="eastAsia" w:ascii="宋体" w:hAnsi="宋体"/>
          <w:szCs w:val="21"/>
          <w:highlight w:val="none"/>
        </w:rPr>
        <w:t>履约事务：记录支出合同执行过程中发生的相关事务，如业主发函、工期延误、合同纠纷、法律事务等</w:t>
      </w:r>
    </w:p>
    <w:p>
      <w:pPr>
        <w:numPr>
          <w:ilvl w:val="0"/>
          <w:numId w:val="3"/>
        </w:numPr>
        <w:spacing w:line="360" w:lineRule="auto"/>
        <w:rPr>
          <w:rFonts w:ascii="宋体" w:hAnsi="宋体"/>
          <w:szCs w:val="21"/>
          <w:highlight w:val="none"/>
        </w:rPr>
      </w:pPr>
      <w:r>
        <w:rPr>
          <w:rFonts w:hint="eastAsia" w:ascii="宋体" w:hAnsi="宋体"/>
          <w:szCs w:val="21"/>
          <w:highlight w:val="none"/>
        </w:rPr>
        <w:t>合同决算：用于支出合同执行完毕或中止时，对合同的最终价格进行审定。合同决算单对合同之前的签订、结算、变更、索赔、签证等业务不影响，只对合同最终的金额、税额、含税金额进项审核及认定。合同决算单提交审核后，合同的状态自动变为关闭，后续除合同评价业务外，其他业务均不能操作，只能查看。</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报表分析：</w:t>
      </w:r>
    </w:p>
    <w:p>
      <w:pPr>
        <w:numPr>
          <w:ilvl w:val="0"/>
          <w:numId w:val="3"/>
        </w:numPr>
        <w:spacing w:line="360" w:lineRule="auto"/>
        <w:rPr>
          <w:rFonts w:ascii="宋体" w:hAnsi="宋体"/>
          <w:szCs w:val="21"/>
          <w:highlight w:val="none"/>
        </w:rPr>
      </w:pPr>
      <w:r>
        <w:rPr>
          <w:rFonts w:hint="eastAsia" w:ascii="宋体" w:hAnsi="宋体"/>
          <w:szCs w:val="21"/>
          <w:highlight w:val="none"/>
        </w:rPr>
        <w:t>合同中心：以图表形式展现年度组织的收入合同和支出合同的签约情况，如新签合同金额分析、年度新签合同数量分析、各月度新签合同金额趋势分析等</w:t>
      </w:r>
    </w:p>
    <w:p>
      <w:pPr>
        <w:numPr>
          <w:ilvl w:val="0"/>
          <w:numId w:val="3"/>
        </w:numPr>
        <w:spacing w:line="360" w:lineRule="auto"/>
        <w:rPr>
          <w:rFonts w:ascii="宋体" w:hAnsi="宋体"/>
          <w:szCs w:val="21"/>
          <w:highlight w:val="none"/>
        </w:rPr>
      </w:pPr>
      <w:r>
        <w:rPr>
          <w:rFonts w:hint="eastAsia" w:ascii="宋体" w:hAnsi="宋体"/>
          <w:szCs w:val="21"/>
          <w:highlight w:val="none"/>
        </w:rPr>
        <w:t>收入合同一览表：该功能是专门为企业归集所有收入合同的一览表，通过该表可以将各个合同的收入情况一览无遗，帮助企业更好的管控执行过程，尽量杜绝超过收款日期仍未收到款项的情况，保证企业经营的收益目标。支持收入合同的穿透，查看合同收入计划和实际收款明细情况，实施掌握结算及变更索赔情况。支持与收入合同关联的支出合同查询，并可以联查支出合同的具体执行情况</w:t>
      </w:r>
    </w:p>
    <w:p>
      <w:pPr>
        <w:numPr>
          <w:ilvl w:val="0"/>
          <w:numId w:val="3"/>
        </w:numPr>
        <w:spacing w:line="360" w:lineRule="auto"/>
        <w:rPr>
          <w:rFonts w:ascii="宋体" w:hAnsi="宋体"/>
          <w:szCs w:val="21"/>
          <w:highlight w:val="none"/>
        </w:rPr>
      </w:pPr>
      <w:r>
        <w:rPr>
          <w:rFonts w:hint="eastAsia" w:ascii="宋体" w:hAnsi="宋体"/>
          <w:szCs w:val="21"/>
          <w:highlight w:val="none"/>
        </w:rPr>
        <w:t>支出合同一览表：为企业归集所有支出合同的一览表，通过该表可以将各个合同的支出情况一览无遗，帮助企业更好的管控执行过程，尽量杜绝超付、少付、重复付及未结算仍然付的情况，支持支出合同的穿透，查看合同支出计划和实际付款明细情况，实时掌握结算及变更索赔情况，月清季结，杜绝变更黑洞。</w:t>
      </w:r>
    </w:p>
    <w:p>
      <w:pPr>
        <w:numPr>
          <w:ilvl w:val="0"/>
          <w:numId w:val="3"/>
        </w:numPr>
        <w:spacing w:line="360" w:lineRule="auto"/>
        <w:rPr>
          <w:rFonts w:ascii="宋体" w:hAnsi="宋体"/>
          <w:szCs w:val="21"/>
          <w:highlight w:val="none"/>
        </w:rPr>
      </w:pPr>
      <w:r>
        <w:rPr>
          <w:rFonts w:hint="eastAsia" w:ascii="宋体" w:hAnsi="宋体"/>
          <w:szCs w:val="21"/>
          <w:highlight w:val="none"/>
        </w:rPr>
        <w:t>合同看板：全景展示合同执行过程的各项业务数据，包括合同构成动态分析（签约初始金额、累计变更、签证、索赔金额）、执行动态分析（合同总金额、累计结算金额、累计收/付款金额、累计发票金额）等数据；可联查、穿透合同执行过程中具体业务明细，具体包括：合同结算单、变更单、索赔单、签证单、进项/销项发票单、收/付款申请单、收/付款登记单。</w:t>
      </w:r>
    </w:p>
    <w:p>
      <w:pPr>
        <w:numPr>
          <w:ilvl w:val="0"/>
          <w:numId w:val="3"/>
        </w:numPr>
        <w:spacing w:line="360" w:lineRule="auto"/>
        <w:rPr>
          <w:rFonts w:ascii="宋体" w:hAnsi="宋体"/>
          <w:szCs w:val="21"/>
          <w:highlight w:val="none"/>
        </w:rPr>
      </w:pPr>
      <w:r>
        <w:rPr>
          <w:rFonts w:hint="eastAsia" w:ascii="宋体" w:hAnsi="宋体"/>
          <w:szCs w:val="21"/>
          <w:highlight w:val="none"/>
        </w:rPr>
        <w:t>合同BOQ对比表：即项目合同清单与项目工程量的对比。项目合同清单来源与项目业主方，是工程承包合同的重要组成部分。而项目工程量清单是施工企业依据图纸清量得出的项目工程量清单，是企业的项目内控清单，是后续进行目标成本预算、产值计划与填报的依据</w:t>
      </w:r>
    </w:p>
    <w:p>
      <w:pPr>
        <w:numPr>
          <w:ilvl w:val="0"/>
          <w:numId w:val="3"/>
        </w:numPr>
        <w:spacing w:line="360" w:lineRule="auto"/>
        <w:rPr>
          <w:rFonts w:ascii="宋体" w:hAnsi="宋体"/>
          <w:szCs w:val="21"/>
          <w:highlight w:val="none"/>
        </w:rPr>
      </w:pPr>
      <w:r>
        <w:rPr>
          <w:rFonts w:hint="eastAsia" w:ascii="宋体" w:hAnsi="宋体"/>
          <w:szCs w:val="21"/>
          <w:highlight w:val="none"/>
        </w:rPr>
        <w:t>企业BOQ价格对比表：即企业工程量清单与项目工程量清单的价格对比表。</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基础设置：</w:t>
      </w:r>
    </w:p>
    <w:p>
      <w:pPr>
        <w:numPr>
          <w:ilvl w:val="0"/>
          <w:numId w:val="3"/>
        </w:numPr>
        <w:spacing w:line="360" w:lineRule="auto"/>
        <w:rPr>
          <w:rFonts w:ascii="宋体" w:hAnsi="宋体"/>
          <w:szCs w:val="21"/>
          <w:highlight w:val="none"/>
        </w:rPr>
      </w:pPr>
      <w:r>
        <w:rPr>
          <w:rFonts w:hint="eastAsia" w:ascii="宋体" w:hAnsi="宋体"/>
          <w:szCs w:val="21"/>
          <w:highlight w:val="none"/>
        </w:rPr>
        <w:t>字段库：支持用户根据自身的业务需要，将所需关注的信息定义成系统字段，支持的字段类型有日期，时间，数值，文本, 长文本，布尔, 辅助资料，这些字段，能够在项目立项时承载业务信息并且留存。</w:t>
      </w:r>
    </w:p>
    <w:p>
      <w:pPr>
        <w:numPr>
          <w:ilvl w:val="0"/>
          <w:numId w:val="3"/>
        </w:numPr>
        <w:spacing w:line="360" w:lineRule="auto"/>
        <w:rPr>
          <w:rFonts w:ascii="宋体" w:hAnsi="宋体"/>
          <w:szCs w:val="21"/>
          <w:highlight w:val="none"/>
        </w:rPr>
      </w:pPr>
      <w:r>
        <w:rPr>
          <w:rFonts w:hint="eastAsia" w:ascii="宋体" w:hAnsi="宋体"/>
          <w:szCs w:val="21"/>
          <w:highlight w:val="none"/>
        </w:rPr>
        <w:t>清单模板：企业可以根据不同合同管理的需要，创建企业清单模板，不同清单模板包含的字段信息可根据客户需求进行定义，如工程类清单、采购类清单的所包含的字段可以不相同；</w:t>
      </w:r>
    </w:p>
    <w:p>
      <w:pPr>
        <w:numPr>
          <w:ilvl w:val="0"/>
          <w:numId w:val="3"/>
        </w:numPr>
        <w:spacing w:line="360" w:lineRule="auto"/>
        <w:rPr>
          <w:rFonts w:ascii="宋体" w:hAnsi="宋体"/>
          <w:szCs w:val="21"/>
          <w:highlight w:val="none"/>
        </w:rPr>
      </w:pPr>
      <w:r>
        <w:rPr>
          <w:rFonts w:hint="eastAsia" w:ascii="宋体" w:hAnsi="宋体"/>
          <w:szCs w:val="21"/>
          <w:highlight w:val="none"/>
        </w:rPr>
        <w:t>合同属性：用于自定义配置合同签订页面的专用信息展现字段信息，可满足不同合同类型需要展现不同合同信息的要求。例如：房建项目合同需要展现建筑面积、结构类型、楼层数量等；路桥项目合同需要展现道路等级、路线长度、起止桩号等；采购类合同需要展现采购类型、运输方式、运距等信息。同时，合同属性还可以对合同清单进行设置，给不同类型合同配置不同类型与样式的合同清单，满足业务管理的要求。合同属性必须与合同类型配合使用，创建合同类型时必须选择某种合同属性；</w:t>
      </w:r>
    </w:p>
    <w:p>
      <w:pPr>
        <w:numPr>
          <w:ilvl w:val="0"/>
          <w:numId w:val="3"/>
        </w:numPr>
        <w:spacing w:line="360" w:lineRule="auto"/>
        <w:rPr>
          <w:rFonts w:ascii="宋体" w:hAnsi="宋体"/>
          <w:szCs w:val="21"/>
          <w:highlight w:val="none"/>
        </w:rPr>
      </w:pPr>
      <w:r>
        <w:rPr>
          <w:rFonts w:hint="eastAsia" w:ascii="宋体" w:hAnsi="宋体"/>
          <w:szCs w:val="21"/>
          <w:highlight w:val="none"/>
        </w:rPr>
        <w:t>合同类型：可以根据客户的需要完全自定义合同的类型，如建安装类合同，在此分类之下再设置施工总承包合同、劳务分包合同等等。合同类型必须与合同属性配合使用，创建合同类型时必须选择某种合同属性；</w:t>
      </w:r>
    </w:p>
    <w:p>
      <w:pPr>
        <w:numPr>
          <w:ilvl w:val="0"/>
          <w:numId w:val="3"/>
        </w:numPr>
        <w:spacing w:line="360" w:lineRule="auto"/>
        <w:rPr>
          <w:rFonts w:ascii="宋体" w:hAnsi="宋体"/>
          <w:szCs w:val="21"/>
          <w:highlight w:val="none"/>
        </w:rPr>
      </w:pPr>
      <w:r>
        <w:rPr>
          <w:rFonts w:hint="eastAsia" w:ascii="宋体" w:hAnsi="宋体"/>
          <w:szCs w:val="21"/>
          <w:highlight w:val="none"/>
        </w:rPr>
        <w:t>合同支付项：用于辅助合同结算，可以完全根据客户的诉求定义支付项名称，如预付款、进度款、质保金、结算款、奖励扣款、可设置为固定项还是变动项，可设置参与计算，可以设置扣减还是增加项等功能。</w:t>
      </w:r>
    </w:p>
    <w:p>
      <w:pPr>
        <w:numPr>
          <w:ilvl w:val="0"/>
          <w:numId w:val="3"/>
        </w:numPr>
        <w:spacing w:line="360" w:lineRule="auto"/>
        <w:rPr>
          <w:rFonts w:ascii="宋体" w:hAnsi="宋体"/>
          <w:szCs w:val="21"/>
          <w:highlight w:val="none"/>
        </w:rPr>
      </w:pPr>
      <w:r>
        <w:rPr>
          <w:rFonts w:hint="eastAsia" w:ascii="宋体" w:hAnsi="宋体"/>
          <w:szCs w:val="21"/>
          <w:highlight w:val="none"/>
        </w:rPr>
        <w:t>发票类型：设置普、专、定额等发票类型；</w:t>
      </w:r>
    </w:p>
    <w:p>
      <w:pPr>
        <w:numPr>
          <w:ilvl w:val="0"/>
          <w:numId w:val="3"/>
        </w:numPr>
        <w:spacing w:line="360" w:lineRule="auto"/>
        <w:rPr>
          <w:rFonts w:ascii="宋体" w:hAnsi="宋体"/>
          <w:szCs w:val="21"/>
          <w:highlight w:val="none"/>
        </w:rPr>
      </w:pPr>
      <w:r>
        <w:rPr>
          <w:rFonts w:hint="eastAsia" w:ascii="宋体" w:hAnsi="宋体"/>
          <w:szCs w:val="21"/>
          <w:highlight w:val="none"/>
        </w:rPr>
        <w:t>交底类型：用于合同交底的基础资料，交底类型由用户自定义，如风险交底、付款条件交底、一般事务交底等</w:t>
      </w:r>
    </w:p>
    <w:p>
      <w:pPr>
        <w:numPr>
          <w:ilvl w:val="0"/>
          <w:numId w:val="3"/>
        </w:numPr>
        <w:spacing w:line="360" w:lineRule="auto"/>
        <w:rPr>
          <w:rFonts w:ascii="宋体" w:hAnsi="宋体"/>
          <w:szCs w:val="21"/>
          <w:highlight w:val="none"/>
        </w:rPr>
      </w:pPr>
      <w:r>
        <w:rPr>
          <w:rFonts w:hint="eastAsia" w:ascii="宋体" w:hAnsi="宋体"/>
          <w:szCs w:val="21"/>
          <w:highlight w:val="none"/>
        </w:rPr>
        <w:t>事务类型：用于履约事务的基础资料，事务类型由用户自定义，如业主发函、当事人违约、监理事务、合同纠纷、仲裁事务、法律事务等</w:t>
      </w:r>
    </w:p>
    <w:p>
      <w:pPr>
        <w:numPr>
          <w:ilvl w:val="0"/>
          <w:numId w:val="3"/>
        </w:numPr>
        <w:spacing w:line="360" w:lineRule="auto"/>
        <w:rPr>
          <w:rFonts w:ascii="宋体" w:hAnsi="宋体"/>
          <w:szCs w:val="21"/>
          <w:highlight w:val="none"/>
        </w:rPr>
      </w:pPr>
      <w:r>
        <w:rPr>
          <w:rFonts w:hint="eastAsia" w:ascii="宋体" w:hAnsi="宋体"/>
          <w:szCs w:val="21"/>
          <w:highlight w:val="none"/>
        </w:rPr>
        <w:t>风险类型：用于收入、支出合同签订页面，合同风险项分录的基础资料，风险类型由用户自定义，如付款条件、技术指标、工期风险、法律风险等</w:t>
      </w:r>
    </w:p>
    <w:p>
      <w:pPr>
        <w:numPr>
          <w:ilvl w:val="0"/>
          <w:numId w:val="3"/>
        </w:numPr>
        <w:spacing w:line="360" w:lineRule="auto"/>
        <w:rPr>
          <w:rFonts w:ascii="宋体" w:hAnsi="宋体"/>
          <w:szCs w:val="21"/>
          <w:highlight w:val="none"/>
        </w:rPr>
      </w:pPr>
      <w:r>
        <w:rPr>
          <w:rFonts w:hint="eastAsia" w:ascii="宋体" w:hAnsi="宋体"/>
          <w:szCs w:val="21"/>
          <w:highlight w:val="none"/>
        </w:rPr>
        <w:t>资金款项：用于资金收入计划、资金支出计划中，非合同收支计划的基础资料，资金款项由用户自定义，如差旅费、招待费、办公费等</w:t>
      </w:r>
    </w:p>
    <w:p>
      <w:pPr>
        <w:numPr>
          <w:ilvl w:val="0"/>
          <w:numId w:val="3"/>
        </w:numPr>
        <w:spacing w:line="360" w:lineRule="auto"/>
        <w:rPr>
          <w:rFonts w:ascii="宋体" w:hAnsi="宋体"/>
          <w:szCs w:val="21"/>
          <w:highlight w:val="none"/>
        </w:rPr>
      </w:pPr>
      <w:r>
        <w:rPr>
          <w:rFonts w:hint="eastAsia" w:ascii="宋体" w:hAnsi="宋体"/>
          <w:szCs w:val="21"/>
          <w:highlight w:val="none"/>
        </w:rPr>
        <w:t>合同模板：支持根据合同信息，自定义合同文本格式，编制合同正文内容。</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.4 </w:t>
      </w:r>
      <w:r>
        <w:rPr>
          <w:rFonts w:hint="eastAsia" w:ascii="宋体" w:hAnsi="宋体"/>
          <w:szCs w:val="21"/>
          <w:highlight w:val="none"/>
        </w:rPr>
        <w:t>物资管理</w:t>
      </w:r>
    </w:p>
    <w:p>
      <w:pPr>
        <w:spacing w:line="360" w:lineRule="auto"/>
        <w:ind w:firstLine="428" w:firstLineChars="200"/>
        <w:rPr>
          <w:rFonts w:ascii="宋体" w:hAnsi="宋体"/>
          <w:szCs w:val="21"/>
          <w:highlight w:val="none"/>
        </w:rPr>
      </w:pPr>
      <w:r>
        <w:rPr>
          <w:rFonts w:hint="eastAsia" w:ascii="宋体" w:hAnsi="宋体"/>
          <w:b/>
          <w:bCs/>
          <w:szCs w:val="21"/>
          <w:highlight w:val="none"/>
        </w:rPr>
        <w:t>基础资料：</w:t>
      </w:r>
    </w:p>
    <w:p>
      <w:pPr>
        <w:numPr>
          <w:ilvl w:val="0"/>
          <w:numId w:val="3"/>
        </w:numPr>
        <w:spacing w:line="360" w:lineRule="auto"/>
        <w:rPr>
          <w:rFonts w:ascii="宋体" w:hAnsi="宋体"/>
          <w:szCs w:val="21"/>
          <w:highlight w:val="none"/>
        </w:rPr>
      </w:pPr>
      <w:r>
        <w:rPr>
          <w:rFonts w:hint="eastAsia" w:ascii="宋体" w:hAnsi="宋体"/>
          <w:szCs w:val="21"/>
          <w:highlight w:val="none"/>
        </w:rPr>
        <w:t>事务类型：用于出入库管理，定义入库单、出库单是否进成本以及库存数量的影响。</w:t>
      </w:r>
    </w:p>
    <w:p>
      <w:pPr>
        <w:numPr>
          <w:ilvl w:val="0"/>
          <w:numId w:val="3"/>
        </w:numPr>
        <w:spacing w:line="360" w:lineRule="auto"/>
        <w:rPr>
          <w:rFonts w:ascii="宋体" w:hAnsi="宋体"/>
          <w:szCs w:val="21"/>
          <w:highlight w:val="none"/>
        </w:rPr>
      </w:pPr>
      <w:r>
        <w:rPr>
          <w:rFonts w:hint="eastAsia" w:ascii="宋体" w:hAnsi="宋体"/>
          <w:szCs w:val="21"/>
          <w:highlight w:val="none"/>
        </w:rPr>
        <w:t>劳务班组：按项目建立项目的劳务队伍，可分为内部单位与外部单位，可录入领料人，领料人将作为物资领料出库的受控人。</w:t>
      </w:r>
    </w:p>
    <w:p>
      <w:pPr>
        <w:numPr>
          <w:ilvl w:val="0"/>
          <w:numId w:val="3"/>
        </w:numPr>
        <w:spacing w:line="360" w:lineRule="auto"/>
        <w:rPr>
          <w:rFonts w:ascii="宋体" w:hAnsi="宋体"/>
          <w:szCs w:val="21"/>
          <w:highlight w:val="none"/>
        </w:rPr>
      </w:pPr>
      <w:r>
        <w:rPr>
          <w:rFonts w:hint="eastAsia" w:ascii="宋体" w:hAnsi="宋体"/>
          <w:szCs w:val="21"/>
          <w:highlight w:val="none"/>
        </w:rPr>
        <w:t>仓库：建立项目部使用的仓库，在后续出入库业务中被引用。</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初始化：</w:t>
      </w:r>
    </w:p>
    <w:p>
      <w:pPr>
        <w:numPr>
          <w:ilvl w:val="0"/>
          <w:numId w:val="3"/>
        </w:numPr>
        <w:spacing w:line="360" w:lineRule="auto"/>
        <w:rPr>
          <w:rFonts w:ascii="宋体" w:hAnsi="宋体"/>
          <w:szCs w:val="21"/>
          <w:highlight w:val="none"/>
        </w:rPr>
      </w:pPr>
      <w:r>
        <w:rPr>
          <w:rFonts w:hint="eastAsia" w:ascii="宋体" w:hAnsi="宋体"/>
          <w:szCs w:val="21"/>
          <w:highlight w:val="none"/>
        </w:rPr>
        <w:t>仓库初始化：将企业使用系统前的仓库库存数据录入到初始化中。仓库初始化审核后，库存余额写入即时库存表。</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需用计划：</w:t>
      </w:r>
    </w:p>
    <w:p>
      <w:pPr>
        <w:numPr>
          <w:ilvl w:val="0"/>
          <w:numId w:val="3"/>
        </w:numPr>
        <w:spacing w:line="360" w:lineRule="auto"/>
        <w:rPr>
          <w:rFonts w:ascii="宋体" w:hAnsi="宋体"/>
          <w:szCs w:val="21"/>
          <w:highlight w:val="none"/>
        </w:rPr>
      </w:pPr>
      <w:r>
        <w:rPr>
          <w:rFonts w:hint="eastAsia" w:ascii="宋体" w:hAnsi="宋体"/>
          <w:szCs w:val="21"/>
          <w:highlight w:val="none"/>
        </w:rPr>
        <w:t>项目总体需用计划：针对整个项目的总体物资需用量计划。</w:t>
      </w:r>
    </w:p>
    <w:p>
      <w:pPr>
        <w:numPr>
          <w:ilvl w:val="0"/>
          <w:numId w:val="3"/>
        </w:numPr>
        <w:spacing w:line="360" w:lineRule="auto"/>
        <w:rPr>
          <w:rFonts w:ascii="宋体" w:hAnsi="宋体"/>
          <w:szCs w:val="21"/>
          <w:highlight w:val="none"/>
        </w:rPr>
      </w:pPr>
      <w:r>
        <w:rPr>
          <w:rFonts w:hint="eastAsia" w:ascii="宋体" w:hAnsi="宋体"/>
          <w:szCs w:val="21"/>
          <w:highlight w:val="none"/>
        </w:rPr>
        <w:t>项目月度需用计划：根据项目进度编制月度资源需用计划。</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采购管理：</w:t>
      </w:r>
    </w:p>
    <w:p>
      <w:pPr>
        <w:numPr>
          <w:ilvl w:val="0"/>
          <w:numId w:val="3"/>
        </w:numPr>
        <w:spacing w:line="360" w:lineRule="auto"/>
        <w:rPr>
          <w:rFonts w:ascii="宋体" w:hAnsi="宋体"/>
          <w:szCs w:val="21"/>
          <w:highlight w:val="none"/>
        </w:rPr>
      </w:pPr>
      <w:r>
        <w:rPr>
          <w:rFonts w:hint="eastAsia" w:ascii="宋体" w:hAnsi="宋体"/>
          <w:szCs w:val="21"/>
          <w:highlight w:val="none"/>
        </w:rPr>
        <w:t>采购订单：与供应商签订采购合同后，采购方下达采购订单给供应商，记录订单明细、收货时间、收货地址、联系电话等信息。</w:t>
      </w:r>
    </w:p>
    <w:p>
      <w:pPr>
        <w:numPr>
          <w:ilvl w:val="0"/>
          <w:numId w:val="3"/>
        </w:numPr>
        <w:spacing w:line="360" w:lineRule="auto"/>
        <w:rPr>
          <w:rFonts w:ascii="宋体" w:hAnsi="宋体"/>
          <w:szCs w:val="21"/>
          <w:highlight w:val="none"/>
        </w:rPr>
      </w:pPr>
      <w:r>
        <w:rPr>
          <w:rFonts w:hint="eastAsia" w:ascii="宋体" w:hAnsi="宋体"/>
          <w:szCs w:val="21"/>
          <w:highlight w:val="none"/>
        </w:rPr>
        <w:t>采购入库单：入库单是对采购实物入库数量的确认，通常需要与合同进行关联。编制材料采购入库单，将数据写入即时库存。材料入库单中通过事务类型区分材料入库及材料退还、冲销业务。</w:t>
      </w:r>
    </w:p>
    <w:p>
      <w:pPr>
        <w:numPr>
          <w:ilvl w:val="0"/>
          <w:numId w:val="3"/>
        </w:numPr>
        <w:spacing w:line="360" w:lineRule="auto"/>
        <w:rPr>
          <w:rFonts w:ascii="宋体" w:hAnsi="宋体"/>
          <w:szCs w:val="21"/>
          <w:highlight w:val="none"/>
        </w:rPr>
      </w:pPr>
      <w:r>
        <w:rPr>
          <w:rFonts w:hint="eastAsia" w:ascii="宋体" w:hAnsi="宋体"/>
          <w:szCs w:val="21"/>
          <w:highlight w:val="none"/>
        </w:rPr>
        <w:t>领料出库单：领料出库单是材料领用和发出的原始凭证，可将出库材料明确到成本分解结构、成本科目、工作分解结构、工程量清单维度。通过事务类型中的是否归集成本确定该单据是否归集材料成本。通过出库单分录中的是否主材确定进入的材料费为主材费还是零材费。</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调拨单：</w:t>
      </w:r>
    </w:p>
    <w:p>
      <w:pPr>
        <w:numPr>
          <w:ilvl w:val="0"/>
          <w:numId w:val="3"/>
        </w:numPr>
        <w:spacing w:line="360" w:lineRule="auto"/>
        <w:rPr>
          <w:rFonts w:ascii="宋体" w:hAnsi="宋体"/>
          <w:szCs w:val="21"/>
          <w:highlight w:val="none"/>
        </w:rPr>
      </w:pPr>
      <w:r>
        <w:rPr>
          <w:rFonts w:hint="eastAsia" w:ascii="宋体" w:hAnsi="宋体"/>
          <w:szCs w:val="21"/>
          <w:highlight w:val="none"/>
        </w:rPr>
        <w:t>调拨出库：通过调拨单明细库存调拨业务，有据可查，处理调拨出库业务。</w:t>
      </w:r>
    </w:p>
    <w:p>
      <w:pPr>
        <w:numPr>
          <w:ilvl w:val="0"/>
          <w:numId w:val="3"/>
        </w:numPr>
        <w:spacing w:line="360" w:lineRule="auto"/>
        <w:rPr>
          <w:rFonts w:ascii="宋体" w:hAnsi="宋体"/>
          <w:szCs w:val="21"/>
          <w:highlight w:val="none"/>
        </w:rPr>
      </w:pPr>
      <w:r>
        <w:rPr>
          <w:rFonts w:hint="eastAsia" w:ascii="宋体" w:hAnsi="宋体"/>
          <w:szCs w:val="21"/>
          <w:highlight w:val="none"/>
        </w:rPr>
        <w:t>调拨入库：通过调拨单明细库存调拨业务，有据可查，处理调拨入库业务。</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盘点管理：</w:t>
      </w:r>
    </w:p>
    <w:p>
      <w:pPr>
        <w:numPr>
          <w:ilvl w:val="0"/>
          <w:numId w:val="3"/>
        </w:numPr>
        <w:spacing w:line="360" w:lineRule="auto"/>
        <w:rPr>
          <w:rFonts w:ascii="宋体" w:hAnsi="宋体"/>
          <w:szCs w:val="21"/>
          <w:highlight w:val="none"/>
        </w:rPr>
      </w:pPr>
      <w:r>
        <w:rPr>
          <w:rFonts w:hint="eastAsia" w:ascii="宋体" w:hAnsi="宋体"/>
          <w:szCs w:val="21"/>
          <w:highlight w:val="none"/>
        </w:rPr>
        <w:t>盘点任务：可按需定义盘点任务，指定盘点、启用复盘。</w:t>
      </w:r>
    </w:p>
    <w:p>
      <w:pPr>
        <w:numPr>
          <w:ilvl w:val="0"/>
          <w:numId w:val="3"/>
        </w:numPr>
        <w:spacing w:line="360" w:lineRule="auto"/>
        <w:rPr>
          <w:rFonts w:ascii="宋体" w:hAnsi="宋体"/>
          <w:szCs w:val="21"/>
          <w:highlight w:val="none"/>
        </w:rPr>
      </w:pPr>
      <w:r>
        <w:rPr>
          <w:rFonts w:hint="eastAsia" w:ascii="宋体" w:hAnsi="宋体"/>
          <w:szCs w:val="21"/>
          <w:highlight w:val="none"/>
        </w:rPr>
        <w:t>库存盘点单：根据盘点任务可生成盘点单，结果录入盘点单实盘数量，盘点时需要锁库，禁止出入库操作。</w:t>
      </w:r>
    </w:p>
    <w:p>
      <w:pPr>
        <w:numPr>
          <w:ilvl w:val="0"/>
          <w:numId w:val="3"/>
        </w:numPr>
        <w:spacing w:line="360" w:lineRule="auto"/>
        <w:rPr>
          <w:rFonts w:ascii="宋体" w:hAnsi="宋体"/>
          <w:szCs w:val="21"/>
          <w:highlight w:val="none"/>
        </w:rPr>
      </w:pPr>
      <w:r>
        <w:rPr>
          <w:rFonts w:hint="eastAsia" w:ascii="宋体" w:hAnsi="宋体"/>
          <w:szCs w:val="21"/>
          <w:highlight w:val="none"/>
        </w:rPr>
        <w:t>盘点调整单：根据盘盈盘亏情况，生成盘点调整单，调整库存量。</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报表分析：</w:t>
      </w:r>
    </w:p>
    <w:p>
      <w:pPr>
        <w:numPr>
          <w:ilvl w:val="0"/>
          <w:numId w:val="3"/>
        </w:numPr>
        <w:spacing w:line="360" w:lineRule="auto"/>
        <w:rPr>
          <w:rFonts w:ascii="宋体" w:hAnsi="宋体"/>
          <w:szCs w:val="21"/>
          <w:highlight w:val="none"/>
        </w:rPr>
      </w:pPr>
      <w:r>
        <w:rPr>
          <w:rFonts w:hint="eastAsia" w:ascii="宋体" w:hAnsi="宋体"/>
          <w:szCs w:val="21"/>
          <w:highlight w:val="none"/>
        </w:rPr>
        <w:t>即时库存：此报表主要给仓管员以及材料主管及各级管理人员使用，可以及时掌握某项目部每个仓库中每种物料的即时库存，锁定库存，可用库存，同时可以掌握当前成本单价和库存金额。通过联查明细追溯数据来源。</w:t>
      </w:r>
    </w:p>
    <w:p>
      <w:pPr>
        <w:numPr>
          <w:ilvl w:val="0"/>
          <w:numId w:val="3"/>
        </w:numPr>
        <w:spacing w:line="360" w:lineRule="auto"/>
        <w:rPr>
          <w:rFonts w:ascii="宋体" w:hAnsi="宋体"/>
          <w:szCs w:val="21"/>
          <w:highlight w:val="none"/>
        </w:rPr>
      </w:pPr>
      <w:r>
        <w:rPr>
          <w:rFonts w:hint="eastAsia" w:ascii="宋体" w:hAnsi="宋体"/>
          <w:szCs w:val="21"/>
          <w:highlight w:val="none"/>
        </w:rPr>
        <w:t>项目物资量控表：项目物资量控表是对物料的申购、收货，发料及使用的监督和管理。</w:t>
      </w:r>
    </w:p>
    <w:p>
      <w:pPr>
        <w:numPr>
          <w:ilvl w:val="0"/>
          <w:numId w:val="3"/>
        </w:numPr>
        <w:spacing w:line="360" w:lineRule="auto"/>
        <w:rPr>
          <w:rFonts w:ascii="宋体" w:hAnsi="宋体"/>
          <w:szCs w:val="21"/>
          <w:highlight w:val="none"/>
        </w:rPr>
      </w:pPr>
      <w:r>
        <w:rPr>
          <w:rFonts w:hint="eastAsia" w:ascii="宋体" w:hAnsi="宋体"/>
          <w:szCs w:val="21"/>
          <w:highlight w:val="none"/>
        </w:rPr>
        <w:t>材料收发明细：材料收发明细表用于显示汇总某个组织在选定期间内材料的入库、出库明细记录。</w:t>
      </w:r>
    </w:p>
    <w:p>
      <w:pPr>
        <w:numPr>
          <w:ilvl w:val="0"/>
          <w:numId w:val="3"/>
        </w:numPr>
        <w:spacing w:line="360" w:lineRule="auto"/>
        <w:rPr>
          <w:rFonts w:ascii="宋体" w:hAnsi="宋体"/>
          <w:szCs w:val="21"/>
          <w:highlight w:val="none"/>
        </w:rPr>
      </w:pPr>
      <w:r>
        <w:rPr>
          <w:rFonts w:hint="eastAsia" w:ascii="宋体" w:hAnsi="宋体"/>
          <w:szCs w:val="21"/>
          <w:highlight w:val="none"/>
        </w:rPr>
        <w:t>仓库收发统计表：仓库收发统计表用于显示汇总某个仓库在选定期间内材料的库存情况，包含材料的初始量、入库量、出库量、库存量。方便仓库管理员掌握库存情况。</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.5 </w:t>
      </w:r>
      <w:r>
        <w:rPr>
          <w:rFonts w:hint="eastAsia" w:ascii="宋体" w:hAnsi="宋体"/>
          <w:szCs w:val="21"/>
          <w:highlight w:val="none"/>
        </w:rPr>
        <w:t>成本管理</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预算成本：</w:t>
      </w:r>
    </w:p>
    <w:p>
      <w:pPr>
        <w:numPr>
          <w:ilvl w:val="0"/>
          <w:numId w:val="3"/>
        </w:numPr>
        <w:spacing w:line="360" w:lineRule="auto"/>
        <w:rPr>
          <w:rFonts w:ascii="宋体" w:hAnsi="宋体"/>
          <w:szCs w:val="21"/>
          <w:highlight w:val="none"/>
        </w:rPr>
      </w:pPr>
      <w:r>
        <w:rPr>
          <w:rFonts w:hint="eastAsia" w:ascii="宋体" w:hAnsi="宋体"/>
          <w:szCs w:val="21"/>
          <w:highlight w:val="none"/>
        </w:rPr>
        <w:t>预算成本编制：按CBS，直接作资源分解的预算成本编制模式。</w:t>
      </w:r>
    </w:p>
    <w:p>
      <w:pPr>
        <w:numPr>
          <w:ilvl w:val="0"/>
          <w:numId w:val="3"/>
        </w:numPr>
        <w:spacing w:line="360" w:lineRule="auto"/>
        <w:rPr>
          <w:rFonts w:ascii="宋体" w:hAnsi="宋体"/>
          <w:szCs w:val="21"/>
          <w:highlight w:val="none"/>
        </w:rPr>
      </w:pPr>
      <w:r>
        <w:rPr>
          <w:rFonts w:hint="eastAsia" w:ascii="宋体" w:hAnsi="宋体"/>
          <w:szCs w:val="21"/>
          <w:highlight w:val="none"/>
        </w:rPr>
        <w:t>期间预算成本：针对某个期间，按CBS模式作成本预算。与总体的预算成本编制（CBS模式）配合使用。</w:t>
      </w:r>
    </w:p>
    <w:p>
      <w:pPr>
        <w:numPr>
          <w:ilvl w:val="0"/>
          <w:numId w:val="3"/>
        </w:numPr>
        <w:spacing w:line="360" w:lineRule="auto"/>
        <w:rPr>
          <w:rFonts w:ascii="宋体" w:hAnsi="宋体"/>
          <w:szCs w:val="21"/>
          <w:highlight w:val="none"/>
        </w:rPr>
      </w:pPr>
      <w:r>
        <w:rPr>
          <w:rFonts w:hint="eastAsia" w:ascii="宋体" w:hAnsi="宋体"/>
          <w:szCs w:val="21"/>
          <w:highlight w:val="none"/>
        </w:rPr>
        <w:t>项目BOQ预算编制：支持按项目/单位工程进行BOQ预算成本编制，提供汇总、拆分两种模式，进行工、料、机、费等单价与合价的计算。</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实际成本：</w:t>
      </w:r>
    </w:p>
    <w:p>
      <w:pPr>
        <w:numPr>
          <w:ilvl w:val="0"/>
          <w:numId w:val="3"/>
        </w:numPr>
        <w:spacing w:line="360" w:lineRule="auto"/>
        <w:rPr>
          <w:rFonts w:ascii="宋体" w:hAnsi="宋体"/>
          <w:szCs w:val="21"/>
          <w:highlight w:val="none"/>
        </w:rPr>
      </w:pPr>
      <w:r>
        <w:rPr>
          <w:rFonts w:hint="eastAsia" w:ascii="宋体" w:hAnsi="宋体"/>
          <w:szCs w:val="21"/>
          <w:highlight w:val="none"/>
        </w:rPr>
        <w:t>合同成本分摊：从结算单中取数，将期间实际发生的合同成本分摊到CBS、WBS、计划成本项以便进行不同维度的成本核算</w:t>
      </w:r>
    </w:p>
    <w:p>
      <w:pPr>
        <w:numPr>
          <w:ilvl w:val="0"/>
          <w:numId w:val="3"/>
        </w:numPr>
        <w:spacing w:line="360" w:lineRule="auto"/>
        <w:rPr>
          <w:rFonts w:ascii="宋体" w:hAnsi="宋体"/>
          <w:szCs w:val="21"/>
          <w:highlight w:val="none"/>
        </w:rPr>
      </w:pPr>
      <w:r>
        <w:rPr>
          <w:rFonts w:hint="eastAsia" w:ascii="宋体" w:hAnsi="宋体"/>
          <w:szCs w:val="21"/>
          <w:highlight w:val="none"/>
        </w:rPr>
        <w:t>企业成本分摊：将企业发生的费用分摊到各个项目成本中</w:t>
      </w:r>
    </w:p>
    <w:p>
      <w:pPr>
        <w:numPr>
          <w:ilvl w:val="0"/>
          <w:numId w:val="3"/>
        </w:numPr>
        <w:spacing w:line="360" w:lineRule="auto"/>
        <w:rPr>
          <w:rFonts w:ascii="宋体" w:hAnsi="宋体"/>
          <w:szCs w:val="21"/>
          <w:highlight w:val="none"/>
        </w:rPr>
      </w:pPr>
      <w:r>
        <w:rPr>
          <w:rFonts w:hint="eastAsia" w:ascii="宋体" w:hAnsi="宋体"/>
          <w:szCs w:val="21"/>
          <w:highlight w:val="none"/>
        </w:rPr>
        <w:t>项目综合成本分摊：将期间实际发生的综合费用分摊到CBS、WBS、计划成本项以便进行不同维度的成本核算</w:t>
      </w:r>
    </w:p>
    <w:p>
      <w:pPr>
        <w:numPr>
          <w:ilvl w:val="0"/>
          <w:numId w:val="3"/>
        </w:numPr>
        <w:spacing w:line="360" w:lineRule="auto"/>
        <w:rPr>
          <w:rFonts w:ascii="宋体" w:hAnsi="宋体"/>
          <w:szCs w:val="21"/>
          <w:highlight w:val="none"/>
        </w:rPr>
      </w:pPr>
      <w:r>
        <w:rPr>
          <w:rFonts w:hint="eastAsia" w:ascii="宋体" w:hAnsi="宋体"/>
          <w:szCs w:val="21"/>
          <w:highlight w:val="none"/>
        </w:rPr>
        <w:t>主要材料成本分摊：将期间实际发生的主要材料成本分摊到CBS、WBS、计划成本项以便进行不同维度的成本核算</w:t>
      </w:r>
    </w:p>
    <w:p>
      <w:pPr>
        <w:numPr>
          <w:ilvl w:val="0"/>
          <w:numId w:val="3"/>
        </w:numPr>
        <w:spacing w:line="360" w:lineRule="auto"/>
        <w:rPr>
          <w:rFonts w:ascii="宋体" w:hAnsi="宋体"/>
          <w:szCs w:val="21"/>
          <w:highlight w:val="none"/>
        </w:rPr>
      </w:pPr>
      <w:r>
        <w:rPr>
          <w:rFonts w:hint="eastAsia" w:ascii="宋体" w:hAnsi="宋体"/>
          <w:szCs w:val="21"/>
          <w:highlight w:val="none"/>
        </w:rPr>
        <w:t>零星材料成本分摊：将期间实际发生的零星材料成本分摊到CBS、WBS、计划成本项以便进行不同维度的成本核算</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报表分析：</w:t>
      </w:r>
    </w:p>
    <w:p>
      <w:pPr>
        <w:numPr>
          <w:ilvl w:val="0"/>
          <w:numId w:val="3"/>
        </w:numPr>
        <w:spacing w:line="360" w:lineRule="auto"/>
        <w:rPr>
          <w:rFonts w:ascii="宋体" w:hAnsi="宋体"/>
          <w:szCs w:val="21"/>
          <w:highlight w:val="none"/>
        </w:rPr>
      </w:pPr>
      <w:r>
        <w:rPr>
          <w:rFonts w:hint="eastAsia" w:ascii="宋体" w:hAnsi="宋体"/>
          <w:szCs w:val="21"/>
          <w:highlight w:val="none"/>
        </w:rPr>
        <w:t>项目成本多维对比分析表：从成本项、CBS维度，成本科目、工程量清单维度，针对目标成本，期间目标成本，期间实际成本作对比，并给出预算与实际的差值。</w:t>
      </w:r>
    </w:p>
    <w:p>
      <w:pPr>
        <w:numPr>
          <w:ilvl w:val="0"/>
          <w:numId w:val="3"/>
        </w:numPr>
        <w:spacing w:line="360" w:lineRule="auto"/>
        <w:rPr>
          <w:rFonts w:ascii="宋体" w:hAnsi="宋体"/>
          <w:szCs w:val="21"/>
          <w:highlight w:val="none"/>
        </w:rPr>
      </w:pPr>
      <w:r>
        <w:rPr>
          <w:rFonts w:hint="eastAsia" w:ascii="宋体" w:hAnsi="宋体"/>
          <w:szCs w:val="21"/>
          <w:highlight w:val="none"/>
        </w:rPr>
        <w:t>项目生产经营表：根据选择的组织和项目，查看项目过程中的目标预算和利润以及各项支出和收入，用于监控项目过程的生产经营表。</w:t>
      </w:r>
    </w:p>
    <w:p>
      <w:pPr>
        <w:numPr>
          <w:ilvl w:val="0"/>
          <w:numId w:val="3"/>
        </w:numPr>
        <w:spacing w:line="360" w:lineRule="auto"/>
        <w:rPr>
          <w:rFonts w:ascii="宋体" w:hAnsi="宋体"/>
          <w:szCs w:val="21"/>
          <w:highlight w:val="none"/>
        </w:rPr>
      </w:pPr>
      <w:r>
        <w:rPr>
          <w:rFonts w:hint="eastAsia" w:ascii="宋体" w:hAnsi="宋体"/>
          <w:szCs w:val="21"/>
          <w:highlight w:val="none"/>
        </w:rPr>
        <w:t>项目成本执行分析：提供查看某个具体项目成本执行情况，包括开累实际成本构成、开累实际成本执行，年度成本执行动态等。</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.6 </w:t>
      </w:r>
      <w:r>
        <w:rPr>
          <w:rFonts w:hint="eastAsia" w:ascii="宋体" w:hAnsi="宋体"/>
          <w:szCs w:val="21"/>
          <w:highlight w:val="none"/>
        </w:rPr>
        <w:t>项目资金</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收款业务：</w:t>
      </w:r>
    </w:p>
    <w:p>
      <w:pPr>
        <w:numPr>
          <w:ilvl w:val="0"/>
          <w:numId w:val="3"/>
        </w:numPr>
        <w:spacing w:line="360" w:lineRule="auto"/>
        <w:rPr>
          <w:rFonts w:ascii="宋体" w:hAnsi="宋体"/>
          <w:szCs w:val="21"/>
          <w:highlight w:val="none"/>
        </w:rPr>
      </w:pPr>
      <w:r>
        <w:rPr>
          <w:rFonts w:hint="eastAsia" w:ascii="宋体" w:hAnsi="宋体"/>
          <w:szCs w:val="21"/>
          <w:highlight w:val="none"/>
        </w:rPr>
        <w:t>请款单：针对项目、合同的请款业务，支持有结算无结算的合同请款业务，非合同请款业务。针对合同请款时，能自动获取合同执行的全部数据，包括合同总金额、累计结算金额、付款控制比例、累计收款金额、累计发票金额等；请款单关联财务的应收单，可直接推送数据到财务系统，是业务一体化的重要单据。</w:t>
      </w:r>
    </w:p>
    <w:p>
      <w:pPr>
        <w:numPr>
          <w:ilvl w:val="0"/>
          <w:numId w:val="3"/>
        </w:numPr>
        <w:spacing w:line="360" w:lineRule="auto"/>
        <w:rPr>
          <w:rFonts w:ascii="宋体" w:hAnsi="宋体"/>
          <w:szCs w:val="21"/>
          <w:highlight w:val="none"/>
        </w:rPr>
      </w:pPr>
      <w:r>
        <w:rPr>
          <w:rFonts w:hint="eastAsia" w:ascii="宋体" w:hAnsi="宋体"/>
          <w:szCs w:val="21"/>
          <w:highlight w:val="none"/>
        </w:rPr>
        <w:t>收款登记：针对项目、合同的实际收款登记业务，支持合同收款业务，非合同收款业务。针对合同收款时，能自动获取合同执行的全部数据，包括合同总金额、累计结算金额、付款控制比例、累计收款金额、累计发票金额等；收款登记单关联财务的收款单，可直接获取财务系统推送的数据，是业务一体化的重要单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付款业务：</w:t>
      </w:r>
    </w:p>
    <w:p>
      <w:pPr>
        <w:numPr>
          <w:ilvl w:val="0"/>
          <w:numId w:val="3"/>
        </w:numPr>
        <w:spacing w:line="360" w:lineRule="auto"/>
        <w:rPr>
          <w:rFonts w:ascii="宋体" w:hAnsi="宋体"/>
          <w:szCs w:val="21"/>
          <w:highlight w:val="none"/>
        </w:rPr>
      </w:pPr>
      <w:r>
        <w:rPr>
          <w:rFonts w:hint="eastAsia" w:ascii="宋体" w:hAnsi="宋体"/>
          <w:szCs w:val="21"/>
          <w:highlight w:val="none"/>
        </w:rPr>
        <w:t>付款申请：针对项目、合同的付款申请业务，支持有结算无结算的合同付款申请业务、非合同付款申请业务。针对合同付款申请时，能自动获取合同执行的全部数据，包括合同总金额、累计结算金额、付款控制比例、累计付款金额、累计发票金额等；付款申请单关联财务的应付单，可直接推送数据到财务系统，是业务一体化的重要单据。</w:t>
      </w:r>
    </w:p>
    <w:p>
      <w:pPr>
        <w:numPr>
          <w:ilvl w:val="0"/>
          <w:numId w:val="3"/>
        </w:numPr>
        <w:spacing w:line="360" w:lineRule="auto"/>
        <w:rPr>
          <w:rFonts w:ascii="宋体" w:hAnsi="宋体"/>
          <w:szCs w:val="21"/>
          <w:highlight w:val="none"/>
        </w:rPr>
      </w:pPr>
      <w:r>
        <w:rPr>
          <w:rFonts w:hint="eastAsia" w:ascii="宋体" w:hAnsi="宋体"/>
          <w:szCs w:val="21"/>
          <w:highlight w:val="none"/>
        </w:rPr>
        <w:t>付款登记：针对项目、合同的实际付款登记业务，支持合同付款业务，非合同付款业务。针对合同付款时，能自动获取合同执行的全部数据，包括合同总金额、累计结算金额、付款控制比例、累计付款金额、累计发票金额等；付款登记单关联财务的付款单，可直接获取财务系统推送的数据，是业务一体化的重要单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发票登记：</w:t>
      </w:r>
    </w:p>
    <w:p>
      <w:pPr>
        <w:numPr>
          <w:ilvl w:val="0"/>
          <w:numId w:val="3"/>
        </w:numPr>
        <w:spacing w:line="360" w:lineRule="auto"/>
        <w:rPr>
          <w:rFonts w:ascii="宋体" w:hAnsi="宋体"/>
          <w:szCs w:val="21"/>
          <w:highlight w:val="none"/>
        </w:rPr>
      </w:pPr>
      <w:r>
        <w:rPr>
          <w:rFonts w:hint="eastAsia" w:ascii="宋体" w:hAnsi="宋体"/>
          <w:szCs w:val="21"/>
          <w:highlight w:val="none"/>
        </w:rPr>
        <w:t>销项发票登记：该模块给企业提供销项发票登记的功能，所有收入类合同的销项发票登记都在这里新增和汇总，销项发票登记的内容分五部分，包括基础信息登记，如收入合同、合同类型、发票类型、组织，包括发票信息，购买方、纳税人识别号、银行、地址、账号及物品明细构成规格型号数量金额，包括发票影像信息，包括经办信息，最后包括需要的各类附件等等。特别说明的是该功能直接可以进行确认发票上传，根据客户的需要，可以下载电子发票并转发到客户邮箱或微信，该功能可以存储电子发票。</w:t>
      </w:r>
    </w:p>
    <w:p>
      <w:pPr>
        <w:numPr>
          <w:ilvl w:val="0"/>
          <w:numId w:val="3"/>
        </w:numPr>
        <w:spacing w:line="360" w:lineRule="auto"/>
        <w:rPr>
          <w:rFonts w:ascii="宋体" w:hAnsi="宋体"/>
          <w:szCs w:val="21"/>
          <w:highlight w:val="none"/>
        </w:rPr>
      </w:pPr>
      <w:r>
        <w:rPr>
          <w:rFonts w:hint="eastAsia" w:ascii="宋体" w:hAnsi="宋体"/>
          <w:szCs w:val="21"/>
          <w:highlight w:val="none"/>
        </w:rPr>
        <w:t>进项发票登记：该模块给企业提供进项发票登记的视窗，所有支出类合同的进项发票登记都在这里新增和汇总，进项发票登记的内容分五部分，包括基础信息登记，如支出合同、合同类型、发票类型、组织、关联工程、是否可抵扣、是否实收，包括发票信息，购买方或销售方、纳税人识别号、银行、地址、账号及物品明细构成规格型号数量金额，包括发票影像信息，包括经办信息，最后包括需要的各类附件等等。特别说明的是该功能直接可以进行确认收票包括纸质发票和电子发票，支持下载电子发票。</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资金计划：</w:t>
      </w:r>
    </w:p>
    <w:p>
      <w:pPr>
        <w:numPr>
          <w:ilvl w:val="0"/>
          <w:numId w:val="3"/>
        </w:numPr>
        <w:spacing w:line="360" w:lineRule="auto"/>
        <w:rPr>
          <w:rFonts w:ascii="宋体" w:hAnsi="宋体"/>
          <w:szCs w:val="21"/>
          <w:highlight w:val="none"/>
        </w:rPr>
      </w:pPr>
      <w:r>
        <w:rPr>
          <w:rFonts w:hint="eastAsia" w:ascii="宋体" w:hAnsi="宋体"/>
          <w:szCs w:val="21"/>
          <w:highlight w:val="none"/>
        </w:rPr>
        <w:t>资金收入计划：用于按期间编制项目的资金收入计划，包括合同收入计划与非合同收入计划。每个期间只能编制一次资金收入计划，审核后如有变化可通过修订进行相关的修改，不可反审核。资金收入计划支持版本功能，版本号自动编号，最新的版本为有效版本。</w:t>
      </w:r>
    </w:p>
    <w:p>
      <w:pPr>
        <w:numPr>
          <w:ilvl w:val="0"/>
          <w:numId w:val="3"/>
        </w:numPr>
        <w:spacing w:line="360" w:lineRule="auto"/>
        <w:rPr>
          <w:rFonts w:ascii="宋体" w:hAnsi="宋体"/>
          <w:szCs w:val="21"/>
          <w:highlight w:val="none"/>
        </w:rPr>
      </w:pPr>
      <w:r>
        <w:rPr>
          <w:rFonts w:hint="eastAsia" w:ascii="宋体" w:hAnsi="宋体"/>
          <w:szCs w:val="21"/>
          <w:highlight w:val="none"/>
        </w:rPr>
        <w:t>资金支出计划：用于按期间编制项目的资金支出计划，包括合同支出计划与非合同支出计划。每个期间只能编制一次资金支出计划，审核后如有变化可通过修订进行相关的修改，不可反审核。资金支出计划支持版本功能，版本号自动编号，最新的版本为有效版本。</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报表分析：</w:t>
      </w:r>
    </w:p>
    <w:p>
      <w:pPr>
        <w:numPr>
          <w:ilvl w:val="0"/>
          <w:numId w:val="3"/>
        </w:numPr>
        <w:spacing w:line="360" w:lineRule="auto"/>
        <w:rPr>
          <w:rFonts w:ascii="宋体" w:hAnsi="宋体"/>
          <w:szCs w:val="21"/>
          <w:highlight w:val="none"/>
        </w:rPr>
      </w:pPr>
      <w:r>
        <w:rPr>
          <w:rFonts w:hint="eastAsia" w:ascii="宋体" w:hAnsi="宋体"/>
          <w:szCs w:val="21"/>
          <w:highlight w:val="none"/>
        </w:rPr>
        <w:t>企业资金收支统计：按期间、授权的组织范围，统计组织范围内所有项目的资金收入与支出情况，包括计划与实际的收支情况，并可联查、穿透到具体项目的资金收支的数据</w:t>
      </w:r>
    </w:p>
    <w:p>
      <w:pPr>
        <w:numPr>
          <w:ilvl w:val="0"/>
          <w:numId w:val="3"/>
        </w:numPr>
        <w:spacing w:line="360" w:lineRule="auto"/>
        <w:rPr>
          <w:rFonts w:ascii="宋体" w:hAnsi="宋体"/>
          <w:szCs w:val="21"/>
          <w:highlight w:val="none"/>
        </w:rPr>
      </w:pPr>
      <w:r>
        <w:rPr>
          <w:rFonts w:hint="eastAsia" w:ascii="宋体" w:hAnsi="宋体"/>
          <w:szCs w:val="21"/>
          <w:highlight w:val="none"/>
        </w:rPr>
        <w:t>项目资金收支统计：按期间统计项目的资金收入与支出情况，包括计划与实际的收支情况。统计数据包括合同收入、非合同收入、资金总收入、合同支出、非合同支出、资金总支出等数据，并可联查、穿透查询相关的明细数据</w:t>
      </w:r>
    </w:p>
    <w:p>
      <w:pPr>
        <w:numPr>
          <w:ilvl w:val="0"/>
          <w:numId w:val="3"/>
        </w:numPr>
        <w:spacing w:line="360" w:lineRule="auto"/>
        <w:rPr>
          <w:rFonts w:ascii="宋体" w:hAnsi="宋体"/>
          <w:szCs w:val="21"/>
          <w:highlight w:val="none"/>
        </w:rPr>
      </w:pPr>
      <w:r>
        <w:rPr>
          <w:rFonts w:hint="eastAsia" w:ascii="宋体" w:hAnsi="宋体"/>
          <w:szCs w:val="21"/>
          <w:highlight w:val="none"/>
        </w:rPr>
        <w:t>项目发票统计：按期间统计项目销项发票开具与进项发票收取的情况，包括发票金额、税额、含税总金额、销项税额-进项税额的差值，同时可查看发票的明细分录，并可穿透联查到销项发票、进项发票登记单据。</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.7 </w:t>
      </w:r>
      <w:r>
        <w:rPr>
          <w:rFonts w:hint="eastAsia" w:ascii="宋体" w:hAnsi="宋体"/>
          <w:szCs w:val="21"/>
          <w:highlight w:val="none"/>
        </w:rPr>
        <w:t>产值与收入</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基础资料：</w:t>
      </w:r>
    </w:p>
    <w:p>
      <w:pPr>
        <w:numPr>
          <w:ilvl w:val="0"/>
          <w:numId w:val="3"/>
        </w:numPr>
        <w:spacing w:line="360" w:lineRule="auto"/>
        <w:rPr>
          <w:rFonts w:ascii="宋体" w:hAnsi="宋体"/>
          <w:szCs w:val="21"/>
          <w:highlight w:val="none"/>
        </w:rPr>
      </w:pPr>
      <w:r>
        <w:rPr>
          <w:rFonts w:hint="eastAsia" w:ascii="宋体" w:hAnsi="宋体"/>
          <w:szCs w:val="21"/>
          <w:highlight w:val="none"/>
        </w:rPr>
        <w:t>费用计算模板：按专业类型，定义费用计算模板，可自定义扣付性质、变动项或是固定项、是否为计算项，定义计算公式等。</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年度产值计划：</w:t>
      </w:r>
    </w:p>
    <w:p>
      <w:pPr>
        <w:spacing w:line="360" w:lineRule="auto"/>
        <w:ind w:firstLine="426" w:firstLineChars="200"/>
        <w:rPr>
          <w:rFonts w:ascii="宋体" w:hAnsi="宋体"/>
          <w:szCs w:val="21"/>
          <w:highlight w:val="none"/>
        </w:rPr>
      </w:pPr>
      <w:r>
        <w:rPr>
          <w:rFonts w:hint="eastAsia" w:ascii="宋体" w:hAnsi="宋体"/>
          <w:szCs w:val="21"/>
          <w:highlight w:val="none"/>
        </w:rPr>
        <w:t>基于项目的工程量清单BOQ，按年度编制项目的产值计划。支持年度计划的工程量分解到具体的月份，支持批量的工程量编制功能与计划动态调整功能。</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产值填报：</w:t>
      </w:r>
    </w:p>
    <w:p>
      <w:pPr>
        <w:spacing w:line="360" w:lineRule="auto"/>
        <w:ind w:firstLine="426" w:firstLineChars="200"/>
        <w:rPr>
          <w:rFonts w:ascii="宋体" w:hAnsi="宋体"/>
          <w:szCs w:val="21"/>
          <w:highlight w:val="none"/>
        </w:rPr>
      </w:pPr>
      <w:r>
        <w:rPr>
          <w:rFonts w:hint="eastAsia" w:ascii="宋体" w:hAnsi="宋体"/>
          <w:szCs w:val="21"/>
          <w:highlight w:val="none"/>
        </w:rPr>
        <w:t>按月对年度产值计划的完成情况进行填报。除了可以进行当期及以前期间的产值完成填报外，还可以对后续月份的产值进行进行动态调整。</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项目年度收入动态预测：</w:t>
      </w:r>
    </w:p>
    <w:p>
      <w:pPr>
        <w:spacing w:line="360" w:lineRule="auto"/>
        <w:ind w:firstLine="426" w:firstLineChars="200"/>
        <w:rPr>
          <w:rFonts w:ascii="宋体" w:hAnsi="宋体"/>
          <w:szCs w:val="21"/>
          <w:highlight w:val="none"/>
        </w:rPr>
      </w:pPr>
      <w:r>
        <w:rPr>
          <w:rFonts w:hint="eastAsia" w:ascii="宋体" w:hAnsi="宋体"/>
          <w:szCs w:val="21"/>
          <w:highlight w:val="none"/>
        </w:rPr>
        <w:t>基于产值计划、产值填报的数据，可动态预测企业的年度收入情况，为企业的经营与资金管控提供有效的决策依据。</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.8 </w:t>
      </w:r>
      <w:r>
        <w:rPr>
          <w:rFonts w:hint="eastAsia" w:ascii="宋体" w:hAnsi="宋体"/>
          <w:szCs w:val="21"/>
          <w:highlight w:val="none"/>
        </w:rPr>
        <w:t>计划管理</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计划编制：</w:t>
      </w:r>
    </w:p>
    <w:p>
      <w:pPr>
        <w:numPr>
          <w:ilvl w:val="0"/>
          <w:numId w:val="3"/>
        </w:numPr>
        <w:spacing w:line="360" w:lineRule="auto"/>
        <w:rPr>
          <w:rFonts w:ascii="宋体" w:hAnsi="宋体"/>
          <w:szCs w:val="21"/>
          <w:highlight w:val="none"/>
        </w:rPr>
      </w:pPr>
      <w:r>
        <w:rPr>
          <w:rFonts w:hint="eastAsia" w:ascii="宋体" w:hAnsi="宋体"/>
          <w:szCs w:val="21"/>
          <w:highlight w:val="none"/>
        </w:rPr>
        <w:t>项目计划编制：</w:t>
      </w:r>
    </w:p>
    <w:p>
      <w:pPr>
        <w:numPr>
          <w:ilvl w:val="0"/>
          <w:numId w:val="4"/>
        </w:numPr>
        <w:spacing w:line="360" w:lineRule="auto"/>
        <w:ind w:left="1279" w:leftChars="400" w:hanging="426" w:hangingChars="200"/>
        <w:rPr>
          <w:rFonts w:ascii="宋体" w:hAnsi="宋体"/>
          <w:szCs w:val="21"/>
          <w:highlight w:val="none"/>
        </w:rPr>
      </w:pPr>
      <w:r>
        <w:rPr>
          <w:rFonts w:hint="eastAsia" w:ascii="宋体" w:hAnsi="宋体"/>
          <w:szCs w:val="21"/>
          <w:highlight w:val="none"/>
        </w:rPr>
        <w:t>可以编制主项计划和专项计划，支持手工新增项目任务，也支持导入其他项目的项目计划，实现管理经验的传递，同时也支持线下excel的导入导出操作，灵活方便，给项目的实施提供指导依据：</w:t>
      </w:r>
    </w:p>
    <w:p>
      <w:pPr>
        <w:numPr>
          <w:ilvl w:val="0"/>
          <w:numId w:val="4"/>
        </w:numPr>
        <w:spacing w:line="360" w:lineRule="auto"/>
        <w:ind w:left="1279" w:leftChars="400" w:hanging="426" w:hangingChars="200"/>
        <w:rPr>
          <w:rFonts w:ascii="宋体" w:hAnsi="宋体"/>
          <w:szCs w:val="21"/>
          <w:highlight w:val="none"/>
        </w:rPr>
      </w:pPr>
      <w:r>
        <w:rPr>
          <w:rFonts w:hint="eastAsia" w:ascii="宋体" w:hAnsi="宋体"/>
          <w:szCs w:val="21"/>
          <w:highlight w:val="none"/>
        </w:rPr>
        <w:t>主项计划，是企业为了项目负责人管控项目的进展、专业协同和项目质量而制定的任务计划，包括全生命周期计划，覆盖各个专业；主项计划的编制工作，由计划编制人员按照项目组织架构，基于项目全生命周期的阶段节点对整个项目的工作进行逐层分解，建立整个项目的工作树，最终将项目的工作分解为各个工作任务，根据工作任务的工期、先后顺序、逻辑关系形成项目的主项进度计划，指导项目实施工作；</w:t>
      </w:r>
    </w:p>
    <w:p>
      <w:pPr>
        <w:numPr>
          <w:ilvl w:val="0"/>
          <w:numId w:val="4"/>
        </w:numPr>
        <w:spacing w:line="360" w:lineRule="auto"/>
        <w:ind w:left="1279" w:leftChars="400" w:hanging="426" w:hangingChars="200"/>
        <w:rPr>
          <w:rFonts w:ascii="宋体" w:hAnsi="宋体"/>
          <w:szCs w:val="21"/>
          <w:highlight w:val="none"/>
        </w:rPr>
      </w:pPr>
      <w:r>
        <w:rPr>
          <w:rFonts w:hint="eastAsia" w:ascii="宋体" w:hAnsi="宋体"/>
          <w:szCs w:val="21"/>
          <w:highlight w:val="none"/>
        </w:rPr>
        <w:t>专项计划是为完成某一方面或某一工作项而设定的细化工作推进计划，主要是对主项计划不能够明确指导项目具体工作开展的情况下，为了使计划更具有针对性和指导意义，由项目职能负责人根据主项计划的情况，进行工作计划的细化安排；</w:t>
      </w:r>
    </w:p>
    <w:p>
      <w:pPr>
        <w:numPr>
          <w:ilvl w:val="0"/>
          <w:numId w:val="3"/>
        </w:numPr>
        <w:spacing w:line="360" w:lineRule="auto"/>
        <w:rPr>
          <w:rFonts w:ascii="宋体" w:hAnsi="宋体"/>
          <w:szCs w:val="21"/>
          <w:highlight w:val="none"/>
        </w:rPr>
      </w:pPr>
      <w:r>
        <w:rPr>
          <w:rFonts w:hint="eastAsia" w:ascii="宋体" w:hAnsi="宋体"/>
          <w:szCs w:val="21"/>
          <w:highlight w:val="none"/>
        </w:rPr>
        <w:t>部门计划编制：支持公司或者部门编制自己组织下或部门下不同周期（周、月、季度、半年度、年度）的工作计划，该计划以组织为视角，包括了项目计划、事务计划；支持引入项目计划或上级部门计划相关任务，可以手工对项目任务进行分解，也支持手工新增事务计划任务</w:t>
      </w:r>
    </w:p>
    <w:p>
      <w:pPr>
        <w:numPr>
          <w:ilvl w:val="0"/>
          <w:numId w:val="3"/>
        </w:numPr>
        <w:spacing w:line="360" w:lineRule="auto"/>
        <w:rPr>
          <w:rFonts w:ascii="宋体" w:hAnsi="宋体"/>
          <w:szCs w:val="21"/>
          <w:highlight w:val="none"/>
        </w:rPr>
      </w:pPr>
      <w:r>
        <w:rPr>
          <w:rFonts w:hint="eastAsia" w:ascii="宋体" w:hAnsi="宋体"/>
          <w:szCs w:val="21"/>
          <w:highlight w:val="none"/>
        </w:rPr>
        <w:t>个人计划编制：支持员工制定不同周期（周、月、季度、半年度、年度）的个人计划，该计划以个人为视角：包括个人主责的任务和协办的任务。支持引入部门计划相关任务，也支持手工新增个人任务，个人任务项支持以日历视图的形式进行展示，直观清晰</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计划执行：</w:t>
      </w:r>
    </w:p>
    <w:p>
      <w:pPr>
        <w:numPr>
          <w:ilvl w:val="0"/>
          <w:numId w:val="3"/>
        </w:numPr>
        <w:spacing w:line="360" w:lineRule="auto"/>
        <w:rPr>
          <w:rFonts w:ascii="宋体" w:hAnsi="宋体"/>
          <w:szCs w:val="21"/>
          <w:highlight w:val="none"/>
        </w:rPr>
      </w:pPr>
      <w:r>
        <w:rPr>
          <w:rFonts w:hint="eastAsia" w:ascii="宋体" w:hAnsi="宋体"/>
          <w:szCs w:val="21"/>
          <w:highlight w:val="none"/>
        </w:rPr>
        <w:t>任务汇报：任务责任人或共享人可以根据自己任务的实际完成情况进行汇报，允许汇报进度，完成情况及上传相关成果文档或附件，支持查看该任务的历史汇报情况；同时支持对任务进行设置共享和批量标注完成操作</w:t>
      </w:r>
    </w:p>
    <w:p>
      <w:pPr>
        <w:numPr>
          <w:ilvl w:val="0"/>
          <w:numId w:val="3"/>
        </w:numPr>
        <w:spacing w:line="360" w:lineRule="auto"/>
        <w:rPr>
          <w:rFonts w:ascii="宋体" w:hAnsi="宋体"/>
          <w:szCs w:val="21"/>
          <w:highlight w:val="none"/>
        </w:rPr>
      </w:pPr>
      <w:r>
        <w:rPr>
          <w:rFonts w:hint="eastAsia" w:ascii="宋体" w:hAnsi="宋体"/>
          <w:szCs w:val="21"/>
          <w:highlight w:val="none"/>
        </w:rPr>
        <w:t>工时录入：支持录入各项任务的实际工时，录入的工时支持按日期和按任务项进行合计，方便员工查看实际工时分布情况</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计划监控：</w:t>
      </w:r>
    </w:p>
    <w:p>
      <w:pPr>
        <w:numPr>
          <w:ilvl w:val="0"/>
          <w:numId w:val="3"/>
        </w:numPr>
        <w:spacing w:line="360" w:lineRule="auto"/>
        <w:rPr>
          <w:rFonts w:ascii="宋体" w:hAnsi="宋体"/>
          <w:szCs w:val="21"/>
          <w:highlight w:val="none"/>
        </w:rPr>
      </w:pPr>
      <w:r>
        <w:rPr>
          <w:rFonts w:hint="eastAsia" w:ascii="宋体" w:hAnsi="宋体"/>
          <w:szCs w:val="21"/>
          <w:highlight w:val="none"/>
        </w:rPr>
        <w:t>项目计划监控：支持项目负责人按项目维度，实时地查看项目计划的整体执行情况，直观展示各任务项的完成情况、成果文档提交情况，同时也支持按主项或各专项的维度进行查看；且穿透任务名称能够查看每项任务的任务详情，任务汇报情况和关联任务详情</w:t>
      </w:r>
    </w:p>
    <w:p>
      <w:pPr>
        <w:numPr>
          <w:ilvl w:val="0"/>
          <w:numId w:val="3"/>
        </w:numPr>
        <w:spacing w:line="360" w:lineRule="auto"/>
        <w:rPr>
          <w:rFonts w:ascii="宋体" w:hAnsi="宋体"/>
          <w:szCs w:val="21"/>
          <w:highlight w:val="none"/>
        </w:rPr>
      </w:pPr>
      <w:r>
        <w:rPr>
          <w:rFonts w:hint="eastAsia" w:ascii="宋体" w:hAnsi="宋体"/>
          <w:szCs w:val="21"/>
          <w:highlight w:val="none"/>
        </w:rPr>
        <w:t>职能计划监控：支持部门负责人按组织维度，计划周期（周、月、季度、半年度、年度），实时地查看部门计划的整体执行情况，直观展示各任务项的完成情况、成果文档提交情况，穿透任务名称能够查看每项任务的任务详情，任务汇报情况和关联任务详情</w:t>
      </w:r>
    </w:p>
    <w:p>
      <w:pPr>
        <w:numPr>
          <w:ilvl w:val="0"/>
          <w:numId w:val="3"/>
        </w:numPr>
        <w:spacing w:line="360" w:lineRule="auto"/>
        <w:rPr>
          <w:rFonts w:ascii="宋体" w:hAnsi="宋体"/>
          <w:szCs w:val="21"/>
          <w:highlight w:val="none"/>
        </w:rPr>
      </w:pPr>
      <w:r>
        <w:rPr>
          <w:rFonts w:hint="eastAsia" w:ascii="宋体" w:hAnsi="宋体"/>
          <w:szCs w:val="21"/>
          <w:highlight w:val="none"/>
        </w:rPr>
        <w:t>项目成果跟踪：可以按项目维度，分专业直观地展示该项目下各任务项的全部工作成果及提交情况</w:t>
      </w:r>
    </w:p>
    <w:p>
      <w:pPr>
        <w:numPr>
          <w:ilvl w:val="0"/>
          <w:numId w:val="3"/>
        </w:numPr>
        <w:spacing w:line="360" w:lineRule="auto"/>
        <w:rPr>
          <w:rFonts w:ascii="宋体" w:hAnsi="宋体"/>
          <w:szCs w:val="21"/>
          <w:highlight w:val="none"/>
        </w:rPr>
      </w:pPr>
      <w:r>
        <w:rPr>
          <w:rFonts w:hint="eastAsia" w:ascii="宋体" w:hAnsi="宋体"/>
          <w:szCs w:val="21"/>
          <w:highlight w:val="none"/>
        </w:rPr>
        <w:t>项目运营报告：对项目整体运营情况的总结分析，包含当期计划总达成占比，当期计划达成明细，累计计划总达成占比，累计计划达成明细，关键节点任务进度情况分析，当期任务列表和下期任务列表。方便负责人对计划的整体把控和分析调整。支持数据联查，一键查看更多相关业务数据，方便敏捷，利于管理。</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统计分析：</w:t>
      </w:r>
    </w:p>
    <w:p>
      <w:pPr>
        <w:numPr>
          <w:ilvl w:val="0"/>
          <w:numId w:val="3"/>
        </w:numPr>
        <w:spacing w:line="360" w:lineRule="auto"/>
        <w:rPr>
          <w:rFonts w:ascii="宋体" w:hAnsi="宋体"/>
          <w:szCs w:val="21"/>
          <w:highlight w:val="none"/>
        </w:rPr>
      </w:pPr>
      <w:r>
        <w:rPr>
          <w:rFonts w:hint="eastAsia" w:ascii="宋体" w:hAnsi="宋体"/>
          <w:szCs w:val="21"/>
          <w:highlight w:val="none"/>
        </w:rPr>
        <w:t>项目计划达成率：支持根据项目维度，统计项目计划的整体达成率，方便项目负责人掌握项目的整体进度和风险把控。支持数据联查，一键查看更多相关业务数据，方便敏捷，利于管理</w:t>
      </w:r>
    </w:p>
    <w:p>
      <w:pPr>
        <w:numPr>
          <w:ilvl w:val="0"/>
          <w:numId w:val="3"/>
        </w:numPr>
        <w:spacing w:line="360" w:lineRule="auto"/>
        <w:rPr>
          <w:rFonts w:ascii="宋体" w:hAnsi="宋体"/>
          <w:szCs w:val="21"/>
          <w:highlight w:val="none"/>
        </w:rPr>
      </w:pPr>
      <w:r>
        <w:rPr>
          <w:rFonts w:hint="eastAsia" w:ascii="宋体" w:hAnsi="宋体"/>
          <w:szCs w:val="21"/>
          <w:highlight w:val="none"/>
        </w:rPr>
        <w:t>部门计划达成率：支持根据组织维度，统计部门计划的整体达成率，方便部门负责人掌握部门任务的整体进度和风险把控。支持数据联查，一键查看更多相关业务数据，方便敏捷，利于管理</w:t>
      </w:r>
    </w:p>
    <w:p>
      <w:pPr>
        <w:numPr>
          <w:ilvl w:val="0"/>
          <w:numId w:val="3"/>
        </w:numPr>
        <w:spacing w:line="360" w:lineRule="auto"/>
        <w:rPr>
          <w:rFonts w:ascii="宋体" w:hAnsi="宋体"/>
          <w:szCs w:val="21"/>
          <w:highlight w:val="none"/>
        </w:rPr>
      </w:pPr>
      <w:r>
        <w:rPr>
          <w:rFonts w:hint="eastAsia" w:ascii="宋体" w:hAnsi="宋体"/>
          <w:szCs w:val="21"/>
          <w:highlight w:val="none"/>
        </w:rPr>
        <w:t>项目计划对比分析：支持对项目计划的多版本进行横向对比，方便快速分析版本之间各项任务时间和工期的差异；支持多版本对比，基准版本和对比版本可以随意组合，灵活方便</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基础设置：</w:t>
      </w:r>
    </w:p>
    <w:p>
      <w:pPr>
        <w:numPr>
          <w:ilvl w:val="0"/>
          <w:numId w:val="3"/>
        </w:numPr>
        <w:spacing w:line="360" w:lineRule="auto"/>
        <w:rPr>
          <w:rFonts w:ascii="宋体" w:hAnsi="宋体"/>
          <w:szCs w:val="21"/>
          <w:highlight w:val="none"/>
        </w:rPr>
      </w:pPr>
      <w:r>
        <w:rPr>
          <w:rFonts w:hint="eastAsia" w:ascii="宋体" w:hAnsi="宋体"/>
          <w:szCs w:val="21"/>
          <w:highlight w:val="none"/>
        </w:rPr>
        <w:t>任务类型：用户可以定义任务的类型，系统已经预设了关键节点，重要节点，一般节点，日常工作，不同类型涉及后续不同的处理流程</w:t>
      </w:r>
    </w:p>
    <w:p>
      <w:pPr>
        <w:numPr>
          <w:ilvl w:val="0"/>
          <w:numId w:val="3"/>
        </w:numPr>
        <w:spacing w:line="360" w:lineRule="auto"/>
        <w:rPr>
          <w:rFonts w:ascii="宋体" w:hAnsi="宋体"/>
          <w:szCs w:val="21"/>
          <w:highlight w:val="none"/>
        </w:rPr>
      </w:pPr>
      <w:r>
        <w:rPr>
          <w:rFonts w:hint="eastAsia" w:ascii="宋体" w:hAnsi="宋体"/>
          <w:szCs w:val="21"/>
          <w:highlight w:val="none"/>
        </w:rPr>
        <w:t>专业类型：用户可以在项目分类下，进一步细化任务归属的不同专业</w:t>
      </w:r>
    </w:p>
    <w:p>
      <w:pPr>
        <w:numPr>
          <w:ilvl w:val="0"/>
          <w:numId w:val="3"/>
        </w:numPr>
        <w:spacing w:line="360" w:lineRule="auto"/>
        <w:rPr>
          <w:rFonts w:ascii="宋体" w:hAnsi="宋体"/>
          <w:szCs w:val="21"/>
          <w:highlight w:val="none"/>
        </w:rPr>
      </w:pPr>
      <w:r>
        <w:rPr>
          <w:rFonts w:hint="eastAsia" w:ascii="宋体" w:hAnsi="宋体"/>
          <w:szCs w:val="21"/>
          <w:highlight w:val="none"/>
        </w:rPr>
        <w:t>管控级别：用户可以定义任务的管控级别，用于不同管理层级的人员，有针对性的看到对应的任务项，也是后续工作流定义的级别</w:t>
      </w:r>
    </w:p>
    <w:p>
      <w:pPr>
        <w:numPr>
          <w:ilvl w:val="0"/>
          <w:numId w:val="3"/>
        </w:numPr>
        <w:spacing w:line="360" w:lineRule="auto"/>
        <w:rPr>
          <w:rFonts w:ascii="宋体" w:hAnsi="宋体"/>
          <w:szCs w:val="21"/>
          <w:highlight w:val="none"/>
        </w:rPr>
      </w:pPr>
      <w:r>
        <w:rPr>
          <w:rFonts w:hint="eastAsia" w:ascii="宋体" w:hAnsi="宋体"/>
          <w:szCs w:val="21"/>
          <w:highlight w:val="none"/>
        </w:rPr>
        <w:t>日历设置：用于各级组织及项目设置工作日历，以便计算任务的工期和相关时间</w:t>
      </w:r>
    </w:p>
    <w:p>
      <w:pPr>
        <w:numPr>
          <w:ilvl w:val="0"/>
          <w:numId w:val="3"/>
        </w:numPr>
        <w:spacing w:line="360" w:lineRule="auto"/>
        <w:rPr>
          <w:rFonts w:ascii="宋体" w:hAnsi="宋体"/>
          <w:szCs w:val="21"/>
          <w:highlight w:val="none"/>
        </w:rPr>
      </w:pPr>
      <w:r>
        <w:rPr>
          <w:rFonts w:hint="eastAsia" w:ascii="宋体" w:hAnsi="宋体"/>
          <w:szCs w:val="21"/>
          <w:highlight w:val="none"/>
        </w:rPr>
        <w:t>计划模板：定义计划模板，提高编制效率，规范标准，定义任务名称、标准工期，任务间关系，责任岗位等信息</w:t>
      </w:r>
    </w:p>
    <w:p>
      <w:pPr>
        <w:numPr>
          <w:ilvl w:val="0"/>
          <w:numId w:val="3"/>
        </w:numPr>
        <w:spacing w:line="360" w:lineRule="auto"/>
        <w:rPr>
          <w:rFonts w:ascii="宋体" w:hAnsi="宋体"/>
          <w:szCs w:val="21"/>
          <w:highlight w:val="none"/>
        </w:rPr>
      </w:pPr>
      <w:r>
        <w:rPr>
          <w:rFonts w:hint="eastAsia" w:ascii="宋体" w:hAnsi="宋体"/>
          <w:szCs w:val="21"/>
          <w:highlight w:val="none"/>
        </w:rPr>
        <w:t>风险预警设置：定义任务汇报预计完成时间延期，时间与颜色的预警设置。</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.9 </w:t>
      </w:r>
      <w:r>
        <w:rPr>
          <w:rFonts w:hint="eastAsia" w:ascii="宋体" w:hAnsi="宋体"/>
          <w:szCs w:val="21"/>
          <w:highlight w:val="none"/>
        </w:rPr>
        <w:t>竣工管理</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竣工资料：</w:t>
      </w:r>
    </w:p>
    <w:p>
      <w:pPr>
        <w:numPr>
          <w:ilvl w:val="0"/>
          <w:numId w:val="3"/>
        </w:numPr>
        <w:spacing w:line="360" w:lineRule="auto"/>
        <w:rPr>
          <w:rFonts w:ascii="宋体" w:hAnsi="宋体"/>
          <w:szCs w:val="21"/>
          <w:highlight w:val="none"/>
        </w:rPr>
      </w:pPr>
      <w:r>
        <w:rPr>
          <w:rFonts w:hint="eastAsia" w:ascii="宋体" w:hAnsi="宋体"/>
          <w:szCs w:val="21"/>
          <w:highlight w:val="none"/>
        </w:rPr>
        <w:t>增添附件：可上传增加附件。</w:t>
      </w:r>
    </w:p>
    <w:p>
      <w:pPr>
        <w:numPr>
          <w:ilvl w:val="0"/>
          <w:numId w:val="3"/>
        </w:numPr>
        <w:spacing w:line="360" w:lineRule="auto"/>
        <w:rPr>
          <w:rFonts w:ascii="宋体" w:hAnsi="宋体"/>
          <w:szCs w:val="21"/>
          <w:highlight w:val="none"/>
        </w:rPr>
      </w:pPr>
      <w:r>
        <w:rPr>
          <w:rFonts w:hint="eastAsia" w:ascii="宋体" w:hAnsi="宋体"/>
          <w:szCs w:val="21"/>
          <w:highlight w:val="none"/>
        </w:rPr>
        <w:t>附件列表：按业务应用树显示对应上传的竣工资料附件。</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.10 </w:t>
      </w:r>
      <w:r>
        <w:rPr>
          <w:rFonts w:hint="eastAsia" w:ascii="宋体" w:hAnsi="宋体"/>
          <w:szCs w:val="21"/>
          <w:highlight w:val="none"/>
        </w:rPr>
        <w:t>报表中心</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经营全景：</w:t>
      </w:r>
    </w:p>
    <w:p>
      <w:pPr>
        <w:numPr>
          <w:ilvl w:val="0"/>
          <w:numId w:val="3"/>
        </w:numPr>
        <w:spacing w:line="360" w:lineRule="auto"/>
        <w:rPr>
          <w:rFonts w:ascii="宋体" w:hAnsi="宋体"/>
          <w:szCs w:val="21"/>
          <w:highlight w:val="none"/>
        </w:rPr>
      </w:pPr>
      <w:r>
        <w:rPr>
          <w:rFonts w:hint="eastAsia" w:ascii="宋体" w:hAnsi="宋体"/>
          <w:szCs w:val="21"/>
          <w:highlight w:val="none"/>
        </w:rPr>
        <w:t>合同中心：以图表形式展现年度组织的收入合同和支出合同的签约情况，如新签合同金额分析、年度新签合同数量分析、各月度新签合同金额趋势分析等</w:t>
      </w:r>
    </w:p>
    <w:p>
      <w:pPr>
        <w:numPr>
          <w:ilvl w:val="0"/>
          <w:numId w:val="3"/>
        </w:numPr>
        <w:spacing w:line="360" w:lineRule="auto"/>
        <w:rPr>
          <w:rFonts w:ascii="宋体" w:hAnsi="宋体"/>
          <w:szCs w:val="21"/>
          <w:highlight w:val="none"/>
        </w:rPr>
      </w:pPr>
      <w:r>
        <w:rPr>
          <w:rFonts w:hint="eastAsia" w:ascii="宋体" w:hAnsi="宋体"/>
          <w:szCs w:val="21"/>
          <w:highlight w:val="none"/>
        </w:rPr>
        <w:t>企业资金收支统计：按期间、授权的组织范围，统计组织范围内所有项目的资金收入与支出情况，包括计划与实际的收支情况，并可联查、穿透到具体项目的资金收支的数据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项目全景：</w:t>
      </w:r>
    </w:p>
    <w:p>
      <w:pPr>
        <w:numPr>
          <w:ilvl w:val="0"/>
          <w:numId w:val="3"/>
        </w:numPr>
        <w:spacing w:line="360" w:lineRule="auto"/>
        <w:rPr>
          <w:rFonts w:ascii="宋体" w:hAnsi="宋体"/>
          <w:szCs w:val="21"/>
          <w:highlight w:val="none"/>
        </w:rPr>
      </w:pPr>
      <w:r>
        <w:rPr>
          <w:rFonts w:hint="eastAsia" w:ascii="宋体" w:hAnsi="宋体"/>
          <w:szCs w:val="21"/>
          <w:highlight w:val="none"/>
        </w:rPr>
        <w:t>项目一览表：用于统计项目的全过程执行情况的报表，统计数据包括合同总金额、预算成本、实际成本、结算收入、累计收款、应收未收、目标利润、实际利润等14个业务数据。</w:t>
      </w:r>
    </w:p>
    <w:p>
      <w:pPr>
        <w:numPr>
          <w:ilvl w:val="0"/>
          <w:numId w:val="3"/>
        </w:numPr>
        <w:spacing w:line="360" w:lineRule="auto"/>
        <w:rPr>
          <w:rFonts w:ascii="宋体" w:hAnsi="宋体"/>
          <w:szCs w:val="21"/>
          <w:highlight w:val="none"/>
        </w:rPr>
      </w:pPr>
      <w:r>
        <w:rPr>
          <w:rFonts w:hint="eastAsia" w:ascii="宋体" w:hAnsi="宋体"/>
          <w:szCs w:val="21"/>
          <w:highlight w:val="none"/>
        </w:rPr>
        <w:t>项目生产经营表：根据选择的组织和项目，查看项目过程中的目标预算和利润以及各项支出和收入，用于监控项目过程的生产经营表。</w:t>
      </w:r>
    </w:p>
    <w:p>
      <w:pPr>
        <w:numPr>
          <w:ilvl w:val="0"/>
          <w:numId w:val="3"/>
        </w:numPr>
        <w:spacing w:line="360" w:lineRule="auto"/>
        <w:rPr>
          <w:rFonts w:ascii="宋体" w:hAnsi="宋体"/>
          <w:szCs w:val="21"/>
          <w:highlight w:val="none"/>
        </w:rPr>
      </w:pPr>
      <w:r>
        <w:rPr>
          <w:rFonts w:hint="eastAsia" w:ascii="宋体" w:hAnsi="宋体"/>
          <w:szCs w:val="21"/>
          <w:highlight w:val="none"/>
        </w:rPr>
        <w:t>项目看板：全景展示具体项目开累的执行情况，通过图表展示项目的产值完成率、合同结算率、合同收款率、成本执行率、项目利润率等关键数据，可联查、传统查询收入合同、支出合同、资金收付、进度监控、物资管理等明细业务的数据</w:t>
      </w:r>
    </w:p>
    <w:p>
      <w:pPr>
        <w:numPr>
          <w:ilvl w:val="0"/>
          <w:numId w:val="3"/>
        </w:numPr>
        <w:spacing w:line="360" w:lineRule="auto"/>
        <w:rPr>
          <w:rFonts w:ascii="宋体" w:hAnsi="宋体"/>
          <w:szCs w:val="21"/>
          <w:highlight w:val="none"/>
        </w:rPr>
      </w:pPr>
      <w:r>
        <w:rPr>
          <w:rFonts w:hint="eastAsia" w:ascii="宋体" w:hAnsi="宋体"/>
          <w:szCs w:val="21"/>
          <w:highlight w:val="none"/>
        </w:rPr>
        <w:t>项目资金收支统计：按期间统计项目的资金收入与支出情况，包括计划与实际的收支情况。统计数据包括合同收入、非合同收入、资金总收入、合同支出、非合同支出、资金总支出等数据，并可联查、穿透查询相关的明细数据</w:t>
      </w:r>
    </w:p>
    <w:p>
      <w:pPr>
        <w:numPr>
          <w:ilvl w:val="0"/>
          <w:numId w:val="3"/>
        </w:numPr>
        <w:spacing w:line="360" w:lineRule="auto"/>
        <w:rPr>
          <w:rFonts w:ascii="宋体" w:hAnsi="宋体"/>
          <w:szCs w:val="21"/>
          <w:highlight w:val="none"/>
        </w:rPr>
      </w:pPr>
      <w:r>
        <w:rPr>
          <w:rFonts w:hint="eastAsia" w:ascii="宋体" w:hAnsi="宋体"/>
          <w:szCs w:val="21"/>
          <w:highlight w:val="none"/>
        </w:rPr>
        <w:t>项目签证统计：统计项目开累的签证情况，包括含税签证金额、合同签证比率，项目开累签证单明细列表，并可按年度展现每个月签证的金额与趋势</w:t>
      </w:r>
    </w:p>
    <w:p>
      <w:pPr>
        <w:numPr>
          <w:ilvl w:val="0"/>
          <w:numId w:val="3"/>
        </w:numPr>
        <w:spacing w:line="360" w:lineRule="auto"/>
        <w:rPr>
          <w:rFonts w:ascii="宋体" w:hAnsi="宋体"/>
          <w:szCs w:val="21"/>
          <w:highlight w:val="none"/>
        </w:rPr>
      </w:pPr>
      <w:r>
        <w:rPr>
          <w:rFonts w:hint="eastAsia" w:ascii="宋体" w:hAnsi="宋体"/>
          <w:szCs w:val="21"/>
          <w:highlight w:val="none"/>
        </w:rPr>
        <w:t>项目发票统计：按期间统计项目销项发票开具与进项发票收取的情况，包括发票金额、税额、含税总金额、销项税额-进项税额的差值，同时可查看发票的明细分录，并可穿透联查到销项发票、进项发票登记单据</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合同：</w:t>
      </w:r>
    </w:p>
    <w:p>
      <w:pPr>
        <w:numPr>
          <w:ilvl w:val="0"/>
          <w:numId w:val="3"/>
        </w:numPr>
        <w:spacing w:line="360" w:lineRule="auto"/>
        <w:rPr>
          <w:rFonts w:ascii="宋体" w:hAnsi="宋体"/>
          <w:szCs w:val="21"/>
          <w:highlight w:val="none"/>
        </w:rPr>
      </w:pPr>
      <w:r>
        <w:rPr>
          <w:rFonts w:hint="eastAsia" w:ascii="宋体" w:hAnsi="宋体"/>
          <w:szCs w:val="21"/>
          <w:highlight w:val="none"/>
        </w:rPr>
        <w:t>收入合同一览表：该功能是专门为企业归集所有收入合同的一览表，通过该表可以将各个合同的收入情况一览无遗，帮助企业更好的管控执行过程，尽量杜绝超过收款日期仍未收到款项的情况，保证企业经营的收益目标。支持收入合同的穿透，查看合同收入计划和实际收款明细情况，实施掌握结算及变更索赔情况。支持与收入合同关联的支出合同查询，并可以联查支出合同的具体执行情况</w:t>
      </w:r>
    </w:p>
    <w:p>
      <w:pPr>
        <w:numPr>
          <w:ilvl w:val="0"/>
          <w:numId w:val="3"/>
        </w:numPr>
        <w:spacing w:line="360" w:lineRule="auto"/>
        <w:rPr>
          <w:rFonts w:ascii="宋体" w:hAnsi="宋体"/>
          <w:szCs w:val="21"/>
          <w:highlight w:val="none"/>
        </w:rPr>
      </w:pPr>
      <w:r>
        <w:rPr>
          <w:rFonts w:hint="eastAsia" w:ascii="宋体" w:hAnsi="宋体"/>
          <w:szCs w:val="21"/>
          <w:highlight w:val="none"/>
        </w:rPr>
        <w:t>支出合同一览表：该功能是专门为企业归集所有支出合同的一览表，通过该表可以将各个合同的支出情况一览无遗，帮助企业更好的管控执行过程，尽量杜绝超付、少付、重复付及未结算仍然付的情况，支持支出合同的穿透，查看合同支出计划和实际付款明细情况，实时掌握结算及变更索赔情况，月清季结，杜绝变更黑洞。</w:t>
      </w:r>
    </w:p>
    <w:p>
      <w:pPr>
        <w:numPr>
          <w:ilvl w:val="0"/>
          <w:numId w:val="3"/>
        </w:numPr>
        <w:spacing w:line="360" w:lineRule="auto"/>
        <w:rPr>
          <w:rFonts w:ascii="宋体" w:hAnsi="宋体"/>
          <w:szCs w:val="21"/>
          <w:highlight w:val="none"/>
        </w:rPr>
      </w:pPr>
      <w:r>
        <w:rPr>
          <w:rFonts w:hint="eastAsia" w:ascii="宋体" w:hAnsi="宋体"/>
          <w:szCs w:val="21"/>
          <w:highlight w:val="none"/>
        </w:rPr>
        <w:t>合同看板：全景展示合同执行过程的各项业务数据，包括合同构成动态分析（签约初始金额、累计变更、签证、索赔金额）、执行动态分析（合同总金额、累计结算金额、累计收/付款金额、累计发票金额）等数据；可联查、穿透合同执行过程中具体业务明细，具体包括：合同结算单、变更单、索赔单、签证单、进项/销项发票单、收/付款申请单、收/付款登记单</w:t>
      </w:r>
    </w:p>
    <w:p>
      <w:pPr>
        <w:numPr>
          <w:ilvl w:val="0"/>
          <w:numId w:val="3"/>
        </w:numPr>
        <w:spacing w:line="360" w:lineRule="auto"/>
        <w:rPr>
          <w:rFonts w:ascii="宋体" w:hAnsi="宋体"/>
          <w:szCs w:val="21"/>
          <w:highlight w:val="none"/>
        </w:rPr>
      </w:pPr>
      <w:r>
        <w:rPr>
          <w:rFonts w:hint="eastAsia" w:ascii="宋体" w:hAnsi="宋体"/>
          <w:szCs w:val="21"/>
          <w:highlight w:val="none"/>
        </w:rPr>
        <w:t>合同BOQ对比表：即项目合同清单与项目工程量的对比。项目合同清单来源与项目业主方，是工程承包合同的重要组成部分。而项目工程量清单是施工企业依据图纸清量得出的项目工程量清单，是企业的项目内控清单，是后续进行目标成本预算、产值计划与填报的依据</w:t>
      </w:r>
    </w:p>
    <w:p>
      <w:pPr>
        <w:numPr>
          <w:ilvl w:val="0"/>
          <w:numId w:val="3"/>
        </w:numPr>
        <w:spacing w:line="360" w:lineRule="auto"/>
        <w:rPr>
          <w:rFonts w:ascii="宋体" w:hAnsi="宋体"/>
          <w:szCs w:val="21"/>
          <w:highlight w:val="none"/>
        </w:rPr>
      </w:pPr>
      <w:r>
        <w:rPr>
          <w:rFonts w:hint="eastAsia" w:ascii="宋体" w:hAnsi="宋体"/>
          <w:szCs w:val="21"/>
          <w:highlight w:val="none"/>
        </w:rPr>
        <w:t>企业BOQ价格对比表：即企业工程量清单与项目工程量清单的价格对比表</w:t>
      </w:r>
    </w:p>
    <w:p>
      <w:pPr>
        <w:spacing w:line="360" w:lineRule="auto"/>
        <w:ind w:firstLine="428" w:firstLineChars="200"/>
        <w:rPr>
          <w:rFonts w:ascii="宋体" w:hAnsi="宋体"/>
          <w:szCs w:val="21"/>
          <w:highlight w:val="none"/>
        </w:rPr>
      </w:pPr>
      <w:r>
        <w:rPr>
          <w:rFonts w:hint="eastAsia" w:ascii="宋体" w:hAnsi="宋体"/>
          <w:b/>
          <w:bCs/>
          <w:szCs w:val="21"/>
          <w:highlight w:val="none"/>
        </w:rPr>
        <w:t>物资：</w:t>
      </w:r>
    </w:p>
    <w:p>
      <w:pPr>
        <w:numPr>
          <w:ilvl w:val="0"/>
          <w:numId w:val="3"/>
        </w:numPr>
        <w:spacing w:line="360" w:lineRule="auto"/>
        <w:rPr>
          <w:rFonts w:ascii="宋体" w:hAnsi="宋体"/>
          <w:szCs w:val="21"/>
          <w:highlight w:val="none"/>
        </w:rPr>
      </w:pPr>
      <w:r>
        <w:rPr>
          <w:rFonts w:hint="eastAsia" w:ascii="宋体" w:hAnsi="宋体"/>
          <w:szCs w:val="21"/>
          <w:highlight w:val="none"/>
        </w:rPr>
        <w:t>即时库存表：此报表主要给仓管员以及材料主管及各级管理人员使用，可以及时掌握某项目部每个仓库中每种物料的即时库存，锁定库存，可用库存，同时可以掌握当前成本单价和库存金额。通过联查明细追溯数据来源。</w:t>
      </w:r>
    </w:p>
    <w:p>
      <w:pPr>
        <w:numPr>
          <w:ilvl w:val="0"/>
          <w:numId w:val="3"/>
        </w:numPr>
        <w:spacing w:line="360" w:lineRule="auto"/>
        <w:rPr>
          <w:rFonts w:ascii="宋体" w:hAnsi="宋体"/>
          <w:szCs w:val="21"/>
          <w:highlight w:val="none"/>
        </w:rPr>
      </w:pPr>
      <w:r>
        <w:rPr>
          <w:rFonts w:hint="eastAsia" w:ascii="宋体" w:hAnsi="宋体"/>
          <w:szCs w:val="21"/>
          <w:highlight w:val="none"/>
        </w:rPr>
        <w:t>物资量控表：项目物资量控表是对物料的申购、收货，发料及使用的监督和管理。</w:t>
      </w:r>
    </w:p>
    <w:p>
      <w:pPr>
        <w:numPr>
          <w:ilvl w:val="0"/>
          <w:numId w:val="3"/>
        </w:numPr>
        <w:spacing w:line="360" w:lineRule="auto"/>
        <w:rPr>
          <w:rFonts w:ascii="宋体" w:hAnsi="宋体"/>
          <w:szCs w:val="21"/>
          <w:highlight w:val="none"/>
        </w:rPr>
      </w:pPr>
      <w:r>
        <w:rPr>
          <w:rFonts w:hint="eastAsia" w:ascii="宋体" w:hAnsi="宋体"/>
          <w:szCs w:val="21"/>
          <w:highlight w:val="none"/>
        </w:rPr>
        <w:t>材料收发明细：材料收发明细表用于显示汇总某个组织在选定期间内材料的入库、出库明细记录。</w:t>
      </w:r>
    </w:p>
    <w:p>
      <w:pPr>
        <w:numPr>
          <w:ilvl w:val="0"/>
          <w:numId w:val="3"/>
        </w:numPr>
        <w:spacing w:line="360" w:lineRule="auto"/>
        <w:rPr>
          <w:rFonts w:ascii="宋体" w:hAnsi="宋体"/>
          <w:szCs w:val="21"/>
          <w:highlight w:val="none"/>
        </w:rPr>
      </w:pPr>
      <w:r>
        <w:rPr>
          <w:rFonts w:hint="eastAsia" w:ascii="宋体" w:hAnsi="宋体"/>
          <w:szCs w:val="21"/>
          <w:highlight w:val="none"/>
        </w:rPr>
        <w:t>仓库收发统计表：仓库收发统计表用于显示汇总某个仓库在选定期间内材料的库存情况，包含材料的初始量、入库量、出库量、库存量。方便仓库管理员掌握库存情况。</w:t>
      </w:r>
    </w:p>
    <w:p>
      <w:pPr>
        <w:spacing w:line="360" w:lineRule="auto"/>
        <w:ind w:firstLine="428" w:firstLineChars="200"/>
        <w:rPr>
          <w:rFonts w:ascii="宋体" w:hAnsi="宋体"/>
          <w:b/>
          <w:bCs/>
          <w:szCs w:val="21"/>
          <w:highlight w:val="none"/>
        </w:rPr>
      </w:pPr>
      <w:r>
        <w:rPr>
          <w:rFonts w:hint="eastAsia" w:ascii="宋体" w:hAnsi="宋体"/>
          <w:b/>
          <w:bCs/>
          <w:szCs w:val="21"/>
          <w:highlight w:val="none"/>
        </w:rPr>
        <w:t>成本：</w:t>
      </w:r>
    </w:p>
    <w:p>
      <w:pPr>
        <w:numPr>
          <w:ilvl w:val="0"/>
          <w:numId w:val="3"/>
        </w:numPr>
        <w:spacing w:line="360" w:lineRule="auto"/>
        <w:rPr>
          <w:rFonts w:ascii="宋体" w:hAnsi="宋体"/>
          <w:szCs w:val="21"/>
          <w:highlight w:val="none"/>
        </w:rPr>
      </w:pPr>
      <w:r>
        <w:rPr>
          <w:rFonts w:hint="eastAsia" w:ascii="宋体" w:hAnsi="宋体"/>
          <w:szCs w:val="21"/>
          <w:highlight w:val="none"/>
        </w:rPr>
        <w:t>项目成本多维对比分析表：从成本项、CBS维度，成本科目、工程量清单维度，针对目标成本，期间目标成本，期间实际成本作对比，并给出预算与实际的差值。</w:t>
      </w:r>
    </w:p>
    <w:p>
      <w:pPr>
        <w:numPr>
          <w:ilvl w:val="0"/>
          <w:numId w:val="3"/>
        </w:numPr>
        <w:spacing w:line="360" w:lineRule="auto"/>
        <w:rPr>
          <w:highlight w:val="none"/>
        </w:rPr>
      </w:pPr>
      <w:r>
        <w:rPr>
          <w:rFonts w:hint="eastAsia" w:ascii="宋体" w:hAnsi="宋体"/>
          <w:szCs w:val="21"/>
          <w:highlight w:val="none"/>
        </w:rPr>
        <w:t>项目生产经营表：根据选择的组织和项目，查看项目过程中的目标预算和利润以及各项支出和收入，用于监控项目过程的生产经营表。</w:t>
      </w:r>
    </w:p>
    <w:p>
      <w:pPr>
        <w:numPr>
          <w:ilvl w:val="0"/>
          <w:numId w:val="3"/>
        </w:numPr>
        <w:spacing w:line="360" w:lineRule="auto"/>
        <w:rPr>
          <w:highlight w:val="none"/>
        </w:rPr>
      </w:pPr>
      <w:r>
        <w:rPr>
          <w:rFonts w:hint="eastAsia" w:ascii="宋体" w:hAnsi="宋体"/>
          <w:szCs w:val="21"/>
          <w:highlight w:val="none"/>
        </w:rPr>
        <w:t>项目成本执行分析：提供查看某个具体项目成本执行情况，包括开累实际成本构成、开累实际成本执行，年度成本执行动态等。</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rFonts w:hint="eastAsia"/>
          <w:highlight w:val="none"/>
        </w:rPr>
      </w:pPr>
    </w:p>
    <w:p>
      <w:pPr>
        <w:rPr>
          <w:highlight w:val="none"/>
        </w:rPr>
      </w:pPr>
    </w:p>
    <w:p>
      <w:pPr>
        <w:rPr>
          <w:rFonts w:ascii="宋体" w:hAnsi="宋体" w:cs="宋体"/>
          <w:smallCaps/>
          <w:szCs w:val="20"/>
          <w:highlight w:val="none"/>
        </w:rPr>
      </w:pPr>
    </w:p>
    <w:p>
      <w:pPr>
        <w:jc w:val="center"/>
        <w:outlineLvl w:val="0"/>
        <w:rPr>
          <w:rFonts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mallCaps/>
          <w:sz w:val="52"/>
          <w:szCs w:val="52"/>
          <w:highlight w:val="none"/>
        </w:rPr>
        <w:t>第六章  竞争性比选响应文件格式</w:t>
      </w: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参考格式</w:t>
      </w:r>
    </w:p>
    <w:p>
      <w:pPr>
        <w:jc w:val="center"/>
        <w:rPr>
          <w:b/>
          <w:color w:val="000000" w:themeColor="text1"/>
          <w:sz w:val="24"/>
          <w:highlight w:val="none"/>
          <w14:textFill>
            <w14:solidFill>
              <w14:schemeClr w14:val="tx1"/>
            </w14:solidFill>
          </w14:textFill>
        </w:rPr>
      </w:pP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竞争性比选响应文件封面</w:t>
      </w: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（以下内容为示例）</w:t>
      </w:r>
    </w:p>
    <w:p>
      <w:pPr>
        <w:jc w:val="center"/>
        <w:rPr>
          <w:b/>
          <w:color w:val="000000" w:themeColor="text1"/>
          <w:sz w:val="24"/>
          <w:highlight w:val="none"/>
          <w14:textFill>
            <w14:solidFill>
              <w14:schemeClr w14:val="tx1"/>
            </w14:solidFill>
          </w14:textFill>
        </w:rPr>
      </w:pPr>
    </w:p>
    <w:p>
      <w:pPr>
        <w:jc w:val="righ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rFonts w:hint="eastAsia"/>
          <w:b/>
          <w:color w:val="000000" w:themeColor="text1"/>
          <w:sz w:val="40"/>
          <w:highlight w:val="none"/>
          <w14:textFill>
            <w14:solidFill>
              <w14:schemeClr w14:val="tx1"/>
            </w14:solidFill>
          </w14:textFill>
        </w:rPr>
        <w:t>（正本或副本）</w:t>
      </w:r>
    </w:p>
    <w:p>
      <w:pPr>
        <w:jc w:val="right"/>
        <w:rPr>
          <w:b/>
          <w:color w:val="000000" w:themeColor="text1"/>
          <w:sz w:val="24"/>
          <w:highlight w:val="none"/>
          <w14:textFill>
            <w14:solidFill>
              <w14:schemeClr w14:val="tx1"/>
            </w14:solidFill>
          </w14:textFill>
        </w:rPr>
      </w:pPr>
    </w:p>
    <w:p>
      <w:pPr>
        <w:jc w:val="right"/>
        <w:rPr>
          <w:b/>
          <w:color w:val="000000" w:themeColor="text1"/>
          <w:sz w:val="24"/>
          <w:highlight w:val="none"/>
          <w14:textFill>
            <w14:solidFill>
              <w14:schemeClr w14:val="tx1"/>
            </w14:solidFill>
          </w14:textFill>
        </w:rPr>
      </w:pPr>
    </w:p>
    <w:p>
      <w:pPr>
        <w:jc w:val="right"/>
        <w:rPr>
          <w:b/>
          <w:color w:val="000000" w:themeColor="text1"/>
          <w:sz w:val="24"/>
          <w:highlight w:val="none"/>
          <w14:textFill>
            <w14:solidFill>
              <w14:schemeClr w14:val="tx1"/>
            </w14:solidFill>
          </w14:textFill>
        </w:rPr>
      </w:pPr>
    </w:p>
    <w:p>
      <w:pPr>
        <w:jc w:val="center"/>
        <w:outlineLvl w:val="1"/>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重庆首讯科技股份有限公司项目管理云平台服务项目</w:t>
      </w:r>
    </w:p>
    <w:p>
      <w:pPr>
        <w:jc w:val="center"/>
        <w:outlineLvl w:val="1"/>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竞争性比选响应文件</w:t>
      </w: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outlineLvl w:val="1"/>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u w:val="single"/>
          <w14:textFill>
            <w14:solidFill>
              <w14:schemeClr w14:val="tx1"/>
            </w14:solidFill>
          </w14:textFill>
        </w:rPr>
        <w:t>报价人名称全称（盖单位公章）</w:t>
      </w:r>
    </w:p>
    <w:p>
      <w:pPr>
        <w:pStyle w:val="10"/>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202</w:t>
      </w:r>
      <w:r>
        <w:rPr>
          <w:rFonts w:ascii="宋体" w:hAnsi="宋体"/>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年6月</w:t>
      </w:r>
    </w:p>
    <w:p>
      <w:pPr>
        <w:pStyle w:val="16"/>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b/>
          <w:color w:val="000000" w:themeColor="text1"/>
          <w:sz w:val="24"/>
          <w:highlight w:val="none"/>
          <w14:textFill>
            <w14:solidFill>
              <w14:schemeClr w14:val="tx1"/>
            </w14:solidFill>
          </w14:textFill>
        </w:rPr>
        <w:t>致：</w:t>
      </w:r>
      <w:r>
        <w:rPr>
          <w:rFonts w:hint="eastAsia" w:ascii="Arial" w:hAnsi="Arial" w:cs="Arial"/>
          <w:b/>
          <w:bCs/>
          <w:color w:val="000000" w:themeColor="text1"/>
          <w:sz w:val="24"/>
          <w:highlight w:val="none"/>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重庆首讯科技股份有限公司项目管理云平台服务项目</w:t>
      </w:r>
      <w:r>
        <w:rPr>
          <w:rFonts w:hint="eastAsia" w:ascii="Arial" w:hAnsi="Arial" w:cs="Arial"/>
          <w:color w:val="000000" w:themeColor="text1"/>
          <w:sz w:val="24"/>
          <w:highlight w:val="none"/>
          <w14:textFill>
            <w14:solidFill>
              <w14:schemeClr w14:val="tx1"/>
            </w14:solidFill>
          </w14:textFill>
        </w:rPr>
        <w:t>竞争性比选文件要求，签字代表</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（全名、职务）</w:t>
      </w:r>
      <w:r>
        <w:rPr>
          <w:rFonts w:hint="eastAsia" w:ascii="Arial" w:hAnsi="Arial" w:cs="Arial"/>
          <w:color w:val="000000" w:themeColor="text1"/>
          <w:sz w:val="24"/>
          <w:highlight w:val="none"/>
          <w14:textFill>
            <w14:solidFill>
              <w14:schemeClr w14:val="tx1"/>
            </w14:solidFill>
          </w14:textFill>
        </w:rPr>
        <w:t>经正式授权并代表报价人</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（报价人名称、地址）</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提交以下文件正本一份、副本两份和电子文件1份。</w:t>
      </w:r>
    </w:p>
    <w:p>
      <w:pPr>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u w:val="single"/>
          <w14:textFill>
            <w14:solidFill>
              <w14:schemeClr w14:val="tx1"/>
            </w14:solidFill>
          </w14:textFill>
        </w:rPr>
        <w:t>我方愿以人民币：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hint="eastAsia" w:ascii="Arial" w:hAnsi="Arial" w:cs="Arial"/>
          <w:color w:val="000000" w:themeColor="text1"/>
          <w:sz w:val="24"/>
          <w:highlight w:val="none"/>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地址：</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邮编：</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b/>
          <w:color w:val="000000" w:themeColor="text1"/>
          <w:sz w:val="24"/>
          <w:highlight w:val="non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u w:val="singl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电话：</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传真：</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报价人法定代表人或授权代表人（签字）：</w:t>
      </w:r>
      <w:r>
        <w:rPr>
          <w:rFonts w:ascii="Arial" w:hAnsi="Arial" w:cs="Arial"/>
          <w:b/>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报价人法定代表人或授权代表人职务：</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b/>
          <w:color w:val="000000" w:themeColor="text1"/>
          <w:sz w:val="24"/>
          <w:highlight w:val="none"/>
          <w14:textFill>
            <w14:solidFill>
              <w14:schemeClr w14:val="tx1"/>
            </w14:solidFill>
          </w14:textFill>
        </w:rPr>
        <w:t xml:space="preserve">      </w:t>
      </w:r>
    </w:p>
    <w:p>
      <w:pPr>
        <w:tabs>
          <w:tab w:val="left" w:pos="900"/>
        </w:tabs>
        <w:spacing w:line="360" w:lineRule="auto"/>
        <w:ind w:firstLine="488" w:firstLineChars="200"/>
        <w:rPr>
          <w:rFonts w:ascii="Arial" w:hAnsi="Arial" w:cs="Arial"/>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报价人名称（加盖公章）：</w:t>
      </w:r>
      <w:r>
        <w:rPr>
          <w:rFonts w:ascii="Arial" w:hAnsi="Arial" w:cs="Arial"/>
          <w:b/>
          <w:color w:val="000000" w:themeColor="text1"/>
          <w:sz w:val="24"/>
          <w:highlight w:val="none"/>
          <w14:textFill>
            <w14:solidFill>
              <w14:schemeClr w14:val="tx1"/>
            </w14:solidFill>
          </w14:textFill>
        </w:rPr>
        <w:t xml:space="preserve">  </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日期：</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年</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月</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日</w:t>
      </w:r>
      <w:r>
        <w:rPr>
          <w:rFonts w:ascii="Arial" w:hAnsi="Arial" w:cs="Arial"/>
          <w:color w:val="000000" w:themeColor="text1"/>
          <w:sz w:val="24"/>
          <w:highlight w:val="none"/>
          <w14:textFill>
            <w14:solidFill>
              <w14:schemeClr w14:val="tx1"/>
            </w14:solidFill>
          </w14:textFill>
        </w:rPr>
        <w:t xml:space="preserve"> </w:t>
      </w:r>
    </w:p>
    <w:p>
      <w:pPr>
        <w:tabs>
          <w:tab w:val="left" w:pos="900"/>
        </w:tabs>
        <w:spacing w:line="300" w:lineRule="auto"/>
        <w:rPr>
          <w:rFonts w:ascii="Arial" w:hAnsi="Arial" w:cs="Arial"/>
          <w:color w:val="000000" w:themeColor="text1"/>
          <w:sz w:val="24"/>
          <w:highlight w:val="none"/>
          <w14:textFill>
            <w14:solidFill>
              <w14:schemeClr w14:val="tx1"/>
            </w14:solidFill>
          </w14:textFill>
        </w:rPr>
      </w:pPr>
    </w:p>
    <w:p>
      <w:pPr>
        <w:tabs>
          <w:tab w:val="left" w:pos="900"/>
        </w:tabs>
        <w:spacing w:line="300" w:lineRule="auto"/>
        <w:rPr>
          <w:rFonts w:ascii="Arial" w:hAnsi="Arial" w:cs="Arial"/>
          <w:color w:val="000000" w:themeColor="text1"/>
          <w:sz w:val="24"/>
          <w:highlight w:val="none"/>
          <w14:textFill>
            <w14:solidFill>
              <w14:schemeClr w14:val="tx1"/>
            </w14:solidFill>
          </w14:textFill>
        </w:rPr>
      </w:pPr>
    </w:p>
    <w:p>
      <w:pPr>
        <w:pStyle w:val="10"/>
        <w:snapToGrid w:val="0"/>
        <w:jc w:val="left"/>
        <w:rPr>
          <w:rFonts w:ascii="宋体" w:hAnsi="宋体"/>
          <w:color w:val="000000" w:themeColor="text1"/>
          <w:highlight w:val="none"/>
          <w14:textFill>
            <w14:solidFill>
              <w14:schemeClr w14:val="tx1"/>
            </w14:solidFill>
          </w14:textFill>
        </w:rPr>
      </w:pPr>
      <w:bookmarkStart w:id="69" w:name="_Toc491883232"/>
    </w:p>
    <w:p>
      <w:pPr>
        <w:pStyle w:val="1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bCs w:val="0"/>
          <w:color w:val="000000" w:themeColor="text1"/>
          <w:highlight w:val="none"/>
          <w14:textFill>
            <w14:solidFill>
              <w14:schemeClr w14:val="tx1"/>
            </w14:solidFill>
          </w14:textFill>
        </w:rPr>
        <w:t>二</w:t>
      </w:r>
      <w:r>
        <w:rPr>
          <w:rFonts w:ascii="宋体" w:hAnsi="宋体"/>
          <w:bCs w:val="0"/>
          <w:color w:val="000000" w:themeColor="text1"/>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w:t>
      </w:r>
      <w:r>
        <w:rPr>
          <w:rFonts w:ascii="宋体" w:hAnsi="宋体"/>
          <w:color w:val="000000" w:themeColor="text1"/>
          <w:sz w:val="28"/>
          <w:szCs w:val="28"/>
          <w:highlight w:val="none"/>
          <w14:textFill>
            <w14:solidFill>
              <w14:schemeClr w14:val="tx1"/>
            </w14:solidFill>
          </w14:textFill>
        </w:rPr>
        <w:t>法定代表人身份证明</w:t>
      </w:r>
      <w:bookmarkEnd w:id="69"/>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报价人名称：</w:t>
      </w:r>
      <w:r>
        <w:rPr>
          <w:rFonts w:ascii="宋体" w:hAnsi="宋体"/>
          <w:color w:val="000000" w:themeColor="text1"/>
          <w:sz w:val="24"/>
          <w:highlight w:val="none"/>
          <w:u w:val="single"/>
          <w14:textFill>
            <w14:solidFill>
              <w14:schemeClr w14:val="tx1"/>
            </w14:solidFill>
          </w14:textFill>
        </w:rPr>
        <w:t xml:space="preserve">                        </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姓名：</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性别：</w:t>
      </w:r>
      <w:bookmarkStart w:id="70" w:name="_Toc369531698"/>
      <w:bookmarkStart w:id="71" w:name="_Toc352691662"/>
      <w:bookmarkStart w:id="72" w:name="_Toc27897"/>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bookmarkEnd w:id="70"/>
      <w:bookmarkEnd w:id="71"/>
      <w:bookmarkEnd w:id="72"/>
      <w:r>
        <w:rPr>
          <w:rFonts w:ascii="宋体" w:hAnsi="宋体"/>
          <w:color w:val="000000" w:themeColor="text1"/>
          <w:sz w:val="24"/>
          <w:highlight w:val="none"/>
          <w14:textFill>
            <w14:solidFill>
              <w14:schemeClr w14:val="tx1"/>
            </w14:solidFill>
          </w14:textFill>
        </w:rPr>
        <w:t>龄</w:t>
      </w:r>
      <w:bookmarkStart w:id="73" w:name="_Toc352691663"/>
      <w:bookmarkStart w:id="74" w:name="_Toc300835211"/>
      <w:bookmarkStart w:id="75" w:name="_Toc15573"/>
      <w:bookmarkStart w:id="76" w:name="_Toc361508754"/>
      <w:bookmarkStart w:id="77" w:name="_Toc152045789"/>
      <w:bookmarkStart w:id="78" w:name="_Toc384308377"/>
      <w:bookmarkStart w:id="79" w:name="_Toc247514248"/>
      <w:bookmarkStart w:id="80" w:name="_Toc247527829"/>
      <w:bookmarkStart w:id="81" w:name="_Toc369531699"/>
      <w:bookmarkStart w:id="82" w:name="_Toc152042578"/>
      <w:bookmarkStart w:id="83" w:name="_Toc144974858"/>
      <w:r>
        <w:rPr>
          <w:rFonts w:ascii="宋体" w:hAnsi="宋体"/>
          <w:color w:val="000000" w:themeColor="text1"/>
          <w:sz w:val="24"/>
          <w:highlight w:val="none"/>
          <w14:textFill>
            <w14:solidFill>
              <w14:schemeClr w14:val="tx1"/>
            </w14:solidFill>
          </w14:textFill>
        </w:rPr>
        <w:t>：</w:t>
      </w:r>
      <w:bookmarkEnd w:id="73"/>
      <w:bookmarkEnd w:id="74"/>
      <w:bookmarkEnd w:id="75"/>
      <w:bookmarkEnd w:id="76"/>
      <w:bookmarkEnd w:id="77"/>
      <w:bookmarkEnd w:id="78"/>
      <w:bookmarkEnd w:id="79"/>
      <w:bookmarkEnd w:id="80"/>
      <w:bookmarkEnd w:id="81"/>
      <w:bookmarkEnd w:id="82"/>
      <w:bookmarkEnd w:id="83"/>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特此证明。</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附：法定代表人身份证复印件。</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报价人：</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盖</w:t>
      </w:r>
      <w:r>
        <w:rPr>
          <w:rFonts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ind w:firstLine="5349" w:firstLineChars="2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注：本身份证明需由报价人加盖单位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rPr>
          <w:rFonts w:ascii="宋体" w:hAnsi="宋体"/>
          <w:color w:val="000000" w:themeColor="text1"/>
          <w:sz w:val="20"/>
          <w:highlight w:val="none"/>
          <w14:textFill>
            <w14:solidFill>
              <w14:schemeClr w14:val="tx1"/>
            </w14:solidFill>
          </w14:textFill>
        </w:rPr>
      </w:pPr>
    </w:p>
    <w:p>
      <w:pPr>
        <w:spacing w:line="20" w:lineRule="exact"/>
        <w:jc w:val="center"/>
        <w:rPr>
          <w:rFonts w:ascii="宋体" w:hAnsi="宋体"/>
          <w:color w:val="000000" w:themeColor="text1"/>
          <w:sz w:val="20"/>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p>
    <w:p>
      <w:pPr>
        <w:pStyle w:val="4"/>
        <w:jc w:val="center"/>
        <w:rPr>
          <w:rFonts w:ascii="宋体" w:hAnsi="宋体"/>
          <w:color w:val="000000" w:themeColor="text1"/>
          <w:sz w:val="28"/>
          <w:szCs w:val="28"/>
          <w:highlight w:val="none"/>
          <w14:textFill>
            <w14:solidFill>
              <w14:schemeClr w14:val="tx1"/>
            </w14:solidFill>
          </w14:textFill>
        </w:rPr>
      </w:pPr>
      <w:bookmarkStart w:id="84" w:name="_Toc491883233"/>
      <w:r>
        <w:rPr>
          <w:rFonts w:hint="eastAsia" w:ascii="宋体" w:hAnsi="宋体"/>
          <w:color w:val="000000" w:themeColor="text1"/>
          <w:sz w:val="28"/>
          <w:szCs w:val="28"/>
          <w:highlight w:val="none"/>
          <w14:textFill>
            <w14:solidFill>
              <w14:schemeClr w14:val="tx1"/>
            </w14:solidFill>
          </w14:textFill>
        </w:rPr>
        <w:t>（二）</w:t>
      </w:r>
      <w:bookmarkEnd w:id="84"/>
      <w:r>
        <w:rPr>
          <w:rFonts w:hint="eastAsia" w:ascii="宋体" w:hAnsi="宋体"/>
          <w:color w:val="000000" w:themeColor="text1"/>
          <w:sz w:val="28"/>
          <w:szCs w:val="28"/>
          <w:highlight w:val="none"/>
          <w14:textFill>
            <w14:solidFill>
              <w14:schemeClr w14:val="tx1"/>
            </w14:solidFill>
          </w14:textFill>
        </w:rPr>
        <w:t>法定代表人授权委托书</w:t>
      </w:r>
    </w:p>
    <w:p>
      <w:pPr>
        <w:spacing w:line="440" w:lineRule="exact"/>
        <w:rPr>
          <w:rFonts w:ascii="宋体" w:hAnsi="宋体"/>
          <w:color w:val="000000" w:themeColor="text1"/>
          <w:highlight w:val="none"/>
          <w14:textFill>
            <w14:solidFill>
              <w14:schemeClr w14:val="tx1"/>
            </w14:solidFill>
          </w14:textFill>
        </w:rPr>
      </w:pPr>
    </w:p>
    <w:p>
      <w:pPr>
        <w:topLinePunct/>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（姓名）系</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（报价人名称）的法定代表人，现委托</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highlight w:val="none"/>
          <w:u w:val="single"/>
          <w14:textFill>
            <w14:solidFill>
              <w14:schemeClr w14:val="tx1"/>
            </w14:solidFill>
          </w14:textFill>
        </w:rPr>
        <w:t>重庆首讯科技股份有限公司项目管理云平台服务项目</w:t>
      </w:r>
      <w:r>
        <w:rPr>
          <w:rFonts w:ascii="宋体" w:hAnsi="宋体"/>
          <w:color w:val="000000" w:themeColor="text1"/>
          <w:sz w:val="24"/>
          <w:highlight w:val="none"/>
          <w14:textFill>
            <w14:solidFill>
              <w14:schemeClr w14:val="tx1"/>
            </w14:solidFill>
          </w14:textFill>
        </w:rPr>
        <w:t>竞争性比选响应文件、签订合同和处理有关事宜，其法律后果由我方承担。</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440" w:lineRule="exact"/>
        <w:ind w:firstLine="486" w:firstLineChars="200"/>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highlight w:val="none"/>
          <w14:textFill>
            <w14:solidFill>
              <w14:schemeClr w14:val="tx1"/>
            </w14:solidFill>
          </w14:textFill>
        </w:rPr>
      </w:pPr>
    </w:p>
    <w:p>
      <w:pPr>
        <w:pStyle w:val="2"/>
        <w:rPr>
          <w:highlight w:val="none"/>
        </w:rPr>
      </w:pP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  价</w:t>
      </w:r>
      <w:r>
        <w:rPr>
          <w:rFonts w:ascii="宋体" w:hAnsi="宋体"/>
          <w:color w:val="000000" w:themeColor="text1"/>
          <w:sz w:val="24"/>
          <w:highlight w:val="none"/>
          <w14:textFill>
            <w14:solidFill>
              <w14:schemeClr w14:val="tx1"/>
            </w14:solidFill>
          </w14:textFill>
        </w:rPr>
        <w:t xml:space="preserve">  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盖</w:t>
      </w:r>
      <w:r>
        <w:rPr>
          <w:rFonts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ind w:firstLine="3114" w:firstLineChars="128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（签字）</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p>
    <w:p>
      <w:pPr>
        <w:spacing w:line="440" w:lineRule="exact"/>
        <w:ind w:firstLine="3117" w:firstLineChars="1282"/>
        <w:rPr>
          <w:rFonts w:ascii="宋体" w:hAnsi="宋体"/>
          <w:color w:val="000000" w:themeColor="text1"/>
          <w:sz w:val="24"/>
          <w:highlight w:val="none"/>
          <w14:textFill>
            <w14:solidFill>
              <w14:schemeClr w14:val="tx1"/>
            </w14:solidFill>
          </w14:textFill>
        </w:rPr>
      </w:pPr>
    </w:p>
    <w:p>
      <w:pPr>
        <w:spacing w:line="440" w:lineRule="exact"/>
        <w:ind w:firstLine="4697" w:firstLineChars="1932"/>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注：本授权委托书需由报价人加盖单位</w:t>
      </w:r>
      <w:r>
        <w:rPr>
          <w:rFonts w:hint="eastAsia" w:ascii="宋体" w:hAnsi="宋体"/>
          <w:bCs/>
          <w:color w:val="000000" w:themeColor="text1"/>
          <w:sz w:val="24"/>
          <w:highlight w:val="none"/>
          <w14:textFill>
            <w14:solidFill>
              <w14:schemeClr w14:val="tx1"/>
            </w14:solidFill>
          </w14:textFill>
        </w:rPr>
        <w:t>鲜</w:t>
      </w:r>
      <w:r>
        <w:rPr>
          <w:rFonts w:ascii="宋体" w:hAnsi="宋体"/>
          <w:bCs/>
          <w:color w:val="000000" w:themeColor="text1"/>
          <w:sz w:val="24"/>
          <w:highlight w:val="none"/>
          <w14:textFill>
            <w14:solidFill>
              <w14:schemeClr w14:val="tx1"/>
            </w14:solidFill>
          </w14:textFill>
        </w:rPr>
        <w:t>公章并由其法定代表人和委托代理人签字。</w:t>
      </w:r>
    </w:p>
    <w:p>
      <w:pPr>
        <w:pStyle w:val="16"/>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三、报价一览表</w:t>
      </w:r>
    </w:p>
    <w:p>
      <w:pPr>
        <w:pStyle w:val="15"/>
        <w:ind w:firstLine="488"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重庆首讯科技股份有限公司：</w:t>
      </w:r>
    </w:p>
    <w:p>
      <w:pPr>
        <w:spacing w:line="360" w:lineRule="auto"/>
        <w:ind w:firstLine="486"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在研究了竞争性比选文件中所有文件后，我司对</w:t>
      </w:r>
      <w:r>
        <w:rPr>
          <w:rFonts w:hint="eastAsia" w:ascii="宋体" w:hAnsi="宋体"/>
          <w:color w:val="000000" w:themeColor="text1"/>
          <w:sz w:val="24"/>
          <w:highlight w:val="none"/>
          <w:u w:val="single"/>
          <w14:textFill>
            <w14:solidFill>
              <w14:schemeClr w14:val="tx1"/>
            </w14:solidFill>
          </w14:textFill>
        </w:rPr>
        <w:t>重庆首讯科技股份有限公司项目管理云平台服务项目</w:t>
      </w:r>
      <w:r>
        <w:rPr>
          <w:rFonts w:hint="eastAsia" w:ascii="宋体" w:hAnsi="宋体"/>
          <w:color w:val="000000" w:themeColor="text1"/>
          <w:sz w:val="24"/>
          <w:highlight w:val="none"/>
          <w14:textFill>
            <w14:solidFill>
              <w14:schemeClr w14:val="tx1"/>
            </w14:solidFill>
          </w14:textFill>
        </w:rPr>
        <w:t>竞争性比选响应报价如下：</w:t>
      </w:r>
    </w:p>
    <w:p>
      <w:pPr>
        <w:spacing w:line="360" w:lineRule="auto"/>
        <w:jc w:val="center"/>
        <w:outlineLvl w:val="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报价一览表</w:t>
      </w:r>
    </w:p>
    <w:tbl>
      <w:tblPr>
        <w:tblStyle w:val="20"/>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重庆首讯科技股份有限公司项目管理云平台服务项目</w:t>
            </w: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pStyle w:val="2"/>
        <w:rPr>
          <w:highlight w:val="none"/>
        </w:rPr>
      </w:pPr>
    </w:p>
    <w:p>
      <w:pPr>
        <w:pStyle w:val="9"/>
        <w:rPr>
          <w:rFonts w:ascii="宋体" w:hAnsi="宋体"/>
          <w:color w:val="000000" w:themeColor="text1"/>
          <w:sz w:val="24"/>
          <w:highlight w:val="none"/>
          <w14:textFill>
            <w14:solidFill>
              <w14:schemeClr w14:val="tx1"/>
            </w14:solidFill>
          </w14:textFill>
        </w:rPr>
      </w:pPr>
    </w:p>
    <w:p>
      <w:pPr>
        <w:rPr>
          <w:highlight w:val="none"/>
        </w:rPr>
      </w:pPr>
    </w:p>
    <w:p>
      <w:pPr>
        <w:spacing w:line="360" w:lineRule="auto"/>
        <w:ind w:firstLine="486" w:firstLineChars="200"/>
        <w:jc w:val="left"/>
        <w:rPr>
          <w:rFonts w:ascii="宋体" w:hAnsi="宋体"/>
          <w:color w:val="000000" w:themeColor="text1"/>
          <w:sz w:val="24"/>
          <w:highlight w:val="none"/>
          <w14:textFill>
            <w14:solidFill>
              <w14:schemeClr w14:val="tx1"/>
            </w14:solidFill>
          </w14:textFill>
        </w:rPr>
      </w:pP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highlight w:val="none"/>
          <w:u w:val="singl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报价人名称（加盖公章）：</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报价人法定代表人或授权代表人（签字）：</w:t>
      </w:r>
      <w:r>
        <w:rPr>
          <w:rFonts w:ascii="Arial" w:hAnsi="Arial" w:cs="Arial"/>
          <w:b/>
          <w:color w:val="000000" w:themeColor="text1"/>
          <w:sz w:val="24"/>
          <w:highlight w:val="none"/>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日期：</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年</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月</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日</w:t>
      </w:r>
      <w:r>
        <w:rPr>
          <w:rFonts w:ascii="Arial" w:hAnsi="Arial" w:cs="Arial"/>
          <w:color w:val="000000" w:themeColor="text1"/>
          <w:sz w:val="24"/>
          <w:highlight w:val="none"/>
          <w14:textFill>
            <w14:solidFill>
              <w14:schemeClr w14:val="tx1"/>
            </w14:solidFill>
          </w14:textFill>
        </w:rPr>
        <w:t xml:space="preserve"> </w:t>
      </w:r>
    </w:p>
    <w:p>
      <w:pPr>
        <w:rPr>
          <w:highlight w:val="none"/>
        </w:rPr>
      </w:pPr>
      <w:r>
        <w:rPr>
          <w:highlight w:val="none"/>
        </w:rPr>
        <w:br w:type="page"/>
      </w:r>
    </w:p>
    <w:p>
      <w:pPr>
        <w:pStyle w:val="16"/>
        <w:rPr>
          <w:highlight w:val="none"/>
        </w:rPr>
      </w:pPr>
      <w:r>
        <w:rPr>
          <w:rFonts w:hint="eastAsia"/>
          <w:highlight w:val="none"/>
        </w:rPr>
        <w:t>四、资格要求材料</w:t>
      </w:r>
    </w:p>
    <w:p>
      <w:pPr>
        <w:spacing w:line="360" w:lineRule="auto"/>
        <w:rPr>
          <w:rFonts w:ascii="宋体" w:hAnsi="宋体" w:cs="宋体"/>
          <w:color w:val="000000" w:themeColor="text1"/>
          <w:sz w:val="24"/>
          <w:szCs w:val="28"/>
          <w:highlight w:val="none"/>
          <w14:textFill>
            <w14:solidFill>
              <w14:schemeClr w14:val="tx1"/>
            </w14:solidFill>
          </w14:textFill>
        </w:rPr>
      </w:pPr>
    </w:p>
    <w:p>
      <w:pPr>
        <w:spacing w:line="360" w:lineRule="auto"/>
        <w:outlineLvl w:val="1"/>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（一）资格条件</w:t>
      </w:r>
    </w:p>
    <w:p>
      <w:pPr>
        <w:spacing w:line="400" w:lineRule="exact"/>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（1）投标人应具备有效的营业执照或事业单位法人证书；</w:t>
      </w:r>
    </w:p>
    <w:p>
      <w:pPr>
        <w:spacing w:line="400" w:lineRule="exact"/>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8" w:firstLineChars="200"/>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注：</w:t>
      </w:r>
      <w:r>
        <w:rPr>
          <w:rFonts w:hint="eastAsia" w:asciiTheme="minorEastAsia" w:hAnsiTheme="minorEastAsia" w:eastAsiaTheme="minorEastAsia" w:cstheme="minorEastAsia"/>
          <w:b/>
          <w:bCs/>
          <w:caps/>
          <w:sz w:val="22"/>
          <w:szCs w:val="22"/>
          <w:highlight w:val="none"/>
        </w:rPr>
        <w:t>须提供营业执照或事业单位法人证书，信誉网站查询结果截图，类似业绩合同扫描件，并加盖单位公章。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rFonts w:ascii="宋体" w:hAnsi="宋体" w:cs="宋体"/>
          <w:b/>
          <w:bCs/>
          <w:color w:val="000000" w:themeColor="text1"/>
          <w:sz w:val="24"/>
          <w:szCs w:val="28"/>
          <w:highlight w:val="none"/>
          <w14:textFill>
            <w14:solidFill>
              <w14:schemeClr w14:val="tx1"/>
            </w14:solidFill>
          </w14:textFill>
        </w:rPr>
      </w:pPr>
    </w:p>
    <w:p>
      <w:pPr>
        <w:rPr>
          <w:rFonts w:ascii="宋体" w:hAnsi="宋体" w:cs="宋体"/>
          <w:b/>
          <w:bCs/>
          <w:color w:val="000000" w:themeColor="text1"/>
          <w:sz w:val="24"/>
          <w:szCs w:val="28"/>
          <w:highlight w:val="none"/>
          <w14:textFill>
            <w14:solidFill>
              <w14:schemeClr w14:val="tx1"/>
            </w14:solidFill>
          </w14:textFill>
        </w:rPr>
      </w:pPr>
    </w:p>
    <w:p>
      <w:pPr>
        <w:pStyle w:val="2"/>
        <w:rPr>
          <w:rFonts w:ascii="宋体" w:hAnsi="宋体" w:cs="宋体"/>
          <w:b/>
          <w:bCs/>
          <w:color w:val="000000" w:themeColor="text1"/>
          <w:sz w:val="24"/>
          <w:szCs w:val="28"/>
          <w:highlight w:val="none"/>
          <w14:textFill>
            <w14:solidFill>
              <w14:schemeClr w14:val="tx1"/>
            </w14:solidFill>
          </w14:textFill>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rFonts w:hint="eastAsia"/>
          <w:highlight w:val="none"/>
        </w:rPr>
      </w:pPr>
    </w:p>
    <w:p>
      <w:pPr>
        <w:rPr>
          <w:rFonts w:ascii="宋体" w:hAnsi="宋体" w:cs="宋体"/>
          <w:b/>
          <w:bCs/>
          <w:color w:val="000000" w:themeColor="text1"/>
          <w:sz w:val="24"/>
          <w:szCs w:val="28"/>
          <w:highlight w:val="none"/>
          <w14:textFill>
            <w14:solidFill>
              <w14:schemeClr w14:val="tx1"/>
            </w14:solidFill>
          </w14:textFill>
        </w:rPr>
      </w:pPr>
    </w:p>
    <w:p>
      <w:pPr>
        <w:spacing w:line="360" w:lineRule="auto"/>
        <w:outlineLvl w:val="1"/>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（二）商务及技术评分资料</w:t>
      </w:r>
    </w:p>
    <w:p>
      <w:pPr>
        <w:spacing w:line="360" w:lineRule="auto"/>
        <w:jc w:val="center"/>
        <w:outlineLvl w:val="2"/>
        <w:rPr>
          <w:b/>
          <w:sz w:val="24"/>
          <w:highlight w:val="none"/>
        </w:rPr>
      </w:pPr>
      <w:bookmarkStart w:id="85" w:name="OLE_LINK34"/>
      <w:r>
        <w:rPr>
          <w:rFonts w:hint="eastAsia"/>
          <w:bCs/>
          <w:sz w:val="24"/>
          <w:highlight w:val="none"/>
        </w:rPr>
        <w:t>商务及技术部分</w:t>
      </w:r>
      <w:bookmarkEnd w:id="85"/>
      <w:r>
        <w:rPr>
          <w:rFonts w:hint="eastAsia"/>
          <w:bCs/>
          <w:sz w:val="24"/>
          <w:highlight w:val="none"/>
        </w:rPr>
        <w:t>资料目录</w:t>
      </w:r>
    </w:p>
    <w:tbl>
      <w:tblPr>
        <w:tblStyle w:val="1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23" w:type="dxa"/>
            <w:vAlign w:val="center"/>
          </w:tcPr>
          <w:p>
            <w:pPr>
              <w:pStyle w:val="33"/>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519" w:type="dxa"/>
            <w:vAlign w:val="center"/>
          </w:tcPr>
          <w:p>
            <w:pPr>
              <w:pStyle w:val="33"/>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3030" w:type="dxa"/>
            <w:vAlign w:val="center"/>
          </w:tcPr>
          <w:p>
            <w:pPr>
              <w:pStyle w:val="33"/>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2895" w:type="dxa"/>
            <w:vAlign w:val="center"/>
          </w:tcPr>
          <w:p>
            <w:pPr>
              <w:pStyle w:val="33"/>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194" w:type="dxa"/>
            <w:vAlign w:val="center"/>
          </w:tcPr>
          <w:p>
            <w:pPr>
              <w:pStyle w:val="33"/>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519" w:type="dxa"/>
          </w:tcPr>
          <w:p>
            <w:pPr>
              <w:spacing w:line="360" w:lineRule="auto"/>
              <w:jc w:val="center"/>
              <w:rPr>
                <w:rFonts w:asciiTheme="minorEastAsia" w:hAnsiTheme="minorEastAsia" w:eastAsiaTheme="minorEastAsia" w:cstheme="minorEastAsia"/>
                <w:b/>
                <w:sz w:val="18"/>
                <w:szCs w:val="18"/>
                <w:highlight w:val="none"/>
              </w:rPr>
            </w:pPr>
          </w:p>
        </w:tc>
        <w:tc>
          <w:tcPr>
            <w:tcW w:w="3030" w:type="dxa"/>
          </w:tcPr>
          <w:p>
            <w:pPr>
              <w:spacing w:line="360" w:lineRule="auto"/>
              <w:jc w:val="center"/>
              <w:rPr>
                <w:rFonts w:asciiTheme="minorEastAsia" w:hAnsiTheme="minorEastAsia" w:eastAsiaTheme="minorEastAsia" w:cstheme="minorEastAsia"/>
                <w:b/>
                <w:sz w:val="18"/>
                <w:szCs w:val="18"/>
                <w:highlight w:val="none"/>
              </w:rPr>
            </w:pPr>
          </w:p>
        </w:tc>
        <w:tc>
          <w:tcPr>
            <w:tcW w:w="2895" w:type="dxa"/>
          </w:tcPr>
          <w:p>
            <w:pPr>
              <w:spacing w:line="360" w:lineRule="auto"/>
              <w:jc w:val="center"/>
              <w:rPr>
                <w:rFonts w:asciiTheme="minorEastAsia" w:hAnsiTheme="minorEastAsia" w:eastAsiaTheme="minorEastAsia" w:cstheme="minorEastAsia"/>
                <w:b/>
                <w:sz w:val="18"/>
                <w:szCs w:val="18"/>
                <w:highlight w:val="none"/>
              </w:rPr>
            </w:pPr>
          </w:p>
        </w:tc>
        <w:tc>
          <w:tcPr>
            <w:tcW w:w="1194" w:type="dxa"/>
          </w:tcPr>
          <w:p>
            <w:pPr>
              <w:spacing w:line="360" w:lineRule="auto"/>
              <w:jc w:val="center"/>
              <w:rPr>
                <w:rFonts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jc w:val="center"/>
        <w:rPr>
          <w:sz w:val="24"/>
          <w:szCs w:val="24"/>
          <w:highlight w:val="none"/>
        </w:rPr>
      </w:pPr>
      <w:r>
        <w:rPr>
          <w:rFonts w:hint="eastAsia"/>
          <w:sz w:val="24"/>
          <w:szCs w:val="24"/>
          <w:highlight w:val="none"/>
        </w:rPr>
        <w:t>（三）技术方案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firstLine="486" w:firstLineChars="200"/>
        <w:jc w:val="center"/>
        <w:rPr>
          <w:color w:val="000000" w:themeColor="text1"/>
          <w:highlight w:val="none"/>
          <w14:textFill>
            <w14:solidFill>
              <w14:schemeClr w14:val="tx1"/>
            </w14:solidFill>
          </w14:textFill>
        </w:rPr>
      </w:pPr>
      <w:r>
        <w:rPr>
          <w:rFonts w:ascii="宋体" w:hAnsi="宋体" w:cs="宋体"/>
          <w:color w:val="000000" w:themeColor="text1"/>
          <w:sz w:val="24"/>
          <w:szCs w:val="28"/>
          <w:highlight w:val="none"/>
          <w14:textFill>
            <w14:solidFill>
              <w14:schemeClr w14:val="tx1"/>
            </w14:solidFill>
          </w14:textFill>
        </w:rPr>
        <w:br w:type="page"/>
      </w:r>
    </w:p>
    <w:p>
      <w:pPr>
        <w:pStyle w:val="1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五、其他材料</w:t>
      </w:r>
    </w:p>
    <w:p>
      <w:pPr>
        <w:spacing w:line="360" w:lineRule="auto"/>
        <w:ind w:firstLine="486" w:firstLineChars="20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如有</w:t>
      </w:r>
    </w:p>
    <w:p>
      <w:pPr>
        <w:rPr>
          <w:highlight w:val="none"/>
        </w:rPr>
      </w:pPr>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31</w:t>
    </w:r>
    <w:r>
      <w:rPr>
        <w:b/>
        <w:sz w:val="21"/>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2962C"/>
    <w:multiLevelType w:val="singleLevel"/>
    <w:tmpl w:val="FA82962C"/>
    <w:lvl w:ilvl="0" w:tentative="0">
      <w:start w:val="1"/>
      <w:numFmt w:val="bullet"/>
      <w:lvlText w:val=""/>
      <w:lvlJc w:val="left"/>
      <w:pPr>
        <w:ind w:left="420" w:hanging="420"/>
      </w:pPr>
      <w:rPr>
        <w:rFonts w:hint="default" w:ascii="Wingdings" w:hAnsi="Wingdings"/>
      </w:rPr>
    </w:lvl>
  </w:abstractNum>
  <w:abstractNum w:abstractNumId="1">
    <w:nsid w:val="47D73C31"/>
    <w:multiLevelType w:val="multilevel"/>
    <w:tmpl w:val="47D73C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0A37B11"/>
    <w:multiLevelType w:val="singleLevel"/>
    <w:tmpl w:val="60A37B11"/>
    <w:lvl w:ilvl="0" w:tentative="0">
      <w:start w:val="2"/>
      <w:numFmt w:val="chineseCounting"/>
      <w:suff w:val="space"/>
      <w:lvlText w:val="第%1章"/>
      <w:lvlJc w:val="left"/>
    </w:lvl>
  </w:abstractNum>
  <w:abstractNum w:abstractNumId="3">
    <w:nsid w:val="60A3881F"/>
    <w:multiLevelType w:val="singleLevel"/>
    <w:tmpl w:val="60A3881F"/>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43E5F"/>
    <w:rsid w:val="00047E3E"/>
    <w:rsid w:val="000C3C43"/>
    <w:rsid w:val="001137F5"/>
    <w:rsid w:val="00187D20"/>
    <w:rsid w:val="001973FC"/>
    <w:rsid w:val="001A5A68"/>
    <w:rsid w:val="001B6AF8"/>
    <w:rsid w:val="002356BB"/>
    <w:rsid w:val="0028265B"/>
    <w:rsid w:val="00296769"/>
    <w:rsid w:val="002C0331"/>
    <w:rsid w:val="002C1A46"/>
    <w:rsid w:val="003A1210"/>
    <w:rsid w:val="003B2144"/>
    <w:rsid w:val="003C7BBE"/>
    <w:rsid w:val="003E0BEC"/>
    <w:rsid w:val="0042734A"/>
    <w:rsid w:val="00472D8C"/>
    <w:rsid w:val="00487A65"/>
    <w:rsid w:val="00502CE7"/>
    <w:rsid w:val="00507310"/>
    <w:rsid w:val="005073F6"/>
    <w:rsid w:val="00565EB0"/>
    <w:rsid w:val="0058789F"/>
    <w:rsid w:val="00612D94"/>
    <w:rsid w:val="006229F7"/>
    <w:rsid w:val="006322E7"/>
    <w:rsid w:val="00660430"/>
    <w:rsid w:val="00665E55"/>
    <w:rsid w:val="00673AD8"/>
    <w:rsid w:val="006B4543"/>
    <w:rsid w:val="006F406B"/>
    <w:rsid w:val="006F5778"/>
    <w:rsid w:val="0071022E"/>
    <w:rsid w:val="00760315"/>
    <w:rsid w:val="007671BE"/>
    <w:rsid w:val="007D089F"/>
    <w:rsid w:val="007D1FC9"/>
    <w:rsid w:val="008468E6"/>
    <w:rsid w:val="008549CD"/>
    <w:rsid w:val="00890980"/>
    <w:rsid w:val="009000AB"/>
    <w:rsid w:val="0096304C"/>
    <w:rsid w:val="00983ED2"/>
    <w:rsid w:val="0099629E"/>
    <w:rsid w:val="009E1361"/>
    <w:rsid w:val="00A05D9C"/>
    <w:rsid w:val="00A84E00"/>
    <w:rsid w:val="00A8782D"/>
    <w:rsid w:val="00AB5FD3"/>
    <w:rsid w:val="00AC0A12"/>
    <w:rsid w:val="00AE2114"/>
    <w:rsid w:val="00AF63F7"/>
    <w:rsid w:val="00B10695"/>
    <w:rsid w:val="00B3615B"/>
    <w:rsid w:val="00B56F1C"/>
    <w:rsid w:val="00BC20A9"/>
    <w:rsid w:val="00BD087D"/>
    <w:rsid w:val="00C20454"/>
    <w:rsid w:val="00D67598"/>
    <w:rsid w:val="00D710E8"/>
    <w:rsid w:val="00E54177"/>
    <w:rsid w:val="00E77200"/>
    <w:rsid w:val="00E7781A"/>
    <w:rsid w:val="00EB71B9"/>
    <w:rsid w:val="00F03C02"/>
    <w:rsid w:val="00F839ED"/>
    <w:rsid w:val="01FE761B"/>
    <w:rsid w:val="02F9047E"/>
    <w:rsid w:val="048727E8"/>
    <w:rsid w:val="05267384"/>
    <w:rsid w:val="05633286"/>
    <w:rsid w:val="060B1092"/>
    <w:rsid w:val="068565C2"/>
    <w:rsid w:val="08AD042C"/>
    <w:rsid w:val="09273780"/>
    <w:rsid w:val="09EE04B8"/>
    <w:rsid w:val="0AC341A1"/>
    <w:rsid w:val="0B1B63BC"/>
    <w:rsid w:val="0B1C0A69"/>
    <w:rsid w:val="0BC5061B"/>
    <w:rsid w:val="0D7D39B8"/>
    <w:rsid w:val="0D8E3DEF"/>
    <w:rsid w:val="0EFA5FEB"/>
    <w:rsid w:val="104668B9"/>
    <w:rsid w:val="13B14B48"/>
    <w:rsid w:val="13E606FB"/>
    <w:rsid w:val="14C37206"/>
    <w:rsid w:val="15177C44"/>
    <w:rsid w:val="15217558"/>
    <w:rsid w:val="156B15C2"/>
    <w:rsid w:val="18113FDD"/>
    <w:rsid w:val="18E83E82"/>
    <w:rsid w:val="190F2E8C"/>
    <w:rsid w:val="1AD33C31"/>
    <w:rsid w:val="1B534B8F"/>
    <w:rsid w:val="1BB10537"/>
    <w:rsid w:val="1C1A6BC4"/>
    <w:rsid w:val="1CEB4526"/>
    <w:rsid w:val="1DA6688B"/>
    <w:rsid w:val="1E7B4662"/>
    <w:rsid w:val="20206B99"/>
    <w:rsid w:val="202C579E"/>
    <w:rsid w:val="207254F7"/>
    <w:rsid w:val="21296AB5"/>
    <w:rsid w:val="214B061E"/>
    <w:rsid w:val="22E8783A"/>
    <w:rsid w:val="23867C86"/>
    <w:rsid w:val="239D1878"/>
    <w:rsid w:val="246F42E6"/>
    <w:rsid w:val="24C075A3"/>
    <w:rsid w:val="26461C8B"/>
    <w:rsid w:val="27224189"/>
    <w:rsid w:val="275B01FD"/>
    <w:rsid w:val="27CC1099"/>
    <w:rsid w:val="286221DB"/>
    <w:rsid w:val="28944033"/>
    <w:rsid w:val="29477914"/>
    <w:rsid w:val="2C583604"/>
    <w:rsid w:val="2CA75C5D"/>
    <w:rsid w:val="2DB13537"/>
    <w:rsid w:val="2DC75262"/>
    <w:rsid w:val="2E0E3741"/>
    <w:rsid w:val="2FEB3F33"/>
    <w:rsid w:val="301F6D02"/>
    <w:rsid w:val="302E3B5C"/>
    <w:rsid w:val="308D6530"/>
    <w:rsid w:val="316E6F45"/>
    <w:rsid w:val="31BE68A9"/>
    <w:rsid w:val="324F64A1"/>
    <w:rsid w:val="32F90E42"/>
    <w:rsid w:val="346557FB"/>
    <w:rsid w:val="346C4C24"/>
    <w:rsid w:val="34851318"/>
    <w:rsid w:val="34A66162"/>
    <w:rsid w:val="368E7E25"/>
    <w:rsid w:val="374D2FAB"/>
    <w:rsid w:val="37BA600D"/>
    <w:rsid w:val="3861785A"/>
    <w:rsid w:val="3AA91861"/>
    <w:rsid w:val="3D122510"/>
    <w:rsid w:val="3E6732EE"/>
    <w:rsid w:val="3F602707"/>
    <w:rsid w:val="3FA12805"/>
    <w:rsid w:val="3FE865FC"/>
    <w:rsid w:val="40230264"/>
    <w:rsid w:val="402304E1"/>
    <w:rsid w:val="41565607"/>
    <w:rsid w:val="42911529"/>
    <w:rsid w:val="42B701FE"/>
    <w:rsid w:val="43C9720F"/>
    <w:rsid w:val="460D2F85"/>
    <w:rsid w:val="46A541AB"/>
    <w:rsid w:val="4705133B"/>
    <w:rsid w:val="475A3F09"/>
    <w:rsid w:val="47DF71F6"/>
    <w:rsid w:val="48430435"/>
    <w:rsid w:val="48B03857"/>
    <w:rsid w:val="4A295177"/>
    <w:rsid w:val="4AF75D50"/>
    <w:rsid w:val="4C415AE8"/>
    <w:rsid w:val="4C453EB3"/>
    <w:rsid w:val="4E681D8A"/>
    <w:rsid w:val="4EA6046E"/>
    <w:rsid w:val="4EDD72E2"/>
    <w:rsid w:val="4F361EA2"/>
    <w:rsid w:val="50D7584C"/>
    <w:rsid w:val="51944F62"/>
    <w:rsid w:val="55061EC4"/>
    <w:rsid w:val="55376545"/>
    <w:rsid w:val="567A5B33"/>
    <w:rsid w:val="56C778EE"/>
    <w:rsid w:val="5AAC1011"/>
    <w:rsid w:val="5B251103"/>
    <w:rsid w:val="5CA371A4"/>
    <w:rsid w:val="5D496ADA"/>
    <w:rsid w:val="5D560EC4"/>
    <w:rsid w:val="5DAB64B0"/>
    <w:rsid w:val="5E97143B"/>
    <w:rsid w:val="5FE37080"/>
    <w:rsid w:val="60E81E47"/>
    <w:rsid w:val="61F213D3"/>
    <w:rsid w:val="621A17E1"/>
    <w:rsid w:val="62515053"/>
    <w:rsid w:val="63243396"/>
    <w:rsid w:val="64C814CF"/>
    <w:rsid w:val="67F20580"/>
    <w:rsid w:val="686C054A"/>
    <w:rsid w:val="694E6D5A"/>
    <w:rsid w:val="69F90F58"/>
    <w:rsid w:val="6A10716E"/>
    <w:rsid w:val="6B250AE6"/>
    <w:rsid w:val="6BE5372A"/>
    <w:rsid w:val="6CD5065E"/>
    <w:rsid w:val="6D342A32"/>
    <w:rsid w:val="6D4B5272"/>
    <w:rsid w:val="6D6700BB"/>
    <w:rsid w:val="6E3957D9"/>
    <w:rsid w:val="6E8369E8"/>
    <w:rsid w:val="6EDC1A97"/>
    <w:rsid w:val="6F0E3290"/>
    <w:rsid w:val="6FAE20EC"/>
    <w:rsid w:val="6FE9761F"/>
    <w:rsid w:val="737A42CF"/>
    <w:rsid w:val="74EA624F"/>
    <w:rsid w:val="755A2E50"/>
    <w:rsid w:val="756D1B58"/>
    <w:rsid w:val="77CD74C6"/>
    <w:rsid w:val="79176F93"/>
    <w:rsid w:val="7A014F23"/>
    <w:rsid w:val="7A8916E4"/>
    <w:rsid w:val="7AAD1B2A"/>
    <w:rsid w:val="7AF30E31"/>
    <w:rsid w:val="7B9759EE"/>
    <w:rsid w:val="7CDD0FE9"/>
    <w:rsid w:val="7D25195D"/>
    <w:rsid w:val="7DE16789"/>
    <w:rsid w:val="7EFD7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subject"/>
    <w:basedOn w:val="7"/>
    <w:next w:val="7"/>
    <w:link w:val="25"/>
    <w:qFormat/>
    <w:uiPriority w:val="0"/>
    <w:rPr>
      <w:b/>
      <w:bCs/>
    </w:rPr>
  </w:style>
  <w:style w:type="paragraph" w:styleId="7">
    <w:name w:val="annotation text"/>
    <w:basedOn w:val="1"/>
    <w:link w:val="24"/>
    <w:qFormat/>
    <w:uiPriority w:val="0"/>
    <w:pPr>
      <w:jc w:val="left"/>
    </w:pPr>
  </w:style>
  <w:style w:type="paragraph" w:styleId="8">
    <w:name w:val="Body Text First Indent"/>
    <w:basedOn w:val="9"/>
    <w:qFormat/>
    <w:uiPriority w:val="0"/>
    <w:pPr>
      <w:adjustRightInd w:val="0"/>
      <w:spacing w:line="275" w:lineRule="atLeast"/>
      <w:ind w:firstLine="420"/>
      <w:textAlignment w:val="baseline"/>
    </w:pPr>
    <w:rPr>
      <w:rFonts w:ascii="宋体" w:eastAsia="楷体_GB2312"/>
      <w:sz w:val="24"/>
      <w:szCs w:val="20"/>
    </w:rPr>
  </w:style>
  <w:style w:type="paragraph" w:styleId="9">
    <w:name w:val="Body Text"/>
    <w:basedOn w:val="1"/>
    <w:next w:val="1"/>
    <w:qFormat/>
    <w:uiPriority w:val="0"/>
    <w:pPr>
      <w:spacing w:after="120"/>
    </w:pPr>
  </w:style>
  <w:style w:type="paragraph" w:styleId="10">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1">
    <w:name w:val="Body Text Indent 2"/>
    <w:basedOn w:val="1"/>
    <w:qFormat/>
    <w:uiPriority w:val="0"/>
    <w:pPr>
      <w:widowControl/>
      <w:spacing w:line="480" w:lineRule="auto"/>
      <w:ind w:firstLine="560"/>
      <w:jc w:val="left"/>
    </w:pPr>
    <w:rPr>
      <w:sz w:val="28"/>
    </w:r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1"/>
    <w:basedOn w:val="1"/>
    <w:next w:val="1"/>
    <w:semiHidden/>
    <w:qFormat/>
    <w:uiPriority w:val="0"/>
    <w:pPr>
      <w:spacing w:line="360" w:lineRule="auto"/>
      <w:jc w:val="center"/>
    </w:pPr>
    <w:rPr>
      <w:rFonts w:ascii="宋体" w:hAnsi="Arial" w:cs="Arial"/>
      <w:b/>
      <w:color w:val="00000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annotation reference"/>
    <w:qFormat/>
    <w:uiPriority w:val="99"/>
    <w:rPr>
      <w:rFonts w:cs="Times New Roman"/>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出段落1"/>
    <w:basedOn w:val="1"/>
    <w:qFormat/>
    <w:uiPriority w:val="99"/>
    <w:pPr>
      <w:ind w:firstLine="420" w:firstLineChars="200"/>
    </w:pPr>
    <w:rPr>
      <w:rFonts w:asciiTheme="minorHAnsi" w:hAnsiTheme="minorHAnsi" w:eastAsiaTheme="minorEastAsia" w:cstheme="minorBidi"/>
    </w:rPr>
  </w:style>
  <w:style w:type="paragraph" w:customStyle="1" w:styleId="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
    <w:name w:val="Normal Paragraph"/>
    <w:basedOn w:val="1"/>
    <w:qFormat/>
    <w:uiPriority w:val="0"/>
    <w:pPr>
      <w:widowControl/>
      <w:spacing w:before="120"/>
      <w:ind w:firstLine="425"/>
    </w:pPr>
    <w:rPr>
      <w:kern w:val="0"/>
      <w:sz w:val="24"/>
    </w:rPr>
  </w:style>
  <w:style w:type="character" w:customStyle="1" w:styleId="24">
    <w:name w:val="批注文字 字符"/>
    <w:basedOn w:val="17"/>
    <w:link w:val="7"/>
    <w:qFormat/>
    <w:uiPriority w:val="0"/>
    <w:rPr>
      <w:kern w:val="2"/>
      <w:sz w:val="21"/>
      <w:szCs w:val="24"/>
    </w:rPr>
  </w:style>
  <w:style w:type="character" w:customStyle="1" w:styleId="25">
    <w:name w:val="批注主题 字符"/>
    <w:basedOn w:val="24"/>
    <w:link w:val="6"/>
    <w:qFormat/>
    <w:uiPriority w:val="0"/>
    <w:rPr>
      <w:b/>
      <w:bCs/>
      <w:kern w:val="2"/>
      <w:sz w:val="21"/>
      <w:szCs w:val="24"/>
    </w:rPr>
  </w:style>
  <w:style w:type="character" w:customStyle="1" w:styleId="26">
    <w:name w:val="批注框文本 字符"/>
    <w:basedOn w:val="17"/>
    <w:link w:val="12"/>
    <w:qFormat/>
    <w:uiPriority w:val="0"/>
    <w:rPr>
      <w:kern w:val="2"/>
      <w:sz w:val="18"/>
      <w:szCs w:val="18"/>
    </w:rPr>
  </w:style>
  <w:style w:type="paragraph" w:customStyle="1" w:styleId="27">
    <w:name w:val="符号列表"/>
    <w:basedOn w:val="1"/>
    <w:next w:val="21"/>
    <w:link w:val="28"/>
    <w:qFormat/>
    <w:uiPriority w:val="34"/>
    <w:pPr>
      <w:spacing w:beforeLines="50"/>
      <w:ind w:firstLine="420" w:firstLineChars="200"/>
    </w:pPr>
    <w:rPr>
      <w:rFonts w:ascii="Calibri" w:hAnsi="Calibri"/>
      <w:sz w:val="24"/>
      <w:szCs w:val="22"/>
      <w:lang w:val="zh-CN"/>
    </w:rPr>
  </w:style>
  <w:style w:type="character" w:customStyle="1" w:styleId="28">
    <w:name w:val="列出段落 Char"/>
    <w:link w:val="27"/>
    <w:qFormat/>
    <w:uiPriority w:val="34"/>
    <w:rPr>
      <w:rFonts w:ascii="Calibri" w:hAnsi="Calibri"/>
      <w:kern w:val="2"/>
      <w:sz w:val="24"/>
      <w:szCs w:val="22"/>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内正文，无编号"/>
    <w:basedOn w:val="1"/>
    <w:qFormat/>
    <w:uiPriority w:val="0"/>
    <w:pPr>
      <w:spacing w:line="400" w:lineRule="exact"/>
      <w:ind w:firstLine="643" w:firstLineChars="200"/>
    </w:pPr>
  </w:style>
  <w:style w:type="character" w:customStyle="1" w:styleId="32">
    <w:name w:val="font21"/>
    <w:qFormat/>
    <w:uiPriority w:val="0"/>
    <w:rPr>
      <w:rFonts w:hint="eastAsia" w:ascii="宋体" w:hAnsi="宋体" w:eastAsia="宋体" w:cs="宋体"/>
      <w:color w:val="000000"/>
      <w:sz w:val="21"/>
      <w:szCs w:val="21"/>
      <w:u w:val="none"/>
    </w:rPr>
  </w:style>
  <w:style w:type="paragraph" w:customStyle="1" w:styleId="33">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218EF-7762-4677-B19E-FA6E3932019E}">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2894</Words>
  <Characters>16499</Characters>
  <Lines>137</Lines>
  <Paragraphs>38</Paragraphs>
  <ScaleCrop>false</ScaleCrop>
  <LinksUpToDate>false</LinksUpToDate>
  <CharactersWithSpaces>19355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2021-06-08T03:40:00Z</dcterms:created>
  <dc:creator>admin</dc:creator>
  <cp:lastModifiedBy>蒋成科</cp:lastModifiedBy>
  <cp:lastPrinted>2021-04-07T04:07:00Z</cp:lastPrinted>
  <dcterms:modified xsi:type="dcterms:W3CDTF">2021-06-10T09:17:55Z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