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rPr>
          <w:rFonts w:hint="eastAsia"/>
          <w:sz w:val="28"/>
          <w:szCs w:val="28"/>
        </w:rPr>
      </w:pPr>
      <w:r>
        <w:rPr>
          <w:rFonts w:hint="eastAsia"/>
          <w:sz w:val="28"/>
          <w:szCs w:val="28"/>
        </w:rPr>
        <w:t>各报价单位：</w:t>
      </w:r>
    </w:p>
    <w:p>
      <w:pPr>
        <w:ind w:firstLine="570"/>
        <w:rPr>
          <w:rFonts w:hint="eastAsia"/>
          <w:color w:val="auto"/>
          <w:sz w:val="28"/>
          <w:szCs w:val="28"/>
        </w:rPr>
      </w:pPr>
      <w:r>
        <w:rPr>
          <w:rFonts w:hint="eastAsia"/>
          <w:color w:val="auto"/>
          <w:sz w:val="28"/>
          <w:szCs w:val="28"/>
        </w:rPr>
        <w:t>我司以</w:t>
      </w:r>
      <w:r>
        <w:rPr>
          <w:rFonts w:hint="eastAsia"/>
          <w:color w:val="auto"/>
          <w:sz w:val="28"/>
          <w:szCs w:val="28"/>
          <w:lang w:val="en-US" w:eastAsia="zh-CN"/>
        </w:rPr>
        <w:t>公开</w:t>
      </w:r>
      <w:r>
        <w:rPr>
          <w:rFonts w:hint="eastAsia"/>
          <w:color w:val="auto"/>
          <w:sz w:val="28"/>
          <w:szCs w:val="28"/>
          <w:lang w:eastAsia="zh-CN"/>
        </w:rPr>
        <w:t>竞争性比选</w:t>
      </w:r>
      <w:r>
        <w:rPr>
          <w:rFonts w:hint="eastAsia"/>
          <w:color w:val="auto"/>
          <w:sz w:val="28"/>
          <w:szCs w:val="28"/>
        </w:rPr>
        <w:t>方式进行</w:t>
      </w:r>
      <w:r>
        <w:rPr>
          <w:rFonts w:hint="eastAsia"/>
          <w:color w:val="auto"/>
          <w:sz w:val="28"/>
          <w:szCs w:val="28"/>
          <w:lang w:eastAsia="zh-CN"/>
        </w:rPr>
        <w:t>东南部隧道EPS主机故障维修服务公开竞争性比选</w:t>
      </w:r>
      <w:r>
        <w:rPr>
          <w:rFonts w:hint="eastAsia"/>
          <w:color w:val="auto"/>
          <w:sz w:val="28"/>
          <w:szCs w:val="28"/>
        </w:rPr>
        <w:t>单位的选择</w:t>
      </w:r>
      <w:r>
        <w:rPr>
          <w:rFonts w:hint="eastAsia"/>
          <w:color w:val="auto"/>
          <w:sz w:val="28"/>
          <w:szCs w:val="28"/>
          <w:lang w:eastAsia="zh-CN"/>
        </w:rPr>
        <w:t>，</w:t>
      </w:r>
      <w:r>
        <w:rPr>
          <w:rFonts w:hint="eastAsia"/>
          <w:color w:val="auto"/>
          <w:sz w:val="28"/>
          <w:szCs w:val="28"/>
        </w:rPr>
        <w:t>请按以下要求于20</w:t>
      </w:r>
      <w:r>
        <w:rPr>
          <w:rFonts w:hint="eastAsia"/>
          <w:color w:val="auto"/>
          <w:sz w:val="28"/>
          <w:szCs w:val="28"/>
          <w:lang w:val="en-US" w:eastAsia="zh-CN"/>
        </w:rPr>
        <w:t>20</w:t>
      </w:r>
      <w:r>
        <w:rPr>
          <w:rFonts w:hint="eastAsia"/>
          <w:color w:val="auto"/>
          <w:sz w:val="28"/>
          <w:szCs w:val="28"/>
        </w:rPr>
        <w:t>年</w:t>
      </w:r>
      <w:r>
        <w:rPr>
          <w:rFonts w:hint="eastAsia"/>
          <w:color w:val="auto"/>
          <w:sz w:val="28"/>
          <w:szCs w:val="28"/>
          <w:lang w:val="en-US" w:eastAsia="zh-CN"/>
        </w:rPr>
        <w:t>4</w:t>
      </w:r>
      <w:r>
        <w:rPr>
          <w:rFonts w:hint="eastAsia"/>
          <w:color w:val="auto"/>
          <w:sz w:val="28"/>
          <w:szCs w:val="28"/>
        </w:rPr>
        <w:t>月</w:t>
      </w:r>
      <w:r>
        <w:rPr>
          <w:rFonts w:hint="eastAsia"/>
          <w:color w:val="auto"/>
          <w:sz w:val="28"/>
          <w:szCs w:val="28"/>
          <w:lang w:val="en-US" w:eastAsia="zh-CN"/>
        </w:rPr>
        <w:t>2</w:t>
      </w:r>
      <w:r>
        <w:rPr>
          <w:rFonts w:hint="eastAsia"/>
          <w:color w:val="auto"/>
          <w:sz w:val="28"/>
          <w:szCs w:val="28"/>
        </w:rPr>
        <w:t>日</w:t>
      </w:r>
      <w:r>
        <w:rPr>
          <w:rFonts w:hint="eastAsia"/>
          <w:color w:val="auto"/>
          <w:sz w:val="28"/>
          <w:szCs w:val="28"/>
          <w:lang w:val="en-US" w:eastAsia="zh-CN"/>
        </w:rPr>
        <w:t>下</w:t>
      </w:r>
      <w:r>
        <w:rPr>
          <w:rFonts w:hint="eastAsia"/>
          <w:color w:val="auto"/>
          <w:sz w:val="28"/>
          <w:szCs w:val="28"/>
        </w:rPr>
        <w:t>午</w:t>
      </w:r>
      <w:r>
        <w:rPr>
          <w:rFonts w:hint="eastAsia"/>
          <w:color w:val="auto"/>
          <w:sz w:val="28"/>
          <w:szCs w:val="28"/>
          <w:lang w:val="en-US" w:eastAsia="zh-CN"/>
        </w:rPr>
        <w:t>15</w:t>
      </w:r>
      <w:r>
        <w:rPr>
          <w:rFonts w:hint="eastAsia"/>
          <w:color w:val="auto"/>
          <w:sz w:val="28"/>
          <w:szCs w:val="28"/>
        </w:rPr>
        <w:t>：</w:t>
      </w:r>
      <w:r>
        <w:rPr>
          <w:rFonts w:hint="eastAsia"/>
          <w:color w:val="auto"/>
          <w:sz w:val="28"/>
          <w:szCs w:val="28"/>
          <w:lang w:val="en-US" w:eastAsia="zh-CN"/>
        </w:rPr>
        <w:t>00</w:t>
      </w:r>
      <w:r>
        <w:rPr>
          <w:rFonts w:hint="eastAsia"/>
          <w:color w:val="auto"/>
          <w:sz w:val="28"/>
          <w:szCs w:val="28"/>
        </w:rPr>
        <w:t>前将报价文件</w:t>
      </w:r>
      <w:r>
        <w:rPr>
          <w:rFonts w:hint="eastAsia"/>
          <w:color w:val="auto"/>
          <w:sz w:val="28"/>
          <w:szCs w:val="28"/>
          <w:lang w:val="en-US" w:eastAsia="zh-CN"/>
        </w:rPr>
        <w:t>送至首讯公司办公大楼307室</w:t>
      </w:r>
      <w:r>
        <w:rPr>
          <w:rFonts w:hint="eastAsia"/>
          <w:color w:val="auto"/>
          <w:sz w:val="28"/>
          <w:szCs w:val="28"/>
        </w:rPr>
        <w:t>。</w:t>
      </w:r>
    </w:p>
    <w:p>
      <w:pPr>
        <w:rPr>
          <w:rFonts w:hint="eastAsia"/>
          <w:sz w:val="28"/>
          <w:szCs w:val="28"/>
        </w:rPr>
      </w:pPr>
      <w:r>
        <w:rPr>
          <w:rFonts w:hint="eastAsia"/>
          <w:sz w:val="28"/>
          <w:szCs w:val="28"/>
        </w:rPr>
        <w:t>一、资质要求：</w:t>
      </w:r>
    </w:p>
    <w:p>
      <w:pPr>
        <w:numPr>
          <w:ilvl w:val="0"/>
          <w:numId w:val="0"/>
        </w:numPr>
        <w:outlineLvl w:val="0"/>
        <w:rPr>
          <w:rFonts w:hint="eastAsia"/>
          <w:color w:val="auto"/>
          <w:sz w:val="28"/>
          <w:szCs w:val="28"/>
          <w:lang w:val="en-US" w:eastAsia="zh-CN"/>
        </w:rPr>
      </w:pPr>
      <w:r>
        <w:rPr>
          <w:rFonts w:hint="eastAsia"/>
          <w:color w:val="auto"/>
          <w:sz w:val="28"/>
          <w:szCs w:val="28"/>
          <w:lang w:val="en-US" w:eastAsia="zh-CN"/>
        </w:rPr>
        <w:t xml:space="preserve">（1）报价单位需具提供营业执照； </w:t>
      </w:r>
    </w:p>
    <w:p>
      <w:pPr>
        <w:numPr>
          <w:ilvl w:val="0"/>
          <w:numId w:val="0"/>
        </w:numPr>
        <w:outlineLvl w:val="0"/>
        <w:rPr>
          <w:rFonts w:hint="eastAsia"/>
          <w:color w:val="auto"/>
          <w:sz w:val="28"/>
          <w:szCs w:val="28"/>
          <w:lang w:val="en-US" w:eastAsia="zh-CN"/>
        </w:rPr>
      </w:pPr>
      <w:r>
        <w:rPr>
          <w:rFonts w:hint="eastAsia"/>
          <w:color w:val="auto"/>
          <w:sz w:val="28"/>
          <w:szCs w:val="28"/>
          <w:lang w:val="en-US" w:eastAsia="zh-CN"/>
        </w:rPr>
        <w:t xml:space="preserve">（2）报价单位需为 EPS 或 UPS 制造商或者为 EPS 或 UPS 代理商； </w:t>
      </w:r>
    </w:p>
    <w:p>
      <w:pPr>
        <w:numPr>
          <w:ilvl w:val="0"/>
          <w:numId w:val="0"/>
        </w:numPr>
        <w:outlineLvl w:val="0"/>
        <w:rPr>
          <w:rFonts w:hint="eastAsia"/>
          <w:color w:val="auto"/>
          <w:sz w:val="28"/>
          <w:szCs w:val="28"/>
          <w:lang w:val="en-US" w:eastAsia="zh-CN"/>
        </w:rPr>
      </w:pPr>
      <w:r>
        <w:rPr>
          <w:rFonts w:hint="eastAsia"/>
          <w:color w:val="auto"/>
          <w:sz w:val="28"/>
          <w:szCs w:val="28"/>
          <w:lang w:val="en-US" w:eastAsia="zh-CN"/>
        </w:rPr>
        <w:t xml:space="preserve">（3）若是 EPS 或 UPS 代理商需提供 EPS 或 UPS 设备代理证书者或项目授权文件（代理证书有效时间应至少在2024年3月31日或厂家项目授权文件中约定的技术支持时间至少截至时间为2024年3月31日；原件备查）； </w:t>
      </w:r>
    </w:p>
    <w:p>
      <w:pPr>
        <w:numPr>
          <w:ilvl w:val="0"/>
          <w:numId w:val="0"/>
        </w:numPr>
        <w:outlineLvl w:val="0"/>
        <w:rPr>
          <w:rFonts w:hint="eastAsia" w:ascii="Calibri" w:hAnsi="Calibri" w:eastAsia="宋体" w:cs="Times New Roman"/>
          <w:b w:val="0"/>
          <w:bCs w:val="0"/>
          <w:color w:val="auto"/>
          <w:kern w:val="2"/>
          <w:sz w:val="28"/>
          <w:szCs w:val="28"/>
          <w:lang w:val="en-US" w:eastAsia="zh-CN" w:bidi="ar-SA"/>
        </w:rPr>
      </w:pPr>
      <w:r>
        <w:rPr>
          <w:rFonts w:hint="eastAsia"/>
          <w:color w:val="auto"/>
          <w:sz w:val="28"/>
          <w:szCs w:val="28"/>
          <w:lang w:val="en-US" w:eastAsia="zh-CN"/>
        </w:rPr>
        <w:t>（4）报价单位需提供质检机构出具的 EPS 或 UPS 检测合格报告（原件备查）。</w:t>
      </w:r>
      <w:r>
        <w:rPr>
          <w:rFonts w:hint="eastAsia"/>
          <w:sz w:val="28"/>
          <w:szCs w:val="28"/>
          <w:lang w:val="en-US" w:eastAsia="zh-CN"/>
        </w:rPr>
        <w:t>服务</w:t>
      </w:r>
      <w:r>
        <w:rPr>
          <w:rFonts w:hint="eastAsia"/>
          <w:sz w:val="28"/>
          <w:szCs w:val="28"/>
        </w:rPr>
        <w:t>要求：</w:t>
      </w:r>
    </w:p>
    <w:p>
      <w:pPr>
        <w:numPr>
          <w:ilvl w:val="0"/>
          <w:numId w:val="0"/>
        </w:numPr>
        <w:ind w:firstLine="566" w:firstLineChars="200"/>
        <w:outlineLvl w:val="0"/>
        <w:rPr>
          <w:rFonts w:hint="eastAsia" w:ascii="Calibri" w:hAnsi="Calibri" w:eastAsia="宋体" w:cs="Times New Roman"/>
          <w:b w:val="0"/>
          <w:bCs w:val="0"/>
          <w:color w:val="auto"/>
          <w:kern w:val="2"/>
          <w:sz w:val="28"/>
          <w:szCs w:val="28"/>
          <w:lang w:val="en-US" w:eastAsia="zh-CN" w:bidi="ar-SA"/>
        </w:rPr>
      </w:pPr>
      <w:r>
        <w:rPr>
          <w:rFonts w:hint="eastAsia"/>
          <w:sz w:val="28"/>
          <w:szCs w:val="28"/>
          <w:lang w:val="en-US" w:eastAsia="zh-CN"/>
        </w:rPr>
        <w:t>1、</w:t>
      </w:r>
      <w:r>
        <w:rPr>
          <w:rFonts w:hint="eastAsia" w:ascii="Calibri" w:hAnsi="Calibri" w:eastAsia="宋体" w:cs="Times New Roman"/>
          <w:b w:val="0"/>
          <w:bCs w:val="0"/>
          <w:color w:val="auto"/>
          <w:kern w:val="2"/>
          <w:sz w:val="28"/>
          <w:szCs w:val="28"/>
          <w:lang w:val="en-US" w:eastAsia="zh-CN" w:bidi="ar-SA"/>
        </w:rPr>
        <w:t>本次服务内容为东南部机电管理中心辖区内28台EPS设备3年的运行保障，在运行保障服务期内，报价单位需要通过但不限于维修损坏备件或提供整机的形式保证</w:t>
      </w:r>
      <w:r>
        <w:rPr>
          <w:rFonts w:hint="eastAsia" w:cs="Times New Roman"/>
          <w:b w:val="0"/>
          <w:bCs w:val="0"/>
          <w:color w:val="auto"/>
          <w:kern w:val="2"/>
          <w:sz w:val="28"/>
          <w:szCs w:val="28"/>
          <w:lang w:val="en-US" w:eastAsia="zh-CN" w:bidi="ar-SA"/>
        </w:rPr>
        <w:t>招标人</w:t>
      </w:r>
      <w:r>
        <w:rPr>
          <w:rFonts w:hint="eastAsia" w:ascii="Calibri" w:hAnsi="Calibri" w:eastAsia="宋体" w:cs="Times New Roman"/>
          <w:b w:val="0"/>
          <w:bCs w:val="0"/>
          <w:color w:val="auto"/>
          <w:kern w:val="2"/>
          <w:sz w:val="28"/>
          <w:szCs w:val="28"/>
          <w:lang w:val="en-US" w:eastAsia="zh-CN" w:bidi="ar-SA"/>
        </w:rPr>
        <w:t>EPS设备运行正常</w:t>
      </w:r>
      <w:r>
        <w:rPr>
          <w:rFonts w:hint="eastAsia" w:cs="Times New Roman"/>
          <w:b w:val="0"/>
          <w:bCs w:val="0"/>
          <w:color w:val="auto"/>
          <w:kern w:val="2"/>
          <w:sz w:val="28"/>
          <w:szCs w:val="28"/>
          <w:lang w:val="en-US" w:eastAsia="zh-CN" w:bidi="ar-SA"/>
        </w:rPr>
        <w:t>，若在维护期内出现设备运行不正常的情况，招标人有权根据实际情况相应的减少当年的</w:t>
      </w:r>
      <w:r>
        <w:rPr>
          <w:rFonts w:hint="eastAsia"/>
          <w:color w:val="auto"/>
          <w:sz w:val="28"/>
          <w:szCs w:val="28"/>
          <w:lang w:eastAsia="zh-CN"/>
        </w:rPr>
        <w:t>EPS运行保障服务</w:t>
      </w:r>
      <w:r>
        <w:rPr>
          <w:rFonts w:hint="eastAsia"/>
          <w:color w:val="auto"/>
          <w:sz w:val="28"/>
          <w:szCs w:val="28"/>
          <w:lang w:val="en-US" w:eastAsia="zh-CN"/>
        </w:rPr>
        <w:t>费用的支付</w:t>
      </w:r>
      <w:r>
        <w:rPr>
          <w:rFonts w:hint="eastAsia" w:ascii="Calibri" w:hAnsi="Calibri" w:eastAsia="宋体" w:cs="Times New Roman"/>
          <w:b w:val="0"/>
          <w:bCs w:val="0"/>
          <w:color w:val="auto"/>
          <w:kern w:val="2"/>
          <w:sz w:val="28"/>
          <w:szCs w:val="28"/>
          <w:lang w:val="en-US" w:eastAsia="zh-CN" w:bidi="ar-SA"/>
        </w:rPr>
        <w:t>。</w:t>
      </w:r>
    </w:p>
    <w:p>
      <w:pPr>
        <w:numPr>
          <w:ilvl w:val="0"/>
          <w:numId w:val="0"/>
        </w:numPr>
        <w:ind w:left="566" w:leftChars="0"/>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2、报价单位所更换的备件或者主机产权归招标人所有。</w:t>
      </w:r>
    </w:p>
    <w:p>
      <w:pPr>
        <w:numPr>
          <w:ilvl w:val="0"/>
          <w:numId w:val="0"/>
        </w:numPr>
        <w:ind w:firstLine="566" w:firstLineChars="200"/>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3、报价单位报价前和签订合同后如需要，需自行踏勘现场，招标人不单独组织现场踏勘（联系人：龙强，电话18723002637）。</w:t>
      </w:r>
    </w:p>
    <w:p>
      <w:pPr>
        <w:ind w:firstLine="566"/>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4、合同执行期间在合同维修维保范围之内的设备所产生的一切设备维修（整机更换）和板件更换费用需由报价人自行负责，招标人不再另行支付费用。</w:t>
      </w:r>
    </w:p>
    <w:p>
      <w:pPr>
        <w:pStyle w:val="2"/>
        <w:keepNext/>
        <w:keepLines/>
        <w:pageBreakBefore w:val="0"/>
        <w:widowControl w:val="0"/>
        <w:kinsoku/>
        <w:wordWrap/>
        <w:overflowPunct/>
        <w:topLinePunct w:val="0"/>
        <w:autoSpaceDE/>
        <w:autoSpaceDN/>
        <w:bidi w:val="0"/>
        <w:adjustRightInd/>
        <w:snapToGrid/>
        <w:spacing w:before="0" w:after="0" w:line="377" w:lineRule="auto"/>
        <w:ind w:firstLine="567"/>
        <w:textAlignment w:val="auto"/>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5、按高速集团《高速公路机电系统维护管理办法》和《首讯公司维护管理规定》的规定及本合同约定保质保量地完成维修维护任务。</w:t>
      </w:r>
    </w:p>
    <w:p>
      <w:pPr>
        <w:pStyle w:val="2"/>
        <w:keepNext/>
        <w:keepLines/>
        <w:pageBreakBefore w:val="0"/>
        <w:widowControl w:val="0"/>
        <w:kinsoku/>
        <w:wordWrap/>
        <w:overflowPunct/>
        <w:topLinePunct w:val="0"/>
        <w:autoSpaceDE/>
        <w:autoSpaceDN/>
        <w:bidi w:val="0"/>
        <w:adjustRightInd/>
        <w:snapToGrid/>
        <w:spacing w:before="0" w:after="0" w:line="377" w:lineRule="auto"/>
        <w:ind w:firstLine="567"/>
        <w:textAlignment w:val="auto"/>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6、最低响应时间要求：接到故障通知后，突发性设备故障报价人维修人员应确保8小时内赶到现场；一般设备故障报价人应保证在24小时内排除；特殊设备故障报价人在一周内必须得以解决，保证设备运行正常。</w:t>
      </w:r>
    </w:p>
    <w:p>
      <w:pPr>
        <w:ind w:firstLine="566" w:firstLineChars="200"/>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7、接到招标人通知后必须向项目部提交维护计划，并严格按计划实施。</w:t>
      </w:r>
    </w:p>
    <w:p>
      <w:pPr>
        <w:pStyle w:val="2"/>
        <w:keepNext/>
        <w:keepLines/>
        <w:pageBreakBefore w:val="0"/>
        <w:widowControl w:val="0"/>
        <w:kinsoku/>
        <w:wordWrap/>
        <w:overflowPunct/>
        <w:topLinePunct w:val="0"/>
        <w:autoSpaceDE/>
        <w:autoSpaceDN/>
        <w:bidi w:val="0"/>
        <w:adjustRightInd/>
        <w:snapToGrid/>
        <w:spacing w:before="0" w:after="0" w:line="377" w:lineRule="auto"/>
        <w:ind w:firstLine="566" w:firstLineChars="200"/>
        <w:textAlignment w:val="auto"/>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8、报价人每次检查、维护、保养后，都要出具书面的维修、维护记录报告，并必须经营运公司维护工程师和机电站管理人员的签字认可。</w:t>
      </w:r>
    </w:p>
    <w:p>
      <w:pPr>
        <w:ind w:firstLine="566"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9、维护记录应使用招标人统一提供的专项维护记录表，资料填写必须字迹清晰、工整，不得有空缺和漏填，打印文档要求宋体四号，签名处必须维护人员本人手签。资料一式三份，交</w:t>
      </w:r>
      <w:r>
        <w:rPr>
          <w:rFonts w:hint="eastAsia" w:ascii="Calibri" w:hAnsi="Calibri" w:eastAsia="宋体" w:cs="Times New Roman"/>
          <w:b w:val="0"/>
          <w:bCs w:val="0"/>
          <w:color w:val="auto"/>
          <w:kern w:val="2"/>
          <w:sz w:val="28"/>
          <w:szCs w:val="28"/>
          <w:lang w:val="en-US" w:eastAsia="zh-CN" w:bidi="ar-SA"/>
        </w:rPr>
        <w:t>机电管理中心</w:t>
      </w:r>
      <w:r>
        <w:rPr>
          <w:rFonts w:hint="eastAsia" w:ascii="Times New Roman" w:hAnsi="Times New Roman" w:eastAsia="宋体" w:cs="Times New Roman"/>
          <w:b w:val="0"/>
          <w:bCs w:val="0"/>
          <w:color w:val="auto"/>
          <w:kern w:val="2"/>
          <w:sz w:val="28"/>
          <w:szCs w:val="28"/>
          <w:lang w:val="en-US" w:eastAsia="zh-CN" w:bidi="ar-SA"/>
        </w:rPr>
        <w:t>审核。资料按维护路段于每次维护任务完成后5个工作日内提交</w:t>
      </w:r>
      <w:r>
        <w:rPr>
          <w:rFonts w:hint="eastAsia" w:ascii="Calibri" w:hAnsi="Calibri" w:eastAsia="宋体" w:cs="Times New Roman"/>
          <w:b w:val="0"/>
          <w:bCs w:val="0"/>
          <w:color w:val="auto"/>
          <w:kern w:val="2"/>
          <w:sz w:val="28"/>
          <w:szCs w:val="28"/>
          <w:lang w:val="en-US" w:eastAsia="zh-CN" w:bidi="ar-SA"/>
        </w:rPr>
        <w:t>机电管理中心</w:t>
      </w:r>
      <w:r>
        <w:rPr>
          <w:rFonts w:hint="eastAsia" w:ascii="Times New Roman" w:hAnsi="Times New Roman" w:eastAsia="宋体" w:cs="Times New Roman"/>
          <w:b w:val="0"/>
          <w:bCs w:val="0"/>
          <w:color w:val="auto"/>
          <w:kern w:val="2"/>
          <w:sz w:val="28"/>
          <w:szCs w:val="28"/>
          <w:lang w:val="en-US" w:eastAsia="zh-CN" w:bidi="ar-SA"/>
        </w:rPr>
        <w:t>。</w:t>
      </w:r>
    </w:p>
    <w:p>
      <w:pPr>
        <w:ind w:firstLine="566"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10、维护中发现设备存在故障应如实记录，对于简单故障应现场维修，保证设备运行正常。严重故障以及不能立即修复的设备应详细记录并提交维修计划，并在计划时间内修复。</w:t>
      </w:r>
    </w:p>
    <w:p>
      <w:pPr>
        <w:pStyle w:val="2"/>
        <w:keepNext/>
        <w:keepLines/>
        <w:pageBreakBefore w:val="0"/>
        <w:widowControl w:val="0"/>
        <w:kinsoku/>
        <w:wordWrap/>
        <w:overflowPunct/>
        <w:topLinePunct w:val="0"/>
        <w:autoSpaceDE/>
        <w:autoSpaceDN/>
        <w:bidi w:val="0"/>
        <w:adjustRightInd/>
        <w:snapToGrid/>
        <w:spacing w:before="0" w:after="0" w:line="377" w:lineRule="auto"/>
        <w:ind w:firstLine="566" w:firstLineChars="200"/>
        <w:textAlignment w:val="auto"/>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11、因维护或维修更换配件或材料，必须在维护单上认真填写更换配件的名称、规格、型号、数量、单价，于维护完成后交</w:t>
      </w:r>
      <w:r>
        <w:rPr>
          <w:rFonts w:hint="eastAsia" w:ascii="Calibri" w:hAnsi="Calibri" w:eastAsia="宋体" w:cs="Times New Roman"/>
          <w:b w:val="0"/>
          <w:bCs w:val="0"/>
          <w:color w:val="auto"/>
          <w:kern w:val="2"/>
          <w:sz w:val="28"/>
          <w:szCs w:val="28"/>
          <w:lang w:val="en-US" w:eastAsia="zh-CN" w:bidi="ar-SA"/>
        </w:rPr>
        <w:t>机电管理中心</w:t>
      </w:r>
      <w:r>
        <w:rPr>
          <w:rFonts w:hint="eastAsia" w:ascii="Times New Roman" w:hAnsi="Times New Roman" w:cs="Times New Roman"/>
          <w:b w:val="0"/>
          <w:bCs w:val="0"/>
          <w:color w:val="auto"/>
          <w:kern w:val="2"/>
          <w:sz w:val="28"/>
          <w:szCs w:val="28"/>
          <w:lang w:val="en-US" w:eastAsia="zh-CN" w:bidi="ar-SA"/>
        </w:rPr>
        <w:t>。</w:t>
      </w:r>
    </w:p>
    <w:p>
      <w:pPr>
        <w:ind w:firstLine="566"/>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12、报价人协助招标人建立设备检查、设施故障等专门的电子技术文档；应无条件支持和协助招标人在每次检查前的维护工作。</w:t>
      </w:r>
    </w:p>
    <w:p>
      <w:pPr>
        <w:ind w:firstLine="566"/>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13、免费向招标人提供设备维护培训。</w:t>
      </w:r>
    </w:p>
    <w:p>
      <w:pPr>
        <w:ind w:firstLine="566"/>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14、维护工作中必须服从营运公司管理人员和机电维护人员的指挥和监督。</w:t>
      </w:r>
    </w:p>
    <w:p>
      <w:pPr>
        <w:pStyle w:val="2"/>
        <w:keepNext/>
        <w:keepLines/>
        <w:pageBreakBefore w:val="0"/>
        <w:widowControl w:val="0"/>
        <w:kinsoku/>
        <w:wordWrap/>
        <w:overflowPunct/>
        <w:topLinePunct w:val="0"/>
        <w:autoSpaceDE/>
        <w:autoSpaceDN/>
        <w:bidi w:val="0"/>
        <w:adjustRightInd/>
        <w:snapToGrid/>
        <w:spacing w:before="0" w:after="0" w:line="377" w:lineRule="auto"/>
        <w:ind w:firstLine="566"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15</w:t>
      </w:r>
      <w:r>
        <w:rPr>
          <w:rFonts w:hint="eastAsia" w:ascii="Times New Roman" w:hAnsi="Times New Roman" w:eastAsia="宋体" w:cs="Times New Roman"/>
          <w:b w:val="0"/>
          <w:bCs w:val="0"/>
          <w:color w:val="auto"/>
          <w:kern w:val="2"/>
          <w:sz w:val="28"/>
          <w:szCs w:val="28"/>
          <w:lang w:val="en-US" w:eastAsia="zh-CN" w:bidi="ar-SA"/>
        </w:rPr>
        <w:t>、维护施工范围、维护设备设施、维护人员、维护施工现场，不得影响该维护路段的通行（全封闭维修除外），在维护作业区作业必须按照规定摆放交通标志，并服从交通执法人员的指挥。</w:t>
      </w:r>
    </w:p>
    <w:p>
      <w:pPr>
        <w:ind w:firstLine="566" w:firstLineChars="200"/>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16、应高度重视安全生产，做好安全保障措施，以确保维护作业中的人员和相关工作人员的安全、车辆安全，不得损坏机电和公路设施等，报价人对维护施工现场设备、设施及人员的安全负责。如因报价人原因造成任何交通安全事故、人身损害或财产损失，以及与其他第三方发生任何纠纷或事故，由报价人自行承担相应责任并予以赔偿，造成招标人损失的，报价人应赔偿招标人因此遭受的损失。报价人所有现场施工人员、现场管理人员、现场标志及交通维护人员必须投保商业险，且“人身意外险”每人投保额度不能低于100万、“意外伤害医疗险”每人投保额度不能低于10万。现场施工期间，如招标人现场管理人员发现报价人现场人员未按规定参加保险的，可暂停其施工，待手续完善后再恢复施工。</w:t>
      </w:r>
    </w:p>
    <w:p>
      <w:pPr>
        <w:pStyle w:val="2"/>
        <w:keepNext/>
        <w:keepLines/>
        <w:pageBreakBefore w:val="0"/>
        <w:widowControl w:val="0"/>
        <w:kinsoku/>
        <w:wordWrap/>
        <w:overflowPunct/>
        <w:topLinePunct w:val="0"/>
        <w:autoSpaceDE/>
        <w:autoSpaceDN/>
        <w:bidi w:val="0"/>
        <w:adjustRightInd/>
        <w:snapToGrid/>
        <w:spacing w:before="0" w:after="0" w:line="377" w:lineRule="auto"/>
        <w:ind w:firstLine="566" w:firstLineChars="200"/>
        <w:textAlignment w:val="auto"/>
        <w:rPr>
          <w:rFonts w:hint="default"/>
          <w:lang w:val="en-US" w:eastAsia="zh-CN"/>
        </w:rPr>
      </w:pPr>
      <w:r>
        <w:rPr>
          <w:rFonts w:hint="eastAsia" w:ascii="Times New Roman" w:hAnsi="Times New Roman" w:cs="Times New Roman"/>
          <w:b w:val="0"/>
          <w:bCs w:val="0"/>
          <w:color w:val="auto"/>
          <w:kern w:val="2"/>
          <w:sz w:val="28"/>
          <w:szCs w:val="28"/>
          <w:lang w:val="en-US" w:eastAsia="zh-CN" w:bidi="ar-SA"/>
        </w:rPr>
        <w:t>17</w:t>
      </w:r>
      <w:r>
        <w:rPr>
          <w:rFonts w:hint="eastAsia" w:ascii="Times New Roman" w:hAnsi="Times New Roman" w:eastAsia="宋体" w:cs="Times New Roman"/>
          <w:b w:val="0"/>
          <w:bCs w:val="0"/>
          <w:color w:val="auto"/>
          <w:kern w:val="2"/>
          <w:sz w:val="28"/>
          <w:szCs w:val="28"/>
          <w:lang w:val="en-US" w:eastAsia="zh-CN" w:bidi="ar-SA"/>
        </w:rPr>
        <w:t>、本项目不得转包或</w:t>
      </w:r>
      <w:r>
        <w:rPr>
          <w:rFonts w:hint="eastAsia" w:ascii="Times New Roman" w:hAnsi="Times New Roman" w:cs="Times New Roman"/>
          <w:b w:val="0"/>
          <w:bCs w:val="0"/>
          <w:color w:val="auto"/>
          <w:kern w:val="2"/>
          <w:sz w:val="28"/>
          <w:szCs w:val="28"/>
          <w:lang w:val="en-US" w:eastAsia="zh-CN" w:bidi="ar-SA"/>
        </w:rPr>
        <w:t>任何形式的分包。</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sz w:val="28"/>
          <w:szCs w:val="28"/>
          <w:lang w:eastAsia="zh-CN"/>
        </w:rPr>
      </w:pPr>
      <w:r>
        <w:rPr>
          <w:rFonts w:hint="eastAsia" w:ascii="Calibri" w:hAnsi="Calibri" w:eastAsia="宋体" w:cs="Times New Roman"/>
          <w:b w:val="0"/>
          <w:bCs w:val="0"/>
          <w:color w:val="auto"/>
          <w:kern w:val="2"/>
          <w:sz w:val="28"/>
          <w:szCs w:val="28"/>
          <w:lang w:val="en-US" w:eastAsia="zh-CN" w:bidi="ar-SA"/>
        </w:rPr>
        <w:t>评标标准为：综合评估</w:t>
      </w:r>
      <w:r>
        <w:rPr>
          <w:rFonts w:hint="eastAsia"/>
          <w:sz w:val="28"/>
          <w:szCs w:val="28"/>
          <w:lang w:val="en-US" w:eastAsia="zh-CN"/>
        </w:rPr>
        <w:t>法，得分最高者中标</w:t>
      </w:r>
      <w:r>
        <w:rPr>
          <w:rFonts w:hint="eastAsia"/>
          <w:sz w:val="28"/>
          <w:szCs w:val="28"/>
          <w:lang w:eastAsia="zh-CN"/>
        </w:rPr>
        <w:t>。</w:t>
      </w:r>
    </w:p>
    <w:p>
      <w:pPr>
        <w:ind w:firstLine="570"/>
        <w:rPr>
          <w:rFonts w:hint="default"/>
          <w:sz w:val="28"/>
          <w:szCs w:val="28"/>
          <w:lang w:val="en-US" w:eastAsia="zh-CN"/>
        </w:rPr>
      </w:pPr>
      <w:r>
        <w:rPr>
          <w:rFonts w:hint="eastAsia"/>
          <w:sz w:val="28"/>
          <w:szCs w:val="28"/>
          <w:lang w:eastAsia="zh-CN"/>
        </w:rPr>
        <w:t>本次评标采用综合评估法。评标委员会对满足竞争性比选文件实质性要求的竞争性比选响应文件，按照规定的评分标准进行打分，并按得分由高到低顺序推荐中标候选人，但报价低于其成本的除外。综合评分相等时，以报价人</w:t>
      </w:r>
      <w:r>
        <w:rPr>
          <w:rFonts w:hint="eastAsia"/>
          <w:sz w:val="28"/>
          <w:szCs w:val="28"/>
          <w:lang w:val="en-US" w:eastAsia="zh-CN"/>
        </w:rPr>
        <w:t>所投价格</w:t>
      </w:r>
      <w:r>
        <w:rPr>
          <w:rFonts w:hint="eastAsia"/>
          <w:sz w:val="28"/>
          <w:szCs w:val="28"/>
          <w:lang w:eastAsia="zh-CN"/>
        </w:rPr>
        <w:t>低的优先；报价人</w:t>
      </w:r>
      <w:r>
        <w:rPr>
          <w:rFonts w:hint="eastAsia"/>
          <w:sz w:val="28"/>
          <w:szCs w:val="28"/>
          <w:lang w:val="en-US" w:eastAsia="zh-CN"/>
        </w:rPr>
        <w:t>所投价格</w:t>
      </w:r>
      <w:r>
        <w:rPr>
          <w:rFonts w:hint="eastAsia"/>
          <w:sz w:val="28"/>
          <w:szCs w:val="28"/>
          <w:lang w:eastAsia="zh-CN"/>
        </w:rPr>
        <w:t>也相等的，</w:t>
      </w:r>
      <w:r>
        <w:rPr>
          <w:rFonts w:hint="eastAsia"/>
          <w:sz w:val="28"/>
          <w:szCs w:val="28"/>
          <w:lang w:val="en-US" w:eastAsia="zh-CN"/>
        </w:rPr>
        <w:t>通过抽签的方式</w:t>
      </w:r>
      <w:r>
        <w:rPr>
          <w:rFonts w:hint="eastAsia"/>
          <w:sz w:val="28"/>
          <w:szCs w:val="28"/>
          <w:lang w:eastAsia="zh-CN"/>
        </w:rPr>
        <w:t>确定中标候选人顺序。</w:t>
      </w:r>
      <w:r>
        <w:rPr>
          <w:rFonts w:hint="eastAsia"/>
          <w:sz w:val="28"/>
          <w:szCs w:val="28"/>
          <w:lang w:val="en-US" w:eastAsia="zh-CN"/>
        </w:rPr>
        <w:t xml:space="preserve">  </w:t>
      </w:r>
    </w:p>
    <w:tbl>
      <w:tblPr>
        <w:tblStyle w:val="5"/>
        <w:tblW w:w="10320" w:type="dxa"/>
        <w:jc w:val="center"/>
        <w:tblInd w:w="-9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2"/>
        <w:gridCol w:w="711"/>
        <w:gridCol w:w="1414"/>
        <w:gridCol w:w="7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jc w:val="center"/>
        </w:trPr>
        <w:tc>
          <w:tcPr>
            <w:tcW w:w="103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EPS设备维修综合评分标准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条款号</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分值</w:t>
            </w:r>
          </w:p>
        </w:tc>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评审标准</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价格评审</w:t>
            </w: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14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分值构成：比选申请人的报价评审。总分60分。   评分标准：以通过初步评审的比选申请人进入基准价计算。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报价总价的算术平均值作为基准价，比选申请人含税总报价与评审基准价相比，每高1%扣2分、每低1%扣1分，扣完为止。计算结果四舍五入保留小数点后二位。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1"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商务评审</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类似项目业绩</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似项目业绩，10分：根据参选人近两年年类似项目业绩（含备电类、电力保障、备发电集成、代维等）进行评审，合同总金额100万元及以下的不得分，在100万的基础上，每增加一个100万元，加2分，该项最多得10分。（注：以上业绩需提供清晰的合同主要页彩色打印页，合同主要页指：含有合同所有当事人名称、合同标的物具体内容、价格、时间、合同当事人签名、盖章等内容的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1"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支付方式</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质保期3年，参选人结合本项目可以选择适应自身的付款方式，具体方式如下：（1）第一年支付合同金额的60%，第二、三年分别支付合同金额的20%得10分；（2）第一年支付合同金额的70%，第二、三年分别支付合同金额的15%得6分；（3）第一年支付合同金额的80%，第二、三年分别支付合同金额的10%得4分；（4）第一年支付合同金额的90%，第二、三年分别支付合同金额的5%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4"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技术评审</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人员配置完整性</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选人结合本项目所需代维隧道设备情况及具体位置，根据拟配设片区驻地机构数量、位置等情况，结合隧道维护工作量，故障处理时长等因素，提供人员配置方案，根据人员配置合理性、经济型、科学性进行评审，优秀的得4分，中等的得2分，差的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4"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维护设备及器具的配备包括车辆配备</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选人结合本项目所需代维隧道设备情况及片区驻地机构具体位置，结合工作实际需要，配置维护设备及器具（包括车辆配备）结合实际维护所需，根据方案合理性、科学性、便捷性进行评审，优秀的得4分，中等的得2分，差的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维护工作的计划性和完整性</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参选人结合本项目所需，提供维护工作计划，根据维护工作计划的科学性、可行性、合理性进行评审，优秀的得4分，中等的得2分，差的0分。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维护现场安全管理措施</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参选人结合本项目所需，提供维护现场安全管理措施，根据措施的科学性、可行性、合理性进行评审，优秀的得4分，中等的得2分，差的0分。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紧急事件响应措施及协调能力。</w:t>
            </w:r>
          </w:p>
        </w:tc>
        <w:tc>
          <w:tcPr>
            <w:tcW w:w="7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参选人结合本项目所需，提供紧急事件响应措施方案。优秀的得4分，中等的得2分，差的0分。</w:t>
            </w:r>
          </w:p>
        </w:tc>
      </w:tr>
    </w:tbl>
    <w:p>
      <w:pPr>
        <w:numPr>
          <w:ilvl w:val="0"/>
          <w:numId w:val="2"/>
        </w:numPr>
        <w:outlineLvl w:val="0"/>
        <w:rPr>
          <w:rFonts w:hint="eastAsia"/>
          <w:sz w:val="28"/>
          <w:szCs w:val="28"/>
        </w:rPr>
      </w:pPr>
      <w:r>
        <w:rPr>
          <w:rFonts w:hint="eastAsia"/>
          <w:sz w:val="28"/>
          <w:szCs w:val="28"/>
          <w:lang w:eastAsia="zh-CN"/>
        </w:rPr>
        <w:t>设备</w:t>
      </w:r>
      <w:r>
        <w:rPr>
          <w:rFonts w:hint="eastAsia"/>
          <w:sz w:val="28"/>
          <w:szCs w:val="28"/>
        </w:rPr>
        <w:t>量清单：</w:t>
      </w:r>
    </w:p>
    <w:p>
      <w:pPr>
        <w:outlineLvl w:val="0"/>
        <w:rPr>
          <w:rFonts w:hint="eastAsia"/>
          <w:sz w:val="28"/>
          <w:szCs w:val="28"/>
        </w:rPr>
      </w:pPr>
      <w:r>
        <w:rPr>
          <w:rFonts w:hint="eastAsia"/>
          <w:sz w:val="28"/>
          <w:szCs w:val="28"/>
        </w:rPr>
        <w:t>报价须知：</w:t>
      </w:r>
    </w:p>
    <w:p>
      <w:pPr>
        <w:numPr>
          <w:ilvl w:val="0"/>
          <w:numId w:val="3"/>
        </w:numPr>
        <w:rPr>
          <w:rFonts w:hint="eastAsia"/>
          <w:b/>
          <w:sz w:val="28"/>
          <w:szCs w:val="28"/>
        </w:rPr>
      </w:pPr>
      <w:r>
        <w:rPr>
          <w:rFonts w:hint="eastAsia"/>
          <w:sz w:val="28"/>
          <w:szCs w:val="28"/>
        </w:rPr>
        <w:t>报价人应在充分考虑上下货及运输费用</w:t>
      </w:r>
      <w:r>
        <w:rPr>
          <w:rFonts w:hint="eastAsia"/>
          <w:sz w:val="28"/>
          <w:szCs w:val="28"/>
          <w:lang w:val="en-US" w:eastAsia="zh-CN"/>
        </w:rPr>
        <w:t>(安装地点）</w:t>
      </w:r>
      <w:r>
        <w:rPr>
          <w:rFonts w:hint="eastAsia"/>
          <w:sz w:val="28"/>
          <w:szCs w:val="28"/>
        </w:rPr>
        <w:t>、</w:t>
      </w:r>
      <w:r>
        <w:rPr>
          <w:rFonts w:hint="eastAsia"/>
          <w:sz w:val="28"/>
          <w:szCs w:val="28"/>
          <w:lang w:val="en-US" w:eastAsia="zh-CN"/>
        </w:rPr>
        <w:t>安装调试费用、交通组织、车辆通行费、拆除、转运、税金6%增值税专用发票</w:t>
      </w:r>
      <w:r>
        <w:rPr>
          <w:rFonts w:hint="eastAsia"/>
          <w:sz w:val="28"/>
          <w:szCs w:val="28"/>
        </w:rPr>
        <w:t>等费用，费用分摊到其它相关报价中，业主不再另行支付</w:t>
      </w:r>
      <w:r>
        <w:rPr>
          <w:rFonts w:hint="eastAsia"/>
          <w:b/>
          <w:sz w:val="28"/>
          <w:szCs w:val="28"/>
        </w:rPr>
        <w:t>。</w:t>
      </w:r>
    </w:p>
    <w:p>
      <w:pPr>
        <w:numPr>
          <w:ilvl w:val="0"/>
          <w:numId w:val="3"/>
        </w:numPr>
        <w:rPr>
          <w:rFonts w:hint="eastAsia"/>
          <w:b/>
          <w:sz w:val="28"/>
          <w:szCs w:val="28"/>
        </w:rPr>
      </w:pPr>
      <w:r>
        <w:rPr>
          <w:rFonts w:hint="eastAsia"/>
          <w:sz w:val="28"/>
          <w:szCs w:val="28"/>
        </w:rPr>
        <w:t>投标人提供的</w:t>
      </w:r>
      <w:r>
        <w:rPr>
          <w:rFonts w:hint="eastAsia"/>
          <w:sz w:val="28"/>
          <w:szCs w:val="28"/>
          <w:lang w:val="en-US" w:eastAsia="zh-CN"/>
        </w:rPr>
        <w:t>设备</w:t>
      </w:r>
      <w:r>
        <w:rPr>
          <w:rFonts w:hint="eastAsia"/>
          <w:sz w:val="28"/>
          <w:szCs w:val="28"/>
        </w:rPr>
        <w:t>原则上应与原规格匹配；若提供的</w:t>
      </w:r>
      <w:r>
        <w:rPr>
          <w:rFonts w:hint="eastAsia"/>
          <w:sz w:val="28"/>
          <w:szCs w:val="28"/>
          <w:lang w:val="en-US" w:eastAsia="zh-CN"/>
        </w:rPr>
        <w:t>设备</w:t>
      </w:r>
      <w:r>
        <w:rPr>
          <w:rFonts w:hint="eastAsia"/>
          <w:sz w:val="28"/>
          <w:szCs w:val="28"/>
        </w:rPr>
        <w:t>与原规格不匹配时，其技术指标不得低于且最接近原规格型号</w:t>
      </w:r>
      <w:r>
        <w:rPr>
          <w:rFonts w:hint="eastAsia"/>
          <w:sz w:val="28"/>
          <w:szCs w:val="28"/>
          <w:lang w:eastAsia="zh-CN"/>
        </w:rPr>
        <w:t>。</w:t>
      </w:r>
    </w:p>
    <w:p>
      <w:pPr>
        <w:numPr>
          <w:ilvl w:val="0"/>
          <w:numId w:val="3"/>
        </w:numPr>
        <w:rPr>
          <w:rFonts w:hint="eastAsia"/>
          <w:sz w:val="28"/>
          <w:szCs w:val="28"/>
        </w:rPr>
      </w:pPr>
      <w:r>
        <w:rPr>
          <w:rFonts w:hint="eastAsia"/>
          <w:sz w:val="28"/>
          <w:szCs w:val="28"/>
        </w:rPr>
        <w:t>投标人应认真阅读《</w:t>
      </w:r>
      <w:r>
        <w:rPr>
          <w:rFonts w:hint="eastAsia"/>
          <w:sz w:val="28"/>
          <w:szCs w:val="28"/>
          <w:lang w:eastAsia="zh-CN"/>
        </w:rPr>
        <w:t>设备技术参数要求</w:t>
      </w:r>
      <w:r>
        <w:rPr>
          <w:rFonts w:hint="eastAsia"/>
          <w:sz w:val="28"/>
          <w:szCs w:val="28"/>
        </w:rPr>
        <w:t>》后以确认在填报单价和价格之前，设备的所在范围已被包括在每个项目内，报出的单价和价格应被认为包括所有劳务、材料、机械、运输、出厂检验、缺陷修复、相关税率、水电、利润和明示或隐含的风险、保险、责任和义务。</w:t>
      </w:r>
    </w:p>
    <w:p>
      <w:pPr>
        <w:numPr>
          <w:ilvl w:val="0"/>
          <w:numId w:val="3"/>
        </w:numPr>
        <w:rPr>
          <w:rFonts w:hint="eastAsia"/>
          <w:sz w:val="28"/>
          <w:szCs w:val="28"/>
        </w:rPr>
      </w:pPr>
      <w:r>
        <w:rPr>
          <w:rFonts w:hint="eastAsia"/>
          <w:sz w:val="28"/>
          <w:szCs w:val="28"/>
        </w:rPr>
        <w:t>报价清单中单价在合同执行过程中保持固定不变（除特别说明项外）。</w:t>
      </w:r>
    </w:p>
    <w:p>
      <w:pPr>
        <w:numPr>
          <w:ilvl w:val="0"/>
          <w:numId w:val="3"/>
        </w:numPr>
        <w:rPr>
          <w:rFonts w:hint="eastAsia"/>
          <w:sz w:val="28"/>
          <w:szCs w:val="28"/>
        </w:rPr>
      </w:pPr>
      <w:r>
        <w:rPr>
          <w:rFonts w:hint="eastAsia"/>
          <w:sz w:val="28"/>
          <w:szCs w:val="28"/>
        </w:rPr>
        <w:t>报价清单中各项金额均以人民币（元）结算。</w:t>
      </w:r>
    </w:p>
    <w:p>
      <w:pPr>
        <w:numPr>
          <w:ilvl w:val="0"/>
          <w:numId w:val="3"/>
        </w:numPr>
        <w:rPr>
          <w:rFonts w:hint="eastAsia"/>
          <w:b/>
          <w:color w:val="FF0000"/>
          <w:sz w:val="28"/>
          <w:szCs w:val="28"/>
        </w:rPr>
      </w:pPr>
      <w:r>
        <w:rPr>
          <w:rFonts w:hint="eastAsia"/>
          <w:sz w:val="28"/>
          <w:szCs w:val="28"/>
        </w:rPr>
        <w:t>需缴纳的一切税费均由报价单位承担，所有税费均由供货单位自行缴纳；</w:t>
      </w:r>
    </w:p>
    <w:p>
      <w:pPr>
        <w:numPr>
          <w:ilvl w:val="0"/>
          <w:numId w:val="3"/>
        </w:numPr>
        <w:rPr>
          <w:rFonts w:hint="eastAsia"/>
          <w:b/>
          <w:sz w:val="28"/>
          <w:szCs w:val="28"/>
        </w:rPr>
      </w:pPr>
      <w:r>
        <w:rPr>
          <w:rFonts w:hint="eastAsia"/>
          <w:b/>
          <w:sz w:val="28"/>
          <w:szCs w:val="28"/>
          <w:lang w:val="en-US" w:eastAsia="zh-CN"/>
        </w:rPr>
        <w:t>服务</w:t>
      </w:r>
      <w:r>
        <w:rPr>
          <w:rFonts w:hint="eastAsia"/>
          <w:b/>
          <w:sz w:val="28"/>
          <w:szCs w:val="28"/>
        </w:rPr>
        <w:t>清单需加盖</w:t>
      </w:r>
      <w:r>
        <w:rPr>
          <w:rFonts w:hint="eastAsia"/>
          <w:b/>
          <w:sz w:val="28"/>
          <w:szCs w:val="28"/>
          <w:lang w:eastAsia="zh-CN"/>
        </w:rPr>
        <w:t>竞争性比选</w:t>
      </w:r>
      <w:r>
        <w:rPr>
          <w:rFonts w:hint="eastAsia"/>
          <w:b/>
          <w:sz w:val="28"/>
          <w:szCs w:val="28"/>
        </w:rPr>
        <w:t>响应单位的公章</w:t>
      </w:r>
      <w:r>
        <w:rPr>
          <w:rFonts w:hint="eastAsia"/>
          <w:b/>
          <w:sz w:val="28"/>
          <w:szCs w:val="28"/>
          <w:lang w:eastAsia="zh-CN"/>
        </w:rPr>
        <w:t>，报价文件需逐页加盖公章，报价文件一式两份（需在打印店装订成册），正副本各一份，</w:t>
      </w:r>
      <w:r>
        <w:rPr>
          <w:rFonts w:hint="eastAsia"/>
          <w:b/>
          <w:sz w:val="28"/>
          <w:szCs w:val="28"/>
          <w:lang w:val="en-US" w:eastAsia="zh-CN"/>
        </w:rPr>
        <w:t>在右上角标注“正本”、“副本”，</w:t>
      </w:r>
      <w:r>
        <w:rPr>
          <w:rFonts w:hint="eastAsia"/>
          <w:b/>
          <w:sz w:val="28"/>
          <w:szCs w:val="28"/>
          <w:lang w:eastAsia="zh-CN"/>
        </w:rPr>
        <w:t>正本需彩色打印。否则竞争性比选人有权拒收报价人的报价文件。</w:t>
      </w:r>
    </w:p>
    <w:p>
      <w:pPr>
        <w:numPr>
          <w:ilvl w:val="0"/>
          <w:numId w:val="3"/>
        </w:numPr>
        <w:rPr>
          <w:rFonts w:hint="eastAsia"/>
          <w:b/>
          <w:sz w:val="28"/>
          <w:szCs w:val="28"/>
        </w:rPr>
      </w:pPr>
      <w:r>
        <w:rPr>
          <w:rFonts w:hint="eastAsia"/>
          <w:b/>
          <w:sz w:val="28"/>
          <w:szCs w:val="28"/>
        </w:rPr>
        <w:t>合同支付办法为</w:t>
      </w:r>
      <w:r>
        <w:rPr>
          <w:rFonts w:hint="eastAsia"/>
          <w:b/>
          <w:sz w:val="28"/>
          <w:szCs w:val="28"/>
          <w:lang w:val="en-US" w:eastAsia="zh-CN"/>
        </w:rPr>
        <w:t>第一年运行保障服务结束并通过招标人确认后，支付第一年的运行保障服务费，以此类推完成3年运行保障服务的支付</w:t>
      </w:r>
      <w:r>
        <w:rPr>
          <w:rFonts w:hint="eastAsia"/>
          <w:b/>
          <w:sz w:val="28"/>
          <w:szCs w:val="28"/>
          <w:lang w:eastAsia="zh-CN"/>
        </w:rPr>
        <w:t>。</w:t>
      </w:r>
    </w:p>
    <w:p>
      <w:pPr>
        <w:numPr>
          <w:ilvl w:val="0"/>
          <w:numId w:val="3"/>
        </w:numPr>
        <w:rPr>
          <w:rFonts w:hint="eastAsia"/>
          <w:b/>
          <w:color w:val="auto"/>
          <w:sz w:val="28"/>
          <w:szCs w:val="28"/>
          <w:lang w:val="en-US" w:eastAsia="zh-CN"/>
        </w:rPr>
      </w:pPr>
      <w:r>
        <w:rPr>
          <w:rFonts w:hint="eastAsia"/>
          <w:b/>
          <w:color w:val="auto"/>
          <w:sz w:val="28"/>
          <w:szCs w:val="28"/>
          <w:lang w:val="en-US" w:eastAsia="zh-CN"/>
        </w:rPr>
        <w:t>本次运行保障服务期限为3</w:t>
      </w:r>
      <w:r>
        <w:rPr>
          <w:rFonts w:hint="eastAsia"/>
          <w:b/>
          <w:color w:val="auto"/>
          <w:sz w:val="28"/>
          <w:szCs w:val="28"/>
        </w:rPr>
        <w:t>年</w:t>
      </w:r>
      <w:r>
        <w:rPr>
          <w:rFonts w:hint="eastAsia"/>
          <w:b/>
          <w:color w:val="auto"/>
          <w:sz w:val="28"/>
          <w:szCs w:val="28"/>
          <w:lang w:eastAsia="zh-CN"/>
        </w:rPr>
        <w:t>，</w:t>
      </w:r>
      <w:r>
        <w:rPr>
          <w:rFonts w:hint="eastAsia"/>
          <w:b/>
          <w:color w:val="auto"/>
          <w:sz w:val="28"/>
          <w:szCs w:val="28"/>
          <w:lang w:val="en-US" w:eastAsia="zh-CN"/>
        </w:rPr>
        <w:t>从合同签之日起计算。合同签订形式为1+1+1模式，合同一年期满后，若报价人在年度评价中获得B等及以上，则第二年合同自动生效，以此类推知道三年期合同履约完毕，否则招标人有权利选择决定是否继续合作。</w:t>
      </w:r>
    </w:p>
    <w:p>
      <w:pPr>
        <w:numPr>
          <w:ilvl w:val="0"/>
          <w:numId w:val="3"/>
        </w:numPr>
        <w:rPr>
          <w:rFonts w:hint="eastAsia"/>
          <w:b/>
          <w:color w:val="auto"/>
          <w:sz w:val="28"/>
          <w:szCs w:val="28"/>
          <w:lang w:val="en-US" w:eastAsia="zh-CN"/>
        </w:rPr>
      </w:pPr>
      <w:r>
        <w:rPr>
          <w:rFonts w:hint="eastAsia"/>
          <w:b/>
          <w:color w:val="auto"/>
          <w:sz w:val="28"/>
          <w:szCs w:val="28"/>
          <w:lang w:val="en-US" w:eastAsia="zh-CN"/>
        </w:rPr>
        <w:t>该项目总限价为950000.00元（详细见清单）。</w:t>
      </w:r>
    </w:p>
    <w:p>
      <w:pPr>
        <w:pStyle w:val="3"/>
        <w:numPr>
          <w:ilvl w:val="0"/>
          <w:numId w:val="4"/>
        </w:numPr>
        <w:spacing w:line="360" w:lineRule="auto"/>
        <w:jc w:val="both"/>
        <w:rPr>
          <w:rFonts w:hint="eastAsia"/>
          <w:b/>
          <w:szCs w:val="28"/>
          <w:lang w:eastAsia="zh-CN"/>
        </w:rPr>
      </w:pPr>
      <w:r>
        <w:rPr>
          <w:rFonts w:hint="eastAsia"/>
          <w:b/>
          <w:szCs w:val="28"/>
          <w:lang w:eastAsia="zh-CN"/>
        </w:rPr>
        <w:t>本次竞争性比选响应文件的组成：竞争性比选响应声明书、报价一览表、竞争性比选响应单位三证合一的营业执照（副本）复印件（要求原件备查）本竞争性比选文件其它条款要求提供的文件以及竞争性比选响应单位认为需要提供的其他相关文件（注：以上所有文件均须加盖竞争性比选响应单位的公章）。</w:t>
      </w:r>
    </w:p>
    <w:p>
      <w:pPr>
        <w:pStyle w:val="3"/>
        <w:numPr>
          <w:numId w:val="0"/>
        </w:numPr>
        <w:spacing w:line="360" w:lineRule="auto"/>
        <w:jc w:val="both"/>
        <w:rPr>
          <w:rFonts w:hint="eastAsia"/>
          <w:b w:val="0"/>
          <w:szCs w:val="28"/>
        </w:rPr>
      </w:pPr>
      <w:bookmarkStart w:id="0" w:name="_GoBack"/>
      <w:bookmarkEnd w:id="0"/>
      <w:r>
        <w:rPr>
          <w:rFonts w:hint="eastAsia"/>
          <w:b w:val="0"/>
          <w:szCs w:val="28"/>
          <w:lang w:eastAsia="zh-CN"/>
        </w:rPr>
        <w:t>六</w:t>
      </w:r>
      <w:r>
        <w:rPr>
          <w:rFonts w:hint="eastAsia"/>
          <w:b w:val="0"/>
          <w:szCs w:val="28"/>
        </w:rPr>
        <w:t>、密封要求：</w:t>
      </w:r>
    </w:p>
    <w:p>
      <w:pPr>
        <w:pStyle w:val="3"/>
        <w:spacing w:line="360" w:lineRule="auto"/>
        <w:ind w:firstLine="566" w:firstLineChars="200"/>
        <w:jc w:val="both"/>
        <w:rPr>
          <w:rFonts w:hint="eastAsia"/>
          <w:sz w:val="28"/>
          <w:szCs w:val="28"/>
          <w:u w:val="wave" w:color="FFFFFF"/>
        </w:rPr>
      </w:pPr>
      <w:r>
        <w:rPr>
          <w:rFonts w:hint="eastAsia"/>
          <w:sz w:val="28"/>
          <w:szCs w:val="28"/>
          <w:u w:val="wave" w:color="FFFFFF"/>
        </w:rPr>
        <w:t>按第</w:t>
      </w:r>
      <w:r>
        <w:rPr>
          <w:rFonts w:hint="eastAsia"/>
          <w:sz w:val="28"/>
          <w:szCs w:val="28"/>
          <w:u w:val="wave" w:color="FFFFFF"/>
          <w:lang w:val="en-US" w:eastAsia="zh-CN"/>
        </w:rPr>
        <w:t>五</w:t>
      </w:r>
      <w:r>
        <w:rPr>
          <w:rFonts w:hint="eastAsia"/>
          <w:sz w:val="28"/>
          <w:szCs w:val="28"/>
          <w:u w:val="wave" w:color="FFFFFF"/>
        </w:rPr>
        <w:t>条要求制作的</w:t>
      </w:r>
      <w:r>
        <w:rPr>
          <w:rFonts w:hint="eastAsia"/>
          <w:sz w:val="28"/>
          <w:szCs w:val="28"/>
          <w:u w:val="wave" w:color="FFFFFF"/>
          <w:lang w:eastAsia="zh-CN"/>
        </w:rPr>
        <w:t>竞争性比选</w:t>
      </w:r>
      <w:r>
        <w:rPr>
          <w:rFonts w:hint="eastAsia"/>
          <w:sz w:val="28"/>
          <w:szCs w:val="28"/>
          <w:u w:val="wave" w:color="FFFFFF"/>
        </w:rPr>
        <w:t>响应文件，将其密封到一个封套中，在封套上写明</w:t>
      </w:r>
      <w:r>
        <w:rPr>
          <w:rFonts w:hint="eastAsia"/>
          <w:sz w:val="28"/>
          <w:szCs w:val="28"/>
          <w:u w:val="wave" w:color="FFFFFF"/>
          <w:lang w:eastAsia="zh-CN"/>
        </w:rPr>
        <w:t>东南部隧道EPS主机故障维修服务公开竞争性比选响应文件在20</w:t>
      </w:r>
      <w:r>
        <w:rPr>
          <w:rFonts w:hint="eastAsia"/>
          <w:sz w:val="28"/>
          <w:szCs w:val="28"/>
          <w:u w:val="wave" w:color="FFFFFF"/>
          <w:lang w:val="en-US" w:eastAsia="zh-CN"/>
        </w:rPr>
        <w:t>21</w:t>
      </w:r>
      <w:r>
        <w:rPr>
          <w:rFonts w:hint="eastAsia"/>
          <w:sz w:val="28"/>
          <w:szCs w:val="28"/>
          <w:u w:val="wave" w:color="FFFFFF"/>
          <w:lang w:eastAsia="zh-CN"/>
        </w:rPr>
        <w:t>年</w:t>
      </w:r>
      <w:r>
        <w:rPr>
          <w:rFonts w:hint="eastAsia"/>
          <w:sz w:val="28"/>
          <w:szCs w:val="28"/>
          <w:u w:val="wave" w:color="FFFFFF"/>
          <w:lang w:val="en-US" w:eastAsia="zh-CN"/>
        </w:rPr>
        <w:t>4</w:t>
      </w:r>
      <w:r>
        <w:rPr>
          <w:rFonts w:hint="eastAsia"/>
          <w:sz w:val="28"/>
          <w:szCs w:val="28"/>
          <w:u w:val="wave" w:color="FFFFFF"/>
          <w:lang w:eastAsia="zh-CN"/>
        </w:rPr>
        <w:t>月</w:t>
      </w:r>
      <w:r>
        <w:rPr>
          <w:rFonts w:hint="eastAsia"/>
          <w:sz w:val="28"/>
          <w:szCs w:val="28"/>
          <w:u w:val="wave" w:color="FFFFFF"/>
          <w:lang w:val="en-US" w:eastAsia="zh-CN"/>
        </w:rPr>
        <w:t>2</w:t>
      </w:r>
      <w:r>
        <w:rPr>
          <w:rFonts w:hint="eastAsia"/>
          <w:sz w:val="28"/>
          <w:szCs w:val="28"/>
          <w:u w:val="wave" w:color="FFFFFF"/>
          <w:lang w:eastAsia="zh-CN"/>
        </w:rPr>
        <w:t>日下午</w:t>
      </w:r>
      <w:r>
        <w:rPr>
          <w:rFonts w:hint="eastAsia"/>
          <w:sz w:val="28"/>
          <w:szCs w:val="28"/>
          <w:u w:val="wave" w:color="FFFFFF"/>
          <w:lang w:val="en-US" w:eastAsia="zh-CN"/>
        </w:rPr>
        <w:t>15</w:t>
      </w:r>
      <w:r>
        <w:rPr>
          <w:rFonts w:hint="eastAsia"/>
          <w:sz w:val="28"/>
          <w:szCs w:val="28"/>
          <w:u w:val="wave" w:color="FFFFFF"/>
          <w:lang w:eastAsia="zh-CN"/>
        </w:rPr>
        <w:t>：</w:t>
      </w:r>
      <w:r>
        <w:rPr>
          <w:rFonts w:hint="eastAsia"/>
          <w:sz w:val="28"/>
          <w:szCs w:val="28"/>
          <w:u w:val="wave" w:color="FFFFFF"/>
          <w:lang w:val="en-US" w:eastAsia="zh-CN"/>
        </w:rPr>
        <w:t>0</w:t>
      </w:r>
      <w:r>
        <w:rPr>
          <w:rFonts w:hint="eastAsia"/>
          <w:sz w:val="28"/>
          <w:szCs w:val="28"/>
          <w:u w:val="wave" w:color="FFFFFF"/>
          <w:lang w:eastAsia="zh-CN"/>
        </w:rPr>
        <w:t>0时前不得开启</w:t>
      </w:r>
    </w:p>
    <w:p>
      <w:pPr>
        <w:spacing w:line="360" w:lineRule="auto"/>
        <w:rPr>
          <w:rFonts w:hint="eastAsia" w:ascii="仿宋_GB2312" w:eastAsia="仿宋_GB2312"/>
          <w:b/>
          <w:sz w:val="28"/>
          <w:szCs w:val="28"/>
          <w:lang w:val="en-US" w:eastAsia="zh-CN"/>
        </w:rPr>
      </w:pPr>
      <w:r>
        <w:rPr>
          <w:rFonts w:hint="eastAsia" w:ascii="仿宋_GB2312" w:eastAsia="仿宋_GB2312"/>
          <w:b/>
          <w:sz w:val="28"/>
          <w:szCs w:val="28"/>
        </w:rPr>
        <w:t>联系人:</w:t>
      </w:r>
      <w:r>
        <w:rPr>
          <w:rFonts w:hint="eastAsia" w:ascii="仿宋_GB2312" w:eastAsia="仿宋_GB2312"/>
          <w:b/>
          <w:sz w:val="28"/>
          <w:szCs w:val="28"/>
          <w:lang w:val="en-US" w:eastAsia="zh-CN"/>
        </w:rPr>
        <w:t>梁老师</w:t>
      </w:r>
      <w:r>
        <w:rPr>
          <w:rFonts w:hint="eastAsia" w:ascii="仿宋_GB2312" w:eastAsia="仿宋_GB2312"/>
          <w:b/>
          <w:sz w:val="28"/>
          <w:szCs w:val="28"/>
        </w:rPr>
        <w:t xml:space="preserve">       电话：</w:t>
      </w:r>
      <w:r>
        <w:rPr>
          <w:rFonts w:hint="eastAsia" w:ascii="仿宋_GB2312" w:eastAsia="仿宋_GB2312"/>
          <w:b/>
          <w:sz w:val="28"/>
          <w:szCs w:val="28"/>
          <w:lang w:val="en-US" w:eastAsia="zh-CN"/>
        </w:rPr>
        <w:t>17723001016</w:t>
      </w:r>
    </w:p>
    <w:p>
      <w:pPr>
        <w:spacing w:line="360" w:lineRule="auto"/>
        <w:rPr>
          <w:rFonts w:hint="eastAsia" w:ascii="仿宋_GB2312" w:eastAsia="仿宋_GB2312"/>
          <w:b/>
          <w:sz w:val="28"/>
          <w:szCs w:val="28"/>
        </w:rPr>
      </w:pPr>
      <w:r>
        <w:rPr>
          <w:rFonts w:hint="eastAsia" w:ascii="仿宋_GB2312" w:eastAsia="仿宋_GB2312"/>
          <w:b/>
          <w:sz w:val="28"/>
          <w:szCs w:val="28"/>
          <w:lang w:eastAsia="zh-CN"/>
        </w:rPr>
        <w:t>监督电话：</w:t>
      </w:r>
      <w:r>
        <w:rPr>
          <w:rFonts w:hint="eastAsia" w:ascii="仿宋_GB2312" w:eastAsia="仿宋_GB2312"/>
          <w:b/>
          <w:sz w:val="28"/>
          <w:szCs w:val="28"/>
          <w:lang w:val="en-US" w:eastAsia="zh-CN"/>
        </w:rPr>
        <w:t>023-89021335</w:t>
      </w:r>
      <w:r>
        <w:rPr>
          <w:rFonts w:hint="eastAsia" w:ascii="仿宋_GB2312" w:eastAsia="仿宋_GB2312"/>
          <w:b/>
          <w:sz w:val="28"/>
          <w:szCs w:val="28"/>
        </w:rPr>
        <w:t xml:space="preserve">  </w:t>
      </w:r>
    </w:p>
    <w:p>
      <w:pPr>
        <w:spacing w:line="360" w:lineRule="auto"/>
        <w:rPr>
          <w:rFonts w:hint="eastAsia"/>
          <w:b/>
          <w:sz w:val="24"/>
        </w:rPr>
      </w:pPr>
      <w:r>
        <w:rPr>
          <w:rFonts w:hint="eastAsia" w:ascii="仿宋_GB2312" w:eastAsia="仿宋_GB2312"/>
          <w:b/>
          <w:sz w:val="28"/>
          <w:szCs w:val="28"/>
        </w:rPr>
        <w:t>地址：重庆市</w:t>
      </w:r>
      <w:r>
        <w:rPr>
          <w:rFonts w:hint="eastAsia" w:ascii="仿宋_GB2312" w:eastAsia="仿宋_GB2312"/>
          <w:b/>
          <w:sz w:val="28"/>
          <w:szCs w:val="28"/>
          <w:lang w:eastAsia="zh-CN"/>
        </w:rPr>
        <w:t>南岸区四公里内环入口高速集团首讯科技大楼</w:t>
      </w:r>
      <w:r>
        <w:rPr>
          <w:rFonts w:hint="eastAsia" w:ascii="仿宋_GB2312" w:eastAsia="仿宋_GB2312"/>
          <w:b/>
          <w:sz w:val="28"/>
          <w:szCs w:val="28"/>
          <w:lang w:val="en-US" w:eastAsia="zh-CN"/>
        </w:rPr>
        <w:t>307</w:t>
      </w:r>
    </w:p>
    <w:p>
      <w:pPr>
        <w:jc w:val="center"/>
        <w:rPr>
          <w:rFonts w:hint="eastAsia"/>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长城仿宋">
    <w:altName w:val="仿宋"/>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7EEAD"/>
    <w:multiLevelType w:val="singleLevel"/>
    <w:tmpl w:val="CF97EEAD"/>
    <w:lvl w:ilvl="0" w:tentative="0">
      <w:start w:val="3"/>
      <w:numFmt w:val="chineseCounting"/>
      <w:suff w:val="nothing"/>
      <w:lvlText w:val="%1、"/>
      <w:lvlJc w:val="left"/>
      <w:rPr>
        <w:rFonts w:hint="eastAsia"/>
      </w:rPr>
    </w:lvl>
  </w:abstractNum>
  <w:abstractNum w:abstractNumId="1">
    <w:nsid w:val="59CC917A"/>
    <w:multiLevelType w:val="singleLevel"/>
    <w:tmpl w:val="59CC917A"/>
    <w:lvl w:ilvl="0" w:tentative="0">
      <w:start w:val="4"/>
      <w:numFmt w:val="chineseCounting"/>
      <w:suff w:val="nothing"/>
      <w:lvlText w:val="%1、"/>
      <w:lvlJc w:val="left"/>
    </w:lvl>
  </w:abstractNum>
  <w:abstractNum w:abstractNumId="2">
    <w:nsid w:val="5D2B0B7E"/>
    <w:multiLevelType w:val="multilevel"/>
    <w:tmpl w:val="5D2B0B7E"/>
    <w:lvl w:ilvl="0" w:tentative="0">
      <w:start w:val="1"/>
      <w:numFmt w:val="decimal"/>
      <w:lvlText w:val="%1）"/>
      <w:lvlJc w:val="left"/>
      <w:pPr>
        <w:ind w:left="720" w:hanging="72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617ACD"/>
    <w:multiLevelType w:val="singleLevel"/>
    <w:tmpl w:val="60617ACD"/>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B1B4A"/>
    <w:rsid w:val="14FB1B4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2021-03-29T06:55:00Z</dcterms:created>
  <dc:creator>梁宏达</dc:creator>
  <cp:lastModifiedBy>梁宏达</cp:lastModifiedBy>
  <dcterms:modified xsi:type="dcterms:W3CDTF">2021-03-29T07:14:06Z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