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highlight w:val="none"/>
        </w:rPr>
      </w:pPr>
    </w:p>
    <w:p>
      <w:pPr>
        <w:spacing w:line="400" w:lineRule="exact"/>
        <w:jc w:val="center"/>
        <w:rPr>
          <w:rFonts w:ascii="宋体" w:hAnsi="宋体" w:cs="宋体"/>
          <w:b/>
          <w:sz w:val="32"/>
          <w:szCs w:val="32"/>
          <w:highlight w:val="none"/>
        </w:rPr>
      </w:pPr>
      <w:r>
        <w:rPr>
          <w:rFonts w:hint="eastAsia" w:ascii="宋体" w:hAnsi="宋体" w:cs="宋体"/>
          <w:b/>
          <w:sz w:val="32"/>
          <w:szCs w:val="32"/>
          <w:highlight w:val="none"/>
        </w:rPr>
        <w:t>项目名称：</w:t>
      </w:r>
      <w:r>
        <w:rPr>
          <w:rFonts w:hint="eastAsia" w:ascii="宋体" w:hAnsi="宋体" w:cs="宋体"/>
          <w:b/>
          <w:sz w:val="32"/>
          <w:szCs w:val="32"/>
          <w:highlight w:val="none"/>
          <w:lang w:eastAsia="zh-CN"/>
        </w:rPr>
        <w:t>首讯公司2021年服务器维护养护工程（第二次）</w:t>
      </w:r>
    </w:p>
    <w:p>
      <w:pPr>
        <w:rPr>
          <w:rFonts w:ascii="宋体" w:hAnsi="宋体" w:cs="宋体"/>
          <w:sz w:val="28"/>
          <w:szCs w:val="2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竞</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性</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比</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选</w:t>
      </w:r>
    </w:p>
    <w:p>
      <w:pPr>
        <w:jc w:val="center"/>
        <w:rPr>
          <w:rFonts w:ascii="宋体" w:hAnsi="宋体" w:cs="宋体"/>
          <w:b/>
          <w:sz w:val="48"/>
          <w:szCs w:val="48"/>
          <w:highlight w:val="none"/>
        </w:rPr>
      </w:pPr>
    </w:p>
    <w:p>
      <w:pPr>
        <w:jc w:val="center"/>
        <w:rPr>
          <w:rFonts w:ascii="宋体" w:hAnsi="宋体" w:cs="宋体"/>
          <w:b/>
          <w:sz w:val="48"/>
          <w:szCs w:val="48"/>
          <w:highlight w:val="none"/>
        </w:rPr>
      </w:pPr>
      <w:r>
        <w:rPr>
          <w:rFonts w:hint="eastAsia" w:ascii="宋体" w:hAnsi="宋体" w:cs="宋体"/>
          <w:b/>
          <w:sz w:val="48"/>
          <w:szCs w:val="48"/>
          <w:highlight w:val="none"/>
        </w:rPr>
        <w:t>文</w:t>
      </w:r>
    </w:p>
    <w:p>
      <w:pPr>
        <w:jc w:val="center"/>
        <w:rPr>
          <w:rFonts w:ascii="宋体" w:hAnsi="宋体" w:cs="宋体"/>
          <w:b/>
          <w:sz w:val="48"/>
          <w:szCs w:val="48"/>
          <w:highlight w:val="none"/>
        </w:rPr>
      </w:pPr>
    </w:p>
    <w:p>
      <w:pPr>
        <w:jc w:val="center"/>
        <w:rPr>
          <w:rFonts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highlight w:val="none"/>
        </w:rPr>
      </w:pPr>
    </w:p>
    <w:p>
      <w:pPr>
        <w:rPr>
          <w:highlight w:val="none"/>
        </w:rPr>
      </w:pPr>
    </w:p>
    <w:p>
      <w:pPr>
        <w:jc w:val="center"/>
        <w:rPr>
          <w:rFonts w:ascii="宋体" w:hAnsi="宋体" w:cs="宋体"/>
          <w:b/>
          <w:sz w:val="28"/>
          <w:szCs w:val="28"/>
          <w:highlight w:val="none"/>
        </w:rPr>
      </w:pPr>
      <w:r>
        <w:rPr>
          <w:rFonts w:hint="eastAsia" w:ascii="宋体" w:hAnsi="宋体" w:cs="宋体"/>
          <w:b/>
          <w:sz w:val="28"/>
          <w:szCs w:val="28"/>
          <w:highlight w:val="none"/>
        </w:rPr>
        <w:t>采购人：重庆首讯科技股份有限公司</w:t>
      </w:r>
    </w:p>
    <w:p>
      <w:pPr>
        <w:jc w:val="center"/>
        <w:rPr>
          <w:rFonts w:ascii="宋体" w:hAnsi="宋体" w:cs="宋体"/>
          <w:b/>
          <w:sz w:val="28"/>
          <w:szCs w:val="28"/>
          <w:highlight w:val="none"/>
        </w:rPr>
      </w:pPr>
      <w:r>
        <w:rPr>
          <w:rFonts w:hint="eastAsia" w:ascii="宋体" w:hAnsi="宋体" w:cs="宋体"/>
          <w:b/>
          <w:sz w:val="28"/>
          <w:szCs w:val="28"/>
          <w:highlight w:val="none"/>
          <w:u w:val="single"/>
        </w:rPr>
        <w:t>2021</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 xml:space="preserve">8 </w:t>
      </w:r>
      <w:r>
        <w:rPr>
          <w:rFonts w:hint="eastAsia" w:ascii="宋体" w:hAnsi="宋体" w:cs="宋体"/>
          <w:b/>
          <w:sz w:val="28"/>
          <w:szCs w:val="28"/>
          <w:highlight w:val="none"/>
        </w:rPr>
        <w:t>月</w:t>
      </w:r>
    </w:p>
    <w:p>
      <w:pPr>
        <w:pStyle w:val="2"/>
        <w:jc w:val="center"/>
        <w:rPr>
          <w:rFonts w:ascii="宋体" w:hAnsi="宋体" w:cs="宋体"/>
          <w:szCs w:val="21"/>
          <w:highlight w:val="none"/>
        </w:rPr>
      </w:pPr>
      <w:r>
        <w:rPr>
          <w:highlight w:val="none"/>
        </w:rPr>
        <w:br w:type="page"/>
      </w:r>
      <w:bookmarkStart w:id="0" w:name="_Toc246996898"/>
      <w:bookmarkStart w:id="1" w:name="_Toc296602400"/>
      <w:bookmarkStart w:id="2" w:name="_Toc507319889"/>
      <w:bookmarkStart w:id="3" w:name="_Toc247085669"/>
      <w:bookmarkStart w:id="4" w:name="_Toc507428442"/>
      <w:r>
        <w:rPr>
          <w:rFonts w:hint="eastAsia" w:ascii="宋体" w:hAnsi="宋体" w:cs="宋体"/>
          <w:b w:val="0"/>
          <w:sz w:val="32"/>
          <w:highlight w:val="none"/>
        </w:rPr>
        <w:t>目   录</w:t>
      </w:r>
      <w:bookmarkEnd w:id="0"/>
      <w:bookmarkEnd w:id="1"/>
      <w:bookmarkEnd w:id="2"/>
      <w:bookmarkEnd w:id="3"/>
      <w:bookmarkEnd w:id="4"/>
    </w:p>
    <w:p>
      <w:pPr>
        <w:pStyle w:val="2"/>
        <w:tabs>
          <w:tab w:val="right" w:leader="dot" w:pos="9638"/>
        </w:tabs>
        <w:rPr>
          <w:highlight w:val="none"/>
        </w:rPr>
      </w:pPr>
      <w:r>
        <w:rPr>
          <w:rFonts w:hint="eastAsia" w:ascii="宋体" w:hAnsi="宋体" w:eastAsia="宋体" w:cs="宋体"/>
          <w:b/>
          <w:bCs/>
          <w:caps/>
          <w:highlight w:val="none"/>
          <w:lang w:eastAsia="zh-CN"/>
        </w:rPr>
        <w:fldChar w:fldCharType="begin"/>
      </w:r>
      <w:r>
        <w:rPr>
          <w:rFonts w:hint="eastAsia" w:ascii="宋体" w:hAnsi="宋体" w:eastAsia="宋体" w:cs="宋体"/>
          <w:b/>
          <w:bCs/>
          <w:caps/>
          <w:highlight w:val="none"/>
          <w:lang w:eastAsia="zh-CN"/>
        </w:rPr>
        <w:instrText xml:space="preserve"> TOC \o "1-2" \h \z \u </w:instrText>
      </w:r>
      <w:r>
        <w:rPr>
          <w:rFonts w:hint="eastAsia" w:ascii="宋体" w:hAnsi="宋体" w:eastAsia="宋体" w:cs="宋体"/>
          <w:b/>
          <w:bCs/>
          <w:caps/>
          <w:highlight w:val="none"/>
          <w:lang w:eastAsia="zh-CN"/>
        </w:rPr>
        <w:fldChar w:fldCharType="separate"/>
      </w: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_Toc2331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_Toc2331 \h </w:instrText>
      </w:r>
      <w:r>
        <w:rPr>
          <w:highlight w:val="none"/>
        </w:rPr>
        <w:fldChar w:fldCharType="separate"/>
      </w:r>
      <w:r>
        <w:rPr>
          <w:highlight w:val="none"/>
        </w:rPr>
        <w:t>1</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_Toc14597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_Toc14597 \h </w:instrText>
      </w:r>
      <w:r>
        <w:rPr>
          <w:highlight w:val="none"/>
        </w:rPr>
        <w:fldChar w:fldCharType="separate"/>
      </w:r>
      <w:r>
        <w:rPr>
          <w:highlight w:val="none"/>
        </w:rPr>
        <w:t>3</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_Toc20774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第三章 评标办法</w:t>
      </w:r>
      <w:r>
        <w:rPr>
          <w:highlight w:val="none"/>
        </w:rPr>
        <w:tab/>
      </w:r>
      <w:r>
        <w:rPr>
          <w:highlight w:val="none"/>
        </w:rPr>
        <w:fldChar w:fldCharType="begin"/>
      </w:r>
      <w:r>
        <w:rPr>
          <w:highlight w:val="none"/>
        </w:rPr>
        <w:instrText xml:space="preserve"> PAGEREF _Toc20774 \h </w:instrText>
      </w:r>
      <w:r>
        <w:rPr>
          <w:highlight w:val="none"/>
        </w:rPr>
        <w:fldChar w:fldCharType="separate"/>
      </w:r>
      <w:r>
        <w:rPr>
          <w:highlight w:val="none"/>
        </w:rPr>
        <w:t>9</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_Toc9938 </w:instrText>
      </w:r>
      <w:r>
        <w:rPr>
          <w:rFonts w:hint="eastAsia" w:ascii="宋体" w:hAnsi="宋体" w:eastAsia="宋体" w:cs="宋体"/>
          <w:bCs/>
          <w:caps/>
          <w:highlight w:val="none"/>
          <w:lang w:eastAsia="zh-CN"/>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_Toc9938 \h </w:instrText>
      </w:r>
      <w:r>
        <w:rPr>
          <w:highlight w:val="none"/>
        </w:rPr>
        <w:fldChar w:fldCharType="separate"/>
      </w:r>
      <w:r>
        <w:rPr>
          <w:highlight w:val="none"/>
        </w:rPr>
        <w:t>11</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_Toc8745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_Toc8745 \h </w:instrText>
      </w:r>
      <w:r>
        <w:rPr>
          <w:highlight w:val="none"/>
        </w:rPr>
        <w:fldChar w:fldCharType="separate"/>
      </w:r>
      <w:r>
        <w:rPr>
          <w:highlight w:val="none"/>
        </w:rPr>
        <w:t>12</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_Toc3008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_Toc3008 \h </w:instrText>
      </w:r>
      <w:r>
        <w:rPr>
          <w:highlight w:val="none"/>
        </w:rPr>
        <w:fldChar w:fldCharType="separate"/>
      </w:r>
      <w:r>
        <w:rPr>
          <w:highlight w:val="none"/>
        </w:rPr>
        <w:t>13</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_Toc2585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_Toc2585 \h </w:instrText>
      </w:r>
      <w:r>
        <w:rPr>
          <w:highlight w:val="none"/>
        </w:rPr>
        <w:fldChar w:fldCharType="separate"/>
      </w:r>
      <w:r>
        <w:rPr>
          <w:highlight w:val="none"/>
        </w:rPr>
        <w:t>14</w:t>
      </w:r>
      <w:r>
        <w:rPr>
          <w:highlight w:val="none"/>
        </w:rPr>
        <w:fldChar w:fldCharType="end"/>
      </w:r>
      <w:r>
        <w:rPr>
          <w:rFonts w:hint="eastAsia" w:ascii="宋体" w:hAnsi="宋体" w:eastAsia="宋体" w:cs="宋体"/>
          <w:bCs/>
          <w:caps/>
          <w:highlight w:val="none"/>
          <w:lang w:eastAsia="zh-CN"/>
        </w:rPr>
        <w:fldChar w:fldCharType="end"/>
      </w:r>
    </w:p>
    <w:p>
      <w:pPr>
        <w:pStyle w:val="2"/>
        <w:tabs>
          <w:tab w:val="right" w:leader="dot" w:pos="9638"/>
        </w:tabs>
        <w:rPr>
          <w:highlight w:val="none"/>
        </w:rPr>
      </w:pPr>
      <w:r>
        <w:rPr>
          <w:rFonts w:hint="eastAsia" w:ascii="宋体" w:hAnsi="宋体" w:eastAsia="宋体" w:cs="宋体"/>
          <w:bCs/>
          <w:caps/>
          <w:highlight w:val="none"/>
          <w:lang w:eastAsia="zh-CN"/>
        </w:rPr>
        <w:fldChar w:fldCharType="begin"/>
      </w:r>
      <w:r>
        <w:rPr>
          <w:rFonts w:hint="eastAsia" w:ascii="宋体" w:hAnsi="宋体" w:eastAsia="宋体" w:cs="宋体"/>
          <w:bCs/>
          <w:caps/>
          <w:highlight w:val="none"/>
          <w:lang w:eastAsia="zh-CN"/>
        </w:rPr>
        <w:instrText xml:space="preserve"> HYPERLINK \l _Toc1416 </w:instrText>
      </w:r>
      <w:r>
        <w:rPr>
          <w:rFonts w:hint="eastAsia" w:ascii="宋体" w:hAnsi="宋体" w:eastAsia="宋体" w:cs="宋体"/>
          <w:bCs/>
          <w:caps/>
          <w:highlight w:val="none"/>
          <w:lang w:eastAsia="zh-CN"/>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_Toc1416 \h </w:instrText>
      </w:r>
      <w:r>
        <w:rPr>
          <w:highlight w:val="none"/>
        </w:rPr>
        <w:fldChar w:fldCharType="separate"/>
      </w:r>
      <w:r>
        <w:rPr>
          <w:highlight w:val="none"/>
        </w:rPr>
        <w:t>16</w:t>
      </w:r>
      <w:r>
        <w:rPr>
          <w:highlight w:val="none"/>
        </w:rPr>
        <w:fldChar w:fldCharType="end"/>
      </w:r>
      <w:r>
        <w:rPr>
          <w:rFonts w:hint="eastAsia" w:ascii="宋体" w:hAnsi="宋体" w:eastAsia="宋体" w:cs="宋体"/>
          <w:bCs/>
          <w:caps/>
          <w:highlight w:val="none"/>
          <w:lang w:eastAsia="zh-CN"/>
        </w:rPr>
        <w:fldChar w:fldCharType="end"/>
      </w:r>
    </w:p>
    <w:p>
      <w:pPr>
        <w:pStyle w:val="34"/>
        <w:tabs>
          <w:tab w:val="right" w:leader="dot" w:pos="9628"/>
        </w:tabs>
        <w:rPr>
          <w:rFonts w:hint="eastAsia" w:ascii="宋体" w:hAnsi="宋体" w:eastAsia="宋体" w:cs="宋体"/>
          <w:b/>
          <w:bCs/>
          <w:caps/>
          <w:highlight w:val="none"/>
          <w:lang w:eastAsia="zh-CN"/>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eastAsia="宋体" w:cs="宋体"/>
          <w:bCs/>
          <w:caps/>
          <w:highlight w:val="none"/>
          <w:lang w:eastAsia="zh-CN"/>
        </w:rPr>
        <w:fldChar w:fldCharType="end"/>
      </w:r>
    </w:p>
    <w:p>
      <w:pPr>
        <w:pStyle w:val="3"/>
        <w:spacing w:before="0" w:after="0" w:line="360" w:lineRule="auto"/>
        <w:jc w:val="center"/>
        <w:rPr>
          <w:rFonts w:ascii="宋体" w:hAnsi="宋体" w:cs="宋体"/>
          <w:highlight w:val="none"/>
        </w:rPr>
      </w:pPr>
      <w:bookmarkStart w:id="5" w:name="_Toc247085671"/>
      <w:bookmarkStart w:id="6" w:name="_Toc152045511"/>
      <w:bookmarkStart w:id="7" w:name="_Toc246996157"/>
      <w:bookmarkStart w:id="8" w:name="_Toc246996900"/>
      <w:bookmarkStart w:id="9" w:name="_Toc179632527"/>
      <w:bookmarkStart w:id="10" w:name="_Toc152042287"/>
      <w:bookmarkStart w:id="11" w:name="_Toc507319890"/>
      <w:bookmarkStart w:id="12" w:name="_Toc247096243"/>
      <w:bookmarkStart w:id="13" w:name="_Toc144974479"/>
      <w:bookmarkStart w:id="14" w:name="_Toc2000404"/>
      <w:bookmarkStart w:id="15" w:name="_Toc2331"/>
      <w:bookmarkStart w:id="16" w:name="_Toc10533"/>
      <w:r>
        <w:rPr>
          <w:rFonts w:hint="eastAsia" w:ascii="宋体" w:hAnsi="宋体" w:cs="宋体"/>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highlight w:val="none"/>
        </w:rPr>
        <w:t>比选公告</w:t>
      </w:r>
      <w:bookmarkEnd w:id="15"/>
      <w:bookmarkEnd w:id="16"/>
    </w:p>
    <w:p>
      <w:pPr>
        <w:spacing w:line="440" w:lineRule="exact"/>
        <w:jc w:val="center"/>
        <w:rPr>
          <w:rFonts w:ascii="宋体" w:hAnsi="宋体" w:cs="宋体"/>
          <w:b/>
          <w:sz w:val="28"/>
          <w:szCs w:val="28"/>
          <w:highlight w:val="none"/>
        </w:rPr>
      </w:pPr>
      <w:bookmarkStart w:id="17" w:name="OLE_LINK3"/>
      <w:bookmarkStart w:id="18" w:name="OLE_LINK2"/>
      <w:r>
        <w:rPr>
          <w:rFonts w:hint="eastAsia" w:ascii="宋体" w:hAnsi="宋体" w:cs="宋体"/>
          <w:b/>
          <w:sz w:val="28"/>
          <w:szCs w:val="28"/>
          <w:highlight w:val="none"/>
          <w:lang w:eastAsia="zh-CN"/>
        </w:rPr>
        <w:t>首讯公司2021年服务器维护养护工程（第二次）</w:t>
      </w:r>
    </w:p>
    <w:p>
      <w:pPr>
        <w:spacing w:line="440" w:lineRule="exact"/>
        <w:jc w:val="center"/>
        <w:rPr>
          <w:rFonts w:ascii="宋体" w:hAnsi="宋体" w:cs="宋体"/>
          <w:b/>
          <w:sz w:val="28"/>
          <w:szCs w:val="28"/>
          <w:highlight w:val="none"/>
        </w:rPr>
      </w:pPr>
      <w:r>
        <w:rPr>
          <w:rFonts w:hint="eastAsia" w:ascii="宋体" w:hAnsi="宋体" w:cs="宋体"/>
          <w:b/>
          <w:sz w:val="28"/>
          <w:szCs w:val="28"/>
          <w:highlight w:val="none"/>
        </w:rPr>
        <w:t>竞争性比选公告</w:t>
      </w:r>
    </w:p>
    <w:p>
      <w:pPr>
        <w:spacing w:line="440" w:lineRule="exact"/>
        <w:jc w:val="center"/>
        <w:rPr>
          <w:rFonts w:ascii="宋体" w:hAnsi="宋体" w:cs="宋体"/>
          <w:b/>
          <w:sz w:val="28"/>
          <w:szCs w:val="28"/>
          <w:highlight w:val="none"/>
        </w:rPr>
      </w:pPr>
    </w:p>
    <w:p>
      <w:pPr>
        <w:pStyle w:val="4"/>
        <w:spacing w:before="0" w:after="0" w:line="360" w:lineRule="auto"/>
        <w:rPr>
          <w:rFonts w:ascii="宋体" w:hAnsi="宋体" w:eastAsia="宋体" w:cs="宋体"/>
          <w:highlight w:val="none"/>
        </w:rPr>
      </w:pPr>
      <w:bookmarkStart w:id="19" w:name="_Toc144974480"/>
      <w:bookmarkStart w:id="20" w:name="_Toc11329213"/>
      <w:bookmarkStart w:id="21" w:name="_Toc152045512"/>
      <w:bookmarkStart w:id="22" w:name="_Toc247085672"/>
      <w:bookmarkStart w:id="23" w:name="_Toc507319891"/>
      <w:bookmarkStart w:id="24" w:name="_Toc6549"/>
      <w:bookmarkStart w:id="25" w:name="_Toc24874"/>
      <w:bookmarkStart w:id="26" w:name="_Toc10076"/>
      <w:bookmarkStart w:id="27" w:name="_Toc19148"/>
      <w:bookmarkStart w:id="28" w:name="_Toc246996901"/>
      <w:bookmarkStart w:id="29" w:name="_Toc152042288"/>
      <w:bookmarkStart w:id="30" w:name="_Toc246996158"/>
      <w:bookmarkStart w:id="31" w:name="_Toc179632528"/>
      <w:r>
        <w:rPr>
          <w:rFonts w:hint="eastAsia" w:ascii="宋体" w:hAnsi="宋体" w:eastAsia="宋体" w:cs="宋体"/>
          <w:highlight w:val="none"/>
        </w:rPr>
        <w:t>1. 比选条件</w:t>
      </w:r>
      <w:bookmarkEnd w:id="19"/>
      <w:bookmarkEnd w:id="20"/>
      <w:bookmarkEnd w:id="21"/>
      <w:bookmarkEnd w:id="22"/>
      <w:bookmarkEnd w:id="23"/>
      <w:bookmarkEnd w:id="24"/>
      <w:bookmarkEnd w:id="25"/>
      <w:bookmarkEnd w:id="26"/>
      <w:bookmarkEnd w:id="27"/>
      <w:bookmarkEnd w:id="28"/>
      <w:bookmarkEnd w:id="29"/>
      <w:bookmarkEnd w:id="30"/>
      <w:bookmarkEnd w:id="31"/>
    </w:p>
    <w:p>
      <w:pPr>
        <w:spacing w:line="400" w:lineRule="exact"/>
        <w:jc w:val="left"/>
        <w:rPr>
          <w:rFonts w:ascii="宋体" w:hAnsi="宋体" w:cs="宋体"/>
          <w:szCs w:val="21"/>
          <w:highlight w:val="none"/>
        </w:rPr>
      </w:pPr>
      <w:r>
        <w:rPr>
          <w:rFonts w:hint="eastAsia" w:ascii="宋体" w:hAnsi="宋体" w:cs="宋体"/>
          <w:szCs w:val="21"/>
          <w:highlight w:val="none"/>
        </w:rPr>
        <w:t>　　本竞争性比选项目</w:t>
      </w:r>
      <w:r>
        <w:rPr>
          <w:rFonts w:hint="eastAsia" w:ascii="宋体" w:hAnsi="宋体" w:cs="宋体"/>
          <w:szCs w:val="21"/>
          <w:highlight w:val="none"/>
          <w:lang w:eastAsia="zh-CN"/>
        </w:rPr>
        <w:t>首讯公司2021年服务器维护养护工程（第二次）</w:t>
      </w:r>
      <w:r>
        <w:rPr>
          <w:rFonts w:hint="eastAsia" w:ascii="宋体" w:hAnsi="宋体" w:cs="宋体"/>
          <w:szCs w:val="21"/>
          <w:highlight w:val="none"/>
        </w:rPr>
        <w:t>，采购人为</w:t>
      </w:r>
      <w:r>
        <w:rPr>
          <w:rFonts w:hint="eastAsia" w:ascii="宋体" w:hAnsi="宋体" w:cs="宋体"/>
          <w:szCs w:val="21"/>
          <w:highlight w:val="none"/>
          <w:u w:val="single"/>
        </w:rPr>
        <w:t xml:space="preserve"> 重庆首讯科技股份有限公司 </w:t>
      </w:r>
      <w:r>
        <w:rPr>
          <w:rFonts w:hint="eastAsia" w:ascii="宋体" w:hAnsi="宋体" w:cs="宋体"/>
          <w:szCs w:val="21"/>
          <w:highlight w:val="none"/>
        </w:rPr>
        <w:t>，该项目已具备比选条件，现对该项目进行竞争性比选。</w:t>
      </w:r>
    </w:p>
    <w:p>
      <w:pPr>
        <w:pStyle w:val="4"/>
        <w:spacing w:before="120" w:after="0" w:line="360" w:lineRule="auto"/>
        <w:rPr>
          <w:rFonts w:ascii="宋体" w:hAnsi="宋体" w:eastAsia="宋体" w:cs="宋体"/>
          <w:highlight w:val="none"/>
        </w:rPr>
      </w:pPr>
      <w:bookmarkStart w:id="32" w:name="_Toc21343"/>
      <w:bookmarkStart w:id="33" w:name="_Toc507319892"/>
      <w:bookmarkStart w:id="34" w:name="_Toc152045513"/>
      <w:bookmarkStart w:id="35" w:name="_Toc179632529"/>
      <w:bookmarkStart w:id="36" w:name="_Toc246996902"/>
      <w:bookmarkStart w:id="37" w:name="_Toc11329214"/>
      <w:bookmarkStart w:id="38" w:name="_Toc246996159"/>
      <w:bookmarkStart w:id="39" w:name="_Toc10952"/>
      <w:bookmarkStart w:id="40" w:name="_Toc18109"/>
      <w:bookmarkStart w:id="41" w:name="_Toc247085673"/>
      <w:bookmarkStart w:id="42" w:name="_Toc152042289"/>
      <w:bookmarkStart w:id="43" w:name="_Toc10321"/>
      <w:bookmarkStart w:id="44" w:name="_Toc144974481"/>
      <w:r>
        <w:rPr>
          <w:rFonts w:hint="eastAsia" w:ascii="宋体" w:hAnsi="宋体" w:eastAsia="宋体" w:cs="宋体"/>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p>
    <w:p>
      <w:pPr>
        <w:spacing w:line="360" w:lineRule="auto"/>
        <w:ind w:firstLine="420" w:firstLineChars="200"/>
        <w:rPr>
          <w:rFonts w:ascii="宋体" w:hAnsi="宋体" w:cs="宋体"/>
          <w:highlight w:val="none"/>
        </w:rPr>
      </w:pPr>
      <w:bookmarkStart w:id="45" w:name="_Toc446247226"/>
      <w:r>
        <w:rPr>
          <w:rFonts w:hint="eastAsia" w:ascii="宋体" w:hAnsi="宋体" w:cs="宋体"/>
          <w:highlight w:val="none"/>
        </w:rPr>
        <w:t>2.1 项目地点：</w:t>
      </w:r>
      <w:bookmarkEnd w:id="45"/>
      <w:r>
        <w:rPr>
          <w:rFonts w:hint="eastAsia" w:ascii="宋体" w:hAnsi="宋体" w:cs="宋体"/>
          <w:highlight w:val="none"/>
          <w:lang w:val="en-US" w:eastAsia="zh-CN"/>
        </w:rPr>
        <w:t>大重庆范围内</w:t>
      </w:r>
      <w:r>
        <w:rPr>
          <w:rFonts w:hint="eastAsia" w:ascii="宋体" w:hAnsi="宋体" w:cs="宋体"/>
          <w:highlight w:val="none"/>
        </w:rPr>
        <w:t>。</w:t>
      </w:r>
    </w:p>
    <w:p>
      <w:pPr>
        <w:pStyle w:val="14"/>
        <w:adjustRightInd w:val="0"/>
        <w:spacing w:line="400" w:lineRule="exact"/>
        <w:rPr>
          <w:rFonts w:hint="eastAsia" w:ascii="宋体" w:hAnsi="宋体" w:cs="宋体"/>
          <w:szCs w:val="21"/>
          <w:highlight w:val="none"/>
        </w:rPr>
      </w:pPr>
      <w:r>
        <w:rPr>
          <w:rFonts w:hint="eastAsia" w:ascii="宋体" w:hAnsi="宋体" w:cs="宋体"/>
          <w:szCs w:val="21"/>
          <w:highlight w:val="none"/>
        </w:rPr>
        <w:t xml:space="preserve">2.2 </w:t>
      </w:r>
      <w:r>
        <w:rPr>
          <w:rFonts w:hint="eastAsia" w:ascii="宋体" w:hAnsi="宋体" w:cs="宋体"/>
          <w:szCs w:val="21"/>
          <w:highlight w:val="none"/>
          <w:lang w:eastAsia="zh-CN"/>
        </w:rPr>
        <w:t>服务内容</w:t>
      </w:r>
      <w:r>
        <w:rPr>
          <w:rFonts w:hint="eastAsia" w:ascii="宋体" w:hAnsi="宋体" w:cs="宋体"/>
          <w:szCs w:val="21"/>
          <w:highlight w:val="none"/>
        </w:rPr>
        <w:t>：本项目为</w:t>
      </w:r>
      <w:r>
        <w:rPr>
          <w:rFonts w:hint="eastAsia" w:ascii="宋体" w:hAnsi="宋体" w:cs="宋体"/>
          <w:szCs w:val="21"/>
          <w:highlight w:val="none"/>
          <w:lang w:eastAsia="zh-CN"/>
        </w:rPr>
        <w:t>首讯公司2021年服务器维护养护工程（第二次）</w:t>
      </w:r>
      <w:r>
        <w:rPr>
          <w:rFonts w:hint="eastAsia" w:ascii="宋体" w:hAnsi="宋体" w:cs="宋体"/>
          <w:szCs w:val="21"/>
          <w:highlight w:val="none"/>
        </w:rPr>
        <w:t>，主要包括但不限于</w:t>
      </w:r>
      <w:r>
        <w:rPr>
          <w:rFonts w:hint="eastAsia" w:ascii="宋体" w:hAnsi="宋体" w:cs="宋体"/>
          <w:szCs w:val="21"/>
          <w:highlight w:val="none"/>
          <w:lang w:val="en-US" w:eastAsia="zh-CN"/>
        </w:rPr>
        <w:t>以下内容</w:t>
      </w:r>
      <w:r>
        <w:rPr>
          <w:rFonts w:hint="eastAsia" w:ascii="宋体" w:hAnsi="宋体" w:cs="宋体"/>
          <w:szCs w:val="21"/>
          <w:highlight w:val="none"/>
        </w:rPr>
        <w:t>。</w:t>
      </w:r>
    </w:p>
    <w:p>
      <w:pPr>
        <w:pStyle w:val="14"/>
        <w:adjustRightInd w:val="0"/>
        <w:spacing w:line="400" w:lineRule="exact"/>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1</w:t>
      </w:r>
      <w:r>
        <w:rPr>
          <w:rFonts w:hint="eastAsia" w:ascii="宋体" w:hAnsi="宋体" w:cs="宋体"/>
          <w:szCs w:val="21"/>
          <w:highlight w:val="none"/>
          <w:lang w:eastAsia="zh-CN"/>
        </w:rPr>
        <w:t>）</w:t>
      </w:r>
      <w:r>
        <w:rPr>
          <w:rFonts w:hint="eastAsia" w:ascii="宋体" w:hAnsi="宋体" w:cs="宋体"/>
          <w:szCs w:val="21"/>
          <w:highlight w:val="none"/>
        </w:rPr>
        <w:t>每季度例行对服务器设备进行保养、维护。</w:t>
      </w:r>
    </w:p>
    <w:p>
      <w:pPr>
        <w:pStyle w:val="14"/>
        <w:adjustRightInd w:val="0"/>
        <w:spacing w:line="400" w:lineRule="exact"/>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2</w:t>
      </w:r>
      <w:r>
        <w:rPr>
          <w:rFonts w:hint="eastAsia" w:ascii="宋体" w:hAnsi="宋体" w:cs="宋体"/>
          <w:szCs w:val="21"/>
          <w:highlight w:val="none"/>
          <w:lang w:eastAsia="zh-CN"/>
        </w:rPr>
        <w:t>）</w:t>
      </w:r>
      <w:r>
        <w:rPr>
          <w:rFonts w:hint="eastAsia" w:ascii="宋体" w:hAnsi="宋体" w:cs="宋体"/>
          <w:szCs w:val="21"/>
          <w:highlight w:val="none"/>
        </w:rPr>
        <w:t>及时修复损坏设备</w:t>
      </w:r>
      <w:bookmarkStart w:id="46" w:name="OLE_LINK6"/>
      <w:r>
        <w:rPr>
          <w:rFonts w:hint="eastAsia" w:ascii="宋体" w:hAnsi="宋体" w:cs="宋体"/>
          <w:szCs w:val="21"/>
          <w:highlight w:val="none"/>
        </w:rPr>
        <w:t>（</w:t>
      </w:r>
      <w:r>
        <w:rPr>
          <w:rFonts w:hint="eastAsia" w:ascii="宋体" w:hAnsi="宋体" w:cs="宋体"/>
          <w:szCs w:val="21"/>
          <w:highlight w:val="none"/>
          <w:lang w:val="en-US" w:eastAsia="zh-CN"/>
        </w:rPr>
        <w:t>包含损坏设备的更换，费用包含在报价人报价中</w:t>
      </w:r>
      <w:r>
        <w:rPr>
          <w:rFonts w:hint="eastAsia" w:ascii="宋体" w:hAnsi="宋体" w:cs="宋体"/>
          <w:szCs w:val="21"/>
          <w:highlight w:val="none"/>
        </w:rPr>
        <w:t>）</w:t>
      </w:r>
      <w:bookmarkEnd w:id="46"/>
      <w:r>
        <w:rPr>
          <w:rFonts w:hint="eastAsia" w:ascii="宋体" w:hAnsi="宋体" w:cs="宋体"/>
          <w:szCs w:val="21"/>
          <w:highlight w:val="none"/>
        </w:rPr>
        <w:t>。</w:t>
      </w:r>
    </w:p>
    <w:p>
      <w:pPr>
        <w:pStyle w:val="14"/>
        <w:adjustRightInd w:val="0"/>
        <w:spacing w:line="400" w:lineRule="exact"/>
        <w:rPr>
          <w:rFonts w:hint="eastAsia" w:ascii="宋体" w:hAnsi="宋体" w:cs="宋体"/>
          <w:szCs w:val="21"/>
          <w:highlight w:val="none"/>
        </w:rPr>
      </w:pP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szCs w:val="21"/>
          <w:highlight w:val="none"/>
        </w:rPr>
        <w:t>每季度按时完整提交维护计划、维护资料。</w:t>
      </w:r>
    </w:p>
    <w:p>
      <w:pPr>
        <w:pStyle w:val="14"/>
        <w:adjustRightInd w:val="0"/>
        <w:spacing w:line="400" w:lineRule="exact"/>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2.3 服务要求：</w:t>
      </w:r>
    </w:p>
    <w:p>
      <w:pPr>
        <w:pStyle w:val="14"/>
        <w:numPr>
          <w:ilvl w:val="0"/>
          <w:numId w:val="2"/>
        </w:numPr>
        <w:adjustRightInd w:val="0"/>
        <w:spacing w:line="400" w:lineRule="exact"/>
        <w:rPr>
          <w:rFonts w:hint="eastAsia" w:ascii="宋体" w:hAnsi="宋体" w:cs="宋体"/>
          <w:szCs w:val="21"/>
          <w:highlight w:val="none"/>
        </w:rPr>
      </w:pPr>
      <w:r>
        <w:rPr>
          <w:rFonts w:hint="eastAsia" w:ascii="宋体" w:hAnsi="宋体" w:cs="宋体"/>
          <w:szCs w:val="21"/>
          <w:highlight w:val="none"/>
        </w:rPr>
        <w:t>对系统错误进行记录、分析，并实施故障诊断。携带备件及时进行现场维修、更换。</w:t>
      </w:r>
    </w:p>
    <w:p>
      <w:pPr>
        <w:pStyle w:val="14"/>
        <w:numPr>
          <w:ilvl w:val="0"/>
          <w:numId w:val="2"/>
        </w:numPr>
        <w:adjustRightInd w:val="0"/>
        <w:spacing w:line="400" w:lineRule="exact"/>
        <w:rPr>
          <w:rFonts w:hint="eastAsia" w:ascii="宋体" w:hAnsi="宋体" w:cs="宋体"/>
          <w:szCs w:val="21"/>
          <w:highlight w:val="none"/>
        </w:rPr>
      </w:pPr>
      <w:r>
        <w:rPr>
          <w:rFonts w:hint="eastAsia" w:ascii="宋体" w:hAnsi="宋体" w:cs="宋体"/>
          <w:szCs w:val="21"/>
          <w:highlight w:val="none"/>
        </w:rPr>
        <w:t>对系统板卡、设备的微代码升级。</w:t>
      </w:r>
    </w:p>
    <w:p>
      <w:pPr>
        <w:pStyle w:val="14"/>
        <w:numPr>
          <w:ilvl w:val="0"/>
          <w:numId w:val="2"/>
        </w:numPr>
        <w:adjustRightInd w:val="0"/>
        <w:spacing w:line="400" w:lineRule="exact"/>
        <w:rPr>
          <w:rFonts w:hint="eastAsia" w:ascii="宋体" w:hAnsi="宋体" w:cs="宋体"/>
          <w:szCs w:val="21"/>
          <w:highlight w:val="none"/>
        </w:rPr>
      </w:pPr>
      <w:r>
        <w:rPr>
          <w:rFonts w:hint="eastAsia" w:ascii="宋体" w:hAnsi="宋体" w:cs="宋体"/>
          <w:szCs w:val="21"/>
          <w:highlight w:val="none"/>
        </w:rPr>
        <w:t>采取系统检测论断（Diagnostic Cnline/Offline）。</w:t>
      </w:r>
    </w:p>
    <w:p>
      <w:pPr>
        <w:pStyle w:val="14"/>
        <w:numPr>
          <w:ilvl w:val="0"/>
          <w:numId w:val="2"/>
        </w:numPr>
        <w:adjustRightInd w:val="0"/>
        <w:spacing w:line="400" w:lineRule="exact"/>
        <w:rPr>
          <w:rFonts w:hint="eastAsia" w:ascii="宋体" w:hAnsi="宋体" w:cs="宋体"/>
          <w:szCs w:val="21"/>
          <w:highlight w:val="none"/>
        </w:rPr>
      </w:pPr>
      <w:r>
        <w:rPr>
          <w:rFonts w:hint="eastAsia" w:ascii="宋体" w:hAnsi="宋体" w:cs="宋体"/>
          <w:szCs w:val="21"/>
          <w:highlight w:val="none"/>
        </w:rPr>
        <w:t>对设备实行定期预防性维护。</w:t>
      </w:r>
    </w:p>
    <w:p>
      <w:pPr>
        <w:pStyle w:val="14"/>
        <w:numPr>
          <w:ilvl w:val="0"/>
          <w:numId w:val="2"/>
        </w:numPr>
        <w:adjustRightInd w:val="0"/>
        <w:spacing w:line="400" w:lineRule="exact"/>
        <w:rPr>
          <w:rFonts w:hint="eastAsia" w:ascii="宋体" w:hAnsi="宋体" w:cs="宋体"/>
          <w:szCs w:val="21"/>
          <w:highlight w:val="none"/>
        </w:rPr>
      </w:pPr>
      <w:r>
        <w:rPr>
          <w:rFonts w:hint="eastAsia" w:ascii="宋体" w:hAnsi="宋体" w:cs="宋体"/>
          <w:szCs w:val="21"/>
          <w:highlight w:val="none"/>
        </w:rPr>
        <w:t>对系统软件的错误进行记录、分析，为操作系统做故障诊断，实施系统增强和修补程序安装和测试，辅导掌握系统软件的基本操作，并给予技术支持。对系统软件运行实施定期预防性的维护和检查，提供系统优化和性能调整，并提供系统数据备份服务和收费数据异地备份服务。</w:t>
      </w:r>
    </w:p>
    <w:p>
      <w:pPr>
        <w:pStyle w:val="14"/>
        <w:adjustRightInd w:val="0"/>
        <w:spacing w:line="400" w:lineRule="exact"/>
        <w:rPr>
          <w:rFonts w:ascii="宋体" w:hAnsi="宋体" w:cs="宋体"/>
          <w:szCs w:val="21"/>
          <w:highlight w:val="none"/>
        </w:rPr>
      </w:pPr>
      <w:r>
        <w:rPr>
          <w:rFonts w:hint="eastAsia" w:ascii="宋体" w:hAnsi="宋体" w:cs="宋体"/>
          <w:highlight w:val="none"/>
        </w:rPr>
        <w:t>2.</w:t>
      </w:r>
      <w:r>
        <w:rPr>
          <w:rFonts w:hint="eastAsia" w:ascii="宋体" w:hAnsi="宋体" w:cs="宋体"/>
          <w:highlight w:val="none"/>
          <w:lang w:val="en-US" w:eastAsia="zh-CN"/>
        </w:rPr>
        <w:t>4</w:t>
      </w:r>
      <w:r>
        <w:rPr>
          <w:rFonts w:hint="eastAsia" w:ascii="宋体" w:hAnsi="宋体" w:cs="宋体"/>
          <w:highlight w:val="none"/>
        </w:rPr>
        <w:t xml:space="preserve"> </w:t>
      </w:r>
      <w:r>
        <w:rPr>
          <w:rFonts w:hint="eastAsia" w:ascii="宋体" w:hAnsi="宋体" w:cs="宋体"/>
          <w:highlight w:val="none"/>
          <w:lang w:eastAsia="zh-CN"/>
        </w:rPr>
        <w:t>实施期</w:t>
      </w:r>
      <w:r>
        <w:rPr>
          <w:rFonts w:hint="eastAsia" w:ascii="宋体" w:hAnsi="宋体" w:cs="宋体"/>
          <w:highlight w:val="none"/>
        </w:rPr>
        <w:t>：</w:t>
      </w:r>
      <w:r>
        <w:rPr>
          <w:rFonts w:hint="eastAsia" w:ascii="宋体" w:hAnsi="宋体" w:cs="宋体"/>
          <w:szCs w:val="21"/>
          <w:highlight w:val="none"/>
          <w:lang w:val="en-US" w:eastAsia="zh-CN"/>
        </w:rPr>
        <w:t>2021年12月31日前完成（包含两次维护）。</w:t>
      </w:r>
    </w:p>
    <w:p>
      <w:pPr>
        <w:pStyle w:val="4"/>
        <w:spacing w:before="120" w:after="0" w:line="360" w:lineRule="auto"/>
        <w:rPr>
          <w:rFonts w:ascii="宋体" w:hAnsi="宋体" w:eastAsia="宋体" w:cs="宋体"/>
          <w:highlight w:val="none"/>
        </w:rPr>
      </w:pPr>
      <w:bookmarkStart w:id="47" w:name="_Toc507319893"/>
      <w:bookmarkStart w:id="48" w:name="_Toc8744"/>
      <w:bookmarkStart w:id="49" w:name="_Toc11329215"/>
      <w:bookmarkStart w:id="50" w:name="_Toc246996160"/>
      <w:bookmarkStart w:id="51" w:name="_Toc152045514"/>
      <w:bookmarkStart w:id="52" w:name="_Toc10171"/>
      <w:bookmarkStart w:id="53" w:name="_Toc179632530"/>
      <w:bookmarkStart w:id="54" w:name="_Toc144974482"/>
      <w:bookmarkStart w:id="55" w:name="_Toc246996903"/>
      <w:bookmarkStart w:id="56" w:name="_Toc7065"/>
      <w:bookmarkStart w:id="57" w:name="_Toc152042290"/>
      <w:bookmarkStart w:id="58" w:name="_Toc247085674"/>
      <w:bookmarkStart w:id="59" w:name="_Toc30356"/>
      <w:r>
        <w:rPr>
          <w:rFonts w:hint="eastAsia" w:ascii="宋体" w:hAnsi="宋体" w:eastAsia="宋体" w:cs="宋体"/>
          <w:highlight w:val="none"/>
        </w:rPr>
        <w:t>3. 报价人资格要求</w:t>
      </w:r>
      <w:bookmarkEnd w:id="47"/>
      <w:bookmarkEnd w:id="48"/>
      <w:bookmarkEnd w:id="49"/>
      <w:bookmarkEnd w:id="50"/>
      <w:bookmarkEnd w:id="51"/>
      <w:bookmarkEnd w:id="52"/>
      <w:bookmarkEnd w:id="53"/>
      <w:bookmarkEnd w:id="54"/>
      <w:bookmarkEnd w:id="55"/>
      <w:bookmarkEnd w:id="56"/>
      <w:bookmarkEnd w:id="57"/>
      <w:bookmarkEnd w:id="58"/>
      <w:bookmarkEnd w:id="59"/>
    </w:p>
    <w:p>
      <w:pPr>
        <w:spacing w:line="400" w:lineRule="exact"/>
        <w:ind w:firstLine="420" w:firstLineChars="200"/>
        <w:rPr>
          <w:rFonts w:ascii="宋体" w:hAnsi="宋体" w:cs="宋体"/>
          <w:szCs w:val="21"/>
          <w:highlight w:val="none"/>
          <w:shd w:val="clear" w:color="auto" w:fill="FFFFFF"/>
        </w:rPr>
      </w:pPr>
      <w:bookmarkStart w:id="60" w:name="_Toc247085675"/>
      <w:bookmarkStart w:id="61" w:name="_Toc152045515"/>
      <w:bookmarkStart w:id="62" w:name="_Toc246996161"/>
      <w:bookmarkStart w:id="63" w:name="_Toc144974483"/>
      <w:bookmarkStart w:id="64" w:name="_Toc179632531"/>
      <w:bookmarkStart w:id="65" w:name="_Toc152042291"/>
      <w:bookmarkStart w:id="66" w:name="_Toc246996904"/>
      <w:r>
        <w:rPr>
          <w:rFonts w:hint="eastAsia" w:ascii="宋体" w:hAnsi="宋体" w:cs="宋体"/>
          <w:szCs w:val="21"/>
          <w:highlight w:val="none"/>
          <w:shd w:val="clear" w:color="auto" w:fill="FFFFFF"/>
        </w:rPr>
        <w:t>3.1 资质要求：</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（1）报价人应为中国大陆境内合法注册的独立企业法人，具有</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营业执照</w:t>
      </w:r>
      <w:r>
        <w:rPr>
          <w:rFonts w:hint="eastAsia" w:ascii="宋体" w:hAnsi="宋体" w:cs="宋体"/>
          <w:szCs w:val="21"/>
          <w:highlight w:val="none"/>
          <w:shd w:val="clear" w:color="auto" w:fill="FFFFFF"/>
          <w:lang w:eastAsia="zh-CN"/>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报价人</w:t>
      </w:r>
      <w:r>
        <w:rPr>
          <w:rFonts w:hint="eastAsia" w:ascii="宋体" w:hAnsi="宋体" w:cs="宋体"/>
          <w:szCs w:val="21"/>
          <w:highlight w:val="none"/>
          <w:shd w:val="clear" w:color="auto" w:fill="FFFFFF"/>
          <w:lang w:val="en-US" w:eastAsia="zh-CN"/>
        </w:rPr>
        <w:t>应持有HP、IBM、华为等设备制造商其中一家单位的服务器维护授权书</w:t>
      </w:r>
      <w:r>
        <w:rPr>
          <w:rFonts w:hint="eastAsia" w:ascii="宋体" w:hAnsi="宋体" w:cs="宋体"/>
          <w:szCs w:val="21"/>
          <w:highlight w:val="none"/>
          <w:shd w:val="clear" w:color="auto" w:fill="FFFFFF"/>
        </w:rPr>
        <w:t>。</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3</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信用良好：在国家企业信用信息公示系统（ http://www.gsxt.gov.cn/）中未被</w:t>
      </w:r>
      <w:bookmarkStart w:id="272" w:name="_GoBack"/>
      <w:bookmarkEnd w:id="272"/>
      <w:r>
        <w:rPr>
          <w:rFonts w:hint="eastAsia" w:ascii="宋体" w:hAnsi="宋体" w:cs="宋体"/>
          <w:szCs w:val="21"/>
          <w:highlight w:val="none"/>
          <w:shd w:val="clear" w:color="auto" w:fill="FFFFFF"/>
        </w:rPr>
        <w:t>列入严重违法失信企业名单（黑名单）信息；在“信用中国”网站（ http://www.creditchina.gov.cn/）中未被列入失信惩戒执行人名单。</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rPr>
        <w:t>3.2 本次比选不接受联合体报价。</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highlight w:val="none"/>
        </w:rPr>
      </w:pPr>
      <w:bookmarkStart w:id="67" w:name="_Toc12460"/>
      <w:bookmarkStart w:id="68" w:name="_Toc20193"/>
      <w:bookmarkStart w:id="69" w:name="_Toc14361"/>
      <w:bookmarkStart w:id="70" w:name="_Toc507319894"/>
      <w:bookmarkStart w:id="71" w:name="_Toc11329216"/>
      <w:bookmarkStart w:id="72" w:name="_Toc25619"/>
      <w:r>
        <w:rPr>
          <w:rFonts w:hint="eastAsia" w:ascii="宋体" w:hAnsi="宋体" w:eastAsia="宋体" w:cs="宋体"/>
          <w:highlight w:val="none"/>
        </w:rPr>
        <w:t>4. 比选文件的获取</w:t>
      </w:r>
      <w:bookmarkEnd w:id="60"/>
      <w:bookmarkEnd w:id="61"/>
      <w:bookmarkEnd w:id="62"/>
      <w:bookmarkEnd w:id="63"/>
      <w:bookmarkEnd w:id="64"/>
      <w:bookmarkEnd w:id="65"/>
      <w:bookmarkEnd w:id="66"/>
      <w:bookmarkEnd w:id="67"/>
      <w:bookmarkEnd w:id="68"/>
      <w:bookmarkEnd w:id="69"/>
      <w:bookmarkEnd w:id="70"/>
      <w:bookmarkEnd w:id="71"/>
      <w:bookmarkEnd w:id="72"/>
    </w:p>
    <w:p>
      <w:pPr>
        <w:spacing w:line="360" w:lineRule="auto"/>
        <w:ind w:firstLine="420" w:firstLineChars="200"/>
        <w:rPr>
          <w:rFonts w:ascii="宋体" w:hAnsi="宋体"/>
          <w:szCs w:val="21"/>
          <w:highlight w:val="none"/>
        </w:rPr>
      </w:pPr>
      <w:bookmarkStart w:id="73" w:name="_Toc246996905"/>
      <w:bookmarkStart w:id="74" w:name="_Toc152042292"/>
      <w:bookmarkStart w:id="75" w:name="_Toc246996162"/>
      <w:bookmarkStart w:id="76" w:name="_Toc179632532"/>
      <w:bookmarkStart w:id="77" w:name="_Toc11329217"/>
      <w:bookmarkStart w:id="78" w:name="_Toc247085676"/>
      <w:bookmarkStart w:id="79" w:name="_Toc507319895"/>
      <w:bookmarkStart w:id="80" w:name="_Toc152045516"/>
      <w:bookmarkStart w:id="81" w:name="_Toc144974484"/>
      <w:r>
        <w:rPr>
          <w:rFonts w:ascii="宋体" w:hAnsi="宋体"/>
          <w:szCs w:val="21"/>
          <w:highlight w:val="none"/>
        </w:rPr>
        <w:t>凡愿意参加的潜在</w:t>
      </w:r>
      <w:r>
        <w:rPr>
          <w:rFonts w:hint="eastAsia" w:ascii="宋体" w:hAnsi="宋体"/>
          <w:szCs w:val="21"/>
          <w:highlight w:val="none"/>
        </w:rPr>
        <w:t>报价</w:t>
      </w:r>
      <w:r>
        <w:rPr>
          <w:rFonts w:ascii="宋体" w:hAnsi="宋体"/>
          <w:szCs w:val="21"/>
          <w:highlight w:val="none"/>
        </w:rPr>
        <w:t>人，</w:t>
      </w:r>
      <w:r>
        <w:rPr>
          <w:rFonts w:hint="eastAsia" w:ascii="宋体" w:hAnsi="宋体"/>
          <w:szCs w:val="21"/>
          <w:highlight w:val="none"/>
        </w:rPr>
        <w:t>在</w:t>
      </w:r>
      <w:r>
        <w:rPr>
          <w:rFonts w:hint="eastAsia" w:ascii="宋体" w:hAnsi="宋体"/>
          <w:szCs w:val="21"/>
          <w:highlight w:val="none"/>
          <w:u w:val="single"/>
        </w:rPr>
        <w:t>2021</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18</w:t>
      </w:r>
      <w:r>
        <w:rPr>
          <w:rFonts w:ascii="宋体" w:hAnsi="宋体"/>
          <w:szCs w:val="21"/>
          <w:highlight w:val="none"/>
          <w:u w:val="single"/>
        </w:rPr>
        <w:t xml:space="preserve"> </w:t>
      </w:r>
      <w:r>
        <w:rPr>
          <w:rFonts w:hint="eastAsia" w:ascii="宋体" w:hAnsi="宋体"/>
          <w:szCs w:val="21"/>
          <w:highlight w:val="none"/>
        </w:rPr>
        <w:t>日下午</w:t>
      </w:r>
      <w:r>
        <w:rPr>
          <w:rFonts w:hint="eastAsia" w:ascii="宋体" w:hAnsi="宋体"/>
          <w:szCs w:val="21"/>
          <w:highlight w:val="none"/>
          <w:u w:val="single"/>
        </w:rPr>
        <w:t>15:00</w:t>
      </w:r>
      <w:r>
        <w:rPr>
          <w:rFonts w:hint="eastAsia" w:ascii="宋体" w:hAnsi="宋体"/>
          <w:szCs w:val="21"/>
          <w:highlight w:val="none"/>
        </w:rPr>
        <w:t>前在</w:t>
      </w:r>
      <w:r>
        <w:rPr>
          <w:rFonts w:hint="eastAsia" w:ascii="宋体" w:hAnsi="宋体"/>
          <w:szCs w:val="21"/>
          <w:highlight w:val="none"/>
        </w:rPr>
        <w:t>重庆高速集团</w:t>
      </w:r>
      <w:r>
        <w:rPr>
          <w:rFonts w:hint="eastAsia" w:ascii="宋体" w:hAnsi="宋体"/>
          <w:szCs w:val="21"/>
          <w:highlight w:val="none"/>
          <w:lang w:val="en-US" w:eastAsia="zh-CN"/>
        </w:rPr>
        <w:t>官网上</w:t>
      </w:r>
      <w:r>
        <w:rPr>
          <w:rFonts w:hint="eastAsia" w:ascii="宋体" w:hAnsi="宋体"/>
          <w:szCs w:val="21"/>
          <w:highlight w:val="none"/>
          <w:lang w:val="en-US" w:eastAsia="zh-CN"/>
        </w:rPr>
        <w:t>获取竞争性比选文件</w:t>
      </w:r>
      <w:r>
        <w:rPr>
          <w:rFonts w:hint="eastAsia" w:ascii="宋体" w:hAnsi="宋体"/>
          <w:szCs w:val="21"/>
          <w:highlight w:val="none"/>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highlight w:val="none"/>
        </w:rPr>
      </w:pPr>
      <w:bookmarkStart w:id="82" w:name="_Toc9131"/>
      <w:bookmarkStart w:id="83" w:name="_Toc16686"/>
      <w:bookmarkStart w:id="84" w:name="_Toc31493"/>
      <w:bookmarkStart w:id="85" w:name="_Toc17832"/>
      <w:r>
        <w:rPr>
          <w:rFonts w:hint="eastAsia" w:ascii="宋体" w:hAnsi="宋体" w:eastAsia="宋体" w:cs="宋体"/>
          <w:highlight w:val="none"/>
        </w:rPr>
        <w:t>5. 竞争性比选响应文件的递交</w:t>
      </w:r>
      <w:bookmarkEnd w:id="73"/>
      <w:bookmarkEnd w:id="74"/>
      <w:bookmarkEnd w:id="75"/>
      <w:bookmarkEnd w:id="76"/>
      <w:bookmarkEnd w:id="77"/>
      <w:bookmarkEnd w:id="78"/>
      <w:bookmarkEnd w:id="79"/>
      <w:bookmarkEnd w:id="80"/>
      <w:bookmarkEnd w:id="81"/>
      <w:r>
        <w:rPr>
          <w:rFonts w:hint="eastAsia" w:ascii="宋体" w:hAnsi="宋体" w:eastAsia="宋体" w:cs="宋体"/>
          <w:highlight w:val="none"/>
        </w:rPr>
        <w:t>及相关事宜</w:t>
      </w:r>
      <w:bookmarkEnd w:id="82"/>
      <w:bookmarkEnd w:id="83"/>
      <w:bookmarkEnd w:id="84"/>
      <w:bookmarkEnd w:id="85"/>
    </w:p>
    <w:p>
      <w:pPr>
        <w:tabs>
          <w:tab w:val="left" w:pos="360"/>
        </w:tabs>
        <w:spacing w:line="400" w:lineRule="exact"/>
        <w:ind w:firstLine="420" w:firstLineChars="200"/>
        <w:rPr>
          <w:rFonts w:ascii="宋体" w:hAnsi="宋体" w:cs="宋体"/>
          <w:szCs w:val="21"/>
          <w:highlight w:val="none"/>
        </w:rPr>
      </w:pPr>
      <w:bookmarkStart w:id="86" w:name="OLE_LINK1"/>
      <w:r>
        <w:rPr>
          <w:rFonts w:hint="eastAsia" w:ascii="宋体" w:hAnsi="宋体" w:cs="宋体"/>
          <w:szCs w:val="21"/>
          <w:highlight w:val="none"/>
        </w:rPr>
        <w:t>5.1报价截止时间和开标时间：</w:t>
      </w:r>
      <w:r>
        <w:rPr>
          <w:rFonts w:hint="eastAsia" w:ascii="宋体" w:hAnsi="宋体" w:cs="宋体"/>
          <w:szCs w:val="21"/>
          <w:highlight w:val="none"/>
          <w:u w:val="single"/>
        </w:rPr>
        <w:t>2021</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8</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18</w:t>
      </w:r>
      <w:r>
        <w:rPr>
          <w:rFonts w:ascii="宋体" w:hAnsi="宋体" w:cs="宋体"/>
          <w:szCs w:val="21"/>
          <w:highlight w:val="none"/>
          <w:u w:val="single"/>
        </w:rPr>
        <w:t xml:space="preserve"> </w:t>
      </w:r>
      <w:r>
        <w:rPr>
          <w:rFonts w:hint="eastAsia" w:ascii="宋体" w:hAnsi="宋体" w:cs="宋体"/>
          <w:szCs w:val="21"/>
          <w:highlight w:val="none"/>
        </w:rPr>
        <w:t>日下午</w:t>
      </w:r>
      <w:r>
        <w:rPr>
          <w:rFonts w:hint="eastAsia" w:ascii="宋体" w:hAnsi="宋体" w:cs="宋体"/>
          <w:szCs w:val="21"/>
          <w:highlight w:val="none"/>
          <w:u w:val="single"/>
        </w:rPr>
        <w:t xml:space="preserve"> 15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pPr>
        <w:tabs>
          <w:tab w:val="left" w:pos="360"/>
        </w:tabs>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5.2报价的递交：重庆市南岸区四公里内环入口200米处重庆首讯科技大楼</w:t>
      </w:r>
      <w:r>
        <w:rPr>
          <w:rFonts w:hint="eastAsia" w:ascii="宋体" w:hAnsi="宋体" w:cs="宋体"/>
          <w:szCs w:val="21"/>
          <w:highlight w:val="none"/>
          <w:lang w:eastAsia="zh-CN"/>
        </w:rPr>
        <w:t>。</w:t>
      </w:r>
    </w:p>
    <w:bookmarkEnd w:id="86"/>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5.3</w:t>
      </w:r>
      <w:r>
        <w:rPr>
          <w:rFonts w:ascii="宋体" w:hAnsi="宋体" w:cs="宋体"/>
          <w:szCs w:val="21"/>
          <w:highlight w:val="none"/>
        </w:rPr>
        <w:t>采购</w:t>
      </w:r>
      <w:r>
        <w:rPr>
          <w:rFonts w:hint="eastAsia" w:ascii="宋体" w:hAnsi="宋体" w:cs="宋体"/>
          <w:szCs w:val="21"/>
          <w:highlight w:val="none"/>
          <w:lang w:val="en-US" w:eastAsia="zh-CN"/>
        </w:rPr>
        <w:tab/>
      </w:r>
      <w:r>
        <w:rPr>
          <w:rFonts w:ascii="宋体" w:hAnsi="宋体" w:cs="宋体"/>
          <w:szCs w:val="21"/>
          <w:highlight w:val="none"/>
        </w:rPr>
        <w:t>人不召开报价预备会。</w:t>
      </w:r>
    </w:p>
    <w:p>
      <w:pPr>
        <w:pStyle w:val="4"/>
        <w:spacing w:before="120" w:after="0" w:line="400" w:lineRule="exact"/>
        <w:rPr>
          <w:rFonts w:ascii="宋体" w:hAnsi="宋体" w:eastAsia="宋体" w:cs="宋体"/>
          <w:highlight w:val="none"/>
        </w:rPr>
      </w:pPr>
      <w:bookmarkStart w:id="87" w:name="_Toc246996907"/>
      <w:bookmarkStart w:id="88" w:name="_Toc18284"/>
      <w:bookmarkStart w:id="89" w:name="_Toc18402"/>
      <w:bookmarkStart w:id="90" w:name="_Toc152045517"/>
      <w:bookmarkStart w:id="91" w:name="_Toc247085678"/>
      <w:bookmarkStart w:id="92" w:name="_Toc11329219"/>
      <w:bookmarkStart w:id="93" w:name="_Toc246996164"/>
      <w:bookmarkStart w:id="94" w:name="_Toc152042293"/>
      <w:bookmarkStart w:id="95" w:name="_Toc21615"/>
      <w:bookmarkStart w:id="96" w:name="_Toc507319897"/>
      <w:bookmarkStart w:id="97" w:name="_Toc393"/>
      <w:bookmarkStart w:id="98" w:name="_Toc144974485"/>
      <w:bookmarkStart w:id="99" w:name="_Toc179632534"/>
      <w:r>
        <w:rPr>
          <w:rFonts w:hint="eastAsia" w:ascii="宋体" w:hAnsi="宋体" w:eastAsia="宋体" w:cs="宋体"/>
          <w:highlight w:val="none"/>
        </w:rPr>
        <w:t>6. 联系方式</w:t>
      </w:r>
      <w:bookmarkEnd w:id="87"/>
      <w:bookmarkEnd w:id="88"/>
      <w:bookmarkEnd w:id="89"/>
      <w:bookmarkEnd w:id="90"/>
      <w:bookmarkEnd w:id="91"/>
      <w:bookmarkEnd w:id="92"/>
      <w:bookmarkEnd w:id="93"/>
      <w:bookmarkEnd w:id="94"/>
      <w:bookmarkEnd w:id="95"/>
      <w:bookmarkEnd w:id="96"/>
      <w:bookmarkEnd w:id="97"/>
      <w:bookmarkEnd w:id="98"/>
      <w:bookmarkEnd w:id="99"/>
    </w:p>
    <w:tbl>
      <w:tblPr>
        <w:tblStyle w:val="47"/>
        <w:tblW w:w="9628" w:type="dxa"/>
        <w:tblInd w:w="0" w:type="dxa"/>
        <w:tblLayout w:type="fixed"/>
        <w:tblCellMar>
          <w:top w:w="0" w:type="dxa"/>
          <w:left w:w="108" w:type="dxa"/>
          <w:bottom w:w="0" w:type="dxa"/>
          <w:right w:w="108" w:type="dxa"/>
        </w:tblCellMar>
      </w:tblPr>
      <w:tblGrid>
        <w:gridCol w:w="8213"/>
        <w:gridCol w:w="1415"/>
      </w:tblGrid>
      <w:tr>
        <w:tblPrEx>
          <w:tblLayout w:type="fixed"/>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highlight w:val="none"/>
              </w:rPr>
            </w:pPr>
            <w:r>
              <w:rPr>
                <w:rFonts w:hint="eastAsia" w:ascii="宋体" w:hAnsi="宋体" w:cs="宋体"/>
                <w:kern w:val="2"/>
                <w:sz w:val="21"/>
                <w:szCs w:val="21"/>
                <w:highlight w:val="none"/>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highlight w:val="none"/>
              </w:rPr>
            </w:pPr>
          </w:p>
        </w:tc>
      </w:tr>
      <w:tr>
        <w:tblPrEx>
          <w:tblLayout w:type="fixed"/>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highlight w:val="none"/>
              </w:rPr>
            </w:pPr>
            <w:r>
              <w:rPr>
                <w:rFonts w:hint="eastAsia" w:ascii="宋体" w:hAnsi="宋体" w:cs="宋体"/>
                <w:szCs w:val="21"/>
                <w:highlight w:val="none"/>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highlight w:val="none"/>
              </w:rPr>
            </w:pPr>
            <w:r>
              <w:rPr>
                <w:rFonts w:hint="eastAsia" w:ascii="宋体" w:hAnsi="宋体" w:cs="宋体"/>
                <w:szCs w:val="21"/>
                <w:highlight w:val="none"/>
              </w:rPr>
              <w:t>技术联系人：</w:t>
            </w:r>
            <w:r>
              <w:rPr>
                <w:rFonts w:hint="eastAsia" w:ascii="宋体" w:hAnsi="宋体" w:cs="宋体"/>
                <w:szCs w:val="21"/>
                <w:highlight w:val="none"/>
                <w:lang w:val="en-US" w:eastAsia="zh-CN"/>
              </w:rPr>
              <w:t>秦老师</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highlight w:val="none"/>
              </w:rPr>
            </w:pPr>
            <w:r>
              <w:rPr>
                <w:rFonts w:hint="eastAsia" w:ascii="宋体" w:hAnsi="宋体" w:cs="宋体"/>
                <w:szCs w:val="21"/>
                <w:highlight w:val="none"/>
              </w:rPr>
              <w:t>电 话：</w:t>
            </w:r>
            <w:r>
              <w:rPr>
                <w:rFonts w:hint="eastAsia" w:ascii="宋体" w:hAnsi="宋体" w:cs="宋体"/>
                <w:szCs w:val="21"/>
                <w:highlight w:val="none"/>
                <w:lang w:val="en-US" w:eastAsia="zh-CN"/>
              </w:rPr>
              <w:t>13996205690</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highlight w:val="none"/>
              </w:rPr>
            </w:pPr>
            <w:r>
              <w:rPr>
                <w:rFonts w:hint="eastAsia" w:ascii="宋体" w:hAnsi="宋体" w:cs="宋体"/>
                <w:szCs w:val="21"/>
                <w:highlight w:val="none"/>
              </w:rPr>
              <w:t>商务联系人：蒋老师</w:t>
            </w:r>
          </w:p>
        </w:tc>
        <w:tc>
          <w:tcPr>
            <w:tcW w:w="1415" w:type="dxa"/>
            <w:vAlign w:val="center"/>
          </w:tcPr>
          <w:p>
            <w:pPr>
              <w:spacing w:line="400" w:lineRule="exact"/>
              <w:ind w:firstLine="420" w:firstLineChars="200"/>
              <w:rPr>
                <w:rFonts w:ascii="宋体" w:hAnsi="宋体" w:cs="宋体"/>
                <w:szCs w:val="21"/>
                <w:highlight w:val="none"/>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ascii="宋体" w:hAnsi="宋体" w:cs="宋体"/>
                <w:szCs w:val="21"/>
                <w:highlight w:val="none"/>
              </w:rPr>
            </w:pPr>
            <w:r>
              <w:rPr>
                <w:rFonts w:hint="eastAsia" w:ascii="宋体" w:hAnsi="宋体" w:cs="宋体"/>
                <w:szCs w:val="21"/>
                <w:highlight w:val="none"/>
              </w:rPr>
              <w:t>电 话：18523055172</w:t>
            </w:r>
          </w:p>
        </w:tc>
        <w:tc>
          <w:tcPr>
            <w:tcW w:w="1415" w:type="dxa"/>
            <w:vAlign w:val="center"/>
          </w:tcPr>
          <w:p>
            <w:pPr>
              <w:spacing w:line="400" w:lineRule="exact"/>
              <w:ind w:firstLine="420" w:firstLineChars="200"/>
              <w:rPr>
                <w:rFonts w:ascii="宋体" w:hAnsi="宋体" w:cs="宋体"/>
                <w:szCs w:val="21"/>
                <w:highlight w:val="none"/>
              </w:rPr>
            </w:pPr>
          </w:p>
        </w:tc>
      </w:tr>
    </w:tbl>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rPr>
          <w:highlight w:val="none"/>
        </w:rPr>
      </w:pPr>
    </w:p>
    <w:p>
      <w:pPr>
        <w:rPr>
          <w:highlight w:val="none"/>
        </w:rPr>
      </w:pPr>
    </w:p>
    <w:p>
      <w:pPr>
        <w:pStyle w:val="2"/>
        <w:rPr>
          <w:highlight w:val="none"/>
        </w:rPr>
      </w:pPr>
    </w:p>
    <w:p>
      <w:pPr>
        <w:rPr>
          <w:highlight w:val="none"/>
        </w:rPr>
      </w:pPr>
    </w:p>
    <w:p>
      <w:pPr>
        <w:pStyle w:val="2"/>
        <w:rPr>
          <w:highlight w:val="none"/>
        </w:rPr>
      </w:pPr>
    </w:p>
    <w:bookmarkEnd w:id="17"/>
    <w:bookmarkEnd w:id="18"/>
    <w:p>
      <w:pPr>
        <w:pStyle w:val="3"/>
        <w:spacing w:before="0" w:after="0" w:line="360" w:lineRule="auto"/>
        <w:jc w:val="center"/>
        <w:rPr>
          <w:rFonts w:ascii="宋体" w:hAnsi="宋体" w:cs="宋体"/>
          <w:highlight w:val="none"/>
        </w:rPr>
      </w:pPr>
      <w:bookmarkStart w:id="100" w:name="_Toc2000405"/>
      <w:bookmarkStart w:id="101" w:name="_Toc179632544"/>
      <w:bookmarkStart w:id="102" w:name="_Toc246996173"/>
      <w:bookmarkStart w:id="103" w:name="_Toc21719"/>
      <w:bookmarkStart w:id="104" w:name="_Toc507319898"/>
      <w:bookmarkStart w:id="105" w:name="_Toc152042303"/>
      <w:bookmarkStart w:id="106" w:name="_Toc247085687"/>
      <w:bookmarkStart w:id="107" w:name="_Toc144974495"/>
      <w:bookmarkStart w:id="108" w:name="_Toc152045527"/>
      <w:bookmarkStart w:id="109" w:name="_Toc246996916"/>
      <w:bookmarkStart w:id="110" w:name="_Toc14597"/>
      <w:r>
        <w:rPr>
          <w:rFonts w:hint="eastAsia" w:ascii="宋体" w:hAnsi="宋体" w:cs="宋体"/>
          <w:highlight w:val="none"/>
        </w:rPr>
        <w:t>第二章 报价人须知</w:t>
      </w:r>
      <w:bookmarkEnd w:id="100"/>
      <w:bookmarkEnd w:id="101"/>
      <w:bookmarkEnd w:id="102"/>
      <w:bookmarkEnd w:id="103"/>
      <w:bookmarkEnd w:id="104"/>
      <w:bookmarkEnd w:id="105"/>
      <w:bookmarkEnd w:id="106"/>
      <w:bookmarkEnd w:id="107"/>
      <w:bookmarkEnd w:id="108"/>
      <w:bookmarkEnd w:id="109"/>
      <w:bookmarkEnd w:id="110"/>
    </w:p>
    <w:p>
      <w:pPr>
        <w:rPr>
          <w:highlight w:val="none"/>
        </w:rPr>
      </w:pPr>
    </w:p>
    <w:tbl>
      <w:tblPr>
        <w:tblStyle w:val="47"/>
        <w:tblW w:w="99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highlight w:val="none"/>
              </w:rPr>
            </w:pPr>
            <w:bookmarkStart w:id="111" w:name="_Toc326760840"/>
            <w:r>
              <w:rPr>
                <w:rFonts w:hint="eastAsia" w:ascii="宋体" w:hAnsi="宋体" w:cs="宋体"/>
                <w:b/>
                <w:kern w:val="0"/>
                <w:szCs w:val="21"/>
                <w:highlight w:val="none"/>
              </w:rPr>
              <w:t>序号</w:t>
            </w:r>
          </w:p>
        </w:tc>
        <w:tc>
          <w:tcPr>
            <w:tcW w:w="2106" w:type="dxa"/>
            <w:vAlign w:val="center"/>
          </w:tcPr>
          <w:p>
            <w:pPr>
              <w:spacing w:line="400" w:lineRule="exact"/>
              <w:jc w:val="center"/>
              <w:rPr>
                <w:rFonts w:ascii="宋体" w:hAnsi="宋体" w:cs="宋体"/>
                <w:b/>
                <w:kern w:val="0"/>
                <w:szCs w:val="21"/>
                <w:highlight w:val="none"/>
              </w:rPr>
            </w:pPr>
            <w:r>
              <w:rPr>
                <w:rFonts w:hint="eastAsia" w:ascii="宋体" w:hAnsi="宋体" w:cs="宋体"/>
                <w:b/>
                <w:kern w:val="0"/>
                <w:szCs w:val="21"/>
                <w:highlight w:val="none"/>
              </w:rPr>
              <w:t>条款名称</w:t>
            </w:r>
          </w:p>
        </w:tc>
        <w:tc>
          <w:tcPr>
            <w:tcW w:w="7104" w:type="dxa"/>
            <w:vAlign w:val="center"/>
          </w:tcPr>
          <w:p>
            <w:pPr>
              <w:spacing w:line="400" w:lineRule="exact"/>
              <w:ind w:firstLine="422" w:firstLineChars="200"/>
              <w:jc w:val="center"/>
              <w:rPr>
                <w:rFonts w:ascii="宋体" w:hAnsi="宋体" w:cs="宋体"/>
                <w:b/>
                <w:kern w:val="0"/>
                <w:szCs w:val="21"/>
                <w:highlight w:val="none"/>
              </w:rPr>
            </w:pPr>
            <w:r>
              <w:rPr>
                <w:rFonts w:hint="eastAsia" w:ascii="宋体" w:hAnsi="宋体" w:cs="宋体"/>
                <w:b/>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采购人</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采购人：重庆首讯科技股份有限公司</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地  址：重庆市南岸区四公里内环入口高速集团首讯科技大楼</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联系人：蒋老师</w:t>
            </w:r>
          </w:p>
          <w:p>
            <w:pPr>
              <w:topLinePunct/>
              <w:spacing w:line="420" w:lineRule="exact"/>
              <w:ind w:firstLine="420" w:firstLineChars="200"/>
              <w:rPr>
                <w:highlight w:val="none"/>
              </w:rPr>
            </w:pPr>
            <w:r>
              <w:rPr>
                <w:rFonts w:hint="eastAsia" w:ascii="宋体" w:hAnsi="宋体" w:cs="宋体"/>
                <w:szCs w:val="21"/>
                <w:highlight w:val="none"/>
              </w:rPr>
              <w:t>电  话：18523055172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项目名称</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lang w:eastAsia="zh-CN"/>
              </w:rPr>
              <w:t>首讯公司2021年服务器维护养护工程（第二次）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3</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项目地点</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4</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资金来源</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重庆首讯科技股份有限公司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5</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出资比例</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6</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highlight w:val="none"/>
              </w:rPr>
            </w:pPr>
            <w:r>
              <w:rPr>
                <w:rFonts w:hint="eastAsia" w:ascii="宋体" w:hAnsi="宋体" w:cs="宋体"/>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7</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8</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kern w:val="0"/>
                <w:szCs w:val="21"/>
                <w:highlight w:val="none"/>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9</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质量要求</w:t>
            </w:r>
          </w:p>
        </w:tc>
        <w:tc>
          <w:tcPr>
            <w:tcW w:w="7104" w:type="dxa"/>
          </w:tcPr>
          <w:p>
            <w:pPr>
              <w:spacing w:line="400" w:lineRule="exact"/>
              <w:ind w:firstLine="420" w:firstLineChars="200"/>
              <w:rPr>
                <w:rFonts w:ascii="宋体" w:hAnsi="宋体" w:cs="宋体"/>
                <w:kern w:val="0"/>
                <w:szCs w:val="21"/>
                <w:highlight w:val="none"/>
              </w:rPr>
            </w:pPr>
            <w:r>
              <w:rPr>
                <w:rFonts w:hint="eastAsia" w:ascii="宋体" w:hAnsi="宋体" w:cs="宋体"/>
                <w:szCs w:val="21"/>
                <w:highlight w:val="none"/>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10</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安全目标</w:t>
            </w:r>
          </w:p>
        </w:tc>
        <w:tc>
          <w:tcPr>
            <w:tcW w:w="7104" w:type="dxa"/>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11</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szCs w:val="21"/>
                <w:highlight w:val="none"/>
              </w:rPr>
              <w:t>报价人资质条件、能力与信誉</w:t>
            </w:r>
          </w:p>
        </w:tc>
        <w:tc>
          <w:tcPr>
            <w:tcW w:w="7104" w:type="dxa"/>
            <w:vAlign w:val="center"/>
          </w:tcPr>
          <w:p>
            <w:pPr>
              <w:spacing w:line="400" w:lineRule="exact"/>
              <w:ind w:firstLine="420" w:firstLineChars="200"/>
              <w:rPr>
                <w:rFonts w:ascii="宋体" w:hAnsi="宋体" w:cs="宋体"/>
                <w:szCs w:val="21"/>
                <w:highlight w:val="none"/>
              </w:rPr>
            </w:pPr>
            <w:r>
              <w:rPr>
                <w:rFonts w:hint="eastAsia" w:ascii="宋体" w:hAnsi="宋体" w:cs="宋体"/>
                <w:szCs w:val="21"/>
                <w:highlight w:val="none"/>
              </w:rPr>
              <w:t>（1）资质条件：见附录1</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（2）财务要求：见附录2</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（3）业绩要求：见附录3</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（4）信誉要求：见附录4</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（5）项目主要人员要求：见附录5</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12</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是否接受</w:t>
            </w:r>
          </w:p>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联合体报价</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13</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踏勘现场</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14</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分包</w:t>
            </w:r>
          </w:p>
        </w:tc>
        <w:tc>
          <w:tcPr>
            <w:tcW w:w="7104" w:type="dxa"/>
            <w:vAlign w:val="center"/>
          </w:tcPr>
          <w:p>
            <w:pPr>
              <w:spacing w:line="400" w:lineRule="exact"/>
              <w:ind w:firstLine="420" w:firstLineChars="200"/>
              <w:rPr>
                <w:rFonts w:ascii="宋体" w:hAnsi="宋体" w:cs="宋体"/>
                <w:kern w:val="0"/>
                <w:szCs w:val="21"/>
                <w:highlight w:val="none"/>
              </w:rPr>
            </w:pPr>
            <w:r>
              <w:rPr>
                <w:rFonts w:hint="eastAsia" w:ascii="宋体" w:hAnsi="宋体" w:cs="宋体"/>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15</w:t>
            </w:r>
          </w:p>
        </w:tc>
        <w:tc>
          <w:tcPr>
            <w:tcW w:w="2106"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偏差</w:t>
            </w:r>
          </w:p>
        </w:tc>
        <w:tc>
          <w:tcPr>
            <w:tcW w:w="7104" w:type="dxa"/>
            <w:vAlign w:val="center"/>
          </w:tcPr>
          <w:p>
            <w:pPr>
              <w:spacing w:line="400" w:lineRule="exact"/>
              <w:ind w:firstLine="422" w:firstLineChars="200"/>
              <w:rPr>
                <w:rFonts w:ascii="宋体" w:hAnsi="宋体" w:cs="宋体"/>
                <w:kern w:val="0"/>
                <w:szCs w:val="21"/>
                <w:highlight w:val="none"/>
              </w:rPr>
            </w:pPr>
            <w:r>
              <w:rPr>
                <w:rFonts w:hint="eastAsia" w:ascii="宋体" w:hAnsi="宋体" w:cs="宋体"/>
                <w:b/>
                <w:kern w:val="0"/>
                <w:szCs w:val="21"/>
                <w:highlight w:val="none"/>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16</w:t>
            </w:r>
          </w:p>
        </w:tc>
        <w:tc>
          <w:tcPr>
            <w:tcW w:w="2106" w:type="dxa"/>
            <w:vAlign w:val="center"/>
          </w:tcPr>
          <w:p>
            <w:pPr>
              <w:spacing w:line="440" w:lineRule="exact"/>
              <w:jc w:val="center"/>
              <w:rPr>
                <w:rFonts w:ascii="宋体" w:hAnsi="宋体" w:cs="宋体"/>
                <w:kern w:val="0"/>
                <w:szCs w:val="21"/>
                <w:highlight w:val="none"/>
              </w:rPr>
            </w:pPr>
            <w:r>
              <w:rPr>
                <w:rFonts w:hint="eastAsia" w:ascii="宋体" w:hAnsi="宋体" w:cs="宋体"/>
                <w:bCs/>
                <w:szCs w:val="21"/>
                <w:highlight w:val="none"/>
              </w:rPr>
              <w:t>构成比选文件的其他材料</w:t>
            </w:r>
          </w:p>
        </w:tc>
        <w:tc>
          <w:tcPr>
            <w:tcW w:w="7104" w:type="dxa"/>
            <w:vAlign w:val="center"/>
          </w:tcPr>
          <w:p>
            <w:pPr>
              <w:spacing w:line="440" w:lineRule="exact"/>
              <w:ind w:firstLine="420" w:firstLineChars="200"/>
              <w:rPr>
                <w:rFonts w:ascii="宋体" w:hAnsi="宋体" w:cs="宋体"/>
                <w:szCs w:val="21"/>
                <w:highlight w:val="none"/>
              </w:rPr>
            </w:pPr>
            <w:r>
              <w:rPr>
                <w:rFonts w:hint="eastAsia" w:ascii="宋体" w:hAnsi="宋体" w:cs="宋体"/>
                <w:szCs w:val="21"/>
                <w:highlight w:val="none"/>
              </w:rPr>
              <w:t>采购人发布的工程量清单、补遗书、答疑、澄清、最高限价通知等附件。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highlight w:val="none"/>
              </w:rPr>
            </w:pPr>
            <w:bookmarkStart w:id="112" w:name="_Hlt227984024"/>
            <w:bookmarkEnd w:id="112"/>
            <w:r>
              <w:rPr>
                <w:rFonts w:hint="eastAsia" w:ascii="宋体" w:hAnsi="宋体" w:cs="宋体"/>
                <w:kern w:val="0"/>
                <w:szCs w:val="21"/>
                <w:highlight w:val="none"/>
              </w:rPr>
              <w:t>17</w:t>
            </w:r>
          </w:p>
        </w:tc>
        <w:tc>
          <w:tcPr>
            <w:tcW w:w="2106"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18</w:t>
            </w:r>
          </w:p>
        </w:tc>
        <w:tc>
          <w:tcPr>
            <w:tcW w:w="2106" w:type="dxa"/>
            <w:tcBorders>
              <w:bottom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highlight w:val="none"/>
              </w:rPr>
            </w:pPr>
            <w:r>
              <w:rPr>
                <w:rFonts w:hint="eastAsia" w:ascii="宋体" w:hAnsi="宋体" w:cs="宋体"/>
                <w:highlight w:val="none"/>
              </w:rPr>
              <w:t>报价人按照采购人提供的工程量清单填写工程量清单</w:t>
            </w:r>
          </w:p>
          <w:p>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综合单价取小数点后两位，小数点后第三位四舍五入。</w:t>
            </w:r>
          </w:p>
          <w:p>
            <w:pPr>
              <w:spacing w:line="400" w:lineRule="exact"/>
              <w:ind w:firstLine="422" w:firstLineChars="200"/>
              <w:rPr>
                <w:rFonts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19</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最高投标限价</w:t>
            </w:r>
          </w:p>
        </w:tc>
        <w:tc>
          <w:tcPr>
            <w:tcW w:w="7104" w:type="dxa"/>
            <w:tcBorders>
              <w:bottom w:val="single" w:color="auto" w:sz="4" w:space="0"/>
            </w:tcBorders>
          </w:tcPr>
          <w:p>
            <w:pPr>
              <w:spacing w:line="400" w:lineRule="exact"/>
              <w:ind w:firstLine="422" w:firstLineChars="200"/>
              <w:rPr>
                <w:rFonts w:ascii="宋体" w:hAnsi="宋体"/>
                <w:szCs w:val="21"/>
                <w:highlight w:val="none"/>
              </w:rPr>
            </w:pPr>
            <w:r>
              <w:rPr>
                <w:rFonts w:hint="eastAsia" w:ascii="宋体" w:hAnsi="宋体"/>
                <w:b/>
                <w:bCs/>
                <w:szCs w:val="21"/>
                <w:highlight w:val="none"/>
              </w:rPr>
              <w:t>本项目最高限价</w:t>
            </w:r>
            <w:r>
              <w:rPr>
                <w:rFonts w:hint="eastAsia" w:ascii="宋体" w:hAnsi="宋体"/>
                <w:b/>
                <w:bCs/>
                <w:szCs w:val="21"/>
                <w:highlight w:val="none"/>
                <w:u w:val="single"/>
                <w:lang w:val="en-US" w:eastAsia="zh-CN"/>
              </w:rPr>
              <w:t>455254.00</w:t>
            </w:r>
            <w:r>
              <w:rPr>
                <w:rFonts w:hint="eastAsia" w:ascii="宋体" w:hAnsi="宋体"/>
                <w:b/>
                <w:bCs/>
                <w:szCs w:val="21"/>
                <w:highlight w:val="none"/>
              </w:rPr>
              <w:t>元。</w:t>
            </w:r>
          </w:p>
          <w:p>
            <w:pPr>
              <w:spacing w:line="400" w:lineRule="exact"/>
              <w:ind w:firstLine="422" w:firstLineChars="200"/>
              <w:rPr>
                <w:rFonts w:ascii="宋体" w:hAnsi="宋体" w:cs="宋体"/>
                <w:b/>
                <w:bCs/>
                <w:kern w:val="0"/>
                <w:szCs w:val="21"/>
                <w:highlight w:val="none"/>
              </w:rPr>
            </w:pPr>
            <w:r>
              <w:rPr>
                <w:rFonts w:hint="eastAsia" w:ascii="宋体" w:hAnsi="宋体" w:cs="宋体"/>
                <w:b/>
                <w:szCs w:val="21"/>
                <w:highlight w:val="none"/>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20</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合同支付办法</w:t>
            </w:r>
          </w:p>
        </w:tc>
        <w:tc>
          <w:tcPr>
            <w:tcW w:w="7104" w:type="dxa"/>
            <w:tcBorders>
              <w:bottom w:val="single" w:color="auto" w:sz="4" w:space="0"/>
            </w:tcBorders>
          </w:tcPr>
          <w:p>
            <w:pPr>
              <w:numPr>
                <w:ilvl w:val="0"/>
                <w:numId w:val="0"/>
              </w:numPr>
              <w:spacing w:line="276" w:lineRule="auto"/>
              <w:rPr>
                <w:highlight w:val="none"/>
              </w:rPr>
            </w:pPr>
            <w:r>
              <w:rPr>
                <w:rFonts w:hint="eastAsia" w:ascii="宋体" w:hAnsi="宋体" w:cs="宋体"/>
                <w:highlight w:val="none"/>
                <w:lang w:val="en-US" w:eastAsia="zh-CN"/>
              </w:rPr>
              <w:t xml:space="preserve">    合同支付办法为按季度支付。具体方式：维护工作完成并经验收合格后5天内，由乙方携每季度维护记录或报告（需由营运公司和首讯公司管理人员或其委托人员共同签字）的自行到甲方办理。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21</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乙方人员的管理</w:t>
            </w:r>
          </w:p>
        </w:tc>
        <w:tc>
          <w:tcPr>
            <w:tcW w:w="7104" w:type="dxa"/>
            <w:tcBorders>
              <w:bottom w:val="single" w:color="auto" w:sz="4" w:space="0"/>
            </w:tcBorders>
          </w:tcPr>
          <w:p>
            <w:pPr>
              <w:spacing w:line="400" w:lineRule="exact"/>
              <w:ind w:firstLine="420" w:firstLineChars="200"/>
              <w:rPr>
                <w:rFonts w:hint="eastAsia" w:eastAsia="宋体"/>
                <w:highlight w:val="none"/>
                <w:lang w:eastAsia="zh-CN"/>
              </w:rPr>
            </w:pPr>
            <w:bookmarkStart w:id="113" w:name="OLE_LINK4"/>
            <w:r>
              <w:rPr>
                <w:rFonts w:hint="eastAsia" w:ascii="宋体" w:hAnsi="宋体" w:cs="宋体"/>
                <w:szCs w:val="21"/>
                <w:highlight w:val="none"/>
                <w:shd w:val="clear" w:color="auto" w:fill="FFFFFF"/>
                <w:lang w:val="en-US" w:eastAsia="zh-CN"/>
              </w:rPr>
              <w:t>乙方现场维护人员不得少于4人</w:t>
            </w:r>
            <w:bookmarkEnd w:id="1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kern w:val="0"/>
                <w:szCs w:val="21"/>
                <w:highlight w:val="none"/>
              </w:rPr>
              <w:t>22</w:t>
            </w:r>
          </w:p>
        </w:tc>
        <w:tc>
          <w:tcPr>
            <w:tcW w:w="2106" w:type="dxa"/>
            <w:tcBorders>
              <w:bottom w:val="single" w:color="auto" w:sz="4" w:space="0"/>
            </w:tcBorders>
            <w:vAlign w:val="center"/>
          </w:tcPr>
          <w:p>
            <w:pPr>
              <w:spacing w:line="400" w:lineRule="exact"/>
              <w:jc w:val="center"/>
              <w:rPr>
                <w:rFonts w:ascii="宋体" w:hAnsi="宋体" w:cs="宋体"/>
                <w:kern w:val="0"/>
                <w:szCs w:val="21"/>
                <w:highlight w:val="none"/>
              </w:rPr>
            </w:pPr>
            <w:r>
              <w:rPr>
                <w:rFonts w:hint="eastAsia" w:ascii="宋体" w:hAnsi="宋体" w:cs="宋体"/>
                <w:szCs w:val="21"/>
                <w:highlight w:val="none"/>
              </w:rPr>
              <w:t>乙方人员违约的处理</w:t>
            </w:r>
          </w:p>
        </w:tc>
        <w:tc>
          <w:tcPr>
            <w:tcW w:w="7104" w:type="dxa"/>
            <w:tcBorders>
              <w:bottom w:val="single" w:color="auto" w:sz="4" w:space="0"/>
            </w:tcBorders>
          </w:tcPr>
          <w:p>
            <w:pPr>
              <w:spacing w:line="400" w:lineRule="exact"/>
              <w:rPr>
                <w:rFonts w:hint="eastAsia"/>
                <w:highlight w:val="none"/>
                <w:lang w:val="en-US" w:eastAsia="zh-CN"/>
              </w:rPr>
            </w:pPr>
            <w:r>
              <w:rPr>
                <w:rFonts w:hint="eastAsia"/>
                <w:highlight w:val="none"/>
                <w:lang w:val="en-US" w:eastAsia="zh-CN"/>
              </w:rPr>
              <w:t>1、突发性设备故障承包人的维修人员应确保4小时内赶到现场；一般设备故障承包人应保证在48小时内排除；特殊设备故障承包人在规定时间内必须得以解决；特殊原因不能及时排除故障的书面向招标人报告。如因承包人原因不能在规定时间内赶到设备现场或在规定时间内未恢复设备的正常运行状态，对设备安全运行或营运收费等工作带来较大影响，从履约保证金中每超过一天扣款500元。</w:t>
            </w:r>
          </w:p>
          <w:p>
            <w:pPr>
              <w:spacing w:line="400" w:lineRule="exact"/>
              <w:rPr>
                <w:rFonts w:hint="eastAsia"/>
                <w:highlight w:val="none"/>
                <w:lang w:val="en-US" w:eastAsia="zh-CN"/>
              </w:rPr>
            </w:pPr>
            <w:r>
              <w:rPr>
                <w:rFonts w:hint="eastAsia"/>
                <w:highlight w:val="none"/>
                <w:lang w:val="en-US" w:eastAsia="zh-CN"/>
              </w:rPr>
              <w:t>2、超过规定时间未按要求完成维护工作或延迟提交维护资料，经书面催促后仍然无法完成维护工作或提交资料的，从履约保证金中一次扣款2000元。</w:t>
            </w:r>
          </w:p>
          <w:p>
            <w:pPr>
              <w:spacing w:line="400" w:lineRule="exact"/>
              <w:rPr>
                <w:rFonts w:hint="eastAsia"/>
                <w:highlight w:val="none"/>
                <w:lang w:val="en-US" w:eastAsia="zh-CN"/>
              </w:rPr>
            </w:pPr>
            <w:r>
              <w:rPr>
                <w:rFonts w:hint="eastAsia"/>
                <w:highlight w:val="none"/>
                <w:lang w:val="en-US" w:eastAsia="zh-CN"/>
              </w:rPr>
              <w:t>3、未按照要求进行人员驻点和24小时值守且发生未经招标人批准离开维护路段内的情形，每人每次从履约保证金中扣款500元。</w:t>
            </w:r>
          </w:p>
          <w:p>
            <w:pPr>
              <w:spacing w:line="400" w:lineRule="exact"/>
              <w:rPr>
                <w:rFonts w:hint="eastAsia"/>
                <w:highlight w:val="none"/>
                <w:lang w:val="en-US" w:eastAsia="zh-CN"/>
              </w:rPr>
            </w:pPr>
            <w:r>
              <w:rPr>
                <w:rFonts w:hint="eastAsia"/>
                <w:highlight w:val="none"/>
                <w:lang w:val="en-US" w:eastAsia="zh-CN"/>
              </w:rPr>
              <w:t>4、如出现1次以上未达到维护质量要求、资料提交不及时等情况，招标人有权要求承包人进行整改；拒不整改或维护弄虚作假的，招标人有权终止维护合同的执行，由此带来的损失由承包人承担。</w:t>
            </w:r>
          </w:p>
          <w:p>
            <w:pPr>
              <w:spacing w:line="400" w:lineRule="exact"/>
              <w:rPr>
                <w:rFonts w:hint="eastAsia"/>
                <w:highlight w:val="none"/>
                <w:lang w:val="en-US" w:eastAsia="zh-CN"/>
              </w:rPr>
            </w:pPr>
            <w:r>
              <w:rPr>
                <w:rFonts w:hint="eastAsia"/>
                <w:highlight w:val="none"/>
                <w:lang w:val="en-US" w:eastAsia="zh-CN"/>
              </w:rPr>
              <w:t>5、承包人负责维护施工期间的现场安全管理，现场安全措施及标志摆放必须严格遵守《道路交通标志和标线》（GB5768.4-2017）第4部分：作业区及《重庆市营运高速公路施工标准化管理办法》的规定；未按照规定要求设置标志、标牌等安全措施，应现场立即整改；整改不到位，勒令停工，造成的损失由承包人自行承担，并按照招标人“工程安全生产的违约处理细则”的条款进行处理。</w:t>
            </w:r>
          </w:p>
          <w:p>
            <w:pPr>
              <w:spacing w:line="400" w:lineRule="exact"/>
              <w:rPr>
                <w:highlight w:val="none"/>
              </w:rPr>
            </w:pPr>
            <w:r>
              <w:rPr>
                <w:rFonts w:hint="eastAsia"/>
                <w:highlight w:val="none"/>
                <w:lang w:val="en-US" w:eastAsia="zh-CN"/>
              </w:rPr>
              <w:t>4、承包人因违章作业受到行政处罚导致招标人信用受到损失，造成社会负面影响，将纳入招标人对承包人的信用考核，并按相关制度处理。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22</w:t>
            </w:r>
          </w:p>
        </w:tc>
        <w:tc>
          <w:tcPr>
            <w:tcW w:w="2106" w:type="dxa"/>
          </w:tcPr>
          <w:p>
            <w:pPr>
              <w:spacing w:line="400" w:lineRule="exact"/>
              <w:jc w:val="center"/>
              <w:rPr>
                <w:rFonts w:ascii="宋体" w:hAnsi="宋体" w:cs="宋体"/>
                <w:szCs w:val="21"/>
                <w:highlight w:val="none"/>
              </w:rPr>
            </w:pPr>
            <w:r>
              <w:rPr>
                <w:rFonts w:hint="eastAsia" w:ascii="宋体" w:hAnsi="宋体" w:cs="宋体"/>
                <w:szCs w:val="21"/>
                <w:highlight w:val="none"/>
              </w:rPr>
              <w:t>中标候选人的人数</w:t>
            </w:r>
          </w:p>
        </w:tc>
        <w:tc>
          <w:tcPr>
            <w:tcW w:w="7104" w:type="dxa"/>
            <w:vAlign w:val="center"/>
          </w:tcPr>
          <w:p>
            <w:pPr>
              <w:spacing w:line="400" w:lineRule="exact"/>
              <w:ind w:firstLine="420" w:firstLineChars="200"/>
              <w:rPr>
                <w:rFonts w:ascii="宋体" w:hAnsi="宋体" w:cs="宋体"/>
                <w:highlight w:val="none"/>
              </w:rPr>
            </w:pPr>
            <w:r>
              <w:rPr>
                <w:rFonts w:hint="eastAsia" w:ascii="宋体" w:hAnsi="宋体" w:cs="宋体"/>
                <w:highlight w:val="none"/>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highlight w:val="none"/>
              </w:rPr>
            </w:pPr>
            <w:r>
              <w:rPr>
                <w:rFonts w:hint="eastAsia" w:hAnsi="宋体"/>
                <w:color w:val="auto"/>
                <w:kern w:val="2"/>
                <w:sz w:val="21"/>
                <w:szCs w:val="21"/>
                <w:highlight w:val="none"/>
              </w:rPr>
              <w:t>23</w:t>
            </w:r>
          </w:p>
        </w:tc>
        <w:tc>
          <w:tcPr>
            <w:tcW w:w="2106" w:type="dxa"/>
            <w:vAlign w:val="center"/>
          </w:tcPr>
          <w:p>
            <w:pPr>
              <w:pStyle w:val="146"/>
              <w:spacing w:line="400" w:lineRule="exact"/>
              <w:jc w:val="center"/>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pPr>
              <w:pStyle w:val="146"/>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监督部门：重庆首讯科技股份有限公司党群人力部</w:t>
            </w:r>
          </w:p>
          <w:p>
            <w:pPr>
              <w:pStyle w:val="146"/>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地    址：重庆市南岸区四公里内环入口高速集团首讯科技大楼</w:t>
            </w:r>
          </w:p>
          <w:p>
            <w:pPr>
              <w:pStyle w:val="146"/>
              <w:spacing w:line="400" w:lineRule="exact"/>
              <w:ind w:firstLine="420" w:firstLineChars="200"/>
              <w:rPr>
                <w:rFonts w:hAnsi="宋体"/>
                <w:color w:val="auto"/>
                <w:sz w:val="21"/>
                <w:szCs w:val="21"/>
                <w:highlight w:val="none"/>
              </w:rPr>
            </w:pPr>
            <w:r>
              <w:rPr>
                <w:rFonts w:hint="eastAsia" w:hAnsi="宋体"/>
                <w:color w:val="auto"/>
                <w:kern w:val="2"/>
                <w:sz w:val="21"/>
                <w:szCs w:val="21"/>
                <w:highlight w:val="none"/>
              </w:rPr>
              <w:t>电    话：023-</w:t>
            </w:r>
            <w:r>
              <w:rPr>
                <w:rFonts w:hint="eastAsia" w:hAnsi="宋体"/>
                <w:color w:val="auto"/>
                <w:kern w:val="2"/>
                <w:sz w:val="21"/>
                <w:szCs w:val="21"/>
                <w:highlight w:val="none"/>
                <w:lang w:eastAsia="zh-CN"/>
              </w:rPr>
              <w:t>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24</w:t>
            </w:r>
          </w:p>
        </w:tc>
        <w:tc>
          <w:tcPr>
            <w:tcW w:w="2106" w:type="dxa"/>
            <w:vAlign w:val="center"/>
          </w:tcPr>
          <w:p>
            <w:pPr>
              <w:pStyle w:val="146"/>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竞争性比选响应文件的递交</w:t>
            </w:r>
          </w:p>
        </w:tc>
        <w:tc>
          <w:tcPr>
            <w:tcW w:w="7104" w:type="dxa"/>
            <w:vAlign w:val="center"/>
          </w:tcPr>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1.报价截止时间和开标时间：2021年</w:t>
            </w:r>
            <w:r>
              <w:rPr>
                <w:rFonts w:hint="eastAsia" w:hAnsi="宋体"/>
                <w:color w:val="auto"/>
                <w:kern w:val="2"/>
                <w:sz w:val="21"/>
                <w:szCs w:val="21"/>
                <w:highlight w:val="none"/>
                <w:lang w:val="en-US" w:eastAsia="zh-CN"/>
              </w:rPr>
              <w:t>8</w:t>
            </w:r>
            <w:r>
              <w:rPr>
                <w:rFonts w:hint="eastAsia" w:hAnsi="宋体"/>
                <w:color w:val="auto"/>
                <w:kern w:val="2"/>
                <w:sz w:val="21"/>
                <w:szCs w:val="21"/>
                <w:highlight w:val="none"/>
              </w:rPr>
              <w:t>月1</w:t>
            </w:r>
            <w:r>
              <w:rPr>
                <w:rFonts w:hint="eastAsia" w:hAnsi="宋体"/>
                <w:color w:val="auto"/>
                <w:kern w:val="2"/>
                <w:sz w:val="21"/>
                <w:szCs w:val="21"/>
                <w:highlight w:val="none"/>
                <w:lang w:val="en-US" w:eastAsia="zh-CN"/>
              </w:rPr>
              <w:t>8</w:t>
            </w:r>
            <w:r>
              <w:rPr>
                <w:rFonts w:hint="eastAsia" w:hAnsi="宋体"/>
                <w:color w:val="auto"/>
                <w:kern w:val="2"/>
                <w:sz w:val="21"/>
                <w:szCs w:val="21"/>
                <w:highlight w:val="none"/>
              </w:rPr>
              <w:t>日下午15时 00分（北京时间）。</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2.报价地点和开标地点：重庆首讯科技股份有限公司（重庆市南岸区四公里内环入口高速集团首讯科技大楼307室）。</w:t>
            </w:r>
          </w:p>
          <w:p>
            <w:pPr>
              <w:pStyle w:val="146"/>
              <w:spacing w:line="400" w:lineRule="exact"/>
              <w:ind w:firstLine="420" w:firstLineChars="200"/>
              <w:rPr>
                <w:rFonts w:hint="eastAsia" w:hAnsi="宋体"/>
                <w:color w:val="auto"/>
                <w:kern w:val="2"/>
                <w:sz w:val="21"/>
                <w:szCs w:val="21"/>
                <w:highlight w:val="none"/>
              </w:rPr>
            </w:pPr>
            <w:r>
              <w:rPr>
                <w:rFonts w:hint="eastAsia" w:hAnsi="宋体"/>
                <w:color w:val="auto"/>
                <w:kern w:val="2"/>
                <w:sz w:val="21"/>
                <w:szCs w:val="21"/>
                <w:highlight w:val="none"/>
              </w:rPr>
              <w:t>3.逾期送达，或未送达指定地点，或未密封的竞争性比选响应文件，采购人不予受理。</w:t>
            </w:r>
          </w:p>
          <w:p>
            <w:pPr>
              <w:pStyle w:val="146"/>
              <w:spacing w:line="400" w:lineRule="exact"/>
              <w:ind w:firstLine="420" w:firstLineChars="200"/>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rPr>
              <w:t>4.文件递交方式：现场递交</w:t>
            </w:r>
            <w:r>
              <w:rPr>
                <w:rFonts w:hint="eastAsia" w:hAnsi="宋体"/>
                <w:color w:val="auto"/>
                <w:kern w:val="2"/>
                <w:sz w:val="21"/>
                <w:szCs w:val="21"/>
                <w:highlight w:val="none"/>
                <w:lang w:eastAsia="zh-CN"/>
              </w:rPr>
              <w:t>，</w:t>
            </w:r>
            <w:r>
              <w:rPr>
                <w:rFonts w:hint="eastAsia" w:hAnsi="宋体"/>
                <w:color w:val="auto"/>
                <w:kern w:val="2"/>
                <w:sz w:val="21"/>
                <w:szCs w:val="21"/>
                <w:highlight w:val="none"/>
              </w:rPr>
              <w:t>需在投标截止当天将文件送达并参与现场开标。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pPr>
              <w:pStyle w:val="146"/>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rPr>
              <w:t>本次竞争性比选响应文件的组成</w:t>
            </w:r>
          </w:p>
        </w:tc>
        <w:tc>
          <w:tcPr>
            <w:tcW w:w="7104" w:type="dxa"/>
            <w:vAlign w:val="center"/>
          </w:tcPr>
          <w:p>
            <w:pPr>
              <w:pStyle w:val="146"/>
              <w:numPr>
                <w:ilvl w:val="0"/>
                <w:numId w:val="0"/>
              </w:numPr>
              <w:spacing w:line="400" w:lineRule="exact"/>
              <w:rPr>
                <w:rFonts w:hint="eastAsia" w:hAnsi="宋体"/>
                <w:color w:val="auto"/>
                <w:kern w:val="2"/>
                <w:sz w:val="21"/>
                <w:szCs w:val="21"/>
                <w:highlight w:val="none"/>
              </w:rPr>
            </w:pPr>
            <w:r>
              <w:rPr>
                <w:rFonts w:hint="eastAsia" w:hAnsi="宋体"/>
                <w:color w:val="auto"/>
                <w:kern w:val="2"/>
                <w:sz w:val="21"/>
                <w:szCs w:val="21"/>
                <w:highlight w:val="none"/>
                <w:lang w:val="en-US" w:eastAsia="zh-CN"/>
              </w:rPr>
              <w:t xml:space="preserve">    </w:t>
            </w:r>
            <w:r>
              <w:rPr>
                <w:rFonts w:hint="eastAsia" w:hAnsi="宋体"/>
                <w:color w:val="auto"/>
                <w:kern w:val="2"/>
                <w:sz w:val="21"/>
                <w:szCs w:val="21"/>
                <w:highlight w:val="none"/>
              </w:rPr>
              <w:t>本次竞争性比选响应文件的组成：竞争性比选响应声明书、报价一览表、竞争性比选响应单位三证合一的营业执照（副本）复印件（要求原件备查）本竞争性比选文件其它条款要求提供的文件以及竞争性比选响应单位认为需要提供的其他相关文件（注：以上所有文件均须逐页加盖竞争性比选响应单位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int="eastAsia" w:hAnsi="宋体" w:eastAsia="宋体"/>
                <w:color w:val="auto"/>
                <w:kern w:val="2"/>
                <w:sz w:val="21"/>
                <w:szCs w:val="21"/>
                <w:highlight w:val="none"/>
                <w:lang w:eastAsia="zh-CN"/>
              </w:rPr>
            </w:pPr>
            <w:r>
              <w:rPr>
                <w:rFonts w:hint="eastAsia" w:hAnsi="宋体"/>
                <w:color w:val="auto"/>
                <w:kern w:val="2"/>
                <w:sz w:val="21"/>
                <w:szCs w:val="21"/>
                <w:highlight w:val="none"/>
                <w:lang w:val="en-US" w:eastAsia="zh-CN"/>
              </w:rPr>
              <w:t>26</w:t>
            </w:r>
          </w:p>
        </w:tc>
        <w:tc>
          <w:tcPr>
            <w:tcW w:w="9210" w:type="dxa"/>
            <w:gridSpan w:val="2"/>
            <w:vAlign w:val="center"/>
          </w:tcPr>
          <w:p>
            <w:pPr>
              <w:pStyle w:val="146"/>
              <w:spacing w:line="400" w:lineRule="exact"/>
              <w:ind w:firstLine="482" w:firstLineChars="200"/>
              <w:jc w:val="center"/>
              <w:rPr>
                <w:rFonts w:hAnsi="宋体"/>
                <w:color w:val="auto"/>
                <w:kern w:val="2"/>
                <w:sz w:val="21"/>
                <w:szCs w:val="21"/>
                <w:highlight w:val="none"/>
              </w:rPr>
            </w:pPr>
            <w:r>
              <w:rPr>
                <w:rFonts w:hAnsi="宋体"/>
                <w:b/>
                <w:bCs/>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pPr>
              <w:pStyle w:val="146"/>
              <w:spacing w:line="400" w:lineRule="exact"/>
              <w:ind w:firstLine="420" w:firstLineChars="200"/>
              <w:rPr>
                <w:rFonts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w:t>
            </w:r>
          </w:p>
        </w:tc>
      </w:tr>
      <w:bookmarkEnd w:id="111"/>
    </w:tbl>
    <w:p>
      <w:pPr>
        <w:spacing w:line="360" w:lineRule="auto"/>
        <w:jc w:val="center"/>
        <w:rPr>
          <w:rFonts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highlight w:val="none"/>
        </w:rPr>
      </w:pPr>
      <w:bookmarkStart w:id="114" w:name="_Toc11329222"/>
      <w:bookmarkStart w:id="115" w:name="_Toc17532"/>
      <w:bookmarkStart w:id="116" w:name="_Toc17399"/>
      <w:bookmarkStart w:id="117" w:name="_Toc30198"/>
      <w:bookmarkStart w:id="118" w:name="_Toc11284"/>
      <w:r>
        <w:rPr>
          <w:rFonts w:hint="eastAsia" w:ascii="宋体" w:hAnsi="宋体" w:eastAsia="宋体" w:cs="宋体"/>
          <w:sz w:val="28"/>
          <w:szCs w:val="28"/>
          <w:highlight w:val="none"/>
        </w:rPr>
        <w:t>附录1  资格审查条件（资质最低要求）</w:t>
      </w:r>
      <w:bookmarkEnd w:id="114"/>
      <w:bookmarkEnd w:id="115"/>
      <w:bookmarkEnd w:id="116"/>
      <w:bookmarkEnd w:id="117"/>
      <w:bookmarkEnd w:id="118"/>
    </w:p>
    <w:tbl>
      <w:tblPr>
        <w:tblStyle w:val="47"/>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1" w:hRule="atLeast"/>
          <w:jc w:val="center"/>
        </w:trPr>
        <w:tc>
          <w:tcPr>
            <w:tcW w:w="9108" w:type="dxa"/>
          </w:tcPr>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（1）报价人应为中国大陆境内合法注册的独立企业法人，具有</w:t>
            </w:r>
            <w:r>
              <w:rPr>
                <w:rFonts w:hint="eastAsia" w:ascii="宋体" w:hAnsi="宋体" w:cs="宋体"/>
                <w:szCs w:val="21"/>
                <w:highlight w:val="none"/>
                <w:shd w:val="clear" w:color="auto" w:fill="FFFFFF"/>
                <w:lang w:val="en-US" w:eastAsia="zh-CN"/>
              </w:rPr>
              <w:t>有效的</w:t>
            </w:r>
            <w:r>
              <w:rPr>
                <w:rFonts w:hint="eastAsia" w:ascii="宋体" w:hAnsi="宋体" w:cs="宋体"/>
                <w:szCs w:val="21"/>
                <w:highlight w:val="none"/>
                <w:shd w:val="clear" w:color="auto" w:fill="FFFFFF"/>
              </w:rPr>
              <w:t>营业执照</w:t>
            </w:r>
            <w:r>
              <w:rPr>
                <w:rFonts w:hint="eastAsia" w:ascii="宋体" w:hAnsi="宋体" w:cs="宋体"/>
                <w:szCs w:val="21"/>
                <w:highlight w:val="none"/>
                <w:shd w:val="clear" w:color="auto" w:fill="FFFFFF"/>
                <w:lang w:eastAsia="zh-CN"/>
              </w:rPr>
              <w:t>。</w:t>
            </w:r>
          </w:p>
          <w:p>
            <w:pPr>
              <w:spacing w:line="400" w:lineRule="exact"/>
              <w:ind w:firstLine="420" w:firstLineChars="200"/>
              <w:jc w:val="left"/>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报价人</w:t>
            </w:r>
            <w:r>
              <w:rPr>
                <w:rFonts w:hint="eastAsia" w:ascii="宋体" w:hAnsi="宋体" w:cs="宋体"/>
                <w:szCs w:val="21"/>
                <w:highlight w:val="none"/>
                <w:shd w:val="clear" w:color="auto" w:fill="FFFFFF"/>
                <w:lang w:val="en-US" w:eastAsia="zh-CN"/>
              </w:rPr>
              <w:t>应持有HP、IBM、华为等服务器设备制造商其中一家单位的服务器维护授权书</w:t>
            </w:r>
            <w:r>
              <w:rPr>
                <w:rFonts w:hint="eastAsia" w:ascii="宋体" w:hAnsi="宋体" w:cs="宋体"/>
                <w:szCs w:val="21"/>
                <w:highlight w:val="none"/>
                <w:shd w:val="clear" w:color="auto" w:fill="FFFFFF"/>
              </w:rPr>
              <w:t>。</w:t>
            </w:r>
          </w:p>
          <w:p>
            <w:pPr>
              <w:spacing w:line="400" w:lineRule="exact"/>
              <w:ind w:firstLine="420" w:firstLineChars="200"/>
              <w:jc w:val="left"/>
              <w:rPr>
                <w:rFonts w:hint="default" w:eastAsia="宋体"/>
                <w:highlight w:val="none"/>
                <w:lang w:val="en-US" w:eastAsia="zh-CN"/>
              </w:rPr>
            </w:pPr>
          </w:p>
        </w:tc>
      </w:tr>
    </w:tbl>
    <w:p>
      <w:pPr>
        <w:spacing w:line="440" w:lineRule="exact"/>
        <w:ind w:firstLine="420" w:firstLineChars="200"/>
        <w:rPr>
          <w:rFonts w:ascii="宋体" w:hAnsi="宋体" w:cs="宋体"/>
          <w:highlight w:val="none"/>
        </w:rPr>
      </w:pPr>
      <w:r>
        <w:rPr>
          <w:rFonts w:hint="eastAsia" w:ascii="宋体" w:hAnsi="宋体" w:cs="宋体"/>
          <w:b/>
          <w:bCs/>
          <w:highlight w:val="none"/>
        </w:rPr>
        <w:t>注：须提供报价人营业执照、资质证书</w:t>
      </w:r>
      <w:r>
        <w:rPr>
          <w:rFonts w:hint="eastAsia" w:ascii="宋体" w:hAnsi="宋体" w:cs="宋体"/>
          <w:b/>
          <w:bCs/>
          <w:highlight w:val="none"/>
          <w:lang w:eastAsia="zh-CN"/>
        </w:rPr>
        <w:t>、</w:t>
      </w:r>
      <w:r>
        <w:rPr>
          <w:rFonts w:hint="eastAsia" w:ascii="宋体" w:hAnsi="宋体" w:cs="宋体"/>
          <w:b/>
          <w:bCs/>
          <w:highlight w:val="none"/>
          <w:lang w:val="en-US" w:eastAsia="zh-CN"/>
        </w:rPr>
        <w:t>授权书</w:t>
      </w:r>
      <w:r>
        <w:rPr>
          <w:rFonts w:hint="eastAsia" w:ascii="宋体" w:hAnsi="宋体" w:cs="宋体"/>
          <w:b/>
          <w:bCs/>
          <w:highlight w:val="none"/>
        </w:rPr>
        <w:t>等复印件</w:t>
      </w:r>
      <w:r>
        <w:rPr>
          <w:rFonts w:hint="eastAsia" w:ascii="宋体" w:hAnsi="宋体" w:cs="宋体"/>
          <w:b/>
          <w:bCs/>
          <w:highlight w:val="none"/>
          <w:lang w:val="en-US" w:eastAsia="zh-CN"/>
        </w:rPr>
        <w:t>,</w:t>
      </w:r>
      <w:r>
        <w:rPr>
          <w:rFonts w:hint="eastAsia" w:ascii="宋体" w:hAnsi="宋体" w:cs="宋体"/>
          <w:b/>
          <w:bCs/>
          <w:highlight w:val="none"/>
        </w:rPr>
        <w:t>并加盖单位鲜公章。</w:t>
      </w:r>
    </w:p>
    <w:p>
      <w:pPr>
        <w:spacing w:line="440" w:lineRule="exact"/>
        <w:ind w:firstLine="413" w:firstLineChars="147"/>
        <w:jc w:val="center"/>
        <w:rPr>
          <w:rFonts w:ascii="宋体" w:hAnsi="宋体" w:cs="宋体"/>
          <w:b/>
          <w:sz w:val="28"/>
          <w:szCs w:val="28"/>
          <w:highlight w:val="none"/>
        </w:rPr>
      </w:pPr>
    </w:p>
    <w:p>
      <w:pPr>
        <w:pStyle w:val="4"/>
        <w:jc w:val="center"/>
        <w:rPr>
          <w:rFonts w:ascii="宋体" w:hAnsi="宋体" w:eastAsia="宋体" w:cs="宋体"/>
          <w:bCs w:val="0"/>
          <w:highlight w:val="none"/>
        </w:rPr>
      </w:pPr>
      <w:bookmarkStart w:id="119" w:name="_Toc30995"/>
      <w:bookmarkStart w:id="120" w:name="_Toc17235"/>
      <w:bookmarkStart w:id="121" w:name="_Toc1778"/>
      <w:bookmarkStart w:id="122" w:name="_Toc30363"/>
      <w:bookmarkStart w:id="123" w:name="_Toc11329223"/>
      <w:r>
        <w:rPr>
          <w:rFonts w:hint="eastAsia" w:ascii="宋体" w:hAnsi="宋体" w:eastAsia="宋体" w:cs="宋体"/>
          <w:bCs w:val="0"/>
          <w:sz w:val="28"/>
          <w:szCs w:val="28"/>
          <w:highlight w:val="none"/>
        </w:rPr>
        <w:t>附录2  资格审查条件（财务最低要求）</w:t>
      </w:r>
      <w:bookmarkEnd w:id="119"/>
      <w:bookmarkEnd w:id="120"/>
      <w:bookmarkEnd w:id="121"/>
      <w:bookmarkEnd w:id="122"/>
      <w:bookmarkEnd w:id="123"/>
    </w:p>
    <w:tbl>
      <w:tblPr>
        <w:tblStyle w:val="47"/>
        <w:tblW w:w="94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9484" w:type="dxa"/>
          </w:tcPr>
          <w:p>
            <w:pPr>
              <w:spacing w:line="400" w:lineRule="exact"/>
              <w:rPr>
                <w:highlight w:val="none"/>
              </w:rPr>
            </w:pPr>
            <w:r>
              <w:rPr>
                <w:rFonts w:hint="eastAsia"/>
                <w:highlight w:val="none"/>
              </w:rPr>
              <w:t>无要求</w:t>
            </w:r>
          </w:p>
        </w:tc>
      </w:tr>
    </w:tbl>
    <w:p>
      <w:pPr>
        <w:pStyle w:val="4"/>
        <w:jc w:val="center"/>
        <w:rPr>
          <w:rFonts w:ascii="宋体" w:hAnsi="宋体" w:eastAsia="宋体" w:cs="宋体"/>
          <w:bCs w:val="0"/>
          <w:sz w:val="28"/>
          <w:szCs w:val="28"/>
          <w:highlight w:val="none"/>
        </w:rPr>
      </w:pPr>
      <w:bookmarkStart w:id="124" w:name="_Toc11329224"/>
    </w:p>
    <w:p>
      <w:pPr>
        <w:pStyle w:val="4"/>
        <w:jc w:val="center"/>
        <w:rPr>
          <w:rFonts w:ascii="宋体" w:hAnsi="宋体" w:eastAsia="宋体" w:cs="宋体"/>
          <w:bCs w:val="0"/>
          <w:sz w:val="28"/>
          <w:szCs w:val="28"/>
          <w:highlight w:val="none"/>
        </w:rPr>
      </w:pPr>
      <w:bookmarkStart w:id="125" w:name="_Toc28315"/>
      <w:bookmarkStart w:id="126" w:name="_Toc6263"/>
      <w:bookmarkStart w:id="127" w:name="_Toc19507"/>
      <w:bookmarkStart w:id="128" w:name="_Toc16638"/>
      <w:r>
        <w:rPr>
          <w:rFonts w:hint="eastAsia" w:ascii="宋体" w:hAnsi="宋体" w:eastAsia="宋体" w:cs="宋体"/>
          <w:bCs w:val="0"/>
          <w:sz w:val="28"/>
          <w:szCs w:val="28"/>
          <w:highlight w:val="none"/>
        </w:rPr>
        <w:t>附录3  资格审查条件（业绩最低要求）</w:t>
      </w:r>
      <w:bookmarkEnd w:id="124"/>
      <w:bookmarkEnd w:id="125"/>
      <w:bookmarkEnd w:id="126"/>
      <w:bookmarkEnd w:id="127"/>
      <w:bookmarkEnd w:id="128"/>
    </w:p>
    <w:tbl>
      <w:tblPr>
        <w:tblStyle w:val="47"/>
        <w:tblW w:w="9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322" w:type="dxa"/>
          </w:tcPr>
          <w:p>
            <w:pPr>
              <w:spacing w:line="400" w:lineRule="exact"/>
              <w:ind w:firstLine="420" w:firstLineChars="200"/>
              <w:jc w:val="left"/>
              <w:rPr>
                <w:rFonts w:hint="eastAsia" w:eastAsia="宋体"/>
                <w:highlight w:val="none"/>
                <w:lang w:eastAsia="zh-CN"/>
              </w:rPr>
            </w:pPr>
            <w:r>
              <w:rPr>
                <w:rFonts w:hint="eastAsia" w:ascii="宋体" w:hAnsi="宋体" w:cs="宋体"/>
                <w:szCs w:val="21"/>
                <w:highlight w:val="none"/>
                <w:shd w:val="clear" w:color="auto" w:fill="FFFFFF"/>
              </w:rPr>
              <w:t>报价人自2019年1月1日起至投标截止日止（以合同签订时间为准)</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至少具有一个</w:t>
            </w:r>
            <w:r>
              <w:rPr>
                <w:rFonts w:hint="eastAsia" w:ascii="宋体" w:hAnsi="宋体" w:cs="宋体"/>
                <w:szCs w:val="21"/>
                <w:highlight w:val="none"/>
                <w:shd w:val="clear" w:color="auto" w:fill="FFFFFF"/>
                <w:lang w:val="en-US" w:eastAsia="zh-CN"/>
              </w:rPr>
              <w:t>中国境内</w:t>
            </w:r>
            <w:r>
              <w:rPr>
                <w:rFonts w:hint="eastAsia" w:ascii="宋体" w:hAnsi="宋体" w:cs="宋体"/>
                <w:szCs w:val="21"/>
                <w:highlight w:val="none"/>
                <w:shd w:val="clear" w:color="auto" w:fill="FFFFFF"/>
              </w:rPr>
              <w:t>高速公路收费服务器维护业绩，单个合同金额在30万以上，提供合同协议书</w:t>
            </w:r>
            <w:r>
              <w:rPr>
                <w:rFonts w:hint="eastAsia" w:ascii="宋体" w:hAnsi="宋体" w:cs="宋体"/>
                <w:szCs w:val="21"/>
                <w:highlight w:val="none"/>
                <w:shd w:val="clear" w:color="auto" w:fill="FFFFFF"/>
                <w:lang w:val="en-US" w:eastAsia="zh-CN"/>
              </w:rPr>
              <w:t>及用户使用报告书</w:t>
            </w:r>
            <w:r>
              <w:rPr>
                <w:rFonts w:hint="eastAsia" w:ascii="宋体" w:hAnsi="宋体" w:cs="宋体"/>
                <w:szCs w:val="21"/>
                <w:highlight w:val="none"/>
                <w:shd w:val="clear" w:color="auto" w:fill="FFFFFF"/>
              </w:rPr>
              <w:t>复印件作为证明材料（合同原件备查）。</w:t>
            </w:r>
          </w:p>
        </w:tc>
      </w:tr>
    </w:tbl>
    <w:p>
      <w:pPr>
        <w:pStyle w:val="4"/>
        <w:jc w:val="left"/>
        <w:rPr>
          <w:rFonts w:hint="eastAsia" w:ascii="Times New Roman" w:hAnsi="宋体" w:eastAsia="宋体" w:cs="Times New Roman"/>
          <w:b/>
          <w:bCs/>
          <w:kern w:val="2"/>
          <w:sz w:val="21"/>
          <w:szCs w:val="21"/>
          <w:highlight w:val="none"/>
          <w:lang w:val="en-US" w:eastAsia="zh-CN" w:bidi="ar-SA"/>
        </w:rPr>
      </w:pPr>
      <w:bookmarkStart w:id="129" w:name="_Toc11329225"/>
      <w:r>
        <w:rPr>
          <w:rFonts w:hint="eastAsia" w:ascii="Times New Roman" w:hAnsi="宋体" w:eastAsia="宋体" w:cs="Times New Roman"/>
          <w:b/>
          <w:bCs/>
          <w:kern w:val="2"/>
          <w:sz w:val="21"/>
          <w:szCs w:val="21"/>
          <w:highlight w:val="none"/>
          <w:lang w:val="en-US" w:eastAsia="zh-CN" w:bidi="ar-SA"/>
        </w:rPr>
        <w:t xml:space="preserve">  注：提供相关文件，并加盖单位鲜公章。</w:t>
      </w:r>
    </w:p>
    <w:p>
      <w:pPr>
        <w:pStyle w:val="4"/>
        <w:jc w:val="center"/>
        <w:rPr>
          <w:rFonts w:ascii="宋体" w:hAnsi="宋体" w:cs="宋体"/>
          <w:b w:val="0"/>
          <w:sz w:val="28"/>
          <w:szCs w:val="28"/>
          <w:highlight w:val="none"/>
        </w:rPr>
      </w:pPr>
      <w:bookmarkStart w:id="130" w:name="_Toc26749"/>
      <w:bookmarkStart w:id="131" w:name="_Toc10083"/>
      <w:bookmarkStart w:id="132" w:name="_Toc12296"/>
      <w:bookmarkStart w:id="133" w:name="_Toc2830"/>
      <w:r>
        <w:rPr>
          <w:rFonts w:hint="eastAsia" w:ascii="宋体" w:hAnsi="宋体" w:eastAsia="宋体" w:cs="宋体"/>
          <w:bCs w:val="0"/>
          <w:sz w:val="28"/>
          <w:szCs w:val="28"/>
          <w:highlight w:val="none"/>
        </w:rPr>
        <w:t>附录4 资格审查条件（信誉最低要求）</w:t>
      </w:r>
      <w:bookmarkEnd w:id="129"/>
      <w:bookmarkEnd w:id="130"/>
      <w:bookmarkEnd w:id="131"/>
      <w:bookmarkEnd w:id="132"/>
      <w:bookmarkEnd w:id="133"/>
    </w:p>
    <w:tbl>
      <w:tblPr>
        <w:tblStyle w:val="47"/>
        <w:tblW w:w="92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highlight w:val="none"/>
              </w:rPr>
            </w:pPr>
            <w:r>
              <w:rPr>
                <w:rFonts w:hint="eastAsia" w:ascii="宋体" w:hAnsi="宋体" w:cs="宋体"/>
                <w:szCs w:val="21"/>
                <w:highlight w:val="none"/>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9213" w:type="dxa"/>
          </w:tcPr>
          <w:p>
            <w:pPr>
              <w:spacing w:line="400" w:lineRule="exact"/>
              <w:rPr>
                <w:rFonts w:ascii="宋体" w:hAnsi="宋体" w:cs="宋体"/>
                <w:szCs w:val="21"/>
                <w:highlight w:val="none"/>
                <w:shd w:val="clear" w:color="auto" w:fill="FFFFFF"/>
              </w:rPr>
            </w:pPr>
            <w:r>
              <w:rPr>
                <w:rFonts w:hint="eastAsia" w:ascii="宋体" w:hAnsi="宋体" w:cs="宋体"/>
                <w:szCs w:val="21"/>
                <w:highlight w:val="none"/>
              </w:rPr>
              <w:t>信誉良好：在国家企业信用信息公示系统（http://www.gsxt.gov.cn/）中未被列入严重违法失信企业名单（黑名单）信息；在“信用中国”网站（http://www.creditchina.gov.cn/）中未被列入失信惩戒执行人名单。</w:t>
            </w:r>
          </w:p>
        </w:tc>
      </w:tr>
    </w:tbl>
    <w:p>
      <w:pPr>
        <w:pStyle w:val="2"/>
        <w:ind w:firstLine="402" w:firstLineChars="200"/>
        <w:rPr>
          <w:rFonts w:hint="eastAsia" w:ascii="Times New Roman" w:hAnsi="宋体"/>
          <w:sz w:val="21"/>
          <w:szCs w:val="21"/>
          <w:highlight w:val="none"/>
        </w:rPr>
      </w:pPr>
      <w:r>
        <w:rPr>
          <w:rFonts w:hint="eastAsia"/>
          <w:highlight w:val="none"/>
        </w:rPr>
        <w:t>注：</w:t>
      </w:r>
      <w:r>
        <w:rPr>
          <w:rFonts w:hint="eastAsia" w:ascii="Times New Roman" w:hAnsi="宋体"/>
          <w:sz w:val="21"/>
          <w:szCs w:val="21"/>
          <w:highlight w:val="none"/>
        </w:rPr>
        <w:t>须提供信誉网站查询结果截图,并加盖单位鲜公章。</w:t>
      </w:r>
    </w:p>
    <w:p>
      <w:pPr>
        <w:pStyle w:val="4"/>
        <w:jc w:val="center"/>
        <w:rPr>
          <w:rFonts w:ascii="宋体" w:hAnsi="宋体" w:eastAsia="宋体" w:cs="宋体"/>
          <w:bCs w:val="0"/>
          <w:sz w:val="28"/>
          <w:szCs w:val="28"/>
          <w:highlight w:val="none"/>
        </w:rPr>
      </w:pPr>
      <w:bookmarkStart w:id="134" w:name="_Toc27096"/>
      <w:bookmarkStart w:id="135" w:name="_Toc14083"/>
      <w:bookmarkStart w:id="136" w:name="_Toc12773"/>
      <w:bookmarkStart w:id="137" w:name="_Toc11329226"/>
      <w:bookmarkStart w:id="138" w:name="_Toc25591"/>
      <w:r>
        <w:rPr>
          <w:rFonts w:hint="eastAsia" w:ascii="宋体" w:hAnsi="宋体" w:eastAsia="宋体" w:cs="宋体"/>
          <w:bCs w:val="0"/>
          <w:sz w:val="28"/>
          <w:szCs w:val="28"/>
          <w:highlight w:val="none"/>
        </w:rPr>
        <w:t>附录5 资格审查文件（项目主要人员最低要求）</w:t>
      </w:r>
      <w:bookmarkEnd w:id="134"/>
      <w:bookmarkEnd w:id="135"/>
      <w:bookmarkEnd w:id="136"/>
      <w:bookmarkEnd w:id="137"/>
      <w:bookmarkEnd w:id="138"/>
    </w:p>
    <w:p>
      <w:pPr>
        <w:spacing w:line="400" w:lineRule="exact"/>
        <w:jc w:val="center"/>
        <w:rPr>
          <w:highlight w:val="none"/>
        </w:rPr>
      </w:pPr>
      <w:r>
        <w:rPr>
          <w:rFonts w:hint="eastAsia" w:ascii="宋体" w:hAnsi="宋体" w:cs="宋体"/>
          <w:b/>
          <w:szCs w:val="21"/>
          <w:highlight w:val="none"/>
        </w:rPr>
        <w:t>主要人员最低要求</w:t>
      </w:r>
    </w:p>
    <w:tbl>
      <w:tblPr>
        <w:tblStyle w:val="47"/>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bookmarkStart w:id="139" w:name="_Toc388534043"/>
            <w:bookmarkStart w:id="140" w:name="_Toc387234996"/>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人  员</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数量</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现场维护人员</w:t>
            </w:r>
          </w:p>
        </w:tc>
        <w:tc>
          <w:tcPr>
            <w:tcW w:w="7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shd w:val="clear" w:color="auto" w:fill="FFFFFF"/>
                <w:lang w:val="en-US" w:eastAsia="zh-CN"/>
              </w:rPr>
              <w:t>无</w:t>
            </w:r>
          </w:p>
        </w:tc>
      </w:tr>
    </w:tbl>
    <w:p>
      <w:pPr>
        <w:spacing w:line="400" w:lineRule="exact"/>
        <w:jc w:val="left"/>
        <w:rPr>
          <w:rFonts w:ascii="宋体" w:hAnsi="宋体" w:cs="宋体"/>
          <w:szCs w:val="21"/>
          <w:highlight w:val="none"/>
        </w:rPr>
      </w:pPr>
      <w:r>
        <w:rPr>
          <w:rFonts w:hint="eastAsia" w:hAnsi="宋体"/>
          <w:b/>
          <w:bCs/>
          <w:szCs w:val="21"/>
          <w:highlight w:val="none"/>
        </w:rPr>
        <w:t>注：以上人员不得重复任职</w:t>
      </w:r>
      <w:r>
        <w:rPr>
          <w:rFonts w:hint="eastAsia" w:hAnsi="宋体"/>
          <w:b/>
          <w:bCs/>
          <w:szCs w:val="21"/>
          <w:highlight w:val="none"/>
          <w:lang w:eastAsia="zh-CN"/>
        </w:rPr>
        <w:t>（</w:t>
      </w:r>
      <w:r>
        <w:rPr>
          <w:rFonts w:hint="eastAsia" w:hAnsi="宋体"/>
          <w:b/>
          <w:bCs/>
          <w:szCs w:val="21"/>
          <w:highlight w:val="none"/>
          <w:lang w:val="en-US" w:eastAsia="zh-CN"/>
        </w:rPr>
        <w:t>报价人自行承诺</w:t>
      </w:r>
      <w:r>
        <w:rPr>
          <w:rFonts w:hint="eastAsia" w:hAnsi="宋体"/>
          <w:b/>
          <w:bCs/>
          <w:szCs w:val="21"/>
          <w:highlight w:val="none"/>
          <w:lang w:eastAsia="zh-CN"/>
        </w:rPr>
        <w:t>），</w:t>
      </w:r>
      <w:r>
        <w:rPr>
          <w:rFonts w:hint="eastAsia" w:hAnsi="宋体"/>
          <w:b/>
          <w:bCs/>
          <w:szCs w:val="21"/>
          <w:highlight w:val="none"/>
          <w:lang w:val="en-US" w:eastAsia="zh-CN"/>
        </w:rPr>
        <w:t>附维护人员身份证复印件</w:t>
      </w:r>
      <w:r>
        <w:rPr>
          <w:rFonts w:hint="eastAsia" w:hAnsi="宋体"/>
          <w:b/>
          <w:bCs/>
          <w:szCs w:val="21"/>
          <w:highlight w:val="none"/>
        </w:rPr>
        <w:t>。需提供相关证明材料，并加盖单位鲜公章。</w:t>
      </w:r>
    </w:p>
    <w:p>
      <w:pPr>
        <w:pStyle w:val="2"/>
        <w:rPr>
          <w:highlight w:val="none"/>
        </w:rPr>
      </w:pPr>
    </w:p>
    <w:p>
      <w:pPr>
        <w:outlineLvl w:val="1"/>
        <w:rPr>
          <w:rFonts w:ascii="宋体" w:hAnsi="宋体" w:cs="宋体"/>
          <w:b/>
          <w:sz w:val="28"/>
          <w:szCs w:val="28"/>
          <w:highlight w:val="none"/>
        </w:rPr>
        <w:sectPr>
          <w:pgSz w:w="11906" w:h="16838"/>
          <w:pgMar w:top="1418" w:right="1134" w:bottom="1418" w:left="1134" w:header="851" w:footer="992" w:gutter="0"/>
          <w:cols w:space="720" w:num="1"/>
          <w:docGrid w:type="lines" w:linePitch="312" w:charSpace="0"/>
        </w:sectPr>
      </w:pPr>
    </w:p>
    <w:p>
      <w:pPr>
        <w:pStyle w:val="4"/>
        <w:rPr>
          <w:rFonts w:hAnsi="宋体"/>
          <w:b w:val="0"/>
          <w:sz w:val="28"/>
          <w:szCs w:val="28"/>
          <w:highlight w:val="none"/>
        </w:rPr>
      </w:pPr>
      <w:bookmarkStart w:id="141" w:name="_Toc6096"/>
      <w:bookmarkStart w:id="142" w:name="_Toc17384"/>
      <w:bookmarkStart w:id="143" w:name="_Toc4169"/>
      <w:bookmarkStart w:id="144" w:name="_Toc17216"/>
      <w:r>
        <w:rPr>
          <w:rFonts w:hint="eastAsia" w:ascii="宋体" w:hAnsi="宋体" w:cs="宋体"/>
          <w:b w:val="0"/>
          <w:sz w:val="28"/>
          <w:szCs w:val="28"/>
          <w:highlight w:val="none"/>
        </w:rPr>
        <w:t>附录</w:t>
      </w:r>
      <w:r>
        <w:rPr>
          <w:rFonts w:hint="eastAsia" w:ascii="宋体" w:hAnsi="宋体" w:cs="宋体"/>
          <w:b w:val="0"/>
          <w:sz w:val="28"/>
          <w:szCs w:val="28"/>
          <w:highlight w:val="none"/>
          <w:lang w:val="en-US" w:eastAsia="zh-CN"/>
        </w:rPr>
        <w:t>6</w:t>
      </w:r>
      <w:r>
        <w:rPr>
          <w:rFonts w:hint="eastAsia" w:ascii="宋体" w:hAnsi="宋体" w:cs="宋体"/>
          <w:b w:val="0"/>
          <w:sz w:val="28"/>
          <w:szCs w:val="28"/>
          <w:highlight w:val="none"/>
        </w:rPr>
        <w:t xml:space="preserve"> 资格审查文件（主要机械设备和试验检测设备最低要求）</w:t>
      </w:r>
      <w:bookmarkEnd w:id="141"/>
      <w:bookmarkEnd w:id="142"/>
      <w:bookmarkEnd w:id="143"/>
      <w:bookmarkEnd w:id="144"/>
    </w:p>
    <w:tbl>
      <w:tblPr>
        <w:tblStyle w:val="47"/>
        <w:tblW w:w="9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160" w:type="dxa"/>
          </w:tcPr>
          <w:p>
            <w:pPr>
              <w:ind w:firstLine="420" w:firstLineChars="200"/>
              <w:rPr>
                <w:highlight w:val="none"/>
              </w:rPr>
            </w:pPr>
            <w:r>
              <w:rPr>
                <w:rFonts w:hint="eastAsia" w:ascii="宋体" w:hAnsi="宋体" w:cs="宋体"/>
                <w:caps/>
                <w:szCs w:val="21"/>
                <w:highlight w:val="none"/>
                <w:lang w:val="en-US" w:eastAsia="zh-CN"/>
              </w:rPr>
              <w:t>汽车2台</w:t>
            </w:r>
            <w:r>
              <w:rPr>
                <w:rFonts w:hint="eastAsia" w:ascii="宋体" w:hAnsi="宋体" w:cs="宋体"/>
                <w:caps/>
                <w:szCs w:val="21"/>
                <w:highlight w:val="none"/>
              </w:rPr>
              <w:t xml:space="preserve">。 </w:t>
            </w:r>
          </w:p>
        </w:tc>
      </w:tr>
    </w:tbl>
    <w:p>
      <w:pPr>
        <w:spacing w:line="400" w:lineRule="exact"/>
        <w:ind w:firstLine="420"/>
        <w:rPr>
          <w:rFonts w:ascii="宋体" w:hAnsi="宋体" w:cs="宋体"/>
          <w:kern w:val="0"/>
          <w:szCs w:val="21"/>
          <w:highlight w:val="none"/>
        </w:rPr>
      </w:pPr>
      <w:r>
        <w:rPr>
          <w:rFonts w:hint="eastAsia" w:ascii="宋体" w:hAnsi="宋体" w:cs="宋体"/>
          <w:bCs/>
          <w:kern w:val="0"/>
          <w:szCs w:val="21"/>
          <w:highlight w:val="none"/>
        </w:rPr>
        <w:t>注：以上设备</w:t>
      </w:r>
      <w:r>
        <w:rPr>
          <w:rFonts w:hint="eastAsia" w:ascii="宋体" w:hAnsi="宋体" w:cs="宋体"/>
          <w:kern w:val="0"/>
          <w:highlight w:val="none"/>
        </w:rPr>
        <w:t>由报价人</w:t>
      </w:r>
      <w:r>
        <w:rPr>
          <w:rFonts w:hint="eastAsia" w:ascii="宋体" w:hAnsi="宋体" w:cs="宋体"/>
          <w:b/>
          <w:kern w:val="0"/>
          <w:highlight w:val="none"/>
        </w:rPr>
        <w:t>自行承诺</w:t>
      </w:r>
      <w:r>
        <w:rPr>
          <w:rFonts w:hint="eastAsia" w:ascii="宋体" w:hAnsi="宋体" w:cs="宋体"/>
          <w:kern w:val="0"/>
          <w:highlight w:val="none"/>
        </w:rPr>
        <w:t>，</w:t>
      </w:r>
      <w:r>
        <w:rPr>
          <w:rFonts w:hint="eastAsia" w:ascii="宋体" w:hAnsi="宋体" w:cs="宋体"/>
          <w:kern w:val="0"/>
          <w:szCs w:val="21"/>
          <w:highlight w:val="none"/>
        </w:rPr>
        <w:t>无需提供有关证明资料，并加盖单位鲜公章。</w:t>
      </w:r>
    </w:p>
    <w:p>
      <w:pPr>
        <w:pStyle w:val="146"/>
        <w:adjustRightInd/>
        <w:spacing w:line="400" w:lineRule="exact"/>
        <w:ind w:firstLine="422" w:firstLineChars="200"/>
        <w:jc w:val="both"/>
        <w:rPr>
          <w:rFonts w:hAnsi="宋体"/>
          <w:bCs/>
          <w:color w:val="auto"/>
          <w:sz w:val="21"/>
          <w:szCs w:val="21"/>
          <w:highlight w:val="none"/>
        </w:rPr>
      </w:pPr>
      <w:r>
        <w:rPr>
          <w:rFonts w:hint="eastAsia" w:hAnsi="宋体"/>
          <w:b/>
          <w:bCs/>
          <w:color w:val="auto"/>
          <w:sz w:val="21"/>
          <w:szCs w:val="21"/>
          <w:highlight w:val="none"/>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highlight w:val="none"/>
        </w:rPr>
      </w:pPr>
    </w:p>
    <w:bookmarkEnd w:id="139"/>
    <w:bookmarkEnd w:id="140"/>
    <w:p>
      <w:pPr>
        <w:spacing w:line="440" w:lineRule="exact"/>
        <w:rPr>
          <w:rFonts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highlight w:val="none"/>
        </w:rPr>
      </w:pPr>
      <w:bookmarkStart w:id="145" w:name="_Toc7682"/>
      <w:bookmarkStart w:id="146" w:name="_Toc152042364"/>
      <w:bookmarkStart w:id="147" w:name="_Toc152045587"/>
      <w:bookmarkStart w:id="148" w:name="_Toc179632605"/>
      <w:bookmarkStart w:id="149" w:name="_Toc144974554"/>
      <w:bookmarkStart w:id="150" w:name="_Toc20774"/>
      <w:bookmarkStart w:id="151" w:name="_Toc246996973"/>
      <w:bookmarkStart w:id="152" w:name="_Toc246996230"/>
      <w:bookmarkStart w:id="153" w:name="_Toc247085745"/>
      <w:bookmarkStart w:id="154" w:name="_Toc507319957"/>
      <w:bookmarkStart w:id="155" w:name="_Toc2000406"/>
      <w:r>
        <w:rPr>
          <w:rFonts w:hint="eastAsia" w:ascii="宋体" w:hAnsi="宋体" w:cs="宋体"/>
          <w:highlight w:val="none"/>
        </w:rPr>
        <w:t>第三章 评标办法（经评审的最低投标价法）</w:t>
      </w:r>
      <w:bookmarkEnd w:id="145"/>
      <w:bookmarkEnd w:id="146"/>
      <w:bookmarkEnd w:id="147"/>
      <w:bookmarkEnd w:id="148"/>
      <w:bookmarkEnd w:id="149"/>
      <w:bookmarkEnd w:id="150"/>
      <w:bookmarkEnd w:id="151"/>
      <w:bookmarkEnd w:id="152"/>
      <w:bookmarkEnd w:id="153"/>
      <w:bookmarkEnd w:id="154"/>
      <w:bookmarkEnd w:id="155"/>
    </w:p>
    <w:p>
      <w:pPr>
        <w:rPr>
          <w:highlight w:val="none"/>
        </w:rPr>
      </w:pPr>
    </w:p>
    <w:tbl>
      <w:tblPr>
        <w:tblStyle w:val="47"/>
        <w:tblW w:w="914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highlight w:val="none"/>
              </w:rPr>
            </w:pPr>
            <w:r>
              <w:rPr>
                <w:b/>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rPr>
                <w:highlight w:val="none"/>
              </w:rPr>
            </w:pPr>
            <w:r>
              <w:rPr>
                <w:highlight w:val="none"/>
              </w:rPr>
              <w:t>1</w:t>
            </w:r>
          </w:p>
        </w:tc>
        <w:tc>
          <w:tcPr>
            <w:tcW w:w="1124"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中标候选人排序方法</w:t>
            </w:r>
          </w:p>
        </w:tc>
        <w:tc>
          <w:tcPr>
            <w:tcW w:w="5004" w:type="dxa"/>
            <w:tcBorders>
              <w:top w:val="single" w:color="auto" w:sz="4" w:space="0"/>
              <w:left w:val="single" w:color="auto" w:sz="4" w:space="0"/>
              <w:bottom w:val="single" w:color="auto" w:sz="4" w:space="0"/>
            </w:tcBorders>
          </w:tcPr>
          <w:p>
            <w:pPr>
              <w:spacing w:line="360" w:lineRule="auto"/>
              <w:rPr>
                <w:highlight w:val="none"/>
              </w:rPr>
            </w:pPr>
            <w:r>
              <w:rPr>
                <w:highlight w:val="none"/>
              </w:rPr>
              <w:t>如出现报价相等时，评审小组按以下原则确定第一中标候选人：</w:t>
            </w:r>
          </w:p>
          <w:p>
            <w:pPr>
              <w:spacing w:line="360" w:lineRule="auto"/>
              <w:ind w:firstLine="210" w:firstLineChars="100"/>
              <w:rPr>
                <w:highlight w:val="none"/>
              </w:rPr>
            </w:pPr>
            <w:r>
              <w:rPr>
                <w:rFonts w:hint="eastAsia"/>
                <w:highlight w:val="none"/>
              </w:rPr>
              <w:t>以最早提交报价文件的投标人为第一中标候选人</w:t>
            </w:r>
            <w:r>
              <w:rPr>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rPr>
                <w:highlight w:val="none"/>
              </w:rPr>
            </w:pPr>
            <w:r>
              <w:rPr>
                <w:rFonts w:hint="eastAsia"/>
                <w:highlight w:val="none"/>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人名称</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函签字盖章</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符合第九章“</w:t>
            </w:r>
            <w:r>
              <w:rPr>
                <w:rFonts w:hint="eastAsia"/>
                <w:highlight w:val="none"/>
              </w:rPr>
              <w:t>竞争性</w:t>
            </w:r>
            <w:r>
              <w:rPr>
                <w:highlight w:val="none"/>
              </w:rPr>
              <w:t>比选响应文件格式”的要求，字迹清晰可辨。</w:t>
            </w:r>
          </w:p>
          <w:p>
            <w:pPr>
              <w:spacing w:line="400" w:lineRule="exact"/>
              <w:rPr>
                <w:highlight w:val="none"/>
              </w:rPr>
            </w:pPr>
            <w:r>
              <w:rPr>
                <w:highlight w:val="none"/>
              </w:rPr>
              <w:t>1.</w:t>
            </w:r>
            <w:r>
              <w:rPr>
                <w:rFonts w:hint="eastAsia"/>
                <w:highlight w:val="none"/>
              </w:rPr>
              <w:t>报价</w:t>
            </w:r>
            <w:r>
              <w:rPr>
                <w:highlight w:val="none"/>
              </w:rPr>
              <w:t>函的所有数据均符合</w:t>
            </w:r>
            <w:r>
              <w:rPr>
                <w:rFonts w:hint="eastAsia"/>
                <w:highlight w:val="none"/>
              </w:rPr>
              <w:t>比选</w:t>
            </w:r>
            <w:r>
              <w:rPr>
                <w:highlight w:val="none"/>
              </w:rPr>
              <w:t>文件的规定；</w:t>
            </w:r>
          </w:p>
          <w:p>
            <w:pPr>
              <w:spacing w:line="400" w:lineRule="exact"/>
              <w:rPr>
                <w:highlight w:val="none"/>
              </w:rPr>
            </w:pPr>
            <w:r>
              <w:rPr>
                <w:highlight w:val="none"/>
              </w:rPr>
              <w:t>2.</w:t>
            </w:r>
            <w:r>
              <w:rPr>
                <w:rFonts w:hint="eastAsia"/>
                <w:highlight w:val="none"/>
              </w:rPr>
              <w:t>竞争性</w:t>
            </w:r>
            <w:r>
              <w:rPr>
                <w:highlight w:val="none"/>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rPr>
                <w:highlight w:val="none"/>
              </w:rPr>
            </w:pPr>
            <w:r>
              <w:rPr>
                <w:highlight w:val="none"/>
              </w:rPr>
              <w:t>符合第五章“工程量清单”给出的范围及数量</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报价其它要求</w:t>
            </w:r>
          </w:p>
        </w:tc>
        <w:tc>
          <w:tcPr>
            <w:tcW w:w="5004" w:type="dxa"/>
            <w:tcBorders>
              <w:top w:val="single" w:color="auto" w:sz="4" w:space="0"/>
              <w:left w:val="single" w:color="auto" w:sz="4" w:space="0"/>
              <w:bottom w:val="single" w:color="auto" w:sz="4" w:space="0"/>
            </w:tcBorders>
            <w:vAlign w:val="center"/>
          </w:tcPr>
          <w:p>
            <w:pPr>
              <w:spacing w:line="440" w:lineRule="exact"/>
              <w:rPr>
                <w:highlight w:val="none"/>
              </w:rPr>
            </w:pPr>
            <w:r>
              <w:rPr>
                <w:rFonts w:hint="eastAsia"/>
                <w:highlight w:val="none"/>
              </w:rPr>
              <w:t>竞争性</w:t>
            </w:r>
            <w:r>
              <w:rPr>
                <w:highlight w:val="none"/>
              </w:rPr>
              <w:t>比选响应文件报价表中的报价与</w:t>
            </w:r>
            <w:r>
              <w:rPr>
                <w:rFonts w:hint="eastAsia"/>
                <w:highlight w:val="none"/>
              </w:rPr>
              <w:t>报价</w:t>
            </w:r>
            <w:r>
              <w:rPr>
                <w:highlight w:val="none"/>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rFonts w:hint="eastAsia"/>
                <w:highlight w:val="none"/>
              </w:rPr>
              <w:t>竞争性</w:t>
            </w:r>
            <w:r>
              <w:rPr>
                <w:highlight w:val="none"/>
              </w:rPr>
              <w:t>比选响应文件正本中法定代表人或授权代理人签署姓名齐全，符合</w:t>
            </w:r>
            <w:r>
              <w:rPr>
                <w:rFonts w:hint="eastAsia"/>
                <w:highlight w:val="none"/>
              </w:rPr>
              <w:t>比选</w:t>
            </w:r>
            <w:r>
              <w:rPr>
                <w:highlight w:val="none"/>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其它材料</w:t>
            </w:r>
          </w:p>
        </w:tc>
        <w:tc>
          <w:tcPr>
            <w:tcW w:w="5004" w:type="dxa"/>
            <w:tcBorders>
              <w:top w:val="single" w:color="auto" w:sz="4" w:space="0"/>
              <w:left w:val="single" w:color="auto" w:sz="4" w:space="0"/>
            </w:tcBorders>
            <w:vAlign w:val="center"/>
          </w:tcPr>
          <w:p>
            <w:pPr>
              <w:spacing w:line="400" w:lineRule="exact"/>
              <w:rPr>
                <w:highlight w:val="none"/>
              </w:rPr>
            </w:pPr>
            <w:r>
              <w:rPr>
                <w:highlight w:val="none"/>
              </w:rPr>
              <w:t>与</w:t>
            </w:r>
            <w:r>
              <w:rPr>
                <w:rFonts w:hint="eastAsia"/>
                <w:highlight w:val="none"/>
              </w:rPr>
              <w:t>采购人</w:t>
            </w:r>
            <w:r>
              <w:rPr>
                <w:highlight w:val="none"/>
              </w:rPr>
              <w:t>存在利害关系可能影响</w:t>
            </w:r>
            <w:r>
              <w:rPr>
                <w:rFonts w:hint="eastAsia"/>
                <w:highlight w:val="none"/>
              </w:rPr>
              <w:t>比选</w:t>
            </w:r>
            <w:r>
              <w:rPr>
                <w:highlight w:val="none"/>
              </w:rPr>
              <w:t>公正性的法人、其他组织或者个人，不得参加</w:t>
            </w:r>
            <w:r>
              <w:rPr>
                <w:rFonts w:hint="eastAsia"/>
                <w:highlight w:val="none"/>
              </w:rPr>
              <w:t>报价</w:t>
            </w:r>
            <w:r>
              <w:rPr>
                <w:highlight w:val="none"/>
              </w:rPr>
              <w:t>；单位负责人为同一人或者存在控股、管理关系的不同单位，不得同时参加</w:t>
            </w:r>
            <w:r>
              <w:rPr>
                <w:rFonts w:hint="eastAsia"/>
                <w:highlight w:val="none"/>
              </w:rPr>
              <w:t>报价</w:t>
            </w:r>
            <w:r>
              <w:rPr>
                <w:highlight w:val="none"/>
              </w:rPr>
              <w:t>，否则相关</w:t>
            </w:r>
            <w:r>
              <w:rPr>
                <w:rFonts w:hint="eastAsia"/>
                <w:highlight w:val="none"/>
              </w:rPr>
              <w:t>报价</w:t>
            </w:r>
            <w:r>
              <w:rPr>
                <w:highlight w:val="none"/>
              </w:rP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营业执照</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11</w:t>
            </w:r>
            <w:r>
              <w:rPr>
                <w:highlight w:val="none"/>
              </w:rP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资质要求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财务要求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业绩要求</w:t>
            </w:r>
          </w:p>
        </w:tc>
        <w:tc>
          <w:tcPr>
            <w:tcW w:w="5004" w:type="dxa"/>
            <w:tcBorders>
              <w:top w:val="single" w:color="auto" w:sz="4" w:space="0"/>
              <w:left w:val="single" w:color="auto" w:sz="4" w:space="0"/>
              <w:bottom w:val="single" w:color="auto" w:sz="4" w:space="0"/>
            </w:tcBorders>
          </w:tcPr>
          <w:p>
            <w:pPr>
              <w:spacing w:line="400" w:lineRule="exact"/>
              <w:rPr>
                <w:highlight w:val="none"/>
              </w:rPr>
            </w:pPr>
            <w:r>
              <w:rPr>
                <w:highlight w:val="none"/>
              </w:rPr>
              <w:t>符合第二章“</w:t>
            </w:r>
            <w:r>
              <w:rPr>
                <w:rFonts w:hint="eastAsia"/>
                <w:highlight w:val="none"/>
              </w:rPr>
              <w:t>报价</w:t>
            </w:r>
            <w:r>
              <w:rPr>
                <w:highlight w:val="none"/>
              </w:rP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信誉要求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ascii="宋体" w:hAnsi="宋体" w:cs="宋体"/>
                <w:szCs w:val="21"/>
                <w:highlight w:val="none"/>
              </w:rPr>
              <w:t>项目主要人员</w:t>
            </w:r>
            <w:r>
              <w:rPr>
                <w:highlight w:val="none"/>
              </w:rPr>
              <w:t>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highlight w:val="none"/>
              </w:rPr>
            </w:pPr>
            <w:r>
              <w:rPr>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w:t>
            </w:r>
            <w:r>
              <w:rPr>
                <w:rFonts w:hint="eastAsia"/>
                <w:highlight w:val="none"/>
                <w:lang w:val="en-US" w:eastAsia="zh-CN"/>
              </w:rPr>
              <w:t>6</w:t>
            </w:r>
            <w:r>
              <w:rPr>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投标内容</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7</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报价</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符合比选文件给出的范围及数量，且报价不得超过</w:t>
            </w:r>
            <w:r>
              <w:rPr>
                <w:rFonts w:hint="eastAsia"/>
                <w:highlight w:val="none"/>
              </w:rPr>
              <w:t>采购人</w:t>
            </w:r>
            <w:r>
              <w:rPr>
                <w:highlight w:val="none"/>
              </w:rPr>
              <w:t>公布的最高限价，但也不得低于</w:t>
            </w:r>
            <w:r>
              <w:rPr>
                <w:rFonts w:hint="eastAsia"/>
                <w:highlight w:val="none"/>
              </w:rPr>
              <w:t>报价</w:t>
            </w:r>
            <w:r>
              <w:rPr>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工期</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施工地点</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3</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质量标准</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9</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安全目标</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rPr>
              <w:t>10</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rPr>
                <w:highlight w:val="none"/>
              </w:rPr>
            </w:pPr>
            <w:r>
              <w:rPr>
                <w:highlight w:val="none"/>
              </w:rPr>
              <w:t>补充细化：</w:t>
            </w:r>
          </w:p>
          <w:p>
            <w:pPr>
              <w:spacing w:line="400" w:lineRule="exact"/>
              <w:ind w:firstLine="420" w:firstLineChars="200"/>
              <w:rPr>
                <w:highlight w:val="none"/>
              </w:rPr>
            </w:pPr>
            <w:r>
              <w:rPr>
                <w:highlight w:val="none"/>
              </w:rPr>
              <w:t>本项目评标采用经评审的最低</w:t>
            </w:r>
            <w:r>
              <w:rPr>
                <w:rFonts w:hint="eastAsia"/>
                <w:highlight w:val="none"/>
                <w:lang w:val="en-US" w:eastAsia="zh-CN"/>
              </w:rPr>
              <w:t>投标价</w:t>
            </w:r>
            <w:r>
              <w:rPr>
                <w:highlight w:val="none"/>
              </w:rPr>
              <w:t>法，对通过初步评审、详细评审的</w:t>
            </w:r>
            <w:r>
              <w:rPr>
                <w:rFonts w:hint="eastAsia"/>
                <w:highlight w:val="none"/>
              </w:rPr>
              <w:t>报价</w:t>
            </w:r>
            <w:r>
              <w:rPr>
                <w:highlight w:val="none"/>
              </w:rPr>
              <w:t>人按照</w:t>
            </w:r>
            <w:r>
              <w:rPr>
                <w:rFonts w:hint="eastAsia"/>
                <w:highlight w:val="none"/>
              </w:rPr>
              <w:t>报</w:t>
            </w:r>
            <w:r>
              <w:rPr>
                <w:highlight w:val="none"/>
              </w:rPr>
              <w:t>价从低到高的先后顺序，推荐</w:t>
            </w:r>
            <w:r>
              <w:rPr>
                <w:rFonts w:hint="eastAsia"/>
                <w:highlight w:val="none"/>
              </w:rPr>
              <w:t>1</w:t>
            </w:r>
            <w:r>
              <w:rPr>
                <w:highlight w:val="none"/>
              </w:rPr>
              <w:t>名中标候选人。</w:t>
            </w:r>
          </w:p>
          <w:p>
            <w:pPr>
              <w:pStyle w:val="2"/>
              <w:rPr>
                <w:highlight w:val="none"/>
              </w:rPr>
            </w:pPr>
            <w:r>
              <w:rPr>
                <w:rFonts w:hint="eastAsia" w:ascii="Times New Roman" w:hAnsi="Times New Roman" w:cs="Times New Roman"/>
                <w:b w:val="0"/>
                <w:bCs w:val="0"/>
                <w:caps w:val="0"/>
                <w:kern w:val="2"/>
                <w:sz w:val="21"/>
                <w:szCs w:val="24"/>
                <w:highlight w:val="none"/>
                <w:lang w:val="en-US" w:eastAsia="zh-CN" w:bidi="ar-SA"/>
              </w:rPr>
              <w:t xml:space="preserve">   </w:t>
            </w:r>
            <w:r>
              <w:rPr>
                <w:rFonts w:hint="eastAsia" w:ascii="Times New Roman" w:hAnsi="Times New Roman" w:eastAsia="宋体" w:cs="Times New Roman"/>
                <w:b w:val="0"/>
                <w:bCs w:val="0"/>
                <w:caps w:val="0"/>
                <w:kern w:val="2"/>
                <w:sz w:val="21"/>
                <w:szCs w:val="24"/>
                <w:highlight w:val="none"/>
                <w:lang w:val="en-US" w:eastAsia="zh-CN" w:bidi="ar-SA"/>
              </w:rPr>
              <w:t xml:space="preserve"> 若本次竞争性比选有效报价不足3家，采购人将与有效报价最低的报价人采用竞争性谈判的方式确定中标人。</w:t>
            </w:r>
          </w:p>
        </w:tc>
      </w:tr>
    </w:tbl>
    <w:p>
      <w:pPr>
        <w:rPr>
          <w:rFonts w:ascii="宋体" w:hAnsi="宋体" w:cs="宋体"/>
          <w:highlight w:val="none"/>
        </w:rPr>
      </w:pPr>
    </w:p>
    <w:p>
      <w:pPr>
        <w:pStyle w:val="2"/>
        <w:jc w:val="center"/>
        <w:rPr>
          <w:highlight w:val="none"/>
        </w:rPr>
      </w:pPr>
      <w:r>
        <w:rPr>
          <w:rFonts w:hint="eastAsia"/>
          <w:highlight w:val="none"/>
        </w:rPr>
        <w:br w:type="page"/>
      </w:r>
      <w:bookmarkStart w:id="156" w:name="_Toc9938"/>
      <w:bookmarkStart w:id="157" w:name="_Toc13787"/>
      <w:r>
        <w:rPr>
          <w:rStyle w:val="79"/>
          <w:rFonts w:hint="eastAsia"/>
          <w:b/>
          <w:bCs/>
          <w:highlight w:val="none"/>
        </w:rPr>
        <w:t>第四章 报价说明</w:t>
      </w:r>
      <w:bookmarkEnd w:id="156"/>
      <w:bookmarkEnd w:id="157"/>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（1）本次报价须为人民币报价，包含但不限于为实施和完成</w:t>
      </w:r>
      <w:r>
        <w:rPr>
          <w:rFonts w:hint="eastAsia" w:ascii="宋体" w:hAnsi="宋体" w:cs="宋体"/>
          <w:b w:val="0"/>
          <w:bCs w:val="0"/>
          <w:sz w:val="21"/>
          <w:szCs w:val="21"/>
          <w:highlight w:val="none"/>
          <w:lang w:val="en-US" w:eastAsia="zh-CN"/>
        </w:rPr>
        <w:t>本次采购服务</w:t>
      </w:r>
      <w:r>
        <w:rPr>
          <w:rFonts w:hint="eastAsia" w:ascii="宋体" w:hAnsi="宋体" w:cs="宋体"/>
          <w:b w:val="0"/>
          <w:bCs w:val="0"/>
          <w:sz w:val="21"/>
          <w:szCs w:val="21"/>
          <w:highlight w:val="none"/>
        </w:rPr>
        <w:t>工程量所需的劳务、设备材料、机械、质检（自检）、安装及调试、安全文明施工费、交通组织、运输、竣工资料费、过路过桥费、缺陷修复、维修材料、管理、保险、安全设施、税费、利润等全部费用，以及合同明示或暗示的所有责任、义务和一般风险。但人为损坏或不可抗力因素的损坏不在合同费用之列，服务另行收费。</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（2）报价人在分项报价表中填报的综合单价承包到现场所产生的路费、差旅费等。</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（3）报价有算术错误的，评审小组按以下原则对报价进行修正，修正的价格经报价人书面确认后具有约束力。报价人不接受修正价格的，其报价应当予以否决。</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①竞争性比选响应文件中的大写金额与小写金额不一致的，以大写金额为准；</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②总价金额与依据单价计算出的结果不一致的，以单价金额为准修正总价，但单价金额小数点有明显错误的除外。</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（4）实际采购数量以采购人最终需求数量为准，报价清单中单价在合同执行过程中保持固定不变，报价人不得以实际采购数量的变化提出调整合同单价。</w:t>
      </w:r>
    </w:p>
    <w:p>
      <w:pPr>
        <w:pStyle w:val="2"/>
        <w:rPr>
          <w:rFonts w:hint="eastAsia" w:ascii="宋体" w:hAnsi="宋体" w:cs="宋体"/>
          <w:b w:val="0"/>
          <w:bCs w:val="0"/>
          <w:sz w:val="21"/>
          <w:szCs w:val="21"/>
          <w:highlight w:val="none"/>
        </w:rPr>
      </w:pPr>
      <w:r>
        <w:rPr>
          <w:rFonts w:hint="eastAsia" w:ascii="宋体" w:hAnsi="宋体" w:cs="宋体"/>
          <w:b w:val="0"/>
          <w:bCs w:val="0"/>
          <w:sz w:val="21"/>
          <w:szCs w:val="21"/>
          <w:highlight w:val="none"/>
        </w:rPr>
        <w:t>（5）报价清单中各项金额均以人民币（元）结算。</w:t>
      </w:r>
    </w:p>
    <w:p>
      <w:pPr>
        <w:pStyle w:val="2"/>
        <w:rPr>
          <w:highlight w:val="none"/>
        </w:rPr>
        <w:sectPr>
          <w:footerReference r:id="rId9" w:type="default"/>
          <w:pgSz w:w="11906" w:h="16838"/>
          <w:pgMar w:top="1440" w:right="1800" w:bottom="1440" w:left="1800" w:header="851" w:footer="992" w:gutter="0"/>
          <w:cols w:space="720" w:num="1"/>
          <w:titlePg/>
          <w:docGrid w:type="lines" w:linePitch="312" w:charSpace="0"/>
        </w:sectPr>
      </w:pPr>
      <w:r>
        <w:rPr>
          <w:rFonts w:hint="eastAsia" w:ascii="宋体" w:hAnsi="宋体" w:cs="宋体"/>
          <w:b w:val="0"/>
          <w:bCs w:val="0"/>
          <w:sz w:val="21"/>
          <w:szCs w:val="21"/>
          <w:highlight w:val="none"/>
        </w:rPr>
        <w:t>（6）需缴纳的一切税费均由报价单位承担，所有税费均由服务单位自行缴纳；</w:t>
      </w:r>
    </w:p>
    <w:p>
      <w:pPr>
        <w:spacing w:line="400" w:lineRule="exact"/>
        <w:rPr>
          <w:rFonts w:ascii="宋体" w:hAnsi="宋体" w:cs="宋体"/>
          <w:szCs w:val="21"/>
          <w:highlight w:val="none"/>
        </w:rPr>
      </w:pPr>
      <w:bookmarkStart w:id="158" w:name="_Toc246996354"/>
      <w:bookmarkStart w:id="159" w:name="_Toc247085872"/>
      <w:bookmarkStart w:id="160" w:name="_Toc152045786"/>
      <w:bookmarkStart w:id="161" w:name="_Toc179632806"/>
      <w:bookmarkStart w:id="162" w:name="_Toc144974855"/>
      <w:bookmarkStart w:id="163" w:name="_Toc246997097"/>
      <w:bookmarkStart w:id="164" w:name="_Toc152042575"/>
    </w:p>
    <w:p>
      <w:pPr>
        <w:pStyle w:val="3"/>
        <w:spacing w:before="0" w:after="0" w:line="360" w:lineRule="auto"/>
        <w:jc w:val="center"/>
        <w:rPr>
          <w:rFonts w:ascii="宋体" w:hAnsi="宋体" w:cs="宋体"/>
          <w:highlight w:val="none"/>
        </w:rPr>
      </w:pPr>
      <w:bookmarkStart w:id="165" w:name="_Toc179632789"/>
      <w:bookmarkStart w:id="166" w:name="_Toc152045772"/>
      <w:bookmarkStart w:id="167" w:name="_Toc8745"/>
      <w:bookmarkStart w:id="168" w:name="_Toc152042554"/>
      <w:bookmarkStart w:id="169" w:name="_Toc514858705"/>
      <w:bookmarkStart w:id="170" w:name="_Toc144974834"/>
      <w:bookmarkStart w:id="171" w:name="_Toc2000409"/>
      <w:bookmarkStart w:id="172" w:name="_Toc246996340"/>
      <w:bookmarkStart w:id="173" w:name="_Toc246997083"/>
      <w:bookmarkStart w:id="174" w:name="_Toc247085855"/>
      <w:bookmarkStart w:id="175" w:name="_Toc24503"/>
      <w:r>
        <w:rPr>
          <w:rFonts w:hint="eastAsia" w:ascii="宋体" w:hAnsi="宋体" w:cs="宋体"/>
          <w:highlight w:val="none"/>
        </w:rPr>
        <w:t>第五章  工程量清单</w:t>
      </w:r>
      <w:bookmarkEnd w:id="165"/>
      <w:bookmarkEnd w:id="166"/>
      <w:bookmarkEnd w:id="167"/>
      <w:bookmarkEnd w:id="168"/>
      <w:bookmarkEnd w:id="169"/>
      <w:bookmarkEnd w:id="170"/>
      <w:bookmarkEnd w:id="171"/>
      <w:bookmarkEnd w:id="172"/>
      <w:bookmarkEnd w:id="173"/>
      <w:bookmarkEnd w:id="174"/>
      <w:bookmarkEnd w:id="175"/>
    </w:p>
    <w:p>
      <w:pPr>
        <w:ind w:firstLine="420"/>
        <w:jc w:val="left"/>
        <w:rPr>
          <w:rFonts w:ascii="宋体" w:hAnsi="宋体" w:cs="宋体"/>
          <w:b/>
          <w:highlight w:val="none"/>
        </w:rPr>
      </w:pPr>
      <w:bookmarkStart w:id="176" w:name="_Toc246996350"/>
      <w:bookmarkStart w:id="177" w:name="_Toc152045782"/>
      <w:bookmarkStart w:id="178" w:name="_Toc152042571"/>
      <w:bookmarkStart w:id="179" w:name="_Toc246997093"/>
      <w:bookmarkStart w:id="180" w:name="_Toc179632800"/>
      <w:bookmarkStart w:id="181" w:name="_Toc247096438"/>
      <w:bookmarkStart w:id="182" w:name="_Toc247085866"/>
      <w:bookmarkStart w:id="183" w:name="_Toc144974851"/>
    </w:p>
    <w:p>
      <w:pPr>
        <w:jc w:val="center"/>
        <w:rPr>
          <w:rFonts w:ascii="宋体" w:hAnsi="宋体" w:cs="宋体"/>
          <w:b/>
          <w:highlight w:val="none"/>
        </w:rPr>
      </w:pPr>
      <w:r>
        <w:rPr>
          <w:rFonts w:hint="eastAsia" w:ascii="宋体" w:hAnsi="宋体" w:cs="宋体"/>
          <w:b/>
          <w:kern w:val="0"/>
          <w:sz w:val="24"/>
          <w:highlight w:val="none"/>
          <w:lang w:val="en-US" w:eastAsia="zh-CN"/>
        </w:rPr>
        <w:t>详见附件</w:t>
      </w:r>
      <w:r>
        <w:rPr>
          <w:rFonts w:hint="eastAsia" w:ascii="宋体" w:hAnsi="宋体" w:cs="宋体"/>
          <w:b/>
          <w:kern w:val="0"/>
          <w:sz w:val="24"/>
          <w:highlight w:val="none"/>
        </w:rPr>
        <w:t>。</w:t>
      </w: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jc w:val="center"/>
        <w:rPr>
          <w:rFonts w:ascii="宋体" w:hAnsi="宋体" w:cs="宋体"/>
          <w:b/>
          <w:highlight w:val="none"/>
        </w:rPr>
      </w:pPr>
    </w:p>
    <w:p>
      <w:pPr>
        <w:rPr>
          <w:rFonts w:ascii="宋体" w:hAnsi="宋体" w:cs="宋体"/>
          <w:b/>
          <w:highlight w:val="none"/>
        </w:rPr>
      </w:pPr>
    </w:p>
    <w:p>
      <w:pPr>
        <w:jc w:val="center"/>
        <w:rPr>
          <w:rFonts w:ascii="宋体" w:hAnsi="宋体" w:cs="宋体"/>
          <w:b/>
          <w:highlight w:val="none"/>
        </w:rPr>
        <w:sectPr>
          <w:pgSz w:w="11906" w:h="16838"/>
          <w:pgMar w:top="1440" w:right="1800" w:bottom="1440" w:left="1800" w:header="851" w:footer="992" w:gutter="0"/>
          <w:cols w:space="720" w:num="1"/>
          <w:titlePg/>
          <w:docGrid w:type="lines" w:linePitch="312" w:charSpace="0"/>
        </w:sectPr>
      </w:pPr>
    </w:p>
    <w:p>
      <w:pPr>
        <w:rPr>
          <w:rFonts w:ascii="宋体" w:hAnsi="宋体" w:cs="宋体"/>
          <w:b/>
          <w:highlight w:val="none"/>
        </w:rPr>
      </w:pPr>
    </w:p>
    <w:p>
      <w:pPr>
        <w:jc w:val="center"/>
        <w:rPr>
          <w:rFonts w:ascii="宋体" w:hAnsi="宋体" w:cs="宋体"/>
          <w:b/>
          <w:highlight w:val="none"/>
        </w:rPr>
      </w:pPr>
    </w:p>
    <w:p>
      <w:pPr>
        <w:pStyle w:val="3"/>
        <w:spacing w:before="0" w:after="0" w:line="360" w:lineRule="auto"/>
        <w:jc w:val="center"/>
        <w:rPr>
          <w:rFonts w:ascii="宋体" w:hAnsi="宋体" w:cs="宋体"/>
          <w:highlight w:val="none"/>
        </w:rPr>
      </w:pPr>
      <w:bookmarkStart w:id="184" w:name="_Toc513633963"/>
      <w:bookmarkStart w:id="185" w:name="_Toc12440"/>
      <w:bookmarkStart w:id="186" w:name="_Toc514858706"/>
      <w:bookmarkStart w:id="187" w:name="_Toc3008"/>
      <w:bookmarkStart w:id="188" w:name="_Toc2000410"/>
      <w:bookmarkStart w:id="189" w:name="_Toc503951042"/>
      <w:bookmarkStart w:id="190" w:name="_Toc447827048"/>
      <w:r>
        <w:rPr>
          <w:rFonts w:hint="eastAsia" w:ascii="宋体" w:hAnsi="宋体" w:cs="宋体"/>
          <w:highlight w:val="none"/>
        </w:rPr>
        <w:t>第六章  图  纸</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pPr>
        <w:jc w:val="center"/>
        <w:rPr>
          <w:rFonts w:ascii="宋体" w:hAnsi="宋体" w:cs="宋体"/>
          <w:b/>
          <w:highlight w:val="none"/>
        </w:rPr>
      </w:pPr>
      <w:r>
        <w:rPr>
          <w:rFonts w:hint="eastAsia" w:ascii="宋体" w:hAnsi="宋体" w:cs="宋体"/>
          <w:b/>
          <w:kern w:val="0"/>
          <w:sz w:val="24"/>
          <w:highlight w:val="none"/>
          <w:lang w:eastAsia="zh-CN"/>
        </w:rPr>
        <w:t>无</w:t>
      </w:r>
      <w:r>
        <w:rPr>
          <w:rFonts w:hint="eastAsia" w:ascii="宋体" w:hAnsi="宋体" w:cs="宋体"/>
          <w:b/>
          <w:kern w:val="0"/>
          <w:sz w:val="24"/>
          <w:highlight w:val="none"/>
        </w:rPr>
        <w:t>。</w:t>
      </w:r>
    </w:p>
    <w:p>
      <w:pPr>
        <w:spacing w:line="400" w:lineRule="exact"/>
        <w:rPr>
          <w:rFonts w:ascii="宋体" w:hAnsi="宋体" w:cs="宋体"/>
          <w:highlight w:val="none"/>
        </w:rPr>
      </w:pPr>
      <w:r>
        <w:rPr>
          <w:rFonts w:hint="eastAsia" w:ascii="宋体" w:hAnsi="宋体" w:cs="宋体"/>
          <w:highlight w:val="none"/>
        </w:rPr>
        <w:br w:type="page"/>
      </w:r>
      <w:bookmarkStart w:id="191" w:name="_Toc144974854"/>
      <w:bookmarkStart w:id="192" w:name="_Toc152042574"/>
      <w:bookmarkStart w:id="193" w:name="_Toc152045785"/>
    </w:p>
    <w:p>
      <w:pPr>
        <w:pStyle w:val="3"/>
        <w:spacing w:before="0" w:after="0" w:line="360" w:lineRule="auto"/>
        <w:jc w:val="center"/>
        <w:rPr>
          <w:rFonts w:ascii="宋体" w:hAnsi="宋体" w:cs="宋体"/>
          <w:highlight w:val="none"/>
        </w:rPr>
      </w:pPr>
      <w:bookmarkStart w:id="194" w:name="_Toc247085870"/>
      <w:bookmarkStart w:id="195" w:name="_Toc503951043"/>
      <w:bookmarkStart w:id="196" w:name="_Toc246997096"/>
      <w:bookmarkStart w:id="197" w:name="_Toc447827049"/>
      <w:bookmarkStart w:id="198" w:name="_Toc513633964"/>
      <w:bookmarkStart w:id="199" w:name="_Toc2585"/>
      <w:bookmarkStart w:id="200" w:name="_Toc514858707"/>
      <w:bookmarkStart w:id="201" w:name="_Toc10887"/>
      <w:bookmarkStart w:id="202" w:name="_Toc246996353"/>
      <w:bookmarkStart w:id="203" w:name="_Toc2000411"/>
      <w:bookmarkStart w:id="204" w:name="_Toc179632804"/>
      <w:r>
        <w:rPr>
          <w:rFonts w:hint="eastAsia" w:ascii="宋体" w:hAnsi="宋体" w:cs="宋体"/>
          <w:highlight w:val="none"/>
        </w:rPr>
        <w:t>第七章  技术标准和工作要求</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bookmarkEnd w:id="158"/>
    <w:bookmarkEnd w:id="159"/>
    <w:bookmarkEnd w:id="160"/>
    <w:bookmarkEnd w:id="161"/>
    <w:bookmarkEnd w:id="162"/>
    <w:bookmarkEnd w:id="163"/>
    <w:bookmarkEnd w:id="164"/>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bookmarkStart w:id="205" w:name="_Toc514430114"/>
      <w:bookmarkStart w:id="206" w:name="_Toc13280"/>
      <w:bookmarkStart w:id="207" w:name="_Toc2000412"/>
      <w:bookmarkStart w:id="208" w:name="_Toc12089"/>
      <w:bookmarkStart w:id="209" w:name="_Toc514858708"/>
      <w:bookmarkStart w:id="210" w:name="_Toc179632807"/>
      <w:bookmarkStart w:id="211" w:name="_Toc144974856"/>
      <w:bookmarkStart w:id="212" w:name="_Toc152045787"/>
      <w:bookmarkStart w:id="213" w:name="_Toc246996355"/>
      <w:bookmarkStart w:id="214" w:name="_Toc246997098"/>
      <w:bookmarkStart w:id="215" w:name="_Toc247085873"/>
      <w:bookmarkStart w:id="216" w:name="_Toc507320039"/>
      <w:bookmarkStart w:id="217" w:name="_Toc152042576"/>
      <w:r>
        <w:rPr>
          <w:rFonts w:hint="eastAsia"/>
          <w:b w:val="0"/>
          <w:bCs w:val="0"/>
          <w:sz w:val="24"/>
          <w:szCs w:val="24"/>
          <w:highlight w:val="none"/>
          <w:lang w:val="en-US" w:eastAsia="zh-CN"/>
        </w:rPr>
        <w:t>一</w:t>
      </w:r>
      <w:r>
        <w:rPr>
          <w:rFonts w:hint="eastAsia"/>
          <w:b w:val="0"/>
          <w:bCs w:val="0"/>
          <w:sz w:val="24"/>
          <w:szCs w:val="24"/>
          <w:highlight w:val="none"/>
          <w:lang w:eastAsia="zh-CN"/>
        </w:rPr>
        <w:t>、维护内容：</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1、每季度例行对服务器设备进行保养、维护。</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2、及时修复损坏设备（包含损坏设备的更换，费用包含在报价人报价中）。</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3、每季度按时完整提交维护计划、维护资料。</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val="en-US" w:eastAsia="zh-CN"/>
        </w:rPr>
        <w:t>二</w:t>
      </w:r>
      <w:r>
        <w:rPr>
          <w:rFonts w:hint="eastAsia"/>
          <w:b w:val="0"/>
          <w:bCs w:val="0"/>
          <w:sz w:val="24"/>
          <w:szCs w:val="24"/>
          <w:highlight w:val="none"/>
          <w:lang w:eastAsia="zh-CN"/>
        </w:rPr>
        <w:t>、维护要求：</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1、对系统错误进行记录、分析，并实施故障诊断。携带备件及时进行现场维修、更换。</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2、对系统板卡、设备的微代码升级。</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3、采取系统检测论断（Diagnostic Cnline/Offline）。</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hint="eastAsia"/>
          <w:b w:val="0"/>
          <w:bCs w:val="0"/>
          <w:sz w:val="24"/>
          <w:szCs w:val="24"/>
          <w:highlight w:val="none"/>
          <w:lang w:eastAsia="zh-CN"/>
        </w:rPr>
      </w:pPr>
      <w:r>
        <w:rPr>
          <w:rFonts w:hint="eastAsia"/>
          <w:b w:val="0"/>
          <w:bCs w:val="0"/>
          <w:sz w:val="24"/>
          <w:szCs w:val="24"/>
          <w:highlight w:val="none"/>
          <w:lang w:eastAsia="zh-CN"/>
        </w:rPr>
        <w:t>4、对设备实行定期预防性维护。</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ascii="宋体" w:hAnsi="宋体" w:cs="宋体"/>
          <w:highlight w:val="none"/>
        </w:rPr>
      </w:pPr>
      <w:r>
        <w:rPr>
          <w:rFonts w:hint="eastAsia"/>
          <w:b w:val="0"/>
          <w:bCs w:val="0"/>
          <w:sz w:val="24"/>
          <w:szCs w:val="24"/>
          <w:highlight w:val="none"/>
          <w:lang w:eastAsia="zh-CN"/>
        </w:rPr>
        <w:t>5、对系统软件的错误进行记录、分析，为操作系统做故障诊断，实施系统增强和修补程序安装和测试，辅导掌握系统软件的基本操作，并给予技术支持。对系统软件运行实施定期预防性的维护和检查，提供系统优化和性能调整，并提供系统数据备份服务和收费数据异地备份服务。</w:t>
      </w:r>
      <w:r>
        <w:rPr>
          <w:rFonts w:hint="eastAsia" w:ascii="宋体" w:hAnsi="宋体" w:cs="宋体"/>
          <w:highlight w:val="none"/>
        </w:rPr>
        <w:br w:type="page"/>
      </w:r>
      <w:bookmarkEnd w:id="205"/>
      <w:bookmarkEnd w:id="206"/>
      <w:bookmarkEnd w:id="207"/>
      <w:bookmarkEnd w:id="208"/>
      <w:bookmarkEnd w:id="209"/>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right="0" w:rightChars="0" w:firstLine="480" w:firstLineChars="200"/>
        <w:jc w:val="left"/>
        <w:textAlignment w:val="auto"/>
        <w:outlineLvl w:val="0"/>
        <w:rPr>
          <w:rFonts w:ascii="宋体" w:hAnsi="宋体" w:cs="宋体"/>
          <w:highlight w:val="none"/>
        </w:rPr>
      </w:pPr>
      <w:r>
        <w:rPr>
          <w:rFonts w:hint="eastAsia" w:ascii="宋体" w:hAnsi="宋体" w:cs="宋体"/>
          <w:highlight w:val="none"/>
        </w:rPr>
        <w:t>第八章  工程量清单计量规则</w:t>
      </w:r>
    </w:p>
    <w:p>
      <w:pPr>
        <w:spacing w:line="360" w:lineRule="auto"/>
        <w:ind w:firstLine="420" w:firstLineChars="200"/>
        <w:rPr>
          <w:rFonts w:ascii="宋体" w:hAnsi="宋体" w:cs="宋体"/>
          <w:szCs w:val="21"/>
          <w:highlight w:val="none"/>
        </w:rPr>
      </w:pPr>
    </w:p>
    <w:p>
      <w:pPr>
        <w:pStyle w:val="3"/>
        <w:spacing w:before="0" w:after="0" w:line="360" w:lineRule="auto"/>
        <w:jc w:val="center"/>
        <w:rPr>
          <w:rFonts w:hint="eastAsia" w:ascii="宋体" w:hAnsi="宋体" w:cs="宋体"/>
          <w:sz w:val="24"/>
          <w:szCs w:val="24"/>
          <w:highlight w:val="none"/>
          <w:lang w:eastAsia="zh-CN"/>
        </w:rPr>
      </w:pPr>
      <w:r>
        <w:rPr>
          <w:rFonts w:hint="eastAsia" w:ascii="宋体" w:hAnsi="宋体" w:cs="宋体"/>
          <w:sz w:val="24"/>
          <w:szCs w:val="24"/>
          <w:highlight w:val="none"/>
          <w:lang w:eastAsia="zh-CN"/>
        </w:rPr>
        <w:t>无。</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bookmarkStart w:id="218" w:name="_Toc513633965"/>
    </w:p>
    <w:p>
      <w:pPr>
        <w:rPr>
          <w:rFonts w:ascii="宋体" w:hAnsi="宋体" w:cs="宋体"/>
          <w:highlight w:val="none"/>
        </w:rPr>
      </w:pPr>
    </w:p>
    <w:p>
      <w:pPr>
        <w:pStyle w:val="3"/>
        <w:spacing w:before="0" w:after="0" w:line="360" w:lineRule="auto"/>
        <w:jc w:val="center"/>
        <w:rPr>
          <w:rFonts w:ascii="宋体" w:hAnsi="宋体" w:cs="宋体"/>
          <w:highlight w:val="none"/>
        </w:rPr>
      </w:pPr>
      <w:bookmarkStart w:id="219" w:name="_Toc24853"/>
      <w:bookmarkStart w:id="220" w:name="_Toc2000413"/>
      <w:bookmarkStart w:id="221" w:name="_Toc514858709"/>
      <w:bookmarkStart w:id="222" w:name="_Toc1416"/>
      <w:r>
        <w:rPr>
          <w:rFonts w:hint="eastAsia" w:ascii="宋体" w:hAnsi="宋体" w:cs="宋体"/>
          <w:highlight w:val="none"/>
        </w:rPr>
        <w:t>第九章  竞争性比选响应文件格式</w:t>
      </w:r>
      <w:bookmarkEnd w:id="218"/>
      <w:bookmarkEnd w:id="219"/>
      <w:bookmarkEnd w:id="220"/>
      <w:bookmarkEnd w:id="221"/>
      <w:bookmarkEnd w:id="222"/>
    </w:p>
    <w:p>
      <w:pPr>
        <w:rPr>
          <w:rFonts w:ascii="宋体" w:hAnsi="宋体" w:cs="宋体"/>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ascii="宋体" w:hAnsi="宋体" w:cs="宋体"/>
          <w:highlight w:val="none"/>
        </w:rPr>
      </w:pPr>
    </w:p>
    <w:p>
      <w:pPr>
        <w:jc w:val="center"/>
        <w:rPr>
          <w:rFonts w:ascii="宋体" w:hAnsi="宋体" w:cs="宋体"/>
          <w:sz w:val="52"/>
          <w:szCs w:val="52"/>
          <w:highlight w:val="none"/>
          <w:u w:val="single"/>
        </w:rPr>
      </w:pPr>
      <w:bookmarkStart w:id="223" w:name="_Toc503971829"/>
      <w:bookmarkStart w:id="224" w:name="_Toc503951046"/>
      <w:bookmarkStart w:id="225" w:name="_Toc514858710"/>
      <w:bookmarkStart w:id="226" w:name="_Toc513646738"/>
      <w:bookmarkStart w:id="227" w:name="_Toc513633967"/>
      <w:r>
        <w:rPr>
          <w:rFonts w:hint="eastAsia" w:ascii="宋体" w:hAnsi="宋体" w:cs="宋体"/>
          <w:highlight w:val="none"/>
          <w:u w:val="single"/>
        </w:rPr>
        <w:t xml:space="preserve">                           </w:t>
      </w:r>
      <w:r>
        <w:rPr>
          <w:rFonts w:hint="eastAsia" w:ascii="宋体" w:hAnsi="宋体" w:cs="宋体"/>
          <w:sz w:val="52"/>
          <w:szCs w:val="52"/>
          <w:highlight w:val="none"/>
          <w:u w:val="single"/>
        </w:rPr>
        <w:t>（项目名称）</w:t>
      </w:r>
      <w:bookmarkEnd w:id="223"/>
      <w:bookmarkEnd w:id="224"/>
      <w:bookmarkEnd w:id="225"/>
      <w:bookmarkEnd w:id="226"/>
      <w:bookmarkEnd w:id="227"/>
      <w:r>
        <w:rPr>
          <w:rFonts w:hint="eastAsia" w:ascii="宋体" w:hAnsi="宋体" w:cs="宋体"/>
          <w:sz w:val="52"/>
          <w:szCs w:val="52"/>
          <w:highlight w:val="none"/>
          <w:u w:val="single"/>
        </w:rPr>
        <w:t xml:space="preserve"> </w:t>
      </w:r>
    </w:p>
    <w:p>
      <w:pPr>
        <w:rPr>
          <w:rFonts w:ascii="宋体" w:hAnsi="宋体" w:cs="宋体"/>
          <w:sz w:val="20"/>
          <w:szCs w:val="20"/>
          <w:highlight w:val="none"/>
        </w:rPr>
      </w:pPr>
    </w:p>
    <w:p>
      <w:pPr>
        <w:jc w:val="center"/>
        <w:rPr>
          <w:rFonts w:ascii="宋体" w:hAnsi="宋体" w:cs="宋体"/>
          <w:sz w:val="44"/>
          <w:szCs w:val="44"/>
          <w:highlight w:val="none"/>
        </w:rPr>
      </w:pPr>
      <w:r>
        <w:rPr>
          <w:rFonts w:hint="eastAsia" w:ascii="宋体" w:hAnsi="宋体" w:cs="宋体"/>
          <w:sz w:val="44"/>
          <w:szCs w:val="44"/>
          <w:highlight w:val="none"/>
        </w:rPr>
        <w:t xml:space="preserve"> </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jc w:val="center"/>
        <w:rPr>
          <w:rFonts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ascii="宋体" w:hAnsi="宋体" w:cs="宋体"/>
          <w:b/>
          <w:sz w:val="32"/>
          <w:szCs w:val="32"/>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pStyle w:val="2"/>
        <w:rPr>
          <w:highlight w:val="none"/>
        </w:rPr>
      </w:pPr>
    </w:p>
    <w:p>
      <w:pPr>
        <w:rPr>
          <w:highlight w:val="none"/>
        </w:rPr>
      </w:pPr>
    </w:p>
    <w:p>
      <w:pPr>
        <w:pStyle w:val="2"/>
        <w:rPr>
          <w:highlight w:val="none"/>
        </w:rPr>
      </w:pPr>
    </w:p>
    <w:p>
      <w:pPr>
        <w:rPr>
          <w:highlight w:val="none"/>
        </w:rPr>
      </w:pPr>
    </w:p>
    <w:p>
      <w:pPr>
        <w:pStyle w:val="2"/>
        <w:rPr>
          <w:highlight w:val="none"/>
        </w:rPr>
      </w:pPr>
    </w:p>
    <w:p>
      <w:pPr>
        <w:jc w:val="center"/>
        <w:rPr>
          <w:rFonts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228" w:name="_Toc5459"/>
      <w:bookmarkStart w:id="229" w:name="_Toc11329273"/>
      <w:bookmarkStart w:id="230" w:name="_Toc1368"/>
      <w:bookmarkStart w:id="231" w:name="_Toc11078"/>
      <w:bookmarkStart w:id="232" w:name="_Toc28780"/>
      <w:r>
        <w:rPr>
          <w:rFonts w:hint="eastAsia" w:ascii="宋体" w:hAnsi="宋体" w:eastAsia="宋体" w:cs="宋体"/>
          <w:highlight w:val="none"/>
        </w:rPr>
        <w:t>目    录</w:t>
      </w:r>
      <w:bookmarkEnd w:id="210"/>
      <w:bookmarkEnd w:id="211"/>
      <w:bookmarkEnd w:id="212"/>
      <w:bookmarkEnd w:id="213"/>
      <w:bookmarkEnd w:id="214"/>
      <w:bookmarkEnd w:id="215"/>
      <w:bookmarkEnd w:id="216"/>
      <w:bookmarkEnd w:id="217"/>
      <w:bookmarkEnd w:id="228"/>
      <w:bookmarkEnd w:id="229"/>
      <w:bookmarkEnd w:id="230"/>
      <w:bookmarkEnd w:id="231"/>
      <w:bookmarkEnd w:id="232"/>
    </w:p>
    <w:p>
      <w:pPr>
        <w:spacing w:line="400" w:lineRule="exact"/>
        <w:rPr>
          <w:rFonts w:ascii="宋体" w:hAnsi="宋体" w:cs="宋体"/>
          <w:highlight w:val="none"/>
        </w:rPr>
      </w:pPr>
      <w:r>
        <w:rPr>
          <w:rFonts w:hint="eastAsia" w:ascii="宋体" w:hAnsi="宋体" w:cs="宋体"/>
          <w:highlight w:val="none"/>
        </w:rPr>
        <w:t>一、竞争性响应声明书</w:t>
      </w:r>
    </w:p>
    <w:p>
      <w:pPr>
        <w:spacing w:line="400" w:lineRule="exact"/>
        <w:rPr>
          <w:rFonts w:ascii="宋体" w:hAnsi="宋体" w:cs="宋体"/>
          <w:highlight w:val="none"/>
        </w:rPr>
      </w:pPr>
      <w:r>
        <w:rPr>
          <w:rFonts w:hint="eastAsia" w:ascii="宋体" w:hAnsi="宋体" w:cs="宋体"/>
          <w:highlight w:val="none"/>
        </w:rPr>
        <w:t>二、报价一览表</w:t>
      </w:r>
    </w:p>
    <w:p>
      <w:pPr>
        <w:spacing w:line="400" w:lineRule="exact"/>
        <w:rPr>
          <w:rFonts w:ascii="宋体" w:hAnsi="宋体" w:cs="宋体"/>
          <w:highlight w:val="none"/>
        </w:rPr>
      </w:pPr>
      <w:r>
        <w:rPr>
          <w:rFonts w:hint="eastAsia" w:ascii="宋体" w:hAnsi="宋体" w:cs="宋体"/>
          <w:highlight w:val="none"/>
        </w:rPr>
        <w:t>三、资格审查资料</w:t>
      </w:r>
    </w:p>
    <w:p>
      <w:pPr>
        <w:spacing w:line="400" w:lineRule="exact"/>
        <w:rPr>
          <w:rFonts w:hint="eastAsia" w:ascii="宋体" w:hAnsi="宋体" w:cs="宋体"/>
          <w:highlight w:val="none"/>
        </w:rPr>
      </w:pPr>
      <w:r>
        <w:rPr>
          <w:rFonts w:hint="eastAsia" w:ascii="宋体" w:hAnsi="宋体" w:cs="宋体"/>
          <w:highlight w:val="none"/>
        </w:rPr>
        <w:t>四、人员配置完整性</w:t>
      </w:r>
    </w:p>
    <w:p>
      <w:pPr>
        <w:spacing w:line="400" w:lineRule="exact"/>
        <w:rPr>
          <w:rFonts w:hint="eastAsia" w:ascii="宋体" w:hAnsi="宋体" w:cs="宋体"/>
          <w:highlight w:val="none"/>
        </w:rPr>
      </w:pPr>
      <w:r>
        <w:rPr>
          <w:rFonts w:hint="eastAsia" w:ascii="宋体" w:hAnsi="宋体" w:cs="宋体"/>
          <w:highlight w:val="none"/>
        </w:rPr>
        <w:t>五、维护设备及器具的配备包括车辆配备</w:t>
      </w:r>
    </w:p>
    <w:p>
      <w:pPr>
        <w:spacing w:line="400" w:lineRule="exact"/>
        <w:rPr>
          <w:rFonts w:hint="eastAsia" w:ascii="宋体" w:hAnsi="宋体" w:cs="宋体"/>
          <w:highlight w:val="none"/>
        </w:rPr>
      </w:pPr>
      <w:r>
        <w:rPr>
          <w:rFonts w:hint="eastAsia" w:ascii="宋体" w:hAnsi="宋体" w:cs="宋体"/>
          <w:highlight w:val="none"/>
        </w:rPr>
        <w:t>六、维护工作的计划性和完整性</w:t>
      </w:r>
    </w:p>
    <w:p>
      <w:pPr>
        <w:spacing w:line="400" w:lineRule="exact"/>
        <w:rPr>
          <w:rFonts w:hint="eastAsia" w:ascii="宋体" w:hAnsi="宋体" w:cs="宋体"/>
          <w:highlight w:val="none"/>
        </w:rPr>
      </w:pPr>
      <w:r>
        <w:rPr>
          <w:rFonts w:hint="eastAsia" w:ascii="宋体" w:hAnsi="宋体" w:cs="宋体"/>
          <w:highlight w:val="none"/>
        </w:rPr>
        <w:t>七、维护现场安全管理措施</w:t>
      </w:r>
    </w:p>
    <w:p>
      <w:pPr>
        <w:spacing w:line="400" w:lineRule="exact"/>
        <w:rPr>
          <w:rFonts w:hint="eastAsia" w:ascii="宋体" w:hAnsi="宋体" w:cs="宋体"/>
          <w:highlight w:val="none"/>
        </w:rPr>
      </w:pPr>
      <w:r>
        <w:rPr>
          <w:rFonts w:hint="eastAsia" w:ascii="宋体" w:hAnsi="宋体" w:cs="宋体"/>
          <w:highlight w:val="none"/>
        </w:rPr>
        <w:t>八、紧急事件响应措施及协调能力</w:t>
      </w:r>
    </w:p>
    <w:p>
      <w:pPr>
        <w:spacing w:line="400" w:lineRule="exact"/>
        <w:rPr>
          <w:rFonts w:ascii="宋体" w:hAnsi="宋体" w:cs="宋体"/>
          <w:szCs w:val="21"/>
          <w:highlight w:val="none"/>
        </w:rPr>
      </w:pPr>
      <w:r>
        <w:rPr>
          <w:rFonts w:hint="eastAsia" w:ascii="宋体" w:hAnsi="宋体" w:cs="宋体"/>
          <w:highlight w:val="none"/>
        </w:rPr>
        <w:t>九、报价人须知前附表规定的其他材料</w:t>
      </w:r>
    </w:p>
    <w:p>
      <w:pPr>
        <w:spacing w:line="400" w:lineRule="exact"/>
        <w:rPr>
          <w:rFonts w:ascii="宋体" w:hAnsi="宋体" w:cs="宋体"/>
          <w:highlight w:val="none"/>
        </w:rPr>
      </w:pPr>
      <w:r>
        <w:rPr>
          <w:rFonts w:hint="eastAsia" w:ascii="宋体" w:hAnsi="宋体" w:cs="宋体"/>
          <w:highlight w:val="none"/>
        </w:rPr>
        <w:t xml:space="preserve"> </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r>
        <w:rPr>
          <w:rFonts w:ascii="宋体" w:hAnsi="宋体" w:cs="宋体"/>
          <w:highlight w:val="none"/>
        </w:rPr>
        <w:br w:type="page"/>
      </w:r>
    </w:p>
    <w:p>
      <w:pPr>
        <w:pStyle w:val="4"/>
        <w:spacing w:before="0" w:after="0" w:line="360" w:lineRule="auto"/>
        <w:jc w:val="center"/>
        <w:rPr>
          <w:rFonts w:ascii="宋体" w:hAnsi="宋体" w:eastAsia="宋体" w:cs="宋体"/>
          <w:sz w:val="28"/>
          <w:highlight w:val="none"/>
        </w:rPr>
      </w:pPr>
      <w:bookmarkStart w:id="233" w:name="_Toc8870"/>
      <w:bookmarkStart w:id="234" w:name="_Toc11329274"/>
      <w:bookmarkStart w:id="235" w:name="_Toc15863"/>
      <w:bookmarkStart w:id="236" w:name="_Toc29547"/>
      <w:bookmarkStart w:id="237" w:name="_Toc25874"/>
      <w:bookmarkStart w:id="238" w:name="_Toc4828"/>
      <w:bookmarkStart w:id="239" w:name="_Toc513633969"/>
      <w:bookmarkStart w:id="240" w:name="_Toc447827053"/>
      <w:bookmarkStart w:id="241" w:name="_Toc503951048"/>
      <w:r>
        <w:rPr>
          <w:rFonts w:hint="eastAsia" w:ascii="宋体" w:hAnsi="宋体" w:eastAsia="宋体" w:cs="宋体"/>
          <w:sz w:val="28"/>
          <w:highlight w:val="none"/>
        </w:rPr>
        <w:t>一、</w:t>
      </w:r>
      <w:bookmarkEnd w:id="233"/>
      <w:bookmarkEnd w:id="234"/>
      <w:r>
        <w:rPr>
          <w:rFonts w:hint="eastAsia" w:ascii="宋体" w:hAnsi="宋体" w:eastAsia="宋体" w:cs="宋体"/>
          <w:sz w:val="28"/>
          <w:highlight w:val="none"/>
        </w:rPr>
        <w:t>竞争比选响应声明书</w:t>
      </w:r>
      <w:bookmarkEnd w:id="235"/>
      <w:bookmarkEnd w:id="236"/>
      <w:bookmarkEnd w:id="237"/>
      <w:bookmarkEnd w:id="238"/>
    </w:p>
    <w:p>
      <w:pPr>
        <w:tabs>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rPr>
        <w:t>重庆首讯科技股份有限公司</w:t>
      </w:r>
    </w:p>
    <w:p>
      <w:pPr>
        <w:spacing w:line="700" w:lineRule="atLeast"/>
        <w:ind w:firstLine="480" w:firstLineChars="200"/>
        <w:rPr>
          <w:rFonts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sz w:val="24"/>
          <w:highlight w:val="none"/>
        </w:rPr>
        <w:t>方为</w:t>
      </w:r>
      <w:r>
        <w:rPr>
          <w:rFonts w:hint="eastAsia" w:ascii="Arial" w:hAnsi="Arial" w:cs="Arial"/>
          <w:color w:val="000000"/>
          <w:sz w:val="24"/>
          <w:highlight w:val="none"/>
          <w:u w:val="single"/>
          <w:lang w:eastAsia="zh-CN"/>
        </w:rPr>
        <w:t>首讯公司2021年服务器维护养护工程（第二次）</w:t>
      </w:r>
      <w:r>
        <w:rPr>
          <w:rFonts w:hint="eastAsia" w:ascii="Arial" w:hAnsi="Arial" w:cs="Arial"/>
          <w:color w:val="000000"/>
          <w:sz w:val="24"/>
          <w:highlight w:val="none"/>
          <w:u w:val="single"/>
        </w:rPr>
        <w:t xml:space="preserve"> </w:t>
      </w:r>
      <w:r>
        <w:rPr>
          <w:rFonts w:hint="eastAsia" w:ascii="Arial" w:hAnsi="Arial" w:cs="Arial"/>
          <w:sz w:val="24"/>
          <w:highlight w:val="none"/>
        </w:rPr>
        <w:t>竞争比选项目及服</w:t>
      </w:r>
      <w:r>
        <w:rPr>
          <w:rFonts w:hint="eastAsia" w:ascii="Arial" w:hAnsi="Arial" w:cs="Arial"/>
          <w:color w:val="000000"/>
          <w:sz w:val="24"/>
          <w:highlight w:val="none"/>
        </w:rPr>
        <w:t>务的竞争比选邀请，签字代表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经正式授权并代表竞争比选响应单位</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（竞争比选响应单位名称）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提交报价文件。</w:t>
      </w:r>
    </w:p>
    <w:p>
      <w:pPr>
        <w:spacing w:line="700" w:lineRule="atLeast"/>
        <w:ind w:firstLine="480" w:firstLineChars="200"/>
        <w:rPr>
          <w:rFonts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元）的报价总价，按照竞争比选文件的要求，承担本次竞争比选文件要求的</w:t>
      </w:r>
      <w:r>
        <w:rPr>
          <w:rFonts w:hint="eastAsia" w:ascii="Arial" w:hAnsi="Arial" w:cs="Arial"/>
          <w:color w:val="000000"/>
          <w:sz w:val="24"/>
          <w:highlight w:val="none"/>
          <w:u w:val="single"/>
          <w:lang w:val="en-US" w:eastAsia="zh-CN"/>
        </w:rPr>
        <w:t>服务</w:t>
      </w:r>
      <w:r>
        <w:rPr>
          <w:rFonts w:hint="eastAsia" w:ascii="Arial" w:hAnsi="Arial" w:cs="Arial"/>
          <w:color w:val="000000"/>
          <w:sz w:val="24"/>
          <w:highlight w:val="none"/>
          <w:u w:val="single"/>
        </w:rPr>
        <w:t>。</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rPr>
        <w:t>、竞争比选响应单位将按竞争比选文件规定履行合同责任和义务。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4、与本竞争比选响应有关的一切正式往来通讯请寄：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竞争比选响应单位法定代表人或授权代表人（签字）：</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sz w:val="24"/>
          <w:highlight w:val="none"/>
        </w:rPr>
      </w:pPr>
      <w:r>
        <w:rPr>
          <w:rFonts w:hint="eastAsia" w:ascii="Arial" w:hAnsi="Arial" w:cs="Arial"/>
          <w:sz w:val="24"/>
          <w:highlight w:val="none"/>
        </w:rPr>
        <w:t>竞争比选响应单位法定代表人或授权代表人职务：</w:t>
      </w:r>
      <w:r>
        <w:rPr>
          <w:rFonts w:ascii="Arial" w:hAnsi="Arial" w:cs="Arial"/>
          <w:sz w:val="24"/>
          <w:highlight w:val="none"/>
          <w:u w:val="single"/>
        </w:rPr>
        <w:t xml:space="preserve">             </w:t>
      </w:r>
      <w:r>
        <w:rPr>
          <w:rFonts w:ascii="Arial" w:hAnsi="Arial" w:cs="Arial"/>
          <w:sz w:val="24"/>
          <w:highlight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sz w:val="24"/>
          <w:highlight w:val="none"/>
        </w:rPr>
        <w:t>竞争比选响应单位名称（加盖公章）：</w:t>
      </w:r>
      <w:r>
        <w:rPr>
          <w:rFonts w:ascii="Arial" w:hAnsi="Arial" w:cs="Arial"/>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outlineLvl w:val="0"/>
        <w:rPr>
          <w:b/>
          <w:sz w:val="24"/>
          <w:highlight w:val="none"/>
        </w:rPr>
      </w:pPr>
    </w:p>
    <w:p>
      <w:pPr>
        <w:outlineLvl w:val="0"/>
        <w:rPr>
          <w:b/>
          <w:sz w:val="24"/>
          <w:highlight w:val="none"/>
        </w:rPr>
      </w:pPr>
    </w:p>
    <w:p>
      <w:pPr>
        <w:outlineLvl w:val="0"/>
        <w:rPr>
          <w:b/>
          <w:sz w:val="24"/>
          <w:highlight w:val="none"/>
        </w:rPr>
      </w:pPr>
    </w:p>
    <w:p>
      <w:pPr>
        <w:outlineLvl w:val="0"/>
        <w:rPr>
          <w:b/>
          <w:sz w:val="24"/>
          <w:highlight w:val="none"/>
        </w:rPr>
      </w:pPr>
    </w:p>
    <w:p>
      <w:pPr>
        <w:outlineLvl w:val="0"/>
        <w:rPr>
          <w:b/>
          <w:sz w:val="24"/>
          <w:highlight w:val="none"/>
        </w:rPr>
      </w:pPr>
      <w:bookmarkStart w:id="242" w:name="_Toc5852"/>
      <w:bookmarkStart w:id="243" w:name="_Toc27412"/>
      <w:bookmarkStart w:id="244" w:name="_Toc318"/>
      <w:bookmarkStart w:id="245" w:name="_Toc15924"/>
      <w:r>
        <w:rPr>
          <w:rFonts w:hint="eastAsia"/>
          <w:b/>
          <w:sz w:val="24"/>
          <w:highlight w:val="none"/>
        </w:rPr>
        <w:t>附报价单位法定代表人或授权代表人身份证复印件（正、反面）</w:t>
      </w:r>
      <w:bookmarkEnd w:id="242"/>
      <w:bookmarkEnd w:id="243"/>
      <w:bookmarkEnd w:id="244"/>
      <w:bookmarkEnd w:id="245"/>
    </w:p>
    <w:p>
      <w:pPr>
        <w:outlineLvl w:val="0"/>
        <w:rPr>
          <w:b/>
          <w:sz w:val="24"/>
          <w:highlight w:val="none"/>
        </w:rPr>
      </w:pPr>
    </w:p>
    <w:p>
      <w:pPr>
        <w:rPr>
          <w:rFonts w:ascii="宋体" w:hAnsi="宋体" w:cs="宋体"/>
          <w:snapToGrid w:val="0"/>
          <w:kern w:val="0"/>
          <w:szCs w:val="21"/>
          <w:highlight w:val="none"/>
        </w:rPr>
      </w:pPr>
    </w:p>
    <w:p>
      <w:pPr>
        <w:rPr>
          <w:rFonts w:ascii="宋体" w:hAnsi="宋体" w:cs="宋体"/>
          <w:highlight w:val="none"/>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highlight w:val="none"/>
        </w:rPr>
      </w:pPr>
      <w:bookmarkStart w:id="246" w:name="_Toc11329275"/>
      <w:r>
        <w:rPr>
          <w:rFonts w:hint="eastAsia" w:ascii="宋体" w:hAnsi="宋体" w:cs="宋体"/>
          <w:b/>
          <w:bCs/>
          <w:kern w:val="0"/>
          <w:sz w:val="28"/>
          <w:szCs w:val="32"/>
          <w:highlight w:val="none"/>
        </w:rPr>
        <w:t>二、</w:t>
      </w:r>
      <w:bookmarkEnd w:id="239"/>
      <w:bookmarkEnd w:id="240"/>
      <w:bookmarkEnd w:id="241"/>
      <w:bookmarkEnd w:id="246"/>
      <w:r>
        <w:rPr>
          <w:rFonts w:hint="eastAsia" w:ascii="宋体" w:hAnsi="宋体" w:cs="宋体"/>
          <w:b/>
          <w:bCs/>
          <w:kern w:val="0"/>
          <w:sz w:val="28"/>
          <w:szCs w:val="32"/>
          <w:highlight w:val="none"/>
        </w:rPr>
        <w:t>报价一览表</w:t>
      </w:r>
    </w:p>
    <w:p>
      <w:pPr>
        <w:ind w:left="765"/>
        <w:jc w:val="center"/>
        <w:rPr>
          <w:rFonts w:ascii="宋体" w:hAnsi="宋体" w:cs="宋体"/>
          <w:szCs w:val="21"/>
          <w:highlight w:val="none"/>
        </w:rPr>
      </w:pPr>
    </w:p>
    <w:p>
      <w:pPr>
        <w:pStyle w:val="38"/>
        <w:jc w:val="both"/>
        <w:rPr>
          <w:rFonts w:hAnsi="宋体"/>
          <w:highlight w:val="none"/>
        </w:rPr>
      </w:pPr>
      <w:r>
        <w:rPr>
          <w:rFonts w:hint="eastAsia" w:hAnsi="宋体"/>
          <w:highlight w:val="none"/>
        </w:rPr>
        <w:t>重庆首讯科技股份有限公司：</w:t>
      </w:r>
    </w:p>
    <w:p>
      <w:pPr>
        <w:spacing w:line="360" w:lineRule="auto"/>
        <w:ind w:firstLine="480" w:firstLineChars="200"/>
        <w:jc w:val="left"/>
        <w:rPr>
          <w:rFonts w:ascii="宋体" w:hAnsi="宋体"/>
          <w:b/>
          <w:color w:val="000000"/>
          <w:sz w:val="24"/>
          <w:highlight w:val="none"/>
        </w:rPr>
      </w:pPr>
      <w:r>
        <w:rPr>
          <w:rFonts w:hint="eastAsia" w:ascii="宋体" w:hAnsi="宋体"/>
          <w:color w:val="000000"/>
          <w:sz w:val="24"/>
          <w:highlight w:val="none"/>
        </w:rPr>
        <w:t>在研究了竞争比选文件中所有文件后，我司对</w:t>
      </w:r>
      <w:r>
        <w:rPr>
          <w:rFonts w:hint="eastAsia" w:ascii="宋体" w:hAnsi="宋体"/>
          <w:color w:val="000000"/>
          <w:sz w:val="24"/>
          <w:highlight w:val="none"/>
          <w:u w:val="single"/>
          <w:lang w:eastAsia="zh-CN"/>
        </w:rPr>
        <w:t>首讯公司2021年服务器维护养护工程（第二次）</w:t>
      </w:r>
      <w:r>
        <w:rPr>
          <w:rFonts w:hint="eastAsia" w:ascii="宋体" w:hAnsi="宋体"/>
          <w:color w:val="000000"/>
          <w:sz w:val="24"/>
          <w:highlight w:val="none"/>
          <w:u w:val="single"/>
        </w:rPr>
        <w:t xml:space="preserve"> </w:t>
      </w:r>
      <w:r>
        <w:rPr>
          <w:rFonts w:hint="eastAsia" w:ascii="宋体" w:hAnsi="宋体"/>
          <w:color w:val="000000"/>
          <w:sz w:val="24"/>
          <w:highlight w:val="none"/>
        </w:rPr>
        <w:t>竞</w:t>
      </w:r>
      <w:r>
        <w:rPr>
          <w:rFonts w:hint="eastAsia" w:ascii="Arial" w:hAnsi="Arial" w:cs="Arial"/>
          <w:color w:val="000000"/>
          <w:sz w:val="24"/>
          <w:highlight w:val="none"/>
        </w:rPr>
        <w:t>争比选响应</w:t>
      </w:r>
      <w:r>
        <w:rPr>
          <w:rFonts w:hint="eastAsia" w:ascii="宋体" w:hAnsi="宋体"/>
          <w:color w:val="000000"/>
          <w:sz w:val="24"/>
          <w:highlight w:val="none"/>
        </w:rPr>
        <w:t>报价如下：</w:t>
      </w:r>
      <w:r>
        <w:rPr>
          <w:rFonts w:hint="eastAsia" w:ascii="宋体" w:hAnsi="宋体"/>
          <w:b/>
          <w:color w:val="000000"/>
          <w:sz w:val="24"/>
          <w:highlight w:val="none"/>
        </w:rPr>
        <w:t xml:space="preserve"> </w:t>
      </w:r>
    </w:p>
    <w:p>
      <w:pPr>
        <w:spacing w:line="360" w:lineRule="auto"/>
        <w:ind w:firstLine="480" w:firstLineChars="200"/>
        <w:jc w:val="left"/>
        <w:rPr>
          <w:rFonts w:hint="eastAsia" w:ascii="宋体" w:hAnsi="宋体"/>
          <w:color w:val="000000"/>
          <w:sz w:val="24"/>
          <w:highlight w:val="none"/>
        </w:rPr>
      </w:pPr>
      <w:r>
        <w:rPr>
          <w:rFonts w:hint="eastAsia" w:ascii="宋体" w:hAnsi="宋体"/>
          <w:color w:val="000000"/>
          <w:sz w:val="24"/>
          <w:highlight w:val="none"/>
          <w:lang w:val="en-US" w:eastAsia="zh-CN"/>
        </w:rPr>
        <w:t>以表格形式进行报价，详见附件“工程量清单”。</w:t>
      </w:r>
      <w:r>
        <w:rPr>
          <w:rFonts w:hint="eastAsia" w:ascii="宋体" w:hAnsi="宋体"/>
          <w:color w:val="000000"/>
          <w:sz w:val="24"/>
          <w:highlight w:val="none"/>
        </w:rPr>
        <w:t xml:space="preserve"> </w:t>
      </w:r>
    </w:p>
    <w:p>
      <w:pPr>
        <w:spacing w:line="400" w:lineRule="exact"/>
        <w:rPr>
          <w:rFonts w:ascii="宋体" w:hAnsi="宋体" w:cs="宋体"/>
          <w:kern w:val="0"/>
          <w:szCs w:val="21"/>
          <w:highlight w:val="none"/>
        </w:rPr>
      </w:pPr>
    </w:p>
    <w:p>
      <w:pPr>
        <w:pStyle w:val="4"/>
        <w:spacing w:before="0" w:after="0" w:line="360" w:lineRule="auto"/>
        <w:jc w:val="center"/>
        <w:rPr>
          <w:rFonts w:hint="eastAsia" w:ascii="宋体" w:hAnsi="宋体" w:eastAsia="宋体" w:cs="宋体"/>
          <w:sz w:val="28"/>
          <w:highlight w:val="none"/>
        </w:rPr>
      </w:pPr>
      <w:bookmarkStart w:id="247" w:name="_Toc447827058"/>
      <w:bookmarkStart w:id="248" w:name="_Toc513633971"/>
      <w:bookmarkStart w:id="249" w:name="_Toc246997112"/>
      <w:bookmarkStart w:id="250" w:name="_Toc179632823"/>
      <w:bookmarkStart w:id="251" w:name="_Toc144974871"/>
      <w:bookmarkStart w:id="252" w:name="_Toc11329278"/>
      <w:bookmarkStart w:id="253" w:name="_Toc152042592"/>
      <w:bookmarkStart w:id="254" w:name="_Toc247085887"/>
      <w:bookmarkStart w:id="255" w:name="_Toc503951050"/>
      <w:bookmarkStart w:id="256" w:name="_Toc246996369"/>
      <w:bookmarkStart w:id="257" w:name="_Toc152045803"/>
      <w:r>
        <w:rPr>
          <w:rFonts w:hint="eastAsia" w:ascii="宋体" w:hAnsi="宋体" w:eastAsia="宋体" w:cs="宋体"/>
          <w:sz w:val="28"/>
          <w:highlight w:val="none"/>
          <w:lang w:val="en-US" w:eastAsia="zh-CN"/>
        </w:rPr>
        <w:t>三、</w:t>
      </w:r>
      <w:r>
        <w:rPr>
          <w:rFonts w:hint="eastAsia" w:ascii="宋体" w:hAnsi="宋体" w:eastAsia="宋体" w:cs="宋体"/>
          <w:sz w:val="28"/>
          <w:highlight w:val="none"/>
        </w:rPr>
        <w:t>公司资质材料</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四、</w:t>
      </w:r>
      <w:r>
        <w:rPr>
          <w:rFonts w:hint="eastAsia" w:ascii="宋体" w:hAnsi="宋体" w:eastAsia="宋体" w:cs="宋体"/>
          <w:sz w:val="28"/>
          <w:highlight w:val="none"/>
        </w:rPr>
        <w:t>人员配置完整性</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五、</w:t>
      </w:r>
      <w:r>
        <w:rPr>
          <w:rFonts w:hint="eastAsia" w:ascii="宋体" w:hAnsi="宋体" w:eastAsia="宋体" w:cs="宋体"/>
          <w:sz w:val="28"/>
          <w:highlight w:val="none"/>
        </w:rPr>
        <w:t>维护设备及器具的配备包括车辆配备</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六、</w:t>
      </w:r>
      <w:r>
        <w:rPr>
          <w:rFonts w:hint="eastAsia" w:ascii="宋体" w:hAnsi="宋体" w:eastAsia="宋体" w:cs="宋体"/>
          <w:sz w:val="28"/>
          <w:highlight w:val="none"/>
        </w:rPr>
        <w:t>维护工作的计划性和完整性</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七、</w:t>
      </w:r>
      <w:r>
        <w:rPr>
          <w:rFonts w:hint="eastAsia" w:ascii="宋体" w:hAnsi="宋体" w:eastAsia="宋体" w:cs="宋体"/>
          <w:sz w:val="28"/>
          <w:highlight w:val="none"/>
        </w:rPr>
        <w:t>维护现场安全管理措施</w:t>
      </w: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lang w:val="en-US" w:eastAsia="zh-CN"/>
        </w:rPr>
        <w:t>八、</w:t>
      </w:r>
      <w:r>
        <w:rPr>
          <w:rFonts w:hint="eastAsia" w:ascii="宋体" w:hAnsi="宋体" w:eastAsia="宋体" w:cs="宋体"/>
          <w:sz w:val="28"/>
          <w:highlight w:val="none"/>
        </w:rPr>
        <w:t>紧急事件响应措施及协调能力</w:t>
      </w:r>
      <w:bookmarkEnd w:id="247"/>
      <w:bookmarkEnd w:id="248"/>
      <w:bookmarkEnd w:id="249"/>
      <w:bookmarkEnd w:id="250"/>
      <w:bookmarkEnd w:id="251"/>
      <w:bookmarkEnd w:id="252"/>
      <w:bookmarkEnd w:id="253"/>
      <w:bookmarkEnd w:id="254"/>
      <w:bookmarkEnd w:id="255"/>
      <w:bookmarkEnd w:id="256"/>
      <w:bookmarkEnd w:id="257"/>
      <w:bookmarkStart w:id="258" w:name="_Toc503951055"/>
      <w:bookmarkStart w:id="259" w:name="_Toc447827068"/>
      <w:bookmarkStart w:id="260" w:name="_Toc513633973"/>
      <w:bookmarkStart w:id="261" w:name="_Toc29559"/>
      <w:bookmarkStart w:id="262" w:name="_Toc4378"/>
      <w:bookmarkStart w:id="263" w:name="_Toc11329281"/>
      <w:bookmarkStart w:id="264" w:name="_Toc11243"/>
      <w:bookmarkStart w:id="265" w:name="_Toc11672"/>
    </w:p>
    <w:p>
      <w:pPr>
        <w:pStyle w:val="4"/>
        <w:spacing w:before="0" w:after="0" w:line="360" w:lineRule="auto"/>
        <w:jc w:val="center"/>
        <w:rPr>
          <w:rFonts w:ascii="宋体" w:hAnsi="宋体" w:eastAsia="宋体" w:cs="宋体"/>
          <w:sz w:val="28"/>
          <w:highlight w:val="none"/>
        </w:rPr>
      </w:pPr>
      <w:r>
        <w:rPr>
          <w:rFonts w:hint="eastAsia" w:ascii="宋体" w:hAnsi="宋体" w:eastAsia="宋体" w:cs="宋体"/>
          <w:sz w:val="28"/>
          <w:highlight w:val="none"/>
          <w:lang w:val="en-US" w:eastAsia="zh-CN"/>
        </w:rPr>
        <w:t>九</w:t>
      </w:r>
      <w:r>
        <w:rPr>
          <w:rFonts w:hint="eastAsia" w:ascii="宋体" w:hAnsi="宋体" w:eastAsia="宋体" w:cs="宋体"/>
          <w:sz w:val="28"/>
          <w:highlight w:val="none"/>
        </w:rPr>
        <w:t>、</w:t>
      </w:r>
      <w:bookmarkEnd w:id="258"/>
      <w:bookmarkEnd w:id="259"/>
      <w:bookmarkEnd w:id="260"/>
      <w:r>
        <w:rPr>
          <w:rFonts w:hint="eastAsia" w:ascii="宋体" w:hAnsi="宋体" w:eastAsia="宋体" w:cs="宋体"/>
          <w:sz w:val="28"/>
          <w:highlight w:val="none"/>
        </w:rPr>
        <w:t>报价人须知前附表规定的其他材料</w:t>
      </w:r>
      <w:bookmarkEnd w:id="261"/>
      <w:bookmarkEnd w:id="262"/>
      <w:bookmarkEnd w:id="263"/>
      <w:bookmarkEnd w:id="264"/>
      <w:bookmarkEnd w:id="265"/>
    </w:p>
    <w:p>
      <w:pPr>
        <w:pStyle w:val="5"/>
        <w:jc w:val="center"/>
        <w:rPr>
          <w:rFonts w:ascii="宋体" w:hAnsi="宋体" w:cs="宋体"/>
          <w:sz w:val="28"/>
          <w:highlight w:val="none"/>
        </w:rPr>
      </w:pPr>
      <w:bookmarkStart w:id="266" w:name="bookmark81"/>
      <w:bookmarkStart w:id="267" w:name="_Toc503951058"/>
      <w:bookmarkStart w:id="268" w:name="_Toc513633974"/>
      <w:r>
        <w:rPr>
          <w:rFonts w:hint="eastAsia" w:ascii="宋体" w:hAnsi="宋体" w:cs="宋体"/>
          <w:sz w:val="28"/>
          <w:highlight w:val="none"/>
        </w:rPr>
        <w:t>（一）</w:t>
      </w:r>
      <w:bookmarkStart w:id="269" w:name="_Toc507681488"/>
      <w:bookmarkStart w:id="270" w:name="_Toc504639215"/>
      <w:bookmarkStart w:id="271" w:name="_Toc507681700"/>
      <w:bookmarkEnd w:id="266"/>
      <w:r>
        <w:rPr>
          <w:rFonts w:hint="eastAsia" w:ascii="宋体" w:hAnsi="宋体" w:cs="宋体"/>
          <w:sz w:val="28"/>
          <w:highlight w:val="none"/>
        </w:rPr>
        <w:t>报价人自行承诺部分</w:t>
      </w:r>
      <w:bookmarkEnd w:id="269"/>
      <w:bookmarkEnd w:id="270"/>
      <w:bookmarkEnd w:id="271"/>
    </w:p>
    <w:p>
      <w:pPr>
        <w:spacing w:line="360" w:lineRule="auto"/>
        <w:ind w:firstLine="420" w:firstLineChars="200"/>
        <w:jc w:val="left"/>
        <w:rPr>
          <w:rFonts w:ascii="宋体" w:hAnsi="宋体" w:cs="宋体"/>
          <w:kern w:val="0"/>
          <w:szCs w:val="21"/>
          <w:highlight w:val="none"/>
        </w:rPr>
      </w:pPr>
      <w:r>
        <w:rPr>
          <w:rFonts w:hint="eastAsia" w:ascii="宋体" w:hAnsi="宋体" w:cs="宋体"/>
          <w:b/>
          <w:bCs/>
          <w:kern w:val="0"/>
          <w:szCs w:val="21"/>
          <w:highlight w:val="none"/>
        </w:rPr>
        <w:t>比选文件中要求报价人自行承诺的，由报价人按比选文件要求内容承诺，格式自拟。</w:t>
      </w:r>
    </w:p>
    <w:p>
      <w:pPr>
        <w:pStyle w:val="5"/>
        <w:jc w:val="center"/>
        <w:rPr>
          <w:rFonts w:ascii="宋体" w:hAnsi="宋体" w:cs="宋体"/>
          <w:sz w:val="28"/>
          <w:highlight w:val="none"/>
        </w:rPr>
      </w:pPr>
      <w:r>
        <w:rPr>
          <w:rFonts w:hint="eastAsia" w:ascii="宋体" w:hAnsi="宋体" w:cs="宋体"/>
          <w:sz w:val="28"/>
          <w:highlight w:val="none"/>
        </w:rPr>
        <w:t>（二）其他材料（如有）</w:t>
      </w:r>
    </w:p>
    <w:p>
      <w:pPr>
        <w:outlineLvl w:val="0"/>
        <w:rPr>
          <w:b/>
          <w:sz w:val="24"/>
          <w:highlight w:val="none"/>
        </w:rPr>
      </w:pPr>
    </w:p>
    <w:p>
      <w:pPr>
        <w:pStyle w:val="5"/>
        <w:jc w:val="center"/>
        <w:rPr>
          <w:highlight w:val="none"/>
        </w:rPr>
      </w:pPr>
    </w:p>
    <w:p>
      <w:pPr>
        <w:rPr>
          <w:rFonts w:ascii="宋体" w:hAnsi="宋体" w:cs="宋体"/>
          <w:highlight w:val="none"/>
        </w:rPr>
      </w:pPr>
    </w:p>
    <w:p>
      <w:pPr>
        <w:pStyle w:val="2"/>
        <w:rPr>
          <w:highlight w:val="none"/>
        </w:rPr>
      </w:pPr>
    </w:p>
    <w:p>
      <w:pPr>
        <w:rPr>
          <w:rFonts w:ascii="宋体" w:hAnsi="宋体" w:cs="宋体"/>
          <w:highlight w:val="none"/>
        </w:rPr>
      </w:pPr>
    </w:p>
    <w:p>
      <w:pPr>
        <w:rPr>
          <w:rFonts w:ascii="宋体" w:hAnsi="宋体" w:cs="宋体"/>
          <w:highlight w:val="none"/>
        </w:rPr>
      </w:pPr>
    </w:p>
    <w:bookmarkEnd w:id="267"/>
    <w:bookmarkEnd w:id="268"/>
    <w:p>
      <w:pPr>
        <w:pStyle w:val="2"/>
        <w:rPr>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B04C8548-EBEC-4083-AF7F-09FA0A8462A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embedRegular r:id="rId2" w:fontKey="{C3DAA017-A5E0-4B33-8EB8-2FFA41C5076E}"/>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2"/>
      </w:rPr>
    </w:pPr>
    <w:r>
      <w:fldChar w:fldCharType="begin"/>
    </w:r>
    <w:r>
      <w:rPr>
        <w:rStyle w:val="42"/>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17</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6</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2"/>
      </w:rPr>
    </w:pPr>
    <w:r>
      <w:fldChar w:fldCharType="begin"/>
    </w:r>
    <w:r>
      <w:rPr>
        <w:rStyle w:val="42"/>
      </w:rPr>
      <w:instrText xml:space="preserve">PAGE  </w:instrText>
    </w:r>
    <w:r>
      <w:fldChar w:fldCharType="separate"/>
    </w:r>
    <w:r>
      <w:rPr>
        <w:rStyle w:val="42"/>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2"/>
      </w:rPr>
    </w:pPr>
    <w:r>
      <w:fldChar w:fldCharType="begin"/>
    </w:r>
    <w:r>
      <w:rPr>
        <w:rStyle w:val="42"/>
      </w:rPr>
      <w:instrText xml:space="preserve">PAGE  </w:instrText>
    </w:r>
    <w:r>
      <w:fldChar w:fldCharType="separate"/>
    </w:r>
    <w:r>
      <w:rPr>
        <w:rStyle w:val="42"/>
      </w:rPr>
      <w:t>19</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7"/>
                            <w:rPr>
                              <w:rStyle w:val="42"/>
                            </w:rPr>
                          </w:pPr>
                          <w:r>
                            <w:fldChar w:fldCharType="begin"/>
                          </w:r>
                          <w:r>
                            <w:rPr>
                              <w:rStyle w:val="42"/>
                            </w:rPr>
                            <w:instrText xml:space="preserve">PAGE  </w:instrText>
                          </w:r>
                          <w:r>
                            <w:fldChar w:fldCharType="separate"/>
                          </w:r>
                          <w:r>
                            <w:rPr>
                              <w:rStyle w:val="42"/>
                            </w:rPr>
                            <w:t>23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F&#10;ctq9twEAAFQDAAAOAAAAAAAAAAEAIAAAAB4BAABkcnMvZTJvRG9jLnhtbFBLBQYAAAAABgAGAFkB&#10;AABHBQAAAAA=&#10;">
              <v:fill on="f" focussize="0,0"/>
              <v:stroke on="f"/>
              <v:imagedata o:title=""/>
              <o:lock v:ext="edit" aspectratio="f"/>
              <v:textbox inset="0mm,0mm,0mm,0mm" style="mso-fit-shape-to-text:t;">
                <w:txbxContent>
                  <w:p>
                    <w:pPr>
                      <w:pStyle w:val="27"/>
                      <w:rPr>
                        <w:rStyle w:val="42"/>
                      </w:rPr>
                    </w:pPr>
                    <w:r>
                      <w:fldChar w:fldCharType="begin"/>
                    </w:r>
                    <w:r>
                      <w:rPr>
                        <w:rStyle w:val="42"/>
                      </w:rPr>
                      <w:instrText xml:space="preserve">PAGE  </w:instrText>
                    </w:r>
                    <w:r>
                      <w:fldChar w:fldCharType="separate"/>
                    </w:r>
                    <w:r>
                      <w:rPr>
                        <w:rStyle w:val="42"/>
                      </w:rPr>
                      <w:t>23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60F94DB9"/>
    <w:multiLevelType w:val="singleLevel"/>
    <w:tmpl w:val="60F94DB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val="1"/>
  <w:embedTrueTypeFonts/>
  <w:saveSubsetFonts/>
  <w:doNotTrackMoves/>
  <w:documentProtection w:enforcement="0"/>
  <w:defaultTabStop w:val="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0E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A7552"/>
    <w:rsid w:val="003B5115"/>
    <w:rsid w:val="003B5AAE"/>
    <w:rsid w:val="003B696A"/>
    <w:rsid w:val="003C18C8"/>
    <w:rsid w:val="003C28DD"/>
    <w:rsid w:val="003C4C34"/>
    <w:rsid w:val="003C5746"/>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6B5B"/>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93"/>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554E2"/>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9E0ABC"/>
    <w:rsid w:val="02A800C5"/>
    <w:rsid w:val="02C540E4"/>
    <w:rsid w:val="037D0CD2"/>
    <w:rsid w:val="038B3366"/>
    <w:rsid w:val="03981B5E"/>
    <w:rsid w:val="03996EAD"/>
    <w:rsid w:val="03A90BFB"/>
    <w:rsid w:val="03F60BFA"/>
    <w:rsid w:val="04023CC8"/>
    <w:rsid w:val="04245286"/>
    <w:rsid w:val="042674F4"/>
    <w:rsid w:val="043E0ED6"/>
    <w:rsid w:val="04453EF2"/>
    <w:rsid w:val="047B65AD"/>
    <w:rsid w:val="04B81939"/>
    <w:rsid w:val="04C12ED8"/>
    <w:rsid w:val="04DC5749"/>
    <w:rsid w:val="04E26FED"/>
    <w:rsid w:val="04FD6633"/>
    <w:rsid w:val="05783096"/>
    <w:rsid w:val="05871A0A"/>
    <w:rsid w:val="05A70EA9"/>
    <w:rsid w:val="05D55D36"/>
    <w:rsid w:val="060C2525"/>
    <w:rsid w:val="062756FD"/>
    <w:rsid w:val="067C53E7"/>
    <w:rsid w:val="06820F5E"/>
    <w:rsid w:val="06AE2ABA"/>
    <w:rsid w:val="06DD02BB"/>
    <w:rsid w:val="06E71F51"/>
    <w:rsid w:val="07050666"/>
    <w:rsid w:val="07362674"/>
    <w:rsid w:val="073B54B2"/>
    <w:rsid w:val="0754538B"/>
    <w:rsid w:val="077B3234"/>
    <w:rsid w:val="07AE300B"/>
    <w:rsid w:val="081748AE"/>
    <w:rsid w:val="083234E8"/>
    <w:rsid w:val="0834530C"/>
    <w:rsid w:val="08635851"/>
    <w:rsid w:val="08C2359B"/>
    <w:rsid w:val="09041814"/>
    <w:rsid w:val="092D7BDC"/>
    <w:rsid w:val="09332D2B"/>
    <w:rsid w:val="093E2D64"/>
    <w:rsid w:val="095E66ED"/>
    <w:rsid w:val="097C4257"/>
    <w:rsid w:val="098B1DA7"/>
    <w:rsid w:val="09A31A61"/>
    <w:rsid w:val="09B81915"/>
    <w:rsid w:val="09DE1094"/>
    <w:rsid w:val="09E2475B"/>
    <w:rsid w:val="09EB5BEE"/>
    <w:rsid w:val="0A3F34B7"/>
    <w:rsid w:val="0A4B11BE"/>
    <w:rsid w:val="0A8E5B8D"/>
    <w:rsid w:val="0AA240FA"/>
    <w:rsid w:val="0AAC0CBB"/>
    <w:rsid w:val="0AD84BD3"/>
    <w:rsid w:val="0B1061C6"/>
    <w:rsid w:val="0B2B08D5"/>
    <w:rsid w:val="0BB825ED"/>
    <w:rsid w:val="0BC0647C"/>
    <w:rsid w:val="0BF26817"/>
    <w:rsid w:val="0C22464A"/>
    <w:rsid w:val="0C623EAC"/>
    <w:rsid w:val="0C8924EB"/>
    <w:rsid w:val="0CAD24AF"/>
    <w:rsid w:val="0D364FF2"/>
    <w:rsid w:val="0D6603CE"/>
    <w:rsid w:val="0D662EE5"/>
    <w:rsid w:val="0D9339BE"/>
    <w:rsid w:val="0D9F0DC4"/>
    <w:rsid w:val="0DDE695A"/>
    <w:rsid w:val="0E2D072E"/>
    <w:rsid w:val="0E3B295D"/>
    <w:rsid w:val="0E47249B"/>
    <w:rsid w:val="0E551882"/>
    <w:rsid w:val="0EDB5692"/>
    <w:rsid w:val="0F1E6DF8"/>
    <w:rsid w:val="0F4C19DA"/>
    <w:rsid w:val="0F4C7D05"/>
    <w:rsid w:val="0F5F17BD"/>
    <w:rsid w:val="0F90531D"/>
    <w:rsid w:val="0FAD64B5"/>
    <w:rsid w:val="0FDD6770"/>
    <w:rsid w:val="0FEB1B4B"/>
    <w:rsid w:val="0FFF5930"/>
    <w:rsid w:val="10A265EF"/>
    <w:rsid w:val="11243C55"/>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3D65F2A"/>
    <w:rsid w:val="13E85F18"/>
    <w:rsid w:val="1400440E"/>
    <w:rsid w:val="144729D8"/>
    <w:rsid w:val="14485853"/>
    <w:rsid w:val="14526272"/>
    <w:rsid w:val="14AB614D"/>
    <w:rsid w:val="15507C7E"/>
    <w:rsid w:val="15664AEF"/>
    <w:rsid w:val="158E23E1"/>
    <w:rsid w:val="159D7EA6"/>
    <w:rsid w:val="159F1BF9"/>
    <w:rsid w:val="15F870C5"/>
    <w:rsid w:val="160B0227"/>
    <w:rsid w:val="16B24103"/>
    <w:rsid w:val="17081A7A"/>
    <w:rsid w:val="17292C0C"/>
    <w:rsid w:val="176F50FE"/>
    <w:rsid w:val="17DD0B49"/>
    <w:rsid w:val="17E662DC"/>
    <w:rsid w:val="181C1400"/>
    <w:rsid w:val="18223BBF"/>
    <w:rsid w:val="18485FFF"/>
    <w:rsid w:val="18D435BC"/>
    <w:rsid w:val="19A931F3"/>
    <w:rsid w:val="19BA69A5"/>
    <w:rsid w:val="19DF6D3F"/>
    <w:rsid w:val="19E24459"/>
    <w:rsid w:val="19FB72C6"/>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3E1933"/>
    <w:rsid w:val="1F6207D0"/>
    <w:rsid w:val="1FC1272B"/>
    <w:rsid w:val="1FE1627D"/>
    <w:rsid w:val="1FEA603B"/>
    <w:rsid w:val="20293E2F"/>
    <w:rsid w:val="20361EEB"/>
    <w:rsid w:val="206E3E8E"/>
    <w:rsid w:val="208247DE"/>
    <w:rsid w:val="2093114F"/>
    <w:rsid w:val="209B57AA"/>
    <w:rsid w:val="20A87B06"/>
    <w:rsid w:val="20D83D6E"/>
    <w:rsid w:val="20EA6084"/>
    <w:rsid w:val="20F01139"/>
    <w:rsid w:val="20F1461D"/>
    <w:rsid w:val="210B66B2"/>
    <w:rsid w:val="212B522B"/>
    <w:rsid w:val="21736537"/>
    <w:rsid w:val="217E02FE"/>
    <w:rsid w:val="21977807"/>
    <w:rsid w:val="219D77BC"/>
    <w:rsid w:val="21B45F90"/>
    <w:rsid w:val="220B61E0"/>
    <w:rsid w:val="226827C0"/>
    <w:rsid w:val="227A11F2"/>
    <w:rsid w:val="227C6EFF"/>
    <w:rsid w:val="22942795"/>
    <w:rsid w:val="22A10D06"/>
    <w:rsid w:val="22BD34B1"/>
    <w:rsid w:val="22DA6544"/>
    <w:rsid w:val="22E46F4A"/>
    <w:rsid w:val="22F20159"/>
    <w:rsid w:val="230329AD"/>
    <w:rsid w:val="23486890"/>
    <w:rsid w:val="23AB4CDF"/>
    <w:rsid w:val="23C37A75"/>
    <w:rsid w:val="23D964C1"/>
    <w:rsid w:val="23EB6BB8"/>
    <w:rsid w:val="24436391"/>
    <w:rsid w:val="24AD6D9A"/>
    <w:rsid w:val="254A136E"/>
    <w:rsid w:val="26035D6B"/>
    <w:rsid w:val="26154215"/>
    <w:rsid w:val="26666FDC"/>
    <w:rsid w:val="26B267E7"/>
    <w:rsid w:val="26C80CCF"/>
    <w:rsid w:val="26F65310"/>
    <w:rsid w:val="27352534"/>
    <w:rsid w:val="27357F9F"/>
    <w:rsid w:val="27475D93"/>
    <w:rsid w:val="27EF1935"/>
    <w:rsid w:val="280A1B75"/>
    <w:rsid w:val="283962F8"/>
    <w:rsid w:val="28532268"/>
    <w:rsid w:val="2864662B"/>
    <w:rsid w:val="290212C1"/>
    <w:rsid w:val="29403128"/>
    <w:rsid w:val="29656DCE"/>
    <w:rsid w:val="298B4B23"/>
    <w:rsid w:val="29D875FE"/>
    <w:rsid w:val="2A194E5D"/>
    <w:rsid w:val="2A501F4B"/>
    <w:rsid w:val="2A594BC2"/>
    <w:rsid w:val="2AA90FA0"/>
    <w:rsid w:val="2AB53836"/>
    <w:rsid w:val="2B552F60"/>
    <w:rsid w:val="2BB367B9"/>
    <w:rsid w:val="2C184D47"/>
    <w:rsid w:val="2C39227C"/>
    <w:rsid w:val="2C796A89"/>
    <w:rsid w:val="2CBD3A96"/>
    <w:rsid w:val="2CC74339"/>
    <w:rsid w:val="2CCE1414"/>
    <w:rsid w:val="2CDD55E0"/>
    <w:rsid w:val="2CF93ABF"/>
    <w:rsid w:val="2D1E27A3"/>
    <w:rsid w:val="2D766528"/>
    <w:rsid w:val="2E6A704D"/>
    <w:rsid w:val="2E8A6255"/>
    <w:rsid w:val="2F016A39"/>
    <w:rsid w:val="2F0B1048"/>
    <w:rsid w:val="2F141AAA"/>
    <w:rsid w:val="2F29382C"/>
    <w:rsid w:val="2F6A0551"/>
    <w:rsid w:val="2FEE7345"/>
    <w:rsid w:val="2FF23F99"/>
    <w:rsid w:val="30236367"/>
    <w:rsid w:val="302664D8"/>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3796646"/>
    <w:rsid w:val="342645AD"/>
    <w:rsid w:val="34335C8F"/>
    <w:rsid w:val="345F1D3B"/>
    <w:rsid w:val="34617CD8"/>
    <w:rsid w:val="34731A2E"/>
    <w:rsid w:val="34A61339"/>
    <w:rsid w:val="34F3793E"/>
    <w:rsid w:val="35185DCE"/>
    <w:rsid w:val="35574E9C"/>
    <w:rsid w:val="35712E34"/>
    <w:rsid w:val="357B7FE2"/>
    <w:rsid w:val="35ED793B"/>
    <w:rsid w:val="362A79E7"/>
    <w:rsid w:val="366C082D"/>
    <w:rsid w:val="36C90DD1"/>
    <w:rsid w:val="3703397C"/>
    <w:rsid w:val="37704489"/>
    <w:rsid w:val="37925427"/>
    <w:rsid w:val="379B0B5D"/>
    <w:rsid w:val="37A55DCC"/>
    <w:rsid w:val="37B86AE0"/>
    <w:rsid w:val="37CA04FF"/>
    <w:rsid w:val="394C68A5"/>
    <w:rsid w:val="395E479A"/>
    <w:rsid w:val="39A36C2D"/>
    <w:rsid w:val="39AA29B9"/>
    <w:rsid w:val="39C9079C"/>
    <w:rsid w:val="39E71AEC"/>
    <w:rsid w:val="39F60058"/>
    <w:rsid w:val="3A104089"/>
    <w:rsid w:val="3A392A60"/>
    <w:rsid w:val="3AB8426E"/>
    <w:rsid w:val="3ACF765C"/>
    <w:rsid w:val="3AD278CD"/>
    <w:rsid w:val="3AFA4BE5"/>
    <w:rsid w:val="3B144639"/>
    <w:rsid w:val="3B2A44B8"/>
    <w:rsid w:val="3B2B6476"/>
    <w:rsid w:val="3BBC038E"/>
    <w:rsid w:val="3C265339"/>
    <w:rsid w:val="3C852047"/>
    <w:rsid w:val="3C9C2062"/>
    <w:rsid w:val="3CA13116"/>
    <w:rsid w:val="3CA925AE"/>
    <w:rsid w:val="3CEF044F"/>
    <w:rsid w:val="3CF877AB"/>
    <w:rsid w:val="3D306CB2"/>
    <w:rsid w:val="3D667959"/>
    <w:rsid w:val="3D763755"/>
    <w:rsid w:val="3D8230F2"/>
    <w:rsid w:val="3D886E2C"/>
    <w:rsid w:val="3DD83D60"/>
    <w:rsid w:val="3E044CAE"/>
    <w:rsid w:val="3EAD4174"/>
    <w:rsid w:val="3EAD7F9C"/>
    <w:rsid w:val="3EB32892"/>
    <w:rsid w:val="3EBC3336"/>
    <w:rsid w:val="3F0518A1"/>
    <w:rsid w:val="3F064AE9"/>
    <w:rsid w:val="3F3B0C43"/>
    <w:rsid w:val="3F4C62B0"/>
    <w:rsid w:val="3F5160C2"/>
    <w:rsid w:val="3F722D17"/>
    <w:rsid w:val="402A34B8"/>
    <w:rsid w:val="40360CD1"/>
    <w:rsid w:val="40613E30"/>
    <w:rsid w:val="40736573"/>
    <w:rsid w:val="409B4A07"/>
    <w:rsid w:val="40E371F6"/>
    <w:rsid w:val="40F66678"/>
    <w:rsid w:val="4120577A"/>
    <w:rsid w:val="41667D42"/>
    <w:rsid w:val="4167053C"/>
    <w:rsid w:val="41FD121E"/>
    <w:rsid w:val="421A7627"/>
    <w:rsid w:val="4233112B"/>
    <w:rsid w:val="4317144C"/>
    <w:rsid w:val="43702851"/>
    <w:rsid w:val="43EC435C"/>
    <w:rsid w:val="4424604A"/>
    <w:rsid w:val="445014AB"/>
    <w:rsid w:val="44C350AD"/>
    <w:rsid w:val="454F0B76"/>
    <w:rsid w:val="456A38D2"/>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725A8E"/>
    <w:rsid w:val="49BA4546"/>
    <w:rsid w:val="49DD73AE"/>
    <w:rsid w:val="49F95BD6"/>
    <w:rsid w:val="4A103B19"/>
    <w:rsid w:val="4A2D058F"/>
    <w:rsid w:val="4A69624B"/>
    <w:rsid w:val="4AD703A4"/>
    <w:rsid w:val="4B86504E"/>
    <w:rsid w:val="4BD07B58"/>
    <w:rsid w:val="4C3176AB"/>
    <w:rsid w:val="4C6E278E"/>
    <w:rsid w:val="4CE45D79"/>
    <w:rsid w:val="4CF73C3A"/>
    <w:rsid w:val="4D2C6BF0"/>
    <w:rsid w:val="4D7251FF"/>
    <w:rsid w:val="4E472C92"/>
    <w:rsid w:val="4E4F2D22"/>
    <w:rsid w:val="4E9D5C2D"/>
    <w:rsid w:val="4EBA57C1"/>
    <w:rsid w:val="4EEF6CFA"/>
    <w:rsid w:val="4FA91AAC"/>
    <w:rsid w:val="4FBD0FF5"/>
    <w:rsid w:val="4FC854D7"/>
    <w:rsid w:val="50142DE1"/>
    <w:rsid w:val="5015687B"/>
    <w:rsid w:val="501926CA"/>
    <w:rsid w:val="503C4923"/>
    <w:rsid w:val="505E3D68"/>
    <w:rsid w:val="5094143C"/>
    <w:rsid w:val="509C7E88"/>
    <w:rsid w:val="516A440A"/>
    <w:rsid w:val="51791341"/>
    <w:rsid w:val="51A73F9B"/>
    <w:rsid w:val="51C42E16"/>
    <w:rsid w:val="5238115B"/>
    <w:rsid w:val="524B7FB2"/>
    <w:rsid w:val="525351F4"/>
    <w:rsid w:val="525A6FBC"/>
    <w:rsid w:val="526C0997"/>
    <w:rsid w:val="533D33D1"/>
    <w:rsid w:val="53670B33"/>
    <w:rsid w:val="53775B6A"/>
    <w:rsid w:val="53925932"/>
    <w:rsid w:val="53D43855"/>
    <w:rsid w:val="53EE1101"/>
    <w:rsid w:val="53FC4E8E"/>
    <w:rsid w:val="541717DC"/>
    <w:rsid w:val="545E046B"/>
    <w:rsid w:val="546A6D9B"/>
    <w:rsid w:val="549562E9"/>
    <w:rsid w:val="553C46BA"/>
    <w:rsid w:val="55494082"/>
    <w:rsid w:val="557D5B60"/>
    <w:rsid w:val="55834A19"/>
    <w:rsid w:val="55F526C6"/>
    <w:rsid w:val="56066DC9"/>
    <w:rsid w:val="564E1228"/>
    <w:rsid w:val="56A6131D"/>
    <w:rsid w:val="56A82B00"/>
    <w:rsid w:val="56BC5AD0"/>
    <w:rsid w:val="56D00C68"/>
    <w:rsid w:val="57064E39"/>
    <w:rsid w:val="57895A45"/>
    <w:rsid w:val="57C5313B"/>
    <w:rsid w:val="57D807D4"/>
    <w:rsid w:val="57EA7969"/>
    <w:rsid w:val="58750691"/>
    <w:rsid w:val="58AB575D"/>
    <w:rsid w:val="59445F91"/>
    <w:rsid w:val="59815208"/>
    <w:rsid w:val="59F001A4"/>
    <w:rsid w:val="5A1E2DE7"/>
    <w:rsid w:val="5B123FA7"/>
    <w:rsid w:val="5B1F1F06"/>
    <w:rsid w:val="5B613C0E"/>
    <w:rsid w:val="5BCA6564"/>
    <w:rsid w:val="5BCE21D6"/>
    <w:rsid w:val="5C1E3775"/>
    <w:rsid w:val="5C381264"/>
    <w:rsid w:val="5C672644"/>
    <w:rsid w:val="5C8132C7"/>
    <w:rsid w:val="5CA23A25"/>
    <w:rsid w:val="5CC26330"/>
    <w:rsid w:val="5CD67F41"/>
    <w:rsid w:val="5D017C51"/>
    <w:rsid w:val="5D463591"/>
    <w:rsid w:val="5D4F2A78"/>
    <w:rsid w:val="5D792AE4"/>
    <w:rsid w:val="5E2F58D3"/>
    <w:rsid w:val="5E5A06FD"/>
    <w:rsid w:val="5E9342EC"/>
    <w:rsid w:val="5EC777C7"/>
    <w:rsid w:val="5F1E4EC5"/>
    <w:rsid w:val="5F3815EE"/>
    <w:rsid w:val="5F5C32D6"/>
    <w:rsid w:val="600E788A"/>
    <w:rsid w:val="604130CF"/>
    <w:rsid w:val="60680114"/>
    <w:rsid w:val="60794FD4"/>
    <w:rsid w:val="60814FEF"/>
    <w:rsid w:val="60B862A8"/>
    <w:rsid w:val="60D32F5A"/>
    <w:rsid w:val="610E2B4C"/>
    <w:rsid w:val="61D0537E"/>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54F50D9"/>
    <w:rsid w:val="6577532B"/>
    <w:rsid w:val="65B234F1"/>
    <w:rsid w:val="660447CA"/>
    <w:rsid w:val="665622BC"/>
    <w:rsid w:val="665E5759"/>
    <w:rsid w:val="666B3E12"/>
    <w:rsid w:val="666C4EE6"/>
    <w:rsid w:val="669966C2"/>
    <w:rsid w:val="66FB0FDC"/>
    <w:rsid w:val="66FC5AFF"/>
    <w:rsid w:val="675A6EDD"/>
    <w:rsid w:val="67BA7741"/>
    <w:rsid w:val="680D0CA5"/>
    <w:rsid w:val="683155CA"/>
    <w:rsid w:val="68A45648"/>
    <w:rsid w:val="68A5668C"/>
    <w:rsid w:val="6911241F"/>
    <w:rsid w:val="69145B6D"/>
    <w:rsid w:val="698755B8"/>
    <w:rsid w:val="69AF4129"/>
    <w:rsid w:val="69B67115"/>
    <w:rsid w:val="69D346ED"/>
    <w:rsid w:val="69EF53B4"/>
    <w:rsid w:val="6A126DD2"/>
    <w:rsid w:val="6A157408"/>
    <w:rsid w:val="6A420E56"/>
    <w:rsid w:val="6A924E32"/>
    <w:rsid w:val="6A94008C"/>
    <w:rsid w:val="6AE60947"/>
    <w:rsid w:val="6B0B374F"/>
    <w:rsid w:val="6B10356A"/>
    <w:rsid w:val="6B1F0CCB"/>
    <w:rsid w:val="6B6234E5"/>
    <w:rsid w:val="6BBD11F5"/>
    <w:rsid w:val="6BD12800"/>
    <w:rsid w:val="6C5E02FC"/>
    <w:rsid w:val="6C721812"/>
    <w:rsid w:val="6C8B0F52"/>
    <w:rsid w:val="6C967106"/>
    <w:rsid w:val="6CDD0DD0"/>
    <w:rsid w:val="6D0127E4"/>
    <w:rsid w:val="6D19028F"/>
    <w:rsid w:val="6D1C168A"/>
    <w:rsid w:val="6D3668DD"/>
    <w:rsid w:val="6D744558"/>
    <w:rsid w:val="6DA6206E"/>
    <w:rsid w:val="6DB941BD"/>
    <w:rsid w:val="6E5F1098"/>
    <w:rsid w:val="6EA41FA2"/>
    <w:rsid w:val="6EC03E70"/>
    <w:rsid w:val="6EF21ED4"/>
    <w:rsid w:val="6F381CAC"/>
    <w:rsid w:val="6F9C6902"/>
    <w:rsid w:val="6FA0729C"/>
    <w:rsid w:val="6FCC47F2"/>
    <w:rsid w:val="70100CA2"/>
    <w:rsid w:val="70393572"/>
    <w:rsid w:val="70A24D48"/>
    <w:rsid w:val="70BA64EF"/>
    <w:rsid w:val="70C900DF"/>
    <w:rsid w:val="710A3B6B"/>
    <w:rsid w:val="7121653D"/>
    <w:rsid w:val="71241007"/>
    <w:rsid w:val="71326D32"/>
    <w:rsid w:val="713623DF"/>
    <w:rsid w:val="715A596A"/>
    <w:rsid w:val="717C247D"/>
    <w:rsid w:val="71816B8E"/>
    <w:rsid w:val="71832D29"/>
    <w:rsid w:val="71907818"/>
    <w:rsid w:val="71E95916"/>
    <w:rsid w:val="7250588C"/>
    <w:rsid w:val="726F5278"/>
    <w:rsid w:val="727E786A"/>
    <w:rsid w:val="72BD0544"/>
    <w:rsid w:val="72C0472D"/>
    <w:rsid w:val="72D11D5C"/>
    <w:rsid w:val="72E85DAD"/>
    <w:rsid w:val="730B14BE"/>
    <w:rsid w:val="732303D9"/>
    <w:rsid w:val="73532CC9"/>
    <w:rsid w:val="73E67C7A"/>
    <w:rsid w:val="744975DD"/>
    <w:rsid w:val="744F2B7A"/>
    <w:rsid w:val="746920A5"/>
    <w:rsid w:val="748B7808"/>
    <w:rsid w:val="74C47EED"/>
    <w:rsid w:val="74DE73F5"/>
    <w:rsid w:val="74F42D1C"/>
    <w:rsid w:val="755169C7"/>
    <w:rsid w:val="75D07F8B"/>
    <w:rsid w:val="75EE5669"/>
    <w:rsid w:val="76615180"/>
    <w:rsid w:val="76957051"/>
    <w:rsid w:val="76BE38E2"/>
    <w:rsid w:val="76E4531A"/>
    <w:rsid w:val="773E064E"/>
    <w:rsid w:val="774E1211"/>
    <w:rsid w:val="777B71D8"/>
    <w:rsid w:val="77A54D53"/>
    <w:rsid w:val="77FC6767"/>
    <w:rsid w:val="781A0BEC"/>
    <w:rsid w:val="78202415"/>
    <w:rsid w:val="78213FC9"/>
    <w:rsid w:val="78701D9C"/>
    <w:rsid w:val="7A0C1011"/>
    <w:rsid w:val="7A0E7A81"/>
    <w:rsid w:val="7A321CDB"/>
    <w:rsid w:val="7A6E32C8"/>
    <w:rsid w:val="7AC900CF"/>
    <w:rsid w:val="7AD62293"/>
    <w:rsid w:val="7B052FBD"/>
    <w:rsid w:val="7B5A5A6C"/>
    <w:rsid w:val="7B5C250E"/>
    <w:rsid w:val="7B6D0F87"/>
    <w:rsid w:val="7B783FD8"/>
    <w:rsid w:val="7B9A3DB8"/>
    <w:rsid w:val="7BF20E1E"/>
    <w:rsid w:val="7C825046"/>
    <w:rsid w:val="7C9408F4"/>
    <w:rsid w:val="7CB90CC2"/>
    <w:rsid w:val="7CFB2CE9"/>
    <w:rsid w:val="7D212CA5"/>
    <w:rsid w:val="7D255EE2"/>
    <w:rsid w:val="7D293184"/>
    <w:rsid w:val="7D69777E"/>
    <w:rsid w:val="7DB34706"/>
    <w:rsid w:val="7E0913D4"/>
    <w:rsid w:val="7E1A0A9F"/>
    <w:rsid w:val="7E3C401A"/>
    <w:rsid w:val="7E641213"/>
    <w:rsid w:val="7EF34773"/>
    <w:rsid w:val="7EF77ED0"/>
    <w:rsid w:val="7F0D08DC"/>
    <w:rsid w:val="7F4029E3"/>
    <w:rsid w:val="7F714EE5"/>
    <w:rsid w:val="7F7864B1"/>
    <w:rsid w:val="7F7F2734"/>
    <w:rsid w:val="7FA63F96"/>
    <w:rsid w:val="7FB9287C"/>
    <w:rsid w:val="7FC8070F"/>
    <w:rsid w:val="7FCC47FD"/>
    <w:rsid w:val="7FFB1B6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0">
    <w:name w:val="Default Paragraph Font"/>
    <w:unhideWhenUsed/>
    <w:qFormat/>
    <w:uiPriority w:val="1"/>
  </w:style>
  <w:style w:type="table" w:default="1" w:styleId="47">
    <w:name w:val="Normal Table"/>
    <w:unhideWhenUsed/>
    <w:qFormat/>
    <w:uiPriority w:val="99"/>
    <w:tblPr>
      <w:tblLayout w:type="fixed"/>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annotation subject"/>
    <w:basedOn w:val="12"/>
    <w:next w:val="12"/>
    <w:link w:val="64"/>
    <w:qFormat/>
    <w:uiPriority w:val="0"/>
    <w:rPr>
      <w:b/>
      <w:bCs/>
    </w:rPr>
  </w:style>
  <w:style w:type="paragraph" w:styleId="12">
    <w:name w:val="annotation text"/>
    <w:basedOn w:val="1"/>
    <w:link w:val="54"/>
    <w:unhideWhenUsed/>
    <w:qFormat/>
    <w:uiPriority w:val="99"/>
    <w:pPr>
      <w:jc w:val="left"/>
    </w:pPr>
    <w:rPr>
      <w:kern w:val="0"/>
      <w:sz w:val="20"/>
    </w:rPr>
  </w:style>
  <w:style w:type="paragraph" w:styleId="13">
    <w:name w:val="toc 7"/>
    <w:basedOn w:val="1"/>
    <w:next w:val="1"/>
    <w:qFormat/>
    <w:uiPriority w:val="39"/>
    <w:pPr>
      <w:ind w:left="1260"/>
      <w:jc w:val="left"/>
    </w:pPr>
    <w:rPr>
      <w:rFonts w:ascii="Calibri" w:hAnsi="Calibri"/>
      <w:sz w:val="18"/>
      <w:szCs w:val="18"/>
    </w:rPr>
  </w:style>
  <w:style w:type="paragraph" w:styleId="14">
    <w:name w:val="Normal Indent"/>
    <w:basedOn w:val="1"/>
    <w:link w:val="65"/>
    <w:qFormat/>
    <w:uiPriority w:val="0"/>
    <w:pPr>
      <w:ind w:firstLine="420" w:firstLineChars="200"/>
    </w:pPr>
  </w:style>
  <w:style w:type="paragraph" w:styleId="15">
    <w:name w:val="Document Map"/>
    <w:basedOn w:val="1"/>
    <w:link w:val="72"/>
    <w:qFormat/>
    <w:uiPriority w:val="0"/>
    <w:pPr>
      <w:shd w:val="clear" w:color="auto" w:fill="000080"/>
    </w:pPr>
    <w:rPr>
      <w:kern w:val="0"/>
      <w:sz w:val="20"/>
    </w:rPr>
  </w:style>
  <w:style w:type="paragraph" w:styleId="16">
    <w:name w:val="Body Text 3"/>
    <w:basedOn w:val="1"/>
    <w:link w:val="58"/>
    <w:qFormat/>
    <w:uiPriority w:val="0"/>
    <w:rPr>
      <w:rFonts w:ascii="宋体"/>
      <w:kern w:val="0"/>
      <w:sz w:val="24"/>
      <w:szCs w:val="20"/>
    </w:rPr>
  </w:style>
  <w:style w:type="paragraph" w:styleId="17">
    <w:name w:val="Body Text"/>
    <w:basedOn w:val="1"/>
    <w:link w:val="61"/>
    <w:qFormat/>
    <w:uiPriority w:val="0"/>
    <w:pPr>
      <w:spacing w:after="120"/>
    </w:pPr>
    <w:rPr>
      <w:kern w:val="0"/>
      <w:sz w:val="20"/>
    </w:rPr>
  </w:style>
  <w:style w:type="paragraph" w:styleId="18">
    <w:name w:val="Body Text Indent"/>
    <w:basedOn w:val="1"/>
    <w:link w:val="71"/>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4"/>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78"/>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76"/>
    <w:qFormat/>
    <w:uiPriority w:val="0"/>
    <w:rPr>
      <w:kern w:val="0"/>
      <w:sz w:val="18"/>
      <w:szCs w:val="18"/>
    </w:rPr>
  </w:style>
  <w:style w:type="paragraph" w:styleId="27">
    <w:name w:val="footer"/>
    <w:basedOn w:val="1"/>
    <w:link w:val="90"/>
    <w:qFormat/>
    <w:uiPriority w:val="99"/>
    <w:pPr>
      <w:tabs>
        <w:tab w:val="center" w:pos="4153"/>
        <w:tab w:val="right" w:pos="8306"/>
      </w:tabs>
      <w:snapToGrid w:val="0"/>
      <w:jc w:val="left"/>
    </w:pPr>
    <w:rPr>
      <w:kern w:val="0"/>
      <w:sz w:val="18"/>
      <w:szCs w:val="18"/>
    </w:rPr>
  </w:style>
  <w:style w:type="paragraph" w:styleId="28">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2"/>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2"/>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styleId="41">
    <w:name w:val="Strong"/>
    <w:qFormat/>
    <w:uiPriority w:val="0"/>
    <w:rPr>
      <w:b/>
      <w:bCs/>
    </w:rPr>
  </w:style>
  <w:style w:type="character" w:styleId="42">
    <w:name w:val="page number"/>
    <w:qFormat/>
    <w:uiPriority w:val="0"/>
  </w:style>
  <w:style w:type="character" w:styleId="43">
    <w:name w:val="FollowedHyperlink"/>
    <w:qFormat/>
    <w:uiPriority w:val="0"/>
    <w:rPr>
      <w:rFonts w:hint="default" w:ascii="Arial" w:hAnsi="Arial" w:eastAsia="Arial" w:cs="Arial"/>
      <w:color w:val="333333"/>
      <w:sz w:val="21"/>
      <w:szCs w:val="21"/>
      <w:u w:val="none"/>
    </w:rPr>
  </w:style>
  <w:style w:type="character" w:styleId="44">
    <w:name w:val="Hyperlink"/>
    <w:qFormat/>
    <w:uiPriority w:val="99"/>
    <w:rPr>
      <w:rFonts w:ascii="Arial" w:hAnsi="Arial" w:eastAsia="Arial" w:cs="Arial"/>
      <w:color w:val="333333"/>
      <w:sz w:val="21"/>
      <w:szCs w:val="21"/>
      <w:u w:val="none"/>
    </w:rPr>
  </w:style>
  <w:style w:type="character" w:styleId="45">
    <w:name w:val="annotation reference"/>
    <w:qFormat/>
    <w:uiPriority w:val="0"/>
    <w:rPr>
      <w:sz w:val="21"/>
      <w:szCs w:val="21"/>
    </w:rPr>
  </w:style>
  <w:style w:type="character" w:styleId="46">
    <w:name w:val="footnote reference"/>
    <w:qFormat/>
    <w:uiPriority w:val="0"/>
    <w:rPr>
      <w:vertAlign w:val="superscript"/>
    </w:rPr>
  </w:style>
  <w:style w:type="table" w:styleId="48">
    <w:name w:val="Table Grid"/>
    <w:basedOn w:val="47"/>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2"/>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6"/>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7"/>
    <w:qFormat/>
    <w:uiPriority w:val="0"/>
    <w:rPr>
      <w:rFonts w:eastAsia="宋体"/>
      <w:szCs w:val="24"/>
    </w:rPr>
  </w:style>
  <w:style w:type="character" w:customStyle="1" w:styleId="62">
    <w:name w:val="脚注文本 字符"/>
    <w:link w:val="30"/>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11"/>
    <w:qFormat/>
    <w:uiPriority w:val="0"/>
    <w:rPr>
      <w:rFonts w:ascii="Times New Roman" w:hAnsi="Times New Roman" w:eastAsia="宋体" w:cs="Times New Roman"/>
      <w:b/>
      <w:bCs/>
      <w:szCs w:val="24"/>
    </w:rPr>
  </w:style>
  <w:style w:type="character" w:customStyle="1" w:styleId="65">
    <w:name w:val="正文缩进 字符"/>
    <w:link w:val="14"/>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8"/>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8"/>
    <w:qFormat/>
    <w:uiPriority w:val="0"/>
    <w:rPr>
      <w:szCs w:val="24"/>
    </w:rPr>
  </w:style>
  <w:style w:type="character" w:customStyle="1" w:styleId="72">
    <w:name w:val="文档结构图 字符"/>
    <w:link w:val="15"/>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9"/>
    <w:qFormat/>
    <w:uiPriority w:val="0"/>
    <w:rPr>
      <w:rFonts w:ascii="Arial" w:hAnsi="Arial"/>
      <w:b/>
      <w:sz w:val="32"/>
    </w:rPr>
  </w:style>
  <w:style w:type="character" w:customStyle="1" w:styleId="76">
    <w:name w:val="批注框文本 字符"/>
    <w:link w:val="26"/>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4"/>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2"/>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7"/>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6"/>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2"/>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出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0"/>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1288</Words>
  <Characters>7348</Characters>
  <Lines>61</Lines>
  <Paragraphs>17</Paragraphs>
  <ScaleCrop>false</ScaleCrop>
  <LinksUpToDate>false</LinksUpToDate>
  <CharactersWithSpaces>8619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蒋成科</cp:lastModifiedBy>
  <cp:lastPrinted>2021-07-23T02:23:00Z</cp:lastPrinted>
  <dcterms:modified xsi:type="dcterms:W3CDTF">2021-08-12T03:47:25Z</dcterms:modified>
  <dc:title>项目名称：2019年重庆市取消高速公路省界收费站项目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9AA232BBC7F94BBAA841210958F5E029</vt:lpwstr>
  </property>
</Properties>
</file>