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pStyle w:val="3"/>
        <w:jc w:val="center"/>
        <w:rPr>
          <w:rFonts w:hint="eastAsia"/>
          <w:lang w:eastAsia="zh-CN"/>
        </w:rPr>
      </w:pPr>
      <w:r>
        <w:rPr>
          <w:rFonts w:hint="eastAsia"/>
        </w:rPr>
        <w:t>通力公司南部片区</w:t>
      </w:r>
      <w:r>
        <w:t>南方公司和通粤公司边坡增设检修道工程</w:t>
      </w:r>
      <w:r>
        <w:rPr>
          <w:rFonts w:hint="eastAsia"/>
          <w:lang w:val="en-US" w:eastAsia="zh-CN"/>
        </w:rPr>
        <w:t>水泥</w:t>
      </w:r>
      <w:r>
        <w:rPr>
          <w:rFonts w:hint="eastAsia"/>
        </w:rPr>
        <w:t>采购</w:t>
      </w:r>
    </w:p>
    <w:p>
      <w:pPr>
        <w:pStyle w:val="10"/>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4"/>
        <w:rPr>
          <w:rFonts w:hint="eastAsia"/>
        </w:rPr>
      </w:pPr>
    </w:p>
    <w:p>
      <w:pPr>
        <w:rPr>
          <w:rFonts w:hint="eastAsia" w:ascii="宋体" w:hAnsi="宋体" w:cs="宋体"/>
          <w:spacing w:val="100"/>
          <w:szCs w:val="21"/>
        </w:rPr>
      </w:pP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hint="eastAsia" w:ascii="宋体" w:hAnsi="宋体" w:cs="宋体"/>
          <w:b/>
          <w:sz w:val="30"/>
          <w:szCs w:val="30"/>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p>
    <w:p>
      <w:pPr>
        <w:pStyle w:val="3"/>
        <w:jc w:val="center"/>
        <w:rPr>
          <w:rFonts w:hint="eastAsia"/>
          <w:sz w:val="32"/>
          <w:szCs w:val="32"/>
        </w:rPr>
      </w:pPr>
      <w:bookmarkStart w:id="0" w:name="_Toc179632536"/>
      <w:bookmarkStart w:id="1" w:name="_Toc296602410"/>
      <w:bookmarkStart w:id="2" w:name="_Toc152045519"/>
      <w:bookmarkStart w:id="3" w:name="_Toc246996909"/>
      <w:bookmarkStart w:id="4" w:name="_Toc246996166"/>
      <w:bookmarkStart w:id="5" w:name="_Toc247085680"/>
      <w:bookmarkStart w:id="6" w:name="_Toc144974487"/>
      <w:bookmarkStart w:id="7" w:name="_Toc152042295"/>
      <w:r>
        <w:rPr>
          <w:rFonts w:hint="eastAsia"/>
          <w:sz w:val="32"/>
          <w:szCs w:val="32"/>
        </w:rPr>
        <w:t>通力公司南部片区</w:t>
      </w:r>
      <w:r>
        <w:rPr>
          <w:sz w:val="32"/>
          <w:szCs w:val="32"/>
        </w:rPr>
        <w:t>南方公司和通粤公司边坡增设检修道工程</w:t>
      </w:r>
      <w:r>
        <w:rPr>
          <w:rFonts w:hint="eastAsia"/>
          <w:sz w:val="32"/>
          <w:szCs w:val="32"/>
          <w:lang w:val="en-US" w:eastAsia="zh-CN"/>
        </w:rPr>
        <w:t>水泥采购</w:t>
      </w:r>
    </w:p>
    <w:bookmarkEnd w:id="0"/>
    <w:bookmarkEnd w:id="1"/>
    <w:bookmarkEnd w:id="2"/>
    <w:bookmarkEnd w:id="3"/>
    <w:bookmarkEnd w:id="4"/>
    <w:bookmarkEnd w:id="5"/>
    <w:bookmarkEnd w:id="6"/>
    <w:bookmarkEnd w:id="7"/>
    <w:p>
      <w:pPr>
        <w:ind w:firstLine="420" w:firstLineChars="200"/>
        <w:jc w:val="left"/>
        <w:rPr>
          <w:b w:val="0"/>
          <w:bCs/>
          <w:sz w:val="21"/>
          <w:szCs w:val="21"/>
        </w:rPr>
      </w:pPr>
      <w:bookmarkStart w:id="8" w:name="_Toc296602412"/>
      <w:bookmarkStart w:id="9" w:name="_Toc144974489"/>
      <w:bookmarkStart w:id="10" w:name="_Toc179632538"/>
      <w:bookmarkStart w:id="11" w:name="_Toc246996911"/>
      <w:bookmarkStart w:id="12" w:name="_Toc247085682"/>
      <w:bookmarkStart w:id="13" w:name="_Toc152042297"/>
      <w:bookmarkStart w:id="14" w:name="_Toc246996168"/>
      <w:bookmarkStart w:id="15" w:name="_Toc152045521"/>
      <w:r>
        <w:rPr>
          <w:rFonts w:hint="eastAsia" w:ascii="宋体" w:hAnsi="宋体"/>
          <w:b w:val="0"/>
          <w:bCs/>
          <w:color w:val="000000"/>
          <w:kern w:val="0"/>
          <w:sz w:val="21"/>
          <w:szCs w:val="21"/>
        </w:rPr>
        <w:t>通力公司南部片区</w:t>
      </w:r>
      <w:r>
        <w:rPr>
          <w:rFonts w:ascii="宋体" w:hAnsi="宋体" w:eastAsia="宋体" w:cs="宋体"/>
          <w:b w:val="0"/>
          <w:bCs/>
          <w:sz w:val="21"/>
          <w:szCs w:val="21"/>
        </w:rPr>
        <w:t>南方公司和通粤公司边坡增设检修道工程</w:t>
      </w:r>
      <w:r>
        <w:rPr>
          <w:rFonts w:hint="eastAsia" w:ascii="宋体" w:hAnsi="宋体" w:cs="宋体"/>
          <w:b w:val="0"/>
          <w:bCs/>
          <w:sz w:val="21"/>
          <w:szCs w:val="21"/>
          <w:lang w:val="en-US" w:eastAsia="zh-CN"/>
        </w:rPr>
        <w:t>水泥</w:t>
      </w:r>
      <w:r>
        <w:rPr>
          <w:rFonts w:hint="eastAsia" w:ascii="宋体" w:hAnsi="宋体"/>
          <w:b w:val="0"/>
          <w:bCs/>
          <w:color w:val="000000"/>
          <w:kern w:val="0"/>
          <w:sz w:val="21"/>
          <w:szCs w:val="21"/>
          <w:lang w:val="en-US" w:eastAsia="zh-CN"/>
        </w:rPr>
        <w:t>采购</w:t>
      </w:r>
      <w:r>
        <w:rPr>
          <w:b w:val="0"/>
          <w:bCs/>
          <w:sz w:val="21"/>
          <w:szCs w:val="21"/>
        </w:rPr>
        <w:t>准备组织实施，重庆通力高速公路养护工程有限公司计划以</w:t>
      </w:r>
      <w:r>
        <w:rPr>
          <w:rFonts w:hint="eastAsia"/>
          <w:b w:val="0"/>
          <w:bCs/>
          <w:sz w:val="21"/>
          <w:szCs w:val="21"/>
        </w:rPr>
        <w:t>竞争性比选</w:t>
      </w:r>
      <w:r>
        <w:rPr>
          <w:b w:val="0"/>
          <w:bCs/>
          <w:sz w:val="21"/>
          <w:szCs w:val="21"/>
        </w:rPr>
        <w:t>方式确定成交单位，具体情况如下：</w:t>
      </w:r>
    </w:p>
    <w:p>
      <w:pPr>
        <w:spacing w:line="400" w:lineRule="exact"/>
        <w:rPr>
          <w:b w:val="0"/>
          <w:bCs/>
          <w:sz w:val="21"/>
          <w:szCs w:val="21"/>
        </w:rPr>
      </w:pPr>
      <w:bookmarkStart w:id="16" w:name="_Toc246996167"/>
      <w:bookmarkStart w:id="17" w:name="_Toc144974488"/>
      <w:bookmarkStart w:id="18" w:name="_Toc152042296"/>
      <w:bookmarkStart w:id="19" w:name="_Toc152045520"/>
      <w:bookmarkStart w:id="20" w:name="_Toc296602411"/>
      <w:bookmarkStart w:id="21" w:name="_Toc247085681"/>
      <w:bookmarkStart w:id="22" w:name="_Toc179632537"/>
      <w:bookmarkStart w:id="23" w:name="_Toc246996910"/>
      <w:r>
        <w:rPr>
          <w:b w:val="0"/>
          <w:bCs/>
          <w:sz w:val="21"/>
          <w:szCs w:val="21"/>
        </w:rPr>
        <w:t>一、项目概况与</w:t>
      </w:r>
      <w:r>
        <w:rPr>
          <w:rFonts w:hint="eastAsia"/>
          <w:b w:val="0"/>
          <w:bCs/>
          <w:sz w:val="21"/>
          <w:szCs w:val="21"/>
        </w:rPr>
        <w:t>竞争性比选</w:t>
      </w:r>
      <w:r>
        <w:rPr>
          <w:b w:val="0"/>
          <w:bCs/>
          <w:sz w:val="21"/>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val="0"/>
          <w:bCs/>
          <w:sz w:val="21"/>
          <w:szCs w:val="21"/>
        </w:rPr>
      </w:pPr>
      <w:r>
        <w:rPr>
          <w:rFonts w:hint="eastAsia"/>
          <w:b w:val="0"/>
          <w:bCs/>
          <w:sz w:val="21"/>
          <w:szCs w:val="21"/>
        </w:rPr>
        <w:t>本项目为</w:t>
      </w:r>
      <w:r>
        <w:rPr>
          <w:rFonts w:hint="eastAsia" w:ascii="宋体" w:hAnsi="宋体"/>
          <w:b w:val="0"/>
          <w:bCs/>
          <w:color w:val="000000"/>
          <w:kern w:val="0"/>
          <w:sz w:val="21"/>
          <w:szCs w:val="21"/>
        </w:rPr>
        <w:t>通力公司南部片区</w:t>
      </w:r>
      <w:r>
        <w:rPr>
          <w:rFonts w:ascii="宋体" w:hAnsi="宋体" w:eastAsia="宋体" w:cs="宋体"/>
          <w:b w:val="0"/>
          <w:bCs/>
          <w:sz w:val="21"/>
          <w:szCs w:val="21"/>
        </w:rPr>
        <w:t>南方公司和通粤公司边坡增设检修道工程</w:t>
      </w:r>
      <w:r>
        <w:rPr>
          <w:rFonts w:hint="eastAsia" w:ascii="宋体" w:hAnsi="宋体" w:cs="宋体"/>
          <w:b w:val="0"/>
          <w:bCs/>
          <w:sz w:val="21"/>
          <w:szCs w:val="21"/>
          <w:lang w:val="en-US" w:eastAsia="zh-CN"/>
        </w:rPr>
        <w:t>水泥</w:t>
      </w:r>
      <w:r>
        <w:rPr>
          <w:rFonts w:hint="eastAsia" w:ascii="宋体" w:hAnsi="宋体"/>
          <w:b w:val="0"/>
          <w:bCs/>
          <w:color w:val="000000"/>
          <w:kern w:val="0"/>
          <w:sz w:val="21"/>
          <w:szCs w:val="21"/>
          <w:lang w:val="en-US" w:eastAsia="zh-CN"/>
        </w:rPr>
        <w:t>采购</w:t>
      </w:r>
      <w:r>
        <w:rPr>
          <w:rFonts w:hint="eastAsia"/>
          <w:b w:val="0"/>
          <w:bCs/>
          <w:sz w:val="21"/>
          <w:szCs w:val="21"/>
          <w:lang w:eastAsia="zh-CN"/>
        </w:rPr>
        <w:t>项目</w:t>
      </w:r>
      <w:r>
        <w:rPr>
          <w:rFonts w:hint="eastAsia"/>
          <w:b w:val="0"/>
          <w:bCs/>
          <w:sz w:val="21"/>
          <w:szCs w:val="21"/>
        </w:rPr>
        <w:t>。</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8"/>
        <w:tblW w:w="8240" w:type="dxa"/>
        <w:jc w:val="center"/>
        <w:tblLayout w:type="fixed"/>
        <w:tblCellMar>
          <w:top w:w="0" w:type="dxa"/>
          <w:left w:w="108" w:type="dxa"/>
          <w:bottom w:w="0" w:type="dxa"/>
          <w:right w:w="108" w:type="dxa"/>
        </w:tblCellMar>
      </w:tblPr>
      <w:tblGrid>
        <w:gridCol w:w="1076"/>
        <w:gridCol w:w="1868"/>
        <w:gridCol w:w="2521"/>
        <w:gridCol w:w="1332"/>
        <w:gridCol w:w="1443"/>
      </w:tblGrid>
      <w:tr>
        <w:tblPrEx>
          <w:tblCellMar>
            <w:top w:w="0" w:type="dxa"/>
            <w:left w:w="108" w:type="dxa"/>
            <w:bottom w:w="0" w:type="dxa"/>
            <w:right w:w="108" w:type="dxa"/>
          </w:tblCellMar>
        </w:tblPrEx>
        <w:trPr>
          <w:trHeight w:val="332"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eastAsia="宋体" w:cs="宋体"/>
                <w:b/>
                <w:i w:val="0"/>
                <w:color w:val="000000"/>
                <w:kern w:val="0"/>
                <w:sz w:val="18"/>
                <w:szCs w:val="18"/>
                <w:u w:val="none"/>
                <w:lang w:val="en-US" w:eastAsia="zh-CN" w:bidi="ar"/>
              </w:rPr>
              <w:t>工程位置</w:t>
            </w:r>
          </w:p>
        </w:tc>
        <w:tc>
          <w:tcPr>
            <w:tcW w:w="1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2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eastAsia="宋体" w:cs="宋体"/>
                <w:b/>
                <w:i w:val="0"/>
                <w:color w:val="000000"/>
                <w:kern w:val="0"/>
                <w:sz w:val="18"/>
                <w:szCs w:val="18"/>
                <w:u w:val="none"/>
                <w:lang w:val="en-US" w:eastAsia="zh-CN" w:bidi="ar"/>
              </w:rPr>
              <w:t>规格</w:t>
            </w:r>
            <w:r>
              <w:rPr>
                <w:rFonts w:hint="eastAsia" w:ascii="宋体" w:hAnsi="宋体" w:cs="宋体"/>
                <w:b/>
                <w:i w:val="0"/>
                <w:color w:val="000000"/>
                <w:kern w:val="0"/>
                <w:sz w:val="18"/>
                <w:szCs w:val="18"/>
                <w:u w:val="none"/>
                <w:lang w:val="en-US" w:eastAsia="zh-CN" w:bidi="ar"/>
              </w:rPr>
              <w:t>、型号</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eastAsia="宋体" w:cs="宋体"/>
                <w:b/>
                <w:i w:val="0"/>
                <w:color w:val="000000"/>
                <w:kern w:val="0"/>
                <w:sz w:val="18"/>
                <w:szCs w:val="18"/>
                <w:u w:val="none"/>
                <w:lang w:val="en-US" w:eastAsia="zh-CN" w:bidi="ar"/>
              </w:rPr>
              <w:t>单位</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eastAsia="宋体" w:cs="宋体"/>
                <w:b/>
                <w:i w:val="0"/>
                <w:color w:val="000000"/>
                <w:kern w:val="0"/>
                <w:sz w:val="18"/>
                <w:szCs w:val="18"/>
                <w:u w:val="none"/>
                <w:lang w:val="en-US" w:eastAsia="zh-CN" w:bidi="ar"/>
              </w:rPr>
              <w:t>数量</w:t>
            </w:r>
          </w:p>
        </w:tc>
      </w:tr>
      <w:tr>
        <w:tblPrEx>
          <w:tblCellMar>
            <w:top w:w="0" w:type="dxa"/>
            <w:left w:w="108" w:type="dxa"/>
            <w:bottom w:w="0" w:type="dxa"/>
            <w:right w:w="108" w:type="dxa"/>
          </w:tblCellMar>
        </w:tblPrEx>
        <w:trPr>
          <w:trHeight w:val="1310"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000000"/>
                <w:kern w:val="0"/>
                <w:szCs w:val="21"/>
              </w:rPr>
            </w:pPr>
            <w:r>
              <w:rPr>
                <w:rFonts w:hint="eastAsia" w:ascii="宋体" w:hAnsi="宋体" w:cs="宋体"/>
                <w:b w:val="0"/>
                <w:bCs/>
                <w:i w:val="0"/>
                <w:color w:val="000000"/>
                <w:sz w:val="18"/>
                <w:szCs w:val="18"/>
                <w:u w:val="none"/>
                <w:lang w:val="en-US" w:eastAsia="zh-CN"/>
              </w:rPr>
              <w:t>南道路、南涪路、綦万路、南万路</w:t>
            </w:r>
          </w:p>
        </w:tc>
        <w:tc>
          <w:tcPr>
            <w:tcW w:w="1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rFonts w:hint="eastAsia" w:ascii="宋体" w:hAnsi="宋体" w:eastAsia="宋体" w:cs="宋体"/>
                <w:color w:val="000000"/>
                <w:kern w:val="0"/>
                <w:szCs w:val="21"/>
                <w:lang w:val="en-US" w:eastAsia="zh-CN"/>
              </w:rPr>
            </w:pPr>
            <w:r>
              <w:rPr>
                <w:rFonts w:hint="eastAsia" w:ascii="宋体" w:hAnsi="宋体" w:cs="宋体"/>
                <w:b w:val="0"/>
                <w:bCs/>
                <w:i w:val="0"/>
                <w:color w:val="000000"/>
                <w:sz w:val="18"/>
                <w:szCs w:val="18"/>
                <w:u w:val="none"/>
                <w:lang w:val="en-US" w:eastAsia="zh-CN"/>
              </w:rPr>
              <w:t>水泥</w:t>
            </w:r>
          </w:p>
        </w:tc>
        <w:tc>
          <w:tcPr>
            <w:tcW w:w="2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Po42.5</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000000"/>
                <w:kern w:val="0"/>
                <w:szCs w:val="21"/>
                <w:lang w:eastAsia="zh-CN"/>
              </w:rPr>
            </w:pPr>
            <w:r>
              <w:rPr>
                <w:rFonts w:hint="eastAsia" w:ascii="宋体" w:hAnsi="宋体" w:cs="宋体"/>
                <w:b w:val="0"/>
                <w:bCs/>
                <w:i w:val="0"/>
                <w:color w:val="000000"/>
                <w:sz w:val="18"/>
                <w:szCs w:val="18"/>
                <w:u w:val="none"/>
                <w:lang w:val="en-US" w:eastAsia="zh-CN"/>
              </w:rPr>
              <w:t>吨</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color w:val="000000"/>
                <w:kern w:val="0"/>
                <w:szCs w:val="21"/>
                <w:lang w:val="en-US" w:eastAsia="zh-CN"/>
              </w:rPr>
            </w:pPr>
            <w:r>
              <w:rPr>
                <w:rFonts w:hint="eastAsia" w:ascii="宋体" w:hAnsi="宋体" w:cs="宋体"/>
                <w:b w:val="0"/>
                <w:bCs/>
                <w:i w:val="0"/>
                <w:color w:val="000000"/>
                <w:sz w:val="18"/>
                <w:szCs w:val="18"/>
                <w:u w:val="none"/>
                <w:lang w:val="en-US" w:eastAsia="zh-CN"/>
              </w:rPr>
              <w:t>750</w:t>
            </w:r>
          </w:p>
        </w:tc>
      </w:tr>
    </w:tbl>
    <w:p>
      <w:pPr>
        <w:spacing w:line="360" w:lineRule="exact"/>
        <w:ind w:firstLine="422" w:firstLineChars="200"/>
        <w:rPr>
          <w:rFonts w:hint="eastAsia"/>
          <w:b/>
          <w:bCs/>
          <w:szCs w:val="21"/>
        </w:rPr>
      </w:pPr>
      <w:r>
        <w:rPr>
          <w:rFonts w:hint="eastAsia"/>
          <w:b/>
          <w:bCs/>
          <w:szCs w:val="21"/>
        </w:rPr>
        <w:t>备注：本次采购数量为暂估量，最终数量以实际结算数量为准且满足国家及行业的相关技术规范标准(具体规格型号以竞争性比选人实际要求为准)。</w:t>
      </w:r>
    </w:p>
    <w:p>
      <w:pPr>
        <w:ind w:firstLine="413" w:firstLineChars="196"/>
        <w:rPr>
          <w:rFonts w:hint="eastAsia"/>
          <w:kern w:val="0"/>
          <w:szCs w:val="21"/>
        </w:rPr>
      </w:pPr>
      <w:r>
        <w:rPr>
          <w:rFonts w:hint="eastAsia"/>
          <w:b/>
          <w:bCs/>
          <w:szCs w:val="21"/>
        </w:rPr>
        <w:t>2、供货期：</w:t>
      </w:r>
      <w:r>
        <w:rPr>
          <w:rFonts w:hint="eastAsia"/>
          <w:b/>
          <w:szCs w:val="21"/>
        </w:rPr>
        <w:t>本工程工期预计为202</w:t>
      </w:r>
      <w:r>
        <w:rPr>
          <w:rFonts w:hint="eastAsia"/>
          <w:b/>
          <w:szCs w:val="21"/>
          <w:lang w:val="en-US" w:eastAsia="zh-CN"/>
        </w:rPr>
        <w:t>1</w:t>
      </w:r>
      <w:r>
        <w:rPr>
          <w:rFonts w:hint="eastAsia"/>
          <w:b/>
          <w:szCs w:val="21"/>
        </w:rPr>
        <w:t>年</w:t>
      </w:r>
      <w:r>
        <w:rPr>
          <w:rFonts w:hint="eastAsia"/>
          <w:b/>
          <w:szCs w:val="21"/>
          <w:lang w:val="en-US" w:eastAsia="zh-CN"/>
        </w:rPr>
        <w:t>8</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12</w:t>
      </w:r>
      <w:r>
        <w:rPr>
          <w:rFonts w:hint="eastAsia"/>
          <w:b/>
          <w:szCs w:val="21"/>
        </w:rPr>
        <w:t>月，具体以项目工期要求为准，竞标人必须保证竞争性比选人各型号</w:t>
      </w:r>
      <w:r>
        <w:rPr>
          <w:rFonts w:hint="eastAsia"/>
          <w:b/>
          <w:szCs w:val="21"/>
          <w:lang w:eastAsia="zh-CN"/>
        </w:rPr>
        <w:t>水泥</w:t>
      </w:r>
      <w:r>
        <w:rPr>
          <w:rFonts w:hint="eastAsia"/>
          <w:b/>
          <w:szCs w:val="21"/>
        </w:rPr>
        <w:t>的供应及时，竞争性比选人一般提前一天以电话（短信）通知计划用量</w:t>
      </w:r>
      <w:r>
        <w:rPr>
          <w:rFonts w:hint="eastAsia"/>
          <w:kern w:val="0"/>
          <w:szCs w:val="21"/>
        </w:rPr>
        <w:t>。</w:t>
      </w:r>
    </w:p>
    <w:p>
      <w:pPr>
        <w:spacing w:line="360" w:lineRule="exact"/>
        <w:ind w:firstLine="422" w:firstLineChars="200"/>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rFonts w:hint="eastAsia"/>
          <w:b/>
          <w:szCs w:val="21"/>
        </w:rPr>
      </w:pPr>
      <w:r>
        <w:rPr>
          <w:rFonts w:hint="eastAsia"/>
          <w:b/>
          <w:szCs w:val="21"/>
        </w:rPr>
        <w:t>4、竞标人需装订、递交竞标竞争性比选响应文件。</w:t>
      </w:r>
    </w:p>
    <w:bookmarkEnd w:id="8"/>
    <w:bookmarkEnd w:id="9"/>
    <w:bookmarkEnd w:id="10"/>
    <w:bookmarkEnd w:id="11"/>
    <w:bookmarkEnd w:id="12"/>
    <w:bookmarkEnd w:id="13"/>
    <w:bookmarkEnd w:id="14"/>
    <w:bookmarkEnd w:id="15"/>
    <w:p>
      <w:pPr>
        <w:pageBreakBefore w:val="0"/>
        <w:kinsoku/>
        <w:wordWrap/>
        <w:overflowPunct/>
        <w:bidi w:val="0"/>
        <w:spacing w:line="360" w:lineRule="auto"/>
        <w:rPr>
          <w:b/>
          <w:szCs w:val="21"/>
        </w:rPr>
      </w:pPr>
      <w:bookmarkStart w:id="24" w:name="_Toc144974490"/>
      <w:bookmarkStart w:id="25" w:name="_Toc246996169"/>
      <w:bookmarkStart w:id="26" w:name="_Toc247085683"/>
      <w:bookmarkStart w:id="27" w:name="_Toc152042298"/>
      <w:bookmarkStart w:id="28" w:name="_Toc179632539"/>
      <w:bookmarkStart w:id="29" w:name="_Toc296602413"/>
      <w:bookmarkStart w:id="30" w:name="_Toc152045522"/>
      <w:bookmarkStart w:id="31" w:name="_Toc246996912"/>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p>
      <w:pPr>
        <w:pageBreakBefore w:val="0"/>
        <w:kinsoku/>
        <w:wordWrap/>
        <w:overflowPunct/>
        <w:bidi w:val="0"/>
        <w:spacing w:line="360" w:lineRule="auto"/>
        <w:ind w:firstLine="420" w:firstLineChars="200"/>
        <w:rPr>
          <w:rFonts w:hint="eastAsia"/>
          <w:szCs w:val="21"/>
        </w:rPr>
      </w:pPr>
      <w:r>
        <w:rPr>
          <w:rFonts w:hint="eastAsia"/>
          <w:szCs w:val="21"/>
        </w:rPr>
        <w:t>比选申请人须同时满足以下资格要求：</w:t>
      </w:r>
    </w:p>
    <w:p>
      <w:pPr>
        <w:pageBreakBefore w:val="0"/>
        <w:numPr>
          <w:ilvl w:val="0"/>
          <w:numId w:val="2"/>
        </w:numPr>
        <w:kinsoku/>
        <w:wordWrap/>
        <w:overflowPunct/>
        <w:bidi w:val="0"/>
        <w:spacing w:line="360" w:lineRule="auto"/>
        <w:ind w:firstLine="420" w:firstLineChars="200"/>
        <w:rPr>
          <w:szCs w:val="21"/>
        </w:rPr>
      </w:pPr>
      <w:r>
        <w:rPr>
          <w:rFonts w:hint="eastAsia"/>
          <w:szCs w:val="21"/>
        </w:rPr>
        <w:t>资质要求：具有独立法人资格、有效的营业执照。</w:t>
      </w:r>
    </w:p>
    <w:p>
      <w:pPr>
        <w:pageBreakBefore w:val="0"/>
        <w:numPr>
          <w:ilvl w:val="0"/>
          <w:numId w:val="1"/>
        </w:numPr>
        <w:kinsoku/>
        <w:wordWrap/>
        <w:overflowPunct/>
        <w:bidi w:val="0"/>
        <w:spacing w:line="360" w:lineRule="auto"/>
        <w:ind w:firstLine="420" w:firstLineChars="200"/>
        <w:rPr>
          <w:szCs w:val="21"/>
        </w:rPr>
      </w:pPr>
      <w:r>
        <w:rPr>
          <w:rFonts w:hint="eastAsia"/>
          <w:szCs w:val="21"/>
        </w:rPr>
        <w:t>信誉要求：比选申请人在“信用中国”网站（http://www.creditchina.gov.cn/）中未被列入失信被执行人名单。</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水泥税率为13%</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水泥税率为13%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（3）本项目最高总限价为：</w:t>
      </w:r>
      <w:r>
        <w:rPr>
          <w:rFonts w:hint="eastAsia"/>
          <w:szCs w:val="21"/>
          <w:lang w:val="en-US" w:eastAsia="zh-CN"/>
        </w:rPr>
        <w:t>442500</w:t>
      </w:r>
      <w:r>
        <w:rPr>
          <w:rFonts w:hint="eastAsia"/>
          <w:szCs w:val="21"/>
        </w:rPr>
        <w:t>元（大写：</w:t>
      </w:r>
      <w:r>
        <w:rPr>
          <w:rFonts w:hint="eastAsia"/>
          <w:szCs w:val="21"/>
          <w:lang w:val="en-US" w:eastAsia="zh-CN"/>
        </w:rPr>
        <w:t>肆拾肆万贰仟伍佰元整</w:t>
      </w:r>
      <w:r>
        <w:rPr>
          <w:rFonts w:hint="eastAsia"/>
          <w:szCs w:val="21"/>
        </w:rPr>
        <w:t>）。</w:t>
      </w:r>
    </w:p>
    <w:p>
      <w:pPr>
        <w:spacing w:line="360" w:lineRule="exact"/>
        <w:ind w:firstLine="420" w:firstLineChars="200"/>
        <w:outlineLvl w:val="0"/>
        <w:rPr>
          <w:rFonts w:hint="eastAsia"/>
          <w:szCs w:val="21"/>
        </w:rPr>
      </w:pPr>
      <w:r>
        <w:rPr>
          <w:rFonts w:hint="eastAsia"/>
          <w:szCs w:val="21"/>
        </w:rPr>
        <w:t>注：竞标人的竞标报价均不得超过比选人公布的相应最高限价否则均为无效竞标（详见格式“</w:t>
      </w:r>
      <w:r>
        <w:rPr>
          <w:rFonts w:hint="eastAsia"/>
          <w:szCs w:val="21"/>
          <w:lang w:val="en-US" w:eastAsia="zh-CN"/>
        </w:rPr>
        <w:t>五</w:t>
      </w:r>
      <w:r>
        <w:rPr>
          <w:rFonts w:hint="eastAsia"/>
          <w:szCs w:val="21"/>
        </w:rPr>
        <w:t>、已标价报价清单”）。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eastAsia"/>
          <w:szCs w:val="21"/>
        </w:rPr>
      </w:pPr>
      <w:r>
        <w:rPr>
          <w:rFonts w:hint="eastAsia"/>
          <w:szCs w:val="21"/>
        </w:rPr>
        <w:t>1、投标（报价）方提供的产品应满足国家质量技术要求和重庆市相关标准规定，并按批量提供</w:t>
      </w:r>
      <w:r>
        <w:rPr>
          <w:rFonts w:hint="eastAsia"/>
          <w:szCs w:val="21"/>
          <w:lang w:eastAsia="zh-CN"/>
        </w:rPr>
        <w:t>比选</w:t>
      </w:r>
      <w:r>
        <w:rPr>
          <w:rFonts w:hint="eastAsia"/>
          <w:szCs w:val="21"/>
        </w:rPr>
        <w:t>方需要的</w:t>
      </w:r>
      <w:r>
        <w:rPr>
          <w:rFonts w:hint="eastAsia"/>
          <w:szCs w:val="21"/>
          <w:lang w:eastAsia="zh-CN"/>
        </w:rPr>
        <w:t>水泥</w:t>
      </w:r>
      <w:r>
        <w:rPr>
          <w:rFonts w:hint="eastAsia"/>
          <w:szCs w:val="21"/>
        </w:rPr>
        <w:t>合格证件资料。</w:t>
      </w:r>
    </w:p>
    <w:p>
      <w:pPr>
        <w:spacing w:line="360" w:lineRule="auto"/>
        <w:ind w:firstLine="420" w:firstLineChars="200"/>
        <w:rPr>
          <w:rFonts w:hint="eastAsia"/>
          <w:szCs w:val="21"/>
        </w:rPr>
      </w:pPr>
      <w:r>
        <w:rPr>
          <w:rFonts w:hint="eastAsia"/>
          <w:szCs w:val="21"/>
        </w:rPr>
        <w:t>2、因</w:t>
      </w:r>
      <w:r>
        <w:rPr>
          <w:rFonts w:hint="eastAsia"/>
          <w:szCs w:val="21"/>
          <w:lang w:eastAsia="zh-CN"/>
        </w:rPr>
        <w:t>水泥</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630" w:firstLineChars="300"/>
        <w:rPr>
          <w:rFonts w:hint="eastAsia"/>
          <w:szCs w:val="21"/>
        </w:rPr>
      </w:pPr>
      <w:r>
        <w:rPr>
          <w:rFonts w:hint="eastAsia"/>
          <w:szCs w:val="21"/>
        </w:rPr>
        <w:t>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③竞争性比选响应单位有效的营业执照、银行开户许可证；</w:t>
      </w:r>
    </w:p>
    <w:p>
      <w:pPr>
        <w:pageBreakBefore w:val="0"/>
        <w:kinsoku/>
        <w:wordWrap/>
        <w:overflowPunct/>
        <w:bidi w:val="0"/>
        <w:spacing w:line="360" w:lineRule="auto"/>
        <w:ind w:firstLine="420" w:firstLineChars="200"/>
        <w:rPr>
          <w:rFonts w:hint="eastAsia"/>
          <w:szCs w:val="21"/>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pageBreakBefore w:val="0"/>
        <w:kinsoku/>
        <w:wordWrap/>
        <w:overflowPunct/>
        <w:bidi w:val="0"/>
        <w:spacing w:line="360" w:lineRule="auto"/>
        <w:ind w:firstLine="420" w:firstLineChars="200"/>
        <w:rPr>
          <w:rFonts w:hint="eastAsia"/>
          <w:szCs w:val="21"/>
        </w:rPr>
      </w:pPr>
      <w:r>
        <w:rPr>
          <w:rFonts w:hint="eastAsia"/>
          <w:szCs w:val="21"/>
        </w:rPr>
        <w:t>⑤已标价报价清单。</w:t>
      </w:r>
    </w:p>
    <w:p>
      <w:pPr>
        <w:pageBreakBefore w:val="0"/>
        <w:kinsoku/>
        <w:wordWrap/>
        <w:overflowPunct/>
        <w:bidi w:val="0"/>
        <w:spacing w:line="360" w:lineRule="auto"/>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rFonts w:hint="eastAsia"/>
          <w:szCs w:val="21"/>
        </w:rPr>
      </w:pPr>
      <w:r>
        <w:rPr>
          <w:rFonts w:hint="eastAsia"/>
          <w:szCs w:val="21"/>
          <w:lang w:val="en-US" w:eastAsia="zh-CN"/>
        </w:rPr>
        <w:t>4</w:t>
      </w:r>
      <w:r>
        <w:rPr>
          <w:rFonts w:hint="eastAsia"/>
          <w:szCs w:val="21"/>
        </w:rPr>
        <w:t>、竞争性比选</w:t>
      </w:r>
      <w:r>
        <w:rPr>
          <w:szCs w:val="21"/>
        </w:rPr>
        <w:t>响应文件的份数及编制要求</w:t>
      </w:r>
      <w:r>
        <w:rPr>
          <w:rFonts w:hint="eastAsia"/>
          <w:szCs w:val="21"/>
        </w:rPr>
        <w:t>：</w:t>
      </w:r>
    </w:p>
    <w:p>
      <w:pPr>
        <w:spacing w:line="360" w:lineRule="exact"/>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kinsoku/>
        <w:wordWrap/>
        <w:overflowPunct/>
        <w:bidi w:val="0"/>
        <w:spacing w:line="360" w:lineRule="auto"/>
        <w:rPr>
          <w:b/>
          <w:szCs w:val="21"/>
        </w:rPr>
      </w:pPr>
      <w:r>
        <w:rPr>
          <w:rFonts w:hint="eastAsia" w:ascii="宋体" w:hAnsi="宋体" w:cs="宋体"/>
          <w:b/>
          <w:szCs w:val="21"/>
          <w:lang w:val="en-US" w:eastAsia="zh-CN"/>
        </w:rPr>
        <w:t>四、</w:t>
      </w: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在满足比选文件所有要求的前提下评标委员会按有效报价由低到高的先后顺序推荐中标候选人。各标段推荐3名中标候选人，不足3名则按相应家数推荐中标候选人（有效竞标人的经济、技术等指标仍然具有市场竞争力，能够满足比选文件要求的）。</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color w:val="auto"/>
          <w:szCs w:val="21"/>
        </w:rPr>
      </w:pPr>
      <w:r>
        <w:rPr>
          <w:rFonts w:hint="eastAsia" w:ascii="宋体" w:hAnsi="宋体" w:cs="宋体"/>
          <w:szCs w:val="21"/>
        </w:rPr>
        <w:t>（一）竞争性比选文件获取方式：凡愿意参加的潜</w:t>
      </w:r>
      <w:r>
        <w:rPr>
          <w:rFonts w:hint="eastAsia" w:ascii="宋体" w:hAnsi="宋体" w:cs="宋体"/>
          <w:color w:val="auto"/>
          <w:szCs w:val="21"/>
        </w:rPr>
        <w:t>在竞标人，</w:t>
      </w:r>
      <w:r>
        <w:rPr>
          <w:rFonts w:hint="eastAsia" w:ascii="宋体" w:hAnsi="宋体" w:eastAsia="宋体" w:cs="宋体"/>
          <w:sz w:val="21"/>
          <w:szCs w:val="21"/>
        </w:rPr>
        <w:t>请从发布公告之日起至</w:t>
      </w:r>
      <w:r>
        <w:rPr>
          <w:rFonts w:hint="eastAsia" w:ascii="宋体" w:hAnsi="宋体" w:cs="宋体"/>
          <w:color w:val="auto"/>
          <w:szCs w:val="21"/>
        </w:rPr>
        <w:t>竞争性比选响应文件递交截止时间前，详见竞争性比选公告及结果公示将在重庆高速集团官网（</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（二）竞争性比选公告及结果公示将在重庆高速集团官网</w:t>
      </w:r>
    </w:p>
    <w:p>
      <w:pPr>
        <w:spacing w:line="36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（三）竞争性比选响应文件递交截止地点：重庆通力高速公路养护工程有限公司314办公室（重庆市渝北区新南路52号）。</w:t>
      </w:r>
    </w:p>
    <w:p>
      <w:pPr>
        <w:spacing w:line="360" w:lineRule="exact"/>
        <w:ind w:firstLine="420" w:firstLineChars="200"/>
        <w:rPr>
          <w:rFonts w:hint="eastAsia" w:ascii="宋体" w:hAnsi="宋体" w:cs="宋体"/>
          <w:szCs w:val="21"/>
        </w:rPr>
      </w:pPr>
      <w:r>
        <w:rPr>
          <w:rFonts w:hint="eastAsia" w:ascii="宋体" w:hAnsi="宋体" w:cs="宋体"/>
          <w:color w:val="auto"/>
          <w:szCs w:val="21"/>
        </w:rPr>
        <w:t>（四）竞争性比选响应文件递交截止时间：202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16</w:t>
      </w:r>
      <w:r>
        <w:rPr>
          <w:rFonts w:hint="eastAsia" w:ascii="宋体" w:hAnsi="宋体" w:cs="宋体"/>
          <w:color w:val="auto"/>
          <w:szCs w:val="21"/>
          <w:u w:val="single"/>
        </w:rPr>
        <w:t xml:space="preserve">  </w:t>
      </w:r>
      <w:r>
        <w:rPr>
          <w:rFonts w:hint="eastAsia" w:ascii="宋体" w:hAnsi="宋体" w:cs="宋体"/>
          <w:szCs w:val="21"/>
        </w:rPr>
        <w:t>日</w:t>
      </w:r>
      <w:r>
        <w:rPr>
          <w:rFonts w:hint="eastAsia" w:ascii="宋体" w:hAnsi="宋体" w:cs="宋体"/>
          <w:szCs w:val="21"/>
          <w:lang w:val="en-US" w:eastAsia="zh-CN"/>
        </w:rPr>
        <w:t>下</w:t>
      </w:r>
      <w:r>
        <w:rPr>
          <w:rFonts w:hint="eastAsia" w:ascii="宋体" w:hAnsi="宋体" w:cs="宋体"/>
          <w:szCs w:val="21"/>
        </w:rPr>
        <w:t>午</w:t>
      </w:r>
      <w:r>
        <w:rPr>
          <w:rFonts w:hint="eastAsia" w:ascii="宋体" w:hAnsi="宋体" w:cs="宋体"/>
          <w:szCs w:val="21"/>
          <w:u w:val="single"/>
        </w:rPr>
        <w:t xml:space="preserve"> </w:t>
      </w:r>
      <w:r>
        <w:rPr>
          <w:rFonts w:hint="eastAsia" w:ascii="宋体" w:hAnsi="宋体" w:cs="宋体"/>
          <w:szCs w:val="21"/>
          <w:u w:val="single"/>
          <w:lang w:val="en-US" w:eastAsia="zh-CN"/>
        </w:rPr>
        <w:t>14</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不到场参与开标，视为竞标人默认开标过程及开标结果。各标段竞标人不足三家报名时，不予开标，标书当场退回。</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80" w:firstLineChars="200"/>
        <w:jc w:val="center"/>
        <w:rPr>
          <w:rFonts w:hint="eastAsia" w:ascii="宋体" w:hAnsi="宋体" w:cs="宋体"/>
          <w:b w:val="0"/>
          <w:bCs/>
          <w:sz w:val="24"/>
          <w:szCs w:val="24"/>
          <w:u w:val="single"/>
        </w:rPr>
      </w:pPr>
      <w:r>
        <w:rPr>
          <w:rFonts w:hint="eastAsia" w:ascii="宋体" w:hAnsi="宋体"/>
          <w:b w:val="0"/>
          <w:bCs/>
          <w:color w:val="000000"/>
          <w:kern w:val="0"/>
          <w:sz w:val="24"/>
          <w:szCs w:val="24"/>
          <w:u w:val="single"/>
        </w:rPr>
        <w:t>通力公司南部片区</w:t>
      </w:r>
      <w:r>
        <w:rPr>
          <w:rFonts w:ascii="宋体" w:hAnsi="宋体" w:eastAsia="宋体" w:cs="宋体"/>
          <w:b w:val="0"/>
          <w:bCs/>
          <w:sz w:val="24"/>
          <w:szCs w:val="24"/>
          <w:u w:val="single"/>
        </w:rPr>
        <w:t>南方公司和通粤公司边坡增设检修道工程</w:t>
      </w:r>
      <w:r>
        <w:rPr>
          <w:rFonts w:hint="eastAsia" w:ascii="宋体" w:hAnsi="宋体" w:cs="宋体"/>
          <w:b w:val="0"/>
          <w:bCs/>
          <w:sz w:val="24"/>
          <w:szCs w:val="24"/>
          <w:u w:val="single"/>
          <w:lang w:val="en-US" w:eastAsia="zh-CN"/>
        </w:rPr>
        <w:t>水泥</w:t>
      </w:r>
      <w:r>
        <w:rPr>
          <w:rFonts w:hint="eastAsia" w:ascii="宋体" w:hAnsi="宋体"/>
          <w:b w:val="0"/>
          <w:bCs/>
          <w:color w:val="000000"/>
          <w:kern w:val="0"/>
          <w:sz w:val="24"/>
          <w:szCs w:val="24"/>
          <w:u w:val="single"/>
          <w:lang w:val="en-US" w:eastAsia="zh-CN"/>
        </w:rPr>
        <w:t>采购</w:t>
      </w:r>
      <w:r>
        <w:rPr>
          <w:rFonts w:hint="eastAsia"/>
          <w:b w:val="0"/>
          <w:bCs/>
          <w:sz w:val="24"/>
          <w:szCs w:val="24"/>
          <w:u w:val="single"/>
          <w:lang w:eastAsia="zh-CN"/>
        </w:rPr>
        <w:t>项目</w:t>
      </w:r>
      <w:r>
        <w:rPr>
          <w:rFonts w:hint="eastAsia" w:ascii="宋体" w:hAnsi="宋体" w:cs="宋体"/>
          <w:b w:val="0"/>
          <w:bCs/>
          <w:sz w:val="24"/>
          <w:szCs w:val="24"/>
          <w:u w:val="single"/>
        </w:rPr>
        <w:t>竞争性比选响应性文件在</w:t>
      </w:r>
      <w:r>
        <w:rPr>
          <w:rFonts w:hint="eastAsia" w:ascii="宋体" w:hAnsi="宋体" w:cs="宋体"/>
          <w:b w:val="0"/>
          <w:bCs/>
          <w:color w:val="auto"/>
          <w:sz w:val="24"/>
          <w:szCs w:val="24"/>
          <w:u w:val="single"/>
        </w:rPr>
        <w:t>202</w:t>
      </w:r>
      <w:r>
        <w:rPr>
          <w:rFonts w:hint="eastAsia" w:ascii="宋体" w:hAnsi="宋体" w:cs="宋体"/>
          <w:b w:val="0"/>
          <w:bCs/>
          <w:color w:val="auto"/>
          <w:sz w:val="24"/>
          <w:szCs w:val="24"/>
          <w:u w:val="single"/>
          <w:lang w:val="en-US" w:eastAsia="zh-CN"/>
        </w:rPr>
        <w:t>1</w:t>
      </w:r>
      <w:r>
        <w:rPr>
          <w:rFonts w:hint="eastAsia" w:ascii="宋体" w:hAnsi="宋体" w:cs="宋体"/>
          <w:b w:val="0"/>
          <w:bCs/>
          <w:color w:val="auto"/>
          <w:sz w:val="24"/>
          <w:szCs w:val="24"/>
          <w:u w:val="single"/>
        </w:rPr>
        <w:t>年</w:t>
      </w:r>
      <w:r>
        <w:rPr>
          <w:rFonts w:hint="eastAsia" w:ascii="宋体" w:hAnsi="宋体" w:cs="宋体"/>
          <w:b w:val="0"/>
          <w:bCs/>
          <w:color w:val="auto"/>
          <w:sz w:val="24"/>
          <w:szCs w:val="24"/>
          <w:u w:val="single"/>
          <w:lang w:val="en-US" w:eastAsia="zh-CN"/>
        </w:rPr>
        <w:t>8</w:t>
      </w:r>
      <w:r>
        <w:rPr>
          <w:rFonts w:hint="eastAsia" w:ascii="宋体" w:hAnsi="宋体" w:cs="宋体"/>
          <w:b w:val="0"/>
          <w:bCs/>
          <w:color w:val="auto"/>
          <w:sz w:val="24"/>
          <w:szCs w:val="24"/>
          <w:u w:val="single"/>
        </w:rPr>
        <w:t>月</w:t>
      </w:r>
      <w:r>
        <w:rPr>
          <w:rFonts w:hint="eastAsia" w:ascii="宋体" w:hAnsi="宋体" w:cs="宋体"/>
          <w:b w:val="0"/>
          <w:bCs/>
          <w:color w:val="auto"/>
          <w:sz w:val="24"/>
          <w:szCs w:val="24"/>
          <w:u w:val="single"/>
          <w:lang w:val="en-US" w:eastAsia="zh-CN"/>
        </w:rPr>
        <w:t>16</w:t>
      </w:r>
      <w:r>
        <w:rPr>
          <w:rFonts w:hint="eastAsia" w:ascii="宋体" w:hAnsi="宋体" w:cs="宋体"/>
          <w:b w:val="0"/>
          <w:bCs/>
          <w:color w:val="auto"/>
          <w:sz w:val="24"/>
          <w:szCs w:val="24"/>
          <w:u w:val="single"/>
        </w:rPr>
        <w:t>日</w:t>
      </w:r>
      <w:r>
        <w:rPr>
          <w:rFonts w:hint="eastAsia" w:ascii="宋体" w:hAnsi="宋体" w:cs="宋体"/>
          <w:b w:val="0"/>
          <w:bCs/>
          <w:color w:val="auto"/>
          <w:sz w:val="24"/>
          <w:szCs w:val="24"/>
          <w:u w:val="single"/>
          <w:lang w:val="en-US" w:eastAsia="zh-CN"/>
        </w:rPr>
        <w:t>下</w:t>
      </w:r>
      <w:r>
        <w:rPr>
          <w:rFonts w:hint="eastAsia" w:ascii="宋体" w:hAnsi="宋体" w:cs="宋体"/>
          <w:b w:val="0"/>
          <w:bCs/>
          <w:sz w:val="24"/>
          <w:szCs w:val="24"/>
          <w:u w:val="single"/>
        </w:rPr>
        <w:t>午 1</w:t>
      </w:r>
      <w:r>
        <w:rPr>
          <w:rFonts w:hint="eastAsia" w:ascii="宋体" w:hAnsi="宋体" w:cs="宋体"/>
          <w:b w:val="0"/>
          <w:bCs/>
          <w:sz w:val="24"/>
          <w:szCs w:val="24"/>
          <w:u w:val="single"/>
          <w:lang w:val="en-US" w:eastAsia="zh-CN"/>
        </w:rPr>
        <w:t>4</w:t>
      </w:r>
      <w:r>
        <w:rPr>
          <w:rFonts w:hint="eastAsia" w:ascii="宋体" w:hAnsi="宋体" w:cs="宋体"/>
          <w:b w:val="0"/>
          <w:bCs/>
          <w:sz w:val="24"/>
          <w:szCs w:val="24"/>
          <w:u w:val="single"/>
        </w:rPr>
        <w:t xml:space="preserve"> 时 00 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（八）采购合同（附后）：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周</w:t>
      </w:r>
      <w:r>
        <w:rPr>
          <w:rFonts w:hint="eastAsia" w:ascii="宋体" w:hAnsi="宋体"/>
          <w:snapToGrid w:val="0"/>
          <w:kern w:val="0"/>
          <w:szCs w:val="21"/>
        </w:rPr>
        <w:t>老师 电话：</w:t>
      </w:r>
      <w:r>
        <w:rPr>
          <w:rFonts w:hint="eastAsia" w:ascii="宋体" w:hAnsi="宋体"/>
          <w:snapToGrid w:val="0"/>
          <w:kern w:val="0"/>
          <w:szCs w:val="21"/>
          <w:lang w:val="en-US" w:eastAsia="zh-CN"/>
        </w:rPr>
        <w:t>13752826767</w:t>
      </w:r>
    </w:p>
    <w:p>
      <w:pPr>
        <w:spacing w:line="360" w:lineRule="exact"/>
        <w:ind w:firstLine="420" w:firstLineChars="200"/>
        <w:jc w:val="left"/>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4"/>
          <w:szCs w:val="24"/>
        </w:rPr>
      </w:pPr>
    </w:p>
    <w:p>
      <w:pPr>
        <w:pStyle w:val="10"/>
        <w:rPr>
          <w:rFonts w:ascii="宋体" w:hAnsi="宋体"/>
          <w:color w:val="auto"/>
        </w:rPr>
      </w:pPr>
    </w:p>
    <w:p>
      <w:pPr>
        <w:pStyle w:val="10"/>
        <w:rPr>
          <w:rFonts w:ascii="宋体" w:hAnsi="宋体"/>
          <w:color w:val="auto"/>
        </w:rPr>
      </w:pPr>
    </w:p>
    <w:p>
      <w:pPr>
        <w:pStyle w:val="10"/>
        <w:rPr>
          <w:rFonts w:ascii="宋体" w:hAnsi="宋体"/>
          <w:color w:val="auto"/>
        </w:rPr>
      </w:pPr>
    </w:p>
    <w:p>
      <w:pPr>
        <w:pStyle w:val="10"/>
        <w:rPr>
          <w:rFonts w:ascii="宋体" w:hAnsi="宋体"/>
          <w:color w:val="auto"/>
        </w:rPr>
      </w:pPr>
    </w:p>
    <w:p>
      <w:pPr>
        <w:pStyle w:val="10"/>
        <w:rPr>
          <w:rFonts w:ascii="宋体" w:hAnsi="宋体"/>
          <w:color w:val="auto"/>
        </w:rPr>
      </w:pPr>
    </w:p>
    <w:p>
      <w:pPr>
        <w:pStyle w:val="10"/>
        <w:rPr>
          <w:rFonts w:ascii="宋体" w:hAnsi="宋体"/>
          <w:color w:val="auto"/>
        </w:rPr>
      </w:pPr>
    </w:p>
    <w:p>
      <w:pPr>
        <w:spacing w:line="400" w:lineRule="exact"/>
        <w:rPr>
          <w:rFonts w:hint="eastAsia"/>
          <w:b/>
          <w:sz w:val="24"/>
          <w:szCs w:val="21"/>
        </w:rPr>
      </w:pPr>
    </w:p>
    <w:p>
      <w:pPr>
        <w:pStyle w:val="10"/>
        <w:rPr>
          <w:rFonts w:hint="eastAsia"/>
          <w:b/>
          <w:color w:val="auto"/>
          <w:szCs w:val="21"/>
        </w:rPr>
      </w:pPr>
    </w:p>
    <w:p>
      <w:pPr>
        <w:pStyle w:val="10"/>
        <w:rPr>
          <w:rFonts w:hint="eastAsia"/>
          <w:b/>
          <w:color w:val="auto"/>
          <w:szCs w:val="21"/>
        </w:rPr>
      </w:pPr>
    </w:p>
    <w:p>
      <w:pPr>
        <w:spacing w:line="400" w:lineRule="exact"/>
        <w:rPr>
          <w:rFonts w:hint="eastAsia"/>
          <w:b/>
          <w:sz w:val="24"/>
          <w:szCs w:val="21"/>
        </w:rPr>
      </w:pPr>
      <w:r>
        <w:rPr>
          <w:rFonts w:hint="eastAsia"/>
          <w:b/>
          <w:sz w:val="24"/>
          <w:szCs w:val="21"/>
        </w:rPr>
        <w:t>采购合同：</w:t>
      </w:r>
    </w:p>
    <w:p>
      <w:pPr>
        <w:pStyle w:val="3"/>
        <w:jc w:val="center"/>
        <w:rPr>
          <w:b/>
          <w:szCs w:val="36"/>
        </w:rPr>
      </w:pPr>
      <w:r>
        <w:rPr>
          <w:rFonts w:hint="eastAsia"/>
        </w:rPr>
        <w:t>通力公司南部片区</w:t>
      </w:r>
      <w:r>
        <w:t>南方公司和通粤公司边坡增设检修道工程</w:t>
      </w:r>
      <w:r>
        <w:rPr>
          <w:rFonts w:hint="eastAsia"/>
          <w:lang w:val="en-US" w:eastAsia="zh-CN"/>
        </w:rPr>
        <w:t>水泥采购</w:t>
      </w:r>
      <w:r>
        <w:rPr>
          <w:rFonts w:hint="eastAsia"/>
        </w:rPr>
        <w:t>合同</w:t>
      </w:r>
    </w:p>
    <w:p>
      <w:pPr>
        <w:spacing w:line="360" w:lineRule="auto"/>
        <w:textAlignment w:val="baseline"/>
        <w:rPr>
          <w:sz w:val="24"/>
          <w:szCs w:val="24"/>
        </w:rPr>
      </w:pPr>
      <w:r>
        <w:rPr>
          <w:rFonts w:hint="eastAsia"/>
          <w:sz w:val="24"/>
          <w:szCs w:val="24"/>
        </w:rPr>
        <w:t>甲方：重庆通力高速公路养护工程有限公司</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w:t>
      </w:r>
      <w:r>
        <w:rPr>
          <w:rFonts w:hint="eastAsia"/>
          <w:b w:val="0"/>
          <w:bCs w:val="0"/>
          <w:sz w:val="24"/>
          <w:szCs w:val="24"/>
        </w:rPr>
        <w:t>方因</w:t>
      </w:r>
      <w:r>
        <w:rPr>
          <w:rFonts w:ascii="宋体" w:hAnsi="宋体" w:eastAsia="宋体" w:cs="宋体"/>
          <w:b w:val="0"/>
          <w:bCs w:val="0"/>
          <w:sz w:val="24"/>
          <w:szCs w:val="24"/>
        </w:rPr>
        <w:t>南方公司和通粤公司边坡增设检修道</w:t>
      </w:r>
      <w:r>
        <w:rPr>
          <w:rFonts w:hint="eastAsia"/>
          <w:b w:val="0"/>
          <w:bCs w:val="0"/>
          <w:sz w:val="24"/>
          <w:szCs w:val="24"/>
          <w:lang w:eastAsia="zh-CN"/>
        </w:rPr>
        <w:t>工程</w:t>
      </w:r>
      <w:r>
        <w:rPr>
          <w:rFonts w:hint="eastAsia"/>
          <w:b w:val="0"/>
          <w:bCs w:val="0"/>
          <w:sz w:val="24"/>
          <w:szCs w:val="24"/>
        </w:rPr>
        <w:t>需要</w:t>
      </w:r>
      <w:r>
        <w:rPr>
          <w:rFonts w:hint="eastAsia"/>
          <w:sz w:val="24"/>
          <w:szCs w:val="24"/>
        </w:rPr>
        <w:t>，</w:t>
      </w:r>
      <w:r>
        <w:rPr>
          <w:rFonts w:hint="eastAsia" w:ascii="宋体" w:hAnsi="宋体"/>
          <w:sz w:val="24"/>
          <w:szCs w:val="24"/>
        </w:rPr>
        <w:t>协议向乙方采购</w:t>
      </w:r>
      <w:r>
        <w:rPr>
          <w:rFonts w:hint="eastAsia" w:ascii="宋体" w:hAnsi="宋体"/>
          <w:sz w:val="24"/>
          <w:szCs w:val="24"/>
          <w:lang w:eastAsia="zh-CN"/>
        </w:rPr>
        <w:t>水泥</w:t>
      </w:r>
      <w:r>
        <w:rPr>
          <w:rFonts w:hint="eastAsia" w:ascii="宋体" w:hAnsi="宋体"/>
          <w:sz w:val="24"/>
          <w:szCs w:val="24"/>
        </w:rPr>
        <w:t>；依照《中华人民共和国</w:t>
      </w:r>
      <w:r>
        <w:rPr>
          <w:rFonts w:hint="eastAsia" w:ascii="宋体" w:hAnsi="宋体"/>
          <w:sz w:val="24"/>
          <w:szCs w:val="24"/>
          <w:lang w:val="en-US" w:eastAsia="zh-CN"/>
        </w:rPr>
        <w:t>民法典</w:t>
      </w:r>
      <w:r>
        <w:rPr>
          <w:rFonts w:hint="eastAsia" w:ascii="宋体" w:hAnsi="宋体"/>
          <w:sz w:val="24"/>
          <w:szCs w:val="24"/>
        </w:rPr>
        <w:t>》及其他有关法律、行政法规，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3"/>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tbl>
      <w:tblPr>
        <w:tblStyle w:val="8"/>
        <w:tblW w:w="9680" w:type="dxa"/>
        <w:tblInd w:w="-318" w:type="dxa"/>
        <w:tblLayout w:type="fixed"/>
        <w:tblCellMar>
          <w:top w:w="0" w:type="dxa"/>
          <w:left w:w="0" w:type="dxa"/>
          <w:bottom w:w="0" w:type="dxa"/>
          <w:right w:w="0" w:type="dxa"/>
        </w:tblCellMar>
      </w:tblPr>
      <w:tblGrid>
        <w:gridCol w:w="1569"/>
        <w:gridCol w:w="1105"/>
        <w:gridCol w:w="1428"/>
        <w:gridCol w:w="801"/>
        <w:gridCol w:w="889"/>
        <w:gridCol w:w="1033"/>
        <w:gridCol w:w="908"/>
        <w:gridCol w:w="1947"/>
      </w:tblGrid>
      <w:tr>
        <w:tblPrEx>
          <w:tblCellMar>
            <w:top w:w="0" w:type="dxa"/>
            <w:left w:w="0" w:type="dxa"/>
            <w:bottom w:w="0" w:type="dxa"/>
            <w:right w:w="0" w:type="dxa"/>
          </w:tblCellMar>
        </w:tblPrEx>
        <w:trPr>
          <w:trHeight w:val="551" w:hRule="atLeast"/>
        </w:trPr>
        <w:tc>
          <w:tcPr>
            <w:tcW w:w="15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1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1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规格</w:t>
            </w:r>
            <w:r>
              <w:rPr>
                <w:rFonts w:hint="eastAsia" w:ascii="宋体" w:hAnsi="宋体" w:cs="宋体"/>
                <w:b/>
                <w:i w:val="0"/>
                <w:color w:val="000000"/>
                <w:kern w:val="0"/>
                <w:sz w:val="18"/>
                <w:szCs w:val="18"/>
                <w:u w:val="none"/>
                <w:lang w:val="en-US" w:eastAsia="zh-CN" w:bidi="ar"/>
              </w:rPr>
              <w:t>、型号</w:t>
            </w:r>
          </w:p>
        </w:tc>
        <w:tc>
          <w:tcPr>
            <w:tcW w:w="8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p>
        </w:tc>
        <w:tc>
          <w:tcPr>
            <w:tcW w:w="9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023" w:hRule="atLeast"/>
        </w:trPr>
        <w:tc>
          <w:tcPr>
            <w:tcW w:w="15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南道路、南涪路、綦万路、南万路</w:t>
            </w:r>
          </w:p>
        </w:tc>
        <w:tc>
          <w:tcPr>
            <w:tcW w:w="11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水泥</w:t>
            </w:r>
          </w:p>
        </w:tc>
        <w:tc>
          <w:tcPr>
            <w:tcW w:w="1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color w:val="000000"/>
                <w:kern w:val="0"/>
                <w:szCs w:val="21"/>
                <w:lang w:val="en-US" w:eastAsia="zh-CN"/>
              </w:rPr>
              <w:t>Po42.5</w:t>
            </w:r>
          </w:p>
        </w:tc>
        <w:tc>
          <w:tcPr>
            <w:tcW w:w="8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吨</w:t>
            </w:r>
          </w:p>
        </w:tc>
        <w:tc>
          <w:tcPr>
            <w:tcW w:w="8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750</w:t>
            </w:r>
          </w:p>
        </w:tc>
        <w:tc>
          <w:tcPr>
            <w:tcW w:w="10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c>
          <w:tcPr>
            <w:tcW w:w="9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c>
          <w:tcPr>
            <w:tcW w:w="1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r>
      <w:tr>
        <w:tblPrEx>
          <w:tblCellMar>
            <w:top w:w="0" w:type="dxa"/>
            <w:left w:w="0" w:type="dxa"/>
            <w:bottom w:w="0" w:type="dxa"/>
            <w:right w:w="0" w:type="dxa"/>
          </w:tblCellMar>
        </w:tblPrEx>
        <w:trPr>
          <w:trHeight w:val="708" w:hRule="atLeast"/>
        </w:trPr>
        <w:tc>
          <w:tcPr>
            <w:tcW w:w="4903"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金额：</w:t>
            </w:r>
          </w:p>
        </w:tc>
        <w:tc>
          <w:tcPr>
            <w:tcW w:w="4777"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大写：</w:t>
            </w:r>
          </w:p>
        </w:tc>
      </w:tr>
    </w:tbl>
    <w:p>
      <w:pPr>
        <w:spacing w:line="520" w:lineRule="exact"/>
        <w:ind w:firstLine="480" w:firstLineChars="200"/>
        <w:textAlignment w:val="baseline"/>
        <w:rPr>
          <w:sz w:val="24"/>
          <w:szCs w:val="24"/>
        </w:rPr>
      </w:pPr>
      <w:r>
        <w:rPr>
          <w:rFonts w:hint="eastAsia"/>
          <w:sz w:val="24"/>
          <w:szCs w:val="24"/>
        </w:rPr>
        <w:t>本合同为综合单价合同，表中数量为预计数量，结算数量以甲方代表实际签证确认的到场合格数量为准。</w:t>
      </w:r>
    </w:p>
    <w:p>
      <w:pPr>
        <w:spacing w:line="520" w:lineRule="exact"/>
        <w:ind w:firstLine="472" w:firstLineChars="196"/>
        <w:rPr>
          <w:b/>
          <w:sz w:val="24"/>
          <w:szCs w:val="24"/>
        </w:rPr>
      </w:pPr>
      <w:r>
        <w:rPr>
          <w:rFonts w:hint="eastAsia"/>
          <w:b/>
          <w:sz w:val="24"/>
          <w:szCs w:val="24"/>
        </w:rPr>
        <w:t>二、质量要求、技术标准</w:t>
      </w:r>
    </w:p>
    <w:p>
      <w:pPr>
        <w:spacing w:line="440" w:lineRule="atLeast"/>
        <w:ind w:firstLine="480" w:firstLineChars="200"/>
        <w:rPr>
          <w:rFonts w:hint="eastAsia" w:ascii="宋体" w:hAnsi="宋体"/>
          <w:sz w:val="24"/>
          <w:szCs w:val="24"/>
        </w:rPr>
      </w:pPr>
      <w:r>
        <w:rPr>
          <w:rFonts w:hint="eastAsia" w:ascii="宋体" w:hAnsi="宋体"/>
          <w:sz w:val="24"/>
          <w:szCs w:val="24"/>
        </w:rPr>
        <w:t>1、乙方提供的交安产品应满足国家质量技术要求和重庆市相关标准规定等，并按批量提供询价方所需的</w:t>
      </w:r>
      <w:r>
        <w:rPr>
          <w:rFonts w:hint="eastAsia" w:ascii="宋体" w:hAnsi="宋体"/>
          <w:sz w:val="24"/>
          <w:szCs w:val="24"/>
          <w:lang w:eastAsia="zh-CN"/>
        </w:rPr>
        <w:t>水泥</w:t>
      </w:r>
      <w:r>
        <w:rPr>
          <w:rFonts w:hint="eastAsia" w:ascii="宋体" w:hAnsi="宋体"/>
          <w:sz w:val="24"/>
          <w:szCs w:val="24"/>
        </w:rPr>
        <w:t>合格证件资料。</w:t>
      </w:r>
    </w:p>
    <w:p>
      <w:pPr>
        <w:spacing w:line="440" w:lineRule="atLeast"/>
        <w:ind w:firstLine="480" w:firstLineChars="200"/>
        <w:rPr>
          <w:rFonts w:ascii="宋体" w:hAnsi="宋体"/>
          <w:sz w:val="24"/>
          <w:szCs w:val="24"/>
        </w:rPr>
      </w:pPr>
      <w:r>
        <w:rPr>
          <w:rFonts w:hint="eastAsia" w:ascii="宋体" w:hAnsi="宋体"/>
          <w:sz w:val="24"/>
          <w:szCs w:val="24"/>
        </w:rPr>
        <w:t>2、乙方提供的预拌</w:t>
      </w:r>
      <w:r>
        <w:rPr>
          <w:rFonts w:hint="eastAsia" w:ascii="宋体" w:hAnsi="宋体"/>
          <w:sz w:val="24"/>
          <w:szCs w:val="24"/>
          <w:lang w:eastAsia="zh-CN"/>
        </w:rPr>
        <w:t>水泥</w:t>
      </w:r>
      <w:r>
        <w:rPr>
          <w:rFonts w:hint="eastAsia" w:ascii="宋体" w:hAnsi="宋体"/>
          <w:sz w:val="24"/>
          <w:szCs w:val="24"/>
        </w:rPr>
        <w:t>的型号规格、质量应符合设计图纸要求。</w:t>
      </w:r>
    </w:p>
    <w:p>
      <w:pPr>
        <w:spacing w:line="440" w:lineRule="atLeast"/>
        <w:ind w:firstLine="480" w:firstLineChars="200"/>
        <w:rPr>
          <w:color w:val="FF0000"/>
          <w:sz w:val="24"/>
          <w:szCs w:val="24"/>
        </w:rPr>
      </w:pPr>
      <w:r>
        <w:rPr>
          <w:rFonts w:hint="eastAsia" w:ascii="宋体" w:hAnsi="宋体"/>
          <w:sz w:val="24"/>
          <w:szCs w:val="24"/>
        </w:rPr>
        <w:t>3、因</w:t>
      </w:r>
      <w:r>
        <w:rPr>
          <w:rFonts w:hint="eastAsia" w:ascii="宋体" w:hAnsi="宋体"/>
          <w:sz w:val="24"/>
          <w:szCs w:val="24"/>
          <w:lang w:eastAsia="zh-CN"/>
        </w:rPr>
        <w:t>水泥</w:t>
      </w:r>
      <w:r>
        <w:rPr>
          <w:rFonts w:hint="eastAsia" w:ascii="宋体" w:hAnsi="宋体"/>
          <w:sz w:val="24"/>
          <w:szCs w:val="24"/>
        </w:rPr>
        <w:t>质量不符合国家、行业规定的以及本合同约定的相关标准而产生的一切后果责任由乙方承担；若由此而给甲方造成损失的，乙方应全额赔偿。</w:t>
      </w:r>
    </w:p>
    <w:p>
      <w:pPr>
        <w:spacing w:line="520" w:lineRule="exact"/>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rFonts w:hint="eastAsia"/>
          <w:sz w:val="24"/>
          <w:szCs w:val="24"/>
        </w:rPr>
      </w:pPr>
      <w:r>
        <w:rPr>
          <w:rFonts w:hint="eastAsia"/>
          <w:sz w:val="24"/>
          <w:szCs w:val="24"/>
        </w:rPr>
        <w:t>1、甲方所采购的预拌</w:t>
      </w:r>
      <w:r>
        <w:rPr>
          <w:rFonts w:hint="eastAsia"/>
          <w:sz w:val="24"/>
          <w:szCs w:val="24"/>
          <w:lang w:eastAsia="zh-CN"/>
        </w:rPr>
        <w:t>水泥</w:t>
      </w:r>
      <w:r>
        <w:rPr>
          <w:rFonts w:hint="eastAsia"/>
          <w:sz w:val="24"/>
          <w:szCs w:val="24"/>
        </w:rPr>
        <w:t>由乙方运送至甲方指定位置</w:t>
      </w:r>
      <w:r>
        <w:rPr>
          <w:rFonts w:hint="eastAsia"/>
          <w:sz w:val="24"/>
          <w:szCs w:val="24"/>
          <w:lang w:eastAsia="zh-CN"/>
        </w:rPr>
        <w:t>（</w:t>
      </w:r>
      <w:r>
        <w:rPr>
          <w:rFonts w:hint="eastAsia"/>
          <w:sz w:val="24"/>
          <w:szCs w:val="24"/>
          <w:lang w:val="en-US" w:eastAsia="zh-CN"/>
        </w:rPr>
        <w:t>南川东胜养护站、武隆养护站、万盛养护站、涪陵马武养护站</w:t>
      </w:r>
      <w:bookmarkStart w:id="36" w:name="_GoBack"/>
      <w:bookmarkEnd w:id="36"/>
      <w:r>
        <w:rPr>
          <w:rFonts w:hint="eastAsia"/>
          <w:sz w:val="24"/>
          <w:szCs w:val="24"/>
          <w:lang w:eastAsia="zh-CN"/>
        </w:rPr>
        <w:t>）</w:t>
      </w:r>
      <w:r>
        <w:rPr>
          <w:rFonts w:hint="eastAsia"/>
          <w:sz w:val="24"/>
          <w:szCs w:val="24"/>
        </w:rPr>
        <w:t>。</w:t>
      </w:r>
      <w:r>
        <w:rPr>
          <w:rFonts w:hint="eastAsia" w:ascii="宋体" w:hAnsi="宋体" w:eastAsia="宋体" w:cs="宋体"/>
          <w:b w:val="0"/>
          <w:bCs w:val="0"/>
          <w:sz w:val="24"/>
          <w:szCs w:val="24"/>
        </w:rPr>
        <w:t>并按甲方要求时间进场卸料，停靠于甲方指定卸料地点。</w:t>
      </w:r>
    </w:p>
    <w:p>
      <w:pPr>
        <w:spacing w:line="440" w:lineRule="exact"/>
        <w:ind w:firstLine="480" w:firstLineChars="200"/>
        <w:textAlignment w:val="baseline"/>
        <w:rPr>
          <w:rFonts w:hint="eastAsia" w:ascii="宋体" w:hAnsi="宋体"/>
          <w:sz w:val="24"/>
        </w:rPr>
      </w:pPr>
      <w:r>
        <w:rPr>
          <w:rFonts w:hint="eastAsia" w:ascii="宋体" w:hAnsi="宋体"/>
          <w:sz w:val="24"/>
        </w:rPr>
        <w:t>2、乙方对所供应的</w:t>
      </w:r>
      <w:r>
        <w:rPr>
          <w:rFonts w:hint="eastAsia" w:ascii="宋体" w:hAnsi="宋体"/>
          <w:sz w:val="24"/>
          <w:lang w:eastAsia="zh-CN"/>
        </w:rPr>
        <w:t>水泥</w:t>
      </w:r>
      <w:r>
        <w:rPr>
          <w:rFonts w:hint="eastAsia" w:ascii="宋体" w:hAnsi="宋体"/>
          <w:sz w:val="24"/>
        </w:rPr>
        <w:t>保证到场质量，</w:t>
      </w:r>
      <w:r>
        <w:rPr>
          <w:rFonts w:hint="eastAsia"/>
          <w:sz w:val="24"/>
          <w:szCs w:val="24"/>
        </w:rPr>
        <w:t>否则，甲方有权拒绝收货或要求退货。</w:t>
      </w:r>
    </w:p>
    <w:p>
      <w:pPr>
        <w:spacing w:line="520" w:lineRule="exact"/>
        <w:ind w:firstLine="472" w:firstLineChars="196"/>
        <w:textAlignment w:val="baseline"/>
        <w:rPr>
          <w:b/>
          <w:sz w:val="24"/>
          <w:szCs w:val="24"/>
        </w:rPr>
      </w:pPr>
      <w:r>
        <w:rPr>
          <w:rFonts w:hint="eastAsia"/>
          <w:b/>
          <w:sz w:val="24"/>
          <w:szCs w:val="24"/>
        </w:rPr>
        <w:t>四、运输方式及到达站港和费用负担</w:t>
      </w:r>
    </w:p>
    <w:p>
      <w:pPr>
        <w:spacing w:line="520" w:lineRule="exact"/>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w:t>
      </w:r>
    </w:p>
    <w:p>
      <w:pPr>
        <w:spacing w:line="520" w:lineRule="exact"/>
        <w:ind w:firstLine="472" w:firstLineChars="196"/>
        <w:rPr>
          <w:rFonts w:ascii="宋体" w:hAnsi="宋体"/>
          <w:b/>
          <w:sz w:val="24"/>
        </w:rPr>
      </w:pPr>
      <w:r>
        <w:rPr>
          <w:rFonts w:hint="eastAsia" w:ascii="宋体" w:hAnsi="宋体"/>
          <w:b/>
          <w:sz w:val="24"/>
        </w:rPr>
        <w:t>五、货物所有权</w:t>
      </w:r>
    </w:p>
    <w:p>
      <w:pPr>
        <w:spacing w:line="520" w:lineRule="exact"/>
        <w:ind w:firstLine="480" w:firstLineChars="200"/>
        <w:rPr>
          <w:rFonts w:ascii="宋体" w:hAnsi="宋体"/>
          <w:sz w:val="24"/>
        </w:rPr>
      </w:pPr>
      <w:r>
        <w:rPr>
          <w:rFonts w:hint="eastAsia" w:ascii="宋体" w:hAnsi="宋体"/>
          <w:sz w:val="24"/>
        </w:rPr>
        <w:t>本合同项下</w:t>
      </w:r>
      <w:r>
        <w:rPr>
          <w:rFonts w:hint="eastAsia" w:ascii="宋体" w:hAnsi="宋体"/>
          <w:sz w:val="24"/>
          <w:lang w:eastAsia="zh-CN"/>
        </w:rPr>
        <w:t>水泥</w:t>
      </w:r>
      <w:r>
        <w:rPr>
          <w:rFonts w:hint="eastAsia" w:ascii="宋体" w:hAnsi="宋体"/>
          <w:sz w:val="24"/>
        </w:rPr>
        <w:t>的风险转移以所有权转移的时间为准，即货物交付验收前所有权归属于乙方，货物风险、保管费用等均由乙方承担；</w:t>
      </w:r>
      <w:r>
        <w:rPr>
          <w:rFonts w:hint="eastAsia" w:ascii="宋体" w:hAnsi="宋体"/>
          <w:sz w:val="24"/>
          <w:lang w:eastAsia="zh-CN"/>
        </w:rPr>
        <w:t>水泥</w:t>
      </w:r>
      <w:r>
        <w:rPr>
          <w:rFonts w:hint="eastAsia" w:ascii="宋体" w:hAnsi="宋体"/>
          <w:sz w:val="24"/>
        </w:rPr>
        <w:t>交付验收后所有权转移为甲方所有；货物风险自货物交付验收后由甲方承担。</w:t>
      </w:r>
    </w:p>
    <w:p>
      <w:pPr>
        <w:spacing w:line="520" w:lineRule="exact"/>
        <w:ind w:firstLine="472" w:firstLineChars="196"/>
        <w:textAlignment w:val="baseline"/>
      </w:pPr>
      <w:r>
        <w:rPr>
          <w:rFonts w:hint="eastAsia"/>
          <w:b/>
          <w:sz w:val="24"/>
          <w:szCs w:val="24"/>
        </w:rPr>
        <w:t>六、计量方法</w:t>
      </w:r>
    </w:p>
    <w:p>
      <w:pPr>
        <w:spacing w:line="440" w:lineRule="exact"/>
        <w:ind w:firstLine="480" w:firstLineChars="200"/>
        <w:textAlignment w:val="baseline"/>
        <w:rPr>
          <w:rFonts w:hint="eastAsia"/>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以甲方代表现场点数</w:t>
      </w:r>
      <w:r>
        <w:rPr>
          <w:rFonts w:hint="eastAsia" w:ascii="宋体" w:hAnsi="宋体" w:cs="宋体"/>
          <w:bCs/>
          <w:sz w:val="24"/>
          <w:szCs w:val="24"/>
        </w:rPr>
        <w:t>实际到场合格数</w:t>
      </w:r>
      <w:r>
        <w:rPr>
          <w:rFonts w:hint="eastAsia"/>
          <w:sz w:val="24"/>
        </w:rPr>
        <w:t>计量为准，乙方提供的出厂计量单作为参考。乙方如对甲方计量结果有异议，双方应现场协商解决，事后甲方不予认可。</w:t>
      </w:r>
    </w:p>
    <w:p>
      <w:pPr>
        <w:spacing w:line="440" w:lineRule="exact"/>
        <w:ind w:firstLine="480" w:firstLineChars="200"/>
        <w:textAlignment w:val="baseline"/>
        <w:rPr>
          <w:rFonts w:hint="eastAsia"/>
        </w:rPr>
      </w:pPr>
      <w:r>
        <w:rPr>
          <w:rFonts w:hint="eastAsia" w:ascii="宋体" w:hAnsi="宋体" w:cs="宋体"/>
          <w:bCs/>
          <w:sz w:val="24"/>
          <w:szCs w:val="24"/>
        </w:rPr>
        <w:t xml:space="preserve"> 2</w:t>
      </w:r>
      <w:r>
        <w:rPr>
          <w:rFonts w:hint="eastAsia" w:ascii="宋体" w:hAnsi="宋体" w:cs="宋体"/>
          <w:bCs/>
          <w:color w:val="auto"/>
          <w:sz w:val="24"/>
          <w:szCs w:val="24"/>
        </w:rPr>
        <w:t>、</w:t>
      </w:r>
      <w:r>
        <w:rPr>
          <w:rFonts w:hint="eastAsia" w:ascii="宋体" w:hAnsi="宋体" w:cs="宋体"/>
          <w:bCs/>
          <w:color w:val="auto"/>
          <w:sz w:val="24"/>
          <w:szCs w:val="24"/>
          <w:lang w:eastAsia="zh-CN"/>
        </w:rPr>
        <w:t>重量差</w:t>
      </w:r>
      <w:r>
        <w:rPr>
          <w:rFonts w:hint="eastAsia" w:ascii="宋体" w:hAnsi="宋体" w:cs="宋体"/>
          <w:bCs/>
          <w:color w:val="auto"/>
          <w:sz w:val="24"/>
          <w:szCs w:val="24"/>
        </w:rPr>
        <w:t>在±</w:t>
      </w:r>
      <w:r>
        <w:rPr>
          <w:rFonts w:ascii="宋体" w:hAnsi="宋体" w:cs="宋体"/>
          <w:bCs/>
          <w:color w:val="auto"/>
          <w:sz w:val="24"/>
          <w:szCs w:val="24"/>
        </w:rPr>
        <w:t>3</w:t>
      </w:r>
      <w:r>
        <w:rPr>
          <w:rFonts w:hint="eastAsia" w:ascii="宋体" w:hAnsi="宋体" w:cs="宋体"/>
          <w:bCs/>
          <w:color w:val="auto"/>
          <w:sz w:val="24"/>
          <w:szCs w:val="24"/>
        </w:rPr>
        <w:t>‰以内为合理</w:t>
      </w:r>
      <w:r>
        <w:rPr>
          <w:rFonts w:hint="eastAsia" w:ascii="宋体" w:hAnsi="宋体" w:cs="宋体"/>
          <w:bCs/>
          <w:color w:val="auto"/>
          <w:sz w:val="24"/>
          <w:szCs w:val="24"/>
          <w:lang w:eastAsia="zh-CN"/>
        </w:rPr>
        <w:t>重量差</w:t>
      </w:r>
      <w:r>
        <w:rPr>
          <w:rFonts w:hint="eastAsia" w:ascii="宋体" w:hAnsi="宋体" w:cs="宋体"/>
          <w:bCs/>
          <w:color w:val="auto"/>
          <w:sz w:val="24"/>
          <w:szCs w:val="24"/>
        </w:rPr>
        <w:t>，超过±</w:t>
      </w:r>
      <w:r>
        <w:rPr>
          <w:rFonts w:ascii="宋体" w:hAnsi="宋体" w:cs="宋体"/>
          <w:bCs/>
          <w:color w:val="auto"/>
          <w:sz w:val="24"/>
          <w:szCs w:val="24"/>
        </w:rPr>
        <w:t>3</w:t>
      </w:r>
      <w:r>
        <w:rPr>
          <w:rFonts w:hint="eastAsia" w:ascii="宋体" w:hAnsi="宋体" w:cs="宋体"/>
          <w:bCs/>
          <w:color w:val="auto"/>
          <w:sz w:val="24"/>
          <w:szCs w:val="24"/>
        </w:rPr>
        <w:t>‰双方协商解决。</w:t>
      </w:r>
    </w:p>
    <w:p>
      <w:pPr>
        <w:spacing w:line="520" w:lineRule="exact"/>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hint="eastAsia" w:ascii="宋体" w:hAnsi="宋体" w:cs="宋体"/>
          <w:bCs/>
          <w:sz w:val="24"/>
          <w:szCs w:val="24"/>
        </w:rPr>
      </w:pPr>
      <w:r>
        <w:rPr>
          <w:rFonts w:hint="eastAsia" w:ascii="宋体" w:hAnsi="宋体" w:cs="宋体"/>
          <w:bCs/>
          <w:sz w:val="24"/>
          <w:szCs w:val="24"/>
        </w:rPr>
        <w:t>1、材料按询价方要求送达询价方指定地点，经询价方试验检测人员、监理试验检测人员现场随机抽样检验合格，视为质量验收合格；若现场抽检不合格，经双方及监理人员共同随机抽样并送质量检验单位或部门进行复检，复检合格视为质量验收合格，复检不合格的，则由投标（报价）方无条件退货并自行承担由此造成的一切损失和责任。</w:t>
      </w:r>
    </w:p>
    <w:p>
      <w:pPr>
        <w:spacing w:line="360" w:lineRule="auto"/>
        <w:ind w:firstLine="470" w:firstLineChars="196"/>
        <w:rPr>
          <w:sz w:val="24"/>
          <w:szCs w:val="24"/>
        </w:rPr>
      </w:pPr>
      <w:r>
        <w:rPr>
          <w:rFonts w:hint="eastAsia"/>
          <w:sz w:val="24"/>
          <w:szCs w:val="24"/>
        </w:rPr>
        <w:t>2、</w:t>
      </w:r>
      <w:r>
        <w:rPr>
          <w:rFonts w:hint="eastAsia" w:ascii="宋体" w:hAnsi="宋体" w:cs="宋体"/>
          <w:kern w:val="0"/>
          <w:sz w:val="24"/>
          <w:szCs w:val="24"/>
        </w:rPr>
        <w:t>如在检测中发现有不合格、不满足技术要求的，乙方有争议的，</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520" w:lineRule="exact"/>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w:t>
      </w:r>
      <w:r>
        <w:rPr>
          <w:rFonts w:hint="eastAsia"/>
          <w:sz w:val="24"/>
          <w:szCs w:val="24"/>
          <w:lang w:eastAsia="zh-CN"/>
        </w:rPr>
        <w:t>水泥</w:t>
      </w:r>
      <w:r>
        <w:rPr>
          <w:rFonts w:hint="eastAsia"/>
          <w:sz w:val="24"/>
          <w:szCs w:val="24"/>
        </w:rPr>
        <w:t>销售全额发票由乙方开具</w:t>
      </w:r>
      <w:r>
        <w:rPr>
          <w:rFonts w:hint="eastAsia"/>
          <w:b/>
          <w:sz w:val="24"/>
          <w:szCs w:val="24"/>
        </w:rPr>
        <w:t>增值税</w:t>
      </w:r>
      <w:r>
        <w:rPr>
          <w:rFonts w:hint="eastAsia"/>
          <w:b/>
          <w:sz w:val="24"/>
          <w:szCs w:val="24"/>
          <w:lang w:eastAsia="zh-CN"/>
        </w:rPr>
        <w:t>专用发票</w:t>
      </w:r>
      <w:r>
        <w:rPr>
          <w:rFonts w:hint="eastAsia"/>
          <w:b/>
          <w:sz w:val="24"/>
          <w:szCs w:val="24"/>
        </w:rPr>
        <w:t>（</w:t>
      </w:r>
      <w:r>
        <w:rPr>
          <w:rFonts w:hint="eastAsia"/>
          <w:sz w:val="24"/>
          <w:szCs w:val="24"/>
          <w:lang w:eastAsia="zh-CN"/>
        </w:rPr>
        <w:t>水泥税率为13%</w:t>
      </w:r>
      <w:r>
        <w:rPr>
          <w:rFonts w:hint="eastAsia"/>
          <w:b/>
          <w:sz w:val="24"/>
          <w:szCs w:val="24"/>
        </w:rPr>
        <w:t>）</w:t>
      </w:r>
      <w:r>
        <w:rPr>
          <w:rFonts w:hint="eastAsia"/>
          <w:sz w:val="24"/>
          <w:szCs w:val="24"/>
        </w:rPr>
        <w:t>给甲方，发票单位名称为本合同甲乙双方全称，（</w:t>
      </w:r>
      <w:r>
        <w:rPr>
          <w:rFonts w:hint="eastAsia"/>
          <w:color w:val="auto"/>
          <w:sz w:val="24"/>
          <w:szCs w:val="24"/>
        </w:rPr>
        <w:t>增值税</w:t>
      </w:r>
      <w:r>
        <w:rPr>
          <w:rFonts w:hint="eastAsia"/>
          <w:color w:val="auto"/>
          <w:sz w:val="24"/>
          <w:szCs w:val="24"/>
          <w:lang w:eastAsia="zh-CN"/>
        </w:rPr>
        <w:t>专用发票</w:t>
      </w:r>
      <w:r>
        <w:rPr>
          <w:rFonts w:hint="eastAsia"/>
          <w:color w:val="auto"/>
          <w:sz w:val="24"/>
          <w:szCs w:val="24"/>
        </w:rPr>
        <w:t>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lang w:eastAsia="zh-CN"/>
        </w:rPr>
        <w:t>水泥税率为13%</w:t>
      </w:r>
      <w:r>
        <w:rPr>
          <w:rFonts w:hint="eastAsia"/>
          <w:szCs w:val="21"/>
        </w:rPr>
        <w:t>）</w:t>
      </w:r>
      <w:r>
        <w:rPr>
          <w:rFonts w:hint="eastAsia"/>
          <w:sz w:val="24"/>
          <w:szCs w:val="24"/>
        </w:rPr>
        <w:t>的增值税</w:t>
      </w:r>
      <w:r>
        <w:rPr>
          <w:rFonts w:hint="eastAsia"/>
          <w:sz w:val="24"/>
          <w:szCs w:val="24"/>
          <w:lang w:eastAsia="zh-CN"/>
        </w:rPr>
        <w:t>专用发票</w:t>
      </w:r>
      <w:r>
        <w:rPr>
          <w:rFonts w:hint="eastAsia"/>
          <w:sz w:val="24"/>
          <w:szCs w:val="24"/>
        </w:rPr>
        <w:t>。因乙方开具发票不及时给甲方造成无法及时认证、抵扣发票等情形的，乙方需向甲方承担赔偿责任，包括但不限于税款、滞纳金、罚款及相关损失等。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w:t>
      </w:r>
      <w:r>
        <w:rPr>
          <w:rFonts w:hint="eastAsia"/>
          <w:sz w:val="24"/>
          <w:szCs w:val="24"/>
          <w:lang w:eastAsia="zh-CN"/>
        </w:rPr>
        <w:t>专用发票</w:t>
      </w:r>
      <w:r>
        <w:rPr>
          <w:rFonts w:hint="eastAsia"/>
          <w:sz w:val="24"/>
          <w:szCs w:val="24"/>
        </w:rPr>
        <w:t>记载项目发生变化的，需要作废、重开、补开、红字开具增值税</w:t>
      </w:r>
      <w:r>
        <w:rPr>
          <w:rFonts w:hint="eastAsia"/>
          <w:sz w:val="24"/>
          <w:szCs w:val="24"/>
          <w:lang w:eastAsia="zh-CN"/>
        </w:rPr>
        <w:t>专用发票</w:t>
      </w:r>
      <w:r>
        <w:rPr>
          <w:rFonts w:hint="eastAsia"/>
          <w:sz w:val="24"/>
          <w:szCs w:val="24"/>
        </w:rPr>
        <w:t>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520" w:lineRule="exact"/>
        <w:ind w:firstLine="472" w:firstLineChars="196"/>
        <w:textAlignment w:val="baseline"/>
        <w:rPr>
          <w:color w:val="FF0000"/>
          <w:sz w:val="24"/>
          <w:szCs w:val="24"/>
        </w:rPr>
      </w:pPr>
      <w:r>
        <w:rPr>
          <w:rFonts w:hint="eastAsia"/>
          <w:b/>
          <w:sz w:val="24"/>
          <w:szCs w:val="24"/>
        </w:rPr>
        <w:t>九、结算方式及期限</w:t>
      </w:r>
    </w:p>
    <w:p>
      <w:pPr>
        <w:spacing w:line="440" w:lineRule="exact"/>
        <w:ind w:firstLine="480" w:firstLineChars="200"/>
        <w:rPr>
          <w:rFonts w:hint="eastAsia"/>
          <w:sz w:val="24"/>
          <w:szCs w:val="24"/>
        </w:rPr>
      </w:pPr>
      <w:r>
        <w:rPr>
          <w:rFonts w:hint="eastAsia"/>
          <w:sz w:val="24"/>
          <w:szCs w:val="24"/>
        </w:rPr>
        <w:t>结算方式：</w:t>
      </w:r>
      <w:r>
        <w:rPr>
          <w:rFonts w:hint="eastAsia"/>
          <w:sz w:val="24"/>
          <w:szCs w:val="24"/>
          <w:lang w:val="en-US" w:eastAsia="zh-CN"/>
        </w:rPr>
        <w:t>先预付合同金额的30%作为预付款，后</w:t>
      </w:r>
      <w:r>
        <w:rPr>
          <w:rFonts w:hint="eastAsia"/>
          <w:sz w:val="24"/>
          <w:szCs w:val="24"/>
        </w:rPr>
        <w:t>按</w:t>
      </w:r>
      <w:r>
        <w:rPr>
          <w:rFonts w:hint="eastAsia"/>
          <w:sz w:val="24"/>
          <w:szCs w:val="24"/>
          <w:u w:val="single"/>
        </w:rPr>
        <w:t>批次进行</w:t>
      </w:r>
      <w:r>
        <w:rPr>
          <w:rFonts w:hint="eastAsia"/>
          <w:sz w:val="24"/>
          <w:szCs w:val="24"/>
        </w:rPr>
        <w:t>结算</w:t>
      </w:r>
      <w:r>
        <w:rPr>
          <w:rFonts w:hint="eastAsia"/>
          <w:sz w:val="24"/>
          <w:szCs w:val="24"/>
          <w:lang w:eastAsia="zh-CN"/>
        </w:rPr>
        <w:t>，</w:t>
      </w:r>
      <w:r>
        <w:rPr>
          <w:rFonts w:hint="eastAsia"/>
          <w:sz w:val="24"/>
          <w:szCs w:val="24"/>
          <w:lang w:val="en-US" w:eastAsia="zh-CN"/>
        </w:rPr>
        <w:t>预付款最后一期扣回</w:t>
      </w:r>
      <w:r>
        <w:rPr>
          <w:rFonts w:hint="eastAsia"/>
          <w:sz w:val="24"/>
          <w:szCs w:val="24"/>
        </w:rPr>
        <w:t>；结算金额=</w:t>
      </w:r>
      <w:r>
        <w:rPr>
          <w:rFonts w:hint="eastAsia"/>
          <w:sz w:val="24"/>
          <w:szCs w:val="24"/>
          <w:u w:val="single"/>
        </w:rPr>
        <w:t>当批次</w:t>
      </w:r>
      <w:r>
        <w:rPr>
          <w:rFonts w:hint="eastAsia" w:ascii="宋体" w:hAnsi="宋体" w:cs="宋体"/>
          <w:kern w:val="0"/>
          <w:sz w:val="24"/>
          <w:szCs w:val="24"/>
        </w:rPr>
        <w:t>已对账的实际收货数量×合同单价</w:t>
      </w:r>
      <w:r>
        <w:rPr>
          <w:rFonts w:hint="eastAsia"/>
          <w:sz w:val="24"/>
          <w:szCs w:val="24"/>
        </w:rPr>
        <w:t>。以</w:t>
      </w:r>
      <w:r>
        <w:rPr>
          <w:rFonts w:hint="eastAsia"/>
          <w:sz w:val="24"/>
          <w:szCs w:val="24"/>
          <w:u w:val="single"/>
        </w:rPr>
        <w:t>完成供货之日</w:t>
      </w:r>
      <w:r>
        <w:rPr>
          <w:rFonts w:hint="eastAsia"/>
          <w:sz w:val="24"/>
          <w:szCs w:val="24"/>
        </w:rPr>
        <w:t>为费用结算日期，结算</w:t>
      </w:r>
      <w:r>
        <w:rPr>
          <w:rFonts w:hint="eastAsia"/>
          <w:sz w:val="24"/>
          <w:szCs w:val="24"/>
          <w:u w:val="single"/>
        </w:rPr>
        <w:t>货物</w:t>
      </w:r>
      <w:r>
        <w:rPr>
          <w:rFonts w:hint="eastAsia"/>
          <w:sz w:val="24"/>
          <w:szCs w:val="24"/>
        </w:rPr>
        <w:t>费用，乙方向甲方提供有效发票及供货凭证，甲方自费用清单（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p>
      <w:pPr>
        <w:spacing w:line="520" w:lineRule="exact"/>
        <w:ind w:firstLine="472" w:firstLineChars="196"/>
        <w:rPr>
          <w:b/>
          <w:sz w:val="24"/>
          <w:szCs w:val="24"/>
        </w:rPr>
      </w:pPr>
      <w:r>
        <w:rPr>
          <w:rFonts w:hint="eastAsia"/>
          <w:b/>
          <w:sz w:val="24"/>
          <w:szCs w:val="24"/>
        </w:rPr>
        <w:t>十、违约责任</w:t>
      </w:r>
    </w:p>
    <w:p>
      <w:pPr>
        <w:spacing w:line="520" w:lineRule="exact"/>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spacing w:line="520" w:lineRule="exact"/>
        <w:ind w:firstLine="480" w:firstLineChars="200"/>
        <w:rPr>
          <w:rFonts w:ascii="宋体"/>
          <w:color w:val="auto"/>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auto"/>
          <w:sz w:val="24"/>
          <w:szCs w:val="24"/>
          <w:u w:val="single"/>
        </w:rPr>
        <w:t>1日内</w:t>
      </w:r>
      <w:r>
        <w:rPr>
          <w:rFonts w:hint="eastAsia" w:ascii="宋体" w:hAnsi="宋体"/>
          <w:color w:val="auto"/>
          <w:sz w:val="24"/>
          <w:szCs w:val="24"/>
        </w:rPr>
        <w:t>将甲方所需合同材料送达到指定地点。乙方材料的供应量、送货时间必须满足甲方通知要求和甲方施工进度要求，否则，按</w:t>
      </w:r>
      <w:r>
        <w:rPr>
          <w:rFonts w:hint="eastAsia" w:ascii="宋体" w:hAnsi="宋体"/>
          <w:color w:val="auto"/>
          <w:sz w:val="24"/>
          <w:szCs w:val="24"/>
          <w:u w:val="single"/>
        </w:rPr>
        <w:t>伍仟</w:t>
      </w:r>
      <w:r>
        <w:rPr>
          <w:rFonts w:hint="eastAsia" w:ascii="宋体" w:hAnsi="宋体"/>
          <w:b/>
          <w:color w:val="auto"/>
          <w:sz w:val="24"/>
          <w:szCs w:val="24"/>
          <w:u w:val="single"/>
        </w:rPr>
        <w:t>元/天</w:t>
      </w:r>
      <w:r>
        <w:rPr>
          <w:rFonts w:hint="eastAsia" w:ascii="宋体" w:hAnsi="宋体"/>
          <w:color w:val="auto"/>
          <w:sz w:val="24"/>
          <w:szCs w:val="24"/>
        </w:rPr>
        <w:t>的标准向甲方支付违约金；同时</w:t>
      </w:r>
      <w:r>
        <w:rPr>
          <w:rFonts w:hint="eastAsia" w:ascii="宋体"/>
          <w:color w:val="auto"/>
          <w:sz w:val="24"/>
          <w:szCs w:val="24"/>
        </w:rPr>
        <w:t>，甲方有权终止或解除合同。</w:t>
      </w:r>
    </w:p>
    <w:p>
      <w:pPr>
        <w:spacing w:line="520" w:lineRule="exact"/>
        <w:ind w:firstLine="480" w:firstLineChars="200"/>
        <w:rPr>
          <w:rFonts w:ascii="宋体"/>
          <w:color w:val="auto"/>
          <w:sz w:val="24"/>
          <w:szCs w:val="24"/>
        </w:rPr>
      </w:pPr>
      <w:r>
        <w:rPr>
          <w:rFonts w:hint="eastAsia" w:ascii="宋体"/>
          <w:color w:val="auto"/>
          <w:sz w:val="24"/>
          <w:szCs w:val="24"/>
        </w:rPr>
        <w:t>3、乙方迟延履行合同其他义务的，每迟延一天（次），</w:t>
      </w:r>
      <w:r>
        <w:rPr>
          <w:rFonts w:hint="eastAsia" w:ascii="宋体" w:hAnsi="宋体"/>
          <w:color w:val="auto"/>
          <w:sz w:val="24"/>
          <w:szCs w:val="24"/>
        </w:rPr>
        <w:t>按</w:t>
      </w:r>
      <w:r>
        <w:rPr>
          <w:rFonts w:hint="eastAsia" w:ascii="宋体" w:hAnsi="宋体"/>
          <w:color w:val="auto"/>
          <w:sz w:val="24"/>
          <w:szCs w:val="24"/>
          <w:u w:val="single"/>
        </w:rPr>
        <w:t>伍仟</w:t>
      </w:r>
      <w:r>
        <w:rPr>
          <w:rFonts w:hint="eastAsia" w:ascii="宋体" w:hAnsi="宋体"/>
          <w:b/>
          <w:color w:val="auto"/>
          <w:sz w:val="24"/>
          <w:szCs w:val="24"/>
          <w:u w:val="single"/>
        </w:rPr>
        <w:t>元/天（次）</w:t>
      </w:r>
      <w:r>
        <w:rPr>
          <w:rFonts w:hint="eastAsia" w:ascii="宋体" w:hAnsi="宋体"/>
          <w:color w:val="auto"/>
          <w:sz w:val="24"/>
          <w:szCs w:val="24"/>
        </w:rPr>
        <w:t>的标准向甲方支付违约金；迟延超过3天</w:t>
      </w:r>
      <w:r>
        <w:rPr>
          <w:rFonts w:hint="eastAsia" w:ascii="宋体"/>
          <w:color w:val="auto"/>
          <w:sz w:val="24"/>
          <w:szCs w:val="24"/>
        </w:rPr>
        <w:t>（次）</w:t>
      </w:r>
      <w:r>
        <w:rPr>
          <w:rFonts w:hint="eastAsia" w:ascii="宋体" w:hAnsi="宋体"/>
          <w:color w:val="auto"/>
          <w:sz w:val="24"/>
          <w:szCs w:val="24"/>
        </w:rPr>
        <w:t>的</w:t>
      </w:r>
      <w:r>
        <w:rPr>
          <w:rFonts w:hint="eastAsia" w:ascii="宋体"/>
          <w:color w:val="auto"/>
          <w:sz w:val="24"/>
          <w:szCs w:val="24"/>
        </w:rPr>
        <w:t>，甲方有权终止或解除合同。</w:t>
      </w:r>
    </w:p>
    <w:p>
      <w:pPr>
        <w:spacing w:line="520" w:lineRule="exact"/>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520" w:lineRule="exact"/>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spacing w:line="520" w:lineRule="exact"/>
        <w:ind w:firstLine="472" w:firstLineChars="196"/>
        <w:textAlignment w:val="baseline"/>
        <w:rPr>
          <w:b/>
          <w:sz w:val="24"/>
          <w:szCs w:val="24"/>
        </w:rPr>
      </w:pPr>
      <w:r>
        <w:rPr>
          <w:rFonts w:hint="eastAsia"/>
          <w:b/>
          <w:sz w:val="24"/>
          <w:szCs w:val="24"/>
        </w:rPr>
        <w:t>十一、其它约定事项</w:t>
      </w:r>
    </w:p>
    <w:p>
      <w:pPr>
        <w:spacing w:line="520" w:lineRule="exact"/>
        <w:ind w:firstLine="472" w:firstLineChars="197"/>
        <w:textAlignment w:val="baseline"/>
        <w:rPr>
          <w:rFonts w:ascii="宋体" w:hAnsi="宋体"/>
          <w:color w:val="auto"/>
          <w:sz w:val="24"/>
          <w:szCs w:val="24"/>
        </w:rPr>
      </w:pPr>
      <w:r>
        <w:rPr>
          <w:rFonts w:hint="eastAsia"/>
          <w:sz w:val="24"/>
          <w:szCs w:val="24"/>
        </w:rPr>
        <w:t>1、</w:t>
      </w:r>
      <w:r>
        <w:rPr>
          <w:rFonts w:hint="eastAsia" w:ascii="宋体" w:hAnsi="宋体"/>
          <w:sz w:val="24"/>
          <w:szCs w:val="24"/>
        </w:rPr>
        <w:t>本合同</w:t>
      </w:r>
      <w:r>
        <w:rPr>
          <w:rFonts w:hint="eastAsia"/>
          <w:color w:val="auto"/>
          <w:sz w:val="24"/>
          <w:szCs w:val="24"/>
        </w:rPr>
        <w:t>为</w:t>
      </w:r>
      <w:r>
        <w:rPr>
          <w:rFonts w:hint="eastAsia"/>
          <w:b/>
          <w:color w:val="auto"/>
          <w:sz w:val="24"/>
          <w:szCs w:val="24"/>
          <w:u w:val="single"/>
        </w:rPr>
        <w:t>综合单价</w:t>
      </w:r>
      <w:r>
        <w:rPr>
          <w:rFonts w:hint="eastAsia"/>
          <w:bCs/>
          <w:color w:val="auto"/>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color w:val="auto"/>
          <w:sz w:val="24"/>
          <w:szCs w:val="24"/>
        </w:rPr>
        <w:t>合同。</w:t>
      </w:r>
    </w:p>
    <w:p>
      <w:pPr>
        <w:spacing w:line="520" w:lineRule="exact"/>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数量以竞争性比选甲方代表确认的实际到货合格数量为准</w:t>
      </w:r>
      <w:r>
        <w:rPr>
          <w:rFonts w:hint="eastAsia" w:ascii="宋体" w:hAnsi="宋体"/>
          <w:sz w:val="24"/>
          <w:szCs w:val="24"/>
        </w:rPr>
        <w:t>结算。期间乙方不得以供应数量和时间有变化要求进行单价变更。</w:t>
      </w:r>
    </w:p>
    <w:p>
      <w:pPr>
        <w:spacing w:line="520" w:lineRule="exact"/>
        <w:ind w:firstLine="463" w:firstLineChars="192"/>
        <w:rPr>
          <w:color w:val="auto"/>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auto"/>
          <w:sz w:val="24"/>
          <w:szCs w:val="24"/>
        </w:rPr>
        <w:t>本合同签订之日起至本项目完工时间止。</w:t>
      </w:r>
    </w:p>
    <w:p>
      <w:pPr>
        <w:spacing w:line="520" w:lineRule="exact"/>
        <w:ind w:firstLine="472" w:firstLineChars="196"/>
        <w:textAlignment w:val="baseline"/>
        <w:rPr>
          <w:color w:val="auto"/>
          <w:sz w:val="24"/>
          <w:szCs w:val="24"/>
        </w:rPr>
      </w:pPr>
      <w:r>
        <w:rPr>
          <w:rFonts w:hint="eastAsia"/>
          <w:b/>
          <w:color w:val="auto"/>
          <w:sz w:val="24"/>
          <w:szCs w:val="24"/>
        </w:rPr>
        <w:t>十三、争议及解决方式：</w:t>
      </w:r>
      <w:r>
        <w:rPr>
          <w:rFonts w:hint="eastAsia"/>
          <w:color w:val="auto"/>
          <w:sz w:val="24"/>
          <w:szCs w:val="24"/>
        </w:rPr>
        <w:t>本合同在执行过程中若发生争议，双方协商解决，协商不成，可向</w:t>
      </w:r>
      <w:r>
        <w:rPr>
          <w:rFonts w:hint="eastAsia"/>
          <w:b/>
          <w:color w:val="auto"/>
          <w:sz w:val="24"/>
          <w:szCs w:val="24"/>
          <w:u w:val="single"/>
        </w:rPr>
        <w:t>重庆</w:t>
      </w:r>
      <w:r>
        <w:rPr>
          <w:rFonts w:hint="eastAsia"/>
          <w:color w:val="auto"/>
          <w:sz w:val="24"/>
          <w:szCs w:val="24"/>
        </w:rPr>
        <w:t>仲裁委员会申请仲裁。</w:t>
      </w:r>
    </w:p>
    <w:p>
      <w:pPr>
        <w:spacing w:line="520" w:lineRule="exact"/>
        <w:ind w:firstLine="472" w:firstLineChars="196"/>
        <w:textAlignment w:val="baseline"/>
        <w:rPr>
          <w:color w:val="auto"/>
          <w:sz w:val="24"/>
          <w:szCs w:val="24"/>
        </w:rPr>
      </w:pPr>
      <w:r>
        <w:rPr>
          <w:rFonts w:hint="eastAsia"/>
          <w:b/>
          <w:color w:val="auto"/>
          <w:sz w:val="24"/>
          <w:szCs w:val="24"/>
        </w:rPr>
        <w:t>十四、合同签订点</w:t>
      </w:r>
      <w:r>
        <w:rPr>
          <w:rFonts w:hint="eastAsia"/>
          <w:color w:val="auto"/>
          <w:sz w:val="24"/>
          <w:szCs w:val="24"/>
        </w:rPr>
        <w:t>：重庆市渝北区新南路52号。</w:t>
      </w:r>
    </w:p>
    <w:p>
      <w:pPr>
        <w:spacing w:line="360" w:lineRule="auto"/>
        <w:ind w:firstLine="472" w:firstLineChars="196"/>
        <w:textAlignment w:val="baseline"/>
        <w:rPr>
          <w:sz w:val="24"/>
          <w:szCs w:val="24"/>
        </w:rPr>
      </w:pPr>
      <w:r>
        <w:rPr>
          <w:rFonts w:hint="eastAsia"/>
          <w:b/>
          <w:color w:val="auto"/>
          <w:sz w:val="24"/>
          <w:szCs w:val="24"/>
        </w:rPr>
        <w:t>十五、</w:t>
      </w:r>
      <w:r>
        <w:rPr>
          <w:rFonts w:hint="eastAsia"/>
          <w:color w:val="auto"/>
          <w:sz w:val="24"/>
          <w:szCs w:val="24"/>
        </w:rPr>
        <w:t>本合同一式</w:t>
      </w:r>
      <w:r>
        <w:rPr>
          <w:rFonts w:hint="eastAsia"/>
          <w:b/>
          <w:color w:val="auto"/>
          <w:sz w:val="24"/>
          <w:szCs w:val="24"/>
          <w:u w:val="single"/>
        </w:rPr>
        <w:t>陆</w:t>
      </w:r>
      <w:r>
        <w:rPr>
          <w:rFonts w:hint="eastAsia"/>
          <w:color w:val="auto"/>
          <w:sz w:val="24"/>
          <w:szCs w:val="24"/>
        </w:rPr>
        <w:t>份，甲方执</w:t>
      </w:r>
      <w:r>
        <w:rPr>
          <w:rFonts w:hint="eastAsia"/>
          <w:b/>
          <w:color w:val="auto"/>
          <w:sz w:val="24"/>
          <w:szCs w:val="24"/>
          <w:u w:val="single"/>
        </w:rPr>
        <w:t>肆</w:t>
      </w:r>
      <w:r>
        <w:rPr>
          <w:rFonts w:hint="eastAsia"/>
          <w:color w:val="auto"/>
          <w:sz w:val="24"/>
          <w:szCs w:val="24"/>
        </w:rPr>
        <w:t>份，乙方执</w:t>
      </w:r>
      <w:r>
        <w:rPr>
          <w:rFonts w:hint="eastAsia"/>
          <w:b/>
          <w:color w:val="auto"/>
          <w:sz w:val="24"/>
          <w:szCs w:val="24"/>
          <w:u w:val="single"/>
        </w:rPr>
        <w:t>贰</w:t>
      </w:r>
      <w:r>
        <w:rPr>
          <w:rFonts w:hint="eastAsia"/>
          <w:color w:val="auto"/>
          <w:sz w:val="24"/>
          <w:szCs w:val="24"/>
        </w:rPr>
        <w:t>份，</w:t>
      </w:r>
      <w:r>
        <w:rPr>
          <w:rFonts w:hint="eastAsia"/>
          <w:sz w:val="24"/>
          <w:szCs w:val="24"/>
        </w:rPr>
        <w:t>具有同等法律效力；自双方签字并盖章后生效，完成财务结算支付后自动失效。</w:t>
      </w:r>
    </w:p>
    <w:p>
      <w:pPr>
        <w:spacing w:line="360" w:lineRule="auto"/>
        <w:rPr>
          <w:rFonts w:hint="eastAsia"/>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b/>
          <w:sz w:val="36"/>
        </w:rPr>
      </w:pPr>
      <w:r>
        <w:rPr>
          <w:rFonts w:hint="eastAsia"/>
          <w:sz w:val="24"/>
        </w:rPr>
        <w:t>日期：    年   月    日 　　             日期：    年   月    日</w:t>
      </w:r>
    </w:p>
    <w:p>
      <w:pPr>
        <w:spacing w:line="360" w:lineRule="exact"/>
        <w:rPr>
          <w:rFonts w:hint="eastAsia"/>
          <w:b/>
          <w:szCs w:val="21"/>
        </w:rPr>
      </w:pPr>
      <w:r>
        <w:rPr>
          <w:b/>
          <w:szCs w:val="21"/>
        </w:rPr>
        <w:br w:type="page"/>
      </w:r>
      <w:r>
        <w:rPr>
          <w:rFonts w:hint="eastAsia"/>
          <w:b/>
          <w:szCs w:val="21"/>
        </w:rPr>
        <w:t>附件一：</w:t>
      </w:r>
    </w:p>
    <w:p>
      <w:pPr>
        <w:pStyle w:val="3"/>
        <w:jc w:val="center"/>
        <w:rPr>
          <w:b/>
          <w:sz w:val="36"/>
          <w:szCs w:val="36"/>
        </w:rPr>
      </w:pPr>
      <w:r>
        <w:rPr>
          <w:rFonts w:hint="eastAsia"/>
          <w:sz w:val="32"/>
          <w:szCs w:val="32"/>
        </w:rPr>
        <w:t>通力公司南部片区</w:t>
      </w:r>
      <w:r>
        <w:rPr>
          <w:sz w:val="32"/>
          <w:szCs w:val="32"/>
        </w:rPr>
        <w:t>南方公司和通粤公司边坡增设检修道工程</w:t>
      </w:r>
      <w:r>
        <w:rPr>
          <w:rFonts w:hint="eastAsia"/>
          <w:sz w:val="32"/>
          <w:szCs w:val="32"/>
          <w:lang w:val="en-US" w:eastAsia="zh-CN"/>
        </w:rPr>
        <w:t>水泥采购合同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w:t>
      </w:r>
      <w:r>
        <w:rPr>
          <w:rFonts w:hint="eastAsia"/>
          <w:sz w:val="24"/>
          <w:szCs w:val="24"/>
        </w:rPr>
        <w:t>严格执行《通力公司南部片区</w:t>
      </w:r>
      <w:r>
        <w:rPr>
          <w:sz w:val="24"/>
          <w:szCs w:val="24"/>
        </w:rPr>
        <w:t>南方公司和通粤公司边坡增设检修道工程</w:t>
      </w:r>
      <w:r>
        <w:rPr>
          <w:rFonts w:hint="eastAsia"/>
          <w:sz w:val="24"/>
          <w:szCs w:val="24"/>
          <w:lang w:val="en-US" w:eastAsia="zh-CN"/>
        </w:rPr>
        <w:t>水泥采购合同</w:t>
      </w:r>
      <w:r>
        <w:rPr>
          <w:rFonts w:hint="eastAsia"/>
          <w:sz w:val="24"/>
          <w:szCs w:val="24"/>
        </w:rPr>
        <w:t>》的相关条款，自觉按合同办事。</w:t>
      </w:r>
    </w:p>
    <w:p>
      <w:pPr>
        <w:pStyle w:val="5"/>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szCs w:val="24"/>
        </w:rPr>
      </w:pPr>
      <w:r>
        <w:rPr>
          <w:rFonts w:hint="eastAsia"/>
          <w:b/>
          <w:sz w:val="24"/>
        </w:rPr>
        <w:t>七、</w:t>
      </w:r>
      <w:r>
        <w:rPr>
          <w:rFonts w:hint="eastAsia"/>
          <w:sz w:val="24"/>
          <w:szCs w:val="24"/>
        </w:rPr>
        <w:t>本合同作为《通力公司南部片区</w:t>
      </w:r>
      <w:r>
        <w:rPr>
          <w:sz w:val="24"/>
          <w:szCs w:val="24"/>
        </w:rPr>
        <w:t>南方公司和通粤公司边坡增设检修道工程</w:t>
      </w:r>
      <w:r>
        <w:rPr>
          <w:rFonts w:hint="eastAsia"/>
          <w:sz w:val="24"/>
          <w:szCs w:val="24"/>
          <w:lang w:val="en-US" w:eastAsia="zh-CN"/>
        </w:rPr>
        <w:t>水泥采购合同</w:t>
      </w:r>
      <w:r>
        <w:rPr>
          <w:rFonts w:hint="eastAsia"/>
          <w:sz w:val="24"/>
          <w:szCs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r>
        <w:rPr>
          <w:rFonts w:hint="eastAsia" w:ascii="宋体"/>
          <w:b/>
          <w:color w:val="auto"/>
          <w:sz w:val="24"/>
          <w:u w:val="single"/>
        </w:rPr>
        <w:t>陆</w:t>
      </w:r>
      <w:r>
        <w:rPr>
          <w:rFonts w:hint="eastAsia" w:ascii="宋体"/>
          <w:color w:val="auto"/>
          <w:sz w:val="24"/>
        </w:rPr>
        <w:t>份，甲方执</w:t>
      </w:r>
      <w:r>
        <w:rPr>
          <w:rFonts w:hint="eastAsia" w:ascii="宋体"/>
          <w:b/>
          <w:color w:val="auto"/>
          <w:sz w:val="24"/>
          <w:u w:val="single"/>
        </w:rPr>
        <w:t>肆</w:t>
      </w:r>
      <w:r>
        <w:rPr>
          <w:rFonts w:hint="eastAsia" w:ascii="宋体"/>
          <w:color w:val="auto"/>
          <w:sz w:val="24"/>
        </w:rPr>
        <w:t>份，乙方执</w:t>
      </w:r>
      <w:r>
        <w:rPr>
          <w:rFonts w:hint="eastAsia" w:ascii="宋体"/>
          <w:b/>
          <w:color w:val="auto"/>
          <w:sz w:val="24"/>
          <w:u w:val="single"/>
        </w:rPr>
        <w:t>贰</w:t>
      </w:r>
      <w:r>
        <w:rPr>
          <w:rFonts w:hint="eastAsia" w:ascii="宋体"/>
          <w:color w:val="auto"/>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10"/>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bCs/>
          <w:sz w:val="30"/>
          <w:szCs w:val="30"/>
          <w:u w:val="single"/>
        </w:rPr>
      </w:pPr>
      <w:r>
        <w:rPr>
          <w:rFonts w:hint="eastAsia"/>
          <w:b/>
          <w:bCs/>
          <w:sz w:val="30"/>
          <w:szCs w:val="30"/>
          <w:u w:val="single"/>
        </w:rPr>
        <w:t>通力公司南部片区</w:t>
      </w:r>
      <w:r>
        <w:rPr>
          <w:b/>
          <w:bCs/>
          <w:sz w:val="30"/>
          <w:szCs w:val="30"/>
          <w:u w:val="single"/>
        </w:rPr>
        <w:t>南方公司和通粤公司边坡增设检修道工程</w:t>
      </w:r>
      <w:r>
        <w:rPr>
          <w:rFonts w:hint="eastAsia"/>
          <w:b/>
          <w:bCs/>
          <w:sz w:val="30"/>
          <w:szCs w:val="30"/>
          <w:u w:val="single"/>
          <w:lang w:val="en-US" w:eastAsia="zh-CN"/>
        </w:rPr>
        <w:t>水泥采购</w:t>
      </w:r>
      <w:r>
        <w:rPr>
          <w:rFonts w:hint="eastAsia" w:ascii="宋体" w:hAnsi="宋体" w:cs="宋体"/>
          <w:b/>
          <w:bCs/>
          <w:sz w:val="30"/>
          <w:szCs w:val="30"/>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sz w:val="32"/>
          <w:szCs w:val="32"/>
        </w:rPr>
      </w:pPr>
    </w:p>
    <w:p>
      <w:pPr>
        <w:rPr>
          <w:rFonts w:hint="eastAsia" w:ascii="宋体" w:hAnsi="宋体" w:cs="宋体"/>
          <w:sz w:val="32"/>
          <w:szCs w:val="32"/>
        </w:rPr>
      </w:pPr>
    </w:p>
    <w:p>
      <w:pPr>
        <w:pStyle w:val="2"/>
        <w:rPr>
          <w:rFonts w:hint="eastAsia"/>
        </w:rPr>
      </w:pPr>
    </w:p>
    <w:p>
      <w:pPr>
        <w:jc w:val="center"/>
        <w:rPr>
          <w:rFonts w:hint="eastAsia" w:ascii="宋体" w:hAnsi="宋体" w:cs="宋体"/>
          <w:b/>
          <w:sz w:val="28"/>
          <w:szCs w:val="28"/>
        </w:rPr>
      </w:pPr>
      <w:r>
        <w:rPr>
          <w:rFonts w:hint="eastAsia" w:ascii="宋体" w:hAnsi="宋体" w:cs="宋体"/>
          <w:sz w:val="32"/>
          <w:szCs w:val="32"/>
          <w:u w:val="single"/>
        </w:rPr>
        <w:t>竞争性比选响应单位名称全称（盖单位公章）</w:t>
      </w:r>
      <w:bookmarkStart w:id="32"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32"/>
    </w:p>
    <w:p>
      <w:pPr>
        <w:spacing w:line="440" w:lineRule="exact"/>
        <w:rPr>
          <w:rFonts w:hint="eastAsia" w:ascii="宋体" w:hAnsi="宋体" w:eastAsia="宋体" w:cs="宋体"/>
          <w:sz w:val="24"/>
          <w:szCs w:val="24"/>
        </w:rPr>
      </w:pPr>
      <w:r>
        <w:rPr>
          <w:rFonts w:hint="eastAsia" w:ascii="宋体" w:hAnsi="宋体" w:eastAsia="宋体" w:cs="宋体"/>
          <w:b/>
          <w:sz w:val="24"/>
          <w:szCs w:val="24"/>
          <w:u w:val="single"/>
        </w:rPr>
        <w:t>致：重庆通力高速公路养护工程有限公司</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1．我方已仔细研究了通力公司南部片区南方公司和通粤公司边坡增设检修道工程</w:t>
      </w:r>
      <w:r>
        <w:rPr>
          <w:rFonts w:hint="eastAsia" w:ascii="宋体" w:hAnsi="宋体" w:eastAsia="宋体" w:cs="宋体"/>
          <w:sz w:val="24"/>
          <w:szCs w:val="24"/>
          <w:lang w:val="en-US" w:eastAsia="zh-CN"/>
        </w:rPr>
        <w:t>水泥采购</w:t>
      </w:r>
      <w:r>
        <w:rPr>
          <w:rFonts w:hint="eastAsia" w:ascii="宋体" w:hAnsi="宋体" w:eastAsia="宋体" w:cs="宋体"/>
          <w:sz w:val="24"/>
          <w:szCs w:val="24"/>
        </w:rPr>
        <w:t>竞争性比选文件的全部内容，根据相关取费标准，愿意以总报价¥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竞标</w:t>
      </w:r>
      <w:r>
        <w:rPr>
          <w:rFonts w:hint="eastAsia" w:ascii="宋体" w:hAnsi="宋体" w:eastAsia="宋体" w:cs="宋体"/>
          <w:sz w:val="24"/>
          <w:szCs w:val="24"/>
        </w:rPr>
        <w:t>，并按约定实施。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2．我方承诺在投标有效期内不修改、撤销竞争性比选响应文件。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3．我方在此声明，所递交的竞争性比选响应文件及有关资料内容完整、真实和准确。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4．在合同协议书正式签署生效之前，本报价书连同你方的成交通知书将构成我们双方之间共同遵守的文件，对双方具有约束力。</w:t>
      </w:r>
    </w:p>
    <w:p>
      <w:pPr>
        <w:spacing w:line="440" w:lineRule="exact"/>
        <w:rPr>
          <w:rFonts w:hint="eastAsia" w:ascii="宋体" w:hAnsi="宋体" w:eastAsia="宋体" w:cs="宋体"/>
          <w:sz w:val="24"/>
          <w:szCs w:val="24"/>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10"/>
        <w:rPr>
          <w:rFonts w:hint="eastAsia"/>
          <w:color w:val="auto"/>
        </w:rPr>
      </w:pPr>
    </w:p>
    <w:p>
      <w:pPr>
        <w:pStyle w:val="10"/>
        <w:rPr>
          <w:rFonts w:hint="eastAsia" w:ascii="宋体" w:hAnsi="宋体" w:cs="宋体"/>
          <w:b/>
          <w:color w:val="auto"/>
        </w:rPr>
      </w:pPr>
    </w:p>
    <w:p>
      <w:pPr>
        <w:pStyle w:val="10"/>
        <w:rPr>
          <w:rFonts w:hint="eastAsia" w:ascii="宋体" w:hAnsi="宋体" w:cs="宋体"/>
          <w:b/>
          <w:color w:val="auto"/>
        </w:rPr>
      </w:pPr>
    </w:p>
    <w:p>
      <w:pPr>
        <w:pStyle w:val="10"/>
        <w:rPr>
          <w:rFonts w:hint="eastAsia" w:ascii="宋体" w:hAnsi="宋体" w:cs="宋体"/>
          <w:b/>
          <w:color w:val="auto"/>
        </w:rPr>
      </w:pPr>
    </w:p>
    <w:p>
      <w:pPr>
        <w:pStyle w:val="10"/>
        <w:rPr>
          <w:rFonts w:hint="eastAsia" w:ascii="宋体" w:hAnsi="宋体" w:cs="宋体"/>
          <w:b/>
          <w:color w:val="auto"/>
        </w:rPr>
      </w:pPr>
    </w:p>
    <w:p>
      <w:pPr>
        <w:pStyle w:val="10"/>
        <w:rPr>
          <w:rFonts w:hint="eastAsia" w:ascii="宋体" w:hAnsi="宋体" w:cs="宋体"/>
          <w:b/>
          <w:color w:val="auto"/>
        </w:rPr>
      </w:pPr>
    </w:p>
    <w:p>
      <w:pPr>
        <w:pStyle w:val="10"/>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Style w:val="11"/>
          <w:rFonts w:hint="eastAsia"/>
        </w:rPr>
        <w:t>（二）授权委托书</w:t>
      </w:r>
      <w:bookmarkEnd w:id="34"/>
      <w:r>
        <w:rPr>
          <w:rStyle w:val="11"/>
          <w:rFonts w:hint="eastAsia"/>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本人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rPr>
        <w:t>（姓名）系</w:t>
      </w:r>
      <w:r>
        <w:rPr>
          <w:rFonts w:hint="eastAsia" w:ascii="宋体" w:hAnsi="宋体" w:eastAsia="宋体" w:cs="宋体"/>
          <w:w w:val="200"/>
          <w:kern w:val="0"/>
          <w:sz w:val="21"/>
          <w:szCs w:val="21"/>
          <w:u w:val="single"/>
        </w:rPr>
        <w:t xml:space="preserve">   </w:t>
      </w:r>
      <w:r>
        <w:rPr>
          <w:rFonts w:hint="eastAsia" w:ascii="宋体" w:hAnsi="宋体" w:eastAsia="宋体" w:cs="宋体"/>
          <w:w w:val="200"/>
          <w:kern w:val="0"/>
          <w:sz w:val="21"/>
          <w:szCs w:val="21"/>
          <w:u w:val="single"/>
          <w:lang w:val="en-US" w:eastAsia="zh-CN"/>
        </w:rPr>
        <w:t xml:space="preserve">      </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（竞标人名称</w:t>
      </w:r>
      <w:r>
        <w:rPr>
          <w:rFonts w:hint="eastAsia" w:ascii="宋体" w:hAnsi="宋体" w:eastAsia="宋体" w:cs="宋体"/>
          <w:spacing w:val="1"/>
          <w:kern w:val="0"/>
          <w:sz w:val="21"/>
          <w:szCs w:val="21"/>
        </w:rPr>
        <w:t>）</w:t>
      </w:r>
      <w:r>
        <w:rPr>
          <w:rFonts w:hint="eastAsia" w:ascii="宋体" w:hAnsi="宋体" w:eastAsia="宋体" w:cs="宋体"/>
          <w:kern w:val="0"/>
          <w:sz w:val="21"/>
          <w:szCs w:val="21"/>
        </w:rPr>
        <w:t>的法定代</w:t>
      </w:r>
      <w:r>
        <w:rPr>
          <w:rFonts w:hint="eastAsia" w:ascii="宋体" w:hAnsi="宋体" w:eastAsia="宋体" w:cs="宋体"/>
          <w:spacing w:val="1"/>
          <w:kern w:val="0"/>
          <w:sz w:val="21"/>
          <w:szCs w:val="21"/>
        </w:rPr>
        <w:t>表</w:t>
      </w:r>
      <w:r>
        <w:rPr>
          <w:rFonts w:hint="eastAsia" w:ascii="宋体" w:hAnsi="宋体" w:eastAsia="宋体" w:cs="宋体"/>
          <w:kern w:val="0"/>
          <w:sz w:val="21"/>
          <w:szCs w:val="21"/>
        </w:rPr>
        <w:t>人，现委托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（姓名</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为我方代理人。代理人根据授权，以我方名义签署、澄清、说明、补正、递交、撤回、修改</w:t>
      </w:r>
      <w:r>
        <w:rPr>
          <w:rFonts w:hint="eastAsia" w:ascii="宋体" w:hAnsi="宋体" w:eastAsia="宋体" w:cs="宋体"/>
          <w:sz w:val="21"/>
          <w:szCs w:val="21"/>
          <w:u w:val="single"/>
        </w:rPr>
        <w:t>通力公司南部片区南方公司和通粤公司边坡增设检修道工程</w:t>
      </w:r>
      <w:r>
        <w:rPr>
          <w:rFonts w:hint="eastAsia" w:ascii="宋体" w:hAnsi="宋体" w:eastAsia="宋体" w:cs="宋体"/>
          <w:sz w:val="21"/>
          <w:szCs w:val="21"/>
          <w:u w:val="single"/>
          <w:lang w:val="en-US" w:eastAsia="zh-CN"/>
        </w:rPr>
        <w:t>水泥采购</w:t>
      </w:r>
      <w:r>
        <w:rPr>
          <w:rFonts w:hint="eastAsia" w:ascii="宋体" w:hAnsi="宋体" w:eastAsia="宋体" w:cs="宋体"/>
          <w:kern w:val="0"/>
          <w:sz w:val="21"/>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委托</w:t>
      </w:r>
      <w:r>
        <w:rPr>
          <w:rFonts w:hint="eastAsia" w:ascii="宋体" w:hAnsi="宋体" w:eastAsia="宋体" w:cs="宋体"/>
          <w:spacing w:val="-1"/>
          <w:kern w:val="0"/>
          <w:sz w:val="21"/>
          <w:szCs w:val="21"/>
        </w:rPr>
        <w:t>期</w:t>
      </w:r>
      <w:r>
        <w:rPr>
          <w:rFonts w:hint="eastAsia" w:ascii="宋体" w:hAnsi="宋体" w:eastAsia="宋体" w:cs="宋体"/>
          <w:kern w:val="0"/>
          <w:sz w:val="21"/>
          <w:szCs w:val="21"/>
        </w:rPr>
        <w:t>限：</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附：法定代表人身份证明。</w:t>
      </w:r>
    </w:p>
    <w:p>
      <w:pPr>
        <w:autoSpaceDE w:val="0"/>
        <w:autoSpaceDN w:val="0"/>
        <w:adjustRightInd w:val="0"/>
        <w:snapToGrid w:val="0"/>
        <w:spacing w:line="360" w:lineRule="auto"/>
        <w:jc w:val="left"/>
        <w:rPr>
          <w:rFonts w:hint="eastAsia" w:ascii="宋体" w:hAnsi="宋体" w:eastAsia="宋体" w:cs="宋体"/>
          <w:kern w:val="0"/>
          <w:sz w:val="21"/>
          <w:szCs w:val="21"/>
        </w:rPr>
      </w:pPr>
    </w:p>
    <w:p>
      <w:pPr>
        <w:autoSpaceDE w:val="0"/>
        <w:autoSpaceDN w:val="0"/>
        <w:adjustRightInd w:val="0"/>
        <w:snapToGrid w:val="0"/>
        <w:spacing w:line="360" w:lineRule="auto"/>
        <w:jc w:val="left"/>
        <w:rPr>
          <w:rFonts w:hint="eastAsia" w:ascii="宋体" w:hAnsi="宋体" w:eastAsia="宋体" w:cs="宋体"/>
          <w:kern w:val="0"/>
          <w:sz w:val="21"/>
          <w:szCs w:val="21"/>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kern w:val="0"/>
          <w:sz w:val="21"/>
          <w:szCs w:val="21"/>
        </w:rPr>
      </w:pPr>
      <w:r>
        <w:rPr>
          <w:rFonts w:hint="eastAsia" w:ascii="宋体" w:hAnsi="宋体" w:eastAsia="宋体" w:cs="宋体"/>
          <w:kern w:val="0"/>
          <w:sz w:val="21"/>
          <w:szCs w:val="21"/>
        </w:rPr>
        <w:t>竞  标  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盖</w:t>
      </w:r>
      <w:r>
        <w:rPr>
          <w:rFonts w:hint="eastAsia" w:ascii="宋体" w:hAnsi="宋体" w:eastAsia="宋体" w:cs="宋体"/>
          <w:kern w:val="0"/>
          <w:sz w:val="21"/>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ab/>
      </w:r>
      <w:r>
        <w:rPr>
          <w:rFonts w:hint="eastAsia" w:ascii="宋体" w:hAnsi="宋体" w:eastAsia="宋体" w:cs="宋体"/>
          <w:kern w:val="0"/>
          <w:sz w:val="21"/>
          <w:szCs w:val="21"/>
        </w:rPr>
        <w:t>（签字）</w:t>
      </w:r>
    </w:p>
    <w:p>
      <w:pPr>
        <w:tabs>
          <w:tab w:val="left" w:pos="5260"/>
        </w:tabs>
        <w:autoSpaceDE w:val="0"/>
        <w:autoSpaceDN w:val="0"/>
        <w:adjustRightInd w:val="0"/>
        <w:snapToGrid w:val="0"/>
        <w:spacing w:line="360" w:lineRule="auto"/>
        <w:ind w:firstLine="1680"/>
        <w:jc w:val="left"/>
        <w:rPr>
          <w:rFonts w:hint="eastAsia" w:ascii="宋体" w:hAnsi="宋体" w:eastAsia="宋体" w:cs="宋体"/>
          <w:kern w:val="0"/>
          <w:sz w:val="21"/>
          <w:szCs w:val="21"/>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kern w:val="0"/>
          <w:sz w:val="21"/>
          <w:szCs w:val="21"/>
        </w:rPr>
      </w:pPr>
      <w:r>
        <w:rPr>
          <w:rFonts w:hint="eastAsia" w:ascii="宋体" w:hAnsi="宋体" w:eastAsia="宋体" w:cs="宋体"/>
          <w:kern w:val="0"/>
          <w:sz w:val="21"/>
          <w:szCs w:val="21"/>
        </w:rPr>
        <w:t>委托代理人：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（签</w:t>
      </w:r>
      <w:r>
        <w:rPr>
          <w:rFonts w:hint="eastAsia" w:ascii="宋体" w:hAnsi="宋体" w:eastAsia="宋体" w:cs="宋体"/>
          <w:spacing w:val="-1"/>
          <w:kern w:val="0"/>
          <w:sz w:val="21"/>
          <w:szCs w:val="21"/>
        </w:rPr>
        <w:t>字</w:t>
      </w:r>
      <w:r>
        <w:rPr>
          <w:rFonts w:hint="eastAsia" w:ascii="宋体" w:hAnsi="宋体" w:eastAsia="宋体" w:cs="宋体"/>
          <w:kern w:val="0"/>
          <w:sz w:val="21"/>
          <w:szCs w:val="21"/>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1"/>
          <w:szCs w:val="21"/>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10"/>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10"/>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0"/>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0"/>
        <w:pageBreakBefore w:val="0"/>
        <w:kinsoku/>
        <w:wordWrap/>
        <w:overflowPunct/>
        <w:bidi w:val="0"/>
        <w:spacing w:line="360" w:lineRule="auto"/>
        <w:jc w:val="right"/>
        <w:rPr>
          <w:rFonts w:hint="eastAsia" w:ascii="宋体" w:hAnsi="宋体" w:eastAsia="宋体" w:cs="宋体"/>
          <w:color w:val="auto"/>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35"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35"/>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2"/>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both"/>
        <w:outlineLvl w:val="0"/>
        <w:rPr>
          <w:rFonts w:hint="eastAsia" w:ascii="宋体" w:hAnsi="宋体" w:cs="宋体"/>
          <w:b/>
          <w:sz w:val="28"/>
          <w:szCs w:val="28"/>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8"/>
        <w:tblW w:w="9150" w:type="dxa"/>
        <w:tblInd w:w="-95" w:type="dxa"/>
        <w:tblLayout w:type="fixed"/>
        <w:tblCellMar>
          <w:top w:w="0" w:type="dxa"/>
          <w:left w:w="108" w:type="dxa"/>
          <w:bottom w:w="0" w:type="dxa"/>
          <w:right w:w="108" w:type="dxa"/>
        </w:tblCellMar>
      </w:tblPr>
      <w:tblGrid>
        <w:gridCol w:w="738"/>
        <w:gridCol w:w="1450"/>
        <w:gridCol w:w="587"/>
        <w:gridCol w:w="788"/>
        <w:gridCol w:w="937"/>
        <w:gridCol w:w="1286"/>
        <w:gridCol w:w="1527"/>
        <w:gridCol w:w="1837"/>
      </w:tblGrid>
      <w:tr>
        <w:tblPrEx>
          <w:tblCellMar>
            <w:top w:w="0" w:type="dxa"/>
            <w:left w:w="108" w:type="dxa"/>
            <w:bottom w:w="0" w:type="dxa"/>
            <w:right w:w="108" w:type="dxa"/>
          </w:tblCellMar>
        </w:tblPrEx>
        <w:trPr>
          <w:trHeight w:val="312"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材料名称规格</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上限价（含税）</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lang w:val="en-US" w:eastAsia="zh-CN"/>
              </w:rPr>
              <w:t>报价</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24" w:hRule="atLeast"/>
        </w:trPr>
        <w:tc>
          <w:tcPr>
            <w:tcW w:w="7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5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水泥</w:t>
            </w:r>
          </w:p>
        </w:tc>
        <w:tc>
          <w:tcPr>
            <w:tcW w:w="5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吨</w:t>
            </w:r>
          </w:p>
        </w:tc>
        <w:tc>
          <w:tcPr>
            <w:tcW w:w="78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750</w:t>
            </w:r>
          </w:p>
        </w:tc>
        <w:tc>
          <w:tcPr>
            <w:tcW w:w="93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590</w:t>
            </w:r>
          </w:p>
        </w:tc>
        <w:tc>
          <w:tcPr>
            <w:tcW w:w="128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c>
          <w:tcPr>
            <w:tcW w:w="152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c>
          <w:tcPr>
            <w:tcW w:w="1837" w:type="dxa"/>
            <w:tcBorders>
              <w:top w:val="nil"/>
              <w:left w:val="single" w:color="auto" w:sz="4" w:space="0"/>
              <w:bottom w:val="single" w:color="000000"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Cs w:val="21"/>
                <w:lang w:val="en-US" w:eastAsia="zh-CN"/>
              </w:rPr>
              <w:t>规格为Po42.5，</w:t>
            </w:r>
            <w:r>
              <w:rPr>
                <w:rFonts w:hint="eastAsia"/>
                <w:lang w:val="en-US" w:eastAsia="zh-CN"/>
              </w:rPr>
              <w:t>抵扣税率13%</w:t>
            </w:r>
          </w:p>
        </w:tc>
      </w:tr>
      <w:tr>
        <w:tblPrEx>
          <w:tblCellMar>
            <w:top w:w="0" w:type="dxa"/>
            <w:left w:w="108" w:type="dxa"/>
            <w:bottom w:w="0" w:type="dxa"/>
            <w:right w:w="108" w:type="dxa"/>
          </w:tblCellMar>
        </w:tblPrEx>
        <w:trPr>
          <w:trHeight w:val="694" w:hRule="atLeast"/>
        </w:trPr>
        <w:tc>
          <w:tcPr>
            <w:tcW w:w="915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szCs w:val="24"/>
              </w:rPr>
            </w:pPr>
            <w:r>
              <w:rPr>
                <w:color w:val="000000"/>
                <w:kern w:val="0"/>
                <w:sz w:val="24"/>
                <w:szCs w:val="24"/>
              </w:rPr>
              <w:t xml:space="preserve"> </w:t>
            </w:r>
            <w:r>
              <w:rPr>
                <w:rFonts w:hint="eastAsia" w:ascii="宋体" w:hAnsi="宋体"/>
                <w:color w:val="000000"/>
                <w:kern w:val="0"/>
                <w:sz w:val="24"/>
                <w:szCs w:val="24"/>
              </w:rPr>
              <w:t>大写：</w:t>
            </w:r>
            <w:r>
              <w:rPr>
                <w:color w:val="000000"/>
                <w:kern w:val="0"/>
                <w:sz w:val="24"/>
                <w:szCs w:val="24"/>
                <w:u w:val="single"/>
              </w:rPr>
              <w:t xml:space="preserve">                           </w:t>
            </w:r>
            <w:r>
              <w:rPr>
                <w:rFonts w:hint="eastAsia" w:ascii="宋体" w:hAnsi="宋体"/>
                <w:color w:val="000000"/>
                <w:kern w:val="0"/>
                <w:sz w:val="24"/>
                <w:szCs w:val="24"/>
              </w:rPr>
              <w:t>元整</w:t>
            </w:r>
          </w:p>
        </w:tc>
      </w:tr>
      <w:tr>
        <w:tblPrEx>
          <w:tblCellMar>
            <w:top w:w="0" w:type="dxa"/>
            <w:left w:w="108" w:type="dxa"/>
            <w:bottom w:w="0" w:type="dxa"/>
            <w:right w:w="108" w:type="dxa"/>
          </w:tblCellMar>
        </w:tblPrEx>
        <w:trPr>
          <w:trHeight w:val="576" w:hRule="atLeast"/>
        </w:trPr>
        <w:tc>
          <w:tcPr>
            <w:tcW w:w="9150" w:type="dxa"/>
            <w:gridSpan w:val="8"/>
            <w:tcBorders>
              <w:top w:val="single" w:color="auto" w:sz="4" w:space="0"/>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eastAsia="宋体" w:cs="宋体"/>
                <w:color w:val="auto"/>
                <w:kern w:val="0"/>
                <w:sz w:val="21"/>
                <w:szCs w:val="21"/>
              </w:rPr>
            </w:pPr>
            <w:r>
              <w:rPr>
                <w:rFonts w:hint="eastAsia" w:ascii="宋体" w:hAnsi="宋体" w:eastAsia="宋体" w:cs="宋体"/>
                <w:i w:val="0"/>
                <w:color w:val="auto"/>
                <w:sz w:val="21"/>
                <w:szCs w:val="21"/>
                <w:u w:val="none"/>
                <w:lang w:val="en-US" w:eastAsia="zh-CN"/>
              </w:rPr>
              <w:t>注：</w:t>
            </w:r>
            <w:r>
              <w:rPr>
                <w:rFonts w:hint="eastAsia" w:ascii="宋体" w:hAnsi="宋体" w:eastAsia="宋体" w:cs="宋体"/>
                <w:b w:val="0"/>
                <w:i w:val="0"/>
                <w:caps w:val="0"/>
                <w:color w:val="auto"/>
                <w:spacing w:val="0"/>
                <w:sz w:val="21"/>
                <w:szCs w:val="21"/>
                <w:highlight w:val="none"/>
                <w:shd w:val="clear" w:color="auto" w:fill="FFFFFF"/>
                <w:lang w:val="en-US" w:eastAsia="zh-CN"/>
              </w:rPr>
              <w:t>1、</w:t>
            </w:r>
            <w:r>
              <w:rPr>
                <w:rFonts w:hint="eastAsia" w:ascii="宋体" w:hAnsi="宋体" w:eastAsia="宋体" w:cs="宋体"/>
                <w:b w:val="0"/>
                <w:i w:val="0"/>
                <w:caps w:val="0"/>
                <w:color w:val="auto"/>
                <w:spacing w:val="0"/>
                <w:sz w:val="21"/>
                <w:szCs w:val="21"/>
                <w:highlight w:val="none"/>
                <w:shd w:val="clear" w:color="auto" w:fill="FFFFFF"/>
                <w:lang w:eastAsia="zh-CN"/>
              </w:rPr>
              <w:t>上述报价为税后价，投标（报价）人应提供合法有效且符合询价方要求的增值税专用发票，抵扣税率为</w:t>
            </w:r>
            <w:r>
              <w:rPr>
                <w:rFonts w:hint="eastAsia" w:ascii="宋体" w:hAnsi="宋体" w:eastAsia="宋体" w:cs="宋体"/>
                <w:b w:val="0"/>
                <w:i w:val="0"/>
                <w:caps w:val="0"/>
                <w:color w:val="auto"/>
                <w:spacing w:val="0"/>
                <w:sz w:val="21"/>
                <w:szCs w:val="21"/>
                <w:highlight w:val="none"/>
                <w:shd w:val="clear" w:color="auto" w:fill="FFFFFF"/>
                <w:lang w:val="en-US" w:eastAsia="zh-CN"/>
              </w:rPr>
              <w:t>13%。</w:t>
            </w:r>
          </w:p>
        </w:tc>
      </w:tr>
      <w:tr>
        <w:tblPrEx>
          <w:tblCellMar>
            <w:top w:w="0" w:type="dxa"/>
            <w:left w:w="108" w:type="dxa"/>
            <w:bottom w:w="0" w:type="dxa"/>
            <w:right w:w="108" w:type="dxa"/>
          </w:tblCellMar>
        </w:tblPrEx>
        <w:trPr>
          <w:trHeight w:val="910" w:hRule="atLeast"/>
        </w:trPr>
        <w:tc>
          <w:tcPr>
            <w:tcW w:w="9150" w:type="dxa"/>
            <w:gridSpan w:val="8"/>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eastAsia="宋体" w:cs="宋体"/>
                <w:color w:val="auto"/>
                <w:kern w:val="0"/>
                <w:sz w:val="21"/>
                <w:szCs w:val="21"/>
              </w:rPr>
            </w:pPr>
            <w:r>
              <w:rPr>
                <w:rFonts w:hint="eastAsia" w:ascii="宋体" w:hAnsi="宋体" w:eastAsia="宋体" w:cs="宋体"/>
                <w:b w:val="0"/>
                <w:i w:val="0"/>
                <w:caps w:val="0"/>
                <w:color w:val="auto"/>
                <w:spacing w:val="0"/>
                <w:sz w:val="21"/>
                <w:szCs w:val="21"/>
                <w:highlight w:val="none"/>
                <w:shd w:val="clear" w:color="auto" w:fill="FFFFFF"/>
                <w:lang w:val="en-US" w:eastAsia="zh-CN"/>
              </w:rPr>
              <w:t>2、</w:t>
            </w:r>
            <w:r>
              <w:rPr>
                <w:rFonts w:hint="eastAsia" w:ascii="宋体" w:hAnsi="宋体" w:eastAsia="宋体" w:cs="宋体"/>
                <w:b w:val="0"/>
                <w:i w:val="0"/>
                <w:caps w:val="0"/>
                <w:color w:val="auto"/>
                <w:spacing w:val="0"/>
                <w:sz w:val="21"/>
                <w:szCs w:val="21"/>
                <w:highlight w:val="none"/>
                <w:shd w:val="clear" w:color="auto" w:fill="FFFFFF"/>
              </w:rPr>
              <w:t>表中</w:t>
            </w:r>
            <w:r>
              <w:rPr>
                <w:rFonts w:hint="eastAsia" w:ascii="宋体" w:hAnsi="宋体" w:eastAsia="宋体" w:cs="宋体"/>
                <w:b w:val="0"/>
                <w:i w:val="0"/>
                <w:caps w:val="0"/>
                <w:color w:val="auto"/>
                <w:spacing w:val="0"/>
                <w:sz w:val="21"/>
                <w:szCs w:val="21"/>
                <w:highlight w:val="none"/>
                <w:shd w:val="clear" w:color="auto" w:fill="FFFFFF"/>
                <w:lang w:eastAsia="zh-CN"/>
              </w:rPr>
              <w:t>所填</w:t>
            </w:r>
            <w:r>
              <w:rPr>
                <w:rFonts w:hint="eastAsia" w:ascii="宋体" w:hAnsi="宋体" w:eastAsia="宋体" w:cs="宋体"/>
                <w:b w:val="0"/>
                <w:i w:val="0"/>
                <w:caps w:val="0"/>
                <w:color w:val="auto"/>
                <w:spacing w:val="0"/>
                <w:sz w:val="21"/>
                <w:szCs w:val="21"/>
                <w:highlight w:val="none"/>
                <w:shd w:val="clear" w:color="auto" w:fill="FFFFFF"/>
              </w:rPr>
              <w:t>单价为</w:t>
            </w:r>
            <w:r>
              <w:rPr>
                <w:rFonts w:hint="eastAsia" w:ascii="宋体" w:hAnsi="宋体" w:eastAsia="宋体" w:cs="宋体"/>
                <w:b w:val="0"/>
                <w:i w:val="0"/>
                <w:caps w:val="0"/>
                <w:color w:val="auto"/>
                <w:spacing w:val="0"/>
                <w:sz w:val="21"/>
                <w:szCs w:val="21"/>
                <w:highlight w:val="none"/>
                <w:shd w:val="clear" w:color="auto" w:fill="FFFFFF"/>
                <w:lang w:val="en-US" w:eastAsia="zh-CN"/>
              </w:rPr>
              <w:t>(</w:t>
            </w:r>
            <w:r>
              <w:rPr>
                <w:rFonts w:hint="eastAsia" w:ascii="宋体" w:hAnsi="宋体" w:eastAsia="宋体" w:cs="宋体"/>
                <w:b w:val="0"/>
                <w:i w:val="0"/>
                <w:caps w:val="0"/>
                <w:color w:val="auto"/>
                <w:spacing w:val="0"/>
                <w:sz w:val="21"/>
                <w:szCs w:val="21"/>
                <w:highlight w:val="none"/>
                <w:shd w:val="clear" w:color="auto" w:fill="FFFFFF"/>
                <w:lang w:eastAsia="zh-CN"/>
              </w:rPr>
              <w:t>水泥</w:t>
            </w:r>
            <w:r>
              <w:rPr>
                <w:rFonts w:hint="eastAsia" w:ascii="宋体" w:hAnsi="宋体" w:eastAsia="宋体" w:cs="宋体"/>
                <w:b w:val="0"/>
                <w:i w:val="0"/>
                <w:caps w:val="0"/>
                <w:color w:val="auto"/>
                <w:spacing w:val="0"/>
                <w:sz w:val="21"/>
                <w:szCs w:val="21"/>
                <w:highlight w:val="none"/>
                <w:shd w:val="clear" w:color="auto" w:fill="FFFFFF"/>
              </w:rPr>
              <w:t>单价</w:t>
            </w:r>
            <w:r>
              <w:rPr>
                <w:rFonts w:hint="eastAsia" w:ascii="宋体" w:hAnsi="宋体" w:eastAsia="宋体" w:cs="宋体"/>
                <w:b w:val="0"/>
                <w:i w:val="0"/>
                <w:caps w:val="0"/>
                <w:color w:val="auto"/>
                <w:spacing w:val="0"/>
                <w:sz w:val="21"/>
                <w:szCs w:val="21"/>
                <w:highlight w:val="none"/>
                <w:shd w:val="clear" w:color="auto" w:fill="FFFFFF"/>
                <w:lang w:val="en-US" w:eastAsia="zh-CN"/>
              </w:rPr>
              <w:t>+高速公路</w:t>
            </w:r>
            <w:r>
              <w:rPr>
                <w:rFonts w:hint="eastAsia" w:ascii="宋体" w:hAnsi="宋体" w:eastAsia="宋体" w:cs="宋体"/>
                <w:color w:val="auto"/>
                <w:sz w:val="21"/>
                <w:szCs w:val="21"/>
                <w:highlight w:val="none"/>
                <w:shd w:val="clear" w:color="auto" w:fill="FFFFFF"/>
                <w:lang w:eastAsia="zh-CN"/>
              </w:rPr>
              <w:t>通行费</w:t>
            </w:r>
            <w:r>
              <w:rPr>
                <w:rFonts w:hint="eastAsia" w:ascii="宋体" w:hAnsi="宋体" w:eastAsia="宋体" w:cs="宋体"/>
                <w:b w:val="0"/>
                <w:i w:val="0"/>
                <w:caps w:val="0"/>
                <w:color w:val="auto"/>
                <w:spacing w:val="0"/>
                <w:sz w:val="21"/>
                <w:szCs w:val="21"/>
                <w:highlight w:val="none"/>
                <w:shd w:val="clear" w:color="auto" w:fill="FFFFFF"/>
                <w:lang w:val="en-US" w:eastAsia="zh-CN"/>
              </w:rPr>
              <w:t>以及其他一切费用)</w:t>
            </w:r>
            <w:r>
              <w:rPr>
                <w:rFonts w:hint="eastAsia" w:ascii="宋体" w:hAnsi="宋体" w:eastAsia="宋体" w:cs="宋体"/>
                <w:color w:val="auto"/>
                <w:kern w:val="0"/>
                <w:sz w:val="21"/>
                <w:szCs w:val="21"/>
                <w:highlight w:val="none"/>
              </w:rPr>
              <w:t>含税</w:t>
            </w:r>
            <w:r>
              <w:rPr>
                <w:rFonts w:hint="eastAsia" w:ascii="宋体" w:hAnsi="宋体" w:eastAsia="宋体" w:cs="宋体"/>
                <w:color w:val="auto"/>
                <w:kern w:val="0"/>
                <w:sz w:val="21"/>
                <w:szCs w:val="21"/>
                <w:highlight w:val="none"/>
                <w:lang w:eastAsia="zh-CN"/>
              </w:rPr>
              <w:t>到场的综合单价</w:t>
            </w:r>
            <w:r>
              <w:rPr>
                <w:rFonts w:hint="eastAsia" w:ascii="宋体" w:hAnsi="宋体" w:eastAsia="宋体" w:cs="宋体"/>
                <w:b w:val="0"/>
                <w:i w:val="0"/>
                <w:caps w:val="0"/>
                <w:color w:val="auto"/>
                <w:spacing w:val="0"/>
                <w:sz w:val="21"/>
                <w:szCs w:val="21"/>
                <w:highlight w:val="none"/>
                <w:shd w:val="clear" w:color="auto" w:fill="FFFFFF"/>
              </w:rPr>
              <w:t>；</w:t>
            </w:r>
            <w:r>
              <w:rPr>
                <w:rFonts w:hint="eastAsia" w:ascii="宋体" w:hAnsi="宋体" w:eastAsia="宋体" w:cs="宋体"/>
                <w:b w:val="0"/>
                <w:i w:val="0"/>
                <w:caps w:val="0"/>
                <w:strike w:val="0"/>
                <w:dstrike w:val="0"/>
                <w:color w:val="auto"/>
                <w:spacing w:val="0"/>
                <w:sz w:val="21"/>
                <w:szCs w:val="21"/>
                <w:highlight w:val="none"/>
                <w:shd w:val="clear" w:color="auto" w:fill="FFFFFF"/>
                <w:lang w:eastAsia="zh-CN"/>
              </w:rPr>
              <w:t>合同签订后不予调价。</w:t>
            </w:r>
          </w:p>
        </w:tc>
      </w:tr>
      <w:tr>
        <w:tblPrEx>
          <w:tblCellMar>
            <w:top w:w="0" w:type="dxa"/>
            <w:left w:w="108" w:type="dxa"/>
            <w:bottom w:w="0" w:type="dxa"/>
            <w:right w:w="108" w:type="dxa"/>
          </w:tblCellMar>
        </w:tblPrEx>
        <w:trPr>
          <w:trHeight w:val="749" w:hRule="atLeast"/>
        </w:trPr>
        <w:tc>
          <w:tcPr>
            <w:tcW w:w="9150" w:type="dxa"/>
            <w:gridSpan w:val="8"/>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eastAsia="宋体" w:cs="宋体"/>
                <w:color w:val="auto"/>
                <w:kern w:val="0"/>
                <w:sz w:val="21"/>
                <w:szCs w:val="21"/>
              </w:rPr>
            </w:pPr>
            <w:r>
              <w:rPr>
                <w:rFonts w:hint="eastAsia" w:ascii="宋体" w:hAnsi="宋体" w:eastAsia="宋体" w:cs="宋体"/>
                <w:b w:val="0"/>
                <w:i w:val="0"/>
                <w:caps w:val="0"/>
                <w:color w:val="auto"/>
                <w:spacing w:val="0"/>
                <w:sz w:val="21"/>
                <w:szCs w:val="21"/>
                <w:highlight w:val="none"/>
                <w:shd w:val="clear" w:color="auto" w:fill="FFFFFF"/>
                <w:lang w:val="en-US" w:eastAsia="zh-CN"/>
              </w:rPr>
              <w:t>3、本工程工期预计为2021年7月-12月。</w:t>
            </w:r>
            <w:r>
              <w:rPr>
                <w:rFonts w:hint="eastAsia" w:ascii="宋体" w:hAnsi="宋体" w:eastAsia="宋体" w:cs="宋体"/>
                <w:color w:val="auto"/>
                <w:sz w:val="21"/>
                <w:szCs w:val="21"/>
              </w:rPr>
              <w:t>竞标</w:t>
            </w:r>
            <w:r>
              <w:rPr>
                <w:rFonts w:hint="eastAsia" w:ascii="宋体" w:hAnsi="宋体" w:eastAsia="宋体" w:cs="宋体"/>
                <w:b w:val="0"/>
                <w:i w:val="0"/>
                <w:caps w:val="0"/>
                <w:color w:val="auto"/>
                <w:spacing w:val="0"/>
                <w:sz w:val="21"/>
                <w:szCs w:val="21"/>
                <w:highlight w:val="none"/>
                <w:shd w:val="clear" w:color="auto" w:fill="FFFFFF"/>
                <w:lang w:eastAsia="zh-CN"/>
              </w:rPr>
              <w:t>人</w:t>
            </w:r>
            <w:r>
              <w:rPr>
                <w:rFonts w:hint="eastAsia" w:ascii="宋体" w:hAnsi="宋体" w:eastAsia="宋体" w:cs="宋体"/>
                <w:b w:val="0"/>
                <w:i w:val="0"/>
                <w:caps w:val="0"/>
                <w:color w:val="auto"/>
                <w:spacing w:val="0"/>
                <w:sz w:val="21"/>
                <w:szCs w:val="21"/>
                <w:highlight w:val="none"/>
                <w:shd w:val="clear" w:color="auto" w:fill="FFFFFF"/>
                <w:lang w:val="en-US" w:eastAsia="zh-CN"/>
              </w:rPr>
              <w:t>必须保证比选方水泥量的供应及时，且最小供应量应不小于计划供应量。比选方一般提前一天以电话（短信）通知计划用量。</w:t>
            </w:r>
          </w:p>
        </w:tc>
      </w:tr>
      <w:tr>
        <w:tblPrEx>
          <w:tblCellMar>
            <w:top w:w="0" w:type="dxa"/>
            <w:left w:w="108" w:type="dxa"/>
            <w:bottom w:w="0" w:type="dxa"/>
            <w:right w:w="108" w:type="dxa"/>
          </w:tblCellMar>
        </w:tblPrEx>
        <w:trPr>
          <w:trHeight w:val="1849" w:hRule="atLeast"/>
        </w:trPr>
        <w:tc>
          <w:tcPr>
            <w:tcW w:w="9150" w:type="dxa"/>
            <w:gridSpan w:val="8"/>
            <w:tcBorders>
              <w:top w:val="nil"/>
              <w:left w:val="single" w:color="auto" w:sz="4" w:space="0"/>
              <w:bottom w:val="single" w:color="auto" w:sz="4" w:space="0"/>
              <w:right w:val="single" w:color="000000"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b w:val="0"/>
                <w:i w:val="0"/>
                <w:caps w:val="0"/>
                <w:color w:val="auto"/>
                <w:spacing w:val="0"/>
                <w:sz w:val="21"/>
                <w:szCs w:val="21"/>
                <w:highlight w:val="none"/>
                <w:shd w:val="clear" w:color="auto" w:fill="FFFFFF"/>
                <w:lang w:eastAsia="zh-CN"/>
              </w:rPr>
              <w:t>当</w:t>
            </w:r>
            <w:r>
              <w:rPr>
                <w:rFonts w:hint="eastAsia" w:ascii="宋体" w:hAnsi="宋体" w:eastAsia="宋体" w:cs="宋体"/>
                <w:b w:val="0"/>
                <w:i w:val="0"/>
                <w:caps w:val="0"/>
                <w:color w:val="auto"/>
                <w:spacing w:val="0"/>
                <w:sz w:val="21"/>
                <w:szCs w:val="21"/>
                <w:highlight w:val="none"/>
                <w:shd w:val="clear" w:color="auto" w:fill="FFFFFF"/>
              </w:rPr>
              <w:t>月</w:t>
            </w:r>
            <w:r>
              <w:rPr>
                <w:rFonts w:hint="eastAsia" w:ascii="宋体" w:hAnsi="宋体" w:eastAsia="宋体" w:cs="宋体"/>
                <w:b w:val="0"/>
                <w:i w:val="0"/>
                <w:caps w:val="0"/>
                <w:color w:val="auto"/>
                <w:spacing w:val="0"/>
                <w:sz w:val="21"/>
                <w:szCs w:val="21"/>
                <w:highlight w:val="none"/>
                <w:shd w:val="clear" w:color="auto" w:fill="FFFFFF"/>
                <w:lang w:val="en-US" w:eastAsia="zh-CN"/>
              </w:rPr>
              <w:t>5</w:t>
            </w:r>
            <w:r>
              <w:rPr>
                <w:rFonts w:hint="eastAsia" w:ascii="宋体" w:hAnsi="宋体" w:eastAsia="宋体" w:cs="宋体"/>
                <w:b w:val="0"/>
                <w:i w:val="0"/>
                <w:caps w:val="0"/>
                <w:color w:val="auto"/>
                <w:spacing w:val="0"/>
                <w:sz w:val="21"/>
                <w:szCs w:val="21"/>
                <w:highlight w:val="none"/>
                <w:shd w:val="clear" w:color="auto" w:fill="FFFFFF"/>
              </w:rPr>
              <w:t>日</w:t>
            </w:r>
            <w:r>
              <w:rPr>
                <w:rFonts w:hint="eastAsia" w:ascii="宋体" w:hAnsi="宋体" w:eastAsia="宋体" w:cs="宋体"/>
                <w:b w:val="0"/>
                <w:i w:val="0"/>
                <w:caps w:val="0"/>
                <w:color w:val="auto"/>
                <w:spacing w:val="0"/>
                <w:sz w:val="21"/>
                <w:szCs w:val="21"/>
                <w:highlight w:val="none"/>
                <w:shd w:val="clear" w:color="auto" w:fill="FFFFFF"/>
                <w:lang w:val="en-US" w:eastAsia="zh-CN"/>
              </w:rPr>
              <w:t>-25日期间</w:t>
            </w:r>
            <w:r>
              <w:rPr>
                <w:rFonts w:hint="eastAsia" w:ascii="宋体" w:hAnsi="宋体" w:eastAsia="宋体" w:cs="宋体"/>
                <w:b w:val="0"/>
                <w:i w:val="0"/>
                <w:caps w:val="0"/>
                <w:color w:val="auto"/>
                <w:spacing w:val="0"/>
                <w:sz w:val="21"/>
                <w:szCs w:val="21"/>
                <w:highlight w:val="none"/>
                <w:shd w:val="clear" w:color="auto" w:fill="FFFFFF"/>
                <w:lang w:eastAsia="zh-CN"/>
              </w:rPr>
              <w:t>办理次月的结算</w:t>
            </w:r>
            <w:r>
              <w:rPr>
                <w:rFonts w:hint="eastAsia" w:ascii="宋体" w:hAnsi="宋体" w:eastAsia="宋体" w:cs="宋体"/>
                <w:b w:val="0"/>
                <w:i w:val="0"/>
                <w:caps w:val="0"/>
                <w:color w:val="auto"/>
                <w:spacing w:val="0"/>
                <w:sz w:val="21"/>
                <w:szCs w:val="21"/>
                <w:highlight w:val="none"/>
                <w:shd w:val="clear" w:color="auto" w:fill="FFFFFF"/>
              </w:rPr>
              <w:t>，开具</w:t>
            </w:r>
            <w:r>
              <w:rPr>
                <w:rFonts w:hint="eastAsia" w:ascii="宋体" w:hAnsi="宋体" w:eastAsia="宋体" w:cs="宋体"/>
                <w:b w:val="0"/>
                <w:i w:val="0"/>
                <w:caps w:val="0"/>
                <w:color w:val="auto"/>
                <w:spacing w:val="0"/>
                <w:sz w:val="21"/>
                <w:szCs w:val="21"/>
                <w:highlight w:val="none"/>
                <w:shd w:val="clear" w:color="auto" w:fill="FFFFFF"/>
                <w:lang w:eastAsia="zh-CN"/>
              </w:rPr>
              <w:t>增值税专用发票和</w:t>
            </w:r>
            <w:r>
              <w:rPr>
                <w:rFonts w:hint="eastAsia" w:ascii="宋体" w:hAnsi="宋体" w:eastAsia="宋体" w:cs="宋体"/>
                <w:b w:val="0"/>
                <w:i w:val="0"/>
                <w:caps w:val="0"/>
                <w:color w:val="auto"/>
                <w:spacing w:val="0"/>
                <w:sz w:val="21"/>
                <w:szCs w:val="21"/>
                <w:highlight w:val="none"/>
                <w:shd w:val="clear" w:color="auto" w:fill="FFFFFF"/>
              </w:rPr>
              <w:t>对账单，注明甲方所用</w:t>
            </w:r>
            <w:r>
              <w:rPr>
                <w:rFonts w:hint="eastAsia" w:ascii="宋体" w:hAnsi="宋体" w:eastAsia="宋体" w:cs="宋体"/>
                <w:b w:val="0"/>
                <w:i w:val="0"/>
                <w:caps w:val="0"/>
                <w:color w:val="auto"/>
                <w:spacing w:val="0"/>
                <w:sz w:val="21"/>
                <w:szCs w:val="21"/>
                <w:highlight w:val="none"/>
                <w:shd w:val="clear" w:color="auto" w:fill="FFFFFF"/>
                <w:lang w:eastAsia="zh-CN"/>
              </w:rPr>
              <w:t>水泥</w:t>
            </w:r>
            <w:r>
              <w:rPr>
                <w:rFonts w:hint="eastAsia" w:ascii="宋体" w:hAnsi="宋体" w:eastAsia="宋体" w:cs="宋体"/>
                <w:b w:val="0"/>
                <w:i w:val="0"/>
                <w:caps w:val="0"/>
                <w:color w:val="auto"/>
                <w:spacing w:val="0"/>
                <w:sz w:val="21"/>
                <w:szCs w:val="21"/>
                <w:highlight w:val="none"/>
                <w:shd w:val="clear" w:color="auto" w:fill="FFFFFF"/>
              </w:rPr>
              <w:t>使用的各标号、</w:t>
            </w:r>
            <w:r>
              <w:rPr>
                <w:rFonts w:hint="eastAsia" w:ascii="宋体" w:hAnsi="宋体" w:eastAsia="宋体" w:cs="宋体"/>
                <w:b w:val="0"/>
                <w:i w:val="0"/>
                <w:caps w:val="0"/>
                <w:color w:val="auto"/>
                <w:spacing w:val="0"/>
                <w:sz w:val="21"/>
                <w:szCs w:val="21"/>
                <w:highlight w:val="none"/>
                <w:shd w:val="clear" w:color="auto" w:fill="FFFFFF"/>
                <w:lang w:val="en-US" w:eastAsia="zh-CN"/>
              </w:rPr>
              <w:t>重</w:t>
            </w:r>
            <w:r>
              <w:rPr>
                <w:rFonts w:hint="eastAsia" w:ascii="宋体" w:hAnsi="宋体" w:eastAsia="宋体" w:cs="宋体"/>
                <w:b w:val="0"/>
                <w:i w:val="0"/>
                <w:caps w:val="0"/>
                <w:color w:val="auto"/>
                <w:spacing w:val="0"/>
                <w:sz w:val="21"/>
                <w:szCs w:val="21"/>
                <w:highlight w:val="none"/>
                <w:shd w:val="clear" w:color="auto" w:fill="FFFFFF"/>
              </w:rPr>
              <w:t>量、单价、总金额。</w:t>
            </w:r>
            <w:r>
              <w:rPr>
                <w:rFonts w:hint="eastAsia" w:ascii="宋体" w:hAnsi="宋体" w:eastAsia="宋体" w:cs="宋体"/>
                <w:color w:val="auto"/>
                <w:kern w:val="0"/>
                <w:sz w:val="21"/>
                <w:szCs w:val="21"/>
                <w:highlight w:val="none"/>
                <w:lang w:eastAsia="zh-CN"/>
              </w:rPr>
              <w:t>商品水泥结算单价和发票单价必须一致。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rPr>
            </w:pPr>
            <w:r>
              <w:rPr>
                <w:rFonts w:hint="eastAsia" w:ascii="宋体" w:hAnsi="宋体" w:eastAsia="宋体" w:cs="宋体"/>
                <w:color w:val="auto"/>
                <w:kern w:val="0"/>
                <w:sz w:val="21"/>
                <w:szCs w:val="21"/>
                <w:highlight w:val="none"/>
                <w:lang w:val="en-US" w:eastAsia="zh-CN"/>
              </w:rPr>
              <w:t>本工程为高速公路作业，报价方需服从询价方的交通作业指挥。</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b w:val="0"/>
          <w:bCs w:val="0"/>
          <w:sz w:val="24"/>
          <w:szCs w:val="24"/>
          <w:u w:val="single"/>
        </w:rPr>
        <w:t>____</w:t>
      </w:r>
      <w:r>
        <w:rPr>
          <w:rFonts w:hint="eastAsia"/>
          <w:b w:val="0"/>
          <w:bCs w:val="0"/>
          <w:sz w:val="24"/>
          <w:szCs w:val="24"/>
          <w:u w:val="single"/>
          <w:lang w:val="en-US" w:eastAsia="zh-CN"/>
        </w:rPr>
        <w:t xml:space="preserve">    </w:t>
      </w:r>
      <w:r>
        <w:rPr>
          <w:rFonts w:hint="eastAsia"/>
          <w:b w:val="0"/>
          <w:bCs w:val="0"/>
          <w:sz w:val="24"/>
          <w:szCs w:val="24"/>
          <w:u w:val="single"/>
        </w:rPr>
        <w:t>__________</w:t>
      </w:r>
      <w:r>
        <w:rPr>
          <w:rFonts w:hint="eastAsia"/>
          <w:b w:val="0"/>
          <w:bCs w:val="0"/>
          <w:sz w:val="24"/>
          <w:szCs w:val="24"/>
          <w:u w:val="single"/>
          <w:lang w:val="en-US" w:eastAsia="zh-CN"/>
        </w:rPr>
        <w:t xml:space="preserve"> </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D8461"/>
    <w:multiLevelType w:val="singleLevel"/>
    <w:tmpl w:val="876D8461"/>
    <w:lvl w:ilvl="0" w:tentative="0">
      <w:start w:val="1"/>
      <w:numFmt w:val="decimal"/>
      <w:suff w:val="nothing"/>
      <w:lvlText w:val="%1、"/>
      <w:lvlJc w:val="left"/>
    </w:lvl>
  </w:abstractNum>
  <w:abstractNum w:abstractNumId="1">
    <w:nsid w:val="E13B15A0"/>
    <w:multiLevelType w:val="singleLevel"/>
    <w:tmpl w:val="E13B15A0"/>
    <w:lvl w:ilvl="0" w:tentative="0">
      <w:start w:val="4"/>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9FBED4B"/>
    <w:multiLevelType w:val="singleLevel"/>
    <w:tmpl w:val="59FBED4B"/>
    <w:lvl w:ilvl="0" w:tentative="0">
      <w:start w:val="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F03080"/>
    <w:rsid w:val="01A01F8C"/>
    <w:rsid w:val="054E59B1"/>
    <w:rsid w:val="0A5A6BA4"/>
    <w:rsid w:val="0BCE6697"/>
    <w:rsid w:val="11DD3530"/>
    <w:rsid w:val="12710A08"/>
    <w:rsid w:val="135E3722"/>
    <w:rsid w:val="186A4BA8"/>
    <w:rsid w:val="1EC80248"/>
    <w:rsid w:val="224D4960"/>
    <w:rsid w:val="255C1916"/>
    <w:rsid w:val="3002283F"/>
    <w:rsid w:val="334B6ED2"/>
    <w:rsid w:val="388F6933"/>
    <w:rsid w:val="3A225A46"/>
    <w:rsid w:val="40B14C7E"/>
    <w:rsid w:val="474218F2"/>
    <w:rsid w:val="4957676E"/>
    <w:rsid w:val="4BF41EB4"/>
    <w:rsid w:val="59CA5CC8"/>
    <w:rsid w:val="628C18BE"/>
    <w:rsid w:val="673B789F"/>
    <w:rsid w:val="6D62141B"/>
    <w:rsid w:val="6FEC2AA5"/>
    <w:rsid w:val="722A26BA"/>
    <w:rsid w:val="736A5F74"/>
    <w:rsid w:val="7C41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pPr>
      <w:ind w:left="100" w:leftChars="25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标题 1 Char"/>
    <w:link w:val="3"/>
    <w:qFormat/>
    <w:uiPriority w:val="0"/>
    <w:rPr>
      <w:b/>
      <w:kern w:val="44"/>
      <w:sz w:val="44"/>
    </w:rPr>
  </w:style>
  <w:style w:type="paragraph" w:customStyle="1" w:styleId="12">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acer</cp:lastModifiedBy>
  <dcterms:modified xsi:type="dcterms:W3CDTF">2021-08-11T01:11:34Z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