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4"/>
          <w:szCs w:val="28"/>
        </w:rPr>
      </w:pPr>
      <w:r>
        <w:rPr>
          <w:rFonts w:hint="eastAsia"/>
          <w:b/>
          <w:sz w:val="24"/>
          <w:szCs w:val="28"/>
        </w:rPr>
        <w:t>重庆铜永高速公路有限公司2021-2023年度道路技术状况定期检测（第二次）</w:t>
      </w:r>
    </w:p>
    <w:p>
      <w:pPr>
        <w:spacing w:line="400" w:lineRule="exact"/>
        <w:jc w:val="center"/>
        <w:rPr>
          <w:b/>
          <w:sz w:val="24"/>
          <w:szCs w:val="28"/>
        </w:rPr>
      </w:pPr>
      <w:r>
        <w:rPr>
          <w:b/>
          <w:sz w:val="24"/>
          <w:szCs w:val="28"/>
        </w:rPr>
        <w:t>招标公告</w:t>
      </w:r>
    </w:p>
    <w:p>
      <w:pPr>
        <w:spacing w:line="400" w:lineRule="exact"/>
        <w:jc w:val="center"/>
        <w:rPr>
          <w:b/>
          <w:sz w:val="28"/>
          <w:szCs w:val="28"/>
        </w:rPr>
      </w:pPr>
    </w:p>
    <w:p>
      <w:pPr>
        <w:keepNext/>
        <w:keepLines/>
        <w:tabs>
          <w:tab w:val="left" w:pos="1080"/>
          <w:tab w:val="left" w:pos="2923"/>
        </w:tabs>
        <w:spacing w:line="360" w:lineRule="auto"/>
        <w:ind w:firstLine="422" w:firstLineChars="200"/>
        <w:outlineLvl w:val="1"/>
        <w:rPr>
          <w:rFonts w:ascii="宋体" w:hAnsi="宋体"/>
          <w:b/>
          <w:szCs w:val="21"/>
        </w:rPr>
      </w:pPr>
      <w:bookmarkStart w:id="0" w:name="_Toc509390547"/>
      <w:bookmarkStart w:id="1" w:name="_Toc152045512"/>
      <w:bookmarkStart w:id="2" w:name="_Toc519150545"/>
      <w:bookmarkStart w:id="3" w:name="_Toc512978517"/>
      <w:bookmarkStart w:id="4" w:name="_Toc512978270"/>
      <w:bookmarkStart w:id="5" w:name="_Toc519694527"/>
      <w:bookmarkStart w:id="6" w:name="_Toc247527535"/>
      <w:bookmarkStart w:id="7" w:name="_Toc152042288"/>
      <w:bookmarkStart w:id="8" w:name="_Toc404157406"/>
      <w:bookmarkStart w:id="9" w:name="_Toc424558246"/>
      <w:bookmarkStart w:id="10" w:name="_Toc247513934"/>
      <w:bookmarkStart w:id="11" w:name="_Toc467164120"/>
      <w:bookmarkStart w:id="12" w:name="_Toc144974480"/>
      <w:bookmarkStart w:id="13" w:name="_Toc424558606"/>
      <w:bookmarkStart w:id="14" w:name="_Toc20389"/>
      <w:bookmarkStart w:id="15" w:name="_Toc9591"/>
      <w:r>
        <w:rPr>
          <w:rFonts w:ascii="宋体" w:hAnsi="宋体"/>
          <w:b/>
          <w:szCs w:val="21"/>
        </w:rPr>
        <w:t>1. 招标条件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420" w:firstLineChars="200"/>
        <w:rPr>
          <w:rFonts w:ascii="宋体" w:hAnsi="宋体"/>
          <w:szCs w:val="21"/>
        </w:rPr>
      </w:pPr>
      <w:r>
        <w:rPr>
          <w:rFonts w:ascii="宋体" w:hAnsi="宋体"/>
          <w:szCs w:val="21"/>
        </w:rPr>
        <w:t>本招标项目</w:t>
      </w:r>
      <w:r>
        <w:rPr>
          <w:rFonts w:hint="eastAsia" w:ascii="宋体" w:hAnsi="宋体"/>
          <w:b/>
          <w:bCs/>
          <w:szCs w:val="21"/>
          <w:u w:val="single"/>
        </w:rPr>
        <w:t>重庆铜永高速公路有限公司2021-2023年度道路技术状况定期检测（第二次）</w:t>
      </w:r>
      <w:r>
        <w:rPr>
          <w:rFonts w:ascii="宋体" w:hAnsi="宋体"/>
          <w:szCs w:val="21"/>
          <w:u w:val="single"/>
        </w:rPr>
        <w:t>（以下简称本项目）</w:t>
      </w:r>
      <w:r>
        <w:rPr>
          <w:rFonts w:ascii="宋体" w:hAnsi="宋体"/>
          <w:szCs w:val="21"/>
        </w:rPr>
        <w:t>，项目业主和招标人为</w:t>
      </w:r>
      <w:r>
        <w:rPr>
          <w:rFonts w:hint="eastAsia" w:ascii="宋体" w:hAnsi="宋体"/>
          <w:b/>
          <w:bCs/>
          <w:szCs w:val="21"/>
          <w:u w:val="single"/>
        </w:rPr>
        <w:t>重庆铜永高速公路有限公司</w:t>
      </w:r>
      <w:r>
        <w:rPr>
          <w:rFonts w:ascii="宋体" w:hAnsi="宋体"/>
          <w:szCs w:val="21"/>
        </w:rPr>
        <w:t>，建设资金自筹，项目出资比例为</w:t>
      </w:r>
      <w:r>
        <w:rPr>
          <w:rFonts w:ascii="宋体" w:hAnsi="宋体"/>
          <w:szCs w:val="21"/>
          <w:u w:val="single"/>
        </w:rPr>
        <w:t>100%</w:t>
      </w:r>
      <w:r>
        <w:rPr>
          <w:rFonts w:ascii="宋体" w:hAnsi="宋体"/>
          <w:szCs w:val="21"/>
        </w:rPr>
        <w:t>，项目已具备招标条件，</w:t>
      </w:r>
      <w:r>
        <w:rPr>
          <w:rFonts w:hint="eastAsia" w:ascii="宋体" w:hAnsi="宋体"/>
          <w:szCs w:val="21"/>
        </w:rPr>
        <w:t>招标人</w:t>
      </w:r>
      <w:r>
        <w:rPr>
          <w:rFonts w:ascii="宋体" w:hAnsi="宋体"/>
          <w:szCs w:val="21"/>
        </w:rPr>
        <w:t>现委托</w:t>
      </w:r>
      <w:r>
        <w:rPr>
          <w:rFonts w:hint="eastAsia" w:ascii="宋体" w:hAnsi="宋体"/>
          <w:b/>
          <w:bCs/>
          <w:szCs w:val="21"/>
          <w:u w:val="single"/>
        </w:rPr>
        <w:t>重庆招标采购（集团）有限责任公司</w:t>
      </w:r>
      <w:r>
        <w:rPr>
          <w:rFonts w:ascii="宋体" w:hAnsi="宋体"/>
          <w:szCs w:val="21"/>
        </w:rPr>
        <w:t>作为本项目招标代理对该项目施工进行公开招标。</w:t>
      </w:r>
      <w:r>
        <w:rPr>
          <w:rFonts w:hint="eastAsia" w:ascii="宋体" w:hAnsi="宋体"/>
          <w:szCs w:val="21"/>
        </w:rPr>
        <w:t>本项目采用资格后审。</w:t>
      </w:r>
    </w:p>
    <w:p>
      <w:pPr>
        <w:keepNext/>
        <w:keepLines/>
        <w:tabs>
          <w:tab w:val="left" w:pos="1080"/>
          <w:tab w:val="left" w:pos="2923"/>
        </w:tabs>
        <w:spacing w:line="360" w:lineRule="auto"/>
        <w:ind w:firstLine="422" w:firstLineChars="200"/>
        <w:outlineLvl w:val="1"/>
        <w:rPr>
          <w:rFonts w:ascii="宋体" w:hAnsi="宋体"/>
          <w:b/>
          <w:szCs w:val="21"/>
        </w:rPr>
      </w:pPr>
      <w:bookmarkStart w:id="16" w:name="_Toc152042289"/>
      <w:bookmarkStart w:id="17" w:name="_Toc424558247"/>
      <w:bookmarkStart w:id="18" w:name="_Toc247513935"/>
      <w:bookmarkStart w:id="19" w:name="_Toc152045513"/>
      <w:bookmarkStart w:id="20" w:name="_Toc247527536"/>
      <w:bookmarkStart w:id="21" w:name="_Toc404157407"/>
      <w:bookmarkStart w:id="22" w:name="_Toc144974481"/>
      <w:bookmarkStart w:id="23" w:name="_Toc424558607"/>
      <w:bookmarkStart w:id="24" w:name="_Toc467164121"/>
      <w:bookmarkStart w:id="25" w:name="_Toc509390548"/>
      <w:bookmarkStart w:id="26" w:name="_Toc512978271"/>
      <w:bookmarkStart w:id="27" w:name="_Toc512978518"/>
      <w:bookmarkStart w:id="28" w:name="_Toc519150546"/>
      <w:bookmarkStart w:id="29" w:name="_Toc519694528"/>
      <w:bookmarkStart w:id="30" w:name="_Toc3427"/>
      <w:bookmarkStart w:id="31" w:name="_Toc5678"/>
      <w:r>
        <w:rPr>
          <w:rFonts w:ascii="宋体" w:hAnsi="宋体"/>
          <w:b/>
          <w:szCs w:val="21"/>
        </w:rPr>
        <w:t>2. 项目概况与招标范围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360" w:lineRule="auto"/>
        <w:ind w:firstLine="420" w:firstLineChars="200"/>
        <w:rPr>
          <w:rFonts w:ascii="宋体" w:hAnsi="宋体"/>
          <w:bCs/>
          <w:szCs w:val="21"/>
        </w:rPr>
      </w:pPr>
      <w:bookmarkStart w:id="32" w:name="_Toc144974482"/>
      <w:bookmarkStart w:id="33" w:name="_Toc152042290"/>
      <w:bookmarkStart w:id="34" w:name="_Toc152045514"/>
      <w:bookmarkStart w:id="35" w:name="_Toc247513936"/>
      <w:bookmarkStart w:id="36" w:name="_Toc247527537"/>
      <w:bookmarkStart w:id="37" w:name="_Toc404157408"/>
      <w:bookmarkStart w:id="38" w:name="_Toc424558248"/>
      <w:bookmarkStart w:id="39" w:name="_Toc424558608"/>
      <w:bookmarkStart w:id="40" w:name="_Toc467164122"/>
      <w:bookmarkStart w:id="41" w:name="_Toc509390549"/>
      <w:bookmarkStart w:id="42" w:name="_Toc512978272"/>
      <w:bookmarkStart w:id="43" w:name="_Toc512978519"/>
      <w:bookmarkStart w:id="44" w:name="_Toc519150547"/>
      <w:bookmarkStart w:id="45" w:name="_Toc519694529"/>
      <w:r>
        <w:rPr>
          <w:rFonts w:ascii="宋体" w:hAnsi="宋体"/>
          <w:szCs w:val="21"/>
        </w:rPr>
        <w:t>2.1项目概况：</w:t>
      </w:r>
      <w:r>
        <w:rPr>
          <w:rFonts w:hint="eastAsia" w:ascii="宋体" w:hAnsi="宋体"/>
          <w:bCs/>
          <w:szCs w:val="21"/>
        </w:rPr>
        <w:t>G8515广泸高速铜梁至永川段位于重庆市铜梁县、大足县、永川区境内。重庆三环高速公路是《重庆市高速公路网规划》（2003～2020）“三环、十射、三联”的重要组成部分，是联系重庆市周边区县的重要公路通道，有着环接重庆市各条对外高速公路的重要作用。</w:t>
      </w:r>
    </w:p>
    <w:p>
      <w:pPr>
        <w:spacing w:line="360" w:lineRule="auto"/>
        <w:ind w:firstLine="420" w:firstLineChars="200"/>
        <w:rPr>
          <w:rFonts w:ascii="宋体" w:hAnsi="宋体"/>
          <w:bCs/>
          <w:szCs w:val="21"/>
        </w:rPr>
      </w:pPr>
      <w:r>
        <w:rPr>
          <w:rFonts w:hint="eastAsia" w:ascii="宋体" w:hAnsi="宋体"/>
          <w:bCs/>
          <w:szCs w:val="21"/>
        </w:rPr>
        <w:t>本项目位于重庆市铜梁区、大足区和永川区境内。项目起自铜梁区城北接铜合路起点，终于永川区双石镇接永江路，里程全长63.85Km。项目公路等级为双向四车道高速公路，路基宽度为24.5m（分离式12.25m），设计速度80Km/h，桥隧比为11%。全线特大、大、中桥4095m/30座（主线），隧道(单洞长)5778 m/1座；通道及涵洞</w:t>
      </w:r>
      <w:r>
        <w:rPr>
          <w:rFonts w:hint="eastAsia" w:ascii="宋体" w:hAnsi="宋体"/>
          <w:bCs/>
          <w:szCs w:val="21"/>
          <w:lang w:val="en-US" w:eastAsia="zh-CN"/>
        </w:rPr>
        <w:t>265道</w:t>
      </w:r>
      <w:bookmarkStart w:id="109" w:name="_GoBack"/>
      <w:bookmarkEnd w:id="109"/>
      <w:r>
        <w:rPr>
          <w:rFonts w:hint="eastAsia" w:ascii="宋体" w:hAnsi="宋体"/>
          <w:bCs/>
          <w:szCs w:val="21"/>
        </w:rPr>
        <w:t>，互通式立交9处，分离式立交1处，天桥13座，服务区2处，收费站8处。</w:t>
      </w:r>
    </w:p>
    <w:p>
      <w:pPr>
        <w:spacing w:line="360" w:lineRule="auto"/>
        <w:ind w:firstLine="420" w:firstLineChars="200"/>
        <w:rPr>
          <w:rFonts w:ascii="宋体" w:hAnsi="宋体" w:cs="宋体"/>
          <w:sz w:val="22"/>
          <w:szCs w:val="22"/>
          <w:shd w:val="clear" w:color="auto" w:fill="FFFFFF"/>
        </w:rPr>
      </w:pPr>
      <w:r>
        <w:rPr>
          <w:rFonts w:ascii="宋体" w:hAnsi="宋体"/>
          <w:szCs w:val="21"/>
        </w:rPr>
        <w:t>2.2</w:t>
      </w:r>
      <w:r>
        <w:rPr>
          <w:rFonts w:ascii="宋体" w:hAnsi="宋体"/>
          <w:szCs w:val="21"/>
          <w:lang w:val="zh-CN"/>
        </w:rPr>
        <w:t>招标范围：</w:t>
      </w:r>
      <w:r>
        <w:rPr>
          <w:rFonts w:hint="eastAsia" w:ascii="宋体" w:hAnsi="宋体" w:cs="宋体"/>
          <w:szCs w:val="21"/>
        </w:rPr>
        <w:t>本次将对重庆铜永高速公路有限公司所辖的</w:t>
      </w:r>
      <w:r>
        <w:rPr>
          <w:rFonts w:hint="eastAsia" w:ascii="宋体" w:hAnsi="宋体"/>
          <w:bCs/>
          <w:szCs w:val="21"/>
        </w:rPr>
        <w:t>G8515广泸高速铜梁至永川段</w:t>
      </w:r>
      <w:r>
        <w:rPr>
          <w:rFonts w:hint="eastAsia" w:ascii="宋体" w:hAnsi="宋体" w:cs="宋体"/>
          <w:szCs w:val="21"/>
          <w:u w:val="single"/>
        </w:rPr>
        <w:t>桥隧、路基、路面、涵洞、沿线设施及煤矿压覆段的3座桥梁进行2021-2023年</w:t>
      </w:r>
      <w:r>
        <w:rPr>
          <w:rFonts w:hint="eastAsia"/>
        </w:rPr>
        <w:t>道路技术状况定期检测和变形监测</w:t>
      </w:r>
      <w:r>
        <w:rPr>
          <w:rFonts w:hint="eastAsia" w:ascii="宋体" w:hAnsi="宋体" w:cs="宋体"/>
          <w:szCs w:val="21"/>
        </w:rPr>
        <w:t>；具体招标范围以实际发布的工程量清单为准。</w:t>
      </w:r>
    </w:p>
    <w:p>
      <w:pPr>
        <w:spacing w:line="360" w:lineRule="auto"/>
        <w:ind w:firstLine="420" w:firstLineChars="200"/>
        <w:rPr>
          <w:rFonts w:ascii="宋体" w:hAnsi="宋体"/>
          <w:szCs w:val="21"/>
        </w:rPr>
      </w:pPr>
      <w:r>
        <w:rPr>
          <w:rFonts w:ascii="宋体" w:hAnsi="宋体"/>
          <w:kern w:val="0"/>
          <w:szCs w:val="21"/>
        </w:rPr>
        <w:t>2.3</w:t>
      </w:r>
      <w:r>
        <w:rPr>
          <w:rFonts w:hint="eastAsia" w:ascii="宋体" w:hAnsi="宋体"/>
          <w:kern w:val="0"/>
          <w:szCs w:val="21"/>
        </w:rPr>
        <w:t>建设地点：</w:t>
      </w:r>
      <w:r>
        <w:rPr>
          <w:rFonts w:hint="eastAsia" w:ascii="宋体" w:hAnsi="宋体"/>
          <w:szCs w:val="21"/>
        </w:rPr>
        <w:t>G8515广泸高速铜梁至永川段</w:t>
      </w:r>
    </w:p>
    <w:p>
      <w:pPr>
        <w:spacing w:line="360" w:lineRule="auto"/>
        <w:ind w:firstLine="420" w:firstLineChars="200"/>
        <w:rPr>
          <w:rFonts w:ascii="宋体" w:hAnsi="宋体"/>
          <w:kern w:val="0"/>
          <w:szCs w:val="21"/>
          <w:lang w:val="zh-CN"/>
        </w:rPr>
      </w:pPr>
      <w:r>
        <w:rPr>
          <w:rFonts w:hint="eastAsia" w:ascii="宋体" w:hAnsi="宋体"/>
          <w:kern w:val="0"/>
          <w:szCs w:val="21"/>
        </w:rPr>
        <w:t>2.4</w:t>
      </w:r>
      <w:r>
        <w:rPr>
          <w:rFonts w:ascii="宋体" w:hAnsi="宋体"/>
          <w:kern w:val="0"/>
          <w:szCs w:val="21"/>
          <w:lang w:val="zh-CN"/>
        </w:rPr>
        <w:t>标段划分：1个合同标段。</w:t>
      </w:r>
    </w:p>
    <w:p>
      <w:pPr>
        <w:spacing w:line="360" w:lineRule="auto"/>
        <w:ind w:firstLine="420" w:firstLineChars="200"/>
        <w:rPr>
          <w:rFonts w:ascii="宋体" w:hAnsi="宋体"/>
          <w:szCs w:val="21"/>
        </w:rPr>
      </w:pPr>
      <w:r>
        <w:rPr>
          <w:rFonts w:ascii="宋体" w:hAnsi="宋体"/>
          <w:kern w:val="0"/>
          <w:szCs w:val="21"/>
        </w:rPr>
        <w:t>2.</w:t>
      </w:r>
      <w:r>
        <w:rPr>
          <w:rFonts w:hint="eastAsia" w:ascii="宋体" w:hAnsi="宋体"/>
          <w:kern w:val="0"/>
          <w:szCs w:val="21"/>
        </w:rPr>
        <w:t>5</w:t>
      </w:r>
      <w:r>
        <w:rPr>
          <w:rFonts w:ascii="宋体" w:hAnsi="宋体"/>
          <w:kern w:val="0"/>
          <w:szCs w:val="21"/>
          <w:lang w:val="zh-CN"/>
        </w:rPr>
        <w:t>工期：</w:t>
      </w:r>
      <w:bookmarkStart w:id="46" w:name="_Toc24840"/>
      <w:bookmarkStart w:id="47" w:name="_Toc14246"/>
      <w:r>
        <w:rPr>
          <w:rFonts w:hint="eastAsia" w:ascii="宋体" w:hAnsi="宋体"/>
          <w:szCs w:val="21"/>
        </w:rPr>
        <w:t>36个月，预计开工时间：2021年7月（具体服务周期按照招标人的要求确定）。</w:t>
      </w:r>
    </w:p>
    <w:p>
      <w:pPr>
        <w:spacing w:line="360" w:lineRule="auto"/>
        <w:ind w:firstLine="422" w:firstLineChars="200"/>
        <w:rPr>
          <w:rFonts w:ascii="宋体" w:hAnsi="宋体"/>
          <w:b/>
          <w:szCs w:val="21"/>
        </w:rPr>
      </w:pPr>
      <w:r>
        <w:rPr>
          <w:rFonts w:ascii="宋体" w:hAnsi="宋体"/>
          <w:b/>
          <w:szCs w:val="21"/>
        </w:rPr>
        <w:t>3. 投标人资格要求</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ind w:firstLine="420" w:firstLineChars="200"/>
        <w:rPr>
          <w:rFonts w:ascii="宋体" w:hAnsi="宋体"/>
          <w:szCs w:val="21"/>
        </w:rPr>
      </w:pPr>
      <w:r>
        <w:rPr>
          <w:rFonts w:hint="eastAsia" w:ascii="宋体" w:hAnsi="宋体"/>
          <w:szCs w:val="21"/>
        </w:rPr>
        <w:t>3.1本次招标要求投标人具有独立法人资格，在人员、设备等方面具有相应的施工能力，资质条件须满足下列资质要求：</w:t>
      </w:r>
    </w:p>
    <w:p>
      <w:pPr>
        <w:tabs>
          <w:tab w:val="left" w:pos="360"/>
        </w:tabs>
        <w:spacing w:line="360" w:lineRule="auto"/>
        <w:ind w:firstLine="422" w:firstLineChars="200"/>
        <w:rPr>
          <w:rFonts w:ascii="宋体" w:hAnsi="宋体" w:cs="宋体"/>
          <w:b/>
          <w:shd w:val="clear" w:color="auto" w:fill="FFFFFF"/>
        </w:rPr>
      </w:pPr>
      <w:r>
        <w:rPr>
          <w:rFonts w:hint="eastAsia" w:ascii="宋体" w:hAnsi="宋体" w:cs="宋体"/>
          <w:b/>
          <w:szCs w:val="21"/>
        </w:rPr>
        <w:t>①</w:t>
      </w:r>
      <w:r>
        <w:rPr>
          <w:rFonts w:hint="eastAsia" w:ascii="宋体" w:hAnsi="宋体" w:cs="宋体"/>
          <w:b/>
          <w:shd w:val="clear" w:color="auto" w:fill="FFFFFF"/>
        </w:rPr>
        <w:t>具有有效的营业执照；</w:t>
      </w:r>
    </w:p>
    <w:p>
      <w:pPr>
        <w:tabs>
          <w:tab w:val="left" w:pos="360"/>
        </w:tabs>
        <w:spacing w:line="360" w:lineRule="auto"/>
        <w:ind w:firstLine="422" w:firstLineChars="200"/>
        <w:rPr>
          <w:rFonts w:ascii="宋体" w:hAnsi="宋体" w:cs="宋体"/>
          <w:b/>
          <w:shd w:val="clear" w:color="auto" w:fill="FFFFFF"/>
        </w:rPr>
      </w:pPr>
      <w:r>
        <w:rPr>
          <w:rFonts w:hint="eastAsia" w:ascii="宋体" w:hAnsi="宋体" w:cs="宋体"/>
          <w:b/>
          <w:shd w:val="clear" w:color="auto" w:fill="FFFFFF"/>
        </w:rPr>
        <w:t>②具有交通运输部颁发的公路工程试验检测综合甲级及公路工程桥梁隧道工程专项资质</w:t>
      </w:r>
      <w:r>
        <w:rPr>
          <w:rFonts w:hint="eastAsia" w:ascii="宋体" w:hAnsi="宋体" w:cs="宋体"/>
          <w:b/>
          <w:szCs w:val="21"/>
        </w:rPr>
        <w:t>；</w:t>
      </w:r>
      <w:r>
        <w:rPr>
          <w:rFonts w:hint="eastAsia" w:ascii="宋体" w:hAnsi="宋体" w:cs="宋体"/>
          <w:b/>
          <w:shd w:val="clear" w:color="auto" w:fill="FFFFFF"/>
        </w:rPr>
        <w:t xml:space="preserve"> </w:t>
      </w:r>
    </w:p>
    <w:p>
      <w:pPr>
        <w:tabs>
          <w:tab w:val="left" w:pos="360"/>
        </w:tabs>
        <w:spacing w:line="360" w:lineRule="auto"/>
        <w:ind w:firstLine="422" w:firstLineChars="200"/>
        <w:rPr>
          <w:rFonts w:ascii="宋体" w:hAnsi="宋体" w:cs="宋体"/>
          <w:b/>
          <w:szCs w:val="21"/>
        </w:rPr>
      </w:pPr>
      <w:r>
        <w:rPr>
          <w:rFonts w:hint="eastAsia" w:ascii="宋体" w:hAnsi="宋体" w:cs="宋体"/>
          <w:b/>
          <w:shd w:val="clear" w:color="auto" w:fill="FFFFFF"/>
        </w:rPr>
        <w:t>③</w:t>
      </w:r>
      <w:r>
        <w:rPr>
          <w:rFonts w:hint="eastAsia" w:ascii="宋体" w:hAnsi="宋体" w:cs="宋体"/>
          <w:b/>
          <w:szCs w:val="21"/>
        </w:rPr>
        <w:t>具备CMA计量认证证书</w:t>
      </w:r>
      <w:r>
        <w:rPr>
          <w:rFonts w:hint="eastAsia" w:ascii="宋体" w:hAnsi="宋体" w:cs="宋体"/>
          <w:b/>
          <w:shd w:val="clear" w:color="auto" w:fill="FFFFFF"/>
        </w:rPr>
        <w:t>；</w:t>
      </w:r>
    </w:p>
    <w:p>
      <w:pPr>
        <w:spacing w:line="360" w:lineRule="auto"/>
        <w:ind w:firstLine="420" w:firstLineChars="200"/>
        <w:rPr>
          <w:rFonts w:ascii="宋体" w:hAnsi="宋体"/>
          <w:szCs w:val="21"/>
        </w:rPr>
      </w:pPr>
      <w:r>
        <w:rPr>
          <w:rFonts w:hint="eastAsia" w:ascii="宋体" w:hAnsi="宋体"/>
          <w:szCs w:val="21"/>
        </w:rPr>
        <w:t>3.2业绩要求：</w:t>
      </w:r>
    </w:p>
    <w:p>
      <w:pPr>
        <w:spacing w:line="360" w:lineRule="auto"/>
        <w:ind w:firstLine="422" w:firstLineChars="200"/>
        <w:rPr>
          <w:rFonts w:ascii="宋体" w:hAnsi="宋体"/>
          <w:b/>
          <w:szCs w:val="21"/>
        </w:rPr>
      </w:pPr>
      <w:r>
        <w:rPr>
          <w:rFonts w:hint="eastAsia" w:ascii="宋体" w:hAnsi="宋体"/>
          <w:b/>
          <w:szCs w:val="21"/>
        </w:rPr>
        <w:t>3.2.1  2017年1月1日至投标截止日止（以合同签订时间为准）承担过不少于1个已通车高速公路桥梁、隧道、路面检测业绩（所提供的单个业绩中的工作内容需包含桥梁、隧道和路面等检测内容）。</w:t>
      </w:r>
    </w:p>
    <w:p>
      <w:pPr>
        <w:spacing w:line="360" w:lineRule="auto"/>
        <w:ind w:firstLine="422" w:firstLineChars="200"/>
        <w:rPr>
          <w:rFonts w:ascii="宋体" w:hAnsi="宋体"/>
          <w:b/>
          <w:szCs w:val="21"/>
        </w:rPr>
      </w:pPr>
      <w:r>
        <w:rPr>
          <w:rFonts w:hint="eastAsia" w:ascii="宋体" w:hAnsi="宋体"/>
          <w:b/>
          <w:szCs w:val="21"/>
        </w:rPr>
        <w:t>3.2.2  2017年1月1日至投标截止日止（以合同签订时间为准）承担过不少于1个已通车高速特大桥检测工作业绩。</w:t>
      </w:r>
    </w:p>
    <w:p>
      <w:pPr>
        <w:spacing w:line="360" w:lineRule="auto"/>
        <w:ind w:firstLine="420" w:firstLineChars="200"/>
        <w:rPr>
          <w:rFonts w:ascii="宋体" w:hAnsi="宋体"/>
          <w:szCs w:val="21"/>
          <w:lang w:val="zh-CN"/>
        </w:rPr>
      </w:pPr>
      <w:r>
        <w:rPr>
          <w:rFonts w:hint="eastAsia" w:ascii="宋体" w:hAnsi="宋体"/>
          <w:szCs w:val="21"/>
        </w:rPr>
        <w:t>3.2本次招标不接受联合体投标。</w:t>
      </w:r>
    </w:p>
    <w:p>
      <w:pPr>
        <w:spacing w:line="360" w:lineRule="auto"/>
        <w:ind w:firstLine="420" w:firstLineChars="200"/>
        <w:rPr>
          <w:rFonts w:ascii="宋体" w:hAnsi="宋体"/>
          <w:szCs w:val="21"/>
        </w:rPr>
      </w:pPr>
      <w:r>
        <w:rPr>
          <w:rFonts w:hint="eastAsia" w:ascii="宋体" w:hAnsi="宋体"/>
          <w:szCs w:val="21"/>
        </w:rPr>
        <w:t>3.3与招标人存在利害关系可能影响招标公正性的单位，不得参加投标。单位负责人为同一人或存在控股、管理关系的不同单位，不得参加同一标段投标，否则，相关投标均无效。</w:t>
      </w:r>
    </w:p>
    <w:p>
      <w:pPr>
        <w:spacing w:line="360" w:lineRule="auto"/>
        <w:ind w:firstLine="420" w:firstLineChars="200"/>
        <w:rPr>
          <w:rFonts w:ascii="宋体" w:hAnsi="宋体"/>
          <w:szCs w:val="21"/>
        </w:rPr>
      </w:pPr>
      <w:r>
        <w:rPr>
          <w:rFonts w:hint="eastAsia" w:ascii="宋体" w:hAnsi="宋体"/>
          <w:szCs w:val="21"/>
        </w:rPr>
        <w:t>3.4“信用中国”网站（http://www.creditchina.gov.cn/）中被列入失信被执行人名单（黑名单）的投标人，不得参加投标。</w:t>
      </w:r>
    </w:p>
    <w:p>
      <w:pPr>
        <w:keepNext/>
        <w:keepLines/>
        <w:tabs>
          <w:tab w:val="left" w:pos="1080"/>
          <w:tab w:val="left" w:pos="2923"/>
        </w:tabs>
        <w:spacing w:line="360" w:lineRule="auto"/>
        <w:ind w:firstLine="211" w:firstLineChars="100"/>
        <w:outlineLvl w:val="1"/>
        <w:rPr>
          <w:rFonts w:ascii="宋体" w:hAnsi="宋体"/>
          <w:b/>
          <w:szCs w:val="21"/>
        </w:rPr>
      </w:pPr>
      <w:bookmarkStart w:id="48" w:name="_Toc424558609"/>
      <w:bookmarkStart w:id="49" w:name="_Toc467164123"/>
      <w:bookmarkStart w:id="50" w:name="_Toc424558249"/>
      <w:bookmarkStart w:id="51" w:name="_Toc404157410"/>
      <w:bookmarkStart w:id="52" w:name="_Toc247527538"/>
      <w:bookmarkStart w:id="53" w:name="_Toc247513937"/>
      <w:bookmarkStart w:id="54" w:name="_Toc152045515"/>
      <w:bookmarkStart w:id="55" w:name="_Toc152042291"/>
      <w:bookmarkStart w:id="56" w:name="_Toc144974483"/>
      <w:bookmarkStart w:id="57" w:name="_Toc509390550"/>
      <w:bookmarkStart w:id="58" w:name="_Toc512978273"/>
      <w:bookmarkStart w:id="59" w:name="_Toc512978520"/>
      <w:bookmarkStart w:id="60" w:name="_Toc519150548"/>
      <w:bookmarkStart w:id="61" w:name="_Toc519694530"/>
      <w:bookmarkStart w:id="62" w:name="_Toc11564"/>
      <w:bookmarkStart w:id="63" w:name="_Toc10009"/>
      <w:r>
        <w:rPr>
          <w:rFonts w:ascii="宋体" w:hAnsi="宋体"/>
          <w:b/>
          <w:szCs w:val="21"/>
        </w:rPr>
        <w:t>4. 招标文件的获取</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tabs>
          <w:tab w:val="left" w:pos="360"/>
        </w:tabs>
        <w:spacing w:line="360" w:lineRule="auto"/>
        <w:ind w:left="105" w:leftChars="50"/>
        <w:rPr>
          <w:rFonts w:ascii="宋体" w:hAnsi="宋体" w:cs="宋体"/>
          <w:szCs w:val="21"/>
        </w:rPr>
      </w:pPr>
      <w:bookmarkStart w:id="64" w:name="_Toc247527539"/>
      <w:bookmarkStart w:id="65" w:name="_Toc247513938"/>
      <w:bookmarkStart w:id="66" w:name="_Toc152045516"/>
      <w:bookmarkStart w:id="67" w:name="_Toc152042292"/>
      <w:bookmarkStart w:id="68" w:name="_Toc144974484"/>
      <w:r>
        <w:rPr>
          <w:rFonts w:hint="eastAsia" w:ascii="宋体" w:hAnsi="宋体" w:cs="宋体"/>
          <w:szCs w:val="21"/>
        </w:rPr>
        <w:t xml:space="preserve">  凡愿意参加投标者，从2021年5月13日起至投标截止时间前，均可登录重庆市公共资源交易网（www.cqggzy.com）直接下载获取招标文件、图纸、答疑及补遗等开标前的有关资料。在公告期间，各投标人应随时关注网上发布的招标文件答疑、补遗、澄清等文件内容，不管投标人是否下载，均视为已知晓招标文件的全部内容和有关事宜。本项目不需要报名，直接投标。 </w:t>
      </w:r>
    </w:p>
    <w:p>
      <w:pPr>
        <w:keepNext/>
        <w:keepLines/>
        <w:tabs>
          <w:tab w:val="left" w:pos="1080"/>
          <w:tab w:val="left" w:pos="2923"/>
        </w:tabs>
        <w:spacing w:line="360" w:lineRule="auto"/>
        <w:ind w:firstLine="422" w:firstLineChars="200"/>
        <w:outlineLvl w:val="1"/>
        <w:rPr>
          <w:rFonts w:ascii="宋体" w:hAnsi="宋体"/>
          <w:b/>
          <w:szCs w:val="21"/>
        </w:rPr>
      </w:pPr>
      <w:bookmarkStart w:id="69" w:name="_Toc404157411"/>
      <w:bookmarkStart w:id="70" w:name="_Toc467164124"/>
      <w:bookmarkStart w:id="71" w:name="_Toc424558610"/>
      <w:bookmarkStart w:id="72" w:name="_Toc424558250"/>
      <w:bookmarkStart w:id="73" w:name="_Toc509390551"/>
      <w:bookmarkStart w:id="74" w:name="_Toc512978274"/>
      <w:bookmarkStart w:id="75" w:name="_Toc512978521"/>
      <w:bookmarkStart w:id="76" w:name="_Toc519150549"/>
      <w:bookmarkStart w:id="77" w:name="_Toc519694531"/>
      <w:bookmarkStart w:id="78" w:name="_Toc27260"/>
      <w:bookmarkStart w:id="79" w:name="_Toc4380"/>
      <w:r>
        <w:rPr>
          <w:rFonts w:ascii="宋体" w:hAnsi="宋体"/>
          <w:b/>
          <w:szCs w:val="21"/>
        </w:rPr>
        <w:t>5. 投标文件的递交</w:t>
      </w:r>
      <w:bookmarkEnd w:id="64"/>
      <w:bookmarkEnd w:id="65"/>
      <w:bookmarkEnd w:id="66"/>
      <w:bookmarkEnd w:id="67"/>
      <w:bookmarkEnd w:id="68"/>
      <w:bookmarkEnd w:id="69"/>
      <w:bookmarkEnd w:id="70"/>
      <w:bookmarkEnd w:id="71"/>
      <w:bookmarkEnd w:id="72"/>
      <w:r>
        <w:rPr>
          <w:rFonts w:ascii="宋体" w:hAnsi="宋体"/>
          <w:b/>
          <w:szCs w:val="21"/>
        </w:rPr>
        <w:t>及相关事宜</w:t>
      </w:r>
      <w:bookmarkEnd w:id="73"/>
      <w:bookmarkEnd w:id="74"/>
      <w:bookmarkEnd w:id="75"/>
      <w:bookmarkEnd w:id="76"/>
      <w:bookmarkEnd w:id="77"/>
      <w:bookmarkEnd w:id="78"/>
      <w:bookmarkEnd w:id="79"/>
      <w:r>
        <w:rPr>
          <w:rFonts w:ascii="宋体" w:hAnsi="宋体"/>
          <w:b/>
          <w:szCs w:val="21"/>
        </w:rPr>
        <w:t xml:space="preserve"> </w:t>
      </w:r>
    </w:p>
    <w:p>
      <w:pPr>
        <w:widowControl/>
        <w:adjustRightInd w:val="0"/>
        <w:snapToGrid w:val="0"/>
        <w:spacing w:line="360" w:lineRule="auto"/>
        <w:ind w:firstLine="420" w:firstLineChars="200"/>
        <w:rPr>
          <w:rFonts w:ascii="宋体" w:hAnsi="宋体"/>
          <w:szCs w:val="21"/>
        </w:rPr>
      </w:pPr>
      <w:bookmarkStart w:id="80" w:name="_Toc157499355"/>
      <w:bookmarkStart w:id="81" w:name="_Toc247513939"/>
      <w:bookmarkStart w:id="82" w:name="_Toc247527540"/>
      <w:bookmarkStart w:id="83" w:name="_Toc424558611"/>
      <w:bookmarkStart w:id="84" w:name="_Toc467164125"/>
      <w:bookmarkStart w:id="85" w:name="_Toc424558251"/>
      <w:bookmarkStart w:id="86" w:name="_Toc404157413"/>
      <w:bookmarkStart w:id="87" w:name="_Toc509390552"/>
      <w:r>
        <w:rPr>
          <w:rFonts w:ascii="宋体" w:hAnsi="宋体"/>
          <w:szCs w:val="21"/>
        </w:rPr>
        <w:t>5.1投标截止时间和开标时间：20</w:t>
      </w:r>
      <w:r>
        <w:rPr>
          <w:rFonts w:hint="eastAsia" w:ascii="宋体" w:hAnsi="宋体"/>
          <w:szCs w:val="21"/>
        </w:rPr>
        <w:t>21</w:t>
      </w:r>
      <w:r>
        <w:rPr>
          <w:rFonts w:ascii="宋体" w:hAnsi="宋体"/>
          <w:szCs w:val="21"/>
        </w:rPr>
        <w:t>年</w:t>
      </w:r>
      <w:r>
        <w:rPr>
          <w:rFonts w:hint="eastAsia" w:ascii="宋体" w:hAnsi="宋体"/>
          <w:szCs w:val="21"/>
        </w:rPr>
        <w:t>6</w:t>
      </w:r>
      <w:r>
        <w:rPr>
          <w:rFonts w:ascii="宋体" w:hAnsi="宋体"/>
          <w:szCs w:val="21"/>
        </w:rPr>
        <w:t>月</w:t>
      </w:r>
      <w:r>
        <w:rPr>
          <w:rFonts w:hint="eastAsia" w:ascii="宋体" w:hAnsi="宋体"/>
          <w:szCs w:val="21"/>
        </w:rPr>
        <w:t>3</w:t>
      </w:r>
      <w:r>
        <w:rPr>
          <w:rFonts w:ascii="宋体" w:hAnsi="宋体"/>
          <w:szCs w:val="21"/>
        </w:rPr>
        <w:t>日</w:t>
      </w:r>
      <w:r>
        <w:rPr>
          <w:rFonts w:hint="eastAsia" w:ascii="宋体" w:hAnsi="宋体"/>
          <w:szCs w:val="21"/>
        </w:rPr>
        <w:t>11</w:t>
      </w:r>
      <w:r>
        <w:rPr>
          <w:rFonts w:ascii="宋体" w:hAnsi="宋体"/>
          <w:szCs w:val="21"/>
        </w:rPr>
        <w:t>时</w:t>
      </w:r>
      <w:r>
        <w:rPr>
          <w:rFonts w:hint="eastAsia" w:ascii="宋体" w:hAnsi="宋体"/>
          <w:szCs w:val="21"/>
        </w:rPr>
        <w:t>00</w:t>
      </w:r>
      <w:r>
        <w:rPr>
          <w:rFonts w:ascii="宋体" w:hAnsi="宋体"/>
          <w:szCs w:val="21"/>
        </w:rPr>
        <w:t>分（北京时间）。</w:t>
      </w:r>
    </w:p>
    <w:p>
      <w:pPr>
        <w:widowControl/>
        <w:adjustRightInd w:val="0"/>
        <w:snapToGrid w:val="0"/>
        <w:spacing w:line="360" w:lineRule="auto"/>
        <w:ind w:firstLine="420" w:firstLineChars="200"/>
        <w:rPr>
          <w:rFonts w:ascii="宋体" w:hAnsi="宋体"/>
          <w:szCs w:val="21"/>
        </w:rPr>
      </w:pPr>
      <w:r>
        <w:rPr>
          <w:rFonts w:ascii="宋体" w:hAnsi="宋体"/>
          <w:szCs w:val="21"/>
        </w:rPr>
        <w:t>5.2投标地点和开标地点：重庆市公共资源交易中心（地址：重庆市渝北区青枫北路6号渝兴广场B</w:t>
      </w:r>
      <w:r>
        <w:rPr>
          <w:rFonts w:hint="eastAsia" w:ascii="宋体" w:hAnsi="宋体"/>
          <w:szCs w:val="21"/>
        </w:rPr>
        <w:t>10</w:t>
      </w:r>
      <w:r>
        <w:rPr>
          <w:rFonts w:ascii="宋体" w:hAnsi="宋体"/>
          <w:szCs w:val="21"/>
        </w:rPr>
        <w:t xml:space="preserve">栋），具体详见交易中心当天开标大厅电子显示屏。  </w:t>
      </w:r>
    </w:p>
    <w:p>
      <w:pPr>
        <w:widowControl/>
        <w:adjustRightInd w:val="0"/>
        <w:snapToGrid w:val="0"/>
        <w:spacing w:line="360" w:lineRule="auto"/>
        <w:ind w:firstLine="420" w:firstLineChars="200"/>
        <w:rPr>
          <w:rFonts w:ascii="宋体" w:hAnsi="宋体"/>
          <w:szCs w:val="21"/>
        </w:rPr>
      </w:pPr>
      <w:r>
        <w:rPr>
          <w:rFonts w:ascii="宋体" w:hAnsi="宋体"/>
          <w:szCs w:val="21"/>
        </w:rPr>
        <w:t>5.3逾期送达、或未送达指定地点、或未按招标文件要求密封的投标文件，招标人将予以拒收。</w:t>
      </w:r>
    </w:p>
    <w:p>
      <w:pPr>
        <w:tabs>
          <w:tab w:val="left" w:pos="360"/>
        </w:tabs>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4</w:t>
      </w:r>
      <w:r>
        <w:rPr>
          <w:rFonts w:ascii="宋体" w:hAnsi="宋体"/>
          <w:szCs w:val="21"/>
        </w:rPr>
        <w:t>招标人不组织工程现场踏勘，不召开投标预备会。</w:t>
      </w:r>
    </w:p>
    <w:p>
      <w:pPr>
        <w:keepNext/>
        <w:keepLines/>
        <w:tabs>
          <w:tab w:val="left" w:pos="1080"/>
          <w:tab w:val="left" w:pos="2923"/>
        </w:tabs>
        <w:spacing w:line="360" w:lineRule="auto"/>
        <w:ind w:firstLine="422" w:firstLineChars="200"/>
        <w:outlineLvl w:val="1"/>
        <w:rPr>
          <w:rFonts w:ascii="宋体" w:hAnsi="宋体"/>
          <w:b/>
          <w:szCs w:val="21"/>
        </w:rPr>
      </w:pPr>
      <w:bookmarkStart w:id="88" w:name="_Toc20018"/>
      <w:bookmarkStart w:id="89" w:name="_Toc10373"/>
      <w:bookmarkStart w:id="90" w:name="_Toc519694532"/>
      <w:bookmarkStart w:id="91" w:name="_Toc519150550"/>
      <w:bookmarkStart w:id="92" w:name="_Toc512978522"/>
      <w:bookmarkStart w:id="93" w:name="_Toc512978275"/>
      <w:r>
        <w:rPr>
          <w:rFonts w:ascii="宋体" w:hAnsi="宋体"/>
          <w:b/>
          <w:szCs w:val="21"/>
        </w:rPr>
        <w:t>6. 发布公告的媒介</w:t>
      </w:r>
      <w:bookmarkEnd w:id="80"/>
      <w:bookmarkEnd w:id="81"/>
      <w:bookmarkEnd w:id="82"/>
      <w:bookmarkEnd w:id="83"/>
      <w:bookmarkEnd w:id="84"/>
      <w:bookmarkEnd w:id="85"/>
      <w:bookmarkEnd w:id="86"/>
      <w:bookmarkEnd w:id="87"/>
      <w:bookmarkEnd w:id="88"/>
      <w:bookmarkEnd w:id="89"/>
      <w:bookmarkEnd w:id="90"/>
      <w:bookmarkEnd w:id="91"/>
      <w:bookmarkEnd w:id="92"/>
      <w:bookmarkEnd w:id="93"/>
    </w:p>
    <w:p>
      <w:pPr>
        <w:tabs>
          <w:tab w:val="left" w:pos="360"/>
        </w:tabs>
        <w:adjustRightInd w:val="0"/>
        <w:snapToGrid w:val="0"/>
        <w:spacing w:line="360" w:lineRule="auto"/>
        <w:ind w:firstLine="420" w:firstLineChars="200"/>
        <w:rPr>
          <w:rFonts w:ascii="宋体" w:hAnsi="宋体"/>
          <w:szCs w:val="21"/>
        </w:rPr>
      </w:pPr>
      <w:bookmarkStart w:id="94" w:name="_Toc509998448"/>
      <w:bookmarkStart w:id="95" w:name="_Toc144974485"/>
      <w:bookmarkStart w:id="96" w:name="_Toc247527541"/>
      <w:bookmarkStart w:id="97" w:name="_Toc247513940"/>
      <w:bookmarkStart w:id="98" w:name="_Toc152045517"/>
      <w:bookmarkStart w:id="99" w:name="_Toc152042293"/>
      <w:bookmarkStart w:id="100" w:name="_Toc424558612"/>
      <w:bookmarkStart w:id="101" w:name="_Toc467164126"/>
      <w:bookmarkStart w:id="102" w:name="_Toc424558252"/>
      <w:bookmarkStart w:id="103" w:name="_Toc404157414"/>
      <w:bookmarkStart w:id="104" w:name="_Toc509390553"/>
      <w:bookmarkStart w:id="105" w:name="_Toc512978276"/>
      <w:bookmarkStart w:id="106" w:name="_Toc512978523"/>
      <w:bookmarkStart w:id="107" w:name="_Toc519150551"/>
      <w:bookmarkStart w:id="108" w:name="_Toc519694533"/>
      <w:r>
        <w:rPr>
          <w:rFonts w:hint="eastAsia" w:ascii="宋体" w:hAnsi="宋体"/>
          <w:szCs w:val="21"/>
        </w:rPr>
        <w:t>本次招标公告在重庆市公共资源交易网（www.cqggzy.com）、重庆高速集团官网（http://www.cegc.com.cn）以及重庆高速公路集团有限公司招投标管理平台（http://43.240.249.108:8088/PMS/）网上发布。</w:t>
      </w:r>
      <w:bookmarkEnd w:id="94"/>
    </w:p>
    <w:p>
      <w:pPr>
        <w:tabs>
          <w:tab w:val="left" w:pos="360"/>
        </w:tabs>
        <w:adjustRightInd w:val="0"/>
        <w:snapToGrid w:val="0"/>
        <w:spacing w:line="360" w:lineRule="auto"/>
        <w:ind w:firstLine="422" w:firstLineChars="200"/>
        <w:rPr>
          <w:rFonts w:ascii="宋体" w:hAnsi="宋体"/>
          <w:b/>
          <w:szCs w:val="21"/>
        </w:rPr>
      </w:pPr>
    </w:p>
    <w:p>
      <w:pPr>
        <w:tabs>
          <w:tab w:val="left" w:pos="360"/>
        </w:tabs>
        <w:adjustRightInd w:val="0"/>
        <w:snapToGrid w:val="0"/>
        <w:spacing w:line="360" w:lineRule="auto"/>
        <w:ind w:firstLine="422" w:firstLineChars="200"/>
        <w:rPr>
          <w:rFonts w:ascii="宋体" w:hAnsi="宋体"/>
          <w:b/>
          <w:szCs w:val="21"/>
        </w:rPr>
      </w:pPr>
      <w:r>
        <w:rPr>
          <w:rFonts w:ascii="宋体" w:hAnsi="宋体"/>
          <w:b/>
          <w:szCs w:val="21"/>
        </w:rPr>
        <w:t>7. 联系方式</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420" w:firstLineChars="200"/>
        <w:rPr>
          <w:rFonts w:ascii="宋体" w:hAnsi="宋体" w:cs="宋体"/>
          <w:szCs w:val="21"/>
        </w:rPr>
      </w:pPr>
      <w:r>
        <w:rPr>
          <w:rFonts w:hint="eastAsia" w:ascii="宋体" w:hAnsi="宋体" w:cs="宋体"/>
          <w:szCs w:val="21"/>
        </w:rPr>
        <w:t>招标人：重庆铜永高速公路有限公司</w:t>
      </w:r>
    </w:p>
    <w:p>
      <w:pPr>
        <w:spacing w:line="360" w:lineRule="auto"/>
        <w:ind w:firstLine="420" w:firstLineChars="200"/>
        <w:rPr>
          <w:rFonts w:ascii="宋体" w:hAnsi="宋体" w:cs="宋体"/>
          <w:szCs w:val="21"/>
        </w:rPr>
      </w:pPr>
      <w:r>
        <w:rPr>
          <w:rFonts w:hint="eastAsia" w:ascii="宋体" w:hAnsi="宋体" w:cs="宋体"/>
          <w:szCs w:val="21"/>
        </w:rPr>
        <w:t>地  址：重庆市渝北区银杉路66号</w:t>
      </w:r>
    </w:p>
    <w:p>
      <w:pPr>
        <w:spacing w:line="360" w:lineRule="auto"/>
        <w:ind w:firstLine="420" w:firstLineChars="200"/>
        <w:rPr>
          <w:rFonts w:ascii="宋体" w:hAnsi="宋体" w:cs="宋体"/>
          <w:szCs w:val="21"/>
        </w:rPr>
      </w:pPr>
      <w:r>
        <w:rPr>
          <w:rFonts w:hint="eastAsia" w:ascii="宋体" w:hAnsi="宋体" w:cs="宋体"/>
          <w:szCs w:val="21"/>
        </w:rPr>
        <w:t xml:space="preserve">联系人：涂老师 </w:t>
      </w:r>
    </w:p>
    <w:p>
      <w:pPr>
        <w:spacing w:line="360" w:lineRule="auto"/>
        <w:ind w:firstLine="420" w:firstLineChars="200"/>
        <w:rPr>
          <w:rFonts w:ascii="宋体" w:hAnsi="宋体" w:cs="宋体"/>
          <w:szCs w:val="21"/>
        </w:rPr>
      </w:pPr>
      <w:r>
        <w:rPr>
          <w:rFonts w:hint="eastAsia" w:ascii="宋体" w:hAnsi="宋体" w:cs="宋体"/>
          <w:szCs w:val="21"/>
        </w:rPr>
        <w:t xml:space="preserve">电  话：023-89139721 </w:t>
      </w:r>
    </w:p>
    <w:p>
      <w:pPr>
        <w:spacing w:line="360" w:lineRule="auto"/>
        <w:ind w:firstLine="420" w:firstLineChars="200"/>
        <w:rPr>
          <w:rFonts w:ascii="宋体" w:hAnsi="宋体"/>
          <w:szCs w:val="21"/>
        </w:rPr>
      </w:pPr>
      <w:r>
        <w:rPr>
          <w:rFonts w:ascii="宋体" w:hAnsi="宋体"/>
          <w:szCs w:val="21"/>
        </w:rPr>
        <w:t>招标代理机构：</w:t>
      </w:r>
      <w:r>
        <w:rPr>
          <w:rFonts w:hint="eastAsia" w:ascii="宋体" w:hAnsi="宋体"/>
          <w:szCs w:val="21"/>
        </w:rPr>
        <w:t>重庆招标采购（集团）有限责任公司</w:t>
      </w:r>
    </w:p>
    <w:p>
      <w:pPr>
        <w:spacing w:line="360" w:lineRule="auto"/>
        <w:ind w:firstLine="420" w:firstLineChars="200"/>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址：重庆市江北区五简路2号重咨大厦</w:t>
      </w:r>
      <w:r>
        <w:rPr>
          <w:rFonts w:hint="eastAsia" w:ascii="宋体" w:hAnsi="宋体"/>
          <w:szCs w:val="21"/>
        </w:rPr>
        <w:t>A栋808</w:t>
      </w:r>
    </w:p>
    <w:p>
      <w:pPr>
        <w:spacing w:line="360" w:lineRule="auto"/>
        <w:ind w:firstLine="420" w:firstLineChars="200"/>
        <w:rPr>
          <w:rFonts w:ascii="宋体" w:hAnsi="宋体"/>
          <w:szCs w:val="21"/>
        </w:rPr>
      </w:pPr>
      <w:r>
        <w:rPr>
          <w:rFonts w:ascii="宋体" w:hAnsi="宋体"/>
          <w:szCs w:val="21"/>
        </w:rPr>
        <w:t>联系人：</w:t>
      </w:r>
      <w:r>
        <w:rPr>
          <w:rFonts w:hint="eastAsia" w:ascii="宋体" w:hAnsi="宋体"/>
          <w:szCs w:val="21"/>
        </w:rPr>
        <w:t>谭老师</w:t>
      </w:r>
      <w:r>
        <w:rPr>
          <w:rFonts w:ascii="宋体" w:hAnsi="宋体"/>
          <w:szCs w:val="21"/>
        </w:rPr>
        <w:t xml:space="preserve">   </w:t>
      </w:r>
    </w:p>
    <w:p>
      <w:pPr>
        <w:ind w:firstLine="420" w:firstLineChars="200"/>
      </w:pPr>
      <w:r>
        <w:rPr>
          <w:rFonts w:ascii="宋体" w:hAnsi="宋体"/>
          <w:szCs w:val="21"/>
        </w:rPr>
        <w:t>电</w:t>
      </w:r>
      <w:r>
        <w:rPr>
          <w:rFonts w:hint="eastAsia" w:ascii="宋体" w:hAnsi="宋体"/>
          <w:szCs w:val="21"/>
        </w:rPr>
        <w:t xml:space="preserve">  </w:t>
      </w:r>
      <w:r>
        <w:rPr>
          <w:rFonts w:ascii="宋体" w:hAnsi="宋体"/>
          <w:szCs w:val="21"/>
        </w:rPr>
        <w:t>话：023-67590752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6475"/>
    <w:multiLevelType w:val="multilevel"/>
    <w:tmpl w:val="53C16475"/>
    <w:lvl w:ilvl="0" w:tentative="0">
      <w:start w:val="1"/>
      <w:numFmt w:val="decimal"/>
      <w:suff w:val="space"/>
      <w:lvlText w:val="第 80%1 节"/>
      <w:lvlJc w:val="left"/>
      <w:pPr>
        <w:ind w:left="0" w:firstLine="0"/>
      </w:pPr>
      <w:rPr>
        <w:rFonts w:hint="eastAsia"/>
      </w:rPr>
    </w:lvl>
    <w:lvl w:ilvl="1" w:tentative="0">
      <w:start w:val="1"/>
      <w:numFmt w:val="decimalZero"/>
      <w:pStyle w:val="4"/>
      <w:lvlText w:val="80%1.%2"/>
      <w:lvlJc w:val="left"/>
      <w:pPr>
        <w:tabs>
          <w:tab w:val="left" w:pos="2923"/>
        </w:tabs>
        <w:ind w:left="1843" w:firstLine="0"/>
      </w:pPr>
      <w:rPr>
        <w:rFonts w:hint="eastAsia"/>
      </w:rPr>
    </w:lvl>
    <w:lvl w:ilvl="2" w:tentative="0">
      <w:start w:val="1"/>
      <w:numFmt w:val="lowerLetter"/>
      <w:pStyle w:val="2"/>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EA"/>
    <w:rsid w:val="000F7865"/>
    <w:rsid w:val="00102F29"/>
    <w:rsid w:val="00111D9C"/>
    <w:rsid w:val="002D520E"/>
    <w:rsid w:val="00421BF7"/>
    <w:rsid w:val="004B54EC"/>
    <w:rsid w:val="004C09A2"/>
    <w:rsid w:val="00505605"/>
    <w:rsid w:val="005D130D"/>
    <w:rsid w:val="00632D55"/>
    <w:rsid w:val="00683D3F"/>
    <w:rsid w:val="00794433"/>
    <w:rsid w:val="007E54A7"/>
    <w:rsid w:val="007E7B9E"/>
    <w:rsid w:val="008859B3"/>
    <w:rsid w:val="00894078"/>
    <w:rsid w:val="00932AEA"/>
    <w:rsid w:val="00A12F73"/>
    <w:rsid w:val="00BE211E"/>
    <w:rsid w:val="00C35A00"/>
    <w:rsid w:val="00EB5920"/>
    <w:rsid w:val="069345FF"/>
    <w:rsid w:val="69266D4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3"/>
    <w:link w:val="12"/>
    <w:qFormat/>
    <w:uiPriority w:val="99"/>
    <w:pPr>
      <w:keepNext/>
      <w:keepLines/>
      <w:numPr>
        <w:ilvl w:val="1"/>
        <w:numId w:val="1"/>
      </w:numPr>
      <w:spacing w:before="260" w:after="260" w:line="416" w:lineRule="auto"/>
      <w:outlineLvl w:val="1"/>
    </w:pPr>
    <w:rPr>
      <w:rFonts w:ascii="Arial" w:hAnsi="Arial" w:eastAsia="黑体"/>
      <w:b/>
      <w:sz w:val="32"/>
      <w:szCs w:val="20"/>
    </w:rPr>
  </w:style>
  <w:style w:type="paragraph" w:styleId="2">
    <w:name w:val="heading 3"/>
    <w:basedOn w:val="1"/>
    <w:next w:val="3"/>
    <w:qFormat/>
    <w:uiPriority w:val="9"/>
    <w:pPr>
      <w:keepNext/>
      <w:keepLines/>
      <w:numPr>
        <w:ilvl w:val="2"/>
        <w:numId w:val="1"/>
      </w:numPr>
      <w:spacing w:before="260" w:after="260" w:line="416" w:lineRule="auto"/>
      <w:outlineLvl w:val="2"/>
    </w:pPr>
    <w:rPr>
      <w:b/>
      <w:sz w:val="32"/>
      <w:szCs w:val="32"/>
    </w:rPr>
  </w:style>
  <w:style w:type="paragraph" w:styleId="5">
    <w:name w:val="heading 4"/>
    <w:basedOn w:val="1"/>
    <w:next w:val="1"/>
    <w:link w:val="1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footer"/>
    <w:basedOn w:val="1"/>
    <w:link w:val="11"/>
    <w:uiPriority w:val="0"/>
    <w:pPr>
      <w:tabs>
        <w:tab w:val="center" w:pos="4153"/>
        <w:tab w:val="right" w:pos="8306"/>
      </w:tabs>
      <w:snapToGrid w:val="0"/>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uiPriority w:val="0"/>
    <w:rPr>
      <w:kern w:val="2"/>
      <w:sz w:val="18"/>
      <w:szCs w:val="18"/>
    </w:rPr>
  </w:style>
  <w:style w:type="character" w:customStyle="1" w:styleId="11">
    <w:name w:val="页脚 Char"/>
    <w:basedOn w:val="8"/>
    <w:link w:val="6"/>
    <w:uiPriority w:val="0"/>
    <w:rPr>
      <w:kern w:val="2"/>
      <w:sz w:val="18"/>
      <w:szCs w:val="18"/>
    </w:rPr>
  </w:style>
  <w:style w:type="character" w:customStyle="1" w:styleId="12">
    <w:name w:val="标题 2 Char"/>
    <w:link w:val="4"/>
    <w:qFormat/>
    <w:uiPriority w:val="99"/>
    <w:rPr>
      <w:rFonts w:ascii="Arial" w:hAnsi="Arial" w:eastAsia="黑体"/>
      <w:b/>
      <w:kern w:val="2"/>
      <w:sz w:val="32"/>
    </w:rPr>
  </w:style>
  <w:style w:type="character" w:customStyle="1" w:styleId="13">
    <w:name w:val="标题 4 Char"/>
    <w:basedOn w:val="8"/>
    <w:link w:val="5"/>
    <w:semiHidden/>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284</Words>
  <Characters>1625</Characters>
  <Lines>13</Lines>
  <Paragraphs>3</Paragraphs>
  <TotalTime>0</TotalTime>
  <ScaleCrop>false</ScaleCrop>
  <LinksUpToDate>false</LinksUpToDate>
  <CharactersWithSpaces>1906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涂臻</cp:lastModifiedBy>
  <cp:lastPrinted>2020-11-02T10:50:00Z</cp:lastPrinted>
  <dcterms:modified xsi:type="dcterms:W3CDTF">2021-05-13T06:18:50Z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