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pStyle w:val="2"/>
        <w:jc w:val="center"/>
        <w:rPr>
          <w:rFonts w:ascii="Times New Roman" w:hAnsi="Times New Roman" w:eastAsia="方正小标宋_GBK" w:cs="Times New Roman"/>
          <w:bCs/>
          <w:sz w:val="48"/>
          <w:szCs w:val="48"/>
          <w:lang w:eastAsia="zh-CN"/>
        </w:rPr>
      </w:pPr>
      <w:r>
        <w:rPr>
          <w:rFonts w:hint="eastAsia" w:ascii="Times New Roman" w:hAnsi="Times New Roman" w:eastAsia="方正小标宋_GBK" w:cs="Times New Roman"/>
          <w:bCs/>
          <w:sz w:val="48"/>
          <w:szCs w:val="48"/>
          <w:lang w:eastAsia="zh-CN"/>
        </w:rPr>
        <w:t>涪江干流梯级渠化双江航电枢纽工程</w:t>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电网接入二次咨询及并网接入调度自动化主站系统技术服务项目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280"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r>
              <w:rPr>
                <w:rFonts w:hint="eastAsia" w:ascii="Times New Roman" w:hAnsi="Times New Roman" w:eastAsia="方正小标宋_GBK" w:cs="Times New Roman"/>
                <w:bCs/>
                <w:sz w:val="32"/>
                <w:szCs w:val="32"/>
                <w:lang w:eastAsia="zh-CN"/>
              </w:rPr>
              <w:t>重庆双江航运发展有限公司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280"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r>
              <w:rPr>
                <w:rFonts w:hint="eastAsia" w:ascii="Times New Roman" w:hAnsi="Times New Roman" w:eastAsia="方正小标宋_GBK" w:cs="Times New Roman"/>
                <w:bCs/>
                <w:sz w:val="32"/>
                <w:szCs w:val="32"/>
                <w:lang w:eastAsia="zh-CN"/>
              </w:rPr>
              <w:t>重庆双江航运发展有限公司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2022</w:t>
      </w:r>
      <w:r>
        <w:rPr>
          <w:rFonts w:ascii="Times New Roman" w:hAnsi="Times New Roman" w:eastAsia="方正小标宋_GBK" w:cs="Times New Roman"/>
          <w:bCs/>
          <w:sz w:val="32"/>
          <w:szCs w:val="32"/>
          <w:lang w:val="zh-CN" w:eastAsia="zh-CN"/>
        </w:rPr>
        <w:t>年</w:t>
      </w:r>
      <w:r>
        <w:rPr>
          <w:rFonts w:ascii="Times New Roman" w:hAnsi="Times New Roman" w:eastAsia="方正小标宋_GBK" w:cs="Times New Roman"/>
          <w:bCs/>
          <w:sz w:val="32"/>
          <w:szCs w:val="32"/>
          <w:lang w:eastAsia="zh-CN"/>
        </w:rPr>
        <w:t>0</w:t>
      </w:r>
      <w:r>
        <w:rPr>
          <w:rFonts w:hint="eastAsia" w:ascii="Times New Roman" w:hAnsi="Times New Roman" w:eastAsia="方正小标宋_GBK" w:cs="Times New Roman"/>
          <w:bCs/>
          <w:sz w:val="32"/>
          <w:szCs w:val="32"/>
          <w:lang w:val="en-US" w:eastAsia="zh-CN"/>
        </w:rPr>
        <w:t>9</w:t>
      </w:r>
      <w:r>
        <w:rPr>
          <w:rFonts w:ascii="Times New Roman" w:hAnsi="Times New Roman" w:eastAsia="方正小标宋_GBK" w:cs="Times New Roman"/>
          <w:bCs/>
          <w:sz w:val="32"/>
          <w:szCs w:val="32"/>
          <w:lang w:val="zh-CN" w:eastAsia="zh-CN"/>
        </w:rPr>
        <w:t>月</w:t>
      </w:r>
    </w:p>
    <w:p>
      <w:pPr>
        <w:widowControl/>
        <w:rPr>
          <w:rFonts w:ascii="Times New Roman" w:hAnsi="Times New Roman" w:eastAsia="方正小标宋_GBK" w:cs="Times New Roman"/>
          <w:bCs/>
          <w:sz w:val="44"/>
          <w:szCs w:val="44"/>
          <w:lang w:val="zh-CN" w:eastAsia="zh-CN"/>
        </w:rPr>
      </w:pPr>
      <w:bookmarkStart w:id="0" w:name="_Toc29194680"/>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 w:name="_Toc24788"/>
      <w:r>
        <w:rPr>
          <w:rFonts w:ascii="Times New Roman" w:hAnsi="Times New Roman" w:eastAsia="方正小标宋_GBK" w:cs="Times New Roman"/>
          <w:bCs/>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pStyle w:val="2"/>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涪江干流梯级渠化双江航电枢纽工程</w:t>
      </w:r>
    </w:p>
    <w:p>
      <w:pPr>
        <w:autoSpaceDE w:val="0"/>
        <w:autoSpaceDN w:val="0"/>
        <w:adjustRightInd w:val="0"/>
        <w:spacing w:line="360" w:lineRule="auto"/>
        <w:jc w:val="center"/>
        <w:rPr>
          <w:rFonts w:ascii="Times New Roman" w:hAnsi="Times New Roman" w:cs="Times New Roman" w:eastAsiaTheme="minorEastAsia"/>
          <w:sz w:val="30"/>
          <w:szCs w:val="30"/>
          <w:lang w:eastAsia="zh-CN"/>
        </w:rPr>
      </w:pPr>
      <w:r>
        <w:rPr>
          <w:rFonts w:ascii="Times New Roman" w:hAnsi="Times New Roman" w:eastAsia="方正小标宋_GBK" w:cs="Times New Roman"/>
          <w:sz w:val="36"/>
          <w:szCs w:val="36"/>
          <w:lang w:eastAsia="zh-CN"/>
        </w:rPr>
        <w:t>电网接入二次咨询及并网接入调度自动化主站系统技术服务项目询价公告</w:t>
      </w:r>
    </w:p>
    <w:p>
      <w:pPr>
        <w:pStyle w:val="4"/>
        <w:numPr>
          <w:ilvl w:val="0"/>
          <w:numId w:val="1"/>
        </w:numPr>
        <w:spacing w:line="510" w:lineRule="exact"/>
        <w:rPr>
          <w:rFonts w:ascii="Times New Roman" w:hAnsi="Times New Roman" w:eastAsia="黑体" w:cs="Times New Roman"/>
          <w:b w:val="0"/>
          <w:lang w:eastAsia="zh-CN"/>
        </w:rPr>
      </w:pPr>
      <w:bookmarkStart w:id="2" w:name="_Toc370126361"/>
      <w:bookmarkStart w:id="3" w:name="_Toc7287"/>
      <w:bookmarkStart w:id="4" w:name="_Toc6230450"/>
      <w:bookmarkStart w:id="5" w:name="_Toc29194681"/>
      <w:bookmarkStart w:id="6" w:name="_Toc375641571"/>
      <w:r>
        <w:rPr>
          <w:rFonts w:ascii="Times New Roman" w:hAnsi="Times New Roman" w:eastAsia="黑体" w:cs="Times New Roman"/>
          <w:b w:val="0"/>
          <w:lang w:eastAsia="zh-CN"/>
        </w:rPr>
        <w:t>询价条件</w:t>
      </w:r>
      <w:bookmarkEnd w:id="2"/>
      <w:bookmarkEnd w:id="3"/>
      <w:bookmarkEnd w:id="4"/>
      <w:bookmarkEnd w:id="5"/>
      <w:bookmarkEnd w:id="6"/>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本项目</w:t>
      </w:r>
      <w:r>
        <w:rPr>
          <w:rFonts w:ascii="Times New Roman" w:hAnsi="Times New Roman" w:eastAsia="方正仿宋_GBK" w:cs="Times New Roman"/>
          <w:b/>
          <w:sz w:val="32"/>
          <w:szCs w:val="32"/>
          <w:u w:val="single"/>
          <w:lang w:eastAsia="zh-CN"/>
        </w:rPr>
        <w:t>涪江干流梯级渠化双江航电枢纽工程电网接入二次咨询及并网接入调度自动化主站系统技术服务项目</w:t>
      </w:r>
      <w:r>
        <w:rPr>
          <w:rFonts w:ascii="Times New Roman" w:hAnsi="Times New Roman" w:eastAsia="方正仿宋_GBK" w:cs="Times New Roman"/>
          <w:bCs/>
          <w:sz w:val="32"/>
          <w:szCs w:val="32"/>
          <w:lang w:eastAsia="zh-CN"/>
        </w:rPr>
        <w:t>已具备发包条件，询价人为</w:t>
      </w:r>
      <w:r>
        <w:rPr>
          <w:rFonts w:ascii="Times New Roman" w:hAnsi="Times New Roman" w:eastAsia="方正仿宋_GBK" w:cs="Times New Roman"/>
          <w:b/>
          <w:sz w:val="32"/>
          <w:szCs w:val="32"/>
          <w:u w:val="single"/>
          <w:lang w:eastAsia="zh-CN"/>
        </w:rPr>
        <w:t>重庆</w:t>
      </w:r>
      <w:r>
        <w:rPr>
          <w:rFonts w:hint="eastAsia" w:ascii="Times New Roman" w:hAnsi="Times New Roman" w:eastAsia="方正仿宋_GBK" w:cs="Times New Roman"/>
          <w:b/>
          <w:sz w:val="32"/>
          <w:szCs w:val="32"/>
          <w:u w:val="single"/>
          <w:lang w:eastAsia="zh-CN"/>
        </w:rPr>
        <w:t>双江航运发展</w:t>
      </w:r>
      <w:r>
        <w:rPr>
          <w:rFonts w:ascii="Times New Roman" w:hAnsi="Times New Roman" w:eastAsia="方正仿宋_GBK" w:cs="Times New Roman"/>
          <w:b/>
          <w:sz w:val="32"/>
          <w:szCs w:val="32"/>
          <w:u w:val="single"/>
          <w:lang w:eastAsia="zh-CN"/>
        </w:rPr>
        <w:t>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b/>
          <w:sz w:val="32"/>
          <w:szCs w:val="32"/>
          <w:u w:val="single"/>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pStyle w:val="5"/>
        <w:rPr>
          <w:lang w:eastAsia="zh-CN"/>
        </w:rPr>
      </w:pPr>
    </w:p>
    <w:p>
      <w:pPr>
        <w:pStyle w:val="4"/>
        <w:numPr>
          <w:ilvl w:val="0"/>
          <w:numId w:val="1"/>
        </w:numPr>
        <w:spacing w:line="510" w:lineRule="exact"/>
        <w:rPr>
          <w:rFonts w:ascii="Times New Roman" w:hAnsi="Times New Roman" w:eastAsia="黑体" w:cs="Times New Roman"/>
          <w:b w:val="0"/>
          <w:lang w:eastAsia="zh-CN"/>
        </w:rPr>
      </w:pPr>
      <w:bookmarkStart w:id="7" w:name="_Toc6230451"/>
      <w:bookmarkStart w:id="8" w:name="_Toc14253"/>
      <w:bookmarkStart w:id="9" w:name="_Toc29194682"/>
      <w:r>
        <w:rPr>
          <w:rFonts w:ascii="Times New Roman" w:hAnsi="Times New Roman" w:eastAsia="黑体" w:cs="Times New Roman"/>
          <w:b w:val="0"/>
          <w:lang w:eastAsia="zh-CN"/>
        </w:rPr>
        <w:t>项目概况与询价工作范围</w:t>
      </w:r>
      <w:bookmarkEnd w:id="7"/>
      <w:bookmarkEnd w:id="8"/>
      <w:bookmarkEnd w:id="9"/>
    </w:p>
    <w:p>
      <w:pPr>
        <w:spacing w:line="510" w:lineRule="exact"/>
        <w:ind w:firstLine="640" w:firstLineChars="200"/>
        <w:jc w:val="both"/>
        <w:rPr>
          <w:rFonts w:ascii="Times New Roman" w:hAnsi="Times New Roman" w:eastAsia="方正仿宋_GBK" w:cs="Times New Roman"/>
          <w:bCs/>
          <w:sz w:val="32"/>
          <w:szCs w:val="32"/>
          <w:lang w:eastAsia="zh-CN"/>
        </w:rPr>
      </w:pPr>
      <w:bookmarkStart w:id="10" w:name="_Toc21092"/>
      <w:bookmarkStart w:id="11" w:name="_Toc323734100"/>
      <w:bookmarkStart w:id="12" w:name="_Toc324429695"/>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地址：重庆市潼南区双江公司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2.2</w:t>
      </w:r>
      <w:r>
        <w:rPr>
          <w:rFonts w:hint="eastAsia" w:ascii="Times New Roman" w:hAnsi="Times New Roman" w:eastAsia="方正仿宋_GBK" w:cs="Times New Roman"/>
          <w:bCs/>
          <w:sz w:val="32"/>
          <w:szCs w:val="32"/>
          <w:lang w:eastAsia="zh-CN"/>
        </w:rPr>
        <w:t>项目概况</w:t>
      </w:r>
    </w:p>
    <w:p>
      <w:pPr>
        <w:pStyle w:val="54"/>
        <w:ind w:firstLine="640" w:firstLineChars="200"/>
        <w:rPr>
          <w:rFonts w:eastAsia="方正仿宋_GBK"/>
          <w:bCs/>
          <w:sz w:val="32"/>
          <w:szCs w:val="32"/>
        </w:rPr>
      </w:pPr>
      <w:r>
        <w:rPr>
          <w:rFonts w:eastAsia="方正仿宋_GBK"/>
          <w:bCs/>
          <w:sz w:val="32"/>
          <w:szCs w:val="32"/>
        </w:rPr>
        <w:t>涪江干流梯级渠化双江航电枢纽工程位于潼南城区原三块石拦河坝下游约500m处，开发任务是以航运为主兼顾发电、河道生态修复等综合利用。</w:t>
      </w:r>
    </w:p>
    <w:p>
      <w:pPr>
        <w:pStyle w:val="54"/>
        <w:ind w:firstLine="640" w:firstLineChars="200"/>
        <w:rPr>
          <w:rFonts w:eastAsia="方正仿宋_GBK"/>
          <w:bCs/>
          <w:sz w:val="32"/>
          <w:szCs w:val="32"/>
        </w:rPr>
      </w:pPr>
      <w:r>
        <w:rPr>
          <w:rFonts w:eastAsia="方正仿宋_GBK"/>
          <w:bCs/>
          <w:sz w:val="32"/>
          <w:szCs w:val="32"/>
        </w:rPr>
        <w:t>水库正常蓄水位249.00m，相应库容4868万m3，校核洪水位256.90m（P=0.2%），相应流量35200m3/s，总库容1.61亿m3。通航建筑物建设按内河</w:t>
      </w:r>
      <w:r>
        <w:rPr>
          <w:rFonts w:hint="eastAsia" w:eastAsia="方正仿宋_GBK"/>
          <w:bCs/>
          <w:sz w:val="32"/>
          <w:szCs w:val="32"/>
        </w:rPr>
        <w:t>Ⅳ</w:t>
      </w:r>
      <w:r>
        <w:rPr>
          <w:rFonts w:eastAsia="方正仿宋_GBK"/>
          <w:bCs/>
          <w:sz w:val="32"/>
          <w:szCs w:val="32"/>
        </w:rPr>
        <w:t>级（500吨级），可通行1000吨船舶标准建设，航道等级为IV级；电站装机容量48.00MW。本工程等别为</w:t>
      </w:r>
      <w:r>
        <w:rPr>
          <w:rFonts w:hint="eastAsia" w:eastAsia="方正仿宋_GBK"/>
          <w:bCs/>
          <w:sz w:val="32"/>
          <w:szCs w:val="32"/>
        </w:rPr>
        <w:t>Ⅱ</w:t>
      </w:r>
      <w:r>
        <w:rPr>
          <w:rFonts w:eastAsia="方正仿宋_GBK"/>
          <w:bCs/>
          <w:sz w:val="32"/>
          <w:szCs w:val="32"/>
        </w:rPr>
        <w:t>等，工程规模为大（2）型，枢纽主要建筑物泄水闸、船闸上下闸首和闸室、发电厂房、挡水土坝为3级建筑物，引航道建筑物等次要建筑物为4级，临时建筑物为5级。工程坝线为下坝线，枢纽布置方案为右船闸右厂房布置格局。</w:t>
      </w:r>
    </w:p>
    <w:p>
      <w:pPr>
        <w:pStyle w:val="2"/>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徐家湾1</w:t>
      </w:r>
      <w:r>
        <w:rPr>
          <w:rFonts w:ascii="Times New Roman" w:hAnsi="Times New Roman" w:eastAsia="方正仿宋_GBK" w:cs="Times New Roman"/>
          <w:bCs/>
          <w:sz w:val="32"/>
          <w:szCs w:val="32"/>
          <w:lang w:eastAsia="zh-CN"/>
        </w:rPr>
        <w:t>10kV</w:t>
      </w:r>
      <w:r>
        <w:rPr>
          <w:rFonts w:hint="eastAsia" w:ascii="Times New Roman" w:hAnsi="Times New Roman" w:eastAsia="方正仿宋_GBK" w:cs="Times New Roman"/>
          <w:bCs/>
          <w:sz w:val="32"/>
          <w:szCs w:val="32"/>
          <w:lang w:eastAsia="zh-CN"/>
        </w:rPr>
        <w:t>变电站为2</w:t>
      </w:r>
      <w:r>
        <w:rPr>
          <w:rFonts w:ascii="Times New Roman" w:hAnsi="Times New Roman" w:eastAsia="方正仿宋_GBK" w:cs="Times New Roman"/>
          <w:bCs/>
          <w:sz w:val="32"/>
          <w:szCs w:val="32"/>
          <w:lang w:eastAsia="zh-CN"/>
        </w:rPr>
        <w:t>020</w:t>
      </w:r>
      <w:r>
        <w:rPr>
          <w:rFonts w:hint="eastAsia" w:ascii="Times New Roman" w:hAnsi="Times New Roman" w:eastAsia="方正仿宋_GBK" w:cs="Times New Roman"/>
          <w:bCs/>
          <w:sz w:val="32"/>
          <w:szCs w:val="32"/>
          <w:lang w:eastAsia="zh-CN"/>
        </w:rPr>
        <w:t>年建成投运的智能变电站，配置线路光纤电流差动保护测控装置1套，具备I</w:t>
      </w:r>
      <w:r>
        <w:rPr>
          <w:rFonts w:ascii="Times New Roman" w:hAnsi="Times New Roman" w:eastAsia="方正仿宋_GBK" w:cs="Times New Roman"/>
          <w:bCs/>
          <w:sz w:val="32"/>
          <w:szCs w:val="32"/>
          <w:lang w:eastAsia="zh-CN"/>
        </w:rPr>
        <w:t>EC61850</w:t>
      </w:r>
      <w:r>
        <w:rPr>
          <w:rFonts w:hint="eastAsia" w:ascii="Times New Roman" w:hAnsi="Times New Roman" w:eastAsia="方正仿宋_GBK" w:cs="Times New Roman"/>
          <w:bCs/>
          <w:sz w:val="32"/>
          <w:szCs w:val="32"/>
          <w:lang w:eastAsia="zh-CN"/>
        </w:rPr>
        <w:t>通讯协议的保护装置。配置1</w:t>
      </w:r>
      <w:r>
        <w:rPr>
          <w:rFonts w:ascii="Times New Roman" w:hAnsi="Times New Roman" w:eastAsia="方正仿宋_GBK" w:cs="Times New Roman"/>
          <w:bCs/>
          <w:sz w:val="32"/>
          <w:szCs w:val="32"/>
          <w:lang w:eastAsia="zh-CN"/>
        </w:rPr>
        <w:t>10kV</w:t>
      </w:r>
      <w:r>
        <w:rPr>
          <w:rFonts w:hint="eastAsia" w:ascii="Times New Roman" w:hAnsi="Times New Roman" w:eastAsia="方正仿宋_GBK" w:cs="Times New Roman"/>
          <w:bCs/>
          <w:sz w:val="32"/>
          <w:szCs w:val="32"/>
          <w:lang w:eastAsia="zh-CN"/>
        </w:rPr>
        <w:t>母线保护、长园深瑞I</w:t>
      </w:r>
      <w:r>
        <w:rPr>
          <w:rFonts w:ascii="Times New Roman" w:hAnsi="Times New Roman" w:eastAsia="方正仿宋_GBK" w:cs="Times New Roman"/>
          <w:bCs/>
          <w:sz w:val="32"/>
          <w:szCs w:val="32"/>
          <w:lang w:eastAsia="zh-CN"/>
        </w:rPr>
        <w:t>SA-358GAA-FA-G</w:t>
      </w:r>
      <w:r>
        <w:rPr>
          <w:rFonts w:hint="eastAsia" w:ascii="Times New Roman" w:hAnsi="Times New Roman" w:eastAsia="方正仿宋_GBK" w:cs="Times New Roman"/>
          <w:bCs/>
          <w:sz w:val="32"/>
          <w:szCs w:val="32"/>
          <w:lang w:eastAsia="zh-CN"/>
        </w:rPr>
        <w:t>型备自投装置、中元华电Z</w:t>
      </w:r>
      <w:r>
        <w:rPr>
          <w:rFonts w:ascii="Times New Roman" w:hAnsi="Times New Roman" w:eastAsia="方正仿宋_GBK" w:cs="Times New Roman"/>
          <w:bCs/>
          <w:sz w:val="32"/>
          <w:szCs w:val="32"/>
          <w:lang w:eastAsia="zh-CN"/>
        </w:rPr>
        <w:t>H-3D-DA</w:t>
      </w:r>
      <w:r>
        <w:rPr>
          <w:rFonts w:hint="eastAsia" w:ascii="Times New Roman" w:hAnsi="Times New Roman" w:eastAsia="方正仿宋_GBK" w:cs="Times New Roman"/>
          <w:bCs/>
          <w:sz w:val="32"/>
          <w:szCs w:val="32"/>
          <w:lang w:eastAsia="zh-CN"/>
        </w:rPr>
        <w:t>型故障录波装置、故障解列装置各1套。</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w:t>
      </w:r>
      <w:r>
        <w:rPr>
          <w:rFonts w:ascii="Times New Roman" w:hAnsi="Times New Roman" w:eastAsia="方正仿宋_GBK" w:cs="Times New Roman"/>
          <w:bCs/>
          <w:sz w:val="32"/>
          <w:szCs w:val="32"/>
          <w:lang w:eastAsia="zh-CN"/>
        </w:rPr>
        <w:t>询价范围：</w:t>
      </w:r>
    </w:p>
    <w:p>
      <w:pPr>
        <w:pStyle w:val="54"/>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涪江干流梯级渠化双江航电枢纽工程并网接入调度自动化主站系统技术服务</w:t>
      </w:r>
      <w:r>
        <w:rPr>
          <w:rFonts w:hint="eastAsia" w:eastAsia="方正仿宋_GBK"/>
          <w:bCs/>
          <w:sz w:val="32"/>
          <w:szCs w:val="32"/>
        </w:rPr>
        <w:t>；</w:t>
      </w:r>
    </w:p>
    <w:p>
      <w:pPr>
        <w:pStyle w:val="54"/>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涪江干流梯级渠化双江航电枢纽工程电网接入二次咨询</w:t>
      </w:r>
      <w:r>
        <w:rPr>
          <w:rFonts w:hint="eastAsia" w:eastAsia="方正仿宋_GBK"/>
          <w:bCs/>
          <w:sz w:val="32"/>
          <w:szCs w:val="32"/>
        </w:rPr>
        <w:t>工作；</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收集资料费、报告编制，等相关工作。</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负责编制完成</w:t>
      </w:r>
      <w:r>
        <w:rPr>
          <w:rFonts w:eastAsia="方正仿宋_GBK"/>
          <w:bCs/>
          <w:sz w:val="32"/>
          <w:szCs w:val="32"/>
          <w:lang w:eastAsia="zh-CN"/>
        </w:rPr>
        <w:t>涪江干流梯级渠化双江航电枢纽工程</w:t>
      </w:r>
      <w:r>
        <w:rPr>
          <w:rFonts w:ascii="Times New Roman" w:hAnsi="Times New Roman" w:eastAsia="方正仿宋_GBK" w:cs="Times New Roman"/>
          <w:bCs/>
          <w:sz w:val="32"/>
          <w:szCs w:val="32"/>
          <w:lang w:eastAsia="zh-CN"/>
        </w:rPr>
        <w:t>电网接入二次系统报告</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2.4工</w:t>
      </w:r>
      <w:r>
        <w:rPr>
          <w:rFonts w:ascii="Times New Roman" w:hAnsi="Times New Roman" w:eastAsia="方正仿宋_GBK" w:cs="Times New Roman"/>
          <w:bCs/>
          <w:sz w:val="32"/>
          <w:szCs w:val="32"/>
          <w:lang w:eastAsia="zh-CN"/>
        </w:rPr>
        <w:t>期</w:t>
      </w:r>
      <w:r>
        <w:rPr>
          <w:rFonts w:hint="eastAsia" w:ascii="Times New Roman" w:hAnsi="Times New Roman" w:eastAsia="方正仿宋_GBK" w:cs="Times New Roman"/>
          <w:bCs/>
          <w:sz w:val="32"/>
          <w:szCs w:val="32"/>
          <w:lang w:eastAsia="zh-CN"/>
        </w:rPr>
        <w:t>(交货期/服务期）</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涪江干流梯级渠化双江航电枢纽工程并网接入调度自动化主站系统技术服务</w:t>
      </w:r>
      <w:r>
        <w:rPr>
          <w:rFonts w:hint="eastAsia" w:ascii="Times New Roman" w:hAnsi="Times New Roman" w:eastAsia="方正仿宋_GBK" w:cs="Times New Roman"/>
          <w:bCs/>
          <w:sz w:val="32"/>
          <w:szCs w:val="32"/>
          <w:lang w:eastAsia="zh-CN"/>
        </w:rPr>
        <w:t>为合同签订之日起合同签订生效之日起至并网接入服务止；</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涪江干流梯级渠化双江航电枢纽工程电网接入二次咨询</w:t>
      </w:r>
      <w:r>
        <w:rPr>
          <w:rFonts w:hint="eastAsia" w:eastAsia="方正仿宋_GBK" w:cs="Times New Roman"/>
          <w:bCs/>
          <w:sz w:val="32"/>
          <w:szCs w:val="32"/>
          <w:lang w:eastAsia="zh-CN"/>
        </w:rPr>
        <w:t>工作为</w:t>
      </w:r>
      <w:r>
        <w:rPr>
          <w:rFonts w:ascii="Times New Roman" w:hAnsi="Times New Roman" w:eastAsia="方正仿宋_GBK" w:cs="Times New Roman"/>
          <w:bCs/>
          <w:sz w:val="32"/>
          <w:szCs w:val="32"/>
          <w:lang w:eastAsia="zh-CN"/>
        </w:rPr>
        <w:t>90</w:t>
      </w:r>
      <w:r>
        <w:rPr>
          <w:rFonts w:hint="eastAsia" w:ascii="Times New Roman" w:hAnsi="Times New Roman" w:eastAsia="方正仿宋_GBK" w:cs="Times New Roman"/>
          <w:bCs/>
          <w:sz w:val="32"/>
          <w:szCs w:val="32"/>
          <w:lang w:eastAsia="zh-CN"/>
        </w:rPr>
        <w:t>个有效工作日内，乙方向甲方提交咨询报告初审稿，评审后10个有效工作日内提交专家最终审定报告。</w:t>
      </w:r>
    </w:p>
    <w:p>
      <w:pPr>
        <w:pStyle w:val="4"/>
        <w:numPr>
          <w:ilvl w:val="0"/>
          <w:numId w:val="1"/>
        </w:numPr>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技术要求：</w:t>
      </w:r>
    </w:p>
    <w:p>
      <w:pPr>
        <w:pStyle w:val="54"/>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并网接入调度自动化主站系统技术服务</w:t>
      </w:r>
      <w:r>
        <w:rPr>
          <w:rFonts w:hint="eastAsia" w:eastAsia="方正仿宋_GBK"/>
          <w:bCs/>
          <w:sz w:val="32"/>
          <w:szCs w:val="32"/>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协调开展EMS、TMR、OMS系统接入调度主站系统服务</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主站模型拼接</w:t>
      </w:r>
      <w:r>
        <w:rPr>
          <w:rFonts w:hint="eastAsia" w:ascii="Times New Roman" w:hAnsi="Times New Roman" w:eastAsia="方正仿宋_GBK" w:cs="Times New Roman"/>
          <w:bCs/>
          <w:sz w:val="32"/>
          <w:szCs w:val="32"/>
          <w:lang w:eastAsia="zh-CN"/>
        </w:rPr>
        <w:t>。</w:t>
      </w:r>
    </w:p>
    <w:p>
      <w:pPr>
        <w:pStyle w:val="61"/>
        <w:spacing w:line="400" w:lineRule="exact"/>
        <w:ind w:firstLine="640" w:firstLineChars="200"/>
        <w:rPr>
          <w:rFonts w:eastAsia="方正仿宋_GBK"/>
          <w:bCs/>
          <w:kern w:val="0"/>
          <w:sz w:val="32"/>
          <w:szCs w:val="32"/>
        </w:rPr>
      </w:pPr>
      <w:r>
        <w:rPr>
          <w:rFonts w:hint="eastAsia" w:eastAsia="方正仿宋_GBK"/>
          <w:bCs/>
          <w:kern w:val="0"/>
          <w:sz w:val="32"/>
          <w:szCs w:val="32"/>
        </w:rPr>
        <w:t>二、</w:t>
      </w:r>
      <w:r>
        <w:rPr>
          <w:rFonts w:ascii="Times New Roman" w:hAnsi="Times New Roman" w:eastAsia="方正仿宋_GBK"/>
          <w:bCs/>
          <w:kern w:val="0"/>
          <w:sz w:val="32"/>
          <w:szCs w:val="32"/>
        </w:rPr>
        <w:t>涪江干流梯级渠化双江航电枢纽工程电网接入二次咨询</w:t>
      </w:r>
      <w:r>
        <w:rPr>
          <w:rFonts w:hint="eastAsia" w:eastAsia="方正仿宋_GBK"/>
          <w:bCs/>
          <w:kern w:val="0"/>
          <w:sz w:val="32"/>
          <w:szCs w:val="32"/>
        </w:rPr>
        <w:t>工作：</w:t>
      </w:r>
    </w:p>
    <w:p>
      <w:pPr>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1、编制涉网安全技术方案。</w:t>
      </w:r>
    </w:p>
    <w:p>
      <w:pPr>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2、编制并入运行方式。</w:t>
      </w:r>
    </w:p>
    <w:p>
      <w:pPr>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3、编制继电保护参数配置标准。</w:t>
      </w:r>
    </w:p>
    <w:p>
      <w:pPr>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4、编制调度自动化方案。</w:t>
      </w:r>
    </w:p>
    <w:p>
      <w:pPr>
        <w:adjustRightInd w:val="0"/>
        <w:snapToGrid w:val="0"/>
        <w:spacing w:line="360" w:lineRule="auto"/>
        <w:ind w:firstLine="640" w:firstLineChars="200"/>
        <w:rPr>
          <w:rFonts w:asciiTheme="minorEastAsia" w:hAnsiTheme="minorEastAsia" w:eastAsiaTheme="minorEastAsia" w:cstheme="minorEastAsia"/>
          <w:szCs w:val="21"/>
          <w:lang w:eastAsia="zh-CN"/>
        </w:rPr>
      </w:pPr>
      <w:r>
        <w:rPr>
          <w:rFonts w:hint="eastAsia" w:ascii="Times New Roman" w:hAnsi="Times New Roman" w:eastAsia="方正仿宋_GBK" w:cs="Times New Roman"/>
          <w:bCs/>
          <w:sz w:val="32"/>
          <w:szCs w:val="32"/>
          <w:lang w:eastAsia="zh-CN"/>
        </w:rPr>
        <w:t>5、编制工程调度通信方案</w:t>
      </w:r>
      <w:r>
        <w:rPr>
          <w:rFonts w:hint="eastAsia" w:asciiTheme="minorEastAsia" w:hAnsiTheme="minorEastAsia" w:eastAsiaTheme="minorEastAsia" w:cstheme="minorEastAsia"/>
          <w:szCs w:val="21"/>
          <w:lang w:eastAsia="zh-CN"/>
        </w:rPr>
        <w:t>。</w:t>
      </w:r>
    </w:p>
    <w:p>
      <w:pPr>
        <w:pStyle w:val="54"/>
      </w:pPr>
      <w:r>
        <w:rPr>
          <w:rFonts w:hint="eastAsia"/>
        </w:rPr>
        <w:t xml:space="preserve"> </w:t>
      </w:r>
      <w:r>
        <w:t xml:space="preserve">    </w:t>
      </w:r>
      <w:r>
        <w:rPr>
          <w:rFonts w:eastAsia="方正仿宋_GBK"/>
          <w:bCs/>
          <w:sz w:val="32"/>
          <w:szCs w:val="32"/>
        </w:rPr>
        <w:t xml:space="preserve"> 6</w:t>
      </w:r>
      <w:r>
        <w:rPr>
          <w:rFonts w:hint="eastAsia" w:eastAsia="方正仿宋_GBK"/>
          <w:bCs/>
          <w:sz w:val="32"/>
          <w:szCs w:val="32"/>
        </w:rPr>
        <w:t>、编制水情调度方案</w:t>
      </w:r>
    </w:p>
    <w:p>
      <w:pPr>
        <w:pStyle w:val="54"/>
        <w:ind w:firstLine="960" w:firstLineChars="300"/>
        <w:rPr>
          <w:rFonts w:eastAsia="方正仿宋_GBK"/>
          <w:bCs/>
          <w:sz w:val="32"/>
          <w:szCs w:val="32"/>
        </w:rPr>
      </w:pPr>
      <w:r>
        <w:rPr>
          <w:rFonts w:hint="eastAsia" w:eastAsia="方正仿宋_GBK"/>
          <w:bCs/>
          <w:sz w:val="32"/>
          <w:szCs w:val="32"/>
        </w:rPr>
        <w:t>相关方案能满足重庆电网要求。</w:t>
      </w:r>
    </w:p>
    <w:p>
      <w:pPr>
        <w:pStyle w:val="4"/>
        <w:numPr>
          <w:ilvl w:val="0"/>
          <w:numId w:val="1"/>
        </w:numPr>
        <w:spacing w:line="510" w:lineRule="exact"/>
        <w:rPr>
          <w:rFonts w:ascii="Times New Roman" w:hAnsi="Times New Roman" w:eastAsia="黑体" w:cs="Times New Roman"/>
          <w:b w:val="0"/>
          <w:lang w:eastAsia="zh-CN"/>
        </w:rPr>
      </w:pPr>
      <w:bookmarkStart w:id="13" w:name="_Toc14939"/>
      <w:bookmarkStart w:id="14" w:name="_Toc6230452"/>
      <w:bookmarkStart w:id="15" w:name="_Toc29194683"/>
      <w:r>
        <w:rPr>
          <w:rFonts w:ascii="Times New Roman" w:hAnsi="Times New Roman" w:eastAsia="黑体" w:cs="Times New Roman"/>
          <w:b w:val="0"/>
          <w:lang w:eastAsia="zh-CN"/>
        </w:rPr>
        <w:t>报价人资格要求</w:t>
      </w:r>
      <w:bookmarkEnd w:id="10"/>
      <w:bookmarkEnd w:id="11"/>
      <w:bookmarkEnd w:id="12"/>
      <w:bookmarkEnd w:id="13"/>
      <w:bookmarkEnd w:id="14"/>
      <w:bookmarkEnd w:id="15"/>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w:t>
      </w:r>
      <w:r>
        <w:rPr>
          <w:rFonts w:ascii="Times New Roman" w:hAnsi="Times New Roman" w:eastAsia="方正仿宋_GBK" w:cs="Times New Roman"/>
          <w:bCs/>
          <w:sz w:val="32"/>
          <w:szCs w:val="32"/>
          <w:lang w:eastAsia="zh-CN"/>
        </w:rPr>
        <w:t>.1本次询价实行资格后审，报价人应同时满足下列资格条件：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（1）报价人为中国境内注册的企业。</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（2）报价人具有以下全部资质：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①具有有效营业执照/事业单位法人证书、税务登记证、组织机构代码证的单位，多证合一的需备注</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②</w:t>
      </w:r>
      <w:r>
        <w:rPr>
          <w:rFonts w:hint="eastAsia" w:ascii="Times New Roman" w:hAnsi="Times New Roman" w:eastAsia="方正仿宋_GBK" w:cs="Times New Roman"/>
          <w:bCs/>
          <w:sz w:val="32"/>
          <w:szCs w:val="32"/>
          <w:lang w:eastAsia="zh-CN"/>
        </w:rPr>
        <w:t>ISO9001质量管理体系认证证书</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（3）报价人自_</w:t>
      </w:r>
      <w:r>
        <w:rPr>
          <w:rFonts w:hint="eastAsia" w:ascii="Times New Roman" w:hAnsi="Times New Roman" w:eastAsia="方正仿宋_GBK" w:cs="Times New Roman"/>
          <w:bCs/>
          <w:sz w:val="32"/>
          <w:szCs w:val="32"/>
          <w:u w:val="single"/>
          <w:lang w:eastAsia="zh-CN"/>
        </w:rPr>
        <w:t>2015</w:t>
      </w:r>
      <w:r>
        <w:rPr>
          <w:rFonts w:ascii="Times New Roman" w:hAnsi="Times New Roman" w:eastAsia="方正仿宋_GBK" w:cs="Times New Roman"/>
          <w:bCs/>
          <w:sz w:val="32"/>
          <w:szCs w:val="32"/>
          <w:u w:val="single"/>
          <w:lang w:eastAsia="zh-CN"/>
        </w:rPr>
        <w:t>_</w:t>
      </w:r>
      <w:r>
        <w:rPr>
          <w:rFonts w:ascii="Times New Roman" w:hAnsi="Times New Roman" w:eastAsia="方正仿宋_GBK" w:cs="Times New Roman"/>
          <w:bCs/>
          <w:sz w:val="32"/>
          <w:szCs w:val="32"/>
          <w:lang w:eastAsia="zh-CN"/>
        </w:rPr>
        <w:t>年1月1日至报价截止日（以合同签订时间为准），</w:t>
      </w:r>
      <w:r>
        <w:rPr>
          <w:rFonts w:hint="eastAsia" w:ascii="Times New Roman" w:hAnsi="Times New Roman" w:eastAsia="方正仿宋_GBK" w:cs="Times New Roman"/>
          <w:bCs/>
          <w:sz w:val="32"/>
          <w:szCs w:val="32"/>
          <w:lang w:eastAsia="zh-CN"/>
        </w:rPr>
        <w:t>至少具有相关电网服务业绩。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w:t>
      </w: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报价人没有被列入高速集团黑名单。</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eastAsia="zh-CN"/>
        </w:rPr>
        <w:t>3不接受联合体投标。</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4.4 与招标人存在利害关系可能影响招标公正性的法人、其他组织或者个人，不得参加投标。</w:t>
      </w:r>
    </w:p>
    <w:p>
      <w:pPr>
        <w:pStyle w:val="4"/>
        <w:numPr>
          <w:ilvl w:val="0"/>
          <w:numId w:val="1"/>
        </w:numPr>
        <w:spacing w:line="510" w:lineRule="exact"/>
        <w:rPr>
          <w:rFonts w:ascii="Times New Roman" w:hAnsi="Times New Roman" w:eastAsia="黑体" w:cs="Times New Roman"/>
          <w:b w:val="0"/>
          <w:lang w:eastAsia="zh-CN"/>
        </w:rPr>
      </w:pPr>
      <w:bookmarkStart w:id="16" w:name="_Toc14672"/>
      <w:bookmarkStart w:id="17" w:name="_Toc29194684"/>
      <w:bookmarkStart w:id="18" w:name="_Toc6230453"/>
      <w:bookmarkStart w:id="19" w:name="_Toc324429696"/>
      <w:bookmarkStart w:id="20" w:name="_Toc323734101"/>
      <w:bookmarkStart w:id="21" w:name="_Toc13014"/>
      <w:r>
        <w:rPr>
          <w:rFonts w:ascii="Times New Roman" w:hAnsi="Times New Roman" w:eastAsia="黑体" w:cs="Times New Roman"/>
          <w:b w:val="0"/>
          <w:lang w:eastAsia="zh-CN"/>
        </w:rPr>
        <w:t>报价文件的递交</w:t>
      </w:r>
      <w:bookmarkEnd w:id="16"/>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5</w:t>
      </w:r>
      <w:r>
        <w:rPr>
          <w:rFonts w:ascii="Times New Roman" w:hAnsi="Times New Roman" w:eastAsia="方正仿宋_GBK" w:cs="Times New Roman"/>
          <w:bCs/>
          <w:sz w:val="32"/>
          <w:szCs w:val="32"/>
          <w:lang w:eastAsia="zh-CN"/>
        </w:rPr>
        <w:t>.1本项目总价最高限价为人民币</w:t>
      </w:r>
      <w:r>
        <w:rPr>
          <w:rFonts w:hint="eastAsia" w:ascii="Times New Roman" w:hAnsi="Times New Roman" w:eastAsia="方正仿宋_GBK" w:cs="Times New Roman"/>
          <w:b/>
          <w:sz w:val="32"/>
          <w:szCs w:val="32"/>
          <w:u w:val="single"/>
          <w:lang w:eastAsia="zh-CN"/>
        </w:rPr>
        <w:t>贰拾壹万伍仟元整</w:t>
      </w:r>
      <w:r>
        <w:rPr>
          <w:rFonts w:ascii="Times New Roman" w:hAnsi="Times New Roman" w:eastAsia="方正仿宋_GBK" w:cs="Times New Roman"/>
          <w:bCs/>
          <w:sz w:val="32"/>
          <w:szCs w:val="32"/>
          <w:lang w:eastAsia="zh-CN"/>
        </w:rPr>
        <w:t>（</w:t>
      </w:r>
      <w:r>
        <w:rPr>
          <w:rFonts w:ascii="Times New Roman" w:hAnsi="Times New Roman" w:eastAsia="方正仿宋_GBK" w:cs="Times New Roman"/>
          <w:b/>
          <w:sz w:val="32"/>
          <w:szCs w:val="32"/>
          <w:lang w:eastAsia="zh-CN"/>
        </w:rPr>
        <w:t>￥</w:t>
      </w:r>
      <w:r>
        <w:rPr>
          <w:rFonts w:hint="eastAsia" w:ascii="Times New Roman" w:hAnsi="Times New Roman" w:eastAsia="方正仿宋_GBK" w:cs="Times New Roman"/>
          <w:b/>
          <w:sz w:val="32"/>
          <w:szCs w:val="32"/>
          <w:lang w:eastAsia="zh-CN"/>
        </w:rPr>
        <w:t>2</w:t>
      </w:r>
      <w:r>
        <w:rPr>
          <w:rFonts w:ascii="Times New Roman" w:hAnsi="Times New Roman" w:eastAsia="方正仿宋_GBK" w:cs="Times New Roman"/>
          <w:b/>
          <w:sz w:val="32"/>
          <w:szCs w:val="32"/>
          <w:lang w:eastAsia="zh-CN"/>
        </w:rPr>
        <w:t>1</w:t>
      </w:r>
      <w:r>
        <w:rPr>
          <w:rFonts w:hint="eastAsia" w:ascii="Times New Roman" w:hAnsi="Times New Roman" w:eastAsia="方正仿宋_GBK" w:cs="Times New Roman"/>
          <w:b/>
          <w:sz w:val="32"/>
          <w:szCs w:val="32"/>
          <w:lang w:eastAsia="zh-CN"/>
        </w:rPr>
        <w:t>5000</w:t>
      </w:r>
      <w:r>
        <w:rPr>
          <w:rFonts w:ascii="Times New Roman" w:hAnsi="Times New Roman" w:eastAsia="方正仿宋_GBK" w:cs="Times New Roman"/>
          <w:bCs/>
          <w:sz w:val="32"/>
          <w:szCs w:val="32"/>
          <w:lang w:eastAsia="zh-CN"/>
        </w:rPr>
        <w:t>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5</w:t>
      </w:r>
      <w:r>
        <w:rPr>
          <w:rFonts w:ascii="Times New Roman" w:hAnsi="Times New Roman" w:eastAsia="方正仿宋_GBK" w:cs="Times New Roman"/>
          <w:bCs/>
          <w:sz w:val="32"/>
          <w:szCs w:val="32"/>
          <w:lang w:eastAsia="zh-CN"/>
        </w:rPr>
        <w:t>.2报价文件内容格式详见第四章格式要求；装订采用A4纸幅面，不得采用活页夹等可随时拆换的方式装订，目录、页码齐全，正副本分开装订，封面注明正副本字样。否则其报价文件将被否决。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5</w:t>
      </w:r>
      <w:r>
        <w:rPr>
          <w:rFonts w:ascii="Times New Roman" w:hAnsi="Times New Roman" w:eastAsia="方正仿宋_GBK" w:cs="Times New Roman"/>
          <w:bCs/>
          <w:sz w:val="32"/>
          <w:szCs w:val="32"/>
          <w:lang w:eastAsia="zh-CN"/>
        </w:rPr>
        <w:t>.3报价文件正本1份，副本</w:t>
      </w:r>
      <w:r>
        <w:rPr>
          <w:rFonts w:hint="eastAsia" w:ascii="Times New Roman" w:hAnsi="Times New Roman" w:eastAsia="方正仿宋_GBK" w:cs="Times New Roman"/>
          <w:bCs/>
          <w:sz w:val="32"/>
          <w:szCs w:val="32"/>
          <w:u w:val="single"/>
          <w:lang w:eastAsia="zh-CN"/>
        </w:rPr>
        <w:t>1</w:t>
      </w:r>
      <w:r>
        <w:rPr>
          <w:rFonts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5</w:t>
      </w:r>
      <w:r>
        <w:rPr>
          <w:rFonts w:ascii="Times New Roman" w:hAnsi="Times New Roman" w:eastAsia="方正仿宋_GBK" w:cs="Times New Roman"/>
          <w:bCs/>
          <w:sz w:val="32"/>
          <w:szCs w:val="32"/>
          <w:lang w:eastAsia="zh-CN"/>
        </w:rPr>
        <w:t>.4报价文件正副本一并装入一个封套中，密封完好并在封口处加盖报价人单位公章，否则其报价文件将被否决。封套上应注明：</w:t>
      </w:r>
      <w:r>
        <w:rPr>
          <w:rFonts w:ascii="Times New Roman" w:hAnsi="Times New Roman" w:eastAsia="方正仿宋_GBK" w:cs="Times New Roman"/>
          <w:b/>
          <w:sz w:val="32"/>
          <w:szCs w:val="32"/>
          <w:u w:val="single"/>
          <w:lang w:eastAsia="zh-CN"/>
        </w:rPr>
        <w:t>涪江干流梯级渠化双江航电枢纽工程电网接入二次咨询及并网接入调度自动化主站系统技术服务</w:t>
      </w:r>
      <w:r>
        <w:rPr>
          <w:rFonts w:hint="eastAsia" w:ascii="Times New Roman" w:hAnsi="Times New Roman" w:eastAsia="方正仿宋_GBK" w:cs="Times New Roman"/>
          <w:bCs/>
          <w:sz w:val="32"/>
          <w:szCs w:val="32"/>
          <w:lang w:eastAsia="zh-CN"/>
        </w:rPr>
        <w:t>项目</w:t>
      </w:r>
      <w:r>
        <w:rPr>
          <w:rFonts w:ascii="Times New Roman" w:hAnsi="Times New Roman" w:eastAsia="方正仿宋_GBK" w:cs="Times New Roman"/>
          <w:bCs/>
          <w:sz w:val="32"/>
          <w:szCs w:val="32"/>
          <w:lang w:eastAsia="zh-CN"/>
        </w:rPr>
        <w:t>。</w:t>
      </w:r>
    </w:p>
    <w:p>
      <w:pPr>
        <w:pStyle w:val="4"/>
        <w:numPr>
          <w:ilvl w:val="0"/>
          <w:numId w:val="1"/>
        </w:numPr>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评审办法</w:t>
      </w:r>
    </w:p>
    <w:p>
      <w:pPr>
        <w:pStyle w:val="54"/>
        <w:ind w:firstLine="643" w:firstLineChars="200"/>
        <w:rPr>
          <w:rFonts w:eastAsia="方正仿宋_GBK"/>
          <w:bCs/>
          <w:sz w:val="32"/>
          <w:szCs w:val="32"/>
        </w:rPr>
      </w:pPr>
      <w:r>
        <w:rPr>
          <w:rFonts w:eastAsia="方正仿宋_GBK"/>
          <w:b/>
          <w:sz w:val="32"/>
          <w:szCs w:val="32"/>
        </w:rPr>
        <w:t>本项目采用经评审的</w:t>
      </w:r>
      <w:r>
        <w:rPr>
          <w:rFonts w:hint="eastAsia" w:eastAsia="方正仿宋_GBK"/>
          <w:b/>
          <w:sz w:val="32"/>
          <w:szCs w:val="32"/>
        </w:rPr>
        <w:t>最低价法</w:t>
      </w:r>
      <w:r>
        <w:rPr>
          <w:rFonts w:eastAsia="方正仿宋_GBK"/>
          <w:b/>
          <w:sz w:val="32"/>
          <w:szCs w:val="32"/>
        </w:rPr>
        <w:t>。</w:t>
      </w:r>
      <w:r>
        <w:rPr>
          <w:rFonts w:eastAsia="方正仿宋_GBK"/>
          <w:bCs/>
          <w:sz w:val="32"/>
          <w:szCs w:val="32"/>
        </w:rPr>
        <w:t>评审小组对通过初步评审的报价人，按报价由低至高的顺序推荐中标候选人。若最低投标价相同的，由评审小组自行决定中标候选人。</w:t>
      </w:r>
    </w:p>
    <w:p>
      <w:pPr>
        <w:pStyle w:val="4"/>
        <w:numPr>
          <w:ilvl w:val="0"/>
          <w:numId w:val="1"/>
        </w:numPr>
        <w:spacing w:line="510" w:lineRule="exact"/>
        <w:rPr>
          <w:rFonts w:ascii="Times New Roman" w:hAnsi="Times New Roman" w:eastAsia="黑体" w:cs="Times New Roman"/>
          <w:b w:val="0"/>
          <w:lang w:eastAsia="zh-CN"/>
        </w:rPr>
      </w:pPr>
      <w:bookmarkStart w:id="22" w:name="_Toc19263"/>
      <w:r>
        <w:rPr>
          <w:rFonts w:ascii="Times New Roman" w:hAnsi="Times New Roman" w:eastAsia="黑体" w:cs="Times New Roman"/>
          <w:b w:val="0"/>
          <w:lang w:eastAsia="zh-CN"/>
        </w:rPr>
        <w:t>报价文件的递交</w:t>
      </w:r>
      <w:bookmarkEnd w:id="22"/>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7</w:t>
      </w:r>
      <w:r>
        <w:rPr>
          <w:rFonts w:ascii="Times New Roman" w:hAnsi="Times New Roman" w:eastAsia="方正仿宋_GBK" w:cs="Times New Roman"/>
          <w:bCs/>
          <w:sz w:val="32"/>
          <w:szCs w:val="32"/>
          <w:lang w:eastAsia="zh-CN"/>
        </w:rPr>
        <w:t>.1报价文件递交地点：重庆市</w:t>
      </w:r>
      <w:r>
        <w:rPr>
          <w:rFonts w:hint="eastAsia" w:ascii="Times New Roman" w:hAnsi="Times New Roman" w:eastAsia="方正仿宋_GBK" w:cs="Times New Roman"/>
          <w:bCs/>
          <w:sz w:val="32"/>
          <w:szCs w:val="32"/>
          <w:lang w:eastAsia="zh-CN"/>
        </w:rPr>
        <w:t>潼南区双江公司，</w:t>
      </w:r>
      <w:r>
        <w:rPr>
          <w:rFonts w:hint="eastAsia" w:ascii="Times New Roman" w:hAnsi="Times New Roman" w:eastAsia="方正仿宋_GBK" w:cs="Times New Roman"/>
          <w:bCs/>
          <w:sz w:val="32"/>
          <w:szCs w:val="32"/>
          <w:lang w:val="en-US" w:eastAsia="zh-CN"/>
        </w:rPr>
        <w:t>地址：</w:t>
      </w:r>
      <w:r>
        <w:rPr>
          <w:rFonts w:hint="eastAsia" w:ascii="Times New Roman" w:hAnsi="Times New Roman" w:eastAsia="方正仿宋_GBK" w:cs="Times New Roman"/>
          <w:bCs/>
          <w:sz w:val="32"/>
          <w:szCs w:val="32"/>
          <w:lang w:eastAsia="zh-CN"/>
        </w:rPr>
        <w:t>重庆市潼南区春阳街4</w:t>
      </w:r>
      <w:r>
        <w:rPr>
          <w:rFonts w:ascii="Times New Roman" w:hAnsi="Times New Roman" w:eastAsia="方正仿宋_GBK" w:cs="Times New Roman"/>
          <w:bCs/>
          <w:sz w:val="32"/>
          <w:szCs w:val="32"/>
          <w:lang w:eastAsia="zh-CN"/>
        </w:rPr>
        <w:t>60</w:t>
      </w:r>
      <w:r>
        <w:rPr>
          <w:rFonts w:hint="eastAsia" w:ascii="Times New Roman" w:hAnsi="Times New Roman" w:eastAsia="方正仿宋_GBK" w:cs="Times New Roman"/>
          <w:bCs/>
          <w:sz w:val="32"/>
          <w:szCs w:val="32"/>
          <w:lang w:eastAsia="zh-CN"/>
        </w:rPr>
        <w:t>号</w:t>
      </w:r>
      <w:r>
        <w:rPr>
          <w:rFonts w:ascii="Times New Roman" w:hAnsi="Times New Roman" w:eastAsia="方正仿宋_GBK" w:cs="Times New Roman"/>
          <w:bCs/>
          <w:sz w:val="32"/>
          <w:szCs w:val="32"/>
          <w:lang w:eastAsia="zh-CN"/>
        </w:rPr>
        <w:t>。</w:t>
      </w:r>
    </w:p>
    <w:p>
      <w:pPr>
        <w:autoSpaceDE w:val="0"/>
        <w:autoSpaceDN w:val="0"/>
        <w:adjustRightInd w:val="0"/>
        <w:spacing w:line="520" w:lineRule="exact"/>
        <w:ind w:firstLine="640" w:firstLineChars="200"/>
        <w:rPr>
          <w:rFonts w:eastAsia="仿宋_GB2312"/>
          <w:kern w:val="0"/>
          <w:sz w:val="32"/>
          <w:szCs w:val="32"/>
        </w:rPr>
      </w:pPr>
      <w:r>
        <w:rPr>
          <w:rFonts w:hint="eastAsia" w:ascii="Times New Roman" w:hAnsi="Times New Roman" w:eastAsia="方正仿宋_GBK" w:cs="Times New Roman"/>
          <w:bCs/>
          <w:sz w:val="32"/>
          <w:szCs w:val="32"/>
          <w:lang w:eastAsia="zh-CN"/>
        </w:rPr>
        <w:t>7</w:t>
      </w:r>
      <w:r>
        <w:rPr>
          <w:rFonts w:ascii="Times New Roman" w:hAnsi="Times New Roman" w:eastAsia="方正仿宋_GBK" w:cs="Times New Roman"/>
          <w:bCs/>
          <w:sz w:val="32"/>
          <w:szCs w:val="32"/>
          <w:lang w:eastAsia="zh-CN"/>
        </w:rPr>
        <w:t>.2报价文件递交截止时间：</w:t>
      </w:r>
      <w:r>
        <w:rPr>
          <w:rFonts w:eastAsia="仿宋_GB2312"/>
          <w:kern w:val="0"/>
          <w:sz w:val="32"/>
          <w:szCs w:val="32"/>
        </w:rPr>
        <w:t>请于</w:t>
      </w:r>
      <w:r>
        <w:rPr>
          <w:rFonts w:hint="eastAsia" w:eastAsia="仿宋_GB2312"/>
          <w:kern w:val="0"/>
          <w:sz w:val="32"/>
          <w:szCs w:val="32"/>
          <w:lang w:val="en-US" w:eastAsia="zh-CN"/>
        </w:rPr>
        <w:t>公示后5天</w:t>
      </w:r>
      <w:r>
        <w:rPr>
          <w:rFonts w:hint="eastAsia" w:eastAsia="仿宋_GB2312"/>
          <w:kern w:val="0"/>
          <w:sz w:val="32"/>
          <w:szCs w:val="32"/>
        </w:rPr>
        <w:t>内</w:t>
      </w:r>
      <w:r>
        <w:rPr>
          <w:rFonts w:eastAsia="仿宋_GB2312"/>
          <w:kern w:val="0"/>
          <w:sz w:val="32"/>
          <w:szCs w:val="32"/>
        </w:rPr>
        <w:t>将有关资料和报价函送达重庆</w:t>
      </w:r>
      <w:r>
        <w:rPr>
          <w:rFonts w:hint="eastAsia" w:eastAsia="仿宋_GB2312"/>
          <w:kern w:val="0"/>
          <w:sz w:val="32"/>
          <w:szCs w:val="32"/>
          <w:lang w:val="en-US" w:eastAsia="zh-CN"/>
        </w:rPr>
        <w:t>双江航运发展有限公司</w:t>
      </w:r>
      <w:r>
        <w:rPr>
          <w:rFonts w:eastAsia="仿宋_GB2312"/>
          <w:kern w:val="0"/>
          <w:sz w:val="32"/>
          <w:szCs w:val="32"/>
        </w:rPr>
        <w:t>。</w:t>
      </w:r>
      <w:r>
        <w:rPr>
          <w:rFonts w:hint="eastAsia" w:eastAsia="仿宋_GB2312"/>
          <w:kern w:val="0"/>
          <w:sz w:val="32"/>
          <w:szCs w:val="32"/>
          <w:lang w:val="en-US" w:eastAsia="zh-CN"/>
        </w:rPr>
        <w:t>逾期送达、或未送达指定地点、或未按文件要求密封的报价函，询价人将予以拒收。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7</w:t>
      </w:r>
      <w:r>
        <w:rPr>
          <w:rFonts w:ascii="Times New Roman" w:hAnsi="Times New Roman" w:eastAsia="方正仿宋_GBK" w:cs="Times New Roman"/>
          <w:bCs/>
          <w:sz w:val="32"/>
          <w:szCs w:val="32"/>
          <w:lang w:eastAsia="zh-CN"/>
        </w:rPr>
        <w:t>.3逾期送达的、未送达指定地点的或者不按照询价文件要求密封的报价文件，将予以拒收。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7</w:t>
      </w:r>
      <w:r>
        <w:rPr>
          <w:rFonts w:ascii="Times New Roman" w:hAnsi="Times New Roman" w:eastAsia="方正仿宋_GBK" w:cs="Times New Roman"/>
          <w:bCs/>
          <w:sz w:val="32"/>
          <w:szCs w:val="32"/>
          <w:lang w:eastAsia="zh-CN"/>
        </w:rPr>
        <w:t>.4采用邮寄等其他方式递交报价文件的，所有风险由报价人自行承担。</w:t>
      </w:r>
      <w:bookmarkStart w:id="48" w:name="_GoBack"/>
      <w:bookmarkEnd w:id="48"/>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7.5其他要求：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numPr>
          <w:ilvl w:val="0"/>
          <w:numId w:val="1"/>
        </w:numPr>
        <w:spacing w:line="510" w:lineRule="exact"/>
        <w:rPr>
          <w:rFonts w:ascii="Times New Roman" w:hAnsi="Times New Roman" w:eastAsia="黑体" w:cs="Times New Roman"/>
          <w:b w:val="0"/>
          <w:lang w:eastAsia="zh-CN"/>
        </w:rPr>
      </w:pPr>
      <w:bookmarkStart w:id="23" w:name="_Toc23460"/>
      <w:r>
        <w:rPr>
          <w:rFonts w:ascii="Times New Roman" w:hAnsi="Times New Roman" w:eastAsia="黑体" w:cs="Times New Roman"/>
          <w:b w:val="0"/>
          <w:lang w:eastAsia="zh-CN"/>
        </w:rPr>
        <w:t>发布公告的媒介</w:t>
      </w:r>
      <w:bookmarkEnd w:id="23"/>
    </w:p>
    <w:p>
      <w:pPr>
        <w:wordWrap w:val="0"/>
        <w:spacing w:line="510" w:lineRule="exact"/>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8</w:t>
      </w:r>
      <w:r>
        <w:rPr>
          <w:rFonts w:ascii="Times New Roman" w:hAnsi="Times New Roman" w:eastAsia="方正仿宋_GBK" w:cs="Times New Roman"/>
          <w:bCs/>
          <w:sz w:val="32"/>
          <w:szCs w:val="32"/>
          <w:lang w:eastAsia="zh-CN"/>
        </w:rPr>
        <w:t>.1本次询价公告及结果公示将在重庆高速公路集团官方网站</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lang w:eastAsia="zh-CN"/>
        </w:rPr>
        <w:t>重庆高速公路集团有限公司招投标管理平台上发布。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8</w:t>
      </w:r>
      <w:r>
        <w:rPr>
          <w:rFonts w:ascii="Times New Roman" w:hAnsi="Times New Roman" w:eastAsia="方正仿宋_GBK" w:cs="Times New Roman"/>
          <w:bCs/>
          <w:sz w:val="32"/>
          <w:szCs w:val="32"/>
          <w:lang w:eastAsia="zh-CN"/>
        </w:rPr>
        <w:t>.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numPr>
          <w:ilvl w:val="0"/>
          <w:numId w:val="1"/>
        </w:numPr>
        <w:spacing w:line="510" w:lineRule="exact"/>
        <w:rPr>
          <w:rFonts w:ascii="Times New Roman" w:hAnsi="Times New Roman" w:eastAsia="黑体" w:cs="Times New Roman"/>
          <w:b w:val="0"/>
          <w:lang w:eastAsia="zh-CN"/>
        </w:rPr>
      </w:pPr>
      <w:bookmarkStart w:id="24" w:name="_Toc14977"/>
      <w:r>
        <w:rPr>
          <w:rFonts w:ascii="Times New Roman" w:hAnsi="Times New Roman" w:eastAsia="黑体" w:cs="Times New Roman"/>
          <w:b w:val="0"/>
          <w:lang w:eastAsia="zh-CN"/>
        </w:rPr>
        <w:t>联系方式</w:t>
      </w:r>
      <w:bookmarkEnd w:id="24"/>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重庆双江航运发展有限</w:t>
      </w:r>
      <w:r>
        <w:rPr>
          <w:rFonts w:ascii="Times New Roman" w:hAnsi="Times New Roman" w:eastAsia="方正仿宋_GBK" w:cs="Times New Roman"/>
          <w:bCs/>
          <w:sz w:val="32"/>
          <w:szCs w:val="32"/>
          <w:lang w:eastAsia="zh-CN"/>
        </w:rPr>
        <w:t>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重庆市潼南区春阳街4</w:t>
      </w:r>
      <w:r>
        <w:rPr>
          <w:rFonts w:ascii="Times New Roman" w:hAnsi="Times New Roman" w:eastAsia="方正仿宋_GBK" w:cs="Times New Roman"/>
          <w:bCs/>
          <w:sz w:val="32"/>
          <w:szCs w:val="32"/>
          <w:lang w:eastAsia="zh-CN"/>
        </w:rPr>
        <w:t>60</w:t>
      </w:r>
      <w:r>
        <w:rPr>
          <w:rFonts w:hint="eastAsia" w:ascii="Times New Roman" w:hAnsi="Times New Roman" w:eastAsia="方正仿宋_GBK" w:cs="Times New Roman"/>
          <w:bCs/>
          <w:sz w:val="32"/>
          <w:szCs w:val="32"/>
          <w:lang w:eastAsia="zh-CN"/>
        </w:rPr>
        <w:t>号</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eastAsia="zh-CN"/>
        </w:rPr>
        <w:t>黄先生</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13</w:t>
      </w:r>
      <w:r>
        <w:rPr>
          <w:rFonts w:ascii="Times New Roman" w:hAnsi="Times New Roman" w:eastAsia="方正仿宋_GBK" w:cs="Times New Roman"/>
          <w:bCs/>
          <w:sz w:val="32"/>
          <w:szCs w:val="32"/>
          <w:lang w:eastAsia="zh-CN"/>
        </w:rPr>
        <w:t>618333780</w:t>
      </w:r>
    </w:p>
    <w:p>
      <w:pPr>
        <w:pStyle w:val="4"/>
        <w:numPr>
          <w:ilvl w:val="0"/>
          <w:numId w:val="1"/>
        </w:numPr>
        <w:spacing w:line="510" w:lineRule="exact"/>
        <w:rPr>
          <w:rFonts w:ascii="Times New Roman" w:hAnsi="Times New Roman" w:eastAsia="黑体" w:cs="Times New Roman"/>
          <w:b w:val="0"/>
          <w:lang w:eastAsia="zh-CN"/>
        </w:rPr>
      </w:pPr>
      <w:bookmarkStart w:id="25" w:name="_Toc19495"/>
      <w:bookmarkStart w:id="26" w:name="_Toc8719"/>
      <w:r>
        <w:rPr>
          <w:rFonts w:ascii="Times New Roman" w:hAnsi="Times New Roman" w:eastAsia="黑体" w:cs="Times New Roman"/>
          <w:b w:val="0"/>
          <w:lang w:eastAsia="zh-CN"/>
        </w:rPr>
        <w:t>监督</w:t>
      </w:r>
      <w:r>
        <w:rPr>
          <w:rFonts w:hint="eastAsia" w:ascii="Times New Roman" w:hAnsi="Times New Roman" w:eastAsia="黑体" w:cs="Times New Roman"/>
          <w:b w:val="0"/>
          <w:lang w:eastAsia="zh-CN"/>
        </w:rPr>
        <w:t>电话：</w:t>
      </w:r>
      <w:bookmarkEnd w:id="25"/>
      <w:bookmarkEnd w:id="26"/>
      <w:r>
        <w:rPr>
          <w:rFonts w:ascii="Times New Roman" w:hAnsi="Times New Roman" w:eastAsia="黑体" w:cs="Times New Roman"/>
          <w:b w:val="0"/>
          <w:lang w:eastAsia="zh-CN"/>
        </w:rPr>
        <w:t>023</w:t>
      </w:r>
      <w:r>
        <w:rPr>
          <w:rFonts w:hint="eastAsia" w:ascii="Times New Roman" w:hAnsi="Times New Roman" w:eastAsia="黑体" w:cs="Times New Roman"/>
          <w:b w:val="0"/>
          <w:lang w:eastAsia="zh-CN"/>
        </w:rPr>
        <w:t>-</w:t>
      </w:r>
      <w:r>
        <w:rPr>
          <w:rFonts w:ascii="Times New Roman" w:hAnsi="Times New Roman" w:eastAsia="黑体" w:cs="Times New Roman"/>
          <w:b w:val="0"/>
          <w:lang w:eastAsia="zh-CN"/>
        </w:rPr>
        <w:t>87285692</w:t>
      </w:r>
    </w:p>
    <w:p>
      <w:pPr>
        <w:pStyle w:val="4"/>
        <w:spacing w:line="400" w:lineRule="exact"/>
        <w:rPr>
          <w:rFonts w:ascii="Times New Roman" w:hAnsi="Times New Roman" w:cs="Times New Roman" w:eastAsiaTheme="minorEastAsia"/>
          <w:color w:val="FF0000"/>
          <w:sz w:val="24"/>
          <w:szCs w:val="21"/>
          <w:lang w:eastAsia="zh-CN"/>
        </w:rPr>
      </w:pPr>
    </w:p>
    <w:p>
      <w:pPr>
        <w:widowControl/>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 w:val="24"/>
          <w:szCs w:val="21"/>
          <w:lang w:eastAsia="zh-CN"/>
        </w:rPr>
        <w:br w:type="page"/>
      </w:r>
      <w:bookmarkEnd w:id="17"/>
      <w:bookmarkEnd w:id="18"/>
      <w:bookmarkEnd w:id="19"/>
      <w:bookmarkEnd w:id="20"/>
      <w:bookmarkEnd w:id="21"/>
      <w:bookmarkStart w:id="27" w:name="_Toc29194756"/>
    </w:p>
    <w:bookmarkEnd w:id="27"/>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8" w:name="_Toc52097542"/>
      <w:bookmarkStart w:id="29" w:name="_Toc29194791"/>
      <w:bookmarkStart w:id="30" w:name="_Toc16536"/>
      <w:r>
        <w:rPr>
          <w:rFonts w:ascii="Times New Roman" w:hAnsi="Times New Roman" w:eastAsia="方正小标宋_GBK" w:cs="Times New Roman"/>
          <w:bCs/>
          <w:sz w:val="44"/>
          <w:szCs w:val="44"/>
          <w:lang w:val="zh-CN" w:eastAsia="zh-CN"/>
        </w:rPr>
        <w:t>第</w:t>
      </w:r>
      <w:r>
        <w:rPr>
          <w:rFonts w:hint="eastAsia" w:ascii="Times New Roman" w:hAnsi="Times New Roman" w:eastAsia="方正小标宋_GBK" w:cs="Times New Roman"/>
          <w:bCs/>
          <w:sz w:val="44"/>
          <w:szCs w:val="44"/>
          <w:lang w:eastAsia="zh-CN"/>
        </w:rPr>
        <w:t>二</w:t>
      </w:r>
      <w:r>
        <w:rPr>
          <w:rFonts w:ascii="Times New Roman" w:hAnsi="Times New Roman" w:eastAsia="方正小标宋_GBK" w:cs="Times New Roman"/>
          <w:bCs/>
          <w:sz w:val="44"/>
          <w:szCs w:val="44"/>
          <w:lang w:val="zh-CN" w:eastAsia="zh-CN"/>
        </w:rPr>
        <w:t>章</w:t>
      </w:r>
      <w:bookmarkEnd w:id="28"/>
      <w:bookmarkEnd w:id="29"/>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bookmarkEnd w:id="30"/>
    </w:p>
    <w:p>
      <w:pPr>
        <w:spacing w:line="510" w:lineRule="exact"/>
        <w:ind w:firstLine="320" w:firstLineChars="1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u w:val="single"/>
          <w:lang w:eastAsia="zh-CN"/>
        </w:rPr>
        <w:t xml:space="preserve"> 重庆双江航运发展有限公司（</w:t>
      </w:r>
      <w:r>
        <w:rPr>
          <w:rFonts w:hint="eastAsia" w:ascii="Times New Roman" w:hAnsi="Times New Roman" w:eastAsia="方正仿宋_GBK" w:cs="Times New Roman"/>
          <w:bCs/>
          <w:sz w:val="32"/>
          <w:szCs w:val="32"/>
          <w:lang w:eastAsia="zh-CN"/>
        </w:rPr>
        <w:t>以下简称甲方）委托</w:t>
      </w:r>
      <w:r>
        <w:rPr>
          <w:rFonts w:hint="eastAsia" w:ascii="Times New Roman" w:hAnsi="Times New Roman" w:eastAsia="方正仿宋_GBK" w:cs="Times New Roman"/>
          <w:bCs/>
          <w:sz w:val="32"/>
          <w:szCs w:val="32"/>
          <w:u w:val="single"/>
          <w:lang w:eastAsia="zh-CN"/>
        </w:rPr>
        <w:t xml:space="preserve">                     </w:t>
      </w:r>
      <w:r>
        <w:rPr>
          <w:rFonts w:hint="eastAsia" w:ascii="Times New Roman" w:hAnsi="Times New Roman" w:eastAsia="方正仿宋_GBK" w:cs="Times New Roman"/>
          <w:bCs/>
          <w:sz w:val="32"/>
          <w:szCs w:val="32"/>
          <w:lang w:eastAsia="zh-CN"/>
        </w:rPr>
        <w:t>（以下简称乙方）承担本合同所列技术咨询项目。为明确双方责任，双方严格按咨询程序共同完成所列各项任务。经协商签订如下合同，共同遵守。</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第一条 委托内容及技术要求</w:t>
      </w:r>
    </w:p>
    <w:p>
      <w:pPr>
        <w:spacing w:line="510" w:lineRule="exact"/>
        <w:jc w:val="both"/>
        <w:rPr>
          <w:rFonts w:ascii="Times New Roman" w:hAnsi="Times New Roman" w:eastAsia="方正仿宋_GBK" w:cs="Times New Roman"/>
          <w:b/>
          <w:sz w:val="32"/>
          <w:szCs w:val="32"/>
          <w:lang w:eastAsia="zh-CN"/>
        </w:rPr>
      </w:pPr>
      <w:r>
        <w:rPr>
          <w:rFonts w:hint="eastAsia" w:ascii="Times New Roman" w:hAnsi="Times New Roman" w:eastAsia="方正仿宋_GBK" w:cs="Times New Roman"/>
          <w:b/>
          <w:sz w:val="32"/>
          <w:szCs w:val="32"/>
          <w:lang w:eastAsia="zh-CN"/>
        </w:rPr>
        <w:t>委托内容：</w:t>
      </w:r>
    </w:p>
    <w:p>
      <w:pPr>
        <w:pStyle w:val="54"/>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涪江干流梯级渠化双江航电枢纽工程并网接入调度自动化主站系统技术服务</w:t>
      </w:r>
      <w:r>
        <w:rPr>
          <w:rFonts w:hint="eastAsia" w:eastAsia="方正仿宋_GBK"/>
          <w:bCs/>
          <w:sz w:val="32"/>
          <w:szCs w:val="32"/>
        </w:rPr>
        <w:t>；</w:t>
      </w:r>
    </w:p>
    <w:p>
      <w:pPr>
        <w:pStyle w:val="54"/>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涪江干流梯级渠化双江航电枢纽工程电网接入二次咨询</w:t>
      </w:r>
      <w:r>
        <w:rPr>
          <w:rFonts w:hint="eastAsia" w:eastAsia="方正仿宋_GBK"/>
          <w:bCs/>
          <w:sz w:val="32"/>
          <w:szCs w:val="32"/>
        </w:rPr>
        <w:t>工作；</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收集资料费、报告编制，等相关工作。</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负责编制完成</w:t>
      </w:r>
      <w:r>
        <w:rPr>
          <w:rFonts w:eastAsia="方正仿宋_GBK"/>
          <w:bCs/>
          <w:sz w:val="32"/>
          <w:szCs w:val="32"/>
          <w:lang w:eastAsia="zh-CN"/>
        </w:rPr>
        <w:t>涪江干流梯级渠化双江航电枢纽工程</w:t>
      </w:r>
      <w:r>
        <w:rPr>
          <w:rFonts w:ascii="Times New Roman" w:hAnsi="Times New Roman" w:eastAsia="方正仿宋_GBK" w:cs="Times New Roman"/>
          <w:bCs/>
          <w:sz w:val="32"/>
          <w:szCs w:val="32"/>
          <w:lang w:eastAsia="zh-CN"/>
        </w:rPr>
        <w:t>电网接入二次系统报告</w:t>
      </w:r>
      <w:r>
        <w:rPr>
          <w:rFonts w:hint="eastAsia"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
          <w:sz w:val="32"/>
          <w:szCs w:val="32"/>
          <w:lang w:eastAsia="zh-CN"/>
        </w:rPr>
      </w:pPr>
      <w:r>
        <w:rPr>
          <w:rFonts w:hint="eastAsia" w:ascii="Times New Roman" w:hAnsi="Times New Roman" w:eastAsia="方正仿宋_GBK" w:cs="Times New Roman"/>
          <w:b/>
          <w:sz w:val="32"/>
          <w:szCs w:val="32"/>
          <w:lang w:eastAsia="zh-CN"/>
        </w:rPr>
        <w:t>技术要求：</w:t>
      </w:r>
    </w:p>
    <w:p>
      <w:pPr>
        <w:pStyle w:val="54"/>
        <w:ind w:firstLine="640" w:firstLineChars="200"/>
        <w:rPr>
          <w:rFonts w:eastAsia="方正仿宋_GBK"/>
          <w:bCs/>
          <w:sz w:val="32"/>
          <w:szCs w:val="32"/>
        </w:rPr>
      </w:pPr>
      <w:r>
        <w:rPr>
          <w:rFonts w:hint="eastAsia" w:eastAsia="方正仿宋_GBK"/>
          <w:bCs/>
          <w:sz w:val="32"/>
          <w:szCs w:val="32"/>
        </w:rPr>
        <w:t>一、</w:t>
      </w:r>
      <w:r>
        <w:rPr>
          <w:rFonts w:eastAsia="方正仿宋_GBK"/>
          <w:bCs/>
          <w:sz w:val="32"/>
          <w:szCs w:val="32"/>
        </w:rPr>
        <w:t>并网接入调度自动化主站系统技术服务</w:t>
      </w:r>
      <w:r>
        <w:rPr>
          <w:rFonts w:hint="eastAsia" w:eastAsia="方正仿宋_GBK"/>
          <w:bCs/>
          <w:sz w:val="32"/>
          <w:szCs w:val="32"/>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协调开展EMS、TMR、OMS系统接入调度主站系统服务</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主站模型拼接</w:t>
      </w:r>
      <w:r>
        <w:rPr>
          <w:rFonts w:hint="eastAsia" w:ascii="Times New Roman" w:hAnsi="Times New Roman" w:eastAsia="方正仿宋_GBK" w:cs="Times New Roman"/>
          <w:bCs/>
          <w:sz w:val="32"/>
          <w:szCs w:val="32"/>
          <w:lang w:eastAsia="zh-CN"/>
        </w:rPr>
        <w:t>。</w:t>
      </w:r>
    </w:p>
    <w:p>
      <w:pPr>
        <w:pStyle w:val="61"/>
        <w:spacing w:line="400" w:lineRule="exact"/>
        <w:ind w:firstLine="640" w:firstLineChars="200"/>
        <w:rPr>
          <w:rFonts w:eastAsia="方正仿宋_GBK"/>
          <w:bCs/>
          <w:kern w:val="0"/>
          <w:sz w:val="32"/>
          <w:szCs w:val="32"/>
        </w:rPr>
      </w:pPr>
      <w:r>
        <w:rPr>
          <w:rFonts w:hint="eastAsia" w:eastAsia="方正仿宋_GBK"/>
          <w:bCs/>
          <w:kern w:val="0"/>
          <w:sz w:val="32"/>
          <w:szCs w:val="32"/>
        </w:rPr>
        <w:t>二、</w:t>
      </w:r>
      <w:r>
        <w:rPr>
          <w:rFonts w:ascii="Times New Roman" w:hAnsi="Times New Roman" w:eastAsia="方正仿宋_GBK"/>
          <w:bCs/>
          <w:kern w:val="0"/>
          <w:sz w:val="32"/>
          <w:szCs w:val="32"/>
        </w:rPr>
        <w:t>涪江干流梯级渠化双江航电枢纽工程电网接入二次咨询</w:t>
      </w:r>
      <w:r>
        <w:rPr>
          <w:rFonts w:hint="eastAsia" w:eastAsia="方正仿宋_GBK"/>
          <w:bCs/>
          <w:kern w:val="0"/>
          <w:sz w:val="32"/>
          <w:szCs w:val="32"/>
        </w:rPr>
        <w:t>工作：</w:t>
      </w:r>
    </w:p>
    <w:p>
      <w:pPr>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1、编制涉网安全技术方案。</w:t>
      </w:r>
    </w:p>
    <w:p>
      <w:pPr>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2、编制并入运行方式。</w:t>
      </w:r>
    </w:p>
    <w:p>
      <w:pPr>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3、编制继电保护参数配置标准。</w:t>
      </w:r>
    </w:p>
    <w:p>
      <w:pPr>
        <w:adjustRightInd w:val="0"/>
        <w:snapToGrid w:val="0"/>
        <w:spacing w:line="360" w:lineRule="auto"/>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4、编制调度自动化方案。</w:t>
      </w:r>
    </w:p>
    <w:p>
      <w:pPr>
        <w:adjustRightInd w:val="0"/>
        <w:snapToGrid w:val="0"/>
        <w:spacing w:line="360" w:lineRule="auto"/>
        <w:ind w:firstLine="640" w:firstLineChars="200"/>
        <w:rPr>
          <w:rFonts w:asciiTheme="minorEastAsia" w:hAnsiTheme="minorEastAsia" w:eastAsiaTheme="minorEastAsia" w:cstheme="minorEastAsia"/>
          <w:szCs w:val="21"/>
          <w:lang w:eastAsia="zh-CN"/>
        </w:rPr>
      </w:pPr>
      <w:r>
        <w:rPr>
          <w:rFonts w:hint="eastAsia" w:ascii="Times New Roman" w:hAnsi="Times New Roman" w:eastAsia="方正仿宋_GBK" w:cs="Times New Roman"/>
          <w:bCs/>
          <w:sz w:val="32"/>
          <w:szCs w:val="32"/>
          <w:lang w:eastAsia="zh-CN"/>
        </w:rPr>
        <w:t>5、编制工程调度通信方案</w:t>
      </w:r>
      <w:r>
        <w:rPr>
          <w:rFonts w:hint="eastAsia" w:asciiTheme="minorEastAsia" w:hAnsiTheme="minorEastAsia" w:eastAsiaTheme="minorEastAsia" w:cstheme="minorEastAsia"/>
          <w:szCs w:val="21"/>
          <w:lang w:eastAsia="zh-CN"/>
        </w:rPr>
        <w:t>。</w:t>
      </w:r>
    </w:p>
    <w:p>
      <w:pPr>
        <w:pStyle w:val="54"/>
      </w:pPr>
      <w:r>
        <w:rPr>
          <w:rFonts w:hint="eastAsia"/>
        </w:rPr>
        <w:t xml:space="preserve"> </w:t>
      </w:r>
      <w:r>
        <w:t xml:space="preserve">    </w:t>
      </w:r>
      <w:r>
        <w:rPr>
          <w:rFonts w:eastAsia="方正仿宋_GBK"/>
          <w:bCs/>
          <w:sz w:val="32"/>
          <w:szCs w:val="32"/>
        </w:rPr>
        <w:t xml:space="preserve"> 6</w:t>
      </w:r>
      <w:r>
        <w:rPr>
          <w:rFonts w:hint="eastAsia" w:eastAsia="方正仿宋_GBK"/>
          <w:bCs/>
          <w:sz w:val="32"/>
          <w:szCs w:val="32"/>
        </w:rPr>
        <w:t>、编制水情调度方案</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第二条 委托单位需提供的技术资料</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自本合同签订之日起三个有效工作日内甲方向乙方提交如下资料：</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1、提供发改委的批复及有关文件。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2、电厂一次接线图，设计报告。</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第三条 甲乙双方承担的主要工作及责任</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1、甲方承担的主要工作及责任：</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提供第二条所列的技术资料。</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2、乙方承担的主要工作及责任：</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（1）按本合同第一条所列内容，向甲方提交满足重庆电网要求的书面报告一式捌份;</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第四条  合同实施办法及完成期限</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涪江干流梯级渠化双江航电枢纽工程并网接入调度自动化主站系统技术服务</w:t>
      </w:r>
      <w:r>
        <w:rPr>
          <w:rFonts w:hint="eastAsia" w:ascii="Times New Roman" w:hAnsi="Times New Roman" w:eastAsia="方正仿宋_GBK" w:cs="Times New Roman"/>
          <w:bCs/>
          <w:sz w:val="32"/>
          <w:szCs w:val="32"/>
          <w:lang w:eastAsia="zh-CN"/>
        </w:rPr>
        <w:t>为合同签订之日起合同签订生效之日起至并网接入服务止；</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涪江干流梯级渠化双江航电枢纽工程电网接入二次咨询</w:t>
      </w:r>
      <w:r>
        <w:rPr>
          <w:rFonts w:hint="eastAsia" w:eastAsia="方正仿宋_GBK" w:cs="Times New Roman"/>
          <w:bCs/>
          <w:sz w:val="32"/>
          <w:szCs w:val="32"/>
          <w:lang w:eastAsia="zh-CN"/>
        </w:rPr>
        <w:t>工作为</w:t>
      </w:r>
      <w:r>
        <w:rPr>
          <w:rFonts w:hint="eastAsia" w:ascii="Times New Roman" w:hAnsi="Times New Roman" w:eastAsia="方正仿宋_GBK" w:cs="Times New Roman"/>
          <w:bCs/>
          <w:sz w:val="32"/>
          <w:szCs w:val="32"/>
          <w:lang w:eastAsia="zh-CN"/>
        </w:rPr>
        <w:t>90个有效工作日内，乙方向甲方提交咨询报告初审稿，评审后10个有效工作日内提交专家最终审定报告。</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第五条 咨询经费及支付方式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1、合同总价为人民币</w:t>
      </w:r>
      <w:r>
        <w:rPr>
          <w:rFonts w:hint="eastAsia" w:ascii="Times New Roman" w:hAnsi="Times New Roman" w:eastAsia="方正仿宋_GBK" w:cs="Times New Roman"/>
          <w:bCs/>
          <w:sz w:val="32"/>
          <w:szCs w:val="32"/>
          <w:u w:val="single"/>
          <w:lang w:eastAsia="zh-CN"/>
        </w:rPr>
        <w:t xml:space="preserve">        </w:t>
      </w:r>
      <w:r>
        <w:rPr>
          <w:rFonts w:hint="eastAsia" w:ascii="Times New Roman" w:hAnsi="Times New Roman" w:eastAsia="方正仿宋_GBK" w:cs="Times New Roman"/>
          <w:bCs/>
          <w:sz w:val="32"/>
          <w:szCs w:val="32"/>
          <w:lang w:eastAsia="zh-CN"/>
        </w:rPr>
        <w:t>元（大写：     ），此费用作为技术咨询费包干使用,包含报告印刷装订费、专家费、会务费、评审费、交通费、税费、合理利润等一切费用。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2、乙方出具的咨询报告报，并获专家评审会审批通过并提供等额的增值税专用发票给甲方后，甲方15天内一次性付给乙方所有合同金额。</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第五条 验收办法及标准</w:t>
      </w:r>
    </w:p>
    <w:p>
      <w:pPr>
        <w:spacing w:line="510" w:lineRule="exact"/>
        <w:ind w:firstLine="640" w:firstLineChars="200"/>
        <w:jc w:val="both"/>
        <w:rPr>
          <w:sz w:val="32"/>
          <w:szCs w:val="32"/>
          <w:lang w:eastAsia="zh-CN"/>
        </w:rPr>
      </w:pPr>
      <w:r>
        <w:rPr>
          <w:rFonts w:hint="eastAsia" w:ascii="Times New Roman" w:hAnsi="Times New Roman" w:eastAsia="方正仿宋_GBK" w:cs="Times New Roman"/>
          <w:bCs/>
          <w:sz w:val="32"/>
          <w:szCs w:val="32"/>
          <w:lang w:eastAsia="zh-CN"/>
        </w:rPr>
        <w:t>咨询报告由组织专家评审会议评审方式验收。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 xml:space="preserve">第六条 其他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 xml:space="preserve">  1、本合同一式捌份，甲乙双方各持肆份。本合同自甲、乙双方签字盖章之日起生效。</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 xml:space="preserve"> 2、对本合同如有修改意见，经甲乙双方协商后可补充修订，并填写“合同修改意见书”。经甲乙双方签字后生效，作为正式合同的补充。</w:t>
      </w:r>
    </w:p>
    <w:p>
      <w:pPr>
        <w:spacing w:line="510" w:lineRule="exact"/>
        <w:ind w:firstLine="640" w:firstLineChars="200"/>
        <w:jc w:val="both"/>
        <w:rPr>
          <w:rFonts w:ascii="Times New Roman" w:hAnsi="Times New Roman" w:eastAsia="方正仿宋_GBK" w:cs="Times New Roman"/>
          <w:bCs/>
          <w:sz w:val="32"/>
          <w:szCs w:val="32"/>
          <w:lang w:val="zh-CN" w:eastAsia="zh-CN"/>
        </w:rPr>
      </w:pPr>
    </w:p>
    <w:p>
      <w:pPr>
        <w:spacing w:line="510" w:lineRule="exact"/>
        <w:ind w:firstLine="640" w:firstLineChars="200"/>
        <w:jc w:val="both"/>
        <w:rPr>
          <w:rFonts w:ascii="Times New Roman" w:hAnsi="Times New Roman" w:eastAsia="方正仿宋_GBK" w:cs="Times New Roman"/>
          <w:bCs/>
          <w:sz w:val="32"/>
          <w:szCs w:val="32"/>
          <w:lang w:val="zh-CN" w:eastAsia="zh-CN"/>
        </w:rPr>
      </w:pPr>
    </w:p>
    <w:p>
      <w:pPr>
        <w:spacing w:line="510" w:lineRule="exact"/>
        <w:ind w:firstLine="640" w:firstLineChars="200"/>
        <w:jc w:val="both"/>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 xml:space="preserve">发包人：                        承包人：                     </w:t>
      </w:r>
    </w:p>
    <w:p>
      <w:pPr>
        <w:spacing w:line="510" w:lineRule="exact"/>
        <w:ind w:firstLine="640" w:firstLineChars="200"/>
        <w:jc w:val="both"/>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法定代表人：                    法定代表人：</w:t>
      </w:r>
    </w:p>
    <w:p>
      <w:pPr>
        <w:spacing w:line="510" w:lineRule="exact"/>
        <w:ind w:firstLine="640" w:firstLineChars="200"/>
        <w:jc w:val="both"/>
        <w:rPr>
          <w:rFonts w:ascii="Times New Roman" w:hAnsi="Times New Roman" w:eastAsia="方正仿宋_GBK" w:cs="Times New Roman"/>
          <w:bCs/>
          <w:sz w:val="32"/>
          <w:szCs w:val="32"/>
          <w:lang w:val="zh-CN" w:eastAsia="zh-CN"/>
        </w:rPr>
      </w:pPr>
      <w:r>
        <w:rPr>
          <w:rFonts w:ascii="Times New Roman" w:hAnsi="Times New Roman" w:eastAsia="方正仿宋_GBK" w:cs="Times New Roman"/>
          <w:bCs/>
          <w:sz w:val="32"/>
          <w:szCs w:val="32"/>
          <w:lang w:val="zh-CN" w:eastAsia="zh-CN"/>
        </w:rPr>
        <w:t>或其授权的代理人：</w:t>
      </w:r>
      <w:r>
        <w:rPr>
          <w:rFonts w:ascii="Times New Roman" w:hAnsi="Times New Roman" w:eastAsia="方正仿宋_GBK" w:cs="Times New Roman"/>
          <w:bCs/>
          <w:sz w:val="32"/>
          <w:szCs w:val="32"/>
          <w:lang w:val="zh-CN" w:eastAsia="zh-CN"/>
        </w:rPr>
        <w:tab/>
      </w:r>
      <w:r>
        <w:rPr>
          <w:rFonts w:ascii="Times New Roman" w:hAnsi="Times New Roman" w:eastAsia="方正仿宋_GBK" w:cs="Times New Roman"/>
          <w:bCs/>
          <w:sz w:val="32"/>
          <w:szCs w:val="32"/>
          <w:lang w:val="zh-CN" w:eastAsia="zh-CN"/>
        </w:rPr>
        <w:t xml:space="preserve">            或其授权的代理人：</w:t>
      </w:r>
    </w:p>
    <w:p>
      <w:pPr>
        <w:spacing w:line="510" w:lineRule="exact"/>
        <w:ind w:firstLine="640" w:firstLineChars="200"/>
        <w:jc w:val="both"/>
        <w:rPr>
          <w:rFonts w:ascii="Times New Roman" w:hAnsi="Times New Roman" w:eastAsia="方正仿宋_GBK" w:cs="Times New Roman"/>
          <w:bCs/>
          <w:sz w:val="32"/>
          <w:szCs w:val="32"/>
          <w:lang w:val="zh-CN"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val="zh-CN" w:eastAsia="zh-CN"/>
        </w:rPr>
        <w:t>发包人监督单位：                承包人监督单位：</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3"/>
        <w:ind w:left="440"/>
        <w:sectPr>
          <w:footerReference r:id="rId6" w:type="first"/>
          <w:headerReference r:id="rId5" w:type="default"/>
          <w:pgSz w:w="11907" w:h="16840"/>
          <w:pgMar w:top="1440" w:right="1797" w:bottom="1440" w:left="1797" w:header="851" w:footer="964" w:gutter="0"/>
          <w:cols w:space="720" w:num="1"/>
          <w:titlePg/>
          <w:docGrid w:linePitch="326" w:charSpace="0"/>
        </w:sectPr>
      </w:pPr>
    </w:p>
    <w:p>
      <w:p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bookmarkStart w:id="31" w:name="_Toc2006"/>
      <w:r>
        <w:rPr>
          <w:rFonts w:hint="eastAsia" w:ascii="Times New Roman" w:hAnsi="Times New Roman" w:eastAsia="方正小标宋_GBK" w:cs="Times New Roman"/>
          <w:bCs/>
          <w:sz w:val="44"/>
          <w:szCs w:val="44"/>
          <w:lang w:eastAsia="zh-CN"/>
        </w:rPr>
        <w:t xml:space="preserve">第三章 </w:t>
      </w:r>
      <w:r>
        <w:rPr>
          <w:rFonts w:ascii="Times New Roman" w:hAnsi="Times New Roman" w:eastAsia="方正小标宋_GBK" w:cs="Times New Roman"/>
          <w:bCs/>
          <w:sz w:val="44"/>
          <w:szCs w:val="44"/>
          <w:lang w:val="zh-CN" w:eastAsia="zh-CN"/>
        </w:rPr>
        <w:t>报价文件格式</w:t>
      </w:r>
      <w:bookmarkEnd w:id="31"/>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t>涪江干流梯级渠化双江航电枢纽工程</w:t>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电网接入二次咨询及并网接入调度自动化主站系统技术服务项目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2021年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0"/>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32"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32"/>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33" w:name="_Toc18141"/>
      <w:bookmarkStart w:id="34" w:name="bookmark292"/>
      <w:bookmarkStart w:id="35" w:name="_Toc29194793"/>
      <w:bookmarkStart w:id="36" w:name="_Toc10710824"/>
      <w:r>
        <w:rPr>
          <w:rFonts w:ascii="Times New Roman" w:hAnsi="Times New Roman" w:eastAsia="方正小标宋_GBK" w:cs="Times New Roman"/>
          <w:sz w:val="44"/>
          <w:szCs w:val="44"/>
        </w:rPr>
        <w:t>一、法定代表人身份证明或授权委托书</w:t>
      </w:r>
      <w:bookmarkEnd w:id="33"/>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37" w:name="_Toc1273"/>
      <w:r>
        <w:rPr>
          <w:rFonts w:ascii="Times New Roman" w:hAnsi="Times New Roman" w:eastAsia="方正小标宋_GBK" w:cs="Times New Roman"/>
          <w:sz w:val="44"/>
          <w:szCs w:val="44"/>
        </w:rPr>
        <w:t>二、报价函</w:t>
      </w:r>
      <w:bookmarkEnd w:id="34"/>
      <w:bookmarkEnd w:id="35"/>
      <w:bookmarkEnd w:id="36"/>
      <w:bookmarkEnd w:id="37"/>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38" w:name="bookmark29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bookmarkEnd w:id="38"/>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6.我方在此声明，所递交的报价文件及有关资料内容完整、真实和准确。</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sz w:val="44"/>
          <w:szCs w:val="44"/>
        </w:rPr>
      </w:pPr>
      <w:r>
        <w:rPr>
          <w:rFonts w:ascii="Times New Roman" w:hAnsi="Times New Roman" w:cs="Times New Roman"/>
          <w:szCs w:val="21"/>
          <w:u w:val="single"/>
        </w:rPr>
        <w:br w:type="page"/>
      </w:r>
      <w:bookmarkStart w:id="39" w:name="_Toc29194794"/>
      <w:bookmarkStart w:id="40" w:name="_Toc10710825"/>
      <w:bookmarkStart w:id="41" w:name="_Toc27840"/>
      <w:r>
        <w:rPr>
          <w:rFonts w:ascii="Times New Roman" w:hAnsi="Times New Roman" w:eastAsia="方正小标宋_GBK" w:cs="Times New Roman"/>
          <w:sz w:val="44"/>
          <w:szCs w:val="44"/>
        </w:rPr>
        <w:t>三</w:t>
      </w:r>
      <w:r>
        <w:rPr>
          <w:rStyle w:val="181"/>
          <w:rFonts w:ascii="Times New Roman" w:hAnsi="Times New Roman" w:eastAsia="方正小标宋_GBK" w:cs="Times New Roman"/>
          <w:sz w:val="44"/>
          <w:szCs w:val="44"/>
        </w:rPr>
        <w:t>、报价表</w:t>
      </w:r>
      <w:bookmarkEnd w:id="39"/>
      <w:bookmarkEnd w:id="40"/>
      <w:bookmarkEnd w:id="41"/>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Times New Roman" w:hAnsi="Times New Roman" w:eastAsia="方正仿宋_GBK" w:cs="Times New Roman"/>
          <w:bCs/>
          <w:sz w:val="32"/>
          <w:szCs w:val="32"/>
          <w:lang w:eastAsia="zh-CN"/>
        </w:rPr>
        <w:t>包含报告编制费、印刷装订费、专家费、会务费、评审费、交通费、税费、合理利润等一切费用，</w:t>
      </w:r>
      <w:r>
        <w:rPr>
          <w:rFonts w:ascii="Times New Roman" w:hAnsi="Times New Roman" w:eastAsia="方正仿宋_GBK" w:cs="Times New Roman"/>
          <w:sz w:val="32"/>
          <w:szCs w:val="32"/>
          <w:lang w:eastAsia="zh-CN"/>
        </w:rPr>
        <w:t>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numPr>
          <w:ilvl w:val="0"/>
          <w:numId w:val="2"/>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764"/>
        <w:gridCol w:w="5891"/>
        <w:gridCol w:w="791"/>
        <w:gridCol w:w="1077"/>
      </w:tblGrid>
      <w:tr>
        <w:tblPrEx>
          <w:tblCellMar>
            <w:top w:w="0" w:type="dxa"/>
            <w:left w:w="108" w:type="dxa"/>
            <w:bottom w:w="0" w:type="dxa"/>
            <w:right w:w="108" w:type="dxa"/>
          </w:tblCellMar>
        </w:tblPrEx>
        <w:trPr>
          <w:trHeight w:val="397" w:hRule="atLeast"/>
          <w:tblHeader/>
          <w:jc w:val="center"/>
        </w:trPr>
        <w:tc>
          <w:tcPr>
            <w:tcW w:w="764"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bookmarkStart w:id="42" w:name="_Toc148779982"/>
            <w:bookmarkStart w:id="43" w:name="_Toc148863269"/>
            <w:bookmarkStart w:id="44" w:name="_Toc150847038"/>
            <w:r>
              <w:rPr>
                <w:rFonts w:ascii="Times New Roman" w:hAnsi="Times New Roman" w:cs="Times New Roman"/>
                <w:shd w:val="clear" w:color="auto" w:fill="FFFFFF"/>
              </w:rPr>
              <w:t>编号</w:t>
            </w:r>
          </w:p>
        </w:tc>
        <w:tc>
          <w:tcPr>
            <w:tcW w:w="5891"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791"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价格</w:t>
            </w:r>
          </w:p>
        </w:tc>
        <w:tc>
          <w:tcPr>
            <w:tcW w:w="10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sz w:val="22"/>
                <w:szCs w:val="22"/>
                <w:shd w:val="clear" w:color="auto" w:fill="FFFFFF"/>
              </w:rPr>
              <w:t>1</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sz w:val="22"/>
                <w:szCs w:val="22"/>
                <w:shd w:val="clear" w:color="auto" w:fill="FFFFFF"/>
              </w:rPr>
              <w:t>并网接入调度自动化主站系统技术服务</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1.1</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sz w:val="22"/>
                <w:szCs w:val="22"/>
                <w:shd w:val="clear" w:color="auto" w:fill="FFFFFF"/>
              </w:rPr>
              <w:t>协调开展EMS、TMR、OMS系统接入调度主站系统服务</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1.2</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sz w:val="22"/>
                <w:szCs w:val="22"/>
                <w:shd w:val="clear" w:color="auto" w:fill="FFFFFF"/>
              </w:rPr>
              <w:t>主站模型拼接</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2</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sz w:val="22"/>
                <w:szCs w:val="22"/>
                <w:shd w:val="clear" w:color="auto" w:fill="FFFFFF"/>
              </w:rPr>
              <w:t>涪江干流梯级渠化双江航电枢纽工程电网接入二次咨询</w:t>
            </w:r>
            <w:r>
              <w:rPr>
                <w:rFonts w:hint="eastAsia"/>
                <w:sz w:val="22"/>
                <w:szCs w:val="22"/>
                <w:shd w:val="clear" w:color="auto" w:fill="FFFFFF"/>
              </w:rPr>
              <w:t>工作</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2.1</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sz w:val="22"/>
                <w:szCs w:val="22"/>
                <w:shd w:val="clear" w:color="auto" w:fill="FFFFFF"/>
              </w:rPr>
              <w:t>编制涉网安全技术方案</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2.2</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编制并入运行方式</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2.3</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编制继电保护参数配置标准</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2.4</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编制调度自动化方案</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2.5</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编制工程调度通信方案</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2</w:t>
            </w:r>
            <w:r>
              <w:rPr>
                <w:sz w:val="22"/>
                <w:szCs w:val="22"/>
                <w:shd w:val="clear" w:color="auto" w:fill="FFFFFF"/>
              </w:rPr>
              <w:t>.6</w:t>
            </w: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rFonts w:hint="eastAsia"/>
                <w:sz w:val="22"/>
                <w:szCs w:val="22"/>
                <w:shd w:val="clear" w:color="auto" w:fill="FFFFFF"/>
              </w:rPr>
              <w:t>编制水情调度方案</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tr>
        <w:tblPrEx>
          <w:tblCellMar>
            <w:top w:w="0" w:type="dxa"/>
            <w:left w:w="108" w:type="dxa"/>
            <w:bottom w:w="0" w:type="dxa"/>
            <w:right w:w="108" w:type="dxa"/>
          </w:tblCellMar>
        </w:tblPrEx>
        <w:trPr>
          <w:trHeight w:val="397" w:hRule="atLeast"/>
          <w:jc w:val="center"/>
        </w:trPr>
        <w:tc>
          <w:tcPr>
            <w:tcW w:w="764" w:type="dxa"/>
            <w:tcBorders>
              <w:top w:val="nil"/>
              <w:left w:val="single" w:color="auto" w:sz="8" w:space="0"/>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58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r>
              <w:rPr>
                <w:sz w:val="22"/>
                <w:szCs w:val="22"/>
                <w:shd w:val="clear" w:color="auto" w:fill="FFFFFF"/>
              </w:rPr>
              <w:t>总价</w:t>
            </w:r>
          </w:p>
        </w:tc>
        <w:tc>
          <w:tcPr>
            <w:tcW w:w="791"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c>
          <w:tcPr>
            <w:tcW w:w="1077" w:type="dxa"/>
            <w:tcBorders>
              <w:top w:val="nil"/>
              <w:left w:val="nil"/>
              <w:bottom w:val="single" w:color="auto" w:sz="8" w:space="0"/>
              <w:right w:val="single" w:color="auto" w:sz="8" w:space="0"/>
              <w:tl2br w:val="nil"/>
              <w:tr2bl w:val="nil"/>
            </w:tcBorders>
            <w:shd w:val="clear" w:color="auto" w:fill="auto"/>
            <w:vAlign w:val="center"/>
          </w:tcPr>
          <w:p>
            <w:pPr>
              <w:pStyle w:val="54"/>
              <w:rPr>
                <w:sz w:val="22"/>
                <w:szCs w:val="22"/>
                <w:shd w:val="clear" w:color="auto" w:fill="FFFFFF"/>
              </w:rPr>
            </w:pPr>
          </w:p>
        </w:tc>
      </w:tr>
      <w:bookmarkEnd w:id="42"/>
      <w:bookmarkEnd w:id="43"/>
      <w:bookmarkEnd w:id="44"/>
    </w:tbl>
    <w:p>
      <w:pPr>
        <w:pStyle w:val="74"/>
        <w:spacing w:line="360" w:lineRule="auto"/>
        <w:ind w:left="800"/>
        <w:rPr>
          <w:rFonts w:ascii="Times New Roman" w:hAnsi="Times New Roman" w:cs="Times New Roman"/>
          <w:szCs w:val="21"/>
          <w:lang w:eastAsia="zh-CN"/>
        </w:rPr>
      </w:pPr>
    </w:p>
    <w:p>
      <w:pPr>
        <w:pStyle w:val="74"/>
        <w:spacing w:line="360" w:lineRule="auto"/>
        <w:ind w:left="800"/>
        <w:rPr>
          <w:rFonts w:ascii="Times New Roman" w:hAnsi="Times New Roman" w:cs="Times New Roman"/>
          <w:szCs w:val="21"/>
          <w:lang w:eastAsia="zh-CN"/>
        </w:rPr>
      </w:pPr>
      <w:r>
        <w:rPr>
          <w:rFonts w:ascii="Times New Roman" w:hAnsi="Times New Roman" w:cs="Times New Roman"/>
          <w:szCs w:val="21"/>
          <w:lang w:eastAsia="zh-CN"/>
        </w:rPr>
        <w:t>说明：</w:t>
      </w:r>
    </w:p>
    <w:p>
      <w:pPr>
        <w:pStyle w:val="74"/>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widowControl/>
        <w:rPr>
          <w:rFonts w:ascii="Times New Roman" w:hAnsi="Times New Roman" w:cs="Times New Roman"/>
          <w:szCs w:val="21"/>
          <w:lang w:eastAsia="zh-CN"/>
        </w:rPr>
      </w:pPr>
    </w:p>
    <w:p>
      <w:pPr>
        <w:rPr>
          <w:rFonts w:ascii="Times New Roman" w:hAnsi="Times New Roman" w:cs="Times New Roman"/>
          <w:lang w:eastAsia="zh-CN"/>
        </w:rPr>
      </w:pP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cs="Times New Roman"/>
        </w:rPr>
        <w:br w:type="page"/>
      </w:r>
      <w:bookmarkStart w:id="45" w:name="_Toc21510"/>
      <w:r>
        <w:rPr>
          <w:rFonts w:ascii="Times New Roman" w:hAnsi="Times New Roman" w:eastAsia="方正小标宋_GBK" w:cs="Times New Roman"/>
          <w:sz w:val="44"/>
          <w:szCs w:val="44"/>
        </w:rPr>
        <w:t>四、资格审查资料</w:t>
      </w:r>
      <w:bookmarkEnd w:id="45"/>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重庆双江航运发展有限公司</w:t>
      </w:r>
      <w:r>
        <w:rPr>
          <w:rFonts w:ascii="Times New Roman" w:hAnsi="Times New Roman" w:eastAsia="方正仿宋_GBK" w:cs="Times New Roman"/>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ascii="Times New Roman" w:hAnsi="Times New Roman" w:eastAsia="方正仿宋_GBK" w:cs="Times New Roman"/>
          <w:i/>
          <w:iCs/>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eastAsia="zh-CN"/>
        </w:rPr>
        <w:t>其他：</w:t>
      </w:r>
      <w:r>
        <w:rPr>
          <w:rFonts w:hint="eastAsia" w:ascii="Times New Roman" w:hAnsi="Times New Roman" w:eastAsia="方正仿宋_GBK" w:cs="Times New Roman"/>
          <w:i/>
          <w:iCs/>
          <w:sz w:val="32"/>
          <w:szCs w:val="32"/>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46" w:name="_Toc29589"/>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End w:id="46"/>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47" w:name="_Toc16695"/>
      <w:r>
        <w:rPr>
          <w:rFonts w:ascii="Times New Roman" w:hAnsi="Times New Roman" w:eastAsia="方正小标宋_GBK" w:cs="Times New Roman"/>
          <w:sz w:val="44"/>
          <w:szCs w:val="44"/>
        </w:rPr>
        <w:t>六、其他资料</w:t>
      </w:r>
      <w:bookmarkEnd w:id="47"/>
    </w:p>
    <w:sectPr>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BD30CF-D76D-4780-A42E-6070B7AFA0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4E0D6D0C-2F05-4DCE-920A-C77463CE82B5}"/>
  </w:font>
  <w:font w:name="Segoe UI">
    <w:panose1 w:val="020B0502040204020203"/>
    <w:charset w:val="00"/>
    <w:family w:val="auto"/>
    <w:pitch w:val="default"/>
    <w:sig w:usb0="E4002EFF" w:usb1="C000E47F"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embedRegular r:id="rId3" w:fontKey="{5617155F-BBB8-48A5-A9FE-EA7D2B86A89A}"/>
  </w:font>
  <w:font w:name="仿宋">
    <w:panose1 w:val="02010609060101010101"/>
    <w:charset w:val="86"/>
    <w:family w:val="auto"/>
    <w:pitch w:val="default"/>
    <w:sig w:usb0="800002BF" w:usb1="38CF7CFA" w:usb2="00000016" w:usb3="00000000" w:csb0="00040001" w:csb1="00000000"/>
  </w:font>
  <w:font w:name="Calibri Light">
    <w:altName w:val="Segoe Print"/>
    <w:panose1 w:val="020F030202020403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embedRegular r:id="rId4" w:fontKey="{503C76DA-0028-49D4-A1B0-FB6E600E04B4}"/>
  </w:font>
  <w:font w:name="方正仿宋_GBK">
    <w:panose1 w:val="03000509000000000000"/>
    <w:charset w:val="86"/>
    <w:family w:val="script"/>
    <w:pitch w:val="default"/>
    <w:sig w:usb0="00000001" w:usb1="080E0000" w:usb2="00000000" w:usb3="00000000" w:csb0="00040000" w:csb1="00000000"/>
    <w:embedRegular r:id="rId5" w:fontKey="{64BF8A6C-7F77-490B-96D6-05D370B0C2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35468"/>
    <w:multiLevelType w:val="singleLevel"/>
    <w:tmpl w:val="C3D35468"/>
    <w:lvl w:ilvl="0" w:tentative="0">
      <w:start w:val="1"/>
      <w:numFmt w:val="decimal"/>
      <w:lvlText w:val="%1."/>
      <w:lvlJc w:val="left"/>
      <w:pPr>
        <w:ind w:left="425" w:hanging="425"/>
      </w:pPr>
      <w:rPr>
        <w:rFonts w:hint="default"/>
      </w:rPr>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NTdlMmVkNWFiMjE2NDVkNzQ5M2U4MDgxZmY5MDgifQ=="/>
  </w:docVars>
  <w:rsids>
    <w:rsidRoot w:val="00F03D31"/>
    <w:rsid w:val="000038E9"/>
    <w:rsid w:val="00005A70"/>
    <w:rsid w:val="0001753D"/>
    <w:rsid w:val="0002442F"/>
    <w:rsid w:val="000251A1"/>
    <w:rsid w:val="000331F9"/>
    <w:rsid w:val="00057290"/>
    <w:rsid w:val="00057F05"/>
    <w:rsid w:val="00062D78"/>
    <w:rsid w:val="00074C1E"/>
    <w:rsid w:val="000767C9"/>
    <w:rsid w:val="00084DCF"/>
    <w:rsid w:val="00085E4F"/>
    <w:rsid w:val="00086A70"/>
    <w:rsid w:val="00087E0E"/>
    <w:rsid w:val="00097E36"/>
    <w:rsid w:val="000A428E"/>
    <w:rsid w:val="000A7FFC"/>
    <w:rsid w:val="000C7211"/>
    <w:rsid w:val="000C79E0"/>
    <w:rsid w:val="000E6BC3"/>
    <w:rsid w:val="000F20F1"/>
    <w:rsid w:val="000F469F"/>
    <w:rsid w:val="0012189F"/>
    <w:rsid w:val="001235AA"/>
    <w:rsid w:val="00127C24"/>
    <w:rsid w:val="00130137"/>
    <w:rsid w:val="00132946"/>
    <w:rsid w:val="00132B89"/>
    <w:rsid w:val="001341CD"/>
    <w:rsid w:val="00136BCF"/>
    <w:rsid w:val="00136F65"/>
    <w:rsid w:val="00137FB3"/>
    <w:rsid w:val="00144C49"/>
    <w:rsid w:val="00146175"/>
    <w:rsid w:val="0015184C"/>
    <w:rsid w:val="0016002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D6918"/>
    <w:rsid w:val="002254F8"/>
    <w:rsid w:val="00231682"/>
    <w:rsid w:val="00242096"/>
    <w:rsid w:val="0025197B"/>
    <w:rsid w:val="00271947"/>
    <w:rsid w:val="00271E7B"/>
    <w:rsid w:val="00272B09"/>
    <w:rsid w:val="00273C5E"/>
    <w:rsid w:val="00280858"/>
    <w:rsid w:val="0028235A"/>
    <w:rsid w:val="00282B9C"/>
    <w:rsid w:val="002830AD"/>
    <w:rsid w:val="00286FB5"/>
    <w:rsid w:val="002A0EEA"/>
    <w:rsid w:val="002B0E14"/>
    <w:rsid w:val="002B1CC7"/>
    <w:rsid w:val="002B733C"/>
    <w:rsid w:val="002C017D"/>
    <w:rsid w:val="002C367E"/>
    <w:rsid w:val="002D79B9"/>
    <w:rsid w:val="002F11A2"/>
    <w:rsid w:val="0030195D"/>
    <w:rsid w:val="003318FF"/>
    <w:rsid w:val="00347BB9"/>
    <w:rsid w:val="00363759"/>
    <w:rsid w:val="00366236"/>
    <w:rsid w:val="00372CBF"/>
    <w:rsid w:val="00373ACB"/>
    <w:rsid w:val="00386752"/>
    <w:rsid w:val="003916BA"/>
    <w:rsid w:val="003B53AF"/>
    <w:rsid w:val="003D31A3"/>
    <w:rsid w:val="003D654C"/>
    <w:rsid w:val="003D6A6E"/>
    <w:rsid w:val="003F25E7"/>
    <w:rsid w:val="003F6525"/>
    <w:rsid w:val="00433D93"/>
    <w:rsid w:val="004366EC"/>
    <w:rsid w:val="004368D7"/>
    <w:rsid w:val="0044139A"/>
    <w:rsid w:val="004459DC"/>
    <w:rsid w:val="0047681C"/>
    <w:rsid w:val="004813B0"/>
    <w:rsid w:val="00487786"/>
    <w:rsid w:val="00492232"/>
    <w:rsid w:val="004A39FE"/>
    <w:rsid w:val="004B5725"/>
    <w:rsid w:val="004C2A3A"/>
    <w:rsid w:val="004C31A4"/>
    <w:rsid w:val="004C7BEC"/>
    <w:rsid w:val="004D53C6"/>
    <w:rsid w:val="004E164E"/>
    <w:rsid w:val="004E25DC"/>
    <w:rsid w:val="004E2FC4"/>
    <w:rsid w:val="004E3153"/>
    <w:rsid w:val="004E71E2"/>
    <w:rsid w:val="004F1F4E"/>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D347D"/>
    <w:rsid w:val="006F44D9"/>
    <w:rsid w:val="00716ACB"/>
    <w:rsid w:val="0072494D"/>
    <w:rsid w:val="007301BE"/>
    <w:rsid w:val="00731204"/>
    <w:rsid w:val="007330BF"/>
    <w:rsid w:val="00734609"/>
    <w:rsid w:val="007401F3"/>
    <w:rsid w:val="007416FD"/>
    <w:rsid w:val="00743D8B"/>
    <w:rsid w:val="00747904"/>
    <w:rsid w:val="007510DD"/>
    <w:rsid w:val="00756A35"/>
    <w:rsid w:val="00760D07"/>
    <w:rsid w:val="00770194"/>
    <w:rsid w:val="007824B9"/>
    <w:rsid w:val="00784B99"/>
    <w:rsid w:val="007A55C4"/>
    <w:rsid w:val="007B06B2"/>
    <w:rsid w:val="007B3403"/>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35F3D"/>
    <w:rsid w:val="00964B91"/>
    <w:rsid w:val="00970ED6"/>
    <w:rsid w:val="00972AA1"/>
    <w:rsid w:val="009768C4"/>
    <w:rsid w:val="00996613"/>
    <w:rsid w:val="00997F0E"/>
    <w:rsid w:val="009B2376"/>
    <w:rsid w:val="009C11BB"/>
    <w:rsid w:val="009C1DD9"/>
    <w:rsid w:val="009C523E"/>
    <w:rsid w:val="009D1FF4"/>
    <w:rsid w:val="009D6466"/>
    <w:rsid w:val="009E4EFE"/>
    <w:rsid w:val="009E5716"/>
    <w:rsid w:val="00A16B71"/>
    <w:rsid w:val="00A30093"/>
    <w:rsid w:val="00A302F4"/>
    <w:rsid w:val="00A3706B"/>
    <w:rsid w:val="00A6325C"/>
    <w:rsid w:val="00A668FA"/>
    <w:rsid w:val="00A7014D"/>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96BD0"/>
    <w:rsid w:val="00BA192C"/>
    <w:rsid w:val="00BA1BF8"/>
    <w:rsid w:val="00BC1405"/>
    <w:rsid w:val="00BC69E2"/>
    <w:rsid w:val="00BF5A16"/>
    <w:rsid w:val="00C01152"/>
    <w:rsid w:val="00C23423"/>
    <w:rsid w:val="00C2706D"/>
    <w:rsid w:val="00C36243"/>
    <w:rsid w:val="00C4631C"/>
    <w:rsid w:val="00C473BB"/>
    <w:rsid w:val="00C51604"/>
    <w:rsid w:val="00C667E9"/>
    <w:rsid w:val="00C806ED"/>
    <w:rsid w:val="00C92862"/>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4B7B"/>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B47F5"/>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ED687B"/>
    <w:rsid w:val="035F3318"/>
    <w:rsid w:val="038568FD"/>
    <w:rsid w:val="048A3FA3"/>
    <w:rsid w:val="04C75BA9"/>
    <w:rsid w:val="0636605F"/>
    <w:rsid w:val="067A2C61"/>
    <w:rsid w:val="08651193"/>
    <w:rsid w:val="08F93D5B"/>
    <w:rsid w:val="09CD7F8F"/>
    <w:rsid w:val="0BB95CD2"/>
    <w:rsid w:val="0BFE4292"/>
    <w:rsid w:val="0C384F52"/>
    <w:rsid w:val="0CD07E15"/>
    <w:rsid w:val="0CFA4A65"/>
    <w:rsid w:val="0ED43374"/>
    <w:rsid w:val="0FB66909"/>
    <w:rsid w:val="10A81391"/>
    <w:rsid w:val="117A6EEF"/>
    <w:rsid w:val="13B86C2F"/>
    <w:rsid w:val="13E05FAA"/>
    <w:rsid w:val="14295DAF"/>
    <w:rsid w:val="142A7E51"/>
    <w:rsid w:val="159E24E8"/>
    <w:rsid w:val="161D0DD8"/>
    <w:rsid w:val="162417DF"/>
    <w:rsid w:val="16A76DEE"/>
    <w:rsid w:val="17AC5B95"/>
    <w:rsid w:val="198130EF"/>
    <w:rsid w:val="19AE416C"/>
    <w:rsid w:val="19DD43BA"/>
    <w:rsid w:val="1A4B45F5"/>
    <w:rsid w:val="1AEB3291"/>
    <w:rsid w:val="1C7C3A22"/>
    <w:rsid w:val="1CEB3111"/>
    <w:rsid w:val="1D1E25DF"/>
    <w:rsid w:val="1D652848"/>
    <w:rsid w:val="1DD736C3"/>
    <w:rsid w:val="21097C41"/>
    <w:rsid w:val="21CC3BA7"/>
    <w:rsid w:val="22102401"/>
    <w:rsid w:val="225F66E0"/>
    <w:rsid w:val="228765EB"/>
    <w:rsid w:val="241174C5"/>
    <w:rsid w:val="24304B96"/>
    <w:rsid w:val="24430E72"/>
    <w:rsid w:val="24B738C2"/>
    <w:rsid w:val="24C2604C"/>
    <w:rsid w:val="255178E6"/>
    <w:rsid w:val="255E1927"/>
    <w:rsid w:val="25FA0158"/>
    <w:rsid w:val="26710645"/>
    <w:rsid w:val="26A91696"/>
    <w:rsid w:val="272F2851"/>
    <w:rsid w:val="27822445"/>
    <w:rsid w:val="279C6923"/>
    <w:rsid w:val="27BD1AEB"/>
    <w:rsid w:val="28FC289D"/>
    <w:rsid w:val="2914405B"/>
    <w:rsid w:val="29156EF2"/>
    <w:rsid w:val="29F41DD0"/>
    <w:rsid w:val="2A862EE9"/>
    <w:rsid w:val="2BF539B5"/>
    <w:rsid w:val="2C61237F"/>
    <w:rsid w:val="2CFC72DD"/>
    <w:rsid w:val="2D280A7E"/>
    <w:rsid w:val="2E9C38F2"/>
    <w:rsid w:val="2F627A4C"/>
    <w:rsid w:val="319A23E2"/>
    <w:rsid w:val="32614495"/>
    <w:rsid w:val="328937F3"/>
    <w:rsid w:val="33C12EDA"/>
    <w:rsid w:val="33C83BC3"/>
    <w:rsid w:val="35153592"/>
    <w:rsid w:val="351C255A"/>
    <w:rsid w:val="35996867"/>
    <w:rsid w:val="35A32920"/>
    <w:rsid w:val="387B5356"/>
    <w:rsid w:val="389F0583"/>
    <w:rsid w:val="3A6F0F76"/>
    <w:rsid w:val="3B3B1938"/>
    <w:rsid w:val="3B536115"/>
    <w:rsid w:val="3B896557"/>
    <w:rsid w:val="3C6F2C37"/>
    <w:rsid w:val="3CC802A1"/>
    <w:rsid w:val="3D12686E"/>
    <w:rsid w:val="3E0A4684"/>
    <w:rsid w:val="3E415AC4"/>
    <w:rsid w:val="3EC066EC"/>
    <w:rsid w:val="3ED20001"/>
    <w:rsid w:val="3EE322BE"/>
    <w:rsid w:val="3EED6A2E"/>
    <w:rsid w:val="3EF25A32"/>
    <w:rsid w:val="3FDF1EC1"/>
    <w:rsid w:val="408814E1"/>
    <w:rsid w:val="418D49B0"/>
    <w:rsid w:val="425F0874"/>
    <w:rsid w:val="42615AA3"/>
    <w:rsid w:val="426A5D19"/>
    <w:rsid w:val="42A713D5"/>
    <w:rsid w:val="42EE0B57"/>
    <w:rsid w:val="42FC2B26"/>
    <w:rsid w:val="453756CC"/>
    <w:rsid w:val="459C7AB0"/>
    <w:rsid w:val="46E4318C"/>
    <w:rsid w:val="471F4D88"/>
    <w:rsid w:val="479E3A47"/>
    <w:rsid w:val="47D87266"/>
    <w:rsid w:val="48324764"/>
    <w:rsid w:val="49A2577D"/>
    <w:rsid w:val="4A321E22"/>
    <w:rsid w:val="4A3546F1"/>
    <w:rsid w:val="4B106456"/>
    <w:rsid w:val="4BDB3C67"/>
    <w:rsid w:val="4C6F2EDA"/>
    <w:rsid w:val="4E03626B"/>
    <w:rsid w:val="4F7B2533"/>
    <w:rsid w:val="508711A9"/>
    <w:rsid w:val="510E35CE"/>
    <w:rsid w:val="517B4EC0"/>
    <w:rsid w:val="51B322DA"/>
    <w:rsid w:val="51CC3CA7"/>
    <w:rsid w:val="531E0DED"/>
    <w:rsid w:val="53366EE7"/>
    <w:rsid w:val="54271112"/>
    <w:rsid w:val="54523A5C"/>
    <w:rsid w:val="555C3065"/>
    <w:rsid w:val="55987088"/>
    <w:rsid w:val="56A32E66"/>
    <w:rsid w:val="56EF6751"/>
    <w:rsid w:val="57306464"/>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A1040B"/>
    <w:rsid w:val="5DBD4136"/>
    <w:rsid w:val="5E7D7B12"/>
    <w:rsid w:val="5FA74DF5"/>
    <w:rsid w:val="60895210"/>
    <w:rsid w:val="60DC0379"/>
    <w:rsid w:val="60F91A9B"/>
    <w:rsid w:val="61681DAA"/>
    <w:rsid w:val="62137647"/>
    <w:rsid w:val="62D02C49"/>
    <w:rsid w:val="64761A1E"/>
    <w:rsid w:val="64D150F6"/>
    <w:rsid w:val="65585085"/>
    <w:rsid w:val="655B7C04"/>
    <w:rsid w:val="66036B99"/>
    <w:rsid w:val="67015D83"/>
    <w:rsid w:val="676C3643"/>
    <w:rsid w:val="67B30A70"/>
    <w:rsid w:val="68562C5D"/>
    <w:rsid w:val="69E81028"/>
    <w:rsid w:val="6B33736F"/>
    <w:rsid w:val="6B3C1516"/>
    <w:rsid w:val="6DE06576"/>
    <w:rsid w:val="70656815"/>
    <w:rsid w:val="709655A9"/>
    <w:rsid w:val="710D7515"/>
    <w:rsid w:val="7139605B"/>
    <w:rsid w:val="7235727D"/>
    <w:rsid w:val="72A94E91"/>
    <w:rsid w:val="72B14FD5"/>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BD16159"/>
    <w:rsid w:val="7C1F7274"/>
    <w:rsid w:val="7C3D3FEB"/>
    <w:rsid w:val="7C4D729D"/>
    <w:rsid w:val="7DCC7838"/>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1"/>
    <w:qFormat/>
    <w:uiPriority w:val="0"/>
    <w:pPr>
      <w:ind w:left="237" w:right="113"/>
      <w:outlineLvl w:val="2"/>
    </w:pPr>
    <w:rPr>
      <w:sz w:val="28"/>
      <w:szCs w:val="28"/>
    </w:rPr>
  </w:style>
  <w:style w:type="paragraph" w:styleId="6">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6"/>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6"/>
    <w:qFormat/>
    <w:uiPriority w:val="0"/>
    <w:rPr>
      <w:rFonts w:asciiTheme="minorHAnsi" w:hAnsiTheme="minorHAnsi" w:cstheme="minorBidi"/>
      <w:kern w:val="2"/>
      <w:sz w:val="21"/>
      <w:szCs w:val="24"/>
      <w:lang w:eastAsia="zh-CN"/>
    </w:rPr>
  </w:style>
  <w:style w:type="paragraph" w:styleId="17">
    <w:name w:val="Body Text 3"/>
    <w:basedOn w:val="1"/>
    <w:link w:val="101"/>
    <w:qFormat/>
    <w:uiPriority w:val="0"/>
    <w:pPr>
      <w:jc w:val="both"/>
    </w:pPr>
    <w:rPr>
      <w:rFonts w:hAnsiTheme="minorHAnsi" w:eastAsiaTheme="minorEastAsia" w:cstheme="minorBidi"/>
      <w:kern w:val="2"/>
      <w:sz w:val="24"/>
      <w:lang w:eastAsia="zh-CN"/>
    </w:rPr>
  </w:style>
  <w:style w:type="paragraph" w:styleId="18">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8"/>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5"/>
    <w:unhideWhenUsed/>
    <w:qFormat/>
    <w:uiPriority w:val="0"/>
    <w:pPr>
      <w:ind w:left="100" w:leftChars="2500"/>
    </w:pPr>
  </w:style>
  <w:style w:type="paragraph" w:styleId="24">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1"/>
    <w:unhideWhenUsed/>
    <w:qFormat/>
    <w:uiPriority w:val="0"/>
    <w:rPr>
      <w:sz w:val="18"/>
      <w:szCs w:val="18"/>
    </w:rPr>
  </w:style>
  <w:style w:type="paragraph" w:styleId="27">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7"/>
    <w:unhideWhenUsed/>
    <w:qFormat/>
    <w:uiPriority w:val="0"/>
    <w:rPr>
      <w:rFonts w:ascii="宋体" w:hAnsi="宋体" w:cs="宋体"/>
      <w:b/>
      <w:bCs/>
    </w:rPr>
  </w:style>
  <w:style w:type="paragraph" w:styleId="42">
    <w:name w:val="Body Text First Indent"/>
    <w:basedOn w:val="2"/>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character" w:customStyle="1" w:styleId="55">
    <w:name w:val="正文文本 Char"/>
    <w:basedOn w:val="46"/>
    <w:qFormat/>
    <w:uiPriority w:val="0"/>
    <w:rPr>
      <w:rFonts w:ascii="宋体" w:hAnsi="宋体" w:eastAsia="宋体" w:cs="宋体"/>
      <w:kern w:val="0"/>
      <w:sz w:val="22"/>
      <w:lang w:eastAsia="en-US"/>
    </w:rPr>
  </w:style>
  <w:style w:type="character" w:customStyle="1" w:styleId="56">
    <w:name w:val="正文文本 字符"/>
    <w:basedOn w:val="46"/>
    <w:link w:val="2"/>
    <w:qFormat/>
    <w:uiPriority w:val="1"/>
    <w:rPr>
      <w:rFonts w:ascii="宋体" w:hAnsi="宋体" w:eastAsia="宋体" w:cs="宋体"/>
      <w:kern w:val="0"/>
      <w:szCs w:val="21"/>
      <w:lang w:eastAsia="en-US"/>
    </w:rPr>
  </w:style>
  <w:style w:type="character" w:customStyle="1" w:styleId="57">
    <w:name w:val="页脚 字符"/>
    <w:link w:val="27"/>
    <w:qFormat/>
    <w:uiPriority w:val="99"/>
    <w:rPr>
      <w:sz w:val="18"/>
      <w:szCs w:val="18"/>
    </w:rPr>
  </w:style>
  <w:style w:type="character" w:customStyle="1" w:styleId="58">
    <w:name w:val="页脚 Char"/>
    <w:basedOn w:val="46"/>
    <w:qFormat/>
    <w:uiPriority w:val="99"/>
    <w:rPr>
      <w:rFonts w:ascii="宋体" w:hAnsi="宋体" w:eastAsia="宋体" w:cs="宋体"/>
      <w:kern w:val="0"/>
      <w:sz w:val="18"/>
      <w:szCs w:val="18"/>
      <w:lang w:eastAsia="en-US"/>
    </w:rPr>
  </w:style>
  <w:style w:type="character" w:customStyle="1" w:styleId="59">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60">
    <w:name w:val="标题 2 字符"/>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6"/>
    <w:qFormat/>
    <w:uiPriority w:val="0"/>
    <w:rPr>
      <w:rFonts w:ascii="宋体" w:hAnsi="宋体" w:eastAsia="宋体" w:cs="宋体"/>
      <w:b/>
      <w:bCs/>
      <w:kern w:val="44"/>
      <w:sz w:val="44"/>
      <w:szCs w:val="44"/>
      <w:lang w:eastAsia="en-US"/>
    </w:rPr>
  </w:style>
  <w:style w:type="character" w:customStyle="1" w:styleId="63">
    <w:name w:val="标题 3 Char"/>
    <w:basedOn w:val="46"/>
    <w:qFormat/>
    <w:uiPriority w:val="0"/>
    <w:rPr>
      <w:rFonts w:ascii="宋体" w:hAnsi="宋体" w:eastAsia="宋体" w:cs="宋体"/>
      <w:b/>
      <w:bCs/>
      <w:kern w:val="0"/>
      <w:sz w:val="32"/>
      <w:szCs w:val="32"/>
      <w:lang w:eastAsia="en-US"/>
    </w:rPr>
  </w:style>
  <w:style w:type="character" w:customStyle="1" w:styleId="64">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5">
    <w:name w:val="标题 5 字符1"/>
    <w:basedOn w:val="46"/>
    <w:link w:val="7"/>
    <w:qFormat/>
    <w:uiPriority w:val="0"/>
    <w:rPr>
      <w:rFonts w:ascii="Times New Roman" w:hAnsi="Times New Roman" w:eastAsia="宋体" w:cs="Times New Roman"/>
      <w:b/>
      <w:bCs/>
      <w:sz w:val="28"/>
      <w:szCs w:val="28"/>
    </w:rPr>
  </w:style>
  <w:style w:type="character" w:customStyle="1" w:styleId="66">
    <w:name w:val="标题 6 字符1"/>
    <w:basedOn w:val="46"/>
    <w:link w:val="8"/>
    <w:qFormat/>
    <w:uiPriority w:val="0"/>
    <w:rPr>
      <w:rFonts w:ascii="Arial" w:hAnsi="Arial" w:eastAsia="黑体" w:cs="Times New Roman"/>
      <w:b/>
      <w:bCs/>
      <w:kern w:val="0"/>
      <w:sz w:val="24"/>
      <w:szCs w:val="24"/>
    </w:rPr>
  </w:style>
  <w:style w:type="character" w:customStyle="1" w:styleId="67">
    <w:name w:val="标题 7 字符1"/>
    <w:basedOn w:val="46"/>
    <w:link w:val="9"/>
    <w:qFormat/>
    <w:uiPriority w:val="0"/>
    <w:rPr>
      <w:rFonts w:ascii="Times New Roman" w:hAnsi="Times New Roman" w:eastAsia="宋体" w:cs="Times New Roman"/>
      <w:b/>
      <w:bCs/>
      <w:kern w:val="0"/>
      <w:sz w:val="24"/>
      <w:szCs w:val="24"/>
    </w:rPr>
  </w:style>
  <w:style w:type="character" w:customStyle="1" w:styleId="68">
    <w:name w:val="标题 8 字符1"/>
    <w:basedOn w:val="46"/>
    <w:link w:val="10"/>
    <w:qFormat/>
    <w:uiPriority w:val="0"/>
    <w:rPr>
      <w:rFonts w:ascii="Arial" w:hAnsi="Arial" w:eastAsia="黑体" w:cs="Times New Roman"/>
      <w:kern w:val="0"/>
      <w:sz w:val="24"/>
      <w:szCs w:val="24"/>
    </w:rPr>
  </w:style>
  <w:style w:type="character" w:customStyle="1" w:styleId="69">
    <w:name w:val="标题 9 字符1"/>
    <w:basedOn w:val="46"/>
    <w:link w:val="11"/>
    <w:qFormat/>
    <w:uiPriority w:val="0"/>
    <w:rPr>
      <w:rFonts w:ascii="Arial" w:hAnsi="Arial" w:eastAsia="黑体" w:cs="Times New Roman"/>
      <w:kern w:val="0"/>
      <w:szCs w:val="21"/>
    </w:rPr>
  </w:style>
  <w:style w:type="character" w:customStyle="1" w:styleId="70">
    <w:name w:val="标题 1 字符"/>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字符"/>
    <w:basedOn w:val="46"/>
    <w:link w:val="5"/>
    <w:qFormat/>
    <w:uiPriority w:val="0"/>
    <w:rPr>
      <w:rFonts w:ascii="宋体" w:hAnsi="宋体" w:eastAsia="宋体" w:cs="宋体"/>
      <w:kern w:val="0"/>
      <w:sz w:val="28"/>
      <w:szCs w:val="28"/>
      <w:lang w:eastAsia="en-US"/>
    </w:rPr>
  </w:style>
  <w:style w:type="character" w:customStyle="1" w:styleId="72">
    <w:name w:val="标题 4 字符"/>
    <w:basedOn w:val="46"/>
    <w:link w:val="6"/>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表段落1"/>
    <w:basedOn w:val="1"/>
    <w:qFormat/>
    <w:uiPriority w:val="1"/>
  </w:style>
  <w:style w:type="paragraph" w:customStyle="1" w:styleId="75">
    <w:name w:val="Table Paragraph"/>
    <w:basedOn w:val="1"/>
    <w:qFormat/>
    <w:uiPriority w:val="1"/>
  </w:style>
  <w:style w:type="character" w:customStyle="1" w:styleId="76">
    <w:name w:val="页眉 字符"/>
    <w:link w:val="28"/>
    <w:qFormat/>
    <w:uiPriority w:val="99"/>
    <w:rPr>
      <w:sz w:val="18"/>
      <w:szCs w:val="18"/>
    </w:rPr>
  </w:style>
  <w:style w:type="character" w:customStyle="1" w:styleId="77">
    <w:name w:val="页眉 Char"/>
    <w:basedOn w:val="46"/>
    <w:qFormat/>
    <w:uiPriority w:val="0"/>
    <w:rPr>
      <w:rFonts w:ascii="宋体" w:hAnsi="宋体" w:eastAsia="宋体" w:cs="宋体"/>
      <w:kern w:val="0"/>
      <w:sz w:val="18"/>
      <w:szCs w:val="18"/>
      <w:lang w:eastAsia="en-US"/>
    </w:rPr>
  </w:style>
  <w:style w:type="character" w:customStyle="1" w:styleId="78">
    <w:name w:val="页脚 Char1"/>
    <w:basedOn w:val="46"/>
    <w:semiHidden/>
    <w:qFormat/>
    <w:uiPriority w:val="99"/>
    <w:rPr>
      <w:rFonts w:ascii="宋体" w:hAnsi="宋体" w:eastAsia="宋体" w:cs="宋体"/>
      <w:sz w:val="18"/>
      <w:szCs w:val="18"/>
    </w:rPr>
  </w:style>
  <w:style w:type="character" w:customStyle="1" w:styleId="79">
    <w:name w:val="页眉 Char1"/>
    <w:basedOn w:val="46"/>
    <w:semiHidden/>
    <w:qFormat/>
    <w:uiPriority w:val="99"/>
    <w:rPr>
      <w:rFonts w:ascii="宋体" w:hAnsi="宋体" w:eastAsia="宋体" w:cs="宋体"/>
      <w:sz w:val="18"/>
      <w:szCs w:val="18"/>
    </w:rPr>
  </w:style>
  <w:style w:type="character" w:customStyle="1" w:styleId="80">
    <w:name w:val="批注框文本 Char"/>
    <w:basedOn w:val="46"/>
    <w:qFormat/>
    <w:uiPriority w:val="0"/>
    <w:rPr>
      <w:rFonts w:ascii="宋体" w:hAnsi="宋体" w:eastAsia="宋体" w:cs="宋体"/>
      <w:kern w:val="0"/>
      <w:sz w:val="18"/>
      <w:szCs w:val="18"/>
      <w:lang w:eastAsia="en-US"/>
    </w:rPr>
  </w:style>
  <w:style w:type="character" w:customStyle="1" w:styleId="81">
    <w:name w:val="批注框文本 字符"/>
    <w:basedOn w:val="46"/>
    <w:link w:val="26"/>
    <w:semiHidden/>
    <w:qFormat/>
    <w:uiPriority w:val="0"/>
    <w:rPr>
      <w:rFonts w:ascii="宋体" w:hAnsi="宋体" w:eastAsia="宋体" w:cs="宋体"/>
      <w:kern w:val="0"/>
      <w:sz w:val="18"/>
      <w:szCs w:val="18"/>
      <w:lang w:eastAsia="en-US"/>
    </w:rPr>
  </w:style>
  <w:style w:type="paragraph" w:customStyle="1" w:styleId="82">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字符"/>
    <w:link w:val="16"/>
    <w:qFormat/>
    <w:uiPriority w:val="0"/>
    <w:rPr>
      <w:rFonts w:eastAsia="宋体"/>
      <w:szCs w:val="24"/>
    </w:rPr>
  </w:style>
  <w:style w:type="character" w:customStyle="1" w:styleId="87">
    <w:name w:val="批注文字 Char1"/>
    <w:basedOn w:val="46"/>
    <w:semiHidden/>
    <w:qFormat/>
    <w:uiPriority w:val="99"/>
    <w:rPr>
      <w:rFonts w:ascii="宋体" w:hAnsi="宋体" w:eastAsia="宋体" w:cs="宋体"/>
      <w:kern w:val="0"/>
      <w:sz w:val="22"/>
      <w:lang w:eastAsia="en-US"/>
    </w:rPr>
  </w:style>
  <w:style w:type="character" w:customStyle="1" w:styleId="88">
    <w:name w:val="纯文本 字符"/>
    <w:link w:val="21"/>
    <w:qFormat/>
    <w:uiPriority w:val="0"/>
    <w:rPr>
      <w:rFonts w:ascii="宋体" w:hAnsi="Courier New" w:eastAsia="宋体"/>
      <w:szCs w:val="21"/>
    </w:rPr>
  </w:style>
  <w:style w:type="character" w:customStyle="1" w:styleId="89">
    <w:name w:val="纯文本 Char"/>
    <w:basedOn w:val="46"/>
    <w:qFormat/>
    <w:uiPriority w:val="0"/>
    <w:rPr>
      <w:rFonts w:ascii="宋体" w:hAnsi="Courier New" w:eastAsia="宋体" w:cs="Courier New"/>
      <w:kern w:val="0"/>
      <w:szCs w:val="21"/>
      <w:lang w:eastAsia="en-US"/>
    </w:rPr>
  </w:style>
  <w:style w:type="character" w:customStyle="1" w:styleId="90">
    <w:name w:val="纯文本 Char1"/>
    <w:basedOn w:val="46"/>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6"/>
    <w:qFormat/>
    <w:uiPriority w:val="0"/>
    <w:rPr>
      <w:rFonts w:ascii="宋体" w:hAnsi="宋体" w:eastAsia="宋体" w:cs="宋体"/>
      <w:kern w:val="0"/>
      <w:sz w:val="22"/>
      <w:lang w:eastAsia="en-US"/>
    </w:rPr>
  </w:style>
  <w:style w:type="character" w:customStyle="1" w:styleId="95">
    <w:name w:val="日期 字符"/>
    <w:basedOn w:val="46"/>
    <w:link w:val="23"/>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字符"/>
    <w:basedOn w:val="86"/>
    <w:link w:val="41"/>
    <w:qFormat/>
    <w:uiPriority w:val="0"/>
    <w:rPr>
      <w:rFonts w:ascii="宋体" w:hAnsi="宋体" w:eastAsia="宋体" w:cs="宋体"/>
      <w:b/>
      <w:bCs/>
      <w:szCs w:val="24"/>
    </w:rPr>
  </w:style>
  <w:style w:type="character" w:customStyle="1" w:styleId="98">
    <w:name w:val="apple-converted-space"/>
    <w:basedOn w:val="46"/>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字符1"/>
    <w:link w:val="17"/>
    <w:qFormat/>
    <w:uiPriority w:val="0"/>
    <w:rPr>
      <w:rFonts w:ascii="宋体"/>
      <w:sz w:val="24"/>
    </w:rPr>
  </w:style>
  <w:style w:type="character" w:customStyle="1" w:styleId="102">
    <w:name w:val="正文文本 3 Char1"/>
    <w:basedOn w:val="46"/>
    <w:semiHidden/>
    <w:qFormat/>
    <w:uiPriority w:val="99"/>
    <w:rPr>
      <w:rFonts w:ascii="宋体" w:hAnsi="宋体" w:eastAsia="宋体" w:cs="宋体"/>
      <w:kern w:val="0"/>
      <w:sz w:val="16"/>
      <w:szCs w:val="16"/>
      <w:lang w:eastAsia="en-US"/>
    </w:rPr>
  </w:style>
  <w:style w:type="character" w:customStyle="1" w:styleId="103">
    <w:name w:val="正文文本 3 字符"/>
    <w:basedOn w:val="46"/>
    <w:qFormat/>
    <w:uiPriority w:val="0"/>
    <w:rPr>
      <w:rFonts w:ascii="宋体" w:hAnsi="宋体" w:eastAsia="宋体" w:cs="宋体"/>
      <w:sz w:val="16"/>
      <w:szCs w:val="16"/>
    </w:rPr>
  </w:style>
  <w:style w:type="character" w:customStyle="1" w:styleId="104">
    <w:name w:val="正文文本缩进 字符1"/>
    <w:link w:val="18"/>
    <w:qFormat/>
    <w:uiPriority w:val="0"/>
    <w:rPr>
      <w:rFonts w:eastAsia="宋体"/>
      <w:szCs w:val="24"/>
    </w:rPr>
  </w:style>
  <w:style w:type="character" w:customStyle="1" w:styleId="105">
    <w:name w:val="正文文本缩进 Char1"/>
    <w:basedOn w:val="46"/>
    <w:semiHidden/>
    <w:qFormat/>
    <w:uiPriority w:val="99"/>
    <w:rPr>
      <w:rFonts w:ascii="宋体" w:hAnsi="宋体" w:eastAsia="宋体" w:cs="宋体"/>
      <w:kern w:val="0"/>
      <w:sz w:val="22"/>
      <w:lang w:eastAsia="en-US"/>
    </w:rPr>
  </w:style>
  <w:style w:type="character" w:customStyle="1" w:styleId="106">
    <w:name w:val="正文文本缩进 字符"/>
    <w:basedOn w:val="46"/>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6"/>
    <w:semiHidden/>
    <w:qFormat/>
    <w:uiPriority w:val="9"/>
    <w:rPr>
      <w:rFonts w:ascii="宋体" w:hAnsi="宋体" w:eastAsia="宋体" w:cs="宋体"/>
      <w:b/>
      <w:bCs/>
      <w:sz w:val="28"/>
      <w:szCs w:val="28"/>
    </w:rPr>
  </w:style>
  <w:style w:type="character" w:customStyle="1" w:styleId="109">
    <w:name w:val="标题 6 字符"/>
    <w:basedOn w:val="46"/>
    <w:semiHidden/>
    <w:qFormat/>
    <w:uiPriority w:val="9"/>
    <w:rPr>
      <w:rFonts w:asciiTheme="majorHAnsi" w:hAnsiTheme="majorHAnsi" w:eastAsiaTheme="majorEastAsia" w:cstheme="majorBidi"/>
      <w:b/>
      <w:bCs/>
      <w:sz w:val="24"/>
      <w:szCs w:val="24"/>
    </w:rPr>
  </w:style>
  <w:style w:type="character" w:customStyle="1" w:styleId="110">
    <w:name w:val="标题 7 字符"/>
    <w:basedOn w:val="46"/>
    <w:semiHidden/>
    <w:qFormat/>
    <w:uiPriority w:val="9"/>
    <w:rPr>
      <w:rFonts w:ascii="宋体" w:hAnsi="宋体" w:eastAsia="宋体" w:cs="宋体"/>
      <w:b/>
      <w:bCs/>
      <w:sz w:val="24"/>
      <w:szCs w:val="24"/>
    </w:rPr>
  </w:style>
  <w:style w:type="character" w:customStyle="1" w:styleId="111">
    <w:name w:val="标题 8 字符"/>
    <w:basedOn w:val="46"/>
    <w:semiHidden/>
    <w:qFormat/>
    <w:uiPriority w:val="9"/>
    <w:rPr>
      <w:rFonts w:asciiTheme="majorHAnsi" w:hAnsiTheme="majorHAnsi" w:eastAsiaTheme="majorEastAsia" w:cstheme="majorBidi"/>
      <w:sz w:val="24"/>
      <w:szCs w:val="24"/>
    </w:rPr>
  </w:style>
  <w:style w:type="character" w:customStyle="1" w:styleId="112">
    <w:name w:val="标题 9 字符"/>
    <w:basedOn w:val="46"/>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字符1"/>
    <w:link w:val="25"/>
    <w:qFormat/>
    <w:uiPriority w:val="0"/>
    <w:rPr>
      <w:rFonts w:eastAsia="宋体"/>
      <w:szCs w:val="24"/>
    </w:rPr>
  </w:style>
  <w:style w:type="character" w:customStyle="1" w:styleId="117">
    <w:name w:val="尾注文本 Char1"/>
    <w:basedOn w:val="46"/>
    <w:semiHidden/>
    <w:qFormat/>
    <w:uiPriority w:val="99"/>
    <w:rPr>
      <w:rFonts w:ascii="宋体" w:hAnsi="宋体" w:eastAsia="宋体" w:cs="宋体"/>
      <w:kern w:val="0"/>
      <w:sz w:val="22"/>
      <w:lang w:eastAsia="en-US"/>
    </w:rPr>
  </w:style>
  <w:style w:type="character" w:customStyle="1" w:styleId="118">
    <w:name w:val="正文文本首行缩进 字符"/>
    <w:link w:val="42"/>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字符1"/>
    <w:link w:val="32"/>
    <w:qFormat/>
    <w:uiPriority w:val="0"/>
    <w:rPr>
      <w:rFonts w:eastAsia="宋体"/>
      <w:sz w:val="18"/>
      <w:szCs w:val="18"/>
    </w:rPr>
  </w:style>
  <w:style w:type="character" w:customStyle="1" w:styleId="122">
    <w:name w:val="脚注文本 Char1"/>
    <w:basedOn w:val="46"/>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字符1"/>
    <w:link w:val="15"/>
    <w:qFormat/>
    <w:uiPriority w:val="0"/>
    <w:rPr>
      <w:rFonts w:eastAsia="宋体"/>
      <w:szCs w:val="24"/>
      <w:shd w:val="clear" w:color="auto" w:fill="000080"/>
    </w:rPr>
  </w:style>
  <w:style w:type="character" w:customStyle="1" w:styleId="125">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6">
    <w:name w:val="正文文本缩进 2 字符1"/>
    <w:link w:val="24"/>
    <w:qFormat/>
    <w:uiPriority w:val="0"/>
    <w:rPr>
      <w:rFonts w:eastAsia="宋体"/>
      <w:szCs w:val="24"/>
    </w:rPr>
  </w:style>
  <w:style w:type="character" w:customStyle="1" w:styleId="127">
    <w:name w:val="正文文本缩进 2 Char1"/>
    <w:basedOn w:val="46"/>
    <w:semiHidden/>
    <w:qFormat/>
    <w:uiPriority w:val="99"/>
    <w:rPr>
      <w:rFonts w:ascii="宋体" w:hAnsi="宋体" w:eastAsia="宋体" w:cs="宋体"/>
      <w:kern w:val="0"/>
      <w:sz w:val="22"/>
      <w:lang w:eastAsia="en-US"/>
    </w:rPr>
  </w:style>
  <w:style w:type="character" w:customStyle="1" w:styleId="128">
    <w:name w:val="正文文本缩进 3 字符1"/>
    <w:link w:val="34"/>
    <w:qFormat/>
    <w:uiPriority w:val="0"/>
    <w:rPr>
      <w:rFonts w:eastAsia="宋体"/>
      <w:sz w:val="16"/>
      <w:szCs w:val="16"/>
    </w:rPr>
  </w:style>
  <w:style w:type="character" w:customStyle="1" w:styleId="129">
    <w:name w:val="正文文本缩进 3 Char1"/>
    <w:basedOn w:val="46"/>
    <w:semiHidden/>
    <w:qFormat/>
    <w:uiPriority w:val="99"/>
    <w:rPr>
      <w:rFonts w:ascii="宋体" w:hAnsi="宋体" w:eastAsia="宋体" w:cs="宋体"/>
      <w:kern w:val="0"/>
      <w:sz w:val="16"/>
      <w:szCs w:val="16"/>
      <w:lang w:eastAsia="en-US"/>
    </w:rPr>
  </w:style>
  <w:style w:type="character" w:customStyle="1" w:styleId="130">
    <w:name w:val="标题 字符1"/>
    <w:link w:val="40"/>
    <w:qFormat/>
    <w:uiPriority w:val="0"/>
    <w:rPr>
      <w:rFonts w:ascii="Arial" w:hAnsi="Arial" w:eastAsia="宋体"/>
      <w:b/>
      <w:sz w:val="32"/>
    </w:rPr>
  </w:style>
  <w:style w:type="character" w:customStyle="1" w:styleId="131">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6"/>
    <w:semiHidden/>
    <w:qFormat/>
    <w:uiPriority w:val="99"/>
    <w:rPr>
      <w:rFonts w:ascii="宋体" w:hAnsi="宋体" w:eastAsia="宋体" w:cs="宋体"/>
      <w:sz w:val="16"/>
      <w:szCs w:val="16"/>
    </w:rPr>
  </w:style>
  <w:style w:type="character" w:customStyle="1" w:styleId="133">
    <w:name w:val="正文文本缩进 2 字符"/>
    <w:basedOn w:val="46"/>
    <w:semiHidden/>
    <w:qFormat/>
    <w:uiPriority w:val="99"/>
    <w:rPr>
      <w:rFonts w:ascii="宋体" w:hAnsi="宋体" w:eastAsia="宋体" w:cs="宋体"/>
    </w:rPr>
  </w:style>
  <w:style w:type="character" w:customStyle="1" w:styleId="134">
    <w:name w:val="脚注文本 字符"/>
    <w:basedOn w:val="46"/>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6"/>
    <w:semiHidden/>
    <w:qFormat/>
    <w:uiPriority w:val="99"/>
    <w:rPr>
      <w:rFonts w:ascii="宋体" w:hAnsi="宋体" w:eastAsia="宋体" w:cs="宋体"/>
    </w:rPr>
  </w:style>
  <w:style w:type="character" w:customStyle="1" w:styleId="139">
    <w:name w:val="文档结构图 字符"/>
    <w:basedOn w:val="46"/>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6"/>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5"/>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3">
    <w:name w:val="叶巴滩正文 Char Char"/>
    <w:link w:val="194"/>
    <w:qFormat/>
    <w:uiPriority w:val="0"/>
    <w:rPr>
      <w:rFonts w:hAnsi="宋体"/>
      <w:color w:val="FF0000"/>
      <w:kern w:val="2"/>
      <w:sz w:val="24"/>
    </w:rPr>
  </w:style>
  <w:style w:type="paragraph" w:customStyle="1" w:styleId="194">
    <w:name w:val="叶巴滩正文"/>
    <w:basedOn w:val="1"/>
    <w:link w:val="193"/>
    <w:qFormat/>
    <w:uiPriority w:val="0"/>
    <w:pPr>
      <w:spacing w:line="360" w:lineRule="auto"/>
      <w:ind w:firstLine="480" w:firstLineChars="200"/>
    </w:pPr>
    <w:rPr>
      <w:rFonts w:asciiTheme="minorHAnsi" w:eastAsiaTheme="minorEastAsia" w:cstheme="minorBidi"/>
      <w:color w:val="FF0000"/>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897</Words>
  <Characters>5113</Characters>
  <Lines>42</Lines>
  <Paragraphs>11</Paragraphs>
  <TotalTime>1</TotalTime>
  <ScaleCrop>false</ScaleCrop>
  <LinksUpToDate>false</LinksUpToDate>
  <CharactersWithSpaces>5999</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2022-08-25T07:34:00Z</dcterms:created>
  <dc:creator>朱赵田</dc:creator>
  <cp:lastModifiedBy>杨倩</cp:lastModifiedBy>
  <cp:lastPrinted>2021-09-29T01:09:00Z</cp:lastPrinted>
  <dcterms:modified xsi:type="dcterms:W3CDTF">2022-09-06T09:24:29Z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E20452178DA94D8DAAAF4E70C39AA11E</vt:lpwstr>
  </property>
</Properties>
</file>