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rPr>
        <w:t>重庆通力高速公路养护工程有限公司</w:t>
      </w:r>
    </w:p>
    <w:p>
      <w:pPr>
        <w:jc w:val="center"/>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2022年东北营运分公司所辖高速公路路面功能性修复及预防性养护工程（万开、万云）</w:t>
      </w:r>
    </w:p>
    <w:p>
      <w:pPr>
        <w:jc w:val="center"/>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沥青混合料外协加工（第二次）</w:t>
      </w:r>
    </w:p>
    <w:p>
      <w:pPr>
        <w:pStyle w:val="5"/>
        <w:rPr>
          <w:rFonts w:hint="eastAsia"/>
        </w:rPr>
      </w:pPr>
    </w:p>
    <w:p>
      <w:pPr>
        <w:rPr>
          <w:rFonts w:hint="eastAsia"/>
        </w:rPr>
      </w:pPr>
    </w:p>
    <w:p>
      <w:pPr>
        <w:pStyle w:val="2"/>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3"/>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3"/>
        <w:spacing w:line="360" w:lineRule="auto"/>
        <w:ind w:left="99" w:leftChars="47"/>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FF0000"/>
          <w:sz w:val="30"/>
          <w:szCs w:val="30"/>
          <w:highlight w:val="none"/>
          <w:lang w:eastAsia="zh-CN"/>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FF0000"/>
          <w:sz w:val="30"/>
          <w:szCs w:val="30"/>
          <w:highlight w:val="none"/>
          <w:lang w:eastAsia="zh-CN"/>
        </w:rPr>
        <w:t>2022年东北营运分公司所辖高速公路路面功能性修复及预防性养护工程（万开、万云）沥青混合料外协加工（</w:t>
      </w:r>
      <w:r>
        <w:rPr>
          <w:rFonts w:hint="eastAsia" w:ascii="宋体" w:hAnsi="宋体" w:cs="宋体"/>
          <w:b/>
          <w:color w:val="FF0000"/>
          <w:sz w:val="30"/>
          <w:szCs w:val="30"/>
          <w:highlight w:val="none"/>
          <w:lang w:val="en-US" w:eastAsia="zh-CN"/>
        </w:rPr>
        <w:t>第二次）</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246996166"/>
      <w:bookmarkStart w:id="1" w:name="_Toc152042295"/>
      <w:bookmarkStart w:id="2" w:name="_Toc144974487"/>
      <w:bookmarkStart w:id="3" w:name="_Toc246996909"/>
      <w:bookmarkStart w:id="4" w:name="_Toc152045519"/>
      <w:bookmarkStart w:id="5" w:name="_Toc296602410"/>
      <w:bookmarkStart w:id="6" w:name="_Toc247085680"/>
      <w:bookmarkStart w:id="7" w:name="_Toc179632536"/>
    </w:p>
    <w:bookmarkEnd w:id="0"/>
    <w:bookmarkEnd w:id="1"/>
    <w:bookmarkEnd w:id="2"/>
    <w:bookmarkEnd w:id="3"/>
    <w:bookmarkEnd w:id="4"/>
    <w:bookmarkEnd w:id="5"/>
    <w:bookmarkEnd w:id="6"/>
    <w:bookmarkEnd w:id="7"/>
    <w:p>
      <w:pPr>
        <w:wordWrap w:val="0"/>
        <w:spacing w:line="360" w:lineRule="auto"/>
        <w:ind w:firstLine="422" w:firstLineChars="200"/>
        <w:jc w:val="left"/>
        <w:rPr>
          <w:color w:val="auto"/>
          <w:szCs w:val="21"/>
          <w:highlight w:val="none"/>
        </w:rPr>
      </w:pPr>
      <w:bookmarkStart w:id="8" w:name="_Toc144974489"/>
      <w:bookmarkStart w:id="9" w:name="_Toc246996168"/>
      <w:bookmarkStart w:id="10" w:name="_Toc247085682"/>
      <w:bookmarkStart w:id="11" w:name="_Toc152042297"/>
      <w:bookmarkStart w:id="12" w:name="_Toc296602412"/>
      <w:bookmarkStart w:id="13" w:name="_Toc179632538"/>
      <w:bookmarkStart w:id="14" w:name="_Toc246996911"/>
      <w:bookmarkStart w:id="15" w:name="_Toc152045521"/>
      <w:r>
        <w:rPr>
          <w:rFonts w:hint="eastAsia"/>
          <w:b/>
          <w:bCs/>
          <w:color w:val="FF0000"/>
          <w:szCs w:val="21"/>
          <w:highlight w:val="none"/>
          <w:lang w:val="en-US" w:eastAsia="zh-CN"/>
        </w:rPr>
        <w:t>2022年东北营运分公司所辖高速公路路面功能性修复及预防性养护工程（万开、万云）</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w:t>
      </w:r>
      <w:r>
        <w:rPr>
          <w:rFonts w:hint="eastAsia"/>
          <w:color w:val="auto"/>
          <w:szCs w:val="21"/>
          <w:highlight w:val="none"/>
          <w:lang w:val="en-US" w:eastAsia="zh-CN"/>
        </w:rPr>
        <w:t>沥青混合料外协加工单位</w:t>
      </w:r>
      <w:r>
        <w:rPr>
          <w:color w:val="auto"/>
          <w:szCs w:val="21"/>
          <w:highlight w:val="none"/>
        </w:rPr>
        <w:t>，具体情况如下：</w:t>
      </w:r>
    </w:p>
    <w:p>
      <w:pPr>
        <w:spacing w:line="360" w:lineRule="auto"/>
        <w:rPr>
          <w:b/>
          <w:color w:val="auto"/>
          <w:szCs w:val="21"/>
          <w:highlight w:val="none"/>
        </w:rPr>
      </w:pPr>
      <w:bookmarkStart w:id="16" w:name="_Toc152042296"/>
      <w:bookmarkStart w:id="17" w:name="_Toc144974488"/>
      <w:bookmarkStart w:id="18" w:name="_Toc246996167"/>
      <w:bookmarkStart w:id="19" w:name="_Toc296602411"/>
      <w:bookmarkStart w:id="20" w:name="_Toc246996910"/>
      <w:bookmarkStart w:id="21" w:name="_Toc179632537"/>
      <w:bookmarkStart w:id="22" w:name="_Toc152045520"/>
      <w:bookmarkStart w:id="23" w:name="_Toc247085681"/>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2022年东北营运分公司所辖高速公路路面功能性修复及预防性养护工程（万开、万云）准备组织实施，重庆通力高速公路养护工程有限公司计划以竞争性比选方式确定沥青混合料外协加工单位</w:t>
      </w:r>
      <w:r>
        <w:rPr>
          <w:rFonts w:hint="eastAsia"/>
          <w:color w:val="auto"/>
          <w:szCs w:val="21"/>
          <w:highlight w:val="none"/>
          <w:lang w:eastAsia="zh-CN"/>
        </w:rPr>
        <w:t>。</w:t>
      </w:r>
    </w:p>
    <w:p>
      <w:pPr>
        <w:spacing w:line="360" w:lineRule="auto"/>
        <w:ind w:firstLine="420" w:firstLineChars="200"/>
        <w:rPr>
          <w:rFonts w:hint="default" w:eastAsia="宋体"/>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工    期：</w:t>
      </w:r>
      <w:r>
        <w:rPr>
          <w:rFonts w:hint="eastAsia"/>
          <w:color w:val="FF0000"/>
          <w:szCs w:val="21"/>
          <w:highlight w:val="none"/>
          <w:lang w:eastAsia="zh-CN"/>
        </w:rPr>
        <w:t>项目施工开始至2022年12月31日，具体工期以业主单位及比选人工程项目实际要求（含批准延长）为准。</w:t>
      </w:r>
    </w:p>
    <w:p>
      <w:pPr>
        <w:spacing w:line="360" w:lineRule="auto"/>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lang w:eastAsia="zh-CN"/>
        </w:rPr>
        <w:t>主要工程数量：</w:t>
      </w:r>
    </w:p>
    <w:tbl>
      <w:tblPr>
        <w:tblStyle w:val="21"/>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2170"/>
        <w:gridCol w:w="2219"/>
        <w:gridCol w:w="1337"/>
        <w:gridCol w:w="142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工程位置</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产品名称</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暂定数量</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ind w:left="0" w:leftChars="0" w:firstLine="0" w:firstLine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1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b/>
                <w:sz w:val="21"/>
                <w:szCs w:val="21"/>
                <w:u w:val="single"/>
                <w:lang w:val="en-US" w:eastAsia="zh-CN"/>
              </w:rPr>
              <w:t>万开、万云段</w:t>
            </w:r>
            <w:r>
              <w:rPr>
                <w:rFonts w:hint="eastAsia" w:ascii="宋体" w:hAnsi="宋体" w:eastAsia="宋体" w:cs="宋体"/>
                <w:i w:val="0"/>
                <w:color w:val="000000"/>
                <w:kern w:val="0"/>
                <w:sz w:val="21"/>
                <w:szCs w:val="21"/>
                <w:u w:val="none"/>
                <w:lang w:val="en-US" w:eastAsia="zh-CN" w:bidi="ar"/>
              </w:rPr>
              <w:t>高速公路沿线</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SMA-13(玄武石）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eastAsia="宋体"/>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4400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AC-20C(石灰石）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ATB-25(石灰石）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514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8070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9" w:hRule="exact"/>
          <w:jc w:val="center"/>
        </w:trPr>
        <w:tc>
          <w:tcPr>
            <w:tcW w:w="9780" w:type="dxa"/>
            <w:gridSpan w:val="6"/>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沥青混合料出场单价为综合含税单价，工程量清单中的单价已包含为完成约定工作内容所需的一切费用：包括乙方拌和站生产沥青混合料所需的原材料费、人工费、机械使用费、燃料、临时水电费用、升温费、临时生活设施费、节假日加班费、安全措施费、保险费、税金、管理费、利润等相关费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比选人提供沥青、玄武岩、木质素纤维，其余所有材料（含:石灰岩、矿粉等）、燃油、机械设备、人工等均由竞标人提供。</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由比选人</w:t>
            </w:r>
            <w:r>
              <w:rPr>
                <w:rFonts w:hint="eastAsia" w:ascii="宋体" w:hAnsi="宋体" w:cs="宋体"/>
                <w:sz w:val="22"/>
                <w:szCs w:val="22"/>
                <w:lang w:val="en-US" w:eastAsia="zh-CN"/>
              </w:rPr>
              <w:t>自行</w:t>
            </w:r>
            <w:r>
              <w:rPr>
                <w:rFonts w:hint="eastAsia" w:ascii="宋体" w:hAnsi="宋体" w:eastAsia="宋体" w:cs="宋体"/>
                <w:sz w:val="22"/>
                <w:szCs w:val="22"/>
                <w:lang w:val="en-US" w:eastAsia="zh-CN"/>
              </w:rPr>
              <w:t>组织沥青混合料运输。</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sz w:val="22"/>
                <w:szCs w:val="22"/>
              </w:rPr>
              <w:t>增值税</w:t>
            </w:r>
            <w:r>
              <w:rPr>
                <w:rFonts w:hint="eastAsia" w:ascii="宋体" w:hAnsi="宋体" w:eastAsia="宋体" w:cs="宋体"/>
                <w:sz w:val="22"/>
                <w:szCs w:val="22"/>
                <w:lang w:val="en-US" w:eastAsia="zh-CN"/>
              </w:rPr>
              <w:t>税率为</w:t>
            </w:r>
            <w:r>
              <w:rPr>
                <w:rFonts w:hint="eastAsia" w:ascii="宋体" w:hAnsi="宋体" w:eastAsia="宋体" w:cs="宋体"/>
                <w:color w:val="auto"/>
                <w:sz w:val="22"/>
                <w:szCs w:val="22"/>
                <w:lang w:val="en-US" w:eastAsia="zh-CN"/>
              </w:rPr>
              <w:t xml:space="preserve">13 </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w:t>
            </w:r>
          </w:p>
        </w:tc>
      </w:tr>
    </w:tbl>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比选申请</w:t>
      </w:r>
      <w:r>
        <w:rPr>
          <w:b/>
          <w:color w:val="auto"/>
          <w:szCs w:val="21"/>
          <w:highlight w:val="none"/>
        </w:rPr>
        <w:t>人资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adjustRightInd w:val="0"/>
        <w:snapToGrid w:val="0"/>
        <w:spacing w:line="460" w:lineRule="exact"/>
        <w:ind w:firstLine="210" w:firstLineChars="100"/>
        <w:rPr>
          <w:rFonts w:hint="eastAsia"/>
          <w:color w:val="FF0000"/>
          <w:szCs w:val="21"/>
          <w:highlight w:val="none"/>
          <w:lang w:val="en-US" w:eastAsia="zh-CN"/>
        </w:rPr>
      </w:pPr>
      <w:bookmarkStart w:id="24" w:name="_Toc179632539"/>
      <w:bookmarkStart w:id="25" w:name="_Toc144974490"/>
      <w:bookmarkStart w:id="26" w:name="_Toc246996169"/>
      <w:bookmarkStart w:id="27" w:name="_Toc247085683"/>
      <w:bookmarkStart w:id="28" w:name="_Toc246996912"/>
      <w:bookmarkStart w:id="29" w:name="_Toc152042298"/>
      <w:bookmarkStart w:id="30" w:name="_Toc152045522"/>
      <w:bookmarkStart w:id="31" w:name="_Toc296602413"/>
      <w:r>
        <w:rPr>
          <w:rFonts w:hint="eastAsia"/>
          <w:color w:val="auto"/>
          <w:szCs w:val="21"/>
          <w:highlight w:val="none"/>
        </w:rPr>
        <w:t>1</w:t>
      </w:r>
      <w:r>
        <w:rPr>
          <w:rFonts w:hint="eastAsia"/>
          <w:color w:val="auto"/>
          <w:szCs w:val="21"/>
          <w:highlight w:val="none"/>
          <w:lang w:eastAsia="zh-CN"/>
        </w:rPr>
        <w:t>、</w:t>
      </w:r>
      <w:r>
        <w:rPr>
          <w:rFonts w:hint="eastAsia"/>
          <w:color w:val="FF0000"/>
          <w:szCs w:val="21"/>
          <w:highlight w:val="none"/>
          <w:lang w:val="en-US" w:eastAsia="zh-CN"/>
        </w:rPr>
        <w:t>具备独立法人资格、有效的营业执照、基本账户开户许可证。</w:t>
      </w:r>
    </w:p>
    <w:p>
      <w:pPr>
        <w:adjustRightInd w:val="0"/>
        <w:snapToGrid w:val="0"/>
        <w:spacing w:line="460" w:lineRule="exact"/>
        <w:ind w:firstLine="210" w:firstLineChars="100"/>
        <w:rPr>
          <w:rFonts w:hint="default" w:ascii="宋体" w:hAnsi="宋体"/>
          <w:bCs/>
          <w:color w:val="auto"/>
          <w:sz w:val="24"/>
          <w:highlight w:val="none"/>
          <w:lang w:val="en-US"/>
        </w:rPr>
      </w:pPr>
      <w:r>
        <w:rPr>
          <w:rFonts w:hint="eastAsia"/>
          <w:color w:val="FF0000"/>
          <w:szCs w:val="21"/>
          <w:highlight w:val="none"/>
          <w:lang w:val="en-US" w:eastAsia="zh-CN"/>
        </w:rPr>
        <w:t>2、沥青混合料拌和设备为2000型及以上（提供设备购销合同)。</w:t>
      </w:r>
    </w:p>
    <w:p>
      <w:pPr>
        <w:adjustRightInd w:val="0"/>
        <w:snapToGrid w:val="0"/>
        <w:spacing w:line="460" w:lineRule="exact"/>
        <w:ind w:firstLine="315" w:firstLineChars="150"/>
        <w:rPr>
          <w:rFonts w:hint="eastAsia"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注：</w:t>
      </w:r>
      <w:r>
        <w:rPr>
          <w:rFonts w:hint="eastAsia" w:ascii="Times New Roman" w:hAnsi="Times New Roman" w:eastAsia="宋体" w:cs="Times New Roman"/>
          <w:color w:val="FF0000"/>
          <w:szCs w:val="21"/>
          <w:highlight w:val="none"/>
          <w:lang w:val="en-US" w:eastAsia="zh-CN"/>
        </w:rPr>
        <w:t>以上材料均只需提供复印件或扫描件即可。具体要求根据实际进行设置。</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13</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b/>
          <w:bCs/>
          <w:color w:val="FF0000"/>
          <w:szCs w:val="21"/>
          <w:highlight w:val="none"/>
          <w:u w:val="single"/>
          <w:lang w:val="en-US" w:eastAsia="zh-CN"/>
        </w:rPr>
        <w:t>1272950元（大写：壹佰贰拾柒万贰仟玖佰伍拾整）</w:t>
      </w:r>
      <w:r>
        <w:rPr>
          <w:rFonts w:hint="eastAsia"/>
          <w:color w:val="auto"/>
          <w:szCs w:val="21"/>
          <w:highlight w:val="none"/>
          <w:lang w:val="en-US" w:eastAsia="zh-CN"/>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2" w:firstLineChars="200"/>
        <w:outlineLvl w:val="0"/>
        <w:rPr>
          <w:rFonts w:hint="eastAsia"/>
          <w:color w:val="auto"/>
          <w:szCs w:val="21"/>
          <w:highlight w:val="none"/>
        </w:rPr>
      </w:pPr>
      <w:r>
        <w:rPr>
          <w:rFonts w:hint="eastAsia"/>
          <w:b/>
          <w:bCs/>
          <w:color w:val="auto"/>
          <w:szCs w:val="21"/>
          <w:highlight w:val="none"/>
        </w:rPr>
        <w:t>注：</w:t>
      </w:r>
      <w:r>
        <w:rPr>
          <w:rFonts w:hint="eastAsia"/>
          <w:b/>
          <w:bCs/>
          <w:color w:val="auto"/>
          <w:szCs w:val="21"/>
          <w:highlight w:val="none"/>
          <w:lang w:eastAsia="zh-CN"/>
        </w:rPr>
        <w:t>比选申请人</w:t>
      </w:r>
      <w:r>
        <w:rPr>
          <w:rFonts w:hint="eastAsia"/>
          <w:b/>
          <w:bCs/>
          <w:color w:val="auto"/>
          <w:szCs w:val="21"/>
          <w:highlight w:val="none"/>
        </w:rPr>
        <w:t>的竞标报价均不得超过</w:t>
      </w:r>
      <w:r>
        <w:rPr>
          <w:rFonts w:hint="eastAsia"/>
          <w:b/>
          <w:bCs/>
          <w:color w:val="auto"/>
          <w:szCs w:val="21"/>
          <w:highlight w:val="none"/>
          <w:lang w:eastAsia="zh-CN"/>
        </w:rPr>
        <w:t>比选人</w:t>
      </w:r>
      <w:r>
        <w:rPr>
          <w:rFonts w:hint="eastAsia"/>
          <w:b/>
          <w:bCs/>
          <w:color w:val="auto"/>
          <w:szCs w:val="21"/>
          <w:highlight w:val="none"/>
        </w:rPr>
        <w:t>公布的</w:t>
      </w:r>
      <w:r>
        <w:rPr>
          <w:rFonts w:hint="eastAsia"/>
          <w:b/>
          <w:bCs/>
          <w:color w:val="auto"/>
          <w:szCs w:val="21"/>
          <w:highlight w:val="none"/>
          <w:lang w:eastAsia="zh-CN"/>
        </w:rPr>
        <w:t>相应</w:t>
      </w:r>
      <w:r>
        <w:rPr>
          <w:rFonts w:hint="eastAsia"/>
          <w:b/>
          <w:bCs/>
          <w:color w:val="auto"/>
          <w:szCs w:val="21"/>
          <w:highlight w:val="none"/>
        </w:rPr>
        <w:t>最高限价否则均为无效竞标</w:t>
      </w:r>
      <w:r>
        <w:rPr>
          <w:rFonts w:hint="eastAsia"/>
          <w:b/>
          <w:bCs/>
          <w:color w:val="auto"/>
          <w:szCs w:val="21"/>
          <w:highlight w:val="none"/>
          <w:lang w:eastAsia="zh-CN"/>
        </w:rPr>
        <w:t>（</w:t>
      </w:r>
      <w:r>
        <w:rPr>
          <w:rFonts w:hint="eastAsia"/>
          <w:b/>
          <w:bCs/>
          <w:color w:val="auto"/>
          <w:szCs w:val="21"/>
          <w:highlight w:val="none"/>
          <w:lang w:val="en-US" w:eastAsia="zh-CN"/>
        </w:rPr>
        <w:t>如有单价限价，比选申请人所报的单价不能超过单价限价</w:t>
      </w:r>
      <w:r>
        <w:rPr>
          <w:rFonts w:hint="eastAsia"/>
          <w:b/>
          <w:bCs/>
          <w:color w:val="auto"/>
          <w:szCs w:val="21"/>
          <w:highlight w:val="none"/>
          <w:lang w:eastAsia="zh-CN"/>
        </w:rPr>
        <w:t>）</w:t>
      </w:r>
      <w:r>
        <w:rPr>
          <w:rFonts w:hint="eastAsia"/>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、沥青混合料质量：成品质量检验不低于（JTGF40-2004）《公路沥青路面施工技术规范》、JTGE20-2011）《公路工程沥青及沥青混合料试验规程》要求及甲方级配要求及质量要求。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、沥青：由甲方提供SBS改性沥青、70#A级沥青，乙方应提供2个标配沥青罐（每个沥青罐容量≥50吨）供甲方使用，沥青混合料运输由甲方自行负责。</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、甲方提供原材料包括：沥青、玄武岩、木质素纤维。乙方提供原材料包括：生产加工所需石灰岩碎石、所需的外掺新矿粉、石屑、机械设备、燃油、人工费用等。</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、上述材料加工单价中已包含相关税金，结算时乙方需按甲方要求提供相应的增值税专用发票，且抵扣税率为13%。</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（注：以上所有文件须加盖单位公章）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numPr>
          <w:ilvl w:val="0"/>
          <w:numId w:val="3"/>
        </w:numPr>
        <w:spacing w:line="360" w:lineRule="auto"/>
        <w:ind w:firstLine="422" w:firstLineChars="200"/>
        <w:rPr>
          <w:rFonts w:hint="eastAsia"/>
          <w:b/>
          <w:bCs/>
        </w:rPr>
      </w:pP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p>
    <w:p>
      <w:pPr>
        <w:numPr>
          <w:ilvl w:val="0"/>
          <w:numId w:val="0"/>
        </w:numPr>
        <w:spacing w:line="360" w:lineRule="auto"/>
        <w:ind w:firstLine="420" w:firstLineChars="200"/>
        <w:rPr>
          <w:rFonts w:hint="eastAsia" w:ascii="宋体" w:hAnsi="宋体"/>
          <w:bCs/>
          <w:szCs w:val="21"/>
        </w:rPr>
      </w:pPr>
      <w:r>
        <w:rPr>
          <w:rFonts w:hint="eastAsia" w:ascii="宋体" w:hAnsi="宋体" w:cs="宋体"/>
          <w:bCs/>
          <w:color w:val="auto"/>
          <w:szCs w:val="21"/>
          <w:highlight w:val="none"/>
          <w:lang w:val="en-US" w:eastAsia="zh-CN"/>
        </w:rPr>
        <w:t>4.1</w:t>
      </w:r>
      <w:r>
        <w:rPr>
          <w:rFonts w:hint="eastAsia" w:ascii="宋体" w:hAnsi="宋体"/>
          <w:bCs/>
          <w:szCs w:val="21"/>
        </w:rPr>
        <w:t>本项目采用经评审的最低价法，在满足比选文件要求的前提下，评标委员会根据综合报价从低到高的先后顺序推荐中标候选人。若在满足比选文件所有要求前提下，最低综合报价相同的时候，则进行第二轮报价。请各报价单位结合自身情况及市场行情进行报价。</w:t>
      </w:r>
    </w:p>
    <w:p>
      <w:pPr>
        <w:numPr>
          <w:ilvl w:val="0"/>
          <w:numId w:val="0"/>
        </w:numPr>
        <w:spacing w:line="360" w:lineRule="auto"/>
        <w:ind w:firstLine="422" w:firstLineChars="200"/>
        <w:rPr>
          <w:rFonts w:hint="eastAsia" w:ascii="宋体" w:hAnsi="宋体" w:cs="宋体"/>
          <w:b/>
          <w:bCs/>
          <w:lang w:eastAsia="zh-CN"/>
        </w:rPr>
      </w:pPr>
      <w:r>
        <w:rPr>
          <w:rFonts w:hint="eastAsia" w:ascii="宋体" w:hAnsi="宋体" w:eastAsia="宋体" w:cs="宋体"/>
          <w:b/>
          <w:bCs/>
          <w:lang w:val="en-US" w:eastAsia="zh-CN"/>
        </w:rPr>
        <w:t>4.2</w:t>
      </w:r>
      <w:r>
        <w:rPr>
          <w:rFonts w:hint="eastAsia" w:ascii="宋体" w:hAnsi="宋体" w:eastAsia="宋体" w:cs="宋体"/>
          <w:b/>
          <w:bCs/>
          <w:szCs w:val="21"/>
          <w:lang w:eastAsia="zh-CN"/>
        </w:rPr>
        <w:t>具体</w:t>
      </w:r>
      <w:r>
        <w:rPr>
          <w:rFonts w:hint="eastAsia" w:ascii="宋体" w:hAnsi="宋体" w:eastAsia="宋体" w:cs="宋体"/>
          <w:b/>
          <w:bCs/>
        </w:rPr>
        <w:t>评标标准按：竞价人拌合站沥青混合料出厂总报价+（比选人运输单价*拌合站距指定地点（G42沪蓉高速</w:t>
      </w:r>
      <w:r>
        <w:rPr>
          <w:rFonts w:hint="eastAsia" w:ascii="宋体" w:hAnsi="宋体" w:cs="宋体"/>
          <w:b/>
          <w:bCs/>
          <w:lang w:val="en-US" w:eastAsia="zh-CN"/>
        </w:rPr>
        <w:t>小周</w:t>
      </w:r>
      <w:r>
        <w:rPr>
          <w:rFonts w:hint="eastAsia" w:ascii="宋体" w:hAnsi="宋体" w:eastAsia="宋体" w:cs="宋体"/>
          <w:b/>
          <w:bCs/>
        </w:rPr>
        <w:t>收费站）重载运距公里数*沥青混合料预计生产量）进行评标。</w:t>
      </w:r>
    </w:p>
    <w:p>
      <w:pPr>
        <w:numPr>
          <w:ilvl w:val="0"/>
          <w:numId w:val="0"/>
        </w:numPr>
        <w:spacing w:line="360" w:lineRule="auto"/>
        <w:ind w:firstLine="422" w:firstLineChars="200"/>
        <w:rPr>
          <w:rFonts w:hint="eastAsia"/>
          <w:b/>
          <w:bCs/>
        </w:rPr>
      </w:pPr>
      <w:r>
        <w:rPr>
          <w:rFonts w:hint="eastAsia"/>
          <w:b/>
          <w:bCs/>
        </w:rPr>
        <w:t>具体评审标准详见下表</w:t>
      </w:r>
    </w:p>
    <w:tbl>
      <w:tblPr>
        <w:tblStyle w:val="2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color w:val="auto"/>
                <w:szCs w:val="21"/>
                <w:highlight w:val="none"/>
                <w:lang w:val="en-US" w:eastAsia="zh-CN"/>
              </w:rPr>
              <w:t>基本账户开户许可证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设备型号要求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4"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由同一单位或者个人编制；</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auto"/>
                <w:szCs w:val="21"/>
                <w:highlight w:val="none"/>
              </w:rPr>
            </w:pPr>
            <w:r>
              <w:rPr>
                <w:rFonts w:hint="eastAsia"/>
                <w:lang w:val="en-US" w:eastAsia="zh-CN"/>
              </w:rPr>
              <w:t xml:space="preserve">  若报名家数大于等于三家，则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rPr>
          <w:rFonts w:hint="eastAsia"/>
          <w:b/>
          <w:bCs/>
          <w:szCs w:val="21"/>
          <w:lang w:val="en-US" w:eastAsia="zh-CN"/>
        </w:rPr>
      </w:pPr>
    </w:p>
    <w:p>
      <w:pPr>
        <w:spacing w:line="360" w:lineRule="auto"/>
        <w:rPr>
          <w:rFonts w:hint="eastAsia"/>
          <w:b/>
          <w:bCs/>
          <w:szCs w:val="21"/>
        </w:rPr>
      </w:pPr>
      <w:r>
        <w:rPr>
          <w:rFonts w:hint="eastAsia"/>
          <w:b/>
          <w:bCs/>
          <w:szCs w:val="21"/>
          <w:lang w:val="en-US" w:eastAsia="zh-CN"/>
        </w:rPr>
        <w:t>五</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 乙方向甲方“采用从第一次进度支付款中进行扣除的方式”缴纳履约保证金：100000元（大写:壹拾万元整）。第一次进度支付款为乙方该项目生产的合格的沥青混合料数量达到合同总量的30%时，乙方开具其全额发票，甲方从中扣除100000元作为履约保证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2、</w:t>
      </w:r>
      <w:r>
        <w:rPr>
          <w:rFonts w:hint="eastAsia"/>
          <w:szCs w:val="21"/>
        </w:rPr>
        <w:t>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3、</w:t>
      </w:r>
      <w:r>
        <w:rPr>
          <w:rFonts w:hint="eastAsia"/>
          <w:szCs w:val="21"/>
        </w:rPr>
        <w:t>合同有效期间，如果乙方无正当理由单方面解除、终止合同或因乙方原因导致合同无法履行的，甲方将不予退还其履约保证金。事项，在合同终止后1个月退还。</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highlight w:val="none"/>
        </w:rPr>
        <w:t>（一）</w:t>
      </w:r>
      <w:r>
        <w:rPr>
          <w:rFonts w:hint="eastAsia" w:ascii="宋体" w:hAnsi="宋体" w:cs="宋体"/>
          <w:color w:val="FF0000"/>
          <w:szCs w:val="21"/>
        </w:rPr>
        <w:t>竞争性比选文件获取方式：凡愿意参加的潜在竞标人，从挂网日起至竞争性比选响应文件递交截止时间前，在重庆高速集团官网（</w:t>
      </w:r>
      <w:r>
        <w:rPr>
          <w:rFonts w:hint="eastAsia" w:ascii="宋体" w:hAnsi="宋体" w:cs="宋体"/>
          <w:color w:val="FF000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http://43.240.249.108:8088/PMS/）上发布的本项目竞争性比选公告中的获取方式自行下载。不管竞标人是否下载，均视为已知晓竞争性比选文件的全部内容和有关事宜。本项目不需要报名，直接投标 。</w:t>
      </w:r>
      <w:r>
        <w:commentReference w:id="0"/>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FF0000"/>
          <w:szCs w:val="21"/>
          <w:highlight w:val="none"/>
        </w:rPr>
        <w:t>（二）</w:t>
      </w:r>
      <w:r>
        <w:rPr>
          <w:rFonts w:hint="eastAsia" w:ascii="宋体" w:hAnsi="宋体" w:cs="宋体"/>
          <w:color w:val="FF0000"/>
          <w:szCs w:val="21"/>
        </w:rPr>
        <w:t>竞争性比选公告及结果公示将在重庆高速集团官网（</w:t>
      </w:r>
      <w:r>
        <w:rPr>
          <w:rFonts w:hint="eastAsia" w:ascii="宋体" w:hAnsi="宋体" w:cs="宋体"/>
          <w:color w:val="FF0000"/>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w:t>
      </w:r>
      <w:r>
        <w:rPr>
          <w:rFonts w:hint="eastAsia" w:ascii="宋体" w:hAnsi="宋体" w:cs="宋体"/>
          <w:color w:val="FF0000"/>
          <w:szCs w:val="21"/>
          <w:lang w:eastAsia="zh-CN"/>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cs="宋体"/>
          <w:b/>
          <w:bCs/>
          <w:color w:val="0000FF"/>
          <w:szCs w:val="21"/>
        </w:rPr>
        <w:t>重庆通力高速公路养护工程有限公司306室（重庆市沙坪坝区梨高路沙坪坝区档案馆旁）</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yellow"/>
          <w:u w:val="single"/>
        </w:rPr>
        <w:t>年</w:t>
      </w:r>
      <w:r>
        <w:rPr>
          <w:rFonts w:hint="eastAsia" w:ascii="宋体" w:hAnsi="宋体" w:cs="宋体"/>
          <w:color w:val="auto"/>
          <w:szCs w:val="21"/>
          <w:highlight w:val="yellow"/>
          <w:u w:val="single"/>
          <w:lang w:val="en-US" w:eastAsia="zh-CN"/>
        </w:rPr>
        <w:t>4</w:t>
      </w:r>
      <w:r>
        <w:rPr>
          <w:rFonts w:hint="eastAsia" w:ascii="宋体" w:hAnsi="宋体" w:cs="宋体"/>
          <w:color w:val="auto"/>
          <w:szCs w:val="21"/>
          <w:highlight w:val="yellow"/>
          <w:u w:val="single"/>
        </w:rPr>
        <w:t>月</w:t>
      </w:r>
      <w:r>
        <w:rPr>
          <w:rFonts w:hint="eastAsia" w:ascii="宋体" w:hAnsi="宋体" w:cs="宋体"/>
          <w:color w:val="auto"/>
          <w:szCs w:val="21"/>
          <w:highlight w:val="yellow"/>
          <w:u w:val="single"/>
          <w:lang w:val="en-US" w:eastAsia="zh-CN"/>
        </w:rPr>
        <w:t>29</w:t>
      </w:r>
      <w:r>
        <w:rPr>
          <w:rFonts w:hint="eastAsia" w:ascii="宋体" w:hAnsi="宋体" w:cs="宋体"/>
          <w:color w:val="auto"/>
          <w:szCs w:val="21"/>
          <w:highlight w:val="yellow"/>
          <w:u w:val="single"/>
        </w:rPr>
        <w:t>日</w:t>
      </w:r>
      <w:r>
        <w:rPr>
          <w:rFonts w:hint="eastAsia" w:ascii="宋体" w:hAnsi="宋体" w:cs="宋体"/>
          <w:color w:val="auto"/>
          <w:szCs w:val="21"/>
          <w:highlight w:val="yellow"/>
          <w:u w:val="single"/>
          <w:lang w:val="en-US" w:eastAsia="zh-CN"/>
        </w:rPr>
        <w:t>15</w:t>
      </w:r>
      <w:r>
        <w:rPr>
          <w:rFonts w:hint="eastAsia" w:ascii="宋体" w:hAnsi="宋体" w:cs="宋体"/>
          <w:color w:val="auto"/>
          <w:szCs w:val="21"/>
          <w:highlight w:val="yellow"/>
          <w:u w:val="single"/>
        </w:rPr>
        <w:t>时</w:t>
      </w:r>
      <w:bookmarkStart w:id="35" w:name="_GoBack"/>
      <w:bookmarkEnd w:id="35"/>
      <w:r>
        <w:rPr>
          <w:rFonts w:hint="eastAsia" w:ascii="宋体" w:hAnsi="宋体" w:cs="宋体"/>
          <w:color w:val="auto"/>
          <w:szCs w:val="21"/>
          <w:highlight w:val="yellow"/>
          <w:u w:val="single"/>
          <w:lang w:val="en-US" w:eastAsia="zh-CN"/>
        </w:rPr>
        <w:t>30</w:t>
      </w:r>
      <w:r>
        <w:rPr>
          <w:rFonts w:hint="eastAsia" w:ascii="宋体" w:hAnsi="宋体" w:cs="宋体"/>
          <w:color w:val="auto"/>
          <w:szCs w:val="21"/>
          <w:highlight w:val="yellow"/>
          <w:u w:val="singl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single"/>
          <w:lang w:val="en-US" w:eastAsia="zh-CN"/>
        </w:rPr>
        <w:t>2022年东北营运分公司所辖高速公路路面功能性修复及预防性养护工程（万开、万云）沥青混合料</w:t>
      </w:r>
    </w:p>
    <w:p>
      <w:pPr>
        <w:spacing w:line="360" w:lineRule="exact"/>
        <w:ind w:firstLine="420" w:firstLineChars="200"/>
        <w:jc w:val="center"/>
        <w:rPr>
          <w:rFonts w:hint="eastAsia" w:ascii="宋体" w:hAnsi="宋体" w:cs="宋体"/>
          <w:b w:val="0"/>
          <w:bCs w:val="0"/>
          <w:color w:val="auto"/>
          <w:szCs w:val="21"/>
          <w:highlight w:val="none"/>
          <w:u w:val="single"/>
        </w:rPr>
      </w:pPr>
      <w:r>
        <w:rPr>
          <w:rFonts w:hint="eastAsia" w:ascii="宋体" w:hAnsi="宋体" w:cs="宋体"/>
          <w:b w:val="0"/>
          <w:bCs w:val="0"/>
          <w:color w:val="auto"/>
          <w:szCs w:val="21"/>
          <w:highlight w:val="none"/>
          <w:u w:val="single"/>
          <w:lang w:val="en-US" w:eastAsia="zh-CN"/>
        </w:rPr>
        <w:t>外协加工</w:t>
      </w:r>
      <w:r>
        <w:rPr>
          <w:rFonts w:hint="eastAsia" w:ascii="宋体" w:hAnsi="宋体" w:cs="宋体"/>
          <w:b w:val="0"/>
          <w:bCs w:val="0"/>
          <w:color w:val="auto"/>
          <w:szCs w:val="21"/>
          <w:highlight w:val="none"/>
          <w:u w:val="single"/>
          <w:lang w:eastAsia="zh-CN"/>
        </w:rPr>
        <w:t>比选申请</w:t>
      </w:r>
      <w:r>
        <w:rPr>
          <w:rFonts w:hint="eastAsia" w:ascii="宋体" w:hAnsi="宋体" w:cs="宋体"/>
          <w:b w:val="0"/>
          <w:bCs w:val="0"/>
          <w:color w:val="auto"/>
          <w:szCs w:val="21"/>
          <w:highlight w:val="none"/>
          <w:u w:val="single"/>
        </w:rPr>
        <w:t>文件</w:t>
      </w:r>
    </w:p>
    <w:p>
      <w:pPr>
        <w:spacing w:line="360" w:lineRule="exact"/>
        <w:ind w:firstLine="420" w:firstLineChars="200"/>
        <w:jc w:val="center"/>
        <w:rPr>
          <w:rFonts w:hint="eastAsia" w:ascii="宋体" w:hAnsi="宋体" w:cs="宋体"/>
          <w:color w:val="0000FF"/>
          <w:szCs w:val="21"/>
          <w:highlight w:val="yellow"/>
          <w:u w:val="single"/>
        </w:rPr>
      </w:pPr>
      <w:r>
        <w:rPr>
          <w:rFonts w:hint="eastAsia" w:ascii="宋体" w:hAnsi="宋体" w:cs="宋体"/>
          <w:color w:val="0000FF"/>
          <w:szCs w:val="21"/>
          <w:highlight w:val="yellow"/>
          <w:u w:val="single"/>
        </w:rPr>
        <w:t>在</w:t>
      </w:r>
      <w:r>
        <w:rPr>
          <w:rFonts w:hint="eastAsia" w:ascii="宋体" w:hAnsi="宋体" w:cs="宋体"/>
          <w:color w:val="0000FF"/>
          <w:szCs w:val="21"/>
          <w:highlight w:val="yellow"/>
          <w:u w:val="single"/>
          <w:lang w:val="en-US" w:eastAsia="zh-CN"/>
        </w:rPr>
        <w:t>2022</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4</w:t>
      </w:r>
      <w:r>
        <w:rPr>
          <w:rFonts w:hint="eastAsia" w:ascii="宋体" w:hAnsi="宋体" w:cs="宋体"/>
          <w:color w:val="0000FF"/>
          <w:szCs w:val="21"/>
          <w:highlight w:val="yellow"/>
          <w:u w:val="single"/>
        </w:rPr>
        <w:t>月</w:t>
      </w:r>
      <w:r>
        <w:rPr>
          <w:rFonts w:hint="eastAsia" w:ascii="宋体" w:hAnsi="宋体" w:cs="宋体"/>
          <w:color w:val="0000FF"/>
          <w:szCs w:val="21"/>
          <w:highlight w:val="yellow"/>
          <w:u w:val="single"/>
          <w:lang w:val="en-US" w:eastAsia="zh-CN"/>
        </w:rPr>
        <w:t>29</w:t>
      </w:r>
      <w:r>
        <w:rPr>
          <w:rFonts w:hint="eastAsia" w:ascii="宋体" w:hAnsi="宋体" w:cs="宋体"/>
          <w:color w:val="0000FF"/>
          <w:szCs w:val="21"/>
          <w:highlight w:val="yellow"/>
          <w:u w:val="single"/>
        </w:rPr>
        <w:t>日</w:t>
      </w:r>
      <w:r>
        <w:rPr>
          <w:rFonts w:hint="eastAsia" w:ascii="宋体" w:hAnsi="宋体" w:cs="宋体"/>
          <w:color w:val="0000FF"/>
          <w:szCs w:val="21"/>
          <w:highlight w:val="yellow"/>
          <w:u w:val="single"/>
          <w:lang w:val="en-US" w:eastAsia="zh-CN"/>
        </w:rPr>
        <w:t>15</w:t>
      </w:r>
      <w:r>
        <w:rPr>
          <w:rFonts w:hint="eastAsia" w:ascii="宋体" w:hAnsi="宋体" w:cs="宋体"/>
          <w:color w:val="0000FF"/>
          <w:szCs w:val="21"/>
          <w:highlight w:val="yellow"/>
          <w:u w:val="single"/>
        </w:rPr>
        <w:t>时</w:t>
      </w:r>
      <w:r>
        <w:rPr>
          <w:rFonts w:hint="eastAsia" w:ascii="宋体" w:hAnsi="宋体" w:cs="宋体"/>
          <w:color w:val="0000FF"/>
          <w:szCs w:val="21"/>
          <w:highlight w:val="yellow"/>
          <w:u w:val="single"/>
          <w:lang w:val="en-US" w:eastAsia="zh-CN"/>
        </w:rPr>
        <w:t>30</w:t>
      </w:r>
      <w:r>
        <w:rPr>
          <w:rFonts w:hint="eastAsia" w:ascii="宋体" w:hAnsi="宋体" w:cs="宋体"/>
          <w:color w:val="0000FF"/>
          <w:szCs w:val="21"/>
          <w:highlight w:val="yellow"/>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rPr>
        <w:t>地址：</w:t>
      </w:r>
      <w:r>
        <w:rPr>
          <w:rFonts w:hint="eastAsia" w:ascii="宋体" w:hAnsi="宋体" w:cs="宋体"/>
          <w:b/>
          <w:bCs/>
          <w:color w:val="0000FF"/>
          <w:szCs w:val="21"/>
          <w:highlight w:val="yellow"/>
        </w:rPr>
        <w:t>重庆通力高速公路养护工程有限公司306室（重庆市沙坪坝区梨高路沙坪坝区档案馆旁）</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秦老师  电话：13008306090</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2"/>
        <w:rPr>
          <w:color w:val="auto"/>
          <w:highlight w:val="none"/>
        </w:rPr>
      </w:pPr>
    </w:p>
    <w:p>
      <w:pPr>
        <w:spacing w:line="360" w:lineRule="auto"/>
        <w:jc w:val="center"/>
        <w:rPr>
          <w:rFonts w:hint="eastAsia"/>
          <w:b/>
          <w:color w:val="auto"/>
          <w:sz w:val="24"/>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color w:val="auto"/>
          <w:highlight w:val="none"/>
          <w:lang w:eastAsia="zh-CN"/>
        </w:rPr>
        <w:br w:type="page"/>
      </w:r>
      <w:r>
        <w:rPr>
          <w:rFonts w:hint="eastAsia" w:ascii="宋体" w:hAnsi="宋体" w:cs="宋体"/>
          <w:b/>
          <w:color w:val="auto"/>
          <w:sz w:val="21"/>
          <w:szCs w:val="21"/>
          <w:highlight w:val="none"/>
        </w:rPr>
        <w:t xml:space="preserve">  </w:t>
      </w: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w:t>
      </w:r>
      <w:r>
        <w:rPr>
          <w:rFonts w:hint="eastAsia" w:ascii="宋体" w:hAnsi="宋体" w:eastAsia="宋体" w:cs="宋体"/>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2"/>
          <w:szCs w:val="22"/>
          <w:highlight w:val="none"/>
          <w:u w:val="single"/>
          <w:lang w:val="en-US" w:eastAsia="zh-CN"/>
        </w:rPr>
        <w:t>重庆通力高速公路养护工程有限公司306室（重庆市沙坪坝区梨高路沙坪坝区档案馆旁）</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cs="宋体"/>
          <w:color w:val="auto"/>
          <w:sz w:val="24"/>
          <w:szCs w:val="24"/>
          <w:highlight w:val="none"/>
          <w:lang w:val="en-US" w:eastAsia="zh-CN"/>
        </w:rPr>
        <w:t>XXXX</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XXXXXX</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甲方因</w:t>
      </w:r>
      <w:r>
        <w:rPr>
          <w:rFonts w:hint="eastAsia" w:ascii="宋体" w:hAnsi="宋体" w:eastAsia="宋体" w:cs="宋体"/>
          <w:b/>
          <w:sz w:val="24"/>
          <w:szCs w:val="24"/>
          <w:u w:val="single"/>
          <w:lang w:val="en-US" w:eastAsia="zh-CN"/>
        </w:rPr>
        <w:t>2022年东北营运分公司所辖高速公路路面功能性修复及预防性养护工程（万开、万云）沥青混合料外协加工</w:t>
      </w:r>
      <w:r>
        <w:rPr>
          <w:rFonts w:hint="eastAsia" w:ascii="宋体" w:hAnsi="宋体" w:eastAsia="宋体" w:cs="宋体"/>
          <w:b w:val="0"/>
          <w:bCs w:val="0"/>
          <w:sz w:val="24"/>
          <w:szCs w:val="24"/>
          <w:u w:val="none"/>
          <w:lang w:val="en-US" w:eastAsia="zh-CN"/>
        </w:rPr>
        <w:t>沥青路面</w:t>
      </w:r>
      <w:r>
        <w:rPr>
          <w:rFonts w:hint="eastAsia" w:ascii="宋体" w:hAnsi="宋体" w:eastAsia="宋体" w:cs="宋体"/>
          <w:sz w:val="24"/>
          <w:szCs w:val="24"/>
        </w:rPr>
        <w:t>施工需要，现将</w:t>
      </w:r>
      <w:r>
        <w:rPr>
          <w:rFonts w:hint="eastAsia" w:ascii="宋体" w:hAnsi="宋体" w:eastAsia="宋体" w:cs="宋体"/>
          <w:b/>
          <w:sz w:val="24"/>
          <w:szCs w:val="24"/>
          <w:u w:val="single"/>
        </w:rPr>
        <w:t>沥青混合料</w:t>
      </w:r>
      <w:r>
        <w:rPr>
          <w:rFonts w:hint="eastAsia" w:ascii="宋体" w:hAnsi="宋体" w:eastAsia="宋体" w:cs="宋体"/>
          <w:b/>
          <w:sz w:val="24"/>
          <w:szCs w:val="24"/>
          <w:u w:val="single"/>
          <w:lang w:eastAsia="zh-CN"/>
        </w:rPr>
        <w:t>加工</w:t>
      </w:r>
      <w:r>
        <w:rPr>
          <w:rFonts w:hint="eastAsia" w:ascii="宋体" w:hAnsi="宋体" w:eastAsia="宋体" w:cs="宋体"/>
          <w:sz w:val="24"/>
          <w:szCs w:val="24"/>
        </w:rPr>
        <w:t>委托给乙方</w:t>
      </w:r>
      <w:r>
        <w:rPr>
          <w:rFonts w:hint="eastAsia" w:ascii="宋体" w:hAnsi="宋体" w:eastAsia="宋体" w:cs="宋体"/>
          <w:sz w:val="24"/>
          <w:szCs w:val="24"/>
          <w:lang w:val="en-US" w:eastAsia="zh-CN"/>
        </w:rPr>
        <w:t>实施</w:t>
      </w:r>
      <w:r>
        <w:rPr>
          <w:rFonts w:hint="eastAsia" w:ascii="宋体" w:hAnsi="宋体" w:eastAsia="宋体" w:cs="宋体"/>
          <w:sz w:val="24"/>
          <w:szCs w:val="24"/>
        </w:rPr>
        <w:t>。为明确双方的责任、权利、义务，依照《中华人民共和国民法典》及其他有关法律法规，双方在遵循平等、自愿、公正、诚信的原则基础上，经共同协商，达成一致意见，特签订本合同</w:t>
      </w:r>
      <w:r>
        <w:rPr>
          <w:rFonts w:hint="eastAsia" w:ascii="宋体" w:hAnsi="宋体" w:eastAsia="宋体" w:cs="宋体"/>
          <w:sz w:val="24"/>
          <w:szCs w:val="24"/>
          <w:lang w:eastAsia="zh-CN"/>
        </w:rPr>
        <w:t>。</w:t>
      </w:r>
    </w:p>
    <w:p>
      <w:pPr>
        <w:pStyle w:val="2"/>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沥青混合料类型、单价、数量、金额：</w:t>
      </w:r>
    </w:p>
    <w:tbl>
      <w:tblPr>
        <w:tblStyle w:val="21"/>
        <w:tblW w:w="9377" w:type="dxa"/>
        <w:tblInd w:w="98" w:type="dxa"/>
        <w:tblLayout w:type="fixed"/>
        <w:tblCellMar>
          <w:top w:w="0" w:type="dxa"/>
          <w:left w:w="108" w:type="dxa"/>
          <w:bottom w:w="0" w:type="dxa"/>
          <w:right w:w="108" w:type="dxa"/>
        </w:tblCellMar>
      </w:tblPr>
      <w:tblGrid>
        <w:gridCol w:w="854"/>
        <w:gridCol w:w="2096"/>
        <w:gridCol w:w="1197"/>
        <w:gridCol w:w="1102"/>
        <w:gridCol w:w="744"/>
        <w:gridCol w:w="879"/>
        <w:gridCol w:w="1380"/>
        <w:gridCol w:w="1125"/>
      </w:tblGrid>
      <w:tr>
        <w:tblPrEx>
          <w:tblCellMar>
            <w:top w:w="0" w:type="dxa"/>
            <w:left w:w="108" w:type="dxa"/>
            <w:bottom w:w="0" w:type="dxa"/>
            <w:right w:w="108" w:type="dxa"/>
          </w:tblCellMar>
        </w:tblPrEx>
        <w:trPr>
          <w:trHeight w:val="310" w:hRule="atLeast"/>
        </w:trPr>
        <w:tc>
          <w:tcPr>
            <w:tcW w:w="9377" w:type="dxa"/>
            <w:gridSpan w:val="8"/>
            <w:tcBorders>
              <w:top w:val="nil"/>
              <w:left w:val="nil"/>
              <w:bottom w:val="single" w:color="000000" w:sz="8" w:space="0"/>
              <w:right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54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工程位置</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产品规格型号</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（元/吨）</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color w:val="000000"/>
                <w:kern w:val="0"/>
                <w:sz w:val="21"/>
                <w:szCs w:val="21"/>
                <w:u w:val="none"/>
                <w:lang w:val="en-US" w:eastAsia="zh-CN" w:bidi="ar"/>
              </w:rPr>
              <w:t>1</w:t>
            </w:r>
          </w:p>
        </w:tc>
        <w:tc>
          <w:tcPr>
            <w:tcW w:w="209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b/>
                <w:sz w:val="21"/>
                <w:szCs w:val="21"/>
                <w:u w:val="single"/>
                <w:lang w:val="en-US" w:eastAsia="zh-CN"/>
              </w:rPr>
              <w:t>万开、万云段</w:t>
            </w:r>
            <w:r>
              <w:rPr>
                <w:rFonts w:hint="eastAsia" w:ascii="宋体" w:hAnsi="宋体" w:eastAsia="宋体" w:cs="宋体"/>
                <w:i w:val="0"/>
                <w:color w:val="000000"/>
                <w:kern w:val="0"/>
                <w:sz w:val="21"/>
                <w:szCs w:val="21"/>
                <w:u w:val="none"/>
                <w:lang w:val="en-US" w:eastAsia="zh-CN" w:bidi="ar"/>
              </w:rPr>
              <w:t>高速公路沿线</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SMA-13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eastAsia="宋体"/>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4400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2</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AC-20C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3</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ATB-25</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石灰岩</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13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合  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8070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36" w:hRule="atLeast"/>
        </w:trPr>
        <w:tc>
          <w:tcPr>
            <w:tcW w:w="9377" w:type="dxa"/>
            <w:gridSpan w:val="8"/>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2、工程量清单中所列工程数量为暂定数量，不能作为最终结算与支付的依据，最终数量以甲方代表确认的实际生产的合格数量为准。</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i w:val="0"/>
                <w:iCs w:val="0"/>
                <w:color w:val="000000"/>
                <w:sz w:val="21"/>
                <w:szCs w:val="21"/>
                <w:u w:val="none"/>
              </w:rPr>
            </w:pPr>
            <w:r>
              <w:rPr>
                <w:rFonts w:hint="eastAsia" w:ascii="宋体" w:hAnsi="宋体" w:eastAsia="宋体" w:cs="宋体"/>
                <w:sz w:val="24"/>
                <w:szCs w:val="22"/>
                <w:lang w:val="en-US" w:eastAsia="zh-CN"/>
              </w:rPr>
              <w:t>4、</w:t>
            </w:r>
            <w:r>
              <w:rPr>
                <w:rFonts w:hint="eastAsia" w:ascii="宋体" w:hAnsi="宋体" w:eastAsia="宋体" w:cs="宋体"/>
                <w:sz w:val="24"/>
                <w:szCs w:val="22"/>
              </w:rPr>
              <w:t>增值税</w:t>
            </w:r>
            <w:r>
              <w:rPr>
                <w:rFonts w:hint="eastAsia" w:ascii="宋体" w:hAnsi="宋体" w:eastAsia="宋体" w:cs="宋体"/>
                <w:sz w:val="24"/>
                <w:szCs w:val="22"/>
                <w:lang w:val="en-US" w:eastAsia="zh-CN"/>
              </w:rPr>
              <w:t>税率为</w:t>
            </w:r>
            <w:r>
              <w:rPr>
                <w:rFonts w:hint="eastAsia" w:ascii="宋体" w:hAnsi="宋体" w:eastAsia="宋体" w:cs="宋体"/>
                <w:color w:val="auto"/>
                <w:sz w:val="24"/>
                <w:szCs w:val="22"/>
                <w:lang w:val="en-US" w:eastAsia="zh-CN"/>
              </w:rPr>
              <w:t xml:space="preserve">13 </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24"/>
          <w:lang w:val="en-US" w:eastAsia="zh-CN" w:bidi="ar-SA"/>
        </w:rPr>
        <w:t>本合同为</w:t>
      </w:r>
      <w:r>
        <w:rPr>
          <w:rFonts w:hint="eastAsia" w:ascii="宋体" w:hAnsi="宋体" w:eastAsia="宋体" w:cs="宋体"/>
          <w:b/>
          <w:bCs/>
          <w:color w:val="auto"/>
          <w:kern w:val="2"/>
          <w:sz w:val="24"/>
          <w:szCs w:val="24"/>
          <w:u w:val="single"/>
          <w:lang w:val="en-US" w:eastAsia="zh-CN" w:bidi="ar-SA"/>
        </w:rPr>
        <w:t>固定单价</w:t>
      </w:r>
      <w:r>
        <w:rPr>
          <w:rFonts w:hint="eastAsia" w:ascii="宋体" w:hAnsi="宋体" w:eastAsia="宋体" w:cs="宋体"/>
          <w:color w:val="auto"/>
          <w:kern w:val="2"/>
          <w:sz w:val="24"/>
          <w:szCs w:val="24"/>
          <w:lang w:val="en-US" w:eastAsia="zh-CN" w:bidi="ar-SA"/>
        </w:rPr>
        <w:t>合同，暂定合同总金额￥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b/>
          <w:bCs/>
          <w:color w:val="auto"/>
          <w:kern w:val="2"/>
          <w:sz w:val="24"/>
          <w:szCs w:val="24"/>
          <w:lang w:val="en-US" w:eastAsia="zh-CN" w:bidi="ar-SA"/>
        </w:rPr>
        <w:t>大写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元整）</w:t>
      </w:r>
      <w:r>
        <w:rPr>
          <w:rFonts w:hint="eastAsia" w:ascii="宋体" w:hAnsi="宋体" w:eastAsia="宋体" w:cs="宋体"/>
          <w:color w:val="auto"/>
          <w:kern w:val="2"/>
          <w:sz w:val="24"/>
          <w:szCs w:val="24"/>
          <w:lang w:val="en-US" w:eastAsia="zh-CN" w:bidi="ar-SA"/>
        </w:rPr>
        <w:t>，双方约定的合同单价已包含了全部风险范围的费用，在合同实施期间，工程量清单中的单价将不予调整。</w:t>
      </w:r>
    </w:p>
    <w:p>
      <w:pPr>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2、合同有效时间：</w:t>
      </w:r>
      <w:r>
        <w:rPr>
          <w:rFonts w:hint="eastAsia" w:ascii="宋体" w:hAnsi="宋体" w:eastAsia="宋体" w:cs="宋体"/>
          <w:b/>
          <w:sz w:val="24"/>
          <w:szCs w:val="24"/>
          <w:highlight w:val="none"/>
        </w:rPr>
        <w:t>预计自20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3、沥青混合料质量：成品质量检验不低于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公路沥青路面施工技术规范》JTGF40-2004、《公路工程沥青及沥青混合料试验规程》JTGE20-2011</w:t>
      </w:r>
      <w:r>
        <w:rPr>
          <w:rFonts w:hint="eastAsia" w:ascii="宋体" w:hAnsi="宋体" w:eastAsia="宋体" w:cs="宋体"/>
          <w:sz w:val="24"/>
          <w:szCs w:val="24"/>
        </w:rPr>
        <w:t>要求及甲方级配要求</w:t>
      </w:r>
      <w:r>
        <w:rPr>
          <w:rFonts w:hint="eastAsia" w:ascii="宋体" w:hAnsi="宋体" w:eastAsia="宋体" w:cs="宋体"/>
          <w:sz w:val="24"/>
          <w:szCs w:val="24"/>
          <w:lang w:eastAsia="zh-CN"/>
        </w:rPr>
        <w:t>及质量要求</w:t>
      </w:r>
      <w:r>
        <w:rPr>
          <w:rFonts w:hint="eastAsia" w:ascii="宋体" w:hAnsi="宋体" w:eastAsia="宋体" w:cs="宋体"/>
          <w:sz w:val="24"/>
          <w:szCs w:val="24"/>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4、沥青：由甲方提供SBS改性沥青、70#A级沥青，乙方应提供2个标配沥青罐（每个沥青罐容量≥50吨）供甲方使用，沥青混合料运输由甲方自行负责。</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5、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6、甲方提供原材料包括：</w:t>
      </w:r>
      <w:r>
        <w:rPr>
          <w:rFonts w:hint="eastAsia" w:ascii="宋体" w:hAnsi="宋体" w:eastAsia="宋体" w:cs="宋体"/>
          <w:sz w:val="24"/>
          <w:szCs w:val="22"/>
          <w:lang w:val="en-US" w:eastAsia="zh-CN"/>
        </w:rPr>
        <w:t>沥青、玄武岩、木质素纤维</w:t>
      </w:r>
      <w:r>
        <w:rPr>
          <w:rFonts w:hint="eastAsia" w:ascii="宋体" w:hAnsi="宋体" w:eastAsia="宋体" w:cs="宋体"/>
          <w:sz w:val="24"/>
          <w:szCs w:val="24"/>
        </w:rPr>
        <w:t>。乙方提供原材料包括：生产加工</w:t>
      </w:r>
      <w:r>
        <w:rPr>
          <w:rFonts w:hint="eastAsia" w:ascii="宋体" w:hAnsi="宋体" w:eastAsia="宋体" w:cs="宋体"/>
          <w:sz w:val="24"/>
          <w:szCs w:val="24"/>
          <w:lang w:eastAsia="zh-CN"/>
        </w:rPr>
        <w:t>所需石灰岩碎石</w:t>
      </w:r>
      <w:r>
        <w:rPr>
          <w:rFonts w:hint="eastAsia" w:ascii="宋体" w:hAnsi="宋体" w:eastAsia="宋体" w:cs="宋体"/>
          <w:sz w:val="24"/>
          <w:szCs w:val="24"/>
        </w:rPr>
        <w:t>、所需的外掺新矿粉、石屑、</w:t>
      </w:r>
      <w:r>
        <w:rPr>
          <w:rFonts w:hint="eastAsia" w:ascii="宋体" w:hAnsi="宋体" w:eastAsia="宋体" w:cs="宋体"/>
          <w:sz w:val="24"/>
          <w:szCs w:val="24"/>
          <w:lang w:eastAsia="zh-CN"/>
        </w:rPr>
        <w:t>机械设备、燃油、人工费用</w:t>
      </w:r>
      <w:r>
        <w:rPr>
          <w:rFonts w:hint="eastAsia" w:ascii="宋体" w:hAnsi="宋体" w:eastAsia="宋体" w:cs="宋体"/>
          <w:sz w:val="24"/>
          <w:szCs w:val="24"/>
        </w:rPr>
        <w:t>等。</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7、上述材料加工单价中已包含相关税金，结算时乙方需按甲方要求提供相应的增值税专用发票，且抵扣税率为1</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spacing w:line="440" w:lineRule="exact"/>
        <w:ind w:left="210" w:leftChars="100" w:firstLine="360" w:firstLineChars="150"/>
        <w:jc w:val="left"/>
        <w:rPr>
          <w:rFonts w:hint="eastAsia"/>
          <w:lang w:val="en-US" w:eastAsia="zh-CN"/>
        </w:rPr>
      </w:pPr>
      <w:r>
        <w:rPr>
          <w:rFonts w:hint="eastAsia" w:ascii="宋体" w:hAnsi="宋体" w:eastAsia="宋体" w:cs="宋体"/>
          <w:sz w:val="24"/>
          <w:szCs w:val="24"/>
          <w:lang w:val="en-US" w:eastAsia="zh-CN"/>
        </w:rPr>
        <w:t>1.8、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numPr>
          <w:ilvl w:val="0"/>
          <w:numId w:val="5"/>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1、乙方向甲方“采用从第一次进度支付款中进行扣除的方式”缴纳履约保证金：</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0000元（大写:壹拾万元整）。第一次进度支付款为乙方该项目生产的合格的沥青混合料数量达到合同总量的</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0%时，乙方开具其全额发票，甲方从中扣除</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lang w:eastAsia="zh-CN"/>
        </w:rPr>
        <w:t>000元作为履约保证金。</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2、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3、合同有效期间，如果乙方无正当理由单方面解除、终止合同或因乙方原因导致合同无法履行的，甲方将不予退还其履约保证金。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三、计量与费用支付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1、计量：沥青混合料以乙方拌和站过磅（甲方监督）计量，双方签字为准，完工后按双方签字确认的磅单进行结算。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本项目无预付款，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3.2.1 </w:t>
      </w:r>
      <w:r>
        <w:rPr>
          <w:rFonts w:hint="eastAsia" w:ascii="宋体" w:hAnsi="宋体" w:eastAsia="宋体" w:cs="宋体"/>
          <w:sz w:val="24"/>
          <w:szCs w:val="24"/>
        </w:rPr>
        <w:t>第一次乙方为该项目生产的合格的沥青混合料数量达到合同总量的</w:t>
      </w:r>
      <w:r>
        <w:rPr>
          <w:rFonts w:hint="eastAsia" w:ascii="宋体" w:hAnsi="宋体" w:eastAsia="宋体" w:cs="宋体"/>
          <w:sz w:val="24"/>
          <w:szCs w:val="24"/>
          <w:lang w:val="en-US" w:eastAsia="zh-CN"/>
        </w:rPr>
        <w:t>3</w:t>
      </w:r>
      <w:r>
        <w:rPr>
          <w:rFonts w:hint="eastAsia" w:ascii="宋体" w:hAnsi="宋体" w:eastAsia="宋体" w:cs="宋体"/>
          <w:sz w:val="24"/>
          <w:szCs w:val="24"/>
        </w:rPr>
        <w:t>0%时，乙方开具其全额发票，甲方从中扣除</w:t>
      </w:r>
      <w:r>
        <w:rPr>
          <w:rFonts w:hint="eastAsia" w:ascii="宋体" w:hAnsi="宋体" w:eastAsia="宋体" w:cs="宋体"/>
          <w:sz w:val="24"/>
          <w:szCs w:val="24"/>
          <w:lang w:val="en-US" w:eastAsia="zh-CN"/>
        </w:rPr>
        <w:t>10</w:t>
      </w:r>
      <w:r>
        <w:rPr>
          <w:rFonts w:hint="eastAsia" w:ascii="宋体" w:hAnsi="宋体" w:eastAsia="宋体" w:cs="宋体"/>
          <w:sz w:val="24"/>
          <w:szCs w:val="24"/>
        </w:rPr>
        <w:t>0000元作为履约保证金；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3.2.2 </w:t>
      </w:r>
      <w:r>
        <w:rPr>
          <w:rFonts w:hint="eastAsia" w:ascii="宋体" w:hAnsi="宋体" w:eastAsia="宋体" w:cs="宋体"/>
          <w:sz w:val="24"/>
          <w:szCs w:val="24"/>
        </w:rPr>
        <w:t>第二次乙方为该项目生产的合格的沥青混合料数量达到合同总量的80%时，乙方开具其全额发票；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3.2.3 </w:t>
      </w:r>
      <w:r>
        <w:rPr>
          <w:rFonts w:hint="eastAsia" w:ascii="宋体" w:hAnsi="宋体" w:eastAsia="宋体" w:cs="宋体"/>
          <w:sz w:val="24"/>
          <w:szCs w:val="24"/>
        </w:rPr>
        <w:t>第三次</w:t>
      </w:r>
      <w:r>
        <w:rPr>
          <w:rFonts w:hint="eastAsia" w:ascii="宋体" w:hAnsi="宋体" w:eastAsia="宋体" w:cs="宋体"/>
          <w:sz w:val="24"/>
          <w:szCs w:val="24"/>
          <w:lang w:eastAsia="zh-CN"/>
        </w:rPr>
        <w:t>为完工结算，</w:t>
      </w:r>
      <w:r>
        <w:rPr>
          <w:rFonts w:hint="eastAsia" w:ascii="宋体" w:hAnsi="宋体" w:eastAsia="宋体" w:cs="宋体"/>
          <w:sz w:val="24"/>
          <w:szCs w:val="24"/>
        </w:rPr>
        <w:t>乙方为该项目生产的合格的沥青混合料数量达到合同总量的100%时，乙方开具其全额发票;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3.2.4 </w:t>
      </w:r>
      <w:r>
        <w:rPr>
          <w:rFonts w:hint="eastAsia" w:ascii="宋体" w:hAnsi="宋体" w:eastAsia="宋体" w:cs="宋体"/>
          <w:sz w:val="24"/>
          <w:szCs w:val="24"/>
        </w:rPr>
        <w:t>整个工程验收合格后，甲方再无息退还</w:t>
      </w:r>
      <w:r>
        <w:rPr>
          <w:rFonts w:hint="eastAsia" w:ascii="宋体" w:hAnsi="宋体" w:eastAsia="宋体" w:cs="宋体"/>
          <w:sz w:val="24"/>
          <w:szCs w:val="24"/>
          <w:lang w:val="en-US" w:eastAsia="zh-CN"/>
        </w:rPr>
        <w:t>1</w:t>
      </w:r>
      <w:r>
        <w:rPr>
          <w:rFonts w:hint="eastAsia" w:ascii="宋体" w:hAnsi="宋体" w:eastAsia="宋体" w:cs="宋体"/>
          <w:sz w:val="24"/>
          <w:szCs w:val="24"/>
        </w:rPr>
        <w:t>0000</w:t>
      </w:r>
      <w:r>
        <w:rPr>
          <w:rFonts w:hint="eastAsia" w:ascii="宋体" w:hAnsi="宋体" w:eastAsia="宋体" w:cs="宋体"/>
          <w:sz w:val="24"/>
          <w:szCs w:val="24"/>
          <w:lang w:val="en-US" w:eastAsia="zh-CN"/>
        </w:rPr>
        <w:t>0</w:t>
      </w:r>
      <w:r>
        <w:rPr>
          <w:rFonts w:hint="eastAsia" w:ascii="宋体" w:hAnsi="宋体" w:eastAsia="宋体" w:cs="宋体"/>
          <w:sz w:val="24"/>
          <w:szCs w:val="24"/>
        </w:rPr>
        <w:t>元的履约保证金于乙方。</w:t>
      </w:r>
    </w:p>
    <w:p>
      <w:pPr>
        <w:numPr>
          <w:ilvl w:val="0"/>
          <w:numId w:val="0"/>
        </w:numPr>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3.2.5 </w:t>
      </w:r>
      <w:r>
        <w:rPr>
          <w:rFonts w:hint="eastAsia" w:ascii="宋体" w:hAnsi="宋体" w:eastAsia="宋体" w:cs="宋体"/>
          <w:kern w:val="0"/>
          <w:sz w:val="24"/>
          <w:szCs w:val="24"/>
        </w:rPr>
        <w:t>剩余材料处理</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工程完工后，乙方自购的剩余原材料不予以计量，乙方不得以任何理由要求甲方给予相关补偿，乙方可自行处理，甲方不承担任何费用。</w:t>
      </w:r>
    </w:p>
    <w:p>
      <w:pPr>
        <w:numPr>
          <w:ilvl w:val="0"/>
          <w:numId w:val="0"/>
        </w:numPr>
        <w:adjustRightIn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3.2.6 </w:t>
      </w:r>
      <w:r>
        <w:rPr>
          <w:rFonts w:hint="eastAsia" w:ascii="宋体" w:hAnsi="宋体" w:eastAsia="宋体" w:cs="宋体"/>
          <w:kern w:val="0"/>
          <w:sz w:val="24"/>
          <w:szCs w:val="24"/>
          <w:lang w:val="en-US" w:eastAsia="zh-CN"/>
        </w:rPr>
        <w:t>材料损耗</w:t>
      </w:r>
    </w:p>
    <w:p>
      <w:pPr>
        <w:numPr>
          <w:ilvl w:val="0"/>
          <w:numId w:val="0"/>
        </w:numPr>
        <w:adjustRightInd w:val="0"/>
        <w:spacing w:line="480" w:lineRule="exac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乙方加工的沥青混合料中由甲方提供的沥青</w:t>
      </w:r>
      <w:r>
        <w:rPr>
          <w:rFonts w:hint="eastAsia" w:ascii="宋体" w:hAnsi="宋体" w:eastAsia="宋体" w:cs="宋体"/>
          <w:kern w:val="0"/>
          <w:sz w:val="24"/>
          <w:szCs w:val="24"/>
          <w:lang w:eastAsia="zh-CN"/>
        </w:rPr>
        <w:t>、木质素纤维</w:t>
      </w:r>
      <w:r>
        <w:rPr>
          <w:rFonts w:hint="eastAsia" w:ascii="宋体" w:hAnsi="宋体" w:eastAsia="宋体" w:cs="宋体"/>
          <w:kern w:val="0"/>
          <w:sz w:val="24"/>
          <w:szCs w:val="24"/>
        </w:rPr>
        <w:t>按甲方提供的生产配合比为依据进行计算，由乙方负责承担超出部分的相关沥青费用（以甲方运到乙方场地的实际合同单价*超出部分数量），超出部分的沥青费用由甲方在结算金额中直接扣回</w:t>
      </w:r>
      <w:r>
        <w:rPr>
          <w:rFonts w:hint="eastAsia" w:ascii="宋体" w:hAnsi="宋体" w:eastAsia="宋体" w:cs="宋体"/>
          <w:kern w:val="0"/>
          <w:sz w:val="24"/>
          <w:szCs w:val="24"/>
          <w:highlight w:val="none"/>
        </w:rPr>
        <w:t>，剩余沥青</w:t>
      </w:r>
      <w:r>
        <w:rPr>
          <w:rFonts w:hint="eastAsia" w:ascii="宋体" w:hAnsi="宋体" w:eastAsia="宋体" w:cs="宋体"/>
          <w:kern w:val="0"/>
          <w:sz w:val="24"/>
          <w:szCs w:val="24"/>
          <w:highlight w:val="none"/>
          <w:lang w:eastAsia="zh-CN"/>
        </w:rPr>
        <w:t>、玄武岩、木质素纤维</w:t>
      </w:r>
      <w:r>
        <w:rPr>
          <w:rFonts w:hint="eastAsia" w:ascii="宋体" w:hAnsi="宋体" w:eastAsia="宋体" w:cs="宋体"/>
          <w:kern w:val="0"/>
          <w:sz w:val="24"/>
          <w:szCs w:val="24"/>
          <w:highlight w:val="none"/>
        </w:rPr>
        <w:t>由</w:t>
      </w:r>
      <w:r>
        <w:rPr>
          <w:rFonts w:hint="eastAsia" w:ascii="宋体" w:hAnsi="宋体" w:eastAsia="宋体" w:cs="宋体"/>
          <w:kern w:val="0"/>
          <w:sz w:val="24"/>
          <w:szCs w:val="24"/>
        </w:rPr>
        <w:t>甲方自行运回。</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四、双方的权利和义务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甲方权利和义务：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1、在沥青混合料生产前组织应由甲方提供的沥青进场，提交地点为乙方沥青砼拌和站</w:t>
      </w:r>
      <w:r>
        <w:rPr>
          <w:rFonts w:hint="eastAsia" w:ascii="宋体" w:hAnsi="宋体" w:eastAsia="宋体" w:cs="宋体"/>
          <w:sz w:val="24"/>
          <w:szCs w:val="24"/>
          <w:lang w:eastAsia="zh-CN"/>
        </w:rPr>
        <w:t>，</w:t>
      </w:r>
      <w:r>
        <w:rPr>
          <w:rFonts w:hint="eastAsia" w:ascii="宋体" w:hAnsi="宋体" w:eastAsia="宋体" w:cs="宋体"/>
          <w:sz w:val="24"/>
          <w:szCs w:val="24"/>
        </w:rPr>
        <w:t xml:space="preserve">确保运输到场的沥青合格。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2、提前</w:t>
      </w:r>
      <w:r>
        <w:rPr>
          <w:rFonts w:hint="eastAsia" w:ascii="宋体" w:hAnsi="宋体" w:eastAsia="宋体" w:cs="宋体"/>
          <w:b/>
          <w:sz w:val="24"/>
          <w:szCs w:val="24"/>
          <w:u w:val="single"/>
        </w:rPr>
        <w:t>1</w:t>
      </w:r>
      <w:r>
        <w:rPr>
          <w:rFonts w:hint="eastAsia" w:ascii="宋体" w:hAnsi="宋体" w:eastAsia="宋体" w:cs="宋体"/>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3、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4、在合同执行期间，若因甲方通知不及时造成生产的沥青混合料不能及时运出而产生废弃等责任由甲方承担。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5、甲方有义务对乙方出具的结算资料（加盖乙方公章）进行确认,甲方收到结算资料15个工作日内未提出异议的,视为认可该结算资料的数量和金额有效。</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6、按合同约定时间及数额支付沥青混合料生产费用。</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7、甲方支付方式按银行转账</w:t>
      </w:r>
      <w:r>
        <w:rPr>
          <w:rFonts w:hint="eastAsia" w:ascii="宋体" w:hAnsi="宋体" w:eastAsia="宋体" w:cs="宋体"/>
          <w:sz w:val="24"/>
          <w:szCs w:val="24"/>
          <w:lang w:eastAsia="zh-CN"/>
        </w:rPr>
        <w:t>支付</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乙方权利和义务：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2、乙方应对整个沥青混合料的生产质量负责(包括沥青混合料出料温度、油石比及计量等应满足《公路沥青路面施工技术规范》（JTGF40-2004）要求及甲方生产级配要求)，确保沥青混合料生产质量合格。若沥青混合料双方现场鉴证抽检不合格，经双方共同认定如为乙方责任，则乙方应承担由</w:t>
      </w:r>
      <w:r>
        <w:rPr>
          <w:rFonts w:hint="eastAsia" w:ascii="宋体" w:hAnsi="宋体" w:eastAsia="宋体" w:cs="宋体"/>
          <w:sz w:val="24"/>
          <w:szCs w:val="24"/>
          <w:lang w:eastAsia="zh-CN"/>
        </w:rPr>
        <w:t>自身原因</w:t>
      </w:r>
      <w:r>
        <w:rPr>
          <w:rFonts w:hint="eastAsia" w:ascii="宋体" w:hAnsi="宋体" w:eastAsia="宋体" w:cs="宋体"/>
          <w:sz w:val="24"/>
          <w:szCs w:val="24"/>
        </w:rPr>
        <w:t>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3、生产期间，配备拌和设备操作人员2人、装载机操作人员</w:t>
      </w:r>
      <w:r>
        <w:rPr>
          <w:rFonts w:hint="eastAsia" w:ascii="宋体" w:hAnsi="宋体" w:eastAsia="宋体" w:cs="宋体"/>
          <w:sz w:val="24"/>
          <w:szCs w:val="24"/>
          <w:lang w:val="en-US" w:eastAsia="zh-CN"/>
        </w:rPr>
        <w:t>2</w:t>
      </w:r>
      <w:r>
        <w:rPr>
          <w:rFonts w:hint="eastAsia" w:ascii="宋体" w:hAnsi="宋体" w:eastAsia="宋体" w:cs="宋体"/>
          <w:sz w:val="24"/>
          <w:szCs w:val="24"/>
        </w:rPr>
        <w:t>人、设备维修人员2人及生产辅助人员3人以上，并确保设备维修保养及时，中途发生故障，务必确保在24小时内修复，且按甲方要求的时间及沥青混合料级配组织生产。</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4.2.4、保证按照甲方职责的第2条要求及时进行生产；若因其他原因，不能满足甲方需求，应提前告知甲方并协调解决。</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4.2.5、加强生产期间的安全教育和采取相应的安全措施，并自行承担生产、运输期间因拌和站或运输车辆引发的相应安全责任事故（如导热油锅炉、管道、供电线路、车辆等引发的安全责任事故）。</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4.2.6、拌和楼出现故障、停电等原因致使不能按甲方要求供料，乙方应及时告知甲方，并确保在24小时内修复（特殊故障、供电部门停电、自然灾害等不可抗力因素等除外），否则承担由此造成的一切责任。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4.2.7、生产期间，乙方若因环保方面问题造成停工整顿无法正常生产时，乙方应承担对甲方造成的人员误工、设备停滞等</w:t>
      </w:r>
      <w:r>
        <w:rPr>
          <w:rFonts w:hint="eastAsia" w:ascii="宋体" w:hAnsi="宋体" w:cs="宋体"/>
          <w:b/>
          <w:bCs/>
          <w:sz w:val="24"/>
          <w:szCs w:val="24"/>
          <w:lang w:val="en-US" w:eastAsia="zh-CN"/>
        </w:rPr>
        <w:t>每天</w:t>
      </w:r>
      <w:r>
        <w:rPr>
          <w:rFonts w:hint="eastAsia" w:ascii="宋体" w:hAnsi="宋体" w:eastAsia="宋体" w:cs="宋体"/>
          <w:b/>
          <w:bCs/>
          <w:sz w:val="24"/>
          <w:szCs w:val="24"/>
          <w:lang w:val="en-US" w:eastAsia="zh-CN"/>
        </w:rPr>
        <w:t>2万元的相应赔偿</w:t>
      </w:r>
      <w:r>
        <w:rPr>
          <w:rFonts w:hint="eastAsia" w:ascii="宋体" w:hAnsi="宋体" w:eastAsia="宋体" w:cs="宋体"/>
          <w:sz w:val="24"/>
          <w:szCs w:val="24"/>
          <w:lang w:val="en-US" w:eastAsia="zh-CN"/>
        </w:rPr>
        <w:t>，且停产时间超过三天，甲方有权中止此合同</w:t>
      </w:r>
      <w:r>
        <w:rPr>
          <w:rFonts w:hint="eastAsia" w:ascii="宋体" w:hAnsi="宋体" w:cs="宋体"/>
          <w:sz w:val="24"/>
          <w:szCs w:val="24"/>
          <w:lang w:val="en-US" w:eastAsia="zh-CN"/>
        </w:rPr>
        <w:t>。</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4.2.8、生产期间，免费提供甲方管理人员、实验检测人员及其他相关人员住宿及伙食。</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4.2.9、在合同有效期内，乙方配合甲方按时完成生产任务，如确因自有工程项目施工需要，应于实施前与甲方协商，适时调整生产作业时间（如：调整白、夜班生产时间），确保甲方施工所需沥青混合料的及时生产，否则，乙方应承担由此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4.2.10、按双方约定时间及生产数量，开据有效的发票。</w:t>
      </w:r>
    </w:p>
    <w:p>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五、验收标准、方法</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出场材料由甲、乙双方现场代表负责初检（初检指标包括：外观颜色、外观洁净程度、表观级配等），甲方试验检测人员根据相关要求的自检频率对沥青混合料各项技术标准进行严格检测，不合格沥青混合料严禁运出乙方拌合站，若因此导致甲方影响项目工期，由此造成的损失由乙方承担。</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color w:val="000000"/>
          <w:kern w:val="0"/>
          <w:sz w:val="24"/>
          <w:szCs w:val="24"/>
        </w:rPr>
        <w:t>如在检测中发现有不合格、不满足技术要求的，乙方有争议的，</w:t>
      </w:r>
      <w:r>
        <w:rPr>
          <w:rFonts w:hint="eastAsia" w:ascii="宋体" w:hAnsi="宋体" w:eastAsia="宋体" w:cs="宋体"/>
          <w:sz w:val="24"/>
          <w:szCs w:val="24"/>
        </w:rPr>
        <w:t>可委托经甲乙双方认可的第三方检测机构进行检测，检测</w:t>
      </w:r>
      <w:r>
        <w:rPr>
          <w:rFonts w:hint="eastAsia" w:ascii="宋体" w:hAnsi="宋体" w:eastAsia="宋体" w:cs="宋体"/>
          <w:color w:val="000000"/>
          <w:kern w:val="0"/>
          <w:sz w:val="24"/>
          <w:szCs w:val="24"/>
        </w:rPr>
        <w:t>费用先由乙方垫付，最终由相应责任方承担（如合格费用由甲方支付，如不合格费用由乙方支付）。</w:t>
      </w:r>
      <w:r>
        <w:rPr>
          <w:rFonts w:hint="eastAsia" w:ascii="宋体" w:hAnsi="宋体" w:eastAsia="宋体" w:cs="宋体"/>
          <w:sz w:val="24"/>
          <w:szCs w:val="24"/>
        </w:rPr>
        <w:t>发生产品质量责任问题，乙方须承担由</w:t>
      </w:r>
      <w:r>
        <w:rPr>
          <w:rFonts w:hint="eastAsia" w:ascii="宋体" w:hAnsi="宋体" w:eastAsia="宋体" w:cs="宋体"/>
          <w:sz w:val="24"/>
          <w:szCs w:val="24"/>
          <w:lang w:eastAsia="zh-CN"/>
        </w:rPr>
        <w:t>自身原因</w:t>
      </w:r>
      <w:r>
        <w:rPr>
          <w:rFonts w:hint="eastAsia" w:ascii="宋体" w:hAnsi="宋体" w:eastAsia="宋体" w:cs="宋体"/>
          <w:sz w:val="24"/>
          <w:szCs w:val="24"/>
        </w:rPr>
        <w:t>造成的一切损失及费用。</w:t>
      </w:r>
    </w:p>
    <w:p>
      <w:pPr>
        <w:spacing w:line="360" w:lineRule="auto"/>
        <w:rPr>
          <w:rFonts w:hint="eastAsia" w:ascii="宋体" w:hAnsi="宋体" w:eastAsia="宋体" w:cs="宋体"/>
          <w:b/>
          <w:color w:val="auto"/>
          <w:sz w:val="24"/>
          <w:szCs w:val="24"/>
          <w:u w:val="none"/>
        </w:rPr>
      </w:pPr>
      <w:r>
        <w:rPr>
          <w:rFonts w:hint="eastAsia" w:ascii="宋体" w:hAnsi="宋体" w:eastAsia="宋体" w:cs="宋体"/>
          <w:b/>
          <w:bCs/>
          <w:color w:val="auto"/>
          <w:sz w:val="24"/>
          <w:szCs w:val="24"/>
          <w:u w:val="none"/>
        </w:rPr>
        <w:t>六</w:t>
      </w:r>
      <w:r>
        <w:rPr>
          <w:rFonts w:hint="eastAsia" w:ascii="宋体" w:hAnsi="宋体" w:eastAsia="宋体" w:cs="宋体"/>
          <w:color w:val="auto"/>
          <w:sz w:val="24"/>
          <w:szCs w:val="24"/>
          <w:u w:val="none"/>
        </w:rPr>
        <w:t>、</w:t>
      </w:r>
      <w:commentRangeStart w:id="1"/>
      <w:r>
        <w:rPr>
          <w:rFonts w:hint="eastAsia" w:ascii="宋体" w:hAnsi="宋体" w:eastAsia="宋体" w:cs="宋体"/>
          <w:b/>
          <w:color w:val="auto"/>
          <w:sz w:val="24"/>
          <w:szCs w:val="24"/>
          <w:u w:val="none"/>
        </w:rPr>
        <w:t>发票的开具</w:t>
      </w:r>
      <w:commentRangeEnd w:id="1"/>
      <w:r>
        <w:rPr>
          <w:rStyle w:val="25"/>
          <w:rFonts w:hint="eastAsia" w:ascii="宋体" w:hAnsi="宋体" w:eastAsia="宋体" w:cs="宋体"/>
          <w:color w:val="auto"/>
          <w:sz w:val="24"/>
          <w:szCs w:val="24"/>
          <w:u w:val="none"/>
        </w:rPr>
        <w:commentReference w:id="1"/>
      </w:r>
    </w:p>
    <w:p>
      <w:pPr>
        <w:adjustRightInd w:val="0"/>
        <w:snapToGrid w:val="0"/>
        <w:spacing w:line="440" w:lineRule="exact"/>
        <w:ind w:firstLine="405" w:firstLineChars="16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1、沥青混合料加工的全额发票由乙方开具</w:t>
      </w:r>
      <w:r>
        <w:rPr>
          <w:rFonts w:hint="eastAsia" w:ascii="宋体" w:hAnsi="宋体" w:eastAsia="宋体" w:cs="宋体"/>
          <w:color w:val="auto"/>
          <w:sz w:val="24"/>
          <w:szCs w:val="24"/>
          <w:lang w:eastAsia="zh-CN"/>
        </w:rPr>
        <w:t>真实有效的</w:t>
      </w:r>
      <w:r>
        <w:rPr>
          <w:rFonts w:hint="eastAsia" w:ascii="宋体" w:hAnsi="宋体" w:eastAsia="宋体" w:cs="宋体"/>
          <w:b/>
          <w:color w:val="auto"/>
          <w:sz w:val="24"/>
          <w:szCs w:val="24"/>
        </w:rPr>
        <w:t>增值税专用发票（抵扣税率13%）</w:t>
      </w:r>
      <w:r>
        <w:rPr>
          <w:rFonts w:hint="eastAsia" w:ascii="宋体" w:hAnsi="宋体" w:eastAsia="宋体" w:cs="宋体"/>
          <w:color w:val="auto"/>
          <w:sz w:val="24"/>
          <w:szCs w:val="24"/>
        </w:rPr>
        <w:t>给甲方，发票单位名称为本合同甲乙双方全称（销售发票中已包含</w:t>
      </w:r>
      <w:r>
        <w:rPr>
          <w:rFonts w:hint="eastAsia" w:ascii="宋体" w:hAnsi="宋体" w:eastAsia="宋体" w:cs="宋体"/>
          <w:color w:val="auto"/>
          <w:sz w:val="24"/>
          <w:szCs w:val="24"/>
          <w:lang w:eastAsia="zh-CN"/>
        </w:rPr>
        <w:t>乙方所供材料</w:t>
      </w:r>
      <w:r>
        <w:rPr>
          <w:rFonts w:hint="eastAsia" w:ascii="宋体" w:hAnsi="宋体" w:eastAsia="宋体" w:cs="宋体"/>
          <w:color w:val="auto"/>
          <w:sz w:val="24"/>
          <w:szCs w:val="24"/>
        </w:rPr>
        <w:t>运输费，</w:t>
      </w:r>
      <w:r>
        <w:rPr>
          <w:rFonts w:hint="eastAsia" w:ascii="宋体" w:hAnsi="宋体" w:eastAsia="宋体" w:cs="宋体"/>
          <w:color w:val="auto"/>
          <w:sz w:val="24"/>
          <w:szCs w:val="24"/>
          <w:lang w:eastAsia="zh-CN"/>
        </w:rPr>
        <w:t>此</w:t>
      </w:r>
      <w:r>
        <w:rPr>
          <w:rFonts w:hint="eastAsia" w:ascii="宋体" w:hAnsi="宋体" w:eastAsia="宋体" w:cs="宋体"/>
          <w:color w:val="auto"/>
          <w:sz w:val="24"/>
          <w:szCs w:val="24"/>
        </w:rPr>
        <w:t>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2、乙方应按照甲方要求，及时向甲方开具可以抵扣税款的</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增值税专用发票。因乙方开具发票不及时给甲方造成无法及时认证、抵扣发票等</w:t>
      </w:r>
      <w:r>
        <w:rPr>
          <w:rFonts w:hint="eastAsia" w:ascii="宋体" w:hAnsi="宋体" w:eastAsia="宋体" w:cs="宋体"/>
          <w:sz w:val="24"/>
          <w:szCs w:val="24"/>
        </w:rPr>
        <w:t>情形的，乙方需向甲方承担赔偿责任，包括但不限于税款、滞纳金、罚款及相关损失等。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rPr>
          <w:rFonts w:hint="eastAsia" w:ascii="宋体" w:hAnsi="宋体" w:eastAsia="宋体" w:cs="宋体"/>
          <w:b/>
          <w:sz w:val="24"/>
          <w:szCs w:val="24"/>
        </w:rPr>
      </w:pPr>
      <w:r>
        <w:rPr>
          <w:rFonts w:hint="eastAsia" w:ascii="宋体" w:hAnsi="宋体" w:eastAsia="宋体" w:cs="宋体"/>
          <w:sz w:val="24"/>
          <w:szCs w:val="24"/>
        </w:rPr>
        <w:t>七</w:t>
      </w:r>
      <w:r>
        <w:rPr>
          <w:rFonts w:hint="eastAsia" w:ascii="宋体" w:hAnsi="宋体" w:eastAsia="宋体" w:cs="宋体"/>
          <w:b/>
          <w:sz w:val="24"/>
          <w:szCs w:val="24"/>
        </w:rPr>
        <w:t>、违约责任</w:t>
      </w:r>
      <w:r>
        <w:rPr>
          <w:rFonts w:hint="eastAsia" w:ascii="宋体" w:hAnsi="宋体" w:eastAsia="宋体" w:cs="宋体"/>
          <w:b/>
          <w:sz w:val="24"/>
          <w:szCs w:val="24"/>
        </w:rPr>
        <w:tab/>
      </w:r>
    </w:p>
    <w:p>
      <w:pPr>
        <w:spacing w:line="440" w:lineRule="exact"/>
        <w:ind w:firstLine="480" w:firstLineChars="200"/>
        <w:rPr>
          <w:rFonts w:hint="eastAsia" w:ascii="宋体" w:hAnsi="宋体" w:eastAsia="宋体" w:cs="宋体"/>
          <w:sz w:val="24"/>
          <w:szCs w:val="24"/>
        </w:rPr>
      </w:pPr>
      <w:commentRangeStart w:id="2"/>
      <w:r>
        <w:rPr>
          <w:rFonts w:hint="eastAsia" w:ascii="宋体" w:hAnsi="宋体" w:eastAsia="宋体" w:cs="宋体"/>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ascii="宋体" w:hAnsi="宋体" w:eastAsia="宋体" w:cs="宋体"/>
          <w:sz w:val="24"/>
          <w:szCs w:val="24"/>
          <w:u w:val="single"/>
        </w:rPr>
        <w:t xml:space="preserve">  10 </w:t>
      </w:r>
      <w:r>
        <w:rPr>
          <w:rFonts w:hint="eastAsia" w:ascii="宋体" w:hAnsi="宋体" w:eastAsia="宋体" w:cs="宋体"/>
          <w:sz w:val="24"/>
          <w:szCs w:val="24"/>
        </w:rPr>
        <w:t>％的违约金，违约金不足以弥补守约方损失的，违约方应当继续补足赔偿。</w:t>
      </w:r>
      <w:commentRangeEnd w:id="2"/>
      <w:r>
        <w:rPr>
          <w:rFonts w:hint="eastAsia" w:ascii="宋体" w:hAnsi="宋体" w:eastAsia="宋体" w:cs="宋体"/>
          <w:sz w:val="24"/>
          <w:szCs w:val="24"/>
        </w:rPr>
        <w:commentReference w:id="2"/>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八、争议的处理</w:t>
      </w:r>
    </w:p>
    <w:p>
      <w:pPr>
        <w:pStyle w:val="11"/>
        <w:spacing w:line="440" w:lineRule="exact"/>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合同履行过程中，若出现争议，双方本着友好协商解决，若协商不成，可提请重庆仲裁委员会仲裁。</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合同签约地点：</w:t>
      </w:r>
      <w:r>
        <w:rPr>
          <w:rFonts w:hint="eastAsia" w:ascii="宋体" w:hAnsi="宋体" w:eastAsia="宋体" w:cs="宋体"/>
          <w:b w:val="0"/>
          <w:bCs/>
          <w:sz w:val="24"/>
          <w:szCs w:val="24"/>
          <w:u w:val="none"/>
        </w:rPr>
        <w:t>重庆市沙坪坝区梨高路重庆通力高速公路养护工程有限公司（沙坪坝区档案馆旁）三楼</w:t>
      </w:r>
      <w:r>
        <w:rPr>
          <w:rFonts w:hint="eastAsia" w:ascii="宋体" w:hAnsi="宋体" w:eastAsia="宋体" w:cs="宋体"/>
          <w:b w:val="0"/>
          <w:bCs/>
          <w:sz w:val="24"/>
          <w:szCs w:val="24"/>
          <w:u w:val="none"/>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sz w:val="24"/>
          <w:szCs w:val="24"/>
        </w:rPr>
        <w:t>、本合同一式</w:t>
      </w:r>
      <w:r>
        <w:rPr>
          <w:rFonts w:hint="eastAsia" w:ascii="宋体" w:hAnsi="宋体" w:eastAsia="宋体" w:cs="宋体"/>
          <w:b/>
          <w:sz w:val="24"/>
          <w:szCs w:val="24"/>
          <w:u w:val="single"/>
        </w:rPr>
        <w:t xml:space="preserve"> 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伍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壹 </w:t>
      </w:r>
      <w:r>
        <w:rPr>
          <w:rFonts w:hint="eastAsia" w:ascii="宋体" w:hAnsi="宋体" w:eastAsia="宋体" w:cs="宋体"/>
          <w:sz w:val="24"/>
          <w:szCs w:val="24"/>
        </w:rPr>
        <w:t>份，各文本均具有同等法律效力；经双方签字盖章后生效；工程完工供料结束并结清财务手续后自动失效。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（本页无正文）</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项目负责人：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
        <w:rPr>
          <w:rFonts w:hint="default"/>
          <w:lang w:val="en-US" w:eastAsia="zh-CN"/>
        </w:rPr>
        <w:sectPr>
          <w:footerReference r:id="rId5"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宋体" w:hAnsi="宋体" w:eastAsia="宋体" w:cs="宋体"/>
          <w:sz w:val="24"/>
          <w:szCs w:val="24"/>
          <w:lang w:val="en-US" w:eastAsia="zh-CN"/>
        </w:rPr>
      </w:pPr>
      <w:r>
        <w:rPr>
          <w:rFonts w:hint="eastAsia" w:ascii="宋体" w:hAnsi="宋体" w:eastAsia="宋体" w:cs="宋体"/>
          <w:b/>
          <w:sz w:val="21"/>
          <w:szCs w:val="21"/>
        </w:rPr>
        <w:t xml:space="preserve">附件：相关技术指标及配合组成设计： </w:t>
      </w:r>
    </w:p>
    <w:p>
      <w:pPr>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701665" cy="4405630"/>
            <wp:effectExtent l="0" t="0" r="13335"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7"/>
                    <a:stretch>
                      <a:fillRect/>
                    </a:stretch>
                  </pic:blipFill>
                  <pic:spPr>
                    <a:xfrm>
                      <a:off x="0" y="0"/>
                      <a:ext cx="5701665" cy="4405630"/>
                    </a:xfrm>
                    <a:prstGeom prst="rect">
                      <a:avLst/>
                    </a:prstGeom>
                    <a:noFill/>
                    <a:ln>
                      <a:noFill/>
                    </a:ln>
                  </pic:spPr>
                </pic:pic>
              </a:graphicData>
            </a:graphic>
          </wp:inline>
        </w:drawing>
      </w:r>
    </w:p>
    <w:p>
      <w:pPr>
        <w:spacing w:line="14" w:lineRule="auto"/>
        <w:ind w:firstLine="637" w:firstLineChars="302"/>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59264" behindDoc="0" locked="0" layoutInCell="1" allowOverlap="1">
            <wp:simplePos x="0" y="0"/>
            <wp:positionH relativeFrom="column">
              <wp:posOffset>1108710</wp:posOffset>
            </wp:positionH>
            <wp:positionV relativeFrom="paragraph">
              <wp:posOffset>84455</wp:posOffset>
            </wp:positionV>
            <wp:extent cx="4305300" cy="1510665"/>
            <wp:effectExtent l="0" t="0" r="0" b="13335"/>
            <wp:wrapTopAndBottom/>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8"/>
                    <a:stretch>
                      <a:fillRect/>
                    </a:stretch>
                  </pic:blipFill>
                  <pic:spPr>
                    <a:xfrm>
                      <a:off x="0" y="0"/>
                      <a:ext cx="4305300" cy="1510665"/>
                    </a:xfrm>
                    <a:prstGeom prst="rect">
                      <a:avLst/>
                    </a:prstGeom>
                    <a:noFill/>
                    <a:ln>
                      <a:noFill/>
                    </a:ln>
                  </pic:spPr>
                </pic:pic>
              </a:graphicData>
            </a:graphic>
          </wp:anchor>
        </w:drawing>
      </w:r>
      <w:r>
        <w:rPr>
          <w:rFonts w:hint="eastAsia" w:ascii="宋体" w:hAnsi="宋体" w:eastAsia="宋体" w:cs="宋体"/>
          <w:b/>
          <w:sz w:val="21"/>
          <w:szCs w:val="21"/>
        </w:rPr>
        <w:t xml:space="preserve">    </w:t>
      </w:r>
    </w:p>
    <w:p>
      <w:pPr>
        <w:spacing w:line="14"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60288" behindDoc="0" locked="0" layoutInCell="1" allowOverlap="1">
            <wp:simplePos x="0" y="0"/>
            <wp:positionH relativeFrom="column">
              <wp:posOffset>732790</wp:posOffset>
            </wp:positionH>
            <wp:positionV relativeFrom="paragraph">
              <wp:posOffset>52070</wp:posOffset>
            </wp:positionV>
            <wp:extent cx="4747895" cy="1461135"/>
            <wp:effectExtent l="0" t="0" r="14605" b="5715"/>
            <wp:wrapTopAndBottom/>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9"/>
                    <a:stretch>
                      <a:fillRect/>
                    </a:stretch>
                  </pic:blipFill>
                  <pic:spPr>
                    <a:xfrm>
                      <a:off x="0" y="0"/>
                      <a:ext cx="4747895" cy="1461135"/>
                    </a:xfrm>
                    <a:prstGeom prst="rect">
                      <a:avLst/>
                    </a:prstGeom>
                    <a:noFill/>
                    <a:ln>
                      <a:noFill/>
                    </a:ln>
                  </pic:spPr>
                </pic:pic>
              </a:graphicData>
            </a:graphic>
          </wp:anchor>
        </w:drawing>
      </w:r>
      <w:r>
        <w:rPr>
          <w:rFonts w:hint="eastAsia" w:ascii="宋体" w:hAnsi="宋体" w:eastAsia="宋体" w:cs="宋体"/>
          <w:b/>
          <w:sz w:val="21"/>
          <w:szCs w:val="21"/>
        </w:rPr>
        <w:t xml:space="preserve">  </w:t>
      </w:r>
    </w:p>
    <w:p>
      <w:pPr>
        <w:jc w:val="left"/>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5793105" cy="2904490"/>
            <wp:effectExtent l="0" t="0" r="17145" b="1016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0"/>
                    <a:stretch>
                      <a:fillRect/>
                    </a:stretch>
                  </pic:blipFill>
                  <pic:spPr>
                    <a:xfrm>
                      <a:off x="0" y="0"/>
                      <a:ext cx="5793105" cy="290449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3912870" cy="3060700"/>
            <wp:effectExtent l="0" t="0" r="11430" b="635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1"/>
                    <a:stretch>
                      <a:fillRect/>
                    </a:stretch>
                  </pic:blipFill>
                  <pic:spPr>
                    <a:xfrm>
                      <a:off x="0" y="0"/>
                      <a:ext cx="3912870" cy="3060700"/>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259830" cy="5298440"/>
            <wp:effectExtent l="0" t="0" r="7620"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2"/>
                    <a:stretch>
                      <a:fillRect/>
                    </a:stretch>
                  </pic:blipFill>
                  <pic:spPr>
                    <a:xfrm>
                      <a:off x="0" y="0"/>
                      <a:ext cx="6259830" cy="5298440"/>
                    </a:xfrm>
                    <a:prstGeom prst="rect">
                      <a:avLst/>
                    </a:prstGeom>
                    <a:noFill/>
                    <a:ln>
                      <a:noFill/>
                    </a:ln>
                  </pic:spPr>
                </pic:pic>
              </a:graphicData>
            </a:graphic>
          </wp:inline>
        </w:drawing>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61312" behindDoc="1" locked="0" layoutInCell="1" allowOverlap="1">
            <wp:simplePos x="0" y="0"/>
            <wp:positionH relativeFrom="column">
              <wp:posOffset>337820</wp:posOffset>
            </wp:positionH>
            <wp:positionV relativeFrom="paragraph">
              <wp:posOffset>730250</wp:posOffset>
            </wp:positionV>
            <wp:extent cx="5281930" cy="457200"/>
            <wp:effectExtent l="0" t="0" r="13970"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3"/>
                    <a:stretch>
                      <a:fillRect/>
                    </a:stretch>
                  </pic:blipFill>
                  <pic:spPr>
                    <a:xfrm>
                      <a:off x="0" y="0"/>
                      <a:ext cx="5281930" cy="457200"/>
                    </a:xfrm>
                    <a:prstGeom prst="rect">
                      <a:avLst/>
                    </a:prstGeom>
                    <a:noFill/>
                    <a:ln>
                      <a:noFill/>
                    </a:ln>
                  </pic:spPr>
                </pic:pic>
              </a:graphicData>
            </a:graphic>
          </wp:anchor>
        </w:drawing>
      </w: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067300" cy="749300"/>
            <wp:effectExtent l="0" t="0" r="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4"/>
                    <a:stretch>
                      <a:fillRect/>
                    </a:stretch>
                  </pic:blipFill>
                  <pic:spPr>
                    <a:xfrm>
                      <a:off x="0" y="0"/>
                      <a:ext cx="5067300" cy="74930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2"/>
        <w:rPr>
          <w:rFonts w:hint="eastAsia" w:ascii="宋体" w:hAnsi="宋体" w:eastAsia="宋体" w:cs="宋体"/>
          <w:sz w:val="24"/>
          <w:szCs w:val="24"/>
          <w:lang w:val="en-US" w:eastAsia="zh-CN"/>
        </w:rPr>
        <w:sectPr>
          <w:headerReference r:id="rId6" w:type="default"/>
          <w:footerReference r:id="rId7"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3"/>
          <w:cols w:space="720" w:num="1"/>
          <w:docGrid w:type="lines" w:linePitch="312" w:charSpace="0"/>
        </w:sectPr>
      </w:pP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（万开、万云）沥青混合料外协加工之安全</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为在</w:t>
      </w:r>
      <w:r>
        <w:rPr>
          <w:rFonts w:hint="eastAsia" w:ascii="宋体" w:hAnsi="宋体" w:eastAsia="宋体" w:cs="宋体"/>
          <w:b/>
          <w:bCs/>
          <w:sz w:val="24"/>
          <w:szCs w:val="24"/>
          <w:u w:val="single"/>
          <w:lang w:val="en-US" w:eastAsia="zh-CN"/>
        </w:rPr>
        <w:t>2022年东北营运分公司所辖高速公路路面功能性修复及预防性养护工程（万开、万云）沥青混合料外协加工</w:t>
      </w:r>
      <w:r>
        <w:rPr>
          <w:rFonts w:hint="eastAsia" w:ascii="宋体" w:hAnsi="宋体" w:eastAsia="宋体" w:cs="宋体"/>
          <w:sz w:val="24"/>
          <w:szCs w:val="24"/>
          <w:lang w:val="en-US" w:eastAsia="zh-CN"/>
        </w:rPr>
        <w:t>项目实施过程中创造安全、高效的施工环境，切实做好本次沥青混合料加工的安全管理工作，采购人</w:t>
      </w:r>
      <w:r>
        <w:rPr>
          <w:rFonts w:hint="eastAsia" w:ascii="宋体" w:hAnsi="宋体" w:eastAsia="宋体" w:cs="宋体"/>
          <w:b/>
          <w:bCs/>
          <w:sz w:val="24"/>
          <w:szCs w:val="24"/>
          <w:u w:val="single"/>
          <w:lang w:val="en-US" w:eastAsia="zh-CN"/>
        </w:rPr>
        <w:t xml:space="preserve"> 重庆通力高速公路养护工程有限公司 </w:t>
      </w:r>
      <w:r>
        <w:rPr>
          <w:rFonts w:hint="eastAsia" w:ascii="宋体" w:hAnsi="宋体" w:eastAsia="宋体" w:cs="宋体"/>
          <w:sz w:val="24"/>
          <w:szCs w:val="24"/>
          <w:lang w:val="en-US" w:eastAsia="zh-CN"/>
        </w:rPr>
        <w:t>（以下简称甲方）与加工单位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XXXXX</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（以下简称乙方）特此签订如下安全生产合同：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1、严格遵守并贯彻执行国家有关安全生产法律法规规定，认真履行安全监督管理职责。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2、按照“安全第一、预防为主、综合治理”方针和坚持“谁主管，谁负责”的原则进行安全生产管理，生产与安全工作同时计划、布置、检查、总结和评比。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、不定期组织人员对乙方人员和设备安全管理、安全生产行为、安全措施落实情况进行检查，监督乙方及时处理和整改发现的各种安全隐患，督促各项安全措施落到实处。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、对乙方违反安全生产的各种违法违纪行为，有权予以制止并按照相关规定进行处理应予纠正并按照相关规定进行处罚。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、甲方的上述职责不代表甲方对乙方的合同履行行为做任何安全方面明示或暗示的保证，乙方仍应自行负责处理并自行承担合同履行过程中可能出现的一切安全事故责任与风险等。</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1、严格遵守并贯彻执行国家有关安全生产的法律法规，认真履行安全管理职责，认真执行合同中的有关安全要求。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生产管理人员和具体操作人员，必须熟悉和遵守有关安全规定及本条款的各项规定，做到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、建立健全安全生产责任制。从</w:t>
      </w:r>
      <w:r>
        <w:rPr>
          <w:rFonts w:hint="eastAsia" w:ascii="宋体" w:hAnsi="宋体" w:eastAsia="宋体" w:cs="宋体"/>
          <w:sz w:val="24"/>
          <w:szCs w:val="24"/>
          <w:lang w:val="en-US" w:eastAsia="zh-CN"/>
        </w:rPr>
        <w:t>拌和站</w:t>
      </w:r>
      <w:r>
        <w:rPr>
          <w:rFonts w:hint="eastAsia" w:ascii="宋体" w:hAnsi="宋体" w:eastAsia="宋体" w:cs="宋体"/>
          <w:sz w:val="24"/>
          <w:szCs w:val="24"/>
        </w:rPr>
        <w:t>的设备管理人员到操作人员、辅助人员，在管理上应做到纵向到底，一环不漏；横向到边，人人有责。</w:t>
      </w:r>
      <w:r>
        <w:rPr>
          <w:rFonts w:hint="eastAsia" w:ascii="宋体" w:hAnsi="宋体" w:eastAsia="宋体" w:cs="宋体"/>
          <w:sz w:val="24"/>
          <w:szCs w:val="24"/>
          <w:lang w:val="en-US" w:eastAsia="zh-CN"/>
        </w:rPr>
        <w:t>沥青和混合料生产</w:t>
      </w:r>
      <w:r>
        <w:rPr>
          <w:rFonts w:hint="eastAsia" w:ascii="宋体" w:hAnsi="宋体" w:eastAsia="宋体" w:cs="宋体"/>
          <w:sz w:val="24"/>
          <w:szCs w:val="24"/>
        </w:rPr>
        <w:t>现场必须配置安全人员，负责</w:t>
      </w:r>
      <w:r>
        <w:rPr>
          <w:rFonts w:hint="eastAsia" w:ascii="宋体" w:hAnsi="宋体" w:eastAsia="宋体" w:cs="宋体"/>
          <w:sz w:val="24"/>
          <w:szCs w:val="24"/>
          <w:lang w:val="en-US" w:eastAsia="zh-CN"/>
        </w:rPr>
        <w:t>生产</w:t>
      </w:r>
      <w:r>
        <w:rPr>
          <w:rFonts w:hint="eastAsia" w:ascii="宋体" w:hAnsi="宋体" w:eastAsia="宋体" w:cs="宋体"/>
          <w:sz w:val="24"/>
          <w:szCs w:val="24"/>
        </w:rPr>
        <w:t>期间操作人员的安全和治安保卫工作及预防事故的发生。</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、乙方作业人员不得违章作业、冒险作业和疲劳作业，乙方应根据施工现场实际情况，采取各种合理的预防措施，防止其作业人员发生任何违法、违禁、暴力或妨碍治安的行为。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w:t>
      </w:r>
      <w:r>
        <w:rPr>
          <w:rFonts w:hint="eastAsia" w:ascii="宋体" w:hAnsi="宋体" w:eastAsia="宋体" w:cs="宋体"/>
          <w:sz w:val="24"/>
          <w:szCs w:val="24"/>
          <w:lang w:val="en-US" w:eastAsia="zh-CN"/>
        </w:rPr>
        <w:t>生产相关</w:t>
      </w:r>
      <w:r>
        <w:rPr>
          <w:rFonts w:hint="eastAsia" w:ascii="宋体" w:hAnsi="宋体" w:eastAsia="宋体" w:cs="宋体"/>
          <w:sz w:val="24"/>
          <w:szCs w:val="24"/>
        </w:rPr>
        <w:t>人员必须接受安全技术教育及培训，熟知和遵守本岗位工种的各项安全技术操作规程，合格者方准上岗操作。特种作业人员须按国家有关规定持证上岗。乙方必须保证相关人员所持证照在合同和施工期内持续有效，</w:t>
      </w:r>
      <w:r>
        <w:rPr>
          <w:rFonts w:hint="eastAsia" w:ascii="宋体" w:hAnsi="宋体" w:eastAsia="宋体" w:cs="宋体"/>
          <w:sz w:val="24"/>
          <w:szCs w:val="24"/>
          <w:lang w:val="en-US" w:eastAsia="zh-CN"/>
        </w:rPr>
        <w:t>生产</w:t>
      </w:r>
      <w:r>
        <w:rPr>
          <w:rFonts w:hint="eastAsia" w:ascii="宋体" w:hAnsi="宋体" w:eastAsia="宋体" w:cs="宋体"/>
          <w:sz w:val="24"/>
          <w:szCs w:val="24"/>
        </w:rPr>
        <w:t>现场如出现有关人员无证操作、证照失效等的现象时，所发生的安全事故，由乙方承担一切法律责任、赔偿全部经济损失管理责任和经济损失。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、严格执行《中华人民共和国消防法》，易燃易爆的材料除应设专人专门负责管理外，还应配备足够的和有效的消防设施，并作好材料收发记录台帐，避免遗失和流失。所有</w:t>
      </w:r>
      <w:r>
        <w:rPr>
          <w:rFonts w:hint="eastAsia" w:ascii="宋体" w:hAnsi="宋体" w:eastAsia="宋体" w:cs="宋体"/>
          <w:sz w:val="24"/>
          <w:szCs w:val="24"/>
          <w:lang w:val="en-US" w:eastAsia="zh-CN"/>
        </w:rPr>
        <w:t>生产相关的</w:t>
      </w:r>
      <w:r>
        <w:rPr>
          <w:rFonts w:hint="eastAsia" w:ascii="宋体" w:hAnsi="宋体" w:eastAsia="宋体" w:cs="宋体"/>
          <w:sz w:val="24"/>
          <w:szCs w:val="24"/>
        </w:rPr>
        <w:t>作业人员应熟悉消防设备的性能和使用方法，施工场地、住宿、办公场所等还应按规定配备足够的消防设施。乙方不得将任何种类的爆炸物给予、易货或以其他方式转让给任何其他人。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、乙方负责对</w:t>
      </w:r>
      <w:r>
        <w:rPr>
          <w:rFonts w:hint="eastAsia" w:ascii="宋体" w:hAnsi="宋体" w:eastAsia="宋体" w:cs="宋体"/>
          <w:sz w:val="24"/>
          <w:szCs w:val="24"/>
          <w:lang w:val="en-US" w:eastAsia="zh-CN"/>
        </w:rPr>
        <w:t>拌合生产</w:t>
      </w:r>
      <w:r>
        <w:rPr>
          <w:rFonts w:hint="eastAsia" w:ascii="宋体" w:hAnsi="宋体" w:eastAsia="宋体" w:cs="宋体"/>
          <w:sz w:val="24"/>
          <w:szCs w:val="24"/>
        </w:rPr>
        <w:t>设备进行定期检查，保证其始终处于良好完备完好状态。不合格的机具、设备和劳动保护用品严禁使用。因违反相关规定和要求，所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、施工中采用新技术、新工艺、新设备、新材料时，必须制定相应的安全技术措施。施工现场必须具有相关的安全标志牌。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、乙方合同单价中已包含安全责任保险费用。乙方如在工作中发生作业人员伤、亡事故，或违反安全施工，野蛮操作等造成的人员伤亡和财产损失均由乙方自行承担全部法律责任和经济责任，甲方概不负责。</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本合同有效期内，如因乙方或乙方工作人员过错给甲方造成损失，由乙方负责向甲方赔偿，甲方有权直接从乙方支付款中予以扣除。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如因甲方或乙方违约造成安全事故，将依法按照国家有关法律法规进行处理。</w:t>
      </w:r>
    </w:p>
    <w:p>
      <w:pPr>
        <w:pStyle w:val="4"/>
        <w:pageBreakBefore w:val="0"/>
        <w:widowControl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sz w:val="24"/>
          <w:szCs w:val="24"/>
        </w:rPr>
        <w:t>四、</w:t>
      </w:r>
      <w:r>
        <w:rPr>
          <w:rFonts w:hint="eastAsia" w:ascii="宋体" w:hAnsi="宋体" w:eastAsia="宋体" w:cs="宋体"/>
          <w:b/>
          <w:bCs w:val="0"/>
          <w:sz w:val="24"/>
          <w:szCs w:val="24"/>
        </w:rPr>
        <w:t>本合同作为《</w:t>
      </w:r>
      <w:r>
        <w:rPr>
          <w:rFonts w:hint="eastAsia" w:ascii="宋体" w:hAnsi="宋体" w:eastAsia="宋体" w:cs="宋体"/>
          <w:b/>
          <w:bCs w:val="0"/>
          <w:sz w:val="24"/>
          <w:szCs w:val="24"/>
          <w:lang w:val="en-US" w:eastAsia="zh-CN"/>
        </w:rPr>
        <w:t>2022年东北营运分公司所辖高速公路路面功能性修复及预防性养护工程（万开、万云））沥青混合料外协加工</w:t>
      </w:r>
      <w:r>
        <w:rPr>
          <w:rFonts w:hint="eastAsia" w:ascii="宋体" w:hAnsi="宋体" w:eastAsia="宋体" w:cs="宋体"/>
          <w:b/>
          <w:bCs w:val="0"/>
          <w:sz w:val="24"/>
          <w:szCs w:val="24"/>
        </w:rPr>
        <w:t>》的附件，与</w:t>
      </w:r>
      <w:r>
        <w:rPr>
          <w:rFonts w:hint="eastAsia" w:ascii="宋体" w:hAnsi="宋体" w:eastAsia="宋体" w:cs="宋体"/>
          <w:b/>
          <w:bCs w:val="0"/>
          <w:sz w:val="24"/>
          <w:szCs w:val="24"/>
          <w:lang w:val="en-US" w:eastAsia="zh-CN"/>
        </w:rPr>
        <w:t>其</w:t>
      </w:r>
      <w:r>
        <w:rPr>
          <w:rFonts w:hint="eastAsia" w:ascii="宋体" w:hAnsi="宋体" w:eastAsia="宋体" w:cs="宋体"/>
          <w:b/>
          <w:bCs w:val="0"/>
          <w:sz w:val="24"/>
          <w:szCs w:val="24"/>
        </w:rPr>
        <w:t>具有同等的法律效力。</w:t>
      </w:r>
    </w:p>
    <w:p>
      <w:pPr>
        <w:pStyle w:val="4"/>
        <w:pageBreakBefore w:val="0"/>
        <w:widowControl w:val="0"/>
        <w:kinsoku/>
        <w:wordWrap/>
        <w:overflowPunct/>
        <w:topLinePunct w:val="0"/>
        <w:bidi w:val="0"/>
        <w:spacing w:line="360" w:lineRule="auto"/>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五、合同签约地：</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u w:val="single"/>
        </w:rPr>
        <w:t>重庆通力高速公路养护工程有限公司306室（重庆市沙坪坝区梨高路沙坪坝区档案馆旁）</w:t>
      </w:r>
      <w:r>
        <w:rPr>
          <w:rFonts w:hint="eastAsia" w:ascii="宋体" w:hAnsi="宋体" w:cs="宋体"/>
          <w:b w:val="0"/>
          <w:bCs/>
          <w:sz w:val="24"/>
          <w:szCs w:val="24"/>
          <w:u w:val="single"/>
          <w:lang w:eastAsia="zh-CN"/>
        </w:rPr>
        <w:t>。</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b/>
          <w:bCs w:val="0"/>
          <w:sz w:val="24"/>
          <w:szCs w:val="24"/>
        </w:rPr>
        <w:t>本合同一式</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陆</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份，招标人执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伍</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b/>
          <w:bCs w:val="0"/>
          <w:sz w:val="24"/>
          <w:szCs w:val="24"/>
        </w:rPr>
        <w:t>份，投标人执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壹</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份；由双方法定代表人或其授权代理人签署与加盖公章后生效，结清财务手续后自动终止。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
          <w:bCs/>
          <w:sz w:val="24"/>
          <w:szCs w:val="24"/>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法定代表人或授权代理人：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法定代表或授权代理人</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sectPr>
          <w:footerReference r:id="rId8"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6"/>
          <w:cols w:space="720" w:num="1"/>
          <w:docGrid w:type="lines" w:linePitch="312" w:charSpace="0"/>
        </w:sectPr>
      </w:pP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（万开、万云）沥青混合料外协加工之廉政</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重庆通力高速公路养护工程有限公司 </w:t>
      </w:r>
      <w:r>
        <w:rPr>
          <w:rFonts w:hint="eastAsia" w:ascii="宋体" w:hAnsi="宋体" w:eastAsia="宋体" w:cs="宋体"/>
          <w:sz w:val="24"/>
          <w:szCs w:val="24"/>
          <w:lang w:val="en-US" w:eastAsia="zh-CN"/>
        </w:rPr>
        <w:t>（以下称甲方）与</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（以下称乙方），特订立如下合同：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一、甲乙双方的权利和义务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1、严格遵守党和国家有关法律法规及交通部的有关规定。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w:t>
      </w:r>
      <w:r>
        <w:rPr>
          <w:rFonts w:hint="eastAsia" w:ascii="宋体" w:hAnsi="宋体" w:eastAsia="宋体" w:cs="宋体"/>
          <w:sz w:val="24"/>
          <w:szCs w:val="24"/>
        </w:rPr>
        <w:t>》的相关条款，自觉按合同办事。</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3、双方的业务活动坚持公开、公正、诚信、透明的原则（除法律认定的商业秘密和合同文件另有规定之外），不得损害国家和集体利益，违反工程建设管理规章制度。</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二、甲方义务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1、甲方及其工作人员不得索要或接受乙方的礼金、有价证券和贵重要物品，不得在乙方报销任何应由甲方或个人支付的费用等。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2、甲方工作人员不得参加乙方安排的宴请或可能影响公正的其他宴请和娱乐活动。不得接受乙方提供的通讯工具、交通工具和高档办公用品等。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4、甲方工作人员的配偶、子女不得从事与甲方工程有关的材料设备供应、工程分包、劳务等经济活动等。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5、甲方及其工作人员不得以任何理由向乙方推荐分包单位，不得要求乙方购买合同规定外的材料和设备。</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三、乙方义务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1、乙方不得以任何理由向甲方及其工作人员行贿或馈赠礼金、有价证券、贵重礼品。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3、乙方不得以任何理由邀请甲方工作人员外出旅游或安排甲方工作人员参加宴请及娱乐活动。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5、乙方及其工作人员应严格按规程办事，不得为谋取私利向工作人员非法行贿，私下串通，损害甲方利益。同时依法履行向甲方承诺的上述其他廉政义务。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五、双方约定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本合同由双方或双方上级单位的纪检监察部门负责监督执行。</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六、本合同有效期为甲乙双方签署之日起至该合同终止后止。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bCs/>
          <w:sz w:val="24"/>
          <w:szCs w:val="24"/>
        </w:rPr>
        <w:t>本合同作为《</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w:t>
      </w:r>
      <w:r>
        <w:rPr>
          <w:rFonts w:hint="eastAsia" w:ascii="宋体" w:hAnsi="宋体" w:eastAsia="宋体" w:cs="宋体"/>
          <w:b/>
          <w:bCs/>
          <w:sz w:val="24"/>
          <w:szCs w:val="24"/>
        </w:rPr>
        <w:t>》的附件，具有同等的法律效力，经合同双方签署立即生效。</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八、本合同一式</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陆</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份，甲方执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份，乙方执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份；由双方法定代表人或其授权代表签署并加盖公章后生效，结清财务手续后自动终止。</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法定代表人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或授权代表：</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经办人：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pStyle w:val="2"/>
        <w:adjustRightInd/>
        <w:spacing w:line="360" w:lineRule="exact"/>
        <w:jc w:val="both"/>
        <w:rPr>
          <w:rFonts w:hint="eastAsia"/>
          <w:color w:val="auto"/>
          <w:sz w:val="21"/>
          <w:szCs w:val="21"/>
          <w:highlight w:val="none"/>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adjustRightInd w:val="0"/>
        <w:snapToGrid w:val="0"/>
        <w:spacing w:line="48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adjustRightInd w:val="0"/>
        <w:snapToGrid w:val="0"/>
        <w:spacing w:line="480" w:lineRule="exact"/>
        <w:jc w:val="center"/>
        <w:rPr>
          <w:b/>
          <w:sz w:val="36"/>
          <w:szCs w:val="36"/>
        </w:rPr>
      </w:pPr>
      <w:r>
        <w:rPr>
          <w:rFonts w:hint="eastAsia" w:ascii="宋体" w:hAnsi="宋体" w:eastAsia="宋体" w:cs="宋体"/>
          <w:b/>
          <w:sz w:val="28"/>
          <w:szCs w:val="28"/>
          <w:lang w:val="en-US" w:eastAsia="zh-CN"/>
        </w:rPr>
        <w:t>（万开、万云）沥青混合料外协加工</w:t>
      </w:r>
      <w:r>
        <w:rPr>
          <w:rFonts w:hint="eastAsia" w:ascii="宋体" w:hAnsi="宋体" w:eastAsia="宋体" w:cs="宋体"/>
          <w:b/>
          <w:sz w:val="28"/>
          <w:szCs w:val="28"/>
        </w:rPr>
        <w:t>之环境保护合同</w:t>
      </w:r>
    </w:p>
    <w:p>
      <w:pPr>
        <w:spacing w:line="360" w:lineRule="auto"/>
        <w:ind w:firstLine="480" w:firstLineChars="200"/>
        <w:rPr>
          <w:rFonts w:hint="eastAsia"/>
          <w:sz w:val="24"/>
          <w:szCs w:val="22"/>
        </w:rPr>
      </w:pP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rFonts w:hint="default" w:eastAsia="宋体"/>
          <w:sz w:val="24"/>
          <w:szCs w:val="22"/>
          <w:lang w:val="en-US" w:eastAsia="zh-CN"/>
        </w:rPr>
      </w:pPr>
      <w:r>
        <w:rPr>
          <w:rFonts w:hint="eastAsia"/>
          <w:sz w:val="24"/>
          <w:szCs w:val="22"/>
        </w:rPr>
        <w:t>乙方：</w:t>
      </w:r>
      <w:r>
        <w:rPr>
          <w:rFonts w:hint="eastAsia"/>
          <w:sz w:val="24"/>
          <w:szCs w:val="22"/>
          <w:lang w:val="en-US" w:eastAsia="zh-CN"/>
        </w:rPr>
        <w:t>XXXXXX</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w:t>
      </w:r>
      <w:r>
        <w:rPr>
          <w:rFonts w:hint="eastAsia"/>
          <w:b w:val="0"/>
          <w:bCs w:val="0"/>
          <w:sz w:val="24"/>
          <w:szCs w:val="22"/>
          <w:lang w:eastAsia="zh-CN"/>
        </w:rPr>
        <w:t>《</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2022年东北营运分公司所辖高速公路路面功能性修复及预防性养护工程（万开、万云）沥青混合料外协加工合同</w:t>
      </w:r>
      <w:r>
        <w:rPr>
          <w:rFonts w:hint="eastAsia" w:ascii="宋体" w:hAnsi="宋体" w:eastAsia="宋体" w:cs="宋体"/>
          <w:b w:val="0"/>
          <w:bCs w:val="0"/>
          <w:sz w:val="24"/>
          <w:szCs w:val="24"/>
          <w:u w:val="none"/>
          <w:lang w:val="en-US" w:eastAsia="zh-CN"/>
        </w:rPr>
        <w:t>》</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1.1严格遵守国家有关环境保护的法律法规和规章制度，包括但不限于《中华人民共和国环境保护法》、《中华人民共和国环境影响评价法》、《建设项目环境保护管理条例》、《重庆市环境保护条例》</w:t>
      </w:r>
      <w:r>
        <w:commentReference w:id="3"/>
      </w:r>
      <w:r>
        <w:rPr>
          <w:rFonts w:hint="eastAsia"/>
          <w:sz w:val="24"/>
          <w:szCs w:val="22"/>
        </w:rPr>
        <w:t>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r>
        <w:rPr>
          <w:rFonts w:hint="eastAsia"/>
          <w:b w:val="0"/>
          <w:bCs w:val="0"/>
          <w:sz w:val="24"/>
          <w:szCs w:val="22"/>
        </w:rPr>
        <w:t>《</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2022年东北营运分公司所辖高速公路路面功能性修复及预防性养护工程（万开、万云）沥青混合料外协加工合同</w:t>
      </w:r>
      <w:r>
        <w:rPr>
          <w:rFonts w:hint="eastAsia"/>
          <w:b w:val="0"/>
          <w:bCs w:val="0"/>
          <w:sz w:val="24"/>
          <w:szCs w:val="22"/>
        </w:rPr>
        <w:t>》</w:t>
      </w:r>
      <w:r>
        <w:rPr>
          <w:rFonts w:hint="eastAsia"/>
          <w:sz w:val="24"/>
          <w:szCs w:val="22"/>
        </w:rPr>
        <w:t>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360" w:lineRule="auto"/>
        <w:ind w:firstLine="480" w:firstLineChars="200"/>
        <w:rPr>
          <w:sz w:val="24"/>
          <w:szCs w:val="22"/>
        </w:rPr>
      </w:pPr>
      <w:r>
        <w:rPr>
          <w:rFonts w:hint="eastAsia"/>
          <w:sz w:val="24"/>
          <w:szCs w:val="22"/>
        </w:rPr>
        <w:t>5.3本合同一式</w:t>
      </w:r>
      <w:r>
        <w:rPr>
          <w:rFonts w:hint="eastAsia"/>
          <w:sz w:val="24"/>
          <w:szCs w:val="22"/>
          <w:u w:val="single"/>
          <w:lang w:val="en-US" w:eastAsia="zh-CN"/>
        </w:rPr>
        <w:t xml:space="preserve"> 陆 </w:t>
      </w:r>
      <w:r>
        <w:rPr>
          <w:rFonts w:hint="eastAsia"/>
          <w:sz w:val="24"/>
          <w:szCs w:val="22"/>
        </w:rPr>
        <w:t>份，甲方执</w:t>
      </w:r>
      <w:r>
        <w:rPr>
          <w:rFonts w:hint="eastAsia"/>
          <w:sz w:val="24"/>
          <w:szCs w:val="22"/>
          <w:u w:val="single"/>
          <w:lang w:val="en-US" w:eastAsia="zh-CN"/>
        </w:rPr>
        <w:t xml:space="preserve"> 伍 </w:t>
      </w:r>
      <w:r>
        <w:rPr>
          <w:rFonts w:hint="eastAsia"/>
          <w:sz w:val="24"/>
          <w:szCs w:val="22"/>
        </w:rPr>
        <w:t>份，乙方执</w:t>
      </w:r>
      <w:r>
        <w:rPr>
          <w:rFonts w:hint="eastAsia"/>
          <w:sz w:val="24"/>
          <w:szCs w:val="22"/>
          <w:u w:val="single"/>
          <w:lang w:val="en-US" w:eastAsia="zh-CN"/>
        </w:rPr>
        <w:t xml:space="preserve"> 壹 </w:t>
      </w:r>
      <w:r>
        <w:rPr>
          <w:rFonts w:hint="eastAsia"/>
          <w:sz w:val="24"/>
          <w:szCs w:val="22"/>
        </w:rPr>
        <w:t>份。由双方法定代表人或其委托代理人签署并加盖公章后生效，全部工程完工验收后终止。</w:t>
      </w:r>
    </w:p>
    <w:p>
      <w:pPr>
        <w:spacing w:line="360" w:lineRule="auto"/>
        <w:textAlignment w:val="baseline"/>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甲方：（盖章）                          乙方：（盖章）</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val="0"/>
        <w:spacing w:line="384" w:lineRule="auto"/>
        <w:rPr>
          <w:rFonts w:ascii="宋体" w:hAnsi="宋体"/>
          <w:sz w:val="24"/>
        </w:rPr>
      </w:pPr>
      <w:r>
        <w:rPr>
          <w:rFonts w:hint="eastAsia" w:ascii="宋体" w:hAnsi="宋体"/>
          <w:sz w:val="24"/>
        </w:rPr>
        <w:t>法定代表人                             法定代表人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szCs w:val="20"/>
        </w:rPr>
      </w:pPr>
      <w:r>
        <w:rPr>
          <w:rFonts w:hint="eastAsia" w:ascii="宋体" w:hAnsi="宋体"/>
          <w:sz w:val="24"/>
        </w:rPr>
        <w:t>或授权代表：                           或授权代表：</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项目负责人：                           项目负责人：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经办人：                               经办人： </w:t>
      </w:r>
    </w:p>
    <w:p>
      <w:pPr>
        <w:keepNext w:val="0"/>
        <w:keepLines w:val="0"/>
        <w:pageBreakBefore w:val="0"/>
        <w:widowControl w:val="0"/>
        <w:kinsoku/>
        <w:wordWrap/>
        <w:overflowPunct/>
        <w:topLinePunct w:val="0"/>
        <w:autoSpaceDE/>
        <w:autoSpaceDN/>
        <w:bidi w:val="0"/>
        <w:adjustRightInd/>
        <w:snapToGrid w:val="0"/>
        <w:spacing w:line="384" w:lineRule="auto"/>
        <w:jc w:val="center"/>
        <w:rPr>
          <w:rFonts w:hint="eastAsia" w:ascii="宋体" w:hAnsi="宋体" w:cs="宋体"/>
          <w:b/>
          <w:color w:val="000000"/>
          <w:sz w:val="36"/>
          <w:highlight w:val="none"/>
          <w:lang w:eastAsia="zh-CN"/>
        </w:rPr>
      </w:pPr>
      <w:r>
        <w:rPr>
          <w:rFonts w:hint="eastAsia" w:ascii="宋体"/>
          <w:sz w:val="24"/>
        </w:rPr>
        <w:t>日期：</w:t>
      </w:r>
      <w:r>
        <w:rPr>
          <w:rFonts w:hint="eastAsia" w:ascii="宋体"/>
          <w:sz w:val="24"/>
          <w:lang w:val="en-US" w:eastAsia="zh-CN"/>
        </w:rPr>
        <w:t>2022</w:t>
      </w:r>
      <w:r>
        <w:rPr>
          <w:rFonts w:hint="eastAsia" w:ascii="宋体"/>
          <w:sz w:val="24"/>
        </w:rPr>
        <w:t>年   月   日                 日期：</w:t>
      </w:r>
      <w:r>
        <w:rPr>
          <w:rFonts w:hint="eastAsia" w:ascii="宋体"/>
          <w:sz w:val="24"/>
          <w:lang w:val="en-US" w:eastAsia="zh-CN"/>
        </w:rPr>
        <w:t>2022</w:t>
      </w:r>
      <w:r>
        <w:rPr>
          <w:rFonts w:hint="eastAsia" w:ascii="宋体"/>
          <w:sz w:val="24"/>
        </w:rPr>
        <w:t xml:space="preserve">年    月   日  </w:t>
      </w:r>
    </w:p>
    <w:p>
      <w:pPr>
        <w:jc w:val="center"/>
        <w:rPr>
          <w:rFonts w:hint="eastAsia" w:ascii="宋体" w:hAnsi="宋体" w:cs="宋体"/>
          <w:b/>
          <w:color w:val="auto"/>
          <w:sz w:val="36"/>
          <w:highlight w:val="none"/>
          <w:lang w:eastAsia="zh-CN"/>
        </w:rPr>
        <w:sectPr>
          <w:headerReference r:id="rId9" w:type="default"/>
          <w:footerReference r:id="rId10" w:type="default"/>
          <w:pgSz w:w="11906" w:h="16838"/>
          <w:pgMar w:top="1418" w:right="1361" w:bottom="1418" w:left="1361" w:header="851" w:footer="992" w:gutter="0"/>
          <w:pgNumType w:fmt="decimal"/>
          <w:cols w:space="720" w:num="1"/>
          <w:docGrid w:type="lines" w:linePitch="312" w:charSpace="0"/>
        </w:sectPr>
      </w:pPr>
    </w:p>
    <w:p>
      <w:pPr>
        <w:pStyle w:val="2"/>
        <w:rPr>
          <w:rFonts w:hint="eastAsia"/>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footerReference r:id="rId11" w:type="default"/>
          <w:pgSz w:w="11906" w:h="16838"/>
          <w:pgMar w:top="1418" w:right="1361" w:bottom="1418" w:left="1361" w:header="851" w:footer="992" w:gutter="0"/>
          <w:pgNumType w:fmt="decimal" w:start="1"/>
          <w:cols w:space="720" w:num="1"/>
          <w:docGrid w:type="lines" w:linePitch="312" w:charSpace="0"/>
        </w:sect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22022年东北营运分公司所辖高速公路路面功能性修复及预防性养护工程（万开、万云）沥青混合料外协加工</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2022年东北营运分公司所辖高速公路路面功能性修复及预防性养护工程（万开、万云）沥青混合料外协加工</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21"/>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numPr>
          <w:ilvl w:val="0"/>
          <w:numId w:val="6"/>
        </w:numPr>
        <w:tabs>
          <w:tab w:val="left" w:pos="900"/>
          <w:tab w:val="left" w:pos="1080"/>
        </w:tabs>
        <w:spacing w:line="30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竞争性比选响应单位有效的营业执照、基本账户开户许可证</w:t>
      </w: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rPr>
      </w:pPr>
    </w:p>
    <w:p>
      <w:pPr>
        <w:wordWrap w:val="0"/>
        <w:spacing w:line="480" w:lineRule="exact"/>
        <w:jc w:val="both"/>
        <w:rPr>
          <w:rFonts w:hint="eastAsia"/>
          <w:color w:val="auto"/>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default" w:ascii="宋体" w:hAnsi="宋体" w:cs="宋体"/>
          <w:b/>
          <w:bCs w:val="0"/>
          <w:color w:val="000000"/>
          <w:sz w:val="24"/>
          <w:szCs w:val="20"/>
          <w:highlight w:val="none"/>
          <w:lang w:val="en-US" w:eastAsia="zh-CN"/>
        </w:rPr>
      </w:pPr>
      <w:r>
        <w:rPr>
          <w:rFonts w:hint="eastAsia" w:ascii="宋体" w:hAnsi="宋体" w:cs="宋体"/>
          <w:b/>
          <w:bCs w:val="0"/>
          <w:color w:val="000000"/>
          <w:sz w:val="24"/>
          <w:szCs w:val="20"/>
          <w:highlight w:val="none"/>
          <w:lang w:val="en-US" w:eastAsia="zh-CN"/>
        </w:rPr>
        <w:t>四、</w:t>
      </w:r>
      <w:r>
        <w:rPr>
          <w:rFonts w:hint="eastAsia" w:cs="Times New Roman"/>
          <w:b/>
          <w:bCs/>
          <w:color w:val="auto"/>
          <w:sz w:val="24"/>
          <w:szCs w:val="24"/>
          <w:highlight w:val="none"/>
          <w:lang w:val="en-US" w:eastAsia="zh-CN"/>
        </w:rPr>
        <w:t>拌和设备型号证明材料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rPr>
          <w:rFonts w:hint="eastAsia"/>
          <w:color w:val="auto"/>
          <w:highlight w:val="non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w:t>
      </w:r>
      <w:r>
        <w:rPr>
          <w:rFonts w:hint="eastAsia" w:ascii="宋体" w:hAnsi="宋体" w:cs="宋体"/>
          <w:b/>
          <w:sz w:val="24"/>
          <w:szCs w:val="24"/>
          <w:lang w:eastAsia="zh-CN"/>
        </w:rPr>
        <w:t>已标价</w:t>
      </w:r>
      <w:r>
        <w:rPr>
          <w:rFonts w:hint="eastAsia" w:ascii="宋体" w:hAnsi="宋体" w:cs="宋体"/>
          <w:b/>
          <w:sz w:val="24"/>
          <w:szCs w:val="24"/>
        </w:rPr>
        <w:t>报价清单</w:t>
      </w:r>
    </w:p>
    <w:tbl>
      <w:tblPr>
        <w:tblStyle w:val="21"/>
        <w:tblW w:w="14326" w:type="dxa"/>
        <w:tblInd w:w="96" w:type="dxa"/>
        <w:tblLayout w:type="fixed"/>
        <w:tblCellMar>
          <w:top w:w="0" w:type="dxa"/>
          <w:left w:w="108" w:type="dxa"/>
          <w:bottom w:w="0" w:type="dxa"/>
          <w:right w:w="108" w:type="dxa"/>
        </w:tblCellMar>
      </w:tblPr>
      <w:tblGrid>
        <w:gridCol w:w="719"/>
        <w:gridCol w:w="1980"/>
        <w:gridCol w:w="1360"/>
        <w:gridCol w:w="1210"/>
        <w:gridCol w:w="720"/>
        <w:gridCol w:w="1155"/>
        <w:gridCol w:w="1637"/>
        <w:gridCol w:w="1113"/>
        <w:gridCol w:w="1418"/>
        <w:gridCol w:w="1473"/>
        <w:gridCol w:w="1541"/>
      </w:tblGrid>
      <w:tr>
        <w:tblPrEx>
          <w:tblCellMar>
            <w:top w:w="0" w:type="dxa"/>
            <w:left w:w="108" w:type="dxa"/>
            <w:bottom w:w="0" w:type="dxa"/>
            <w:right w:w="108" w:type="dxa"/>
          </w:tblCellMar>
        </w:tblPrEx>
        <w:trPr>
          <w:trHeight w:val="310" w:hRule="atLeast"/>
        </w:trPr>
        <w:tc>
          <w:tcPr>
            <w:tcW w:w="14326" w:type="dxa"/>
            <w:gridSpan w:val="11"/>
            <w:tcBorders>
              <w:top w:val="nil"/>
              <w:left w:val="nil"/>
              <w:bottom w:val="single" w:color="000000" w:sz="8"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618"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工程位置</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石材要求</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出场单价上限价（元/吨）</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出场单价报价（元/吨）</w:t>
            </w: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1"/>
                <w:szCs w:val="21"/>
                <w:u w:val="none"/>
                <w:lang w:val="en-US" w:eastAsia="zh-CN" w:bidi="ar"/>
              </w:rPr>
              <w:t>1</w:t>
            </w:r>
          </w:p>
        </w:tc>
        <w:tc>
          <w:tcPr>
            <w:tcW w:w="19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cs="宋体"/>
                <w:b/>
                <w:bCs/>
                <w:i w:val="0"/>
                <w:color w:val="000000"/>
                <w:kern w:val="0"/>
                <w:sz w:val="21"/>
                <w:szCs w:val="21"/>
                <w:u w:val="single"/>
                <w:lang w:val="en-US" w:eastAsia="zh-CN" w:bidi="ar"/>
              </w:rPr>
              <w:t>万开、万云</w:t>
            </w:r>
            <w:r>
              <w:rPr>
                <w:rFonts w:hint="eastAsia" w:ascii="宋体" w:hAnsi="宋体" w:eastAsia="宋体" w:cs="宋体"/>
                <w:b/>
                <w:bCs/>
                <w:i w:val="0"/>
                <w:color w:val="000000"/>
                <w:kern w:val="0"/>
                <w:sz w:val="21"/>
                <w:szCs w:val="21"/>
                <w:u w:val="single"/>
                <w:lang w:val="en-US" w:eastAsia="zh-CN" w:bidi="ar"/>
              </w:rPr>
              <w:t>段</w:t>
            </w:r>
            <w:r>
              <w:rPr>
                <w:rFonts w:hint="eastAsia" w:ascii="宋体" w:hAnsi="宋体" w:eastAsia="宋体" w:cs="宋体"/>
                <w:i w:val="0"/>
                <w:color w:val="000000"/>
                <w:kern w:val="0"/>
                <w:sz w:val="21"/>
                <w:szCs w:val="21"/>
                <w:u w:val="none"/>
                <w:lang w:val="en-US" w:eastAsia="zh-CN" w:bidi="ar"/>
              </w:rPr>
              <w:t>高速公路沿线</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SMA-13</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4400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135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cs="宋体"/>
                <w:i w:val="0"/>
                <w:iCs w:val="0"/>
                <w:color w:val="0000FF"/>
                <w:sz w:val="24"/>
                <w:szCs w:val="24"/>
                <w:highlight w:val="none"/>
                <w:u w:val="none"/>
                <w:lang w:val="en-US" w:eastAsia="zh-CN"/>
              </w:rPr>
              <w:t>594000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AC-20C</w:t>
            </w:r>
          </w:p>
          <w:p>
            <w:pPr>
              <w:keepNext w:val="0"/>
              <w:keepLines w:val="0"/>
              <w:widowControl/>
              <w:suppressLineNumbers w:val="0"/>
              <w:ind w:left="0" w:leftChars="0" w:firstLine="0" w:firstLineChars="0"/>
              <w:jc w:val="center"/>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cs="宋体"/>
                <w:i w:val="0"/>
                <w:color w:val="0000FF"/>
                <w:kern w:val="0"/>
                <w:sz w:val="22"/>
                <w:szCs w:val="22"/>
                <w:highlight w:val="none"/>
                <w:u w:val="none"/>
                <w:lang w:val="en-US" w:eastAsia="zh-CN" w:bidi="ar"/>
              </w:rPr>
              <w:t>316350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ATB-25</w:t>
            </w:r>
          </w:p>
          <w:p>
            <w:pPr>
              <w:keepNext w:val="0"/>
              <w:keepLines w:val="0"/>
              <w:widowControl/>
              <w:suppressLineNumbers w:val="0"/>
              <w:ind w:left="0" w:leftChars="0" w:firstLine="0" w:firstLineChars="0"/>
              <w:jc w:val="both"/>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cs="宋体"/>
                <w:i w:val="0"/>
                <w:color w:val="0000FF"/>
                <w:kern w:val="0"/>
                <w:sz w:val="22"/>
                <w:szCs w:val="22"/>
                <w:highlight w:val="none"/>
                <w:u w:val="none"/>
                <w:lang w:val="en-US" w:eastAsia="zh-CN" w:bidi="ar"/>
              </w:rPr>
              <w:t>362600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7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8070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1272950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top"/>
          </w:tcPr>
          <w:p>
            <w:pPr>
              <w:jc w:val="both"/>
              <w:rPr>
                <w:rFonts w:hint="eastAsia" w:ascii="宋体" w:hAnsi="宋体" w:eastAsia="宋体" w:cs="宋体"/>
                <w:i w:val="0"/>
                <w:iCs w:val="0"/>
                <w:color w:val="000000"/>
                <w:sz w:val="21"/>
                <w:szCs w:val="21"/>
                <w:u w:val="none"/>
              </w:rPr>
            </w:pPr>
          </w:p>
        </w:tc>
        <w:tc>
          <w:tcPr>
            <w:tcW w:w="154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限价合计金额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w:t>
            </w:r>
            <w:r>
              <w:rPr>
                <w:rFonts w:hint="eastAsia" w:cs="Times New Roman"/>
                <w:sz w:val="24"/>
                <w:szCs w:val="24"/>
                <w:u w:val="single"/>
                <w:vertAlign w:val="baseline"/>
                <w:lang w:val="en-US" w:eastAsia="zh-CN"/>
              </w:rPr>
              <w:t xml:space="preserve"> </w:t>
            </w:r>
            <w:r>
              <w:rPr>
                <w:rFonts w:hint="default" w:ascii="Times New Roman" w:hAnsi="Times New Roman" w:eastAsia="宋体" w:cs="Times New Roman"/>
                <w:b/>
                <w:bCs/>
                <w:sz w:val="24"/>
                <w:szCs w:val="24"/>
                <w:u w:val="single"/>
                <w:vertAlign w:val="baseline"/>
                <w:lang w:val="en-US" w:eastAsia="zh-CN"/>
              </w:rPr>
              <w:t>1272950</w:t>
            </w:r>
            <w:r>
              <w:rPr>
                <w:rFonts w:hint="eastAsia"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w:t>
            </w:r>
            <w:r>
              <w:rPr>
                <w:rFonts w:hint="default"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大写</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w:t>
            </w:r>
            <w:r>
              <w:rPr>
                <w:rFonts w:hint="eastAsia" w:cs="Times New Roman"/>
                <w:b/>
                <w:bCs/>
                <w:sz w:val="24"/>
                <w:szCs w:val="24"/>
                <w:u w:val="single"/>
                <w:vertAlign w:val="baseline"/>
                <w:lang w:val="en-US" w:eastAsia="zh-CN"/>
              </w:rPr>
              <w:t>壹佰贰拾柒万贰仟玖佰伍拾</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报价合计金额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    大写：</w:t>
            </w:r>
            <w:r>
              <w:rPr>
                <w:rFonts w:hint="default" w:ascii="Times New Roman" w:hAnsi="Times New Roman" w:eastAsia="宋体" w:cs="Times New Roman"/>
                <w:b/>
                <w:bCs/>
                <w:sz w:val="24"/>
                <w:szCs w:val="24"/>
                <w:u w:val="single"/>
                <w:vertAlign w:val="baseline"/>
                <w:lang w:val="en-US" w:eastAsia="zh-CN"/>
              </w:rPr>
              <w:t xml:space="preserve">           </w:t>
            </w:r>
            <w:r>
              <w:rPr>
                <w:rFonts w:hint="eastAsia" w:cs="Times New Roman"/>
                <w:b/>
                <w:bCs/>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12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以下信息由竞标人如实填报，作为评标使用：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1、竞标人拌和站地址：</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2、拌和站距离</w:t>
            </w:r>
            <w:r>
              <w:rPr>
                <w:rFonts w:hint="eastAsia" w:ascii="宋体" w:hAnsi="宋体" w:cs="宋体"/>
                <w:i w:val="0"/>
                <w:iCs w:val="0"/>
                <w:color w:val="000000"/>
                <w:kern w:val="0"/>
                <w:sz w:val="22"/>
                <w:szCs w:val="22"/>
                <w:u w:val="none"/>
                <w:lang w:val="en-US" w:eastAsia="zh-CN" w:bidi="ar"/>
              </w:rPr>
              <w:t>小周</w:t>
            </w:r>
            <w:r>
              <w:rPr>
                <w:rFonts w:hint="eastAsia" w:ascii="宋体" w:hAnsi="宋体" w:eastAsia="宋体" w:cs="宋体"/>
                <w:i w:val="0"/>
                <w:iCs w:val="0"/>
                <w:color w:val="000000"/>
                <w:kern w:val="0"/>
                <w:sz w:val="22"/>
                <w:szCs w:val="22"/>
                <w:u w:val="none"/>
                <w:lang w:val="en-US" w:eastAsia="zh-CN" w:bidi="ar"/>
              </w:rPr>
              <w:t>收费站行驶里程：</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公里（地方道路，竞标人提供导航截图，最终以比选人复核里程为准）。     </w:t>
            </w:r>
            <w:r>
              <w:rPr>
                <w:rFonts w:hint="eastAsia" w:ascii="宋体" w:hAnsi="宋体" w:eastAsia="宋体" w:cs="宋体"/>
                <w:i w:val="0"/>
                <w:iCs w:val="0"/>
                <w:color w:val="000000"/>
                <w:kern w:val="0"/>
                <w:sz w:val="21"/>
                <w:szCs w:val="21"/>
                <w:u w:val="none"/>
                <w:lang w:val="en-US" w:eastAsia="zh-CN" w:bidi="ar"/>
              </w:rPr>
              <w:t xml:space="preserve">                                            </w:t>
            </w:r>
          </w:p>
        </w:tc>
      </w:tr>
      <w:tr>
        <w:tblPrEx>
          <w:tblCellMar>
            <w:top w:w="0" w:type="dxa"/>
            <w:left w:w="108" w:type="dxa"/>
            <w:bottom w:w="0" w:type="dxa"/>
            <w:right w:w="108" w:type="dxa"/>
          </w:tblCellMar>
        </w:tblPrEx>
        <w:trPr>
          <w:trHeight w:val="204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sz w:val="20"/>
                <w:szCs w:val="18"/>
                <w:lang w:val="en-US" w:eastAsia="zh-CN"/>
              </w:rPr>
            </w:pPr>
            <w:r>
              <w:rPr>
                <w:rFonts w:hint="eastAsia" w:ascii="宋体" w:hAnsi="宋体" w:cs="宋体"/>
                <w:sz w:val="20"/>
                <w:szCs w:val="20"/>
                <w:shd w:val="clear" w:color="auto" w:fill="FFFFFF"/>
                <w:lang w:val="en-US" w:eastAsia="zh-CN"/>
              </w:rPr>
              <w:t>1、</w:t>
            </w:r>
            <w:r>
              <w:rPr>
                <w:rFonts w:hint="eastAsia" w:ascii="宋体" w:hAnsi="宋体" w:eastAsia="宋体" w:cs="宋体"/>
                <w:i w:val="0"/>
                <w:iCs w:val="0"/>
                <w:color w:val="000000"/>
                <w:kern w:val="0"/>
                <w:sz w:val="22"/>
                <w:szCs w:val="22"/>
                <w:u w:val="none"/>
                <w:lang w:val="en-US" w:eastAsia="zh-CN" w:bidi="ar"/>
              </w:rPr>
              <w:t>评标方式：（竞价人拌合站沥青混合料出厂总报价+（比选人运输单价*拌合站距指定地点（</w:t>
            </w:r>
            <w:r>
              <w:rPr>
                <w:rFonts w:hint="eastAsia" w:ascii="宋体" w:hAnsi="宋体" w:cs="宋体"/>
                <w:i w:val="0"/>
                <w:iCs w:val="0"/>
                <w:color w:val="000000"/>
                <w:kern w:val="0"/>
                <w:sz w:val="22"/>
                <w:szCs w:val="22"/>
                <w:u w:val="none"/>
                <w:lang w:val="en-US" w:eastAsia="zh-CN" w:bidi="ar"/>
              </w:rPr>
              <w:t>G42沪蓉高速</w:t>
            </w:r>
            <w:r>
              <w:rPr>
                <w:rFonts w:hint="eastAsia" w:ascii="宋体" w:hAnsi="宋体" w:eastAsia="宋体" w:cs="宋体"/>
                <w:i w:val="0"/>
                <w:iCs w:val="0"/>
                <w:color w:val="000000"/>
                <w:kern w:val="0"/>
                <w:sz w:val="22"/>
                <w:szCs w:val="22"/>
                <w:u w:val="none"/>
                <w:lang w:val="en-US" w:eastAsia="zh-CN" w:bidi="ar"/>
              </w:rPr>
              <w:t>小周收费站）重载运距公里数*沥青混合料预计生产量吨位）进行评标。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以上单价为综合含税单价，工程量清单中的单价已包含为完成约定工作内容所需的一切费用：包括竞标人拌和站生产沥青混合料所需的原材料费、人工费、机械使用费、燃料、临时水电费用、临时生活设施费、节假日加班费、安全措施费、保险费、升温费、税金、管理费、利润等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Times New Roman" w:hAnsi="Times New Roman" w:eastAsia="宋体" w:cs="Times New Roman"/>
                <w:sz w:val="22"/>
                <w:szCs w:val="21"/>
                <w:lang w:val="en-US" w:eastAsia="zh-CN"/>
              </w:rPr>
              <w:t>比选人提供沥青、玄武岩、木质素纤维，其余所有材料（含:石灰岩、矿粉等）、燃油、机械设备、人工等均由竞标人提供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4、工程量清单中所列工程数量为暂定数量，不能作为最终结算与支付的依据，最终数量以比选人代表确认的实际生产的合格数量为准。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5、比选人组织沥青混合料运输。</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6、增值税税率为13%。</w:t>
            </w:r>
          </w:p>
        </w:tc>
      </w:tr>
    </w:tbl>
    <w:p>
      <w:pPr>
        <w:spacing w:line="440" w:lineRule="exact"/>
        <w:jc w:val="center"/>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竞</w:t>
      </w:r>
      <w:r>
        <w:rPr>
          <w:b/>
          <w:bCs/>
          <w:color w:val="auto"/>
          <w:sz w:val="21"/>
          <w:szCs w:val="21"/>
          <w:highlight w:val="none"/>
        </w:rPr>
        <w:t xml:space="preserve"> 标 人</w:t>
      </w:r>
      <w:r>
        <w:rPr>
          <w:rFonts w:hint="eastAsia"/>
          <w:b/>
          <w:bCs/>
          <w:color w:val="auto"/>
          <w:sz w:val="21"/>
          <w:szCs w:val="21"/>
          <w:highlight w:val="none"/>
          <w:lang w:eastAsia="zh-CN"/>
        </w:rPr>
        <w:t>（</w:t>
      </w:r>
      <w:r>
        <w:rPr>
          <w:b/>
          <w:bCs/>
          <w:color w:val="auto"/>
          <w:sz w:val="21"/>
          <w:szCs w:val="21"/>
          <w:highlight w:val="none"/>
        </w:rPr>
        <w:t>盖单位</w:t>
      </w:r>
      <w:r>
        <w:rPr>
          <w:rFonts w:hint="eastAsia"/>
          <w:b/>
          <w:bCs/>
          <w:color w:val="auto"/>
          <w:sz w:val="21"/>
          <w:szCs w:val="21"/>
          <w:highlight w:val="none"/>
          <w:lang w:val="en-US" w:eastAsia="zh-CN"/>
        </w:rPr>
        <w:t>公</w:t>
      </w:r>
      <w:r>
        <w:rPr>
          <w:b/>
          <w:bCs/>
          <w:color w:val="auto"/>
          <w:sz w:val="21"/>
          <w:szCs w:val="21"/>
          <w:highlight w:val="none"/>
        </w:rPr>
        <w:t>章）</w:t>
      </w:r>
      <w:r>
        <w:rPr>
          <w:rFonts w:hint="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587" w:firstLineChars="2650"/>
        <w:jc w:val="center"/>
        <w:textAlignment w:val="auto"/>
        <w:rPr>
          <w:rFonts w:hint="eastAsia"/>
          <w:b/>
          <w:bCs/>
          <w:sz w:val="21"/>
          <w:szCs w:val="21"/>
        </w:rPr>
        <w:sectPr>
          <w:pgSz w:w="16838" w:h="11906" w:orient="landscape"/>
          <w:pgMar w:top="896" w:right="1440" w:bottom="896"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b/>
          <w:bCs/>
          <w:color w:val="auto"/>
          <w:sz w:val="21"/>
          <w:szCs w:val="21"/>
          <w:highlight w:val="none"/>
        </w:rPr>
        <w:t>法定代表人或其委托代理人：</w:t>
      </w:r>
      <w:r>
        <w:rPr>
          <w:b/>
          <w:bCs/>
          <w:color w:val="auto"/>
          <w:sz w:val="21"/>
          <w:szCs w:val="21"/>
          <w:highlight w:val="none"/>
          <w:u w:val="single"/>
        </w:rPr>
        <w:t xml:space="preserve">      </w:t>
      </w:r>
      <w:r>
        <w:rPr>
          <w:rFonts w:hint="eastAsia"/>
          <w:b/>
          <w:bCs/>
          <w:color w:val="auto"/>
          <w:sz w:val="21"/>
          <w:szCs w:val="21"/>
          <w:highlight w:val="none"/>
          <w:u w:val="single"/>
        </w:rPr>
        <w:t xml:space="preserve">   </w:t>
      </w:r>
      <w:r>
        <w:rPr>
          <w:b/>
          <w:bCs/>
          <w:color w:val="auto"/>
          <w:sz w:val="21"/>
          <w:szCs w:val="21"/>
          <w:highlight w:val="none"/>
          <w:u w:val="single"/>
        </w:rPr>
        <w:t xml:space="preserve"> </w:t>
      </w:r>
      <w:r>
        <w:rPr>
          <w:b/>
          <w:bCs/>
          <w:color w:val="auto"/>
          <w:sz w:val="21"/>
          <w:szCs w:val="21"/>
          <w:highlight w:val="none"/>
        </w:rPr>
        <w:t>（签字）</w:t>
      </w:r>
    </w:p>
    <w:p>
      <w:pPr>
        <w:jc w:val="center"/>
        <w:rPr>
          <w:rFonts w:hint="default"/>
          <w:b/>
          <w:bCs/>
          <w:sz w:val="24"/>
          <w:szCs w:val="22"/>
          <w:lang w:val="en-US" w:eastAsia="zh-CN"/>
        </w:rPr>
      </w:pPr>
      <w:r>
        <w:rPr>
          <w:rFonts w:hint="eastAsia"/>
          <w:b/>
          <w:bCs/>
          <w:sz w:val="24"/>
          <w:szCs w:val="22"/>
          <w:lang w:val="en-US" w:eastAsia="zh-CN"/>
        </w:rPr>
        <w:t>六、竞标人导航截图</w:t>
      </w: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default"/>
          <w:b/>
          <w:bCs/>
          <w:sz w:val="24"/>
          <w:szCs w:val="22"/>
          <w:lang w:val="en-US" w:eastAsia="zh-CN"/>
        </w:rPr>
      </w:pPr>
      <w:r>
        <w:rPr>
          <w:rFonts w:hint="eastAsia"/>
          <w:b/>
          <w:bCs/>
          <w:sz w:val="24"/>
          <w:szCs w:val="22"/>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lang w:val="en-US" w:eastAsia="zh-CN"/>
        </w:rPr>
        <w:t>比选人2022</w:t>
      </w:r>
      <w:r>
        <w:rPr>
          <w:rFonts w:hint="eastAsia"/>
          <w:sz w:val="24"/>
          <w:szCs w:val="24"/>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rPr>
        <w:t>(此单价</w:t>
      </w:r>
      <w:r>
        <w:rPr>
          <w:rFonts w:hint="eastAsia"/>
          <w:sz w:val="24"/>
          <w:szCs w:val="24"/>
          <w:lang w:val="en-US" w:eastAsia="zh-CN"/>
        </w:rPr>
        <w:t>表用于比选</w:t>
      </w:r>
      <w:r>
        <w:rPr>
          <w:rFonts w:hint="eastAsia"/>
          <w:sz w:val="24"/>
          <w:szCs w:val="24"/>
          <w:lang w:eastAsia="zh-CN"/>
        </w:rPr>
        <w:t>人</w:t>
      </w:r>
      <w:r>
        <w:rPr>
          <w:rFonts w:hint="eastAsia"/>
          <w:sz w:val="24"/>
          <w:szCs w:val="24"/>
          <w:lang w:val="en-US" w:eastAsia="zh-CN"/>
        </w:rPr>
        <w:t>计算竞标人</w:t>
      </w:r>
      <w:r>
        <w:rPr>
          <w:rFonts w:hint="eastAsia"/>
          <w:sz w:val="24"/>
          <w:szCs w:val="24"/>
        </w:rPr>
        <w:t>拌合站至</w:t>
      </w:r>
      <w:r>
        <w:rPr>
          <w:rFonts w:hint="eastAsia"/>
          <w:sz w:val="24"/>
          <w:szCs w:val="24"/>
          <w:lang w:val="en-US" w:eastAsia="zh-CN"/>
        </w:rPr>
        <w:t>G42沪蓉高速小周收费站的</w:t>
      </w:r>
      <w:r>
        <w:rPr>
          <w:rFonts w:hint="eastAsia"/>
          <w:sz w:val="24"/>
          <w:szCs w:val="24"/>
        </w:rPr>
        <w:t>运距费用）</w:t>
      </w:r>
    </w:p>
    <w:tbl>
      <w:tblPr>
        <w:tblStyle w:val="21"/>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sz w:val="24"/>
              </w:rPr>
            </w:pPr>
            <w:r>
              <w:rPr>
                <w:rFonts w:hint="eastAsia" w:ascii="宋体"/>
                <w:sz w:val="24"/>
              </w:rPr>
              <w:t>序号</w:t>
            </w:r>
          </w:p>
        </w:tc>
        <w:tc>
          <w:tcPr>
            <w:tcW w:w="1550" w:type="dxa"/>
            <w:noWrap w:val="0"/>
            <w:vAlign w:val="center"/>
          </w:tcPr>
          <w:p>
            <w:pPr>
              <w:spacing w:line="320" w:lineRule="exact"/>
              <w:jc w:val="center"/>
              <w:rPr>
                <w:rFonts w:ascii="宋体"/>
                <w:sz w:val="24"/>
              </w:rPr>
            </w:pPr>
            <w:r>
              <w:rPr>
                <w:rFonts w:hint="eastAsia" w:ascii="宋体"/>
                <w:sz w:val="24"/>
              </w:rPr>
              <w:t>类别</w:t>
            </w:r>
          </w:p>
        </w:tc>
        <w:tc>
          <w:tcPr>
            <w:tcW w:w="1847" w:type="dxa"/>
            <w:noWrap w:val="0"/>
            <w:vAlign w:val="center"/>
          </w:tcPr>
          <w:p>
            <w:pPr>
              <w:spacing w:line="320" w:lineRule="exact"/>
              <w:ind w:firstLine="0" w:firstLineChars="0"/>
              <w:jc w:val="center"/>
              <w:rPr>
                <w:rFonts w:ascii="宋体"/>
                <w:sz w:val="24"/>
              </w:rPr>
            </w:pPr>
            <w:r>
              <w:rPr>
                <w:rFonts w:hint="eastAsia" w:ascii="宋体"/>
                <w:sz w:val="24"/>
              </w:rPr>
              <w:t>运距</w:t>
            </w:r>
          </w:p>
        </w:tc>
        <w:tc>
          <w:tcPr>
            <w:tcW w:w="1533" w:type="dxa"/>
            <w:noWrap w:val="0"/>
            <w:vAlign w:val="center"/>
          </w:tcPr>
          <w:p>
            <w:pPr>
              <w:spacing w:line="320" w:lineRule="exact"/>
              <w:jc w:val="center"/>
              <w:rPr>
                <w:rFonts w:ascii="宋体"/>
                <w:sz w:val="24"/>
              </w:rPr>
            </w:pPr>
            <w:r>
              <w:rPr>
                <w:rFonts w:hint="eastAsia" w:ascii="宋体"/>
                <w:sz w:val="24"/>
              </w:rPr>
              <w:t>单位</w:t>
            </w:r>
          </w:p>
        </w:tc>
        <w:tc>
          <w:tcPr>
            <w:tcW w:w="1700" w:type="dxa"/>
            <w:noWrap w:val="0"/>
            <w:vAlign w:val="center"/>
          </w:tcPr>
          <w:p>
            <w:pPr>
              <w:spacing w:line="320" w:lineRule="exact"/>
              <w:jc w:val="center"/>
              <w:rPr>
                <w:rFonts w:hint="default" w:ascii="宋体" w:eastAsia="宋体"/>
                <w:sz w:val="24"/>
                <w:highlight w:val="red"/>
                <w:lang w:val="en-US" w:eastAsia="zh-CN"/>
              </w:rPr>
            </w:pPr>
            <w:r>
              <w:rPr>
                <w:rFonts w:hint="eastAsia" w:ascii="宋体"/>
                <w:sz w:val="24"/>
              </w:rPr>
              <w:t>运输单价</w:t>
            </w:r>
            <w:r>
              <w:rPr>
                <w:rFonts w:hint="eastAsia" w:ascii="宋体"/>
                <w:sz w:val="24"/>
                <w:lang w:val="en-US" w:eastAsia="zh-CN"/>
              </w:rPr>
              <w:t>(元）</w:t>
            </w:r>
          </w:p>
        </w:tc>
        <w:tc>
          <w:tcPr>
            <w:tcW w:w="1440" w:type="dxa"/>
            <w:noWrap w:val="0"/>
            <w:vAlign w:val="center"/>
          </w:tcPr>
          <w:p>
            <w:pPr>
              <w:spacing w:line="32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1</w:t>
            </w:r>
          </w:p>
        </w:tc>
        <w:tc>
          <w:tcPr>
            <w:tcW w:w="1550" w:type="dxa"/>
            <w:vMerge w:val="restart"/>
            <w:noWrap w:val="0"/>
            <w:vAlign w:val="center"/>
          </w:tcPr>
          <w:p>
            <w:pPr>
              <w:spacing w:line="320" w:lineRule="exact"/>
              <w:jc w:val="center"/>
              <w:rPr>
                <w:rFonts w:ascii="宋体" w:hAnsi="Times New Roman" w:eastAsia="宋体" w:cs="Times New Roman"/>
                <w:sz w:val="24"/>
              </w:rPr>
            </w:pPr>
            <w:r>
              <w:rPr>
                <w:rFonts w:hint="eastAsia" w:ascii="宋体" w:hAnsi="Times New Roman" w:eastAsia="宋体" w:cs="Times New Roman"/>
                <w:sz w:val="24"/>
              </w:rPr>
              <w:t>沥青混合料运输</w:t>
            </w: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1-10</w:t>
            </w:r>
            <w:r>
              <w:rPr>
                <w:rFonts w:hint="eastAsia" w:ascii="宋体" w:hAnsi="Times New Roman" w:eastAsia="宋体" w:cs="Times New Roman"/>
                <w:sz w:val="24"/>
              </w:rPr>
              <w:t>公里</w:t>
            </w:r>
          </w:p>
        </w:tc>
        <w:tc>
          <w:tcPr>
            <w:tcW w:w="1533" w:type="dxa"/>
            <w:noWrap w:val="0"/>
            <w:vAlign w:val="center"/>
          </w:tcPr>
          <w:p>
            <w:pPr>
              <w:spacing w:line="320" w:lineRule="exact"/>
              <w:jc w:val="center"/>
              <w:rPr>
                <w:rFonts w:ascii="宋体"/>
                <w:sz w:val="24"/>
              </w:rPr>
            </w:pPr>
            <w:r>
              <w:rPr>
                <w:rFonts w:hint="eastAsia" w:ascii="宋体"/>
                <w:sz w:val="24"/>
              </w:rPr>
              <w:t>每吨运价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14.21</w:t>
            </w:r>
          </w:p>
        </w:tc>
        <w:tc>
          <w:tcPr>
            <w:tcW w:w="1440" w:type="dxa"/>
            <w:vMerge w:val="restart"/>
            <w:noWrap w:val="0"/>
            <w:vAlign w:val="top"/>
          </w:tcPr>
          <w:p>
            <w:pPr>
              <w:spacing w:line="320" w:lineRule="exact"/>
              <w:jc w:val="center"/>
              <w:rPr>
                <w:rFonts w:ascii="宋体"/>
                <w:sz w:val="24"/>
              </w:rPr>
            </w:pPr>
          </w:p>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2</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11-20</w:t>
            </w:r>
            <w:r>
              <w:rPr>
                <w:rFonts w:hint="eastAsia" w:ascii="宋体" w:hAnsi="Times New Roman" w:eastAsia="宋体" w:cs="Times New Roman"/>
                <w:sz w:val="24"/>
              </w:rPr>
              <w:t>公里</w:t>
            </w:r>
          </w:p>
        </w:tc>
        <w:tc>
          <w:tcPr>
            <w:tcW w:w="1533" w:type="dxa"/>
            <w:vMerge w:val="restart"/>
            <w:noWrap w:val="0"/>
            <w:vAlign w:val="center"/>
          </w:tcPr>
          <w:p>
            <w:pPr>
              <w:spacing w:line="320" w:lineRule="exact"/>
              <w:jc w:val="center"/>
              <w:rPr>
                <w:rFonts w:ascii="宋体"/>
                <w:sz w:val="24"/>
              </w:rPr>
            </w:pPr>
            <w:r>
              <w:rPr>
                <w:rFonts w:hint="eastAsia" w:ascii="宋体"/>
                <w:sz w:val="24"/>
              </w:rPr>
              <w:t>每吨</w:t>
            </w:r>
            <w:r>
              <w:rPr>
                <w:rFonts w:hint="eastAsia" w:ascii="宋体" w:hAnsi="宋体"/>
                <w:sz w:val="24"/>
              </w:rPr>
              <w:t>·</w:t>
            </w:r>
            <w:r>
              <w:rPr>
                <w:rFonts w:hint="eastAsia" w:ascii="宋体"/>
                <w:sz w:val="24"/>
              </w:rPr>
              <w:t>每公里运价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1.29</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3</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21-30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1.23</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4</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31-50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1.16</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5</w:t>
            </w:r>
          </w:p>
        </w:tc>
        <w:tc>
          <w:tcPr>
            <w:tcW w:w="1550" w:type="dxa"/>
            <w:vMerge w:val="continue"/>
            <w:noWrap w:val="0"/>
            <w:vAlign w:val="center"/>
          </w:tcPr>
          <w:p>
            <w:pPr>
              <w:spacing w:line="320" w:lineRule="exact"/>
              <w:jc w:val="center"/>
              <w:rPr>
                <w:rFonts w:ascii="宋体"/>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50</w:t>
            </w:r>
            <w:r>
              <w:rPr>
                <w:rFonts w:hint="eastAsia" w:ascii="宋体" w:hAnsi="Times New Roman" w:eastAsia="宋体" w:cs="Times New Roman"/>
                <w:sz w:val="24"/>
              </w:rPr>
              <w:t>公里以上</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1.05</w:t>
            </w:r>
          </w:p>
        </w:tc>
        <w:tc>
          <w:tcPr>
            <w:tcW w:w="1440" w:type="dxa"/>
            <w:vMerge w:val="continue"/>
            <w:noWrap w:val="0"/>
            <w:vAlign w:val="top"/>
          </w:tcPr>
          <w:p>
            <w:pPr>
              <w:spacing w:line="320" w:lineRule="exact"/>
              <w:jc w:val="center"/>
              <w:rPr>
                <w:rFonts w:ascii="宋体"/>
                <w:sz w:val="24"/>
              </w:rPr>
            </w:pPr>
          </w:p>
        </w:tc>
      </w:tr>
    </w:tbl>
    <w:p>
      <w:pPr>
        <w:pStyle w:val="5"/>
        <w:numPr>
          <w:ilvl w:val="0"/>
          <w:numId w:val="0"/>
        </w:numPr>
        <w:rPr>
          <w:rFonts w:hint="eastAsia"/>
          <w:sz w:val="24"/>
          <w:szCs w:val="24"/>
        </w:rPr>
      </w:pPr>
    </w:p>
    <w:p>
      <w:pPr>
        <w:rPr>
          <w:rFonts w:hint="eastAsia"/>
          <w:lang w:val="en-US" w:eastAsia="zh-CN"/>
        </w:rPr>
      </w:pPr>
    </w:p>
    <w:p>
      <w:pPr>
        <w:pStyle w:val="5"/>
        <w:numPr>
          <w:ilvl w:val="0"/>
          <w:numId w:val="0"/>
        </w:numPr>
        <w:rPr>
          <w:rFonts w:hint="eastAsia"/>
          <w:lang w:val="en-US" w:eastAsia="zh-CN"/>
        </w:rPr>
      </w:pPr>
    </w:p>
    <w:p>
      <w:pPr>
        <w:pStyle w:val="2"/>
        <w:rPr>
          <w:rFonts w:hint="eastAsia"/>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p>
    <w:p>
      <w:pPr>
        <w:rPr>
          <w:rFonts w:hint="eastAsia"/>
          <w:color w:val="auto"/>
          <w:szCs w:val="22"/>
          <w:highlight w:val="none"/>
          <w:lang w:val="en-US" w:eastAsia="zh-CN"/>
        </w:rPr>
      </w:pPr>
    </w:p>
    <w:sectPr>
      <w:headerReference r:id="rId14"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48230029">
      <w:pPr>
        <w:pStyle w:val="9"/>
        <w:rPr>
          <w:rFonts w:hint="eastAsia" w:eastAsia="宋体"/>
          <w:lang w:val="en-US" w:eastAsia="zh-CN"/>
        </w:rPr>
      </w:pPr>
      <w:r>
        <w:rPr>
          <w:rFonts w:hint="eastAsia"/>
          <w:lang w:val="en-US" w:eastAsia="zh-CN"/>
        </w:rPr>
        <w:t>根据实际进行填写挂网的位置</w:t>
      </w:r>
    </w:p>
  </w:comment>
  <w:comment w:id="1" w:author="罗书" w:date="2016-09-20T11:46:00Z" w:initials="l">
    <w:p w14:paraId="678418BE">
      <w:pPr>
        <w:pStyle w:val="9"/>
      </w:pPr>
      <w:r>
        <w:rPr>
          <w:rFonts w:hint="eastAsia"/>
        </w:rPr>
        <w:t>建议核实材料采购是否需像其他合同一样约定：</w:t>
      </w:r>
    </w:p>
    <w:p w14:paraId="3D6C4AE1">
      <w:pPr>
        <w:pStyle w:val="9"/>
        <w:rPr>
          <w:sz w:val="24"/>
        </w:rPr>
      </w:pPr>
      <w:r>
        <w:rPr>
          <w:rFonts w:hint="eastAsia"/>
          <w:sz w:val="24"/>
        </w:rPr>
        <w:t>“乙方应当开具合法有效的增值税专用发票（如果用于简易征收项目，为“增值税发票”），如不按相关规定开具增值税发票，造成甲方未能抵扣进项税额或造成其他相应的经济损失的，乙方应承担相应的赔偿责任。在甲方向乙方支付合同价款前，乙方应向甲方开具增值税专用发票（或增值税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72AE2CD6">
      <w:pPr>
        <w:pStyle w:val="9"/>
      </w:pPr>
      <w:r>
        <w:rPr>
          <w:rFonts w:hint="eastAsia"/>
          <w:sz w:val="24"/>
        </w:rPr>
        <w:t>“本合同内容经双方同意变更的，如果涉及到合同价款等增值税专用发票记载项目发生变化的，需要作废、重开、补开、红字开具增值税专用发票的，甲乙双方需履行各自的协助义务。”</w:t>
      </w:r>
    </w:p>
  </w:comment>
  <w:comment w:id="2" w:author="Hanson" w:date="2017-07-04T17:40:00Z" w:initials="H">
    <w:p w14:paraId="5F906952">
      <w:pPr>
        <w:pStyle w:val="9"/>
      </w:pPr>
      <w:r>
        <w:rPr>
          <w:rFonts w:hint="eastAsia"/>
        </w:rPr>
        <w:t>该条款未约定具体的违约行为，请核实是否按照此前版本合同约定相应的违约责任。</w:t>
      </w:r>
    </w:p>
  </w:comment>
  <w:comment w:id="3" w:author="20201125徐阳" w:date="2020-11-25T22:23:00Z" w:initials="20201125徐">
    <w:p w14:paraId="6DF11649">
      <w:pPr>
        <w:pStyle w:val="9"/>
      </w:pPr>
      <w:r>
        <w:rPr>
          <w:rFonts w:hint="eastAsia"/>
        </w:rPr>
        <w:t>建议核实是否适用。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72AE2CD6" w15:done="0"/>
  <w15:commentEx w15:paraId="5F906952" w15:done="0"/>
  <w15:commentEx w15:paraId="6DF116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53181A" w:sz="0"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auto" w:sz="0" w:space="1"/>
        <w:left w:val="none" w:color="auto" w:sz="0" w:space="4"/>
        <w:bottom w:val="none" w:color="auto" w:sz="0" w:space="1"/>
        <w:right w:val="none" w:color="auto" w:sz="0" w:space="4"/>
        <w:between w:val="none" w:color="auto" w:sz="0" w:space="0"/>
      </w:pBdr>
      <w:wordWrap w:val="0"/>
      <w:topLinePunct/>
      <w:snapToGrid w:val="0"/>
      <w:spacing w:line="240" w:lineRule="auto"/>
      <w:ind w:left="0" w:leftChars="0" w:firstLine="0" w:firstLineChars="0"/>
      <w:jc w:val="both"/>
      <w:outlineLvl w:val="9"/>
      <w:rPr>
        <w:rFonts w:hint="default" w:ascii="Cambria" w:hAnsi="Cambr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11207"/>
    <w:multiLevelType w:val="singleLevel"/>
    <w:tmpl w:val="A6D11207"/>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27327E"/>
    <w:multiLevelType w:val="singleLevel"/>
    <w:tmpl w:val="1627327E"/>
    <w:lvl w:ilvl="0" w:tentative="0">
      <w:start w:val="4"/>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8179DD"/>
    <w:multiLevelType w:val="singleLevel"/>
    <w:tmpl w:val="5E8179DD"/>
    <w:lvl w:ilvl="0" w:tentative="0">
      <w:start w:val="2"/>
      <w:numFmt w:val="chineseCounting"/>
      <w:suff w:val="nothing"/>
      <w:lvlText w:val="%1、"/>
      <w:lvlJc w:val="left"/>
    </w:lvl>
  </w:abstractNum>
  <w:abstractNum w:abstractNumId="5">
    <w:nsid w:val="5E818095"/>
    <w:multiLevelType w:val="singleLevel"/>
    <w:tmpl w:val="5E818095"/>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rson w15:author="罗书">
    <w15:presenceInfo w15:providerId="None" w15:userId="罗书"/>
  </w15:person>
  <w15:person w15:author="Hanson">
    <w15:presenceInfo w15:providerId="None" w15:userId="Hanson"/>
  </w15:person>
  <w15:person w15:author="20201125徐阳">
    <w15:presenceInfo w15:providerId="None" w15:userId="20201125徐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7D0F"/>
    <w:rsid w:val="00182EBD"/>
    <w:rsid w:val="001B1460"/>
    <w:rsid w:val="00353B17"/>
    <w:rsid w:val="00903959"/>
    <w:rsid w:val="00B41975"/>
    <w:rsid w:val="00D34824"/>
    <w:rsid w:val="028B2C32"/>
    <w:rsid w:val="037E5C84"/>
    <w:rsid w:val="03802AE2"/>
    <w:rsid w:val="042A3990"/>
    <w:rsid w:val="049D49AF"/>
    <w:rsid w:val="052624B3"/>
    <w:rsid w:val="05F753EA"/>
    <w:rsid w:val="064F3E80"/>
    <w:rsid w:val="06746D22"/>
    <w:rsid w:val="0B4A2840"/>
    <w:rsid w:val="0C535F5F"/>
    <w:rsid w:val="0FFA3C1C"/>
    <w:rsid w:val="10CB3AF5"/>
    <w:rsid w:val="12154897"/>
    <w:rsid w:val="12417B75"/>
    <w:rsid w:val="12E0476B"/>
    <w:rsid w:val="12E77112"/>
    <w:rsid w:val="13806551"/>
    <w:rsid w:val="164E0DE7"/>
    <w:rsid w:val="171B6EE5"/>
    <w:rsid w:val="19125F39"/>
    <w:rsid w:val="1BDF2C69"/>
    <w:rsid w:val="1C1C7654"/>
    <w:rsid w:val="1DCF2D5F"/>
    <w:rsid w:val="1E801591"/>
    <w:rsid w:val="225A35C8"/>
    <w:rsid w:val="25262BD5"/>
    <w:rsid w:val="266B21A9"/>
    <w:rsid w:val="28115515"/>
    <w:rsid w:val="288365ED"/>
    <w:rsid w:val="2A493E22"/>
    <w:rsid w:val="2BD65CAD"/>
    <w:rsid w:val="2C535729"/>
    <w:rsid w:val="2CC85EE2"/>
    <w:rsid w:val="2D3E05DB"/>
    <w:rsid w:val="2F654DD9"/>
    <w:rsid w:val="30010C7A"/>
    <w:rsid w:val="305344C6"/>
    <w:rsid w:val="31B20DEF"/>
    <w:rsid w:val="33922181"/>
    <w:rsid w:val="36261957"/>
    <w:rsid w:val="37043239"/>
    <w:rsid w:val="395F55E8"/>
    <w:rsid w:val="3A5A6066"/>
    <w:rsid w:val="3AE35129"/>
    <w:rsid w:val="3BB7198D"/>
    <w:rsid w:val="3CC571DC"/>
    <w:rsid w:val="3ECA28B9"/>
    <w:rsid w:val="3FE7550C"/>
    <w:rsid w:val="42894A41"/>
    <w:rsid w:val="4419274A"/>
    <w:rsid w:val="45605CF4"/>
    <w:rsid w:val="45BE6BF8"/>
    <w:rsid w:val="48DE7494"/>
    <w:rsid w:val="49396F88"/>
    <w:rsid w:val="4AE90539"/>
    <w:rsid w:val="4AFB0F76"/>
    <w:rsid w:val="4CB81F75"/>
    <w:rsid w:val="5187285A"/>
    <w:rsid w:val="518935FD"/>
    <w:rsid w:val="520833AB"/>
    <w:rsid w:val="52412270"/>
    <w:rsid w:val="536F5C64"/>
    <w:rsid w:val="539D0113"/>
    <w:rsid w:val="53FD15DE"/>
    <w:rsid w:val="543C096C"/>
    <w:rsid w:val="55F0105B"/>
    <w:rsid w:val="58B61B08"/>
    <w:rsid w:val="5946335F"/>
    <w:rsid w:val="5B2B06FA"/>
    <w:rsid w:val="5BD23026"/>
    <w:rsid w:val="618E6761"/>
    <w:rsid w:val="61C471B3"/>
    <w:rsid w:val="62B4186F"/>
    <w:rsid w:val="631753FD"/>
    <w:rsid w:val="63EB698C"/>
    <w:rsid w:val="6453379D"/>
    <w:rsid w:val="645E1FD2"/>
    <w:rsid w:val="64D87D36"/>
    <w:rsid w:val="655149D9"/>
    <w:rsid w:val="672008BF"/>
    <w:rsid w:val="6A7D5B04"/>
    <w:rsid w:val="6AA21659"/>
    <w:rsid w:val="6B970464"/>
    <w:rsid w:val="6C3979C3"/>
    <w:rsid w:val="6C3E104B"/>
    <w:rsid w:val="70BC66A1"/>
    <w:rsid w:val="710F3379"/>
    <w:rsid w:val="7161057A"/>
    <w:rsid w:val="72FA73DA"/>
    <w:rsid w:val="73C81356"/>
    <w:rsid w:val="73FC0A2E"/>
    <w:rsid w:val="74FB3074"/>
    <w:rsid w:val="75BC5C9E"/>
    <w:rsid w:val="77311A03"/>
    <w:rsid w:val="795942E0"/>
    <w:rsid w:val="795D5ACB"/>
    <w:rsid w:val="79A2283B"/>
    <w:rsid w:val="79D666E0"/>
    <w:rsid w:val="7B6A3F09"/>
    <w:rsid w:val="7C762007"/>
    <w:rsid w:val="7F4A232D"/>
    <w:rsid w:val="7F583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3">
    <w:name w:val="Default Paragraph Font"/>
    <w:qFormat/>
    <w:uiPriority w:val="0"/>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26"/>
    <w:qFormat/>
    <w:uiPriority w:val="0"/>
    <w:rPr>
      <w:rFonts w:ascii="宋体"/>
      <w:sz w:val="18"/>
      <w:szCs w:val="18"/>
    </w:rPr>
  </w:style>
  <w:style w:type="paragraph" w:styleId="9">
    <w:name w:val="annotation text"/>
    <w:basedOn w:val="1"/>
    <w:link w:val="27"/>
    <w:unhideWhenUsed/>
    <w:qFormat/>
    <w:uiPriority w:val="99"/>
    <w:pPr>
      <w:jc w:val="left"/>
    </w:pPr>
  </w:style>
  <w:style w:type="paragraph" w:styleId="10">
    <w:name w:val="Body Text"/>
    <w:basedOn w:val="1"/>
    <w:next w:val="1"/>
    <w:qFormat/>
    <w:uiPriority w:val="0"/>
    <w:pPr>
      <w:spacing w:after="120" w:afterLines="0"/>
    </w:pPr>
  </w:style>
  <w:style w:type="paragraph" w:styleId="11">
    <w:name w:val="Body Text Indent"/>
    <w:basedOn w:val="1"/>
    <w:qFormat/>
    <w:uiPriority w:val="0"/>
    <w:pPr>
      <w:spacing w:line="700" w:lineRule="exact"/>
      <w:ind w:left="960"/>
    </w:pPr>
    <w:rPr>
      <w:sz w:val="44"/>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index 1"/>
    <w:basedOn w:val="1"/>
    <w:next w:val="1"/>
    <w:qFormat/>
    <w:uiPriority w:val="0"/>
    <w:pPr>
      <w:spacing w:line="360" w:lineRule="auto"/>
      <w:jc w:val="center"/>
    </w:pPr>
    <w:rPr>
      <w:rFonts w:ascii="宋体" w:hAnsi="Arial" w:cs="Arial"/>
      <w:b/>
      <w:color w:val="000000"/>
      <w:sz w:val="24"/>
      <w:szCs w:val="24"/>
    </w:rPr>
  </w:style>
  <w:style w:type="paragraph" w:styleId="20">
    <w:name w:val="annotation subject"/>
    <w:basedOn w:val="9"/>
    <w:next w:val="9"/>
    <w:link w:val="29"/>
    <w:unhideWhenUsed/>
    <w:qFormat/>
    <w:uiPriority w:val="99"/>
    <w:rPr>
      <w:b/>
      <w:bCs/>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unhideWhenUsed/>
    <w:qFormat/>
    <w:uiPriority w:val="99"/>
    <w:rPr>
      <w:sz w:val="21"/>
      <w:szCs w:val="21"/>
    </w:rPr>
  </w:style>
  <w:style w:type="character" w:customStyle="1" w:styleId="26">
    <w:name w:val="文档结构图 Char"/>
    <w:link w:val="8"/>
    <w:qFormat/>
    <w:uiPriority w:val="0"/>
    <w:rPr>
      <w:rFonts w:ascii="宋体"/>
      <w:kern w:val="2"/>
      <w:sz w:val="18"/>
      <w:szCs w:val="18"/>
    </w:rPr>
  </w:style>
  <w:style w:type="character" w:customStyle="1" w:styleId="27">
    <w:name w:val="批注文字 Char"/>
    <w:link w:val="9"/>
    <w:qFormat/>
    <w:uiPriority w:val="99"/>
    <w:rPr>
      <w:kern w:val="2"/>
      <w:sz w:val="21"/>
    </w:rPr>
  </w:style>
  <w:style w:type="character" w:customStyle="1" w:styleId="28">
    <w:name w:val="批注框文本 Char"/>
    <w:link w:val="14"/>
    <w:semiHidden/>
    <w:qFormat/>
    <w:uiPriority w:val="99"/>
    <w:rPr>
      <w:kern w:val="2"/>
      <w:sz w:val="18"/>
      <w:szCs w:val="18"/>
    </w:rPr>
  </w:style>
  <w:style w:type="character" w:customStyle="1" w:styleId="29">
    <w:name w:val="批注主题 Char"/>
    <w:link w:val="20"/>
    <w:semiHidden/>
    <w:qFormat/>
    <w:uiPriority w:val="99"/>
    <w:rPr>
      <w:b/>
      <w:bCs/>
      <w:kern w:val="2"/>
      <w:sz w:val="21"/>
    </w:rPr>
  </w:style>
  <w:style w:type="character" w:customStyle="1" w:styleId="30">
    <w:name w:val="占位符文本1"/>
    <w:basedOn w:val="23"/>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 - 强调文字颜色 11"/>
    <w:basedOn w:val="1"/>
    <w:qFormat/>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33</Pages>
  <Words>15404</Words>
  <Characters>16218</Characters>
  <Lines>101</Lines>
  <Paragraphs>28</Paragraphs>
  <TotalTime>4</TotalTime>
  <ScaleCrop>false</ScaleCrop>
  <LinksUpToDate>false</LinksUpToDate>
  <CharactersWithSpaces>17808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依楼听风雨</cp:lastModifiedBy>
  <cp:lastPrinted>2017-05-07T03:04:00Z</cp:lastPrinted>
  <dcterms:modified xsi:type="dcterms:W3CDTF">2022-04-24T07:16:33Z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D4A3FC043B864837B04A553CD572BBD7</vt:lpwstr>
  </property>
  <property fmtid="{D5CDD505-2E9C-101B-9397-08002B2CF9AE}" pid="4" name="commondata">
    <vt:lpwstr>eyJoZGlkIjoiNzIwNzYyNWVmNzA4OWUzZjE5NzgyOTA2YjYzOGRmNjMifQ==</vt:lpwstr>
  </property>
</Properties>
</file>