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小江航道提升及库岸安全防护工程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对水生生物影响评价报告编制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12</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小江航道提升及库岸安全防护工程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对水生生物影响评价报告编制</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0126361"/>
      <w:bookmarkStart w:id="3" w:name="_Toc29194681"/>
      <w:bookmarkStart w:id="4" w:name="_Toc52097500"/>
      <w:bookmarkStart w:id="5" w:name="_Toc6230450"/>
      <w:bookmarkStart w:id="6" w:name="_Toc37564157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小江航道提升及库岸安全防护工程对水生生物影响评价报告编制</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。根据实际工作需要，现计划对该</w:t>
      </w:r>
      <w:r>
        <w:rPr>
          <w:rFonts w:hint="eastAsia" w:ascii="Times New Roman" w:hAnsi="Times New Roman" w:eastAsia="方正仿宋_GBK" w:cs="Times New Roman"/>
          <w:bCs/>
          <w:color w:val="auto"/>
          <w:sz w:val="32"/>
          <w:szCs w:val="32"/>
          <w:highlight w:val="none"/>
          <w:lang w:val="en-US" w:eastAsia="zh-CN"/>
        </w:rPr>
        <w:t>工程的</w:t>
      </w:r>
      <w:r>
        <w:rPr>
          <w:rFonts w:hint="eastAsia" w:ascii="Times New Roman" w:hAnsi="Times New Roman" w:eastAsia="方正仿宋_GBK" w:cs="Times New Roman"/>
          <w:bCs/>
          <w:color w:val="auto"/>
          <w:sz w:val="32"/>
          <w:szCs w:val="32"/>
          <w:highlight w:val="none"/>
          <w:u w:val="single"/>
          <w:lang w:val="en-US" w:eastAsia="zh-CN"/>
        </w:rPr>
        <w:t>水生生物影响评价报告编制</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29194682"/>
      <w:bookmarkStart w:id="9" w:name="_Toc5209750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10" w:name="_Toc324429695"/>
      <w:bookmarkStart w:id="11" w:name="_Toc21092"/>
      <w:bookmarkStart w:id="12" w:name="_Toc323734100"/>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r>
        <w:rPr>
          <w:rFonts w:hint="eastAsia" w:ascii="Times New Roman" w:hAnsi="Times New Roman" w:eastAsia="方正仿宋_GBK" w:cs="Times New Roman"/>
          <w:bCs/>
          <w:i w:val="0"/>
          <w:iCs w:val="0"/>
          <w:color w:val="auto"/>
          <w:sz w:val="32"/>
          <w:szCs w:val="32"/>
          <w:highlight w:val="none"/>
          <w:lang w:val="en-US" w:eastAsia="zh-CN"/>
        </w:rPr>
        <w:t>重庆市开州区</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kern w:val="0"/>
          <w:sz w:val="32"/>
          <w:szCs w:val="32"/>
          <w:lang w:val="en-US" w:eastAsia="zh-CN"/>
        </w:rPr>
        <w:t>本项目主要是将小江白家溪至河口段的航道由现在的</w:t>
      </w:r>
      <w:r>
        <w:rPr>
          <w:rFonts w:hint="eastAsia" w:ascii="宋体" w:hAnsi="宋体" w:eastAsia="宋体" w:cs="宋体"/>
          <w:kern w:val="0"/>
          <w:sz w:val="32"/>
          <w:szCs w:val="32"/>
          <w:lang w:val="en-US" w:eastAsia="zh-CN"/>
        </w:rPr>
        <w:t>Ⅲ</w:t>
      </w:r>
      <w:r>
        <w:rPr>
          <w:rFonts w:hint="eastAsia" w:ascii="方正仿宋_GBK" w:hAnsi="方正仿宋_GBK" w:eastAsia="方正仿宋_GBK" w:cs="方正仿宋_GBK"/>
          <w:kern w:val="0"/>
          <w:sz w:val="32"/>
          <w:szCs w:val="32"/>
          <w:lang w:val="en-US" w:eastAsia="zh-CN"/>
        </w:rPr>
        <w:t>级提升到</w:t>
      </w:r>
      <w:r>
        <w:rPr>
          <w:rFonts w:hint="eastAsia" w:ascii="宋体" w:hAnsi="宋体" w:eastAsia="宋体" w:cs="宋体"/>
          <w:kern w:val="0"/>
          <w:sz w:val="32"/>
          <w:szCs w:val="32"/>
          <w:lang w:val="en-US" w:eastAsia="zh-CN"/>
        </w:rPr>
        <w:t>Ⅰ</w:t>
      </w:r>
      <w:r>
        <w:rPr>
          <w:rFonts w:hint="eastAsia" w:ascii="方正仿宋_GBK" w:hAnsi="方正仿宋_GBK" w:eastAsia="方正仿宋_GBK" w:cs="方正仿宋_GBK"/>
          <w:kern w:val="0"/>
          <w:sz w:val="32"/>
          <w:szCs w:val="32"/>
          <w:lang w:val="en-US" w:eastAsia="zh-CN"/>
        </w:rPr>
        <w:t>级。小江航道提升及库岸安全防护工程项目建设内容为白家溪至河口51Km航道整治碍航险滩6个及部分零星开挖区域，包括白家溪、牛角湾、李家坝、张家嘴、渠马河、小江电站大桥河段等险滩。同时对小江电站大桥拆除及新建小江大桥、白家溪航道维护基地等。</w:t>
      </w:r>
      <w:r>
        <w:rPr>
          <w:rFonts w:hint="eastAsia" w:ascii="方正仿宋_GBK" w:hAnsi="方正仿宋_GBK" w:eastAsia="方正仿宋_GBK" w:cs="方正仿宋_GBK"/>
          <w:kern w:val="0"/>
          <w:sz w:val="32"/>
          <w:szCs w:val="32"/>
        </w:rPr>
        <w:t>工程总投资</w:t>
      </w:r>
      <w:r>
        <w:rPr>
          <w:rFonts w:hint="eastAsia" w:ascii="方正仿宋_GBK" w:hAnsi="方正仿宋_GBK" w:eastAsia="方正仿宋_GBK" w:cs="方正仿宋_GBK"/>
          <w:kern w:val="0"/>
          <w:sz w:val="32"/>
          <w:szCs w:val="32"/>
          <w:lang w:val="en-US" w:eastAsia="zh-CN"/>
        </w:rPr>
        <w:t>约3.39</w:t>
      </w:r>
      <w:r>
        <w:rPr>
          <w:rFonts w:hint="eastAsia" w:ascii="方正仿宋_GBK" w:hAnsi="方正仿宋_GBK" w:eastAsia="方正仿宋_GBK" w:cs="方正仿宋_GBK"/>
          <w:kern w:val="0"/>
          <w:sz w:val="32"/>
          <w:szCs w:val="32"/>
        </w:rPr>
        <w:t>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30万</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0000FF"/>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项目为</w:t>
      </w:r>
      <w:r>
        <w:rPr>
          <w:rFonts w:hint="eastAsia" w:ascii="方正仿宋_GBK" w:hAnsi="方正仿宋_GBK" w:eastAsia="方正仿宋_GBK" w:cs="方正仿宋_GBK"/>
          <w:sz w:val="32"/>
          <w:szCs w:val="32"/>
          <w:lang w:val="en-US" w:eastAsia="zh-CN"/>
        </w:rPr>
        <w:t>小江航道提升及库岸安全防护工程对水生生物影响评价报告编制。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w:t>
      </w:r>
      <w:r>
        <w:rPr>
          <w:rFonts w:hint="eastAsia" w:ascii="Times New Roman" w:hAnsi="Times New Roman" w:eastAsia="方正仿宋_GBK" w:cs="Times New Roman"/>
          <w:bCs/>
          <w:color w:val="auto"/>
          <w:sz w:val="32"/>
          <w:szCs w:val="32"/>
          <w:highlight w:val="none"/>
          <w:lang w:eastAsia="zh-CN"/>
        </w:rPr>
        <w:t>符合</w:t>
      </w:r>
      <w:r>
        <w:rPr>
          <w:rFonts w:hint="eastAsia" w:ascii="Times New Roman" w:hAnsi="Times New Roman" w:eastAsia="方正仿宋_GBK" w:cs="Times New Roman"/>
          <w:bCs/>
          <w:color w:val="auto"/>
          <w:sz w:val="32"/>
          <w:szCs w:val="32"/>
          <w:highlight w:val="none"/>
          <w:lang w:val="en-US" w:eastAsia="zh-CN"/>
        </w:rPr>
        <w:t>国家有关</w:t>
      </w:r>
      <w:r>
        <w:rPr>
          <w:rFonts w:hint="eastAsia" w:ascii="Times New Roman" w:hAnsi="Times New Roman" w:eastAsia="方正仿宋_GBK" w:cs="Times New Roman"/>
          <w:bCs/>
          <w:color w:val="auto"/>
          <w:sz w:val="32"/>
          <w:szCs w:val="32"/>
          <w:highlight w:val="none"/>
          <w:lang w:eastAsia="zh-CN"/>
        </w:rPr>
        <w:t>规程规范、技术标准</w:t>
      </w:r>
      <w:r>
        <w:rPr>
          <w:rFonts w:hint="eastAsia" w:ascii="Times New Roman" w:hAnsi="Times New Roman" w:eastAsia="方正仿宋_GBK" w:cs="Times New Roman"/>
          <w:bCs/>
          <w:color w:val="auto"/>
          <w:sz w:val="32"/>
          <w:szCs w:val="32"/>
          <w:highlight w:val="none"/>
          <w:lang w:val="en-US" w:eastAsia="zh-CN"/>
        </w:rPr>
        <w:t>以及</w:t>
      </w:r>
      <w:r>
        <w:rPr>
          <w:rFonts w:hint="eastAsia" w:ascii="Times New Roman" w:hAnsi="Times New Roman" w:eastAsia="方正仿宋_GBK" w:cs="Times New Roman"/>
          <w:bCs/>
          <w:color w:val="auto"/>
          <w:sz w:val="32"/>
          <w:szCs w:val="32"/>
          <w:highlight w:val="none"/>
          <w:lang w:eastAsia="zh-CN"/>
        </w:rPr>
        <w:t>相关文件要求</w:t>
      </w:r>
      <w:r>
        <w:rPr>
          <w:rFonts w:hint="eastAsia" w:ascii="Times New Roman" w:hAnsi="Times New Roman" w:eastAsia="方正仿宋_GBK" w:cs="Times New Roman"/>
          <w:bCs/>
          <w:color w:val="auto"/>
          <w:sz w:val="32"/>
          <w:szCs w:val="32"/>
          <w:highlight w:val="none"/>
          <w:lang w:val="en-US" w:eastAsia="zh-CN"/>
        </w:rPr>
        <w:t>等</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按《环保部、农业部关于进一步加强水生生物资源保护严格环境影响评价管理的通知》、《重庆市环境保护局、重庆市农业委员会关于关于进一步加强水生生物资源保护 严格环境影响评价管理的通知》等要求编制，</w:t>
      </w:r>
      <w:r>
        <w:rPr>
          <w:rFonts w:hint="eastAsia" w:ascii="Times New Roman" w:hAnsi="Times New Roman" w:eastAsia="方正仿宋_GBK" w:cs="Times New Roman"/>
          <w:bCs/>
          <w:color w:val="auto"/>
          <w:sz w:val="32"/>
          <w:szCs w:val="32"/>
          <w:highlight w:val="none"/>
          <w:lang w:eastAsia="zh-CN"/>
        </w:rPr>
        <w:t>成果报告需通过专家评审</w:t>
      </w:r>
      <w:r>
        <w:rPr>
          <w:rFonts w:hint="eastAsia" w:ascii="Times New Roman" w:hAnsi="Times New Roman" w:eastAsia="方正仿宋_GBK" w:cs="Times New Roman"/>
          <w:bCs/>
          <w:color w:val="auto"/>
          <w:sz w:val="32"/>
          <w:szCs w:val="32"/>
          <w:highlight w:val="none"/>
          <w:lang w:val="en-US" w:eastAsia="zh-CN"/>
        </w:rPr>
        <w:t>并获得行政主管部门批复后</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内容纳入工程环境影响评价报告。</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w:t>
      </w:r>
      <w:r>
        <w:rPr>
          <w:rFonts w:hint="eastAsia" w:ascii="方正仿宋_GBK" w:hAnsi="方正仿宋_GBK" w:eastAsia="方正仿宋_GBK" w:cs="方正仿宋_GBK"/>
          <w:bCs/>
          <w:color w:val="auto"/>
          <w:sz w:val="32"/>
          <w:szCs w:val="32"/>
          <w:highlight w:val="none"/>
          <w:lang w:val="en-US" w:eastAsia="zh-CN"/>
        </w:rPr>
        <w:t>审查</w:t>
      </w:r>
      <w:r>
        <w:rPr>
          <w:rFonts w:hint="eastAsia" w:ascii="方正仿宋_GBK" w:hAnsi="方正仿宋_GBK" w:eastAsia="方正仿宋_GBK" w:cs="方正仿宋_GBK"/>
          <w:bCs/>
          <w:color w:val="auto"/>
          <w:sz w:val="32"/>
          <w:szCs w:val="32"/>
          <w:highlight w:val="none"/>
          <w:lang w:eastAsia="zh-CN"/>
        </w:rPr>
        <w:t>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支付合同总价的10%作为预付款；项目环境影响评价报告通过行业主管部门审查后，支付合同总价的70%；取得行业主管部门批复意见后，再支付剩余合同总价的20%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2.5工</w:t>
      </w:r>
      <w:r>
        <w:rPr>
          <w:rFonts w:hint="default" w:ascii="方正仿宋_GBK" w:hAnsi="方正仿宋_GBK" w:eastAsia="方正仿宋_GBK" w:cs="方正仿宋_GBK"/>
          <w:bCs/>
          <w:color w:val="auto"/>
          <w:sz w:val="32"/>
          <w:szCs w:val="32"/>
          <w:highlight w:val="none"/>
          <w:lang w:val="en-US" w:eastAsia="zh-CN"/>
        </w:rPr>
        <w:t>期：</w:t>
      </w:r>
      <w:r>
        <w:rPr>
          <w:rFonts w:hint="eastAsia" w:ascii="方正仿宋_GBK" w:hAnsi="方正仿宋_GBK" w:eastAsia="方正仿宋_GBK" w:cs="方正仿宋_GBK"/>
          <w:bCs/>
          <w:color w:val="auto"/>
          <w:sz w:val="32"/>
          <w:szCs w:val="32"/>
          <w:highlight w:val="none"/>
          <w:lang w:val="en-US" w:eastAsia="zh-CN"/>
        </w:rPr>
        <w:t>甲方提供工可报告初稿后，乙方于45日内提交《项目对水生生物影响评价报告》（初稿）电子版；甲方提供初步设计报告初稿后，乙方于20天内提交《项目对水生生物影响评价报告》（送审稿）电子版及15份纸质版；通过主管部门审查后15日内，乙方提供《项目对水生生物影响评价报告》（报批稿）10份，并在递交报批稿后30日内取得行业主管部门批复。以上报告提供时，均需提供电子文档光盘资料2份</w:t>
      </w:r>
      <w:r>
        <w:rPr>
          <w:rFonts w:hint="default" w:ascii="方正仿宋_GBK" w:hAnsi="方正仿宋_GBK" w:eastAsia="方正仿宋_GBK" w:cs="方正仿宋_GBK"/>
          <w:bCs/>
          <w:color w:val="auto"/>
          <w:sz w:val="32"/>
          <w:szCs w:val="32"/>
          <w:highlight w:val="none"/>
          <w:lang w:val="en-US"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13" w:name="_Toc29194683"/>
      <w:bookmarkStart w:id="14" w:name="_Toc6230452"/>
      <w:bookmarkStart w:id="15" w:name="_Toc52097502"/>
      <w:r>
        <w:rPr>
          <w:rFonts w:hint="default" w:ascii="方正仿宋_GBK" w:hAnsi="方正仿宋_GBK" w:eastAsia="方正仿宋_GBK" w:cs="方正仿宋_GBK"/>
          <w:bCs/>
          <w:color w:val="auto"/>
          <w:sz w:val="32"/>
          <w:szCs w:val="32"/>
          <w:highlight w:val="none"/>
          <w:lang w:val="en-US"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3.1本次询价实行资格后审，报价人应同时满足下列资格条件：</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（1）报价人为中国境内注册的独立法人。</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（2）报价人具有</w:t>
      </w:r>
      <w:r>
        <w:rPr>
          <w:rFonts w:hint="eastAsia" w:ascii="方正仿宋_GBK" w:hAnsi="方正仿宋_GBK" w:eastAsia="方正仿宋_GBK" w:cs="方正仿宋_GBK"/>
          <w:bCs/>
          <w:color w:val="auto"/>
          <w:sz w:val="32"/>
          <w:szCs w:val="32"/>
          <w:highlight w:val="none"/>
          <w:lang w:val="en-US" w:eastAsia="zh-CN"/>
        </w:rPr>
        <w:t>有效的营业执照或事业单位法人证书。</w:t>
      </w:r>
    </w:p>
    <w:p>
      <w:pPr>
        <w:spacing w:line="510" w:lineRule="exact"/>
        <w:ind w:firstLine="640" w:firstLineChars="200"/>
        <w:jc w:val="both"/>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（3）本项目的编制人员，是专职从事水生动植物和水域生态环境保护的研究人员，研究员(教授、教授级高工)在1名以上，或副研究员(副教授、高工)在2名以上。（提供人员名单）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）报价人自</w:t>
      </w:r>
      <w:r>
        <w:rPr>
          <w:rFonts w:hint="eastAsia" w:ascii="Times New Roman" w:hAnsi="Times New Roman" w:eastAsia="方正仿宋_GBK" w:cs="Times New Roman"/>
          <w:bCs/>
          <w:color w:val="auto"/>
          <w:sz w:val="32"/>
          <w:szCs w:val="32"/>
          <w:highlight w:val="none"/>
          <w:lang w:val="en-US" w:eastAsia="zh-CN"/>
        </w:rPr>
        <w:t>2017</w:t>
      </w:r>
      <w:r>
        <w:rPr>
          <w:rFonts w:hint="default" w:ascii="Times New Roman" w:hAnsi="Times New Roman" w:eastAsia="方正仿宋_GBK" w:cs="Times New Roman"/>
          <w:bCs/>
          <w:color w:val="auto"/>
          <w:sz w:val="32"/>
          <w:szCs w:val="32"/>
          <w:highlight w:val="none"/>
          <w:lang w:val="en-US" w:eastAsia="zh-CN"/>
        </w:rPr>
        <w:t>年1月1日至报价截止日（以合同</w:t>
      </w:r>
      <w:r>
        <w:rPr>
          <w:rFonts w:hint="default" w:ascii="Times New Roman" w:hAnsi="Times New Roman" w:eastAsia="方正仿宋_GBK" w:cs="Times New Roman"/>
          <w:bCs/>
          <w:color w:val="auto"/>
          <w:sz w:val="32"/>
          <w:szCs w:val="32"/>
          <w:highlight w:val="none"/>
          <w:lang w:eastAsia="zh-CN"/>
        </w:rPr>
        <w:t>签订时间为准），至少具有</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 xml:space="preserve">1 </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eastAsia="zh-CN"/>
        </w:rPr>
        <w:t>建设项目</w:t>
      </w:r>
      <w:r>
        <w:rPr>
          <w:rFonts w:hint="eastAsia" w:ascii="Times New Roman" w:hAnsi="Times New Roman" w:eastAsia="方正仿宋_GBK" w:cs="Times New Roman"/>
          <w:bCs/>
          <w:color w:val="auto"/>
          <w:sz w:val="32"/>
          <w:szCs w:val="32"/>
          <w:highlight w:val="none"/>
          <w:lang w:val="en-US" w:eastAsia="zh-CN"/>
        </w:rPr>
        <w:t>对水生生物影响评价</w:t>
      </w:r>
      <w:r>
        <w:rPr>
          <w:rFonts w:hint="eastAsia" w:ascii="Times New Roman" w:hAnsi="Times New Roman" w:eastAsia="方正仿宋_GBK" w:cs="Times New Roman"/>
          <w:bCs/>
          <w:color w:val="auto"/>
          <w:sz w:val="32"/>
          <w:szCs w:val="32"/>
          <w:highlight w:val="none"/>
          <w:lang w:eastAsia="zh-CN"/>
        </w:rPr>
        <w:t>报告编制并获得</w:t>
      </w:r>
      <w:r>
        <w:rPr>
          <w:rFonts w:hint="eastAsia" w:ascii="Times New Roman" w:hAnsi="Times New Roman" w:eastAsia="方正仿宋_GBK" w:cs="Times New Roman"/>
          <w:bCs/>
          <w:color w:val="auto"/>
          <w:sz w:val="32"/>
          <w:szCs w:val="32"/>
          <w:highlight w:val="none"/>
          <w:lang w:val="en-US" w:eastAsia="zh-CN"/>
        </w:rPr>
        <w:t>省级（或直辖市）及以上农委主管部门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的相关业绩。</w:t>
      </w:r>
      <w:r>
        <w:rPr>
          <w:rFonts w:hint="eastAsia" w:ascii="Times New Roman" w:hAnsi="Times New Roman" w:eastAsia="方正仿宋_GBK" w:cs="Times New Roman"/>
          <w:bCs/>
          <w:color w:val="auto"/>
          <w:sz w:val="32"/>
          <w:szCs w:val="32"/>
          <w:highlight w:val="none"/>
          <w:lang w:val="en-US" w:eastAsia="zh-CN"/>
        </w:rPr>
        <w:t>且要求业绩报告负责人为本次项目的编制人员（即（3）条中提供的人员）</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w:t>
      </w:r>
      <w:r>
        <w:rPr>
          <w:rFonts w:hint="eastAsia" w:ascii="Times New Roman" w:hAnsi="Times New Roman" w:eastAsia="方正仿宋_GBK" w:cs="Times New Roman"/>
          <w:bCs/>
          <w:color w:val="auto"/>
          <w:sz w:val="32"/>
          <w:szCs w:val="32"/>
          <w:highlight w:val="none"/>
          <w:lang w:val="en-US" w:eastAsia="zh-CN"/>
        </w:rPr>
        <w:t>报</w:t>
      </w:r>
      <w:r>
        <w:rPr>
          <w:rFonts w:hint="default" w:ascii="Times New Roman" w:hAnsi="Times New Roman" w:eastAsia="方正仿宋_GBK" w:cs="Times New Roman"/>
          <w:bCs/>
          <w:color w:val="auto"/>
          <w:sz w:val="32"/>
          <w:szCs w:val="32"/>
          <w:highlight w:val="none"/>
          <w:lang w:eastAsia="zh-CN"/>
        </w:rPr>
        <w:t>价。</w:t>
      </w:r>
      <w:bookmarkStart w:id="16" w:name="_Toc323734101"/>
      <w:bookmarkStart w:id="17" w:name="_Toc324429696"/>
      <w:bookmarkStart w:id="18" w:name="_Toc13014"/>
      <w:bookmarkStart w:id="19" w:name="_Toc29194684"/>
      <w:bookmarkStart w:id="20" w:name="_Toc6230453"/>
      <w:bookmarkStart w:id="21" w:name="_Toc52097503"/>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0</w:t>
      </w:r>
      <w:r>
        <w:rPr>
          <w:rFonts w:hint="eastAsia" w:ascii="Times New Roman" w:hAnsi="Times New Roman" w:eastAsia="方正仿宋_GBK" w:cs="Times New Roman"/>
          <w:bCs/>
          <w:color w:val="auto"/>
          <w:sz w:val="32"/>
          <w:szCs w:val="32"/>
          <w:highlight w:val="none"/>
          <w:u w:val="single"/>
          <w:lang w:val="en-US" w:eastAsia="zh-CN"/>
        </w:rPr>
        <w:t>1</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03</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时00分（北京时间）。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重庆高速公路集团有限公司招投标管理平台（http://</w:t>
      </w:r>
      <w:r>
        <w:rPr>
          <w:rFonts w:hint="eastAsia" w:ascii="Times New Roman" w:hAnsi="Times New Roman" w:eastAsia="方正仿宋_GBK" w:cs="Times New Roman"/>
          <w:bCs/>
          <w:color w:val="auto"/>
          <w:sz w:val="32"/>
          <w:szCs w:val="32"/>
          <w:highlight w:val="none"/>
          <w:lang w:val="en-US" w:eastAsia="zh-CN"/>
        </w:rPr>
        <w:t>112</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35</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165</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219</w:t>
      </w:r>
      <w:r>
        <w:rPr>
          <w:rFonts w:hint="default" w:ascii="Times New Roman" w:hAnsi="Times New Roman" w:eastAsia="方正仿宋_GBK" w:cs="Times New Roman"/>
          <w:bCs/>
          <w:color w:val="auto"/>
          <w:sz w:val="32"/>
          <w:szCs w:val="32"/>
          <w:highlight w:val="none"/>
          <w:lang w:eastAsia="zh-CN"/>
        </w:rPr>
        <w:t>:8088/PMS/）上发布。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廖老师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2022年12月27日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ind w:firstLine="640" w:firstLineChars="20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lang w:val="en-US" w:eastAsia="zh-CN"/>
        </w:rPr>
        <w:t>叁拾万</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采用A4纸幅面，正副本分开装订，封面注明正副本字样。否则其报价文件将被否决。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小江航道提升及库岸安全防护工程对水生生物影响评价报告</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01</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0</w:t>
      </w:r>
      <w:bookmarkStart w:id="22" w:name="_GoBack"/>
      <w:bookmarkEnd w:id="22"/>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pStyle w:val="2"/>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1.5报价文件组成（包括但不限于）：</w:t>
      </w:r>
    </w:p>
    <w:p>
      <w:pPr>
        <w:pStyle w:val="2"/>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1.5.1 报价函</w:t>
      </w:r>
    </w:p>
    <w:p>
      <w:pPr>
        <w:pStyle w:val="2"/>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1.5.2 资质证明材料</w:t>
      </w:r>
    </w:p>
    <w:p>
      <w:pPr>
        <w:pStyle w:val="2"/>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1.5.3 业绩证明材料（合同协议书、水生生物批复或者函的复印件）</w:t>
      </w:r>
    </w:p>
    <w:p>
      <w:pPr>
        <w:pStyle w:val="2"/>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1.5.4 拟投入的人员情况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1.5.5 未被列入重庆高速公路集团有限公司黑名单承诺函（格式自拟）。</w:t>
      </w:r>
    </w:p>
    <w:p>
      <w:pPr>
        <w:pStyle w:val="4"/>
        <w:spacing w:line="510" w:lineRule="exact"/>
        <w:ind w:firstLine="640" w:firstLineChars="20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zgzNTkzNjdkNThmZTI3ODVlMTBmY2QxYjcxMGY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52027CE"/>
    <w:rsid w:val="0636605F"/>
    <w:rsid w:val="066E658D"/>
    <w:rsid w:val="067A2C61"/>
    <w:rsid w:val="06E93094"/>
    <w:rsid w:val="06ED263D"/>
    <w:rsid w:val="07501833"/>
    <w:rsid w:val="08651193"/>
    <w:rsid w:val="08F93D5B"/>
    <w:rsid w:val="09CD7F8F"/>
    <w:rsid w:val="09D87D6A"/>
    <w:rsid w:val="0A95138C"/>
    <w:rsid w:val="0BB95CD2"/>
    <w:rsid w:val="0BFE4292"/>
    <w:rsid w:val="0C292867"/>
    <w:rsid w:val="0CD07E15"/>
    <w:rsid w:val="0CEF255C"/>
    <w:rsid w:val="0CFA4A65"/>
    <w:rsid w:val="0D406B8E"/>
    <w:rsid w:val="0E707BD8"/>
    <w:rsid w:val="0F7A0D2D"/>
    <w:rsid w:val="0FB66909"/>
    <w:rsid w:val="1022461B"/>
    <w:rsid w:val="10A81391"/>
    <w:rsid w:val="11427629"/>
    <w:rsid w:val="117A6EEF"/>
    <w:rsid w:val="12711EC4"/>
    <w:rsid w:val="13B86C2F"/>
    <w:rsid w:val="14295DAF"/>
    <w:rsid w:val="142A7E51"/>
    <w:rsid w:val="159E24E8"/>
    <w:rsid w:val="162417DF"/>
    <w:rsid w:val="16A76DEE"/>
    <w:rsid w:val="17AC5B95"/>
    <w:rsid w:val="19421CE6"/>
    <w:rsid w:val="198130EF"/>
    <w:rsid w:val="19AE416C"/>
    <w:rsid w:val="19DD43BA"/>
    <w:rsid w:val="1A4B45F5"/>
    <w:rsid w:val="1AEB3291"/>
    <w:rsid w:val="1AFA7273"/>
    <w:rsid w:val="1CEB3111"/>
    <w:rsid w:val="1D1E25DF"/>
    <w:rsid w:val="1D652848"/>
    <w:rsid w:val="1DBC703C"/>
    <w:rsid w:val="1DD736C3"/>
    <w:rsid w:val="21CC3BA7"/>
    <w:rsid w:val="21E3769E"/>
    <w:rsid w:val="22102401"/>
    <w:rsid w:val="228765EB"/>
    <w:rsid w:val="234E4979"/>
    <w:rsid w:val="241174C5"/>
    <w:rsid w:val="24304B96"/>
    <w:rsid w:val="24430E72"/>
    <w:rsid w:val="245F6EDD"/>
    <w:rsid w:val="24B738C2"/>
    <w:rsid w:val="255178E6"/>
    <w:rsid w:val="255E1927"/>
    <w:rsid w:val="25F14B98"/>
    <w:rsid w:val="26710645"/>
    <w:rsid w:val="26971D6D"/>
    <w:rsid w:val="26A91696"/>
    <w:rsid w:val="26EA7C92"/>
    <w:rsid w:val="272F2851"/>
    <w:rsid w:val="274F3DB2"/>
    <w:rsid w:val="279C6923"/>
    <w:rsid w:val="27BD1AEB"/>
    <w:rsid w:val="28FC289D"/>
    <w:rsid w:val="2914405B"/>
    <w:rsid w:val="29156EF2"/>
    <w:rsid w:val="293435B5"/>
    <w:rsid w:val="2AE31466"/>
    <w:rsid w:val="2B052B73"/>
    <w:rsid w:val="2B6948BD"/>
    <w:rsid w:val="2BF539B5"/>
    <w:rsid w:val="2C61237F"/>
    <w:rsid w:val="2D160629"/>
    <w:rsid w:val="2D280A7E"/>
    <w:rsid w:val="2FCD04BE"/>
    <w:rsid w:val="30770EFE"/>
    <w:rsid w:val="319A23E2"/>
    <w:rsid w:val="3206472E"/>
    <w:rsid w:val="320A5AE9"/>
    <w:rsid w:val="328937F3"/>
    <w:rsid w:val="32F017EB"/>
    <w:rsid w:val="33254D78"/>
    <w:rsid w:val="33C83BC3"/>
    <w:rsid w:val="35153592"/>
    <w:rsid w:val="35276BCD"/>
    <w:rsid w:val="35996867"/>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9947A2"/>
    <w:rsid w:val="42A713D5"/>
    <w:rsid w:val="42EE0B57"/>
    <w:rsid w:val="42FC2B26"/>
    <w:rsid w:val="43EF3495"/>
    <w:rsid w:val="453756CC"/>
    <w:rsid w:val="454A4722"/>
    <w:rsid w:val="455255E8"/>
    <w:rsid w:val="45912351"/>
    <w:rsid w:val="45941E41"/>
    <w:rsid w:val="45B11EFA"/>
    <w:rsid w:val="46E4318C"/>
    <w:rsid w:val="471F4D88"/>
    <w:rsid w:val="479E3A47"/>
    <w:rsid w:val="47D87266"/>
    <w:rsid w:val="47EE192B"/>
    <w:rsid w:val="48324764"/>
    <w:rsid w:val="49222A1C"/>
    <w:rsid w:val="49A2577D"/>
    <w:rsid w:val="49AB59AC"/>
    <w:rsid w:val="4A321E22"/>
    <w:rsid w:val="4A3546F1"/>
    <w:rsid w:val="4B106456"/>
    <w:rsid w:val="4C6F2EDA"/>
    <w:rsid w:val="4DDF79D2"/>
    <w:rsid w:val="4E03626B"/>
    <w:rsid w:val="4E4C658E"/>
    <w:rsid w:val="4EBB21ED"/>
    <w:rsid w:val="4ECA3387"/>
    <w:rsid w:val="4F6A7EF2"/>
    <w:rsid w:val="4F7B2533"/>
    <w:rsid w:val="508711A9"/>
    <w:rsid w:val="50EF37F6"/>
    <w:rsid w:val="510E35CE"/>
    <w:rsid w:val="517B4EC0"/>
    <w:rsid w:val="51B322DA"/>
    <w:rsid w:val="51CC3CA7"/>
    <w:rsid w:val="51F850A8"/>
    <w:rsid w:val="526D2EBF"/>
    <w:rsid w:val="53366EE7"/>
    <w:rsid w:val="53A76132"/>
    <w:rsid w:val="54271112"/>
    <w:rsid w:val="54523A5C"/>
    <w:rsid w:val="54FE3AA4"/>
    <w:rsid w:val="551B7F9B"/>
    <w:rsid w:val="555C3065"/>
    <w:rsid w:val="55987088"/>
    <w:rsid w:val="56A32E66"/>
    <w:rsid w:val="56EF6751"/>
    <w:rsid w:val="577747A6"/>
    <w:rsid w:val="577A27D6"/>
    <w:rsid w:val="593C56D0"/>
    <w:rsid w:val="593F171A"/>
    <w:rsid w:val="59E454CF"/>
    <w:rsid w:val="59EF5E2F"/>
    <w:rsid w:val="59F726F3"/>
    <w:rsid w:val="5A1763B8"/>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AF3805"/>
    <w:rsid w:val="60DC0379"/>
    <w:rsid w:val="60F91A9B"/>
    <w:rsid w:val="61033B4B"/>
    <w:rsid w:val="61681DAA"/>
    <w:rsid w:val="62137647"/>
    <w:rsid w:val="638216B1"/>
    <w:rsid w:val="64761A1E"/>
    <w:rsid w:val="65585085"/>
    <w:rsid w:val="665E47A7"/>
    <w:rsid w:val="67015D83"/>
    <w:rsid w:val="676C3643"/>
    <w:rsid w:val="67B30A70"/>
    <w:rsid w:val="68466749"/>
    <w:rsid w:val="684D794E"/>
    <w:rsid w:val="68562C5D"/>
    <w:rsid w:val="68762F5B"/>
    <w:rsid w:val="689313CC"/>
    <w:rsid w:val="69E81028"/>
    <w:rsid w:val="6D541C74"/>
    <w:rsid w:val="6DAD722E"/>
    <w:rsid w:val="6DE06576"/>
    <w:rsid w:val="6FAF3C7C"/>
    <w:rsid w:val="70656815"/>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8286988"/>
    <w:rsid w:val="7861167A"/>
    <w:rsid w:val="78E04108"/>
    <w:rsid w:val="7A3E4002"/>
    <w:rsid w:val="7AAF6562"/>
    <w:rsid w:val="7C4D729D"/>
    <w:rsid w:val="7D100213"/>
    <w:rsid w:val="7DCC7838"/>
    <w:rsid w:val="7EBD184F"/>
    <w:rsid w:val="7F49148B"/>
    <w:rsid w:val="7F7108CD"/>
    <w:rsid w:val="7FAF3465"/>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2386</Words>
  <Characters>2586</Characters>
  <Lines>72</Lines>
  <Paragraphs>20</Paragraphs>
  <TotalTime>21</TotalTime>
  <ScaleCrop>false</ScaleCrop>
  <LinksUpToDate>false</LinksUpToDate>
  <CharactersWithSpaces>2666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廖海林</cp:lastModifiedBy>
  <cp:lastPrinted>2022-05-23T02:37:00Z</cp:lastPrinted>
  <dcterms:modified xsi:type="dcterms:W3CDTF">2022-12-27T01:48:33Z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83C8355655C749F1AE91C3F7F5685D1F</vt:lpwstr>
  </property>
</Properties>
</file>