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cs="Times New Roman" w:eastAsiaTheme="minorEastAsia"/>
          <w:b/>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t>嘉陵江梯级渠化利泽航运枢纽工程</w:t>
      </w: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t>鱼类栖息地保护规划编制</w:t>
      </w:r>
      <w:r>
        <w:rPr>
          <w:rFonts w:hint="eastAsia" w:ascii="Times New Roman" w:hAnsi="Times New Roman" w:eastAsia="方正小标宋_GBK" w:cs="Times New Roman"/>
          <w:bCs/>
          <w:color w:val="auto"/>
          <w:sz w:val="48"/>
          <w:szCs w:val="48"/>
          <w:highlight w:val="none"/>
          <w:lang w:val="en-US" w:eastAsia="zh-CN"/>
        </w:rPr>
        <w:t>（第二次）</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both"/>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lang w:val="zh-CN" w:eastAsia="zh-CN"/>
              </w:rPr>
              <w:t>重庆嘉陵江利泽航电开发有限公司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both"/>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lang w:val="zh-CN" w:eastAsia="zh-CN"/>
              </w:rPr>
              <w:t>重庆嘉陵江利泽航电开发有限公司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2</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3</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29"/>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eastAsia="方正小标宋_GBK" w:cs="Times New Roman"/>
              <w:color w:val="auto"/>
              <w:kern w:val="0"/>
              <w:szCs w:val="22"/>
              <w:highlight w:val="none"/>
              <w:lang w:val="en-US" w:eastAsia="en-US" w:bidi="ar-SA"/>
            </w:rPr>
            <w:fldChar w:fldCharType="begin"/>
          </w:r>
          <w:r>
            <w:rPr>
              <w:rFonts w:hint="default" w:ascii="Times New Roman" w:hAnsi="Times New Roman" w:eastAsia="方正小标宋_GBK" w:cs="Times New Roman"/>
              <w:color w:val="auto"/>
              <w:kern w:val="0"/>
              <w:szCs w:val="22"/>
              <w:highlight w:val="none"/>
              <w:lang w:val="en-US" w:eastAsia="en-US" w:bidi="ar-SA"/>
            </w:rPr>
            <w:instrText xml:space="preserve"> HYPERLINK \l _Toc13651 </w:instrText>
          </w:r>
          <w:r>
            <w:rPr>
              <w:rFonts w:hint="default" w:ascii="Times New Roman" w:hAnsi="Times New Roman" w:eastAsia="方正小标宋_GBK" w:cs="Times New Roman"/>
              <w:color w:val="auto"/>
              <w:kern w:val="0"/>
              <w:szCs w:val="22"/>
              <w:highlight w:val="none"/>
              <w:lang w:val="en-US" w:eastAsia="en-US" w:bidi="ar-SA"/>
            </w:rPr>
            <w:fldChar w:fldCharType="separate"/>
          </w:r>
          <w:r>
            <w:rPr>
              <w:rFonts w:hint="default" w:ascii="Times New Roman" w:hAnsi="Times New Roman" w:eastAsia="方正小标宋_GBK" w:cs="Times New Roman"/>
              <w:bCs/>
              <w:color w:val="auto"/>
              <w:kern w:val="0"/>
              <w:szCs w:val="44"/>
              <w:highlight w:val="none"/>
              <w:lang w:val="zh-CN" w:eastAsia="zh-CN" w:bidi="ar-SA"/>
            </w:rPr>
            <w:t>第一章 询价公告</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_Toc13651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2</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color w:val="auto"/>
              <w:kern w:val="0"/>
              <w:szCs w:val="22"/>
              <w:highlight w:val="none"/>
              <w:lang w:val="en-US" w:eastAsia="en-US" w:bidi="ar-SA"/>
            </w:rPr>
            <w:fldChar w:fldCharType="end"/>
          </w:r>
        </w:p>
        <w:p>
          <w:pPr>
            <w:pStyle w:val="35"/>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_Toc3190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default" w:ascii="Times New Roman" w:hAnsi="Times New Roman" w:eastAsia="黑体" w:cs="Times New Roman"/>
              <w:color w:val="auto"/>
              <w:kern w:val="0"/>
              <w:szCs w:val="22"/>
              <w:highlight w:val="none"/>
              <w:lang w:val="en-US" w:eastAsia="zh-CN" w:bidi="ar-SA"/>
            </w:rPr>
            <w:t>1.询价条件</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_Toc3190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2</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5"/>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_Toc28664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default" w:ascii="Times New Roman" w:hAnsi="Times New Roman" w:eastAsia="黑体" w:cs="Times New Roman"/>
              <w:color w:val="auto"/>
              <w:kern w:val="0"/>
              <w:szCs w:val="22"/>
              <w:highlight w:val="none"/>
              <w:lang w:val="en-US" w:eastAsia="zh-CN" w:bidi="ar-SA"/>
            </w:rPr>
            <w:t>2.项目概况与询价工作范围</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_Toc28664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2</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5"/>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_Toc1632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default" w:ascii="Times New Roman" w:hAnsi="Times New Roman" w:eastAsia="黑体" w:cs="Times New Roman"/>
              <w:color w:val="auto"/>
              <w:kern w:val="0"/>
              <w:szCs w:val="22"/>
              <w:highlight w:val="none"/>
              <w:lang w:val="en-US" w:eastAsia="zh-CN" w:bidi="ar-SA"/>
            </w:rPr>
            <w:t>3.报价人资格要求</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_Toc1632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4</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5"/>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_Toc19788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default" w:ascii="Times New Roman" w:hAnsi="Times New Roman" w:eastAsia="黑体" w:cs="Times New Roman"/>
              <w:color w:val="auto"/>
              <w:kern w:val="0"/>
              <w:szCs w:val="22"/>
              <w:highlight w:val="none"/>
              <w:lang w:val="en-US" w:eastAsia="zh-CN" w:bidi="ar-SA"/>
            </w:rPr>
            <w:t>4.报价文件的递交</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_Toc19788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5</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5"/>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_Toc13131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default" w:ascii="Times New Roman" w:hAnsi="Times New Roman" w:eastAsia="黑体" w:cs="Times New Roman"/>
              <w:color w:val="auto"/>
              <w:kern w:val="0"/>
              <w:szCs w:val="22"/>
              <w:highlight w:val="none"/>
              <w:lang w:val="en-US" w:eastAsia="zh-CN" w:bidi="ar-SA"/>
            </w:rPr>
            <w:t>5.发布公告的媒介</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_Toc13131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6</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5"/>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_Toc1399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default" w:ascii="Times New Roman" w:hAnsi="Times New Roman" w:eastAsia="黑体" w:cs="Times New Roman"/>
              <w:color w:val="auto"/>
              <w:kern w:val="0"/>
              <w:szCs w:val="22"/>
              <w:highlight w:val="none"/>
              <w:lang w:val="en-US" w:eastAsia="zh-CN" w:bidi="ar-SA"/>
            </w:rPr>
            <w:t>6.联系方式</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_Toc1399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6</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5"/>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_Toc9514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default" w:ascii="Times New Roman" w:hAnsi="Times New Roman" w:eastAsia="黑体" w:cs="Times New Roman"/>
              <w:color w:val="auto"/>
              <w:kern w:val="0"/>
              <w:szCs w:val="22"/>
              <w:highlight w:val="none"/>
              <w:lang w:val="en-US" w:eastAsia="zh-CN" w:bidi="ar-SA"/>
            </w:rPr>
            <w:t>7.监督电话：023-42576662</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_Toc9514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6</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29"/>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_Toc23392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default" w:ascii="Times New Roman" w:hAnsi="Times New Roman" w:eastAsia="方正小标宋_GBK" w:cs="Times New Roman"/>
              <w:bCs/>
              <w:color w:val="auto"/>
              <w:kern w:val="0"/>
              <w:szCs w:val="44"/>
              <w:highlight w:val="none"/>
              <w:lang w:val="zh-CN" w:eastAsia="zh-CN" w:bidi="ar-SA"/>
            </w:rPr>
            <w:t>第二章 报价文件要求与评审办法</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_Toc23392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7</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5"/>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_Toc12542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default" w:ascii="Times New Roman" w:hAnsi="Times New Roman" w:eastAsia="黑体" w:cs="Times New Roman"/>
              <w:color w:val="auto"/>
              <w:kern w:val="0"/>
              <w:szCs w:val="22"/>
              <w:highlight w:val="none"/>
              <w:lang w:val="en-US" w:eastAsia="zh-CN" w:bidi="ar-SA"/>
            </w:rPr>
            <w:t>1.报价文件要求</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_Toc12542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7</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5"/>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_Toc24277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default" w:ascii="Times New Roman" w:hAnsi="Times New Roman" w:eastAsia="黑体" w:cs="Times New Roman"/>
              <w:color w:val="auto"/>
              <w:kern w:val="0"/>
              <w:szCs w:val="22"/>
              <w:highlight w:val="none"/>
              <w:lang w:val="en-US" w:eastAsia="zh-CN" w:bidi="ar-SA"/>
            </w:rPr>
            <w:t>2.评审办法</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_Toc24277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7</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5"/>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_Toc17130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eastAsia" w:ascii="Times New Roman" w:hAnsi="Times New Roman" w:eastAsia="黑体" w:cs="Times New Roman"/>
              <w:bCs/>
              <w:color w:val="auto"/>
              <w:kern w:val="0"/>
              <w:szCs w:val="32"/>
              <w:highlight w:val="none"/>
              <w:lang w:val="en-US" w:eastAsia="zh-CN" w:bidi="ar-SA"/>
            </w:rPr>
            <w:t>3</w:t>
          </w:r>
          <w:r>
            <w:rPr>
              <w:rFonts w:hint="default" w:ascii="Times New Roman" w:hAnsi="Times New Roman" w:eastAsia="黑体" w:cs="Times New Roman"/>
              <w:bCs/>
              <w:color w:val="auto"/>
              <w:kern w:val="0"/>
              <w:szCs w:val="32"/>
              <w:highlight w:val="none"/>
              <w:lang w:val="en-US" w:eastAsia="zh-CN" w:bidi="ar-SA"/>
            </w:rPr>
            <w:t>.</w:t>
          </w:r>
          <w:r>
            <w:rPr>
              <w:rFonts w:hint="eastAsia" w:ascii="Times New Roman" w:hAnsi="Times New Roman" w:eastAsia="黑体" w:cs="Times New Roman"/>
              <w:bCs/>
              <w:color w:val="auto"/>
              <w:kern w:val="0"/>
              <w:szCs w:val="32"/>
              <w:highlight w:val="none"/>
              <w:lang w:val="en-US" w:eastAsia="zh-CN" w:bidi="ar-SA"/>
            </w:rPr>
            <w:t>质量技术要求</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_Toc17130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7</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29"/>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_Toc8402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default" w:ascii="Times New Roman" w:hAnsi="Times New Roman" w:eastAsia="方正小标宋_GBK" w:cs="Times New Roman"/>
              <w:bCs/>
              <w:color w:val="auto"/>
              <w:kern w:val="0"/>
              <w:szCs w:val="44"/>
              <w:highlight w:val="none"/>
              <w:lang w:val="zh-CN" w:eastAsia="zh-CN" w:bidi="ar-SA"/>
            </w:rPr>
            <w:t>第三章 合同条款</w:t>
          </w:r>
          <w:r>
            <w:rPr>
              <w:rFonts w:hint="eastAsia" w:ascii="Times New Roman" w:hAnsi="Times New Roman" w:eastAsia="方正小标宋_GBK" w:cs="Times New Roman"/>
              <w:bCs/>
              <w:color w:val="auto"/>
              <w:kern w:val="0"/>
              <w:szCs w:val="44"/>
              <w:highlight w:val="none"/>
              <w:lang w:val="en-US" w:eastAsia="zh-CN" w:bidi="ar-SA"/>
            </w:rPr>
            <w:t>与格式</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_Toc8402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9</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5"/>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_Toc12242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eastAsia" w:ascii="Times New Roman" w:hAnsi="Times New Roman" w:eastAsia="黑体" w:cs="Times New Roman"/>
              <w:bCs w:val="0"/>
              <w:color w:val="auto"/>
              <w:kern w:val="0"/>
              <w:szCs w:val="32"/>
              <w:highlight w:val="none"/>
              <w:lang w:val="en-US" w:eastAsia="zh-CN" w:bidi="ar-SA"/>
            </w:rPr>
            <w:t>第一条 项目的基本情况</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_Toc12242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9</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5"/>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_Toc29465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eastAsia" w:ascii="Times New Roman" w:hAnsi="Times New Roman" w:eastAsia="黑体" w:cs="Times New Roman"/>
              <w:bCs w:val="0"/>
              <w:color w:val="auto"/>
              <w:kern w:val="0"/>
              <w:szCs w:val="32"/>
              <w:highlight w:val="none"/>
              <w:lang w:val="en-US" w:eastAsia="zh-CN" w:bidi="ar-SA"/>
            </w:rPr>
            <w:t>第二条 工作范围和内容</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_Toc29465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9</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5"/>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_Toc22813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eastAsia" w:ascii="Times New Roman" w:hAnsi="Times New Roman" w:eastAsia="黑体" w:cs="Times New Roman"/>
              <w:bCs w:val="0"/>
              <w:color w:val="auto"/>
              <w:kern w:val="0"/>
              <w:szCs w:val="32"/>
              <w:highlight w:val="none"/>
              <w:lang w:val="en-US" w:eastAsia="zh-CN" w:bidi="ar-SA"/>
            </w:rPr>
            <w:t>第三条 工作依据</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_Toc22813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10</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5"/>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_Toc21884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eastAsia" w:ascii="Times New Roman" w:hAnsi="Times New Roman" w:eastAsia="黑体" w:cs="Times New Roman"/>
              <w:bCs w:val="0"/>
              <w:color w:val="auto"/>
              <w:kern w:val="0"/>
              <w:szCs w:val="32"/>
              <w:highlight w:val="none"/>
              <w:lang w:val="en-US" w:eastAsia="zh-CN" w:bidi="ar-SA"/>
            </w:rPr>
            <w:t>第四条 工作经费及其支付方式</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_Toc21884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11</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5"/>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_Toc23371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eastAsia" w:ascii="Times New Roman" w:hAnsi="Times New Roman" w:eastAsia="黑体" w:cs="Times New Roman"/>
              <w:bCs w:val="0"/>
              <w:color w:val="auto"/>
              <w:kern w:val="0"/>
              <w:szCs w:val="32"/>
              <w:highlight w:val="none"/>
              <w:lang w:val="en-US" w:eastAsia="zh-CN" w:bidi="ar-SA"/>
            </w:rPr>
            <w:t>第五条 甲方的权利和义务</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_Toc23371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12</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5"/>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_Toc1672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eastAsia" w:ascii="Times New Roman" w:hAnsi="Times New Roman" w:eastAsia="黑体" w:cs="Times New Roman"/>
              <w:bCs w:val="0"/>
              <w:color w:val="auto"/>
              <w:kern w:val="0"/>
              <w:szCs w:val="32"/>
              <w:highlight w:val="none"/>
              <w:lang w:val="en-US" w:eastAsia="zh-CN" w:bidi="ar-SA"/>
            </w:rPr>
            <w:t>第六条 乙方的权利和义务</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_Toc1672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12</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5"/>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_Toc1666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eastAsia" w:ascii="Times New Roman" w:hAnsi="Times New Roman" w:eastAsia="黑体" w:cs="Times New Roman"/>
              <w:bCs w:val="0"/>
              <w:color w:val="auto"/>
              <w:kern w:val="0"/>
              <w:szCs w:val="32"/>
              <w:highlight w:val="none"/>
              <w:lang w:val="en-US" w:eastAsia="zh-CN" w:bidi="ar-SA"/>
            </w:rPr>
            <w:t>第七条 合同的变更与终止</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_Toc1666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13</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5"/>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_Toc6769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eastAsia" w:ascii="Times New Roman" w:hAnsi="Times New Roman" w:eastAsia="黑体" w:cs="Times New Roman"/>
              <w:bCs w:val="0"/>
              <w:color w:val="auto"/>
              <w:kern w:val="0"/>
              <w:szCs w:val="32"/>
              <w:highlight w:val="none"/>
              <w:lang w:val="en-US" w:eastAsia="zh-CN" w:bidi="ar-SA"/>
            </w:rPr>
            <w:t>第八条 违约责任</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_Toc6769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14</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5"/>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_Toc6208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eastAsia" w:ascii="Times New Roman" w:hAnsi="Times New Roman" w:eastAsia="黑体" w:cs="Times New Roman"/>
              <w:bCs w:val="0"/>
              <w:color w:val="auto"/>
              <w:kern w:val="0"/>
              <w:szCs w:val="32"/>
              <w:highlight w:val="none"/>
              <w:lang w:val="en-US" w:eastAsia="zh-CN" w:bidi="ar-SA"/>
            </w:rPr>
            <w:t>第九条 不可抗力</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_Toc6208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14</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5"/>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_Toc21101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eastAsia" w:ascii="Times New Roman" w:hAnsi="Times New Roman" w:eastAsia="黑体" w:cs="Times New Roman"/>
              <w:bCs w:val="0"/>
              <w:color w:val="auto"/>
              <w:kern w:val="0"/>
              <w:szCs w:val="32"/>
              <w:highlight w:val="none"/>
              <w:lang w:val="en-US" w:eastAsia="zh-CN" w:bidi="ar-SA"/>
            </w:rPr>
            <w:t>第十条 争议解决条款</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_Toc21101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15</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5"/>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_Toc10190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eastAsia" w:ascii="Times New Roman" w:hAnsi="Times New Roman" w:eastAsia="黑体" w:cs="Times New Roman"/>
              <w:bCs w:val="0"/>
              <w:color w:val="auto"/>
              <w:kern w:val="0"/>
              <w:szCs w:val="32"/>
              <w:highlight w:val="none"/>
              <w:lang w:val="en-US" w:eastAsia="zh-CN" w:bidi="ar-SA"/>
            </w:rPr>
            <w:t>第十一条 合同份数及时效</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_Toc10190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15</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5"/>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_Toc32738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eastAsia" w:ascii="Times New Roman" w:hAnsi="Times New Roman" w:eastAsia="黑体" w:cs="Times New Roman"/>
              <w:bCs w:val="0"/>
              <w:color w:val="auto"/>
              <w:kern w:val="0"/>
              <w:szCs w:val="32"/>
              <w:highlight w:val="none"/>
              <w:lang w:val="en-US" w:eastAsia="zh-CN" w:bidi="ar-SA"/>
            </w:rPr>
            <w:t>附件1：安全生产合同</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_Toc32738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29</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5"/>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_Toc816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eastAsia" w:ascii="Times New Roman" w:hAnsi="Times New Roman" w:eastAsia="黑体" w:cs="Times New Roman"/>
              <w:bCs w:val="0"/>
              <w:color w:val="auto"/>
              <w:kern w:val="0"/>
              <w:szCs w:val="32"/>
              <w:highlight w:val="none"/>
              <w:lang w:val="en-US" w:eastAsia="zh-CN" w:bidi="ar-SA"/>
            </w:rPr>
            <w:t>附件2：廉政合同格式</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_Toc816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32</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29"/>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_Toc23062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eastAsia" w:ascii="Times New Roman" w:hAnsi="Times New Roman" w:eastAsia="方正小标宋_GBK" w:cs="Times New Roman"/>
              <w:bCs/>
              <w:color w:val="auto"/>
              <w:kern w:val="0"/>
              <w:szCs w:val="44"/>
              <w:highlight w:val="none"/>
              <w:lang w:val="en-US" w:eastAsia="zh-CN" w:bidi="ar-SA"/>
            </w:rPr>
            <w:t xml:space="preserve">第四章 </w:t>
          </w:r>
          <w:r>
            <w:rPr>
              <w:rFonts w:hint="default" w:ascii="Times New Roman" w:hAnsi="Times New Roman" w:eastAsia="方正小标宋_GBK" w:cs="Times New Roman"/>
              <w:bCs/>
              <w:color w:val="auto"/>
              <w:kern w:val="0"/>
              <w:szCs w:val="44"/>
              <w:highlight w:val="none"/>
              <w:lang w:val="zh-CN" w:eastAsia="zh-CN" w:bidi="ar-SA"/>
            </w:rPr>
            <w:t>报价文件格式</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_Toc23062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35</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5"/>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_Toc26785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default" w:ascii="Times New Roman" w:hAnsi="Times New Roman" w:eastAsia="方正小标宋_GBK" w:cs="Times New Roman"/>
              <w:color w:val="auto"/>
              <w:kern w:val="0"/>
              <w:szCs w:val="44"/>
              <w:highlight w:val="none"/>
              <w:lang w:val="en-US" w:eastAsia="en-US" w:bidi="ar-SA"/>
            </w:rPr>
            <w:t>一、法定代表人身份证明或授权委托书</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_Toc26785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38</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5"/>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_Toc8766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default" w:ascii="Times New Roman" w:hAnsi="Times New Roman" w:eastAsia="方正小标宋_GBK" w:cs="Times New Roman"/>
              <w:color w:val="auto"/>
              <w:kern w:val="0"/>
              <w:szCs w:val="44"/>
              <w:highlight w:val="none"/>
              <w:lang w:val="en-US" w:eastAsia="en-US" w:bidi="ar-SA"/>
            </w:rPr>
            <w:t>二、报价函</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_Toc8766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39</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5"/>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_Toc10458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default" w:ascii="Times New Roman" w:hAnsi="Times New Roman" w:eastAsia="方正小标宋_GBK" w:cs="Times New Roman"/>
              <w:color w:val="auto"/>
              <w:kern w:val="0"/>
              <w:szCs w:val="44"/>
              <w:highlight w:val="none"/>
              <w:lang w:val="en-US" w:eastAsia="en-US" w:bidi="ar-SA"/>
            </w:rPr>
            <w:t>三、报价表</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_Toc10458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41</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5"/>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_Toc4383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eastAsia" w:ascii="Times New Roman" w:hAnsi="Times New Roman" w:eastAsia="方正小标宋_GBK" w:cs="Times New Roman"/>
              <w:color w:val="auto"/>
              <w:kern w:val="0"/>
              <w:szCs w:val="44"/>
              <w:highlight w:val="none"/>
              <w:lang w:val="en-US" w:eastAsia="zh-CN" w:bidi="ar-SA"/>
            </w:rPr>
            <w:t>五、</w:t>
          </w:r>
          <w:r>
            <w:rPr>
              <w:rFonts w:hint="default" w:ascii="Times New Roman" w:hAnsi="Times New Roman" w:eastAsia="方正小标宋_GBK" w:cs="Times New Roman"/>
              <w:color w:val="auto"/>
              <w:kern w:val="0"/>
              <w:szCs w:val="44"/>
              <w:highlight w:val="none"/>
              <w:lang w:val="en-US" w:eastAsia="zh-CN" w:bidi="ar-SA"/>
            </w:rPr>
            <w:t>项目方案及进度安排</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_Toc4383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47</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pStyle w:val="35"/>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_Toc24761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ascii="宋体" w:hAnsi="宋体" w:eastAsia="宋体" w:cs="宋体"/>
              <w:color w:val="auto"/>
              <w:kern w:val="0"/>
              <w:szCs w:val="22"/>
              <w:highlight w:val="none"/>
              <w:lang w:val="en-US" w:eastAsia="en-US" w:bidi="ar-SA"/>
            </w:rPr>
            <w:t>六</w:t>
          </w:r>
          <w:r>
            <w:rPr>
              <w:rFonts w:hint="default" w:ascii="Times New Roman" w:hAnsi="Times New Roman" w:eastAsia="方正小标宋_GBK" w:cs="Times New Roman"/>
              <w:color w:val="auto"/>
              <w:kern w:val="2"/>
              <w:szCs w:val="44"/>
              <w:highlight w:val="none"/>
              <w:lang w:val="en-US" w:eastAsia="zh-CN" w:bidi="ar-SA"/>
            </w:rPr>
            <w:t xml:space="preserve">、 </w:t>
          </w:r>
          <w:r>
            <w:rPr>
              <w:rFonts w:hint="default" w:ascii="Times New Roman" w:hAnsi="Times New Roman" w:eastAsia="方正小标宋_GBK" w:cs="Times New Roman"/>
              <w:color w:val="auto"/>
              <w:kern w:val="0"/>
              <w:szCs w:val="44"/>
              <w:highlight w:val="none"/>
              <w:lang w:val="en-US" w:eastAsia="en-US" w:bidi="ar-SA"/>
            </w:rPr>
            <w:t>其他资料</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_Toc24761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48</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2"/>
              <w:szCs w:val="44"/>
              <w:highlight w:val="none"/>
              <w:lang w:val="en-US" w:eastAsia="zh-CN" w:bidi="ar-SA"/>
            </w:rPr>
            <w:fldChar w:fldCharType="end"/>
          </w:r>
        </w:p>
        <w:p>
          <w:pPr>
            <w:pStyle w:val="29"/>
            <w:tabs>
              <w:tab w:val="right" w:leader="dot" w:pos="9064"/>
            </w:tabs>
            <w:rPr>
              <w:rFonts w:ascii="宋体" w:hAnsi="宋体" w:eastAsia="宋体" w:cs="宋体"/>
              <w:color w:val="auto"/>
              <w:kern w:val="0"/>
              <w:szCs w:val="22"/>
              <w:highlight w:val="none"/>
              <w:lang w:val="en-US" w:eastAsia="en-US" w:bidi="ar-SA"/>
            </w:rPr>
          </w:pPr>
          <w:r>
            <w:rPr>
              <w:rFonts w:hint="default" w:ascii="Times New Roman" w:hAnsi="Times New Roman" w:eastAsia="方正小标宋_GBK" w:cs="Times New Roman"/>
              <w:bCs/>
              <w:color w:val="auto"/>
              <w:kern w:val="0"/>
              <w:szCs w:val="22"/>
              <w:highlight w:val="none"/>
              <w:lang w:val="zh-CN" w:eastAsia="en-US" w:bidi="ar-SA"/>
            </w:rPr>
            <w:fldChar w:fldCharType="begin"/>
          </w:r>
          <w:r>
            <w:rPr>
              <w:rFonts w:hint="default" w:ascii="Times New Roman" w:hAnsi="Times New Roman" w:eastAsia="方正小标宋_GBK" w:cs="Times New Roman"/>
              <w:bCs/>
              <w:color w:val="auto"/>
              <w:kern w:val="0"/>
              <w:szCs w:val="22"/>
              <w:highlight w:val="none"/>
              <w:lang w:val="zh-CN" w:eastAsia="en-US" w:bidi="ar-SA"/>
            </w:rPr>
            <w:instrText xml:space="preserve"> HYPERLINK \l _Toc8861 </w:instrText>
          </w:r>
          <w:r>
            <w:rPr>
              <w:rFonts w:hint="default" w:ascii="Times New Roman" w:hAnsi="Times New Roman" w:eastAsia="方正小标宋_GBK" w:cs="Times New Roman"/>
              <w:bCs/>
              <w:color w:val="auto"/>
              <w:kern w:val="0"/>
              <w:szCs w:val="22"/>
              <w:highlight w:val="none"/>
              <w:lang w:val="zh-CN" w:eastAsia="en-US" w:bidi="ar-SA"/>
            </w:rPr>
            <w:fldChar w:fldCharType="separate"/>
          </w:r>
          <w:r>
            <w:rPr>
              <w:rFonts w:hint="eastAsia" w:ascii="Times New Roman" w:hAnsi="Times New Roman" w:eastAsia="方正小标宋_GBK" w:cs="Times New Roman"/>
              <w:bCs/>
              <w:color w:val="auto"/>
              <w:kern w:val="0"/>
              <w:szCs w:val="44"/>
              <w:highlight w:val="none"/>
              <w:lang w:val="en-US" w:eastAsia="zh-CN" w:bidi="ar-SA"/>
            </w:rPr>
            <w:t>第五章 技术标准和要求</w:t>
          </w:r>
          <w:r>
            <w:rPr>
              <w:rFonts w:ascii="宋体" w:hAnsi="宋体" w:eastAsia="宋体" w:cs="宋体"/>
              <w:color w:val="auto"/>
              <w:kern w:val="0"/>
              <w:szCs w:val="22"/>
              <w:highlight w:val="none"/>
              <w:lang w:val="en-US" w:eastAsia="en-US" w:bidi="ar-SA"/>
            </w:rPr>
            <w:tab/>
          </w:r>
          <w:r>
            <w:rPr>
              <w:rFonts w:ascii="宋体" w:hAnsi="宋体" w:eastAsia="宋体" w:cs="宋体"/>
              <w:color w:val="auto"/>
              <w:kern w:val="0"/>
              <w:szCs w:val="22"/>
              <w:highlight w:val="none"/>
              <w:lang w:val="en-US" w:eastAsia="en-US" w:bidi="ar-SA"/>
            </w:rPr>
            <w:fldChar w:fldCharType="begin"/>
          </w:r>
          <w:r>
            <w:rPr>
              <w:rFonts w:ascii="宋体" w:hAnsi="宋体" w:eastAsia="宋体" w:cs="宋体"/>
              <w:color w:val="auto"/>
              <w:kern w:val="0"/>
              <w:szCs w:val="22"/>
              <w:highlight w:val="none"/>
              <w:lang w:val="en-US" w:eastAsia="en-US" w:bidi="ar-SA"/>
            </w:rPr>
            <w:instrText xml:space="preserve"> PAGEREF _Toc8861 </w:instrText>
          </w:r>
          <w:r>
            <w:rPr>
              <w:rFonts w:ascii="宋体" w:hAnsi="宋体" w:eastAsia="宋体" w:cs="宋体"/>
              <w:color w:val="auto"/>
              <w:kern w:val="0"/>
              <w:szCs w:val="22"/>
              <w:highlight w:val="none"/>
              <w:lang w:val="en-US" w:eastAsia="en-US" w:bidi="ar-SA"/>
            </w:rPr>
            <w:fldChar w:fldCharType="separate"/>
          </w:r>
          <w:r>
            <w:rPr>
              <w:rFonts w:ascii="宋体" w:hAnsi="宋体" w:eastAsia="宋体" w:cs="宋体"/>
              <w:color w:val="auto"/>
              <w:kern w:val="0"/>
              <w:szCs w:val="22"/>
              <w:highlight w:val="none"/>
              <w:lang w:val="en-US" w:eastAsia="en-US" w:bidi="ar-SA"/>
            </w:rPr>
            <w:t>49</w:t>
          </w:r>
          <w:r>
            <w:rPr>
              <w:rFonts w:ascii="宋体" w:hAnsi="宋体" w:eastAsia="宋体" w:cs="宋体"/>
              <w:color w:val="auto"/>
              <w:kern w:val="0"/>
              <w:szCs w:val="22"/>
              <w:highlight w:val="none"/>
              <w:lang w:val="en-US" w:eastAsia="en-US" w:bidi="ar-SA"/>
            </w:rPr>
            <w:fldChar w:fldCharType="end"/>
          </w:r>
          <w:r>
            <w:rPr>
              <w:rFonts w:hint="default" w:ascii="Times New Roman" w:hAnsi="Times New Roman" w:eastAsia="方正小标宋_GBK" w:cs="Times New Roman"/>
              <w:bCs/>
              <w:color w:val="auto"/>
              <w:kern w:val="0"/>
              <w:szCs w:val="22"/>
              <w:highlight w:val="none"/>
              <w:lang w:val="zh-CN" w:eastAsia="en-US" w:bidi="ar-SA"/>
            </w:rPr>
            <w:fldChar w:fldCharType="end"/>
          </w:r>
        </w:p>
        <w:p>
          <w:pPr>
            <w:rPr>
              <w:rFonts w:hint="default" w:ascii="Times New Roman" w:hAnsi="Times New Roman" w:cs="Times New Roman"/>
              <w:color w:val="auto"/>
              <w:highlight w:val="none"/>
            </w:rPr>
          </w:pPr>
          <w:r>
            <w:rPr>
              <w:rFonts w:hint="default" w:ascii="Times New Roman" w:hAnsi="Times New Roman" w:eastAsia="方正小标宋_GBK" w:cs="Times New Roman"/>
              <w:bCs/>
              <w:color w:val="auto"/>
              <w:kern w:val="0"/>
              <w:szCs w:val="22"/>
              <w:highlight w:val="none"/>
              <w:lang w:val="zh-CN" w:eastAsia="en-US" w:bidi="ar-SA"/>
            </w:rPr>
            <w:fldChar w:fldCharType="end"/>
          </w:r>
        </w:p>
      </w:sdtContent>
    </w:sdt>
    <w:p>
      <w:pPr>
        <w:widowControl/>
        <w:rPr>
          <w:rFonts w:hint="default" w:ascii="Times New Roman" w:hAnsi="Times New Roman" w:cs="Times New Roman" w:eastAsiaTheme="minorEastAsia"/>
          <w:b/>
          <w:bCs/>
          <w:color w:val="auto"/>
          <w:sz w:val="28"/>
          <w:szCs w:val="28"/>
          <w:highlight w:val="none"/>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29194680"/>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1" w:name="_Toc13651"/>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spacing w:line="510" w:lineRule="exact"/>
        <w:jc w:val="center"/>
        <w:rPr>
          <w:rFonts w:hint="default" w:ascii="Times New Roman" w:hAnsi="Times New Roman" w:eastAsia="方正小标宋_GBK" w:cs="Times New Roman"/>
          <w:color w:val="auto"/>
          <w:sz w:val="36"/>
          <w:szCs w:val="36"/>
          <w:highlight w:val="none"/>
          <w:lang w:eastAsia="zh-CN"/>
        </w:rPr>
      </w:pPr>
    </w:p>
    <w:p>
      <w:pPr>
        <w:spacing w:line="510" w:lineRule="exact"/>
        <w:jc w:val="center"/>
        <w:rPr>
          <w:rFonts w:hint="default" w:ascii="Times New Roman" w:hAnsi="Times New Roman" w:eastAsia="方正小标宋_GBK" w:cs="Times New Roman"/>
          <w:color w:val="auto"/>
          <w:sz w:val="36"/>
          <w:szCs w:val="36"/>
          <w:highlight w:val="none"/>
          <w:lang w:val="zh-CN" w:eastAsia="zh-CN"/>
        </w:rPr>
      </w:pPr>
      <w:r>
        <w:rPr>
          <w:rFonts w:hint="default" w:ascii="Times New Roman" w:hAnsi="Times New Roman" w:eastAsia="方正小标宋_GBK" w:cs="Times New Roman"/>
          <w:color w:val="auto"/>
          <w:sz w:val="36"/>
          <w:szCs w:val="36"/>
          <w:highlight w:val="none"/>
          <w:lang w:val="zh-CN" w:eastAsia="zh-CN"/>
        </w:rPr>
        <w:t>嘉陵江梯级渠化利泽航运枢纽工程</w:t>
      </w:r>
    </w:p>
    <w:p>
      <w:pPr>
        <w:spacing w:line="510" w:lineRule="exact"/>
        <w:jc w:val="center"/>
        <w:rPr>
          <w:rFonts w:hint="default" w:ascii="Times New Roman" w:hAnsi="Times New Roman" w:eastAsia="方正小标宋_GBK" w:cs="Times New Roman"/>
          <w:color w:val="auto"/>
          <w:sz w:val="36"/>
          <w:szCs w:val="36"/>
          <w:highlight w:val="none"/>
          <w:lang w:eastAsia="zh-CN"/>
        </w:rPr>
      </w:pPr>
      <w:r>
        <w:rPr>
          <w:rFonts w:hint="default" w:ascii="Times New Roman" w:hAnsi="Times New Roman" w:eastAsia="方正小标宋_GBK" w:cs="Times New Roman"/>
          <w:color w:val="auto"/>
          <w:sz w:val="36"/>
          <w:szCs w:val="36"/>
          <w:highlight w:val="none"/>
          <w:lang w:val="zh-CN" w:eastAsia="zh-CN"/>
        </w:rPr>
        <w:t>鱼类栖息地保护规划编制（第二次）</w:t>
      </w:r>
      <w:r>
        <w:rPr>
          <w:rFonts w:hint="default" w:ascii="Times New Roman" w:hAnsi="Times New Roman" w:eastAsia="方正小标宋_GBK" w:cs="Times New Roman"/>
          <w:color w:val="auto"/>
          <w:sz w:val="36"/>
          <w:szCs w:val="36"/>
          <w:highlight w:val="none"/>
          <w:lang w:eastAsia="zh-CN"/>
        </w:rPr>
        <w:t>询价公告</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4"/>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2" w:name="_Toc375641571"/>
      <w:bookmarkStart w:id="3" w:name="_Toc3190"/>
      <w:bookmarkStart w:id="4" w:name="_Toc370126361"/>
      <w:bookmarkStart w:id="5" w:name="_Toc6230450"/>
      <w:bookmarkStart w:id="6" w:name="_Toc29194681"/>
      <w:r>
        <w:rPr>
          <w:rFonts w:hint="default" w:ascii="Times New Roman" w:hAnsi="Times New Roman" w:eastAsia="黑体" w:cs="Times New Roman"/>
          <w:b w:val="0"/>
          <w:color w:val="auto"/>
          <w:highlight w:val="none"/>
          <w:lang w:eastAsia="zh-CN"/>
        </w:rPr>
        <w:t>1.询价条件</w:t>
      </w:r>
      <w:bookmarkEnd w:id="2"/>
      <w:bookmarkEnd w:id="3"/>
      <w:bookmarkEnd w:id="4"/>
      <w:bookmarkEnd w:id="5"/>
      <w:bookmarkEnd w:id="6"/>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本项目《嘉陵江梯级渠化利泽航运枢纽工程鱼类栖息地保护规划编制（第二次）》已具备发包条件，询价人为重庆嘉陵江利泽航电开发有限公司，发包人为重庆嘉陵江利泽航电开发有限公司。根据实际工作需要，现计划对该项目《嘉陵江梯级渠化利泽航运枢纽工程鱼类栖息地保护规划编制（第二次）》采取公开询价方式确定服务单位。</w:t>
      </w:r>
    </w:p>
    <w:p>
      <w:pPr>
        <w:pStyle w:val="4"/>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7" w:name="_Toc28664"/>
      <w:bookmarkStart w:id="8" w:name="_Toc6230451"/>
      <w:bookmarkStart w:id="9" w:name="_Toc29194682"/>
      <w:r>
        <w:rPr>
          <w:rFonts w:hint="default" w:ascii="Times New Roman" w:hAnsi="Times New Roman" w:eastAsia="黑体" w:cs="Times New Roman"/>
          <w:b w:val="0"/>
          <w:color w:val="auto"/>
          <w:highlight w:val="none"/>
          <w:lang w:eastAsia="zh-CN"/>
        </w:rPr>
        <w:t>2.项目概况与询价工作范围</w:t>
      </w:r>
      <w:bookmarkEnd w:id="7"/>
      <w:bookmarkEnd w:id="8"/>
      <w:bookmarkEnd w:id="9"/>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bookmarkStart w:id="10" w:name="_Toc323734100"/>
      <w:bookmarkStart w:id="11" w:name="_Toc21092"/>
      <w:bookmarkStart w:id="12" w:name="_Toc324429695"/>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地址</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重庆市合川区大石街道利泽码头嘉陵江干流上游约3.5km处。</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2.2</w:t>
      </w:r>
      <w:r>
        <w:rPr>
          <w:rFonts w:hint="eastAsia" w:ascii="Times New Roman" w:hAnsi="Times New Roman" w:eastAsia="方正仿宋_GBK" w:cs="Times New Roman"/>
          <w:bCs/>
          <w:color w:val="auto"/>
          <w:sz w:val="32"/>
          <w:szCs w:val="32"/>
          <w:highlight w:val="none"/>
          <w:lang w:val="en-US" w:eastAsia="zh-CN"/>
        </w:rPr>
        <w:t>项目概况</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嘉陵江梯级渠化利泽航运枢纽工程位于重庆市合川区大石街道利泽码头嘉陵江干流上游约3.5km处，开发任务以航运为主、航电结合、以电促航。本工程属河床式开发，总库容6.19亿m</w:t>
      </w:r>
      <w:r>
        <w:rPr>
          <w:rFonts w:hint="eastAsia" w:ascii="Times New Roman" w:hAnsi="Times New Roman" w:eastAsia="方正仿宋_GBK" w:cs="Times New Roman"/>
          <w:bCs/>
          <w:color w:val="auto"/>
          <w:sz w:val="32"/>
          <w:szCs w:val="32"/>
          <w:highlight w:val="none"/>
          <w:vertAlign w:val="superscript"/>
          <w:lang w:val="en-US" w:eastAsia="zh-CN"/>
        </w:rPr>
        <w:t>3</w:t>
      </w:r>
      <w:r>
        <w:rPr>
          <w:rFonts w:hint="eastAsia" w:ascii="Times New Roman" w:hAnsi="Times New Roman" w:eastAsia="方正仿宋_GBK" w:cs="Times New Roman"/>
          <w:bCs/>
          <w:color w:val="auto"/>
          <w:sz w:val="32"/>
          <w:szCs w:val="32"/>
          <w:highlight w:val="none"/>
          <w:lang w:val="en-US" w:eastAsia="zh-CN"/>
        </w:rPr>
        <w:t>，水库正常蓄水位210.725m，相应库容为0.5282亿m</w:t>
      </w:r>
      <w:r>
        <w:rPr>
          <w:rFonts w:hint="eastAsia" w:ascii="Times New Roman" w:hAnsi="Times New Roman" w:eastAsia="方正仿宋_GBK" w:cs="Times New Roman"/>
          <w:bCs/>
          <w:color w:val="auto"/>
          <w:sz w:val="32"/>
          <w:szCs w:val="32"/>
          <w:highlight w:val="none"/>
          <w:vertAlign w:val="superscript"/>
          <w:lang w:val="en-US" w:eastAsia="zh-CN"/>
        </w:rPr>
        <w:t>3</w:t>
      </w:r>
      <w:r>
        <w:rPr>
          <w:rFonts w:hint="eastAsia" w:ascii="Times New Roman" w:hAnsi="Times New Roman" w:eastAsia="方正仿宋_GBK" w:cs="Times New Roman"/>
          <w:bCs/>
          <w:color w:val="auto"/>
          <w:sz w:val="32"/>
          <w:szCs w:val="32"/>
          <w:highlight w:val="none"/>
          <w:lang w:val="en-US" w:eastAsia="zh-CN"/>
        </w:rPr>
        <w:t>。航道和船闸为Ⅳ级，可通航500t级船舶。电站总装机容量74MW，单台装机容量为18.5MW。根据《防洪标准》（GB50201-2014）、《水利水电工程等级划分及洪水标准》（SL252-2017），本工程以总库容确定工程等别为Ⅱ等，工程规模为大（2）型。工程总投资39.62亿元。</w:t>
      </w:r>
    </w:p>
    <w:p>
      <w:pPr>
        <w:pStyle w:val="43"/>
        <w:keepNext w:val="0"/>
        <w:keepLines w:val="0"/>
        <w:pageBreakBefore w:val="0"/>
        <w:widowControl w:val="0"/>
        <w:kinsoku/>
        <w:wordWrap/>
        <w:overflowPunct/>
        <w:topLinePunct w:val="0"/>
        <w:autoSpaceDE/>
        <w:autoSpaceDN/>
        <w:bidi w:val="0"/>
        <w:adjustRightInd/>
        <w:snapToGrid/>
        <w:ind w:left="0" w:leftChars="0" w:firstLine="420"/>
        <w:jc w:val="left"/>
        <w:textAlignment w:val="auto"/>
        <w:rPr>
          <w:rFonts w:hint="eastAsia" w:ascii="Times New Roman" w:hAnsi="Times New Roman" w:eastAsia="方正仿宋_GBK" w:cs="Times New Roman"/>
          <w:bCs/>
          <w:color w:val="auto"/>
          <w:kern w:val="0"/>
          <w:sz w:val="32"/>
          <w:szCs w:val="32"/>
          <w:highlight w:val="none"/>
          <w:lang w:val="en-US" w:eastAsia="zh-CN" w:bidi="ar-SA"/>
        </w:rPr>
      </w:pPr>
      <w:r>
        <w:rPr>
          <w:rFonts w:hint="eastAsia" w:ascii="Times New Roman" w:hAnsi="Times New Roman" w:eastAsia="方正仿宋_GBK" w:cs="Times New Roman"/>
          <w:bCs/>
          <w:color w:val="auto"/>
          <w:kern w:val="0"/>
          <w:sz w:val="32"/>
          <w:szCs w:val="32"/>
          <w:highlight w:val="none"/>
          <w:lang w:val="en-US" w:eastAsia="zh-CN" w:bidi="ar-SA"/>
        </w:rPr>
        <w:t>根据项目《环境影响评价报告书》及生态环境部的批复等文件要求，通过在渠江建设替代生境、建立相关保护区协管体系等水生生态保护措施，将嘉陵江干流草街枢纽坝址以下68公里河段、支流渠江重庆段74公里河段划为鱼类栖息地。现拟计划对该项目鱼类栖息地保护规划编制报告采取公开询价方式确定编制单位。</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
          <w:bCs w:val="0"/>
          <w:color w:val="auto"/>
          <w:sz w:val="32"/>
          <w:szCs w:val="32"/>
          <w:highlight w:val="none"/>
          <w:u w:val="none"/>
          <w:lang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w:t>
      </w:r>
      <w:r>
        <w:rPr>
          <w:rFonts w:hint="eastAsia" w:ascii="Times New Roman" w:hAnsi="Times New Roman" w:eastAsia="方正仿宋_GBK" w:cs="Times New Roman"/>
          <w:b/>
          <w:bCs w:val="0"/>
          <w:color w:val="auto"/>
          <w:sz w:val="32"/>
          <w:szCs w:val="32"/>
          <w:highlight w:val="none"/>
          <w:lang w:val="en-US" w:eastAsia="zh-CN"/>
        </w:rPr>
        <w:t>金额</w:t>
      </w:r>
      <w:r>
        <w:rPr>
          <w:rFonts w:hint="default" w:ascii="Times New Roman" w:hAnsi="Times New Roman" w:eastAsia="方正仿宋_GBK" w:cs="Times New Roman"/>
          <w:b/>
          <w:bCs w:val="0"/>
          <w:color w:val="auto"/>
          <w:sz w:val="32"/>
          <w:szCs w:val="32"/>
          <w:highlight w:val="none"/>
          <w:lang w:eastAsia="zh-CN"/>
        </w:rPr>
        <w:t>：</w:t>
      </w:r>
      <w:r>
        <w:rPr>
          <w:rFonts w:hint="default" w:ascii="Times New Roman" w:hAnsi="Times New Roman" w:eastAsia="方正仿宋_GBK" w:cs="Times New Roman"/>
          <w:b/>
          <w:bCs w:val="0"/>
          <w:color w:val="auto"/>
          <w:sz w:val="32"/>
          <w:szCs w:val="32"/>
          <w:highlight w:val="none"/>
          <w:lang w:val="en-US" w:eastAsia="zh-CN"/>
        </w:rPr>
        <w:t>47.34</w:t>
      </w:r>
      <w:r>
        <w:rPr>
          <w:rFonts w:hint="eastAsia" w:ascii="Times New Roman" w:hAnsi="Times New Roman" w:eastAsia="方正仿宋_GBK" w:cs="Times New Roman"/>
          <w:b/>
          <w:bCs w:val="0"/>
          <w:color w:val="auto"/>
          <w:sz w:val="32"/>
          <w:szCs w:val="32"/>
          <w:highlight w:val="none"/>
          <w:u w:val="none"/>
          <w:lang w:val="en-US" w:eastAsia="zh-CN"/>
        </w:rPr>
        <w:t>万</w:t>
      </w:r>
      <w:r>
        <w:rPr>
          <w:rFonts w:hint="default" w:ascii="Times New Roman" w:hAnsi="Times New Roman" w:eastAsia="方正仿宋_GBK" w:cs="Times New Roman"/>
          <w:b/>
          <w:bCs w:val="0"/>
          <w:color w:val="auto"/>
          <w:sz w:val="32"/>
          <w:szCs w:val="32"/>
          <w:highlight w:val="none"/>
          <w:u w:val="none"/>
          <w:lang w:eastAsia="zh-CN"/>
        </w:rPr>
        <w:t>元。</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zh-CN" w:eastAsia="zh-CN"/>
        </w:rPr>
        <w:t>报价人的报价不得高于最高限价，否则其报价文件将被否决。</w:t>
      </w:r>
      <w:r>
        <w:rPr>
          <w:rFonts w:hint="eastAsia" w:ascii="Times New Roman" w:hAnsi="Times New Roman" w:eastAsia="方正仿宋_GBK" w:cs="Times New Roman"/>
          <w:bCs/>
          <w:color w:val="auto"/>
          <w:sz w:val="32"/>
          <w:szCs w:val="32"/>
          <w:highlight w:val="none"/>
          <w:lang w:val="zh-CN" w:eastAsia="zh-CN"/>
        </w:rPr>
        <w:t>本合同拟采用总价包干形式。包含规划报告编制、现状调查、监测、资料收集、评审、会务等费用以及管理费、税费、保险等相关费用。</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嘉陵江干流草街枢纽坝址以下68公里河段、支流渠江重庆段74公里河段鱼类栖息地保护规划报告的编制审查和相关服务工作。</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2.6工</w:t>
      </w:r>
      <w:r>
        <w:rPr>
          <w:rFonts w:hint="default" w:ascii="Times New Roman" w:hAnsi="Times New Roman" w:eastAsia="方正仿宋_GBK" w:cs="Times New Roman"/>
          <w:bCs/>
          <w:color w:val="auto"/>
          <w:sz w:val="32"/>
          <w:szCs w:val="32"/>
          <w:highlight w:val="none"/>
          <w:lang w:eastAsia="zh-CN"/>
        </w:rPr>
        <w:t>期</w:t>
      </w:r>
      <w:r>
        <w:rPr>
          <w:rFonts w:hint="eastAsia" w:ascii="Times New Roman" w:hAnsi="Times New Roman" w:eastAsia="方正仿宋_GBK" w:cs="Times New Roman"/>
          <w:bCs/>
          <w:color w:val="auto"/>
          <w:sz w:val="32"/>
          <w:szCs w:val="32"/>
          <w:highlight w:val="none"/>
          <w:lang w:val="en-US" w:eastAsia="zh-CN"/>
        </w:rPr>
        <w:t>(交货期/服务期）</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交货期：2022年6月15日</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以上为暂定时间。</w:t>
      </w:r>
    </w:p>
    <w:p>
      <w:pPr>
        <w:pStyle w:val="4"/>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13" w:name="_Toc6230452"/>
      <w:bookmarkStart w:id="14" w:name="_Toc29194683"/>
      <w:bookmarkStart w:id="15" w:name="_Toc1632"/>
      <w:r>
        <w:rPr>
          <w:rFonts w:hint="default" w:ascii="Times New Roman" w:hAnsi="Times New Roman" w:eastAsia="黑体" w:cs="Times New Roman"/>
          <w:b w:val="0"/>
          <w:color w:val="auto"/>
          <w:highlight w:val="none"/>
          <w:lang w:eastAsia="zh-CN"/>
        </w:rPr>
        <w:t>3.报价人资格要求</w:t>
      </w:r>
      <w:bookmarkEnd w:id="10"/>
      <w:bookmarkEnd w:id="11"/>
      <w:bookmarkEnd w:id="12"/>
      <w:bookmarkEnd w:id="13"/>
      <w:bookmarkEnd w:id="14"/>
      <w:bookmarkEnd w:id="15"/>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3.1 投标人须</w:t>
      </w:r>
      <w:r>
        <w:rPr>
          <w:rFonts w:hint="default" w:ascii="Times New Roman" w:hAnsi="Times New Roman" w:eastAsia="方正仿宋_GBK" w:cs="Times New Roman"/>
          <w:bCs/>
          <w:color w:val="auto"/>
          <w:sz w:val="32"/>
          <w:szCs w:val="32"/>
          <w:highlight w:val="none"/>
          <w:lang w:val="en-US" w:eastAsia="zh-CN"/>
        </w:rPr>
        <w:t>具有相应的</w:t>
      </w:r>
      <w:r>
        <w:rPr>
          <w:rFonts w:hint="eastAsia" w:ascii="Times New Roman" w:hAnsi="Times New Roman" w:eastAsia="方正仿宋_GBK" w:cs="Times New Roman"/>
          <w:bCs/>
          <w:color w:val="auto"/>
          <w:sz w:val="32"/>
          <w:szCs w:val="32"/>
          <w:highlight w:val="none"/>
          <w:lang w:val="en-US" w:eastAsia="zh-CN"/>
        </w:rPr>
        <w:t>报告编制</w:t>
      </w:r>
      <w:r>
        <w:rPr>
          <w:rFonts w:hint="default" w:ascii="Times New Roman" w:hAnsi="Times New Roman" w:eastAsia="方正仿宋_GBK" w:cs="Times New Roman"/>
          <w:bCs/>
          <w:color w:val="auto"/>
          <w:sz w:val="32"/>
          <w:szCs w:val="32"/>
          <w:highlight w:val="none"/>
          <w:lang w:val="en-US" w:eastAsia="zh-CN"/>
        </w:rPr>
        <w:t>能力和足够技术支持的独立法人资格的企事业单位或有关高等院校、科研院所等。</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3.2 报价人自2016年1月1日至报价截止日（以合同签订时间为准），至少有一个类似报告编制业绩。</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w:t>
      </w:r>
      <w:r>
        <w:rPr>
          <w:rFonts w:hint="eastAsia" w:ascii="Times New Roman" w:hAnsi="Times New Roman" w:eastAsia="方正仿宋_GBK" w:cs="Times New Roman"/>
          <w:bCs/>
          <w:color w:val="auto"/>
          <w:sz w:val="32"/>
          <w:szCs w:val="32"/>
          <w:highlight w:val="none"/>
          <w:lang w:val="en-US" w:eastAsia="zh-CN"/>
        </w:rPr>
        <w:t>3报价人没有被列入黑名单。</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3.4</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w:t>
      </w:r>
      <w:r>
        <w:rPr>
          <w:rFonts w:hint="default" w:ascii="Times New Roman" w:hAnsi="Times New Roman" w:eastAsia="方正仿宋_GBK" w:cs="Times New Roman"/>
          <w:bCs/>
          <w:color w:val="auto"/>
          <w:sz w:val="32"/>
          <w:szCs w:val="32"/>
          <w:highlight w:val="none"/>
          <w:lang w:eastAsia="zh-CN"/>
        </w:rPr>
        <w:t>接受联合体询价。</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p>
    <w:p>
      <w:pPr>
        <w:pStyle w:val="4"/>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16" w:name="_Toc19788"/>
      <w:bookmarkStart w:id="17" w:name="_Toc13014"/>
      <w:bookmarkStart w:id="18" w:name="_Toc323734101"/>
      <w:bookmarkStart w:id="19" w:name="_Toc6230453"/>
      <w:bookmarkStart w:id="20" w:name="_Toc29194684"/>
      <w:bookmarkStart w:id="21" w:name="_Toc324429696"/>
      <w:r>
        <w:rPr>
          <w:rFonts w:hint="default" w:ascii="Times New Roman" w:hAnsi="Times New Roman" w:eastAsia="黑体" w:cs="Times New Roman"/>
          <w:b w:val="0"/>
          <w:color w:val="auto"/>
          <w:highlight w:val="none"/>
          <w:lang w:eastAsia="zh-CN"/>
        </w:rPr>
        <w:t>4.报价文件的递交</w:t>
      </w:r>
      <w:bookmarkEnd w:id="16"/>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default" w:ascii="Times New Roman" w:hAnsi="Times New Roman" w:eastAsia="方正仿宋_GBK" w:cs="Times New Roman"/>
          <w:bCs/>
          <w:color w:val="auto"/>
          <w:sz w:val="32"/>
          <w:szCs w:val="32"/>
          <w:highlight w:val="none"/>
          <w:u w:val="single"/>
          <w:lang w:val="en-US" w:eastAsia="zh-CN"/>
        </w:rPr>
        <w:t>重庆市合川区</w:t>
      </w:r>
      <w:r>
        <w:rPr>
          <w:rFonts w:hint="eastAsia" w:ascii="Times New Roman" w:hAnsi="Times New Roman" w:eastAsia="方正仿宋_GBK" w:cs="Times New Roman"/>
          <w:bCs/>
          <w:color w:val="auto"/>
          <w:sz w:val="32"/>
          <w:szCs w:val="32"/>
          <w:highlight w:val="none"/>
          <w:u w:val="single"/>
          <w:lang w:val="en-US" w:eastAsia="zh-CN"/>
        </w:rPr>
        <w:t>大石街道水口庙</w:t>
      </w:r>
      <w:r>
        <w:rPr>
          <w:rFonts w:hint="default" w:ascii="Times New Roman" w:hAnsi="Times New Roman" w:eastAsia="方正仿宋_GBK" w:cs="Times New Roman"/>
          <w:bCs/>
          <w:color w:val="auto"/>
          <w:sz w:val="32"/>
          <w:szCs w:val="32"/>
          <w:highlight w:val="none"/>
          <w:u w:val="single"/>
          <w:lang w:val="en-US" w:eastAsia="zh-CN"/>
        </w:rPr>
        <w:t>利泽公司</w:t>
      </w:r>
      <w:r>
        <w:rPr>
          <w:rFonts w:hint="eastAsia" w:ascii="Times New Roman" w:hAnsi="Times New Roman" w:eastAsia="方正仿宋_GBK" w:cs="Times New Roman"/>
          <w:bCs/>
          <w:color w:val="auto"/>
          <w:sz w:val="32"/>
          <w:szCs w:val="32"/>
          <w:highlight w:val="none"/>
          <w:u w:val="single"/>
          <w:lang w:val="en-US" w:eastAsia="zh-CN"/>
        </w:rPr>
        <w:t>合同管理部（可邮寄，邮寄地址：</w:t>
      </w:r>
      <w:r>
        <w:rPr>
          <w:rFonts w:hint="default" w:ascii="Times New Roman" w:hAnsi="Times New Roman" w:eastAsia="方正仿宋_GBK" w:cs="Times New Roman"/>
          <w:bCs/>
          <w:color w:val="auto"/>
          <w:sz w:val="32"/>
          <w:szCs w:val="32"/>
          <w:highlight w:val="none"/>
          <w:u w:val="single"/>
          <w:lang w:val="en-US" w:eastAsia="zh-CN"/>
        </w:rPr>
        <w:t>重庆市合川区</w:t>
      </w:r>
      <w:r>
        <w:rPr>
          <w:rFonts w:hint="eastAsia" w:ascii="Times New Roman" w:hAnsi="Times New Roman" w:eastAsia="方正仿宋_GBK" w:cs="Times New Roman"/>
          <w:bCs/>
          <w:color w:val="auto"/>
          <w:sz w:val="32"/>
          <w:szCs w:val="32"/>
          <w:highlight w:val="none"/>
          <w:u w:val="single"/>
          <w:lang w:val="en-US" w:eastAsia="zh-CN"/>
        </w:rPr>
        <w:t>大石街道水口庙</w:t>
      </w:r>
      <w:r>
        <w:rPr>
          <w:rFonts w:hint="default" w:ascii="Times New Roman" w:hAnsi="Times New Roman" w:eastAsia="方正仿宋_GBK" w:cs="Times New Roman"/>
          <w:bCs/>
          <w:color w:val="auto"/>
          <w:sz w:val="32"/>
          <w:szCs w:val="32"/>
          <w:highlight w:val="none"/>
          <w:u w:val="single"/>
          <w:lang w:val="en-US" w:eastAsia="zh-CN"/>
        </w:rPr>
        <w:t>利泽公司</w:t>
      </w:r>
      <w:r>
        <w:rPr>
          <w:rFonts w:hint="eastAsia" w:ascii="Times New Roman" w:hAnsi="Times New Roman" w:eastAsia="方正仿宋_GBK" w:cs="Times New Roman"/>
          <w:bCs/>
          <w:color w:val="auto"/>
          <w:sz w:val="32"/>
          <w:szCs w:val="32"/>
          <w:highlight w:val="none"/>
          <w:u w:val="single"/>
          <w:lang w:val="en-US" w:eastAsia="zh-CN"/>
        </w:rPr>
        <w:t>，收件人：安老师，</w:t>
      </w:r>
      <w:r>
        <w:rPr>
          <w:rFonts w:hint="default" w:ascii="Times New Roman" w:hAnsi="Times New Roman" w:eastAsia="方正仿宋_GBK" w:cs="Times New Roman"/>
          <w:bCs/>
          <w:color w:val="auto"/>
          <w:sz w:val="32"/>
          <w:szCs w:val="32"/>
          <w:highlight w:val="none"/>
          <w:u w:val="single"/>
          <w:lang w:eastAsia="zh-CN"/>
        </w:rPr>
        <w:t>电  话：</w:t>
      </w:r>
      <w:r>
        <w:rPr>
          <w:rFonts w:hint="eastAsia" w:ascii="Times New Roman" w:hAnsi="Times New Roman" w:eastAsia="方正仿宋_GBK" w:cs="Times New Roman"/>
          <w:bCs/>
          <w:color w:val="auto"/>
          <w:sz w:val="32"/>
          <w:szCs w:val="32"/>
          <w:highlight w:val="none"/>
          <w:u w:val="single"/>
          <w:lang w:val="en-US" w:eastAsia="zh-CN"/>
        </w:rPr>
        <w:t>13627664605）</w:t>
      </w:r>
      <w:r>
        <w:rPr>
          <w:rFonts w:hint="default" w:ascii="Times New Roman" w:hAnsi="Times New Roman" w:eastAsia="方正仿宋_GBK" w:cs="Times New Roman"/>
          <w:bCs/>
          <w:color w:val="auto"/>
          <w:sz w:val="32"/>
          <w:szCs w:val="32"/>
          <w:highlight w:val="none"/>
          <w:lang w:eastAsia="zh-CN"/>
        </w:rPr>
        <w:t>。</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w:t>
      </w:r>
      <w:r>
        <w:rPr>
          <w:rFonts w:hint="eastAsia" w:ascii="Times New Roman" w:hAnsi="Times New Roman" w:eastAsia="方正仿宋_GBK" w:cs="Times New Roman"/>
          <w:bCs/>
          <w:color w:val="auto"/>
          <w:sz w:val="32"/>
          <w:szCs w:val="32"/>
          <w:highlight w:val="none"/>
          <w:lang w:eastAsia="zh-CN"/>
        </w:rPr>
        <w:t>公告发布之日起第</w:t>
      </w:r>
      <w:r>
        <w:rPr>
          <w:rFonts w:hint="eastAsia" w:ascii="Times New Roman" w:hAnsi="Times New Roman" w:eastAsia="方正仿宋_GBK" w:cs="Times New Roman"/>
          <w:bCs/>
          <w:color w:val="auto"/>
          <w:sz w:val="32"/>
          <w:szCs w:val="32"/>
          <w:highlight w:val="none"/>
          <w:lang w:val="en-US" w:eastAsia="zh-CN"/>
        </w:rPr>
        <w:t>5</w:t>
      </w:r>
      <w:r>
        <w:rPr>
          <w:rFonts w:hint="eastAsia" w:ascii="Times New Roman" w:hAnsi="Times New Roman" w:eastAsia="方正仿宋_GBK" w:cs="Times New Roman"/>
          <w:bCs/>
          <w:color w:val="auto"/>
          <w:sz w:val="32"/>
          <w:szCs w:val="32"/>
          <w:highlight w:val="none"/>
          <w:lang w:eastAsia="zh-CN"/>
        </w:rPr>
        <w:t>个工作日（含发布当日）</w:t>
      </w:r>
      <w:r>
        <w:rPr>
          <w:rFonts w:hint="eastAsia" w:ascii="Times New Roman" w:hAnsi="Times New Roman" w:eastAsia="方正仿宋_GBK" w:cs="Times New Roman"/>
          <w:bCs/>
          <w:color w:val="auto"/>
          <w:sz w:val="32"/>
          <w:szCs w:val="32"/>
          <w:highlight w:val="none"/>
          <w:lang w:val="en-US" w:eastAsia="zh-CN"/>
        </w:rPr>
        <w:t>18:00截止</w:t>
      </w:r>
      <w:r>
        <w:rPr>
          <w:rFonts w:hint="default" w:ascii="Times New Roman" w:hAnsi="Times New Roman" w:eastAsia="方正仿宋_GBK" w:cs="Times New Roman"/>
          <w:bCs/>
          <w:color w:val="auto"/>
          <w:sz w:val="32"/>
          <w:szCs w:val="32"/>
          <w:highlight w:val="none"/>
          <w:lang w:eastAsia="zh-CN"/>
        </w:rPr>
        <w:t>（北京时间）。</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4.5其他要求：（通过合格供方库抽取的单位）纸质件按递交要求送达，同时还需在重庆高速公路集团有限公司招投标管理平台同步进行网上报价，满足重庆高速公路集团有限公司相关规定、程序和要求。</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p>
    <w:p>
      <w:pPr>
        <w:pStyle w:val="4"/>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22" w:name="_Toc13131"/>
      <w:r>
        <w:rPr>
          <w:rFonts w:hint="default" w:ascii="Times New Roman" w:hAnsi="Times New Roman" w:eastAsia="黑体" w:cs="Times New Roman"/>
          <w:b w:val="0"/>
          <w:color w:val="auto"/>
          <w:highlight w:val="none"/>
          <w:lang w:eastAsia="zh-CN"/>
        </w:rPr>
        <w:t>5.发布公告的媒介</w:t>
      </w:r>
      <w:bookmarkEnd w:id="22"/>
    </w:p>
    <w:p>
      <w:pPr>
        <w:keepNext w:val="0"/>
        <w:keepLines w:val="0"/>
        <w:pageBreakBefore w:val="0"/>
        <w:kinsoku/>
        <w:wordWrap w:val="0"/>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5.1本次询价公告及结果公示将在重庆高速公路集团官方网站（http://www.cegc.com.cn/gw/newsInfoMenu.html?id=42&amp;key=2）、重庆高速公路集团有限公司招投标管理平台（http://43.240.249.108:8088/PMS/）上发布。</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p>
    <w:p>
      <w:pPr>
        <w:pStyle w:val="4"/>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23" w:name="_Toc1399"/>
      <w:r>
        <w:rPr>
          <w:rFonts w:hint="default" w:ascii="Times New Roman" w:hAnsi="Times New Roman" w:eastAsia="黑体" w:cs="Times New Roman"/>
          <w:b w:val="0"/>
          <w:color w:val="auto"/>
          <w:highlight w:val="none"/>
          <w:lang w:eastAsia="zh-CN"/>
        </w:rPr>
        <w:t>6.联系方式</w:t>
      </w:r>
      <w:bookmarkEnd w:id="23"/>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val="en-US" w:eastAsia="zh-CN"/>
        </w:rPr>
        <w:t>重庆嘉陵江利泽航电开发有限</w:t>
      </w:r>
      <w:r>
        <w:rPr>
          <w:rFonts w:hint="default" w:ascii="Times New Roman" w:hAnsi="Times New Roman" w:eastAsia="方正仿宋_GBK" w:cs="Times New Roman"/>
          <w:bCs/>
          <w:color w:val="auto"/>
          <w:sz w:val="32"/>
          <w:szCs w:val="32"/>
          <w:highlight w:val="none"/>
          <w:lang w:eastAsia="zh-CN"/>
        </w:rPr>
        <w:t>公司</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重庆市合川区大石街道水口庙利泽公司</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安老师</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13627664605</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p>
    <w:p>
      <w:pPr>
        <w:pStyle w:val="4"/>
        <w:keepNext w:val="0"/>
        <w:keepLines w:val="0"/>
        <w:pageBreakBefore w:val="0"/>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val="en-US" w:eastAsia="zh-CN"/>
        </w:rPr>
      </w:pPr>
      <w:bookmarkStart w:id="24" w:name="_Toc9514"/>
      <w:r>
        <w:rPr>
          <w:rFonts w:hint="default" w:ascii="Times New Roman" w:hAnsi="Times New Roman" w:eastAsia="黑体" w:cs="Times New Roman"/>
          <w:b w:val="0"/>
          <w:color w:val="auto"/>
          <w:highlight w:val="none"/>
          <w:lang w:val="en-US" w:eastAsia="zh-CN"/>
        </w:rPr>
        <w:t>7.</w:t>
      </w:r>
      <w:bookmarkStart w:id="25" w:name="_Toc19495"/>
      <w:bookmarkStart w:id="26" w:name="_Toc8719"/>
      <w:r>
        <w:rPr>
          <w:rFonts w:hint="default" w:ascii="Times New Roman" w:hAnsi="Times New Roman" w:eastAsia="黑体" w:cs="Times New Roman"/>
          <w:b w:val="0"/>
          <w:color w:val="auto"/>
          <w:highlight w:val="none"/>
          <w:lang w:val="en-US" w:eastAsia="zh-CN"/>
        </w:rPr>
        <w:t>监督电话：</w:t>
      </w:r>
      <w:bookmarkEnd w:id="25"/>
      <w:r>
        <w:rPr>
          <w:rFonts w:hint="default" w:ascii="Times New Roman" w:hAnsi="Times New Roman" w:eastAsia="黑体" w:cs="Times New Roman"/>
          <w:b w:val="0"/>
          <w:color w:val="auto"/>
          <w:highlight w:val="none"/>
          <w:lang w:val="en-US" w:eastAsia="zh-CN"/>
        </w:rPr>
        <w:t>023-42576662</w:t>
      </w:r>
      <w:bookmarkEnd w:id="24"/>
      <w:bookmarkEnd w:id="26"/>
    </w:p>
    <w:p>
      <w:pPr>
        <w:keepNext w:val="0"/>
        <w:keepLines w:val="0"/>
        <w:pageBreakBefore w:val="0"/>
        <w:widowControl/>
        <w:kinsoku/>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510" w:lineRule="exact"/>
        <w:ind w:left="100" w:leftChars="0" w:right="113" w:rightChars="0" w:firstLine="0" w:firstLineChars="0"/>
        <w:jc w:val="left"/>
        <w:textAlignment w:val="auto"/>
        <w:outlineLvl w:val="9"/>
        <w:rPr>
          <w:rFonts w:hint="default" w:ascii="Times New Roman" w:hAnsi="Times New Roman" w:cs="Times New Roman" w:eastAsiaTheme="minorEastAsia"/>
          <w:b/>
          <w:bCs/>
          <w:color w:val="auto"/>
          <w:sz w:val="24"/>
          <w:szCs w:val="21"/>
          <w:highlight w:val="none"/>
          <w:lang w:eastAsia="zh-CN"/>
        </w:rPr>
      </w:pP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27" w:name="_Toc23392"/>
      <w:r>
        <w:rPr>
          <w:rFonts w:hint="default" w:ascii="Times New Roman" w:hAnsi="Times New Roman" w:eastAsia="方正小标宋_GBK" w:cs="Times New Roman"/>
          <w:bCs/>
          <w:color w:val="auto"/>
          <w:sz w:val="44"/>
          <w:szCs w:val="44"/>
          <w:highlight w:val="none"/>
          <w:lang w:val="zh-CN" w:eastAsia="zh-CN"/>
        </w:rPr>
        <w:t>第二章 报价文件要求与评审办法</w:t>
      </w:r>
      <w:bookmarkEnd w:id="27"/>
    </w:p>
    <w:p>
      <w:pPr>
        <w:keepNext w:val="0"/>
        <w:keepLines w:val="0"/>
        <w:pageBreakBefore w:val="0"/>
        <w:widowControl w:val="0"/>
        <w:kinsoku/>
        <w:wordWrap/>
        <w:overflowPunct/>
        <w:topLinePunct w:val="0"/>
        <w:autoSpaceDE/>
        <w:autoSpaceDN/>
        <w:bidi w:val="0"/>
        <w:adjustRightInd/>
        <w:snapToGrid/>
        <w:spacing w:line="500" w:lineRule="exact"/>
        <w:ind w:left="100" w:leftChars="0" w:right="113" w:rightChars="0" w:firstLine="0" w:firstLineChars="0"/>
        <w:jc w:val="left"/>
        <w:textAlignment w:val="auto"/>
        <w:outlineLvl w:val="9"/>
        <w:rPr>
          <w:rFonts w:hint="default" w:ascii="Times New Roman" w:hAnsi="Times New Roman" w:eastAsia="黑体" w:cs="Times New Roman"/>
          <w:b w:val="0"/>
          <w:color w:val="auto"/>
          <w:highlight w:val="none"/>
          <w:lang w:eastAsia="zh-CN"/>
        </w:rPr>
      </w:pPr>
    </w:p>
    <w:p>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28" w:name="_Toc12542"/>
      <w:r>
        <w:rPr>
          <w:rFonts w:hint="default" w:ascii="Times New Roman" w:hAnsi="Times New Roman" w:eastAsia="黑体" w:cs="Times New Roman"/>
          <w:b w:val="0"/>
          <w:color w:val="auto"/>
          <w:highlight w:val="none"/>
          <w:lang w:eastAsia="zh-CN"/>
        </w:rPr>
        <w:t>1.报价文件要求</w:t>
      </w:r>
      <w:bookmarkEnd w:id="28"/>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zh-CN"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eastAsia" w:ascii="Times New Roman" w:hAnsi="Times New Roman" w:eastAsia="方正仿宋_GBK" w:cs="Times New Roman"/>
          <w:bCs/>
          <w:color w:val="auto"/>
          <w:sz w:val="32"/>
          <w:szCs w:val="32"/>
          <w:highlight w:val="none"/>
          <w:u w:val="single"/>
          <w:lang w:val="en-US" w:eastAsia="zh-CN"/>
        </w:rPr>
        <w:t xml:space="preserve"> 肆拾柒万叁仟肆佰元整 </w:t>
      </w:r>
      <w:r>
        <w:rPr>
          <w:rFonts w:hint="default" w:ascii="Times New Roman" w:hAnsi="Times New Roman" w:eastAsia="方正仿宋_GBK" w:cs="Times New Roman"/>
          <w:bCs/>
          <w:color w:val="auto"/>
          <w:sz w:val="32"/>
          <w:szCs w:val="32"/>
          <w:highlight w:val="none"/>
          <w:lang w:eastAsia="zh-CN"/>
        </w:rPr>
        <w:t>元整（￥</w:t>
      </w:r>
      <w:r>
        <w:rPr>
          <w:rFonts w:hint="default" w:ascii="Times New Roman" w:hAnsi="Times New Roman" w:eastAsia="方正仿宋_GBK" w:cs="Times New Roman"/>
          <w:bCs/>
          <w:color w:val="auto"/>
          <w:sz w:val="32"/>
          <w:szCs w:val="32"/>
          <w:highlight w:val="none"/>
          <w:u w:val="single"/>
          <w:lang w:val="en-US" w:eastAsia="zh-CN"/>
        </w:rPr>
        <w:t>47.34</w:t>
      </w:r>
      <w:r>
        <w:rPr>
          <w:rFonts w:hint="default" w:ascii="Times New Roman" w:hAnsi="Times New Roman" w:eastAsia="方正仿宋_GBK" w:cs="Times New Roman"/>
          <w:bCs/>
          <w:color w:val="auto"/>
          <w:sz w:val="32"/>
          <w:szCs w:val="32"/>
          <w:highlight w:val="none"/>
          <w:lang w:eastAsia="zh-CN"/>
        </w:rPr>
        <w:t>万元）。报价人的报价不得高于最高限价，否则其报价文件将被否决。</w:t>
      </w:r>
      <w:r>
        <w:rPr>
          <w:rFonts w:hint="default" w:ascii="Times New Roman" w:hAnsi="Times New Roman" w:eastAsia="方正仿宋_GBK" w:cs="Times New Roman"/>
          <w:bCs/>
          <w:color w:val="auto"/>
          <w:sz w:val="32"/>
          <w:szCs w:val="32"/>
          <w:highlight w:val="none"/>
          <w:lang w:val="zh-CN" w:eastAsia="zh-CN"/>
        </w:rPr>
        <w:t>包含规划报告编制、现状调查、监测、资料收集、评审、会务等费用以及管理费、税费、保险等相关费用。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1.2报价文件内容格式详见第</w:t>
      </w:r>
      <w:r>
        <w:rPr>
          <w:rFonts w:hint="eastAsia" w:ascii="Times New Roman" w:hAnsi="Times New Roman" w:eastAsia="方正仿宋_GBK" w:cs="Times New Roman"/>
          <w:bCs/>
          <w:color w:val="auto"/>
          <w:sz w:val="32"/>
          <w:szCs w:val="32"/>
          <w:highlight w:val="none"/>
          <w:lang w:eastAsia="zh-CN"/>
        </w:rPr>
        <w:t>三</w:t>
      </w:r>
      <w:r>
        <w:rPr>
          <w:rFonts w:hint="default" w:ascii="Times New Roman" w:hAnsi="Times New Roman" w:eastAsia="方正仿宋_GBK" w:cs="Times New Roman"/>
          <w:bCs/>
          <w:color w:val="auto"/>
          <w:sz w:val="32"/>
          <w:szCs w:val="32"/>
          <w:highlight w:val="none"/>
          <w:lang w:eastAsia="zh-CN"/>
        </w:rPr>
        <w:t>章格式要求；装订采用A4纸幅面，不得采用活页夹等可随时拆换的方式装订，目录、页码齐全，正副本分开装订，封面注明正副本字样。否则其报价文件将被否决。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1.3报价文件正本1份，副本</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eastAsia="zh-CN"/>
        </w:rPr>
        <w:t>份，副本可以为正本的复印件。当副本与正本不一致时，以正本文件为准。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u w:val="none"/>
          <w:lang w:eastAsia="zh-CN"/>
        </w:rPr>
      </w:pPr>
      <w:r>
        <w:rPr>
          <w:rFonts w:hint="default" w:ascii="Times New Roman" w:hAnsi="Times New Roman" w:eastAsia="方正仿宋_GBK" w:cs="Times New Roman"/>
          <w:bCs/>
          <w:color w:val="auto"/>
          <w:sz w:val="32"/>
          <w:szCs w:val="32"/>
          <w:highlight w:val="none"/>
          <w:lang w:eastAsia="zh-CN"/>
        </w:rPr>
        <w:t>1.4报价文件正副本一并装入一个封套中，密封完好并在封口处加盖报价人单位公章，否则其报价文件将被否决。封套上应注明：</w:t>
      </w:r>
      <w:r>
        <w:rPr>
          <w:rFonts w:hint="eastAsia" w:ascii="Times New Roman" w:hAnsi="Times New Roman" w:eastAsia="方正仿宋_GBK" w:cs="Times New Roman"/>
          <w:bCs/>
          <w:color w:val="auto"/>
          <w:sz w:val="32"/>
          <w:szCs w:val="32"/>
          <w:highlight w:val="none"/>
          <w:u w:val="single"/>
          <w:lang w:val="zh-CN" w:eastAsia="zh-CN"/>
        </w:rPr>
        <w:t>嘉陵江梯级渠化利泽航运枢纽工程鱼类栖息地保护规划编制（第二次）</w:t>
      </w:r>
      <w:r>
        <w:rPr>
          <w:rFonts w:hint="default" w:ascii="Times New Roman" w:hAnsi="Times New Roman" w:eastAsia="方正仿宋_GBK" w:cs="Times New Roman"/>
          <w:bCs/>
          <w:color w:val="auto"/>
          <w:sz w:val="32"/>
          <w:szCs w:val="32"/>
          <w:highlight w:val="none"/>
          <w:u w:val="single"/>
          <w:lang w:eastAsia="zh-CN"/>
        </w:rPr>
        <w:t>，报价文件在</w:t>
      </w:r>
      <w:r>
        <w:rPr>
          <w:rFonts w:hint="eastAsia" w:ascii="Times New Roman" w:hAnsi="Times New Roman" w:eastAsia="方正仿宋_GBK" w:cs="Times New Roman"/>
          <w:bCs/>
          <w:color w:val="auto"/>
          <w:sz w:val="32"/>
          <w:szCs w:val="32"/>
          <w:highlight w:val="none"/>
          <w:u w:val="single"/>
          <w:lang w:eastAsia="zh-CN"/>
        </w:rPr>
        <w:t>投标截止时间前不得开启</w:t>
      </w:r>
      <w:r>
        <w:rPr>
          <w:rFonts w:hint="default" w:ascii="Times New Roman" w:hAnsi="Times New Roman" w:eastAsia="方正仿宋_GBK" w:cs="Times New Roman"/>
          <w:bCs/>
          <w:color w:val="auto"/>
          <w:sz w:val="32"/>
          <w:szCs w:val="32"/>
          <w:highlight w:val="none"/>
          <w:u w:val="single"/>
          <w:lang w:eastAsia="zh-CN"/>
        </w:rPr>
        <w:t>。</w:t>
      </w:r>
    </w:p>
    <w:p>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b w:val="0"/>
          <w:color w:val="auto"/>
          <w:highlight w:val="none"/>
          <w:lang w:eastAsia="zh-CN"/>
        </w:rPr>
      </w:pPr>
      <w:bookmarkStart w:id="29" w:name="_Toc24277"/>
      <w:r>
        <w:rPr>
          <w:rFonts w:hint="default" w:ascii="Times New Roman" w:hAnsi="Times New Roman" w:eastAsia="黑体" w:cs="Times New Roman"/>
          <w:b w:val="0"/>
          <w:color w:val="auto"/>
          <w:highlight w:val="none"/>
          <w:lang w:eastAsia="zh-CN"/>
        </w:rPr>
        <w:t>2.评审办法</w:t>
      </w:r>
      <w:bookmarkEnd w:id="29"/>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eastAsia="zh-CN"/>
        </w:rPr>
        <w:t>本项目采用经评审的</w:t>
      </w:r>
      <w:r>
        <w:rPr>
          <w:rFonts w:hint="eastAsia" w:ascii="Times New Roman" w:hAnsi="Times New Roman" w:eastAsia="方正仿宋_GBK" w:cs="Times New Roman"/>
          <w:b/>
          <w:bCs w:val="0"/>
          <w:color w:val="auto"/>
          <w:sz w:val="32"/>
          <w:szCs w:val="32"/>
          <w:highlight w:val="none"/>
          <w:lang w:val="en-US" w:eastAsia="zh-CN"/>
        </w:rPr>
        <w:t>最低价法</w:t>
      </w:r>
      <w:r>
        <w:rPr>
          <w:rFonts w:hint="default" w:ascii="Times New Roman" w:hAnsi="Times New Roman" w:eastAsia="方正仿宋_GBK" w:cs="Times New Roman"/>
          <w:b/>
          <w:bCs w:val="0"/>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val="en-US" w:eastAsia="zh-CN"/>
        </w:rPr>
        <w:t>评审小组对通过初步评审的报价人，按报价由低至高的顺序推荐中标候选人。若最低投标价相同的，由评审小组自行决定中标候选人。</w:t>
      </w:r>
    </w:p>
    <w:p>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bCs/>
          <w:color w:val="auto"/>
          <w:sz w:val="32"/>
          <w:szCs w:val="32"/>
          <w:highlight w:val="none"/>
          <w:lang w:val="en-US" w:eastAsia="zh-CN"/>
        </w:rPr>
      </w:pPr>
      <w:bookmarkStart w:id="30" w:name="_Toc17130"/>
      <w:r>
        <w:rPr>
          <w:rFonts w:hint="eastAsia" w:ascii="Times New Roman" w:hAnsi="Times New Roman" w:eastAsia="黑体" w:cs="Times New Roman"/>
          <w:b w:val="0"/>
          <w:bCs/>
          <w:color w:val="auto"/>
          <w:kern w:val="0"/>
          <w:sz w:val="32"/>
          <w:szCs w:val="32"/>
          <w:highlight w:val="none"/>
          <w:lang w:val="en-US" w:eastAsia="zh-CN" w:bidi="ar-SA"/>
        </w:rPr>
        <w:t>3</w:t>
      </w:r>
      <w:r>
        <w:rPr>
          <w:rFonts w:hint="default" w:ascii="Times New Roman" w:hAnsi="Times New Roman" w:eastAsia="黑体" w:cs="Times New Roman"/>
          <w:b w:val="0"/>
          <w:bCs/>
          <w:color w:val="auto"/>
          <w:kern w:val="0"/>
          <w:sz w:val="32"/>
          <w:szCs w:val="32"/>
          <w:highlight w:val="none"/>
          <w:lang w:val="en-US" w:eastAsia="zh-CN" w:bidi="ar-SA"/>
        </w:rPr>
        <w:t>.</w:t>
      </w:r>
      <w:r>
        <w:rPr>
          <w:rFonts w:hint="eastAsia" w:ascii="Times New Roman" w:hAnsi="Times New Roman" w:eastAsia="黑体" w:cs="Times New Roman"/>
          <w:b w:val="0"/>
          <w:bCs/>
          <w:color w:val="auto"/>
          <w:kern w:val="0"/>
          <w:sz w:val="32"/>
          <w:szCs w:val="32"/>
          <w:highlight w:val="none"/>
          <w:lang w:val="en-US" w:eastAsia="zh-CN" w:bidi="ar-SA"/>
        </w:rPr>
        <w:t>编制要求</w:t>
      </w:r>
      <w:bookmarkEnd w:id="30"/>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kern w:val="0"/>
          <w:sz w:val="32"/>
          <w:szCs w:val="32"/>
          <w:highlight w:val="none"/>
          <w:lang w:val="en-US" w:eastAsia="zh-CN" w:bidi="ar-SA"/>
        </w:rPr>
      </w:pPr>
      <w:r>
        <w:rPr>
          <w:rFonts w:hint="eastAsia" w:ascii="Times New Roman" w:hAnsi="Times New Roman" w:eastAsia="方正仿宋_GBK" w:cs="Times New Roman"/>
          <w:bCs/>
          <w:color w:val="auto"/>
          <w:kern w:val="0"/>
          <w:sz w:val="32"/>
          <w:szCs w:val="32"/>
          <w:highlight w:val="none"/>
          <w:lang w:val="en-US" w:eastAsia="zh-CN" w:bidi="ar-SA"/>
        </w:rPr>
        <w:t>（1）符合国家和重庆市现行已实施的鱼类栖息地保护规划相关规范性文件要求，结合考虑航电枢纽工程环境影响评价的要求。</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kern w:val="0"/>
          <w:sz w:val="32"/>
          <w:szCs w:val="32"/>
          <w:highlight w:val="none"/>
          <w:lang w:val="en-US" w:eastAsia="zh-CN" w:bidi="ar-SA"/>
        </w:rPr>
      </w:pPr>
      <w:r>
        <w:rPr>
          <w:rFonts w:hint="eastAsia" w:ascii="Times New Roman" w:hAnsi="Times New Roman" w:eastAsia="方正仿宋_GBK" w:cs="Times New Roman"/>
          <w:bCs/>
          <w:color w:val="auto"/>
          <w:kern w:val="0"/>
          <w:sz w:val="32"/>
          <w:szCs w:val="32"/>
          <w:highlight w:val="none"/>
          <w:lang w:val="en-US" w:eastAsia="zh-CN" w:bidi="ar-SA"/>
        </w:rPr>
        <w:t>（2）合同签订之日后120日历天内应向招标人提交嘉陵江梯级渠化利泽航运枢纽工程鱼类栖息地保护规划编制报告送审稿及电子版。协助招标人组织相关政府部门对规划报告的审查，审查结束后15日向招标人提供最终修改后的规划报告（审定本）及电子版光盘一份（图纸：CAD，dwg格式；报告：word、excel可编辑格式及带鲜章PDF格式）。</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bCs/>
          <w:color w:val="auto"/>
          <w:kern w:val="0"/>
          <w:sz w:val="32"/>
          <w:szCs w:val="32"/>
          <w:highlight w:val="none"/>
          <w:lang w:val="en-US" w:eastAsia="zh-CN" w:bidi="ar-SA"/>
        </w:rPr>
      </w:pPr>
      <w:r>
        <w:rPr>
          <w:rFonts w:hint="eastAsia" w:ascii="Times New Roman" w:hAnsi="Times New Roman" w:eastAsia="方正仿宋_GBK" w:cs="Times New Roman"/>
          <w:bCs/>
          <w:color w:val="auto"/>
          <w:kern w:val="0"/>
          <w:sz w:val="32"/>
          <w:szCs w:val="32"/>
          <w:highlight w:val="none"/>
          <w:lang w:val="en-US" w:eastAsia="zh-CN" w:bidi="ar-SA"/>
        </w:rPr>
        <w:t>（3）积极协调组织专家审查和获得批复文件。</w:t>
      </w:r>
    </w:p>
    <w:p>
      <w:pPr>
        <w:keepNext w:val="0"/>
        <w:keepLines w:val="0"/>
        <w:pageBreakBefore w:val="0"/>
        <w:kinsoku/>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p>
    <w:bookmarkEnd w:id="17"/>
    <w:bookmarkEnd w:id="18"/>
    <w:bookmarkEnd w:id="19"/>
    <w:bookmarkEnd w:id="20"/>
    <w:bookmarkEnd w:id="21"/>
    <w:p>
      <w:pPr>
        <w:jc w:val="right"/>
        <w:rPr>
          <w:rFonts w:hint="default" w:ascii="Times New Roman" w:hAnsi="Times New Roman" w:cs="Times New Roman" w:eastAsiaTheme="minorEastAsia"/>
          <w:b/>
          <w:bCs/>
          <w:color w:val="auto"/>
          <w:sz w:val="44"/>
          <w:szCs w:val="44"/>
          <w:highlight w:val="none"/>
          <w:lang w:val="zh-CN" w:eastAsia="zh-CN"/>
        </w:rPr>
      </w:pPr>
      <w:r>
        <w:rPr>
          <w:rFonts w:hint="default" w:ascii="Times New Roman" w:hAnsi="Times New Roman" w:cs="Times New Roman" w:eastAsiaTheme="minorEastAsia"/>
          <w:color w:val="auto"/>
          <w:szCs w:val="21"/>
          <w:highlight w:val="none"/>
          <w:lang w:eastAsia="zh-CN"/>
        </w:rPr>
        <w:br w:type="page"/>
      </w:r>
      <w:bookmarkStart w:id="31" w:name="_Toc29194756"/>
    </w:p>
    <w:bookmarkEnd w:id="31"/>
    <w:p>
      <w:pPr>
        <w:pStyle w:val="43"/>
        <w:ind w:left="0" w:leftChars="0" w:firstLine="0" w:firstLineChars="0"/>
        <w:rPr>
          <w:rFonts w:hint="eastAsia"/>
          <w:color w:val="auto"/>
          <w:highlight w:val="none"/>
          <w:lang w:val="en-US"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32" w:name="_Toc23062"/>
      <w:r>
        <w:rPr>
          <w:rFonts w:hint="eastAsia" w:ascii="Times New Roman" w:hAnsi="Times New Roman" w:eastAsia="方正小标宋_GBK" w:cs="Times New Roman"/>
          <w:bCs/>
          <w:color w:val="auto"/>
          <w:sz w:val="44"/>
          <w:szCs w:val="44"/>
          <w:highlight w:val="none"/>
          <w:lang w:val="en-US" w:eastAsia="zh-CN"/>
        </w:rPr>
        <w:t xml:space="preserve">第三章 </w:t>
      </w:r>
      <w:r>
        <w:rPr>
          <w:rFonts w:hint="default" w:ascii="Times New Roman" w:hAnsi="Times New Roman" w:eastAsia="方正小标宋_GBK" w:cs="Times New Roman"/>
          <w:bCs/>
          <w:color w:val="auto"/>
          <w:sz w:val="44"/>
          <w:szCs w:val="44"/>
          <w:highlight w:val="none"/>
          <w:lang w:val="zh-CN" w:eastAsia="zh-CN"/>
        </w:rPr>
        <w:t>报价文件格式</w:t>
      </w:r>
      <w:bookmarkEnd w:id="32"/>
    </w:p>
    <w:p>
      <w:pPr>
        <w:pStyle w:val="43"/>
        <w:rPr>
          <w:rFonts w:hint="default"/>
          <w:color w:val="auto"/>
          <w:highlight w:val="none"/>
          <w:lang w:val="zh-CN" w:eastAsia="zh-CN"/>
        </w:rPr>
      </w:pPr>
    </w:p>
    <w:p>
      <w:pPr>
        <w:pStyle w:val="43"/>
        <w:rPr>
          <w:rFonts w:hint="default"/>
          <w:color w:val="auto"/>
          <w:highlight w:val="none"/>
          <w:lang w:val="zh-CN" w:eastAsia="zh-CN"/>
        </w:rPr>
      </w:pPr>
    </w:p>
    <w:p>
      <w:pPr>
        <w:pStyle w:val="43"/>
        <w:rPr>
          <w:rFonts w:hint="default"/>
          <w:color w:val="auto"/>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br w:type="page"/>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default" w:ascii="Times New Roman" w:hAnsi="Times New Roman" w:eastAsia="方正小标宋_GBK" w:cs="Times New Roman"/>
          <w:bCs/>
          <w:color w:val="auto"/>
          <w:sz w:val="48"/>
          <w:szCs w:val="48"/>
          <w:highlight w:val="none"/>
          <w:lang w:val="en-US" w:eastAsia="zh-CN"/>
        </w:rPr>
        <w:t>XXXX项目</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小标宋_GBK" w:cs="Times New Roman"/>
          <w:color w:val="auto"/>
          <w:highlight w:val="none"/>
          <w:lang w:eastAsia="zh-CN"/>
        </w:rPr>
      </w:pPr>
    </w:p>
    <w:p>
      <w:pPr>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72"/>
          <w:szCs w:val="72"/>
          <w:highlight w:val="none"/>
          <w:lang w:eastAsia="zh-CN"/>
        </w:rPr>
        <w:t>报价文件</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（盖单位章）</w:t>
      </w:r>
    </w:p>
    <w:p>
      <w:pPr>
        <w:pStyle w:val="43"/>
        <w:rPr>
          <w:rFonts w:hint="default"/>
          <w:color w:val="auto"/>
          <w:highlight w:val="none"/>
          <w:lang w:eastAsia="zh-CN"/>
        </w:rPr>
      </w:pPr>
    </w:p>
    <w:p>
      <w:pPr>
        <w:jc w:val="center"/>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（签字）</w:t>
      </w:r>
    </w:p>
    <w:p>
      <w:pPr>
        <w:jc w:val="cente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202</w:t>
      </w: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月   日</w:t>
      </w:r>
    </w:p>
    <w:p>
      <w:pPr>
        <w:pStyle w:val="99"/>
        <w:ind w:firstLine="42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宋体" w:cs="Times New Roman"/>
          <w:color w:val="auto"/>
          <w:sz w:val="21"/>
          <w:szCs w:val="21"/>
          <w:highlight w:val="none"/>
        </w:rPr>
        <w:br w:type="page"/>
      </w:r>
      <w:r>
        <w:rPr>
          <w:rFonts w:hint="default" w:ascii="Times New Roman" w:hAnsi="Times New Roman" w:eastAsia="方正小标宋_GBK" w:cs="Times New Roman"/>
          <w:color w:val="auto"/>
          <w:sz w:val="44"/>
          <w:szCs w:val="44"/>
          <w:highlight w:val="none"/>
        </w:rPr>
        <w:t>目  录</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bookmarkStart w:id="33" w:name="bookmark291"/>
      <w:r>
        <w:rPr>
          <w:rFonts w:hint="default" w:ascii="Times New Roman" w:hAnsi="Times New Roman" w:eastAsia="方正仿宋_GBK" w:cs="Times New Roman"/>
          <w:color w:val="auto"/>
          <w:sz w:val="32"/>
          <w:szCs w:val="32"/>
          <w:highlight w:val="none"/>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二、投标函</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三、报价表</w:t>
      </w:r>
    </w:p>
    <w:bookmarkEnd w:id="33"/>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四、资格审查资料</w:t>
      </w:r>
    </w:p>
    <w:p>
      <w:pPr>
        <w:tabs>
          <w:tab w:val="left" w:pos="993"/>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五、项目方案及进度安排</w:t>
      </w:r>
    </w:p>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六、其他资料</w:t>
      </w:r>
    </w:p>
    <w:p>
      <w:pPr>
        <w:pStyle w:val="173"/>
        <w:keepNext/>
        <w:keepLines/>
        <w:shd w:val="clear" w:color="auto" w:fill="auto"/>
        <w:snapToGrid w:val="0"/>
        <w:spacing w:before="0" w:after="0" w:line="240" w:lineRule="auto"/>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34" w:name="_Toc26785"/>
      <w:bookmarkStart w:id="35" w:name="_Toc29194793"/>
      <w:bookmarkStart w:id="36" w:name="_Toc10710824"/>
      <w:bookmarkStart w:id="37" w:name="bookmark292"/>
      <w:r>
        <w:rPr>
          <w:rFonts w:hint="default" w:ascii="Times New Roman" w:hAnsi="Times New Roman" w:eastAsia="方正小标宋_GBK" w:cs="Times New Roman"/>
          <w:color w:val="auto"/>
          <w:sz w:val="44"/>
          <w:szCs w:val="44"/>
          <w:highlight w:val="none"/>
        </w:rPr>
        <w:t>一、法定代表人身份证明或授权委托书</w:t>
      </w:r>
      <w:bookmarkEnd w:id="34"/>
    </w:p>
    <w:p>
      <w:pPr>
        <w:widowControl/>
        <w:rPr>
          <w:rFonts w:hint="default" w:ascii="Times New Roman" w:hAnsi="Times New Roman" w:cs="Times New Roman" w:eastAsiaTheme="minorEastAsia"/>
          <w:color w:val="auto"/>
          <w:kern w:val="2"/>
          <w:sz w:val="32"/>
          <w:szCs w:val="32"/>
          <w:highlight w:val="none"/>
          <w:lang w:eastAsia="zh-CN"/>
        </w:rPr>
      </w:pPr>
      <w:r>
        <w:rPr>
          <w:rFonts w:hint="default" w:ascii="Times New Roman" w:hAnsi="Times New Roman" w:cs="Times New Roman"/>
          <w:color w:val="auto"/>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bookmarkStart w:id="38" w:name="_Toc8766"/>
      <w:r>
        <w:rPr>
          <w:rFonts w:hint="default" w:ascii="Times New Roman" w:hAnsi="Times New Roman" w:eastAsia="方正小标宋_GBK" w:cs="Times New Roman"/>
          <w:color w:val="auto"/>
          <w:sz w:val="44"/>
          <w:szCs w:val="44"/>
          <w:highlight w:val="none"/>
        </w:rPr>
        <w:t>二、报价函</w:t>
      </w:r>
      <w:bookmarkEnd w:id="35"/>
      <w:bookmarkEnd w:id="36"/>
      <w:bookmarkEnd w:id="37"/>
      <w:bookmarkEnd w:id="38"/>
    </w:p>
    <w:p>
      <w:pPr>
        <w:tabs>
          <w:tab w:val="left" w:leader="underscore" w:pos="2036"/>
        </w:tabs>
        <w:spacing w:line="510" w:lineRule="exact"/>
        <w:ind w:left="140"/>
        <w:rPr>
          <w:rFonts w:hint="default" w:ascii="Times New Roman" w:hAnsi="Times New Roman" w:eastAsia="方正仿宋_GBK" w:cs="Times New Roman"/>
          <w:color w:val="auto"/>
          <w:sz w:val="32"/>
          <w:szCs w:val="32"/>
          <w:highlight w:val="none"/>
          <w:lang w:eastAsia="zh-CN"/>
        </w:rPr>
      </w:pPr>
      <w:bookmarkStart w:id="39" w:name="bookmark293"/>
      <w:r>
        <w:rPr>
          <w:rFonts w:hint="default" w:ascii="Times New Roman" w:hAnsi="Times New Roman" w:eastAsia="方正仿宋_GBK" w:cs="Times New Roman"/>
          <w:color w:val="auto"/>
          <w:sz w:val="32"/>
          <w:szCs w:val="32"/>
          <w:highlight w:val="none"/>
          <w:lang w:eastAsia="zh-CN"/>
        </w:rPr>
        <w:t>____________(询价人名称</w:t>
      </w:r>
      <w:r>
        <w:rPr>
          <w:rFonts w:hint="default" w:ascii="Times New Roman" w:hAnsi="Times New Roman" w:eastAsia="方正仿宋_GBK" w:cs="Times New Roman"/>
          <w:color w:val="auto"/>
          <w:sz w:val="32"/>
          <w:szCs w:val="32"/>
          <w:highlight w:val="none"/>
          <w:lang w:eastAsia="zh-CN" w:bidi="en-US"/>
        </w:rPr>
        <w:t>）：</w:t>
      </w:r>
      <w:bookmarkEnd w:id="39"/>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1.</w:t>
      </w:r>
      <w:r>
        <w:rPr>
          <w:rFonts w:hint="default" w:ascii="Times New Roman" w:hAnsi="Times New Roman" w:eastAsia="方正仿宋_GBK" w:cs="Times New Roman"/>
          <w:color w:val="auto"/>
          <w:sz w:val="32"/>
          <w:szCs w:val="32"/>
          <w:highlight w:val="none"/>
          <w:lang w:eastAsia="zh-CN"/>
        </w:rPr>
        <w:t>我方己仔细研究了</w:t>
      </w:r>
      <w:r>
        <w:rPr>
          <w:rFonts w:hint="eastAsia" w:ascii="Times New Roman" w:hAnsi="Times New Roman" w:eastAsia="方正仿宋_GBK" w:cs="Times New Roman"/>
          <w:color w:val="auto"/>
          <w:sz w:val="32"/>
          <w:szCs w:val="32"/>
          <w:highlight w:val="none"/>
          <w:lang w:val="en-US" w:eastAsia="zh-CN"/>
        </w:rPr>
        <w:t>_______项目</w:t>
      </w:r>
      <w:r>
        <w:rPr>
          <w:rFonts w:hint="default" w:ascii="Times New Roman" w:hAnsi="Times New Roman" w:eastAsia="方正仿宋_GBK" w:cs="Times New Roman"/>
          <w:color w:val="auto"/>
          <w:sz w:val="32"/>
          <w:szCs w:val="32"/>
          <w:highlight w:val="none"/>
          <w:lang w:eastAsia="zh-CN"/>
        </w:rPr>
        <w:t>询价文件的全部内容，愿意以人民币（大写</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的总报价提供相关服务，并按合同约定履行义务。</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2.我方的报价文件包括下列内容：</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（1）投标函；</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（2）法定代表人身份证明或授权委托书；</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（3）报价表；</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（4）资格审查资料；</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（5）项目方案及进度安排；</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6）其它。</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报价文件的上述组成部分如存在内容不一致的，以投标函为准。</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3.我方承诺除商务和技术偏差表列出的偏差外，我方响应询价文件的全部要求。</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4.我方承诺在询价文件规定的投标有效期内不撤销报价文件。</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5.如我方中标，我方承诺：</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（1）在收到中标通知后，在规定的期限内与你方签订合同；</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（2）在签订合同时不向你方提出附加条件；</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（3）按照询价文件要求提交履约保证金；</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（4）在合同约定的期限内完成合同规定的全部义务。</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6.我方在此声明，所递交的报价文件及有关资料内容完整、真实和准确。</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7.(</w:t>
      </w:r>
      <w:r>
        <w:rPr>
          <w:rFonts w:hint="default" w:ascii="Times New Roman" w:hAnsi="Times New Roman" w:eastAsia="方正仿宋_GBK" w:cs="Times New Roman"/>
          <w:color w:val="auto"/>
          <w:sz w:val="32"/>
          <w:szCs w:val="32"/>
          <w:highlight w:val="none"/>
          <w:lang w:eastAsia="zh-CN"/>
        </w:rPr>
        <w:t>其他补充说明）。</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p>
    <w:p>
      <w:pPr>
        <w:spacing w:line="510" w:lineRule="exact"/>
        <w:ind w:left="2660"/>
        <w:rPr>
          <w:rFonts w:hint="default" w:ascii="Times New Roman" w:hAnsi="Times New Roman" w:eastAsia="方正仿宋_GBK" w:cs="Times New Roman"/>
          <w:color w:val="auto"/>
          <w:sz w:val="32"/>
          <w:szCs w:val="32"/>
          <w:highlight w:val="none"/>
          <w:lang w:eastAsia="zh-CN"/>
        </w:rPr>
      </w:pPr>
      <w:r>
        <w:rPr>
          <w:rStyle w:val="180"/>
          <w:rFonts w:hint="default" w:ascii="Times New Roman" w:hAnsi="Times New Roman" w:eastAsia="方正仿宋_GBK" w:cs="Times New Roman"/>
          <w:color w:val="auto"/>
          <w:sz w:val="32"/>
          <w:szCs w:val="32"/>
          <w:highlight w:val="none"/>
        </w:rPr>
        <w:t>报价人：</w:t>
      </w:r>
      <w:r>
        <w:rPr>
          <w:rStyle w:val="182"/>
          <w:rFonts w:hint="default" w:ascii="Times New Roman" w:hAnsi="Times New Roman" w:eastAsia="方正仿宋_GBK" w:cs="Times New Roman"/>
          <w:color w:val="auto"/>
          <w:sz w:val="32"/>
          <w:szCs w:val="32"/>
          <w:highlight w:val="none"/>
          <w:lang w:eastAsia="zh-CN"/>
        </w:rPr>
        <w:t>(盖单位章）</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Style w:val="182"/>
          <w:rFonts w:hint="default" w:ascii="Times New Roman" w:hAnsi="Times New Roman" w:eastAsia="方正仿宋_GBK" w:cs="Times New Roman"/>
          <w:color w:val="auto"/>
          <w:sz w:val="32"/>
          <w:szCs w:val="32"/>
          <w:highlight w:val="none"/>
          <w:lang w:eastAsia="zh-CN"/>
        </w:rPr>
        <w:t>(签字</w:t>
      </w:r>
      <w:r>
        <w:rPr>
          <w:rStyle w:val="182"/>
          <w:rFonts w:hint="default" w:ascii="Times New Roman" w:hAnsi="Times New Roman" w:eastAsia="方正仿宋_GBK" w:cs="Times New Roman"/>
          <w:color w:val="auto"/>
          <w:sz w:val="32"/>
          <w:szCs w:val="32"/>
          <w:highlight w:val="none"/>
          <w:lang w:eastAsia="zh-CN" w:bidi="en-US"/>
        </w:rPr>
        <w:t>）</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地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网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电 话：</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传 真：</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邮政编码：</w:t>
      </w:r>
    </w:p>
    <w:p>
      <w:pPr>
        <w:pStyle w:val="173"/>
        <w:keepNext/>
        <w:keepLines/>
        <w:shd w:val="clear" w:color="auto" w:fill="auto"/>
        <w:spacing w:before="0" w:after="476" w:line="560" w:lineRule="exact"/>
        <w:jc w:val="center"/>
        <w:rPr>
          <w:rStyle w:val="181"/>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szCs w:val="21"/>
          <w:highlight w:val="none"/>
          <w:u w:val="single"/>
        </w:rPr>
        <w:br w:type="page"/>
      </w:r>
      <w:bookmarkStart w:id="40" w:name="_Toc10710825"/>
      <w:bookmarkStart w:id="41" w:name="_Toc10458"/>
      <w:bookmarkStart w:id="42" w:name="_Toc29194794"/>
      <w:r>
        <w:rPr>
          <w:rFonts w:hint="default" w:ascii="Times New Roman" w:hAnsi="Times New Roman" w:eastAsia="方正小标宋_GBK" w:cs="Times New Roman"/>
          <w:color w:val="auto"/>
          <w:sz w:val="44"/>
          <w:szCs w:val="44"/>
          <w:highlight w:val="none"/>
        </w:rPr>
        <w:t>三</w:t>
      </w:r>
      <w:r>
        <w:rPr>
          <w:rStyle w:val="181"/>
          <w:rFonts w:hint="default" w:ascii="Times New Roman" w:hAnsi="Times New Roman" w:eastAsia="方正小标宋_GBK" w:cs="Times New Roman"/>
          <w:color w:val="auto"/>
          <w:sz w:val="44"/>
          <w:szCs w:val="44"/>
          <w:highlight w:val="none"/>
        </w:rPr>
        <w:t>、报价表</w:t>
      </w:r>
      <w:bookmarkEnd w:id="40"/>
      <w:bookmarkEnd w:id="41"/>
      <w:bookmarkEnd w:id="42"/>
    </w:p>
    <w:p>
      <w:pPr>
        <w:tabs>
          <w:tab w:val="left" w:pos="939"/>
        </w:tabs>
        <w:adjustRightInd w:val="0"/>
        <w:spacing w:line="510" w:lineRule="exact"/>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1.报价说明</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（1）价格应按照本说明的要求报价，以人民币计价，单位为元，精确到个数位。</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bidi="en-US"/>
        </w:rPr>
      </w:pPr>
      <w:r>
        <w:rPr>
          <w:rFonts w:hint="default" w:ascii="Times New Roman" w:hAnsi="Times New Roman" w:eastAsia="方正仿宋_GBK" w:cs="Times New Roman"/>
          <w:color w:val="auto"/>
          <w:sz w:val="32"/>
          <w:szCs w:val="32"/>
          <w:highlight w:val="none"/>
          <w:lang w:eastAsia="zh-CN" w:bidi="en-US"/>
        </w:rPr>
        <w:t>（2）报价表中的价格，</w:t>
      </w:r>
      <w:r>
        <w:rPr>
          <w:rFonts w:hint="eastAsia" w:ascii="Times New Roman" w:hAnsi="Times New Roman" w:eastAsia="方正仿宋_GBK" w:cs="Times New Roman"/>
          <w:color w:val="auto"/>
          <w:sz w:val="32"/>
          <w:szCs w:val="32"/>
          <w:highlight w:val="none"/>
          <w:lang w:val="en-US" w:eastAsia="zh-CN" w:bidi="en-US"/>
        </w:rPr>
        <w:t>复询</w:t>
      </w:r>
      <w:r>
        <w:rPr>
          <w:rFonts w:hint="default" w:ascii="Times New Roman" w:hAnsi="Times New Roman" w:eastAsia="方正仿宋_GBK" w:cs="Times New Roman"/>
          <w:color w:val="auto"/>
          <w:sz w:val="32"/>
          <w:szCs w:val="32"/>
          <w:highlight w:val="none"/>
          <w:lang w:eastAsia="zh-CN" w:bidi="en-US"/>
        </w:rPr>
        <w:t>人应按</w:t>
      </w:r>
      <w:r>
        <w:rPr>
          <w:rFonts w:hint="eastAsia" w:ascii="Times New Roman" w:hAnsi="Times New Roman" w:eastAsia="方正仿宋_GBK" w:cs="Times New Roman"/>
          <w:color w:val="auto"/>
          <w:sz w:val="32"/>
          <w:szCs w:val="32"/>
          <w:highlight w:val="none"/>
          <w:lang w:val="en-US" w:eastAsia="zh-CN" w:bidi="en-US"/>
        </w:rPr>
        <w:t>询价</w:t>
      </w:r>
      <w:r>
        <w:rPr>
          <w:rFonts w:hint="default" w:ascii="Times New Roman" w:hAnsi="Times New Roman" w:eastAsia="方正仿宋_GBK" w:cs="Times New Roman"/>
          <w:color w:val="auto"/>
          <w:sz w:val="32"/>
          <w:szCs w:val="32"/>
          <w:highlight w:val="none"/>
          <w:lang w:eastAsia="zh-CN" w:bidi="en-US"/>
        </w:rPr>
        <w:t>文件</w:t>
      </w:r>
      <w:r>
        <w:rPr>
          <w:rFonts w:hint="eastAsia" w:ascii="Times New Roman" w:hAnsi="Times New Roman" w:eastAsia="方正仿宋_GBK" w:cs="Times New Roman"/>
          <w:color w:val="auto"/>
          <w:sz w:val="32"/>
          <w:szCs w:val="32"/>
          <w:highlight w:val="none"/>
          <w:lang w:val="en-US" w:eastAsia="zh-CN" w:bidi="en-US"/>
        </w:rPr>
        <w:t>的</w:t>
      </w:r>
      <w:r>
        <w:rPr>
          <w:rFonts w:hint="default" w:ascii="Times New Roman" w:hAnsi="Times New Roman" w:eastAsia="方正仿宋_GBK" w:cs="Times New Roman"/>
          <w:color w:val="auto"/>
          <w:sz w:val="32"/>
          <w:szCs w:val="32"/>
          <w:highlight w:val="none"/>
          <w:lang w:eastAsia="zh-CN" w:bidi="en-US"/>
        </w:rPr>
        <w:t>要求对</w:t>
      </w:r>
      <w:r>
        <w:rPr>
          <w:rFonts w:hint="eastAsia" w:ascii="Times New Roman" w:hAnsi="Times New Roman" w:eastAsia="方正仿宋_GBK" w:cs="Times New Roman"/>
          <w:bCs/>
          <w:color w:val="auto"/>
          <w:sz w:val="32"/>
          <w:szCs w:val="32"/>
          <w:highlight w:val="none"/>
          <w:u w:val="single"/>
          <w:lang w:val="zh-CN" w:eastAsia="zh-CN"/>
        </w:rPr>
        <w:t>嘉陵江梯级渠化利泽航运枢纽工程鱼类栖息地保护规划编制（第二次）</w:t>
      </w:r>
      <w:r>
        <w:rPr>
          <w:rFonts w:hint="default" w:ascii="Times New Roman" w:hAnsi="Times New Roman" w:eastAsia="方正仿宋_GBK" w:cs="Times New Roman"/>
          <w:color w:val="auto"/>
          <w:sz w:val="32"/>
          <w:szCs w:val="32"/>
          <w:highlight w:val="none"/>
          <w:lang w:eastAsia="zh-CN" w:bidi="en-US"/>
        </w:rPr>
        <w:t>的</w:t>
      </w:r>
      <w:r>
        <w:rPr>
          <w:rFonts w:hint="default" w:ascii="Times New Roman" w:hAnsi="Times New Roman" w:eastAsia="方正仿宋_GBK" w:cs="Times New Roman"/>
          <w:color w:val="auto"/>
          <w:sz w:val="32"/>
          <w:szCs w:val="32"/>
          <w:highlight w:val="none"/>
          <w:lang w:val="en-US" w:eastAsia="zh-CN" w:bidi="en-US"/>
        </w:rPr>
        <w:t>全部内容进行报价，本合同</w:t>
      </w:r>
      <w:r>
        <w:rPr>
          <w:rFonts w:hint="eastAsia" w:ascii="Times New Roman" w:hAnsi="Times New Roman" w:eastAsia="方正仿宋_GBK" w:cs="Times New Roman"/>
          <w:color w:val="auto"/>
          <w:sz w:val="32"/>
          <w:szCs w:val="32"/>
          <w:highlight w:val="none"/>
          <w:lang w:val="en-US" w:eastAsia="zh-CN" w:bidi="en-US"/>
        </w:rPr>
        <w:t>报价包含</w:t>
      </w:r>
      <w:r>
        <w:rPr>
          <w:rFonts w:hint="default" w:ascii="Times New Roman" w:hAnsi="Times New Roman" w:eastAsia="方正仿宋_GBK" w:cs="Times New Roman"/>
          <w:color w:val="auto"/>
          <w:sz w:val="32"/>
          <w:szCs w:val="32"/>
          <w:highlight w:val="none"/>
          <w:lang w:val="en-US" w:eastAsia="zh-CN" w:bidi="en-US"/>
        </w:rPr>
        <w:t>直接费、间接费、保险费、税金、风险费和其他有关费用以及为完成本合同所规定的全部责任和义务可能产生的</w:t>
      </w:r>
      <w:r>
        <w:rPr>
          <w:rFonts w:hint="eastAsia" w:ascii="Times New Roman" w:hAnsi="Times New Roman" w:eastAsia="方正仿宋_GBK" w:cs="Times New Roman"/>
          <w:color w:val="auto"/>
          <w:sz w:val="32"/>
          <w:szCs w:val="32"/>
          <w:highlight w:val="none"/>
          <w:lang w:val="en-US" w:eastAsia="zh-CN" w:bidi="en-US"/>
        </w:rPr>
        <w:t>费用</w:t>
      </w:r>
      <w:r>
        <w:rPr>
          <w:rFonts w:hint="default" w:ascii="Times New Roman" w:hAnsi="Times New Roman" w:eastAsia="方正仿宋_GBK" w:cs="Times New Roman"/>
          <w:color w:val="auto"/>
          <w:sz w:val="32"/>
          <w:szCs w:val="32"/>
          <w:highlight w:val="none"/>
          <w:lang w:val="en-US" w:eastAsia="zh-CN" w:bidi="en-US"/>
        </w:rPr>
        <w:t>，而</w:t>
      </w:r>
      <w:r>
        <w:rPr>
          <w:rFonts w:hint="eastAsia" w:ascii="Times New Roman" w:hAnsi="Times New Roman" w:eastAsia="方正仿宋_GBK" w:cs="Times New Roman"/>
          <w:color w:val="auto"/>
          <w:sz w:val="32"/>
          <w:szCs w:val="32"/>
          <w:highlight w:val="none"/>
          <w:lang w:val="en-US" w:eastAsia="zh-CN" w:bidi="en-US"/>
        </w:rPr>
        <w:t>询价</w:t>
      </w:r>
      <w:r>
        <w:rPr>
          <w:rFonts w:hint="default" w:ascii="Times New Roman" w:hAnsi="Times New Roman" w:eastAsia="方正仿宋_GBK" w:cs="Times New Roman"/>
          <w:color w:val="auto"/>
          <w:sz w:val="32"/>
          <w:szCs w:val="32"/>
          <w:highlight w:val="none"/>
          <w:lang w:val="en-US" w:eastAsia="zh-CN" w:bidi="en-US"/>
        </w:rPr>
        <w:t>文件未明示或者</w:t>
      </w:r>
      <w:r>
        <w:rPr>
          <w:rFonts w:hint="eastAsia" w:ascii="Times New Roman" w:hAnsi="Times New Roman" w:eastAsia="方正仿宋_GBK" w:cs="Times New Roman"/>
          <w:color w:val="auto"/>
          <w:sz w:val="32"/>
          <w:szCs w:val="32"/>
          <w:highlight w:val="none"/>
          <w:lang w:val="en-US" w:eastAsia="zh-CN" w:bidi="en-US"/>
        </w:rPr>
        <w:t>复询</w:t>
      </w:r>
      <w:r>
        <w:rPr>
          <w:rFonts w:hint="default" w:ascii="Times New Roman" w:hAnsi="Times New Roman" w:eastAsia="方正仿宋_GBK" w:cs="Times New Roman"/>
          <w:color w:val="auto"/>
          <w:sz w:val="32"/>
          <w:szCs w:val="32"/>
          <w:highlight w:val="none"/>
          <w:lang w:val="en-US" w:eastAsia="zh-CN" w:bidi="en-US"/>
        </w:rPr>
        <w:t>人认为应由甲方支付的费用，均计入投标总报价中。报价表中未列出项目的费用（如</w:t>
      </w:r>
      <w:r>
        <w:rPr>
          <w:rFonts w:hint="eastAsia" w:ascii="Times New Roman" w:hAnsi="Times New Roman" w:eastAsia="方正仿宋_GBK" w:cs="Times New Roman"/>
          <w:color w:val="auto"/>
          <w:sz w:val="32"/>
          <w:szCs w:val="32"/>
          <w:highlight w:val="none"/>
          <w:lang w:val="en-US" w:eastAsia="zh-CN" w:bidi="en-US"/>
        </w:rPr>
        <w:t>复询人</w:t>
      </w:r>
      <w:r>
        <w:rPr>
          <w:rFonts w:hint="default" w:ascii="Times New Roman" w:hAnsi="Times New Roman" w:eastAsia="方正仿宋_GBK" w:cs="Times New Roman"/>
          <w:color w:val="auto"/>
          <w:sz w:val="32"/>
          <w:szCs w:val="32"/>
          <w:highlight w:val="none"/>
          <w:lang w:val="en-US" w:eastAsia="zh-CN" w:bidi="en-US"/>
        </w:rPr>
        <w:t>的设备租赁、办公费、差旅费、食宿费、试验材料费、</w:t>
      </w:r>
      <w:r>
        <w:rPr>
          <w:rFonts w:hint="eastAsia" w:ascii="Times New Roman" w:hAnsi="Times New Roman" w:eastAsia="方正仿宋_GBK" w:cs="Times New Roman"/>
          <w:color w:val="auto"/>
          <w:sz w:val="32"/>
          <w:szCs w:val="32"/>
          <w:highlight w:val="none"/>
          <w:lang w:val="en-US" w:eastAsia="zh-CN" w:bidi="en-US"/>
        </w:rPr>
        <w:t>安全费</w:t>
      </w:r>
      <w:r>
        <w:rPr>
          <w:rFonts w:hint="default" w:ascii="Times New Roman" w:hAnsi="Times New Roman" w:eastAsia="方正仿宋_GBK" w:cs="Times New Roman"/>
          <w:color w:val="auto"/>
          <w:sz w:val="32"/>
          <w:szCs w:val="32"/>
          <w:highlight w:val="none"/>
          <w:lang w:val="en-US" w:eastAsia="zh-CN" w:bidi="en-US"/>
        </w:rPr>
        <w:t>、报告印刷出版费等）均包含于投标总报价中。</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val="en-US" w:eastAsia="zh-CN" w:bidi="en-US"/>
        </w:rPr>
      </w:pPr>
      <w:r>
        <w:rPr>
          <w:rFonts w:hint="default" w:ascii="Times New Roman" w:hAnsi="Times New Roman" w:eastAsia="方正仿宋_GBK" w:cs="Times New Roman"/>
          <w:color w:val="auto"/>
          <w:sz w:val="32"/>
          <w:szCs w:val="32"/>
          <w:highlight w:val="none"/>
          <w:lang w:val="en-US" w:eastAsia="zh-CN" w:bidi="en-US"/>
        </w:rPr>
        <w:t>（</w:t>
      </w:r>
      <w:r>
        <w:rPr>
          <w:rFonts w:hint="eastAsia" w:ascii="Times New Roman" w:hAnsi="Times New Roman" w:eastAsia="方正仿宋_GBK" w:cs="Times New Roman"/>
          <w:color w:val="auto"/>
          <w:sz w:val="32"/>
          <w:szCs w:val="32"/>
          <w:highlight w:val="none"/>
          <w:lang w:val="en-US" w:eastAsia="zh-CN" w:bidi="en-US"/>
        </w:rPr>
        <w:t>3</w:t>
      </w:r>
      <w:r>
        <w:rPr>
          <w:rFonts w:hint="default" w:ascii="Times New Roman" w:hAnsi="Times New Roman" w:eastAsia="方正仿宋_GBK" w:cs="Times New Roman"/>
          <w:color w:val="auto"/>
          <w:sz w:val="32"/>
          <w:szCs w:val="32"/>
          <w:highlight w:val="none"/>
          <w:lang w:val="en-US" w:eastAsia="zh-CN" w:bidi="en-US"/>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w:t>
      </w:r>
      <w:r>
        <w:rPr>
          <w:rFonts w:hint="eastAsia" w:ascii="Times New Roman" w:hAnsi="Times New Roman" w:eastAsia="方正仿宋_GBK" w:cs="Times New Roman"/>
          <w:color w:val="auto"/>
          <w:sz w:val="32"/>
          <w:szCs w:val="32"/>
          <w:highlight w:val="none"/>
          <w:lang w:val="en-US" w:eastAsia="zh-CN" w:bidi="en-US"/>
        </w:rPr>
        <w:t>4</w:t>
      </w:r>
      <w:r>
        <w:rPr>
          <w:rFonts w:hint="default" w:ascii="Times New Roman" w:hAnsi="Times New Roman" w:eastAsia="方正仿宋_GBK" w:cs="Times New Roman"/>
          <w:color w:val="auto"/>
          <w:sz w:val="32"/>
          <w:szCs w:val="32"/>
          <w:highlight w:val="none"/>
          <w:lang w:eastAsia="zh-CN" w:bidi="en-US"/>
        </w:rPr>
        <w:t>）报价在合同有效期内固定不变，即合同价格不因国家和</w:t>
      </w:r>
      <w:r>
        <w:rPr>
          <w:rFonts w:hint="default" w:ascii="Times New Roman" w:hAnsi="Times New Roman" w:eastAsia="方正仿宋_GBK" w:cs="Times New Roman"/>
          <w:color w:val="auto"/>
          <w:sz w:val="32"/>
          <w:szCs w:val="32"/>
          <w:highlight w:val="none"/>
          <w:lang w:eastAsia="zh-CN"/>
        </w:rPr>
        <w:t>地方政策调整、物价变动等因数的影响而调整。</w:t>
      </w:r>
    </w:p>
    <w:p>
      <w:pPr>
        <w:tabs>
          <w:tab w:val="left" w:pos="939"/>
        </w:tabs>
        <w:adjustRightInd w:val="0"/>
        <w:spacing w:line="510" w:lineRule="exact"/>
        <w:ind w:firstLine="640" w:firstLineChars="200"/>
        <w:rPr>
          <w:rFonts w:hint="default" w:ascii="Times New Roman" w:hAnsi="Times New Roman" w:eastAsia="方正仿宋_GBK" w:cs="Times New Roman"/>
          <w:color w:val="auto"/>
          <w:kern w:val="0"/>
          <w:sz w:val="32"/>
          <w:szCs w:val="32"/>
          <w:highlight w:val="none"/>
          <w:lang w:val="en-US" w:eastAsia="zh-CN" w:bidi="en-US"/>
        </w:rPr>
      </w:pPr>
      <w:r>
        <w:rPr>
          <w:rFonts w:hint="eastAsia" w:ascii="Times New Roman" w:hAnsi="Times New Roman" w:eastAsia="方正仿宋_GBK" w:cs="Times New Roman"/>
          <w:color w:val="auto"/>
          <w:kern w:val="0"/>
          <w:sz w:val="32"/>
          <w:szCs w:val="32"/>
          <w:highlight w:val="none"/>
          <w:lang w:val="en-US" w:eastAsia="zh-CN" w:bidi="en-US"/>
        </w:rPr>
        <w:t>（5）</w:t>
      </w:r>
      <w:r>
        <w:rPr>
          <w:rFonts w:hint="eastAsia" w:ascii="Times New Roman" w:hAnsi="Times New Roman" w:eastAsia="方正仿宋_GBK" w:cs="Times New Roman"/>
          <w:color w:val="auto"/>
          <w:sz w:val="32"/>
          <w:szCs w:val="32"/>
          <w:highlight w:val="none"/>
          <w:lang w:val="en-US" w:eastAsia="zh-CN" w:bidi="en-US"/>
        </w:rPr>
        <w:t>报价</w:t>
      </w:r>
      <w:r>
        <w:rPr>
          <w:rFonts w:hint="eastAsia" w:ascii="Times New Roman" w:hAnsi="Times New Roman" w:eastAsia="方正仿宋_GBK" w:cs="Times New Roman"/>
          <w:color w:val="auto"/>
          <w:kern w:val="0"/>
          <w:sz w:val="32"/>
          <w:szCs w:val="32"/>
          <w:highlight w:val="none"/>
          <w:lang w:val="en-US" w:eastAsia="zh-CN" w:bidi="en-US"/>
        </w:rPr>
        <w:t>表中的单价、合价及总价等在合同有效期内均固定不变。</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val="en-US" w:eastAsia="zh-CN" w:bidi="en-US"/>
        </w:rPr>
      </w:pPr>
      <w:r>
        <w:rPr>
          <w:rFonts w:hint="eastAsia" w:ascii="Times New Roman" w:hAnsi="Times New Roman" w:eastAsia="方正仿宋_GBK" w:cs="Times New Roman"/>
          <w:color w:val="auto"/>
          <w:sz w:val="32"/>
          <w:szCs w:val="32"/>
          <w:highlight w:val="none"/>
          <w:lang w:val="en-US" w:eastAsia="zh-CN" w:bidi="en-US"/>
        </w:rPr>
        <w:t>（6）</w:t>
      </w:r>
      <w:r>
        <w:rPr>
          <w:rFonts w:hint="default" w:ascii="Times New Roman" w:hAnsi="Times New Roman" w:eastAsia="方正仿宋_GBK" w:cs="Times New Roman"/>
          <w:color w:val="auto"/>
          <w:sz w:val="32"/>
          <w:szCs w:val="32"/>
          <w:highlight w:val="none"/>
          <w:lang w:val="en-US" w:eastAsia="zh-CN" w:bidi="en-US"/>
        </w:rPr>
        <w:t>其他</w:t>
      </w:r>
      <w:r>
        <w:rPr>
          <w:rFonts w:hint="default" w:ascii="Times New Roman" w:hAnsi="Times New Roman" w:eastAsia="方正仿宋_GBK" w:cs="Times New Roman"/>
          <w:color w:val="auto"/>
          <w:kern w:val="0"/>
          <w:sz w:val="32"/>
          <w:szCs w:val="32"/>
          <w:highlight w:val="none"/>
          <w:lang w:val="en-US" w:eastAsia="zh-CN" w:bidi="en-US"/>
        </w:rPr>
        <w:t>有关</w:t>
      </w:r>
      <w:r>
        <w:rPr>
          <w:rFonts w:hint="default" w:ascii="Times New Roman" w:hAnsi="Times New Roman" w:eastAsia="方正仿宋_GBK" w:cs="Times New Roman"/>
          <w:color w:val="auto"/>
          <w:sz w:val="32"/>
          <w:szCs w:val="32"/>
          <w:highlight w:val="none"/>
          <w:lang w:val="en-US" w:eastAsia="zh-CN" w:bidi="en-US"/>
        </w:rPr>
        <w:t>费用</w:t>
      </w:r>
      <w:r>
        <w:rPr>
          <w:rFonts w:hint="eastAsia" w:ascii="Times New Roman" w:hAnsi="Times New Roman" w:eastAsia="方正仿宋_GBK" w:cs="Times New Roman"/>
          <w:color w:val="auto"/>
          <w:sz w:val="32"/>
          <w:szCs w:val="32"/>
          <w:highlight w:val="none"/>
          <w:lang w:val="en-US" w:eastAsia="zh-CN" w:bidi="en-US"/>
        </w:rPr>
        <w:t>包括</w:t>
      </w:r>
      <w:r>
        <w:rPr>
          <w:rFonts w:hint="eastAsia" w:ascii="Times New Roman" w:hAnsi="Times New Roman" w:eastAsia="方正仿宋_GBK" w:cs="Times New Roman"/>
          <w:bCs/>
          <w:color w:val="auto"/>
          <w:sz w:val="32"/>
          <w:szCs w:val="32"/>
          <w:highlight w:val="none"/>
          <w:lang w:val="en-US" w:eastAsia="zh-CN"/>
        </w:rPr>
        <w:t>但不限于：</w:t>
      </w:r>
      <w:r>
        <w:rPr>
          <w:rFonts w:hint="default" w:ascii="Times New Roman" w:hAnsi="Times New Roman" w:eastAsia="方正仿宋_GBK" w:cs="Times New Roman"/>
          <w:bCs/>
          <w:color w:val="auto"/>
          <w:sz w:val="32"/>
          <w:szCs w:val="32"/>
          <w:highlight w:val="none"/>
          <w:lang w:val="zh-CN" w:eastAsia="zh-CN"/>
        </w:rPr>
        <w:t>包含规划报告编制、现状调查、监测、资料收集等费用以及保险</w:t>
      </w:r>
      <w:r>
        <w:rPr>
          <w:rFonts w:hint="eastAsia" w:ascii="Times New Roman" w:hAnsi="Times New Roman" w:eastAsia="方正仿宋_GBK" w:cs="Times New Roman"/>
          <w:bCs/>
          <w:color w:val="auto"/>
          <w:sz w:val="32"/>
          <w:szCs w:val="32"/>
          <w:highlight w:val="none"/>
          <w:lang w:val="en-US" w:eastAsia="zh-CN"/>
        </w:rPr>
        <w:t>、利润，以及合同明示或暗示的风险、责任和义务等所发生的其他全部费用。</w:t>
      </w:r>
    </w:p>
    <w:p>
      <w:pPr>
        <w:tabs>
          <w:tab w:val="left" w:leader="underscore" w:pos="7582"/>
        </w:tabs>
        <w:spacing w:line="36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br w:type="page"/>
      </w:r>
    </w:p>
    <w:p>
      <w:pPr>
        <w:numPr>
          <w:ilvl w:val="0"/>
          <w:numId w:val="0"/>
        </w:num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bidi="en-US"/>
        </w:rPr>
        <w:t>2.</w:t>
      </w:r>
      <w:r>
        <w:rPr>
          <w:rFonts w:hint="default" w:ascii="Times New Roman" w:hAnsi="Times New Roman" w:eastAsia="方正仿宋_GBK" w:cs="Times New Roman"/>
          <w:color w:val="auto"/>
          <w:sz w:val="32"/>
          <w:szCs w:val="32"/>
          <w:highlight w:val="none"/>
          <w:lang w:eastAsia="zh-CN" w:bidi="en-US"/>
        </w:rPr>
        <w:t>报价表</w:t>
      </w:r>
    </w:p>
    <w:p>
      <w:pPr>
        <w:tabs>
          <w:tab w:val="left" w:pos="939"/>
        </w:tabs>
        <w:adjustRightInd w:val="0"/>
        <w:spacing w:line="510" w:lineRule="exact"/>
        <w:ind w:firstLine="640" w:firstLineChars="200"/>
        <w:jc w:val="center"/>
        <w:rPr>
          <w:rFonts w:hint="eastAsia"/>
          <w:color w:val="auto"/>
          <w:highlight w:val="none"/>
        </w:rPr>
      </w:pPr>
      <w:r>
        <w:rPr>
          <w:rFonts w:hint="eastAsia" w:ascii="Times New Roman" w:hAnsi="Times New Roman" w:eastAsia="方正小标宋_GBK" w:cs="Times New Roman"/>
          <w:bCs/>
          <w:color w:val="auto"/>
          <w:sz w:val="32"/>
          <w:szCs w:val="32"/>
          <w:highlight w:val="none"/>
          <w:lang w:val="en-US" w:eastAsia="zh-CN"/>
        </w:rPr>
        <w:t>嘉陵江梯级渠化利泽航运枢纽工程鱼类栖息地保护规划编制（第二次）</w:t>
      </w:r>
      <w:r>
        <w:rPr>
          <w:rFonts w:hint="default" w:ascii="Times New Roman" w:hAnsi="Times New Roman" w:eastAsia="方正小标宋_GBK" w:cs="Times New Roman"/>
          <w:bCs/>
          <w:color w:val="auto"/>
          <w:sz w:val="32"/>
          <w:szCs w:val="32"/>
          <w:highlight w:val="none"/>
          <w:lang w:eastAsia="zh-CN"/>
        </w:rPr>
        <w:t>报价表</w:t>
      </w:r>
    </w:p>
    <w:tbl>
      <w:tblPr>
        <w:tblStyle w:val="44"/>
        <w:tblW w:w="817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0"/>
        <w:gridCol w:w="1740"/>
        <w:gridCol w:w="2088"/>
        <w:gridCol w:w="1962"/>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2"/>
                <w:kern w:val="0"/>
                <w:sz w:val="24"/>
                <w:szCs w:val="24"/>
                <w:u w:val="none"/>
                <w:lang w:val="en-US" w:eastAsia="zh-CN" w:bidi="ar"/>
              </w:rPr>
              <w:t>序号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2"/>
                <w:kern w:val="0"/>
                <w:sz w:val="24"/>
                <w:szCs w:val="24"/>
                <w:u w:val="none"/>
                <w:lang w:val="en-US" w:eastAsia="zh-CN" w:bidi="ar"/>
              </w:rPr>
              <w:t>项目名称</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2"/>
                <w:kern w:val="0"/>
                <w:sz w:val="24"/>
                <w:szCs w:val="24"/>
                <w:u w:val="none"/>
                <w:lang w:val="en-US" w:eastAsia="zh-CN" w:bidi="ar"/>
              </w:rPr>
              <w:t>项目费用明细</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2"/>
                <w:kern w:val="0"/>
                <w:sz w:val="24"/>
                <w:szCs w:val="24"/>
                <w:u w:val="none"/>
                <w:lang w:val="en-US" w:eastAsia="zh-CN" w:bidi="ar"/>
              </w:rPr>
              <w:t>费用合价（万元）</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bCs/>
                <w:i w:val="0"/>
                <w:iCs w:val="0"/>
                <w:color w:val="000000"/>
                <w:spacing w:val="-2"/>
                <w:kern w:val="0"/>
                <w:sz w:val="24"/>
                <w:szCs w:val="24"/>
                <w:u w:val="none"/>
                <w:lang w:val="en-US" w:eastAsia="zh-CN" w:bidi="ar"/>
              </w:rPr>
            </w:pPr>
            <w:r>
              <w:rPr>
                <w:rFonts w:hint="eastAsia" w:ascii="宋体" w:hAnsi="宋体" w:eastAsia="宋体" w:cs="宋体"/>
                <w:b/>
                <w:bCs/>
                <w:i w:val="0"/>
                <w:iCs w:val="0"/>
                <w:color w:val="000000"/>
                <w:spacing w:val="-2"/>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人工和劳务费</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2</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仪器设备租赁费</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3</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材料费</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4</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测试化验加工费</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45" w:name="_GoBack"/>
            <w:bookmarkEnd w:id="45"/>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5</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燃料动力费</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6</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会议费</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7</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咨询费</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8</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差旅费</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9</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印刷、邮寄、办公费</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10</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税金和管理费</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pacing w:val="-2"/>
                <w:kern w:val="0"/>
                <w:sz w:val="24"/>
                <w:szCs w:val="24"/>
                <w:u w:val="none"/>
                <w:lang w:val="en-US" w:eastAsia="zh-CN" w:bidi="ar"/>
              </w:rPr>
            </w:pPr>
            <w:r>
              <w:rPr>
                <w:rFonts w:hint="eastAsia" w:ascii="宋体" w:hAnsi="宋体" w:eastAsia="宋体" w:cs="宋体"/>
                <w:i w:val="0"/>
                <w:iCs w:val="0"/>
                <w:color w:val="000000"/>
                <w:spacing w:val="-2"/>
                <w:kern w:val="0"/>
                <w:sz w:val="24"/>
                <w:szCs w:val="24"/>
                <w:u w:val="none"/>
                <w:lang w:val="en-US" w:eastAsia="zh-CN" w:bidi="ar"/>
              </w:rPr>
              <w:t>11</w:t>
            </w:r>
          </w:p>
        </w:tc>
        <w:tc>
          <w:tcPr>
            <w:tcW w:w="174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pacing w:val="-2"/>
                <w:kern w:val="0"/>
                <w:sz w:val="24"/>
                <w:szCs w:val="24"/>
                <w:u w:val="none"/>
                <w:lang w:val="en-US" w:eastAsia="zh-CN" w:bidi="ar"/>
              </w:rPr>
            </w:pPr>
            <w:r>
              <w:rPr>
                <w:rFonts w:hint="eastAsia" w:ascii="宋体" w:hAnsi="宋体" w:eastAsia="宋体" w:cs="宋体"/>
                <w:i w:val="0"/>
                <w:iCs w:val="0"/>
                <w:color w:val="000000"/>
                <w:spacing w:val="-2"/>
                <w:kern w:val="0"/>
                <w:sz w:val="24"/>
                <w:szCs w:val="24"/>
                <w:u w:val="none"/>
                <w:lang w:val="en-US" w:eastAsia="zh-CN" w:bidi="ar"/>
              </w:rPr>
              <w:t>其他费用</w:t>
            </w:r>
          </w:p>
        </w:tc>
        <w:tc>
          <w:tcPr>
            <w:tcW w:w="208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sz w:val="22"/>
                <w:szCs w:val="22"/>
                <w:highlight w:val="none"/>
                <w:lang w:val="en-US" w:eastAsia="zh-CN"/>
              </w:rPr>
            </w:pP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12</w:t>
            </w:r>
          </w:p>
        </w:tc>
        <w:tc>
          <w:tcPr>
            <w:tcW w:w="38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
                <w:kern w:val="0"/>
                <w:sz w:val="24"/>
                <w:szCs w:val="24"/>
                <w:u w:val="none"/>
                <w:lang w:val="en-US" w:eastAsia="zh-CN" w:bidi="ar"/>
              </w:rPr>
              <w:t>合计（投标总报价）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bl>
    <w:p>
      <w:pPr>
        <w:tabs>
          <w:tab w:val="left" w:pos="939"/>
        </w:tabs>
        <w:adjustRightInd w:val="0"/>
        <w:spacing w:line="510" w:lineRule="exact"/>
        <w:ind w:firstLine="440" w:firstLineChars="200"/>
        <w:jc w:val="right"/>
        <w:rPr>
          <w:rFonts w:hint="eastAsia"/>
          <w:color w:val="auto"/>
          <w:szCs w:val="21"/>
          <w:highlight w:val="none"/>
          <w:lang w:val="en-US" w:eastAsia="zh-CN"/>
        </w:rPr>
      </w:pPr>
    </w:p>
    <w:p>
      <w:pPr>
        <w:tabs>
          <w:tab w:val="left" w:pos="939"/>
        </w:tabs>
        <w:adjustRightInd w:val="0"/>
        <w:spacing w:line="510" w:lineRule="exact"/>
        <w:ind w:firstLine="440" w:firstLineChars="200"/>
        <w:jc w:val="right"/>
        <w:rPr>
          <w:rFonts w:hint="eastAsia" w:ascii="宋体" w:hAnsi="宋体"/>
          <w:color w:val="auto"/>
          <w:szCs w:val="21"/>
          <w:highlight w:val="none"/>
        </w:rPr>
      </w:pPr>
      <w:r>
        <w:rPr>
          <w:rFonts w:hint="eastAsia"/>
          <w:color w:val="auto"/>
          <w:szCs w:val="21"/>
          <w:highlight w:val="none"/>
          <w:lang w:val="en-US" w:eastAsia="zh-CN"/>
        </w:rPr>
        <w:t>报价人</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（盖单位法人章）</w:t>
      </w:r>
    </w:p>
    <w:p>
      <w:pPr>
        <w:tabs>
          <w:tab w:val="left" w:pos="939"/>
        </w:tabs>
        <w:adjustRightInd w:val="0"/>
        <w:spacing w:line="510" w:lineRule="exact"/>
        <w:ind w:firstLine="440" w:firstLineChars="200"/>
        <w:jc w:val="right"/>
        <w:rPr>
          <w:color w:val="auto"/>
          <w:highlight w:val="none"/>
        </w:rPr>
      </w:pPr>
    </w:p>
    <w:p>
      <w:pPr>
        <w:tabs>
          <w:tab w:val="left" w:pos="939"/>
        </w:tabs>
        <w:adjustRightInd w:val="0"/>
        <w:spacing w:line="510" w:lineRule="exact"/>
        <w:ind w:firstLine="440" w:firstLineChars="200"/>
        <w:jc w:val="right"/>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tabs>
          <w:tab w:val="left" w:pos="939"/>
        </w:tabs>
        <w:adjustRightInd w:val="0"/>
        <w:spacing w:line="510" w:lineRule="exact"/>
        <w:ind w:firstLine="640" w:firstLineChars="200"/>
        <w:jc w:val="right"/>
        <w:rPr>
          <w:rFonts w:hint="default" w:ascii="Times New Roman" w:hAnsi="Times New Roman" w:eastAsia="方正仿宋_GBK" w:cs="Times New Roman"/>
          <w:color w:val="auto"/>
          <w:sz w:val="32"/>
          <w:szCs w:val="32"/>
          <w:highlight w:val="none"/>
          <w:lang w:val="en-US" w:eastAsia="zh-CN" w:bidi="en-US"/>
        </w:rPr>
      </w:pPr>
    </w:p>
    <w:p>
      <w:pPr>
        <w:tabs>
          <w:tab w:val="left" w:pos="939"/>
        </w:tabs>
        <w:adjustRightInd w:val="0"/>
        <w:spacing w:line="510" w:lineRule="exact"/>
        <w:ind w:firstLine="440" w:firstLineChars="200"/>
        <w:jc w:val="right"/>
        <w:rPr>
          <w:rFonts w:hint="default" w:ascii="Times New Roman" w:hAnsi="Times New Roman" w:eastAsia="方正仿宋_GBK" w:cs="Times New Roman"/>
          <w:color w:val="auto"/>
          <w:sz w:val="32"/>
          <w:szCs w:val="32"/>
          <w:highlight w:val="none"/>
          <w:lang w:val="en-US" w:eastAsia="zh-CN" w:bidi="en-US"/>
        </w:rPr>
      </w:pP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日</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val="en-US" w:eastAsia="zh-CN" w:bidi="en-US"/>
        </w:rPr>
      </w:pPr>
    </w:p>
    <w:p>
      <w:pPr>
        <w:pStyle w:val="173"/>
        <w:keepNext/>
        <w:keepLines/>
        <w:shd w:val="clear" w:color="auto" w:fill="auto"/>
        <w:spacing w:before="0" w:after="476" w:line="510" w:lineRule="exact"/>
        <w:jc w:val="center"/>
        <w:rPr>
          <w:rFonts w:hint="default" w:ascii="Times New Roman" w:hAnsi="Times New Roman" w:cs="Times New Roman"/>
          <w:color w:val="auto"/>
          <w:highlight w:val="none"/>
        </w:rPr>
        <w:sectPr>
          <w:headerReference r:id="rId5"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pPr>
    </w:p>
    <w:p>
      <w:pPr>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四、资格审查资料</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1.营业执照、法定代表人身份证明及授权委托书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2.资质证书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3.业绩证明</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val="en-US" w:eastAsia="zh-CN"/>
        </w:rPr>
        <w:t>人力资源配备</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5.其他</w:t>
      </w:r>
      <w:r>
        <w:rPr>
          <w:rFonts w:hint="default" w:ascii="Times New Roman" w:hAnsi="Times New Roman" w:eastAsia="方正仿宋_GBK" w:cs="Times New Roman"/>
          <w:color w:val="auto"/>
          <w:sz w:val="32"/>
          <w:szCs w:val="32"/>
          <w:highlight w:val="none"/>
          <w:lang w:val="en-US"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lang w:val="en-US"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color w:val="auto"/>
          <w:sz w:val="32"/>
          <w:szCs w:val="32"/>
          <w:highlight w:val="none"/>
          <w:lang w:eastAsia="zh-CN"/>
        </w:rPr>
      </w:pPr>
    </w:p>
    <w:p>
      <w:pPr>
        <w:adjustRightInd w:val="0"/>
        <w:snapToGrid w:val="0"/>
        <w:spacing w:after="120" w:line="360" w:lineRule="auto"/>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adjustRightInd w:val="0"/>
        <w:snapToGrid w:val="0"/>
        <w:spacing w:after="120"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重庆</w:t>
      </w:r>
      <w:r>
        <w:rPr>
          <w:rFonts w:hint="eastAsia" w:ascii="Times New Roman" w:hAnsi="Times New Roman" w:eastAsia="方正仿宋_GBK" w:cs="Times New Roman"/>
          <w:color w:val="auto"/>
          <w:sz w:val="32"/>
          <w:szCs w:val="32"/>
          <w:highlight w:val="none"/>
          <w:lang w:val="en-US" w:eastAsia="zh-CN"/>
        </w:rPr>
        <w:t>嘉陵江利泽航电开发有限公司</w:t>
      </w:r>
      <w:r>
        <w:rPr>
          <w:rFonts w:hint="default" w:ascii="Times New Roman" w:hAnsi="Times New Roman" w:eastAsia="方正仿宋_GBK" w:cs="Times New Roman"/>
          <w:color w:val="auto"/>
          <w:sz w:val="32"/>
          <w:szCs w:val="32"/>
          <w:highlight w:val="none"/>
          <w:lang w:val="en-US" w:eastAsia="zh-CN"/>
        </w:rPr>
        <w:t>：</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我公司（报价人名称）参加了贵单位</w:t>
      </w:r>
      <w:r>
        <w:rPr>
          <w:rFonts w:hint="eastAsia" w:ascii="Times New Roman" w:hAnsi="Times New Roman" w:eastAsia="方正仿宋_GBK" w:cs="Times New Roman"/>
          <w:color w:val="auto"/>
          <w:sz w:val="32"/>
          <w:szCs w:val="32"/>
          <w:highlight w:val="none"/>
          <w:lang w:val="en-US" w:eastAsia="zh-CN"/>
        </w:rPr>
        <w:t>_______</w:t>
      </w:r>
      <w:r>
        <w:rPr>
          <w:rFonts w:hint="default" w:ascii="Times New Roman" w:hAnsi="Times New Roman" w:eastAsia="方正仿宋_GBK" w:cs="Times New Roman"/>
          <w:color w:val="auto"/>
          <w:sz w:val="32"/>
          <w:szCs w:val="32"/>
          <w:highlight w:val="none"/>
          <w:lang w:val="en-US" w:eastAsia="zh-CN"/>
        </w:rPr>
        <w:t>项目的询价，自愿作出以下承诺：</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1、询价截止日投标资格情况不存在下列情形之一：</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（1）被人民法院在“信用中国”网站（www.creditchina.gov.cn）列入失信被执行人名单且在被执行期内；</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（2）被列入《重庆市工程建设领域招标投标信用管理暂行办法》规定的重点关注名单且记分达到12分且在记分有效期内；</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（3）被列入《重庆市工程建设领域招标投标信用管理暂行办法》规定的黑名单且在有效期内；</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（4）被国家、重庆市（含市或任</w:t>
      </w:r>
      <w:r>
        <w:rPr>
          <w:rFonts w:hint="default" w:ascii="Times New Roman" w:hAnsi="Times New Roman" w:eastAsia="方正仿宋_GBK" w:cs="Times New Roman"/>
          <w:color w:val="auto"/>
          <w:sz w:val="32"/>
          <w:szCs w:val="32"/>
          <w:highlight w:val="none"/>
          <w:lang w:eastAsia="zh-CN"/>
        </w:rPr>
        <w:t>意区县）有关行政部门处以暂停投标资格行政处罚，且在处罚期限内；</w:t>
      </w:r>
    </w:p>
    <w:p>
      <w:pPr>
        <w:adjustRightInd w:val="0"/>
        <w:snapToGrid w:val="0"/>
        <w:spacing w:after="120"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（5）被重庆市相关行政主管部门暂停在渝承揽新业务且在暂停期内。</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4、询价文件符合 “合同条款</w:t>
      </w:r>
      <w:r>
        <w:rPr>
          <w:rFonts w:hint="eastAsia" w:ascii="Times New Roman" w:hAnsi="Times New Roman" w:eastAsia="方正仿宋_GBK" w:cs="Times New Roman"/>
          <w:color w:val="auto"/>
          <w:sz w:val="32"/>
          <w:szCs w:val="32"/>
          <w:highlight w:val="none"/>
          <w:lang w:val="en-US" w:eastAsia="zh-CN"/>
        </w:rPr>
        <w:t>与</w:t>
      </w:r>
      <w:r>
        <w:rPr>
          <w:rFonts w:hint="default" w:ascii="Times New Roman" w:hAnsi="Times New Roman" w:eastAsia="方正仿宋_GBK" w:cs="Times New Roman"/>
          <w:color w:val="auto"/>
          <w:sz w:val="32"/>
          <w:szCs w:val="32"/>
          <w:highlight w:val="none"/>
          <w:lang w:val="en-US" w:eastAsia="zh-CN"/>
        </w:rPr>
        <w:t>格式”规定，询价文件中没有询价人不能接受的条件。</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5、询价文件符合 “技术标准和要求”规定。</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6、</w:t>
      </w:r>
      <w:r>
        <w:rPr>
          <w:rFonts w:hint="eastAsia" w:ascii="Times New Roman" w:hAnsi="Times New Roman" w:eastAsia="方正仿宋_GBK" w:cs="Times New Roman"/>
          <w:color w:val="auto"/>
          <w:sz w:val="32"/>
          <w:szCs w:val="32"/>
          <w:highlight w:val="none"/>
          <w:lang w:val="en-US" w:eastAsia="zh-CN"/>
        </w:rPr>
        <w:t>其他</w:t>
      </w:r>
      <w:r>
        <w:rPr>
          <w:rFonts w:hint="default" w:ascii="Times New Roman" w:hAnsi="Times New Roman" w:eastAsia="方正仿宋_GBK" w:cs="Times New Roman"/>
          <w:color w:val="auto"/>
          <w:sz w:val="32"/>
          <w:szCs w:val="32"/>
          <w:highlight w:val="none"/>
          <w:lang w:val="en-US" w:eastAsia="zh-CN"/>
        </w:rPr>
        <w:t>。</w:t>
      </w:r>
    </w:p>
    <w:p>
      <w:pPr>
        <w:tabs>
          <w:tab w:val="left" w:leader="underscore" w:pos="7582"/>
        </w:tabs>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特此承诺。</w:t>
      </w:r>
    </w:p>
    <w:p>
      <w:pPr>
        <w:pStyle w:val="43"/>
        <w:rPr>
          <w:rFonts w:hint="default" w:ascii="Times New Roman" w:hAnsi="Times New Roman" w:eastAsia="方正仿宋_GBK" w:cs="Times New Roman"/>
          <w:color w:val="auto"/>
          <w:sz w:val="32"/>
          <w:szCs w:val="32"/>
          <w:highlight w:val="none"/>
          <w:lang w:val="en-US" w:eastAsia="zh-CN"/>
        </w:rPr>
      </w:pPr>
    </w:p>
    <w:p>
      <w:pPr>
        <w:pStyle w:val="43"/>
        <w:rPr>
          <w:rFonts w:hint="default" w:ascii="Times New Roman" w:hAnsi="Times New Roman" w:eastAsia="方正仿宋_GBK" w:cs="Times New Roman"/>
          <w:color w:val="auto"/>
          <w:sz w:val="32"/>
          <w:szCs w:val="32"/>
          <w:highlight w:val="none"/>
          <w:lang w:val="en-US" w:eastAsia="zh-CN"/>
        </w:rPr>
      </w:pPr>
    </w:p>
    <w:p>
      <w:pPr>
        <w:pStyle w:val="43"/>
        <w:rPr>
          <w:rFonts w:hint="default" w:ascii="Times New Roman" w:hAnsi="Times New Roman" w:eastAsia="方正仿宋_GBK" w:cs="Times New Roman"/>
          <w:color w:val="auto"/>
          <w:sz w:val="32"/>
          <w:szCs w:val="32"/>
          <w:highlight w:val="none"/>
          <w:lang w:val="en-US" w:eastAsia="zh-CN"/>
        </w:rPr>
      </w:pPr>
    </w:p>
    <w:p>
      <w:pPr>
        <w:tabs>
          <w:tab w:val="left" w:leader="underscore" w:pos="7582"/>
        </w:tabs>
        <w:spacing w:line="510" w:lineRule="exact"/>
        <w:ind w:firstLine="2560" w:firstLineChars="8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报价人：         （盖单位法人章）</w:t>
      </w:r>
    </w:p>
    <w:p>
      <w:pPr>
        <w:tabs>
          <w:tab w:val="left" w:leader="underscore" w:pos="7582"/>
        </w:tabs>
        <w:spacing w:line="510" w:lineRule="exact"/>
        <w:ind w:firstLine="2560" w:firstLineChars="8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法定代表人：       （签字或盖章）</w:t>
      </w:r>
    </w:p>
    <w:p>
      <w:pPr>
        <w:tabs>
          <w:tab w:val="left" w:leader="underscore" w:pos="7582"/>
        </w:tabs>
        <w:spacing w:line="510" w:lineRule="exact"/>
        <w:ind w:firstLine="2560" w:firstLineChars="800"/>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年    月    日</w:t>
      </w:r>
    </w:p>
    <w:p>
      <w:pPr>
        <w:pStyle w:val="43"/>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val="en-US" w:eastAsia="zh-CN"/>
        </w:rPr>
      </w:pPr>
      <w:bookmarkStart w:id="43" w:name="_Toc4383"/>
      <w:r>
        <w:rPr>
          <w:rFonts w:hint="eastAsia" w:ascii="Times New Roman" w:hAnsi="Times New Roman" w:eastAsia="方正小标宋_GBK" w:cs="Times New Roman"/>
          <w:color w:val="auto"/>
          <w:sz w:val="44"/>
          <w:szCs w:val="44"/>
          <w:highlight w:val="none"/>
          <w:lang w:val="en-US" w:eastAsia="zh-CN"/>
        </w:rPr>
        <w:t>五、</w:t>
      </w:r>
      <w:r>
        <w:rPr>
          <w:rFonts w:hint="default" w:ascii="Times New Roman" w:hAnsi="Times New Roman" w:eastAsia="方正小标宋_GBK" w:cs="Times New Roman"/>
          <w:color w:val="auto"/>
          <w:sz w:val="44"/>
          <w:szCs w:val="44"/>
          <w:highlight w:val="none"/>
          <w:lang w:val="en-US" w:eastAsia="zh-CN"/>
        </w:rPr>
        <w:t>项目方案及进度安排</w:t>
      </w:r>
      <w:bookmarkEnd w:id="43"/>
    </w:p>
    <w:p>
      <w:pPr>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包含但不限于对项目的认识（结合项目背景、区域概况、</w:t>
      </w:r>
      <w:r>
        <w:rPr>
          <w:rFonts w:hint="eastAsia" w:ascii="Times New Roman" w:hAnsi="Times New Roman" w:eastAsia="方正仿宋_GBK" w:cs="Times New Roman"/>
          <w:color w:val="auto"/>
          <w:sz w:val="32"/>
          <w:szCs w:val="32"/>
          <w:highlight w:val="none"/>
          <w:lang w:val="en-US" w:eastAsia="zh-CN"/>
        </w:rPr>
        <w:t>等</w:t>
      </w:r>
      <w:r>
        <w:rPr>
          <w:rFonts w:hint="default" w:ascii="Times New Roman" w:hAnsi="Times New Roman" w:eastAsia="方正仿宋_GBK" w:cs="Times New Roman"/>
          <w:color w:val="auto"/>
          <w:sz w:val="32"/>
          <w:szCs w:val="32"/>
          <w:highlight w:val="none"/>
          <w:lang w:val="en-US" w:eastAsia="zh-CN"/>
        </w:rPr>
        <w:t>书面资料）、技术方案（结合项目需求，编制相应专项研究方案、工作程序等）、项目管理及质量保证措施、进度计划与措施（总计划各关键环节的工期切实可行，保证工期的措施科学、可靠等方面),</w:t>
      </w:r>
      <w:r>
        <w:rPr>
          <w:rFonts w:hint="eastAsia" w:ascii="Times New Roman" w:hAnsi="Times New Roman" w:eastAsia="方正仿宋_GBK" w:cs="Times New Roman"/>
          <w:color w:val="auto"/>
          <w:sz w:val="32"/>
          <w:szCs w:val="32"/>
          <w:highlight w:val="none"/>
          <w:lang w:val="en-US" w:eastAsia="zh-CN"/>
        </w:rPr>
        <w:t>拟投入的</w:t>
      </w:r>
      <w:r>
        <w:rPr>
          <w:rFonts w:hint="default" w:ascii="Times New Roman" w:hAnsi="Times New Roman" w:eastAsia="方正仿宋_GBK" w:cs="Times New Roman"/>
          <w:color w:val="auto"/>
          <w:sz w:val="32"/>
          <w:szCs w:val="32"/>
          <w:highlight w:val="none"/>
          <w:lang w:val="en-US" w:eastAsia="zh-CN"/>
        </w:rPr>
        <w:t>试验设备</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承诺</w:t>
      </w:r>
      <w:r>
        <w:rPr>
          <w:rFonts w:hint="eastAsia" w:ascii="Times New Roman" w:hAnsi="Times New Roman" w:eastAsia="方正仿宋_GBK" w:cs="Times New Roman"/>
          <w:color w:val="auto"/>
          <w:sz w:val="32"/>
          <w:szCs w:val="32"/>
          <w:highlight w:val="none"/>
          <w:lang w:val="en-US" w:eastAsia="zh-CN"/>
        </w:rPr>
        <w:t>等。</w:t>
      </w:r>
    </w:p>
    <w:p>
      <w:pPr>
        <w:adjustRightInd w:val="0"/>
        <w:snapToGrid w:val="0"/>
        <w:spacing w:after="120" w:line="360" w:lineRule="auto"/>
        <w:ind w:firstLine="435"/>
        <w:jc w:val="lef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numPr>
          <w:ilvl w:val="0"/>
          <w:numId w:val="1"/>
        </w:numPr>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bookmarkStart w:id="44" w:name="_Toc24761"/>
      <w:r>
        <w:rPr>
          <w:rFonts w:hint="default" w:ascii="Times New Roman" w:hAnsi="Times New Roman" w:eastAsia="方正小标宋_GBK" w:cs="Times New Roman"/>
          <w:color w:val="auto"/>
          <w:sz w:val="44"/>
          <w:szCs w:val="44"/>
          <w:highlight w:val="none"/>
        </w:rPr>
        <w:t>其他资料</w:t>
      </w:r>
      <w:bookmarkEnd w:id="44"/>
    </w:p>
    <w:p>
      <w:pPr>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sectPr>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pPr>
    </w:p>
    <w:p>
      <w:pPr>
        <w:spacing w:line="510" w:lineRule="exact"/>
        <w:rPr>
          <w:rFonts w:hint="default" w:ascii="Times New Roman" w:hAnsi="Times New Roman" w:eastAsia="方正仿宋_GBK" w:cs="Times New Roman"/>
          <w:color w:val="auto"/>
          <w:kern w:val="0"/>
          <w:sz w:val="32"/>
          <w:szCs w:val="32"/>
          <w:highlight w:val="none"/>
          <w:lang w:val="en-US" w:eastAsia="zh-CN" w:bidi="ar-SA"/>
        </w:rPr>
      </w:pPr>
    </w:p>
    <w:sectPr>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89703A38-7836-4839-A5B2-93B5759F946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embedRegular r:id="rId2" w:fontKey="{1D8D1650-031B-4858-AEFE-7C41E4FDE1BF}"/>
  </w:font>
  <w:font w:name="方正仿宋_GBK">
    <w:panose1 w:val="03000509000000000000"/>
    <w:charset w:val="86"/>
    <w:family w:val="auto"/>
    <w:pitch w:val="default"/>
    <w:sig w:usb0="00000001" w:usb1="080E0000" w:usb2="00000000" w:usb3="00000000" w:csb0="00040000" w:csb1="00000000"/>
    <w:embedRegular r:id="rId3" w:fontKey="{61CE25AE-C022-48E0-B253-943E6EA170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94FC2F"/>
    <w:multiLevelType w:val="singleLevel"/>
    <w:tmpl w:val="6194FC2F"/>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352552C"/>
    <w:rsid w:val="048A3FA3"/>
    <w:rsid w:val="04C75BA9"/>
    <w:rsid w:val="052F1662"/>
    <w:rsid w:val="0636605F"/>
    <w:rsid w:val="067A2C61"/>
    <w:rsid w:val="06FD65F2"/>
    <w:rsid w:val="07DB11AE"/>
    <w:rsid w:val="08651193"/>
    <w:rsid w:val="08F93D5B"/>
    <w:rsid w:val="09CD7F8F"/>
    <w:rsid w:val="0B4A7F72"/>
    <w:rsid w:val="0BB95CD2"/>
    <w:rsid w:val="0BFE4292"/>
    <w:rsid w:val="0CD07E15"/>
    <w:rsid w:val="0CF44D98"/>
    <w:rsid w:val="0CFA4A65"/>
    <w:rsid w:val="0FB66909"/>
    <w:rsid w:val="10A81391"/>
    <w:rsid w:val="117A6EEF"/>
    <w:rsid w:val="11AD7344"/>
    <w:rsid w:val="13916DEF"/>
    <w:rsid w:val="13B86C2F"/>
    <w:rsid w:val="14295DAF"/>
    <w:rsid w:val="142A7E51"/>
    <w:rsid w:val="14840E85"/>
    <w:rsid w:val="1491177B"/>
    <w:rsid w:val="14E84C4F"/>
    <w:rsid w:val="159E24E8"/>
    <w:rsid w:val="15A10B00"/>
    <w:rsid w:val="15DB6778"/>
    <w:rsid w:val="160C4C85"/>
    <w:rsid w:val="162417DF"/>
    <w:rsid w:val="16A76DEE"/>
    <w:rsid w:val="17AC5B95"/>
    <w:rsid w:val="198130EF"/>
    <w:rsid w:val="19AE416C"/>
    <w:rsid w:val="19DD43BA"/>
    <w:rsid w:val="1A4B45F5"/>
    <w:rsid w:val="1AEB3291"/>
    <w:rsid w:val="1CD8468B"/>
    <w:rsid w:val="1CEB3111"/>
    <w:rsid w:val="1D1E25DF"/>
    <w:rsid w:val="1D652848"/>
    <w:rsid w:val="1DD736C3"/>
    <w:rsid w:val="1DE176F4"/>
    <w:rsid w:val="1DEC1A04"/>
    <w:rsid w:val="1ED764BA"/>
    <w:rsid w:val="214F77BD"/>
    <w:rsid w:val="21CC3BA7"/>
    <w:rsid w:val="22102401"/>
    <w:rsid w:val="224C673C"/>
    <w:rsid w:val="228765EB"/>
    <w:rsid w:val="241174C5"/>
    <w:rsid w:val="24304B96"/>
    <w:rsid w:val="24430E72"/>
    <w:rsid w:val="244671F3"/>
    <w:rsid w:val="24B738C2"/>
    <w:rsid w:val="24DB5C0B"/>
    <w:rsid w:val="24E95961"/>
    <w:rsid w:val="255178E6"/>
    <w:rsid w:val="255E1927"/>
    <w:rsid w:val="26710645"/>
    <w:rsid w:val="26A91696"/>
    <w:rsid w:val="272F2851"/>
    <w:rsid w:val="275D345E"/>
    <w:rsid w:val="279C6923"/>
    <w:rsid w:val="27BD1AEB"/>
    <w:rsid w:val="27FB689C"/>
    <w:rsid w:val="28FC289D"/>
    <w:rsid w:val="2914405B"/>
    <w:rsid w:val="29156EF2"/>
    <w:rsid w:val="2BC53552"/>
    <w:rsid w:val="2BF539B5"/>
    <w:rsid w:val="2C61237F"/>
    <w:rsid w:val="2D280A7E"/>
    <w:rsid w:val="2D3D6524"/>
    <w:rsid w:val="2E0326AE"/>
    <w:rsid w:val="2F3F177A"/>
    <w:rsid w:val="304C71E7"/>
    <w:rsid w:val="305C3F87"/>
    <w:rsid w:val="306E0CE5"/>
    <w:rsid w:val="31900874"/>
    <w:rsid w:val="319A23E2"/>
    <w:rsid w:val="32141918"/>
    <w:rsid w:val="32757FD6"/>
    <w:rsid w:val="328937F3"/>
    <w:rsid w:val="33C83BC3"/>
    <w:rsid w:val="33D87B23"/>
    <w:rsid w:val="35153592"/>
    <w:rsid w:val="35996867"/>
    <w:rsid w:val="36A87205"/>
    <w:rsid w:val="36CA2FA0"/>
    <w:rsid w:val="37910835"/>
    <w:rsid w:val="38500738"/>
    <w:rsid w:val="387B5356"/>
    <w:rsid w:val="389F0583"/>
    <w:rsid w:val="3B3B1938"/>
    <w:rsid w:val="3B536115"/>
    <w:rsid w:val="3B896557"/>
    <w:rsid w:val="3C607658"/>
    <w:rsid w:val="3D12686E"/>
    <w:rsid w:val="3DA446E9"/>
    <w:rsid w:val="3E0A4684"/>
    <w:rsid w:val="3E415AC4"/>
    <w:rsid w:val="3E5507CB"/>
    <w:rsid w:val="3EC066EC"/>
    <w:rsid w:val="3ED20001"/>
    <w:rsid w:val="3EE322BE"/>
    <w:rsid w:val="3EED6A2E"/>
    <w:rsid w:val="3EF25A32"/>
    <w:rsid w:val="408814E1"/>
    <w:rsid w:val="418D49B0"/>
    <w:rsid w:val="41B25D59"/>
    <w:rsid w:val="42615AA3"/>
    <w:rsid w:val="426A5D19"/>
    <w:rsid w:val="4281410E"/>
    <w:rsid w:val="42A713D5"/>
    <w:rsid w:val="42EE0B57"/>
    <w:rsid w:val="42FC2B26"/>
    <w:rsid w:val="453756CC"/>
    <w:rsid w:val="46240E54"/>
    <w:rsid w:val="469E20DF"/>
    <w:rsid w:val="46B20E2E"/>
    <w:rsid w:val="46E4318C"/>
    <w:rsid w:val="471F4D88"/>
    <w:rsid w:val="47754025"/>
    <w:rsid w:val="479E3A47"/>
    <w:rsid w:val="47D87266"/>
    <w:rsid w:val="48324764"/>
    <w:rsid w:val="49A2577D"/>
    <w:rsid w:val="4A321E22"/>
    <w:rsid w:val="4A3546F1"/>
    <w:rsid w:val="4B106456"/>
    <w:rsid w:val="4C6F2EDA"/>
    <w:rsid w:val="4E03626B"/>
    <w:rsid w:val="4F7B2533"/>
    <w:rsid w:val="508711A9"/>
    <w:rsid w:val="510E35CE"/>
    <w:rsid w:val="517B4EC0"/>
    <w:rsid w:val="51B322DA"/>
    <w:rsid w:val="51CC3CA7"/>
    <w:rsid w:val="53366EE7"/>
    <w:rsid w:val="54271112"/>
    <w:rsid w:val="54523A5C"/>
    <w:rsid w:val="555C3065"/>
    <w:rsid w:val="55987088"/>
    <w:rsid w:val="55D43B94"/>
    <w:rsid w:val="563F0B60"/>
    <w:rsid w:val="565372A1"/>
    <w:rsid w:val="56A32E66"/>
    <w:rsid w:val="56EF6751"/>
    <w:rsid w:val="577747A6"/>
    <w:rsid w:val="577A27D6"/>
    <w:rsid w:val="58A53ADF"/>
    <w:rsid w:val="593C56D0"/>
    <w:rsid w:val="593F171A"/>
    <w:rsid w:val="59995821"/>
    <w:rsid w:val="59E454CF"/>
    <w:rsid w:val="59F726F3"/>
    <w:rsid w:val="5B052582"/>
    <w:rsid w:val="5B297B8D"/>
    <w:rsid w:val="5B396C7A"/>
    <w:rsid w:val="5B57543C"/>
    <w:rsid w:val="5B953C9A"/>
    <w:rsid w:val="5BE066C1"/>
    <w:rsid w:val="5C1726A7"/>
    <w:rsid w:val="5C1B578B"/>
    <w:rsid w:val="5CA00DF1"/>
    <w:rsid w:val="5CFD0956"/>
    <w:rsid w:val="5D313A8F"/>
    <w:rsid w:val="5DA1040B"/>
    <w:rsid w:val="5DBD4136"/>
    <w:rsid w:val="5E7D7B12"/>
    <w:rsid w:val="5F566E06"/>
    <w:rsid w:val="5FA74DF5"/>
    <w:rsid w:val="60895210"/>
    <w:rsid w:val="60DC0379"/>
    <w:rsid w:val="60F91A9B"/>
    <w:rsid w:val="61681DAA"/>
    <w:rsid w:val="62137647"/>
    <w:rsid w:val="645271F1"/>
    <w:rsid w:val="64761A1E"/>
    <w:rsid w:val="65585085"/>
    <w:rsid w:val="67015D83"/>
    <w:rsid w:val="676C3643"/>
    <w:rsid w:val="67B30A70"/>
    <w:rsid w:val="68562C5D"/>
    <w:rsid w:val="69BE3E7E"/>
    <w:rsid w:val="69E81028"/>
    <w:rsid w:val="6AD53C58"/>
    <w:rsid w:val="6DE06576"/>
    <w:rsid w:val="6DFF3B02"/>
    <w:rsid w:val="70656815"/>
    <w:rsid w:val="7094702E"/>
    <w:rsid w:val="709655A9"/>
    <w:rsid w:val="710D7515"/>
    <w:rsid w:val="7139605B"/>
    <w:rsid w:val="71775C8E"/>
    <w:rsid w:val="72B14FD5"/>
    <w:rsid w:val="73B35CB1"/>
    <w:rsid w:val="74181201"/>
    <w:rsid w:val="743D400A"/>
    <w:rsid w:val="74590E55"/>
    <w:rsid w:val="755A6876"/>
    <w:rsid w:val="755F3CFE"/>
    <w:rsid w:val="756555F5"/>
    <w:rsid w:val="760D0BC5"/>
    <w:rsid w:val="762D6621"/>
    <w:rsid w:val="76575395"/>
    <w:rsid w:val="77AD20AE"/>
    <w:rsid w:val="78286988"/>
    <w:rsid w:val="7861167A"/>
    <w:rsid w:val="78E04108"/>
    <w:rsid w:val="7A3E4002"/>
    <w:rsid w:val="7AAF6562"/>
    <w:rsid w:val="7C4D729D"/>
    <w:rsid w:val="7DCC7838"/>
    <w:rsid w:val="7EB76CAC"/>
    <w:rsid w:val="7EBD184F"/>
    <w:rsid w:val="7F49148B"/>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0"/>
    <w:qFormat/>
    <w:uiPriority w:val="0"/>
    <w:pPr>
      <w:ind w:left="237" w:right="113"/>
      <w:outlineLvl w:val="2"/>
    </w:pPr>
    <w:rPr>
      <w:sz w:val="28"/>
      <w:szCs w:val="28"/>
    </w:rPr>
  </w:style>
  <w:style w:type="paragraph" w:styleId="2">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6">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8">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9">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0">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2">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3">
    <w:name w:val="caption"/>
    <w:basedOn w:val="1"/>
    <w:next w:val="1"/>
    <w:qFormat/>
    <w:uiPriority w:val="0"/>
    <w:pPr>
      <w:jc w:val="both"/>
    </w:pPr>
    <w:rPr>
      <w:rFonts w:ascii="Arial" w:hAnsi="Arial" w:eastAsia="黑体" w:cs="Arial"/>
      <w:kern w:val="2"/>
      <w:sz w:val="20"/>
      <w:szCs w:val="20"/>
      <w:lang w:eastAsia="zh-CN"/>
    </w:rPr>
  </w:style>
  <w:style w:type="paragraph" w:styleId="14">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5">
    <w:name w:val="annotation text"/>
    <w:basedOn w:val="1"/>
    <w:link w:val="85"/>
    <w:qFormat/>
    <w:uiPriority w:val="0"/>
    <w:rPr>
      <w:rFonts w:asciiTheme="minorHAnsi" w:hAnsiTheme="minorHAnsi" w:cstheme="minorBidi"/>
      <w:kern w:val="2"/>
      <w:sz w:val="21"/>
      <w:szCs w:val="24"/>
      <w:lang w:eastAsia="zh-CN"/>
    </w:rPr>
  </w:style>
  <w:style w:type="paragraph" w:styleId="16">
    <w:name w:val="Body Text 3"/>
    <w:basedOn w:val="1"/>
    <w:link w:val="100"/>
    <w:qFormat/>
    <w:uiPriority w:val="0"/>
    <w:pPr>
      <w:jc w:val="both"/>
    </w:pPr>
    <w:rPr>
      <w:rFonts w:hAnsiTheme="minorHAnsi" w:eastAsiaTheme="minorEastAsia" w:cstheme="minorBidi"/>
      <w:kern w:val="2"/>
      <w:sz w:val="24"/>
      <w:lang w:eastAsia="zh-CN"/>
    </w:rPr>
  </w:style>
  <w:style w:type="paragraph" w:styleId="17">
    <w:name w:val="Body Text"/>
    <w:basedOn w:val="1"/>
    <w:next w:val="1"/>
    <w:link w:val="55"/>
    <w:qFormat/>
    <w:uiPriority w:val="0"/>
    <w:rPr>
      <w:sz w:val="21"/>
      <w:szCs w:val="21"/>
    </w:rPr>
  </w:style>
  <w:style w:type="paragraph" w:styleId="18">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7"/>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5"/>
    <w:next w:val="15"/>
    <w:link w:val="96"/>
    <w:unhideWhenUsed/>
    <w:qFormat/>
    <w:uiPriority w:val="0"/>
    <w:rPr>
      <w:rFonts w:ascii="宋体" w:hAnsi="宋体" w:cs="宋体"/>
      <w:b/>
      <w:bCs/>
    </w:rPr>
  </w:style>
  <w:style w:type="paragraph" w:styleId="42">
    <w:name w:val="Body Text First Indent"/>
    <w:basedOn w:val="17"/>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7"/>
    <w:qFormat/>
    <w:uiPriority w:val="1"/>
    <w:rPr>
      <w:rFonts w:ascii="宋体" w:hAnsi="宋体" w:eastAsia="宋体" w:cs="宋体"/>
      <w:kern w:val="0"/>
      <w:szCs w:val="21"/>
      <w:lang w:eastAsia="en-US"/>
    </w:rPr>
  </w:style>
  <w:style w:type="character" w:customStyle="1" w:styleId="56">
    <w:name w:val="页脚 Char2"/>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6"/>
    <w:qFormat/>
    <w:uiPriority w:val="0"/>
    <w:rPr>
      <w:rFonts w:ascii="Times New Roman" w:hAnsi="Times New Roman" w:eastAsia="宋体" w:cs="Times New Roman"/>
      <w:b/>
      <w:bCs/>
      <w:sz w:val="28"/>
      <w:szCs w:val="28"/>
    </w:rPr>
  </w:style>
  <w:style w:type="character" w:customStyle="1" w:styleId="65">
    <w:name w:val="标题 6 Char"/>
    <w:basedOn w:val="46"/>
    <w:link w:val="7"/>
    <w:qFormat/>
    <w:uiPriority w:val="0"/>
    <w:rPr>
      <w:rFonts w:ascii="Arial" w:hAnsi="Arial" w:eastAsia="黑体" w:cs="Times New Roman"/>
      <w:b/>
      <w:bCs/>
      <w:kern w:val="0"/>
      <w:sz w:val="24"/>
      <w:szCs w:val="24"/>
    </w:rPr>
  </w:style>
  <w:style w:type="character" w:customStyle="1" w:styleId="66">
    <w:name w:val="标题 7 Char"/>
    <w:basedOn w:val="46"/>
    <w:link w:val="8"/>
    <w:qFormat/>
    <w:uiPriority w:val="0"/>
    <w:rPr>
      <w:rFonts w:ascii="Times New Roman" w:hAnsi="Times New Roman" w:eastAsia="宋体" w:cs="Times New Roman"/>
      <w:b/>
      <w:bCs/>
      <w:kern w:val="0"/>
      <w:sz w:val="24"/>
      <w:szCs w:val="24"/>
    </w:rPr>
  </w:style>
  <w:style w:type="character" w:customStyle="1" w:styleId="67">
    <w:name w:val="标题 8 Char"/>
    <w:basedOn w:val="46"/>
    <w:link w:val="9"/>
    <w:qFormat/>
    <w:uiPriority w:val="0"/>
    <w:rPr>
      <w:rFonts w:ascii="Arial" w:hAnsi="Arial" w:eastAsia="黑体" w:cs="Times New Roman"/>
      <w:kern w:val="0"/>
      <w:sz w:val="24"/>
      <w:szCs w:val="24"/>
    </w:rPr>
  </w:style>
  <w:style w:type="character" w:customStyle="1" w:styleId="68">
    <w:name w:val="标题 9 Char"/>
    <w:basedOn w:val="46"/>
    <w:link w:val="10"/>
    <w:qFormat/>
    <w:uiPriority w:val="0"/>
    <w:rPr>
      <w:rFonts w:ascii="Arial" w:hAnsi="Arial" w:eastAsia="黑体" w:cs="Times New Roman"/>
      <w:kern w:val="0"/>
      <w:szCs w:val="21"/>
    </w:rPr>
  </w:style>
  <w:style w:type="character" w:customStyle="1" w:styleId="69">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5"/>
    <w:qFormat/>
    <w:uiPriority w:val="0"/>
    <w:rPr>
      <w:rFonts w:ascii="宋体" w:hAnsi="宋体" w:eastAsia="宋体" w:cs="宋体"/>
      <w:kern w:val="0"/>
      <w:sz w:val="28"/>
      <w:szCs w:val="28"/>
      <w:lang w:eastAsia="en-US"/>
    </w:rPr>
  </w:style>
  <w:style w:type="character" w:customStyle="1" w:styleId="71">
    <w:name w:val="标题 4 Char1"/>
    <w:basedOn w:val="46"/>
    <w:link w:val="2"/>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6"/>
    <w:semiHidden/>
    <w:qFormat/>
    <w:uiPriority w:val="0"/>
    <w:rPr>
      <w:rFonts w:ascii="宋体" w:hAnsi="宋体" w:eastAsia="宋体" w:cs="宋体"/>
      <w:kern w:val="0"/>
      <w:sz w:val="18"/>
      <w:szCs w:val="18"/>
      <w:lang w:eastAsia="en-US"/>
    </w:rPr>
  </w:style>
  <w:style w:type="paragraph" w:customStyle="1" w:styleId="81">
    <w:name w:val="TOC Heading"/>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5"/>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1"/>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6"/>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8"/>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4"/>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2"/>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5"/>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4"/>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2"/>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纯文本1"/>
    <w:basedOn w:val="1"/>
    <w:qFormat/>
    <w:uiPriority w:val="0"/>
    <w:rPr>
      <w:rFonts w:ascii="宋体" w:hAnsi="Courier New"/>
      <w:kern w:val="0"/>
      <w:sz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1524</Words>
  <Characters>8687</Characters>
  <Lines>72</Lines>
  <Paragraphs>20</Paragraphs>
  <TotalTime>0</TotalTime>
  <ScaleCrop>false</ScaleCrop>
  <LinksUpToDate>false</LinksUpToDate>
  <CharactersWithSpaces>10191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八仔</cp:lastModifiedBy>
  <dcterms:modified xsi:type="dcterms:W3CDTF">2022-03-01T11:27:13Z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0D907DBB05F84B37847F04C8CD718D8C</vt:lpwstr>
  </property>
</Properties>
</file>