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8"/>
          <w:szCs w:val="48"/>
        </w:rPr>
      </w:pPr>
      <w:bookmarkStart w:id="0" w:name="_Hlk108621093"/>
      <w:r>
        <w:rPr>
          <w:rFonts w:hint="eastAsia" w:ascii="宋体" w:hAnsi="宋体"/>
          <w:b/>
          <w:bCs/>
          <w:sz w:val="48"/>
          <w:szCs w:val="48"/>
        </w:rPr>
        <w:t>渝蓉高速公路2022年路面维修处治工程</w:t>
      </w:r>
    </w:p>
    <w:p>
      <w:pPr>
        <w:jc w:val="center"/>
        <w:rPr>
          <w:rFonts w:ascii="宋体" w:hAnsi="宋体" w:cs="宋体"/>
          <w:b/>
          <w:color w:val="000000"/>
          <w:sz w:val="48"/>
          <w:szCs w:val="48"/>
        </w:rPr>
      </w:pPr>
      <w:r>
        <w:rPr>
          <w:rFonts w:hint="eastAsia" w:ascii="宋体" w:hAnsi="宋体"/>
          <w:b/>
          <w:bCs/>
          <w:sz w:val="48"/>
          <w:szCs w:val="48"/>
        </w:rPr>
        <w:t>商品混凝土</w:t>
      </w:r>
      <w:r>
        <w:rPr>
          <w:rFonts w:hint="eastAsia" w:ascii="宋体" w:hAnsi="宋体" w:cs="宋体"/>
          <w:b/>
          <w:color w:val="000000"/>
          <w:sz w:val="48"/>
          <w:szCs w:val="48"/>
        </w:rPr>
        <w:t>采购</w:t>
      </w:r>
      <w:bookmarkEnd w:id="0"/>
    </w:p>
    <w:p>
      <w:pPr>
        <w:jc w:val="center"/>
        <w:rPr>
          <w:rFonts w:ascii="宋体" w:hAnsi="宋体" w:cs="宋体"/>
          <w:b/>
          <w:spacing w:val="20"/>
          <w:sz w:val="72"/>
          <w:szCs w:val="72"/>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32"/>
        <w:rPr>
          <w:color w:val="auto"/>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2</w:t>
      </w:r>
      <w:r>
        <w:rPr>
          <w:rFonts w:ascii="宋体" w:hAnsi="宋体" w:cs="宋体"/>
          <w:b/>
          <w:sz w:val="32"/>
          <w:szCs w:val="32"/>
        </w:rPr>
        <w:t>022</w:t>
      </w:r>
      <w:r>
        <w:rPr>
          <w:rFonts w:hint="eastAsia" w:ascii="宋体" w:hAnsi="宋体" w:cs="宋体"/>
          <w:b/>
          <w:sz w:val="32"/>
          <w:szCs w:val="32"/>
        </w:rPr>
        <w:t>年10月</w:t>
      </w:r>
    </w:p>
    <w:p/>
    <w:p>
      <w:pPr>
        <w:pStyle w:val="32"/>
        <w:rPr>
          <w:color w:val="auto"/>
        </w:rPr>
      </w:pPr>
    </w:p>
    <w:p>
      <w:pPr>
        <w:jc w:val="center"/>
        <w:rPr>
          <w:rFonts w:ascii="宋体" w:hAnsi="宋体"/>
          <w:b/>
          <w:bCs/>
          <w:sz w:val="36"/>
          <w:szCs w:val="36"/>
        </w:rPr>
      </w:pPr>
      <w:r>
        <w:rPr>
          <w:rFonts w:hint="eastAsia"/>
        </w:rPr>
        <w:br w:type="page"/>
      </w:r>
      <w:r>
        <w:rPr>
          <w:rFonts w:hint="eastAsia" w:ascii="宋体" w:hAnsi="宋体"/>
          <w:b/>
          <w:bCs/>
          <w:sz w:val="36"/>
          <w:szCs w:val="36"/>
        </w:rPr>
        <w:t>渝蓉高速公路2022年路面维修处治工程商品混凝土</w:t>
      </w:r>
    </w:p>
    <w:p>
      <w:pPr>
        <w:jc w:val="center"/>
        <w:rPr>
          <w:rFonts w:ascii="宋体" w:hAnsi="宋体" w:cs="宋体"/>
          <w:b/>
          <w:color w:val="000000"/>
          <w:sz w:val="36"/>
          <w:szCs w:val="36"/>
        </w:rPr>
      </w:pPr>
      <w:r>
        <w:rPr>
          <w:rFonts w:hint="eastAsia" w:ascii="宋体" w:hAnsi="宋体" w:cs="宋体"/>
          <w:b/>
          <w:color w:val="000000"/>
          <w:sz w:val="36"/>
          <w:szCs w:val="36"/>
        </w:rPr>
        <w:t>采购竞争性比选公告</w:t>
      </w:r>
      <w:bookmarkStart w:id="1" w:name="_Toc296602410"/>
      <w:bookmarkStart w:id="2" w:name="_Toc246996909"/>
      <w:bookmarkStart w:id="3" w:name="_Toc152042295"/>
      <w:bookmarkStart w:id="4" w:name="_Toc247085680"/>
      <w:bookmarkStart w:id="5" w:name="_Toc179632536"/>
      <w:bookmarkStart w:id="6" w:name="_Toc246996166"/>
      <w:bookmarkStart w:id="7" w:name="_Toc144974487"/>
      <w:bookmarkStart w:id="8" w:name="_Toc152045519"/>
    </w:p>
    <w:bookmarkEnd w:id="1"/>
    <w:bookmarkEnd w:id="2"/>
    <w:bookmarkEnd w:id="3"/>
    <w:bookmarkEnd w:id="4"/>
    <w:bookmarkEnd w:id="5"/>
    <w:bookmarkEnd w:id="6"/>
    <w:bookmarkEnd w:id="7"/>
    <w:bookmarkEnd w:id="8"/>
    <w:p>
      <w:pPr>
        <w:wordWrap w:val="0"/>
        <w:spacing w:line="400" w:lineRule="exact"/>
        <w:ind w:firstLine="420" w:firstLineChars="200"/>
        <w:jc w:val="left"/>
        <w:rPr>
          <w:szCs w:val="21"/>
        </w:rPr>
      </w:pPr>
      <w:bookmarkStart w:id="9" w:name="_Toc247085682"/>
      <w:bookmarkStart w:id="10" w:name="_Toc246996911"/>
      <w:bookmarkStart w:id="11" w:name="_Toc246996168"/>
      <w:bookmarkStart w:id="12" w:name="_Toc152045521"/>
      <w:bookmarkStart w:id="13" w:name="_Toc144974489"/>
      <w:bookmarkStart w:id="14" w:name="_Toc152042297"/>
      <w:bookmarkStart w:id="15" w:name="_Toc296602412"/>
      <w:bookmarkStart w:id="16" w:name="_Toc179632538"/>
      <w:r>
        <w:rPr>
          <w:szCs w:val="21"/>
        </w:rPr>
        <w:t>本项目</w:t>
      </w:r>
      <w:bookmarkStart w:id="17" w:name="_Hlk110246658"/>
      <w:r>
        <w:rPr>
          <w:rFonts w:hint="eastAsia"/>
          <w:b/>
          <w:bCs/>
          <w:color w:val="000000"/>
          <w:szCs w:val="21"/>
          <w:u w:val="single"/>
        </w:rPr>
        <w:t>渝蓉高速公路2022年路面维修处治工程商品混凝土采购</w:t>
      </w:r>
      <w:bookmarkEnd w:id="17"/>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8" w:name="_Toc179632537"/>
      <w:bookmarkStart w:id="19" w:name="_Toc246996910"/>
      <w:bookmarkStart w:id="20" w:name="_Toc247085681"/>
      <w:bookmarkStart w:id="21" w:name="_Toc296602411"/>
      <w:bookmarkStart w:id="22" w:name="_Toc246996167"/>
      <w:bookmarkStart w:id="23" w:name="_Toc144974488"/>
      <w:bookmarkStart w:id="24" w:name="_Toc152042296"/>
      <w:bookmarkStart w:id="25" w:name="_Toc152045520"/>
      <w:r>
        <w:rPr>
          <w:b/>
          <w:szCs w:val="21"/>
        </w:rPr>
        <w:t>一、项目概况与</w:t>
      </w:r>
      <w:r>
        <w:rPr>
          <w:rFonts w:hint="eastAsia"/>
          <w:b/>
          <w:szCs w:val="21"/>
        </w:rPr>
        <w:t>竞争性比选</w:t>
      </w:r>
      <w:r>
        <w:rPr>
          <w:b/>
          <w:szCs w:val="21"/>
        </w:rPr>
        <w:t>范围</w:t>
      </w:r>
      <w:bookmarkEnd w:id="18"/>
      <w:bookmarkEnd w:id="19"/>
      <w:bookmarkEnd w:id="20"/>
      <w:bookmarkEnd w:id="21"/>
      <w:bookmarkEnd w:id="22"/>
      <w:bookmarkEnd w:id="23"/>
      <w:bookmarkEnd w:id="24"/>
      <w:bookmarkEnd w:id="25"/>
    </w:p>
    <w:p>
      <w:pPr>
        <w:widowControl/>
        <w:ind w:firstLine="420" w:firstLineChars="200"/>
        <w:jc w:val="left"/>
        <w:rPr>
          <w:color w:val="000000"/>
          <w:szCs w:val="21"/>
        </w:rPr>
      </w:pPr>
      <w:r>
        <w:rPr>
          <w:rFonts w:hint="eastAsia"/>
          <w:color w:val="000000"/>
          <w:szCs w:val="21"/>
        </w:rPr>
        <w:t>本工程主要针对G5013渝蓉高速K75+800-K76+800（出城方向）、K8+900-K9+900（双向））、K11-K16(双向)等路面涉及到的排水设施进行改造。为满足生产需要需对</w:t>
      </w:r>
      <w:r>
        <w:rPr>
          <w:rFonts w:hint="eastAsia" w:ascii="宋体" w:hAnsi="宋体"/>
          <w:szCs w:val="21"/>
        </w:rPr>
        <w:t>渝蓉高速公路2022年路面维修处治工程涉及到的商品混凝土</w:t>
      </w:r>
      <w:r>
        <w:rPr>
          <w:rFonts w:hint="eastAsia" w:ascii="宋体" w:hAnsi="宋体" w:cs="宋体"/>
          <w:color w:val="000000"/>
          <w:szCs w:val="21"/>
        </w:rPr>
        <w:t>材料进行采购</w:t>
      </w:r>
      <w:r>
        <w:rPr>
          <w:rFonts w:hint="eastAsia"/>
          <w:color w:val="000000"/>
          <w:szCs w:val="21"/>
        </w:rPr>
        <w:t>。</w:t>
      </w:r>
      <w:r>
        <w:rPr>
          <w:color w:val="000000"/>
          <w:szCs w:val="21"/>
        </w:rPr>
        <w:t xml:space="preserve"> </w:t>
      </w:r>
    </w:p>
    <w:p>
      <w:pPr>
        <w:spacing w:line="400" w:lineRule="exact"/>
        <w:ind w:firstLine="420" w:firstLineChars="200"/>
      </w:pPr>
      <w:r>
        <w:rPr>
          <w:rFonts w:hint="eastAsia"/>
          <w:szCs w:val="21"/>
        </w:rPr>
        <w:t>1.1比选范围：</w:t>
      </w:r>
      <w:r>
        <w:rPr>
          <w:rFonts w:hint="eastAsia"/>
          <w:b/>
          <w:bCs/>
          <w:szCs w:val="21"/>
        </w:rPr>
        <w:t>（C</w:t>
      </w:r>
      <w:r>
        <w:rPr>
          <w:b/>
          <w:bCs/>
          <w:szCs w:val="21"/>
        </w:rPr>
        <w:t>2</w:t>
      </w:r>
      <w:r>
        <w:rPr>
          <w:rFonts w:hint="eastAsia"/>
          <w:b/>
          <w:bCs/>
          <w:szCs w:val="21"/>
        </w:rPr>
        <w:t>5混凝土、C30混凝土）</w:t>
      </w:r>
    </w:p>
    <w:p>
      <w:pPr>
        <w:widowControl/>
        <w:ind w:firstLine="420" w:firstLineChars="200"/>
        <w:jc w:val="left"/>
        <w:rPr>
          <w:color w:val="000000"/>
          <w:szCs w:val="21"/>
        </w:rPr>
      </w:pPr>
      <w:r>
        <w:rPr>
          <w:rFonts w:hint="eastAsia"/>
          <w:color w:val="000000"/>
          <w:szCs w:val="21"/>
        </w:rPr>
        <w:t>1.2工程地点/材料采购交货地点：G5013渝蓉高速K75+800-K76+800（出城方向）、K8+900-K9+900（双向））、K11-K16(双向) 等路面涉及到的排水设施进行改造。</w:t>
      </w:r>
    </w:p>
    <w:p>
      <w:pPr>
        <w:spacing w:line="400" w:lineRule="exact"/>
        <w:ind w:firstLine="420" w:firstLineChars="200"/>
        <w:rPr>
          <w:szCs w:val="21"/>
        </w:rPr>
      </w:pPr>
      <w:r>
        <w:rPr>
          <w:rFonts w:hint="eastAsia"/>
          <w:szCs w:val="21"/>
        </w:rPr>
        <w:t>1.3供货期：</w:t>
      </w:r>
      <w:r>
        <w:rPr>
          <w:rFonts w:hint="eastAsia"/>
          <w:b/>
          <w:bCs/>
          <w:szCs w:val="21"/>
        </w:rPr>
        <w:t>中标之日起至</w:t>
      </w:r>
      <w:r>
        <w:rPr>
          <w:b/>
          <w:bCs/>
          <w:szCs w:val="21"/>
        </w:rPr>
        <w:t>202</w:t>
      </w:r>
      <w:r>
        <w:rPr>
          <w:rFonts w:hint="eastAsia"/>
          <w:b/>
          <w:bCs/>
          <w:szCs w:val="21"/>
        </w:rPr>
        <w:t>2年12月30日。</w:t>
      </w:r>
    </w:p>
    <w:p>
      <w:pPr>
        <w:spacing w:line="400" w:lineRule="exact"/>
        <w:ind w:firstLine="420" w:firstLineChars="200"/>
        <w:rPr>
          <w:szCs w:val="21"/>
        </w:rPr>
      </w:pPr>
      <w:r>
        <w:rPr>
          <w:rFonts w:hint="eastAsia"/>
          <w:szCs w:val="21"/>
        </w:rPr>
        <w:t xml:space="preserve">1.4主要工程数量： </w:t>
      </w:r>
    </w:p>
    <w:tbl>
      <w:tblPr>
        <w:tblStyle w:val="19"/>
        <w:tblW w:w="5887" w:type="dxa"/>
        <w:jc w:val="center"/>
        <w:tblLayout w:type="fixed"/>
        <w:tblCellMar>
          <w:top w:w="15" w:type="dxa"/>
          <w:left w:w="15" w:type="dxa"/>
          <w:bottom w:w="15" w:type="dxa"/>
          <w:right w:w="15" w:type="dxa"/>
        </w:tblCellMar>
      </w:tblPr>
      <w:tblGrid>
        <w:gridCol w:w="598"/>
        <w:gridCol w:w="1657"/>
        <w:gridCol w:w="590"/>
        <w:gridCol w:w="1388"/>
        <w:gridCol w:w="1654"/>
      </w:tblGrid>
      <w:tr>
        <w:tblPrEx>
          <w:tblCellMar>
            <w:top w:w="15" w:type="dxa"/>
            <w:left w:w="15" w:type="dxa"/>
            <w:bottom w:w="15" w:type="dxa"/>
            <w:right w:w="15" w:type="dxa"/>
          </w:tblCellMar>
        </w:tblPrEx>
        <w:trPr>
          <w:trHeight w:val="662"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1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highlight w:val="yellow"/>
              </w:rPr>
            </w:pPr>
            <w:r>
              <w:rPr>
                <w:rFonts w:hint="eastAsia" w:ascii="宋体" w:hAnsi="宋体" w:cs="宋体"/>
                <w:color w:val="000000"/>
                <w:sz w:val="20"/>
                <w:highlight w:val="yellow"/>
              </w:rPr>
              <w:t>项目名称</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20"/>
                <w:highlight w:val="yellow"/>
              </w:rPr>
            </w:pPr>
            <w:r>
              <w:rPr>
                <w:rFonts w:hint="eastAsia" w:ascii="宋体" w:hAnsi="宋体" w:cs="宋体"/>
                <w:color w:val="000000"/>
                <w:kern w:val="0"/>
                <w:sz w:val="20"/>
                <w:highlight w:val="yellow"/>
              </w:rPr>
              <w:t>单位</w:t>
            </w:r>
          </w:p>
        </w:tc>
        <w:tc>
          <w:tcPr>
            <w:tcW w:w="13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20"/>
                <w:highlight w:val="yellow"/>
              </w:rPr>
            </w:pPr>
            <w:r>
              <w:rPr>
                <w:rFonts w:hint="eastAsia" w:ascii="宋体" w:hAnsi="宋体" w:cs="宋体"/>
                <w:color w:val="000000"/>
                <w:kern w:val="0"/>
                <w:sz w:val="20"/>
                <w:highlight w:val="yellow"/>
              </w:rPr>
              <w:t>暂定工程量</w:t>
            </w:r>
          </w:p>
          <w:p>
            <w:pPr>
              <w:widowControl/>
              <w:jc w:val="center"/>
              <w:textAlignment w:val="center"/>
              <w:rPr>
                <w:rFonts w:ascii="宋体" w:hAnsi="宋体" w:cs="宋体"/>
                <w:color w:val="000000"/>
                <w:kern w:val="0"/>
                <w:sz w:val="20"/>
                <w:highlight w:val="yellow"/>
              </w:rPr>
            </w:pPr>
            <w:r>
              <w:rPr>
                <w:rFonts w:hint="eastAsia" w:ascii="宋体" w:hAnsi="宋体" w:cs="宋体"/>
                <w:color w:val="000000"/>
                <w:kern w:val="0"/>
                <w:sz w:val="20"/>
                <w:highlight w:val="yellow"/>
              </w:rPr>
              <w:t>（m3）</w:t>
            </w:r>
          </w:p>
        </w:tc>
        <w:tc>
          <w:tcPr>
            <w:tcW w:w="16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备注</w:t>
            </w:r>
          </w:p>
        </w:tc>
      </w:tr>
      <w:tr>
        <w:tblPrEx>
          <w:tblCellMar>
            <w:top w:w="15" w:type="dxa"/>
            <w:left w:w="15" w:type="dxa"/>
            <w:bottom w:w="15" w:type="dxa"/>
            <w:right w:w="15" w:type="dxa"/>
          </w:tblCellMar>
        </w:tblPrEx>
        <w:trPr>
          <w:trHeight w:val="369"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Cs w:val="21"/>
              </w:rPr>
              <w:t>1</w:t>
            </w:r>
          </w:p>
        </w:tc>
        <w:tc>
          <w:tcPr>
            <w:tcW w:w="1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highlight w:val="yellow"/>
              </w:rPr>
            </w:pPr>
            <w:r>
              <w:rPr>
                <w:rFonts w:hint="eastAsia" w:ascii="宋体" w:hAnsi="宋体" w:cs="宋体"/>
                <w:kern w:val="0"/>
                <w:szCs w:val="21"/>
                <w:highlight w:val="yellow"/>
              </w:rPr>
              <w:t>C25商品混凝土</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highlight w:val="yellow"/>
              </w:rPr>
            </w:pPr>
            <w:r>
              <w:rPr>
                <w:rFonts w:hint="eastAsia" w:ascii="宋体" w:hAnsi="宋体" w:cs="宋体"/>
                <w:color w:val="000000"/>
                <w:kern w:val="0"/>
                <w:szCs w:val="21"/>
                <w:highlight w:val="yellow"/>
              </w:rPr>
              <w:t>m3</w:t>
            </w:r>
          </w:p>
        </w:tc>
        <w:tc>
          <w:tcPr>
            <w:tcW w:w="13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Cs w:val="21"/>
                <w:highlight w:val="yellow"/>
              </w:rPr>
            </w:pPr>
            <w:r>
              <w:rPr>
                <w:rFonts w:hint="eastAsia" w:ascii="宋体" w:hAnsi="宋体" w:cs="宋体"/>
                <w:color w:val="000000"/>
                <w:kern w:val="0"/>
                <w:szCs w:val="21"/>
                <w:highlight w:val="yellow"/>
              </w:rPr>
              <w:t>951</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须走高速到达施工现场</w:t>
            </w:r>
          </w:p>
        </w:tc>
      </w:tr>
      <w:tr>
        <w:tblPrEx>
          <w:tblCellMar>
            <w:top w:w="15" w:type="dxa"/>
            <w:left w:w="15" w:type="dxa"/>
            <w:bottom w:w="15" w:type="dxa"/>
            <w:right w:w="15" w:type="dxa"/>
          </w:tblCellMar>
        </w:tblPrEx>
        <w:trPr>
          <w:trHeight w:val="466" w:hRule="atLeast"/>
          <w:jc w:val="center"/>
        </w:trPr>
        <w:tc>
          <w:tcPr>
            <w:tcW w:w="5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165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Cs w:val="21"/>
                <w:highlight w:val="yellow"/>
              </w:rPr>
            </w:pPr>
            <w:r>
              <w:rPr>
                <w:rFonts w:hint="eastAsia" w:ascii="宋体" w:hAnsi="宋体" w:cs="宋体"/>
                <w:kern w:val="0"/>
                <w:szCs w:val="21"/>
                <w:highlight w:val="yellow"/>
              </w:rPr>
              <w:t>C30商品混凝土</w:t>
            </w:r>
          </w:p>
        </w:tc>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kern w:val="0"/>
                <w:szCs w:val="21"/>
                <w:highlight w:val="yellow"/>
              </w:rPr>
            </w:pPr>
            <w:r>
              <w:rPr>
                <w:rFonts w:hint="eastAsia" w:ascii="宋体" w:hAnsi="宋体" w:cs="宋体"/>
                <w:color w:val="000000"/>
                <w:kern w:val="0"/>
                <w:szCs w:val="21"/>
                <w:highlight w:val="yellow"/>
              </w:rPr>
              <w:t>m3</w:t>
            </w:r>
          </w:p>
        </w:tc>
        <w:tc>
          <w:tcPr>
            <w:tcW w:w="138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kern w:val="0"/>
                <w:szCs w:val="21"/>
                <w:highlight w:val="yellow"/>
              </w:rPr>
            </w:pPr>
            <w:r>
              <w:rPr>
                <w:rFonts w:hint="eastAsia" w:ascii="宋体" w:hAnsi="宋体" w:cs="宋体"/>
                <w:kern w:val="0"/>
                <w:szCs w:val="21"/>
                <w:highlight w:val="yellow"/>
              </w:rPr>
              <w:t>500</w:t>
            </w: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center"/>
              <w:textAlignment w:val="center"/>
              <w:rPr>
                <w:rFonts w:ascii="宋体" w:hAnsi="宋体" w:cs="宋体"/>
                <w:color w:val="000000"/>
                <w:kern w:val="0"/>
                <w:sz w:val="18"/>
                <w:szCs w:val="18"/>
              </w:rPr>
            </w:pPr>
          </w:p>
        </w:tc>
      </w:tr>
    </w:tbl>
    <w:p>
      <w:pPr>
        <w:spacing w:line="360" w:lineRule="exact"/>
        <w:ind w:firstLine="360" w:firstLineChars="200"/>
        <w:rPr>
          <w:color w:val="000000"/>
          <w:sz w:val="18"/>
          <w:szCs w:val="18"/>
        </w:rPr>
      </w:pPr>
      <w:r>
        <w:rPr>
          <w:rFonts w:hint="eastAsia"/>
          <w:color w:val="000000"/>
          <w:sz w:val="18"/>
          <w:szCs w:val="18"/>
        </w:rPr>
        <w:t>备注：1、本次采购数量为暂估量，最终数量以实际结算数量为准且满足国家及行业的相关技术规范标准(具体规格型号以竞争性比选人实际要求为准)；</w:t>
      </w:r>
    </w:p>
    <w:p>
      <w:pPr>
        <w:ind w:firstLine="360" w:firstLineChars="200"/>
        <w:rPr>
          <w:color w:val="000000"/>
          <w:kern w:val="0"/>
          <w:sz w:val="18"/>
          <w:szCs w:val="18"/>
        </w:rPr>
      </w:pPr>
      <w:r>
        <w:rPr>
          <w:rFonts w:hint="eastAsia"/>
          <w:color w:val="000000"/>
          <w:sz w:val="18"/>
          <w:szCs w:val="18"/>
        </w:rPr>
        <w:t>2、供货期：本工程工期为自</w:t>
      </w:r>
      <w:r>
        <w:rPr>
          <w:rFonts w:hint="eastAsia"/>
          <w:sz w:val="18"/>
          <w:szCs w:val="18"/>
        </w:rPr>
        <w:t>中标之日起</w:t>
      </w:r>
      <w:r>
        <w:rPr>
          <w:rFonts w:hint="eastAsia"/>
          <w:b/>
          <w:bCs/>
          <w:sz w:val="18"/>
          <w:szCs w:val="18"/>
        </w:rPr>
        <w:t>至</w:t>
      </w:r>
      <w:r>
        <w:rPr>
          <w:b/>
          <w:bCs/>
          <w:sz w:val="18"/>
          <w:szCs w:val="18"/>
          <w:u w:val="single"/>
        </w:rPr>
        <w:t>202</w:t>
      </w:r>
      <w:r>
        <w:rPr>
          <w:rFonts w:hint="eastAsia"/>
          <w:b/>
          <w:bCs/>
          <w:sz w:val="18"/>
          <w:szCs w:val="18"/>
          <w:u w:val="single"/>
        </w:rPr>
        <w:t>2年12月30日</w:t>
      </w:r>
      <w:r>
        <w:rPr>
          <w:rFonts w:hint="eastAsia"/>
          <w:sz w:val="18"/>
          <w:szCs w:val="18"/>
        </w:rPr>
        <w:t>，</w:t>
      </w:r>
      <w:r>
        <w:rPr>
          <w:rFonts w:hint="eastAsia"/>
          <w:color w:val="000000"/>
          <w:sz w:val="18"/>
          <w:szCs w:val="18"/>
        </w:rPr>
        <w:t>具体以项目工期要求为准，比选申请人必须保证商品混凝土的供应及时，比选人一般提前一天以电话（短信）通知计划用量</w:t>
      </w:r>
      <w:r>
        <w:rPr>
          <w:rFonts w:hint="eastAsia"/>
          <w:color w:val="000000"/>
          <w:kern w:val="0"/>
          <w:sz w:val="18"/>
          <w:szCs w:val="18"/>
        </w:rPr>
        <w:t>。</w:t>
      </w:r>
    </w:p>
    <w:p>
      <w:pPr>
        <w:spacing w:line="276" w:lineRule="auto"/>
        <w:rPr>
          <w:b/>
          <w:szCs w:val="21"/>
        </w:rPr>
      </w:pPr>
      <w:r>
        <w:rPr>
          <w:b/>
          <w:szCs w:val="21"/>
        </w:rPr>
        <w:t>二、</w:t>
      </w:r>
      <w:r>
        <w:rPr>
          <w:rFonts w:hint="eastAsia"/>
          <w:b/>
          <w:szCs w:val="21"/>
        </w:rPr>
        <w:t>竞标人</w:t>
      </w:r>
      <w:r>
        <w:rPr>
          <w:b/>
          <w:szCs w:val="21"/>
        </w:rPr>
        <w:t>资</w:t>
      </w:r>
      <w:r>
        <w:rPr>
          <w:rFonts w:hint="eastAsia"/>
          <w:b/>
          <w:szCs w:val="21"/>
        </w:rPr>
        <w:t>格</w:t>
      </w:r>
      <w:r>
        <w:rPr>
          <w:b/>
          <w:szCs w:val="21"/>
        </w:rPr>
        <w:t>要求</w:t>
      </w:r>
      <w:r>
        <w:rPr>
          <w:rFonts w:hint="eastAsia"/>
          <w:b/>
          <w:szCs w:val="21"/>
        </w:rPr>
        <w:t>：</w:t>
      </w:r>
    </w:p>
    <w:bookmarkEnd w:id="9"/>
    <w:bookmarkEnd w:id="10"/>
    <w:bookmarkEnd w:id="11"/>
    <w:bookmarkEnd w:id="12"/>
    <w:bookmarkEnd w:id="13"/>
    <w:bookmarkEnd w:id="14"/>
    <w:bookmarkEnd w:id="15"/>
    <w:bookmarkEnd w:id="16"/>
    <w:p>
      <w:pPr>
        <w:adjustRightInd w:val="0"/>
        <w:snapToGrid w:val="0"/>
        <w:spacing w:line="276" w:lineRule="auto"/>
        <w:ind w:firstLine="315" w:firstLineChars="150"/>
        <w:rPr>
          <w:color w:val="000000"/>
          <w:szCs w:val="21"/>
        </w:rPr>
      </w:pPr>
      <w:bookmarkStart w:id="26" w:name="_Toc152045522"/>
      <w:bookmarkStart w:id="27" w:name="_Toc152042298"/>
      <w:bookmarkStart w:id="28" w:name="_Toc246996169"/>
      <w:bookmarkStart w:id="29" w:name="_Toc246996912"/>
      <w:bookmarkStart w:id="30" w:name="_Toc296602413"/>
      <w:bookmarkStart w:id="31" w:name="_Toc179632539"/>
      <w:bookmarkStart w:id="32" w:name="_Toc247085683"/>
      <w:bookmarkStart w:id="33" w:name="_Toc144974490"/>
      <w:r>
        <w:rPr>
          <w:rFonts w:hint="eastAsia"/>
          <w:szCs w:val="21"/>
        </w:rPr>
        <w:t>（</w:t>
      </w:r>
      <w:r>
        <w:t>投标人应具备独立法人资格，具备有效营业执照的生产厂家或销售代理商（销售代理商须具有生产厂家出具的销售授权书）、预拌商品混凝土资格证书。</w:t>
      </w:r>
      <w:r>
        <w:br w:type="textWrapping"/>
      </w:r>
      <w:r>
        <w:t>（1）竞标人若为生产厂家的，则提供营业执照、预拌商品混凝土资格证书（复印件或扫描件）；</w:t>
      </w:r>
      <w:r>
        <w:br w:type="textWrapping"/>
      </w:r>
      <w:r>
        <w:t>（2）竞标人若为销售代理商的，则提供竞标人营业执照、生产厂家营业执照</w:t>
      </w:r>
      <w:r>
        <w:rPr>
          <w:rFonts w:hint="eastAsia"/>
        </w:rPr>
        <w:t>、生产厂家</w:t>
      </w:r>
      <w:r>
        <w:t>预拌商品混凝土资格证书</w:t>
      </w:r>
      <w:r>
        <w:rPr>
          <w:rFonts w:hint="eastAsia"/>
        </w:rPr>
        <w:t>、</w:t>
      </w:r>
      <w:r>
        <w:t>由生产厂家出具的销售授权书（</w:t>
      </w:r>
      <w:r>
        <w:rPr>
          <w:rFonts w:hint="eastAsia"/>
        </w:rPr>
        <w:t>以上文件需</w:t>
      </w:r>
      <w:r>
        <w:t>复印件或扫描件）</w:t>
      </w:r>
      <w:r>
        <w:rPr>
          <w:rFonts w:hint="eastAsia"/>
          <w:color w:val="000000"/>
          <w:szCs w:val="21"/>
        </w:rPr>
        <w:t>。</w:t>
      </w:r>
    </w:p>
    <w:p>
      <w:pPr>
        <w:spacing w:line="360" w:lineRule="exact"/>
        <w:rPr>
          <w:b/>
          <w:szCs w:val="21"/>
        </w:rPr>
      </w:pPr>
      <w:r>
        <w:rPr>
          <w:b/>
          <w:szCs w:val="21"/>
        </w:rPr>
        <w:t>三、</w:t>
      </w:r>
      <w:r>
        <w:rPr>
          <w:rFonts w:hint="eastAsia"/>
          <w:b/>
          <w:szCs w:val="21"/>
        </w:rPr>
        <w:t>竞标文件</w:t>
      </w:r>
      <w:r>
        <w:rPr>
          <w:b/>
          <w:szCs w:val="21"/>
        </w:rPr>
        <w:t>的相关要求：</w:t>
      </w:r>
      <w:bookmarkStart w:id="39" w:name="_GoBack"/>
      <w:bookmarkEnd w:id="39"/>
    </w:p>
    <w:bookmarkEnd w:id="26"/>
    <w:bookmarkEnd w:id="27"/>
    <w:bookmarkEnd w:id="28"/>
    <w:bookmarkEnd w:id="29"/>
    <w:bookmarkEnd w:id="30"/>
    <w:bookmarkEnd w:id="31"/>
    <w:bookmarkEnd w:id="32"/>
    <w:bookmarkEnd w:id="3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color w:val="000000"/>
          <w:szCs w:val="21"/>
        </w:rPr>
      </w:pPr>
      <w:r>
        <w:rPr>
          <w:rFonts w:hint="eastAsia"/>
          <w:color w:val="000000"/>
          <w:szCs w:val="21"/>
        </w:rPr>
        <w:t>（1）竞标报价为全费用综合单价。竞标人应提供合法有效且符合竞争性比选人要求的增值税发票（税率为：3%）。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color w:val="000000"/>
          <w:szCs w:val="21"/>
        </w:rPr>
      </w:pPr>
      <w:r>
        <w:rPr>
          <w:rFonts w:hint="eastAsia"/>
          <w:color w:val="000000"/>
          <w:szCs w:val="21"/>
        </w:rPr>
        <w:t>竞标人应按照比选人要求，及时向比选人开具税率3%的增值税发票。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color w:val="000000"/>
          <w:szCs w:val="21"/>
        </w:rPr>
      </w:pPr>
      <w:r>
        <w:rPr>
          <w:rFonts w:hint="eastAsia"/>
          <w:color w:val="000000"/>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color w:val="000000"/>
          <w:szCs w:val="21"/>
        </w:rPr>
      </w:pPr>
      <w:r>
        <w:rPr>
          <w:rFonts w:hint="eastAsia"/>
          <w:color w:val="000000"/>
          <w:szCs w:val="21"/>
        </w:rPr>
        <w:t>（3）本项目最高总限价为</w:t>
      </w:r>
      <w:r>
        <w:rPr>
          <w:rFonts w:hint="eastAsia"/>
          <w:color w:val="000000"/>
          <w:szCs w:val="21"/>
          <w:u w:val="single"/>
        </w:rPr>
        <w:t>：</w:t>
      </w:r>
      <w:r>
        <w:rPr>
          <w:rFonts w:hint="eastAsia" w:ascii="宋体" w:hAnsi="宋体" w:cs="宋体"/>
          <w:color w:val="000000"/>
          <w:kern w:val="0"/>
          <w:szCs w:val="21"/>
          <w:u w:val="single"/>
        </w:rPr>
        <w:t>769873</w:t>
      </w:r>
      <w:r>
        <w:rPr>
          <w:rFonts w:hint="eastAsia"/>
          <w:color w:val="000000"/>
          <w:szCs w:val="21"/>
          <w:u w:val="single"/>
        </w:rPr>
        <w:t>元（大写：柒拾陆万玖仟捌佰柒拾叁）</w:t>
      </w:r>
      <w:r>
        <w:rPr>
          <w:rFonts w:hint="eastAsia"/>
          <w:color w:val="000000"/>
          <w:szCs w:val="21"/>
        </w:rPr>
        <w:t>，</w:t>
      </w:r>
      <w:r>
        <w:rPr>
          <w:rFonts w:hint="eastAsia"/>
          <w:szCs w:val="21"/>
        </w:rPr>
        <w:t>具体详见</w:t>
      </w:r>
      <w:r>
        <w:rPr>
          <w:rFonts w:hint="eastAsia"/>
          <w:b/>
          <w:bCs/>
          <w:szCs w:val="21"/>
        </w:rPr>
        <w:t>“五、已标价报价清单”</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注：竞标人的竞标报价均不得超过比选人公布的相应最高限价否则均为无效竞标（如有单价限价，竞标人所报的单价不能超过单价限价）。</w:t>
      </w:r>
    </w:p>
    <w:p>
      <w:pPr>
        <w:spacing w:line="276" w:lineRule="auto"/>
        <w:ind w:firstLine="420" w:firstLineChars="200"/>
        <w:rPr>
          <w:szCs w:val="21"/>
        </w:rPr>
      </w:pPr>
      <w:r>
        <w:rPr>
          <w:rFonts w:hint="eastAsia"/>
          <w:szCs w:val="21"/>
        </w:rPr>
        <w:t>2、采购质量要求：</w:t>
      </w:r>
    </w:p>
    <w:p>
      <w:pPr>
        <w:spacing w:line="276" w:lineRule="auto"/>
        <w:ind w:firstLine="420" w:firstLineChars="200"/>
        <w:rPr>
          <w:color w:val="000000"/>
          <w:szCs w:val="21"/>
        </w:rPr>
      </w:pPr>
      <w:r>
        <w:rPr>
          <w:rFonts w:hint="eastAsia"/>
          <w:color w:val="000000"/>
          <w:szCs w:val="21"/>
        </w:rPr>
        <w:t>（1）投标（报价）方提供的商品混凝土应符合国家质量技术要求和重庆市相关标准规定等，并按批量提供出厂合格证原件。因货物质量不符合国家、行业规定的以及本比选函约定的相关标准而产生的一切后果责任由投标（报价）方承担；若由此而给比选人造成损失的，投标（报价）方应全额赔偿。</w:t>
      </w:r>
    </w:p>
    <w:p>
      <w:pPr>
        <w:spacing w:line="276" w:lineRule="auto"/>
        <w:ind w:firstLine="420" w:firstLineChars="200"/>
        <w:rPr>
          <w:color w:val="000000"/>
          <w:szCs w:val="21"/>
        </w:rPr>
      </w:pPr>
      <w:r>
        <w:rPr>
          <w:rFonts w:hint="eastAsia"/>
          <w:color w:val="000000"/>
          <w:szCs w:val="21"/>
        </w:rPr>
        <w:t>（2）材料运输：本竞争性比选文件约定的材料价格为比选人指定位置的到场单价，材料运输（包括装卸及整齐堆放）的安全由竞标人负责，因材料运输超限等引起的全部后果、责任均由竞标人承担。竞标人必须保证安全、及时供货，比选人不承担由此造成的安全责任及相应费用。</w:t>
      </w:r>
    </w:p>
    <w:p>
      <w:pPr>
        <w:spacing w:line="276" w:lineRule="auto"/>
        <w:ind w:firstLine="420" w:firstLineChars="200"/>
        <w:rPr>
          <w:rFonts w:ascii="宋体" w:hAnsi="宋体"/>
          <w:color w:val="000000"/>
          <w:szCs w:val="21"/>
        </w:rPr>
      </w:pPr>
      <w:r>
        <w:rPr>
          <w:rFonts w:hint="eastAsia" w:ascii="宋体" w:hAnsi="宋体"/>
          <w:color w:val="000000"/>
          <w:szCs w:val="21"/>
        </w:rPr>
        <w:t xml:space="preserve"> </w:t>
      </w:r>
      <w:r>
        <w:rPr>
          <w:rFonts w:hint="eastAsia"/>
          <w:color w:val="000000"/>
          <w:szCs w:val="21"/>
        </w:rPr>
        <w:t>2.1</w:t>
      </w:r>
      <w:r>
        <w:rPr>
          <w:rFonts w:hint="eastAsia" w:ascii="宋体" w:hAnsi="宋体"/>
          <w:color w:val="000000"/>
          <w:szCs w:val="21"/>
        </w:rPr>
        <w:t>技术要求：关于商品混凝土强度等级，功能性（抗渗、抗冻、抗折），耐久性（氯离子、碱含量）,施工性(坍落度、泵送、缓凝)，均应符合《混凝土结构工程施工质量验收规范》 GB 50204-2015和《混凝土质量控制标准》GB50164</w:t>
      </w:r>
      <w:r>
        <w:rPr>
          <w:rFonts w:ascii="宋体" w:hAnsi="宋体"/>
          <w:color w:val="000000"/>
          <w:szCs w:val="21"/>
        </w:rPr>
        <w:t>-2011</w:t>
      </w:r>
      <w:r>
        <w:rPr>
          <w:rFonts w:hint="eastAsia" w:ascii="宋体" w:hAnsi="宋体"/>
          <w:color w:val="000000"/>
          <w:szCs w:val="21"/>
        </w:rPr>
        <w:t>）的要求，并满足施工操作需要，且必须全部达到国家现行的工程质量验收标准及最终施工设计图纸要求。</w:t>
      </w:r>
    </w:p>
    <w:p>
      <w:pPr>
        <w:spacing w:line="276" w:lineRule="auto"/>
        <w:ind w:firstLine="420" w:firstLineChars="200"/>
        <w:outlineLvl w:val="0"/>
        <w:rPr>
          <w:rFonts w:ascii="宋体" w:hAnsi="宋体"/>
          <w:b/>
          <w:bCs/>
          <w:color w:val="FF0000"/>
          <w:szCs w:val="21"/>
        </w:rPr>
      </w:pPr>
      <w:r>
        <w:rPr>
          <w:szCs w:val="21"/>
        </w:rPr>
        <w:t>2.2</w:t>
      </w:r>
      <w:r>
        <w:rPr>
          <w:rFonts w:hint="eastAsia" w:ascii="宋体" w:hAnsi="宋体"/>
          <w:szCs w:val="21"/>
        </w:rPr>
        <w:t>竞标人使用的材料必须满足相关规范和设计要求，竞争性比选方可随时抽检并送检。如抽检不合格，由此所产生的运费和检测费等全部有关的费用和责任全部由竞标人承担。</w:t>
      </w:r>
    </w:p>
    <w:p>
      <w:pPr>
        <w:spacing w:line="276" w:lineRule="auto"/>
        <w:ind w:firstLine="420" w:firstLineChars="200"/>
        <w:outlineLvl w:val="0"/>
        <w:rPr>
          <w:szCs w:val="21"/>
        </w:rPr>
      </w:pPr>
      <w:r>
        <w:rPr>
          <w:rFonts w:hint="eastAsia"/>
          <w:szCs w:val="21"/>
        </w:rPr>
        <w:t>3、安全要求：近三年没有出现严重违约、重大工程质量问题或安全事故发生</w:t>
      </w:r>
    </w:p>
    <w:p>
      <w:pPr>
        <w:spacing w:line="276" w:lineRule="auto"/>
        <w:ind w:firstLine="420" w:firstLineChars="200"/>
        <w:rPr>
          <w:rFonts w:ascii="宋体" w:hAnsi="宋体" w:cs="宋体"/>
          <w:b/>
          <w:bCs/>
          <w:kern w:val="0"/>
          <w:szCs w:val="22"/>
        </w:rPr>
      </w:pPr>
      <w:r>
        <w:rPr>
          <w:szCs w:val="21"/>
        </w:rPr>
        <w:t>4</w:t>
      </w:r>
      <w:r>
        <w:rPr>
          <w:rFonts w:hint="eastAsia"/>
          <w:szCs w:val="21"/>
        </w:rPr>
        <w:t>、报价方式：</w:t>
      </w:r>
      <w:r>
        <w:rPr>
          <w:rFonts w:hint="eastAsia" w:ascii="宋体" w:hAnsi="宋体" w:cs="宋体"/>
          <w:b/>
          <w:bCs/>
          <w:kern w:val="0"/>
        </w:rPr>
        <w:t>投</w:t>
      </w:r>
      <w:r>
        <w:rPr>
          <w:rFonts w:hint="eastAsia"/>
          <w:b/>
          <w:bCs/>
        </w:rPr>
        <w:t>标人按照招标人发布的工程量清单进行填报单价与总价</w:t>
      </w:r>
      <w:r>
        <w:rPr>
          <w:rFonts w:hint="eastAsia" w:ascii="宋体" w:hAnsi="宋体" w:cs="宋体"/>
          <w:b/>
          <w:bCs/>
          <w:kern w:val="0"/>
          <w:szCs w:val="22"/>
        </w:rPr>
        <w:t>，报价保留两位小数。</w:t>
      </w:r>
    </w:p>
    <w:p>
      <w:pPr>
        <w:spacing w:line="276" w:lineRule="auto"/>
        <w:ind w:firstLine="420" w:firstLineChars="200"/>
        <w:rPr>
          <w:szCs w:val="21"/>
        </w:rPr>
      </w:pPr>
      <w:r>
        <w:rPr>
          <w:szCs w:val="21"/>
        </w:rPr>
        <w:t>5</w:t>
      </w:r>
      <w:r>
        <w:rPr>
          <w:rFonts w:hint="eastAsia"/>
          <w:szCs w:val="21"/>
        </w:rPr>
        <w:t>、</w:t>
      </w:r>
      <w:r>
        <w:rPr>
          <w:szCs w:val="21"/>
        </w:rPr>
        <w:t>本次</w:t>
      </w:r>
      <w:r>
        <w:rPr>
          <w:rFonts w:hint="eastAsia"/>
          <w:szCs w:val="21"/>
        </w:rPr>
        <w:t>竞标文件</w:t>
      </w:r>
      <w:r>
        <w:rPr>
          <w:szCs w:val="21"/>
        </w:rPr>
        <w:t>的组成：</w:t>
      </w:r>
    </w:p>
    <w:p>
      <w:pPr>
        <w:spacing w:line="276" w:lineRule="auto"/>
        <w:ind w:firstLine="422" w:firstLineChars="200"/>
        <w:rPr>
          <w:b/>
          <w:bCs/>
          <w:szCs w:val="21"/>
          <w:highlight w:val="yellow"/>
        </w:rPr>
      </w:pPr>
      <w:r>
        <w:rPr>
          <w:rFonts w:hint="eastAsia"/>
          <w:b/>
          <w:bCs/>
          <w:szCs w:val="21"/>
          <w:highlight w:val="yellow"/>
        </w:rPr>
        <w:t>按报价文件格式进行编制</w:t>
      </w:r>
    </w:p>
    <w:p>
      <w:pPr>
        <w:spacing w:line="276" w:lineRule="auto"/>
        <w:ind w:firstLine="422" w:firstLineChars="200"/>
        <w:rPr>
          <w:b/>
          <w:bCs/>
          <w:szCs w:val="21"/>
        </w:rPr>
      </w:pPr>
      <w:r>
        <w:rPr>
          <w:rFonts w:hint="eastAsia"/>
          <w:b/>
          <w:bCs/>
          <w:szCs w:val="21"/>
        </w:rPr>
        <w:t>（注：以上所有文件须加盖单位公章）</w:t>
      </w:r>
      <w:r>
        <w:rPr>
          <w:rFonts w:hint="eastAsia"/>
        </w:rPr>
        <w:t>。</w:t>
      </w:r>
    </w:p>
    <w:p>
      <w:pPr>
        <w:spacing w:line="276" w:lineRule="auto"/>
        <w:ind w:firstLine="420" w:firstLineChars="200"/>
        <w:rPr>
          <w:szCs w:val="21"/>
        </w:rPr>
      </w:pPr>
      <w:r>
        <w:rPr>
          <w:szCs w:val="21"/>
        </w:rPr>
        <w:t>6</w:t>
      </w:r>
      <w:r>
        <w:rPr>
          <w:rFonts w:hint="eastAsia"/>
          <w:szCs w:val="21"/>
        </w:rPr>
        <w:t>、竞标文件</w:t>
      </w:r>
      <w:r>
        <w:rPr>
          <w:szCs w:val="21"/>
        </w:rPr>
        <w:t>的份数及编制要求</w:t>
      </w:r>
      <w:r>
        <w:rPr>
          <w:rFonts w:hint="eastAsia"/>
          <w:szCs w:val="21"/>
        </w:rPr>
        <w:t>：</w:t>
      </w:r>
    </w:p>
    <w:p>
      <w:pPr>
        <w:spacing w:line="276" w:lineRule="auto"/>
        <w:ind w:firstLine="420" w:firstLineChars="200"/>
        <w:rPr>
          <w:szCs w:val="21"/>
        </w:rPr>
      </w:pPr>
      <w:r>
        <w:rPr>
          <w:rFonts w:hint="eastAsia"/>
          <w:szCs w:val="21"/>
        </w:rPr>
        <w:t>竞标文件</w:t>
      </w:r>
      <w:r>
        <w:rPr>
          <w:rFonts w:hint="eastAsia"/>
          <w:b/>
          <w:bCs/>
          <w:szCs w:val="21"/>
        </w:rPr>
        <w:t>1份</w:t>
      </w:r>
      <w:r>
        <w:rPr>
          <w:rFonts w:hint="eastAsia"/>
          <w:szCs w:val="21"/>
        </w:rPr>
        <w:t>，竞标文件按竞争性比选文件中规定格式排版。</w:t>
      </w:r>
    </w:p>
    <w:p>
      <w:pPr>
        <w:spacing w:line="360" w:lineRule="auto"/>
        <w:ind w:firstLine="422" w:firstLineChars="200"/>
        <w:rPr>
          <w:rFonts w:ascii="宋体" w:hAnsi="宋体" w:cs="宋体"/>
          <w:b/>
          <w:szCs w:val="21"/>
        </w:rPr>
      </w:pPr>
      <w:r>
        <w:rPr>
          <w:rFonts w:hint="eastAsia" w:ascii="宋体" w:hAnsi="宋体" w:cs="宋体"/>
          <w:b/>
          <w:szCs w:val="21"/>
        </w:rPr>
        <w:t>四、评标办法</w:t>
      </w:r>
      <w:r>
        <w:rPr>
          <w:rFonts w:hint="eastAsia" w:ascii="宋体" w:hAnsi="宋体" w:cs="宋体"/>
          <w:bCs/>
          <w:szCs w:val="21"/>
        </w:rPr>
        <w:t>：</w:t>
      </w:r>
      <w:r>
        <w:rPr>
          <w:rFonts w:hint="eastAsia" w:ascii="宋体" w:hAnsi="宋体"/>
          <w:bCs/>
          <w:szCs w:val="21"/>
        </w:rPr>
        <w:t>本项目采用经评审的最低</w:t>
      </w:r>
      <w:r>
        <w:rPr>
          <w:rFonts w:hint="eastAsia"/>
          <w:szCs w:val="21"/>
        </w:rPr>
        <w:t>价法，在满足比选文件要求的前提下，评标小组按报价</w:t>
      </w:r>
      <w:r>
        <w:t>从</w:t>
      </w:r>
      <w:r>
        <w:rPr>
          <w:rFonts w:hint="eastAsia"/>
        </w:rPr>
        <w:t>低</w:t>
      </w:r>
      <w:r>
        <w:t>到</w:t>
      </w:r>
      <w:r>
        <w:rPr>
          <w:rFonts w:hint="eastAsia"/>
        </w:rPr>
        <w:t>高</w:t>
      </w:r>
      <w:r>
        <w:t>的先后顺序</w:t>
      </w:r>
      <w:r>
        <w:rPr>
          <w:rFonts w:hint="eastAsia"/>
          <w:szCs w:val="21"/>
        </w:rPr>
        <w:t>推荐中标候选人。若在满足比选文件所有要求前提下，最低报价相同时，</w:t>
      </w:r>
      <w:r>
        <w:rPr>
          <w:rFonts w:hint="eastAsia" w:ascii="宋体" w:hAnsi="宋体" w:cs="宋体"/>
          <w:b/>
          <w:bCs/>
          <w:snapToGrid w:val="0"/>
          <w:kern w:val="0"/>
        </w:rPr>
        <w:t>进行第二轮报价</w:t>
      </w:r>
      <w:r>
        <w:t>。</w:t>
      </w:r>
      <w:r>
        <w:rPr>
          <w:rFonts w:hint="eastAsia"/>
        </w:rPr>
        <w:t>请各报价单位结合自身情况及市场行情进行报价。具体评审标准详见下表。</w:t>
      </w:r>
    </w:p>
    <w:tbl>
      <w:tblPr>
        <w:tblStyle w:val="19"/>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jc w:val="center"/>
              <w:rPr>
                <w:rFonts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op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竞标人名称</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有法定代表人或其委托代理人签字</w:t>
            </w:r>
            <w:r>
              <w:rPr>
                <w:rFonts w:hint="eastAsia" w:ascii="宋体" w:hAnsi="宋体" w:cs="宋体"/>
                <w:color w:val="FF0000"/>
                <w:szCs w:val="21"/>
                <w:shd w:val="clear" w:color="auto" w:fill="FFFFFF"/>
              </w:rPr>
              <w:t>并</w:t>
            </w:r>
            <w:r>
              <w:rPr>
                <w:rFonts w:hint="eastAsia" w:ascii="宋体" w:hAnsi="宋体" w:cs="宋体"/>
                <w:szCs w:val="21"/>
                <w:shd w:val="clear" w:color="auto" w:fill="FFFFFF"/>
              </w:rPr>
              <w:t>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竞标文件格式</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1.1.2</w:t>
            </w:r>
          </w:p>
        </w:tc>
        <w:tc>
          <w:tcPr>
            <w:tcW w:w="1182" w:type="dxa"/>
            <w:vMerge w:val="restart"/>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color w:val="0000FF"/>
                <w:szCs w:val="21"/>
                <w:shd w:val="clear" w:color="auto" w:fill="FFFFFF"/>
              </w:rPr>
            </w:pPr>
            <w:r>
              <w:rPr>
                <w:rFonts w:hint="eastAsia" w:ascii="宋体" w:hAnsi="宋体" w:cs="宋体"/>
                <w:color w:val="0000FF"/>
                <w:szCs w:val="21"/>
                <w:shd w:val="clear" w:color="auto" w:fill="FFFFFF"/>
              </w:rPr>
              <w:t>营业执照、</w:t>
            </w:r>
            <w:r>
              <w:t>独立法人资格，具备有效营业执照的生产厂家或销售代理商（销售代理商须具有生产厂家出具的销售授权书）</w:t>
            </w:r>
            <w:r>
              <w:rPr>
                <w:rFonts w:hint="eastAsia"/>
              </w:rPr>
              <w:t>、</w:t>
            </w:r>
            <w:r>
              <w:t>预拌商品混凝土资格证书</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182"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color w:val="0000FF"/>
                <w:szCs w:val="21"/>
                <w:shd w:val="clear" w:color="auto" w:fill="FFFFFF"/>
              </w:rPr>
            </w:pPr>
            <w:r>
              <w:rPr>
                <w:rFonts w:hint="eastAsia" w:ascii="宋体" w:hAnsi="宋体" w:cs="宋体"/>
                <w:color w:val="0000FF"/>
                <w:szCs w:val="21"/>
                <w:shd w:val="clear" w:color="auto" w:fill="FFFFFF"/>
              </w:rPr>
              <w:t>竞标报价</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1.1.3</w:t>
            </w:r>
          </w:p>
        </w:tc>
        <w:tc>
          <w:tcPr>
            <w:tcW w:w="1182" w:type="dxa"/>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color w:val="0000FF"/>
                <w:szCs w:val="21"/>
              </w:rPr>
              <w:t>供货期</w:t>
            </w:r>
          </w:p>
        </w:tc>
        <w:tc>
          <w:tcPr>
            <w:tcW w:w="5023"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注：条款1.1.1、1.1.2、1.1.3均为强制性要求，竞标人如不满足，按否决投标处理。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vAlign w:val="center"/>
          </w:tcPr>
          <w:p>
            <w:pPr>
              <w:spacing w:line="400" w:lineRule="exact"/>
              <w:rPr>
                <w:b/>
                <w:szCs w:val="21"/>
              </w:rPr>
            </w:pPr>
            <w:r>
              <w:rPr>
                <w:b/>
                <w:szCs w:val="21"/>
              </w:rPr>
              <w:t>有下列情况之一的，做否决</w:t>
            </w:r>
            <w:r>
              <w:rPr>
                <w:rFonts w:hint="eastAsia"/>
                <w:b/>
                <w:szCs w:val="21"/>
              </w:rPr>
              <w:t>竞标</w:t>
            </w:r>
            <w:r>
              <w:rPr>
                <w:b/>
                <w:szCs w:val="21"/>
              </w:rPr>
              <w:t>处理。</w:t>
            </w:r>
          </w:p>
          <w:p>
            <w:pPr>
              <w:numPr>
                <w:ilvl w:val="0"/>
                <w:numId w:val="2"/>
              </w:numPr>
              <w:spacing w:line="400" w:lineRule="exact"/>
              <w:ind w:left="0"/>
              <w:rPr>
                <w:szCs w:val="21"/>
              </w:rPr>
            </w:pPr>
            <w:r>
              <w:rPr>
                <w:szCs w:val="21"/>
              </w:rPr>
              <w:t>不同</w:t>
            </w:r>
            <w:r>
              <w:rPr>
                <w:rFonts w:hint="eastAsia"/>
                <w:szCs w:val="21"/>
              </w:rPr>
              <w:t>竞标人</w:t>
            </w:r>
            <w:r>
              <w:rPr>
                <w:szCs w:val="21"/>
              </w:rPr>
              <w:t>的</w:t>
            </w:r>
            <w:r>
              <w:rPr>
                <w:rFonts w:hint="eastAsia"/>
                <w:szCs w:val="21"/>
              </w:rPr>
              <w:t>竞标文件</w:t>
            </w:r>
            <w:r>
              <w:rPr>
                <w:szCs w:val="21"/>
              </w:rPr>
              <w:t>由同一单位或者个人编制；</w:t>
            </w:r>
          </w:p>
          <w:p>
            <w:pPr>
              <w:numPr>
                <w:ilvl w:val="0"/>
                <w:numId w:val="2"/>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2"/>
              </w:numPr>
              <w:spacing w:line="400" w:lineRule="exact"/>
              <w:ind w:left="0"/>
              <w:rPr>
                <w:szCs w:val="21"/>
              </w:rPr>
            </w:pPr>
            <w:r>
              <w:rPr>
                <w:szCs w:val="21"/>
              </w:rPr>
              <w:t>不同</w:t>
            </w:r>
            <w:r>
              <w:rPr>
                <w:rFonts w:hint="eastAsia"/>
                <w:szCs w:val="21"/>
              </w:rPr>
              <w:t>竞标人</w:t>
            </w:r>
            <w:r>
              <w:rPr>
                <w:szCs w:val="21"/>
              </w:rPr>
              <w:t>的</w:t>
            </w:r>
            <w:r>
              <w:rPr>
                <w:rFonts w:hint="eastAsia"/>
                <w:szCs w:val="21"/>
              </w:rPr>
              <w:t>竞标文件</w:t>
            </w:r>
            <w:r>
              <w:rPr>
                <w:szCs w:val="21"/>
              </w:rPr>
              <w:t>载明的项目管理成员为同一人；</w:t>
            </w:r>
          </w:p>
          <w:p>
            <w:pPr>
              <w:numPr>
                <w:ilvl w:val="0"/>
                <w:numId w:val="2"/>
              </w:numPr>
              <w:spacing w:line="400" w:lineRule="exact"/>
              <w:ind w:left="0"/>
              <w:rPr>
                <w:szCs w:val="21"/>
              </w:rPr>
            </w:pPr>
            <w:r>
              <w:rPr>
                <w:szCs w:val="21"/>
              </w:rPr>
              <w:t>不同</w:t>
            </w:r>
            <w:r>
              <w:rPr>
                <w:rFonts w:hint="eastAsia"/>
                <w:szCs w:val="21"/>
              </w:rPr>
              <w:t>竞标人</w:t>
            </w:r>
            <w:r>
              <w:rPr>
                <w:szCs w:val="21"/>
              </w:rPr>
              <w:t>的</w:t>
            </w:r>
            <w:r>
              <w:rPr>
                <w:rFonts w:hint="eastAsia"/>
                <w:szCs w:val="21"/>
              </w:rPr>
              <w:t>竞标文件</w:t>
            </w:r>
            <w:r>
              <w:rPr>
                <w:szCs w:val="21"/>
              </w:rPr>
              <w:t>异常一致或者</w:t>
            </w:r>
            <w:r>
              <w:rPr>
                <w:rFonts w:hint="eastAsia"/>
                <w:szCs w:val="21"/>
              </w:rPr>
              <w:t>竞标报价</w:t>
            </w:r>
            <w:r>
              <w:rPr>
                <w:szCs w:val="21"/>
              </w:rPr>
              <w:t>呈规律性差异</w:t>
            </w:r>
            <w:r>
              <w:rPr>
                <w:rFonts w:hint="eastAsia"/>
                <w:szCs w:val="21"/>
              </w:rPr>
              <w:t>或报价不具备竞争性</w:t>
            </w:r>
            <w:r>
              <w:rPr>
                <w:szCs w:val="21"/>
              </w:rPr>
              <w:t>；</w:t>
            </w:r>
          </w:p>
          <w:p>
            <w:pPr>
              <w:spacing w:line="340" w:lineRule="exact"/>
              <w:rPr>
                <w:rFonts w:ascii="宋体" w:hAnsi="宋体" w:cs="宋体"/>
                <w:szCs w:val="21"/>
                <w:shd w:val="clear" w:color="auto" w:fill="FFFFFF"/>
              </w:rPr>
            </w:pPr>
            <w:r>
              <w:rPr>
                <w:szCs w:val="21"/>
              </w:rPr>
              <w:t>不同</w:t>
            </w:r>
            <w:r>
              <w:rPr>
                <w:rFonts w:hint="eastAsia"/>
                <w:szCs w:val="21"/>
              </w:rPr>
              <w:t>竞标人</w:t>
            </w:r>
            <w:r>
              <w:rPr>
                <w:szCs w:val="21"/>
              </w:rPr>
              <w:t>的</w:t>
            </w:r>
            <w:r>
              <w:rPr>
                <w:rFonts w:hint="eastAsia"/>
                <w:szCs w:val="21"/>
              </w:rPr>
              <w:t>竞标文件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kern w:val="0"/>
                <w:szCs w:val="21"/>
              </w:rPr>
            </w:pPr>
            <w:r>
              <w:rPr>
                <w:rFonts w:hint="eastAsia"/>
                <w:szCs w:val="21"/>
              </w:rPr>
              <w:t>成交候</w:t>
            </w:r>
            <w:r>
              <w:rPr>
                <w:szCs w:val="21"/>
              </w:rPr>
              <w:t>选人</w:t>
            </w:r>
            <w:r>
              <w:rPr>
                <w:rFonts w:hint="eastAsia"/>
                <w:szCs w:val="21"/>
              </w:rPr>
              <w:t>推荐</w:t>
            </w:r>
          </w:p>
        </w:tc>
        <w:tc>
          <w:tcPr>
            <w:tcW w:w="7398" w:type="dxa"/>
            <w:gridSpan w:val="2"/>
            <w:vAlign w:val="center"/>
          </w:tcPr>
          <w:p>
            <w:pPr>
              <w:spacing w:line="400" w:lineRule="exact"/>
              <w:rPr>
                <w:szCs w:val="21"/>
              </w:rPr>
            </w:pPr>
            <w:r>
              <w:rPr>
                <w:rFonts w:hint="eastAsia"/>
              </w:rPr>
              <w:t xml:space="preserve">  若各标段报名家数大于等于三家，则</w:t>
            </w:r>
            <w:r>
              <w:rPr>
                <w:rFonts w:hint="eastAsia"/>
                <w:szCs w:val="21"/>
              </w:rPr>
              <w:t>经评审合格的候选人按价格由低到高的先后顺序推荐3名中标候选人；若评审合格的候选人不足3名（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szCs w:val="21"/>
              </w:rPr>
            </w:pPr>
            <w:r>
              <w:rPr>
                <w:rFonts w:hint="eastAsia" w:ascii="宋体" w:hAnsi="宋体"/>
                <w:szCs w:val="21"/>
              </w:rPr>
              <w:t>报价算术错误修正</w:t>
            </w:r>
          </w:p>
        </w:tc>
        <w:tc>
          <w:tcPr>
            <w:tcW w:w="7398" w:type="dxa"/>
            <w:gridSpan w:val="2"/>
            <w:vAlign w:val="center"/>
          </w:tcPr>
          <w:p>
            <w:pPr>
              <w:spacing w:line="400" w:lineRule="exact"/>
            </w:pPr>
            <w:r>
              <w:rPr>
                <w:rFonts w:hint="eastAsia"/>
              </w:rPr>
              <w:t xml:space="preserve">    若在评标过程中发现报价存在计算错误，则按以下规则进行算术修正：投标报价为各分项报价金额之和，投标报价与分项报价的合价不一致的，应以各分项合价累计数为准，修正投标报价；如分项报价中存在缺漏项，则视为缺漏项价格已包含在其他分项报价之中。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vAlign w:val="center"/>
          </w:tcPr>
          <w:p>
            <w:pPr>
              <w:spacing w:line="400" w:lineRule="exact"/>
              <w:rPr>
                <w:rFonts w:ascii="宋体" w:hAnsi="宋体"/>
                <w:szCs w:val="21"/>
              </w:rPr>
            </w:pPr>
            <w:r>
              <w:rPr>
                <w:rFonts w:hint="eastAsia" w:ascii="宋体" w:hAnsi="宋体"/>
                <w:szCs w:val="21"/>
              </w:rPr>
              <w:t>澄清</w:t>
            </w:r>
          </w:p>
        </w:tc>
        <w:tc>
          <w:tcPr>
            <w:tcW w:w="7398" w:type="dxa"/>
            <w:gridSpan w:val="2"/>
            <w:vAlign w:val="center"/>
          </w:tcPr>
          <w:p>
            <w:pPr>
              <w:spacing w:line="400" w:lineRule="exact"/>
            </w:pPr>
            <w:r>
              <w:rPr>
                <w:rFonts w:hint="eastAsia"/>
              </w:rPr>
              <w:t xml:space="preserve">    在评标过程中，评审小组可以要求投标人对所提交投标文件中不明确的内容进行书面澄清或说明，或者对细微偏差进行补正。评标委员会不接受投标人主动提出的澄清、说明或补正。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rPr>
        <w:t>五、履约保证金</w:t>
      </w:r>
    </w:p>
    <w:p>
      <w:pPr>
        <w:pStyle w:val="2"/>
      </w:pPr>
      <w:r>
        <w:rPr>
          <w:rFonts w:hint="eastAsia"/>
        </w:rPr>
        <w:t>1、履约担保的形式：由中标人自主选择银行保函或现金、支票等形式。</w:t>
      </w:r>
    </w:p>
    <w:p>
      <w:r>
        <w:rPr>
          <w:rFonts w:hint="eastAsia"/>
        </w:rPr>
        <w:t>2、履约担保的金额：人民币50000（大写：伍万元整）（签订合同之前提交，履约保证金在合同终止后一个月內退还）</w:t>
      </w:r>
    </w:p>
    <w:p>
      <w:pPr>
        <w:spacing w:line="360" w:lineRule="exact"/>
        <w:rPr>
          <w:b/>
          <w:szCs w:val="21"/>
        </w:rPr>
      </w:pPr>
      <w:r>
        <w:rPr>
          <w:rFonts w:hint="eastAsia"/>
          <w:b/>
          <w:szCs w:val="21"/>
        </w:rPr>
        <w:t>六</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highlight w:val="yellow"/>
        </w:rPr>
      </w:pPr>
      <w:r>
        <w:rPr>
          <w:rFonts w:hint="eastAsia" w:ascii="宋体" w:hAnsi="宋体" w:cs="宋体"/>
          <w:szCs w:val="21"/>
        </w:rPr>
        <w:t>（一）竞争性比选文件获取方式：凡愿意参加的潜在竞标人，从挂网日起至竞争性比选响应文件递交截止时间前，在重庆高速集团官网（</w:t>
      </w:r>
      <w:r>
        <w:rPr>
          <w:rFonts w:hint="eastAsia" w:ascii="宋体" w:hAnsi="宋体" w:cs="宋体"/>
          <w:szCs w:val="21"/>
        </w:rPr>
        <w:drawing>
          <wp:inline distT="0" distB="0" distL="0" distR="0">
            <wp:extent cx="187325" cy="143510"/>
            <wp:effectExtent l="19050" t="0" r="3175" b="0"/>
            <wp:docPr id="1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57"/>
                    <pic:cNvPicPr>
                      <a:picLocks noChangeAspect="1" noChangeArrowheads="1"/>
                    </pic:cNvPicPr>
                  </pic:nvPicPr>
                  <pic:blipFill>
                    <a:blip r:embed="rId6" cstate="print"/>
                    <a:srcRect/>
                    <a:stretch>
                      <a:fillRect/>
                    </a:stretch>
                  </pic:blipFill>
                  <pic:spPr>
                    <a:xfrm>
                      <a:off x="0" y="0"/>
                      <a:ext cx="187325" cy="143510"/>
                    </a:xfrm>
                    <a:prstGeom prst="rect">
                      <a:avLst/>
                    </a:prstGeom>
                    <a:noFill/>
                    <a:ln w="9525" cmpd="sng">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87325" cy="143510"/>
            <wp:effectExtent l="19050" t="0" r="3175" b="0"/>
            <wp:docPr id="18"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IMG_257"/>
                    <pic:cNvPicPr>
                      <a:picLocks noChangeAspect="1" noChangeArrowheads="1"/>
                    </pic:cNvPicPr>
                  </pic:nvPicPr>
                  <pic:blipFill>
                    <a:blip r:embed="rId6" cstate="print"/>
                    <a:srcRect/>
                    <a:stretch>
                      <a:fillRect/>
                    </a:stretch>
                  </pic:blipFill>
                  <pic:spPr>
                    <a:xfrm>
                      <a:off x="0" y="0"/>
                      <a:ext cx="187325" cy="143510"/>
                    </a:xfrm>
                    <a:prstGeom prst="rect">
                      <a:avLst/>
                    </a:prstGeom>
                    <a:noFill/>
                    <a:ln w="9525" cmpd="sng">
                      <a:noFill/>
                      <a:miter lim="800000"/>
                      <a:headEnd/>
                      <a:tailEnd/>
                    </a:ln>
                  </pic:spPr>
                </pic:pic>
              </a:graphicData>
            </a:graphic>
          </wp:inline>
        </w:drawing>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r>
        <w:rPr>
          <w:rFonts w:hint="eastAsia" w:ascii="宋体" w:hAnsi="宋体" w:cs="宋体"/>
          <w:szCs w:val="21"/>
        </w:rPr>
        <w:drawing>
          <wp:inline distT="0" distB="0" distL="0" distR="0">
            <wp:extent cx="187325" cy="143510"/>
            <wp:effectExtent l="19050" t="0" r="3175" b="0"/>
            <wp:docPr id="19"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IMG_257"/>
                    <pic:cNvPicPr>
                      <a:picLocks noChangeAspect="1" noChangeArrowheads="1"/>
                    </pic:cNvPicPr>
                  </pic:nvPicPr>
                  <pic:blipFill>
                    <a:blip r:embed="rId6" cstate="print"/>
                    <a:srcRect/>
                    <a:stretch>
                      <a:fillRect/>
                    </a:stretch>
                  </pic:blipFill>
                  <pic:spPr>
                    <a:xfrm>
                      <a:off x="0" y="0"/>
                      <a:ext cx="187325" cy="143510"/>
                    </a:xfrm>
                    <a:prstGeom prst="rect">
                      <a:avLst/>
                    </a:prstGeom>
                    <a:noFill/>
                    <a:ln w="9525" cmpd="sng">
                      <a:noFill/>
                      <a:miter lim="800000"/>
                      <a:headEnd/>
                      <a:tailEnd/>
                    </a:ln>
                  </pic:spPr>
                </pic:pic>
              </a:graphicData>
            </a:graphic>
          </wp:inline>
        </w:drawing>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drawing>
          <wp:inline distT="0" distB="0" distL="0" distR="0">
            <wp:extent cx="187325" cy="143510"/>
            <wp:effectExtent l="19050" t="0" r="3175" b="0"/>
            <wp:docPr id="20"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IMG_257"/>
                    <pic:cNvPicPr>
                      <a:picLocks noChangeAspect="1" noChangeArrowheads="1"/>
                    </pic:cNvPicPr>
                  </pic:nvPicPr>
                  <pic:blipFill>
                    <a:blip r:embed="rId6" cstate="print"/>
                    <a:srcRect/>
                    <a:stretch>
                      <a:fillRect/>
                    </a:stretch>
                  </pic:blipFill>
                  <pic:spPr>
                    <a:xfrm>
                      <a:off x="0" y="0"/>
                      <a:ext cx="187325" cy="143510"/>
                    </a:xfrm>
                    <a:prstGeom prst="rect">
                      <a:avLst/>
                    </a:prstGeom>
                    <a:noFill/>
                    <a:ln w="9525" cmpd="sng">
                      <a:noFill/>
                      <a:miter lim="800000"/>
                      <a:headEnd/>
                      <a:tailEnd/>
                    </a:ln>
                  </pic:spPr>
                </pic:pic>
              </a:graphicData>
            </a:graphic>
          </wp:inline>
        </w:drawing>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（三）竞标文件递交截止地点：</w:t>
      </w:r>
      <w:r>
        <w:rPr>
          <w:rFonts w:hint="eastAsia" w:ascii="宋体" w:hAnsi="宋体" w:cs="宋体"/>
          <w:b/>
          <w:bCs/>
          <w:szCs w:val="21"/>
        </w:rPr>
        <w:t>重庆通力高速公路养护工程有限公司306室</w:t>
      </w:r>
      <w:r>
        <w:rPr>
          <w:rFonts w:hint="eastAsia" w:ascii="宋体" w:hAnsi="宋体" w:cs="宋体"/>
          <w:szCs w:val="21"/>
        </w:rPr>
        <w:t>（重庆市沙坪坝区梨高路4号）。若为疫情防控期间，则提交至1楼大厅门卫处。</w:t>
      </w:r>
    </w:p>
    <w:p>
      <w:pPr>
        <w:spacing w:line="360" w:lineRule="exact"/>
        <w:ind w:firstLine="420" w:firstLineChars="200"/>
        <w:rPr>
          <w:rFonts w:ascii="宋体" w:hAnsi="宋体" w:cs="宋体"/>
          <w:szCs w:val="21"/>
        </w:rPr>
      </w:pPr>
      <w:r>
        <w:rPr>
          <w:rFonts w:hint="eastAsia" w:ascii="宋体" w:hAnsi="宋体" w:cs="宋体"/>
          <w:szCs w:val="21"/>
        </w:rPr>
        <w:t>（四）竞标文件递交截止时间：</w:t>
      </w:r>
      <w:r>
        <w:rPr>
          <w:rFonts w:hint="eastAsia" w:ascii="宋体" w:hAnsi="宋体" w:cs="宋体"/>
          <w:color w:val="C00000"/>
          <w:szCs w:val="21"/>
          <w:u w:val="single"/>
        </w:rPr>
        <w:t>2</w:t>
      </w:r>
      <w:r>
        <w:rPr>
          <w:rFonts w:ascii="宋体" w:hAnsi="宋体" w:cs="宋体"/>
          <w:color w:val="C00000"/>
          <w:szCs w:val="21"/>
          <w:u w:val="single"/>
        </w:rPr>
        <w:t>022</w:t>
      </w:r>
      <w:r>
        <w:rPr>
          <w:rFonts w:hint="eastAsia" w:ascii="宋体" w:hAnsi="宋体" w:cs="宋体"/>
          <w:color w:val="C00000"/>
          <w:szCs w:val="21"/>
        </w:rPr>
        <w:t>年</w:t>
      </w:r>
      <w:r>
        <w:rPr>
          <w:rFonts w:hint="eastAsia" w:ascii="宋体" w:hAnsi="宋体" w:cs="宋体"/>
          <w:color w:val="C00000"/>
          <w:szCs w:val="21"/>
          <w:u w:val="single"/>
        </w:rPr>
        <w:t xml:space="preserve"> 10 </w:t>
      </w:r>
      <w:r>
        <w:rPr>
          <w:rFonts w:hint="eastAsia" w:ascii="宋体" w:hAnsi="宋体" w:cs="宋体"/>
          <w:color w:val="C00000"/>
          <w:szCs w:val="21"/>
        </w:rPr>
        <w:t>月</w:t>
      </w:r>
      <w:r>
        <w:rPr>
          <w:rFonts w:hint="eastAsia" w:ascii="宋体" w:hAnsi="宋体" w:cs="宋体"/>
          <w:color w:val="C00000"/>
          <w:szCs w:val="21"/>
          <w:u w:val="single"/>
        </w:rPr>
        <w:t xml:space="preserve">  2</w:t>
      </w:r>
      <w:r>
        <w:rPr>
          <w:rFonts w:hint="eastAsia" w:ascii="宋体" w:hAnsi="宋体" w:cs="宋体"/>
          <w:color w:val="C00000"/>
          <w:szCs w:val="21"/>
          <w:u w:val="single"/>
          <w:lang w:val="en-US" w:eastAsia="zh-CN"/>
        </w:rPr>
        <w:t>8</w:t>
      </w:r>
      <w:r>
        <w:rPr>
          <w:rFonts w:hint="eastAsia" w:ascii="宋体" w:hAnsi="宋体" w:cs="宋体"/>
          <w:color w:val="C00000"/>
          <w:szCs w:val="21"/>
          <w:u w:val="single"/>
        </w:rPr>
        <w:t xml:space="preserve">  </w:t>
      </w:r>
      <w:r>
        <w:rPr>
          <w:rFonts w:hint="eastAsia" w:ascii="宋体" w:hAnsi="宋体" w:cs="宋体"/>
          <w:color w:val="C00000"/>
          <w:szCs w:val="21"/>
        </w:rPr>
        <w:t>日上午</w:t>
      </w:r>
      <w:r>
        <w:rPr>
          <w:rFonts w:ascii="宋体" w:hAnsi="宋体" w:cs="宋体"/>
          <w:color w:val="C00000"/>
          <w:szCs w:val="21"/>
          <w:u w:val="single"/>
        </w:rPr>
        <w:t>1</w:t>
      </w:r>
      <w:r>
        <w:rPr>
          <w:rFonts w:hint="eastAsia" w:ascii="宋体" w:hAnsi="宋体" w:cs="宋体"/>
          <w:color w:val="C00000"/>
          <w:szCs w:val="21"/>
          <w:u w:val="single"/>
        </w:rPr>
        <w:t>0</w:t>
      </w:r>
      <w:r>
        <w:rPr>
          <w:rFonts w:hint="eastAsia" w:ascii="宋体" w:hAnsi="宋体" w:cs="宋体"/>
          <w:color w:val="C00000"/>
          <w:szCs w:val="21"/>
        </w:rPr>
        <w:t>时</w:t>
      </w:r>
      <w:r>
        <w:rPr>
          <w:rFonts w:hint="eastAsia" w:ascii="宋体" w:hAnsi="宋体" w:cs="宋体"/>
          <w:color w:val="C00000"/>
          <w:szCs w:val="21"/>
          <w:u w:val="single"/>
        </w:rPr>
        <w:t>3</w:t>
      </w:r>
      <w:r>
        <w:rPr>
          <w:rFonts w:ascii="宋体" w:hAnsi="宋体" w:cs="宋体"/>
          <w:color w:val="C00000"/>
          <w:szCs w:val="21"/>
          <w:u w:val="single"/>
        </w:rPr>
        <w:t>0</w:t>
      </w:r>
      <w:r>
        <w:rPr>
          <w:rFonts w:hint="eastAsia" w:ascii="宋体" w:hAnsi="宋体" w:cs="宋体"/>
          <w:color w:val="C0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竞标人应根据本次竞争性比选的具体要求，编制规范的竞标文件（竞标文件，要求填写规范，密封完好并在封口处加盖公章，所有竞标在截止时间后不得接收）。当第一次不足三家报名时，不予开标，标书当场退回；第二次及以后不足三家报名时，可按比选文件要求进行开标。</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2" w:firstLineChars="200"/>
        <w:rPr>
          <w:rFonts w:ascii="宋体" w:hAnsi="宋体" w:cs="宋体"/>
          <w:b/>
          <w:bCs/>
          <w:szCs w:val="21"/>
        </w:rPr>
      </w:pPr>
      <w:r>
        <w:rPr>
          <w:rFonts w:hint="eastAsia" w:ascii="宋体" w:hAnsi="宋体" w:cs="宋体"/>
          <w:b/>
          <w:bCs/>
          <w:szCs w:val="21"/>
        </w:rPr>
        <w:t>按第五条要求制作的竞标文件，将竞标文件密封到一个封套中，再在封套上写明：</w:t>
      </w:r>
    </w:p>
    <w:p>
      <w:pPr>
        <w:spacing w:line="360" w:lineRule="exact"/>
        <w:ind w:firstLine="422" w:firstLineChars="200"/>
        <w:jc w:val="center"/>
        <w:rPr>
          <w:rFonts w:ascii="宋体" w:hAnsi="宋体" w:cs="宋体"/>
          <w:b/>
          <w:bCs/>
          <w:szCs w:val="21"/>
          <w:u w:val="single"/>
        </w:rPr>
      </w:pPr>
      <w:r>
        <w:rPr>
          <w:rFonts w:hint="eastAsia"/>
          <w:b/>
          <w:bCs/>
          <w:color w:val="000000"/>
          <w:szCs w:val="21"/>
          <w:u w:val="single"/>
        </w:rPr>
        <w:t>渝蓉高速公路2022年路面维修处治工程商品混凝土采购</w:t>
      </w:r>
      <w:r>
        <w:rPr>
          <w:rFonts w:hint="eastAsia" w:ascii="宋体" w:hAnsi="宋体" w:cs="宋体"/>
          <w:b/>
          <w:bCs/>
          <w:szCs w:val="21"/>
          <w:u w:val="single"/>
        </w:rPr>
        <w:t>竞标文件</w:t>
      </w:r>
    </w:p>
    <w:p>
      <w:pPr>
        <w:spacing w:line="360" w:lineRule="exact"/>
        <w:ind w:firstLine="420" w:firstLineChars="200"/>
        <w:jc w:val="center"/>
        <w:rPr>
          <w:rFonts w:ascii="宋体" w:hAnsi="宋体" w:cs="宋体"/>
          <w:color w:val="C00000"/>
          <w:szCs w:val="21"/>
          <w:u w:val="single"/>
        </w:rPr>
      </w:pPr>
      <w:r>
        <w:rPr>
          <w:rFonts w:hint="eastAsia" w:ascii="宋体" w:hAnsi="宋体" w:cs="宋体"/>
          <w:color w:val="C00000"/>
          <w:szCs w:val="21"/>
          <w:u w:val="single"/>
        </w:rPr>
        <w:t>在</w:t>
      </w:r>
      <w:r>
        <w:rPr>
          <w:rFonts w:ascii="宋体" w:hAnsi="宋体" w:cs="宋体"/>
          <w:color w:val="C00000"/>
          <w:szCs w:val="21"/>
          <w:u w:val="single"/>
        </w:rPr>
        <w:t>2022</w:t>
      </w:r>
      <w:r>
        <w:rPr>
          <w:rFonts w:hint="eastAsia" w:ascii="宋体" w:hAnsi="宋体" w:cs="宋体"/>
          <w:color w:val="C00000"/>
          <w:szCs w:val="21"/>
          <w:u w:val="single"/>
        </w:rPr>
        <w:t>年 10 月 2</w:t>
      </w:r>
      <w:r>
        <w:rPr>
          <w:rFonts w:hint="eastAsia" w:ascii="宋体" w:hAnsi="宋体" w:cs="宋体"/>
          <w:color w:val="C00000"/>
          <w:szCs w:val="21"/>
          <w:u w:val="single"/>
          <w:lang w:val="en-US" w:eastAsia="zh-CN"/>
        </w:rPr>
        <w:t>8</w:t>
      </w:r>
      <w:r>
        <w:rPr>
          <w:rFonts w:hint="eastAsia" w:ascii="宋体" w:hAnsi="宋体" w:cs="宋体"/>
          <w:color w:val="C00000"/>
          <w:szCs w:val="21"/>
          <w:u w:val="single"/>
        </w:rPr>
        <w:t xml:space="preserve"> 日上午</w:t>
      </w:r>
      <w:r>
        <w:rPr>
          <w:rFonts w:ascii="宋体" w:hAnsi="宋体" w:cs="宋体"/>
          <w:color w:val="C00000"/>
          <w:szCs w:val="21"/>
          <w:u w:val="single"/>
        </w:rPr>
        <w:t>1</w:t>
      </w:r>
      <w:r>
        <w:rPr>
          <w:rFonts w:hint="eastAsia" w:ascii="宋体" w:hAnsi="宋体" w:cs="宋体"/>
          <w:color w:val="C00000"/>
          <w:szCs w:val="21"/>
          <w:u w:val="single"/>
        </w:rPr>
        <w:t>0时3</w:t>
      </w:r>
      <w:r>
        <w:rPr>
          <w:rFonts w:ascii="宋体" w:hAnsi="宋体" w:cs="宋体"/>
          <w:color w:val="C00000"/>
          <w:szCs w:val="21"/>
          <w:u w:val="single"/>
        </w:rPr>
        <w:t>0</w:t>
      </w:r>
      <w:r>
        <w:rPr>
          <w:rFonts w:hint="eastAsia" w:ascii="宋体" w:hAnsi="宋体" w:cs="宋体"/>
          <w:color w:val="C00000"/>
          <w:szCs w:val="21"/>
          <w:u w:val="single"/>
        </w:rPr>
        <w:t>分前不得开启</w:t>
      </w:r>
    </w:p>
    <w:p>
      <w:pPr>
        <w:spacing w:line="360" w:lineRule="exact"/>
        <w:ind w:firstLine="422" w:firstLineChars="200"/>
        <w:rPr>
          <w:rFonts w:ascii="宋体" w:hAnsi="宋体" w:cs="宋体"/>
          <w:szCs w:val="21"/>
        </w:rPr>
      </w:pPr>
      <w:r>
        <w:rPr>
          <w:rFonts w:hint="eastAsia"/>
          <w:b/>
          <w:bCs/>
          <w:szCs w:val="21"/>
        </w:rPr>
        <w:t>（七）特别提醒：若竞标人恶意竞标后不与按比选要求与比选人签订合同或履约，比选人将直接将竞标人及其关联单位（含法人代表与委托代理人）一并拉入黑名单，不得参与通力公司所有比选项目报价。</w:t>
      </w:r>
    </w:p>
    <w:p>
      <w:pPr>
        <w:spacing w:line="360" w:lineRule="exact"/>
        <w:ind w:firstLine="420" w:firstLineChars="200"/>
        <w:rPr>
          <w:szCs w:val="21"/>
        </w:rPr>
      </w:pPr>
      <w:r>
        <w:rPr>
          <w:rFonts w:hint="eastAsia"/>
          <w:szCs w:val="21"/>
        </w:rPr>
        <w:t>（八）廉政约定：</w:t>
      </w:r>
    </w:p>
    <w:p>
      <w:pPr>
        <w:spacing w:line="360" w:lineRule="exact"/>
        <w:ind w:firstLine="420" w:firstLineChars="200"/>
        <w:rPr>
          <w:rFonts w:ascii="宋体" w:hAnsi="宋体" w:cs="宋体"/>
          <w:szCs w:val="21"/>
        </w:rPr>
      </w:pPr>
      <w:r>
        <w:rPr>
          <w:rFonts w:hint="eastAsia" w:ascii="宋体" w:hAnsi="宋体" w:cs="宋体"/>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w:t>
      </w:r>
      <w:r>
        <w:rPr>
          <w:rFonts w:hint="eastAsia" w:ascii="宋体" w:hAnsi="宋体" w:cs="宋体"/>
          <w:b/>
          <w:bCs/>
          <w:szCs w:val="21"/>
        </w:rPr>
        <w:t>须提供有效线索和相关证据、证明材料</w:t>
      </w:r>
      <w:r>
        <w:rPr>
          <w:rFonts w:hint="eastAsia" w:ascii="宋体" w:hAnsi="宋体" w:cs="宋体"/>
          <w:szCs w:val="21"/>
        </w:rPr>
        <w:t>）。具体举报渠道告知如下：</w:t>
      </w:r>
    </w:p>
    <w:p>
      <w:pPr>
        <w:spacing w:line="360" w:lineRule="exact"/>
        <w:ind w:firstLine="420" w:firstLineChars="200"/>
        <w:rPr>
          <w:rFonts w:ascii="宋体" w:hAnsi="宋体" w:cs="宋体"/>
          <w:szCs w:val="21"/>
        </w:rPr>
      </w:pPr>
      <w:r>
        <w:rPr>
          <w:rFonts w:hint="eastAsia" w:ascii="宋体" w:hAnsi="宋体" w:cs="宋体"/>
          <w:szCs w:val="21"/>
        </w:rPr>
        <w:t>举报联系人：崔老师   举报电话：</w:t>
      </w:r>
      <w:r>
        <w:rPr>
          <w:rFonts w:ascii="宋体" w:hAnsi="宋体" w:cs="宋体"/>
          <w:szCs w:val="21"/>
        </w:rPr>
        <w:t>023-89187977</w:t>
      </w:r>
    </w:p>
    <w:p>
      <w:pPr>
        <w:spacing w:line="360" w:lineRule="exact"/>
        <w:ind w:firstLine="420" w:firstLineChars="200"/>
        <w:rPr>
          <w:rFonts w:ascii="宋体" w:hAnsi="宋体" w:cs="宋体"/>
          <w:szCs w:val="21"/>
        </w:rPr>
      </w:pPr>
      <w:r>
        <w:rPr>
          <w:rFonts w:hint="eastAsia" w:ascii="宋体" w:hAnsi="宋体" w:cs="宋体"/>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（九）合同（附后）。</w:t>
      </w:r>
    </w:p>
    <w:p>
      <w:pPr>
        <w:spacing w:line="360" w:lineRule="exact"/>
        <w:ind w:firstLine="420" w:firstLineChars="200"/>
        <w:jc w:val="left"/>
        <w:rPr>
          <w:rFonts w:ascii="宋体" w:hAnsi="宋体" w:cs="宋体"/>
          <w:szCs w:val="21"/>
        </w:rPr>
      </w:pPr>
      <w:r>
        <w:rPr>
          <w:rFonts w:hint="eastAsia" w:ascii="宋体" w:hAnsi="宋体" w:cs="宋体"/>
          <w:szCs w:val="21"/>
        </w:rPr>
        <w:t>（十）比选人联系方式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w:t>
      </w:r>
      <w:r>
        <w:rPr>
          <w:rFonts w:hint="eastAsia" w:ascii="宋体" w:hAnsi="宋体" w:cs="宋体"/>
          <w:b/>
          <w:bCs/>
          <w:szCs w:val="21"/>
        </w:rPr>
        <w:t>重庆通力高速公路养护工程有限公司306室</w:t>
      </w:r>
      <w:r>
        <w:rPr>
          <w:rFonts w:hint="eastAsia" w:ascii="宋体" w:hAnsi="宋体" w:cs="宋体"/>
          <w:szCs w:val="21"/>
        </w:rPr>
        <w:t>（重庆市沙坪坝区梨高路沙坪坝区档案馆旁重庆市公路养护管理段三楼）</w:t>
      </w:r>
    </w:p>
    <w:p>
      <w:pPr>
        <w:spacing w:line="360" w:lineRule="exact"/>
        <w:ind w:firstLine="420" w:firstLineChars="200"/>
        <w:jc w:val="left"/>
        <w:rPr>
          <w:rFonts w:ascii="宋体" w:hAnsi="宋体" w:cs="宋体"/>
          <w:color w:val="000000"/>
          <w:szCs w:val="21"/>
        </w:rPr>
      </w:pPr>
      <w:r>
        <w:rPr>
          <w:rFonts w:hint="eastAsia" w:ascii="宋体" w:hAnsi="宋体" w:cs="宋体"/>
          <w:color w:val="000000"/>
          <w:szCs w:val="21"/>
        </w:rPr>
        <w:t>联系人：</w:t>
      </w:r>
      <w:r>
        <w:rPr>
          <w:rFonts w:hint="eastAsia" w:ascii="宋体" w:hAnsi="宋体" w:cs="宋体"/>
          <w:szCs w:val="21"/>
        </w:rPr>
        <w:t>刘老师    电话：023-88563373</w:t>
      </w:r>
      <w:r>
        <w:rPr>
          <w:rFonts w:hint="eastAsia" w:ascii="宋体" w:hAnsi="宋体"/>
          <w:snapToGrid w:val="0"/>
          <w:color w:val="000000"/>
          <w:kern w:val="0"/>
          <w:szCs w:val="21"/>
        </w:rPr>
        <w:t xml:space="preserve">     邱老师   电话：13609403626</w:t>
      </w:r>
    </w:p>
    <w:p>
      <w:pPr>
        <w:spacing w:line="360" w:lineRule="exact"/>
        <w:ind w:firstLine="420" w:firstLineChars="200"/>
        <w:jc w:val="left"/>
        <w:rPr>
          <w:rFonts w:ascii="宋体" w:hAnsi="宋体" w:cs="宋体"/>
          <w:szCs w:val="21"/>
        </w:rPr>
      </w:pPr>
    </w:p>
    <w:p>
      <w:pPr>
        <w:spacing w:line="360" w:lineRule="exact"/>
        <w:jc w:val="left"/>
        <w:rPr>
          <w:b/>
          <w:color w:val="000000"/>
          <w:sz w:val="24"/>
          <w:szCs w:val="21"/>
        </w:rPr>
      </w:pPr>
      <w:r>
        <w:rPr>
          <w:rFonts w:hint="eastAsia"/>
        </w:rPr>
        <w:br w:type="page"/>
      </w:r>
      <w:r>
        <w:rPr>
          <w:rFonts w:hint="eastAsia"/>
          <w:b/>
          <w:color w:val="000000"/>
          <w:sz w:val="24"/>
          <w:szCs w:val="21"/>
        </w:rPr>
        <w:t>采购合同：</w:t>
      </w:r>
    </w:p>
    <w:p>
      <w:pPr>
        <w:spacing w:line="360" w:lineRule="auto"/>
        <w:jc w:val="center"/>
        <w:rPr>
          <w:b/>
          <w:color w:val="000000"/>
          <w:sz w:val="36"/>
          <w:u w:val="single"/>
        </w:rPr>
      </w:pPr>
      <w:r>
        <w:rPr>
          <w:rFonts w:hint="eastAsia"/>
          <w:b/>
          <w:color w:val="000000"/>
          <w:sz w:val="36"/>
          <w:u w:val="single"/>
        </w:rPr>
        <w:t>重庆通力高速公路养护工程有限公司</w:t>
      </w:r>
    </w:p>
    <w:p>
      <w:pPr>
        <w:spacing w:line="360" w:lineRule="auto"/>
        <w:jc w:val="center"/>
        <w:rPr>
          <w:b/>
          <w:color w:val="000000"/>
          <w:sz w:val="36"/>
          <w:u w:val="single"/>
        </w:rPr>
      </w:pPr>
      <w:r>
        <w:rPr>
          <w:rFonts w:hint="eastAsia"/>
          <w:b/>
          <w:color w:val="000000"/>
          <w:sz w:val="36"/>
          <w:u w:val="single"/>
        </w:rPr>
        <w:t>渝蓉高速公路2022年路面维修处治工程</w:t>
      </w:r>
    </w:p>
    <w:p>
      <w:pPr>
        <w:spacing w:line="360" w:lineRule="auto"/>
        <w:jc w:val="center"/>
        <w:rPr>
          <w:b/>
          <w:color w:val="000000"/>
          <w:sz w:val="28"/>
          <w:szCs w:val="36"/>
          <w:u w:val="single"/>
        </w:rPr>
      </w:pPr>
      <w:r>
        <w:rPr>
          <w:rFonts w:hint="eastAsia"/>
          <w:b/>
          <w:color w:val="000000"/>
          <w:sz w:val="36"/>
          <w:u w:val="single"/>
        </w:rPr>
        <w:t>商品混凝土采购合同</w:t>
      </w:r>
    </w:p>
    <w:p>
      <w:pPr>
        <w:spacing w:line="360" w:lineRule="auto"/>
        <w:textAlignment w:val="baseline"/>
        <w:rPr>
          <w:color w:val="000000"/>
          <w:sz w:val="24"/>
          <w:szCs w:val="24"/>
        </w:rPr>
      </w:pPr>
      <w:r>
        <w:rPr>
          <w:rFonts w:hint="eastAsia"/>
          <w:color w:val="000000"/>
          <w:sz w:val="24"/>
          <w:szCs w:val="24"/>
        </w:rPr>
        <w:t>甲方：重庆通力高速公路养护工程有限公司</w:t>
      </w:r>
    </w:p>
    <w:p>
      <w:pPr>
        <w:spacing w:line="360" w:lineRule="auto"/>
        <w:textAlignment w:val="baseline"/>
        <w:rPr>
          <w:color w:val="000000"/>
          <w:sz w:val="24"/>
          <w:szCs w:val="24"/>
        </w:rPr>
      </w:pPr>
      <w:r>
        <w:rPr>
          <w:rFonts w:hint="eastAsia"/>
          <w:color w:val="000000"/>
          <w:sz w:val="24"/>
          <w:szCs w:val="24"/>
        </w:rPr>
        <w:t xml:space="preserve">联系地址：重庆市沙坪坝区梨高路4号                              </w:t>
      </w:r>
    </w:p>
    <w:p>
      <w:pPr>
        <w:spacing w:line="360" w:lineRule="auto"/>
        <w:textAlignment w:val="baseline"/>
        <w:rPr>
          <w:color w:val="000000"/>
          <w:sz w:val="24"/>
          <w:szCs w:val="24"/>
        </w:rPr>
      </w:pPr>
      <w:r>
        <w:rPr>
          <w:rFonts w:hint="eastAsia"/>
          <w:color w:val="000000"/>
          <w:sz w:val="24"/>
          <w:szCs w:val="24"/>
        </w:rPr>
        <w:t>乙方：</w:t>
      </w:r>
    </w:p>
    <w:p>
      <w:pPr>
        <w:spacing w:line="360" w:lineRule="auto"/>
        <w:textAlignment w:val="baseline"/>
        <w:rPr>
          <w:color w:val="000000"/>
          <w:sz w:val="24"/>
          <w:szCs w:val="24"/>
        </w:rPr>
      </w:pPr>
      <w:r>
        <w:rPr>
          <w:rFonts w:hint="eastAsia"/>
          <w:color w:val="000000"/>
          <w:sz w:val="24"/>
          <w:szCs w:val="24"/>
        </w:rPr>
        <w:t>联系地址：</w:t>
      </w:r>
    </w:p>
    <w:p>
      <w:pPr>
        <w:spacing w:line="360" w:lineRule="auto"/>
        <w:ind w:firstLine="480" w:firstLineChars="200"/>
        <w:textAlignment w:val="baseline"/>
        <w:rPr>
          <w:color w:val="000000"/>
          <w:sz w:val="24"/>
          <w:szCs w:val="24"/>
        </w:rPr>
      </w:pPr>
      <w:r>
        <w:rPr>
          <w:rFonts w:hint="eastAsia"/>
          <w:color w:val="000000"/>
          <w:sz w:val="24"/>
          <w:szCs w:val="24"/>
        </w:rPr>
        <w:t>甲方因</w:t>
      </w:r>
      <w:r>
        <w:rPr>
          <w:rFonts w:hint="eastAsia"/>
          <w:b/>
          <w:bCs/>
          <w:color w:val="000000"/>
          <w:sz w:val="24"/>
          <w:szCs w:val="18"/>
          <w:u w:val="single"/>
        </w:rPr>
        <w:t>G5013渝蓉高速2022年路面维修处治工程</w:t>
      </w:r>
      <w:r>
        <w:rPr>
          <w:rFonts w:hint="eastAsia"/>
          <w:color w:val="000000"/>
          <w:sz w:val="24"/>
          <w:szCs w:val="24"/>
        </w:rPr>
        <w:t>需要，</w:t>
      </w:r>
      <w:r>
        <w:rPr>
          <w:rFonts w:hint="eastAsia" w:ascii="宋体" w:hAnsi="宋体"/>
          <w:color w:val="000000"/>
          <w:sz w:val="24"/>
          <w:szCs w:val="24"/>
        </w:rPr>
        <w:t>协议向乙方购买</w:t>
      </w:r>
      <w:r>
        <w:rPr>
          <w:rFonts w:hint="eastAsia"/>
          <w:color w:val="000000"/>
          <w:sz w:val="24"/>
          <w:szCs w:val="24"/>
        </w:rPr>
        <w:t>商品混凝土</w:t>
      </w:r>
      <w:r>
        <w:rPr>
          <w:rFonts w:hint="eastAsia" w:ascii="宋体" w:hAnsi="宋体"/>
          <w:color w:val="000000"/>
          <w:sz w:val="24"/>
          <w:szCs w:val="24"/>
        </w:rPr>
        <w:t>；依照《中华人民共和国民法典》及其他有关法律、行政法规，</w:t>
      </w:r>
      <w:r>
        <w:rPr>
          <w:rFonts w:hint="eastAsia"/>
          <w:color w:val="000000"/>
          <w:sz w:val="24"/>
          <w:szCs w:val="24"/>
        </w:rPr>
        <w:t>双方在</w:t>
      </w:r>
      <w:r>
        <w:rPr>
          <w:rFonts w:hint="eastAsia" w:ascii="宋体" w:hAnsi="宋体"/>
          <w:color w:val="000000"/>
          <w:sz w:val="24"/>
          <w:szCs w:val="24"/>
        </w:rPr>
        <w:t>遵循平等、自愿、公平和诚实守信原则的基础上，</w:t>
      </w:r>
      <w:r>
        <w:rPr>
          <w:rFonts w:hint="eastAsia"/>
          <w:color w:val="000000"/>
          <w:sz w:val="24"/>
          <w:szCs w:val="24"/>
        </w:rPr>
        <w:t>经共同协商，达成一致意见，特签订本合同：</w:t>
      </w:r>
    </w:p>
    <w:p>
      <w:pPr>
        <w:numPr>
          <w:ilvl w:val="0"/>
          <w:numId w:val="3"/>
        </w:numPr>
        <w:jc w:val="left"/>
        <w:textAlignment w:val="baseline"/>
        <w:rPr>
          <w:color w:val="000000"/>
          <w:sz w:val="24"/>
          <w:szCs w:val="24"/>
        </w:rPr>
      </w:pPr>
      <w:r>
        <w:rPr>
          <w:rFonts w:hint="eastAsia"/>
          <w:b/>
          <w:color w:val="000000"/>
          <w:sz w:val="24"/>
          <w:szCs w:val="24"/>
        </w:rPr>
        <w:t>产品名称、型号、数量、金额</w:t>
      </w:r>
      <w:r>
        <w:rPr>
          <w:rFonts w:hint="eastAsia"/>
          <w:color w:val="000000"/>
          <w:sz w:val="24"/>
          <w:szCs w:val="24"/>
        </w:rPr>
        <w:t xml:space="preserve">：                             </w:t>
      </w:r>
    </w:p>
    <w:p>
      <w:pPr>
        <w:ind w:firstLine="6480" w:firstLineChars="2700"/>
        <w:jc w:val="left"/>
        <w:textAlignment w:val="baseline"/>
        <w:rPr>
          <w:color w:val="000000"/>
          <w:sz w:val="24"/>
          <w:szCs w:val="24"/>
        </w:rPr>
      </w:pPr>
      <w:r>
        <w:rPr>
          <w:rFonts w:hint="eastAsia"/>
          <w:color w:val="000000"/>
          <w:sz w:val="24"/>
          <w:szCs w:val="24"/>
        </w:rPr>
        <w:t xml:space="preserve"> </w:t>
      </w:r>
      <w:r>
        <w:rPr>
          <w:rFonts w:hint="eastAsia"/>
          <w:color w:val="000000"/>
          <w:szCs w:val="21"/>
        </w:rPr>
        <w:t>货币单位：人民币（元）</w:t>
      </w:r>
    </w:p>
    <w:tbl>
      <w:tblPr>
        <w:tblStyle w:val="19"/>
        <w:tblpPr w:leftFromText="180" w:rightFromText="180" w:vertAnchor="text" w:horzAnchor="page" w:tblpX="1257" w:tblpY="249"/>
        <w:tblOverlap w:val="never"/>
        <w:tblW w:w="9316" w:type="dxa"/>
        <w:tblInd w:w="0" w:type="dxa"/>
        <w:tblLayout w:type="fixed"/>
        <w:tblCellMar>
          <w:top w:w="0" w:type="dxa"/>
          <w:left w:w="0" w:type="dxa"/>
          <w:bottom w:w="0" w:type="dxa"/>
          <w:right w:w="0" w:type="dxa"/>
        </w:tblCellMar>
      </w:tblPr>
      <w:tblGrid>
        <w:gridCol w:w="1310"/>
        <w:gridCol w:w="2495"/>
        <w:gridCol w:w="555"/>
        <w:gridCol w:w="795"/>
        <w:gridCol w:w="1155"/>
        <w:gridCol w:w="1395"/>
        <w:gridCol w:w="1611"/>
      </w:tblGrid>
      <w:tr>
        <w:tblPrEx>
          <w:tblCellMar>
            <w:top w:w="0" w:type="dxa"/>
            <w:left w:w="0" w:type="dxa"/>
            <w:bottom w:w="0" w:type="dxa"/>
            <w:right w:w="0" w:type="dxa"/>
          </w:tblCellMar>
        </w:tblPrEx>
        <w:trPr>
          <w:trHeight w:val="355" w:hRule="atLeast"/>
        </w:trPr>
        <w:tc>
          <w:tcPr>
            <w:tcW w:w="13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序号</w:t>
            </w:r>
          </w:p>
        </w:tc>
        <w:tc>
          <w:tcPr>
            <w:tcW w:w="24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强度等级</w:t>
            </w:r>
          </w:p>
        </w:tc>
        <w:tc>
          <w:tcPr>
            <w:tcW w:w="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单位</w:t>
            </w:r>
          </w:p>
        </w:tc>
        <w:tc>
          <w:tcPr>
            <w:tcW w:w="7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暂定</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数量</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到场含税单价</w:t>
            </w:r>
          </w:p>
        </w:tc>
        <w:tc>
          <w:tcPr>
            <w:tcW w:w="1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0" w:type="dxa"/>
            <w:left w:w="0" w:type="dxa"/>
            <w:bottom w:w="0" w:type="dxa"/>
            <w:right w:w="0" w:type="dxa"/>
          </w:tblCellMar>
        </w:tblPrEx>
        <w:trPr>
          <w:trHeight w:val="355" w:hRule="atLeast"/>
        </w:trPr>
        <w:tc>
          <w:tcPr>
            <w:tcW w:w="13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Cs w:val="21"/>
              </w:rPr>
            </w:pPr>
          </w:p>
        </w:tc>
        <w:tc>
          <w:tcPr>
            <w:tcW w:w="24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4"/>
                <w:szCs w:val="24"/>
              </w:rPr>
            </w:pPr>
          </w:p>
        </w:tc>
        <w:tc>
          <w:tcPr>
            <w:tcW w:w="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Cs w:val="21"/>
              </w:rPr>
            </w:pPr>
          </w:p>
        </w:tc>
        <w:tc>
          <w:tcPr>
            <w:tcW w:w="7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Cs w:val="21"/>
              </w:rPr>
            </w:pP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单价</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金额</w:t>
            </w:r>
          </w:p>
        </w:tc>
        <w:tc>
          <w:tcPr>
            <w:tcW w:w="1611"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b/>
                <w:color w:val="000000"/>
                <w:szCs w:val="21"/>
              </w:rPr>
            </w:pPr>
          </w:p>
        </w:tc>
      </w:tr>
      <w:tr>
        <w:tblPrEx>
          <w:tblCellMar>
            <w:top w:w="0" w:type="dxa"/>
            <w:left w:w="0" w:type="dxa"/>
            <w:bottom w:w="0" w:type="dxa"/>
            <w:right w:w="0" w:type="dxa"/>
          </w:tblCellMar>
        </w:tblPrEx>
        <w:trPr>
          <w:trHeight w:val="361" w:hRule="atLeast"/>
        </w:trPr>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4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rPr>
            </w:pPr>
            <w:r>
              <w:rPr>
                <w:rFonts w:hint="eastAsia" w:ascii="宋体" w:hAnsi="宋体" w:cs="宋体"/>
                <w:kern w:val="0"/>
                <w:szCs w:val="21"/>
              </w:rPr>
              <w:t>C25商品混凝土</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951</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1611" w:type="dxa"/>
            <w:tcBorders>
              <w:top w:val="single" w:color="auto" w:sz="4" w:space="0"/>
              <w:left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353" w:hRule="atLeast"/>
        </w:trPr>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C30商品混凝土</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m3</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kern w:val="0"/>
                <w:szCs w:val="21"/>
              </w:rPr>
              <w:t>500</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szCs w:val="21"/>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p>
        </w:tc>
        <w:tc>
          <w:tcPr>
            <w:tcW w:w="1611"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cs="宋体"/>
                <w:color w:val="000000"/>
                <w:kern w:val="0"/>
                <w:sz w:val="18"/>
                <w:szCs w:val="18"/>
              </w:rPr>
            </w:pPr>
          </w:p>
        </w:tc>
      </w:tr>
      <w:tr>
        <w:tblPrEx>
          <w:tblCellMar>
            <w:top w:w="0" w:type="dxa"/>
            <w:left w:w="0" w:type="dxa"/>
            <w:bottom w:w="0" w:type="dxa"/>
            <w:right w:w="0" w:type="dxa"/>
          </w:tblCellMar>
        </w:tblPrEx>
        <w:trPr>
          <w:trHeight w:val="355" w:hRule="atLeast"/>
        </w:trPr>
        <w:tc>
          <w:tcPr>
            <w:tcW w:w="51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Cs w:val="21"/>
              </w:rPr>
              <w:t>合计</w:t>
            </w:r>
          </w:p>
        </w:tc>
        <w:tc>
          <w:tcPr>
            <w:tcW w:w="25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pPr>
            <w:r>
              <w:rPr>
                <w:rFonts w:hint="eastAsia" w:ascii="宋体" w:hAnsi="宋体" w:cs="宋体"/>
                <w:b/>
                <w:color w:val="000000"/>
                <w:kern w:val="0"/>
                <w:szCs w:val="21"/>
              </w:rPr>
              <w:t>¥：</w:t>
            </w:r>
            <w:r>
              <w:rPr>
                <w:rFonts w:hint="eastAsia" w:ascii="宋体" w:hAnsi="宋体" w:cs="宋体"/>
                <w:b/>
                <w:color w:val="000000"/>
                <w:kern w:val="0"/>
                <w:szCs w:val="21"/>
                <w:u w:val="single"/>
              </w:rPr>
              <w:t xml:space="preserve">       </w:t>
            </w:r>
            <w:r>
              <w:rPr>
                <w:rFonts w:hint="eastAsia" w:ascii="宋体" w:hAnsi="宋体" w:cs="宋体"/>
                <w:b/>
                <w:color w:val="000000"/>
                <w:kern w:val="0"/>
                <w:szCs w:val="21"/>
              </w:rPr>
              <w:t>元整</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2"/>
                <w:szCs w:val="22"/>
              </w:rPr>
            </w:pPr>
          </w:p>
        </w:tc>
      </w:tr>
    </w:tbl>
    <w:p>
      <w:pPr>
        <w:spacing w:line="400" w:lineRule="exact"/>
        <w:textAlignment w:val="baseline"/>
        <w:rPr>
          <w:rFonts w:ascii="_5b8b_4f53" w:hAnsi="_5b8b_4f53" w:cs="_5b8b_4f53"/>
          <w:color w:val="000000"/>
          <w:sz w:val="22"/>
          <w:szCs w:val="22"/>
          <w:shd w:val="clear" w:color="auto" w:fill="FFFFFF"/>
        </w:rPr>
      </w:pPr>
      <w:r>
        <w:rPr>
          <w:rFonts w:hint="eastAsia" w:ascii="_5b8b_4f53" w:hAnsi="_5b8b_4f53" w:cs="_5b8b_4f53"/>
          <w:color w:val="000000"/>
          <w:sz w:val="22"/>
          <w:szCs w:val="22"/>
          <w:shd w:val="clear" w:color="auto" w:fill="FFFFFF"/>
        </w:rPr>
        <w:t>说明</w:t>
      </w:r>
      <w:r>
        <w:rPr>
          <w:rFonts w:hint="eastAsia" w:ascii="宋体" w:hAnsi="宋体" w:cs="宋体"/>
          <w:color w:val="000000"/>
          <w:sz w:val="22"/>
          <w:szCs w:val="22"/>
          <w:shd w:val="clear" w:color="auto" w:fill="FFFFFF"/>
        </w:rPr>
        <w:t>：</w:t>
      </w:r>
    </w:p>
    <w:p>
      <w:pPr>
        <w:spacing w:line="400" w:lineRule="exact"/>
        <w:ind w:firstLine="440" w:firstLineChars="200"/>
        <w:textAlignment w:val="baseline"/>
        <w:rPr>
          <w:rFonts w:ascii="_5b8b_4f53" w:hAnsi="_5b8b_4f53" w:cs="_5b8b_4f53"/>
          <w:color w:val="000000"/>
          <w:sz w:val="22"/>
          <w:szCs w:val="22"/>
          <w:shd w:val="clear" w:color="auto" w:fill="FFFFFF"/>
        </w:rPr>
      </w:pPr>
      <w:r>
        <w:rPr>
          <w:rFonts w:hint="eastAsia" w:ascii="_5b8b_4f53" w:hAnsi="_5b8b_4f53" w:cs="_5b8b_4f53"/>
          <w:color w:val="000000"/>
          <w:sz w:val="22"/>
          <w:szCs w:val="22"/>
          <w:shd w:val="clear" w:color="auto" w:fill="FFFFFF"/>
        </w:rPr>
        <w:t>1、本合同约定的材料价格为甲方指定位置的到场单价，工程量为暂定数量，以实际计量数量为准。</w:t>
      </w:r>
    </w:p>
    <w:p>
      <w:pPr>
        <w:spacing w:line="400" w:lineRule="exact"/>
        <w:ind w:firstLine="440" w:firstLineChars="200"/>
        <w:textAlignment w:val="baseline"/>
        <w:rPr>
          <w:rFonts w:ascii="_5b8b_4f53" w:hAnsi="_5b8b_4f53" w:cs="_5b8b_4f53"/>
          <w:color w:val="000000"/>
          <w:sz w:val="22"/>
          <w:szCs w:val="22"/>
          <w:shd w:val="clear" w:color="auto" w:fill="FFFFFF"/>
        </w:rPr>
      </w:pPr>
      <w:r>
        <w:rPr>
          <w:rFonts w:hint="eastAsia" w:ascii="_5b8b_4f53" w:hAnsi="_5b8b_4f53" w:cs="_5b8b_4f53"/>
          <w:color w:val="000000"/>
          <w:sz w:val="22"/>
          <w:szCs w:val="22"/>
          <w:shd w:val="clear" w:color="auto" w:fill="FFFFFF"/>
        </w:rPr>
        <w:t>2、表中所填单价为税后价，乙方应提供合法有效且符合询价方要求的增值税发票，表中单价按照“重建委发[2013] 74号文件”和“渝建价发[2016]17号文件”规定及市场情况确定。抵扣税率为3% 。</w:t>
      </w:r>
    </w:p>
    <w:p>
      <w:pPr>
        <w:spacing w:line="400" w:lineRule="exact"/>
        <w:ind w:firstLine="440" w:firstLineChars="200"/>
        <w:textAlignment w:val="baseline"/>
      </w:pPr>
      <w:r>
        <w:rPr>
          <w:rFonts w:hint="eastAsia" w:ascii="_5b8b_4f53" w:hAnsi="_5b8b_4f53" w:cs="_5b8b_4f53"/>
          <w:color w:val="000000"/>
          <w:sz w:val="22"/>
          <w:szCs w:val="22"/>
          <w:shd w:val="clear" w:color="auto" w:fill="FFFFFF"/>
        </w:rPr>
        <w:t>3、表中所填单价为(混凝土出厂单价+高速公路通行费（如有）+混凝土搅拌车运输</w:t>
      </w:r>
      <w:r>
        <w:rPr>
          <w:rFonts w:ascii="_5b8b_4f53" w:hAnsi="_5b8b_4f53" w:cs="_5b8b_4f53"/>
          <w:color w:val="000000"/>
          <w:sz w:val="22"/>
          <w:szCs w:val="22"/>
          <w:shd w:val="clear" w:color="auto" w:fill="FFFFFF"/>
        </w:rPr>
        <w:t>费用</w:t>
      </w:r>
      <w:r>
        <w:rPr>
          <w:rFonts w:hint="eastAsia" w:ascii="_5b8b_4f53" w:hAnsi="_5b8b_4f53" w:cs="_5b8b_4f53"/>
          <w:color w:val="000000"/>
          <w:sz w:val="22"/>
          <w:szCs w:val="22"/>
          <w:shd w:val="clear" w:color="auto" w:fill="FFFFFF"/>
        </w:rPr>
        <w:t>+拆卸费等)含税到场的综合单价</w:t>
      </w:r>
      <w:r>
        <w:rPr>
          <w:rFonts w:ascii="_5b8b_4f53" w:hAnsi="_5b8b_4f53" w:cs="_5b8b_4f53"/>
          <w:color w:val="000000"/>
          <w:sz w:val="22"/>
          <w:szCs w:val="22"/>
          <w:shd w:val="clear" w:color="auto" w:fill="FFFFFF"/>
        </w:rPr>
        <w:t>；</w:t>
      </w:r>
      <w:r>
        <w:rPr>
          <w:rFonts w:hint="eastAsia" w:ascii="_5b8b_4f53" w:hAnsi="_5b8b_4f53" w:cs="_5b8b_4f53"/>
          <w:color w:val="000000"/>
          <w:sz w:val="22"/>
          <w:szCs w:val="22"/>
          <w:shd w:val="clear" w:color="auto" w:fill="FFFFFF"/>
        </w:rPr>
        <w:t>合同签订后不予调价。</w:t>
      </w:r>
    </w:p>
    <w:p>
      <w:pPr>
        <w:spacing w:line="360" w:lineRule="auto"/>
        <w:ind w:firstLine="472" w:firstLineChars="196"/>
        <w:rPr>
          <w:b/>
          <w:color w:val="000000"/>
          <w:sz w:val="24"/>
          <w:szCs w:val="24"/>
        </w:rPr>
      </w:pPr>
      <w:r>
        <w:rPr>
          <w:rFonts w:hint="eastAsia"/>
          <w:b/>
          <w:color w:val="000000"/>
          <w:sz w:val="24"/>
          <w:szCs w:val="24"/>
        </w:rPr>
        <w:t>二、质量要求、技术标准，混凝土的供应、验收</w:t>
      </w:r>
    </w:p>
    <w:p>
      <w:pPr>
        <w:pStyle w:val="36"/>
        <w:spacing w:after="0" w:line="480" w:lineRule="exact"/>
        <w:ind w:firstLine="480"/>
        <w:rPr>
          <w:rFonts w:ascii="宋体" w:hAnsi="宋体" w:eastAsia="宋体"/>
          <w:color w:val="000000"/>
          <w:sz w:val="24"/>
          <w:szCs w:val="24"/>
        </w:rPr>
      </w:pPr>
      <w:r>
        <w:rPr>
          <w:rFonts w:hint="eastAsia" w:ascii="宋体" w:hAnsi="宋体" w:eastAsia="宋体"/>
          <w:color w:val="000000"/>
          <w:sz w:val="24"/>
          <w:szCs w:val="24"/>
        </w:rPr>
        <w:t>1、质量要求：各标号商品混凝土的质量必须符合国家标准和甲方要求：按照</w:t>
      </w:r>
      <w:r>
        <w:rPr>
          <w:rFonts w:ascii="宋体" w:hAnsi="宋体" w:eastAsia="宋体"/>
          <w:color w:val="000000"/>
          <w:sz w:val="24"/>
          <w:szCs w:val="24"/>
        </w:rPr>
        <w:t>GB/T 14902-2012</w:t>
      </w:r>
      <w:r>
        <w:rPr>
          <w:rFonts w:hint="eastAsia" w:ascii="宋体" w:hAnsi="宋体" w:eastAsia="宋体"/>
          <w:color w:val="000000"/>
          <w:sz w:val="24"/>
          <w:szCs w:val="24"/>
        </w:rPr>
        <w:t>预拌混凝土标准执行。</w:t>
      </w:r>
    </w:p>
    <w:p>
      <w:pPr>
        <w:pStyle w:val="36"/>
        <w:spacing w:after="0" w:line="480" w:lineRule="exact"/>
        <w:ind w:firstLine="480"/>
        <w:rPr>
          <w:rFonts w:ascii="宋体" w:hAnsi="宋体" w:eastAsia="宋体"/>
          <w:color w:val="000000"/>
          <w:sz w:val="24"/>
          <w:szCs w:val="24"/>
        </w:rPr>
      </w:pPr>
      <w:r>
        <w:rPr>
          <w:rFonts w:hint="eastAsia" w:ascii="宋体" w:hAnsi="宋体" w:eastAsia="宋体"/>
          <w:color w:val="000000"/>
          <w:sz w:val="24"/>
          <w:szCs w:val="24"/>
        </w:rPr>
        <w:t>2、技术标准：乙方用于商品混凝土的原材料必须符合现行国家有关规范要求，需提供出场合格证及复检报告；其中：</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水泥：选用普通硅酸盐水泥，砼强度不大于C40的砼中，使用标号为P.O42.5水泥，最小水泥用量300㎏/m³，水灰比≤0.6，碱含量、氯离子含量等项目要求符合现行国家规范要求。</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砂石：应符合国家现行标准的规定，应有出厂复验报告，其中石子（碎石）：粒径5mm~20mm，级配合理。碎石含泥量≤1.0%,砂含泥量≤3.0%。</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浇筑大体积砼时要求根据甲方指令相应调整材料掺量及凝结时间的技术参数，所使用的水泥应为低水化热矿渣硅酸盐水泥（具体数量将在通知单上说明）。</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乙方应根据夏雨季施工要求，及时调整砼配合比及外加剂掺量，确保砼质量符合设计及规范要求。夏雨季施工期间做好砼降温工作，确保混凝土入模温度符合规范及设计要求。</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掺和料：外加剂等用于商品混凝土的其它材料必须符合现行国家规范与技术标准。</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商品混凝土：质量标准及检测按国家有关规范执行。检验数量、次数等，按规范及质检站的有关规定执行。</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质量与材料要求：其质量必须符合国家及地方现行规范标准。供方保证材料及商品混凝土达到现行砼强度检验评定标准。</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商品混凝土送达施工现场，如塌落度质量达不到现场要求，乙方必须无条件退货。</w:t>
      </w:r>
    </w:p>
    <w:p>
      <w:pPr>
        <w:pStyle w:val="36"/>
        <w:numPr>
          <w:ilvl w:val="0"/>
          <w:numId w:val="4"/>
        </w:numPr>
        <w:spacing w:after="0" w:line="480" w:lineRule="exact"/>
        <w:ind w:firstLineChars="0"/>
        <w:rPr>
          <w:rFonts w:ascii="宋体" w:hAnsi="宋体" w:eastAsia="宋体"/>
          <w:color w:val="000000"/>
          <w:sz w:val="24"/>
          <w:szCs w:val="24"/>
        </w:rPr>
      </w:pPr>
      <w:r>
        <w:rPr>
          <w:rFonts w:hint="eastAsia" w:ascii="宋体" w:hAnsi="宋体" w:eastAsia="宋体"/>
          <w:color w:val="000000"/>
          <w:sz w:val="24"/>
          <w:szCs w:val="24"/>
        </w:rPr>
        <w:t>乙方应满足甲方根据设计施工方案对商品混凝土强度等级、塌落度大小、抗渗等级以及砼拌合材料的要求。</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（10）商品混凝土出厂，乙方负责向甲方提供每批次“预拌砼出厂质量证明书”及检测报告。</w:t>
      </w:r>
    </w:p>
    <w:p>
      <w:pPr>
        <w:pStyle w:val="36"/>
        <w:spacing w:after="0" w:line="480" w:lineRule="exact"/>
        <w:ind w:firstLine="480"/>
        <w:rPr>
          <w:rFonts w:ascii="宋体" w:hAnsi="宋体" w:eastAsia="宋体"/>
          <w:color w:val="000000"/>
          <w:sz w:val="24"/>
          <w:szCs w:val="24"/>
        </w:rPr>
      </w:pPr>
      <w:r>
        <w:rPr>
          <w:rFonts w:hint="eastAsia" w:ascii="宋体" w:hAnsi="宋体" w:eastAsia="宋体"/>
          <w:color w:val="000000"/>
          <w:sz w:val="24"/>
          <w:szCs w:val="24"/>
        </w:rPr>
        <w:t>3、砼的供应、验收</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1）砼塌落度由乙方根据季节、气温、运输路线、运距、浇筑部位、现场条件试配确定，泵送砼塌落度由一般控制在140±20mm，高层施工时一般调整为160±20mm，对抗渗砼和普通砼不同等级、不同品种的砼同时使用时，应专车供应，并在罐车前挡风玻璃上贴上明显标识，以防出现差错。</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2）乙方应按约定及甲方事先提供的供应计划表中的供货时间（或电话通知）供应商品混凝土，无条件保证砼连续浇筑的需要，因供应不及时，导致连续浇筑供应中断，造成一切后果由乙方负责。另外，乙方应派专人进驻现场指挥联络协调，根据实际情况调配增减车辆，现场至少要有一辆砼罐车在施工现场等待浇筑；特殊部位浇筑砼时，乙方要派驻技术质量人员指导，发现问题及时解决。</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3）乙方应按国家现行有关规定、技术规范规定组织生产，甲乙双方随机取样，如果甲乙双方制作的试块送检均不合格，应以质检站认可的检测单位进行回弹或抽芯为准，如不合格，造成的质量责任及经济损失由乙方负责。</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4）交货地点砼的试验工作，由甲方及监理、总包共同取样，其试验结果作为乙方出具技术试验资料的组成部份。每工作班次，取样次数及试块组数应满足规范及现场要求。乙方负责按规范提供全套预拌砼相关技术资料。</w:t>
      </w:r>
    </w:p>
    <w:p>
      <w:pPr>
        <w:pStyle w:val="36"/>
        <w:spacing w:after="0" w:line="480" w:lineRule="exact"/>
        <w:ind w:firstLine="0" w:firstLineChars="0"/>
        <w:rPr>
          <w:rFonts w:ascii="宋体" w:hAnsi="宋体" w:eastAsia="宋体"/>
          <w:color w:val="000000"/>
          <w:sz w:val="24"/>
          <w:szCs w:val="24"/>
        </w:rPr>
      </w:pPr>
      <w:r>
        <w:rPr>
          <w:rFonts w:hint="eastAsia" w:ascii="宋体" w:hAnsi="宋体" w:eastAsia="宋体"/>
          <w:color w:val="000000"/>
          <w:sz w:val="24"/>
          <w:szCs w:val="24"/>
        </w:rPr>
        <w:t>（5）车辆要求：乙方必须遵守施工现场环境管理条例，罐车不能带泥、遗撒，不能产生大的噪音，定期检查，以免出现机械事故影响生产施工。</w:t>
      </w:r>
    </w:p>
    <w:p>
      <w:pPr>
        <w:spacing w:line="480" w:lineRule="exact"/>
        <w:ind w:firstLine="472" w:firstLineChars="196"/>
        <w:textAlignment w:val="baseline"/>
        <w:rPr>
          <w:b/>
          <w:color w:val="000000"/>
          <w:sz w:val="24"/>
          <w:szCs w:val="24"/>
        </w:rPr>
      </w:pPr>
      <w:r>
        <w:rPr>
          <w:rFonts w:hint="eastAsia"/>
          <w:b/>
          <w:color w:val="000000"/>
          <w:sz w:val="24"/>
          <w:szCs w:val="24"/>
        </w:rPr>
        <w:t>三、交（提）货地点、方式</w:t>
      </w:r>
    </w:p>
    <w:p>
      <w:pPr>
        <w:spacing w:line="480" w:lineRule="exact"/>
        <w:ind w:firstLine="480" w:firstLineChars="200"/>
        <w:jc w:val="left"/>
        <w:rPr>
          <w:color w:val="000000"/>
          <w:sz w:val="24"/>
          <w:szCs w:val="24"/>
        </w:rPr>
      </w:pPr>
      <w:r>
        <w:rPr>
          <w:rFonts w:hint="eastAsia"/>
          <w:color w:val="000000"/>
          <w:sz w:val="24"/>
          <w:szCs w:val="24"/>
        </w:rPr>
        <w:t>1、供货前由甲方提前以电话通知为准，</w:t>
      </w:r>
      <w:r>
        <w:rPr>
          <w:rFonts w:hint="eastAsia" w:ascii="宋体" w:hAnsi="宋体"/>
          <w:color w:val="000000"/>
          <w:sz w:val="24"/>
          <w:szCs w:val="24"/>
        </w:rPr>
        <w:t>乙</w:t>
      </w:r>
      <w:r>
        <w:rPr>
          <w:rFonts w:hint="eastAsia"/>
          <w:color w:val="000000"/>
          <w:sz w:val="24"/>
          <w:szCs w:val="24"/>
        </w:rPr>
        <w:t>方应自接到甲方电话（短信）通知供货后</w:t>
      </w:r>
      <w:r>
        <w:rPr>
          <w:rFonts w:hint="eastAsia"/>
          <w:color w:val="000000"/>
          <w:sz w:val="24"/>
          <w:szCs w:val="24"/>
          <w:u w:val="single"/>
        </w:rPr>
        <w:t>24</w:t>
      </w:r>
      <w:r>
        <w:rPr>
          <w:rFonts w:hint="eastAsia"/>
          <w:color w:val="000000"/>
          <w:sz w:val="24"/>
          <w:szCs w:val="24"/>
        </w:rPr>
        <w:t>小时内将所需商品混凝土以</w:t>
      </w:r>
      <w:r>
        <w:rPr>
          <w:rFonts w:hint="eastAsia" w:ascii="宋体" w:hAnsi="宋体"/>
          <w:b/>
          <w:bCs/>
          <w:color w:val="000000"/>
          <w:sz w:val="24"/>
          <w:szCs w:val="24"/>
          <w:u w:val="single"/>
        </w:rPr>
        <w:t>罐车</w:t>
      </w:r>
      <w:r>
        <w:rPr>
          <w:rFonts w:hint="eastAsia"/>
          <w:color w:val="000000"/>
          <w:sz w:val="24"/>
          <w:szCs w:val="24"/>
        </w:rPr>
        <w:t>运至甲方指定位置</w:t>
      </w:r>
      <w:r>
        <w:rPr>
          <w:rFonts w:hint="eastAsia"/>
          <w:b/>
          <w:bCs/>
          <w:color w:val="000000"/>
          <w:sz w:val="24"/>
          <w:szCs w:val="18"/>
          <w:u w:val="single"/>
        </w:rPr>
        <w:t>G5013渝蓉高速2022年路面维修处治工程</w:t>
      </w:r>
      <w:r>
        <w:rPr>
          <w:rFonts w:hint="eastAsia"/>
          <w:bCs/>
          <w:color w:val="000000"/>
          <w:sz w:val="24"/>
          <w:szCs w:val="18"/>
          <w:u w:val="single"/>
        </w:rPr>
        <w:t>处</w:t>
      </w:r>
      <w:r>
        <w:rPr>
          <w:rFonts w:hint="eastAsia"/>
          <w:color w:val="000000"/>
          <w:sz w:val="24"/>
          <w:szCs w:val="24"/>
        </w:rPr>
        <w:t>施工现场，并按甲方要求时间进场卸料，停靠于指定地点。</w:t>
      </w:r>
    </w:p>
    <w:p>
      <w:pPr>
        <w:spacing w:line="480" w:lineRule="exact"/>
        <w:ind w:firstLine="480" w:firstLineChars="200"/>
        <w:textAlignment w:val="baseline"/>
        <w:rPr>
          <w:color w:val="000000"/>
          <w:sz w:val="24"/>
          <w:szCs w:val="24"/>
        </w:rPr>
      </w:pPr>
      <w:r>
        <w:rPr>
          <w:rFonts w:hint="eastAsia"/>
          <w:color w:val="000000"/>
          <w:sz w:val="24"/>
          <w:szCs w:val="24"/>
        </w:rPr>
        <w:t>2、乙方所供应的商品混凝土经甲方初步验收合格后收货。</w:t>
      </w:r>
    </w:p>
    <w:p>
      <w:pPr>
        <w:spacing w:line="480" w:lineRule="exact"/>
        <w:ind w:firstLine="472" w:firstLineChars="196"/>
        <w:textAlignment w:val="baseline"/>
        <w:rPr>
          <w:b/>
          <w:color w:val="000000"/>
          <w:sz w:val="24"/>
          <w:szCs w:val="24"/>
        </w:rPr>
      </w:pPr>
      <w:r>
        <w:rPr>
          <w:rFonts w:hint="eastAsia"/>
          <w:b/>
          <w:color w:val="000000"/>
          <w:sz w:val="24"/>
          <w:szCs w:val="24"/>
        </w:rPr>
        <w:t>四、运输方式及到达站港和费用负担</w:t>
      </w:r>
    </w:p>
    <w:p>
      <w:pPr>
        <w:spacing w:line="480" w:lineRule="exact"/>
        <w:ind w:firstLine="480" w:firstLineChars="200"/>
        <w:textAlignment w:val="baseline"/>
        <w:rPr>
          <w:color w:val="000000"/>
          <w:sz w:val="24"/>
          <w:szCs w:val="24"/>
        </w:rPr>
      </w:pPr>
      <w:r>
        <w:rPr>
          <w:rFonts w:hint="eastAsia"/>
          <w:color w:val="000000"/>
          <w:sz w:val="24"/>
          <w:szCs w:val="24"/>
        </w:rPr>
        <w:t>本合同约定的各型号商品混凝土价格为甲方指定位置的到场单价。商品混凝土运输（包括运输及卸料）的安全由乙方负责，因超限超时等引起的一切后果及责任均由乙方自行承担。乙方必须保证安全、及时、足额供货。</w:t>
      </w:r>
    </w:p>
    <w:p>
      <w:pPr>
        <w:spacing w:line="480" w:lineRule="exact"/>
        <w:ind w:firstLine="482" w:firstLineChars="200"/>
        <w:rPr>
          <w:rFonts w:ascii="宋体" w:hAnsi="宋体"/>
          <w:b/>
          <w:color w:val="000000"/>
          <w:sz w:val="24"/>
        </w:rPr>
      </w:pPr>
      <w:r>
        <w:rPr>
          <w:rFonts w:hint="eastAsia" w:ascii="宋体" w:hAnsi="宋体"/>
          <w:b/>
          <w:color w:val="000000"/>
          <w:sz w:val="24"/>
        </w:rPr>
        <w:t>五、货物所有权</w:t>
      </w:r>
    </w:p>
    <w:p>
      <w:pPr>
        <w:spacing w:line="480" w:lineRule="exact"/>
        <w:ind w:firstLine="480" w:firstLineChars="200"/>
        <w:rPr>
          <w:rFonts w:ascii="宋体" w:hAnsi="宋体"/>
          <w:color w:val="000000"/>
          <w:sz w:val="24"/>
        </w:rPr>
      </w:pPr>
      <w:r>
        <w:rPr>
          <w:rFonts w:hint="eastAsia" w:ascii="宋体" w:hAnsi="宋体"/>
          <w:color w:val="000000"/>
          <w:sz w:val="24"/>
        </w:rPr>
        <w:t>本 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80" w:lineRule="exact"/>
        <w:ind w:firstLine="472" w:firstLineChars="196"/>
        <w:textAlignment w:val="baseline"/>
        <w:rPr>
          <w:color w:val="000000"/>
        </w:rPr>
      </w:pPr>
      <w:r>
        <w:rPr>
          <w:rFonts w:hint="eastAsia"/>
          <w:b/>
          <w:color w:val="000000"/>
          <w:sz w:val="24"/>
          <w:szCs w:val="24"/>
        </w:rPr>
        <w:t>六、计量方法</w:t>
      </w:r>
    </w:p>
    <w:p>
      <w:pPr>
        <w:spacing w:line="480" w:lineRule="exact"/>
        <w:ind w:firstLine="470" w:firstLineChars="196"/>
        <w:rPr>
          <w:color w:val="000000"/>
          <w:sz w:val="24"/>
          <w:szCs w:val="24"/>
        </w:rPr>
      </w:pPr>
      <w:r>
        <w:rPr>
          <w:rFonts w:hint="eastAsia"/>
          <w:color w:val="000000"/>
          <w:sz w:val="24"/>
          <w:szCs w:val="24"/>
        </w:rPr>
        <w:t>1、预拌砼供应量按乙方运到施工现场实际签证的供货小票计算，以体积计量，以立方米为计量单位。</w:t>
      </w:r>
    </w:p>
    <w:p>
      <w:pPr>
        <w:spacing w:line="480" w:lineRule="exact"/>
        <w:ind w:firstLine="470" w:firstLineChars="196"/>
        <w:rPr>
          <w:color w:val="000000"/>
          <w:sz w:val="24"/>
          <w:szCs w:val="24"/>
        </w:rPr>
      </w:pPr>
      <w:r>
        <w:rPr>
          <w:rFonts w:hint="eastAsia"/>
          <w:color w:val="000000"/>
          <w:sz w:val="24"/>
          <w:szCs w:val="24"/>
        </w:rPr>
        <w:t>2、甲方可随时对乙方的砼运输车实际装载量过磅抽检，若抽检中发现误差超过国家计量允许范围（±2%）(具体按</w:t>
      </w:r>
      <w:r>
        <w:fldChar w:fldCharType="begin"/>
      </w:r>
      <w:r>
        <w:instrText xml:space="preserve"> HYPERLINK "http://www.baidu.com/s?wd=%E3%80%8A%E9%A2%84%E6%8B%8C%E6%B7%B7%E5%87%9D%E5%9C%9F%E3%80%8B&amp;tn=SE_PcZhidaonwhc_ngpagmjz&amp;rsv_dl=gh_pc_zhidao" \t "https://zhidao.baidu.com/question/_blank" </w:instrText>
      </w:r>
      <w:r>
        <w:fldChar w:fldCharType="separate"/>
      </w:r>
      <w:r>
        <w:rPr>
          <w:color w:val="000000"/>
          <w:sz w:val="24"/>
          <w:szCs w:val="24"/>
        </w:rPr>
        <w:t>《预拌混凝土》</w:t>
      </w:r>
      <w:r>
        <w:rPr>
          <w:color w:val="000000"/>
          <w:sz w:val="24"/>
          <w:szCs w:val="24"/>
        </w:rPr>
        <w:fldChar w:fldCharType="end"/>
      </w:r>
      <w:r>
        <w:rPr>
          <w:color w:val="000000"/>
          <w:sz w:val="24"/>
          <w:szCs w:val="24"/>
        </w:rPr>
        <w:t>GB/T14902</w:t>
      </w:r>
      <w:r>
        <w:rPr>
          <w:rFonts w:hint="eastAsia"/>
          <w:color w:val="000000"/>
          <w:sz w:val="24"/>
          <w:szCs w:val="24"/>
        </w:rPr>
        <w:t>-2012相关条款执行)，则该日该批次供应的预拌砼按抽检到的比例计算。抽检时，需乙方在场，每批次第一车预拌砼不能作为抽检依据，每批次抽检不得少于1车。 </w:t>
      </w:r>
    </w:p>
    <w:p>
      <w:pPr>
        <w:spacing w:line="480" w:lineRule="exact"/>
        <w:ind w:firstLine="472" w:firstLineChars="196"/>
        <w:textAlignment w:val="baseline"/>
        <w:rPr>
          <w:color w:val="000000"/>
        </w:rPr>
      </w:pPr>
      <w:r>
        <w:rPr>
          <w:rFonts w:hint="eastAsia"/>
          <w:b/>
          <w:color w:val="000000"/>
          <w:sz w:val="24"/>
          <w:szCs w:val="24"/>
        </w:rPr>
        <w:t>七、履约保证金</w:t>
      </w:r>
    </w:p>
    <w:p>
      <w:pPr>
        <w:adjustRightInd w:val="0"/>
        <w:snapToGrid w:val="0"/>
        <w:spacing w:line="480" w:lineRule="exact"/>
        <w:ind w:firstLine="405" w:firstLineChars="169"/>
        <w:textAlignment w:val="baseline"/>
        <w:rPr>
          <w:sz w:val="24"/>
          <w:szCs w:val="24"/>
        </w:rPr>
      </w:pPr>
      <w:r>
        <w:rPr>
          <w:rFonts w:hint="eastAsia"/>
          <w:sz w:val="24"/>
          <w:szCs w:val="24"/>
        </w:rPr>
        <w:t>1、履约担保的形式：由中标人自主选择银行保函或现金、支票等形式。</w:t>
      </w:r>
    </w:p>
    <w:p>
      <w:pPr>
        <w:adjustRightInd w:val="0"/>
        <w:snapToGrid w:val="0"/>
        <w:spacing w:line="480" w:lineRule="exact"/>
        <w:ind w:firstLine="405" w:firstLineChars="169"/>
        <w:textAlignment w:val="baseline"/>
        <w:rPr>
          <w:sz w:val="24"/>
          <w:szCs w:val="24"/>
        </w:rPr>
      </w:pPr>
      <w:r>
        <w:rPr>
          <w:rFonts w:hint="eastAsia"/>
          <w:sz w:val="24"/>
          <w:szCs w:val="24"/>
        </w:rPr>
        <w:t>2、履约担保的金额：人民币50000（大写：伍万元整）（签订合同之前提交，履约保证金在合同终止后一个月內退还）</w:t>
      </w:r>
    </w:p>
    <w:p>
      <w:pPr>
        <w:spacing w:line="480" w:lineRule="exact"/>
        <w:ind w:firstLine="472" w:firstLineChars="196"/>
        <w:textAlignment w:val="baseline"/>
        <w:rPr>
          <w:color w:val="000000"/>
          <w:sz w:val="24"/>
          <w:szCs w:val="24"/>
        </w:rPr>
      </w:pPr>
      <w:r>
        <w:rPr>
          <w:rFonts w:hint="eastAsia"/>
          <w:b/>
          <w:color w:val="000000"/>
          <w:sz w:val="24"/>
          <w:szCs w:val="24"/>
        </w:rPr>
        <w:t>八、结算方式及期限</w:t>
      </w:r>
    </w:p>
    <w:p>
      <w:pPr>
        <w:adjustRightInd w:val="0"/>
        <w:snapToGrid w:val="0"/>
        <w:spacing w:line="480" w:lineRule="exact"/>
        <w:ind w:firstLine="405" w:firstLineChars="169"/>
        <w:textAlignment w:val="baseline"/>
        <w:rPr>
          <w:sz w:val="24"/>
          <w:szCs w:val="24"/>
        </w:rPr>
      </w:pPr>
      <w:r>
        <w:rPr>
          <w:rFonts w:hint="eastAsia"/>
          <w:sz w:val="24"/>
          <w:szCs w:val="24"/>
        </w:rPr>
        <w:t>1、本项目无预付款。</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2、结算方式：本合同为固定单价、按月结算。</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结算金额=该批次甲方代表确认的实际收货合格数量×合同单价。乙方向甲方提供有效的增值税发票（抵扣税率3</w:t>
      </w:r>
      <w:r>
        <w:rPr>
          <w:color w:val="000000"/>
          <w:sz w:val="24"/>
          <w:szCs w:val="24"/>
        </w:rPr>
        <w:t>%</w:t>
      </w:r>
      <w:r>
        <w:rPr>
          <w:rFonts w:hint="eastAsia"/>
          <w:color w:val="000000"/>
          <w:sz w:val="24"/>
          <w:szCs w:val="24"/>
        </w:rPr>
        <w:t>，销售发票中已包括运输费，运输费不再单独开具发票）及供货凭证，甲方自乙方费用清单（按甲方代表实际验收的合格数量和材料合同综合单价计算）及发票送达之日起3</w:t>
      </w:r>
      <w:r>
        <w:rPr>
          <w:color w:val="000000"/>
          <w:sz w:val="24"/>
          <w:szCs w:val="24"/>
        </w:rPr>
        <w:t>5</w:t>
      </w:r>
      <w:r>
        <w:rPr>
          <w:rFonts w:hint="eastAsia"/>
          <w:color w:val="000000"/>
          <w:sz w:val="24"/>
          <w:szCs w:val="24"/>
        </w:rPr>
        <w:t>日（每月2</w:t>
      </w:r>
      <w:r>
        <w:rPr>
          <w:color w:val="000000"/>
          <w:sz w:val="24"/>
          <w:szCs w:val="24"/>
        </w:rPr>
        <w:t>5</w:t>
      </w:r>
      <w:r>
        <w:rPr>
          <w:rFonts w:hint="eastAsia"/>
          <w:color w:val="000000"/>
          <w:sz w:val="24"/>
          <w:szCs w:val="24"/>
        </w:rPr>
        <w:t>日至次月5日不办理支付，时间相应顺延）内以银行转账方式支付给乙方。乙方延迟提供发票和相关结算资料的，甲方的付款期限相应顺延。</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3、发票的开具:</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①商品预拌混凝土产品销售全额发票由乙方开具增值税发票(抵扣税率3%)给甲方,发票单位名称为本合同甲乙双方全称，增值税发票中已包含运输费等所有结算费用，运输费等所有费用不再单独开具发票,该发票必须足额合法有效且符合甲方的要求，并配合甲方验证发票的真伪。否则,甲方有权拒绝付款并顺延付款时间。因乙方开具的发票不规范、不合法或涉嫌虛开发票引起税务问题的，乙方需依法向甲方重新开具发票，并向甲方承担赔偿责任，包括但不限于税款、滞纳金、罚款及相关损失等。</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②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③本合同内容经双方同意变更的，如果涉及到合同价款等增值税发票记载项目发生变化的，需要作废、重开、补开增值税发票的，甲乙双方需履行各自的协助义务。</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④合同生效后，因合同双方纳税人身份、纳税方式或因相关法律法规变动导致的增值税税率的变化，应遵循相关税收政策的要求，对合同价格及增值税税额进行调整。</w:t>
      </w:r>
    </w:p>
    <w:p>
      <w:pPr>
        <w:pStyle w:val="2"/>
      </w:pPr>
    </w:p>
    <w:p/>
    <w:p>
      <w:pPr>
        <w:adjustRightInd w:val="0"/>
        <w:snapToGrid w:val="0"/>
        <w:spacing w:line="480" w:lineRule="exact"/>
        <w:ind w:firstLine="407" w:firstLineChars="169"/>
        <w:textAlignment w:val="baseline"/>
        <w:rPr>
          <w:b/>
          <w:color w:val="000000"/>
          <w:sz w:val="24"/>
          <w:szCs w:val="24"/>
        </w:rPr>
      </w:pPr>
      <w:r>
        <w:rPr>
          <w:rFonts w:hint="eastAsia"/>
          <w:b/>
          <w:color w:val="000000"/>
          <w:sz w:val="24"/>
          <w:szCs w:val="24"/>
        </w:rPr>
        <w:t>九、甲方责任</w:t>
      </w:r>
    </w:p>
    <w:p>
      <w:pPr>
        <w:adjustRightInd w:val="0"/>
        <w:snapToGrid w:val="0"/>
        <w:spacing w:line="480" w:lineRule="exact"/>
        <w:ind w:firstLine="405" w:firstLineChars="169"/>
        <w:textAlignment w:val="baseline"/>
        <w:rPr>
          <w:color w:val="000000"/>
          <w:sz w:val="24"/>
          <w:szCs w:val="24"/>
        </w:rPr>
      </w:pPr>
      <w:r>
        <w:rPr>
          <w:color w:val="000000"/>
          <w:sz w:val="24"/>
          <w:szCs w:val="24"/>
        </w:rPr>
        <w:t>1、根据工程进度需要，甲方</w:t>
      </w:r>
      <w:r>
        <w:rPr>
          <w:rFonts w:hint="eastAsia"/>
          <w:color w:val="000000"/>
          <w:sz w:val="24"/>
          <w:szCs w:val="24"/>
        </w:rPr>
        <w:t>提前24小时已短信通知</w:t>
      </w:r>
      <w:r>
        <w:rPr>
          <w:color w:val="000000"/>
          <w:sz w:val="24"/>
          <w:szCs w:val="24"/>
        </w:rPr>
        <w:t>预拌砼供应计划</w:t>
      </w:r>
      <w:r>
        <w:rPr>
          <w:rFonts w:hint="eastAsia"/>
          <w:color w:val="000000"/>
          <w:sz w:val="24"/>
          <w:szCs w:val="24"/>
        </w:rPr>
        <w:t>与</w:t>
      </w:r>
      <w:r>
        <w:rPr>
          <w:color w:val="000000"/>
          <w:sz w:val="24"/>
          <w:szCs w:val="24"/>
        </w:rPr>
        <w:t>乙方。因各种原因需要更改计划，甲方应提前8小时</w:t>
      </w:r>
      <w:r>
        <w:rPr>
          <w:rFonts w:hint="eastAsia"/>
          <w:color w:val="000000"/>
          <w:sz w:val="24"/>
          <w:szCs w:val="24"/>
        </w:rPr>
        <w:t>短信</w:t>
      </w:r>
      <w:r>
        <w:rPr>
          <w:color w:val="000000"/>
          <w:sz w:val="24"/>
          <w:szCs w:val="24"/>
        </w:rPr>
        <w:t>通知乙方。因通知不及时所造成的损失，由甲方负责。甲方每次提供供应计划时，供应计划量的误差不得超过10%。</w:t>
      </w:r>
    </w:p>
    <w:p>
      <w:pPr>
        <w:adjustRightInd w:val="0"/>
        <w:snapToGrid w:val="0"/>
        <w:spacing w:line="480" w:lineRule="exact"/>
        <w:ind w:firstLine="405" w:firstLineChars="169"/>
        <w:textAlignment w:val="baseline"/>
        <w:rPr>
          <w:color w:val="000000"/>
          <w:sz w:val="24"/>
          <w:szCs w:val="24"/>
        </w:rPr>
      </w:pPr>
      <w:r>
        <w:rPr>
          <w:color w:val="000000"/>
          <w:sz w:val="24"/>
          <w:szCs w:val="24"/>
        </w:rPr>
        <w:t>2、甲方无偿提供输送砼所必需的电力、照明、水源和运砼车辆清洁设施，负责施工现场安全，负责办理车辆占道、夜间施工等相关手续，施工现场应做到道路平整、畅通。混凝土搅拌车延时下道，由甲方和高速相关单位沟通或办理抢险工程车，如因延时下道造成高速相关单位处罚，罚款由甲方承担。</w:t>
      </w:r>
    </w:p>
    <w:p>
      <w:pPr>
        <w:adjustRightInd w:val="0"/>
        <w:snapToGrid w:val="0"/>
        <w:spacing w:line="480" w:lineRule="exact"/>
        <w:ind w:firstLine="405" w:firstLineChars="169"/>
        <w:textAlignment w:val="baseline"/>
        <w:rPr>
          <w:color w:val="000000"/>
          <w:sz w:val="24"/>
          <w:szCs w:val="24"/>
        </w:rPr>
      </w:pPr>
      <w:r>
        <w:rPr>
          <w:color w:val="000000"/>
          <w:sz w:val="24"/>
          <w:szCs w:val="24"/>
        </w:rPr>
        <w:t>3、乙方人员进入甲方工程作业</w:t>
      </w:r>
      <w:r>
        <w:rPr>
          <w:rFonts w:hint="eastAsia"/>
          <w:color w:val="000000"/>
          <w:sz w:val="24"/>
          <w:szCs w:val="24"/>
        </w:rPr>
        <w:t>仍为乙方员工</w:t>
      </w:r>
      <w:r>
        <w:rPr>
          <w:color w:val="000000"/>
          <w:sz w:val="24"/>
          <w:szCs w:val="24"/>
        </w:rPr>
        <w:t>，乙方送至本工程的所有管道、管件经甲方点验签字认可，甲方派专人负责妥善保管，如有遗失、掩埋或损坏，应有甲方负责赔偿。甲方在</w:t>
      </w:r>
      <w:r>
        <w:rPr>
          <w:rFonts w:hint="eastAsia"/>
          <w:color w:val="000000"/>
          <w:sz w:val="24"/>
          <w:szCs w:val="24"/>
        </w:rPr>
        <w:t>浇筑</w:t>
      </w:r>
      <w:r>
        <w:rPr>
          <w:color w:val="000000"/>
          <w:sz w:val="24"/>
          <w:szCs w:val="24"/>
        </w:rPr>
        <w:t>过程中。因甲方原因造成的安全事故，由甲方承担责任。</w:t>
      </w:r>
    </w:p>
    <w:p>
      <w:pPr>
        <w:adjustRightInd w:val="0"/>
        <w:snapToGrid w:val="0"/>
        <w:spacing w:line="480" w:lineRule="exact"/>
        <w:ind w:firstLine="405" w:firstLineChars="169"/>
        <w:textAlignment w:val="baseline"/>
        <w:rPr>
          <w:color w:val="000000"/>
          <w:sz w:val="24"/>
          <w:szCs w:val="24"/>
        </w:rPr>
      </w:pPr>
      <w:r>
        <w:rPr>
          <w:color w:val="000000"/>
          <w:sz w:val="24"/>
          <w:szCs w:val="24"/>
        </w:rPr>
        <w:t>4、甲方应派专人对砼运输车辆进出车辆施工现场进行调度，同时甲方应负责乙方运输至本工程砼的卸料。</w:t>
      </w:r>
    </w:p>
    <w:p>
      <w:pPr>
        <w:adjustRightInd w:val="0"/>
        <w:snapToGrid w:val="0"/>
        <w:spacing w:line="480" w:lineRule="exact"/>
        <w:ind w:firstLine="405" w:firstLineChars="169"/>
        <w:textAlignment w:val="baseline"/>
        <w:rPr>
          <w:color w:val="000000"/>
          <w:sz w:val="24"/>
          <w:szCs w:val="24"/>
        </w:rPr>
      </w:pPr>
      <w:r>
        <w:rPr>
          <w:color w:val="000000"/>
          <w:sz w:val="24"/>
          <w:szCs w:val="24"/>
        </w:rPr>
        <w:t>5、预拌砼运到施工现场后，未经乙方技术负责人同意，甲方不得掺入外加剂、掺合物、注水，因违规操作而引发的砼质量事故，由甲方负责。</w:t>
      </w:r>
    </w:p>
    <w:p>
      <w:pPr>
        <w:adjustRightInd w:val="0"/>
        <w:snapToGrid w:val="0"/>
        <w:spacing w:line="480" w:lineRule="exact"/>
        <w:ind w:firstLine="405" w:firstLineChars="169"/>
        <w:textAlignment w:val="baseline"/>
        <w:rPr>
          <w:color w:val="000000"/>
          <w:sz w:val="24"/>
          <w:szCs w:val="24"/>
        </w:rPr>
      </w:pPr>
      <w:r>
        <w:rPr>
          <w:color w:val="000000"/>
          <w:sz w:val="24"/>
          <w:szCs w:val="24"/>
        </w:rPr>
        <w:t> 6、乙方按照</w:t>
      </w:r>
      <w:r>
        <w:rPr>
          <w:rFonts w:hint="eastAsia"/>
          <w:color w:val="000000"/>
          <w:sz w:val="24"/>
          <w:szCs w:val="24"/>
        </w:rPr>
        <w:t>甲方供应计划</w:t>
      </w:r>
      <w:r>
        <w:rPr>
          <w:color w:val="000000"/>
          <w:sz w:val="24"/>
          <w:szCs w:val="24"/>
        </w:rPr>
        <w:t>的要求，运送预拌砼到施工现场后，甲方应在</w:t>
      </w:r>
      <w:r>
        <w:rPr>
          <w:rFonts w:hint="eastAsia"/>
          <w:color w:val="000000"/>
          <w:sz w:val="24"/>
          <w:szCs w:val="24"/>
        </w:rPr>
        <w:t>2</w:t>
      </w:r>
      <w:r>
        <w:rPr>
          <w:color w:val="000000"/>
          <w:sz w:val="24"/>
          <w:szCs w:val="24"/>
        </w:rPr>
        <w:t>小时内及时组织浇捣，甲方未能及时浇捣引发事故造成的经济损失，由甲方承担责任。</w:t>
      </w:r>
    </w:p>
    <w:p>
      <w:pPr>
        <w:adjustRightInd w:val="0"/>
        <w:snapToGrid w:val="0"/>
        <w:spacing w:line="480" w:lineRule="exact"/>
        <w:ind w:firstLine="405" w:firstLineChars="169"/>
        <w:textAlignment w:val="baseline"/>
        <w:rPr>
          <w:color w:val="000000"/>
          <w:sz w:val="24"/>
          <w:szCs w:val="24"/>
        </w:rPr>
      </w:pPr>
      <w:r>
        <w:rPr>
          <w:color w:val="000000"/>
          <w:sz w:val="24"/>
          <w:szCs w:val="24"/>
        </w:rPr>
        <w:t> 7、甲方在砼施工过程中，应严格执行国家和重庆市现行有关技术规范标准，因甲方原因造成的质量问题，由甲方承担责任。</w:t>
      </w:r>
    </w:p>
    <w:p>
      <w:pPr>
        <w:adjustRightInd w:val="0"/>
        <w:snapToGrid w:val="0"/>
        <w:spacing w:line="480" w:lineRule="exact"/>
        <w:ind w:firstLine="405" w:firstLineChars="169"/>
        <w:textAlignment w:val="baseline"/>
        <w:rPr>
          <w:color w:val="000000"/>
          <w:sz w:val="24"/>
          <w:szCs w:val="24"/>
        </w:rPr>
      </w:pPr>
      <w:r>
        <w:rPr>
          <w:color w:val="000000"/>
          <w:sz w:val="24"/>
          <w:szCs w:val="24"/>
        </w:rPr>
        <w:t> 9、混凝土全部浇筑完毕，所有混凝土款项结算清楚，乙方向甲方出具合格证。各部位的配合比资料乙方可同步配合甲方及时出具</w:t>
      </w:r>
      <w:r>
        <w:rPr>
          <w:rFonts w:hint="eastAsia"/>
          <w:color w:val="000000"/>
          <w:sz w:val="24"/>
          <w:szCs w:val="24"/>
        </w:rPr>
        <w:t>。</w:t>
      </w:r>
      <w:r>
        <w:rPr>
          <w:color w:val="000000"/>
          <w:sz w:val="24"/>
          <w:szCs w:val="24"/>
        </w:rPr>
        <w:t xml:space="preserve"> </w:t>
      </w:r>
    </w:p>
    <w:p>
      <w:pPr>
        <w:widowControl/>
        <w:adjustRightInd w:val="0"/>
        <w:snapToGrid w:val="0"/>
        <w:spacing w:line="480" w:lineRule="exact"/>
        <w:ind w:firstLine="405" w:firstLineChars="169"/>
        <w:jc w:val="left"/>
        <w:textAlignment w:val="baseline"/>
        <w:rPr>
          <w:b/>
          <w:bCs/>
          <w:color w:val="000000"/>
          <w:sz w:val="24"/>
          <w:szCs w:val="24"/>
        </w:rPr>
      </w:pPr>
      <w:r>
        <w:rPr>
          <w:color w:val="000000"/>
          <w:sz w:val="24"/>
          <w:szCs w:val="24"/>
        </w:rPr>
        <w:t>10、若不同强度等级砼交叉浇筑作业，甲方人员必须核准砼标号浇筑到相应施工作业面。否则造成后果由甲方承担相应责任。</w:t>
      </w:r>
    </w:p>
    <w:p>
      <w:pPr>
        <w:spacing w:line="480" w:lineRule="exact"/>
        <w:ind w:firstLine="482" w:firstLineChars="200"/>
        <w:textAlignment w:val="baseline"/>
        <w:rPr>
          <w:b/>
          <w:bCs/>
          <w:color w:val="000000"/>
          <w:sz w:val="24"/>
          <w:szCs w:val="24"/>
        </w:rPr>
      </w:pPr>
      <w:r>
        <w:rPr>
          <w:rFonts w:hint="eastAsia"/>
          <w:b/>
          <w:bCs/>
          <w:color w:val="000000"/>
          <w:sz w:val="24"/>
          <w:szCs w:val="24"/>
        </w:rPr>
        <w:t>十</w:t>
      </w:r>
      <w:r>
        <w:rPr>
          <w:b/>
          <w:bCs/>
          <w:color w:val="000000"/>
          <w:sz w:val="24"/>
          <w:szCs w:val="24"/>
        </w:rPr>
        <w:t>、乙方责任</w:t>
      </w:r>
    </w:p>
    <w:p>
      <w:pPr>
        <w:adjustRightInd w:val="0"/>
        <w:snapToGrid w:val="0"/>
        <w:spacing w:line="480" w:lineRule="exact"/>
        <w:ind w:firstLine="405" w:firstLineChars="169"/>
        <w:textAlignment w:val="baseline"/>
        <w:rPr>
          <w:color w:val="000000"/>
          <w:sz w:val="24"/>
          <w:szCs w:val="24"/>
        </w:rPr>
      </w:pPr>
      <w:r>
        <w:rPr>
          <w:color w:val="000000"/>
          <w:sz w:val="24"/>
          <w:szCs w:val="24"/>
        </w:rPr>
        <w:t>1、乙方必须持有重庆市建委</w:t>
      </w:r>
      <w:r>
        <w:rPr>
          <w:rFonts w:hint="eastAsia"/>
          <w:color w:val="000000"/>
          <w:sz w:val="24"/>
          <w:szCs w:val="24"/>
        </w:rPr>
        <w:t>等主管部门</w:t>
      </w:r>
      <w:r>
        <w:rPr>
          <w:color w:val="000000"/>
          <w:sz w:val="24"/>
          <w:szCs w:val="24"/>
        </w:rPr>
        <w:t>审查颁发的资质证书，并严格按规范预拌砼。</w:t>
      </w:r>
    </w:p>
    <w:p>
      <w:pPr>
        <w:adjustRightInd w:val="0"/>
        <w:snapToGrid w:val="0"/>
        <w:spacing w:line="480" w:lineRule="exact"/>
        <w:ind w:firstLine="405" w:firstLineChars="169"/>
        <w:textAlignment w:val="baseline"/>
        <w:rPr>
          <w:color w:val="000000"/>
          <w:sz w:val="24"/>
          <w:szCs w:val="24"/>
        </w:rPr>
      </w:pPr>
      <w:r>
        <w:rPr>
          <w:color w:val="000000"/>
          <w:sz w:val="24"/>
          <w:szCs w:val="24"/>
        </w:rPr>
        <w:t>2、乙方在预拌砼生产过程中，应严格执行国家和重庆市现行有关技术规范标准，并将出厂检验的砼强度报告及相关资料提供给甲方。</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3</w:t>
      </w:r>
      <w:r>
        <w:rPr>
          <w:color w:val="000000"/>
          <w:sz w:val="24"/>
          <w:szCs w:val="24"/>
        </w:rPr>
        <w:t>、乙方收到</w:t>
      </w:r>
      <w:r>
        <w:rPr>
          <w:rFonts w:hint="eastAsia"/>
          <w:color w:val="000000"/>
          <w:sz w:val="24"/>
          <w:szCs w:val="24"/>
        </w:rPr>
        <w:t>甲方的</w:t>
      </w:r>
      <w:r>
        <w:rPr>
          <w:color w:val="000000"/>
          <w:sz w:val="24"/>
          <w:szCs w:val="24"/>
        </w:rPr>
        <w:t>预拌砼供应计划</w:t>
      </w:r>
      <w:r>
        <w:rPr>
          <w:rFonts w:hint="eastAsia"/>
          <w:color w:val="000000"/>
          <w:sz w:val="24"/>
          <w:szCs w:val="24"/>
        </w:rPr>
        <w:t>短信通知</w:t>
      </w:r>
      <w:r>
        <w:rPr>
          <w:color w:val="000000"/>
          <w:sz w:val="24"/>
          <w:szCs w:val="24"/>
        </w:rPr>
        <w:t>后，应按要求及时供应预拌砼（遇交通管制和不可抗力情况除外），确保施工进度和工程连续浇捣需要。</w:t>
      </w:r>
    </w:p>
    <w:p>
      <w:pPr>
        <w:adjustRightInd w:val="0"/>
        <w:snapToGrid w:val="0"/>
        <w:spacing w:line="480" w:lineRule="exact"/>
        <w:ind w:firstLine="405" w:firstLineChars="169"/>
        <w:textAlignment w:val="baseline"/>
        <w:rPr>
          <w:color w:val="000000"/>
          <w:sz w:val="24"/>
          <w:szCs w:val="24"/>
        </w:rPr>
      </w:pPr>
      <w:r>
        <w:rPr>
          <w:color w:val="000000"/>
          <w:sz w:val="24"/>
          <w:szCs w:val="24"/>
        </w:rPr>
        <w:t>5、乙方应按照</w:t>
      </w:r>
      <w:r>
        <w:rPr>
          <w:rFonts w:hint="eastAsia"/>
          <w:color w:val="000000"/>
          <w:sz w:val="24"/>
          <w:szCs w:val="24"/>
        </w:rPr>
        <w:t>甲方的</w:t>
      </w:r>
      <w:r>
        <w:rPr>
          <w:color w:val="000000"/>
          <w:sz w:val="24"/>
          <w:szCs w:val="24"/>
        </w:rPr>
        <w:t>预拌砼供应计划的要求，负责预拌砼的前度等级设计试验，并向甲方和有关质监部门提供水泥、砂、石等材质试验报告及出厂合格证。</w:t>
      </w:r>
    </w:p>
    <w:p>
      <w:pPr>
        <w:adjustRightInd w:val="0"/>
        <w:snapToGrid w:val="0"/>
        <w:spacing w:line="480" w:lineRule="exact"/>
        <w:ind w:firstLine="405" w:firstLineChars="169"/>
        <w:textAlignment w:val="baseline"/>
        <w:rPr>
          <w:color w:val="000000"/>
          <w:sz w:val="24"/>
          <w:szCs w:val="24"/>
        </w:rPr>
      </w:pPr>
      <w:r>
        <w:rPr>
          <w:color w:val="000000"/>
          <w:sz w:val="24"/>
          <w:szCs w:val="24"/>
        </w:rPr>
        <w:t>6、因乙方原因造成工程质量事故的</w:t>
      </w:r>
      <w:r>
        <w:rPr>
          <w:rFonts w:hint="eastAsia"/>
          <w:color w:val="000000"/>
          <w:sz w:val="24"/>
          <w:szCs w:val="24"/>
        </w:rPr>
        <w:t>全部</w:t>
      </w:r>
      <w:r>
        <w:rPr>
          <w:color w:val="000000"/>
          <w:sz w:val="24"/>
          <w:szCs w:val="24"/>
        </w:rPr>
        <w:t>损失，由乙方承担责任。</w:t>
      </w:r>
    </w:p>
    <w:p>
      <w:pPr>
        <w:adjustRightInd w:val="0"/>
        <w:snapToGrid w:val="0"/>
        <w:spacing w:line="480" w:lineRule="exact"/>
        <w:ind w:firstLine="405" w:firstLineChars="169"/>
        <w:textAlignment w:val="baseline"/>
        <w:rPr>
          <w:color w:val="000000"/>
          <w:sz w:val="24"/>
          <w:szCs w:val="24"/>
        </w:rPr>
      </w:pPr>
      <w:r>
        <w:rPr>
          <w:color w:val="000000"/>
          <w:sz w:val="24"/>
          <w:szCs w:val="24"/>
        </w:rPr>
        <w:t>7、乙方应派专人到施工现场与甲方共同协调预拌砼供应有关事宜。乙方进入施工现场人员应遵守甲方有关安全的规章制度，乙方人员进入甲方工程作业</w:t>
      </w:r>
      <w:r>
        <w:rPr>
          <w:rFonts w:hint="eastAsia"/>
          <w:color w:val="000000"/>
          <w:sz w:val="24"/>
          <w:szCs w:val="24"/>
        </w:rPr>
        <w:t>仍为乙方员工，乙方应当承担该等员工的全部用人或用工主体责任</w:t>
      </w:r>
      <w:r>
        <w:rPr>
          <w:color w:val="000000"/>
          <w:sz w:val="24"/>
          <w:szCs w:val="24"/>
        </w:rPr>
        <w:t>。</w:t>
      </w:r>
      <w:r>
        <w:rPr>
          <w:rFonts w:hint="eastAsia"/>
          <w:color w:val="000000"/>
          <w:sz w:val="24"/>
          <w:szCs w:val="24"/>
        </w:rPr>
        <w:t>若出现乙方人员因施工安全问题向甲方主张权利的，乙方应当对该等权利主张可能导致的法律后果承担全部赔偿责任，且甲方另有权随时解除本合同，要求乙方按</w:t>
      </w:r>
      <w:r>
        <w:rPr>
          <w:color w:val="000000"/>
          <w:sz w:val="24"/>
          <w:szCs w:val="24"/>
        </w:rPr>
        <w:t>合同总价</w:t>
      </w:r>
      <w:r>
        <w:rPr>
          <w:rFonts w:hint="eastAsia"/>
          <w:color w:val="000000"/>
          <w:sz w:val="24"/>
          <w:szCs w:val="24"/>
        </w:rPr>
        <w:t>的15</w:t>
      </w:r>
      <w:r>
        <w:rPr>
          <w:color w:val="000000"/>
          <w:sz w:val="24"/>
          <w:szCs w:val="24"/>
        </w:rPr>
        <w:t>%</w:t>
      </w:r>
      <w:r>
        <w:rPr>
          <w:rFonts w:hint="eastAsia"/>
          <w:color w:val="000000"/>
          <w:sz w:val="24"/>
          <w:szCs w:val="24"/>
        </w:rPr>
        <w:t>支付违约金，且由此给甲方造成的全部损失均由乙方承担。</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8、乙方单方解除本合同或因乙方原因导致本合同部分或全部无法继续履行的，甲方有权视情节要求乙方限期整改或随时解除本合同，要求乙方按</w:t>
      </w:r>
      <w:r>
        <w:rPr>
          <w:color w:val="000000"/>
          <w:sz w:val="24"/>
          <w:szCs w:val="24"/>
        </w:rPr>
        <w:t>合同总价</w:t>
      </w:r>
      <w:r>
        <w:rPr>
          <w:rFonts w:hint="eastAsia"/>
          <w:color w:val="000000"/>
          <w:sz w:val="24"/>
          <w:szCs w:val="24"/>
        </w:rPr>
        <w:t>的15</w:t>
      </w:r>
      <w:r>
        <w:rPr>
          <w:color w:val="000000"/>
          <w:sz w:val="24"/>
          <w:szCs w:val="24"/>
        </w:rPr>
        <w:t>%</w:t>
      </w:r>
      <w:r>
        <w:rPr>
          <w:rFonts w:hint="eastAsia"/>
          <w:color w:val="000000"/>
          <w:sz w:val="24"/>
          <w:szCs w:val="24"/>
        </w:rPr>
        <w:t>支付违约金，且由此给甲方造成的全部损失均由乙方承担。</w:t>
      </w:r>
    </w:p>
    <w:p>
      <w:pPr>
        <w:spacing w:line="480" w:lineRule="exact"/>
        <w:ind w:firstLine="482" w:firstLineChars="200"/>
        <w:textAlignment w:val="baseline"/>
        <w:rPr>
          <w:b/>
          <w:bCs/>
          <w:color w:val="000000"/>
          <w:sz w:val="24"/>
          <w:szCs w:val="24"/>
        </w:rPr>
      </w:pPr>
      <w:r>
        <w:rPr>
          <w:rFonts w:hint="eastAsia"/>
          <w:b/>
          <w:bCs/>
          <w:color w:val="000000"/>
          <w:sz w:val="24"/>
          <w:szCs w:val="24"/>
        </w:rPr>
        <w:t>十一</w:t>
      </w:r>
      <w:r>
        <w:rPr>
          <w:b/>
          <w:bCs/>
          <w:color w:val="000000"/>
          <w:sz w:val="24"/>
          <w:szCs w:val="24"/>
        </w:rPr>
        <w:t>、争议、违约及索赔</w:t>
      </w:r>
    </w:p>
    <w:p>
      <w:pPr>
        <w:spacing w:line="480" w:lineRule="exact"/>
        <w:ind w:firstLine="480" w:firstLineChars="200"/>
        <w:textAlignment w:val="baseline"/>
        <w:rPr>
          <w:color w:val="000000"/>
          <w:sz w:val="24"/>
          <w:szCs w:val="24"/>
        </w:rPr>
      </w:pPr>
      <w:r>
        <w:rPr>
          <w:color w:val="000000"/>
          <w:sz w:val="24"/>
          <w:szCs w:val="24"/>
        </w:rPr>
        <w:t>（一）争议解决方法</w:t>
      </w:r>
    </w:p>
    <w:p>
      <w:pPr>
        <w:adjustRightInd w:val="0"/>
        <w:snapToGrid w:val="0"/>
        <w:spacing w:line="480" w:lineRule="exact"/>
        <w:ind w:firstLine="405" w:firstLineChars="169"/>
        <w:textAlignment w:val="baseline"/>
        <w:rPr>
          <w:color w:val="000000"/>
          <w:sz w:val="24"/>
          <w:szCs w:val="24"/>
        </w:rPr>
      </w:pPr>
      <w:r>
        <w:rPr>
          <w:color w:val="000000"/>
          <w:sz w:val="24"/>
          <w:szCs w:val="24"/>
        </w:rPr>
        <w:t>1、甲乙双方在合同执行过程中发生争执时，应及时协商；协商不成时，由建设行政主管部门调解；若调解不成，可向</w:t>
      </w:r>
      <w:r>
        <w:rPr>
          <w:rFonts w:hint="eastAsia"/>
          <w:color w:val="000000"/>
          <w:sz w:val="24"/>
          <w:szCs w:val="24"/>
        </w:rPr>
        <w:t>甲方所在地</w:t>
      </w:r>
      <w:r>
        <w:rPr>
          <w:color w:val="000000"/>
          <w:sz w:val="24"/>
          <w:szCs w:val="24"/>
        </w:rPr>
        <w:t>人民法院起诉，并由违约方承担守约方因提起诉讼所产生的诉讼费、律师服务费等各项费用。</w:t>
      </w:r>
    </w:p>
    <w:p>
      <w:pPr>
        <w:adjustRightInd w:val="0"/>
        <w:snapToGrid w:val="0"/>
        <w:spacing w:line="480" w:lineRule="exact"/>
        <w:ind w:firstLine="405" w:firstLineChars="169"/>
        <w:textAlignment w:val="baseline"/>
        <w:rPr>
          <w:color w:val="000000"/>
          <w:sz w:val="24"/>
          <w:szCs w:val="24"/>
        </w:rPr>
      </w:pPr>
      <w:r>
        <w:rPr>
          <w:color w:val="000000"/>
          <w:sz w:val="24"/>
          <w:szCs w:val="24"/>
        </w:rPr>
        <w:t>2、甲方无论任何原因中途出现停建</w:t>
      </w:r>
      <w:r>
        <w:rPr>
          <w:rFonts w:hint="eastAsia"/>
          <w:color w:val="000000"/>
          <w:sz w:val="24"/>
          <w:szCs w:val="24"/>
        </w:rPr>
        <w:t>的</w:t>
      </w:r>
      <w:r>
        <w:rPr>
          <w:color w:val="000000"/>
          <w:sz w:val="24"/>
          <w:szCs w:val="24"/>
        </w:rPr>
        <w:t>，应按本合同第</w:t>
      </w:r>
      <w:r>
        <w:rPr>
          <w:rFonts w:hint="eastAsia"/>
          <w:color w:val="000000"/>
          <w:sz w:val="24"/>
          <w:szCs w:val="24"/>
        </w:rPr>
        <w:t>六</w:t>
      </w:r>
      <w:r>
        <w:rPr>
          <w:color w:val="000000"/>
          <w:sz w:val="24"/>
          <w:szCs w:val="24"/>
        </w:rPr>
        <w:t>条计量办法计量，并在30日内</w:t>
      </w:r>
      <w:r>
        <w:rPr>
          <w:rFonts w:hint="eastAsia"/>
          <w:color w:val="000000"/>
          <w:sz w:val="24"/>
          <w:szCs w:val="24"/>
        </w:rPr>
        <w:t>办理结算</w:t>
      </w:r>
      <w:r>
        <w:rPr>
          <w:color w:val="000000"/>
          <w:sz w:val="24"/>
          <w:szCs w:val="24"/>
        </w:rPr>
        <w:t>。</w:t>
      </w:r>
      <w:r>
        <w:rPr>
          <w:rFonts w:hint="eastAsia"/>
          <w:color w:val="000000"/>
          <w:sz w:val="24"/>
          <w:szCs w:val="24"/>
        </w:rPr>
        <w:t>结算后，如甲方付款多于乙方实际供货，乙方应当在结算后三日内将多余款项退还甲方。</w:t>
      </w:r>
    </w:p>
    <w:p>
      <w:pPr>
        <w:spacing w:line="480" w:lineRule="exact"/>
        <w:ind w:firstLine="480" w:firstLineChars="200"/>
        <w:textAlignment w:val="baseline"/>
        <w:rPr>
          <w:color w:val="000000"/>
          <w:sz w:val="24"/>
          <w:szCs w:val="24"/>
        </w:rPr>
      </w:pPr>
      <w:r>
        <w:rPr>
          <w:color w:val="000000"/>
          <w:sz w:val="24"/>
          <w:szCs w:val="24"/>
        </w:rPr>
        <w:t>（二）违约与索赔</w:t>
      </w:r>
    </w:p>
    <w:p>
      <w:pPr>
        <w:adjustRightInd w:val="0"/>
        <w:snapToGrid w:val="0"/>
        <w:spacing w:line="480" w:lineRule="exact"/>
        <w:ind w:firstLine="405" w:firstLineChars="169"/>
        <w:textAlignment w:val="baseline"/>
        <w:rPr>
          <w:color w:val="000000"/>
          <w:sz w:val="24"/>
          <w:szCs w:val="24"/>
        </w:rPr>
      </w:pPr>
      <w:r>
        <w:rPr>
          <w:color w:val="000000"/>
          <w:sz w:val="24"/>
          <w:szCs w:val="24"/>
        </w:rPr>
        <w:t>1、甲方如不按本合同的约定履行各项义务，以及发生其他使本合同无法履行的行为，应</w:t>
      </w:r>
      <w:r>
        <w:rPr>
          <w:rFonts w:hint="eastAsia"/>
          <w:color w:val="000000"/>
          <w:sz w:val="24"/>
          <w:szCs w:val="24"/>
        </w:rPr>
        <w:t>赔偿乙方的实际损失</w:t>
      </w:r>
      <w:r>
        <w:rPr>
          <w:color w:val="000000"/>
          <w:sz w:val="24"/>
          <w:szCs w:val="24"/>
        </w:rPr>
        <w:t>；甲方如不按本合同约定支付货款，应自拖欠货款之日起以拖欠货款总金额为基数按月息2%承担资金占用费至货款支付之日止。</w:t>
      </w:r>
    </w:p>
    <w:p>
      <w:pPr>
        <w:adjustRightInd w:val="0"/>
        <w:snapToGrid w:val="0"/>
        <w:spacing w:line="480" w:lineRule="exact"/>
        <w:ind w:firstLine="405" w:firstLineChars="169"/>
        <w:textAlignment w:val="baseline"/>
        <w:rPr>
          <w:color w:val="000000"/>
          <w:sz w:val="24"/>
          <w:szCs w:val="24"/>
        </w:rPr>
      </w:pPr>
      <w:r>
        <w:rPr>
          <w:color w:val="000000"/>
          <w:sz w:val="24"/>
          <w:szCs w:val="24"/>
        </w:rPr>
        <w:t>2、乙方如不按合同约定供应预拌砼</w:t>
      </w:r>
      <w:r>
        <w:rPr>
          <w:rFonts w:hint="eastAsia"/>
          <w:color w:val="000000"/>
          <w:sz w:val="24"/>
          <w:szCs w:val="24"/>
        </w:rPr>
        <w:t>的</w:t>
      </w:r>
      <w:r>
        <w:rPr>
          <w:color w:val="000000"/>
          <w:sz w:val="24"/>
          <w:szCs w:val="24"/>
        </w:rPr>
        <w:t>，</w:t>
      </w:r>
      <w:r>
        <w:rPr>
          <w:rFonts w:hint="eastAsia"/>
          <w:color w:val="000000"/>
          <w:sz w:val="24"/>
          <w:szCs w:val="24"/>
        </w:rPr>
        <w:t>甲方有权随时解除本合同</w:t>
      </w:r>
      <w:r>
        <w:rPr>
          <w:color w:val="000000"/>
          <w:sz w:val="24"/>
          <w:szCs w:val="24"/>
        </w:rPr>
        <w:t>。</w:t>
      </w:r>
    </w:p>
    <w:p>
      <w:pPr>
        <w:adjustRightInd w:val="0"/>
        <w:snapToGrid w:val="0"/>
        <w:spacing w:line="480" w:lineRule="exact"/>
        <w:ind w:firstLine="405" w:firstLineChars="169"/>
        <w:textAlignment w:val="baseline"/>
        <w:rPr>
          <w:color w:val="000000"/>
          <w:sz w:val="24"/>
          <w:szCs w:val="24"/>
        </w:rPr>
      </w:pPr>
      <w:r>
        <w:rPr>
          <w:color w:val="000000"/>
          <w:sz w:val="24"/>
          <w:szCs w:val="24"/>
        </w:rPr>
        <w:t>3、因一方原因致使合同不能履行，另一方欲中止解除合同，应至少提前7天书面通知对方，对方在接到通知7天内必须给予答复，如7天内不予以答复，应视为已经同意对方要求。因终止或解除合同造成的经济损失应由违约方承担责任。</w:t>
      </w:r>
    </w:p>
    <w:p>
      <w:pPr>
        <w:adjustRightInd w:val="0"/>
        <w:snapToGrid w:val="0"/>
        <w:spacing w:line="480" w:lineRule="exact"/>
        <w:ind w:firstLine="405" w:firstLineChars="169"/>
        <w:textAlignment w:val="baseline"/>
        <w:rPr>
          <w:color w:val="000000"/>
          <w:sz w:val="24"/>
          <w:szCs w:val="24"/>
        </w:rPr>
      </w:pPr>
      <w:r>
        <w:rPr>
          <w:color w:val="000000"/>
          <w:sz w:val="24"/>
          <w:szCs w:val="24"/>
        </w:rPr>
        <w:t>4、因违约而索赔时，索赔方应提供索赔的有关证据，并在10天内向违约方发出索赔书面通知，对方在接到索赔通知后7天内必须给予答复，如7天内不予答复，应视为已经同意对方索赔要求。</w:t>
      </w:r>
    </w:p>
    <w:p>
      <w:pPr>
        <w:spacing w:line="480" w:lineRule="exact"/>
        <w:ind w:firstLine="472" w:firstLineChars="196"/>
        <w:textAlignment w:val="baseline"/>
        <w:rPr>
          <w:b/>
          <w:color w:val="000000"/>
          <w:sz w:val="24"/>
          <w:szCs w:val="24"/>
        </w:rPr>
      </w:pPr>
      <w:r>
        <w:rPr>
          <w:rFonts w:hint="eastAsia"/>
          <w:b/>
          <w:color w:val="000000"/>
          <w:sz w:val="24"/>
          <w:szCs w:val="24"/>
        </w:rPr>
        <w:t>十二、其它约定事项</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1、本合同为综合单价（包含运输费、材料费、保险、税金、通行费、合理损耗、间接费、运杂费、利润、规费、物价上涨、安全措施费、装卸费等在内的各种费用以及合同明示或暗示的所有责任、义务和一般风险）合同。</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2、在实际供货中，可能会因施工调整、质量等原因对供货数量和时间进行调整，会导致乙方在实际供货中数量发生变化，最终数量以甲方代表确认的实际到货合格数量为准结算。期间乙方不得以供应数量和时间有变化要求进行单价变更。</w:t>
      </w:r>
    </w:p>
    <w:p>
      <w:pPr>
        <w:adjustRightInd w:val="0"/>
        <w:snapToGrid w:val="0"/>
        <w:spacing w:line="480" w:lineRule="exact"/>
        <w:ind w:firstLine="405" w:firstLineChars="169"/>
        <w:textAlignment w:val="baseline"/>
        <w:rPr>
          <w:color w:val="000000"/>
          <w:sz w:val="24"/>
          <w:szCs w:val="24"/>
        </w:rPr>
      </w:pPr>
      <w:r>
        <w:rPr>
          <w:rFonts w:hint="eastAsia"/>
          <w:color w:val="000000"/>
          <w:sz w:val="24"/>
          <w:szCs w:val="24"/>
        </w:rPr>
        <w:t>3、合同生效后，因合同双方纳税人身份、纳税方式或因相关法律法规变动导致的增值税税率的变化，应遵循相关税收政策的要求，对合同价格及增值税税额进行调整。</w:t>
      </w:r>
    </w:p>
    <w:p>
      <w:pPr>
        <w:spacing w:line="480" w:lineRule="exact"/>
        <w:ind w:firstLine="463" w:firstLineChars="192"/>
        <w:rPr>
          <w:color w:val="000000"/>
          <w:sz w:val="24"/>
          <w:szCs w:val="24"/>
        </w:rPr>
      </w:pPr>
      <w:r>
        <w:rPr>
          <w:rFonts w:hint="eastAsia"/>
          <w:b/>
          <w:color w:val="000000"/>
          <w:sz w:val="24"/>
          <w:szCs w:val="24"/>
        </w:rPr>
        <w:t>十三、本合同有效期</w:t>
      </w:r>
      <w:r>
        <w:rPr>
          <w:rFonts w:hint="eastAsia" w:ascii="宋体" w:hAnsi="宋体"/>
          <w:color w:val="000000"/>
          <w:sz w:val="24"/>
          <w:szCs w:val="24"/>
        </w:rPr>
        <w:t>：</w:t>
      </w:r>
      <w:r>
        <w:rPr>
          <w:rFonts w:hint="eastAsia"/>
          <w:color w:val="000000"/>
          <w:sz w:val="24"/>
          <w:szCs w:val="24"/>
        </w:rPr>
        <w:t>本工程工期暂定为</w:t>
      </w:r>
      <w:r>
        <w:rPr>
          <w:rFonts w:hint="eastAsia"/>
          <w:color w:val="C00000"/>
          <w:sz w:val="24"/>
          <w:szCs w:val="24"/>
        </w:rPr>
        <w:t>2022年10月30日-2022年12月30日</w:t>
      </w:r>
      <w:r>
        <w:rPr>
          <w:rFonts w:hint="eastAsia"/>
          <w:color w:val="000000"/>
          <w:sz w:val="24"/>
          <w:szCs w:val="24"/>
        </w:rPr>
        <w:t>。本合同自甲乙双方签字盖章之日起生效。乙方预拌混凝土供应完毕后，甲方按双方结算的总金额将货款支付完毕，乙方将有关资料全部交付甲方后，本合同即告终止。</w:t>
      </w:r>
    </w:p>
    <w:p>
      <w:pPr>
        <w:spacing w:line="480" w:lineRule="exact"/>
        <w:ind w:firstLine="472" w:firstLineChars="196"/>
        <w:textAlignment w:val="baseline"/>
        <w:rPr>
          <w:color w:val="000000"/>
          <w:sz w:val="24"/>
          <w:szCs w:val="24"/>
        </w:rPr>
      </w:pPr>
      <w:r>
        <w:rPr>
          <w:rFonts w:hint="eastAsia"/>
          <w:b/>
          <w:color w:val="000000"/>
          <w:sz w:val="24"/>
          <w:szCs w:val="24"/>
        </w:rPr>
        <w:t>十四、争议及解决方式：</w:t>
      </w:r>
      <w:r>
        <w:rPr>
          <w:rFonts w:hint="eastAsia"/>
          <w:color w:val="000000"/>
          <w:sz w:val="24"/>
          <w:szCs w:val="24"/>
        </w:rPr>
        <w:t>本合同在执行过程中若发生争议，双方协商解决，协商不成，可向</w:t>
      </w:r>
      <w:r>
        <w:rPr>
          <w:rFonts w:hint="eastAsia"/>
          <w:b/>
          <w:color w:val="000000"/>
          <w:sz w:val="24"/>
          <w:szCs w:val="24"/>
          <w:u w:val="single"/>
        </w:rPr>
        <w:t>重庆</w:t>
      </w:r>
      <w:r>
        <w:rPr>
          <w:rFonts w:hint="eastAsia"/>
          <w:color w:val="000000"/>
          <w:sz w:val="24"/>
          <w:szCs w:val="24"/>
        </w:rPr>
        <w:t>仲裁委员会申请仲裁。</w:t>
      </w:r>
    </w:p>
    <w:p>
      <w:pPr>
        <w:spacing w:line="480" w:lineRule="exact"/>
        <w:ind w:firstLine="472" w:firstLineChars="196"/>
        <w:textAlignment w:val="baseline"/>
        <w:rPr>
          <w:color w:val="000000"/>
          <w:sz w:val="24"/>
          <w:szCs w:val="24"/>
        </w:rPr>
      </w:pPr>
      <w:r>
        <w:rPr>
          <w:rFonts w:hint="eastAsia"/>
          <w:b/>
          <w:color w:val="000000"/>
          <w:sz w:val="24"/>
          <w:szCs w:val="24"/>
        </w:rPr>
        <w:t>十五、合同签订点</w:t>
      </w:r>
      <w:r>
        <w:rPr>
          <w:rFonts w:hint="eastAsia"/>
          <w:color w:val="000000"/>
          <w:sz w:val="24"/>
          <w:szCs w:val="24"/>
        </w:rPr>
        <w:t>：重庆市沙坪坝区梨高路</w:t>
      </w:r>
      <w:r>
        <w:rPr>
          <w:color w:val="000000"/>
          <w:sz w:val="24"/>
          <w:szCs w:val="24"/>
        </w:rPr>
        <w:t>4</w:t>
      </w:r>
      <w:r>
        <w:rPr>
          <w:rFonts w:hint="eastAsia"/>
          <w:color w:val="000000"/>
          <w:sz w:val="24"/>
          <w:szCs w:val="24"/>
        </w:rPr>
        <w:t>号。</w:t>
      </w:r>
    </w:p>
    <w:p>
      <w:pPr>
        <w:spacing w:line="480" w:lineRule="exact"/>
        <w:ind w:firstLine="472" w:firstLineChars="196"/>
        <w:textAlignment w:val="baseline"/>
        <w:rPr>
          <w:color w:val="000000"/>
          <w:sz w:val="24"/>
          <w:szCs w:val="24"/>
        </w:rPr>
      </w:pPr>
      <w:r>
        <w:rPr>
          <w:rFonts w:hint="eastAsia"/>
          <w:b/>
          <w:color w:val="000000"/>
          <w:sz w:val="24"/>
          <w:szCs w:val="24"/>
        </w:rPr>
        <w:t>十六、</w:t>
      </w:r>
      <w:r>
        <w:rPr>
          <w:rFonts w:hint="eastAsia"/>
          <w:color w:val="000000"/>
          <w:sz w:val="24"/>
          <w:szCs w:val="24"/>
        </w:rPr>
        <w:t>本合同一式</w:t>
      </w:r>
      <w:r>
        <w:rPr>
          <w:rFonts w:hint="eastAsia"/>
          <w:b/>
          <w:color w:val="000000"/>
          <w:sz w:val="24"/>
          <w:szCs w:val="24"/>
          <w:u w:val="single"/>
        </w:rPr>
        <w:t>陆</w:t>
      </w:r>
      <w:r>
        <w:rPr>
          <w:rFonts w:hint="eastAsia"/>
          <w:color w:val="000000"/>
          <w:sz w:val="24"/>
          <w:szCs w:val="24"/>
        </w:rPr>
        <w:t>份，甲方执</w:t>
      </w:r>
      <w:r>
        <w:rPr>
          <w:rFonts w:hint="eastAsia"/>
          <w:b/>
          <w:color w:val="000000"/>
          <w:sz w:val="24"/>
          <w:szCs w:val="24"/>
          <w:u w:val="single"/>
        </w:rPr>
        <w:t>肆</w:t>
      </w:r>
      <w:r>
        <w:rPr>
          <w:rFonts w:hint="eastAsia"/>
          <w:color w:val="000000"/>
          <w:sz w:val="24"/>
          <w:szCs w:val="24"/>
        </w:rPr>
        <w:t>份，乙方执</w:t>
      </w:r>
      <w:r>
        <w:rPr>
          <w:rFonts w:hint="eastAsia"/>
          <w:b/>
          <w:color w:val="000000"/>
          <w:sz w:val="24"/>
          <w:szCs w:val="24"/>
          <w:u w:val="single"/>
        </w:rPr>
        <w:t>贰</w:t>
      </w:r>
      <w:r>
        <w:rPr>
          <w:rFonts w:hint="eastAsia"/>
          <w:color w:val="000000"/>
          <w:sz w:val="24"/>
          <w:szCs w:val="24"/>
        </w:rPr>
        <w:t>份，具有同等法律效力；自双方签字并盖章后生效，完成财务结算支付后自动失效。</w:t>
      </w:r>
    </w:p>
    <w:p>
      <w:pPr>
        <w:spacing w:line="360" w:lineRule="auto"/>
        <w:rPr>
          <w:color w:val="000000"/>
          <w:sz w:val="24"/>
          <w:szCs w:val="24"/>
        </w:rPr>
      </w:pPr>
      <w:r>
        <w:rPr>
          <w:rFonts w:hint="eastAsia"/>
          <w:color w:val="000000"/>
          <w:sz w:val="24"/>
          <w:szCs w:val="24"/>
        </w:rPr>
        <w:t>甲方（盖章）：                            乙方（盖章）：</w:t>
      </w:r>
    </w:p>
    <w:p>
      <w:pPr>
        <w:spacing w:line="360" w:lineRule="auto"/>
        <w:rPr>
          <w:color w:val="000000"/>
          <w:sz w:val="24"/>
          <w:szCs w:val="24"/>
        </w:rPr>
      </w:pPr>
      <w:r>
        <w:rPr>
          <w:rFonts w:hint="eastAsia"/>
          <w:color w:val="000000"/>
          <w:sz w:val="24"/>
          <w:szCs w:val="24"/>
        </w:rPr>
        <w:t xml:space="preserve">重庆通力高速公路养护工程有限公司          </w:t>
      </w:r>
    </w:p>
    <w:p>
      <w:pPr>
        <w:spacing w:line="360" w:lineRule="auto"/>
        <w:rPr>
          <w:color w:val="000000"/>
          <w:sz w:val="24"/>
          <w:szCs w:val="24"/>
        </w:rPr>
      </w:pPr>
      <w:r>
        <w:rPr>
          <w:rFonts w:hint="eastAsia"/>
          <w:color w:val="000000"/>
          <w:sz w:val="24"/>
          <w:szCs w:val="24"/>
        </w:rPr>
        <w:t>法定代表人                                法定代表人</w:t>
      </w:r>
    </w:p>
    <w:p>
      <w:pPr>
        <w:spacing w:line="360" w:lineRule="auto"/>
        <w:rPr>
          <w:color w:val="000000"/>
          <w:sz w:val="24"/>
          <w:szCs w:val="24"/>
        </w:rPr>
      </w:pPr>
      <w:r>
        <w:rPr>
          <w:rFonts w:hint="eastAsia"/>
          <w:color w:val="000000"/>
          <w:sz w:val="24"/>
          <w:szCs w:val="24"/>
        </w:rPr>
        <w:t>或授权代表：                              或授权代表：</w:t>
      </w:r>
    </w:p>
    <w:p>
      <w:pPr>
        <w:spacing w:line="360" w:lineRule="auto"/>
        <w:rPr>
          <w:color w:val="000000"/>
          <w:sz w:val="24"/>
          <w:szCs w:val="24"/>
        </w:rPr>
      </w:pPr>
      <w:r>
        <w:rPr>
          <w:rFonts w:hint="eastAsia"/>
          <w:color w:val="000000"/>
          <w:sz w:val="24"/>
          <w:szCs w:val="24"/>
        </w:rPr>
        <w:t>部门负责人：                              经办人：</w:t>
      </w:r>
    </w:p>
    <w:p>
      <w:pPr>
        <w:spacing w:line="360" w:lineRule="auto"/>
        <w:rPr>
          <w:color w:val="000000"/>
          <w:sz w:val="24"/>
          <w:szCs w:val="24"/>
        </w:rPr>
      </w:pPr>
      <w:r>
        <w:rPr>
          <w:rFonts w:hint="eastAsia"/>
          <w:color w:val="000000"/>
          <w:sz w:val="24"/>
          <w:szCs w:val="24"/>
        </w:rPr>
        <w:t>经办人：                                  开户银行：</w:t>
      </w:r>
    </w:p>
    <w:p>
      <w:pPr>
        <w:spacing w:line="360" w:lineRule="auto"/>
        <w:rPr>
          <w:color w:val="000000"/>
          <w:sz w:val="24"/>
          <w:szCs w:val="24"/>
        </w:rPr>
      </w:pPr>
      <w:r>
        <w:rPr>
          <w:rFonts w:hint="eastAsia"/>
          <w:color w:val="000000"/>
          <w:sz w:val="24"/>
          <w:szCs w:val="24"/>
        </w:rPr>
        <w:t xml:space="preserve">                                          账号：</w:t>
      </w:r>
    </w:p>
    <w:p>
      <w:pPr>
        <w:spacing w:line="360" w:lineRule="auto"/>
        <w:rPr>
          <w:color w:val="000000"/>
          <w:sz w:val="24"/>
          <w:szCs w:val="24"/>
        </w:rPr>
      </w:pPr>
      <w:r>
        <w:rPr>
          <w:rFonts w:hint="eastAsia"/>
          <w:color w:val="000000"/>
          <w:sz w:val="24"/>
        </w:rPr>
        <w:t>日期：    年   月    日 　　              日期：    年   月    日</w:t>
      </w:r>
    </w:p>
    <w:p>
      <w:pPr>
        <w:spacing w:line="360" w:lineRule="auto"/>
        <w:rPr>
          <w:b/>
          <w:color w:val="000000"/>
          <w:sz w:val="28"/>
          <w:szCs w:val="16"/>
        </w:rPr>
      </w:pPr>
    </w:p>
    <w:p>
      <w:pPr>
        <w:spacing w:line="360" w:lineRule="auto"/>
        <w:rPr>
          <w:b/>
          <w:color w:val="000000"/>
          <w:sz w:val="28"/>
          <w:szCs w:val="16"/>
        </w:rPr>
      </w:pPr>
      <w:r>
        <w:rPr>
          <w:rFonts w:hint="eastAsia"/>
          <w:b/>
          <w:color w:val="000000"/>
          <w:sz w:val="28"/>
          <w:szCs w:val="16"/>
        </w:rPr>
        <w:t>附件一</w:t>
      </w:r>
    </w:p>
    <w:p>
      <w:pPr>
        <w:spacing w:line="360" w:lineRule="auto"/>
        <w:jc w:val="center"/>
        <w:rPr>
          <w:b/>
          <w:bCs/>
          <w:color w:val="000000"/>
          <w:sz w:val="36"/>
          <w:szCs w:val="22"/>
        </w:rPr>
      </w:pPr>
      <w:r>
        <w:rPr>
          <w:rFonts w:hint="eastAsia"/>
          <w:b/>
          <w:bCs/>
          <w:color w:val="000000"/>
          <w:sz w:val="36"/>
          <w:szCs w:val="22"/>
        </w:rPr>
        <w:t>渝蓉高速公路2022年路面维修处治工程</w:t>
      </w:r>
    </w:p>
    <w:p>
      <w:pPr>
        <w:spacing w:line="360" w:lineRule="auto"/>
        <w:jc w:val="center"/>
        <w:rPr>
          <w:b/>
          <w:color w:val="000000"/>
          <w:sz w:val="36"/>
          <w:szCs w:val="36"/>
        </w:rPr>
      </w:pPr>
      <w:r>
        <w:rPr>
          <w:rFonts w:hint="eastAsia"/>
          <w:b/>
          <w:bCs/>
          <w:color w:val="000000"/>
          <w:sz w:val="36"/>
          <w:szCs w:val="22"/>
        </w:rPr>
        <w:t>商品混凝土</w:t>
      </w:r>
      <w:r>
        <w:rPr>
          <w:rFonts w:hint="eastAsia"/>
          <w:b/>
          <w:color w:val="000000"/>
          <w:sz w:val="36"/>
        </w:rPr>
        <w:t>采购</w:t>
      </w:r>
      <w:r>
        <w:rPr>
          <w:rFonts w:hint="eastAsia"/>
          <w:b/>
          <w:color w:val="000000"/>
          <w:sz w:val="36"/>
          <w:szCs w:val="36"/>
        </w:rPr>
        <w:t>之廉政合同</w:t>
      </w:r>
    </w:p>
    <w:p>
      <w:pPr>
        <w:adjustRightInd w:val="0"/>
        <w:snapToGrid w:val="0"/>
        <w:spacing w:line="360" w:lineRule="auto"/>
        <w:ind w:firstLine="480" w:firstLineChars="200"/>
        <w:textAlignment w:val="baseline"/>
        <w:rPr>
          <w:color w:val="000000"/>
          <w:sz w:val="24"/>
        </w:rPr>
      </w:pPr>
      <w:r>
        <w:rPr>
          <w:rFonts w:hint="eastAsia"/>
          <w:color w:val="000000"/>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color w:val="000000"/>
          <w:sz w:val="24"/>
          <w:u w:val="single"/>
        </w:rPr>
        <w:t>重庆通力高速公路养护工程有限公司</w:t>
      </w:r>
      <w:r>
        <w:rPr>
          <w:rFonts w:hint="eastAsia"/>
          <w:color w:val="000000"/>
          <w:sz w:val="24"/>
        </w:rPr>
        <w:t>（以下称甲方）与</w:t>
      </w:r>
      <w:r>
        <w:rPr>
          <w:rFonts w:hint="eastAsia"/>
          <w:color w:val="000000"/>
          <w:sz w:val="24"/>
          <w:u w:val="single"/>
        </w:rPr>
        <w:t xml:space="preserve">                   </w:t>
      </w:r>
      <w:r>
        <w:rPr>
          <w:rFonts w:hint="eastAsia"/>
          <w:color w:val="000000"/>
          <w:sz w:val="24"/>
        </w:rPr>
        <w:t xml:space="preserve">（以下称乙方），特订立如下合同。   </w:t>
      </w:r>
    </w:p>
    <w:p>
      <w:pPr>
        <w:adjustRightInd w:val="0"/>
        <w:snapToGrid w:val="0"/>
        <w:spacing w:line="360" w:lineRule="auto"/>
        <w:ind w:firstLine="482" w:firstLineChars="200"/>
        <w:textAlignment w:val="baseline"/>
        <w:rPr>
          <w:color w:val="000000"/>
          <w:sz w:val="24"/>
        </w:rPr>
      </w:pPr>
      <w:r>
        <w:rPr>
          <w:rFonts w:hint="eastAsia"/>
          <w:b/>
          <w:color w:val="000000"/>
          <w:sz w:val="24"/>
        </w:rPr>
        <w:t>一、甲乙双方的权利和义务</w:t>
      </w:r>
    </w:p>
    <w:p>
      <w:pPr>
        <w:spacing w:line="360" w:lineRule="auto"/>
        <w:ind w:firstLine="480" w:firstLineChars="200"/>
        <w:rPr>
          <w:color w:val="000000"/>
          <w:sz w:val="24"/>
        </w:rPr>
      </w:pPr>
      <w:r>
        <w:rPr>
          <w:rFonts w:hint="eastAsia"/>
          <w:color w:val="000000"/>
          <w:sz w:val="24"/>
        </w:rPr>
        <w:t>1、严格遵守党和国家有关法律法规及交通部的有关规定。</w:t>
      </w:r>
    </w:p>
    <w:p>
      <w:pPr>
        <w:spacing w:line="360" w:lineRule="auto"/>
        <w:ind w:firstLine="480" w:firstLineChars="200"/>
        <w:rPr>
          <w:color w:val="000000"/>
          <w:sz w:val="24"/>
        </w:rPr>
      </w:pPr>
      <w:r>
        <w:rPr>
          <w:rFonts w:hint="eastAsia"/>
          <w:color w:val="000000"/>
          <w:sz w:val="24"/>
        </w:rPr>
        <w:t>2、严格执行</w:t>
      </w:r>
      <w:r>
        <w:rPr>
          <w:rFonts w:hint="eastAsia"/>
          <w:b/>
          <w:bCs/>
          <w:color w:val="000000"/>
          <w:sz w:val="24"/>
        </w:rPr>
        <w:t>《渝蓉高速公路2022年路面维修处治工程商品混凝土采购合同》</w:t>
      </w:r>
      <w:r>
        <w:rPr>
          <w:rFonts w:hint="eastAsia"/>
          <w:color w:val="000000"/>
          <w:sz w:val="24"/>
        </w:rPr>
        <w:t>的相关条款，自觉按合同办事。</w:t>
      </w:r>
    </w:p>
    <w:p>
      <w:pPr>
        <w:pStyle w:val="9"/>
        <w:spacing w:line="360" w:lineRule="auto"/>
        <w:ind w:left="0" w:firstLine="480" w:firstLineChars="200"/>
        <w:rPr>
          <w:rFonts w:ascii="宋体"/>
          <w:color w:val="000000"/>
          <w:sz w:val="24"/>
          <w:szCs w:val="24"/>
        </w:rPr>
      </w:pPr>
      <w:r>
        <w:rPr>
          <w:rFonts w:hint="eastAsia" w:ascii="宋体"/>
          <w:color w:val="000000"/>
          <w:sz w:val="24"/>
          <w:szCs w:val="24"/>
        </w:rPr>
        <w:t>3</w:t>
      </w:r>
      <w:r>
        <w:rPr>
          <w:rFonts w:hint="eastAsia"/>
          <w:color w:val="000000"/>
          <w:sz w:val="24"/>
        </w:rPr>
        <w:t>、</w:t>
      </w:r>
      <w:r>
        <w:rPr>
          <w:color w:val="000000"/>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color w:val="000000"/>
          <w:sz w:val="24"/>
        </w:rPr>
      </w:pPr>
      <w:r>
        <w:rPr>
          <w:rFonts w:hint="eastAsia"/>
          <w:color w:val="000000"/>
          <w:sz w:val="24"/>
        </w:rPr>
        <w:t>4、建立健全廉政制度，开展廉政教育，设立廉政告示牌，公布举报电话，监督并认真查处违法违纪行为。</w:t>
      </w:r>
    </w:p>
    <w:p>
      <w:pPr>
        <w:spacing w:line="360" w:lineRule="auto"/>
        <w:ind w:firstLine="480" w:firstLineChars="200"/>
        <w:rPr>
          <w:color w:val="000000"/>
          <w:sz w:val="24"/>
        </w:rPr>
      </w:pPr>
      <w:r>
        <w:rPr>
          <w:rFonts w:hint="eastAsia"/>
          <w:color w:val="000000"/>
          <w:sz w:val="24"/>
        </w:rPr>
        <w:t>5、发现对方在业务活动中有违反廉政规定的行为，有及时提醒对方纠正的权利和义务。</w:t>
      </w:r>
    </w:p>
    <w:p>
      <w:pPr>
        <w:spacing w:line="360" w:lineRule="auto"/>
        <w:ind w:firstLine="480" w:firstLineChars="200"/>
        <w:rPr>
          <w:color w:val="000000"/>
          <w:sz w:val="24"/>
        </w:rPr>
      </w:pPr>
      <w:r>
        <w:rPr>
          <w:rFonts w:hint="eastAsia"/>
          <w:color w:val="000000"/>
          <w:sz w:val="24"/>
        </w:rPr>
        <w:t>6、发现对方严重违反本合同义务条款的行为，有向其上级有关部门举报、建议给予处理并要求告知处理结果的权利。</w:t>
      </w:r>
    </w:p>
    <w:p>
      <w:pPr>
        <w:spacing w:line="360" w:lineRule="auto"/>
        <w:ind w:firstLine="472" w:firstLineChars="196"/>
        <w:rPr>
          <w:b/>
          <w:color w:val="000000"/>
          <w:sz w:val="24"/>
        </w:rPr>
      </w:pPr>
      <w:r>
        <w:rPr>
          <w:rFonts w:hint="eastAsia"/>
          <w:b/>
          <w:color w:val="000000"/>
          <w:sz w:val="24"/>
        </w:rPr>
        <w:t>二、甲方义务</w:t>
      </w:r>
    </w:p>
    <w:p>
      <w:pPr>
        <w:spacing w:line="360" w:lineRule="auto"/>
        <w:ind w:firstLine="480" w:firstLineChars="200"/>
        <w:rPr>
          <w:color w:val="000000"/>
          <w:sz w:val="24"/>
        </w:rPr>
      </w:pPr>
      <w:r>
        <w:rPr>
          <w:rFonts w:hint="eastAsia"/>
          <w:color w:val="000000"/>
          <w:sz w:val="24"/>
        </w:rPr>
        <w:t>1、甲方及其工作人员不得索要或接受乙方的礼金、有价证券和贵重要物品，不得在乙方报销任何应由甲方或个人支付的费用等。</w:t>
      </w:r>
    </w:p>
    <w:p>
      <w:pPr>
        <w:spacing w:line="360" w:lineRule="auto"/>
        <w:ind w:firstLine="480" w:firstLineChars="200"/>
        <w:rPr>
          <w:color w:val="000000"/>
          <w:sz w:val="24"/>
        </w:rPr>
      </w:pPr>
      <w:r>
        <w:rPr>
          <w:rFonts w:hint="eastAsia"/>
          <w:color w:val="000000"/>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color w:val="000000"/>
          <w:sz w:val="24"/>
        </w:rPr>
      </w:pPr>
      <w:r>
        <w:rPr>
          <w:rFonts w:hint="eastAsia"/>
          <w:color w:val="000000"/>
          <w:sz w:val="24"/>
        </w:rPr>
        <w:t>3、甲方及其工作人员不得要求或者接受乙方为其住房装修、婚丧嫁娶活动、配偶子女的工作安排以及出国出境、旅游等提供方便等。</w:t>
      </w:r>
    </w:p>
    <w:p>
      <w:pPr>
        <w:spacing w:line="360" w:lineRule="auto"/>
        <w:ind w:firstLine="480" w:firstLineChars="200"/>
        <w:rPr>
          <w:color w:val="000000"/>
          <w:sz w:val="24"/>
        </w:rPr>
      </w:pPr>
      <w:r>
        <w:rPr>
          <w:rFonts w:hint="eastAsia"/>
          <w:color w:val="000000"/>
          <w:sz w:val="24"/>
        </w:rPr>
        <w:t>4、甲方工作人员的配偶、子女不得从事与甲方工程有关的材料设备供应、工程分包、劳务等经济活动等。</w:t>
      </w:r>
    </w:p>
    <w:p>
      <w:pPr>
        <w:spacing w:line="360" w:lineRule="auto"/>
        <w:ind w:firstLine="480" w:firstLineChars="200"/>
        <w:rPr>
          <w:color w:val="000000"/>
          <w:sz w:val="24"/>
        </w:rPr>
      </w:pPr>
      <w:r>
        <w:rPr>
          <w:rFonts w:hint="eastAsia"/>
          <w:color w:val="000000"/>
          <w:sz w:val="24"/>
        </w:rPr>
        <w:t>5、甲方及其工作人员不得以任何理由向乙方推荐分包单位，不得要求乙方购买合同规定外的材料和设备。</w:t>
      </w:r>
    </w:p>
    <w:p>
      <w:pPr>
        <w:spacing w:line="360" w:lineRule="auto"/>
        <w:ind w:firstLine="472" w:firstLineChars="196"/>
        <w:rPr>
          <w:b/>
          <w:color w:val="000000"/>
          <w:sz w:val="24"/>
        </w:rPr>
      </w:pPr>
      <w:r>
        <w:rPr>
          <w:rFonts w:hint="eastAsia"/>
          <w:b/>
          <w:color w:val="000000"/>
          <w:sz w:val="24"/>
        </w:rPr>
        <w:t>三、乙方义务</w:t>
      </w:r>
    </w:p>
    <w:p>
      <w:pPr>
        <w:spacing w:line="360" w:lineRule="auto"/>
        <w:ind w:firstLine="480" w:firstLineChars="200"/>
        <w:rPr>
          <w:color w:val="000000"/>
          <w:sz w:val="24"/>
        </w:rPr>
      </w:pPr>
      <w:r>
        <w:rPr>
          <w:rFonts w:hint="eastAsia"/>
          <w:color w:val="000000"/>
          <w:sz w:val="24"/>
        </w:rPr>
        <w:t>1、乙方不得以任何理由向甲方及其工作人员行贿或馈赠礼金、有价证券、贵重礼品。</w:t>
      </w:r>
    </w:p>
    <w:p>
      <w:pPr>
        <w:spacing w:line="360" w:lineRule="auto"/>
        <w:ind w:firstLine="480" w:firstLineChars="200"/>
        <w:rPr>
          <w:color w:val="000000"/>
          <w:sz w:val="24"/>
        </w:rPr>
      </w:pPr>
      <w:r>
        <w:rPr>
          <w:rFonts w:hint="eastAsia"/>
          <w:color w:val="000000"/>
          <w:sz w:val="24"/>
        </w:rPr>
        <w:t>2、乙方不得以任何名义为甲方及其工作人员报销应由甲方单位或个人支付的任何费用。</w:t>
      </w:r>
    </w:p>
    <w:p>
      <w:pPr>
        <w:spacing w:line="360" w:lineRule="auto"/>
        <w:ind w:firstLine="480" w:firstLineChars="200"/>
        <w:rPr>
          <w:color w:val="000000"/>
          <w:sz w:val="24"/>
        </w:rPr>
      </w:pPr>
      <w:r>
        <w:rPr>
          <w:rFonts w:hint="eastAsia"/>
          <w:color w:val="000000"/>
          <w:sz w:val="24"/>
        </w:rPr>
        <w:t>3、乙方不得以任何理由邀请甲方工作人员外出旅游或安排甲方工作人员参加宴请及娱乐活动。</w:t>
      </w:r>
    </w:p>
    <w:p>
      <w:pPr>
        <w:spacing w:line="360" w:lineRule="auto"/>
        <w:ind w:firstLine="480" w:firstLineChars="200"/>
        <w:rPr>
          <w:color w:val="000000"/>
          <w:sz w:val="24"/>
        </w:rPr>
      </w:pPr>
      <w:r>
        <w:rPr>
          <w:rFonts w:hint="eastAsia"/>
          <w:color w:val="000000"/>
          <w:sz w:val="24"/>
        </w:rPr>
        <w:t>4、乙方不得为甲方单位和个人购置或提供通讯工具、交通工具和高档办公用品等。</w:t>
      </w:r>
    </w:p>
    <w:p>
      <w:pPr>
        <w:spacing w:line="360" w:lineRule="auto"/>
        <w:ind w:firstLine="480" w:firstLineChars="200"/>
        <w:rPr>
          <w:color w:val="000000"/>
          <w:sz w:val="24"/>
        </w:rPr>
      </w:pPr>
      <w:r>
        <w:rPr>
          <w:rFonts w:hint="eastAsia"/>
          <w:color w:val="000000"/>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color w:val="000000"/>
          <w:sz w:val="24"/>
        </w:rPr>
      </w:pPr>
      <w:r>
        <w:rPr>
          <w:rFonts w:hint="eastAsia"/>
          <w:color w:val="000000"/>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color w:val="000000"/>
          <w:sz w:val="24"/>
        </w:rPr>
      </w:pPr>
      <w:r>
        <w:rPr>
          <w:rFonts w:hint="eastAsia"/>
          <w:b/>
          <w:color w:val="000000"/>
          <w:sz w:val="24"/>
        </w:rPr>
        <w:t>四、违约责任</w:t>
      </w:r>
    </w:p>
    <w:p>
      <w:pPr>
        <w:spacing w:line="360" w:lineRule="auto"/>
        <w:ind w:firstLine="480" w:firstLineChars="200"/>
        <w:rPr>
          <w:color w:val="000000"/>
          <w:sz w:val="24"/>
        </w:rPr>
      </w:pPr>
      <w:r>
        <w:rPr>
          <w:rFonts w:hint="eastAsia"/>
          <w:color w:val="000000"/>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color w:val="000000"/>
          <w:sz w:val="24"/>
        </w:rPr>
      </w:pPr>
      <w:r>
        <w:rPr>
          <w:rFonts w:hint="eastAsia"/>
          <w:color w:val="000000"/>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color w:val="000000"/>
          <w:sz w:val="24"/>
        </w:rPr>
      </w:pPr>
      <w:r>
        <w:rPr>
          <w:rFonts w:hint="eastAsia"/>
          <w:b/>
          <w:color w:val="000000"/>
          <w:sz w:val="24"/>
        </w:rPr>
        <w:t>五、双方约定</w:t>
      </w:r>
    </w:p>
    <w:p>
      <w:pPr>
        <w:spacing w:line="400" w:lineRule="atLeast"/>
        <w:ind w:firstLine="480" w:firstLineChars="200"/>
        <w:rPr>
          <w:color w:val="000000"/>
          <w:sz w:val="24"/>
        </w:rPr>
      </w:pPr>
      <w:r>
        <w:rPr>
          <w:rFonts w:hint="eastAsia"/>
          <w:color w:val="000000"/>
          <w:sz w:val="24"/>
        </w:rPr>
        <w:t>本合同由双方或双方上级单位的纪检监察部门负责监督执行。双方应配合相关部门对合同履行情况进行检查。</w:t>
      </w:r>
    </w:p>
    <w:p>
      <w:pPr>
        <w:spacing w:line="360" w:lineRule="auto"/>
        <w:ind w:firstLine="472" w:firstLineChars="196"/>
        <w:rPr>
          <w:color w:val="000000"/>
          <w:sz w:val="24"/>
        </w:rPr>
      </w:pPr>
      <w:r>
        <w:rPr>
          <w:rFonts w:hint="eastAsia"/>
          <w:b/>
          <w:color w:val="000000"/>
          <w:sz w:val="24"/>
        </w:rPr>
        <w:t>六、</w:t>
      </w:r>
      <w:r>
        <w:rPr>
          <w:rFonts w:hint="eastAsia"/>
          <w:color w:val="000000"/>
          <w:sz w:val="24"/>
        </w:rPr>
        <w:t>本合同有效期为甲乙双方签署之日起至该合同到期后止。</w:t>
      </w:r>
    </w:p>
    <w:p>
      <w:pPr>
        <w:spacing w:line="360" w:lineRule="auto"/>
        <w:ind w:firstLine="472" w:firstLineChars="196"/>
        <w:rPr>
          <w:color w:val="000000"/>
          <w:sz w:val="24"/>
        </w:rPr>
      </w:pPr>
      <w:r>
        <w:rPr>
          <w:rFonts w:hint="eastAsia"/>
          <w:b/>
          <w:color w:val="000000"/>
          <w:sz w:val="24"/>
        </w:rPr>
        <w:t>七、</w:t>
      </w:r>
      <w:r>
        <w:rPr>
          <w:rFonts w:hint="eastAsia"/>
          <w:color w:val="000000"/>
          <w:sz w:val="24"/>
        </w:rPr>
        <w:t>本合同作为</w:t>
      </w:r>
      <w:r>
        <w:rPr>
          <w:rFonts w:hint="eastAsia"/>
          <w:b/>
          <w:bCs/>
          <w:color w:val="000000"/>
          <w:sz w:val="24"/>
        </w:rPr>
        <w:t>《渝蓉高速公路2022年路面维修处治工程商品混凝土采购合同》</w:t>
      </w:r>
      <w:r>
        <w:rPr>
          <w:rFonts w:hint="eastAsia"/>
          <w:color w:val="000000"/>
          <w:sz w:val="24"/>
        </w:rPr>
        <w:t>的附件，具有同等的法律效力，经合同双方签署立即生效。</w:t>
      </w:r>
    </w:p>
    <w:p>
      <w:pPr>
        <w:spacing w:line="360" w:lineRule="auto"/>
        <w:ind w:firstLine="472" w:firstLineChars="196"/>
        <w:textAlignment w:val="baseline"/>
        <w:rPr>
          <w:rFonts w:ascii="宋体" w:hAnsi="宋体"/>
          <w:color w:val="000000"/>
          <w:sz w:val="24"/>
        </w:rPr>
      </w:pPr>
      <w:r>
        <w:rPr>
          <w:rFonts w:hint="eastAsia"/>
          <w:b/>
          <w:color w:val="000000"/>
          <w:sz w:val="24"/>
        </w:rPr>
        <w:t>八、</w:t>
      </w:r>
      <w:r>
        <w:rPr>
          <w:rFonts w:hint="eastAsia" w:ascii="宋体"/>
          <w:color w:val="000000"/>
          <w:sz w:val="24"/>
        </w:rPr>
        <w:t>本合同一式</w:t>
      </w:r>
      <w:r>
        <w:rPr>
          <w:rFonts w:hint="eastAsia" w:ascii="宋体"/>
          <w:b/>
          <w:color w:val="000000"/>
          <w:sz w:val="24"/>
          <w:u w:val="single"/>
        </w:rPr>
        <w:t>陆</w:t>
      </w:r>
      <w:r>
        <w:rPr>
          <w:rFonts w:hint="eastAsia" w:ascii="宋体"/>
          <w:color w:val="000000"/>
          <w:sz w:val="24"/>
        </w:rPr>
        <w:t>份，甲方执</w:t>
      </w:r>
      <w:r>
        <w:rPr>
          <w:rFonts w:hint="eastAsia" w:ascii="宋体"/>
          <w:b/>
          <w:color w:val="000000"/>
          <w:sz w:val="24"/>
          <w:u w:val="single"/>
        </w:rPr>
        <w:t>肆</w:t>
      </w:r>
      <w:r>
        <w:rPr>
          <w:rFonts w:hint="eastAsia" w:ascii="宋体"/>
          <w:color w:val="000000"/>
          <w:sz w:val="24"/>
        </w:rPr>
        <w:t>份，乙方执</w:t>
      </w:r>
      <w:r>
        <w:rPr>
          <w:rFonts w:hint="eastAsia" w:ascii="宋体"/>
          <w:b/>
          <w:color w:val="000000"/>
          <w:sz w:val="24"/>
          <w:u w:val="single"/>
        </w:rPr>
        <w:t>贰</w:t>
      </w:r>
      <w:r>
        <w:rPr>
          <w:rFonts w:hint="eastAsia" w:ascii="宋体"/>
          <w:color w:val="000000"/>
          <w:sz w:val="24"/>
        </w:rPr>
        <w:t>份；具有同等法律效力；自双方签字并盖章后生效，甲乙双方</w:t>
      </w:r>
      <w:r>
        <w:rPr>
          <w:rFonts w:hint="eastAsia" w:ascii="宋体" w:hAnsi="宋体"/>
          <w:color w:val="000000"/>
          <w:sz w:val="24"/>
        </w:rPr>
        <w:t>履行合同全部义务、结算价款支付完毕后，本合同即告终止。</w:t>
      </w:r>
    </w:p>
    <w:p>
      <w:pPr>
        <w:spacing w:line="276" w:lineRule="auto"/>
        <w:jc w:val="center"/>
        <w:textAlignment w:val="baseline"/>
        <w:rPr>
          <w:rFonts w:ascii="宋体" w:hAnsi="宋体"/>
          <w:color w:val="000000"/>
          <w:sz w:val="24"/>
        </w:rPr>
      </w:pPr>
    </w:p>
    <w:p>
      <w:pPr>
        <w:spacing w:line="276" w:lineRule="auto"/>
        <w:jc w:val="center"/>
        <w:textAlignment w:val="baseline"/>
        <w:rPr>
          <w:rFonts w:ascii="宋体" w:hAnsi="宋体"/>
          <w:color w:val="000000"/>
          <w:sz w:val="24"/>
        </w:rPr>
      </w:pPr>
      <w:r>
        <w:rPr>
          <w:rFonts w:hint="eastAsia" w:ascii="宋体" w:hAnsi="宋体"/>
          <w:color w:val="000000"/>
          <w:sz w:val="24"/>
        </w:rPr>
        <w:t>（以下无正文）</w:t>
      </w:r>
    </w:p>
    <w:p>
      <w:pPr>
        <w:spacing w:line="276" w:lineRule="auto"/>
        <w:textAlignment w:val="baseline"/>
        <w:rPr>
          <w:rFonts w:ascii="宋体" w:hAnsi="宋体"/>
          <w:color w:val="000000"/>
          <w:sz w:val="24"/>
        </w:rPr>
      </w:pPr>
    </w:p>
    <w:p>
      <w:pPr>
        <w:spacing w:line="276" w:lineRule="auto"/>
        <w:textAlignment w:val="baseline"/>
        <w:rPr>
          <w:rFonts w:ascii="宋体" w:hAnsi="宋体"/>
          <w:color w:val="000000"/>
          <w:sz w:val="24"/>
        </w:rPr>
      </w:pPr>
    </w:p>
    <w:p>
      <w:pPr>
        <w:spacing w:line="276" w:lineRule="auto"/>
        <w:textAlignment w:val="baseline"/>
        <w:rPr>
          <w:rFonts w:ascii="宋体" w:hAnsi="宋体"/>
          <w:color w:val="000000"/>
          <w:sz w:val="24"/>
        </w:rPr>
      </w:pPr>
    </w:p>
    <w:p>
      <w:pPr>
        <w:spacing w:line="276" w:lineRule="auto"/>
        <w:textAlignment w:val="baseline"/>
        <w:rPr>
          <w:rFonts w:ascii="宋体" w:hAnsi="宋体"/>
          <w:color w:val="000000"/>
          <w:sz w:val="24"/>
        </w:rPr>
      </w:pPr>
      <w:r>
        <w:rPr>
          <w:rFonts w:hint="eastAsia" w:ascii="宋体" w:hAnsi="宋体"/>
          <w:color w:val="000000"/>
          <w:sz w:val="24"/>
        </w:rPr>
        <w:t>甲方：（盖章）                          乙方：（盖章）</w:t>
      </w:r>
    </w:p>
    <w:p>
      <w:pPr>
        <w:spacing w:line="276" w:lineRule="auto"/>
        <w:rPr>
          <w:b/>
          <w:bCs/>
          <w:color w:val="000000"/>
        </w:rPr>
      </w:pPr>
      <w:r>
        <w:rPr>
          <w:rFonts w:hint="eastAsia"/>
          <w:b/>
          <w:bCs/>
          <w:color w:val="000000"/>
          <w:sz w:val="24"/>
          <w:szCs w:val="24"/>
        </w:rPr>
        <w:t xml:space="preserve">重庆通力高速公路养护工程有限公司       </w:t>
      </w:r>
    </w:p>
    <w:p>
      <w:pPr>
        <w:spacing w:line="276" w:lineRule="auto"/>
        <w:rPr>
          <w:rFonts w:ascii="宋体" w:hAnsi="宋体"/>
          <w:color w:val="000000"/>
          <w:sz w:val="24"/>
        </w:rPr>
      </w:pPr>
      <w:r>
        <w:rPr>
          <w:rFonts w:hint="eastAsia" w:ascii="宋体" w:hAnsi="宋体"/>
          <w:color w:val="000000"/>
          <w:sz w:val="24"/>
        </w:rPr>
        <w:t>法定代表人                             法定代表人</w:t>
      </w:r>
    </w:p>
    <w:p>
      <w:pPr>
        <w:spacing w:line="276" w:lineRule="auto"/>
        <w:textAlignment w:val="baseline"/>
        <w:rPr>
          <w:color w:val="000000"/>
        </w:rPr>
      </w:pPr>
      <w:r>
        <w:rPr>
          <w:rFonts w:hint="eastAsia" w:ascii="宋体" w:hAnsi="宋体"/>
          <w:color w:val="000000"/>
          <w:sz w:val="24"/>
        </w:rPr>
        <w:t>或授权代表：                           或授权代表：</w:t>
      </w:r>
    </w:p>
    <w:p>
      <w:pPr>
        <w:spacing w:line="276" w:lineRule="auto"/>
        <w:rPr>
          <w:color w:val="000000"/>
        </w:rPr>
      </w:pPr>
    </w:p>
    <w:p>
      <w:pPr>
        <w:spacing w:line="276" w:lineRule="auto"/>
        <w:textAlignment w:val="baseline"/>
        <w:rPr>
          <w:rFonts w:ascii="宋体" w:hAnsi="宋体"/>
          <w:color w:val="000000"/>
          <w:sz w:val="24"/>
        </w:rPr>
      </w:pPr>
      <w:r>
        <w:rPr>
          <w:rFonts w:hint="eastAsia" w:ascii="宋体" w:hAnsi="宋体"/>
          <w:color w:val="000000"/>
          <w:sz w:val="24"/>
        </w:rPr>
        <w:t>部门负责人：</w:t>
      </w:r>
    </w:p>
    <w:p>
      <w:pPr>
        <w:widowControl/>
        <w:spacing w:line="276" w:lineRule="auto"/>
        <w:ind w:left="259" w:leftChars="9" w:hanging="240" w:hangingChars="100"/>
        <w:jc w:val="left"/>
        <w:textAlignment w:val="baseline"/>
        <w:rPr>
          <w:rFonts w:ascii="宋体" w:hAnsi="宋体"/>
          <w:color w:val="000000"/>
          <w:sz w:val="24"/>
        </w:rPr>
      </w:pPr>
    </w:p>
    <w:p>
      <w:pPr>
        <w:widowControl/>
        <w:spacing w:line="276" w:lineRule="auto"/>
        <w:ind w:left="259" w:leftChars="9" w:hanging="240" w:hangingChars="100"/>
        <w:jc w:val="left"/>
        <w:textAlignment w:val="baseline"/>
        <w:rPr>
          <w:rFonts w:ascii="宋体" w:hAnsi="宋体"/>
          <w:color w:val="000000"/>
          <w:sz w:val="24"/>
        </w:rPr>
      </w:pPr>
      <w:r>
        <w:rPr>
          <w:rFonts w:hint="eastAsia" w:ascii="宋体" w:hAnsi="宋体"/>
          <w:color w:val="000000"/>
          <w:sz w:val="24"/>
        </w:rPr>
        <w:t>经办人：                               经办人：</w:t>
      </w:r>
    </w:p>
    <w:p>
      <w:pPr>
        <w:widowControl/>
        <w:spacing w:line="276" w:lineRule="auto"/>
        <w:jc w:val="left"/>
        <w:textAlignment w:val="baseline"/>
        <w:rPr>
          <w:color w:val="000000"/>
        </w:rPr>
      </w:pPr>
      <w:r>
        <w:rPr>
          <w:rFonts w:hint="eastAsia"/>
          <w:color w:val="000000"/>
          <w:sz w:val="24"/>
        </w:rPr>
        <w:t>签约时间：    年   月   日             签约时间：    年   月   日</w:t>
      </w:r>
    </w:p>
    <w:p>
      <w:pPr>
        <w:jc w:val="left"/>
        <w:rPr>
          <w:rFonts w:ascii="宋体" w:hAnsi="宋体" w:cs="宋体"/>
          <w:b/>
          <w:color w:val="000000"/>
          <w:sz w:val="36"/>
          <w:szCs w:val="36"/>
        </w:rPr>
      </w:pPr>
    </w:p>
    <w:p>
      <w:pPr>
        <w:pStyle w:val="15"/>
        <w:rPr>
          <w:rFonts w:ascii="宋体" w:hAnsi="宋体"/>
          <w:sz w:val="36"/>
          <w:szCs w:val="36"/>
        </w:rPr>
      </w:pPr>
    </w:p>
    <w:p>
      <w:pPr>
        <w:jc w:val="left"/>
        <w:rPr>
          <w:rFonts w:ascii="宋体" w:hAnsi="宋体" w:cs="宋体"/>
          <w:b/>
          <w:color w:val="000000"/>
          <w:sz w:val="36"/>
          <w:szCs w:val="36"/>
        </w:rPr>
      </w:pPr>
    </w:p>
    <w:p>
      <w:pPr>
        <w:jc w:val="left"/>
        <w:rPr>
          <w:rFonts w:ascii="宋体" w:hAnsi="宋体" w:cs="宋体"/>
          <w:b/>
          <w:color w:val="000000"/>
          <w:sz w:val="36"/>
          <w:szCs w:val="36"/>
        </w:rPr>
      </w:pPr>
    </w:p>
    <w:p>
      <w:pPr>
        <w:jc w:val="left"/>
        <w:rPr>
          <w:rFonts w:ascii="宋体" w:hAnsi="宋体" w:cs="宋体"/>
          <w:b/>
          <w:color w:val="000000"/>
          <w:sz w:val="36"/>
          <w:szCs w:val="36"/>
        </w:rPr>
      </w:pPr>
    </w:p>
    <w:p>
      <w:pPr>
        <w:jc w:val="left"/>
        <w:rPr>
          <w:rFonts w:ascii="宋体" w:hAnsi="宋体" w:cs="宋体"/>
          <w:b/>
          <w:color w:val="000000"/>
          <w:sz w:val="36"/>
          <w:szCs w:val="36"/>
        </w:rPr>
      </w:pPr>
    </w:p>
    <w:p>
      <w:pPr>
        <w:jc w:val="left"/>
        <w:rPr>
          <w:rFonts w:ascii="宋体" w:hAnsi="宋体" w:cs="宋体"/>
          <w:b/>
          <w:color w:val="000000"/>
          <w:sz w:val="36"/>
          <w:szCs w:val="36"/>
        </w:rPr>
      </w:pPr>
    </w:p>
    <w:p>
      <w:pPr>
        <w:pStyle w:val="32"/>
        <w:ind w:firstLine="723"/>
        <w:rPr>
          <w:rFonts w:ascii="宋体" w:hAnsi="宋体" w:eastAsia="宋体" w:cs="宋体"/>
          <w:b/>
          <w:sz w:val="36"/>
          <w:szCs w:val="36"/>
        </w:rPr>
      </w:pPr>
    </w:p>
    <w:p>
      <w:pPr>
        <w:pStyle w:val="32"/>
        <w:ind w:firstLine="723"/>
        <w:rPr>
          <w:rFonts w:ascii="宋体" w:hAnsi="宋体" w:eastAsia="宋体" w:cs="宋体"/>
          <w:b/>
          <w:sz w:val="36"/>
          <w:szCs w:val="36"/>
        </w:rPr>
      </w:pPr>
    </w:p>
    <w:p>
      <w:pPr>
        <w:pStyle w:val="32"/>
        <w:ind w:firstLine="723"/>
        <w:rPr>
          <w:rFonts w:ascii="宋体" w:hAnsi="宋体" w:eastAsia="宋体" w:cs="宋体"/>
          <w:b/>
          <w:sz w:val="36"/>
          <w:szCs w:val="36"/>
        </w:rPr>
      </w:pPr>
    </w:p>
    <w:p>
      <w:pPr>
        <w:pStyle w:val="32"/>
        <w:ind w:firstLine="723"/>
        <w:rPr>
          <w:rFonts w:ascii="宋体" w:hAnsi="宋体" w:eastAsia="宋体" w:cs="宋体"/>
          <w:b/>
          <w:sz w:val="36"/>
          <w:szCs w:val="36"/>
        </w:rPr>
      </w:pPr>
    </w:p>
    <w:p>
      <w:pPr>
        <w:jc w:val="left"/>
        <w:rPr>
          <w:rFonts w:ascii="宋体" w:hAnsi="宋体" w:cs="宋体"/>
          <w:b/>
          <w:color w:val="000000"/>
          <w:sz w:val="36"/>
          <w:szCs w:val="36"/>
        </w:rPr>
      </w:pPr>
    </w:p>
    <w:p>
      <w:pPr>
        <w:ind w:right="480"/>
        <w:rPr>
          <w:rFonts w:ascii="宋体" w:hAnsi="宋体" w:cs="宋体"/>
          <w:b/>
          <w:sz w:val="30"/>
          <w:szCs w:val="30"/>
        </w:rPr>
        <w:sectPr>
          <w:headerReference r:id="rId3" w:type="default"/>
          <w:pgSz w:w="11906" w:h="16838"/>
          <w:pgMar w:top="1418" w:right="1361" w:bottom="1418" w:left="1361" w:header="851" w:footer="992" w:gutter="0"/>
          <w:cols w:space="720" w:num="1"/>
          <w:docGrid w:type="lines" w:linePitch="312" w:charSpace="0"/>
        </w:sectPr>
      </w:pPr>
    </w:p>
    <w:p>
      <w:pPr>
        <w:jc w:val="center"/>
        <w:rPr>
          <w:rFonts w:ascii="宋体" w:hAnsi="宋体" w:cs="宋体"/>
          <w:b/>
          <w:color w:val="000000"/>
          <w:sz w:val="40"/>
          <w:szCs w:val="40"/>
        </w:rPr>
      </w:pPr>
      <w:r>
        <w:rPr>
          <w:rFonts w:hint="eastAsia" w:ascii="宋体" w:hAnsi="宋体" w:cs="宋体"/>
          <w:b/>
          <w:bCs/>
          <w:color w:val="000000"/>
          <w:sz w:val="40"/>
          <w:szCs w:val="44"/>
          <w:u w:val="single"/>
        </w:rPr>
        <w:t>渝蓉高速公路2022年路面维修处治工程商品混凝土</w:t>
      </w:r>
      <w:r>
        <w:rPr>
          <w:rFonts w:hint="eastAsia" w:ascii="宋体" w:hAnsi="宋体" w:cs="宋体"/>
          <w:b/>
          <w:color w:val="000000"/>
          <w:sz w:val="40"/>
          <w:szCs w:val="40"/>
          <w:u w:val="single"/>
        </w:rPr>
        <w:t>采购竞争性比选响应文件</w:t>
      </w:r>
    </w:p>
    <w:p>
      <w:pPr>
        <w:pStyle w:val="4"/>
        <w:jc w:val="left"/>
        <w:rPr>
          <w:color w:val="000000"/>
        </w:rPr>
      </w:pPr>
    </w:p>
    <w:p>
      <w:pPr>
        <w:jc w:val="left"/>
        <w:rPr>
          <w:rFonts w:ascii="宋体" w:hAnsi="宋体" w:cs="宋体"/>
          <w:color w:val="000000"/>
          <w:sz w:val="32"/>
          <w:szCs w:val="32"/>
        </w:rPr>
      </w:pPr>
    </w:p>
    <w:p>
      <w:pPr>
        <w:pStyle w:val="15"/>
      </w:pPr>
    </w:p>
    <w:p/>
    <w:p>
      <w:pPr>
        <w:pStyle w:val="15"/>
      </w:pPr>
    </w:p>
    <w:p/>
    <w:p>
      <w:pPr>
        <w:jc w:val="left"/>
        <w:rPr>
          <w:rFonts w:ascii="宋体" w:hAnsi="宋体" w:cs="宋体"/>
          <w:color w:val="000000"/>
          <w:sz w:val="32"/>
          <w:szCs w:val="32"/>
        </w:rPr>
      </w:pPr>
    </w:p>
    <w:p>
      <w:pPr>
        <w:jc w:val="left"/>
        <w:rPr>
          <w:rFonts w:ascii="宋体" w:hAnsi="宋体" w:cs="宋体"/>
          <w:color w:val="000000"/>
          <w:sz w:val="32"/>
          <w:szCs w:val="32"/>
        </w:rPr>
      </w:pPr>
    </w:p>
    <w:p>
      <w:pPr>
        <w:jc w:val="left"/>
        <w:rPr>
          <w:rFonts w:ascii="宋体" w:hAnsi="宋体" w:cs="宋体"/>
          <w:color w:val="000000"/>
          <w:sz w:val="32"/>
          <w:szCs w:val="32"/>
        </w:rPr>
      </w:pPr>
    </w:p>
    <w:p>
      <w:pPr>
        <w:jc w:val="left"/>
        <w:rPr>
          <w:rFonts w:ascii="宋体" w:hAnsi="宋体" w:cs="宋体"/>
          <w:color w:val="000000"/>
          <w:sz w:val="32"/>
          <w:szCs w:val="32"/>
        </w:rPr>
      </w:pPr>
    </w:p>
    <w:p>
      <w:pPr>
        <w:jc w:val="left"/>
        <w:rPr>
          <w:rFonts w:ascii="宋体" w:hAnsi="宋体" w:cs="宋体"/>
          <w:color w:val="000000"/>
          <w:sz w:val="32"/>
          <w:szCs w:val="32"/>
        </w:rPr>
      </w:pPr>
    </w:p>
    <w:p>
      <w:pPr>
        <w:jc w:val="left"/>
        <w:rPr>
          <w:rFonts w:ascii="宋体" w:hAnsi="宋体" w:cs="宋体"/>
          <w:color w:val="000000"/>
          <w:sz w:val="32"/>
          <w:szCs w:val="32"/>
        </w:rPr>
      </w:pPr>
    </w:p>
    <w:p>
      <w:pPr>
        <w:pStyle w:val="15"/>
      </w:pPr>
    </w:p>
    <w:p/>
    <w:p>
      <w:pPr>
        <w:pStyle w:val="15"/>
      </w:pPr>
    </w:p>
    <w:p>
      <w:pPr>
        <w:jc w:val="left"/>
        <w:rPr>
          <w:rFonts w:ascii="宋体" w:hAnsi="宋体" w:cs="宋体"/>
          <w:color w:val="000000"/>
          <w:sz w:val="32"/>
          <w:szCs w:val="32"/>
        </w:rPr>
      </w:pPr>
    </w:p>
    <w:p>
      <w:pPr>
        <w:jc w:val="center"/>
        <w:rPr>
          <w:rFonts w:ascii="宋体" w:hAnsi="宋体" w:cs="宋体"/>
          <w:color w:val="000000"/>
          <w:sz w:val="32"/>
          <w:szCs w:val="32"/>
          <w:u w:val="single"/>
        </w:rPr>
      </w:pPr>
      <w:r>
        <w:rPr>
          <w:rFonts w:hint="eastAsia" w:ascii="宋体" w:hAnsi="宋体" w:cs="宋体"/>
          <w:color w:val="000000"/>
          <w:sz w:val="32"/>
          <w:szCs w:val="32"/>
          <w:u w:val="single"/>
        </w:rPr>
        <w:t>竞争性比选响应单位名称全称（盖单位公章）</w:t>
      </w: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pStyle w:val="32"/>
        <w:rPr>
          <w:color w:val="auto"/>
        </w:rPr>
      </w:pPr>
    </w:p>
    <w:p>
      <w:pPr>
        <w:tabs>
          <w:tab w:val="left" w:pos="900"/>
          <w:tab w:val="left" w:pos="1080"/>
        </w:tabs>
        <w:spacing w:line="300" w:lineRule="auto"/>
        <w:jc w:val="center"/>
        <w:outlineLvl w:val="0"/>
        <w:rPr>
          <w:rFonts w:ascii="Arial" w:hAnsi="Arial" w:cs="Arial"/>
          <w:b/>
          <w:color w:val="000000"/>
          <w:sz w:val="24"/>
        </w:rPr>
      </w:pPr>
    </w:p>
    <w:p>
      <w:pPr>
        <w:tabs>
          <w:tab w:val="left" w:pos="900"/>
          <w:tab w:val="left" w:pos="1080"/>
        </w:tabs>
        <w:spacing w:line="300" w:lineRule="auto"/>
        <w:jc w:val="center"/>
        <w:outlineLvl w:val="0"/>
        <w:rPr>
          <w:rFonts w:ascii="Arial" w:hAnsi="Arial" w:cs="Arial"/>
          <w:b/>
          <w:color w:val="000000"/>
          <w:sz w:val="24"/>
        </w:rPr>
      </w:pPr>
      <w:r>
        <w:rPr>
          <w:rFonts w:hint="eastAsia" w:ascii="Arial" w:hAnsi="Arial" w:cs="Arial"/>
          <w:b/>
          <w:color w:val="000000"/>
          <w:sz w:val="24"/>
        </w:rPr>
        <w:t>目  录</w:t>
      </w:r>
    </w:p>
    <w:p>
      <w:pPr>
        <w:tabs>
          <w:tab w:val="left" w:pos="900"/>
          <w:tab w:val="left" w:pos="1080"/>
        </w:tabs>
        <w:spacing w:line="360" w:lineRule="auto"/>
        <w:outlineLvl w:val="0"/>
        <w:rPr>
          <w:color w:val="000000"/>
          <w:szCs w:val="21"/>
        </w:rPr>
      </w:pPr>
      <w:r>
        <w:rPr>
          <w:rFonts w:hint="eastAsia"/>
          <w:color w:val="000000"/>
          <w:szCs w:val="21"/>
        </w:rPr>
        <w:t>一、报价书</w:t>
      </w:r>
    </w:p>
    <w:p>
      <w:pPr>
        <w:tabs>
          <w:tab w:val="left" w:pos="900"/>
          <w:tab w:val="left" w:pos="1080"/>
        </w:tabs>
        <w:spacing w:line="360" w:lineRule="auto"/>
        <w:outlineLvl w:val="0"/>
        <w:rPr>
          <w:color w:val="000000"/>
          <w:szCs w:val="21"/>
        </w:rPr>
      </w:pPr>
      <w:r>
        <w:rPr>
          <w:rFonts w:hint="eastAsia"/>
          <w:color w:val="000000"/>
          <w:szCs w:val="21"/>
        </w:rPr>
        <w:t>二、法定代表人身份证明及授权委托书</w:t>
      </w:r>
    </w:p>
    <w:p>
      <w:pPr>
        <w:tabs>
          <w:tab w:val="left" w:pos="900"/>
          <w:tab w:val="left" w:pos="1080"/>
        </w:tabs>
        <w:spacing w:line="360" w:lineRule="auto"/>
        <w:outlineLvl w:val="0"/>
        <w:rPr>
          <w:color w:val="000000"/>
          <w:szCs w:val="21"/>
        </w:rPr>
      </w:pPr>
      <w:r>
        <w:rPr>
          <w:rFonts w:hint="eastAsia"/>
          <w:color w:val="000000"/>
          <w:szCs w:val="21"/>
        </w:rPr>
        <w:t>三、有效的营业执照</w:t>
      </w:r>
    </w:p>
    <w:p>
      <w:pPr>
        <w:tabs>
          <w:tab w:val="left" w:pos="900"/>
          <w:tab w:val="left" w:pos="1080"/>
        </w:tabs>
        <w:spacing w:line="360" w:lineRule="auto"/>
        <w:outlineLvl w:val="0"/>
        <w:rPr>
          <w:color w:val="000000"/>
          <w:szCs w:val="21"/>
        </w:rPr>
      </w:pPr>
      <w:r>
        <w:rPr>
          <w:rFonts w:hint="eastAsia"/>
          <w:color w:val="000000"/>
          <w:szCs w:val="21"/>
        </w:rPr>
        <w:t>四、竞标人自行承诺部分</w:t>
      </w:r>
    </w:p>
    <w:p>
      <w:pPr>
        <w:tabs>
          <w:tab w:val="left" w:pos="900"/>
          <w:tab w:val="left" w:pos="1080"/>
        </w:tabs>
        <w:spacing w:line="360" w:lineRule="auto"/>
        <w:outlineLvl w:val="0"/>
        <w:rPr>
          <w:color w:val="000000"/>
          <w:szCs w:val="21"/>
        </w:rPr>
      </w:pPr>
      <w:r>
        <w:rPr>
          <w:rFonts w:hint="eastAsia"/>
          <w:color w:val="000000"/>
          <w:szCs w:val="21"/>
        </w:rPr>
        <w:t>五、已标价报价清单</w:t>
      </w:r>
    </w:p>
    <w:p>
      <w:pPr>
        <w:pStyle w:val="2"/>
      </w:pPr>
      <w:r>
        <w:rPr>
          <w:rFonts w:hint="eastAsia"/>
          <w:color w:val="000000"/>
          <w:szCs w:val="21"/>
        </w:rPr>
        <w:t>六、其他文件</w:t>
      </w:r>
    </w:p>
    <w:p>
      <w:pPr>
        <w:pStyle w:val="2"/>
      </w:pPr>
    </w:p>
    <w:p>
      <w:pPr>
        <w:pStyle w:val="2"/>
      </w:pPr>
    </w:p>
    <w:p>
      <w:pPr>
        <w:pStyle w:val="32"/>
        <w:rPr>
          <w:color w:val="auto"/>
        </w:rPr>
      </w:pPr>
    </w:p>
    <w:p>
      <w:pPr>
        <w:pStyle w:val="32"/>
        <w:rPr>
          <w:color w:val="auto"/>
        </w:rPr>
      </w:pPr>
    </w:p>
    <w:p>
      <w:pPr>
        <w:pStyle w:val="32"/>
        <w:rPr>
          <w:color w:val="auto"/>
        </w:rPr>
      </w:pPr>
    </w:p>
    <w:p>
      <w:pPr>
        <w:spacing w:line="440" w:lineRule="exact"/>
        <w:outlineLvl w:val="1"/>
        <w:rPr>
          <w:rFonts w:ascii="宋体" w:hAnsi="宋体" w:cs="宋体"/>
          <w:b/>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outlineLvl w:val="2"/>
        <w:rPr>
          <w:rFonts w:ascii="宋体" w:hAnsi="宋体" w:cs="宋体"/>
          <w:b/>
          <w:sz w:val="28"/>
          <w:szCs w:val="28"/>
        </w:rPr>
      </w:pPr>
      <w:bookmarkStart w:id="34" w:name="_Toc265510122"/>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r>
        <w:rPr>
          <w:rFonts w:hint="eastAsia" w:ascii="宋体" w:hAnsi="宋体" w:cs="宋体"/>
          <w:b/>
          <w:sz w:val="28"/>
          <w:szCs w:val="28"/>
        </w:rPr>
        <w:t>一、报价书</w:t>
      </w:r>
      <w:bookmarkEnd w:id="34"/>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b/>
          <w:bCs/>
          <w:color w:val="000000"/>
          <w:szCs w:val="21"/>
          <w:u w:val="single"/>
        </w:rPr>
        <w:t>渝蓉高速公路2022年路面维修处治工程商品混凝土采购</w:t>
      </w:r>
      <w:r>
        <w:rPr>
          <w:rFonts w:hint="eastAsia"/>
          <w:color w:val="000000"/>
          <w:szCs w:val="21"/>
        </w:rPr>
        <w:t>竞争性比选</w:t>
      </w:r>
      <w:r>
        <w:rPr>
          <w:color w:val="000000"/>
          <w:szCs w:val="21"/>
        </w:rPr>
        <w:t>文件的全部内容</w:t>
      </w:r>
      <w:r>
        <w:rPr>
          <w:rFonts w:hint="eastAsia"/>
          <w:szCs w:val="21"/>
        </w:rPr>
        <w:t>，愿意以总报价（大写）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）参与竞价并按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竞标文件</w:t>
      </w:r>
      <w:r>
        <w:rPr>
          <w:szCs w:val="21"/>
        </w:rPr>
        <w:t>。</w:t>
      </w:r>
    </w:p>
    <w:p>
      <w:pPr>
        <w:spacing w:line="440" w:lineRule="exact"/>
        <w:ind w:firstLine="420" w:firstLineChars="200"/>
        <w:rPr>
          <w:szCs w:val="21"/>
        </w:rPr>
      </w:pPr>
      <w:r>
        <w:rPr>
          <w:szCs w:val="21"/>
        </w:rPr>
        <w:t>3．</w:t>
      </w:r>
      <w:r>
        <w:rPr>
          <w:rFonts w:hint="eastAsia"/>
        </w:rPr>
        <w:t>我方在此声明，所递交的竞标文件及有关资料内容完整、真实和准确。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竞标人</w:t>
      </w:r>
      <w:r>
        <w:rPr>
          <w:szCs w:val="21"/>
        </w:rPr>
        <w:t>：</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32"/>
        <w:rPr>
          <w:color w:val="auto"/>
        </w:rPr>
      </w:pPr>
    </w:p>
    <w:p>
      <w:pPr>
        <w:pStyle w:val="32"/>
        <w:rPr>
          <w:rFonts w:ascii="宋体" w:hAnsi="宋体" w:cs="宋体"/>
          <w:b/>
          <w:color w:val="auto"/>
        </w:rPr>
      </w:pPr>
    </w:p>
    <w:p>
      <w:pPr>
        <w:pStyle w:val="32"/>
        <w:rPr>
          <w:rFonts w:ascii="宋体" w:hAnsi="宋体" w:cs="宋体"/>
          <w:b/>
          <w:color w:val="auto"/>
        </w:rPr>
      </w:pPr>
    </w:p>
    <w:p>
      <w:pPr>
        <w:pStyle w:val="32"/>
        <w:rPr>
          <w:rFonts w:ascii="宋体" w:hAnsi="宋体" w:cs="宋体"/>
          <w:b/>
          <w:color w:val="auto"/>
        </w:rPr>
      </w:pPr>
    </w:p>
    <w:p>
      <w:pPr>
        <w:pStyle w:val="32"/>
        <w:rPr>
          <w:rFonts w:ascii="宋体" w:hAnsi="宋体" w:cs="宋体"/>
          <w:b/>
          <w:color w:val="auto"/>
        </w:rPr>
      </w:pPr>
    </w:p>
    <w:p>
      <w:pPr>
        <w:pStyle w:val="32"/>
        <w:rPr>
          <w:rFonts w:ascii="宋体" w:hAnsi="宋体" w:cs="宋体"/>
          <w:b/>
          <w:color w:val="auto"/>
        </w:rPr>
      </w:pPr>
    </w:p>
    <w:p>
      <w:pPr>
        <w:pStyle w:val="32"/>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5" w:name="_Toc262547328"/>
      <w:r>
        <w:rPr>
          <w:rFonts w:hint="eastAsia"/>
          <w:b/>
          <w:szCs w:val="21"/>
        </w:rPr>
        <w:t>（一）法定代表人身份证明</w:t>
      </w:r>
      <w:bookmarkEnd w:id="35"/>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6" w:name="_Toc262547329"/>
      <w:r>
        <w:rPr>
          <w:rFonts w:hint="eastAsia" w:ascii="宋体" w:hAnsi="宋体" w:cs="宋体"/>
          <w:b/>
          <w:szCs w:val="21"/>
        </w:rPr>
        <w:t>（二）授权委托书</w:t>
      </w:r>
      <w:bookmarkEnd w:id="36"/>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color w:val="000000"/>
          <w:szCs w:val="21"/>
          <w:u w:val="single"/>
        </w:rPr>
        <w:t>渝蓉高速公路2022年路面维修处治工程商品混凝土采购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b/>
          <w:bCs/>
          <w:kern w:val="0"/>
          <w:szCs w:val="21"/>
        </w:rPr>
        <w:t>附：法定代表人身份证复印件、代理人身份复印件</w:t>
      </w:r>
      <w:r>
        <w:rPr>
          <w:rFonts w:hint="eastAsia" w:ascii="宋体" w:hAnsi="宋体" w:cs="宋体"/>
          <w:kern w:val="0"/>
          <w:szCs w:val="21"/>
        </w:rPr>
        <w:t>。</w:t>
      </w:r>
    </w:p>
    <w:tbl>
      <w:tblPr>
        <w:tblStyle w:val="19"/>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vAlign w:val="center"/>
          </w:tcPr>
          <w:p>
            <w:pPr>
              <w:spacing w:line="500" w:lineRule="exact"/>
              <w:jc w:val="center"/>
              <w:rPr>
                <w:sz w:val="28"/>
              </w:rPr>
            </w:pPr>
            <w:r>
              <w:rPr>
                <w:rFonts w:hint="eastAsia" w:ascii="宋体" w:hAnsi="宋体" w:cs="宋体"/>
                <w:sz w:val="24"/>
                <w:szCs w:val="24"/>
              </w:rPr>
              <w:t>法定代表人身份证正面</w:t>
            </w:r>
          </w:p>
        </w:tc>
        <w:tc>
          <w:tcPr>
            <w:tcW w:w="4670" w:type="dxa"/>
            <w:vAlign w:val="center"/>
          </w:tcPr>
          <w:p>
            <w:pPr>
              <w:spacing w:line="500" w:lineRule="exact"/>
              <w:jc w:val="center"/>
              <w:rPr>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vAlign w:val="center"/>
          </w:tcPr>
          <w:p>
            <w:pPr>
              <w:spacing w:line="500" w:lineRule="exact"/>
              <w:jc w:val="center"/>
              <w:rPr>
                <w:sz w:val="28"/>
              </w:rPr>
            </w:pPr>
            <w:r>
              <w:rPr>
                <w:rFonts w:hint="eastAsia" w:ascii="宋体" w:hAnsi="宋体" w:cs="宋体"/>
                <w:sz w:val="24"/>
                <w:szCs w:val="24"/>
              </w:rPr>
              <w:t>代理人身份证正面</w:t>
            </w:r>
          </w:p>
        </w:tc>
        <w:tc>
          <w:tcPr>
            <w:tcW w:w="4670" w:type="dxa"/>
            <w:vAlign w:val="center"/>
          </w:tcPr>
          <w:p>
            <w:pPr>
              <w:spacing w:line="500" w:lineRule="exact"/>
              <w:jc w:val="center"/>
              <w:rPr>
                <w:sz w:val="28"/>
              </w:rPr>
            </w:pPr>
            <w:r>
              <w:rPr>
                <w:rFonts w:hint="eastAsia" w:ascii="宋体" w:hAnsi="宋体" w:cs="宋体"/>
                <w:sz w:val="24"/>
                <w:szCs w:val="24"/>
              </w:rPr>
              <w:t>代理人身份证反面</w:t>
            </w:r>
          </w:p>
        </w:tc>
      </w:tr>
    </w:tbl>
    <w:p>
      <w:pPr>
        <w:autoSpaceDE w:val="0"/>
        <w:autoSpaceDN w:val="0"/>
        <w:adjustRightInd w:val="0"/>
        <w:snapToGrid w:val="0"/>
        <w:spacing w:line="360" w:lineRule="auto"/>
        <w:jc w:val="left"/>
        <w:rPr>
          <w:rFonts w:ascii="宋体" w:hAnsi="宋体" w:cs="宋体"/>
          <w:kern w:val="0"/>
          <w:sz w:val="20"/>
        </w:rPr>
      </w:pPr>
    </w:p>
    <w:p>
      <w:pPr>
        <w:pStyle w:val="32"/>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竞标人：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w:t>
      </w:r>
      <w:bookmarkStart w:id="37" w:name="_Hlk108808321"/>
      <w:r>
        <w:rPr>
          <w:rFonts w:hint="eastAsia" w:ascii="宋体" w:hAnsi="宋体" w:cs="宋体"/>
          <w:b/>
          <w:sz w:val="28"/>
          <w:szCs w:val="28"/>
        </w:rPr>
        <w:t>有效的营业执照</w:t>
      </w:r>
      <w:bookmarkEnd w:id="37"/>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四、竞标单位自行承诺部分</w:t>
      </w:r>
    </w:p>
    <w:p>
      <w:pPr>
        <w:spacing w:line="440" w:lineRule="exact"/>
        <w:rPr>
          <w:szCs w:val="21"/>
        </w:rPr>
      </w:pPr>
      <w:r>
        <w:rPr>
          <w:rFonts w:hint="eastAsia"/>
          <w:szCs w:val="21"/>
        </w:rPr>
        <w:t>重庆通力高速公路养护工程有限公司：</w:t>
      </w:r>
    </w:p>
    <w:p>
      <w:pPr>
        <w:spacing w:line="440" w:lineRule="exact"/>
        <w:ind w:firstLine="420" w:firstLineChars="200"/>
        <w:rPr>
          <w:szCs w:val="21"/>
        </w:rPr>
      </w:pPr>
      <w:r>
        <w:rPr>
          <w:rFonts w:hint="eastAsia"/>
          <w:szCs w:val="21"/>
        </w:rPr>
        <w:t>我司承诺本次竞标文件的所有资料、业绩均为真实材料。我司将履行比选文件及合同约定。若违背竞争性比选文件及合同要求，我司将按照约定接受处罚。</w:t>
      </w:r>
    </w:p>
    <w:p>
      <w:pPr>
        <w:spacing w:line="440" w:lineRule="exact"/>
        <w:rPr>
          <w:szCs w:val="21"/>
        </w:rPr>
      </w:pPr>
      <w:r>
        <w:rPr>
          <w:rFonts w:hint="eastAsia" w:ascii="宋体" w:hAnsi="宋体" w:cs="宋体"/>
          <w:b/>
          <w:sz w:val="28"/>
          <w:szCs w:val="28"/>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比选文件要求实施项目。</w:t>
      </w:r>
    </w:p>
    <w:p>
      <w:pPr>
        <w:pStyle w:val="32"/>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pStyle w:val="32"/>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32"/>
        <w:jc w:val="right"/>
        <w:rPr>
          <w:rFonts w:ascii="宋体" w:hAnsi="宋体" w:cs="宋体"/>
          <w:b/>
          <w:color w:val="auto"/>
          <w:sz w:val="28"/>
          <w:szCs w:val="28"/>
        </w:rPr>
        <w:sectPr>
          <w:pgSz w:w="11906" w:h="16838"/>
          <w:pgMar w:top="1418" w:right="1361" w:bottom="1418" w:left="1361" w:header="851" w:footer="992" w:gutter="0"/>
          <w:cols w:space="720" w:num="1"/>
          <w:docGrid w:type="lines" w:linePitch="312" w:charSpace="0"/>
        </w:sect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tabs>
          <w:tab w:val="left" w:pos="900"/>
          <w:tab w:val="left" w:pos="1080"/>
        </w:tabs>
        <w:spacing w:line="300" w:lineRule="auto"/>
        <w:jc w:val="center"/>
        <w:outlineLvl w:val="0"/>
        <w:rPr>
          <w:rFonts w:ascii="宋体" w:hAnsi="宋体" w:cs="宋体"/>
          <w:b/>
          <w:color w:val="000000"/>
          <w:sz w:val="28"/>
          <w:szCs w:val="28"/>
        </w:rPr>
      </w:pPr>
      <w:bookmarkStart w:id="38" w:name="_Hlk108637577"/>
      <w:r>
        <w:rPr>
          <w:rFonts w:hint="eastAsia" w:ascii="宋体" w:hAnsi="宋体" w:cs="宋体"/>
          <w:b/>
          <w:color w:val="000000"/>
          <w:sz w:val="28"/>
          <w:szCs w:val="28"/>
        </w:rPr>
        <w:t>五、已标价报价清单</w:t>
      </w:r>
    </w:p>
    <w:p>
      <w:pPr>
        <w:rPr>
          <w:rFonts w:ascii="宋体" w:hAnsi="宋体" w:cs="宋体"/>
          <w:b/>
          <w:sz w:val="18"/>
          <w:szCs w:val="18"/>
        </w:rPr>
      </w:pPr>
      <w:r>
        <w:rPr>
          <w:rFonts w:hint="eastAsia" w:ascii="宋体" w:hAnsi="宋体" w:cs="宋体"/>
          <w:b/>
          <w:sz w:val="18"/>
          <w:szCs w:val="18"/>
        </w:rPr>
        <w:t>1. 竞标报价表说明</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1）分项报价表中填报的综合单价应是将满足比选文件要求的产品运至比选人指定交货地点的综合单价，应包含了产品的出厂价（含所有规费等）、仓储费、加工费、通行费、运杂费（含包装、装运和运输至施工现场指定地点）、上下车费、设备进出场费、风险费、保险（交货验收前）、各种检测及检验、成品和半成品保护、所有检测、验收、办理中标产品所需要的各种许可证、提供中标产品所需的各种检测报告（自检及第三方检测）、各种规费、经验收合格且交付给比选人正常使用的所有费用，以及合同明示或暗示的所有责任、义务和一般风险。</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（2）如果未按照分项报价表要求进行报价，将被视为没有实质性响应比选文件。</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（3）采购数量以最终实际发生并结算的数量为准。</w:t>
      </w:r>
    </w:p>
    <w:p>
      <w:pPr>
        <w:widowControl/>
        <w:ind w:firstLine="360" w:firstLineChars="200"/>
        <w:jc w:val="left"/>
        <w:rPr>
          <w:bCs/>
          <w:sz w:val="18"/>
          <w:szCs w:val="18"/>
        </w:rPr>
      </w:pPr>
      <w:r>
        <w:rPr>
          <w:rFonts w:hint="eastAsia" w:ascii="宋体" w:hAnsi="宋体" w:cs="宋体"/>
          <w:bCs/>
          <w:kern w:val="0"/>
          <w:sz w:val="18"/>
          <w:szCs w:val="18"/>
        </w:rPr>
        <w:t>（</w:t>
      </w:r>
      <w:r>
        <w:rPr>
          <w:rFonts w:hint="eastAsia" w:ascii="宋体" w:hAnsi="宋体" w:cs="宋体"/>
          <w:b/>
          <w:kern w:val="0"/>
          <w:sz w:val="18"/>
          <w:szCs w:val="18"/>
        </w:rPr>
        <w:t>4）竞标人的投标报价均不得超出相应最高投标限价，否则按否决投标处理。报价计取小数点后两位，第三位四舍五入。</w:t>
      </w:r>
    </w:p>
    <w:tbl>
      <w:tblPr>
        <w:tblStyle w:val="19"/>
        <w:tblpPr w:leftFromText="180" w:rightFromText="180" w:vertAnchor="text" w:horzAnchor="page" w:tblpX="1159" w:tblpY="221"/>
        <w:tblOverlap w:val="never"/>
        <w:tblW w:w="10300" w:type="dxa"/>
        <w:tblInd w:w="0" w:type="dxa"/>
        <w:tblLayout w:type="fixed"/>
        <w:tblCellMar>
          <w:top w:w="15" w:type="dxa"/>
          <w:left w:w="15" w:type="dxa"/>
          <w:bottom w:w="15" w:type="dxa"/>
          <w:right w:w="15" w:type="dxa"/>
        </w:tblCellMar>
      </w:tblPr>
      <w:tblGrid>
        <w:gridCol w:w="417"/>
        <w:gridCol w:w="2118"/>
        <w:gridCol w:w="850"/>
        <w:gridCol w:w="963"/>
        <w:gridCol w:w="975"/>
        <w:gridCol w:w="912"/>
        <w:gridCol w:w="1225"/>
        <w:gridCol w:w="1300"/>
        <w:gridCol w:w="1540"/>
      </w:tblGrid>
      <w:tr>
        <w:tblPrEx>
          <w:tblCellMar>
            <w:top w:w="15" w:type="dxa"/>
            <w:left w:w="15" w:type="dxa"/>
            <w:bottom w:w="15" w:type="dxa"/>
            <w:right w:w="15" w:type="dxa"/>
          </w:tblCellMar>
        </w:tblPrEx>
        <w:trPr>
          <w:trHeight w:val="216" w:hRule="atLeast"/>
        </w:trPr>
        <w:tc>
          <w:tcPr>
            <w:tcW w:w="2535" w:type="dxa"/>
            <w:gridSpan w:val="2"/>
            <w:vAlign w:val="center"/>
          </w:tcPr>
          <w:p>
            <w:pPr>
              <w:widowControl/>
              <w:jc w:val="left"/>
              <w:textAlignment w:val="center"/>
              <w:rPr>
                <w:rFonts w:ascii="宋体" w:hAnsi="宋体" w:cs="宋体"/>
                <w:color w:val="000000"/>
                <w:sz w:val="18"/>
                <w:szCs w:val="18"/>
              </w:rPr>
            </w:pPr>
          </w:p>
        </w:tc>
        <w:tc>
          <w:tcPr>
            <w:tcW w:w="850" w:type="dxa"/>
            <w:vAlign w:val="center"/>
          </w:tcPr>
          <w:p>
            <w:pPr>
              <w:rPr>
                <w:rFonts w:ascii="宋体" w:hAnsi="宋体" w:cs="宋体"/>
                <w:color w:val="000000"/>
                <w:sz w:val="24"/>
                <w:szCs w:val="24"/>
              </w:rPr>
            </w:pPr>
          </w:p>
        </w:tc>
        <w:tc>
          <w:tcPr>
            <w:tcW w:w="963" w:type="dxa"/>
            <w:vAlign w:val="center"/>
          </w:tcPr>
          <w:p>
            <w:pPr>
              <w:rPr>
                <w:rFonts w:ascii="宋体" w:hAnsi="宋体" w:cs="宋体"/>
                <w:color w:val="000000"/>
                <w:sz w:val="24"/>
                <w:szCs w:val="24"/>
              </w:rPr>
            </w:pPr>
          </w:p>
        </w:tc>
        <w:tc>
          <w:tcPr>
            <w:tcW w:w="5952" w:type="dxa"/>
            <w:gridSpan w:val="5"/>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货币单位: 人民币/元</w:t>
            </w:r>
          </w:p>
        </w:tc>
      </w:tr>
      <w:tr>
        <w:tblPrEx>
          <w:tblCellMar>
            <w:top w:w="15" w:type="dxa"/>
            <w:left w:w="15" w:type="dxa"/>
            <w:bottom w:w="15" w:type="dxa"/>
            <w:right w:w="15" w:type="dxa"/>
          </w:tblCellMar>
        </w:tblPrEx>
        <w:trPr>
          <w:trHeight w:val="671" w:hRule="exac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项目名称</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暂定数量</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含税</w:t>
            </w:r>
            <w:r>
              <w:rPr>
                <w:rFonts w:hint="eastAsia" w:ascii="宋体" w:hAnsi="宋体" w:cs="宋体"/>
                <w:color w:val="000000"/>
                <w:szCs w:val="21"/>
              </w:rPr>
              <w:t>上限价（元）</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912"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含税上限合价</w:t>
            </w:r>
            <w:r>
              <w:rPr>
                <w:rFonts w:hint="eastAsia" w:ascii="宋体" w:hAnsi="宋体" w:cs="宋体"/>
                <w:color w:val="000000"/>
                <w:szCs w:val="21"/>
              </w:rPr>
              <w:t>（元）</w:t>
            </w:r>
          </w:p>
        </w:tc>
        <w:tc>
          <w:tcPr>
            <w:tcW w:w="122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含税</w:t>
            </w:r>
            <w:r>
              <w:rPr>
                <w:rFonts w:hint="eastAsia" w:ascii="宋体" w:hAnsi="宋体" w:cs="宋体"/>
                <w:color w:val="000000"/>
                <w:szCs w:val="21"/>
              </w:rPr>
              <w:t>报价（元）</w:t>
            </w:r>
          </w:p>
          <w:p>
            <w:pPr>
              <w:widowControl/>
              <w:jc w:val="center"/>
              <w:textAlignment w:val="center"/>
              <w:rPr>
                <w:rFonts w:ascii="宋体" w:hAnsi="宋体" w:cs="宋体"/>
                <w:color w:val="000000"/>
                <w:szCs w:val="21"/>
              </w:rPr>
            </w:pPr>
            <w:r>
              <w:rPr>
                <w:rFonts w:hint="eastAsia" w:ascii="宋体" w:hAnsi="宋体" w:cs="宋体"/>
                <w:color w:val="000000"/>
                <w:kern w:val="0"/>
                <w:szCs w:val="21"/>
              </w:rPr>
              <w:t>（）</w:t>
            </w:r>
          </w:p>
        </w:tc>
        <w:tc>
          <w:tcPr>
            <w:tcW w:w="130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含税报价合价</w:t>
            </w:r>
            <w:r>
              <w:rPr>
                <w:rFonts w:hint="eastAsia" w:ascii="宋体" w:hAnsi="宋体" w:cs="宋体"/>
                <w:color w:val="000000"/>
                <w:szCs w:val="21"/>
              </w:rPr>
              <w:t>（元）</w:t>
            </w:r>
          </w:p>
        </w:tc>
        <w:tc>
          <w:tcPr>
            <w:tcW w:w="1540"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备注</w:t>
            </w:r>
          </w:p>
        </w:tc>
      </w:tr>
      <w:tr>
        <w:tblPrEx>
          <w:tblCellMar>
            <w:top w:w="15" w:type="dxa"/>
            <w:left w:w="15" w:type="dxa"/>
            <w:bottom w:w="15" w:type="dxa"/>
            <w:right w:w="15" w:type="dxa"/>
          </w:tblCellMar>
        </w:tblPrEx>
        <w:trPr>
          <w:trHeight w:val="3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1</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kern w:val="0"/>
                <w:szCs w:val="21"/>
              </w:rPr>
              <w:t>C25商品混凝土</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m3</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951</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523</w:t>
            </w:r>
          </w:p>
        </w:tc>
        <w:tc>
          <w:tcPr>
            <w:tcW w:w="912"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497373</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00" w:type="dxa"/>
            <w:tcBorders>
              <w:top w:val="single" w:color="000000" w:sz="4" w:space="0"/>
              <w:left w:val="single" w:color="000000" w:sz="4" w:space="0"/>
              <w:bottom w:val="single" w:color="000000" w:sz="4" w:space="0"/>
            </w:tcBorders>
            <w:vAlign w:val="center"/>
          </w:tcPr>
          <w:p>
            <w:pPr>
              <w:jc w:val="center"/>
              <w:rPr>
                <w:rFonts w:ascii="宋体" w:hAnsi="宋体" w:cs="宋体"/>
                <w:color w:val="000000"/>
                <w:kern w:val="0"/>
                <w:szCs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 w:val="20"/>
              </w:rPr>
              <w:t>须高速到达施工现场</w:t>
            </w:r>
          </w:p>
        </w:tc>
      </w:tr>
      <w:tr>
        <w:tblPrEx>
          <w:tblCellMar>
            <w:top w:w="15" w:type="dxa"/>
            <w:left w:w="15" w:type="dxa"/>
            <w:bottom w:w="15" w:type="dxa"/>
            <w:right w:w="15" w:type="dxa"/>
          </w:tblCellMar>
        </w:tblPrEx>
        <w:trPr>
          <w:trHeight w:val="340"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C30商品混凝土</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m3</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500</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545</w:t>
            </w:r>
          </w:p>
        </w:tc>
        <w:tc>
          <w:tcPr>
            <w:tcW w:w="912" w:type="dxa"/>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272500</w:t>
            </w:r>
          </w:p>
        </w:tc>
        <w:tc>
          <w:tcPr>
            <w:tcW w:w="12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00" w:type="dxa"/>
            <w:tcBorders>
              <w:top w:val="single" w:color="000000" w:sz="4" w:space="0"/>
              <w:left w:val="single" w:color="000000" w:sz="4" w:space="0"/>
              <w:bottom w:val="single" w:color="000000" w:sz="4" w:space="0"/>
            </w:tcBorders>
            <w:vAlign w:val="center"/>
          </w:tcPr>
          <w:p>
            <w:pPr>
              <w:jc w:val="center"/>
              <w:rPr>
                <w:rFonts w:ascii="宋体" w:hAnsi="宋体" w:cs="宋体"/>
                <w:color w:val="000000"/>
                <w:kern w:val="0"/>
                <w:szCs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40" w:hRule="atLeast"/>
        </w:trPr>
        <w:tc>
          <w:tcPr>
            <w:tcW w:w="2535"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color w:val="000000"/>
                <w:kern w:val="0"/>
                <w:szCs w:val="21"/>
              </w:rPr>
              <w:t>合计</w:t>
            </w:r>
          </w:p>
        </w:tc>
        <w:tc>
          <w:tcPr>
            <w:tcW w:w="3700" w:type="dxa"/>
            <w:gridSpan w:val="4"/>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上限价：</w:t>
            </w:r>
            <w:r>
              <w:rPr>
                <w:rFonts w:hint="eastAsia" w:ascii="宋体" w:hAnsi="宋体" w:cs="宋体"/>
                <w:color w:val="000000"/>
                <w:kern w:val="0"/>
                <w:szCs w:val="21"/>
              </w:rPr>
              <w:t>769873</w:t>
            </w:r>
            <w:r>
              <w:rPr>
                <w:rFonts w:hint="eastAsia" w:ascii="宋体" w:hAnsi="宋体" w:cs="宋体"/>
                <w:kern w:val="0"/>
                <w:szCs w:val="21"/>
              </w:rPr>
              <w:t>元</w:t>
            </w:r>
          </w:p>
        </w:tc>
        <w:tc>
          <w:tcPr>
            <w:tcW w:w="4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p>
        </w:tc>
      </w:tr>
      <w:tr>
        <w:tblPrEx>
          <w:tblCellMar>
            <w:top w:w="15" w:type="dxa"/>
            <w:left w:w="15" w:type="dxa"/>
            <w:bottom w:w="15" w:type="dxa"/>
            <w:right w:w="15" w:type="dxa"/>
          </w:tblCellMar>
        </w:tblPrEx>
        <w:trPr>
          <w:trHeight w:val="340" w:hRule="atLeast"/>
        </w:trPr>
        <w:tc>
          <w:tcPr>
            <w:tcW w:w="2535" w:type="dxa"/>
            <w:gridSpan w:val="2"/>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3700" w:type="dxa"/>
            <w:gridSpan w:val="4"/>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Cs w:val="21"/>
              </w:rPr>
            </w:pPr>
            <w:r>
              <w:rPr>
                <w:rFonts w:hint="eastAsia" w:ascii="宋体" w:hAnsi="宋体" w:cs="宋体"/>
                <w:kern w:val="0"/>
                <w:szCs w:val="21"/>
              </w:rPr>
              <w:t>大写：</w:t>
            </w:r>
            <w:r>
              <w:rPr>
                <w:rFonts w:hint="eastAsia"/>
                <w:color w:val="000000"/>
                <w:szCs w:val="21"/>
                <w:u w:val="single"/>
              </w:rPr>
              <w:t>柒拾陆万玖仟捌佰柒拾叁元整</w:t>
            </w:r>
          </w:p>
        </w:tc>
        <w:tc>
          <w:tcPr>
            <w:tcW w:w="4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kern w:val="0"/>
                <w:szCs w:val="21"/>
              </w:rPr>
              <w:t>大写：</w:t>
            </w:r>
          </w:p>
        </w:tc>
      </w:tr>
      <w:tr>
        <w:tblPrEx>
          <w:tblCellMar>
            <w:top w:w="15" w:type="dxa"/>
            <w:left w:w="15" w:type="dxa"/>
            <w:bottom w:w="15" w:type="dxa"/>
            <w:right w:w="15" w:type="dxa"/>
          </w:tblCellMar>
        </w:tblPrEx>
        <w:trPr>
          <w:trHeight w:val="340" w:hRule="atLeast"/>
        </w:trPr>
        <w:tc>
          <w:tcPr>
            <w:tcW w:w="1030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提供增值税发票，税率为</w:t>
            </w:r>
            <w:r>
              <w:rPr>
                <w:rFonts w:hint="eastAsia" w:ascii="宋体" w:hAnsi="宋体" w:cs="宋体"/>
                <w:color w:val="000000"/>
                <w:kern w:val="0"/>
                <w:szCs w:val="21"/>
                <w:u w:val="single"/>
              </w:rPr>
              <w:t xml:space="preserve"> 3 </w:t>
            </w:r>
            <w:r>
              <w:rPr>
                <w:rFonts w:hint="eastAsia" w:ascii="宋体" w:hAnsi="宋体" w:cs="宋体"/>
                <w:color w:val="000000"/>
                <w:kern w:val="0"/>
                <w:szCs w:val="21"/>
              </w:rPr>
              <w:t>%</w:t>
            </w:r>
            <w:r>
              <w:rPr>
                <w:rFonts w:ascii="宋体" w:hAnsi="宋体" w:cs="宋体"/>
                <w:color w:val="000000"/>
                <w:kern w:val="0"/>
                <w:szCs w:val="21"/>
                <w:u w:val="single"/>
              </w:rPr>
              <w:t xml:space="preserve">  </w:t>
            </w:r>
          </w:p>
        </w:tc>
      </w:tr>
      <w:tr>
        <w:tblPrEx>
          <w:tblCellMar>
            <w:top w:w="15" w:type="dxa"/>
            <w:left w:w="15" w:type="dxa"/>
            <w:bottom w:w="15" w:type="dxa"/>
            <w:right w:w="15" w:type="dxa"/>
          </w:tblCellMar>
        </w:tblPrEx>
        <w:trPr>
          <w:trHeight w:val="2671" w:hRule="exact"/>
        </w:trPr>
        <w:tc>
          <w:tcPr>
            <w:tcW w:w="10300" w:type="dxa"/>
            <w:gridSpan w:val="9"/>
            <w:tcBorders>
              <w:top w:val="single" w:color="000000" w:sz="4" w:space="0"/>
              <w:left w:val="single" w:color="000000" w:sz="4" w:space="0"/>
              <w:bottom w:val="single" w:color="000000" w:sz="4" w:space="0"/>
              <w:right w:val="single" w:color="000000" w:sz="4" w:space="0"/>
            </w:tcBorders>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注：本比选约定的材料价格为比选方指定段落的税后到场单价，工程量为暂定数量，最终以实际计量数量为准。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1、上述报价为税后价，竞标人应提供合法有效且符合比选方要求的增值税发票。</w:t>
            </w:r>
            <w:r>
              <w:rPr>
                <w:rFonts w:ascii="宋体" w:hAnsi="宋体" w:cs="宋体"/>
                <w:kern w:val="0"/>
                <w:sz w:val="18"/>
                <w:szCs w:val="18"/>
              </w:rPr>
              <w:t>开具</w:t>
            </w:r>
            <w:r>
              <w:rPr>
                <w:rFonts w:hint="eastAsia" w:ascii="宋体" w:hAnsi="宋体" w:cs="宋体"/>
                <w:kern w:val="0"/>
                <w:sz w:val="18"/>
                <w:szCs w:val="18"/>
              </w:rPr>
              <w:t>增值税发票和</w:t>
            </w:r>
            <w:r>
              <w:rPr>
                <w:rFonts w:ascii="宋体" w:hAnsi="宋体" w:cs="宋体"/>
                <w:kern w:val="0"/>
                <w:sz w:val="18"/>
                <w:szCs w:val="18"/>
              </w:rPr>
              <w:t>对账单，注明甲方所用混凝土使用的各标号、方量、单价、总金额。</w:t>
            </w:r>
            <w:r>
              <w:rPr>
                <w:rFonts w:hint="eastAsia" w:ascii="宋体" w:hAnsi="宋体" w:cs="宋体"/>
                <w:kern w:val="0"/>
                <w:sz w:val="18"/>
                <w:szCs w:val="18"/>
              </w:rPr>
              <w:t>商品混凝土结算单价和发票单价必须一致，抵扣税率为3% 。</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2、比选方每车浇筑时间不超过2h，竞标（报价）人必须保证比选方预拌商品混凝土量的供应及时。比选方一般提前一天以电话（短信）通知计划用量。</w:t>
            </w:r>
          </w:p>
          <w:p>
            <w:pPr>
              <w:widowControl/>
              <w:ind w:firstLine="360" w:firstLineChars="200"/>
              <w:jc w:val="left"/>
              <w:rPr>
                <w:rFonts w:ascii="_5b8b_4f53" w:hAnsi="_5b8b_4f53" w:cs="_5b8b_4f53"/>
                <w:color w:val="000000"/>
                <w:szCs w:val="21"/>
                <w:shd w:val="clear" w:color="auto" w:fill="FFFFFF"/>
              </w:rPr>
            </w:pPr>
            <w:r>
              <w:rPr>
                <w:rFonts w:hint="eastAsia" w:ascii="宋体" w:hAnsi="宋体" w:cs="宋体"/>
                <w:kern w:val="0"/>
                <w:sz w:val="18"/>
                <w:szCs w:val="18"/>
              </w:rPr>
              <w:t>3、本工程需对高速公路进行交通管制，报价方需服从比选方的交通作业指挥。比选方指定的交货地点：</w:t>
            </w:r>
            <w:r>
              <w:rPr>
                <w:rFonts w:hint="eastAsia" w:ascii="宋体" w:hAnsi="宋体" w:cs="宋体"/>
                <w:kern w:val="0"/>
                <w:sz w:val="18"/>
                <w:szCs w:val="18"/>
                <w:u w:val="single"/>
              </w:rPr>
              <w:t>G5013渝蓉高速2022年路面处治工程</w:t>
            </w:r>
          </w:p>
        </w:tc>
      </w:tr>
      <w:tr>
        <w:tblPrEx>
          <w:tblCellMar>
            <w:top w:w="15" w:type="dxa"/>
            <w:left w:w="15" w:type="dxa"/>
            <w:bottom w:w="15" w:type="dxa"/>
            <w:right w:w="15" w:type="dxa"/>
          </w:tblCellMar>
        </w:tblPrEx>
        <w:trPr>
          <w:trHeight w:val="216" w:hRule="atLeast"/>
        </w:trPr>
        <w:tc>
          <w:tcPr>
            <w:tcW w:w="2535" w:type="dxa"/>
            <w:gridSpan w:val="2"/>
            <w:vAlign w:val="center"/>
          </w:tcPr>
          <w:p>
            <w:pPr>
              <w:widowControl/>
              <w:jc w:val="left"/>
              <w:textAlignment w:val="center"/>
              <w:rPr>
                <w:rFonts w:ascii="宋体" w:hAnsi="宋体" w:cs="宋体"/>
                <w:color w:val="000000"/>
                <w:sz w:val="18"/>
                <w:szCs w:val="18"/>
              </w:rPr>
            </w:pPr>
          </w:p>
        </w:tc>
        <w:tc>
          <w:tcPr>
            <w:tcW w:w="850" w:type="dxa"/>
            <w:vAlign w:val="center"/>
          </w:tcPr>
          <w:p>
            <w:pPr>
              <w:rPr>
                <w:rFonts w:ascii="宋体" w:hAnsi="宋体" w:cs="宋体"/>
                <w:color w:val="000000"/>
                <w:sz w:val="24"/>
                <w:szCs w:val="24"/>
              </w:rPr>
            </w:pPr>
          </w:p>
        </w:tc>
        <w:tc>
          <w:tcPr>
            <w:tcW w:w="963" w:type="dxa"/>
            <w:vAlign w:val="center"/>
          </w:tcPr>
          <w:p>
            <w:pPr>
              <w:rPr>
                <w:rFonts w:ascii="宋体" w:hAnsi="宋体" w:cs="宋体"/>
                <w:color w:val="000000"/>
                <w:sz w:val="24"/>
                <w:szCs w:val="24"/>
              </w:rPr>
            </w:pPr>
          </w:p>
        </w:tc>
        <w:tc>
          <w:tcPr>
            <w:tcW w:w="5952" w:type="dxa"/>
            <w:gridSpan w:val="5"/>
            <w:vAlign w:val="center"/>
          </w:tcPr>
          <w:p>
            <w:pPr>
              <w:widowControl/>
              <w:textAlignment w:val="center"/>
              <w:rPr>
                <w:rFonts w:ascii="宋体" w:hAnsi="宋体" w:cs="宋体"/>
                <w:color w:val="000000"/>
                <w:sz w:val="18"/>
                <w:szCs w:val="18"/>
              </w:rPr>
            </w:pPr>
          </w:p>
        </w:tc>
      </w:tr>
    </w:tbl>
    <w:p>
      <w:pPr>
        <w:spacing w:line="480" w:lineRule="exact"/>
        <w:ind w:firstLine="3259" w:firstLineChars="1358"/>
        <w:jc w:val="left"/>
        <w:rPr>
          <w:color w:val="000000"/>
          <w:sz w:val="24"/>
          <w:szCs w:val="28"/>
          <w:u w:val="single"/>
        </w:rPr>
      </w:pPr>
      <w:r>
        <w:rPr>
          <w:rFonts w:hint="eastAsia"/>
          <w:color w:val="000000"/>
          <w:sz w:val="24"/>
          <w:szCs w:val="28"/>
        </w:rPr>
        <w:t>竞标人（盖单位公章）：</w:t>
      </w:r>
      <w:r>
        <w:rPr>
          <w:rFonts w:hint="eastAsia"/>
          <w:color w:val="000000"/>
          <w:sz w:val="24"/>
          <w:szCs w:val="28"/>
          <w:u w:val="single"/>
        </w:rPr>
        <w:t xml:space="preserve">                </w:t>
      </w:r>
    </w:p>
    <w:p>
      <w:pPr>
        <w:spacing w:line="480" w:lineRule="exact"/>
        <w:ind w:left="3332" w:leftChars="1358" w:hanging="480" w:hangingChars="200"/>
        <w:rPr>
          <w:color w:val="000000"/>
          <w:sz w:val="24"/>
          <w:szCs w:val="28"/>
        </w:rPr>
      </w:pPr>
      <w:r>
        <w:rPr>
          <w:rFonts w:hint="eastAsia"/>
          <w:color w:val="000000"/>
          <w:sz w:val="24"/>
          <w:szCs w:val="24"/>
        </w:rPr>
        <w:t>法定代表人（或授权代表）：___________________</w:t>
      </w:r>
      <w:r>
        <w:rPr>
          <w:rFonts w:hint="eastAsia"/>
          <w:color w:val="000000"/>
          <w:sz w:val="24"/>
          <w:szCs w:val="28"/>
        </w:rPr>
        <w:t>联系电话：</w:t>
      </w:r>
      <w:r>
        <w:rPr>
          <w:rFonts w:hint="eastAsia"/>
          <w:color w:val="000000"/>
          <w:sz w:val="24"/>
          <w:szCs w:val="28"/>
          <w:u w:val="single"/>
        </w:rPr>
        <w:t xml:space="preserve">       </w:t>
      </w:r>
      <w:r>
        <w:rPr>
          <w:rFonts w:hint="eastAsia"/>
          <w:color w:val="000000"/>
          <w:sz w:val="24"/>
          <w:szCs w:val="28"/>
        </w:rPr>
        <w:t xml:space="preserve">    </w:t>
      </w:r>
    </w:p>
    <w:p>
      <w:pPr>
        <w:spacing w:line="480" w:lineRule="exact"/>
        <w:ind w:left="2852" w:leftChars="1358"/>
        <w:rPr>
          <w:color w:val="000000"/>
          <w:szCs w:val="28"/>
        </w:rPr>
      </w:pPr>
      <w:r>
        <w:rPr>
          <w:rFonts w:hint="eastAsia"/>
          <w:color w:val="000000"/>
          <w:sz w:val="24"/>
          <w:szCs w:val="28"/>
        </w:rPr>
        <w:t xml:space="preserve">                         </w:t>
      </w:r>
    </w:p>
    <w:p>
      <w:pPr>
        <w:pStyle w:val="32"/>
        <w:ind w:firstLine="5520" w:firstLineChars="2300"/>
        <w:jc w:val="both"/>
        <w:rPr>
          <w:szCs w:val="28"/>
        </w:rPr>
      </w:pPr>
      <w:r>
        <w:rPr>
          <w:rFonts w:hint="eastAsia"/>
          <w:szCs w:val="28"/>
        </w:rPr>
        <w:t>日期：   年    月    日</w:t>
      </w:r>
      <w:bookmarkEnd w:id="38"/>
    </w:p>
    <w:p>
      <w:pPr>
        <w:pStyle w:val="32"/>
        <w:ind w:firstLine="5520" w:firstLineChars="2300"/>
        <w:jc w:val="both"/>
        <w:rPr>
          <w:szCs w:val="28"/>
        </w:rPr>
      </w:pPr>
    </w:p>
    <w:p>
      <w:pPr>
        <w:pStyle w:val="32"/>
        <w:ind w:firstLine="5520" w:firstLineChars="2300"/>
        <w:jc w:val="both"/>
      </w:pPr>
    </w:p>
    <w:p>
      <w:pPr>
        <w:pStyle w:val="32"/>
        <w:ind w:firstLine="5520" w:firstLineChars="2300"/>
        <w:jc w:val="both"/>
      </w:pPr>
    </w:p>
    <w:p>
      <w:pPr>
        <w:pStyle w:val="32"/>
        <w:ind w:firstLine="5520" w:firstLineChars="2300"/>
        <w:jc w:val="both"/>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六、其他文件</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345AC"/>
    <w:multiLevelType w:val="singleLevel"/>
    <w:tmpl w:val="813345AC"/>
    <w:lvl w:ilvl="0" w:tentative="0">
      <w:start w:val="1"/>
      <w:numFmt w:val="chineseCounting"/>
      <w:suff w:val="nothing"/>
      <w:lvlText w:val="%1、"/>
      <w:lvlJc w:val="left"/>
      <w:rPr>
        <w:rFonts w:hint="eastAsia"/>
      </w:rPr>
    </w:lvl>
  </w:abstractNum>
  <w:abstractNum w:abstractNumId="1">
    <w:nsid w:val="F3D96A9E"/>
    <w:multiLevelType w:val="singleLevel"/>
    <w:tmpl w:val="F3D96A9E"/>
    <w:lvl w:ilvl="0" w:tentative="0">
      <w:start w:val="1"/>
      <w:numFmt w:val="decimal"/>
      <w:lvlText w:val="(%1)"/>
      <w:lvlJc w:val="left"/>
      <w:pPr>
        <w:ind w:left="425" w:hanging="425"/>
      </w:pPr>
      <w:rPr>
        <w:rFonts w:hint="default"/>
      </w:rPr>
    </w:lvl>
  </w:abstractNum>
  <w:abstractNum w:abstractNumId="2">
    <w:nsid w:val="0000000F"/>
    <w:multiLevelType w:val="multilevel"/>
    <w:tmpl w:val="0000000F"/>
    <w:lvl w:ilvl="0" w:tentative="0">
      <w:start w:val="1"/>
      <w:numFmt w:val="decimal"/>
      <w:pStyle w:val="3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zExMDNlNjkzMWQwZjIzNzkyZDZiZjNkYWFkNmNjNzUifQ=="/>
  </w:docVars>
  <w:rsids>
    <w:rsidRoot w:val="00172A27"/>
    <w:rsid w:val="00013ACA"/>
    <w:rsid w:val="0001581D"/>
    <w:rsid w:val="000515A0"/>
    <w:rsid w:val="000537F1"/>
    <w:rsid w:val="00064900"/>
    <w:rsid w:val="000732FA"/>
    <w:rsid w:val="00083D4E"/>
    <w:rsid w:val="00092F3E"/>
    <w:rsid w:val="000B1F06"/>
    <w:rsid w:val="000F3A5F"/>
    <w:rsid w:val="000F4A8D"/>
    <w:rsid w:val="00116C00"/>
    <w:rsid w:val="0013422A"/>
    <w:rsid w:val="00140CE6"/>
    <w:rsid w:val="001420B9"/>
    <w:rsid w:val="00154D58"/>
    <w:rsid w:val="00157D0F"/>
    <w:rsid w:val="00172A27"/>
    <w:rsid w:val="00182EBD"/>
    <w:rsid w:val="001A468C"/>
    <w:rsid w:val="001B1460"/>
    <w:rsid w:val="00210ABF"/>
    <w:rsid w:val="00215078"/>
    <w:rsid w:val="00252110"/>
    <w:rsid w:val="00292CA6"/>
    <w:rsid w:val="002B21B3"/>
    <w:rsid w:val="0031767E"/>
    <w:rsid w:val="00344D13"/>
    <w:rsid w:val="00353B17"/>
    <w:rsid w:val="0036016B"/>
    <w:rsid w:val="003664D5"/>
    <w:rsid w:val="00374551"/>
    <w:rsid w:val="003776C0"/>
    <w:rsid w:val="00387D37"/>
    <w:rsid w:val="00405732"/>
    <w:rsid w:val="004252E7"/>
    <w:rsid w:val="00454953"/>
    <w:rsid w:val="00456C5F"/>
    <w:rsid w:val="004769C1"/>
    <w:rsid w:val="00496C1D"/>
    <w:rsid w:val="004B33D0"/>
    <w:rsid w:val="004C4CDA"/>
    <w:rsid w:val="004E1AF0"/>
    <w:rsid w:val="004E5B0B"/>
    <w:rsid w:val="005171F6"/>
    <w:rsid w:val="005220F0"/>
    <w:rsid w:val="005227A1"/>
    <w:rsid w:val="00525028"/>
    <w:rsid w:val="00534C7A"/>
    <w:rsid w:val="005944AF"/>
    <w:rsid w:val="005950A9"/>
    <w:rsid w:val="00595B92"/>
    <w:rsid w:val="005E36A2"/>
    <w:rsid w:val="005F6DF9"/>
    <w:rsid w:val="006566B5"/>
    <w:rsid w:val="00682EF0"/>
    <w:rsid w:val="0068378C"/>
    <w:rsid w:val="006B4F6E"/>
    <w:rsid w:val="006C0D9A"/>
    <w:rsid w:val="006C5A9C"/>
    <w:rsid w:val="006C63AC"/>
    <w:rsid w:val="00733ED5"/>
    <w:rsid w:val="00766C09"/>
    <w:rsid w:val="007B37B6"/>
    <w:rsid w:val="007C02AC"/>
    <w:rsid w:val="007C26EE"/>
    <w:rsid w:val="007C5038"/>
    <w:rsid w:val="007E1240"/>
    <w:rsid w:val="007E2D03"/>
    <w:rsid w:val="00871484"/>
    <w:rsid w:val="0088081D"/>
    <w:rsid w:val="008A274A"/>
    <w:rsid w:val="008A4B0C"/>
    <w:rsid w:val="008D1279"/>
    <w:rsid w:val="008E65E3"/>
    <w:rsid w:val="00903959"/>
    <w:rsid w:val="009318D6"/>
    <w:rsid w:val="00961DA8"/>
    <w:rsid w:val="00991FD7"/>
    <w:rsid w:val="00996E52"/>
    <w:rsid w:val="009C1652"/>
    <w:rsid w:val="009E112A"/>
    <w:rsid w:val="009E551F"/>
    <w:rsid w:val="00A2377B"/>
    <w:rsid w:val="00A946CA"/>
    <w:rsid w:val="00AA20D6"/>
    <w:rsid w:val="00AA523B"/>
    <w:rsid w:val="00AB039D"/>
    <w:rsid w:val="00AE11C8"/>
    <w:rsid w:val="00B1788F"/>
    <w:rsid w:val="00B24D32"/>
    <w:rsid w:val="00B2693F"/>
    <w:rsid w:val="00B41975"/>
    <w:rsid w:val="00B554A7"/>
    <w:rsid w:val="00B6048F"/>
    <w:rsid w:val="00B97FA7"/>
    <w:rsid w:val="00BA7AB3"/>
    <w:rsid w:val="00BB0F01"/>
    <w:rsid w:val="00BC155E"/>
    <w:rsid w:val="00BD5F2A"/>
    <w:rsid w:val="00BF4894"/>
    <w:rsid w:val="00C031D6"/>
    <w:rsid w:val="00C042F7"/>
    <w:rsid w:val="00C3349B"/>
    <w:rsid w:val="00C51447"/>
    <w:rsid w:val="00C55971"/>
    <w:rsid w:val="00C5775C"/>
    <w:rsid w:val="00C72D47"/>
    <w:rsid w:val="00CE37E3"/>
    <w:rsid w:val="00D02B53"/>
    <w:rsid w:val="00D139A2"/>
    <w:rsid w:val="00D1797D"/>
    <w:rsid w:val="00D20F47"/>
    <w:rsid w:val="00D24B04"/>
    <w:rsid w:val="00D34824"/>
    <w:rsid w:val="00D73698"/>
    <w:rsid w:val="00D76B7C"/>
    <w:rsid w:val="00D947FF"/>
    <w:rsid w:val="00D9616B"/>
    <w:rsid w:val="00DB68FF"/>
    <w:rsid w:val="00DD6156"/>
    <w:rsid w:val="00DE49A2"/>
    <w:rsid w:val="00DE591D"/>
    <w:rsid w:val="00E45902"/>
    <w:rsid w:val="00E511E1"/>
    <w:rsid w:val="00E84A55"/>
    <w:rsid w:val="00E910A3"/>
    <w:rsid w:val="00EE5EBC"/>
    <w:rsid w:val="00EF10C3"/>
    <w:rsid w:val="00EF4736"/>
    <w:rsid w:val="00F22478"/>
    <w:rsid w:val="00F54C40"/>
    <w:rsid w:val="00F67D7B"/>
    <w:rsid w:val="00F76AC7"/>
    <w:rsid w:val="00FA1F48"/>
    <w:rsid w:val="00FA2551"/>
    <w:rsid w:val="00FB67B3"/>
    <w:rsid w:val="00FC2293"/>
    <w:rsid w:val="00FE0A9A"/>
    <w:rsid w:val="03235883"/>
    <w:rsid w:val="037E5C84"/>
    <w:rsid w:val="04795D68"/>
    <w:rsid w:val="06746D22"/>
    <w:rsid w:val="0BB772DB"/>
    <w:rsid w:val="0C535F5F"/>
    <w:rsid w:val="0C594865"/>
    <w:rsid w:val="0D7D0DAA"/>
    <w:rsid w:val="0F474DFC"/>
    <w:rsid w:val="118A7C3F"/>
    <w:rsid w:val="12154897"/>
    <w:rsid w:val="12E77112"/>
    <w:rsid w:val="13806551"/>
    <w:rsid w:val="15154951"/>
    <w:rsid w:val="15286307"/>
    <w:rsid w:val="164E0DE7"/>
    <w:rsid w:val="171B6EE5"/>
    <w:rsid w:val="18C2797C"/>
    <w:rsid w:val="1D0114B0"/>
    <w:rsid w:val="1D2E693D"/>
    <w:rsid w:val="1DCF2D5F"/>
    <w:rsid w:val="1E801591"/>
    <w:rsid w:val="1EEF687A"/>
    <w:rsid w:val="225A35C8"/>
    <w:rsid w:val="24407D79"/>
    <w:rsid w:val="248E1C42"/>
    <w:rsid w:val="250C146D"/>
    <w:rsid w:val="25262BD5"/>
    <w:rsid w:val="27992472"/>
    <w:rsid w:val="27DB1DE4"/>
    <w:rsid w:val="28115515"/>
    <w:rsid w:val="288365ED"/>
    <w:rsid w:val="29041C64"/>
    <w:rsid w:val="2A493E22"/>
    <w:rsid w:val="2AB70C30"/>
    <w:rsid w:val="2BD65CAD"/>
    <w:rsid w:val="2C3D4AE9"/>
    <w:rsid w:val="2C535729"/>
    <w:rsid w:val="2CDB5A10"/>
    <w:rsid w:val="2CE920BD"/>
    <w:rsid w:val="2D3E05DB"/>
    <w:rsid w:val="2F0E4B96"/>
    <w:rsid w:val="305344C6"/>
    <w:rsid w:val="30A850A7"/>
    <w:rsid w:val="31B20DEF"/>
    <w:rsid w:val="33341FAF"/>
    <w:rsid w:val="338D4C23"/>
    <w:rsid w:val="33922181"/>
    <w:rsid w:val="34C73392"/>
    <w:rsid w:val="34EE28E5"/>
    <w:rsid w:val="35C424C3"/>
    <w:rsid w:val="36261957"/>
    <w:rsid w:val="37043239"/>
    <w:rsid w:val="384A6B29"/>
    <w:rsid w:val="395C666F"/>
    <w:rsid w:val="3BC11F55"/>
    <w:rsid w:val="3ECA28B9"/>
    <w:rsid w:val="3FB83028"/>
    <w:rsid w:val="3FE7550C"/>
    <w:rsid w:val="40CA3AB9"/>
    <w:rsid w:val="416943DA"/>
    <w:rsid w:val="417D62D7"/>
    <w:rsid w:val="42894A41"/>
    <w:rsid w:val="4419274A"/>
    <w:rsid w:val="45F63933"/>
    <w:rsid w:val="48DE7494"/>
    <w:rsid w:val="4A510301"/>
    <w:rsid w:val="4A8973F7"/>
    <w:rsid w:val="4AFB0F76"/>
    <w:rsid w:val="4C0A69B9"/>
    <w:rsid w:val="4CA23F78"/>
    <w:rsid w:val="4CB155F9"/>
    <w:rsid w:val="4CB81F75"/>
    <w:rsid w:val="4DAE2BD9"/>
    <w:rsid w:val="4DCB1382"/>
    <w:rsid w:val="4DE11E0F"/>
    <w:rsid w:val="4EC869B1"/>
    <w:rsid w:val="4F3955E3"/>
    <w:rsid w:val="4F5F5715"/>
    <w:rsid w:val="518935FD"/>
    <w:rsid w:val="520833AB"/>
    <w:rsid w:val="52412270"/>
    <w:rsid w:val="52C443A6"/>
    <w:rsid w:val="543C096C"/>
    <w:rsid w:val="54546795"/>
    <w:rsid w:val="5555739E"/>
    <w:rsid w:val="55F0105B"/>
    <w:rsid w:val="571E5A0F"/>
    <w:rsid w:val="57CC49FD"/>
    <w:rsid w:val="584C2108"/>
    <w:rsid w:val="58B61B08"/>
    <w:rsid w:val="5AFA763F"/>
    <w:rsid w:val="5BD23026"/>
    <w:rsid w:val="618E6761"/>
    <w:rsid w:val="629D37BB"/>
    <w:rsid w:val="62CE653B"/>
    <w:rsid w:val="631753FD"/>
    <w:rsid w:val="639B6C9D"/>
    <w:rsid w:val="63EB698C"/>
    <w:rsid w:val="63F841C0"/>
    <w:rsid w:val="6453379D"/>
    <w:rsid w:val="672008BF"/>
    <w:rsid w:val="67CB7B28"/>
    <w:rsid w:val="67D363A2"/>
    <w:rsid w:val="6A7D5B04"/>
    <w:rsid w:val="6AA21659"/>
    <w:rsid w:val="6B970464"/>
    <w:rsid w:val="6C3979C3"/>
    <w:rsid w:val="6C3E104B"/>
    <w:rsid w:val="6EF05979"/>
    <w:rsid w:val="710F3379"/>
    <w:rsid w:val="72FA73DA"/>
    <w:rsid w:val="737564C1"/>
    <w:rsid w:val="73C81356"/>
    <w:rsid w:val="73CB44C1"/>
    <w:rsid w:val="742237D5"/>
    <w:rsid w:val="74FB3074"/>
    <w:rsid w:val="7521699E"/>
    <w:rsid w:val="75B93A72"/>
    <w:rsid w:val="75BC5C9E"/>
    <w:rsid w:val="76C454F0"/>
    <w:rsid w:val="77311A03"/>
    <w:rsid w:val="7B6A3F09"/>
    <w:rsid w:val="7C762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3"/>
    <w:basedOn w:val="1"/>
    <w:next w:val="1"/>
    <w:link w:val="24"/>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2" w:lineRule="auto"/>
      <w:outlineLvl w:val="3"/>
    </w:pPr>
    <w:rPr>
      <w:rFonts w:ascii="Arial" w:hAnsi="Arial" w:eastAsia="黑体"/>
      <w:b/>
      <w:bCs/>
      <w:color w:val="000000"/>
      <w:kern w:val="0"/>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link w:val="25"/>
    <w:qFormat/>
    <w:uiPriority w:val="0"/>
    <w:rPr>
      <w:rFonts w:ascii="宋体"/>
      <w:sz w:val="18"/>
      <w:szCs w:val="18"/>
    </w:rPr>
  </w:style>
  <w:style w:type="paragraph" w:styleId="8">
    <w:name w:val="annotation text"/>
    <w:basedOn w:val="1"/>
    <w:link w:val="26"/>
    <w:unhideWhenUsed/>
    <w:qFormat/>
    <w:uiPriority w:val="99"/>
    <w:pPr>
      <w:jc w:val="left"/>
    </w:pPr>
  </w:style>
  <w:style w:type="paragraph" w:styleId="9">
    <w:name w:val="Body Text Indent"/>
    <w:basedOn w:val="1"/>
    <w:qFormat/>
    <w:uiPriority w:val="0"/>
    <w:pPr>
      <w:spacing w:line="700" w:lineRule="exact"/>
      <w:ind w:left="960"/>
    </w:pPr>
    <w:rPr>
      <w:sz w:val="44"/>
    </w:rPr>
  </w:style>
  <w:style w:type="paragraph" w:styleId="10">
    <w:name w:val="Plain Text"/>
    <w:basedOn w:val="1"/>
    <w:unhideWhenUsed/>
    <w:qFormat/>
    <w:uiPriority w:val="99"/>
    <w:rPr>
      <w:rFonts w:ascii="宋体" w:hAnsi="Courier New"/>
      <w:szCs w:val="21"/>
    </w:rPr>
  </w:style>
  <w:style w:type="paragraph" w:styleId="11">
    <w:name w:val="Date"/>
    <w:basedOn w:val="1"/>
    <w:next w:val="1"/>
    <w:qFormat/>
    <w:uiPriority w:val="0"/>
    <w:pPr>
      <w:ind w:left="100" w:leftChars="2500"/>
    </w:pPr>
  </w:style>
  <w:style w:type="paragraph" w:styleId="12">
    <w:name w:val="Balloon Text"/>
    <w:basedOn w:val="1"/>
    <w:link w:val="27"/>
    <w:unhideWhenUsed/>
    <w:uiPriority w:val="99"/>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index 1"/>
    <w:basedOn w:val="1"/>
    <w:next w:val="1"/>
    <w:uiPriority w:val="0"/>
    <w:pPr>
      <w:spacing w:line="360" w:lineRule="auto"/>
      <w:jc w:val="center"/>
    </w:pPr>
    <w:rPr>
      <w:rFonts w:ascii="宋体" w:hAnsi="Arial" w:cs="Arial"/>
      <w:b/>
      <w:color w:val="000000"/>
      <w:sz w:val="24"/>
      <w:szCs w:val="24"/>
    </w:rPr>
  </w:style>
  <w:style w:type="paragraph" w:styleId="18">
    <w:name w:val="annotation subject"/>
    <w:basedOn w:val="8"/>
    <w:next w:val="8"/>
    <w:link w:val="28"/>
    <w:unhideWhenUsed/>
    <w:uiPriority w:val="99"/>
    <w:rPr>
      <w:b/>
      <w:bCs/>
    </w:rPr>
  </w:style>
  <w:style w:type="table" w:styleId="20">
    <w:name w:val="Table Grid"/>
    <w:basedOn w:val="19"/>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annotation reference"/>
    <w:unhideWhenUsed/>
    <w:qFormat/>
    <w:uiPriority w:val="99"/>
    <w:rPr>
      <w:sz w:val="21"/>
      <w:szCs w:val="21"/>
    </w:rPr>
  </w:style>
  <w:style w:type="character" w:customStyle="1" w:styleId="24">
    <w:name w:val="标题 3 Char"/>
    <w:link w:val="4"/>
    <w:uiPriority w:val="9"/>
    <w:rPr>
      <w:b/>
      <w:bCs/>
      <w:kern w:val="2"/>
      <w:sz w:val="32"/>
      <w:szCs w:val="32"/>
    </w:rPr>
  </w:style>
  <w:style w:type="character" w:customStyle="1" w:styleId="25">
    <w:name w:val="文档结构图 Char"/>
    <w:link w:val="7"/>
    <w:qFormat/>
    <w:uiPriority w:val="0"/>
    <w:rPr>
      <w:rFonts w:ascii="宋体"/>
      <w:kern w:val="2"/>
      <w:sz w:val="18"/>
      <w:szCs w:val="18"/>
    </w:rPr>
  </w:style>
  <w:style w:type="character" w:customStyle="1" w:styleId="26">
    <w:name w:val="批注文字 Char"/>
    <w:link w:val="8"/>
    <w:uiPriority w:val="99"/>
    <w:rPr>
      <w:kern w:val="2"/>
      <w:sz w:val="21"/>
    </w:rPr>
  </w:style>
  <w:style w:type="character" w:customStyle="1" w:styleId="27">
    <w:name w:val="批注框文本 Char"/>
    <w:link w:val="12"/>
    <w:semiHidden/>
    <w:uiPriority w:val="99"/>
    <w:rPr>
      <w:kern w:val="2"/>
      <w:sz w:val="18"/>
      <w:szCs w:val="18"/>
    </w:rPr>
  </w:style>
  <w:style w:type="character" w:customStyle="1" w:styleId="28">
    <w:name w:val="批注主题 Char"/>
    <w:link w:val="18"/>
    <w:semiHidden/>
    <w:qFormat/>
    <w:uiPriority w:val="99"/>
    <w:rPr>
      <w:b/>
      <w:bCs/>
      <w:kern w:val="2"/>
      <w:sz w:val="21"/>
    </w:rPr>
  </w:style>
  <w:style w:type="character" w:customStyle="1" w:styleId="29">
    <w:name w:val="占位符文本1"/>
    <w:semiHidden/>
    <w:qFormat/>
    <w:uiPriority w:val="99"/>
    <w:rPr>
      <w:color w:val="808080"/>
    </w:rPr>
  </w:style>
  <w:style w:type="character" w:customStyle="1" w:styleId="30">
    <w:name w:val="font01"/>
    <w:qFormat/>
    <w:uiPriority w:val="0"/>
    <w:rPr>
      <w:rFonts w:hint="eastAsia" w:ascii="宋体" w:hAnsi="宋体" w:eastAsia="宋体" w:cs="宋体"/>
      <w:color w:val="000000"/>
      <w:sz w:val="22"/>
      <w:szCs w:val="22"/>
      <w:u w:val="none"/>
    </w:rPr>
  </w:style>
  <w:style w:type="paragraph" w:customStyle="1" w:styleId="31">
    <w:name w:val="样式10"/>
    <w:basedOn w:val="1"/>
    <w:uiPriority w:val="0"/>
    <w:pPr>
      <w:numPr>
        <w:ilvl w:val="0"/>
        <w:numId w:val="1"/>
      </w:numPr>
      <w:tabs>
        <w:tab w:val="left" w:pos="737"/>
        <w:tab w:val="clear" w:pos="360"/>
      </w:tabs>
      <w:spacing w:line="360" w:lineRule="auto"/>
    </w:pPr>
    <w:rPr>
      <w:sz w:val="24"/>
      <w:szCs w:val="24"/>
    </w:rPr>
  </w:style>
  <w:style w:type="paragraph" w:customStyle="1" w:styleId="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3">
    <w:name w:val="彩色列表 - 强调文字颜色 11"/>
    <w:basedOn w:val="1"/>
    <w:uiPriority w:val="0"/>
    <w:pPr>
      <w:widowControl/>
      <w:ind w:firstLine="420"/>
    </w:pPr>
    <w:rPr>
      <w:rFonts w:ascii="Calibri" w:hAnsi="Calibri" w:cs="Calibri"/>
      <w:kern w:val="0"/>
      <w:szCs w:val="21"/>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6">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24</Pages>
  <Words>12584</Words>
  <Characters>13201</Characters>
  <Lines>108</Lines>
  <Paragraphs>30</Paragraphs>
  <TotalTime>198</TotalTime>
  <ScaleCrop>false</ScaleCrop>
  <LinksUpToDate>false</LinksUpToDate>
  <CharactersWithSpaces>14565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2022-10-19T03:26:00Z</dcterms:created>
  <dc:creator>宋海涛</dc:creator>
  <cp:lastModifiedBy>晓晓</cp:lastModifiedBy>
  <cp:lastPrinted>2017-05-07T03:04:00Z</cp:lastPrinted>
  <dcterms:modified xsi:type="dcterms:W3CDTF">2022-10-24T06:22:00Z</dcterms:modified>
  <dc:title>重庆高速公路集团有限公司南方营运分公司服务区保安值守服务项目</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26F1DFB83E0D41E99FD4693B08D3DADB</vt:lpwstr>
  </property>
</Properties>
</file>